
<file path=[Content_Types].xml><?xml version="1.0" encoding="utf-8"?>
<Types xmlns="http://schemas.openxmlformats.org/package/2006/content-types">
  <Default Extension="png" ContentType="image/png"/>
  <Default Extension="tmp"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19.xml" ContentType="application/vnd.openxmlformats-officedocument.drawingml.chart+xml"/>
  <Override PartName="/word/charts/chart20.xml" ContentType="application/vnd.openxmlformats-officedocument.drawingml.chart+xml"/>
  <Override PartName="/word/charts/chart21.xml" ContentType="application/vnd.openxmlformats-officedocument.drawingml.chart+xml"/>
  <Override PartName="/word/charts/chart22.xml" ContentType="application/vnd.openxmlformats-officedocument.drawingml.chart+xml"/>
  <Override PartName="/word/charts/chart23.xml" ContentType="application/vnd.openxmlformats-officedocument.drawingml.chart+xml"/>
  <Override PartName="/word/charts/chart24.xml" ContentType="application/vnd.openxmlformats-officedocument.drawingml.chart+xml"/>
  <Override PartName="/word/charts/chart25.xml" ContentType="application/vnd.openxmlformats-officedocument.drawingml.chart+xml"/>
  <Override PartName="/word/charts/chart26.xml" ContentType="application/vnd.openxmlformats-officedocument.drawingml.chart+xml"/>
  <Override PartName="/word/charts/chart27.xml" ContentType="application/vnd.openxmlformats-officedocument.drawingml.chart+xml"/>
  <Override PartName="/word/charts/chart28.xml" ContentType="application/vnd.openxmlformats-officedocument.drawingml.chart+xml"/>
  <Override PartName="/word/charts/chart29.xml" ContentType="application/vnd.openxmlformats-officedocument.drawingml.chart+xml"/>
  <Override PartName="/word/charts/chart30.xml" ContentType="application/vnd.openxmlformats-officedocument.drawingml.chart+xml"/>
  <Override PartName="/word/charts/chart31.xml" ContentType="application/vnd.openxmlformats-officedocument.drawingml.chart+xml"/>
  <Override PartName="/word/charts/chart32.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B0A2D46" w14:textId="700322C0" w:rsidR="00B924E6" w:rsidRPr="00507BE9" w:rsidRDefault="006A5F73" w:rsidP="00507BE9">
      <w:pPr>
        <w:tabs>
          <w:tab w:val="left" w:pos="3014"/>
        </w:tabs>
        <w:spacing w:after="3000"/>
        <w:jc w:val="both"/>
        <w:rPr>
          <w:sz w:val="44"/>
          <w:szCs w:val="44"/>
        </w:rPr>
        <w:sectPr w:rsidR="00B924E6" w:rsidRPr="00507BE9" w:rsidSect="00B24B1D">
          <w:headerReference w:type="even" r:id="rId8"/>
          <w:headerReference w:type="default" r:id="rId9"/>
          <w:footerReference w:type="default" r:id="rId10"/>
          <w:headerReference w:type="first" r:id="rId11"/>
          <w:footerReference w:type="first" r:id="rId12"/>
          <w:endnotePr>
            <w:numFmt w:val="decimal"/>
          </w:endnotePr>
          <w:type w:val="continuous"/>
          <w:pgSz w:w="11906" w:h="16838" w:code="9"/>
          <w:pgMar w:top="228" w:right="1700" w:bottom="1134" w:left="1418" w:header="277" w:footer="415" w:gutter="0"/>
          <w:cols w:space="708"/>
          <w:titlePg/>
          <w:docGrid w:linePitch="360"/>
        </w:sectPr>
      </w:pPr>
      <w:r>
        <w:rPr>
          <w:noProof/>
        </w:rPr>
        <mc:AlternateContent>
          <mc:Choice Requires="wps">
            <w:drawing>
              <wp:anchor distT="0" distB="0" distL="114300" distR="114300" simplePos="0" relativeHeight="251655168" behindDoc="0" locked="0" layoutInCell="1" allowOverlap="1" wp14:anchorId="034496A4" wp14:editId="3B2E757B">
                <wp:simplePos x="0" y="0"/>
                <wp:positionH relativeFrom="column">
                  <wp:posOffset>1384779</wp:posOffset>
                </wp:positionH>
                <wp:positionV relativeFrom="paragraph">
                  <wp:posOffset>934720</wp:posOffset>
                </wp:positionV>
                <wp:extent cx="4339590" cy="646981"/>
                <wp:effectExtent l="0" t="0" r="0" b="127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39590" cy="646981"/>
                        </a:xfrm>
                        <a:prstGeom prst="rect">
                          <a:avLst/>
                        </a:prstGeom>
                        <a:noFill/>
                        <a:ln w="6350">
                          <a:noFill/>
                        </a:ln>
                        <a:effectLst/>
                      </wps:spPr>
                      <wps:txbx>
                        <w:txbxContent>
                          <w:p w14:paraId="79422662" w14:textId="3689EEE3" w:rsidR="00F008D2" w:rsidRPr="00961FFF" w:rsidRDefault="00F008D2" w:rsidP="00961FFF">
                            <w:pPr>
                              <w:jc w:val="right"/>
                              <w:rPr>
                                <w:b/>
                                <w:sz w:val="26"/>
                                <w:szCs w:val="26"/>
                              </w:rPr>
                            </w:pPr>
                            <w:bookmarkStart w:id="0" w:name="_Toc430766836"/>
                            <w:r>
                              <w:rPr>
                                <w:b/>
                                <w:sz w:val="26"/>
                                <w:szCs w:val="26"/>
                              </w:rPr>
                              <w:t>14</w:t>
                            </w:r>
                            <w:r w:rsidRPr="00961FFF">
                              <w:rPr>
                                <w:b/>
                                <w:sz w:val="26"/>
                                <w:szCs w:val="26"/>
                              </w:rPr>
                              <w:t xml:space="preserve"> October 2015</w:t>
                            </w:r>
                          </w:p>
                          <w:bookmarkEnd w:id="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34496A4" id="_x0000_t202" coordsize="21600,21600" o:spt="202" path="m,l,21600r21600,l21600,xe">
                <v:stroke joinstyle="miter"/>
                <v:path gradientshapeok="t" o:connecttype="rect"/>
              </v:shapetype>
              <v:shape id="Text Box 3" o:spid="_x0000_s1026" type="#_x0000_t202" style="position:absolute;left:0;text-align:left;margin-left:109.05pt;margin-top:73.6pt;width:341.7pt;height:50.9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CvE0OgIAAHgEAAAOAAAAZHJzL2Uyb0RvYy54bWysVEtv2zAMvg/YfxB0X5z3GiNOkbXIMCBo&#10;CyRDz4osxcYkUZOU2N2vHyXnhW6nYReZIj/x9ZGe37dakaNwvgZT0EGvT4kwHMra7Av6fbv6dEeJ&#10;D8yUTIERBX0Tnt4vPn6YNzYXQ6hAlcIRdGJ83tiCViHYPMs8r4RmvgdWGDRKcJoFvLp9VjrWoHet&#10;smG/P80acKV1wIX3qH3sjHSR/EspeHiW0otAVEExt5BOl85dPLPFnOV7x2xV81Ma7B+y0Kw2GPTi&#10;6pEFRg6u/sOVrrkDDzL0OOgMpKy5SDVgNYP+u2o2FbMi1YLN8fbSJv//3PKn44sjdVnQESWGaaRo&#10;K9pAvkBLRrE7jfU5gjYWYaFFNbKcKvV2DfyHR0h2g+keeETHbrTS6fjFOgk+RALeLk2PUTgqx6PR&#10;bDJDE0fbdDyd3Q1i3Oz62jofvgrQJAoFdUhqyoAd1z500DMkBjOwqpVCPcuVIQ06HU366cHFgs6V&#10;iQCRRuTkJpbRZR6l0O5adBLFHZRvWL6Dbny85asaU1kzH16Yw3nB7HEHwjMeUgGGhJNESQXu19/0&#10;EY80opWSBuevoP7ngTlBifpmkODZYDyOA5su48nnIV7crWV3azEH/QA44gPcNsuTGPFBnUXpQL/i&#10;qixjVDQxwzF2QcNZfAjdVuCqcbFcJhCOqGVhbTaWn1mPjd62r8zZExsBeXyC86Sy/B0pHbajZXkI&#10;IOvE2LWrp/HB8U6cn1Yx7s/tPaGuP4zFbwAAAP//AwBQSwMEFAAGAAgAAAAhAC2T/rXgAAAACwEA&#10;AA8AAABkcnMvZG93bnJldi54bWxMj8tOwzAQRfdI/IM1SOyo46jQNMSpKgQbJIRaKiF209jEAT+C&#10;7bbh7xlWsBydq3vPNKvJWXbUMQ3BSxCzApj2XVCD7yXsXh6uKmApo1dog9cSvnWCVXt+1mCtwslv&#10;9HGbe0YlPtUoweQ81pynzmiHaRZG7Ym9h+gw0xl7riKeqNxZXhbFDXc4eFowOOo7o7vP7cFJWFRv&#10;ynzEx2n3+rT+Ms8jt/fIpby8mNa3wLKe8l8YfvVJHVpy2oeDV4lZCaWoBEUJzBclMEosC3ENbE9o&#10;vhTA24b//6H9AQAA//8DAFBLAQItABQABgAIAAAAIQC2gziS/gAAAOEBAAATAAAAAAAAAAAAAAAA&#10;AAAAAABbQ29udGVudF9UeXBlc10ueG1sUEsBAi0AFAAGAAgAAAAhADj9If/WAAAAlAEAAAsAAAAA&#10;AAAAAAAAAAAALwEAAF9yZWxzLy5yZWxzUEsBAi0AFAAGAAgAAAAhACoK8TQ6AgAAeAQAAA4AAAAA&#10;AAAAAAAAAAAALgIAAGRycy9lMm9Eb2MueG1sUEsBAi0AFAAGAAgAAAAhAC2T/rXgAAAACwEAAA8A&#10;AAAAAAAAAAAAAAAAlAQAAGRycy9kb3ducmV2LnhtbFBLBQYAAAAABAAEAPMAAAChBQAAAAA=&#10;" filled="f" stroked="f" strokeweight=".5pt">
                <v:path arrowok="t"/>
                <v:textbox>
                  <w:txbxContent>
                    <w:p w14:paraId="79422662" w14:textId="3689EEE3" w:rsidR="00F008D2" w:rsidRPr="00961FFF" w:rsidRDefault="00F008D2" w:rsidP="00961FFF">
                      <w:pPr>
                        <w:jc w:val="right"/>
                        <w:rPr>
                          <w:b/>
                          <w:sz w:val="26"/>
                          <w:szCs w:val="26"/>
                        </w:rPr>
                      </w:pPr>
                      <w:bookmarkStart w:id="1" w:name="_Toc430766836"/>
                      <w:r>
                        <w:rPr>
                          <w:b/>
                          <w:sz w:val="26"/>
                          <w:szCs w:val="26"/>
                        </w:rPr>
                        <w:t>14</w:t>
                      </w:r>
                      <w:r w:rsidRPr="00961FFF">
                        <w:rPr>
                          <w:b/>
                          <w:sz w:val="26"/>
                          <w:szCs w:val="26"/>
                        </w:rPr>
                        <w:t xml:space="preserve"> October 2015</w:t>
                      </w:r>
                    </w:p>
                    <w:bookmarkEnd w:id="1"/>
                  </w:txbxContent>
                </v:textbox>
              </v:shape>
            </w:pict>
          </mc:Fallback>
        </mc:AlternateContent>
      </w:r>
      <w:r>
        <w:rPr>
          <w:noProof/>
        </w:rPr>
        <w:drawing>
          <wp:anchor distT="0" distB="0" distL="114300" distR="114300" simplePos="0" relativeHeight="251657216" behindDoc="0" locked="0" layoutInCell="1" allowOverlap="1" wp14:anchorId="1F288B57" wp14:editId="005DB6B8">
            <wp:simplePos x="0" y="0"/>
            <wp:positionH relativeFrom="page">
              <wp:align>left</wp:align>
            </wp:positionH>
            <wp:positionV relativeFrom="paragraph">
              <wp:posOffset>1901106</wp:posOffset>
            </wp:positionV>
            <wp:extent cx="7597594" cy="5693434"/>
            <wp:effectExtent l="0" t="0" r="3810" b="2540"/>
            <wp:wrapNone/>
            <wp:docPr id="206" name="Picture 206" descr="\\fileshare\users\ballo\Desktop\photos\1. Front cover pho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ileshare\users\ballo\Desktop\photos\1. Front cover photo.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7597594" cy="5693434"/>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72B1A">
        <w:rPr>
          <w:noProof/>
        </w:rPr>
        <mc:AlternateContent>
          <mc:Choice Requires="wps">
            <w:drawing>
              <wp:anchor distT="0" distB="0" distL="114300" distR="114300" simplePos="0" relativeHeight="251653120" behindDoc="0" locked="0" layoutInCell="1" allowOverlap="1" wp14:anchorId="5F9B46EC" wp14:editId="26376BD0">
                <wp:simplePos x="0" y="0"/>
                <wp:positionH relativeFrom="column">
                  <wp:posOffset>2490470</wp:posOffset>
                </wp:positionH>
                <wp:positionV relativeFrom="paragraph">
                  <wp:posOffset>-45085</wp:posOffset>
                </wp:positionV>
                <wp:extent cx="3244215" cy="148590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244215" cy="1485900"/>
                        </a:xfrm>
                        <a:prstGeom prst="rect">
                          <a:avLst/>
                        </a:prstGeom>
                        <a:noFill/>
                        <a:ln w="6350">
                          <a:noFill/>
                        </a:ln>
                        <a:effectLst/>
                      </wps:spPr>
                      <wps:txbx>
                        <w:txbxContent>
                          <w:p w14:paraId="74C4DE7F" w14:textId="77777777" w:rsidR="00F008D2" w:rsidRDefault="00F008D2" w:rsidP="00FD01B5">
                            <w:pPr>
                              <w:pStyle w:val="MainTitle"/>
                            </w:pPr>
                            <w:r>
                              <w:t>Children’s Rights Report 2015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9B46EC" id="Text Box 1" o:spid="_x0000_s1027" type="#_x0000_t202" style="position:absolute;left:0;text-align:left;margin-left:196.1pt;margin-top:-3.55pt;width:255.45pt;height:117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03i+QAIAAIAEAAAOAAAAZHJzL2Uyb0RvYy54bWysVEtv2zAMvg/YfxB0X/yo07VGnCJrkWFA&#10;0BZIhp4VWY6NSaImKbG7Xz9KTtKg22nYRabEj8+P9OxuUJIchHUd6Ipmk5QSoTnUnd5V9Ptm+emG&#10;EueZrpkELSr6Khy9m3/8MOtNKXJoQdbCEnSiXdmbirbemzJJHG+FYm4CRmhUNmAV83i1u6S2rEfv&#10;SiZ5ml4nPdjaWODCOXx9GJV0Hv03jeD+qWmc8ERWFHPz8bTx3IYzmc9YubPMtB0/psH+IQvFOo1B&#10;z64emGdkb7s/XKmOW3DQ+AkHlUDTdFzEGrCaLH1XzbplRsRasDnOnNvk/p9b/nh4tqSrK5pToplC&#10;ijZi8OQLDCQL3emNKxG0NgjzAz4jy7FSZ1bAfziEJBeY0cAhOnRjaKwKX6yToCES8HpueojC8fEq&#10;L4o8m1LCUZcVN9PbNNKSvJkb6/xXAYoEoaIWWY0psMPK+ZAAK0+QEE3DspMyMis16St6fTVNo8FZ&#10;gxZSB6yIM3J0E+oYUw+SH7ZD7My5D1uoX7ENFsYxcoYvO8xoxZx/ZhbnBgvEXfBPeDQSMDIcJUpa&#10;sL/+9h7wSCdqKelxDivqfu6ZFZTIbxqJvs2KIgxuvBTTzzle7KVme6nRe3UPOOoZbp3hUQx4L09i&#10;Y0G94MosQlRUMc0xdkX9Sbz343bgynGxWEQQjqphfqXXhp/YD/3eDC/MmiMpHvl8hNPEsvIdNyN2&#10;ZGex99B0kbjQ57GrxzHCMY98Hlcy7NHlPaLefhzz3wAAAP//AwBQSwMEFAAGAAgAAAAhAPnsskDh&#10;AAAACgEAAA8AAABkcnMvZG93bnJldi54bWxMj01LAzEQhu+C/yGM4K3NNoW2u93ZUkQvgoi1IL2l&#10;m7hZzceapO367x1PepthHt553nozOsvOOqY+eITZtACmfRtU7zuE/evDZAUsZemVtMFrhG+dYNNc&#10;X9WyUuHiX/R5lztGIT5VEsHkPFScp9ZoJ9M0DNrT7T1EJzOtseMqyguFO8tFUSy4k72nD0YO+s7o&#10;9nN3cgjL1UGZj/g47t+etl/meeD2XnLE25txuwaW9Zj/YPjVJ3VoyOkYTl4lZhHmpRCEIkyWM2AE&#10;lMWchiOCEIsSeFPz/xWaHwAAAP//AwBQSwECLQAUAAYACAAAACEAtoM4kv4AAADhAQAAEwAAAAAA&#10;AAAAAAAAAAAAAAAAW0NvbnRlbnRfVHlwZXNdLnhtbFBLAQItABQABgAIAAAAIQA4/SH/1gAAAJQB&#10;AAALAAAAAAAAAAAAAAAAAC8BAABfcmVscy8ucmVsc1BLAQItABQABgAIAAAAIQBJ03i+QAIAAIAE&#10;AAAOAAAAAAAAAAAAAAAAAC4CAABkcnMvZTJvRG9jLnhtbFBLAQItABQABgAIAAAAIQD57LJA4QAA&#10;AAoBAAAPAAAAAAAAAAAAAAAAAJoEAABkcnMvZG93bnJldi54bWxQSwUGAAAAAAQABADzAAAAqAUA&#10;AAAA&#10;" filled="f" stroked="f" strokeweight=".5pt">
                <v:path arrowok="t"/>
                <v:textbox>
                  <w:txbxContent>
                    <w:p w14:paraId="74C4DE7F" w14:textId="77777777" w:rsidR="00F008D2" w:rsidRDefault="00F008D2" w:rsidP="00FD01B5">
                      <w:pPr>
                        <w:pStyle w:val="MainTitle"/>
                      </w:pPr>
                      <w:r>
                        <w:t>Children’s Rights Report 2015</w:t>
                      </w:r>
                    </w:p>
                  </w:txbxContent>
                </v:textbox>
              </v:shape>
            </w:pict>
          </mc:Fallback>
        </mc:AlternateContent>
      </w:r>
      <w:bookmarkStart w:id="2" w:name="_Toc209316062"/>
      <w:bookmarkEnd w:id="2"/>
    </w:p>
    <w:p w14:paraId="0EAA9695" w14:textId="77777777" w:rsidR="00507BE9" w:rsidRPr="00507BE9" w:rsidRDefault="00507BE9" w:rsidP="00507BE9">
      <w:pPr>
        <w:widowControl w:val="0"/>
        <w:spacing w:before="77" w:after="0" w:line="250" w:lineRule="auto"/>
        <w:ind w:right="117"/>
        <w:rPr>
          <w:rFonts w:eastAsia="Calibri" w:cs="Arial"/>
          <w:color w:val="231F20"/>
          <w:sz w:val="18"/>
          <w:szCs w:val="22"/>
          <w:lang w:eastAsia="en-US"/>
        </w:rPr>
      </w:pPr>
      <w:r w:rsidRPr="00507BE9">
        <w:rPr>
          <w:rFonts w:eastAsia="Calibri" w:cs="Arial"/>
          <w:color w:val="231F20"/>
          <w:sz w:val="18"/>
          <w:szCs w:val="22"/>
          <w:lang w:eastAsia="en-US"/>
        </w:rPr>
        <w:lastRenderedPageBreak/>
        <w:t>© Australian Human Rights Commission 2015.</w:t>
      </w:r>
    </w:p>
    <w:p w14:paraId="415F9BDC" w14:textId="77777777" w:rsidR="00507BE9" w:rsidRDefault="00507BE9" w:rsidP="00507BE9">
      <w:pPr>
        <w:widowControl w:val="0"/>
        <w:spacing w:before="77" w:after="0" w:line="250" w:lineRule="auto"/>
        <w:ind w:right="117"/>
        <w:rPr>
          <w:rFonts w:eastAsia="Calibri" w:cs="Arial"/>
          <w:color w:val="231F20"/>
          <w:sz w:val="18"/>
          <w:szCs w:val="22"/>
          <w:lang w:eastAsia="en-US"/>
        </w:rPr>
      </w:pPr>
      <w:r w:rsidRPr="00507BE9">
        <w:rPr>
          <w:rFonts w:eastAsia="Calibri" w:cs="Arial"/>
          <w:color w:val="231F20"/>
          <w:sz w:val="18"/>
          <w:szCs w:val="22"/>
          <w:lang w:eastAsia="en-US"/>
        </w:rPr>
        <w:t xml:space="preserve">The Australian Human Rights Commission encourages the dissemination and exchange of information presented in this publication and endorses the use of the </w:t>
      </w:r>
      <w:r w:rsidRPr="00507BE9">
        <w:rPr>
          <w:rFonts w:eastAsia="Calibri" w:cs="Arial"/>
          <w:color w:val="231F20"/>
          <w:sz w:val="18"/>
          <w:szCs w:val="22"/>
          <w:u w:val="single"/>
          <w:lang w:eastAsia="en-US"/>
        </w:rPr>
        <w:t xml:space="preserve">Australian Governments Open Access and Licensing Framework </w:t>
      </w:r>
      <w:r w:rsidRPr="00507BE9">
        <w:rPr>
          <w:rFonts w:eastAsia="Calibri" w:cs="Arial"/>
          <w:color w:val="231F20"/>
          <w:sz w:val="18"/>
          <w:szCs w:val="22"/>
          <w:lang w:eastAsia="en-US"/>
        </w:rPr>
        <w:t>(AusGOAL).</w:t>
      </w:r>
    </w:p>
    <w:p w14:paraId="7CF1B918" w14:textId="65E025DB" w:rsidR="00507BE9" w:rsidRDefault="00507BE9" w:rsidP="00507BE9">
      <w:pPr>
        <w:widowControl w:val="0"/>
        <w:spacing w:before="77" w:after="0" w:line="250" w:lineRule="auto"/>
        <w:ind w:left="100" w:right="117"/>
        <w:rPr>
          <w:rFonts w:eastAsia="Calibri" w:cs="Arial"/>
          <w:color w:val="231F20"/>
          <w:sz w:val="18"/>
          <w:szCs w:val="22"/>
          <w:lang w:eastAsia="en-US"/>
        </w:rPr>
      </w:pPr>
      <w:r w:rsidRPr="00767733">
        <w:rPr>
          <w:rFonts w:eastAsia="Calibri" w:cs="Arial"/>
          <w:noProof/>
          <w:sz w:val="22"/>
          <w:szCs w:val="22"/>
        </w:rPr>
        <mc:AlternateContent>
          <mc:Choice Requires="wpg">
            <w:drawing>
              <wp:anchor distT="0" distB="0" distL="114300" distR="114300" simplePos="0" relativeHeight="251662336" behindDoc="1" locked="0" layoutInCell="1" allowOverlap="1" wp14:anchorId="2CEB62B3" wp14:editId="372FE288">
                <wp:simplePos x="0" y="0"/>
                <wp:positionH relativeFrom="page">
                  <wp:posOffset>900430</wp:posOffset>
                </wp:positionH>
                <wp:positionV relativeFrom="paragraph">
                  <wp:posOffset>109220</wp:posOffset>
                </wp:positionV>
                <wp:extent cx="719455" cy="260350"/>
                <wp:effectExtent l="0" t="0" r="0" b="0"/>
                <wp:wrapNone/>
                <wp:docPr id="719" name="Group 69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19455" cy="260350"/>
                          <a:chOff x="1691" y="652"/>
                          <a:chExt cx="1133" cy="410"/>
                        </a:xfrm>
                      </wpg:grpSpPr>
                      <wpg:grpSp>
                        <wpg:cNvPr id="720" name="Group 729"/>
                        <wpg:cNvGrpSpPr>
                          <a:grpSpLocks/>
                        </wpg:cNvGrpSpPr>
                        <wpg:grpSpPr bwMode="auto">
                          <a:xfrm>
                            <a:off x="1703" y="667"/>
                            <a:ext cx="1106" cy="378"/>
                            <a:chOff x="1703" y="667"/>
                            <a:chExt cx="1106" cy="378"/>
                          </a:xfrm>
                        </wpg:grpSpPr>
                        <wps:wsp>
                          <wps:cNvPr id="721" name="Freeform 730"/>
                          <wps:cNvSpPr>
                            <a:spLocks/>
                          </wps:cNvSpPr>
                          <wps:spPr bwMode="auto">
                            <a:xfrm>
                              <a:off x="1703" y="667"/>
                              <a:ext cx="1106" cy="378"/>
                            </a:xfrm>
                            <a:custGeom>
                              <a:avLst/>
                              <a:gdLst>
                                <a:gd name="T0" fmla="+- 0 1730 1703"/>
                                <a:gd name="T1" fmla="*/ T0 w 1106"/>
                                <a:gd name="T2" fmla="+- 0 667 667"/>
                                <a:gd name="T3" fmla="*/ 667 h 378"/>
                                <a:gd name="T4" fmla="+- 0 1705 1703"/>
                                <a:gd name="T5" fmla="*/ T4 w 1106"/>
                                <a:gd name="T6" fmla="+- 0 667 667"/>
                                <a:gd name="T7" fmla="*/ 667 h 378"/>
                                <a:gd name="T8" fmla="+- 0 1703 1703"/>
                                <a:gd name="T9" fmla="*/ T8 w 1106"/>
                                <a:gd name="T10" fmla="+- 0 681 667"/>
                                <a:gd name="T11" fmla="*/ 681 h 378"/>
                                <a:gd name="T12" fmla="+- 0 1703 1703"/>
                                <a:gd name="T13" fmla="*/ T12 w 1106"/>
                                <a:gd name="T14" fmla="+- 0 1044 667"/>
                                <a:gd name="T15" fmla="*/ 1044 h 378"/>
                                <a:gd name="T16" fmla="+- 0 2807 1703"/>
                                <a:gd name="T17" fmla="*/ T16 w 1106"/>
                                <a:gd name="T18" fmla="+- 0 1044 667"/>
                                <a:gd name="T19" fmla="*/ 1044 h 378"/>
                                <a:gd name="T20" fmla="+- 0 2808 1703"/>
                                <a:gd name="T21" fmla="*/ T20 w 1106"/>
                                <a:gd name="T22" fmla="+- 0 691 667"/>
                                <a:gd name="T23" fmla="*/ 691 h 378"/>
                                <a:gd name="T24" fmla="+- 0 2799 1703"/>
                                <a:gd name="T25" fmla="*/ T24 w 1106"/>
                                <a:gd name="T26" fmla="+- 0 671 667"/>
                                <a:gd name="T27" fmla="*/ 671 h 378"/>
                                <a:gd name="T28" fmla="+- 0 2781 1703"/>
                                <a:gd name="T29" fmla="*/ T28 w 1106"/>
                                <a:gd name="T30" fmla="+- 0 669 667"/>
                                <a:gd name="T31" fmla="*/ 669 h 378"/>
                                <a:gd name="T32" fmla="+- 0 1730 1703"/>
                                <a:gd name="T33" fmla="*/ T32 w 1106"/>
                                <a:gd name="T34" fmla="+- 0 667 667"/>
                                <a:gd name="T35" fmla="*/ 667 h 37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1106" h="378">
                                  <a:moveTo>
                                    <a:pt x="27" y="0"/>
                                  </a:moveTo>
                                  <a:lnTo>
                                    <a:pt x="2" y="0"/>
                                  </a:lnTo>
                                  <a:lnTo>
                                    <a:pt x="0" y="14"/>
                                  </a:lnTo>
                                  <a:lnTo>
                                    <a:pt x="0" y="377"/>
                                  </a:lnTo>
                                  <a:lnTo>
                                    <a:pt x="1104" y="377"/>
                                  </a:lnTo>
                                  <a:lnTo>
                                    <a:pt x="1105" y="24"/>
                                  </a:lnTo>
                                  <a:lnTo>
                                    <a:pt x="1096" y="4"/>
                                  </a:lnTo>
                                  <a:lnTo>
                                    <a:pt x="1078" y="2"/>
                                  </a:lnTo>
                                  <a:lnTo>
                                    <a:pt x="27" y="0"/>
                                  </a:lnTo>
                                  <a:close/>
                                </a:path>
                              </a:pathLst>
                            </a:custGeom>
                            <a:solidFill>
                              <a:srgbClr val="AAB2A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722" name="Group 726"/>
                        <wpg:cNvGrpSpPr>
                          <a:grpSpLocks/>
                        </wpg:cNvGrpSpPr>
                        <wpg:grpSpPr bwMode="auto">
                          <a:xfrm>
                            <a:off x="1701" y="662"/>
                            <a:ext cx="1113" cy="390"/>
                            <a:chOff x="1701" y="662"/>
                            <a:chExt cx="1113" cy="390"/>
                          </a:xfrm>
                        </wpg:grpSpPr>
                        <wps:wsp>
                          <wps:cNvPr id="723" name="Freeform 728"/>
                          <wps:cNvSpPr>
                            <a:spLocks/>
                          </wps:cNvSpPr>
                          <wps:spPr bwMode="auto">
                            <a:xfrm>
                              <a:off x="1701" y="662"/>
                              <a:ext cx="1113" cy="390"/>
                            </a:xfrm>
                            <a:custGeom>
                              <a:avLst/>
                              <a:gdLst>
                                <a:gd name="T0" fmla="+- 0 2804 1701"/>
                                <a:gd name="T1" fmla="*/ T0 w 1113"/>
                                <a:gd name="T2" fmla="+- 0 662 662"/>
                                <a:gd name="T3" fmla="*/ 662 h 390"/>
                                <a:gd name="T4" fmla="+- 0 1710 1701"/>
                                <a:gd name="T5" fmla="*/ T4 w 1113"/>
                                <a:gd name="T6" fmla="+- 0 662 662"/>
                                <a:gd name="T7" fmla="*/ 662 h 390"/>
                                <a:gd name="T8" fmla="+- 0 1701 1701"/>
                                <a:gd name="T9" fmla="*/ T8 w 1113"/>
                                <a:gd name="T10" fmla="+- 0 671 662"/>
                                <a:gd name="T11" fmla="*/ 671 h 390"/>
                                <a:gd name="T12" fmla="+- 0 1701 1701"/>
                                <a:gd name="T13" fmla="*/ T12 w 1113"/>
                                <a:gd name="T14" fmla="+- 0 1049 662"/>
                                <a:gd name="T15" fmla="*/ 1049 h 390"/>
                                <a:gd name="T16" fmla="+- 0 1703 1701"/>
                                <a:gd name="T17" fmla="*/ T16 w 1113"/>
                                <a:gd name="T18" fmla="+- 0 1052 662"/>
                                <a:gd name="T19" fmla="*/ 1052 h 390"/>
                                <a:gd name="T20" fmla="+- 0 2811 1701"/>
                                <a:gd name="T21" fmla="*/ T20 w 1113"/>
                                <a:gd name="T22" fmla="+- 0 1052 662"/>
                                <a:gd name="T23" fmla="*/ 1052 h 390"/>
                                <a:gd name="T24" fmla="+- 0 2813 1701"/>
                                <a:gd name="T25" fmla="*/ T24 w 1113"/>
                                <a:gd name="T26" fmla="+- 0 1049 662"/>
                                <a:gd name="T27" fmla="*/ 1049 h 390"/>
                                <a:gd name="T28" fmla="+- 0 2813 1701"/>
                                <a:gd name="T29" fmla="*/ T28 w 1113"/>
                                <a:gd name="T30" fmla="+- 0 1021 662"/>
                                <a:gd name="T31" fmla="*/ 1021 h 390"/>
                                <a:gd name="T32" fmla="+- 0 1900 1701"/>
                                <a:gd name="T33" fmla="*/ T32 w 1113"/>
                                <a:gd name="T34" fmla="+- 0 1021 662"/>
                                <a:gd name="T35" fmla="*/ 1021 h 390"/>
                                <a:gd name="T36" fmla="+- 0 1877 1701"/>
                                <a:gd name="T37" fmla="*/ T36 w 1113"/>
                                <a:gd name="T38" fmla="+- 0 1020 662"/>
                                <a:gd name="T39" fmla="*/ 1020 h 390"/>
                                <a:gd name="T40" fmla="+- 0 1815 1701"/>
                                <a:gd name="T41" fmla="*/ T40 w 1113"/>
                                <a:gd name="T42" fmla="+- 0 1001 662"/>
                                <a:gd name="T43" fmla="*/ 1001 h 390"/>
                                <a:gd name="T44" fmla="+- 0 1767 1701"/>
                                <a:gd name="T45" fmla="*/ T44 w 1113"/>
                                <a:gd name="T46" fmla="+- 0 964 662"/>
                                <a:gd name="T47" fmla="*/ 964 h 390"/>
                                <a:gd name="T48" fmla="+- 0 1755 1701"/>
                                <a:gd name="T49" fmla="*/ T48 w 1113"/>
                                <a:gd name="T50" fmla="+- 0 948 662"/>
                                <a:gd name="T51" fmla="*/ 948 h 390"/>
                                <a:gd name="T52" fmla="+- 0 1710 1701"/>
                                <a:gd name="T53" fmla="*/ T52 w 1113"/>
                                <a:gd name="T54" fmla="+- 0 936 662"/>
                                <a:gd name="T55" fmla="*/ 936 h 390"/>
                                <a:gd name="T56" fmla="+- 0 1710 1701"/>
                                <a:gd name="T57" fmla="*/ T56 w 1113"/>
                                <a:gd name="T58" fmla="+- 0 677 662"/>
                                <a:gd name="T59" fmla="*/ 677 h 390"/>
                                <a:gd name="T60" fmla="+- 0 1715 1701"/>
                                <a:gd name="T61" fmla="*/ T60 w 1113"/>
                                <a:gd name="T62" fmla="+- 0 672 662"/>
                                <a:gd name="T63" fmla="*/ 672 h 390"/>
                                <a:gd name="T64" fmla="+- 0 2813 1701"/>
                                <a:gd name="T65" fmla="*/ T64 w 1113"/>
                                <a:gd name="T66" fmla="+- 0 672 662"/>
                                <a:gd name="T67" fmla="*/ 672 h 390"/>
                                <a:gd name="T68" fmla="+- 0 2804 1701"/>
                                <a:gd name="T69" fmla="*/ T68 w 1113"/>
                                <a:gd name="T70" fmla="+- 0 662 662"/>
                                <a:gd name="T71" fmla="*/ 662 h 3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Lst>
                              <a:rect l="0" t="0" r="r" b="b"/>
                              <a:pathLst>
                                <a:path w="1113" h="390">
                                  <a:moveTo>
                                    <a:pt x="1103" y="0"/>
                                  </a:moveTo>
                                  <a:lnTo>
                                    <a:pt x="9" y="0"/>
                                  </a:lnTo>
                                  <a:lnTo>
                                    <a:pt x="0" y="9"/>
                                  </a:lnTo>
                                  <a:lnTo>
                                    <a:pt x="0" y="387"/>
                                  </a:lnTo>
                                  <a:lnTo>
                                    <a:pt x="2" y="390"/>
                                  </a:lnTo>
                                  <a:lnTo>
                                    <a:pt x="1110" y="390"/>
                                  </a:lnTo>
                                  <a:lnTo>
                                    <a:pt x="1112" y="387"/>
                                  </a:lnTo>
                                  <a:lnTo>
                                    <a:pt x="1112" y="359"/>
                                  </a:lnTo>
                                  <a:lnTo>
                                    <a:pt x="199" y="359"/>
                                  </a:lnTo>
                                  <a:lnTo>
                                    <a:pt x="176" y="358"/>
                                  </a:lnTo>
                                  <a:lnTo>
                                    <a:pt x="114" y="339"/>
                                  </a:lnTo>
                                  <a:lnTo>
                                    <a:pt x="66" y="302"/>
                                  </a:lnTo>
                                  <a:lnTo>
                                    <a:pt x="54" y="286"/>
                                  </a:lnTo>
                                  <a:lnTo>
                                    <a:pt x="9" y="274"/>
                                  </a:lnTo>
                                  <a:lnTo>
                                    <a:pt x="9" y="15"/>
                                  </a:lnTo>
                                  <a:lnTo>
                                    <a:pt x="14" y="10"/>
                                  </a:lnTo>
                                  <a:lnTo>
                                    <a:pt x="1112" y="10"/>
                                  </a:lnTo>
                                  <a:lnTo>
                                    <a:pt x="1103" y="0"/>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24" name="Freeform 727"/>
                          <wps:cNvSpPr>
                            <a:spLocks/>
                          </wps:cNvSpPr>
                          <wps:spPr bwMode="auto">
                            <a:xfrm>
                              <a:off x="1701" y="662"/>
                              <a:ext cx="1113" cy="390"/>
                            </a:xfrm>
                            <a:custGeom>
                              <a:avLst/>
                              <a:gdLst>
                                <a:gd name="T0" fmla="+- 0 2813 1701"/>
                                <a:gd name="T1" fmla="*/ T0 w 1113"/>
                                <a:gd name="T2" fmla="+- 0 672 662"/>
                                <a:gd name="T3" fmla="*/ 672 h 390"/>
                                <a:gd name="T4" fmla="+- 0 2799 1701"/>
                                <a:gd name="T5" fmla="*/ T4 w 1113"/>
                                <a:gd name="T6" fmla="+- 0 672 662"/>
                                <a:gd name="T7" fmla="*/ 672 h 390"/>
                                <a:gd name="T8" fmla="+- 0 2804 1701"/>
                                <a:gd name="T9" fmla="*/ T8 w 1113"/>
                                <a:gd name="T10" fmla="+- 0 677 662"/>
                                <a:gd name="T11" fmla="*/ 677 h 390"/>
                                <a:gd name="T12" fmla="+- 0 2804 1701"/>
                                <a:gd name="T13" fmla="*/ T12 w 1113"/>
                                <a:gd name="T14" fmla="+- 0 936 662"/>
                                <a:gd name="T15" fmla="*/ 936 h 390"/>
                                <a:gd name="T16" fmla="+- 0 2036 1701"/>
                                <a:gd name="T17" fmla="*/ T16 w 1113"/>
                                <a:gd name="T18" fmla="+- 0 936 662"/>
                                <a:gd name="T19" fmla="*/ 936 h 390"/>
                                <a:gd name="T20" fmla="+- 0 2025 1701"/>
                                <a:gd name="T21" fmla="*/ T20 w 1113"/>
                                <a:gd name="T22" fmla="+- 0 953 662"/>
                                <a:gd name="T23" fmla="*/ 953 h 390"/>
                                <a:gd name="T24" fmla="+- 0 2012 1701"/>
                                <a:gd name="T25" fmla="*/ T24 w 1113"/>
                                <a:gd name="T26" fmla="+- 0 969 662"/>
                                <a:gd name="T27" fmla="*/ 969 h 390"/>
                                <a:gd name="T28" fmla="+- 0 1962 1701"/>
                                <a:gd name="T29" fmla="*/ T28 w 1113"/>
                                <a:gd name="T30" fmla="+- 0 1005 662"/>
                                <a:gd name="T31" fmla="*/ 1005 h 390"/>
                                <a:gd name="T32" fmla="+- 0 1900 1701"/>
                                <a:gd name="T33" fmla="*/ T32 w 1113"/>
                                <a:gd name="T34" fmla="+- 0 1021 662"/>
                                <a:gd name="T35" fmla="*/ 1021 h 390"/>
                                <a:gd name="T36" fmla="+- 0 2813 1701"/>
                                <a:gd name="T37" fmla="*/ T36 w 1113"/>
                                <a:gd name="T38" fmla="+- 0 1021 662"/>
                                <a:gd name="T39" fmla="*/ 1021 h 390"/>
                                <a:gd name="T40" fmla="+- 0 2813 1701"/>
                                <a:gd name="T41" fmla="*/ T40 w 1113"/>
                                <a:gd name="T42" fmla="+- 0 672 662"/>
                                <a:gd name="T43" fmla="*/ 672 h 3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113" h="390">
                                  <a:moveTo>
                                    <a:pt x="1112" y="10"/>
                                  </a:moveTo>
                                  <a:lnTo>
                                    <a:pt x="1098" y="10"/>
                                  </a:lnTo>
                                  <a:lnTo>
                                    <a:pt x="1103" y="15"/>
                                  </a:lnTo>
                                  <a:lnTo>
                                    <a:pt x="1103" y="274"/>
                                  </a:lnTo>
                                  <a:lnTo>
                                    <a:pt x="335" y="274"/>
                                  </a:lnTo>
                                  <a:lnTo>
                                    <a:pt x="324" y="291"/>
                                  </a:lnTo>
                                  <a:lnTo>
                                    <a:pt x="311" y="307"/>
                                  </a:lnTo>
                                  <a:lnTo>
                                    <a:pt x="261" y="343"/>
                                  </a:lnTo>
                                  <a:lnTo>
                                    <a:pt x="199" y="359"/>
                                  </a:lnTo>
                                  <a:lnTo>
                                    <a:pt x="1112" y="359"/>
                                  </a:lnTo>
                                  <a:lnTo>
                                    <a:pt x="1112" y="10"/>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725" name="Group 722"/>
                        <wpg:cNvGrpSpPr>
                          <a:grpSpLocks/>
                        </wpg:cNvGrpSpPr>
                        <wpg:grpSpPr bwMode="auto">
                          <a:xfrm>
                            <a:off x="2356" y="966"/>
                            <a:ext cx="52" cy="62"/>
                            <a:chOff x="2356" y="966"/>
                            <a:chExt cx="52" cy="62"/>
                          </a:xfrm>
                        </wpg:grpSpPr>
                        <wps:wsp>
                          <wps:cNvPr id="726" name="Freeform 725"/>
                          <wps:cNvSpPr>
                            <a:spLocks/>
                          </wps:cNvSpPr>
                          <wps:spPr bwMode="auto">
                            <a:xfrm>
                              <a:off x="2356" y="966"/>
                              <a:ext cx="52" cy="62"/>
                            </a:xfrm>
                            <a:custGeom>
                              <a:avLst/>
                              <a:gdLst>
                                <a:gd name="T0" fmla="+- 0 2388 2356"/>
                                <a:gd name="T1" fmla="*/ T0 w 52"/>
                                <a:gd name="T2" fmla="+- 0 966 966"/>
                                <a:gd name="T3" fmla="*/ 966 h 62"/>
                                <a:gd name="T4" fmla="+- 0 2356 2356"/>
                                <a:gd name="T5" fmla="*/ T4 w 52"/>
                                <a:gd name="T6" fmla="+- 0 966 966"/>
                                <a:gd name="T7" fmla="*/ 966 h 62"/>
                                <a:gd name="T8" fmla="+- 0 2356 2356"/>
                                <a:gd name="T9" fmla="*/ T8 w 52"/>
                                <a:gd name="T10" fmla="+- 0 1027 966"/>
                                <a:gd name="T11" fmla="*/ 1027 h 62"/>
                                <a:gd name="T12" fmla="+- 0 2389 2356"/>
                                <a:gd name="T13" fmla="*/ T12 w 52"/>
                                <a:gd name="T14" fmla="+- 0 1027 966"/>
                                <a:gd name="T15" fmla="*/ 1027 h 62"/>
                                <a:gd name="T16" fmla="+- 0 2391 2356"/>
                                <a:gd name="T17" fmla="*/ T16 w 52"/>
                                <a:gd name="T18" fmla="+- 0 1027 966"/>
                                <a:gd name="T19" fmla="*/ 1027 h 62"/>
                                <a:gd name="T20" fmla="+- 0 2406 2356"/>
                                <a:gd name="T21" fmla="*/ T20 w 52"/>
                                <a:gd name="T22" fmla="+- 0 1017 966"/>
                                <a:gd name="T23" fmla="*/ 1017 h 62"/>
                                <a:gd name="T24" fmla="+- 0 2370 2356"/>
                                <a:gd name="T25" fmla="*/ T24 w 52"/>
                                <a:gd name="T26" fmla="+- 0 1017 966"/>
                                <a:gd name="T27" fmla="*/ 1017 h 62"/>
                                <a:gd name="T28" fmla="+- 0 2370 2356"/>
                                <a:gd name="T29" fmla="*/ T28 w 52"/>
                                <a:gd name="T30" fmla="+- 0 1000 966"/>
                                <a:gd name="T31" fmla="*/ 1000 h 62"/>
                                <a:gd name="T32" fmla="+- 0 2405 2356"/>
                                <a:gd name="T33" fmla="*/ T32 w 52"/>
                                <a:gd name="T34" fmla="+- 0 1000 966"/>
                                <a:gd name="T35" fmla="*/ 1000 h 62"/>
                                <a:gd name="T36" fmla="+- 0 2403 2356"/>
                                <a:gd name="T37" fmla="*/ T36 w 52"/>
                                <a:gd name="T38" fmla="+- 0 997 966"/>
                                <a:gd name="T39" fmla="*/ 997 h 62"/>
                                <a:gd name="T40" fmla="+- 0 2400 2356"/>
                                <a:gd name="T41" fmla="*/ T40 w 52"/>
                                <a:gd name="T42" fmla="+- 0 995 966"/>
                                <a:gd name="T43" fmla="*/ 995 h 62"/>
                                <a:gd name="T44" fmla="+- 0 2396 2356"/>
                                <a:gd name="T45" fmla="*/ T44 w 52"/>
                                <a:gd name="T46" fmla="+- 0 994 966"/>
                                <a:gd name="T47" fmla="*/ 994 h 62"/>
                                <a:gd name="T48" fmla="+- 0 2399 2356"/>
                                <a:gd name="T49" fmla="*/ T48 w 52"/>
                                <a:gd name="T50" fmla="+- 0 992 966"/>
                                <a:gd name="T51" fmla="*/ 992 h 62"/>
                                <a:gd name="T52" fmla="+- 0 2401 2356"/>
                                <a:gd name="T53" fmla="*/ T52 w 52"/>
                                <a:gd name="T54" fmla="+- 0 991 966"/>
                                <a:gd name="T55" fmla="*/ 991 h 62"/>
                                <a:gd name="T56" fmla="+- 0 2370 2356"/>
                                <a:gd name="T57" fmla="*/ T56 w 52"/>
                                <a:gd name="T58" fmla="+- 0 991 966"/>
                                <a:gd name="T59" fmla="*/ 991 h 62"/>
                                <a:gd name="T60" fmla="+- 0 2370 2356"/>
                                <a:gd name="T61" fmla="*/ T60 w 52"/>
                                <a:gd name="T62" fmla="+- 0 976 966"/>
                                <a:gd name="T63" fmla="*/ 976 h 62"/>
                                <a:gd name="T64" fmla="+- 0 2404 2356"/>
                                <a:gd name="T65" fmla="*/ T64 w 52"/>
                                <a:gd name="T66" fmla="+- 0 976 966"/>
                                <a:gd name="T67" fmla="*/ 976 h 62"/>
                                <a:gd name="T68" fmla="+- 0 2404 2356"/>
                                <a:gd name="T69" fmla="*/ T68 w 52"/>
                                <a:gd name="T70" fmla="+- 0 976 966"/>
                                <a:gd name="T71" fmla="*/ 976 h 62"/>
                                <a:gd name="T72" fmla="+- 0 2391 2356"/>
                                <a:gd name="T73" fmla="*/ T72 w 52"/>
                                <a:gd name="T74" fmla="+- 0 966 966"/>
                                <a:gd name="T75" fmla="*/ 966 h 62"/>
                                <a:gd name="T76" fmla="+- 0 2388 2356"/>
                                <a:gd name="T77" fmla="*/ T76 w 52"/>
                                <a:gd name="T78" fmla="+- 0 966 966"/>
                                <a:gd name="T79" fmla="*/ 966 h 6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52" h="62">
                                  <a:moveTo>
                                    <a:pt x="32" y="0"/>
                                  </a:moveTo>
                                  <a:lnTo>
                                    <a:pt x="0" y="0"/>
                                  </a:lnTo>
                                  <a:lnTo>
                                    <a:pt x="0" y="61"/>
                                  </a:lnTo>
                                  <a:lnTo>
                                    <a:pt x="33" y="61"/>
                                  </a:lnTo>
                                  <a:lnTo>
                                    <a:pt x="35" y="61"/>
                                  </a:lnTo>
                                  <a:lnTo>
                                    <a:pt x="50" y="51"/>
                                  </a:lnTo>
                                  <a:lnTo>
                                    <a:pt x="14" y="51"/>
                                  </a:lnTo>
                                  <a:lnTo>
                                    <a:pt x="14" y="34"/>
                                  </a:lnTo>
                                  <a:lnTo>
                                    <a:pt x="49" y="34"/>
                                  </a:lnTo>
                                  <a:lnTo>
                                    <a:pt x="47" y="31"/>
                                  </a:lnTo>
                                  <a:lnTo>
                                    <a:pt x="44" y="29"/>
                                  </a:lnTo>
                                  <a:lnTo>
                                    <a:pt x="40" y="28"/>
                                  </a:lnTo>
                                  <a:lnTo>
                                    <a:pt x="43" y="26"/>
                                  </a:lnTo>
                                  <a:lnTo>
                                    <a:pt x="45" y="25"/>
                                  </a:lnTo>
                                  <a:lnTo>
                                    <a:pt x="14" y="25"/>
                                  </a:lnTo>
                                  <a:lnTo>
                                    <a:pt x="14" y="10"/>
                                  </a:lnTo>
                                  <a:lnTo>
                                    <a:pt x="48" y="10"/>
                                  </a:lnTo>
                                  <a:lnTo>
                                    <a:pt x="35" y="0"/>
                                  </a:lnTo>
                                  <a:lnTo>
                                    <a:pt x="32"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27" name="Freeform 724"/>
                          <wps:cNvSpPr>
                            <a:spLocks/>
                          </wps:cNvSpPr>
                          <wps:spPr bwMode="auto">
                            <a:xfrm>
                              <a:off x="2356" y="966"/>
                              <a:ext cx="52" cy="62"/>
                            </a:xfrm>
                            <a:custGeom>
                              <a:avLst/>
                              <a:gdLst>
                                <a:gd name="T0" fmla="+- 0 2405 2356"/>
                                <a:gd name="T1" fmla="*/ T0 w 52"/>
                                <a:gd name="T2" fmla="+- 0 1000 966"/>
                                <a:gd name="T3" fmla="*/ 1000 h 62"/>
                                <a:gd name="T4" fmla="+- 0 2387 2356"/>
                                <a:gd name="T5" fmla="*/ T4 w 52"/>
                                <a:gd name="T6" fmla="+- 0 1000 966"/>
                                <a:gd name="T7" fmla="*/ 1000 h 62"/>
                                <a:gd name="T8" fmla="+- 0 2390 2356"/>
                                <a:gd name="T9" fmla="*/ T8 w 52"/>
                                <a:gd name="T10" fmla="+- 0 1001 966"/>
                                <a:gd name="T11" fmla="*/ 1001 h 62"/>
                                <a:gd name="T12" fmla="+- 0 2393 2356"/>
                                <a:gd name="T13" fmla="*/ T12 w 52"/>
                                <a:gd name="T14" fmla="+- 0 1003 966"/>
                                <a:gd name="T15" fmla="*/ 1003 h 62"/>
                                <a:gd name="T16" fmla="+- 0 2394 2356"/>
                                <a:gd name="T17" fmla="*/ T16 w 52"/>
                                <a:gd name="T18" fmla="+- 0 1005 966"/>
                                <a:gd name="T19" fmla="*/ 1005 h 62"/>
                                <a:gd name="T20" fmla="+- 0 2394 2356"/>
                                <a:gd name="T21" fmla="*/ T20 w 52"/>
                                <a:gd name="T22" fmla="+- 0 1010 966"/>
                                <a:gd name="T23" fmla="*/ 1010 h 62"/>
                                <a:gd name="T24" fmla="+- 0 2384 2356"/>
                                <a:gd name="T25" fmla="*/ T24 w 52"/>
                                <a:gd name="T26" fmla="+- 0 1017 966"/>
                                <a:gd name="T27" fmla="*/ 1017 h 62"/>
                                <a:gd name="T28" fmla="+- 0 2406 2356"/>
                                <a:gd name="T29" fmla="*/ T28 w 52"/>
                                <a:gd name="T30" fmla="+- 0 1017 966"/>
                                <a:gd name="T31" fmla="*/ 1017 h 62"/>
                                <a:gd name="T32" fmla="+- 0 2407 2356"/>
                                <a:gd name="T33" fmla="*/ T32 w 52"/>
                                <a:gd name="T34" fmla="+- 0 1015 966"/>
                                <a:gd name="T35" fmla="*/ 1015 h 62"/>
                                <a:gd name="T36" fmla="+- 0 2408 2356"/>
                                <a:gd name="T37" fmla="*/ T36 w 52"/>
                                <a:gd name="T38" fmla="+- 0 1012 966"/>
                                <a:gd name="T39" fmla="*/ 1012 h 62"/>
                                <a:gd name="T40" fmla="+- 0 2408 2356"/>
                                <a:gd name="T41" fmla="*/ T40 w 52"/>
                                <a:gd name="T42" fmla="+- 0 1005 966"/>
                                <a:gd name="T43" fmla="*/ 1005 h 62"/>
                                <a:gd name="T44" fmla="+- 0 2407 2356"/>
                                <a:gd name="T45" fmla="*/ T44 w 52"/>
                                <a:gd name="T46" fmla="+- 0 1002 966"/>
                                <a:gd name="T47" fmla="*/ 1002 h 62"/>
                                <a:gd name="T48" fmla="+- 0 2405 2356"/>
                                <a:gd name="T49" fmla="*/ T48 w 52"/>
                                <a:gd name="T50" fmla="+- 0 1000 966"/>
                                <a:gd name="T51" fmla="*/ 1000 h 6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52" h="62">
                                  <a:moveTo>
                                    <a:pt x="49" y="34"/>
                                  </a:moveTo>
                                  <a:lnTo>
                                    <a:pt x="31" y="34"/>
                                  </a:lnTo>
                                  <a:lnTo>
                                    <a:pt x="34" y="35"/>
                                  </a:lnTo>
                                  <a:lnTo>
                                    <a:pt x="37" y="37"/>
                                  </a:lnTo>
                                  <a:lnTo>
                                    <a:pt x="38" y="39"/>
                                  </a:lnTo>
                                  <a:lnTo>
                                    <a:pt x="38" y="44"/>
                                  </a:lnTo>
                                  <a:lnTo>
                                    <a:pt x="28" y="51"/>
                                  </a:lnTo>
                                  <a:lnTo>
                                    <a:pt x="50" y="51"/>
                                  </a:lnTo>
                                  <a:lnTo>
                                    <a:pt x="51" y="49"/>
                                  </a:lnTo>
                                  <a:lnTo>
                                    <a:pt x="52" y="46"/>
                                  </a:lnTo>
                                  <a:lnTo>
                                    <a:pt x="52" y="39"/>
                                  </a:lnTo>
                                  <a:lnTo>
                                    <a:pt x="51" y="36"/>
                                  </a:lnTo>
                                  <a:lnTo>
                                    <a:pt x="49" y="3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28" name="Freeform 723"/>
                          <wps:cNvSpPr>
                            <a:spLocks/>
                          </wps:cNvSpPr>
                          <wps:spPr bwMode="auto">
                            <a:xfrm>
                              <a:off x="2356" y="966"/>
                              <a:ext cx="52" cy="62"/>
                            </a:xfrm>
                            <a:custGeom>
                              <a:avLst/>
                              <a:gdLst>
                                <a:gd name="T0" fmla="+- 0 2404 2356"/>
                                <a:gd name="T1" fmla="*/ T0 w 52"/>
                                <a:gd name="T2" fmla="+- 0 976 966"/>
                                <a:gd name="T3" fmla="*/ 976 h 62"/>
                                <a:gd name="T4" fmla="+- 0 2370 2356"/>
                                <a:gd name="T5" fmla="*/ T4 w 52"/>
                                <a:gd name="T6" fmla="+- 0 976 966"/>
                                <a:gd name="T7" fmla="*/ 976 h 62"/>
                                <a:gd name="T8" fmla="+- 0 2385 2356"/>
                                <a:gd name="T9" fmla="*/ T8 w 52"/>
                                <a:gd name="T10" fmla="+- 0 976 966"/>
                                <a:gd name="T11" fmla="*/ 976 h 62"/>
                                <a:gd name="T12" fmla="+- 0 2387 2356"/>
                                <a:gd name="T13" fmla="*/ T12 w 52"/>
                                <a:gd name="T14" fmla="+- 0 977 966"/>
                                <a:gd name="T15" fmla="*/ 977 h 62"/>
                                <a:gd name="T16" fmla="+- 0 2392 2356"/>
                                <a:gd name="T17" fmla="*/ T16 w 52"/>
                                <a:gd name="T18" fmla="+- 0 982 966"/>
                                <a:gd name="T19" fmla="*/ 982 h 62"/>
                                <a:gd name="T20" fmla="+- 0 2392 2356"/>
                                <a:gd name="T21" fmla="*/ T20 w 52"/>
                                <a:gd name="T22" fmla="+- 0 986 966"/>
                                <a:gd name="T23" fmla="*/ 986 h 62"/>
                                <a:gd name="T24" fmla="+- 0 2391 2356"/>
                                <a:gd name="T25" fmla="*/ T24 w 52"/>
                                <a:gd name="T26" fmla="+- 0 988 966"/>
                                <a:gd name="T27" fmla="*/ 988 h 62"/>
                                <a:gd name="T28" fmla="+- 0 2388 2356"/>
                                <a:gd name="T29" fmla="*/ T28 w 52"/>
                                <a:gd name="T30" fmla="+- 0 990 966"/>
                                <a:gd name="T31" fmla="*/ 990 h 62"/>
                                <a:gd name="T32" fmla="+- 0 2386 2356"/>
                                <a:gd name="T33" fmla="*/ T32 w 52"/>
                                <a:gd name="T34" fmla="+- 0 991 966"/>
                                <a:gd name="T35" fmla="*/ 991 h 62"/>
                                <a:gd name="T36" fmla="+- 0 2401 2356"/>
                                <a:gd name="T37" fmla="*/ T36 w 52"/>
                                <a:gd name="T38" fmla="+- 0 991 966"/>
                                <a:gd name="T39" fmla="*/ 991 h 62"/>
                                <a:gd name="T40" fmla="+- 0 2404 2356"/>
                                <a:gd name="T41" fmla="*/ T40 w 52"/>
                                <a:gd name="T42" fmla="+- 0 987 966"/>
                                <a:gd name="T43" fmla="*/ 987 h 62"/>
                                <a:gd name="T44" fmla="+- 0 2405 2356"/>
                                <a:gd name="T45" fmla="*/ T44 w 52"/>
                                <a:gd name="T46" fmla="+- 0 984 966"/>
                                <a:gd name="T47" fmla="*/ 984 h 62"/>
                                <a:gd name="T48" fmla="+- 0 2405 2356"/>
                                <a:gd name="T49" fmla="*/ T48 w 52"/>
                                <a:gd name="T50" fmla="+- 0 977 966"/>
                                <a:gd name="T51" fmla="*/ 977 h 62"/>
                                <a:gd name="T52" fmla="+- 0 2404 2356"/>
                                <a:gd name="T53" fmla="*/ T52 w 52"/>
                                <a:gd name="T54" fmla="+- 0 976 966"/>
                                <a:gd name="T55" fmla="*/ 976 h 6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52" h="62">
                                  <a:moveTo>
                                    <a:pt x="48" y="10"/>
                                  </a:moveTo>
                                  <a:lnTo>
                                    <a:pt x="14" y="10"/>
                                  </a:lnTo>
                                  <a:lnTo>
                                    <a:pt x="29" y="10"/>
                                  </a:lnTo>
                                  <a:lnTo>
                                    <a:pt x="31" y="11"/>
                                  </a:lnTo>
                                  <a:lnTo>
                                    <a:pt x="36" y="16"/>
                                  </a:lnTo>
                                  <a:lnTo>
                                    <a:pt x="36" y="20"/>
                                  </a:lnTo>
                                  <a:lnTo>
                                    <a:pt x="35" y="22"/>
                                  </a:lnTo>
                                  <a:lnTo>
                                    <a:pt x="32" y="24"/>
                                  </a:lnTo>
                                  <a:lnTo>
                                    <a:pt x="30" y="25"/>
                                  </a:lnTo>
                                  <a:lnTo>
                                    <a:pt x="45" y="25"/>
                                  </a:lnTo>
                                  <a:lnTo>
                                    <a:pt x="48" y="21"/>
                                  </a:lnTo>
                                  <a:lnTo>
                                    <a:pt x="49" y="18"/>
                                  </a:lnTo>
                                  <a:lnTo>
                                    <a:pt x="49" y="11"/>
                                  </a:lnTo>
                                  <a:lnTo>
                                    <a:pt x="48" y="1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729" name="Group 719"/>
                        <wpg:cNvGrpSpPr>
                          <a:grpSpLocks/>
                        </wpg:cNvGrpSpPr>
                        <wpg:grpSpPr bwMode="auto">
                          <a:xfrm>
                            <a:off x="2410" y="966"/>
                            <a:ext cx="59" cy="62"/>
                            <a:chOff x="2410" y="966"/>
                            <a:chExt cx="59" cy="62"/>
                          </a:xfrm>
                        </wpg:grpSpPr>
                        <wps:wsp>
                          <wps:cNvPr id="730" name="Freeform 721"/>
                          <wps:cNvSpPr>
                            <a:spLocks/>
                          </wps:cNvSpPr>
                          <wps:spPr bwMode="auto">
                            <a:xfrm>
                              <a:off x="2410" y="966"/>
                              <a:ext cx="59" cy="62"/>
                            </a:xfrm>
                            <a:custGeom>
                              <a:avLst/>
                              <a:gdLst>
                                <a:gd name="T0" fmla="+- 0 2425 2410"/>
                                <a:gd name="T1" fmla="*/ T0 w 59"/>
                                <a:gd name="T2" fmla="+- 0 966 966"/>
                                <a:gd name="T3" fmla="*/ 966 h 62"/>
                                <a:gd name="T4" fmla="+- 0 2410 2410"/>
                                <a:gd name="T5" fmla="*/ T4 w 59"/>
                                <a:gd name="T6" fmla="+- 0 966 966"/>
                                <a:gd name="T7" fmla="*/ 966 h 62"/>
                                <a:gd name="T8" fmla="+- 0 2433 2410"/>
                                <a:gd name="T9" fmla="*/ T8 w 59"/>
                                <a:gd name="T10" fmla="+- 0 1003 966"/>
                                <a:gd name="T11" fmla="*/ 1003 h 62"/>
                                <a:gd name="T12" fmla="+- 0 2433 2410"/>
                                <a:gd name="T13" fmla="*/ T12 w 59"/>
                                <a:gd name="T14" fmla="+- 0 1027 966"/>
                                <a:gd name="T15" fmla="*/ 1027 h 62"/>
                                <a:gd name="T16" fmla="+- 0 2446 2410"/>
                                <a:gd name="T17" fmla="*/ T16 w 59"/>
                                <a:gd name="T18" fmla="+- 0 1027 966"/>
                                <a:gd name="T19" fmla="*/ 1027 h 62"/>
                                <a:gd name="T20" fmla="+- 0 2446 2410"/>
                                <a:gd name="T21" fmla="*/ T20 w 59"/>
                                <a:gd name="T22" fmla="+- 0 1004 966"/>
                                <a:gd name="T23" fmla="*/ 1004 h 62"/>
                                <a:gd name="T24" fmla="+- 0 2454 2410"/>
                                <a:gd name="T25" fmla="*/ T24 w 59"/>
                                <a:gd name="T26" fmla="+- 0 990 966"/>
                                <a:gd name="T27" fmla="*/ 990 h 62"/>
                                <a:gd name="T28" fmla="+- 0 2440 2410"/>
                                <a:gd name="T29" fmla="*/ T28 w 59"/>
                                <a:gd name="T30" fmla="+- 0 990 966"/>
                                <a:gd name="T31" fmla="*/ 990 h 62"/>
                                <a:gd name="T32" fmla="+- 0 2425 2410"/>
                                <a:gd name="T33" fmla="*/ T32 w 59"/>
                                <a:gd name="T34" fmla="+- 0 966 966"/>
                                <a:gd name="T35" fmla="*/ 966 h 6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59" h="62">
                                  <a:moveTo>
                                    <a:pt x="15" y="0"/>
                                  </a:moveTo>
                                  <a:lnTo>
                                    <a:pt x="0" y="0"/>
                                  </a:lnTo>
                                  <a:lnTo>
                                    <a:pt x="23" y="37"/>
                                  </a:lnTo>
                                  <a:lnTo>
                                    <a:pt x="23" y="61"/>
                                  </a:lnTo>
                                  <a:lnTo>
                                    <a:pt x="36" y="61"/>
                                  </a:lnTo>
                                  <a:lnTo>
                                    <a:pt x="36" y="38"/>
                                  </a:lnTo>
                                  <a:lnTo>
                                    <a:pt x="44" y="24"/>
                                  </a:lnTo>
                                  <a:lnTo>
                                    <a:pt x="30" y="24"/>
                                  </a:lnTo>
                                  <a:lnTo>
                                    <a:pt x="15"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31" name="Freeform 720"/>
                          <wps:cNvSpPr>
                            <a:spLocks/>
                          </wps:cNvSpPr>
                          <wps:spPr bwMode="auto">
                            <a:xfrm>
                              <a:off x="2410" y="966"/>
                              <a:ext cx="59" cy="62"/>
                            </a:xfrm>
                            <a:custGeom>
                              <a:avLst/>
                              <a:gdLst>
                                <a:gd name="T0" fmla="+- 0 2469 2410"/>
                                <a:gd name="T1" fmla="*/ T0 w 59"/>
                                <a:gd name="T2" fmla="+- 0 966 966"/>
                                <a:gd name="T3" fmla="*/ 966 h 62"/>
                                <a:gd name="T4" fmla="+- 0 2454 2410"/>
                                <a:gd name="T5" fmla="*/ T4 w 59"/>
                                <a:gd name="T6" fmla="+- 0 966 966"/>
                                <a:gd name="T7" fmla="*/ 966 h 62"/>
                                <a:gd name="T8" fmla="+- 0 2440 2410"/>
                                <a:gd name="T9" fmla="*/ T8 w 59"/>
                                <a:gd name="T10" fmla="+- 0 990 966"/>
                                <a:gd name="T11" fmla="*/ 990 h 62"/>
                                <a:gd name="T12" fmla="+- 0 2454 2410"/>
                                <a:gd name="T13" fmla="*/ T12 w 59"/>
                                <a:gd name="T14" fmla="+- 0 990 966"/>
                                <a:gd name="T15" fmla="*/ 990 h 62"/>
                                <a:gd name="T16" fmla="+- 0 2469 2410"/>
                                <a:gd name="T17" fmla="*/ T16 w 59"/>
                                <a:gd name="T18" fmla="+- 0 966 966"/>
                                <a:gd name="T19" fmla="*/ 966 h 62"/>
                              </a:gdLst>
                              <a:ahLst/>
                              <a:cxnLst>
                                <a:cxn ang="0">
                                  <a:pos x="T1" y="T3"/>
                                </a:cxn>
                                <a:cxn ang="0">
                                  <a:pos x="T5" y="T7"/>
                                </a:cxn>
                                <a:cxn ang="0">
                                  <a:pos x="T9" y="T11"/>
                                </a:cxn>
                                <a:cxn ang="0">
                                  <a:pos x="T13" y="T15"/>
                                </a:cxn>
                                <a:cxn ang="0">
                                  <a:pos x="T17" y="T19"/>
                                </a:cxn>
                              </a:cxnLst>
                              <a:rect l="0" t="0" r="r" b="b"/>
                              <a:pathLst>
                                <a:path w="59" h="62">
                                  <a:moveTo>
                                    <a:pt x="59" y="0"/>
                                  </a:moveTo>
                                  <a:lnTo>
                                    <a:pt x="44" y="0"/>
                                  </a:lnTo>
                                  <a:lnTo>
                                    <a:pt x="30" y="24"/>
                                  </a:lnTo>
                                  <a:lnTo>
                                    <a:pt x="44" y="24"/>
                                  </a:lnTo>
                                  <a:lnTo>
                                    <a:pt x="59"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732" name="Group 717"/>
                        <wpg:cNvGrpSpPr>
                          <a:grpSpLocks/>
                        </wpg:cNvGrpSpPr>
                        <wpg:grpSpPr bwMode="auto">
                          <a:xfrm>
                            <a:off x="1766" y="719"/>
                            <a:ext cx="253" cy="250"/>
                            <a:chOff x="1766" y="719"/>
                            <a:chExt cx="253" cy="250"/>
                          </a:xfrm>
                        </wpg:grpSpPr>
                        <wps:wsp>
                          <wps:cNvPr id="733" name="Freeform 718"/>
                          <wps:cNvSpPr>
                            <a:spLocks/>
                          </wps:cNvSpPr>
                          <wps:spPr bwMode="auto">
                            <a:xfrm>
                              <a:off x="1766" y="719"/>
                              <a:ext cx="253" cy="250"/>
                            </a:xfrm>
                            <a:custGeom>
                              <a:avLst/>
                              <a:gdLst>
                                <a:gd name="T0" fmla="+- 0 1870 1766"/>
                                <a:gd name="T1" fmla="*/ T0 w 253"/>
                                <a:gd name="T2" fmla="+- 0 719 719"/>
                                <a:gd name="T3" fmla="*/ 719 h 250"/>
                                <a:gd name="T4" fmla="+- 0 1811 1766"/>
                                <a:gd name="T5" fmla="*/ T4 w 253"/>
                                <a:gd name="T6" fmla="+- 0 747 719"/>
                                <a:gd name="T7" fmla="*/ 747 h 250"/>
                                <a:gd name="T8" fmla="+- 0 1774 1766"/>
                                <a:gd name="T9" fmla="*/ T8 w 253"/>
                                <a:gd name="T10" fmla="+- 0 800 719"/>
                                <a:gd name="T11" fmla="*/ 800 h 250"/>
                                <a:gd name="T12" fmla="+- 0 1766 1766"/>
                                <a:gd name="T13" fmla="*/ T12 w 253"/>
                                <a:gd name="T14" fmla="+- 0 844 719"/>
                                <a:gd name="T15" fmla="*/ 844 h 250"/>
                                <a:gd name="T16" fmla="+- 0 1767 1766"/>
                                <a:gd name="T17" fmla="*/ T16 w 253"/>
                                <a:gd name="T18" fmla="+- 0 861 719"/>
                                <a:gd name="T19" fmla="*/ 861 h 250"/>
                                <a:gd name="T20" fmla="+- 0 1790 1766"/>
                                <a:gd name="T21" fmla="*/ T20 w 253"/>
                                <a:gd name="T22" fmla="+- 0 917 719"/>
                                <a:gd name="T23" fmla="*/ 917 h 250"/>
                                <a:gd name="T24" fmla="+- 0 1840 1766"/>
                                <a:gd name="T25" fmla="*/ T24 w 253"/>
                                <a:gd name="T26" fmla="+- 0 955 719"/>
                                <a:gd name="T27" fmla="*/ 955 h 250"/>
                                <a:gd name="T28" fmla="+- 0 1914 1766"/>
                                <a:gd name="T29" fmla="*/ T28 w 253"/>
                                <a:gd name="T30" fmla="+- 0 969 719"/>
                                <a:gd name="T31" fmla="*/ 969 h 250"/>
                                <a:gd name="T32" fmla="+- 0 1935 1766"/>
                                <a:gd name="T33" fmla="*/ T32 w 253"/>
                                <a:gd name="T34" fmla="+- 0 963 719"/>
                                <a:gd name="T35" fmla="*/ 963 h 250"/>
                                <a:gd name="T36" fmla="+- 0 1988 1766"/>
                                <a:gd name="T37" fmla="*/ T36 w 253"/>
                                <a:gd name="T38" fmla="+- 0 926 719"/>
                                <a:gd name="T39" fmla="*/ 926 h 250"/>
                                <a:gd name="T40" fmla="+- 0 2016 1766"/>
                                <a:gd name="T41" fmla="*/ T40 w 253"/>
                                <a:gd name="T42" fmla="+- 0 867 719"/>
                                <a:gd name="T43" fmla="*/ 867 h 250"/>
                                <a:gd name="T44" fmla="+- 0 2018 1766"/>
                                <a:gd name="T45" fmla="*/ T44 w 253"/>
                                <a:gd name="T46" fmla="+- 0 844 719"/>
                                <a:gd name="T47" fmla="*/ 844 h 250"/>
                                <a:gd name="T48" fmla="+- 0 2017 1766"/>
                                <a:gd name="T49" fmla="*/ T48 w 253"/>
                                <a:gd name="T50" fmla="+- 0 827 719"/>
                                <a:gd name="T51" fmla="*/ 827 h 250"/>
                                <a:gd name="T52" fmla="+- 0 1994 1766"/>
                                <a:gd name="T53" fmla="*/ T52 w 253"/>
                                <a:gd name="T54" fmla="+- 0 771 719"/>
                                <a:gd name="T55" fmla="*/ 771 h 250"/>
                                <a:gd name="T56" fmla="+- 0 1944 1766"/>
                                <a:gd name="T57" fmla="*/ T56 w 253"/>
                                <a:gd name="T58" fmla="+- 0 733 719"/>
                                <a:gd name="T59" fmla="*/ 733 h 250"/>
                                <a:gd name="T60" fmla="+- 0 1870 1766"/>
                                <a:gd name="T61" fmla="*/ T60 w 253"/>
                                <a:gd name="T62" fmla="+- 0 719 719"/>
                                <a:gd name="T63" fmla="*/ 719 h 25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253" h="250">
                                  <a:moveTo>
                                    <a:pt x="104" y="0"/>
                                  </a:moveTo>
                                  <a:lnTo>
                                    <a:pt x="45" y="28"/>
                                  </a:lnTo>
                                  <a:lnTo>
                                    <a:pt x="8" y="81"/>
                                  </a:lnTo>
                                  <a:lnTo>
                                    <a:pt x="0" y="125"/>
                                  </a:lnTo>
                                  <a:lnTo>
                                    <a:pt x="1" y="142"/>
                                  </a:lnTo>
                                  <a:lnTo>
                                    <a:pt x="24" y="198"/>
                                  </a:lnTo>
                                  <a:lnTo>
                                    <a:pt x="74" y="236"/>
                                  </a:lnTo>
                                  <a:lnTo>
                                    <a:pt x="148" y="250"/>
                                  </a:lnTo>
                                  <a:lnTo>
                                    <a:pt x="169" y="244"/>
                                  </a:lnTo>
                                  <a:lnTo>
                                    <a:pt x="222" y="207"/>
                                  </a:lnTo>
                                  <a:lnTo>
                                    <a:pt x="250" y="148"/>
                                  </a:lnTo>
                                  <a:lnTo>
                                    <a:pt x="252" y="125"/>
                                  </a:lnTo>
                                  <a:lnTo>
                                    <a:pt x="251" y="108"/>
                                  </a:lnTo>
                                  <a:lnTo>
                                    <a:pt x="228" y="52"/>
                                  </a:lnTo>
                                  <a:lnTo>
                                    <a:pt x="178" y="14"/>
                                  </a:lnTo>
                                  <a:lnTo>
                                    <a:pt x="104"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734" name="Group 708"/>
                        <wpg:cNvGrpSpPr>
                          <a:grpSpLocks/>
                        </wpg:cNvGrpSpPr>
                        <wpg:grpSpPr bwMode="auto">
                          <a:xfrm>
                            <a:off x="1748" y="700"/>
                            <a:ext cx="289" cy="289"/>
                            <a:chOff x="1748" y="700"/>
                            <a:chExt cx="289" cy="289"/>
                          </a:xfrm>
                        </wpg:grpSpPr>
                        <wps:wsp>
                          <wps:cNvPr id="735" name="Freeform 716"/>
                          <wps:cNvSpPr>
                            <a:spLocks/>
                          </wps:cNvSpPr>
                          <wps:spPr bwMode="auto">
                            <a:xfrm>
                              <a:off x="1748" y="700"/>
                              <a:ext cx="289" cy="289"/>
                            </a:xfrm>
                            <a:custGeom>
                              <a:avLst/>
                              <a:gdLst>
                                <a:gd name="T0" fmla="+- 0 1876 1748"/>
                                <a:gd name="T1" fmla="*/ T0 w 289"/>
                                <a:gd name="T2" fmla="+- 0 700 700"/>
                                <a:gd name="T3" fmla="*/ 700 h 289"/>
                                <a:gd name="T4" fmla="+- 0 1803 1748"/>
                                <a:gd name="T5" fmla="*/ T4 w 289"/>
                                <a:gd name="T6" fmla="+- 0 730 700"/>
                                <a:gd name="T7" fmla="*/ 730 h 289"/>
                                <a:gd name="T8" fmla="+- 0 1757 1748"/>
                                <a:gd name="T9" fmla="*/ T8 w 289"/>
                                <a:gd name="T10" fmla="+- 0 793 700"/>
                                <a:gd name="T11" fmla="*/ 793 h 289"/>
                                <a:gd name="T12" fmla="+- 0 1748 1748"/>
                                <a:gd name="T13" fmla="*/ T12 w 289"/>
                                <a:gd name="T14" fmla="+- 0 858 700"/>
                                <a:gd name="T15" fmla="*/ 858 h 289"/>
                                <a:gd name="T16" fmla="+- 0 1751 1748"/>
                                <a:gd name="T17" fmla="*/ T16 w 289"/>
                                <a:gd name="T18" fmla="+- 0 877 700"/>
                                <a:gd name="T19" fmla="*/ 877 h 289"/>
                                <a:gd name="T20" fmla="+- 0 1778 1748"/>
                                <a:gd name="T21" fmla="*/ T20 w 289"/>
                                <a:gd name="T22" fmla="+- 0 932 700"/>
                                <a:gd name="T23" fmla="*/ 932 h 289"/>
                                <a:gd name="T24" fmla="+- 0 1840 1748"/>
                                <a:gd name="T25" fmla="*/ T24 w 289"/>
                                <a:gd name="T26" fmla="+- 0 979 700"/>
                                <a:gd name="T27" fmla="*/ 979 h 289"/>
                                <a:gd name="T28" fmla="+- 0 1906 1748"/>
                                <a:gd name="T29" fmla="*/ T28 w 289"/>
                                <a:gd name="T30" fmla="+- 0 988 700"/>
                                <a:gd name="T31" fmla="*/ 988 h 289"/>
                                <a:gd name="T32" fmla="+- 0 1926 1748"/>
                                <a:gd name="T33" fmla="*/ T32 w 289"/>
                                <a:gd name="T34" fmla="+- 0 985 700"/>
                                <a:gd name="T35" fmla="*/ 985 h 289"/>
                                <a:gd name="T36" fmla="+- 0 1945 1748"/>
                                <a:gd name="T37" fmla="*/ T36 w 289"/>
                                <a:gd name="T38" fmla="+- 0 979 700"/>
                                <a:gd name="T39" fmla="*/ 979 h 289"/>
                                <a:gd name="T40" fmla="+- 0 1963 1748"/>
                                <a:gd name="T41" fmla="*/ T40 w 289"/>
                                <a:gd name="T42" fmla="+- 0 971 700"/>
                                <a:gd name="T43" fmla="*/ 971 h 289"/>
                                <a:gd name="T44" fmla="+- 0 1976 1748"/>
                                <a:gd name="T45" fmla="*/ T44 w 289"/>
                                <a:gd name="T46" fmla="+- 0 962 700"/>
                                <a:gd name="T47" fmla="*/ 962 h 289"/>
                                <a:gd name="T48" fmla="+- 0 1879 1748"/>
                                <a:gd name="T49" fmla="*/ T48 w 289"/>
                                <a:gd name="T50" fmla="+- 0 962 700"/>
                                <a:gd name="T51" fmla="*/ 962 h 289"/>
                                <a:gd name="T52" fmla="+- 0 1860 1748"/>
                                <a:gd name="T53" fmla="*/ T52 w 289"/>
                                <a:gd name="T54" fmla="+- 0 958 700"/>
                                <a:gd name="T55" fmla="*/ 958 h 289"/>
                                <a:gd name="T56" fmla="+- 0 1807 1748"/>
                                <a:gd name="T57" fmla="*/ T56 w 289"/>
                                <a:gd name="T58" fmla="+- 0 926 700"/>
                                <a:gd name="T59" fmla="*/ 926 h 289"/>
                                <a:gd name="T60" fmla="+- 0 1775 1748"/>
                                <a:gd name="T61" fmla="*/ T60 w 289"/>
                                <a:gd name="T62" fmla="+- 0 856 700"/>
                                <a:gd name="T63" fmla="*/ 856 h 289"/>
                                <a:gd name="T64" fmla="+- 0 1774 1748"/>
                                <a:gd name="T65" fmla="*/ T64 w 289"/>
                                <a:gd name="T66" fmla="+- 0 832 700"/>
                                <a:gd name="T67" fmla="*/ 832 h 289"/>
                                <a:gd name="T68" fmla="+- 0 1777 1748"/>
                                <a:gd name="T69" fmla="*/ T68 w 289"/>
                                <a:gd name="T70" fmla="+- 0 812 700"/>
                                <a:gd name="T71" fmla="*/ 812 h 289"/>
                                <a:gd name="T72" fmla="+- 0 1809 1748"/>
                                <a:gd name="T73" fmla="*/ T72 w 289"/>
                                <a:gd name="T74" fmla="+- 0 760 700"/>
                                <a:gd name="T75" fmla="*/ 760 h 289"/>
                                <a:gd name="T76" fmla="+- 0 1882 1748"/>
                                <a:gd name="T77" fmla="*/ T76 w 289"/>
                                <a:gd name="T78" fmla="+- 0 727 700"/>
                                <a:gd name="T79" fmla="*/ 727 h 289"/>
                                <a:gd name="T80" fmla="+- 0 1907 1748"/>
                                <a:gd name="T81" fmla="*/ T80 w 289"/>
                                <a:gd name="T82" fmla="+- 0 726 700"/>
                                <a:gd name="T83" fmla="*/ 726 h 289"/>
                                <a:gd name="T84" fmla="+- 0 1977 1748"/>
                                <a:gd name="T85" fmla="*/ T84 w 289"/>
                                <a:gd name="T86" fmla="+- 0 726 700"/>
                                <a:gd name="T87" fmla="*/ 726 h 289"/>
                                <a:gd name="T88" fmla="+- 0 1977 1748"/>
                                <a:gd name="T89" fmla="*/ T88 w 289"/>
                                <a:gd name="T90" fmla="+- 0 726 700"/>
                                <a:gd name="T91" fmla="*/ 726 h 289"/>
                                <a:gd name="T92" fmla="+- 0 1961 1748"/>
                                <a:gd name="T93" fmla="*/ T92 w 289"/>
                                <a:gd name="T94" fmla="+- 0 716 700"/>
                                <a:gd name="T95" fmla="*/ 716 h 289"/>
                                <a:gd name="T96" fmla="+- 0 1943 1748"/>
                                <a:gd name="T97" fmla="*/ T96 w 289"/>
                                <a:gd name="T98" fmla="+- 0 709 700"/>
                                <a:gd name="T99" fmla="*/ 709 h 289"/>
                                <a:gd name="T100" fmla="+- 0 1924 1748"/>
                                <a:gd name="T101" fmla="*/ T100 w 289"/>
                                <a:gd name="T102" fmla="+- 0 703 700"/>
                                <a:gd name="T103" fmla="*/ 703 h 289"/>
                                <a:gd name="T104" fmla="+- 0 1902 1748"/>
                                <a:gd name="T105" fmla="*/ T104 w 289"/>
                                <a:gd name="T106" fmla="+- 0 700 700"/>
                                <a:gd name="T107" fmla="*/ 700 h 289"/>
                                <a:gd name="T108" fmla="+- 0 1876 1748"/>
                                <a:gd name="T109" fmla="*/ T108 w 289"/>
                                <a:gd name="T110" fmla="+- 0 700 700"/>
                                <a:gd name="T111" fmla="*/ 700 h 28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Lst>
                              <a:rect l="0" t="0" r="r" b="b"/>
                              <a:pathLst>
                                <a:path w="289" h="289">
                                  <a:moveTo>
                                    <a:pt x="128" y="0"/>
                                  </a:moveTo>
                                  <a:lnTo>
                                    <a:pt x="55" y="30"/>
                                  </a:lnTo>
                                  <a:lnTo>
                                    <a:pt x="9" y="93"/>
                                  </a:lnTo>
                                  <a:lnTo>
                                    <a:pt x="0" y="158"/>
                                  </a:lnTo>
                                  <a:lnTo>
                                    <a:pt x="3" y="177"/>
                                  </a:lnTo>
                                  <a:lnTo>
                                    <a:pt x="30" y="232"/>
                                  </a:lnTo>
                                  <a:lnTo>
                                    <a:pt x="92" y="279"/>
                                  </a:lnTo>
                                  <a:lnTo>
                                    <a:pt x="158" y="288"/>
                                  </a:lnTo>
                                  <a:lnTo>
                                    <a:pt x="178" y="285"/>
                                  </a:lnTo>
                                  <a:lnTo>
                                    <a:pt x="197" y="279"/>
                                  </a:lnTo>
                                  <a:lnTo>
                                    <a:pt x="215" y="271"/>
                                  </a:lnTo>
                                  <a:lnTo>
                                    <a:pt x="228" y="262"/>
                                  </a:lnTo>
                                  <a:lnTo>
                                    <a:pt x="131" y="262"/>
                                  </a:lnTo>
                                  <a:lnTo>
                                    <a:pt x="112" y="258"/>
                                  </a:lnTo>
                                  <a:lnTo>
                                    <a:pt x="59" y="226"/>
                                  </a:lnTo>
                                  <a:lnTo>
                                    <a:pt x="27" y="156"/>
                                  </a:lnTo>
                                  <a:lnTo>
                                    <a:pt x="26" y="132"/>
                                  </a:lnTo>
                                  <a:lnTo>
                                    <a:pt x="29" y="112"/>
                                  </a:lnTo>
                                  <a:lnTo>
                                    <a:pt x="61" y="60"/>
                                  </a:lnTo>
                                  <a:lnTo>
                                    <a:pt x="134" y="27"/>
                                  </a:lnTo>
                                  <a:lnTo>
                                    <a:pt x="159" y="26"/>
                                  </a:lnTo>
                                  <a:lnTo>
                                    <a:pt x="229" y="26"/>
                                  </a:lnTo>
                                  <a:lnTo>
                                    <a:pt x="213" y="16"/>
                                  </a:lnTo>
                                  <a:lnTo>
                                    <a:pt x="195" y="9"/>
                                  </a:lnTo>
                                  <a:lnTo>
                                    <a:pt x="176" y="3"/>
                                  </a:lnTo>
                                  <a:lnTo>
                                    <a:pt x="154" y="0"/>
                                  </a:lnTo>
                                  <a:lnTo>
                                    <a:pt x="128" y="0"/>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36" name="Freeform 715"/>
                          <wps:cNvSpPr>
                            <a:spLocks/>
                          </wps:cNvSpPr>
                          <wps:spPr bwMode="auto">
                            <a:xfrm>
                              <a:off x="1748" y="700"/>
                              <a:ext cx="289" cy="289"/>
                            </a:xfrm>
                            <a:custGeom>
                              <a:avLst/>
                              <a:gdLst>
                                <a:gd name="T0" fmla="+- 0 1977 1748"/>
                                <a:gd name="T1" fmla="*/ T0 w 289"/>
                                <a:gd name="T2" fmla="+- 0 726 700"/>
                                <a:gd name="T3" fmla="*/ 726 h 289"/>
                                <a:gd name="T4" fmla="+- 0 1907 1748"/>
                                <a:gd name="T5" fmla="*/ T4 w 289"/>
                                <a:gd name="T6" fmla="+- 0 726 700"/>
                                <a:gd name="T7" fmla="*/ 726 h 289"/>
                                <a:gd name="T8" fmla="+- 0 1926 1748"/>
                                <a:gd name="T9" fmla="*/ T8 w 289"/>
                                <a:gd name="T10" fmla="+- 0 730 700"/>
                                <a:gd name="T11" fmla="*/ 730 h 289"/>
                                <a:gd name="T12" fmla="+- 0 1945 1748"/>
                                <a:gd name="T13" fmla="*/ T12 w 289"/>
                                <a:gd name="T14" fmla="+- 0 737 700"/>
                                <a:gd name="T15" fmla="*/ 737 h 289"/>
                                <a:gd name="T16" fmla="+- 0 1990 1748"/>
                                <a:gd name="T17" fmla="*/ T16 w 289"/>
                                <a:gd name="T18" fmla="+- 0 777 700"/>
                                <a:gd name="T19" fmla="*/ 777 h 289"/>
                                <a:gd name="T20" fmla="+- 0 2009 1748"/>
                                <a:gd name="T21" fmla="*/ T20 w 289"/>
                                <a:gd name="T22" fmla="+- 0 834 700"/>
                                <a:gd name="T23" fmla="*/ 834 h 289"/>
                                <a:gd name="T24" fmla="+- 0 2010 1748"/>
                                <a:gd name="T25" fmla="*/ T24 w 289"/>
                                <a:gd name="T26" fmla="+- 0 856 700"/>
                                <a:gd name="T27" fmla="*/ 856 h 289"/>
                                <a:gd name="T28" fmla="+- 0 2010 1748"/>
                                <a:gd name="T29" fmla="*/ T28 w 289"/>
                                <a:gd name="T30" fmla="+- 0 858 700"/>
                                <a:gd name="T31" fmla="*/ 858 h 289"/>
                                <a:gd name="T32" fmla="+- 0 1974 1748"/>
                                <a:gd name="T33" fmla="*/ T32 w 289"/>
                                <a:gd name="T34" fmla="+- 0 930 700"/>
                                <a:gd name="T35" fmla="*/ 930 h 289"/>
                                <a:gd name="T36" fmla="+- 0 1904 1748"/>
                                <a:gd name="T37" fmla="*/ T36 w 289"/>
                                <a:gd name="T38" fmla="+- 0 961 700"/>
                                <a:gd name="T39" fmla="*/ 961 h 289"/>
                                <a:gd name="T40" fmla="+- 0 1879 1748"/>
                                <a:gd name="T41" fmla="*/ T40 w 289"/>
                                <a:gd name="T42" fmla="+- 0 962 700"/>
                                <a:gd name="T43" fmla="*/ 962 h 289"/>
                                <a:gd name="T44" fmla="+- 0 1976 1748"/>
                                <a:gd name="T45" fmla="*/ T44 w 289"/>
                                <a:gd name="T46" fmla="+- 0 962 700"/>
                                <a:gd name="T47" fmla="*/ 962 h 289"/>
                                <a:gd name="T48" fmla="+- 0 2019 1748"/>
                                <a:gd name="T49" fmla="*/ T48 w 289"/>
                                <a:gd name="T50" fmla="+- 0 915 700"/>
                                <a:gd name="T51" fmla="*/ 915 h 289"/>
                                <a:gd name="T52" fmla="+- 0 2035 1748"/>
                                <a:gd name="T53" fmla="*/ T52 w 289"/>
                                <a:gd name="T54" fmla="+- 0 856 700"/>
                                <a:gd name="T55" fmla="*/ 856 h 289"/>
                                <a:gd name="T56" fmla="+- 0 2036 1748"/>
                                <a:gd name="T57" fmla="*/ T56 w 289"/>
                                <a:gd name="T58" fmla="+- 0 832 700"/>
                                <a:gd name="T59" fmla="*/ 832 h 289"/>
                                <a:gd name="T60" fmla="+- 0 2033 1748"/>
                                <a:gd name="T61" fmla="*/ T60 w 289"/>
                                <a:gd name="T62" fmla="+- 0 811 700"/>
                                <a:gd name="T63" fmla="*/ 811 h 289"/>
                                <a:gd name="T64" fmla="+- 0 1995 1748"/>
                                <a:gd name="T65" fmla="*/ T64 w 289"/>
                                <a:gd name="T66" fmla="+- 0 741 700"/>
                                <a:gd name="T67" fmla="*/ 741 h 289"/>
                                <a:gd name="T68" fmla="+- 0 1991 1748"/>
                                <a:gd name="T69" fmla="*/ T68 w 289"/>
                                <a:gd name="T70" fmla="+- 0 737 700"/>
                                <a:gd name="T71" fmla="*/ 737 h 289"/>
                                <a:gd name="T72" fmla="+- 0 1977 1748"/>
                                <a:gd name="T73" fmla="*/ T72 w 289"/>
                                <a:gd name="T74" fmla="+- 0 726 700"/>
                                <a:gd name="T75" fmla="*/ 726 h 28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289" h="289">
                                  <a:moveTo>
                                    <a:pt x="229" y="26"/>
                                  </a:moveTo>
                                  <a:lnTo>
                                    <a:pt x="159" y="26"/>
                                  </a:lnTo>
                                  <a:lnTo>
                                    <a:pt x="178" y="30"/>
                                  </a:lnTo>
                                  <a:lnTo>
                                    <a:pt x="197" y="37"/>
                                  </a:lnTo>
                                  <a:lnTo>
                                    <a:pt x="242" y="77"/>
                                  </a:lnTo>
                                  <a:lnTo>
                                    <a:pt x="261" y="134"/>
                                  </a:lnTo>
                                  <a:lnTo>
                                    <a:pt x="262" y="156"/>
                                  </a:lnTo>
                                  <a:lnTo>
                                    <a:pt x="262" y="158"/>
                                  </a:lnTo>
                                  <a:lnTo>
                                    <a:pt x="226" y="230"/>
                                  </a:lnTo>
                                  <a:lnTo>
                                    <a:pt x="156" y="261"/>
                                  </a:lnTo>
                                  <a:lnTo>
                                    <a:pt x="131" y="262"/>
                                  </a:lnTo>
                                  <a:lnTo>
                                    <a:pt x="228" y="262"/>
                                  </a:lnTo>
                                  <a:lnTo>
                                    <a:pt x="271" y="215"/>
                                  </a:lnTo>
                                  <a:lnTo>
                                    <a:pt x="287" y="156"/>
                                  </a:lnTo>
                                  <a:lnTo>
                                    <a:pt x="288" y="132"/>
                                  </a:lnTo>
                                  <a:lnTo>
                                    <a:pt x="285" y="111"/>
                                  </a:lnTo>
                                  <a:lnTo>
                                    <a:pt x="247" y="41"/>
                                  </a:lnTo>
                                  <a:lnTo>
                                    <a:pt x="243" y="37"/>
                                  </a:lnTo>
                                  <a:lnTo>
                                    <a:pt x="229" y="26"/>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37" name="Freeform 714"/>
                          <wps:cNvSpPr>
                            <a:spLocks/>
                          </wps:cNvSpPr>
                          <wps:spPr bwMode="auto">
                            <a:xfrm>
                              <a:off x="1748" y="700"/>
                              <a:ext cx="289" cy="289"/>
                            </a:xfrm>
                            <a:custGeom>
                              <a:avLst/>
                              <a:gdLst>
                                <a:gd name="T0" fmla="+- 0 1852 1748"/>
                                <a:gd name="T1" fmla="*/ T0 w 289"/>
                                <a:gd name="T2" fmla="+- 0 799 700"/>
                                <a:gd name="T3" fmla="*/ 799 h 289"/>
                                <a:gd name="T4" fmla="+- 0 1840 1748"/>
                                <a:gd name="T5" fmla="*/ T4 w 289"/>
                                <a:gd name="T6" fmla="+- 0 799 700"/>
                                <a:gd name="T7" fmla="*/ 799 h 289"/>
                                <a:gd name="T8" fmla="+- 0 1830 1748"/>
                                <a:gd name="T9" fmla="*/ T8 w 289"/>
                                <a:gd name="T10" fmla="+- 0 803 700"/>
                                <a:gd name="T11" fmla="*/ 803 h 289"/>
                                <a:gd name="T12" fmla="+- 0 1814 1748"/>
                                <a:gd name="T13" fmla="*/ T12 w 289"/>
                                <a:gd name="T14" fmla="+- 0 819 700"/>
                                <a:gd name="T15" fmla="*/ 819 h 289"/>
                                <a:gd name="T16" fmla="+- 0 1810 1748"/>
                                <a:gd name="T17" fmla="*/ T16 w 289"/>
                                <a:gd name="T18" fmla="+- 0 830 700"/>
                                <a:gd name="T19" fmla="*/ 830 h 289"/>
                                <a:gd name="T20" fmla="+- 0 1810 1748"/>
                                <a:gd name="T21" fmla="*/ T20 w 289"/>
                                <a:gd name="T22" fmla="+- 0 858 700"/>
                                <a:gd name="T23" fmla="*/ 858 h 289"/>
                                <a:gd name="T24" fmla="+- 0 1814 1748"/>
                                <a:gd name="T25" fmla="*/ T24 w 289"/>
                                <a:gd name="T26" fmla="+- 0 869 700"/>
                                <a:gd name="T27" fmla="*/ 869 h 289"/>
                                <a:gd name="T28" fmla="+- 0 1829 1748"/>
                                <a:gd name="T29" fmla="*/ T28 w 289"/>
                                <a:gd name="T30" fmla="+- 0 885 700"/>
                                <a:gd name="T31" fmla="*/ 885 h 289"/>
                                <a:gd name="T32" fmla="+- 0 1840 1748"/>
                                <a:gd name="T33" fmla="*/ T32 w 289"/>
                                <a:gd name="T34" fmla="+- 0 889 700"/>
                                <a:gd name="T35" fmla="*/ 889 h 289"/>
                                <a:gd name="T36" fmla="+- 0 1857 1748"/>
                                <a:gd name="T37" fmla="*/ T36 w 289"/>
                                <a:gd name="T38" fmla="+- 0 889 700"/>
                                <a:gd name="T39" fmla="*/ 889 h 289"/>
                                <a:gd name="T40" fmla="+- 0 1877 1748"/>
                                <a:gd name="T41" fmla="*/ T40 w 289"/>
                                <a:gd name="T42" fmla="+- 0 882 700"/>
                                <a:gd name="T43" fmla="*/ 882 h 289"/>
                                <a:gd name="T44" fmla="+- 0 1888 1748"/>
                                <a:gd name="T45" fmla="*/ T44 w 289"/>
                                <a:gd name="T46" fmla="+- 0 870 700"/>
                                <a:gd name="T47" fmla="*/ 870 h 289"/>
                                <a:gd name="T48" fmla="+- 0 1842 1748"/>
                                <a:gd name="T49" fmla="*/ T48 w 289"/>
                                <a:gd name="T50" fmla="+- 0 870 700"/>
                                <a:gd name="T51" fmla="*/ 870 h 289"/>
                                <a:gd name="T52" fmla="+- 0 1836 1748"/>
                                <a:gd name="T53" fmla="*/ T52 w 289"/>
                                <a:gd name="T54" fmla="+- 0 861 700"/>
                                <a:gd name="T55" fmla="*/ 861 h 289"/>
                                <a:gd name="T56" fmla="+- 0 1836 1748"/>
                                <a:gd name="T57" fmla="*/ T56 w 289"/>
                                <a:gd name="T58" fmla="+- 0 827 700"/>
                                <a:gd name="T59" fmla="*/ 827 h 289"/>
                                <a:gd name="T60" fmla="+- 0 1842 1748"/>
                                <a:gd name="T61" fmla="*/ T60 w 289"/>
                                <a:gd name="T62" fmla="+- 0 818 700"/>
                                <a:gd name="T63" fmla="*/ 818 h 289"/>
                                <a:gd name="T64" fmla="+- 0 1886 1748"/>
                                <a:gd name="T65" fmla="*/ T64 w 289"/>
                                <a:gd name="T66" fmla="+- 0 818 700"/>
                                <a:gd name="T67" fmla="*/ 818 h 289"/>
                                <a:gd name="T68" fmla="+- 0 1888 1748"/>
                                <a:gd name="T69" fmla="*/ T68 w 289"/>
                                <a:gd name="T70" fmla="+- 0 817 700"/>
                                <a:gd name="T71" fmla="*/ 817 h 289"/>
                                <a:gd name="T72" fmla="+- 0 1873 1748"/>
                                <a:gd name="T73" fmla="*/ T72 w 289"/>
                                <a:gd name="T74" fmla="+- 0 803 700"/>
                                <a:gd name="T75" fmla="*/ 803 h 289"/>
                                <a:gd name="T76" fmla="+- 0 1852 1748"/>
                                <a:gd name="T77" fmla="*/ T76 w 289"/>
                                <a:gd name="T78" fmla="+- 0 799 700"/>
                                <a:gd name="T79" fmla="*/ 799 h 28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289" h="289">
                                  <a:moveTo>
                                    <a:pt x="104" y="99"/>
                                  </a:moveTo>
                                  <a:lnTo>
                                    <a:pt x="92" y="99"/>
                                  </a:lnTo>
                                  <a:lnTo>
                                    <a:pt x="82" y="103"/>
                                  </a:lnTo>
                                  <a:lnTo>
                                    <a:pt x="66" y="119"/>
                                  </a:lnTo>
                                  <a:lnTo>
                                    <a:pt x="62" y="130"/>
                                  </a:lnTo>
                                  <a:lnTo>
                                    <a:pt x="62" y="158"/>
                                  </a:lnTo>
                                  <a:lnTo>
                                    <a:pt x="66" y="169"/>
                                  </a:lnTo>
                                  <a:lnTo>
                                    <a:pt x="81" y="185"/>
                                  </a:lnTo>
                                  <a:lnTo>
                                    <a:pt x="92" y="189"/>
                                  </a:lnTo>
                                  <a:lnTo>
                                    <a:pt x="109" y="189"/>
                                  </a:lnTo>
                                  <a:lnTo>
                                    <a:pt x="129" y="182"/>
                                  </a:lnTo>
                                  <a:lnTo>
                                    <a:pt x="140" y="170"/>
                                  </a:lnTo>
                                  <a:lnTo>
                                    <a:pt x="94" y="170"/>
                                  </a:lnTo>
                                  <a:lnTo>
                                    <a:pt x="88" y="161"/>
                                  </a:lnTo>
                                  <a:lnTo>
                                    <a:pt x="88" y="127"/>
                                  </a:lnTo>
                                  <a:lnTo>
                                    <a:pt x="94" y="118"/>
                                  </a:lnTo>
                                  <a:lnTo>
                                    <a:pt x="138" y="118"/>
                                  </a:lnTo>
                                  <a:lnTo>
                                    <a:pt x="140" y="117"/>
                                  </a:lnTo>
                                  <a:lnTo>
                                    <a:pt x="125" y="103"/>
                                  </a:lnTo>
                                  <a:lnTo>
                                    <a:pt x="104" y="99"/>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38" name="Freeform 713"/>
                          <wps:cNvSpPr>
                            <a:spLocks/>
                          </wps:cNvSpPr>
                          <wps:spPr bwMode="auto">
                            <a:xfrm>
                              <a:off x="1748" y="700"/>
                              <a:ext cx="289" cy="289"/>
                            </a:xfrm>
                            <a:custGeom>
                              <a:avLst/>
                              <a:gdLst>
                                <a:gd name="T0" fmla="+- 0 1936 1748"/>
                                <a:gd name="T1" fmla="*/ T0 w 289"/>
                                <a:gd name="T2" fmla="+- 0 799 700"/>
                                <a:gd name="T3" fmla="*/ 799 h 289"/>
                                <a:gd name="T4" fmla="+- 0 1923 1748"/>
                                <a:gd name="T5" fmla="*/ T4 w 289"/>
                                <a:gd name="T6" fmla="+- 0 799 700"/>
                                <a:gd name="T7" fmla="*/ 799 h 289"/>
                                <a:gd name="T8" fmla="+- 0 1913 1748"/>
                                <a:gd name="T9" fmla="*/ T8 w 289"/>
                                <a:gd name="T10" fmla="+- 0 803 700"/>
                                <a:gd name="T11" fmla="*/ 803 h 289"/>
                                <a:gd name="T12" fmla="+- 0 1897 1748"/>
                                <a:gd name="T13" fmla="*/ T12 w 289"/>
                                <a:gd name="T14" fmla="+- 0 819 700"/>
                                <a:gd name="T15" fmla="*/ 819 h 289"/>
                                <a:gd name="T16" fmla="+- 0 1894 1748"/>
                                <a:gd name="T17" fmla="*/ T16 w 289"/>
                                <a:gd name="T18" fmla="+- 0 830 700"/>
                                <a:gd name="T19" fmla="*/ 830 h 289"/>
                                <a:gd name="T20" fmla="+- 0 1894 1748"/>
                                <a:gd name="T21" fmla="*/ T20 w 289"/>
                                <a:gd name="T22" fmla="+- 0 858 700"/>
                                <a:gd name="T23" fmla="*/ 858 h 289"/>
                                <a:gd name="T24" fmla="+- 0 1897 1748"/>
                                <a:gd name="T25" fmla="*/ T24 w 289"/>
                                <a:gd name="T26" fmla="+- 0 869 700"/>
                                <a:gd name="T27" fmla="*/ 869 h 289"/>
                                <a:gd name="T28" fmla="+- 0 1913 1748"/>
                                <a:gd name="T29" fmla="*/ T28 w 289"/>
                                <a:gd name="T30" fmla="+- 0 885 700"/>
                                <a:gd name="T31" fmla="*/ 885 h 289"/>
                                <a:gd name="T32" fmla="+- 0 1923 1748"/>
                                <a:gd name="T33" fmla="*/ T32 w 289"/>
                                <a:gd name="T34" fmla="+- 0 889 700"/>
                                <a:gd name="T35" fmla="*/ 889 h 289"/>
                                <a:gd name="T36" fmla="+- 0 1941 1748"/>
                                <a:gd name="T37" fmla="*/ T36 w 289"/>
                                <a:gd name="T38" fmla="+- 0 889 700"/>
                                <a:gd name="T39" fmla="*/ 889 h 289"/>
                                <a:gd name="T40" fmla="+- 0 1960 1748"/>
                                <a:gd name="T41" fmla="*/ T40 w 289"/>
                                <a:gd name="T42" fmla="+- 0 882 700"/>
                                <a:gd name="T43" fmla="*/ 882 h 289"/>
                                <a:gd name="T44" fmla="+- 0 1972 1748"/>
                                <a:gd name="T45" fmla="*/ T44 w 289"/>
                                <a:gd name="T46" fmla="+- 0 870 700"/>
                                <a:gd name="T47" fmla="*/ 870 h 289"/>
                                <a:gd name="T48" fmla="+- 0 1926 1748"/>
                                <a:gd name="T49" fmla="*/ T48 w 289"/>
                                <a:gd name="T50" fmla="+- 0 870 700"/>
                                <a:gd name="T51" fmla="*/ 870 h 289"/>
                                <a:gd name="T52" fmla="+- 0 1919 1748"/>
                                <a:gd name="T53" fmla="*/ T52 w 289"/>
                                <a:gd name="T54" fmla="+- 0 861 700"/>
                                <a:gd name="T55" fmla="*/ 861 h 289"/>
                                <a:gd name="T56" fmla="+- 0 1919 1748"/>
                                <a:gd name="T57" fmla="*/ T56 w 289"/>
                                <a:gd name="T58" fmla="+- 0 827 700"/>
                                <a:gd name="T59" fmla="*/ 827 h 289"/>
                                <a:gd name="T60" fmla="+- 0 1926 1748"/>
                                <a:gd name="T61" fmla="*/ T60 w 289"/>
                                <a:gd name="T62" fmla="+- 0 818 700"/>
                                <a:gd name="T63" fmla="*/ 818 h 289"/>
                                <a:gd name="T64" fmla="+- 0 1970 1748"/>
                                <a:gd name="T65" fmla="*/ T64 w 289"/>
                                <a:gd name="T66" fmla="+- 0 818 700"/>
                                <a:gd name="T67" fmla="*/ 818 h 289"/>
                                <a:gd name="T68" fmla="+- 0 1972 1748"/>
                                <a:gd name="T69" fmla="*/ T68 w 289"/>
                                <a:gd name="T70" fmla="+- 0 817 700"/>
                                <a:gd name="T71" fmla="*/ 817 h 289"/>
                                <a:gd name="T72" fmla="+- 0 1957 1748"/>
                                <a:gd name="T73" fmla="*/ T72 w 289"/>
                                <a:gd name="T74" fmla="+- 0 803 700"/>
                                <a:gd name="T75" fmla="*/ 803 h 289"/>
                                <a:gd name="T76" fmla="+- 0 1936 1748"/>
                                <a:gd name="T77" fmla="*/ T76 w 289"/>
                                <a:gd name="T78" fmla="+- 0 799 700"/>
                                <a:gd name="T79" fmla="*/ 799 h 28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289" h="289">
                                  <a:moveTo>
                                    <a:pt x="188" y="99"/>
                                  </a:moveTo>
                                  <a:lnTo>
                                    <a:pt x="175" y="99"/>
                                  </a:lnTo>
                                  <a:lnTo>
                                    <a:pt x="165" y="103"/>
                                  </a:lnTo>
                                  <a:lnTo>
                                    <a:pt x="149" y="119"/>
                                  </a:lnTo>
                                  <a:lnTo>
                                    <a:pt x="146" y="130"/>
                                  </a:lnTo>
                                  <a:lnTo>
                                    <a:pt x="146" y="158"/>
                                  </a:lnTo>
                                  <a:lnTo>
                                    <a:pt x="149" y="169"/>
                                  </a:lnTo>
                                  <a:lnTo>
                                    <a:pt x="165" y="185"/>
                                  </a:lnTo>
                                  <a:lnTo>
                                    <a:pt x="175" y="189"/>
                                  </a:lnTo>
                                  <a:lnTo>
                                    <a:pt x="193" y="189"/>
                                  </a:lnTo>
                                  <a:lnTo>
                                    <a:pt x="212" y="182"/>
                                  </a:lnTo>
                                  <a:lnTo>
                                    <a:pt x="224" y="170"/>
                                  </a:lnTo>
                                  <a:lnTo>
                                    <a:pt x="178" y="170"/>
                                  </a:lnTo>
                                  <a:lnTo>
                                    <a:pt x="171" y="161"/>
                                  </a:lnTo>
                                  <a:lnTo>
                                    <a:pt x="171" y="127"/>
                                  </a:lnTo>
                                  <a:lnTo>
                                    <a:pt x="178" y="118"/>
                                  </a:lnTo>
                                  <a:lnTo>
                                    <a:pt x="222" y="118"/>
                                  </a:lnTo>
                                  <a:lnTo>
                                    <a:pt x="224" y="117"/>
                                  </a:lnTo>
                                  <a:lnTo>
                                    <a:pt x="209" y="103"/>
                                  </a:lnTo>
                                  <a:lnTo>
                                    <a:pt x="188" y="99"/>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39" name="Freeform 712"/>
                          <wps:cNvSpPr>
                            <a:spLocks/>
                          </wps:cNvSpPr>
                          <wps:spPr bwMode="auto">
                            <a:xfrm>
                              <a:off x="1748" y="700"/>
                              <a:ext cx="289" cy="289"/>
                            </a:xfrm>
                            <a:custGeom>
                              <a:avLst/>
                              <a:gdLst>
                                <a:gd name="T0" fmla="+- 0 1873 1748"/>
                                <a:gd name="T1" fmla="*/ T0 w 289"/>
                                <a:gd name="T2" fmla="+- 0 857 700"/>
                                <a:gd name="T3" fmla="*/ 857 h 289"/>
                                <a:gd name="T4" fmla="+- 0 1869 1748"/>
                                <a:gd name="T5" fmla="*/ T4 w 289"/>
                                <a:gd name="T6" fmla="+- 0 865 700"/>
                                <a:gd name="T7" fmla="*/ 865 h 289"/>
                                <a:gd name="T8" fmla="+- 0 1863 1748"/>
                                <a:gd name="T9" fmla="*/ T8 w 289"/>
                                <a:gd name="T10" fmla="+- 0 870 700"/>
                                <a:gd name="T11" fmla="*/ 870 h 289"/>
                                <a:gd name="T12" fmla="+- 0 1888 1748"/>
                                <a:gd name="T13" fmla="*/ T12 w 289"/>
                                <a:gd name="T14" fmla="+- 0 870 700"/>
                                <a:gd name="T15" fmla="*/ 870 h 289"/>
                                <a:gd name="T16" fmla="+- 0 1891 1748"/>
                                <a:gd name="T17" fmla="*/ T16 w 289"/>
                                <a:gd name="T18" fmla="+- 0 866 700"/>
                                <a:gd name="T19" fmla="*/ 866 h 289"/>
                                <a:gd name="T20" fmla="+- 0 1873 1748"/>
                                <a:gd name="T21" fmla="*/ T20 w 289"/>
                                <a:gd name="T22" fmla="+- 0 857 700"/>
                                <a:gd name="T23" fmla="*/ 857 h 289"/>
                              </a:gdLst>
                              <a:ahLst/>
                              <a:cxnLst>
                                <a:cxn ang="0">
                                  <a:pos x="T1" y="T3"/>
                                </a:cxn>
                                <a:cxn ang="0">
                                  <a:pos x="T5" y="T7"/>
                                </a:cxn>
                                <a:cxn ang="0">
                                  <a:pos x="T9" y="T11"/>
                                </a:cxn>
                                <a:cxn ang="0">
                                  <a:pos x="T13" y="T15"/>
                                </a:cxn>
                                <a:cxn ang="0">
                                  <a:pos x="T17" y="T19"/>
                                </a:cxn>
                                <a:cxn ang="0">
                                  <a:pos x="T21" y="T23"/>
                                </a:cxn>
                              </a:cxnLst>
                              <a:rect l="0" t="0" r="r" b="b"/>
                              <a:pathLst>
                                <a:path w="289" h="289">
                                  <a:moveTo>
                                    <a:pt x="125" y="157"/>
                                  </a:moveTo>
                                  <a:lnTo>
                                    <a:pt x="121" y="165"/>
                                  </a:lnTo>
                                  <a:lnTo>
                                    <a:pt x="115" y="170"/>
                                  </a:lnTo>
                                  <a:lnTo>
                                    <a:pt x="140" y="170"/>
                                  </a:lnTo>
                                  <a:lnTo>
                                    <a:pt x="143" y="166"/>
                                  </a:lnTo>
                                  <a:lnTo>
                                    <a:pt x="125" y="157"/>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0" name="Freeform 711"/>
                          <wps:cNvSpPr>
                            <a:spLocks/>
                          </wps:cNvSpPr>
                          <wps:spPr bwMode="auto">
                            <a:xfrm>
                              <a:off x="1748" y="700"/>
                              <a:ext cx="289" cy="289"/>
                            </a:xfrm>
                            <a:custGeom>
                              <a:avLst/>
                              <a:gdLst>
                                <a:gd name="T0" fmla="+- 0 1956 1748"/>
                                <a:gd name="T1" fmla="*/ T0 w 289"/>
                                <a:gd name="T2" fmla="+- 0 857 700"/>
                                <a:gd name="T3" fmla="*/ 857 h 289"/>
                                <a:gd name="T4" fmla="+- 0 1953 1748"/>
                                <a:gd name="T5" fmla="*/ T4 w 289"/>
                                <a:gd name="T6" fmla="+- 0 865 700"/>
                                <a:gd name="T7" fmla="*/ 865 h 289"/>
                                <a:gd name="T8" fmla="+- 0 1947 1748"/>
                                <a:gd name="T9" fmla="*/ T8 w 289"/>
                                <a:gd name="T10" fmla="+- 0 870 700"/>
                                <a:gd name="T11" fmla="*/ 870 h 289"/>
                                <a:gd name="T12" fmla="+- 0 1972 1748"/>
                                <a:gd name="T13" fmla="*/ T12 w 289"/>
                                <a:gd name="T14" fmla="+- 0 870 700"/>
                                <a:gd name="T15" fmla="*/ 870 h 289"/>
                                <a:gd name="T16" fmla="+- 0 1974 1748"/>
                                <a:gd name="T17" fmla="*/ T16 w 289"/>
                                <a:gd name="T18" fmla="+- 0 866 700"/>
                                <a:gd name="T19" fmla="*/ 866 h 289"/>
                                <a:gd name="T20" fmla="+- 0 1956 1748"/>
                                <a:gd name="T21" fmla="*/ T20 w 289"/>
                                <a:gd name="T22" fmla="+- 0 857 700"/>
                                <a:gd name="T23" fmla="*/ 857 h 289"/>
                              </a:gdLst>
                              <a:ahLst/>
                              <a:cxnLst>
                                <a:cxn ang="0">
                                  <a:pos x="T1" y="T3"/>
                                </a:cxn>
                                <a:cxn ang="0">
                                  <a:pos x="T5" y="T7"/>
                                </a:cxn>
                                <a:cxn ang="0">
                                  <a:pos x="T9" y="T11"/>
                                </a:cxn>
                                <a:cxn ang="0">
                                  <a:pos x="T13" y="T15"/>
                                </a:cxn>
                                <a:cxn ang="0">
                                  <a:pos x="T17" y="T19"/>
                                </a:cxn>
                                <a:cxn ang="0">
                                  <a:pos x="T21" y="T23"/>
                                </a:cxn>
                              </a:cxnLst>
                              <a:rect l="0" t="0" r="r" b="b"/>
                              <a:pathLst>
                                <a:path w="289" h="289">
                                  <a:moveTo>
                                    <a:pt x="208" y="157"/>
                                  </a:moveTo>
                                  <a:lnTo>
                                    <a:pt x="205" y="165"/>
                                  </a:lnTo>
                                  <a:lnTo>
                                    <a:pt x="199" y="170"/>
                                  </a:lnTo>
                                  <a:lnTo>
                                    <a:pt x="224" y="170"/>
                                  </a:lnTo>
                                  <a:lnTo>
                                    <a:pt x="226" y="166"/>
                                  </a:lnTo>
                                  <a:lnTo>
                                    <a:pt x="208" y="157"/>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1" name="Freeform 710"/>
                          <wps:cNvSpPr>
                            <a:spLocks/>
                          </wps:cNvSpPr>
                          <wps:spPr bwMode="auto">
                            <a:xfrm>
                              <a:off x="1748" y="700"/>
                              <a:ext cx="289" cy="289"/>
                            </a:xfrm>
                            <a:custGeom>
                              <a:avLst/>
                              <a:gdLst>
                                <a:gd name="T0" fmla="+- 0 1886 1748"/>
                                <a:gd name="T1" fmla="*/ T0 w 289"/>
                                <a:gd name="T2" fmla="+- 0 818 700"/>
                                <a:gd name="T3" fmla="*/ 818 h 289"/>
                                <a:gd name="T4" fmla="+- 0 1862 1748"/>
                                <a:gd name="T5" fmla="*/ T4 w 289"/>
                                <a:gd name="T6" fmla="+- 0 818 700"/>
                                <a:gd name="T7" fmla="*/ 818 h 289"/>
                                <a:gd name="T8" fmla="+- 0 1868 1748"/>
                                <a:gd name="T9" fmla="*/ T8 w 289"/>
                                <a:gd name="T10" fmla="+- 0 822 700"/>
                                <a:gd name="T11" fmla="*/ 822 h 289"/>
                                <a:gd name="T12" fmla="+- 0 1871 1748"/>
                                <a:gd name="T13" fmla="*/ T12 w 289"/>
                                <a:gd name="T14" fmla="+- 0 830 700"/>
                                <a:gd name="T15" fmla="*/ 830 h 289"/>
                                <a:gd name="T16" fmla="+- 0 1886 1748"/>
                                <a:gd name="T17" fmla="*/ T16 w 289"/>
                                <a:gd name="T18" fmla="+- 0 818 700"/>
                                <a:gd name="T19" fmla="*/ 818 h 289"/>
                              </a:gdLst>
                              <a:ahLst/>
                              <a:cxnLst>
                                <a:cxn ang="0">
                                  <a:pos x="T1" y="T3"/>
                                </a:cxn>
                                <a:cxn ang="0">
                                  <a:pos x="T5" y="T7"/>
                                </a:cxn>
                                <a:cxn ang="0">
                                  <a:pos x="T9" y="T11"/>
                                </a:cxn>
                                <a:cxn ang="0">
                                  <a:pos x="T13" y="T15"/>
                                </a:cxn>
                                <a:cxn ang="0">
                                  <a:pos x="T17" y="T19"/>
                                </a:cxn>
                              </a:cxnLst>
                              <a:rect l="0" t="0" r="r" b="b"/>
                              <a:pathLst>
                                <a:path w="289" h="289">
                                  <a:moveTo>
                                    <a:pt x="138" y="118"/>
                                  </a:moveTo>
                                  <a:lnTo>
                                    <a:pt x="114" y="118"/>
                                  </a:lnTo>
                                  <a:lnTo>
                                    <a:pt x="120" y="122"/>
                                  </a:lnTo>
                                  <a:lnTo>
                                    <a:pt x="123" y="130"/>
                                  </a:lnTo>
                                  <a:lnTo>
                                    <a:pt x="138" y="118"/>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2" name="Freeform 709"/>
                          <wps:cNvSpPr>
                            <a:spLocks/>
                          </wps:cNvSpPr>
                          <wps:spPr bwMode="auto">
                            <a:xfrm>
                              <a:off x="1748" y="700"/>
                              <a:ext cx="289" cy="289"/>
                            </a:xfrm>
                            <a:custGeom>
                              <a:avLst/>
                              <a:gdLst>
                                <a:gd name="T0" fmla="+- 0 1970 1748"/>
                                <a:gd name="T1" fmla="*/ T0 w 289"/>
                                <a:gd name="T2" fmla="+- 0 818 700"/>
                                <a:gd name="T3" fmla="*/ 818 h 289"/>
                                <a:gd name="T4" fmla="+- 0 1946 1748"/>
                                <a:gd name="T5" fmla="*/ T4 w 289"/>
                                <a:gd name="T6" fmla="+- 0 818 700"/>
                                <a:gd name="T7" fmla="*/ 818 h 289"/>
                                <a:gd name="T8" fmla="+- 0 1951 1748"/>
                                <a:gd name="T9" fmla="*/ T8 w 289"/>
                                <a:gd name="T10" fmla="+- 0 822 700"/>
                                <a:gd name="T11" fmla="*/ 822 h 289"/>
                                <a:gd name="T12" fmla="+- 0 1955 1748"/>
                                <a:gd name="T13" fmla="*/ T12 w 289"/>
                                <a:gd name="T14" fmla="+- 0 830 700"/>
                                <a:gd name="T15" fmla="*/ 830 h 289"/>
                                <a:gd name="T16" fmla="+- 0 1970 1748"/>
                                <a:gd name="T17" fmla="*/ T16 w 289"/>
                                <a:gd name="T18" fmla="+- 0 818 700"/>
                                <a:gd name="T19" fmla="*/ 818 h 289"/>
                              </a:gdLst>
                              <a:ahLst/>
                              <a:cxnLst>
                                <a:cxn ang="0">
                                  <a:pos x="T1" y="T3"/>
                                </a:cxn>
                                <a:cxn ang="0">
                                  <a:pos x="T5" y="T7"/>
                                </a:cxn>
                                <a:cxn ang="0">
                                  <a:pos x="T9" y="T11"/>
                                </a:cxn>
                                <a:cxn ang="0">
                                  <a:pos x="T13" y="T15"/>
                                </a:cxn>
                                <a:cxn ang="0">
                                  <a:pos x="T17" y="T19"/>
                                </a:cxn>
                              </a:cxnLst>
                              <a:rect l="0" t="0" r="r" b="b"/>
                              <a:pathLst>
                                <a:path w="289" h="289">
                                  <a:moveTo>
                                    <a:pt x="222" y="118"/>
                                  </a:moveTo>
                                  <a:lnTo>
                                    <a:pt x="198" y="118"/>
                                  </a:lnTo>
                                  <a:lnTo>
                                    <a:pt x="203" y="122"/>
                                  </a:lnTo>
                                  <a:lnTo>
                                    <a:pt x="207" y="130"/>
                                  </a:lnTo>
                                  <a:lnTo>
                                    <a:pt x="222" y="118"/>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743" name="Group 706"/>
                        <wpg:cNvGrpSpPr>
                          <a:grpSpLocks/>
                        </wpg:cNvGrpSpPr>
                        <wpg:grpSpPr bwMode="auto">
                          <a:xfrm>
                            <a:off x="2308" y="704"/>
                            <a:ext cx="200" cy="200"/>
                            <a:chOff x="2308" y="704"/>
                            <a:chExt cx="200" cy="200"/>
                          </a:xfrm>
                        </wpg:grpSpPr>
                        <wps:wsp>
                          <wps:cNvPr id="744" name="Freeform 707"/>
                          <wps:cNvSpPr>
                            <a:spLocks/>
                          </wps:cNvSpPr>
                          <wps:spPr bwMode="auto">
                            <a:xfrm>
                              <a:off x="2308" y="704"/>
                              <a:ext cx="200" cy="200"/>
                            </a:xfrm>
                            <a:custGeom>
                              <a:avLst/>
                              <a:gdLst>
                                <a:gd name="T0" fmla="+- 0 2408 2308"/>
                                <a:gd name="T1" fmla="*/ T0 w 200"/>
                                <a:gd name="T2" fmla="+- 0 704 704"/>
                                <a:gd name="T3" fmla="*/ 704 h 200"/>
                                <a:gd name="T4" fmla="+- 0 2344 2308"/>
                                <a:gd name="T5" fmla="*/ T4 w 200"/>
                                <a:gd name="T6" fmla="+- 0 727 704"/>
                                <a:gd name="T7" fmla="*/ 727 h 200"/>
                                <a:gd name="T8" fmla="+- 0 2311 2308"/>
                                <a:gd name="T9" fmla="*/ T8 w 200"/>
                                <a:gd name="T10" fmla="+- 0 782 704"/>
                                <a:gd name="T11" fmla="*/ 782 h 200"/>
                                <a:gd name="T12" fmla="+- 0 2308 2308"/>
                                <a:gd name="T13" fmla="*/ T12 w 200"/>
                                <a:gd name="T14" fmla="+- 0 806 704"/>
                                <a:gd name="T15" fmla="*/ 806 h 200"/>
                                <a:gd name="T16" fmla="+- 0 2311 2308"/>
                                <a:gd name="T17" fmla="*/ T16 w 200"/>
                                <a:gd name="T18" fmla="+- 0 828 704"/>
                                <a:gd name="T19" fmla="*/ 828 h 200"/>
                                <a:gd name="T20" fmla="+- 0 2347 2308"/>
                                <a:gd name="T21" fmla="*/ T20 w 200"/>
                                <a:gd name="T22" fmla="+- 0 881 704"/>
                                <a:gd name="T23" fmla="*/ 881 h 200"/>
                                <a:gd name="T24" fmla="+- 0 2410 2308"/>
                                <a:gd name="T25" fmla="*/ T24 w 200"/>
                                <a:gd name="T26" fmla="+- 0 903 704"/>
                                <a:gd name="T27" fmla="*/ 903 h 200"/>
                                <a:gd name="T28" fmla="+- 0 2432 2308"/>
                                <a:gd name="T29" fmla="*/ T28 w 200"/>
                                <a:gd name="T30" fmla="+- 0 900 704"/>
                                <a:gd name="T31" fmla="*/ 900 h 200"/>
                                <a:gd name="T32" fmla="+- 0 2486 2308"/>
                                <a:gd name="T33" fmla="*/ T32 w 200"/>
                                <a:gd name="T34" fmla="+- 0 865 704"/>
                                <a:gd name="T35" fmla="*/ 865 h 200"/>
                                <a:gd name="T36" fmla="+- 0 2507 2308"/>
                                <a:gd name="T37" fmla="*/ T36 w 200"/>
                                <a:gd name="T38" fmla="+- 0 802 704"/>
                                <a:gd name="T39" fmla="*/ 802 h 200"/>
                                <a:gd name="T40" fmla="+- 0 2505 2308"/>
                                <a:gd name="T41" fmla="*/ T40 w 200"/>
                                <a:gd name="T42" fmla="+- 0 780 704"/>
                                <a:gd name="T43" fmla="*/ 780 h 200"/>
                                <a:gd name="T44" fmla="+- 0 2470 2308"/>
                                <a:gd name="T45" fmla="*/ T44 w 200"/>
                                <a:gd name="T46" fmla="+- 0 725 704"/>
                                <a:gd name="T47" fmla="*/ 725 h 200"/>
                                <a:gd name="T48" fmla="+- 0 2408 2308"/>
                                <a:gd name="T49" fmla="*/ T48 w 200"/>
                                <a:gd name="T50" fmla="+- 0 704 704"/>
                                <a:gd name="T51" fmla="*/ 704 h 2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200" h="200">
                                  <a:moveTo>
                                    <a:pt x="100" y="0"/>
                                  </a:moveTo>
                                  <a:lnTo>
                                    <a:pt x="36" y="23"/>
                                  </a:lnTo>
                                  <a:lnTo>
                                    <a:pt x="3" y="78"/>
                                  </a:lnTo>
                                  <a:lnTo>
                                    <a:pt x="0" y="102"/>
                                  </a:lnTo>
                                  <a:lnTo>
                                    <a:pt x="3" y="124"/>
                                  </a:lnTo>
                                  <a:lnTo>
                                    <a:pt x="39" y="177"/>
                                  </a:lnTo>
                                  <a:lnTo>
                                    <a:pt x="102" y="199"/>
                                  </a:lnTo>
                                  <a:lnTo>
                                    <a:pt x="124" y="196"/>
                                  </a:lnTo>
                                  <a:lnTo>
                                    <a:pt x="178" y="161"/>
                                  </a:lnTo>
                                  <a:lnTo>
                                    <a:pt x="199" y="98"/>
                                  </a:lnTo>
                                  <a:lnTo>
                                    <a:pt x="197" y="76"/>
                                  </a:lnTo>
                                  <a:lnTo>
                                    <a:pt x="162" y="21"/>
                                  </a:lnTo>
                                  <a:lnTo>
                                    <a:pt x="10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745" name="Group 703"/>
                        <wpg:cNvGrpSpPr>
                          <a:grpSpLocks/>
                        </wpg:cNvGrpSpPr>
                        <wpg:grpSpPr bwMode="auto">
                          <a:xfrm>
                            <a:off x="2379" y="767"/>
                            <a:ext cx="46" cy="103"/>
                            <a:chOff x="2379" y="767"/>
                            <a:chExt cx="46" cy="103"/>
                          </a:xfrm>
                        </wpg:grpSpPr>
                        <wps:wsp>
                          <wps:cNvPr id="746" name="Freeform 705"/>
                          <wps:cNvSpPr>
                            <a:spLocks/>
                          </wps:cNvSpPr>
                          <wps:spPr bwMode="auto">
                            <a:xfrm>
                              <a:off x="2379" y="767"/>
                              <a:ext cx="46" cy="103"/>
                            </a:xfrm>
                            <a:custGeom>
                              <a:avLst/>
                              <a:gdLst>
                                <a:gd name="T0" fmla="+- 0 2424 2379"/>
                                <a:gd name="T1" fmla="*/ T0 w 46"/>
                                <a:gd name="T2" fmla="+- 0 818 767"/>
                                <a:gd name="T3" fmla="*/ 818 h 103"/>
                                <a:gd name="T4" fmla="+- 0 2391 2379"/>
                                <a:gd name="T5" fmla="*/ T4 w 46"/>
                                <a:gd name="T6" fmla="+- 0 818 767"/>
                                <a:gd name="T7" fmla="*/ 818 h 103"/>
                                <a:gd name="T8" fmla="+- 0 2391 2379"/>
                                <a:gd name="T9" fmla="*/ T8 w 46"/>
                                <a:gd name="T10" fmla="+- 0 870 767"/>
                                <a:gd name="T11" fmla="*/ 870 h 103"/>
                                <a:gd name="T12" fmla="+- 0 2424 2379"/>
                                <a:gd name="T13" fmla="*/ T12 w 46"/>
                                <a:gd name="T14" fmla="+- 0 870 767"/>
                                <a:gd name="T15" fmla="*/ 870 h 103"/>
                                <a:gd name="T16" fmla="+- 0 2424 2379"/>
                                <a:gd name="T17" fmla="*/ T16 w 46"/>
                                <a:gd name="T18" fmla="+- 0 818 767"/>
                                <a:gd name="T19" fmla="*/ 818 h 103"/>
                              </a:gdLst>
                              <a:ahLst/>
                              <a:cxnLst>
                                <a:cxn ang="0">
                                  <a:pos x="T1" y="T3"/>
                                </a:cxn>
                                <a:cxn ang="0">
                                  <a:pos x="T5" y="T7"/>
                                </a:cxn>
                                <a:cxn ang="0">
                                  <a:pos x="T9" y="T11"/>
                                </a:cxn>
                                <a:cxn ang="0">
                                  <a:pos x="T13" y="T15"/>
                                </a:cxn>
                                <a:cxn ang="0">
                                  <a:pos x="T17" y="T19"/>
                                </a:cxn>
                              </a:cxnLst>
                              <a:rect l="0" t="0" r="r" b="b"/>
                              <a:pathLst>
                                <a:path w="46" h="103">
                                  <a:moveTo>
                                    <a:pt x="45" y="51"/>
                                  </a:moveTo>
                                  <a:lnTo>
                                    <a:pt x="12" y="51"/>
                                  </a:lnTo>
                                  <a:lnTo>
                                    <a:pt x="12" y="103"/>
                                  </a:lnTo>
                                  <a:lnTo>
                                    <a:pt x="45" y="103"/>
                                  </a:lnTo>
                                  <a:lnTo>
                                    <a:pt x="45" y="51"/>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7" name="Freeform 704"/>
                          <wps:cNvSpPr>
                            <a:spLocks/>
                          </wps:cNvSpPr>
                          <wps:spPr bwMode="auto">
                            <a:xfrm>
                              <a:off x="2379" y="767"/>
                              <a:ext cx="46" cy="103"/>
                            </a:xfrm>
                            <a:custGeom>
                              <a:avLst/>
                              <a:gdLst>
                                <a:gd name="T0" fmla="+- 0 2434 2379"/>
                                <a:gd name="T1" fmla="*/ T0 w 46"/>
                                <a:gd name="T2" fmla="+- 0 767 767"/>
                                <a:gd name="T3" fmla="*/ 767 h 103"/>
                                <a:gd name="T4" fmla="+- 0 2382 2379"/>
                                <a:gd name="T5" fmla="*/ T4 w 46"/>
                                <a:gd name="T6" fmla="+- 0 767 767"/>
                                <a:gd name="T7" fmla="*/ 767 h 103"/>
                                <a:gd name="T8" fmla="+- 0 2379 2379"/>
                                <a:gd name="T9" fmla="*/ T8 w 46"/>
                                <a:gd name="T10" fmla="+- 0 771 767"/>
                                <a:gd name="T11" fmla="*/ 771 h 103"/>
                                <a:gd name="T12" fmla="+- 0 2379 2379"/>
                                <a:gd name="T13" fmla="*/ T12 w 46"/>
                                <a:gd name="T14" fmla="+- 0 818 767"/>
                                <a:gd name="T15" fmla="*/ 818 h 103"/>
                                <a:gd name="T16" fmla="+- 0 2437 2379"/>
                                <a:gd name="T17" fmla="*/ T16 w 46"/>
                                <a:gd name="T18" fmla="+- 0 818 767"/>
                                <a:gd name="T19" fmla="*/ 818 h 103"/>
                                <a:gd name="T20" fmla="+- 0 2437 2379"/>
                                <a:gd name="T21" fmla="*/ T20 w 46"/>
                                <a:gd name="T22" fmla="+- 0 771 767"/>
                                <a:gd name="T23" fmla="*/ 771 h 103"/>
                                <a:gd name="T24" fmla="+- 0 2434 2379"/>
                                <a:gd name="T25" fmla="*/ T24 w 46"/>
                                <a:gd name="T26" fmla="+- 0 767 767"/>
                                <a:gd name="T27" fmla="*/ 767 h 103"/>
                              </a:gdLst>
                              <a:ahLst/>
                              <a:cxnLst>
                                <a:cxn ang="0">
                                  <a:pos x="T1" y="T3"/>
                                </a:cxn>
                                <a:cxn ang="0">
                                  <a:pos x="T5" y="T7"/>
                                </a:cxn>
                                <a:cxn ang="0">
                                  <a:pos x="T9" y="T11"/>
                                </a:cxn>
                                <a:cxn ang="0">
                                  <a:pos x="T13" y="T15"/>
                                </a:cxn>
                                <a:cxn ang="0">
                                  <a:pos x="T17" y="T19"/>
                                </a:cxn>
                                <a:cxn ang="0">
                                  <a:pos x="T21" y="T23"/>
                                </a:cxn>
                                <a:cxn ang="0">
                                  <a:pos x="T25" y="T27"/>
                                </a:cxn>
                              </a:cxnLst>
                              <a:rect l="0" t="0" r="r" b="b"/>
                              <a:pathLst>
                                <a:path w="46" h="103">
                                  <a:moveTo>
                                    <a:pt x="55" y="0"/>
                                  </a:moveTo>
                                  <a:lnTo>
                                    <a:pt x="3" y="0"/>
                                  </a:lnTo>
                                  <a:lnTo>
                                    <a:pt x="0" y="4"/>
                                  </a:lnTo>
                                  <a:lnTo>
                                    <a:pt x="0" y="51"/>
                                  </a:lnTo>
                                  <a:lnTo>
                                    <a:pt x="58" y="51"/>
                                  </a:lnTo>
                                  <a:lnTo>
                                    <a:pt x="58" y="4"/>
                                  </a:lnTo>
                                  <a:lnTo>
                                    <a:pt x="55" y="0"/>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748" name="Group 701"/>
                        <wpg:cNvGrpSpPr>
                          <a:grpSpLocks/>
                        </wpg:cNvGrpSpPr>
                        <wpg:grpSpPr bwMode="auto">
                          <a:xfrm>
                            <a:off x="2393" y="732"/>
                            <a:ext cx="31" cy="31"/>
                            <a:chOff x="2393" y="732"/>
                            <a:chExt cx="31" cy="31"/>
                          </a:xfrm>
                        </wpg:grpSpPr>
                        <wps:wsp>
                          <wps:cNvPr id="749" name="Freeform 702"/>
                          <wps:cNvSpPr>
                            <a:spLocks/>
                          </wps:cNvSpPr>
                          <wps:spPr bwMode="auto">
                            <a:xfrm>
                              <a:off x="2393" y="732"/>
                              <a:ext cx="31" cy="31"/>
                            </a:xfrm>
                            <a:custGeom>
                              <a:avLst/>
                              <a:gdLst>
                                <a:gd name="T0" fmla="+- 0 2416 2393"/>
                                <a:gd name="T1" fmla="*/ T0 w 31"/>
                                <a:gd name="T2" fmla="+- 0 732 732"/>
                                <a:gd name="T3" fmla="*/ 732 h 31"/>
                                <a:gd name="T4" fmla="+- 0 2399 2393"/>
                                <a:gd name="T5" fmla="*/ T4 w 31"/>
                                <a:gd name="T6" fmla="+- 0 732 732"/>
                                <a:gd name="T7" fmla="*/ 732 h 31"/>
                                <a:gd name="T8" fmla="+- 0 2393 2393"/>
                                <a:gd name="T9" fmla="*/ T8 w 31"/>
                                <a:gd name="T10" fmla="+- 0 738 732"/>
                                <a:gd name="T11" fmla="*/ 738 h 31"/>
                                <a:gd name="T12" fmla="+- 0 2393 2393"/>
                                <a:gd name="T13" fmla="*/ T12 w 31"/>
                                <a:gd name="T14" fmla="+- 0 755 732"/>
                                <a:gd name="T15" fmla="*/ 755 h 31"/>
                                <a:gd name="T16" fmla="+- 0 2399 2393"/>
                                <a:gd name="T17" fmla="*/ T16 w 31"/>
                                <a:gd name="T18" fmla="+- 0 762 732"/>
                                <a:gd name="T19" fmla="*/ 762 h 31"/>
                                <a:gd name="T20" fmla="+- 0 2416 2393"/>
                                <a:gd name="T21" fmla="*/ T20 w 31"/>
                                <a:gd name="T22" fmla="+- 0 762 732"/>
                                <a:gd name="T23" fmla="*/ 762 h 31"/>
                                <a:gd name="T24" fmla="+- 0 2423 2393"/>
                                <a:gd name="T25" fmla="*/ T24 w 31"/>
                                <a:gd name="T26" fmla="+- 0 755 732"/>
                                <a:gd name="T27" fmla="*/ 755 h 31"/>
                                <a:gd name="T28" fmla="+- 0 2423 2393"/>
                                <a:gd name="T29" fmla="*/ T28 w 31"/>
                                <a:gd name="T30" fmla="+- 0 738 732"/>
                                <a:gd name="T31" fmla="*/ 738 h 31"/>
                                <a:gd name="T32" fmla="+- 0 2416 2393"/>
                                <a:gd name="T33" fmla="*/ T32 w 31"/>
                                <a:gd name="T34" fmla="+- 0 732 732"/>
                                <a:gd name="T35" fmla="*/ 732 h 3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31" h="31">
                                  <a:moveTo>
                                    <a:pt x="23" y="0"/>
                                  </a:moveTo>
                                  <a:lnTo>
                                    <a:pt x="6" y="0"/>
                                  </a:lnTo>
                                  <a:lnTo>
                                    <a:pt x="0" y="6"/>
                                  </a:lnTo>
                                  <a:lnTo>
                                    <a:pt x="0" y="23"/>
                                  </a:lnTo>
                                  <a:lnTo>
                                    <a:pt x="6" y="30"/>
                                  </a:lnTo>
                                  <a:lnTo>
                                    <a:pt x="23" y="30"/>
                                  </a:lnTo>
                                  <a:lnTo>
                                    <a:pt x="30" y="23"/>
                                  </a:lnTo>
                                  <a:lnTo>
                                    <a:pt x="30" y="6"/>
                                  </a:lnTo>
                                  <a:lnTo>
                                    <a:pt x="23" y="0"/>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750" name="Group 698"/>
                        <wpg:cNvGrpSpPr>
                          <a:grpSpLocks/>
                        </wpg:cNvGrpSpPr>
                        <wpg:grpSpPr bwMode="auto">
                          <a:xfrm>
                            <a:off x="2300" y="694"/>
                            <a:ext cx="215" cy="215"/>
                            <a:chOff x="2300" y="694"/>
                            <a:chExt cx="215" cy="215"/>
                          </a:xfrm>
                        </wpg:grpSpPr>
                        <wps:wsp>
                          <wps:cNvPr id="751" name="Freeform 700"/>
                          <wps:cNvSpPr>
                            <a:spLocks/>
                          </wps:cNvSpPr>
                          <wps:spPr bwMode="auto">
                            <a:xfrm>
                              <a:off x="2300" y="694"/>
                              <a:ext cx="215" cy="215"/>
                            </a:xfrm>
                            <a:custGeom>
                              <a:avLst/>
                              <a:gdLst>
                                <a:gd name="T0" fmla="+- 0 2408 2300"/>
                                <a:gd name="T1" fmla="*/ T0 w 215"/>
                                <a:gd name="T2" fmla="+- 0 694 694"/>
                                <a:gd name="T3" fmla="*/ 694 h 215"/>
                                <a:gd name="T4" fmla="+- 0 2350 2300"/>
                                <a:gd name="T5" fmla="*/ T4 w 215"/>
                                <a:gd name="T6" fmla="+- 0 710 694"/>
                                <a:gd name="T7" fmla="*/ 710 h 215"/>
                                <a:gd name="T8" fmla="+- 0 2309 2300"/>
                                <a:gd name="T9" fmla="*/ T8 w 215"/>
                                <a:gd name="T10" fmla="+- 0 758 694"/>
                                <a:gd name="T11" fmla="*/ 758 h 215"/>
                                <a:gd name="T12" fmla="+- 0 2300 2300"/>
                                <a:gd name="T13" fmla="*/ T12 w 215"/>
                                <a:gd name="T14" fmla="+- 0 796 694"/>
                                <a:gd name="T15" fmla="*/ 796 h 215"/>
                                <a:gd name="T16" fmla="+- 0 2302 2300"/>
                                <a:gd name="T17" fmla="*/ T16 w 215"/>
                                <a:gd name="T18" fmla="+- 0 819 694"/>
                                <a:gd name="T19" fmla="*/ 819 h 215"/>
                                <a:gd name="T20" fmla="+- 0 2345 2300"/>
                                <a:gd name="T21" fmla="*/ T20 w 215"/>
                                <a:gd name="T22" fmla="+- 0 887 694"/>
                                <a:gd name="T23" fmla="*/ 887 h 215"/>
                                <a:gd name="T24" fmla="+- 0 2400 2300"/>
                                <a:gd name="T25" fmla="*/ T24 w 215"/>
                                <a:gd name="T26" fmla="+- 0 908 694"/>
                                <a:gd name="T27" fmla="*/ 908 h 215"/>
                                <a:gd name="T28" fmla="+- 0 2423 2300"/>
                                <a:gd name="T29" fmla="*/ T28 w 215"/>
                                <a:gd name="T30" fmla="+- 0 907 694"/>
                                <a:gd name="T31" fmla="*/ 907 h 215"/>
                                <a:gd name="T32" fmla="+- 0 2443 2300"/>
                                <a:gd name="T33" fmla="*/ T32 w 215"/>
                                <a:gd name="T34" fmla="+- 0 902 694"/>
                                <a:gd name="T35" fmla="*/ 902 h 215"/>
                                <a:gd name="T36" fmla="+- 0 2461 2300"/>
                                <a:gd name="T37" fmla="*/ T36 w 215"/>
                                <a:gd name="T38" fmla="+- 0 895 694"/>
                                <a:gd name="T39" fmla="*/ 895 h 215"/>
                                <a:gd name="T40" fmla="+- 0 2470 2300"/>
                                <a:gd name="T41" fmla="*/ T40 w 215"/>
                                <a:gd name="T42" fmla="+- 0 889 694"/>
                                <a:gd name="T43" fmla="*/ 889 h 215"/>
                                <a:gd name="T44" fmla="+- 0 2416 2300"/>
                                <a:gd name="T45" fmla="*/ T44 w 215"/>
                                <a:gd name="T46" fmla="+- 0 889 694"/>
                                <a:gd name="T47" fmla="*/ 889 h 215"/>
                                <a:gd name="T48" fmla="+- 0 2393 2300"/>
                                <a:gd name="T49" fmla="*/ T48 w 215"/>
                                <a:gd name="T50" fmla="+- 0 887 694"/>
                                <a:gd name="T51" fmla="*/ 887 h 215"/>
                                <a:gd name="T52" fmla="+- 0 2339 2300"/>
                                <a:gd name="T53" fmla="*/ T52 w 215"/>
                                <a:gd name="T54" fmla="+- 0 853 694"/>
                                <a:gd name="T55" fmla="*/ 853 h 215"/>
                                <a:gd name="T56" fmla="+- 0 2320 2300"/>
                                <a:gd name="T57" fmla="*/ T56 w 215"/>
                                <a:gd name="T58" fmla="+- 0 801 694"/>
                                <a:gd name="T59" fmla="*/ 801 h 215"/>
                                <a:gd name="T60" fmla="+- 0 2322 2300"/>
                                <a:gd name="T61" fmla="*/ T60 w 215"/>
                                <a:gd name="T62" fmla="+- 0 781 694"/>
                                <a:gd name="T63" fmla="*/ 781 h 215"/>
                                <a:gd name="T64" fmla="+- 0 2358 2300"/>
                                <a:gd name="T65" fmla="*/ T64 w 215"/>
                                <a:gd name="T66" fmla="+- 0 729 694"/>
                                <a:gd name="T67" fmla="*/ 729 h 215"/>
                                <a:gd name="T68" fmla="+- 0 2408 2300"/>
                                <a:gd name="T69" fmla="*/ T68 w 215"/>
                                <a:gd name="T70" fmla="+- 0 713 694"/>
                                <a:gd name="T71" fmla="*/ 713 h 215"/>
                                <a:gd name="T72" fmla="+- 0 2468 2300"/>
                                <a:gd name="T73" fmla="*/ T72 w 215"/>
                                <a:gd name="T74" fmla="+- 0 713 694"/>
                                <a:gd name="T75" fmla="*/ 713 h 215"/>
                                <a:gd name="T76" fmla="+- 0 2456 2300"/>
                                <a:gd name="T77" fmla="*/ T76 w 215"/>
                                <a:gd name="T78" fmla="+- 0 705 694"/>
                                <a:gd name="T79" fmla="*/ 705 h 215"/>
                                <a:gd name="T80" fmla="+- 0 2439 2300"/>
                                <a:gd name="T81" fmla="*/ T80 w 215"/>
                                <a:gd name="T82" fmla="+- 0 698 694"/>
                                <a:gd name="T83" fmla="*/ 698 h 215"/>
                                <a:gd name="T84" fmla="+- 0 2420 2300"/>
                                <a:gd name="T85" fmla="*/ T84 w 215"/>
                                <a:gd name="T86" fmla="+- 0 694 694"/>
                                <a:gd name="T87" fmla="*/ 694 h 215"/>
                                <a:gd name="T88" fmla="+- 0 2408 2300"/>
                                <a:gd name="T89" fmla="*/ T88 w 215"/>
                                <a:gd name="T90" fmla="+- 0 694 694"/>
                                <a:gd name="T91" fmla="*/ 694 h 21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Lst>
                              <a:rect l="0" t="0" r="r" b="b"/>
                              <a:pathLst>
                                <a:path w="215" h="215">
                                  <a:moveTo>
                                    <a:pt x="108" y="0"/>
                                  </a:moveTo>
                                  <a:lnTo>
                                    <a:pt x="50" y="16"/>
                                  </a:lnTo>
                                  <a:lnTo>
                                    <a:pt x="9" y="64"/>
                                  </a:lnTo>
                                  <a:lnTo>
                                    <a:pt x="0" y="102"/>
                                  </a:lnTo>
                                  <a:lnTo>
                                    <a:pt x="2" y="125"/>
                                  </a:lnTo>
                                  <a:lnTo>
                                    <a:pt x="45" y="193"/>
                                  </a:lnTo>
                                  <a:lnTo>
                                    <a:pt x="100" y="214"/>
                                  </a:lnTo>
                                  <a:lnTo>
                                    <a:pt x="123" y="213"/>
                                  </a:lnTo>
                                  <a:lnTo>
                                    <a:pt x="143" y="208"/>
                                  </a:lnTo>
                                  <a:lnTo>
                                    <a:pt x="161" y="201"/>
                                  </a:lnTo>
                                  <a:lnTo>
                                    <a:pt x="170" y="195"/>
                                  </a:lnTo>
                                  <a:lnTo>
                                    <a:pt x="116" y="195"/>
                                  </a:lnTo>
                                  <a:lnTo>
                                    <a:pt x="93" y="193"/>
                                  </a:lnTo>
                                  <a:lnTo>
                                    <a:pt x="39" y="159"/>
                                  </a:lnTo>
                                  <a:lnTo>
                                    <a:pt x="20" y="107"/>
                                  </a:lnTo>
                                  <a:lnTo>
                                    <a:pt x="22" y="87"/>
                                  </a:lnTo>
                                  <a:lnTo>
                                    <a:pt x="58" y="35"/>
                                  </a:lnTo>
                                  <a:lnTo>
                                    <a:pt x="108" y="19"/>
                                  </a:lnTo>
                                  <a:lnTo>
                                    <a:pt x="168" y="19"/>
                                  </a:lnTo>
                                  <a:lnTo>
                                    <a:pt x="156" y="11"/>
                                  </a:lnTo>
                                  <a:lnTo>
                                    <a:pt x="139" y="4"/>
                                  </a:lnTo>
                                  <a:lnTo>
                                    <a:pt x="120" y="0"/>
                                  </a:lnTo>
                                  <a:lnTo>
                                    <a:pt x="108" y="0"/>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52" name="Freeform 699"/>
                          <wps:cNvSpPr>
                            <a:spLocks/>
                          </wps:cNvSpPr>
                          <wps:spPr bwMode="auto">
                            <a:xfrm>
                              <a:off x="2300" y="694"/>
                              <a:ext cx="215" cy="215"/>
                            </a:xfrm>
                            <a:custGeom>
                              <a:avLst/>
                              <a:gdLst>
                                <a:gd name="T0" fmla="+- 0 2468 2300"/>
                                <a:gd name="T1" fmla="*/ T0 w 215"/>
                                <a:gd name="T2" fmla="+- 0 713 694"/>
                                <a:gd name="T3" fmla="*/ 713 h 215"/>
                                <a:gd name="T4" fmla="+- 0 2408 2300"/>
                                <a:gd name="T5" fmla="*/ T4 w 215"/>
                                <a:gd name="T6" fmla="+- 0 713 694"/>
                                <a:gd name="T7" fmla="*/ 713 h 215"/>
                                <a:gd name="T8" fmla="+- 0 2429 2300"/>
                                <a:gd name="T9" fmla="*/ T8 w 215"/>
                                <a:gd name="T10" fmla="+- 0 715 694"/>
                                <a:gd name="T11" fmla="*/ 715 h 215"/>
                                <a:gd name="T12" fmla="+- 0 2448 2300"/>
                                <a:gd name="T13" fmla="*/ T12 w 215"/>
                                <a:gd name="T14" fmla="+- 0 722 694"/>
                                <a:gd name="T15" fmla="*/ 722 h 215"/>
                                <a:gd name="T16" fmla="+- 0 2464 2300"/>
                                <a:gd name="T17" fmla="*/ T16 w 215"/>
                                <a:gd name="T18" fmla="+- 0 733 694"/>
                                <a:gd name="T19" fmla="*/ 733 h 215"/>
                                <a:gd name="T20" fmla="+- 0 2480 2300"/>
                                <a:gd name="T21" fmla="*/ T20 w 215"/>
                                <a:gd name="T22" fmla="+- 0 751 694"/>
                                <a:gd name="T23" fmla="*/ 751 h 215"/>
                                <a:gd name="T24" fmla="+- 0 2490 2300"/>
                                <a:gd name="T25" fmla="*/ T24 w 215"/>
                                <a:gd name="T26" fmla="+- 0 769 694"/>
                                <a:gd name="T27" fmla="*/ 769 h 215"/>
                                <a:gd name="T28" fmla="+- 0 2495 2300"/>
                                <a:gd name="T29" fmla="*/ T28 w 215"/>
                                <a:gd name="T30" fmla="+- 0 787 694"/>
                                <a:gd name="T31" fmla="*/ 787 h 215"/>
                                <a:gd name="T32" fmla="+- 0 2494 2300"/>
                                <a:gd name="T33" fmla="*/ T32 w 215"/>
                                <a:gd name="T34" fmla="+- 0 813 694"/>
                                <a:gd name="T35" fmla="*/ 813 h 215"/>
                                <a:gd name="T36" fmla="+- 0 2454 2300"/>
                                <a:gd name="T37" fmla="*/ T36 w 215"/>
                                <a:gd name="T38" fmla="+- 0 876 694"/>
                                <a:gd name="T39" fmla="*/ 876 h 215"/>
                                <a:gd name="T40" fmla="+- 0 2416 2300"/>
                                <a:gd name="T41" fmla="*/ T40 w 215"/>
                                <a:gd name="T42" fmla="+- 0 889 694"/>
                                <a:gd name="T43" fmla="*/ 889 h 215"/>
                                <a:gd name="T44" fmla="+- 0 2470 2300"/>
                                <a:gd name="T45" fmla="*/ T44 w 215"/>
                                <a:gd name="T46" fmla="+- 0 889 694"/>
                                <a:gd name="T47" fmla="*/ 889 h 215"/>
                                <a:gd name="T48" fmla="+- 0 2511 2300"/>
                                <a:gd name="T49" fmla="*/ T48 w 215"/>
                                <a:gd name="T50" fmla="+- 0 831 694"/>
                                <a:gd name="T51" fmla="*/ 831 h 215"/>
                                <a:gd name="T52" fmla="+- 0 2515 2300"/>
                                <a:gd name="T53" fmla="*/ T52 w 215"/>
                                <a:gd name="T54" fmla="+- 0 812 694"/>
                                <a:gd name="T55" fmla="*/ 812 h 215"/>
                                <a:gd name="T56" fmla="+- 0 2514 2300"/>
                                <a:gd name="T57" fmla="*/ T56 w 215"/>
                                <a:gd name="T58" fmla="+- 0 788 694"/>
                                <a:gd name="T59" fmla="*/ 788 h 215"/>
                                <a:gd name="T60" fmla="+- 0 2509 2300"/>
                                <a:gd name="T61" fmla="*/ T60 w 215"/>
                                <a:gd name="T62" fmla="+- 0 767 694"/>
                                <a:gd name="T63" fmla="*/ 767 h 215"/>
                                <a:gd name="T64" fmla="+- 0 2502 2300"/>
                                <a:gd name="T65" fmla="*/ T64 w 215"/>
                                <a:gd name="T66" fmla="+- 0 749 694"/>
                                <a:gd name="T67" fmla="*/ 749 h 215"/>
                                <a:gd name="T68" fmla="+- 0 2492 2300"/>
                                <a:gd name="T69" fmla="*/ T68 w 215"/>
                                <a:gd name="T70" fmla="+- 0 734 694"/>
                                <a:gd name="T71" fmla="*/ 734 h 215"/>
                                <a:gd name="T72" fmla="+- 0 2474 2300"/>
                                <a:gd name="T73" fmla="*/ T72 w 215"/>
                                <a:gd name="T74" fmla="+- 0 717 694"/>
                                <a:gd name="T75" fmla="*/ 717 h 215"/>
                                <a:gd name="T76" fmla="+- 0 2468 2300"/>
                                <a:gd name="T77" fmla="*/ T76 w 215"/>
                                <a:gd name="T78" fmla="+- 0 713 694"/>
                                <a:gd name="T79" fmla="*/ 713 h 21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215" h="215">
                                  <a:moveTo>
                                    <a:pt x="168" y="19"/>
                                  </a:moveTo>
                                  <a:lnTo>
                                    <a:pt x="108" y="19"/>
                                  </a:lnTo>
                                  <a:lnTo>
                                    <a:pt x="129" y="21"/>
                                  </a:lnTo>
                                  <a:lnTo>
                                    <a:pt x="148" y="28"/>
                                  </a:lnTo>
                                  <a:lnTo>
                                    <a:pt x="164" y="39"/>
                                  </a:lnTo>
                                  <a:lnTo>
                                    <a:pt x="180" y="57"/>
                                  </a:lnTo>
                                  <a:lnTo>
                                    <a:pt x="190" y="75"/>
                                  </a:lnTo>
                                  <a:lnTo>
                                    <a:pt x="195" y="93"/>
                                  </a:lnTo>
                                  <a:lnTo>
                                    <a:pt x="194" y="119"/>
                                  </a:lnTo>
                                  <a:lnTo>
                                    <a:pt x="154" y="182"/>
                                  </a:lnTo>
                                  <a:lnTo>
                                    <a:pt x="116" y="195"/>
                                  </a:lnTo>
                                  <a:lnTo>
                                    <a:pt x="170" y="195"/>
                                  </a:lnTo>
                                  <a:lnTo>
                                    <a:pt x="211" y="137"/>
                                  </a:lnTo>
                                  <a:lnTo>
                                    <a:pt x="215" y="118"/>
                                  </a:lnTo>
                                  <a:lnTo>
                                    <a:pt x="214" y="94"/>
                                  </a:lnTo>
                                  <a:lnTo>
                                    <a:pt x="209" y="73"/>
                                  </a:lnTo>
                                  <a:lnTo>
                                    <a:pt x="202" y="55"/>
                                  </a:lnTo>
                                  <a:lnTo>
                                    <a:pt x="192" y="40"/>
                                  </a:lnTo>
                                  <a:lnTo>
                                    <a:pt x="174" y="23"/>
                                  </a:lnTo>
                                  <a:lnTo>
                                    <a:pt x="168" y="19"/>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034D955F" id="Group 697" o:spid="_x0000_s1026" style="position:absolute;margin-left:70.9pt;margin-top:8.6pt;width:56.65pt;height:20.5pt;z-index:-251654144;mso-position-horizontal-relative:page" coordorigin="1691,652" coordsize="1133,4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Ydu7C4AAJF9AQAOAAAAZHJzL2Uyb0RvYy54bWzsfdty5MiR5fuazT+k8XHGWpVAXgCUqTQm&#10;jdRta6aZaTPlfgCbZBXLporJJdldrV3bf9/jcUGGRxwHUCBZbI6gh06W0jNw4B4X9+MeEb//118/&#10;f1r9cnV3//F48+6s+t36bHV1c3G8/Hjz4d3Z/zp8/117trp/OL+5PP90vLl6d/b3q/uzf/3DP/2P&#10;33+5fXtVH6+Pny6v7lZo5Ob+7Zfbd2fXDw+3b9+8ub+4vvp8fv+74+3VDb58f7z7fP6Af959eHN5&#10;d/4FrX/+9KZer/dvvhzvLm/vjhdX9/f4f//svzz7g2v//furi4f/fP/+/uph9endGbA9uP/euf/+&#10;JP9984ffn7/9cHd+e/3xIsA4n4Hi8/nHGzy0b+rP5w/nq5/vPhZNff54cXe8P75/+N3F8fOb4/v3&#10;Hy+u3Dvgbap19jY/3B1/vnXv8uHtlw+3vZqg2kxPs5u9+I9ffrxbfbx8d9ZU3dnq5vwzjOSeu9p3&#10;jajny+2Ht5D64e72b7c/3vl3xJ9/PV781z2+fpN/L//+4IVXP3359+MlGjz/+eHo1PPr+7vP0gRe&#10;fPWrs8Lfeytc/fqwusD/CSDb3e5sdYGv6v16swtWuriGKeVX1b6rzlb4dr+rvQEvrv8SflxVm43/&#10;6bZyv3tz/tY/1AENwPxbuX/0LxjVUKObpGpo6u651VA1a4CWF9o7lZ+/jbqoqvXev86maeO7RjUU&#10;v0rVkP3OVAOG3f2pZ90/rmf97fr89sp12HvpM71KYS6v0u/vrq5kMK+ajbPOl1snGHvWfdqtkm9E&#10;7B69b7RDfYUme42cv734+f7hh6uj65nnv/z1/sHPCpf4y/X3y4D+gK7x/vMnTBD/8t1qvarwEvgP&#10;bBfkoxhe14v985vVYb36snJmzITqKOTaguVXvfU/9A9Et+hbEpHrVd8PTkLbKBRQrXcUFYZU39Zh&#10;a6BCb0ve0EDVRCG8n4kKE3/SkqiJosKkc0LVGqgwlNPG9m3FlFWlehcZqq1KK94EVqW6P1S1BS3T&#10;/nq7pdhS7VcixMFp/dftuqFaq1ITHKq9BS4zggUuNYINTmbGxKQA11JwdWqHQ20OAG0ITOpMcXVq&#10;BpGhequ1Feqm6zi01AyH2hoFtTbDvuHQUiOIDIembVA36Jhs0sAyk4yE2hoKmDdTI+z3HdPaJjWB&#10;yFBoG20Bcz6TJfU0SDfWUNhoIxiTxyY1gZo9MCN/iHPu+XWchi9+vQnzMP5anYtfuXa+xO3xXryB&#10;A14VS+fBzcJoAlIyaRvCeLgIu2V2VBgWEWHMK+LojDUtE4YT300TR+9x4s69GG1dBpWIYzxMAVOH&#10;F62nval0Pmkd/WZK69IhnLh6Vf8OwVh3cL1zp/vubAWn+yd5xPnb2/MHsXH8c/UFjp3zdq7fncki&#10;J198Pv5ydTg6kQexNd5Gnhsdu9PXn26UmJKK38XPW9cUhhFaqrbhfeOX8TMV2jRRifHb+OmlABs9&#10;H61NEPRmwXTl1Rwbip+hwXWHCQgNjolBTSLmvGBoP7YSP31rmdLilxefjvdXHoWYwnXw3iZiysQp&#10;uj9++nj5/cdPn8QU93cffvq3T3erX84RU/3xj3+q//in8DZK7JMbhjdH+Vl8Wfk5XNtgdnFyXYz0&#10;f7uq3q7/VHfffb9vm++2329333XNuv1uXXV/6vbrbbf98/f/T3pEtX17/fHy8urmrx9vrmK8Vm2n&#10;ea0hcvSRlovYpNN1O4wV917mS67d/9hLIkC7ucTbnb+9vjq//Ev4++H84yf/9xuN2CkZrx0/nSIQ&#10;mHjvVkKR+7c/HS//Dk/37uhjVcTW+OP6ePd/zlZfEKe+O7v/3z+f312drT79zxu461213aIvP7h/&#10;bHeNLNJ36Tc/pd+c31ygqXdnD2eYSeXPf3vwwfDPt3cfP1zjSZXTxc3xjwjZ3n8UT9jh86jCPxAx&#10;uL9CoDcYTWGJ0dHUXvSYB40SOD9VUInF1c+V+30ID0/RlMzRElduuiKoLH6VRlPZ7zA8eFD5TaIp&#10;vEMeTdUuOHyGaGqqJnuN6InjK6IpuJNbcYzcCiSewEA0BXO4QXcS0p4MLA+vKFj/JATF9W6MiMAp&#10;iv3gJKSdmKqpXIxXoMJE3rcVoqkSVeZGclTKi7RQaSdS1ER1pXxI70KWqPJoynm3hbJ0NOW921Jb&#10;ZTTFgckAOukrRFMEWqZ9TP3MkFWqfay+zr8l4LT+xeumWqPRFAGXGWG9o71MeLT+VSsRov2siKYq&#10;rjkaTZXgaj0C3HPJEFDh1AA4bYe6rbjmxM3s3zXGUwRcZgjDrOKp9K3ZZsVkF8Qc4WGDSw1xCBFV&#10;CS6LqKp1LdFeMR5USOWEqFnzmKpb8/mDxlQEnDaECS61wwC4zA5t4+iFYnLbpIY4bDy9QMBpQ+C5&#10;a6q51A5OiGpO3Bhvfc9jtZXjsQpwW6xJfS85bD29UILb5gMCUyYx6zadmKo1hDi4zA4NyDi2WG1T&#10;QxxA8wj5R8BpQ3R7IY2KLrdNzSAyHFpmhWZn6C01w2FrrQ6g21MzdBAk0HapEUSGQgM/n7ZlL6ap&#10;EQ6YMbnWdtoIHTomg5aaQGQ4NG0BG1pqg8POGgo7bYQ9BhaDlppAZCi0vbYAoHGD7lMbHPbWQEC/&#10;So2wb+iqtU9NIDIcmraAOfXuUxsc0HO5QffaCBa01AQ2NG0B053cpzY47K1h0GgjwJjMoE1qApHp&#10;tQaHeCGzLBbuFZBZJoMoayMiyMNmGm8nq5WIY52RWHqMRJT1w4lHymmYztyiM4s4puMpre8wyJ24&#10;4u3MV92FV91Ne1WZj6R1TCVTwMgc4cSnvaqMWxHHkEta9wp9FOeI1XklnCPiByFyTqRiz+55rY2x&#10;jh5flIo0W/z0jWFSwTtEdcbv4mcqs2mjWuK38TOweq6lEL9CC/Hb+BnBS7CHR04QxDIhgiPPhTcT&#10;BPteER8ZP8OjO6+QzZhcg0VAHowl1Bs2thM/46tg7RG5fuDF7+Onl5M1RcTWzp0yNSO+BMTq1vFR&#10;pph/h7oZZmK9FKLSwRfwT+zLEiLs+BlfM+h3VC7UDOQd7ml4XRSj1L0GF17Xc7z/ELyukIjfoCQE&#10;g6EgMd2M98pJTIMoSf3EUBJSRoWTHPVJfjq0m4TSMR1ehNLKSzeddNWW4aNPctEneuiYTU/xveWf&#10;FyQmDbgyEtMIuDIS0wwdxFM4IZtKYhphquIwzTC10hFSvUY8y3iHeRSmBS21gAktJzDXNQ9T5xGY&#10;3W7DAi7FX4pMH3ClKYO8HGQNWzGtzaMvO1dzUbA1ir0UGQ5ND4KqQ9BIoaU2+AryEsVfhHjIyEsI&#10;UXCvibw0uYfZ5CXlB+Ftnsa8zaxm5KUJbh55aUy6irtUxAj82YV9WNiHA2cf0DtAKzxv0JxHMaew&#10;Oot31h1mRERiU+OdsSirCnHRWMy2kUI0iQBHYruNLCYih6LzofBuI74G5DbrkcA90CSbnhGKComf&#10;Xxk/Tw7Io2Ch6SVkvEFxzVIK9MylQBhvuhTIuVDPWQpUb3aeDerACmHwnjZWSGZKCoFi0q3fXFL+&#10;5FQHpH+EWfQFi4DwXkX87Pinp46fS4XEcipDHVhcktLBr6kA2rTtyj3OmepUklMEz3hyJqJDZ5h7&#10;1Zv81E4avonI9Sqa/ySTRc7oQBRSETmXkHTkZkBK42YLko4YREEUUuqoHiRsLiFlQTPc2YbpSUXN&#10;TohpKo+aN21HcZGomSDTejeRpXq3kWnV1xtsG6D9KtW+30VBkGn1m8hS9ZvI8ph5u+a2JDFziawo&#10;+amoNVXIXK0hxKyZh8ybZk11RkJmgkwbwD2UjEcVMdvItAFqE1lqAR8xl8iKYh+U5xBkeby8pjrL&#10;wmXUMO+ozkitD0GWjwADmR4BEGLW3GgDANmGI1MjwBX6EGTaAF1Hu5kKlEWG4crD5C3ws5FJwuQS&#10;V1bh03U7ZkoVJIsMxaWVjxmDj0tS3kNwaeV33ZbiSlUvMhSXVj1w8TlW8sAnZtLV9pS48sqerma4&#10;dGUPZBguNB6e50vwtqibYnaUhPMJlyvsIbi08jvM1mRIypbgvimRobi06s25QjLbfWO+qofg0sq3&#10;cKWqt3BlJT0mLlLSU+LKCnq6hjo7qqBHZJi+9lr1mCe21I6knofg0sq3cKWqN3Fp1du4UuX7Yp4S&#10;V1bKY+BSpTwWribr95Zn0ah+j2oq5o2BeEgHkbh/pN83qt8bXqvk0H1/9uPR8qSxkynp9+gUFJdW&#10;voUrVb3IxP61cI8SaBr7D5fKJ0szS+WTpRle+WR2MZl7wGwcMHF4vnK4hEymBCceq5Kc+KMpYkzD&#10;UlWFtYoVVYnnjIfG2hWLHPa1S1Eq8qPx0/OkXgYLp3/Z+GX89EJhw+qYFKZa4YSG2xI3ClJ9yV18&#10;UvwM9C0m98lS2Dk9hD5U+Y1JeUP2W3gjnvjpcW09Ln+oCawcv42fQcq/o99WZkv5nobd8oPovVYR&#10;OA5JYSeu6GuaVMFgZ+ixgKGtEanA/w/3rqyjxuc8DWP+vftfUMtSZLUUWSUnX33ViU7WuTuYEQqS&#10;2E01r5gktkiWryaJsdmHcz+Ji+xkomObVpho171G1SyNm1Lf3e0SLaMT7blboFK/3QSl/XaQBZxc&#10;SR33qUQx4nsSm2REsds8VVLqBVHccTJqHlEMZoshSzUPhUmhEEGmlQ+N8fCXVFeVhqy0+vFQykdl&#10;20NdKU6JLCeKLWQziWLa8XOimFOLBVHccp29PFFskutqALh9oaU1C6KYk+sZUWyQ6yVRzKeLeUQx&#10;toeREaDO2QG5zonPkijmKThSVEV0lo8AlN0xZKn+gYxTjCVVzJHNoYqtsam4YifEZg1xoVOyZYtD&#10;uhj5OYcsxkOpztRWUCdEkWkDmAmJOXQxHkpnDcUXO6GIbCGCFiIIhzYZRWgmf/EkRNAz8xd5RG4R&#10;GLI8IBIdidzl4DSRGo6Qw8ZDfAzF0RtMAdJWZHNixBo/Ax/ipTCTDbUlBy2grRGmYxofItME2oLi&#10;hp6INcVJDTMKQWrkHcMTscINPTG3ZNTTEuEvNXGPOR7rG22jwggtIny3/fZVR/g8ovjqCN/I9KW5&#10;OSvRl7l4Vs1JGmVOiu8NSGl4b0GCqVOvc9PyYpPUuZ4W3RuYVHBvgSpie4MImRPbdzggg4QPeuOU&#10;O0SjjJ/zfVMbFDIwH31OZN+11EVXgb3IRD845Y3KuJ7jmhPXdy1NIKuwXmQorrzDGyVzc6L6DmWd&#10;xI6q+ktkKK6i1/MokJyeS+JTZDWSIdSBHyO4VEgvMgxXHtFvoFfWv+ZE9EahiQrorUKTMp7nhTlz&#10;4nkLVzrjWLjKaJ7P8XOi+Q5zDrGjCuZFhtmxjOX5rDonlu/AjDFcarKHDMWV9XuL9Z4TyRvzqgrk&#10;RYbhEtc7GUJmYc6swi9eyKQLv5JCpoVfWPiFl+IXTPaCH7Hz3HQEZgsE133C26IjQpK9l4vBbvz0&#10;5EA4DHxEKlAb8BKHwmtZjwTZcBAepOAcDbYVCgmGD3YJGXukKQbbCgUOw5RLoKJGihK2Xvtw2Yae&#10;GIgGZImmSI20ldk72m8hLRbS4jGkxemOpMEzveHwqY18iHzQp591I5/c5iQTSe9P9ZvQAIZv5Ct+&#10;kmzkUz/C5PxyG/kkz1gwOG70PzmDUyiE67BXB9a4mRv5tjgKpA4XcKXRb8nguJ6Timj/EuZmLrRi&#10;cJLS47ShLKAFGgqpZHAKSLpIwICknHoDUu7Tb1AHQbSUxlOewSkgyWhI3HCk3XgVRKpwJ8R8+pzD&#10;2Rq4GIdTItN6N7fLpXo3t8vlLM52iyibaIyxOCUyrX4TWap+E1nO41jIGI9TICs28mEXRj/Rnbam&#10;KiIH1uSRY16fsd0h0iY6Y0xOiSzr+5wx0UyOwZjkp3bj2gqOK9V/2MZX4MqqM56SybHmLsbklLh0&#10;7zfmCs3kJJPFEtG+7oj28WEeOr9dNS/MN3ygGCVZUZ73lKJUjA3iZ4jxfOn2SDJZZhw8cKQgPkRv&#10;06SQnx6MfzCA8MSJ0dtwjJepKypgCZKWIOkxQdK3yewKvVLEBW5Mv+a4AKfiMV8kdVPd6Zj+zODU&#10;nX+2uMBwj1L/1Gd2i8U+8414qDInLjA8I+UYuQM+CkhZXGD4RTqza/hrRVRgKGpOVGDhSpVuZd6K&#10;mMDqU6nmw+Eepb50TGD4azqzu/hrTo3e14lH2j/iMDmM9QGfR76d4POEbW3DTo9EDePORWhqxAXJ&#10;cC3Ohbu/frlV8Zvcqig5Ds3AhqOzP8i16z/IVYo/3kko9ZS3KoaD9RvP9p6OUqsl5SUUbI1KUPj2&#10;oA2v+yvq8x+dONj8Zz3teCKh5R2+kbeFV8i9LZ+peWpvq2pylUQW1lTIbB62anGIk3ugM8uJSSr8&#10;LXl2JqMdLlh91Vv+1BDU5mlI3AQvItervhOchDQnUrXuort4IN9JLF38ncdFQGmXq9k2DFS68IsI&#10;BaUX/qpp5PLJElThcxFQmdPVYp8EUZVyukSGwsq8LoFEcRGviyHTqm+3W4os1bzIcGRa90AmN6CV&#10;GiNcLEOm9d/uK4osVb/IUGQZF1s18GgZMsLFEmQZGdthSxexpuJiRYYj0/qvWnj2FFlqAX+NIkOm&#10;LdDhnjeGLO3+IsORaf1XuEaYI0st4NlYgiynY+GSE2S6sM4dkE5mi6yyruo2cqx82c8IH8uQaQt0&#10;+w1FlupfZKjOstq6SmoWKbLUAv72RIZMW6Cr9xRZqn+Rocjy6rp1xWcNUl1HkGXnqrUY6MSaqrxO&#10;ZDgyrX84iVxnpL6OIdMjwJjP1F45cz6Tqo0khQZkfD4jFXYEWXa2WouDNYnOVImdyFCdZTV2lRwO&#10;x/oZqbFjyLQFGtzky5ClI0BkODKt/6rDYkGRqRHgLk1kyLQFGqQdGbJ0BIgMRZYdsGZ6PiCpTx6L&#10;vzORIEM9edo3gIohUyesiUyPbMnjvO48jlndF/bgLZf/fZA0lBj59ni/kiJMGViIAbPL/x6dEJPB&#10;KeyQOAryuFPOy+excEv0NH4I85uEqMPZJ0xIEGqHi+88iVSNFAV6dVRYS4fSXZKsxxPhSgyKyUmB&#10;gh4eyFBrVaxE9IE4lB9pqfgZlBZOFKvH9n+KLyzPHbvSQFY/eQ08fwhfHTZujumuDls3q/VIe3GD&#10;6rCSq8bbFdWvQ+jyrhR1tuQLl3zhY/KFJz5rqKhS9oArSs/3/ecsqqyaMF8060Dc9VRUC6fLUXr4&#10;A2NGUXr5jxJKL/vZy1J6mPELSs/Nn09P6eUqsfTYK+QxlJ6Edn6iTfOjyq+Vq8DraLoTw5Z5tcJT&#10;RcufhBSl52mqsiV01iR2qlqUHzJQaVDhKb2yKR1SNBsKKo0nRASedtmSDieqZicBXampNJ5w5ZWk&#10;qYzSa3BiFVGVovREhsIqKL2thMAlLkbplS8pWzgS1be7liJLNS8yHJnWPTRWcWSp+n0qlelM67/F&#10;DjKms1T9IkORFZRew3XGKL1SZzmlt6kZMk3pQYYj0/oPlF5pTVJeSXSGozNTa3YNAs1ySOr6Sshw&#10;ZFr/VYe7JVg/I1tlCbKc0gPXRZBpSs/t4WVt6YmnEh6LIWOUXmlNWSmTEdBhHzxDlo4AkaE6Kyi9&#10;rZCNpTXJdln2ntoChjX1RQmWNTNKD/dE8imWUXqlzjJKrxMSqOxnitITGaqzbMtsJUcDMJ0xSo8g&#10;y0YArsNkyNIZSK7M5Mi0/kECdRxZOgcdMB3T1TKj9OSpBJmi9ExkOaXX7iURUPYzRumVOpO7y9MR&#10;wNcAvW/WWgPkgqykLSzlfNUkNyaQEYA73NPWHKld9jOpnfDPRNowkNrlW+aUXtPwsckoPdKanoNa&#10;kJLEmorSExnaz7JbE0LysLQmuTWB6AypjVRnLV+d9ukIEBmOTOsfyLg1hQDoLeDvTSDIsosTWpzU&#10;R3SmLk4QGYosuzkB/YyPTXJzAkOmR0CD4cSQpWuAyHBkWv9Vi6M72NgkdycwZNoCjSQCyhHQpPoX&#10;GYqsBa2Sjs3OGJsgrBJrtob33+oR0EjCqUTWKv/fJ5zK0dRq/WMN4P2sTS1wwFkHdKZttQUsZOkI&#10;EBmuM61/G1lqgQM8F4qs0xYwkOFm0JP+TWSd1j9WdO5td6kFDji3hiPTFmiQ8SPW7FL9iwzVWaf1&#10;j7QO9zW61AIHXJHEkWkLNBjoDFmqf5GhyLDLKarWXWwC11EyTuVUi2NEoyDWlAN+x8FhQ1eUcw02&#10;iFwJOneJbD9BipABT1sBPjefO6p1agjAM0ZCtdamADQOL7WECBnwtCngEHFXrVqn1gA8YzhUeVxs&#10;wNOBcQoPDMhyMbV10YdEs6DRD4hEPVE9fHOHhJhOPJ4IOSIOG4s4YrYprUsw5sTjEQnDrS+ZMcuq&#10;PDNmphjFaRS9w+GbYqaXuBzGxC6OiGCHEzEFu3gHTnzaq8INceL9RdzDPVLWUWkda+AUMLK4OXFV&#10;3W6+qltwRF6WiintuyXA/2Da67pJ2f0A02nyBEyhePFHFNyL1+pyqvikOdWQVovF9Keca0yJ+TSi&#10;BJjAB6bIo4vfxk8v5Y0GYwwJhfwhwschKW9QBDXDUr6xGoVkQ42JOwb0NVzxIbFKQlqRa4exxSRj&#10;jU492F7oZ2PPrcPuxRrh1VB7dTBW7c9AROeI6o+fIecrVJ28x5ic0NUiN2KLsP+hHrn8R6hLtFaB&#10;Zhh8C7g9IjZis3gyETAOtRZmXBAIQ1JVOHYZEAfF4puOvEHANqYPYfnlTYdbq8Rxh9hI35Rr/yA1&#10;PLYqoYsgNaKNbNDH3vM02e81/G543l7Py01Hy01HT3zTkfD4RbLXTcSvOtlr0Soq1jUi3SzO5WwP&#10;JqNTlGtRKkWMy7kezFh9WxOTvRyUim0tUFlka6WU4H2cQFlRreYYjBS0jmmtHHSe7O2MhNKsZG+z&#10;oWSiOhBZZDgZoJkFVBXzFATbv1ESgNllR8IzMxolVb/IUGRZsrdeG9TwrGRvu8Gel5LmVMlekeHI&#10;dNeXLY6UfZqV7DVSECrZa6YgZLX2Hdtf+GsiSy0Q9m+U1sySvUZRgUr2mkUFxf4Nt7OqZOzmJXt5&#10;eYg+UMcam0WyFywc4xLnJXtlB1PZz3Sy1+9gKvWfJ3vNxKWa+LGZiBKwebKXJy51stdMqeoR8NtN&#10;9mJs8oQS279RWiBP9uK6LGJNnex1V2qRFFCW7K3XbgdTOQJmJXuNWUMle81ZI0v2Ahnng2cle43E&#10;pUr22olLvQYDGU9BzEv2YscpsaZO9kKGrgF5srfrjDS08n/2BsGfJXubLUemXCDIcGR6DcCKzhNK&#10;s5K9hq+hkr2mr5Eney0/dl6y1/AaU/2rJNySc3AVvL/erM5vin0bS87B4u3D4c8HbCf0vMUw3RzO&#10;dz5gjZgiLpM/SJkDJu5J4oGdxmw6RfwV5Byencauc0bO4rGraQxfZHhH+G64SJ6Ui90mMmnx0/Ox&#10;tXhp6AAjZHYdLClkpTd8bCZ+huZkyyKaGydao9wwnS28rrRXj72tuBQiB5xD+KqJ9PNUOltocfdc&#10;BL9Dz61bb41RvYDed/obY6BDzqrqczLRDvEzmtc/F+WZg/DEC4f6EHIMiuVdOT5sYWeXvUmP2Zv0&#10;jU7XwVgo2Fk3n71qdrbdGcU+kZqRSiQjRs/Y2Y7WSCl2FiI0CsgCdH/ECAk2U1BWcBJlfGkUBwVb&#10;9oxqY4HKIpMWlAxjWhQ5NY2dla1GJJZT7KzIUF3l7GzrTj0plTWLnW3llICSAVLsrMhwZBk72xpM&#10;4yx2VtTPkKXqFxmKLGNncXwTt+U8dpaXrmt21ipdz046BzLO581jZ+UMm9Kamp31Z9iUbFLGzlZt&#10;zbkpWdb7wTSZnTU2vKTcYGtueNETj7l9aRY727ZUZ4qdFRnaz3J2tjW2781iZy1kqf5NZCU7yxNg&#10;s7biSLU56WeKnRUZqrN8K07rTiQq57NZW3Hk8DiGLF0ARIYjy1eALV8rZ7GzBjLFzprIMna2ai0O&#10;NF19D1jqKdeebcVx55iVs4ZmZ60sQMbO2shSCxz86TrlHJRtxXEnEhFkagTURoYu34rTGtacyc7S&#10;rYUZO2tsYc3Z2Rb3cDJPY95WHBxWRUaA3ooDGToC9vkIMMbmLHa2lVPpSmsqdlZkKLKcnW0bzrXP&#10;YmcN/6xJ2VnTP5N6piSrWVke9rytOIY/m44A5dAuvPHCG7+S+yXNMmXJ5IFfOvz34Y3NV5VJQV61&#10;L+h1fP2z08zx2KAuMvMWzRwKjnu5yOHFT08cyi49vMWpqjx+HT+9mOQRRcwfxoyXjF/HzyAWWhth&#10;cXvyeJgUjg/FkjXEVoZdAJi9B8WCPirvupivEMvgR+UCR4pga/Cxlbjzojrsbh16iw7EygSxyBuP&#10;8N9RbKTYOD505JbQCrfoePMPG6x/V9AGQ+8qB3K59vq9DLEbxU/fnYq+Hr9eeOiFh34FPDRGTcFD&#10;u+L5V81Dd0YEmxJC35yH7moeVKRxwMQqYcNvj6GCHD0/kYfuKg4qDQEmHgllxDkzeeiOM0q/AR7a&#10;nT1cMkq/AR7aQPYb4KENa748D231/5fnoa3p4uV56A7ld4xRenkeujMOEXp5HrprDLZXz/5GGnKr&#10;WSCD7dWnvE/loa19Ii/PQ3dG/fK8KmFejT6PhzaRvTgPbVnz5Xnozt28U66bL89DW2Pz5Xnozsj4&#10;vTwPbXnYCw8d7/8bYIrDjudDX6k3XEcrniV4l0PPbA2LL/XLS/3y4RWcmfL8PHSgGHt+2eKhccyv&#10;G2G9YCTx4mfg+oJSx5joKhS+j1HRlbh1QqiOcNG93MgBFP1zR9joKr7HCB0d1TLKM4dzZcbk6nCQ&#10;xhgfXcc7IEb46Fh+PsZbV6EyuhphpHu5EUq6f+4IJ12HyyKqUblArI9w0rWcSSb9ZYyTzvt97MYL&#10;J71w0q+Ak0YvLzhpl8F61Zy0VVPy9Zy01AGSUpe0OktEaKVLXhuNek1G5WhWghd6ZZzEnu4PTgPi&#10;FiIUVF4XZBzsPYeT5hV7mpO2mJKiNtqoV5rHSRvIUs2bFXvZje9YeDkjN4+TxgWrpHupK99bd+U7&#10;2eld1EYblVQzOWna8bPa6KTnw8Vczta0oiEeJz6/Vx4z6yjE8Rl40y0PCMVfHczVy4aCCYUJfe5/&#10;zK8MW9AqVHcMPrd4k8XRkgNh3ix33j/yzvtvswlNyn4KR8vtznzVjlaH+m/m07yoo9XteJ49Xe6n&#10;Jf/FiyLL8xxHq8NV8ExTL+1oWYT8yztanXF008s7WlavXxyt3ygh/+yOVo37Ep1bNOpo1XIWvzhQ&#10;Y44WCNIpjtZUAi8eqTDmaJVvsjhai6N19nCG43surn/7jJaUnxSOlqu1ftWOlrWzbIajxbeVKUbL&#10;2lVWMFq80GaGo8VBKUfLAlUwWvyyxjmOVk13x2pGCzKUaCsYLdxoxxzAeY6Wsac+1by5p75gtIxd&#10;i/McLW5JzWilplx4o+g0PeelCsWWDZMIkitexT8ZSaRVwj6KHBJvw8QNZhaRG0u8FggXv2PxO16R&#10;34G9brnfgRwyhsar9jusSsIX9Tu6LWed0tVvIsHDV6s5fkdnXF/90n5Ht+Mnxr6832H2rVT9ky/8&#10;5pZc/I77lewiF18Oq3BW1/j8vEhRlmP6HV1gUEb8DpzNPMnvqNf+jcf8DrtwaKngWSp4HsN3vPly&#10;++Hth7vbv92KD6D+vPiPX368W328xAGskv/0fsMPd8efb5FucIlQ+QGkfpCf/3gn9c2upb8eL/7r&#10;Xtzt/Pv+AWj3py//fry8end2/vPD0V2x9uv7u8/SxPH9e5kMcKqqH2vN2h2DeP726teH1YV8g0Nd&#10;VheYJ+QPPAanHVz/p/Wji+u/GD/DtOIfeVKBvMM3yrQhfikcMZf+fmpHbLoee4VAoT/fP/xwdXT2&#10;OP8FIZ9Tc1858eEygD/AEslhNPUWt6K6Bwb5KFY6YtF0p6b0qWuwOnpZsPxJKCWARASkRtmSJoDq&#10;zXZLQZWOWNmULmnyN1UXoFJPIFxUXbakCaB6g7P0maZKR6xsKr9h1h2PVqBSBFDjj0cjbWm1CySK&#10;izlipDWt+nYthUMlslTzIkOtmBFApsYYAUSQaf23tRxbVSJL1S8yFFlW0oQO1lCdsUxbiUycj2QM&#10;ta1cd1Ag0yVNkOHItP7rLQ6iZL2MbbMlyHTv79yxoiWytPuLDEem9V9vNzVHllogHPdYIgNNk+qs&#10;c3csF8jUZTwiQ5Fll/HUWxCNTGdsmy1Bpi3gc/MlMjUCfBUkaUvrv97hbnuKLLXAAScd4Bg+0pq2&#10;QItruEk/U5fxiAzVWXbcI5DtKDK2zbZEll3G07RyqGKhM3Xco8hwZFr/9RZVlUxn7LhHgkxboKml&#10;0qJElupfZDgyrX9zrWTbbEtk2WU8QMWQqeMeRaZHthDaA9vxeCGkeapWqPo79LtERrbjYYqTKBfT&#10;kzjJrtkBMDLvOPFY8zjcuuy5d+LxAKphcRmhIo7RNQXMk1z44V/5MYkEjAd3OzM+RXOncD2ewYTv&#10;8Vbx9KrT95Gu93Jyni7EsLb6d4/fxs8g5YSa4WOk/ANxheuEpipsZxp8oO8gY5c4y8MEPi41GmxO&#10;HuflRqpX8YpObmxXVCj6ABcy9Bbxkg8cWDkoFg5Ww5gbFBOTJyaNJnoa/uN7978AYLl79x/o7t1T&#10;8D/If8Bf0/xHOBLrOfkPHNIoPb7BWboYGSf+QzaJCv0Rdv0p+iP/zYn+yH7VB/snBXxD9gNvULAf&#10;bnl7evYj10hkkSx9PIL8qIVn8EdryjYTk/zAo51BTyJZCChZgmj1k1DKfbSuOKHvASehzP3dYB8Q&#10;w5TGHy4JVWLSrq88kGBKPV8TU+b4WphU5Cc3XZSYMubDHXtTKkoxH37LFNFUVvqCy6YM86V6P1Ry&#10;yDkBpvVuAUvVbgPTmreBpcr3GSgCTCvfMCNJQJ32FPe03/l1ZALhUwb3DX+xK/OCVxkdq2EfFFrB&#10;dHaIu3+GhYPzDBt7d2FYWmgraftRB2s82l+FWcRdFZUydzU41f2teJa7GnbL93LRB4qf3l0NUif7&#10;xa/jpxcLD50oVjzzafwu7A2qe5d58bv+gfyub5RmwRRZOBou+HrVjgbuYmeLepFlKZcD7WhgQWeL&#10;errgicj1KswSqVejF7x6gwQDw5SueJMcDQNTutaZmPRaJ3Aopq93NBqUxeKpudumHA2RoZrKHQ0L&#10;FkmxlAaUwsc0W8DdsuxCLcljEBPmGZbtRvhl4sCmyn8uRyPtW3mCxQJGEiylxrL8imFKlV8xTZld&#10;p4UsBh+JJL9CgGk/z+j46jYt1fPhlvzDu2Y2Jxs80J7bG/YTOYX73I6fnDUJ73SUplRS0Y2Ln96d&#10;8+zYMK/oZQpXTjckdyIB0zSp4edlrxefs7iOS8nSNyhZQj/WlF3YyP6clF0496zxNySfKDvJRAtl&#10;51M+irHLf3Ji7PSPXpawg8tU+NHPcgJTvckVEgk7Qx2P4OsqSfTjcRkZV7jR0Wonli1zo1HL0Jv8&#10;JKTcaIhcr8qGtDcHNOKxlpAKL7psKXMmOKTUkQNiCil3orsNhVQ40SWkjK1rNqAQ48g4qUk70ZBh&#10;eip8aAMV8aEJLq31BrXnDFeqdJGhuLTaTQOSIiWCS6u+2dNupbg6kWG4Cg/a6OvEgy5x5R40x6U9&#10;aAuXVj24Td67iANNcGnlG3bUDrRhx+w2WhuX6vYoEPtCBnVWnWT0e7xPiOTkdg6j3xfFSYYdSXFS&#10;qa+NVr5MAKTfq6toRSb2ryXeGKjSeAUlI4+OZqTHgsbGB2OxZfxPCGYwZhOpGBPEzzSYGa4b8MFM&#10;H97FBuKnb8g/bGRTZwA+IiWDGsBHHhikhqFnmoqQl7hoiYuePy6SwsE0Ltr7Mp58qwa4JdnV8VRb&#10;Ofzg2ePuPlXKUAtR6bZy+ASdioxCxU//o1NklP/sRWMjMCVlbPQsZ3mgjnWiHnuFPCI68hsBwg6b&#10;xF1PvBZ/Y1o03UlGh0cw4Ko34kkoDY9EBKWpZUvaY6k3O1fNW4BKXXW/p7ZsKnMWURlPQKkACSIU&#10;lHbTYRUJ2mCaLI5UrqJ4iuT98hBp1zJUOkSCDIVVxEioeGe4SIzEkGnVN92eIks1LzIcmdY9QLni&#10;/0JjJEpiyLT+W1wKRCypwiSRocjyOGmzdYXsBTISJxFkWaDUtg1DJsu/T+HA8RcZjkzrH+Xi3Jok&#10;UmLItAU6DG6iMxUqiQxHpvUfYqWy/7Mb08phKR5TktDqsMeBIFPBkshQZEW0tJXoskRGoiWisyxc&#10;6tBpGbJ0BIgMR6b1X29x+RRFlk5AYSsH0Zm2QNvtKLJ0AhIZiizfyhE2TBQjgG3lKJFlWznalo5N&#10;tZVDZDiyfAS42Le0JtvKQZBpC1jIUv3byLT+hbGj1mRbOUpk2VYOY9YQN2N81tjppbfebPjaxG5M&#10;I8i0BVocWUpGgL4xDTLUmjut/3pT8/lMbmPv3/OAk1vpuilZqmTWaNcVRaZGAGQosr2egYCMr07s&#10;xrRSZ1LOniBrsFWP6GyfrgEiw5Fp/cP9aWk/k+tbTjrbuzsDCTJtgaamYxNVDqe2RIYj0/qPm5mK&#10;WYPdmFYiw/HbSme4gpboTC5t6d+ygQxF1mj9Y6blOmM3phFk2gLyVIYs1b+NTOu/3qJzszWA3ZhG&#10;kGkLNNiBx5ClI0BkqM5arX+UNfBZQ26t7y1wwBY8OjZxuXxqTQSYDFmbjgCR4ci0/uFr8FkDFxel&#10;yIwR0GoLQF8UWToCRIYj0/o3R0CbWuCACyOozjptAQNZl+pfIVu42dfNzSJO54XUr2A7n4ldnAxQ&#10;pgc4CFNqtWXld+JxO9twyY4sxyKOpXRK6+GKs4Ov4vNc+ECfkYVLWseiM6V1WU2c+LRXlSneiU97&#10;VZl3RRxz5hQwMhk68WkV9TJDiThml6R1r6HHbNLEmuU2aeKT5QuqcL6L8xnwNKvqXdxjwEOxokcX&#10;6fL46Zl+/w774YKk0FJfcR6biJ++KSxf8jwE1kMPjPXzPlkP/LGR+OkbqxCvSHM1CjeHmqtCUqAG&#10;OzMoJ7GTtAftDcqF4YHTGYflxPeS1+2GX7eSYtEJcqF6oxpRixwzIK3t4gCIWoufwRTRYrEnx6/j&#10;ZxDzJmuHpUJlG/Kbg4qLh6QPI6v2WP+dPoZbk7BHxEasEPQx1ke8OuKIiUqIn7HHeWS51JJeWtJL&#10;j0kvfZsdG0JgZJVme7+//el3bISpGY60jOFTtZ5wgWlWCpN7PJxs9sFYRhSaOvTTsilGCJpGU2YE&#10;mgdTRopHxVJGKKUjKQNUGkiZoPI4CpQDi4qxYCShJ4+i8mxKRWNinU2BDI3v8mzKdttSXPOyKaCY&#10;+m53SolJv+tfsoEMR6Z1D4ZDNiGUvOisbEqzoQyHyqaIDEWWZ1O2oAgYslnZlAZH1xKdqWyKyHBk&#10;edfvDGSpBQ610flrbYEGd2YyZKr7Q4Yjy/s/iHqqMzUAXOUZy1nAQ/A96F++W+EYJZ6BUtkUkaHI&#10;imwKqBCGbFY2peVMmio+ExmOTOsfTJqBLLXA5GxKQzOd+mAsyFBkRTbFylmoiX9rMGnPmk3xB2MV&#10;jO3LZ1N2/mjEEpkaAZiOKZOWZ1M2dNbQ2RTIUGvm2ZQdFgs2AuZlU3CUAJk1dDYFMhxZNgJ2FR8B&#10;s7IpDVhKhizVv8hQZHk2ZWdUR8zLpmA3KkGmsyluxyqZG0EOpHMjDq0z8jxqDZiaTdnSNUBnUyDD&#10;dVasAQay1AIHuJR0BOTZFOxRJDrT2RTIUGRFNgXX3bERMDObQq3ZpPpvKmN1wrFSyppmnketAZi3&#10;uc60BSx/NtW/cmgRIix7MS0O+xXURpsc9sK/W1b978e/YxAj5fCclHdOGlqcd+TGEXYNcpVSYgV2&#10;EQNsUGyL2U3ExihjLJAQg6c72JpkiyHWXyIZ6cf4GWhISWlCDLP5YGvgnUVshC+uwNGIWDWmkV2Q&#10;QxJ68LET6exqIj1eC6kg+DBfDD3XUUvuPYZtIekCp5ZhRrjG5T0ihuV38KnhpMg+ERdNFT+jyTyP&#10;jiBmqDXcD+ceish7UCzv7PFhCxG9ENGPIaJPJxaGKya+fMDlFeKB3Z3fXn+8+PP5w3n6byf19qo+&#10;Xh8/XV7d/eH/CwAAAP//AwBQSwMEFAAGAAgAAAAhAAMRoyrfAAAACQEAAA8AAABkcnMvZG93bnJl&#10;di54bWxMj0FLw0AQhe+C/2EZwZvdbDRaYjalFPVUBFtBvG2z0yQ0Oxuy2yT9944nvb3He7z5pljN&#10;rhMjDqH1pEEtEhBIlbct1Ro+9693SxAhGrKm84QaLhhgVV5fFSa3fqIPHHexFjxCITcamhj7XMpQ&#10;NehMWPgeibOjH5yJbIda2sFMPO46mSbJo3SmJb7QmB43DVan3dlpeJvMtL5XL+P2dNxcvvfZ+9dW&#10;oda3N/P6GUTEOf6V4Ref0aFkpoM/kw2iY/+gGD2yeEpBcCHNMgXioCFbpiDLQv7/oPwBAAD//wMA&#10;UEsBAi0AFAAGAAgAAAAhALaDOJL+AAAA4QEAABMAAAAAAAAAAAAAAAAAAAAAAFtDb250ZW50X1R5&#10;cGVzXS54bWxQSwECLQAUAAYACAAAACEAOP0h/9YAAACUAQAACwAAAAAAAAAAAAAAAAAvAQAAX3Jl&#10;bHMvLnJlbHNQSwECLQAUAAYACAAAACEADJ2HbuwuAACRfQEADgAAAAAAAAAAAAAAAAAuAgAAZHJz&#10;L2Uyb0RvYy54bWxQSwECLQAUAAYACAAAACEAAxGjKt8AAAAJAQAADwAAAAAAAAAAAAAAAABGMQAA&#10;ZHJzL2Rvd25yZXYueG1sUEsFBgAAAAAEAAQA8wAAAFIyAAAAAA==&#10;">
                <v:group id="Group 729" o:spid="_x0000_s1027" style="position:absolute;left:1703;top:667;width:1106;height:378" coordorigin="1703,667" coordsize="1106,37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joExMIAAADcAAAADwAAAGRycy9kb3ducmV2LnhtbERPTYvCMBC9C/sfwix4&#10;07SKunSNIrIuexDBuiDehmZsi82kNLGt/94cBI+P971c96YSLTWutKwgHkcgiDOrS84V/J92oy8Q&#10;ziNrrCyTggc5WK8+BktMtO34SG3qcxFC2CWooPC+TqR0WUEG3djWxIG72sagD7DJpW6wC+GmkpMo&#10;mkuDJYeGAmvaFpTd0rtR8Ntht5nGP+3+dt0+LqfZ4byPSanhZ7/5BuGp92/xy/2nFSwmYX44E46A&#10;XD0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LY6BMTCAAAA3AAAAA8A&#10;AAAAAAAAAAAAAAAAqgIAAGRycy9kb3ducmV2LnhtbFBLBQYAAAAABAAEAPoAAACZAwAAAAA=&#10;">
                  <v:shape id="Freeform 730" o:spid="_x0000_s1028" style="position:absolute;left:1703;top:667;width:1106;height:378;visibility:visible;mso-wrap-style:square;v-text-anchor:top" coordsize="1106,37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sGYi8QA&#10;AADcAAAADwAAAGRycy9kb3ducmV2LnhtbESPQWvCQBSE74X+h+UVehHdRCRK6iqlUNprbcAcX7PP&#10;JJh9G7KvMf33XUHwOMzMN8x2P7lOjTSE1rOBdJGAIq68bbk2UHy/zzeggiBb7DyTgT8KsN89Pmwx&#10;t/7CXzQepFYRwiFHA41In2sdqoYchoXviaN38oNDiXKotR3wEuGu08skybTDluNCgz29NVSdD7/O&#10;QFnMZCxLr1dH+cnSY8azTflhzPPT9PoCSmiSe/jW/rQG1ssUrmfiEdC7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LBmIvEAAAA3AAAAA8AAAAAAAAAAAAAAAAAmAIAAGRycy9k&#10;b3ducmV2LnhtbFBLBQYAAAAABAAEAPUAAACJAwAAAAA=&#10;" path="m27,l2,,,14,,377r1104,l1105,24,1096,4,1078,2,27,xe" fillcolor="#aab2ab" stroked="f">
                    <v:path arrowok="t" o:connecttype="custom" o:connectlocs="27,667;2,667;0,681;0,1044;1104,1044;1105,691;1096,671;1078,669;27,667" o:connectangles="0,0,0,0,0,0,0,0,0"/>
                  </v:shape>
                </v:group>
                <v:group id="Group 726" o:spid="_x0000_s1029" style="position:absolute;left:1701;top:662;width:1113;height:390" coordorigin="1701,662" coordsize="1113,39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aQ/KMUAAADcAAAADwAAAGRycy9kb3ducmV2LnhtbESPT2vCQBTE7wW/w/IE&#10;b3WTSKtEVxFR6UEK/gHx9sg+k2D2bciuSfz23UKhx2FmfsMsVr2pREuNKy0riMcRCOLM6pJzBZfz&#10;7n0GwnlkjZVlUvAiB6vl4G2BqbYdH6k9+VwECLsUFRTe16mULivIoBvbmjh4d9sY9EE2udQNdgFu&#10;KplE0ac0WHJYKLCmTUHZ4/Q0CvYddutJvG0Pj/vmdTt/fF8PMSk1GvbrOQhPvf8P/7W/tIJpksDv&#10;mXAE5PIH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CmkPyjFAAAA3AAA&#10;AA8AAAAAAAAAAAAAAAAAqgIAAGRycy9kb3ducmV2LnhtbFBLBQYAAAAABAAEAPoAAACcAwAAAAA=&#10;">
                  <v:shape id="Freeform 728" o:spid="_x0000_s1030" style="position:absolute;left:1701;top:662;width:1113;height:390;visibility:visible;mso-wrap-style:square;v-text-anchor:top" coordsize="1113,3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OhXDccA&#10;AADcAAAADwAAAGRycy9kb3ducmV2LnhtbESPUWvCQBCE3wv+h2OFvtWLFtSmnlIsraJIqW3p65pb&#10;k9DcbsidGvvrPaHQx2FmvmEms9ZV6kiNL4UN9HsJKOJMbMm5gc+Pl7sxKB+QLVbCZOBMHmbTzs0E&#10;UysnfqfjNuQqQtinaKAIoU619llBDn1PauLo7aVxGKJscm0bPEW4q/QgSYbaYclxocCa5gVlP9uD&#10;M7CUh7P7/ZLVYfM8rxbytnvtf6+Nue22T4+gArXhP/zXXloDo8E9XM/EI6Cn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DoVw3HAAAA3AAAAA8AAAAAAAAAAAAAAAAAmAIAAGRy&#10;cy9kb3ducmV2LnhtbFBLBQYAAAAABAAEAPUAAACMAwAAAAA=&#10;" path="m1103,l9,,,9,,387r2,3l1110,390r2,-3l1112,359r-913,l176,358,114,339,66,302,54,286,9,274,9,15r5,-5l1112,10,1103,xe" fillcolor="#010202" stroked="f">
                    <v:path arrowok="t" o:connecttype="custom" o:connectlocs="1103,662;9,662;0,671;0,1049;2,1052;1110,1052;1112,1049;1112,1021;199,1021;176,1020;114,1001;66,964;54,948;9,936;9,677;14,672;1112,672;1103,662" o:connectangles="0,0,0,0,0,0,0,0,0,0,0,0,0,0,0,0,0,0"/>
                  </v:shape>
                  <v:shape id="Freeform 727" o:spid="_x0000_s1031" style="position:absolute;left:1701;top:662;width:1113;height:390;visibility:visible;mso-wrap-style:square;v-text-anchor:top" coordsize="1113,3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wHPeccA&#10;AADcAAAADwAAAGRycy9kb3ducmV2LnhtbESPUWvCQBCE3wv+h2OFvtWLUtSmnlIsraJIqW3p65pb&#10;k9DcbsidGvvrPaHQx2FmvmEms9ZV6kiNL4UN9HsJKOJMbMm5gc+Pl7sxKB+QLVbCZOBMHmbTzs0E&#10;UysnfqfjNuQqQtinaKAIoU619llBDn1PauLo7aVxGKJscm0bPEW4q/QgSYbaYclxocCa5gVlP9uD&#10;M7CUh7P7/ZLVYfM8rxbytnvtf6+Nue22T4+gArXhP/zXXloDo8E9XM/EI6Cn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8Bz3nHAAAA3AAAAA8AAAAAAAAAAAAAAAAAmAIAAGRy&#10;cy9kb3ducmV2LnhtbFBLBQYAAAAABAAEAPUAAACMAwAAAAA=&#10;" path="m1112,10r-14,l1103,15r,259l335,274r-11,17l311,307r-50,36l199,359r913,l1112,10xe" fillcolor="#010202" stroked="f">
                    <v:path arrowok="t" o:connecttype="custom" o:connectlocs="1112,672;1098,672;1103,677;1103,936;335,936;324,953;311,969;261,1005;199,1021;1112,1021;1112,672" o:connectangles="0,0,0,0,0,0,0,0,0,0,0"/>
                  </v:shape>
                </v:group>
                <v:group id="Group 722" o:spid="_x0000_s1032" style="position:absolute;left:2356;top:966;width:52;height:62" coordorigin="2356,966" coordsize="52,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k2nXMUAAADcAAAADwAAAGRycy9kb3ducmV2LnhtbESPQYvCMBSE78L+h/CE&#10;vWlaF3WpRhFZlz2IoC6It0fzbIvNS2liW/+9EQSPw8x8w8yXnSlFQ7UrLCuIhxEI4tTqgjMF/8fN&#10;4BuE88gaS8uk4E4OlouP3hwTbVveU3PwmQgQdgkqyL2vEildmpNBN7QVcfAutjbog6wzqWtsA9yU&#10;chRFE2mw4LCQY0XrnNLr4WYU/LbYrr7in2Z7vazv5+N4d9rGpNRnv1vNQHjq/Dv8av9pBdPRGJ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ZNp1zFAAAA3AAA&#10;AA8AAAAAAAAAAAAAAAAAqgIAAGRycy9kb3ducmV2LnhtbFBLBQYAAAAABAAEAPoAAACcAwAAAAA=&#10;">
                  <v:shape id="Freeform 725" o:spid="_x0000_s1033" style="position:absolute;left:2356;top:966;width:52;height:62;visibility:visible;mso-wrap-style:square;v-text-anchor:top" coordsize="52,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CjjnsQA&#10;AADcAAAADwAAAGRycy9kb3ducmV2LnhtbESP3WrCQBSE7wXfYTmF3ummQlKJrqJCSS8s1J8HOGRP&#10;fjB7dsmuJn17t1Do5TAz3zDr7Wg68aDet5YVvM0TEMSl1S3XCq6Xj9kShA/IGjvLpOCHPGw308ka&#10;c20HPtHjHGoRIexzVNCE4HIpfdmQQT+3jjh6le0Nhij7Wuoehwg3nVwkSSYNthwXGnR0aKi8ne9G&#10;gT9k1d61rhiKavj+SjG9H4tUqdeXcbcCEWgM/+G/9qdW8L7I4PdMPAJy8wQ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Ao457EAAAA3AAAAA8AAAAAAAAAAAAAAAAAmAIAAGRycy9k&#10;b3ducmV2LnhtbFBLBQYAAAAABAAEAPUAAACJAwAAAAA=&#10;" path="m32,l,,,61r33,l35,61,50,51r-36,l14,34r35,l47,31,44,29,40,28r3,-2l45,25r-31,l14,10r34,l35,,32,xe" stroked="f">
                    <v:path arrowok="t" o:connecttype="custom" o:connectlocs="32,966;0,966;0,1027;33,1027;35,1027;50,1017;14,1017;14,1000;49,1000;47,997;44,995;40,994;43,992;45,991;14,991;14,976;48,976;48,976;35,966;32,966" o:connectangles="0,0,0,0,0,0,0,0,0,0,0,0,0,0,0,0,0,0,0,0"/>
                  </v:shape>
                  <v:shape id="Freeform 724" o:spid="_x0000_s1034" style="position:absolute;left:2356;top:966;width:52;height:62;visibility:visible;mso-wrap-style:square;v-text-anchor:top" coordsize="52,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2RGBcQA&#10;AADcAAAADwAAAGRycy9kb3ducmV2LnhtbESP3WoCMRSE7wu+QziCdzWrsFpWo6gg60ULrfoAh83Z&#10;H9ychE1017c3hUIvh5n5hllvB9OKB3W+saxgNk1AEBdWN1wpuF6O7x8gfEDW2FomBU/ysN2M3taY&#10;advzDz3OoRIRwj5DBXUILpPSFzUZ9FPriKNX2s5giLKrpO6wj3DTynmSLKTBhuNCjY4ONRW3890o&#10;8IdFuXeNy/u87L+/Ukzvn3mq1GQ87FYgAg3hP/zXPmkFy/kSfs/EIyA3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9kRgXEAAAA3AAAAA8AAAAAAAAAAAAAAAAAmAIAAGRycy9k&#10;b3ducmV2LnhtbFBLBQYAAAAABAAEAPUAAACJAwAAAAA=&#10;" path="m49,34r-18,l34,35r3,2l38,39r,5l28,51r22,l51,49r1,-3l52,39,51,36,49,34xe" stroked="f">
                    <v:path arrowok="t" o:connecttype="custom" o:connectlocs="49,1000;31,1000;34,1001;37,1003;38,1005;38,1010;28,1017;50,1017;51,1015;52,1012;52,1005;51,1002;49,1000" o:connectangles="0,0,0,0,0,0,0,0,0,0,0,0,0"/>
                  </v:shape>
                  <v:shape id="Freeform 723" o:spid="_x0000_s1035" style="position:absolute;left:2356;top:966;width:52;height:62;visibility:visible;mso-wrap-style:square;v-text-anchor:top" coordsize="52,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vvSd8IA&#10;AADcAAAADwAAAGRycy9kb3ducmV2LnhtbERPS2rDMBDdB3oHMYXuYrkBO8GNEtpAcRYtNG4PMFjj&#10;D7VGwlJs9/bRopDl4/33x8UMYqLR95YVPCcpCOLa6p5bBT/f7+sdCB+QNQ6WScEfeTgeHlZ7LLSd&#10;+UJTFVoRQ9gXqKALwRVS+rojgz6xjjhyjR0NhgjHVuoR5xhuBrlJ01wa7Dk2dOjo1FH9W12NAn/K&#10;mzfXu3Ium/nrM8Ps+lFmSj09Lq8vIAIt4S7+d5+1gu0mro1n4hGQhx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O+9J3wgAAANwAAAAPAAAAAAAAAAAAAAAAAJgCAABkcnMvZG93&#10;bnJldi54bWxQSwUGAAAAAAQABAD1AAAAhwMAAAAA&#10;" path="m48,10r-34,l29,10r2,1l36,16r,4l35,22r-3,2l30,25r15,l48,21r1,-3l49,11,48,10xe" stroked="f">
                    <v:path arrowok="t" o:connecttype="custom" o:connectlocs="48,976;14,976;29,976;31,977;36,982;36,986;35,988;32,990;30,991;45,991;48,987;49,984;49,977;48,976" o:connectangles="0,0,0,0,0,0,0,0,0,0,0,0,0,0"/>
                  </v:shape>
                </v:group>
                <v:group id="Group 719" o:spid="_x0000_s1036" style="position:absolute;left:2410;top:966;width:59;height:62" coordorigin="2410,966" coordsize="59,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wCtWcYAAADcAAAADwAAAGRycy9kb3ducmV2LnhtbESPT2vCQBTE74LfYXmC&#10;t7qJ4p9GVxFR6UEK1ULp7ZF9JsHs25Bdk/jtu0LB4zAzv2FWm86UoqHaFZYVxKMIBHFqdcGZgu/L&#10;4W0BwnlkjaVlUvAgB5t1v7fCRNuWv6g5+0wECLsEFeTeV4mULs3JoBvZijh4V1sb9EHWmdQ1tgFu&#10;SjmOopk0WHBYyLGiXU7p7Xw3Co4ttttJvG9Ot+vu8XuZfv6cYlJqOOi2SxCeOv8K/7c/tIL5+B2e&#10;Z8IRkOs/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nAK1ZxgAAANwA&#10;AAAPAAAAAAAAAAAAAAAAAKoCAABkcnMvZG93bnJldi54bWxQSwUGAAAAAAQABAD6AAAAnQMAAAAA&#10;">
                  <v:shape id="Freeform 721" o:spid="_x0000_s1037" style="position:absolute;left:2410;top:966;width:59;height:62;visibility:visible;mso-wrap-style:square;v-text-anchor:top" coordsize="59,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cr7cMA&#10;AADcAAAADwAAAGRycy9kb3ducmV2LnhtbERPu27CMBTdkfgH6yJ1A4dWohDiINSqaheGQsRju7Vv&#10;k4j4Oo1dSP++HpAYj847W/W2ERfqfO1YwXSSgCDWztRcKih2b+M5CB+QDTaOScEfeVjlw0GGqXFX&#10;/qTLNpQihrBPUUEVQptK6XVFFv3EtcSR+3adxRBhV0rT4TWG20Y+JslMWqw5NlTY0ktF+rz9tQrs&#10;1+KweT3+9LLVcl7o9f79tLdKPYz69RJEoD7cxTf3h1Hw/BTnxzPxCMj8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ycr7cMAAADcAAAADwAAAAAAAAAAAAAAAACYAgAAZHJzL2Rv&#10;d25yZXYueG1sUEsFBgAAAAAEAAQA9QAAAIgDAAAAAA==&#10;" path="m15,l,,23,37r,24l36,61r,-23l44,24r-14,l15,xe" stroked="f">
                    <v:path arrowok="t" o:connecttype="custom" o:connectlocs="15,966;0,966;23,1003;23,1027;36,1027;36,1004;44,990;30,990;15,966" o:connectangles="0,0,0,0,0,0,0,0,0"/>
                  </v:shape>
                  <v:shape id="Freeform 720" o:spid="_x0000_s1038" style="position:absolute;left:2410;top:966;width:59;height:62;visibility:visible;mso-wrap-style:square;v-text-anchor:top" coordsize="59,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GuOdsYA&#10;AADcAAAADwAAAGRycy9kb3ducmV2LnhtbESPQWvCQBSE7wX/w/IEb3WTCtambkRail48aMW2t+fu&#10;MwnNvk2zq8Z/7woFj8PMfMNMZ52txYlaXzlWkA4TEMTamYoLBdvPj8cJCB+QDdaOScGFPMzy3sMU&#10;M+POvKbTJhQiQthnqKAMocmk9Loki37oGuLoHVxrMUTZFtK0eI5wW8unJBlLixXHhRIbeitJ/26O&#10;VoHdv3yt3r//OtloOdnq+W7xs7NKDfrd/BVEoC7cw//tpVHwPErhdiYeAZlf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GuOdsYAAADcAAAADwAAAAAAAAAAAAAAAACYAgAAZHJz&#10;L2Rvd25yZXYueG1sUEsFBgAAAAAEAAQA9QAAAIsDAAAAAA==&#10;" path="m59,l44,,30,24r14,l59,xe" stroked="f">
                    <v:path arrowok="t" o:connecttype="custom" o:connectlocs="59,966;44,966;30,990;44,990;59,966" o:connectangles="0,0,0,0,0"/>
                  </v:shape>
                </v:group>
                <v:group id="Group 717" o:spid="_x0000_s1039" style="position:absolute;left:1766;top:719;width:253;height:250" coordorigin="1766,719" coordsize="253,2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H2p9cYAAADcAAAADwAAAGRycy9kb3ducmV2LnhtbESPT2vCQBTE7wW/w/IK&#10;vdXNH2wldQ0itngQoSqU3h7ZZxKSfRuy2yR++25B6HGYmd8wq3wyrRiod7VlBfE8AkFcWF1zqeBy&#10;fn9egnAeWWNrmRTcyEG+nj2sMNN25E8aTr4UAcIuQwWV910mpSsqMujmtiMO3tX2Bn2QfSl1j2OA&#10;m1YmUfQiDdYcFirsaFtR0Zx+jIKPEcdNGu+GQ3Pd3r7Pi+PXISalnh6nzRsIT5P/D9/be63gNU3g&#10;70w4AnL9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sfan1xgAAANwA&#10;AAAPAAAAAAAAAAAAAAAAAKoCAABkcnMvZG93bnJldi54bWxQSwUGAAAAAAQABAD6AAAAnQMAAAAA&#10;">
                  <v:shape id="Freeform 718" o:spid="_x0000_s1040" style="position:absolute;left:1766;top:719;width:253;height:250;visibility:visible;mso-wrap-style:square;v-text-anchor:top" coordsize="253,2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1ING8YA&#10;AADcAAAADwAAAGRycy9kb3ducmV2LnhtbESPQWsCMRSE74X+h/AK3mpWF7VsjVJE0RZFtB7s7bF5&#10;bpZuXpYk1e2/bwqFHoeZ+YaZzjvbiCv5UDtWMOhnIIhLp2uuFJzeV49PIEJE1tg4JgXfFGA+u7+b&#10;YqHdjQ90PcZKJAiHAhWYGNtCylAashj6riVO3sV5izFJX0nt8ZbgtpHDLBtLizWnBYMtLQyVn8cv&#10;q+Bjx9v96OyXow2a/HUt37IDjpXqPXQvzyAidfE//NfeaAWTPIffM+kIyNk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1ING8YAAADcAAAADwAAAAAAAAAAAAAAAACYAgAAZHJz&#10;L2Rvd25yZXYueG1sUEsFBgAAAAAEAAQA9QAAAIsDAAAAAA==&#10;" path="m104,l45,28,8,81,,125r1,17l24,198r50,38l148,250r21,-6l222,207r28,-59l252,125r-1,-17l228,52,178,14,104,xe" stroked="f">
                    <v:path arrowok="t" o:connecttype="custom" o:connectlocs="104,719;45,747;8,800;0,844;1,861;24,917;74,955;148,969;169,963;222,926;250,867;252,844;251,827;228,771;178,733;104,719" o:connectangles="0,0,0,0,0,0,0,0,0,0,0,0,0,0,0,0"/>
                  </v:shape>
                </v:group>
                <v:group id="Group 708" o:spid="_x0000_s1041" style="position:absolute;left:1748;top:700;width:289;height:289" coordorigin="1748,700" coordsize="289,28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NiUGsUAAADcAAAADwAAAGRycy9kb3ducmV2LnhtbESPQWvCQBSE7wX/w/IE&#10;b7qJWi3RVURUPEihWii9PbLPJJh9G7JrEv+9WxB6HGbmG2a57kwpGqpdYVlBPIpAEKdWF5wp+L7s&#10;hx8gnEfWWFomBQ9ysF713paYaNvyFzVnn4kAYZeggtz7KpHSpTkZdCNbEQfvamuDPsg6k7rGNsBN&#10;KcdRNJMGCw4LOVa0zSm9ne9GwaHFdjOJd83pdt0+fi/vnz+nmJQa9LvNAoSnzv+HX+2jVjCfTOHv&#10;TDgCcvUE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EzYlBrFAAAA3AAA&#10;AA8AAAAAAAAAAAAAAAAAqgIAAGRycy9kb3ducmV2LnhtbFBLBQYAAAAABAAEAPoAAACcAwAAAAA=&#10;">
                  <v:shape id="Freeform 716" o:spid="_x0000_s1042" style="position:absolute;left:1748;top:700;width:289;height:289;visibility:visible;mso-wrap-style:square;v-text-anchor:top" coordsize="289,2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sKKYMUA&#10;AADcAAAADwAAAGRycy9kb3ducmV2LnhtbESPQWvCQBSE74L/YXlCb7qpxVZjNlIsSqilUPXi7ZF9&#10;TVKzb0N2a+K/7xYEj8PMfMMkq97U4kKtqywreJxEIIhzqysuFBwPm/EchPPIGmvLpOBKDlbpcJBg&#10;rG3HX3TZ+0IECLsYFZTeN7GULi/JoJvYhjh437Y16INsC6lb7ALc1HIaRc/SYMVhocSG1iXl5/2v&#10;UXDOdt3Vv/8sNt3bNsfskz7kiZR6GPWvSxCeen8P39qZVvDyNIP/M+EIyPQ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wopgxQAAANwAAAAPAAAAAAAAAAAAAAAAAJgCAABkcnMv&#10;ZG93bnJldi54bWxQSwUGAAAAAAQABAD1AAAAigMAAAAA&#10;" path="m128,l55,30,9,93,,158r3,19l30,232r62,47l158,288r20,-3l197,279r18,-8l228,262r-97,l112,258,59,226,27,156,26,132r3,-20l61,60,134,27r25,-1l229,26,213,16,195,9,176,3,154,,128,xe" fillcolor="#010202" stroked="f">
                    <v:path arrowok="t" o:connecttype="custom" o:connectlocs="128,700;55,730;9,793;0,858;3,877;30,932;92,979;158,988;178,985;197,979;215,971;228,962;131,962;112,958;59,926;27,856;26,832;29,812;61,760;134,727;159,726;229,726;229,726;213,716;195,709;176,703;154,700;128,700" o:connectangles="0,0,0,0,0,0,0,0,0,0,0,0,0,0,0,0,0,0,0,0,0,0,0,0,0,0,0,0"/>
                  </v:shape>
                  <v:shape id="Freeform 715" o:spid="_x0000_s1043" style="position:absolute;left:1748;top:700;width:289;height:289;visibility:visible;mso-wrap-style:square;v-text-anchor:top" coordsize="289,2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hAUF8YA&#10;AADcAAAADwAAAGRycy9kb3ducmV2LnhtbESPT2vCQBTE74LfYXmCt2ZjC7amboK0KMFKwT+X3h7Z&#10;1yQ1+zZkVxO/fbdQ8DjMzG+YZTaYRlypc7VlBbMoBkFcWF1zqeB0XD+8gHAeWWNjmRTcyEGWjkdL&#10;TLTteU/Xgy9FgLBLUEHlfZtI6YqKDLrItsTB+7adQR9kV0rdYR/gppGPcTyXBmsOCxW29FZRcT5c&#10;jIJz/tHf/PZnse7fNwXmn7STX6TUdDKsXkF4Gvw9/N/OtYLnpzn8nQlHQKa/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hAUF8YAAADcAAAADwAAAAAAAAAAAAAAAACYAgAAZHJz&#10;L2Rvd25yZXYueG1sUEsFBgAAAAAEAAQA9QAAAIsDAAAAAA==&#10;" path="m229,26r-70,l178,30r19,7l242,77r19,57l262,156r,2l226,230r-70,31l131,262r97,l271,215r16,-59l288,132r-3,-21l247,41r-4,-4l229,26xe" fillcolor="#010202" stroked="f">
                    <v:path arrowok="t" o:connecttype="custom" o:connectlocs="229,726;159,726;178,730;197,737;242,777;261,834;262,856;262,858;226,930;156,961;131,962;228,962;271,915;287,856;288,832;285,811;247,741;243,737;229,726" o:connectangles="0,0,0,0,0,0,0,0,0,0,0,0,0,0,0,0,0,0,0"/>
                  </v:shape>
                  <v:shape id="Freeform 714" o:spid="_x0000_s1044" style="position:absolute;left:1748;top:700;width:289;height:289;visibility:visible;mso-wrap-style:square;v-text-anchor:top" coordsize="289,2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VyxjMUA&#10;AADcAAAADwAAAGRycy9kb3ducmV2LnhtbESPT2vCQBTE74LfYXmCN93YgtbUTZAWJbRS8M+lt0f2&#10;NUnNvg3Z1cRv3y0IHoeZ+Q2zSntTiyu1rrKsYDaNQBDnVldcKDgdN5MXEM4ja6wtk4IbOUiT4WCF&#10;sbYd7+l68IUIEHYxKii9b2IpXV6SQTe1DXHwfmxr0AfZFlK32AW4qeVTFM2lwYrDQokNvZWUnw8X&#10;o+CcfXY3//G73HTv2xyzL9rJb1JqPOrXryA89f4RvrczrWDxvID/M+EIyOQ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1XLGMxQAAANwAAAAPAAAAAAAAAAAAAAAAAJgCAABkcnMv&#10;ZG93bnJldi54bWxQSwUGAAAAAAQABAD1AAAAigMAAAAA&#10;" path="m104,99r-12,l82,103,66,119r-4,11l62,158r4,11l81,185r11,4l109,189r20,-7l140,170r-46,l88,161r,-34l94,118r44,l140,117,125,103,104,99xe" fillcolor="#010202" stroked="f">
                    <v:path arrowok="t" o:connecttype="custom" o:connectlocs="104,799;92,799;82,803;66,819;62,830;62,858;66,869;81,885;92,889;109,889;129,882;140,870;94,870;88,861;88,827;94,818;138,818;140,817;125,803;104,799" o:connectangles="0,0,0,0,0,0,0,0,0,0,0,0,0,0,0,0,0,0,0,0"/>
                  </v:shape>
                  <v:shape id="Freeform 713" o:spid="_x0000_s1045" style="position:absolute;left:1748;top:700;width:289;height:289;visibility:visible;mso-wrap-style:square;v-text-anchor:top" coordsize="289,2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MMl/sEA&#10;AADcAAAADwAAAGRycy9kb3ducmV2LnhtbERPy4rCMBTdD/gP4QruxlSFGa1GEcWhOCL42Li7NNe2&#10;2tyUJtr692YxMMvDec8WrSnFk2pXWFYw6EcgiFOrC84UnE+bzzEI55E1lpZJwYscLOadjxnG2jZ8&#10;oOfRZyKEsItRQe59FUvp0pwMur6tiAN3tbVBH2CdSV1jE8JNKYdR9CUNFhwacqxolVN6Pz6Mgnvy&#10;27z89jbZNOufFJM97eSFlOp12+UUhKfW/4v/3IlW8D0Ka8OZcATk/A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TDJf7BAAAA3AAAAA8AAAAAAAAAAAAAAAAAmAIAAGRycy9kb3du&#10;cmV2LnhtbFBLBQYAAAAABAAEAPUAAACGAwAAAAA=&#10;" path="m188,99r-13,l165,103r-16,16l146,130r,28l149,169r16,16l175,189r18,l212,182r12,-12l178,170r-7,-9l171,127r7,-9l222,118r2,-1l209,103,188,99xe" fillcolor="#010202" stroked="f">
                    <v:path arrowok="t" o:connecttype="custom" o:connectlocs="188,799;175,799;165,803;149,819;146,830;146,858;149,869;165,885;175,889;193,889;212,882;224,870;178,870;171,861;171,827;178,818;222,818;224,817;209,803;188,799" o:connectangles="0,0,0,0,0,0,0,0,0,0,0,0,0,0,0,0,0,0,0,0"/>
                  </v:shape>
                  <v:shape id="Freeform 712" o:spid="_x0000_s1046" style="position:absolute;left:1748;top:700;width:289;height:289;visibility:visible;mso-wrap-style:square;v-text-anchor:top" coordsize="289,2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4+AZcUA&#10;AADcAAAADwAAAGRycy9kb3ducmV2LnhtbESPQWvCQBSE74L/YXlCb7ppC9qk2YhYlGClUNtLb4/s&#10;a5KafRuyq4n/visIHoeZ+YZJl4NpxJk6V1tW8DiLQBAXVtdcKvj+2kxfQDiPrLGxTAou5GCZjUcp&#10;Jtr2/Enngy9FgLBLUEHlfZtI6YqKDLqZbYmD92s7gz7IrpS6wz7ATSOfomguDdYcFipsaV1RcTyc&#10;jIJj/t5f/O4v3vRv2wLzD9rLH1LqYTKsXkF4Gvw9fGvnWsHiOYbrmXAEZPY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j4BlxQAAANwAAAAPAAAAAAAAAAAAAAAAAJgCAABkcnMv&#10;ZG93bnJldi54bWxQSwUGAAAAAAQABAD1AAAAigMAAAAA&#10;" path="m125,157r-4,8l115,170r25,l143,166r-18,-9xe" fillcolor="#010202" stroked="f">
                    <v:path arrowok="t" o:connecttype="custom" o:connectlocs="125,857;121,865;115,870;140,870;143,866;125,857" o:connectangles="0,0,0,0,0,0"/>
                  </v:shape>
                  <v:shape id="Freeform 711" o:spid="_x0000_s1047" style="position:absolute;left:1748;top:700;width:289;height:289;visibility:visible;mso-wrap-style:square;v-text-anchor:top" coordsize="289,2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rNahcEA&#10;AADcAAAADwAAAGRycy9kb3ducmV2LnhtbERPy4rCMBTdD/gP4QruxlSRGa1GEcWhOCL42Li7NNe2&#10;2tyUJtr692YxMMvDec8WrSnFk2pXWFYw6EcgiFOrC84UnE+bzzEI55E1lpZJwYscLOadjxnG2jZ8&#10;oOfRZyKEsItRQe59FUvp0pwMur6tiAN3tbVBH2CdSV1jE8JNKYdR9CUNFhwacqxolVN6Pz6Mgnvy&#10;27z89jbZNOufFJM97eSFlOp12+UUhKfW/4v/3IlW8D0K88OZcATk/A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KzWoXBAAAA3AAAAA8AAAAAAAAAAAAAAAAAmAIAAGRycy9kb3du&#10;cmV2LnhtbFBLBQYAAAAABAAEAPUAAACGAwAAAAA=&#10;" path="m208,157r-3,8l199,170r25,l226,166r-18,-9xe" fillcolor="#010202" stroked="f">
                    <v:path arrowok="t" o:connecttype="custom" o:connectlocs="208,857;205,865;199,870;224,870;226,866;208,857" o:connectangles="0,0,0,0,0,0"/>
                  </v:shape>
                  <v:shape id="Freeform 710" o:spid="_x0000_s1048" style="position:absolute;left:1748;top:700;width:289;height:289;visibility:visible;mso-wrap-style:square;v-text-anchor:top" coordsize="289,2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HsUA&#10;AADcAAAADwAAAGRycy9kb3ducmV2LnhtbESPQWvCQBSE7wX/w/IEb7qxSGujmyAWJbQi1Pbi7ZF9&#10;JtHs25BdTfz33YLQ4zAz3zDLtDe1uFHrKssKppMIBHFudcWFgp/vzXgOwnlkjbVlUnAnB2kyeFpi&#10;rG3HX3Q7+EIECLsYFZTeN7GULi/JoJvYhjh4J9sa9EG2hdQtdgFuavkcRS/SYMVhocSG1iXll8PV&#10;KLhkn93df5zfNt37NsdsTzt5JKVGw361AOGp9//hRzvTCl5nU/g7E46ATH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8exQAAANwAAAAPAAAAAAAAAAAAAAAAAJgCAABkcnMv&#10;ZG93bnJldi54bWxQSwUGAAAAAAQABAD1AAAAigMAAAAA&#10;" path="m138,118r-24,l120,122r3,8l138,118xe" fillcolor="#010202" stroked="f">
                    <v:path arrowok="t" o:connecttype="custom" o:connectlocs="138,818;114,818;120,822;123,830;138,818" o:connectangles="0,0,0,0,0"/>
                  </v:shape>
                  <v:shape id="Freeform 709" o:spid="_x0000_s1049" style="position:absolute;left:1748;top:700;width:289;height:289;visibility:visible;mso-wrap-style:square;v-text-anchor:top" coordsize="289,28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1hacUA&#10;AADcAAAADwAAAGRycy9kb3ducmV2LnhtbESPQWvCQBSE7wX/w/IEb81GEWujq4hiCSpCbS/eHtln&#10;Es2+Ddmtif/eLRR6HGbmG2a+7Ewl7tS40rKCYRSDIM6sLjlX8P21fZ2CcB5ZY2WZFDzIwXLRe5lj&#10;om3Ln3Q/+VwECLsEFRTe14mULivIoItsTRy8i20M+iCbXOoG2wA3lRzF8UQaLDksFFjTuqDsdvox&#10;Cm7pvn343fV9224+MkyPdJBnUmrQ71YzEJ46/x/+a6dawdt4BL9nwhGQi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9LWFpxQAAANwAAAAPAAAAAAAAAAAAAAAAAJgCAABkcnMv&#10;ZG93bnJldi54bWxQSwUGAAAAAAQABAD1AAAAigMAAAAA&#10;" path="m222,118r-24,l203,122r4,8l222,118xe" fillcolor="#010202" stroked="f">
                    <v:path arrowok="t" o:connecttype="custom" o:connectlocs="222,818;198,818;203,822;207,830;222,818" o:connectangles="0,0,0,0,0"/>
                  </v:shape>
                </v:group>
                <v:group id="Group 706" o:spid="_x0000_s1050" style="position:absolute;left:2308;top:704;width:200;height:200" coordorigin="2308,704" coordsize="200,2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zd/E8UAAADcAAAADwAAAGRycy9kb3ducmV2LnhtbESPQWvCQBSE7wX/w/IE&#10;b7qJWi3RVURUPEihWii9PbLPJJh9G7JrEv+9WxB6HGbmG2a57kwpGqpdYVlBPIpAEKdWF5wp+L7s&#10;hx8gnEfWWFomBQ9ysF713paYaNvyFzVnn4kAYZeggtz7KpHSpTkZdCNbEQfvamuDPsg6k7rGNsBN&#10;KcdRNJMGCw4LOVa0zSm9ne9GwaHFdjOJd83pdt0+fi/vnz+nmJQa9LvNAoSnzv+HX+2jVjCfTuDv&#10;TDgCcvUE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s3fxPFAAAA3AAA&#10;AA8AAAAAAAAAAAAAAAAAqgIAAGRycy9kb3ducmV2LnhtbFBLBQYAAAAABAAEAPoAAACcAwAAAAA=&#10;">
                  <v:shape id="Freeform 707" o:spid="_x0000_s1051" style="position:absolute;left:2308;top:704;width:200;height:200;visibility:visible;mso-wrap-style:square;v-text-anchor:top" coordsize="200,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wUuMMMA&#10;AADcAAAADwAAAGRycy9kb3ducmV2LnhtbESPQWsCMRSE74L/ITzBm2ZdRGU1irYqPVmqQq/Pzevu&#10;0uRl2URd/70pCD0OM/MNs1i11ogbNb5yrGA0TEAQ505XXCg4n3aDGQgfkDUax6TgQR5Wy25ngZl2&#10;d/6i2zEUIkLYZ6igDKHOpPR5SRb90NXE0ftxjcUQZVNI3eA9wq2RaZJMpMWK40KJNb2VlP8er1aB&#10;MZxeTuvZ9/68Sclsp5+HdyOV6vfa9RxEoDb8h1/tD61gOh7D35l4BOTy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wUuMMMAAADcAAAADwAAAAAAAAAAAAAAAACYAgAAZHJzL2Rv&#10;d25yZXYueG1sUEsFBgAAAAAEAAQA9QAAAIgDAAAAAA==&#10;" path="m100,l36,23,3,78,,102r3,22l39,177r63,22l124,196r54,-35l199,98,197,76,162,21,100,xe" stroked="f">
                    <v:path arrowok="t" o:connecttype="custom" o:connectlocs="100,704;36,727;3,782;0,806;3,828;39,881;102,903;124,900;178,865;199,802;197,780;162,725;100,704" o:connectangles="0,0,0,0,0,0,0,0,0,0,0,0,0"/>
                  </v:shape>
                </v:group>
                <v:group id="Group 703" o:spid="_x0000_s1052" style="position:absolute;left:2379;top:767;width:46;height:103" coordorigin="2379,767" coordsize="46,10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5JC/MYAAADcAAAADwAAAGRycy9kb3ducmV2LnhtbESPQWvCQBSE7wX/w/IE&#10;b3UTNVqiq4jY0kMoVAult0f2mQSzb0N2TeK/dwuFHoeZ+YbZ7AZTi45aV1lWEE8jEMS51RUXCr7O&#10;r88vIJxH1lhbJgV3crDbjp42mGrb8yd1J1+IAGGXooLS+yaV0uUlGXRT2xAH72Jbgz7ItpC6xT7A&#10;TS1nUbSUBisOCyU2dCgpv55uRsFbj/1+Hh+77Ho53H/Oycd3FpNSk/GwX4PwNPj/8F/7XStYLRL4&#10;PROOgNw+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7kkL8xgAAANwA&#10;AAAPAAAAAAAAAAAAAAAAAKoCAABkcnMvZG93bnJldi54bWxQSwUGAAAAAAQABAD6AAAAnQMAAAAA&#10;">
                  <v:shape id="Freeform 705" o:spid="_x0000_s1053" style="position:absolute;left:2379;top:767;width:46;height:103;visibility:visible;mso-wrap-style:square;v-text-anchor:top" coordsize="46,1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QM77MYA&#10;AADcAAAADwAAAGRycy9kb3ducmV2LnhtbESPQWvCQBSE70L/w/IEb7pRJJboGhpLtVRq0Ra9PrKv&#10;SWj2bciumv57tyD0OMzMN8wi7UwtLtS6yrKC8SgCQZxbXXGh4OvzZfgIwnlkjbVlUvBLDtLlQ2+B&#10;ibZX3tPl4AsRIOwSVFB63yRSurwkg25kG+LgfdvWoA+yLaRu8RrgppaTKIqlwYrDQokNrUrKfw5n&#10;oyDKtsX7mzniLtO7OF5/nOrnaqPUoN89zUF46vx/+N5+1Qpm0xj+zoQjIJ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QM77MYAAADcAAAADwAAAAAAAAAAAAAAAACYAgAAZHJz&#10;L2Rvd25yZXYueG1sUEsFBgAAAAAEAAQA9QAAAIsDAAAAAA==&#10;" path="m45,51r-33,l12,103r33,l45,51xe" fillcolor="#010202" stroked="f">
                    <v:path arrowok="t" o:connecttype="custom" o:connectlocs="45,818;12,818;12,870;45,870;45,818" o:connectangles="0,0,0,0,0"/>
                  </v:shape>
                  <v:shape id="Freeform 704" o:spid="_x0000_s1054" style="position:absolute;left:2379;top:767;width:46;height:103;visibility:visible;mso-wrap-style:square;v-text-anchor:top" coordsize="46,10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d8YA&#10;AADcAAAADwAAAGRycy9kb3ducmV2LnhtbESP3WrCQBSE7wu+w3KE3tWNpUSJrqKWVrFU8Qe9PWSP&#10;STB7NmS3Gt++KwheDjPzDTMcN6YUF6pdYVlBtxOBIE6tLjhTsN99vfVBOI+ssbRMCm7kYDxqvQwx&#10;0fbKG7psfSYChF2CCnLvq0RKl+Zk0HVsRRy8k60N+iDrTOoarwFuSvkeRbE0WHBYyLGiWU7peftn&#10;FETTn+x3aQ64mupVHH+vj+VnMVfqtd1MBiA8Nf4ZfrQXWkHvowf3M+EIyN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ed8YAAADcAAAADwAAAAAAAAAAAAAAAACYAgAAZHJz&#10;L2Rvd25yZXYueG1sUEsFBgAAAAAEAAQA9QAAAIsDAAAAAA==&#10;" path="m55,l3,,,4,,51r58,l58,4,55,xe" fillcolor="#010202" stroked="f">
                    <v:path arrowok="t" o:connecttype="custom" o:connectlocs="55,767;3,767;0,771;0,818;58,818;58,771;55,767" o:connectangles="0,0,0,0,0,0,0"/>
                  </v:shape>
                </v:group>
                <v:group id="Group 701" o:spid="_x0000_s1055" style="position:absolute;left:2393;top:732;width:31;height:31" coordorigin="2393,732" coordsize="31,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ZPtYsIAAADcAAAADwAAAGRycy9kb3ducmV2LnhtbERPy4rCMBTdC/MP4Q7M&#10;TtOOTzpGEVGZhQg+QNxdmmtbbG5Kk2nr35vFgMvDec+XnSlFQ7UrLCuIBxEI4tTqgjMFl/O2PwPh&#10;PLLG0jIpeJKD5eKjN8dE25aP1Jx8JkIIuwQV5N5XiZQuzcmgG9iKOHB3Wxv0AdaZ1DW2IdyU8juK&#10;JtJgwaEhx4rWOaWP059RsGuxXQ3jTbN/3NfP23l8uO5jUurrs1v9gPDU+bf43/2rFUxHYW04E46A&#10;XLw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JWT7WLCAAAA3AAAAA8A&#10;AAAAAAAAAAAAAAAAqgIAAGRycy9kb3ducmV2LnhtbFBLBQYAAAAABAAEAPoAAACZAwAAAAA=&#10;">
                  <v:shape id="Freeform 702" o:spid="_x0000_s1056" style="position:absolute;left:2393;top:732;width:31;height:31;visibility:visible;mso-wrap-style:square;v-text-anchor:top" coordsize="31,3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CGJK8YA&#10;AADcAAAADwAAAGRycy9kb3ducmV2LnhtbESPT2vCQBTE74LfYXmF3symKtqm2YgoLeJFq+2ht9fs&#10;yx/Mvg3ZrabfvisIHoeZ+Q2TLnrTiDN1rras4CmKQRDnVtdcKvg8vo2eQTiPrLGxTAr+yMEiGw5S&#10;TLS98AedD74UAcIuQQWV920ipcsrMugi2xIHr7CdQR9kV0rd4SXATSPHcTyTBmsOCxW2tKooPx1+&#10;jYJt/lN+L/3X3ElX7N/Hu2MxmayVenzol68gPPX+Hr61N1rBfPoC1zPhCMjsH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CGJK8YAAADcAAAADwAAAAAAAAAAAAAAAACYAgAAZHJz&#10;L2Rvd25yZXYueG1sUEsFBgAAAAAEAAQA9QAAAIsDAAAAAA==&#10;" path="m23,l6,,,6,,23r6,7l23,30r7,-7l30,6,23,xe" fillcolor="#010202" stroked="f">
                    <v:path arrowok="t" o:connecttype="custom" o:connectlocs="23,732;6,732;0,738;0,755;6,762;23,762;30,755;30,738;23,732" o:connectangles="0,0,0,0,0,0,0,0,0"/>
                  </v:shape>
                </v:group>
                <v:group id="Group 698" o:spid="_x0000_s1057" style="position:absolute;left:2300;top:694;width:215;height:215" coordorigin="2300,694" coordsize="215,2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jx3ucMAAADcAAAADwAAAGRycy9kb3ducmV2LnhtbERPTWvCQBC9F/wPywi9&#10;1U0UW4luQpBaepBCVRBvQ3ZMQrKzIbtN4r/vHgo9Pt73LptMKwbqXW1ZQbyIQBAXVtdcKricDy8b&#10;EM4ja2wtk4IHOcjS2dMOE21H/qbh5EsRQtglqKDyvkukdEVFBt3CdsSBu9veoA+wL6XucQzhppXL&#10;KHqVBmsODRV2tK+oaE4/RsHHiGO+it+HY3PfP27n9df1GJNSz/Mp34LwNPl/8Z/7Uyt4W4f5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uPHe5wwAAANwAAAAP&#10;AAAAAAAAAAAAAAAAAKoCAABkcnMvZG93bnJldi54bWxQSwUGAAAAAAQABAD6AAAAmgMAAAAA&#10;">
                  <v:shape id="Freeform 700" o:spid="_x0000_s1058" style="position:absolute;left:2300;top:694;width:215;height:215;visibility:visible;mso-wrap-style:square;v-text-anchor:top" coordsize="215,2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lqMI8UA&#10;AADcAAAADwAAAGRycy9kb3ducmV2LnhtbESPS2vDMBCE74H+B7GF3BLZhTxwooQSKAnkkkdpr1tr&#10;YxtbKyOpsfrvq0Chx2FmvmHW22g6cSfnG8sK8mkGgri0uuFKwfv1bbIE4QOyxs4yKfghD9vN02iN&#10;hbYDn+l+CZVIEPYFKqhD6AspfVmTQT+1PXHybtYZDEm6SmqHQ4KbTr5k2VwabDgt1NjTrqayvXwb&#10;BV9utrse9zE3n4f94rSM7fBRtkqNn+PrCkSgGP7Df+2DVrCY5fA4k46A3P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OWowjxQAAANwAAAAPAAAAAAAAAAAAAAAAAJgCAABkcnMv&#10;ZG93bnJldi54bWxQSwUGAAAAAAQABAD1AAAAigMAAAAA&#10;" path="m108,l50,16,9,64,,102r2,23l45,193r55,21l123,213r20,-5l161,201r9,-6l116,195,93,193,39,159,20,107,22,87,58,35,108,19r60,l156,11,139,4,120,,108,xe" fillcolor="#010202" stroked="f">
                    <v:path arrowok="t" o:connecttype="custom" o:connectlocs="108,694;50,710;9,758;0,796;2,819;45,887;100,908;123,907;143,902;161,895;170,889;116,889;93,887;39,853;20,801;22,781;58,729;108,713;168,713;156,705;139,698;120,694;108,694" o:connectangles="0,0,0,0,0,0,0,0,0,0,0,0,0,0,0,0,0,0,0,0,0,0,0"/>
                  </v:shape>
                  <v:shape id="Freeform 699" o:spid="_x0000_s1059" style="position:absolute;left:2300;top:694;width:215;height:215;visibility:visible;mso-wrap-style:square;v-text-anchor:top" coordsize="215,21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gSVMUA&#10;AADcAAAADwAAAGRycy9kb3ducmV2LnhtbESPS2vDMBCE74X+B7GF3Bo5gTxwooQQKAnkkhftdWNt&#10;bGNrZSQ1Vv99FSj0OMzMN8xyHU0rHuR8bVnBaJiBIC6srrlUcL18vM9B+ICssbVMCn7Iw3r1+rLE&#10;XNueT/Q4h1IkCPscFVQhdLmUvqjIoB/ajjh5d+sMhiRdKbXDPsFNK8dZNpUGa04LFXa0rahozt9G&#10;wc1NtpfDLo7M1343O85j038WjVKDt7hZgAgUw3/4r73XCmaTMTzPpCMgV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BJUxQAAANwAAAAPAAAAAAAAAAAAAAAAAJgCAABkcnMv&#10;ZG93bnJldi54bWxQSwUGAAAAAAQABAD1AAAAigMAAAAA&#10;" path="m168,19r-60,l129,21r19,7l164,39r16,18l190,75r5,18l194,119r-40,63l116,195r54,l211,137r4,-19l214,94,209,73,202,55,192,40,174,23r-6,-4xe" fillcolor="#010202" stroked="f">
                    <v:path arrowok="t" o:connecttype="custom" o:connectlocs="168,713;108,713;129,715;148,722;164,733;180,751;190,769;195,787;194,813;154,876;116,889;170,889;211,831;215,812;214,788;209,767;202,749;192,734;174,717;168,713" o:connectangles="0,0,0,0,0,0,0,0,0,0,0,0,0,0,0,0,0,0,0,0"/>
                  </v:shape>
                </v:group>
                <w10:wrap anchorx="page"/>
              </v:group>
            </w:pict>
          </mc:Fallback>
        </mc:AlternateContent>
      </w:r>
    </w:p>
    <w:p w14:paraId="7AE7C258" w14:textId="16235E2A" w:rsidR="00507BE9" w:rsidRDefault="00507BE9" w:rsidP="00507BE9">
      <w:pPr>
        <w:widowControl w:val="0"/>
        <w:spacing w:before="77" w:after="0" w:line="250" w:lineRule="auto"/>
        <w:ind w:left="100" w:right="117"/>
        <w:rPr>
          <w:rFonts w:eastAsia="Calibri" w:cs="Arial"/>
          <w:color w:val="231F20"/>
          <w:sz w:val="18"/>
          <w:szCs w:val="22"/>
          <w:lang w:eastAsia="en-US"/>
        </w:rPr>
      </w:pPr>
    </w:p>
    <w:p w14:paraId="0BEB1693" w14:textId="77777777" w:rsidR="00507BE9" w:rsidRPr="00507BE9" w:rsidRDefault="00507BE9" w:rsidP="00507BE9">
      <w:pPr>
        <w:widowControl w:val="0"/>
        <w:spacing w:before="77" w:after="0" w:line="250" w:lineRule="auto"/>
        <w:ind w:right="117"/>
        <w:rPr>
          <w:rFonts w:eastAsia="Calibri" w:cs="Arial"/>
          <w:color w:val="231F20"/>
          <w:sz w:val="18"/>
          <w:szCs w:val="22"/>
          <w:lang w:eastAsia="en-US"/>
        </w:rPr>
      </w:pPr>
      <w:r w:rsidRPr="00507BE9">
        <w:rPr>
          <w:rFonts w:eastAsia="Calibri" w:cs="Arial"/>
          <w:color w:val="231F20"/>
          <w:sz w:val="18"/>
          <w:szCs w:val="22"/>
          <w:lang w:eastAsia="en-US"/>
        </w:rPr>
        <w:t xml:space="preserve">All material presented in this publication is licensed under the </w:t>
      </w:r>
      <w:r w:rsidRPr="00507BE9">
        <w:rPr>
          <w:rFonts w:eastAsia="Calibri" w:cs="Arial"/>
          <w:color w:val="231F20"/>
          <w:sz w:val="18"/>
          <w:szCs w:val="22"/>
          <w:u w:val="single"/>
          <w:lang w:eastAsia="en-US"/>
        </w:rPr>
        <w:t>Creative Commons Attribution 4.0 International Licence</w:t>
      </w:r>
      <w:r w:rsidRPr="00507BE9">
        <w:rPr>
          <w:rFonts w:eastAsia="Calibri" w:cs="Arial"/>
          <w:color w:val="231F20"/>
          <w:sz w:val="18"/>
          <w:szCs w:val="22"/>
          <w:lang w:eastAsia="en-US"/>
        </w:rPr>
        <w:t>, with the exception of:</w:t>
      </w:r>
    </w:p>
    <w:p w14:paraId="54CDBC19" w14:textId="77777777" w:rsidR="00507BE9" w:rsidRPr="00507BE9" w:rsidRDefault="00507BE9" w:rsidP="00507BE9">
      <w:pPr>
        <w:widowControl w:val="0"/>
        <w:spacing w:before="77" w:after="0" w:line="250" w:lineRule="auto"/>
        <w:ind w:left="100" w:right="117"/>
        <w:rPr>
          <w:rFonts w:eastAsia="Calibri" w:cs="Arial"/>
          <w:color w:val="231F20"/>
          <w:sz w:val="18"/>
          <w:szCs w:val="22"/>
          <w:lang w:eastAsia="en-US"/>
        </w:rPr>
      </w:pPr>
      <w:r w:rsidRPr="00507BE9">
        <w:rPr>
          <w:rFonts w:eastAsia="Calibri" w:cs="Arial"/>
          <w:color w:val="231F20"/>
          <w:sz w:val="18"/>
          <w:szCs w:val="22"/>
          <w:lang w:eastAsia="en-US"/>
        </w:rPr>
        <w:t>• photographs and images;</w:t>
      </w:r>
    </w:p>
    <w:p w14:paraId="73B5FBD9" w14:textId="77777777" w:rsidR="00507BE9" w:rsidRPr="00507BE9" w:rsidRDefault="00507BE9" w:rsidP="00507BE9">
      <w:pPr>
        <w:widowControl w:val="0"/>
        <w:spacing w:before="77" w:after="0" w:line="250" w:lineRule="auto"/>
        <w:ind w:left="100" w:right="117"/>
        <w:rPr>
          <w:rFonts w:eastAsia="Calibri" w:cs="Arial"/>
          <w:color w:val="231F20"/>
          <w:sz w:val="18"/>
          <w:szCs w:val="22"/>
          <w:lang w:eastAsia="en-US"/>
        </w:rPr>
      </w:pPr>
      <w:r w:rsidRPr="00507BE9">
        <w:rPr>
          <w:rFonts w:eastAsia="Calibri" w:cs="Arial"/>
          <w:color w:val="231F20"/>
          <w:sz w:val="18"/>
          <w:szCs w:val="22"/>
          <w:lang w:eastAsia="en-US"/>
        </w:rPr>
        <w:t>• the Commission’s logo, any branding or trademarks;</w:t>
      </w:r>
    </w:p>
    <w:p w14:paraId="278B9BD6" w14:textId="77777777" w:rsidR="00507BE9" w:rsidRPr="00507BE9" w:rsidRDefault="00507BE9" w:rsidP="00507BE9">
      <w:pPr>
        <w:widowControl w:val="0"/>
        <w:spacing w:before="77" w:after="0" w:line="250" w:lineRule="auto"/>
        <w:ind w:left="100" w:right="117"/>
        <w:rPr>
          <w:rFonts w:eastAsia="Calibri" w:cs="Arial"/>
          <w:color w:val="231F20"/>
          <w:sz w:val="18"/>
          <w:szCs w:val="22"/>
          <w:lang w:eastAsia="en-US"/>
        </w:rPr>
      </w:pPr>
      <w:r w:rsidRPr="00507BE9">
        <w:rPr>
          <w:rFonts w:eastAsia="Calibri" w:cs="Arial"/>
          <w:color w:val="231F20"/>
          <w:sz w:val="18"/>
          <w:szCs w:val="22"/>
          <w:lang w:eastAsia="en-US"/>
        </w:rPr>
        <w:t>• where otherwise indicated.</w:t>
      </w:r>
    </w:p>
    <w:p w14:paraId="31E618B7" w14:textId="77777777" w:rsidR="00507BE9" w:rsidRPr="00507BE9" w:rsidRDefault="00507BE9" w:rsidP="00507BE9">
      <w:pPr>
        <w:widowControl w:val="0"/>
        <w:spacing w:before="77" w:after="0" w:line="250" w:lineRule="auto"/>
        <w:ind w:right="117"/>
        <w:rPr>
          <w:rFonts w:eastAsia="Calibri" w:cs="Arial"/>
          <w:color w:val="231F20"/>
          <w:sz w:val="18"/>
          <w:szCs w:val="22"/>
          <w:lang w:eastAsia="en-US"/>
        </w:rPr>
      </w:pPr>
      <w:r w:rsidRPr="00507BE9">
        <w:rPr>
          <w:rFonts w:eastAsia="Calibri" w:cs="Arial"/>
          <w:color w:val="231F20"/>
          <w:sz w:val="18"/>
          <w:szCs w:val="22"/>
          <w:lang w:eastAsia="en-US"/>
        </w:rPr>
        <w:t xml:space="preserve">To view a copy of this licence, visit </w:t>
      </w:r>
      <w:r w:rsidRPr="00507BE9">
        <w:rPr>
          <w:rFonts w:eastAsia="Calibri" w:cs="Arial"/>
          <w:color w:val="231F20"/>
          <w:sz w:val="18"/>
          <w:szCs w:val="22"/>
          <w:u w:val="single"/>
          <w:lang w:eastAsia="en-US"/>
        </w:rPr>
        <w:t>http://creativecommons.org/licenses/by/4.0/legalcode</w:t>
      </w:r>
      <w:r w:rsidRPr="00507BE9">
        <w:rPr>
          <w:rFonts w:eastAsia="Calibri" w:cs="Arial"/>
          <w:color w:val="231F20"/>
          <w:sz w:val="18"/>
          <w:szCs w:val="22"/>
          <w:lang w:eastAsia="en-US"/>
        </w:rPr>
        <w:t>.</w:t>
      </w:r>
    </w:p>
    <w:p w14:paraId="634EF241" w14:textId="77777777" w:rsidR="00507BE9" w:rsidRPr="00507BE9" w:rsidRDefault="00507BE9" w:rsidP="00507BE9">
      <w:pPr>
        <w:widowControl w:val="0"/>
        <w:spacing w:before="77" w:after="0" w:line="250" w:lineRule="auto"/>
        <w:ind w:right="117"/>
        <w:rPr>
          <w:rFonts w:eastAsia="Calibri" w:cs="Arial"/>
          <w:color w:val="231F20"/>
          <w:sz w:val="18"/>
          <w:szCs w:val="22"/>
          <w:lang w:eastAsia="en-US"/>
        </w:rPr>
      </w:pPr>
      <w:r w:rsidRPr="00507BE9">
        <w:rPr>
          <w:rFonts w:eastAsia="Calibri" w:cs="Arial"/>
          <w:color w:val="231F20"/>
          <w:sz w:val="18"/>
          <w:szCs w:val="22"/>
          <w:lang w:eastAsia="en-US"/>
        </w:rPr>
        <w:t>In essence, you are free to copy, communicate and adapt the publication, as long as you attribute the Australian Human Rights Commission and abide by the other licence terms.</w:t>
      </w:r>
    </w:p>
    <w:p w14:paraId="5E52F442" w14:textId="77777777" w:rsidR="00507BE9" w:rsidRDefault="00507BE9" w:rsidP="00507BE9">
      <w:pPr>
        <w:widowControl w:val="0"/>
        <w:spacing w:before="77" w:after="0" w:line="250" w:lineRule="auto"/>
        <w:ind w:right="117"/>
        <w:rPr>
          <w:rFonts w:eastAsia="Calibri" w:cs="Arial"/>
          <w:b/>
          <w:bCs/>
          <w:color w:val="231F20"/>
          <w:sz w:val="18"/>
          <w:szCs w:val="22"/>
          <w:lang w:eastAsia="en-US"/>
        </w:rPr>
      </w:pPr>
    </w:p>
    <w:p w14:paraId="560DAE5B" w14:textId="77777777" w:rsidR="00507BE9" w:rsidRDefault="00507BE9" w:rsidP="00507BE9">
      <w:pPr>
        <w:widowControl w:val="0"/>
        <w:spacing w:before="77" w:after="0" w:line="250" w:lineRule="auto"/>
        <w:ind w:right="117"/>
        <w:rPr>
          <w:rFonts w:eastAsia="Calibri" w:cs="Arial"/>
          <w:b/>
          <w:bCs/>
          <w:color w:val="231F20"/>
          <w:sz w:val="18"/>
          <w:szCs w:val="22"/>
          <w:lang w:eastAsia="en-US"/>
        </w:rPr>
      </w:pPr>
      <w:r w:rsidRPr="00507BE9">
        <w:rPr>
          <w:rFonts w:eastAsia="Calibri" w:cs="Arial"/>
          <w:b/>
          <w:bCs/>
          <w:color w:val="231F20"/>
          <w:sz w:val="18"/>
          <w:szCs w:val="22"/>
          <w:lang w:eastAsia="en-US"/>
        </w:rPr>
        <w:t xml:space="preserve">Please give attribution to: </w:t>
      </w:r>
    </w:p>
    <w:p w14:paraId="66B09648" w14:textId="65E6B24C" w:rsidR="00507BE9" w:rsidRPr="00507BE9" w:rsidRDefault="00507BE9" w:rsidP="00507BE9">
      <w:pPr>
        <w:widowControl w:val="0"/>
        <w:spacing w:before="77" w:after="0" w:line="250" w:lineRule="auto"/>
        <w:ind w:right="117"/>
        <w:rPr>
          <w:rFonts w:eastAsia="Calibri" w:cs="Arial"/>
          <w:color w:val="231F20"/>
          <w:sz w:val="18"/>
          <w:szCs w:val="22"/>
          <w:lang w:eastAsia="en-US"/>
        </w:rPr>
      </w:pPr>
      <w:r w:rsidRPr="00507BE9">
        <w:rPr>
          <w:rFonts w:eastAsia="Calibri" w:cs="Arial"/>
          <w:color w:val="231F20"/>
          <w:sz w:val="18"/>
          <w:szCs w:val="22"/>
          <w:lang w:eastAsia="en-US"/>
        </w:rPr>
        <w:t>© Australian Human Rights Commission 2015.</w:t>
      </w:r>
    </w:p>
    <w:p w14:paraId="2F718256" w14:textId="77777777" w:rsidR="00507BE9" w:rsidRDefault="00507BE9" w:rsidP="00507BE9">
      <w:pPr>
        <w:widowControl w:val="0"/>
        <w:spacing w:before="77" w:after="0" w:line="250" w:lineRule="auto"/>
        <w:ind w:right="117"/>
        <w:rPr>
          <w:rFonts w:eastAsia="Calibri" w:cs="Arial"/>
          <w:b/>
          <w:bCs/>
          <w:color w:val="231F20"/>
          <w:sz w:val="18"/>
          <w:szCs w:val="22"/>
          <w:lang w:eastAsia="en-US"/>
        </w:rPr>
      </w:pPr>
    </w:p>
    <w:p w14:paraId="1F822CDD" w14:textId="77777777" w:rsidR="00507BE9" w:rsidRPr="00507BE9" w:rsidRDefault="00507BE9" w:rsidP="00507BE9">
      <w:pPr>
        <w:widowControl w:val="0"/>
        <w:spacing w:before="77" w:after="0" w:line="250" w:lineRule="auto"/>
        <w:ind w:right="117"/>
        <w:rPr>
          <w:rFonts w:eastAsia="Calibri" w:cs="Arial"/>
          <w:color w:val="231F20"/>
          <w:sz w:val="18"/>
          <w:szCs w:val="22"/>
          <w:lang w:eastAsia="en-US"/>
        </w:rPr>
      </w:pPr>
      <w:r w:rsidRPr="00507BE9">
        <w:rPr>
          <w:rFonts w:eastAsia="Calibri" w:cs="Arial"/>
          <w:b/>
          <w:bCs/>
          <w:color w:val="231F20"/>
          <w:sz w:val="18"/>
          <w:szCs w:val="22"/>
          <w:lang w:eastAsia="en-US"/>
        </w:rPr>
        <w:t>Children’s Rights Report 2015</w:t>
      </w:r>
    </w:p>
    <w:p w14:paraId="5FFFD28E" w14:textId="77777777" w:rsidR="00507BE9" w:rsidRPr="00507BE9" w:rsidRDefault="00507BE9" w:rsidP="00507BE9">
      <w:pPr>
        <w:widowControl w:val="0"/>
        <w:spacing w:before="77" w:after="0" w:line="250" w:lineRule="auto"/>
        <w:ind w:right="117"/>
        <w:rPr>
          <w:rFonts w:eastAsia="Calibri" w:cs="Arial"/>
          <w:color w:val="231F20"/>
          <w:sz w:val="18"/>
          <w:szCs w:val="22"/>
          <w:lang w:eastAsia="en-US"/>
        </w:rPr>
      </w:pPr>
      <w:r w:rsidRPr="00507BE9">
        <w:rPr>
          <w:rFonts w:eastAsia="Calibri" w:cs="Arial"/>
          <w:color w:val="231F20"/>
          <w:sz w:val="18"/>
          <w:szCs w:val="22"/>
          <w:lang w:eastAsia="en-US"/>
        </w:rPr>
        <w:t>ISSN 2203-0948 (Print)</w:t>
      </w:r>
    </w:p>
    <w:p w14:paraId="743D7B3B" w14:textId="77777777" w:rsidR="00507BE9" w:rsidRPr="00507BE9" w:rsidRDefault="00507BE9" w:rsidP="00507BE9">
      <w:pPr>
        <w:widowControl w:val="0"/>
        <w:spacing w:before="77" w:after="0" w:line="250" w:lineRule="auto"/>
        <w:ind w:right="117"/>
        <w:rPr>
          <w:rFonts w:eastAsia="Calibri" w:cs="Arial"/>
          <w:color w:val="231F20"/>
          <w:sz w:val="18"/>
          <w:szCs w:val="22"/>
          <w:lang w:eastAsia="en-US"/>
        </w:rPr>
      </w:pPr>
      <w:r w:rsidRPr="00507BE9">
        <w:rPr>
          <w:rFonts w:eastAsia="Calibri" w:cs="Arial"/>
          <w:color w:val="231F20"/>
          <w:sz w:val="18"/>
          <w:szCs w:val="22"/>
          <w:lang w:eastAsia="en-US"/>
        </w:rPr>
        <w:t>ISSN 2204-1176 (Online)</w:t>
      </w:r>
    </w:p>
    <w:p w14:paraId="30A1E879" w14:textId="77777777" w:rsidR="00507BE9" w:rsidRDefault="00507BE9" w:rsidP="00507BE9">
      <w:pPr>
        <w:widowControl w:val="0"/>
        <w:spacing w:before="77" w:after="0" w:line="250" w:lineRule="auto"/>
        <w:ind w:right="117"/>
        <w:rPr>
          <w:rFonts w:eastAsia="Calibri" w:cs="Arial"/>
          <w:b/>
          <w:bCs/>
          <w:color w:val="231F20"/>
          <w:sz w:val="18"/>
          <w:szCs w:val="22"/>
          <w:lang w:eastAsia="en-US"/>
        </w:rPr>
      </w:pPr>
    </w:p>
    <w:p w14:paraId="75AD8AFB" w14:textId="77777777" w:rsidR="00507BE9" w:rsidRPr="00507BE9" w:rsidRDefault="00507BE9" w:rsidP="00507BE9">
      <w:pPr>
        <w:widowControl w:val="0"/>
        <w:spacing w:before="77" w:after="0" w:line="250" w:lineRule="auto"/>
        <w:ind w:right="117"/>
        <w:rPr>
          <w:rFonts w:eastAsia="Calibri" w:cs="Arial"/>
          <w:color w:val="231F20"/>
          <w:sz w:val="18"/>
          <w:szCs w:val="22"/>
          <w:lang w:eastAsia="en-US"/>
        </w:rPr>
      </w:pPr>
      <w:r w:rsidRPr="00507BE9">
        <w:rPr>
          <w:rFonts w:eastAsia="Calibri" w:cs="Arial"/>
          <w:b/>
          <w:bCs/>
          <w:color w:val="231F20"/>
          <w:sz w:val="18"/>
          <w:szCs w:val="22"/>
          <w:lang w:eastAsia="en-US"/>
        </w:rPr>
        <w:t>Acknowledgments</w:t>
      </w:r>
    </w:p>
    <w:p w14:paraId="1DB9A577" w14:textId="77777777" w:rsidR="00507BE9" w:rsidRPr="00507BE9" w:rsidRDefault="00507BE9" w:rsidP="00507BE9">
      <w:pPr>
        <w:widowControl w:val="0"/>
        <w:spacing w:before="77" w:after="0" w:line="250" w:lineRule="auto"/>
        <w:ind w:right="117"/>
        <w:rPr>
          <w:rFonts w:eastAsia="Calibri" w:cs="Arial"/>
          <w:color w:val="231F20"/>
          <w:sz w:val="18"/>
          <w:szCs w:val="22"/>
          <w:lang w:eastAsia="en-US"/>
        </w:rPr>
      </w:pPr>
      <w:r w:rsidRPr="00507BE9">
        <w:rPr>
          <w:rFonts w:eastAsia="Calibri" w:cs="Arial"/>
          <w:color w:val="231F20"/>
          <w:sz w:val="18"/>
          <w:szCs w:val="22"/>
          <w:lang w:eastAsia="en-US"/>
        </w:rPr>
        <w:t xml:space="preserve">The Children’s Rights Report 2015 was drafted by Susan Nicolson, Loki Ball, Priya SaratChandran and Siobhan Tierney. </w:t>
      </w:r>
    </w:p>
    <w:p w14:paraId="760D7775" w14:textId="77777777" w:rsidR="00507BE9" w:rsidRPr="00507BE9" w:rsidRDefault="00507BE9" w:rsidP="00507BE9">
      <w:pPr>
        <w:widowControl w:val="0"/>
        <w:spacing w:before="77" w:after="0" w:line="250" w:lineRule="auto"/>
        <w:ind w:right="117"/>
        <w:rPr>
          <w:rFonts w:eastAsia="Calibri" w:cs="Arial"/>
          <w:color w:val="231F20"/>
          <w:sz w:val="18"/>
          <w:szCs w:val="22"/>
          <w:lang w:eastAsia="en-US"/>
        </w:rPr>
      </w:pPr>
      <w:r w:rsidRPr="00507BE9">
        <w:rPr>
          <w:rFonts w:eastAsia="Calibri" w:cs="Arial"/>
          <w:color w:val="231F20"/>
          <w:sz w:val="18"/>
          <w:szCs w:val="22"/>
          <w:lang w:eastAsia="en-US"/>
        </w:rPr>
        <w:t>The National Children’s Commissioner thanks the following staff of the Australian Human Rights Commission: Padma Raman, Darren Dick, Maria Katsabanis, Emily Collett, Akhil Abraham, Alecia Wood, Romana Pomering, Graeme Edgerton, Leon Wild and Angela Dorizas.</w:t>
      </w:r>
    </w:p>
    <w:p w14:paraId="7DACAA4D" w14:textId="1D47FE5A" w:rsidR="00507BE9" w:rsidRPr="00507BE9" w:rsidRDefault="00507BE9" w:rsidP="00507BE9">
      <w:pPr>
        <w:widowControl w:val="0"/>
        <w:spacing w:before="77" w:after="0" w:line="250" w:lineRule="auto"/>
        <w:ind w:right="117"/>
        <w:rPr>
          <w:rFonts w:eastAsia="Calibri" w:cs="Arial"/>
          <w:color w:val="231F20"/>
          <w:sz w:val="18"/>
          <w:szCs w:val="22"/>
          <w:lang w:eastAsia="en-US"/>
        </w:rPr>
      </w:pPr>
      <w:r w:rsidRPr="00507BE9">
        <w:rPr>
          <w:rFonts w:eastAsia="Calibri" w:cs="Arial"/>
          <w:color w:val="231F20"/>
          <w:sz w:val="18"/>
          <w:szCs w:val="22"/>
          <w:lang w:eastAsia="en-US"/>
        </w:rPr>
        <w:t>The National Children’s Commissioner also thanks interns Guy Tiffany, Tracy Wilde, Mirna Zeini, As</w:t>
      </w:r>
      <w:r w:rsidR="0086430A">
        <w:rPr>
          <w:rFonts w:eastAsia="Calibri" w:cs="Arial"/>
          <w:color w:val="231F20"/>
          <w:sz w:val="18"/>
          <w:szCs w:val="22"/>
          <w:lang w:eastAsia="en-US"/>
        </w:rPr>
        <w:t xml:space="preserve">hwin Sivaratnam, Caitlin Miller, </w:t>
      </w:r>
      <w:r w:rsidRPr="00507BE9">
        <w:rPr>
          <w:rFonts w:eastAsia="Calibri" w:cs="Arial"/>
          <w:color w:val="231F20"/>
          <w:sz w:val="18"/>
          <w:szCs w:val="22"/>
          <w:lang w:eastAsia="en-US"/>
        </w:rPr>
        <w:t>La</w:t>
      </w:r>
      <w:r w:rsidR="0086430A">
        <w:rPr>
          <w:rFonts w:eastAsia="Calibri" w:cs="Arial"/>
          <w:color w:val="231F20"/>
          <w:sz w:val="18"/>
          <w:szCs w:val="22"/>
          <w:lang w:eastAsia="en-US"/>
        </w:rPr>
        <w:t>chlan Saville and Rebecca Rolls.</w:t>
      </w:r>
      <w:bookmarkStart w:id="3" w:name="_GoBack"/>
      <w:bookmarkEnd w:id="3"/>
    </w:p>
    <w:p w14:paraId="640E5444" w14:textId="77777777" w:rsidR="00507BE9" w:rsidRPr="00507BE9" w:rsidRDefault="00507BE9" w:rsidP="00507BE9">
      <w:pPr>
        <w:widowControl w:val="0"/>
        <w:spacing w:before="77" w:after="0" w:line="250" w:lineRule="auto"/>
        <w:ind w:right="117"/>
        <w:rPr>
          <w:rFonts w:eastAsia="Calibri" w:cs="Arial"/>
          <w:color w:val="231F20"/>
          <w:sz w:val="18"/>
          <w:szCs w:val="22"/>
          <w:lang w:eastAsia="en-US"/>
        </w:rPr>
      </w:pPr>
      <w:r w:rsidRPr="00507BE9">
        <w:rPr>
          <w:rFonts w:eastAsia="Calibri" w:cs="Arial"/>
          <w:color w:val="231F20"/>
          <w:sz w:val="18"/>
          <w:szCs w:val="22"/>
          <w:lang w:eastAsia="en-US"/>
        </w:rPr>
        <w:t xml:space="preserve">This publication can be found in electronic format on the Australian Human Rights Commission’s website at </w:t>
      </w:r>
      <w:r w:rsidRPr="00507BE9">
        <w:rPr>
          <w:rFonts w:eastAsia="Calibri" w:cs="Arial"/>
          <w:color w:val="231F20"/>
          <w:sz w:val="18"/>
          <w:szCs w:val="22"/>
          <w:u w:val="single"/>
          <w:lang w:eastAsia="en-US"/>
        </w:rPr>
        <w:t>http://www.humanrights.gov.au/about/publications/</w:t>
      </w:r>
      <w:r w:rsidRPr="00507BE9">
        <w:rPr>
          <w:rFonts w:eastAsia="Calibri" w:cs="Arial"/>
          <w:color w:val="231F20"/>
          <w:sz w:val="18"/>
          <w:szCs w:val="22"/>
          <w:lang w:eastAsia="en-US"/>
        </w:rPr>
        <w:t>.</w:t>
      </w:r>
    </w:p>
    <w:p w14:paraId="718D5F78" w14:textId="77777777" w:rsidR="00507BE9" w:rsidRDefault="00507BE9" w:rsidP="00507BE9">
      <w:pPr>
        <w:widowControl w:val="0"/>
        <w:spacing w:before="77" w:after="0" w:line="250" w:lineRule="auto"/>
        <w:ind w:right="117"/>
        <w:rPr>
          <w:rFonts w:eastAsia="Calibri" w:cs="Arial"/>
          <w:color w:val="231F20"/>
          <w:sz w:val="18"/>
          <w:szCs w:val="22"/>
          <w:lang w:eastAsia="en-US"/>
        </w:rPr>
      </w:pPr>
    </w:p>
    <w:p w14:paraId="14C39E21" w14:textId="77777777" w:rsidR="00507BE9" w:rsidRPr="00507BE9" w:rsidRDefault="00507BE9" w:rsidP="00507BE9">
      <w:pPr>
        <w:widowControl w:val="0"/>
        <w:spacing w:before="77" w:after="0" w:line="250" w:lineRule="auto"/>
        <w:ind w:right="117"/>
        <w:rPr>
          <w:rFonts w:eastAsia="Calibri" w:cs="Arial"/>
          <w:color w:val="231F20"/>
          <w:sz w:val="18"/>
          <w:szCs w:val="22"/>
          <w:lang w:eastAsia="en-US"/>
        </w:rPr>
      </w:pPr>
      <w:r w:rsidRPr="00507BE9">
        <w:rPr>
          <w:rFonts w:eastAsia="Calibri" w:cs="Arial"/>
          <w:color w:val="231F20"/>
          <w:sz w:val="18"/>
          <w:szCs w:val="22"/>
          <w:lang w:eastAsia="en-US"/>
        </w:rPr>
        <w:t>For further information about the Australian Human Rights Commission or copyright in this publication, please contact:</w:t>
      </w:r>
    </w:p>
    <w:p w14:paraId="2F962145" w14:textId="77777777" w:rsidR="00507BE9" w:rsidRPr="00507BE9" w:rsidRDefault="00507BE9" w:rsidP="00507BE9">
      <w:pPr>
        <w:widowControl w:val="0"/>
        <w:spacing w:before="77" w:after="0" w:line="250" w:lineRule="auto"/>
        <w:ind w:right="117"/>
        <w:rPr>
          <w:rFonts w:eastAsia="Calibri" w:cs="Arial"/>
          <w:color w:val="231F20"/>
          <w:sz w:val="18"/>
          <w:szCs w:val="22"/>
          <w:lang w:eastAsia="en-US"/>
        </w:rPr>
      </w:pPr>
      <w:r w:rsidRPr="00507BE9">
        <w:rPr>
          <w:rFonts w:eastAsia="Calibri" w:cs="Arial"/>
          <w:color w:val="231F20"/>
          <w:sz w:val="18"/>
          <w:szCs w:val="22"/>
          <w:lang w:eastAsia="en-US"/>
        </w:rPr>
        <w:t>Monitoring and Reporting Team</w:t>
      </w:r>
    </w:p>
    <w:p w14:paraId="2D872045" w14:textId="77777777" w:rsidR="00507BE9" w:rsidRPr="00507BE9" w:rsidRDefault="00507BE9" w:rsidP="00507BE9">
      <w:pPr>
        <w:widowControl w:val="0"/>
        <w:spacing w:before="77" w:after="0" w:line="250" w:lineRule="auto"/>
        <w:ind w:right="117"/>
        <w:rPr>
          <w:rFonts w:eastAsia="Calibri" w:cs="Arial"/>
          <w:color w:val="231F20"/>
          <w:sz w:val="18"/>
          <w:szCs w:val="22"/>
          <w:lang w:eastAsia="en-US"/>
        </w:rPr>
      </w:pPr>
      <w:r w:rsidRPr="00507BE9">
        <w:rPr>
          <w:rFonts w:eastAsia="Calibri" w:cs="Arial"/>
          <w:color w:val="231F20"/>
          <w:sz w:val="18"/>
          <w:szCs w:val="22"/>
          <w:lang w:eastAsia="en-US"/>
        </w:rPr>
        <w:t>Australian Human Rights Commission</w:t>
      </w:r>
    </w:p>
    <w:p w14:paraId="33EDC67E" w14:textId="77777777" w:rsidR="00507BE9" w:rsidRPr="00507BE9" w:rsidRDefault="00507BE9" w:rsidP="00507BE9">
      <w:pPr>
        <w:widowControl w:val="0"/>
        <w:spacing w:before="77" w:after="0" w:line="250" w:lineRule="auto"/>
        <w:ind w:right="117"/>
        <w:rPr>
          <w:rFonts w:eastAsia="Calibri" w:cs="Arial"/>
          <w:color w:val="231F20"/>
          <w:sz w:val="18"/>
          <w:szCs w:val="22"/>
          <w:lang w:eastAsia="en-US"/>
        </w:rPr>
      </w:pPr>
      <w:r w:rsidRPr="00507BE9">
        <w:rPr>
          <w:rFonts w:eastAsia="Calibri" w:cs="Arial"/>
          <w:color w:val="231F20"/>
          <w:sz w:val="18"/>
          <w:szCs w:val="22"/>
          <w:lang w:eastAsia="en-US"/>
        </w:rPr>
        <w:t>GPO Box 5218</w:t>
      </w:r>
    </w:p>
    <w:p w14:paraId="43E497EE" w14:textId="77777777" w:rsidR="00507BE9" w:rsidRPr="00507BE9" w:rsidRDefault="00507BE9" w:rsidP="00507BE9">
      <w:pPr>
        <w:widowControl w:val="0"/>
        <w:spacing w:before="77" w:after="0" w:line="250" w:lineRule="auto"/>
        <w:ind w:right="117"/>
        <w:rPr>
          <w:rFonts w:eastAsia="Calibri" w:cs="Arial"/>
          <w:color w:val="231F20"/>
          <w:sz w:val="18"/>
          <w:szCs w:val="22"/>
          <w:lang w:eastAsia="en-US"/>
        </w:rPr>
      </w:pPr>
      <w:r w:rsidRPr="00507BE9">
        <w:rPr>
          <w:rFonts w:eastAsia="Calibri" w:cs="Arial"/>
          <w:color w:val="231F20"/>
          <w:sz w:val="18"/>
          <w:szCs w:val="22"/>
          <w:lang w:eastAsia="en-US"/>
        </w:rPr>
        <w:t>SYDNEY NSW 2001</w:t>
      </w:r>
    </w:p>
    <w:p w14:paraId="33A55C3B" w14:textId="77777777" w:rsidR="00507BE9" w:rsidRPr="00507BE9" w:rsidRDefault="00507BE9" w:rsidP="00507BE9">
      <w:pPr>
        <w:widowControl w:val="0"/>
        <w:spacing w:before="77" w:after="0" w:line="250" w:lineRule="auto"/>
        <w:ind w:right="117"/>
        <w:rPr>
          <w:rFonts w:eastAsia="Calibri" w:cs="Arial"/>
          <w:color w:val="231F20"/>
          <w:sz w:val="18"/>
          <w:szCs w:val="22"/>
          <w:lang w:eastAsia="en-US"/>
        </w:rPr>
      </w:pPr>
      <w:r w:rsidRPr="00507BE9">
        <w:rPr>
          <w:rFonts w:eastAsia="Calibri" w:cs="Arial"/>
          <w:color w:val="231F20"/>
          <w:sz w:val="18"/>
          <w:szCs w:val="22"/>
          <w:lang w:eastAsia="en-US"/>
        </w:rPr>
        <w:t>Telephone: (02) 9284 9600</w:t>
      </w:r>
    </w:p>
    <w:p w14:paraId="69D003F2" w14:textId="77777777" w:rsidR="00507BE9" w:rsidRPr="00507BE9" w:rsidRDefault="00507BE9" w:rsidP="00507BE9">
      <w:pPr>
        <w:widowControl w:val="0"/>
        <w:spacing w:before="77" w:after="0" w:line="250" w:lineRule="auto"/>
        <w:ind w:right="117"/>
        <w:rPr>
          <w:rFonts w:eastAsia="Calibri" w:cs="Arial"/>
          <w:color w:val="231F20"/>
          <w:sz w:val="18"/>
          <w:szCs w:val="22"/>
          <w:lang w:eastAsia="en-US"/>
        </w:rPr>
      </w:pPr>
      <w:r w:rsidRPr="00507BE9">
        <w:rPr>
          <w:rFonts w:eastAsia="Calibri" w:cs="Arial"/>
          <w:color w:val="231F20"/>
          <w:sz w:val="18"/>
          <w:szCs w:val="22"/>
          <w:lang w:eastAsia="en-US"/>
        </w:rPr>
        <w:t xml:space="preserve">Email: </w:t>
      </w:r>
      <w:r w:rsidRPr="00507BE9">
        <w:rPr>
          <w:rFonts w:eastAsia="Calibri" w:cs="Arial"/>
          <w:color w:val="231F20"/>
          <w:sz w:val="18"/>
          <w:szCs w:val="22"/>
          <w:u w:val="single"/>
          <w:lang w:eastAsia="en-US"/>
        </w:rPr>
        <w:t>communications@humanrights.gov.au</w:t>
      </w:r>
      <w:r w:rsidRPr="00507BE9">
        <w:rPr>
          <w:rFonts w:eastAsia="Calibri" w:cs="Arial"/>
          <w:color w:val="231F20"/>
          <w:sz w:val="18"/>
          <w:szCs w:val="22"/>
          <w:lang w:eastAsia="en-US"/>
        </w:rPr>
        <w:t>.</w:t>
      </w:r>
    </w:p>
    <w:p w14:paraId="4E602B85" w14:textId="77777777" w:rsidR="00507BE9" w:rsidRDefault="00507BE9" w:rsidP="00507BE9">
      <w:pPr>
        <w:widowControl w:val="0"/>
        <w:spacing w:before="77" w:after="0" w:line="250" w:lineRule="auto"/>
        <w:ind w:right="117"/>
        <w:rPr>
          <w:rFonts w:eastAsia="Calibri" w:cs="Arial"/>
          <w:b/>
          <w:bCs/>
          <w:color w:val="231F20"/>
          <w:sz w:val="18"/>
          <w:szCs w:val="22"/>
          <w:lang w:eastAsia="en-US"/>
        </w:rPr>
      </w:pPr>
    </w:p>
    <w:p w14:paraId="6C3443D0" w14:textId="77777777" w:rsidR="00507BE9" w:rsidRPr="00507BE9" w:rsidRDefault="00507BE9" w:rsidP="00507BE9">
      <w:pPr>
        <w:widowControl w:val="0"/>
        <w:spacing w:before="77" w:after="0" w:line="250" w:lineRule="auto"/>
        <w:ind w:right="117"/>
        <w:rPr>
          <w:rFonts w:eastAsia="Calibri" w:cs="Arial"/>
          <w:color w:val="231F20"/>
          <w:sz w:val="18"/>
          <w:szCs w:val="22"/>
          <w:lang w:eastAsia="en-US"/>
        </w:rPr>
      </w:pPr>
      <w:r w:rsidRPr="00507BE9">
        <w:rPr>
          <w:rFonts w:eastAsia="Calibri" w:cs="Arial"/>
          <w:b/>
          <w:bCs/>
          <w:color w:val="231F20"/>
          <w:sz w:val="18"/>
          <w:szCs w:val="22"/>
          <w:lang w:eastAsia="en-US"/>
        </w:rPr>
        <w:t xml:space="preserve">Design and layout </w:t>
      </w:r>
      <w:r w:rsidRPr="00507BE9">
        <w:rPr>
          <w:rFonts w:eastAsia="Calibri" w:cs="Arial"/>
          <w:color w:val="231F20"/>
          <w:sz w:val="18"/>
          <w:szCs w:val="22"/>
          <w:lang w:eastAsia="en-US"/>
        </w:rPr>
        <w:t>Dancingirl Designs</w:t>
      </w:r>
    </w:p>
    <w:p w14:paraId="2C1A67CB" w14:textId="77777777" w:rsidR="00507BE9" w:rsidRPr="00507BE9" w:rsidRDefault="00507BE9" w:rsidP="00507BE9">
      <w:pPr>
        <w:widowControl w:val="0"/>
        <w:spacing w:before="77" w:after="0" w:line="250" w:lineRule="auto"/>
        <w:ind w:right="117"/>
        <w:rPr>
          <w:rFonts w:eastAsia="Calibri" w:cs="Arial"/>
          <w:color w:val="231F20"/>
          <w:sz w:val="18"/>
          <w:szCs w:val="22"/>
          <w:lang w:eastAsia="en-US"/>
        </w:rPr>
      </w:pPr>
      <w:r w:rsidRPr="00507BE9">
        <w:rPr>
          <w:rFonts w:eastAsia="Calibri" w:cs="Arial"/>
          <w:b/>
          <w:bCs/>
          <w:color w:val="231F20"/>
          <w:sz w:val="18"/>
          <w:szCs w:val="22"/>
          <w:lang w:eastAsia="en-US"/>
        </w:rPr>
        <w:t xml:space="preserve">Printing </w:t>
      </w:r>
      <w:r w:rsidRPr="00507BE9">
        <w:rPr>
          <w:rFonts w:eastAsia="Calibri" w:cs="Arial"/>
          <w:color w:val="231F20"/>
          <w:sz w:val="18"/>
          <w:szCs w:val="22"/>
          <w:lang w:eastAsia="en-US"/>
        </w:rPr>
        <w:t>Paragon Printing Australasia</w:t>
      </w:r>
    </w:p>
    <w:p w14:paraId="591DA55E" w14:textId="0C0C9983" w:rsidR="00507BE9" w:rsidRDefault="00507BE9" w:rsidP="00507BE9">
      <w:pPr>
        <w:widowControl w:val="0"/>
        <w:spacing w:before="77" w:after="0" w:line="250" w:lineRule="auto"/>
        <w:ind w:right="117"/>
        <w:rPr>
          <w:rFonts w:eastAsia="Calibri" w:cs="Arial"/>
          <w:color w:val="231F20"/>
          <w:sz w:val="18"/>
          <w:szCs w:val="22"/>
          <w:lang w:val="en-US" w:eastAsia="en-US"/>
        </w:rPr>
      </w:pPr>
      <w:r w:rsidRPr="00507BE9">
        <w:rPr>
          <w:rFonts w:eastAsia="Calibri" w:cs="Arial"/>
          <w:b/>
          <w:bCs/>
          <w:color w:val="231F20"/>
          <w:sz w:val="18"/>
          <w:szCs w:val="22"/>
          <w:lang w:eastAsia="en-US"/>
        </w:rPr>
        <w:t xml:space="preserve">Cover Image </w:t>
      </w:r>
      <w:r w:rsidRPr="00507BE9">
        <w:rPr>
          <w:rFonts w:eastAsia="Calibri" w:cs="Arial"/>
          <w:color w:val="231F20"/>
          <w:sz w:val="18"/>
          <w:szCs w:val="22"/>
          <w:lang w:eastAsia="en-US"/>
        </w:rPr>
        <w:t>Photograph of students from Keilor Heights Primary School, presented as a gift to the National Children’s Commissioner</w:t>
      </w:r>
    </w:p>
    <w:p w14:paraId="615DFB49" w14:textId="77777777" w:rsidR="00507BE9" w:rsidRDefault="00507BE9" w:rsidP="00317FA0">
      <w:pPr>
        <w:widowControl w:val="0"/>
        <w:spacing w:before="77" w:after="0" w:line="250" w:lineRule="auto"/>
        <w:ind w:left="100" w:right="117"/>
        <w:rPr>
          <w:rFonts w:eastAsia="Calibri" w:cs="Arial"/>
          <w:color w:val="231F20"/>
          <w:sz w:val="18"/>
          <w:szCs w:val="22"/>
          <w:lang w:val="en-US" w:eastAsia="en-US"/>
        </w:rPr>
      </w:pPr>
    </w:p>
    <w:p w14:paraId="3C9ACE4F" w14:textId="7FA773AD" w:rsidR="00317FA0" w:rsidRPr="00317FA0" w:rsidRDefault="00317FA0" w:rsidP="00317FA0">
      <w:pPr>
        <w:widowControl w:val="0"/>
        <w:spacing w:before="0" w:after="0"/>
        <w:ind w:left="820"/>
        <w:rPr>
          <w:rFonts w:eastAsia="Arial" w:cs="Arial"/>
          <w:sz w:val="18"/>
          <w:szCs w:val="18"/>
          <w:lang w:val="en-US" w:eastAsia="en-US"/>
        </w:rPr>
      </w:pPr>
    </w:p>
    <w:p w14:paraId="37EA405E" w14:textId="01BE42C2" w:rsidR="00317FA0" w:rsidRPr="00317FA0" w:rsidRDefault="00317FA0" w:rsidP="00317FA0">
      <w:pPr>
        <w:spacing w:before="84"/>
        <w:ind w:left="1025"/>
        <w:rPr>
          <w:rFonts w:eastAsia="Times New Roman" w:cs="Arial"/>
          <w:sz w:val="20"/>
          <w:szCs w:val="20"/>
          <w:lang w:val="en-US" w:eastAsia="en-US"/>
        </w:rPr>
      </w:pPr>
      <w:r>
        <w:rPr>
          <w:b/>
        </w:rPr>
        <w:br w:type="column"/>
      </w:r>
      <w:r w:rsidRPr="00317FA0">
        <w:rPr>
          <w:rFonts w:eastAsia="Calibri" w:cs="Arial"/>
          <w:noProof/>
          <w:sz w:val="22"/>
          <w:szCs w:val="22"/>
        </w:rPr>
        <w:lastRenderedPageBreak/>
        <mc:AlternateContent>
          <mc:Choice Requires="wpg">
            <w:drawing>
              <wp:anchor distT="0" distB="0" distL="114300" distR="114300" simplePos="0" relativeHeight="251658240" behindDoc="1" locked="0" layoutInCell="1" allowOverlap="1" wp14:anchorId="69E3AF43" wp14:editId="431246B6">
                <wp:simplePos x="0" y="0"/>
                <wp:positionH relativeFrom="page">
                  <wp:posOffset>1062355</wp:posOffset>
                </wp:positionH>
                <wp:positionV relativeFrom="paragraph">
                  <wp:posOffset>-124696</wp:posOffset>
                </wp:positionV>
                <wp:extent cx="554355" cy="552450"/>
                <wp:effectExtent l="0" t="5080" r="4445" b="1270"/>
                <wp:wrapNone/>
                <wp:docPr id="711" name="Group 6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54355" cy="552450"/>
                          <a:chOff x="1701" y="-1413"/>
                          <a:chExt cx="873" cy="870"/>
                        </a:xfrm>
                      </wpg:grpSpPr>
                      <pic:pic xmlns:pic="http://schemas.openxmlformats.org/drawingml/2006/picture">
                        <pic:nvPicPr>
                          <pic:cNvPr id="712" name="Picture 69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1771" y="-1413"/>
                            <a:ext cx="776" cy="3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13" name="Picture 69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1704" y="-1168"/>
                            <a:ext cx="869" cy="2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14" name="Picture 69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1704" y="-1168"/>
                            <a:ext cx="869" cy="2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15" name="Picture 69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1701" y="-975"/>
                            <a:ext cx="872" cy="24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16" name="Picture 69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1701" y="-975"/>
                            <a:ext cx="872" cy="24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17" name="Picture 69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1745" y="-799"/>
                            <a:ext cx="789" cy="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18" name="Picture 68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1745" y="-799"/>
                            <a:ext cx="789" cy="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6C14182" id="Group 688" o:spid="_x0000_s1026" style="position:absolute;margin-left:83.65pt;margin-top:-9.8pt;width:43.65pt;height:43.5pt;z-index:-251658240;mso-position-horizontal-relative:page" coordorigin="1701,-1413" coordsize="873,87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Z2eIXsgQAAP4nAAAOAAAAZHJzL2Uyb0RvYy54bWzsWntvqzYU/3/SvgPi&#10;fxogBgNqetXmUU3qtmqPD+CAE6wLGNkkaTXd775jG/LslKt7pUnLXCmp8eNwnr8cH/v+01tdOVsq&#10;JOPNxA3ufNehTc4L1qwn7p9/LLzEdWRHmoJUvKET951K99PDjz/c79qMhrzkVUGFA0Qame3aiVt2&#10;XZuNRjIvaU3kHW9pA4MrLmrSwaNYjwpBdkC9rkah78ejHRdFK3hOpYTemRl0HzT91Yrm3a+rlaSd&#10;U01c4K3T30J/L9X36OGeZGtB2pLlPRvkG7ioCWvgpXtSM9IRZyPYBama5YJLvurucl6P+GrFcqpl&#10;AGkC/0yaZ8E3rZZlne3W7V5NoNozPX0z2fyX7atwWDFxcRC4TkNqMJJ+rxMniVLPrl1nMOtZtL+3&#10;r8LICM0Xnn+WMDw6H1fPazPZWe5+5gUQJJuOa/W8rUStSIDgzpu2wvveCvStc3LojCI0jiLXyWEo&#10;ikIU9VbKSzClWhVgH1iFUS9AwdiYMC/n/fIEj83aBOuFI5KZt2pOe84e7luWZ/DpdQqtC51e9z1Y&#10;1W0EdXsi9VfRqIn4vGk9MH9LOrZkFevetSuDghRTzfaV5UrR6uHYPOFgHhhXr3XiNFLCD/PMKqKk&#10;0sZxGj4tSbOmj7KFOAC9AYGhSwi+KykppOpWZjyloh9POFlWrF2wqlLWU+1eZgilM1f8QG3GzWc8&#10;39S06UzcClqB+LyRJWul64iM1ksKbih+KgLtKuAOL7JTr1OOoWPprzB59P00fPKmkT/1kI/n3mOK&#10;sIf9OUY+SoJpMP2iVgco20gKaiDVrGU9r9B7we2HgdNDjAlJHdrOlmgAUZrSDA3/NYvQpVSieJUi&#10;/w2UDfOg3Qna5aVqrkBzfT9M3g9oNR80q2wgIciuxk2A8UUEDOGDcWz8f5ym2rKD/4NnCNk9U147&#10;qgGqBka1qskWxDCiDVMU0w1XBteiVM1JB8hgej4yUuqn82SeIA+F8RyMNJt5j4sp8uJFgKPZeDad&#10;zoLBSCUrCtqo13y/jbTKecWKwU2lWC+nlTC2W+i/XiHyMG2kfOXAxmBXRezgd2kQIv8pTL1FnGAP&#10;LVDkpdhPPD9In9LYRymaLU5FemEN/X6RnN3ETaMw0lY6Ylr52ZFsvv67lI1kNevg57Vi9cRN9pNI&#10;piJ/3hTatB1hlWkfqUKxf1CFcXnj6oOPwqhqwue/iKXwE2F+6l73WIqU/pRICnNvBktDi6VXchDI&#10;JlCfTQSxznhM5KtUJIlTg6VheppLWCxdLC7x5ghADAYb4LBYetNYCtFzjqU6Kb85LB1bLLVYelSc&#10;+Mq9g81LdSZ5kr7avPTjPT6UPc6xNLzJvBRZLL2Opf0eP8W6znOUlmKoBanyWIh0wgpp1lBYG/bv&#10;dotvt/j/7y0+VMHOoVRXOm8uLTXVoY8qcbZcen5gYKEUDpn2h1UnKdlJRdFWS2219HAwiC+hVJfD&#10;bg5KY5uVXs1KEexR1NkrNsdLh6wUJ0OxNIr72qDNSieuhVILpQcoheswZ1kpRM0tHjxhC6UWSg8X&#10;uWytVMfDP2fcGiSHQ8aTaf9OrVTfjoJLZrpW21+IU7fYjp+hfXxt7+FvAAAA//8DAFBLAwQUAAYA&#10;CAAAACEAOr6JLOEAAAAKAQAADwAAAGRycy9kb3ducmV2LnhtbEyPTUvDQBCG74L/YRnBW7tJP1KN&#10;2ZRS1FMp2AribZqdJqHZ3ZDdJum/dzzpbV7m4Z1nsvVoGtFT52tnFcTTCATZwunalgo+j2+TJxA+&#10;oNXYOEsKbuRhnd/fZZhqN9gP6g+hFFxifYoKqhDaVEpfVGTQT11Llndn1xkMHLtS6g4HLjeNnEVR&#10;Ig3Wli9U2NK2ouJyuBoF7wMOm3n82u8u5+3t+7jcf+1iUurxYdy8gAg0hj8YfvVZHXJ2Ormr1V40&#10;nJPVnFEFk/g5AcHEbLng4aQgWS1A5pn8/0L+AwAA//8DAFBLAwQKAAAAAAAAACEAOZoV1MYGAADG&#10;BgAAFAAAAGRycy9tZWRpYS9pbWFnZTcucG5niVBORw0KGgoAAAANSUhEUgAAAE4AAAAaCAYAAAAZ&#10;tWr8AAAABmJLR0QA/wD/AP+gvaeTAAAACXBIWXMAAA7EAAAOxAGVKw4bAAAGZklEQVRYhe2Z+28c&#10;VxXHv2dndvYxuzuz60diu7bTJHVtpyXINE1pKQ8BoiFNAFUCJEQlqiIEgh9AIPEvIH7hD0BC4m9A&#10;SPyECg1K0jaKEzuOHceO7X15n57ZmfW+Zg4/rNf2PvyeZIPEV1rN6M7Vued85tx7z50l/F9Hkm3b&#10;mH0wB1d+Q4Nl2d32539CplnEn//yVwiCwC6zWMTHNz/htVgClmV127fnVvfuz+IPf/wTCgWDJyfG&#10;iWzbxo2bn7JeMODxSDQyPIThoQH4vN5u+/pcKBqN4W9//wfPzS8ADPzyFz/FS+fPEQFAOpPF7TvT&#10;zDbDZhtgoK8nQoMDp3D6VD88Hqnb/j9zLS0/wT8/+hgzM7PMDDAYr16YxIcfvE8AQI2On929z4lk&#10;CjbbYJvBvAMxElbR39dDfb09iIRVCILQvYieogzDxPS9+7h5+1PEYglmMMAMZkCS3Pj9736NSCTc&#10;DG5zs4SPbtziSrXSBK5xz8ywbRsul4tUNYSecBhhVYGqKggFgxAEV/ciPoE0TcfD+QXMzM5h4dFj&#10;tqzaVrz1LGuA+871b+NrX3l7mxftNhKNJ/jO9CzYtvcE17hn5u1+5CIooRBUVUFYCZGiKFCVEAIB&#10;+dmTOECarmNtLYrlJ6tYfLzMiUQSAG/D6nR/7uxZ/PxnH9DumUathj+bnuFoNN4RVjs4BrMNe3fb&#10;djtDEFwIBgMIBQMIBGQEZJlkWYbs98Hv98Pn80EUn860NwwTuXwe2WwOqXQG6+spxBNJ1jS9Cc5O&#10;VnUG5/V68dvf/AqRcLiJVRu4arWGf//nFusF48TgmFv6M7f1ldwSvF4PPB4JHkmCJEmQ3CJEtxtu&#10;UYQgCiS4BBABIAK2/LAsG9VaDZVyBaVyiTc3N2GaRRQKBnRdR6Van3I7ILZANbXtD44I+PAn72Ni&#10;4uU2TmJrg9stwjBM/OvGLZQrFSdefpMIAO+6litllEolMOrAmwNlcF1tL2A3iHZA7IivV771zY7Q&#10;AKDjih4IyPT6a58nl6v5MVGLDWq6tLV3eOKgjmd7jxDa7L1x+RK+8fWv7jnInlthb08El6YuUhss&#10;B0StV2q+HtmeUy5u2XnlwiTe+961fa3uW0MMDpzCpS9cbM+0TqMdU60QuykiwuTEOH78ox/QQbVq&#10;2xrXquGhQVpPpTE7N8+ZbN4xJ58nqaoC2S9jeHgI166+Q6J4IJaDwQHAqf4+AKBcfgNLyyu8uhZD&#10;qVw+obsnUWNr2f/51ibcUQFZxvjLY3AJLqysrtHo6DBfu/rOgZnW0KHANRQJqwBAlmUhlc5wNJZA&#10;PLkOXdPbQ9luOCjIo+r49vr7ejE2dh5DgwNIZzJ0+5M7MAyDr797hd+4fOlIq4UjS4thmpxKZbCe&#10;TiOdySGXy8OyrH3rueP/0FJ27N0nElExMvwCzoyOYPiFISSS63R3+j7mFx6xZVlQFQU//P57dObM&#10;yJFjfiprcq1Wg6YXkMvlkd/QeGNDg6Zp0PQCqtWq4+CICKqqoK+3B/39fRg8fZoGBwcgiAIWF5cw&#10;93Ce5x4+QrlcRgP05169gO9ev0o+n+9YMZ4YXMEwUClXoKrqoQ76xeImCobBhmHCNE0YZhHFYhGl&#10;UgmlUhnVahXVWm3nHEwEQRAgiiK8Xg+8Hi/8sh+BgAwlFCRFCSGs1r/Y1Go1xONJLD9ZweLSMqJr&#10;Ua5ZVhNwRQni+rtXMDHeubA9rBzJuFg8gbv3ZpmIGl9MSAmFEAoG4Pf70FpIO6FqtYpsLo9UKo1k&#10;ch2xeILjieRWRrcerRii6MZbb17Gl7/0RfJ4PCce37Gpats2Hi+v4N7MA9Y0fdthF7ng9/vqB3uf&#10;j3w+bz1zvF54PB5IkhtutxuCIICIQAAsy0LNslCpVFAul1HcLME0TRQKBmuajnx+A/kNbZ+1cwec&#10;KAiYmrqIt996kxQl5FS4zq9xtm1jZTXKDx7OI5FMNX2WOvkmcZiNod4vIMuYmrqI11+bomAw4HSY&#10;RytHDqOtaUkAkM9v8MLiEpaWnkAvGE4P1SZRFPHS+XN4ZXIcY2PnD1XIHlfP7KSTzmSxuhblaCyO&#10;9WSqvgE4kHGRsIrR0RGcfXEUL54ZdWT9Ooy6ckS0LAvZXB7ZbI5zuTw0XUehYMDc2l0rlSosy4Ig&#10;CJAkNzySBFmWEQjICIVCCKsKwmGVensi8Hbp37j/AmTc+ZZW+AYxAAAAAElFTkSuQmCCUEsDBBQA&#10;BgAIAAAAIQC4d/Cl5gAAADkEAAAZAAAAZHJzL19yZWxzL2Uyb0RvYy54bWwucmVsc7zTz2oDIRAG&#10;8Hsh7yBzz7q7STalxM2lFHIN6QOIzrrS9Q9qS/P2FUqggWBvHp1hvu938XD8Ngv5whC1swy6pgWC&#10;VjiprWLwfnlbPwOJiVvJF2eRwRUjHMfV0+GMC0/5KM7aR5JTbGQwp+RfKI1iRsNj4zzavJlcMDzl&#10;Z1DUc/HBFdK+bQca/mbAeJdJTpJBOMkNkMvV5+b/s900aYGvTnwatOlBBdUmd+dAHhQmBgal5r/D&#10;TeOtAvrYsK9j2JcMfR1DXzJ0dQxdyTDUMQwlw66OYVcybOsYtjcDvfvw4w8AAAD//wMAUEsDBAoA&#10;AAAAAAAAIQCjEkq43AUAANwFAAAUAAAAZHJzL21lZGlhL2ltYWdlNS5wbmeJUE5HDQoaCgAAAA1J&#10;SERSAAAAVwAAABkIBgAAAESasnAAAAAGYktHRAD/AP8A/6C9p5MAAAAJcEhZcwAADsQAAA7EAZUr&#10;DhsAAAV8SURBVGiB7ZnZbxtVFIe/6yWe2BnbieM0C2EpLaQsbWkrqEDwCmIRD6gSVFUBCYn/AZBA&#10;qP8G4oUHJBaJBySEEEKo6kJTWrWhoW1Kmyap7YzXiSe2x/G9PEwW23HiuNlKxU8a+d6Zu5z73XOP&#10;zni4OT7B/9ocucYn76iR0WvMzc1tty33lU6dPovH6/USSxgqkzPFtJGkJ9q93Xb953Xp8ghff/O9&#10;cvm8XgCKxZK6eHlUnT1/ESOZ3mbz/rs6eeoMX3z5lWrXNMTlK1dVfDoJgJISqSRKKgIBv3hocID+&#10;3h688xvwv1ZW3rL49rsfGP7zgkLB7t07Edf/GVe3bk8CtXAXfoXLJXp7uhno20G0O4Lb7d7mZdxb&#10;qlQqnD7zBz/+9LPKz1goFCg4/NwhxFQsoa5cHQMaw5VKoaREKYXb7aYnGqG3Jyp6erpp17RtXtr2&#10;qVwuM3z+Ar/8+htGMqWUcqAuwH3jtVcQmWyO4YsjChbgqjrIS3CVUsiqciioi+5IF9FohGh3BM3n&#10;2+41b7oMI8nZc8OcOXuemfyMQikUUAMX+PCD9xAl2+b3U+ccuEoiZS3ceqDV5bq60DsCRLq6iEQ6&#10;6Y50EQ4F74swMm0kuXJllIuXRtT47QlQCrXopY3hfv7pR0IAnDwzrArFUh3cJY9dI1znkgqlnHsu&#10;l4uurk4RiXQ60LvCBHX9ngdumjPcGr/N2I1/uH59jOlkSi0DugrccDjEic8+ceCOjF5TsYThQJEO&#10;sLuGW91v2X0HeDikEw6HRDgUIhQKEgrpBHWdtra2LYVYqUhyuRzThkEsniAWizMxMaVS6QywYPcK&#10;QBvBnf89+Mw+3n/3mAP3TjzBX3+Pqa2Au1Rf3k/TfOgdHQQCAQIBv/D72/G3t6NpPnw+H5qm4fV6&#10;8Hq9eD0e3G43QghcLpdj8/w1NzeHbZcp2TbFYpFCoYBlzZLPW+RMk2zOJJPOqHQmTbk854BSqgbo&#10;euAeffsIzx9+1oFbKtn8fvpcDdxqcCvF35bhrgHw2i6W3VuC0aDdIpDa+zUA1wm3GvKJzz4W4XAY&#10;F4DP10ZnKLi2syQ24kBurEQTmxo9btanhdlrao88/BDhcBjAgQuw98kh0dsTXdmalYZuaOU9uANb&#10;pAP79y2WPQuFtjYvgDCSaTV6bYx83qrqImA+xbhfJQTz4eDu5Xa7OXhw/2LdU98g2t0lpJRM3Ylz&#10;/eYtZeVna41ALOZyTQ2mwZase5/WOsDWOoTb7eb4sXcI6vrisV0GF8DlcqKFlFLEE4a6ces2qVQL&#10;/5RVrWv1JW7HiWh9zmY99I4O3jt+lN27Hq2Jhw3hLmgesgAwZ/JqfGKSyckY1my9NzeafDM8bHnb&#10;psd5E/dPAHv3PsWRt95Er/LY6uctSUpJKp1RU3fiTMXi5PPW0hvdspRrLfluK2nZWlOwVtKw+tRr&#10;eSrWKC3r7+/n9VdfZs/QYysyXNVzG6nam8F5VYwnplUsYZCYNrBtu/kgdxWMtyqErD7Prp2P8NKL&#10;L/DkE0NiIXyupJbh1isY1BcsQkpJNpdj2kgpw0iRTKbImWYLozVa2PqgNu/dvEUoFGT/vqc5dPAA&#10;fb071nza1w23WlU7uWhAqWSTzmRUKp0hlc6QyWTJZLLYdnmFUTYecKtyuVwMDPSxe9dO9gw9LgYf&#10;GKCZlzbShsJtJJ+vDepiu5QSy5olm8uRzZoqmzPJ5UxM08Q0Z7DLZRyYTXKNDchNATo7w/T17qC/&#10;bweDg4PiwcEBtA34EHBPvkrNzhYwZ2bI5y2Vz1vkLQvLmqVQKFAoFCkWi5Rsm7JtY5fLVCoVKpUK&#10;UkoAPB4PHo8HTdPQfG1omkbA344/4CfgD6DrHeh6B0FdF8GgvmnfCP8FV8tNINR7IZYAAAAASUVO&#10;RK5CYIJQSwMECgAAAAAAAAAhAFYEBiumBQAApgUAABQAAABkcnMvbWVkaWEvaW1hZ2U0LnBuZ4lQ&#10;TkcNChoKAAAADUlIRFIAAABXAAAAGQgGAAAARJqycAAAAAZiS0dEAP8A/wD/oL2nkwAAAAlwSFlz&#10;AAAOxAAADsQBlSsOGwAABUZJREFUaIHtmVtvG0UUx/+z68Qbx96141vckNKStjRcmtBSVUUIXrkJ&#10;IYEAVRUFJCS+Q4VUVPExEA88oQrECxICiYuomiZKW0LalEbpxUlcX9a3Xa9v63gOD44Tx7Fzd5xW&#10;/KXjnZmdXZ/5zdmZYy/uBefwv1ojYXYuRJNTd1BaWGi3L4+VroyMwmKxWBCOxCiZTLFoLA6/z9Nu&#10;vx55TUzexHeXfiChs7MDAJAvFOn6xE0aGbsGNZ5os3uPri5fuYqvv/mWuiQJbOLWbYpG4+DEQZzA&#10;OQcRwW63sQP7+9EX8KOjo6PdPu95GdksLn3/I65d/5uICEcOD4BN371PD4Lzy3DrjoIgsIDfh759&#10;fvi8Hoii2O5x7CmVy2WMXB3DTz//QpmMAQAgIpw+dRJsLhSm23dmmsIlqhjnHKIootfvRa/Py/w+&#10;L7q6pDYPrX0qlUoYv3YDv/72B+JqnAgVqFg8vv3m62DJVBrjNyZpNVwCLS4RVbjVcrWuKDLzedzw&#10;eT3wetyQJGt7R7wLUtU4RsfGMTI2DiNjEIGAyucKuJ9/9glY0TTx5+XRLcGtrRMRc9jt8LhdcLt7&#10;4PW44VTkx2IZiakqbk39i4l/blIwOAsioAK1elwN9+KF84wBwF9Xxiibz28X7uIystwuCALcbhdz&#10;u3vg6emBu8cFWXbseeC6nsGDYBAzM/cxPTMDVY0T1YJcB66iyPjqyy8qcCen7lAoHNlxuLz+PBEE&#10;JsCpyHC5FOZUFDidMhRZhiw70NnZuasQy2UOTdMQjamIRKN4+DCCubkQJVLJOojNyo3hHn9hCJ+e&#10;O1uBGwpHMTn1L9VvZLwFcGs3yXqTJCscdjvs9m50d9tYt82Gri4JkiRBkqyQJCs6OjoqZrFAFEUw&#10;xiAIAjjnS7awsADTLKFomigUCsjl8sjlcjAMA2lNh6bpSKVSlEgmUSotoMKk6sd6QNeHe+aD9/DS&#10;6VMVuMViEb9fHiXifMNwNwJ4s3DXsuXBNzKs0a8WynLbyn4r4W4cdGO4Fy+cZy6nEwIAWK1W9DiV&#10;3XkWW6hKqLRXBw88CZfTCQAVuAAw/PwgC/T6ADTxcAuON7yEbf5eewFavZq5dHx4aKlsqRYWNxMW&#10;iydo6vY0Mka2td7tmBgA2sS5tfpvT6Io4sSJ4aW6pb6Dz+NmnHPMh8KYvnuPDCPXEkceLzGIooCP&#10;zn4I2eFYCupVcAFAECqrBeechSMxuns/CDWx+p+y5jHQuujYitb2Zvu+Oux2fHzuDA4fGlixWjSE&#10;W9UiZAYAup6hB7PzmJ0PIZfLb8uZzYgxLO7gDc+i3ZM4dOw5vP/uO3DURGxVm94qOOdIJFM0Hwoj&#10;FApDN4wmqdY6+e4G07KNpmBN07BV7fVtq+sbScv6+gJ4643XMHj0SFOGa0ZuI9VGMwBoegaRSJTC&#10;0RiiURXFornqmqbxtYOBt3aE75wGnjqIV195Gc8+c5RVl89m2jTceimyA1iEzTlHKq1BVeMUU+NQ&#10;4wlomr7le+8WsPWkKDKGh47h5IvHEej1b/hp3zbcWtXM5JIDxaKJRDJJiWQKiWQKyWQKqXQaplna&#10;ya/eluonURAE9O0L4PChAQwOPs36n+jDelHaSDsKt5Gs1kr+XNvGOUc2m0MqrSGd1iitadA0HZqe&#10;ga7ruw7e5XIi0OtHINCL/f39bH9/HyRp+y8C9uBvHyCXy0PXMzAMg4xsFoaRhZHNIp8vIF/Io5Av&#10;oGiaMM0STLOEcrkMzsvgnIMxBotFhChaYLVaYe3shCRZYbN1wWbrgr3bDoejYooiM6eitOwd4X9e&#10;dkDeEudjhwAAAABJRU5ErkJgglBLAwQKAAAAAAAAACEAbsQsbCcGAAAnBgAAFAAAAGRycy9tZWRp&#10;YS9pbWFnZTMucG5niVBORw0KGgoAAAANSUhEUgAAAFcAAAAdCAYAAADfC/BmAAAABmJLR0QA/wD/&#10;AP+gvaeTAAAACXBIWXMAAA7EAAAOxAGVKw4bAAAFx0lEQVRoge1ZWW8bVRg9d2zHux0nceokTkpV&#10;2qhCIGiLhFSEeEICBE88ICohEBL/CQkJIR54QSwPSKBKhZY2pa0CUUua1ImT2M7iZeyZeMbLrB8P&#10;dhw7XuIsbhb1SOMZz9w7c+Z83/3umRmgDhk+B0VV8RyHA2v9n5V4AsGhwaPicurAbW3IhQJywiYt&#10;LcdJ1bSj5HRqUBN3bSMFAFBUFU/mF46M0GkCBwCmaSKZytDWzvWNFEWXYkfH6pSAAwBxM789kbHK&#10;ai6ySEsr8aPidWKRTKZgGAaAqrh8VmjZcHYuQv/NRWCa5rNjd8KxsBhFLJ4AUHULfE6gplYMAAHR&#10;5RiJosiKxRJcLuczJXoScf/hNCY38wSAcYqiolAsdezAZwW6eesullbiz7O4A6buPcBKLE6RhSgA&#10;gBPz+eoh1rLD1l5N12nm0SzdvD2FdIbvPdMThqeRRfzw488EAInVVei6Dk6SCns6iShu0q07f9Of&#10;f00hlc70hOhJw/Q/M/jq629I03QAgKbpyGR4WCW5sKPeVovtLkhnspRK8/jtxh/sxfPncHZ8DDab&#10;rQfUjy+KxSJ++uVXfPvd90Q7NEtlMmB3709TsVQGEYFME2ZtbYJMAhHBNM3K8R3blT4Ek0xYLBY2&#10;ER7FuRcmMBwcAsdxbSidfGiahql79/H7jZuQCwUCAdWf2vrDD94Fuz31kBRVbRK3Xsh6oYlMmGaz&#10;uPWC2/v6WHh0BOHwKEKhYfSdkozOSxIePJjGrTtTkPJ5ohaibq2vXXsDjM8JNPN4riLkfsRtlc1V&#10;0YlMMMZYcGgQI6EzOHMmiODQ4IkqH4qiYG4+gn9nHtGTuXnoulEVkNBJ3EuXJitmYCOZptn5BRiG&#10;sS9xa0FpIW5DEKhSlwYHAggGh9hgIIChwQACgf5jI7hhmEimUohGlxFZXEQ0ukyqqrUQtFJlq+nb&#10;JO7Y2Mi2/8rwWXr0ZB6qqu8ibqu62724zW0IjAE+r5f5/T70+/3o7/fB7/fB5/XC7XbBarV2kGP/&#10;KJfLyOYEpFJpJJMprK1vUGJ1DeVyGZU82OKKPYvr83sbzW2hWMTj2aeUE8SDi1s3AtqKWydwuwUA&#10;XC4nPG433G4XczodcDmdsDvs6LPZYKsuHMfAGAMDg0kmdN2AYehQVQ3lchmlsoJCoUCSJCGfl5AT&#10;RMhyoU5AahL0IOJabdbGl+VulwumabJYYo0ii8tQu/4q0c6+dWHrdmlCRJDlAiRJrvxrGwjsCErr&#10;4/X7ewld19E03qoWiimKgsWlGK3EEiCDKhHpgG7ccXcOuk1fBnSrR7u2jfsPwqbunG3OMjwcbBZ3&#10;C3a7HQBYqVzG8kqCllZiUFXtwLwO55Z6cdXDY+Z0OvD5p9fZrjOF0+EAAKbrOq2ubWApFkc2t+MV&#10;5R557fU29pK1Rw2v14Mvv/iMjYfH2mfuTlit1trkl89LFEusIr66Xq2FnXDwunscUE+xHd3JyQv4&#10;5OOP2EAgUGt3IAiCiNX1JK2trYPPCW2cQPNDRrfOoXli6jyZtW7fPJk1OoBWbbDL9nb/gcAA3n/v&#10;HVy98lqDngc2kIFAP1ANUqlUoo1kGuvJFJKpdMXq7Gn8Y/f06CH2Wn5GR0J4+603ceXyq6yVFz9U&#10;d+50OhsiJ0kyUmme0pkM0ukMcoJY+77UVru6A93d7LONgtfrwSsvv4TXr17G2YnxjiO/N48+dURQ&#10;V3o0XUcuJ4Dns5TN5sBnc+BzAjRNa0zaXkxgLWLQTVg4jsPY6CguXjyPyYsX2NmJcVgslq4u2VNx&#10;d8K2PXRqgpumCUmWIQgiBEEkQdyEWF0kWT4Es999ZlssFgwODCAUGsZIKISJ8TALh0e3bOm+rnxs&#10;oes6JElGXpJIlguQZBmyLKNYLKFUKqNYKkFRVKiqClVRYZgGDMPY/rTNcbBabbD32eBwOuCw2+F0&#10;OuByueB2ueDxuOH1euBxu+Hz+5jH7e46K7vB/0mqdOPsfk9lAAAAAElFTkSuQmCCUEsDBAoAAAAA&#10;AAAAIQD7w6ZR4gUAAOIFAAAUAAAAZHJzL21lZGlhL2ltYWdlMi5wbmeJUE5HDQoaCgAAAA1JSERS&#10;AAAAVwAAAB0IBgAAAN8L8GYAAAAGYktHRAD/AP8A/6C9p5MAAAAJcEhZcwAADsQAAA7EAZUrDhsA&#10;AAWCSURBVGiB7ZrJb+NUHMe/z4mTOq3TJt2XzAAzQ5EACWbhhAQHBAjOSAgkBELif0IcEOLAAYnl&#10;wGEEgtlo6QzDDMzS6Z6kaeM4i5PYjhPb8Y9D0jRpk047TbdovpKV9/z87J8//r33vrYC1CmVzsA0&#10;TTxVe+Sur4RX1zHYHziqWDpO3EZB03Uo2RyFozGyLOsoY+oY1eCuxWUAQMk0MTu/dGQBdZI4AHAc&#10;Bwk5RRs745JMy+Ho0UXVIeIAIJvLo7RlIZtbWKaVyOqRBHWSJUkJlMtlAFW4qbTS9MCHc4v08NEC&#10;HMc5vOhOuBYWlxCJVpLSDQCpjEKtDl4OR0nJ5VnBMOAThEMK8eRq5tZtTObyBIBxpZIJvWDs2CGd&#10;UeiPa9NYiaw+zeIdNDU9g3AkSvMLiwAALpvP76qjbdv0772HdOXGNORk+iBjPJGam1/E9z/8RACw&#10;GovBtm1wqqo/tiOrK2dzebo+NUNXb/wFOZk6qFhPlP7+5w6+/OprsiwbAGBZNuKSBLeq6S3n252U&#10;TKVJTqZw+bcr7OyZZ3FqYgw8z7c16OOuQqGAH3/+Bd98+x1hC8W4JIP9OXObCkaxtpPIATkEx3Hg&#10;EIEcB0SVOhG1LLtcLhYaH8Uzp0MYGhwAx3HoVFmWhanpGVz+9Xdouk5EFbL1v+++/RbYtalbVO9x&#10;nxRubXMceDweNj4+itD4KIaHh+DpkIzOqypu3ryNq9enkFfzBAIIhGZwL108D5bKKHT33mxdwybc&#10;enh7gevU1RkYGxwIYnRkCMNDQxgYCJ6o6aNUKmH20Tzu3P2PHsw+Qtm2QVWoqP1WZoV6uGfPPFdZ&#10;q+KSTA/mFqtA2guXnOo5N+oA+oMBDA70s/5gAP3BIAKBPvC8e4dbPDyVyw6kRAJLS8uYX1jC0vIK&#10;maZZB5R2BXd4aHDTCCRTGbo/Ow/LtipwW0DeL9yGtmo7AyD6RdbX60dvrx99fX70+v3wiyK6u31w&#10;uw8GfLFYRDqjIJGQIUkJrK3HKRpbQ6lYrMYHAFQr7wVuT3d3g8uCXjBwf3aOstl8m+FuAm4Gt6FO&#10;jecDAJ9PQE93N3w+HxOELvgEAd4uLzy8BzzvBs/z4DgGxiqb4ziw7TLKZRumaaFYLMIolqDrOqmq&#10;inxeRUbJQtP0OnhbYe4PLs+7Gz+Wd/sEOI7DorF1WlgOwzKP/rsuEUHTdKiqBqqocnNbHxIRGsE0&#10;QmrWfpAqlx1sG29VC8VKJRNLKxEKR2O1rzyHIwZsNY3HRHuJbHBwYDvcDXm9HgBgRrGIcCRGK5Eo&#10;zCfJ5C0RHV907ZMgdOGzTz5mj10phK4uAGC2bdPauoSVyCrSmeafKDtLO6dBq1ZR7MEXn3/KQhPj&#10;rTN3q9xud23xy6sqRVfXsBqLI6+qe4n4GKn9Y+iFyXP46MMPWDAQqF1hX1KULNbiEq2tS0hnlO1u&#10;4XF2bJtb2O4YWi1Qu1vMWi1ozfc1uIOGdjQpV9xCfyCA9997BxcvvNrAc98GMhDoA6oPyTCKJCUS&#10;WJdkSAm5anU6V2OjI3jzjddx4fwrrJkXb6s7F4SuhienahpkOUWynIKcTCKjZA/ZebRfoiji5Zde&#10;xGuXzuP0qdCOI/9A3znFnh6gbuqxbBtKRkEynaF0OoNUOoN0WsH2/0kcH0/BcRzGx0bx/LmzmJw8&#10;x06fCsHlcu2q76G+0PObQ6cG3HEcqJoORVGgKDlSsjlkszlks1momtbE7O8V/O6Pd7lcGOgPYmRk&#10;CKMjIwiFJlhoYgxer3cP12u88rGVbdtQVQ15VSVN06FqGjRNR6FgwDAMFAwDpZIJ0zRhmSbschnl&#10;6gZUso7jOPBuHryHh9frQZfXC59PgE/wQRR74PeLEEURwWAf6/X7d52Vu9H/Q2VQ8yVkFTgAAAAA&#10;SUVORK5CYIJQSwMECgAAAAAAAAAhAF6SbkAACwAAAAsAABQAAABkcnMvbWVkaWEvaW1hZ2UxLnBu&#10;Z4lQTkcNChoKAAAADUlIRFIAAABOAAAAKAgGAAAAUAfMWgAAAAZiS0dEAP8A/wD/oL2nkwAAAAlw&#10;SFlzAAAOxAAADsQBlSsOGwAACqBJREFUaIHNWvlvG8cV/oZcHkuRFEkpum/FdnzIlmWnSezUjh3D&#10;cZs0gZE2CNAWQRsUKNqiaFP03ylQIEGKIE2bookT17dixZGt2JKsw6ZISSRFSjwlLrkk95r+QImH&#10;eOtw8gEE59qdN9++NzPvzRB8h+B5Hm6PF8FgCKFwGKurazSRTILnExAEAWo1A42GAavXw2isQ329&#10;mdhsVjQ22NDa0gyj0fidyU5268WKoiAQDAEAmpueyqsLBIL4auQbuNweqigKKKUlfsikgcJ6q8WC&#10;rq5O0t/Xg/6+HrAsu1vDKcCOE7e6uobHdgfsDieoQunbb10kDMNk6uccTlz68moFwqojbqMeoFCp&#10;VOjr7cHgkUPkmX17kdvnbmDHiHN7lvBwapZ6lryZgbW3t+K1H53P9CEIIv729w+oIAg1kVYNcbnl&#10;JpMJJ088R44PHYVOp92pIeZh259l0eXB/fFJevnKzfVBZMFxsby8KIkQRXG7XVZENMrh0hf/o7eG&#10;b5MbN4dx/NgQjMa6He1jyxoXCkdwZ3QM/kCQUkpBlY0vnm+CF86fJT3dXZnnPvzoExoIBHdA20pp&#10;XGGZVqvF6VMnyYsnnodGo9k+a9gicSv+AK5eH4YgijQjsJIrfJY8nU5LLr7+KiyWegDA8vIK/eTT&#10;/0IUpR0x02qISxsChdVqwcU3fkL2PN335ImLrK7hi8tXqVBs4CW0Tq/Xkwvnz6K1pRkA4HJ56KUv&#10;ryCRTD5R4jbSPzg+hNdefYXodLrdJU6WZVAAKkLwv6u34A8EqFJswCWIo5SCEIKhwcPk2NARMAyD&#10;1bU1XL1+i7pcnu0RBwqUNd/i+cZGG37+9s9Ie3vb7hCXSCSw6F7CM3ufhj8QxOUrNymlCmolbuNn&#10;NpnIs8ePYu+efqjVajy2O3Bn9N6meW+XiVt/hmEY8ubF13FsaHBniVtbi2L461G8fPokWJbFI7sD&#10;d+89oBvEFJBXYp4rSqDZRAYOHsCB/fvAsno4nQsYfzhFnc7FtIaXJa2USdZG3Eb+3NnT5MIr53aG&#10;uGAojOGRUWqpN+HMqZMEAOYXXLh95y6lSgniaiSP0vTGtburk+zd04/eni7IsgL7nIPOORewuOCC&#10;KIk1E1d+zsslLps+NjRI3vrpRajV6qqIK7qP8wdCGB75BqIowWqxZMqbm5+CSqWCrCjVf5oKkGUZ&#10;Duc8nXM4ARDS0tyErq4OcvTIIZx/+SVEOY56vT54fcvwB4IIhyNV7QV1Oh0MBhbJZAqxWDyvjgCg&#10;m9rfG7tPU4JAJEmqyusoaBEKRzA8MgpJkikACDlCGlgWY/cnMD3zqOKLtwJKKfX6lrHk9eWYtBEN&#10;NhsslnoycHA/jEYjZFmGKEpIpVKQpPS/IAhICeJ6OkWjXAx+f2BdA6sBwcTkFP1Q9TGRZbmi5uUR&#10;x3Ex3Bj+mkqSlClbWQlAURSoVCoAwJGBA8TvD9ANB76SMIXftra20SiHtbUoaBoFi0c5s9wK7j+Y&#10;oCxrqLhoqjYSyVQKI6NjeRoGAHGex8KiO5NnGAZnXnoRDTZr8TcWdLl1d5jskCdd63tuj9yh127c&#10;KttGBaRDQPe+nQDPJ4p+pm/HJ2k0ymXyep2OnD93Br09XcWaF0E5yUmF+jJP7lpQDPjs0mU6M/u4&#10;ZD0DALN2B4KhcJq0TRZDCIEoSrh+awRcLAbTevBQo2EIADicC/TO3TEkk6kKomyMskoTqsXKt4FS&#10;3Rjr6vD+B/+gkcgqsVotBfWqYCgMu2O+YgdxnqeXr97Eij+QV97f10PefONV7N+3JzMPVha1WPr7&#10;BaOxDnGex/sffkRlWS6oZ8Ynp4Eqv20ymaJXrg/jwcRDMnBwf2bl0ev1BACiUY4+mHgIu8MJSSzs&#10;LIvtqNPuq+JTjQ2Z9JzDieGvRgraMIlkiuYKQ0DSm8ISoJRicmqWLix6iNu9hM7O9kyd2WwiQFo7&#10;Z2YeY+aRvWAPlUV5Ap6QpRZAp9NicPAwuXzlWqb7zy59SYPBEGnMIZQx1hmwtinguBnFBhGNcvTa&#10;za/w+RdXyOFDB9DRkXWW6wzp5VxRFLg9XtjnHHR+wYVUStiBoe0ebDYrXjl3lnz6n8/zygVBxL8+&#10;/SyvjMw+dtBHc07QnDOAgvMApYhTr+S7VOZ6M9m/bw/6e3uKhqslSYLb46ULiy4sLrqxFuVKumGl&#10;/dNye7gq/dRNeSAd6Hzx5Atoa20hH//z3zQW57NtgIx79rvfvkue2bc3TVwymcS1myNUELM+YfXE&#10;ZcnbqFepVKS7qwP9vT1ob2uFRlPcfYmsrtElrw9LSz74llcQDkcy/W6HuIp+6noeALq7ujB45BD6&#10;entw49ZtcvfeGM1/T75f29nZjr++90cCrC9r84tuOj45XYY4CmWzw16CuNwfw6jR0daGjo420tne&#10;BrPZVNJMUqkU/P4gDYRCCIXCCIXCiERWEeW4HHlq0bb8Mp1Oi+amZrS2tqC3pwu9vd0kElnF13dG&#10;cf/BBBVFqUATNxNHQfGbX79DDg8czO4Hxu5PUJfHWz1xRcy1UrTEZDKSluYmtDQ3oampEQ02a8Uz&#10;AFmWwcVi4LgYeD4BnueRSCSpIAoQBBGSlI5EgwJERaDRaKDVMIQ1sDCwBpjNJtisFhiNRgiCiEWX&#10;C3a7A5MPp2kwFC5CVgnikP4Ivd3deO9Pv8/uvWVZxt1vx6nXt7Jl4oqSpxQhc/1HCGCxWGC11BOr&#10;1QJLfT3MZiPMJhOMxrotn41KkoQoxyEcXkUgGIR/xU89S154fSuQ5dyQfzGyyhMHCvzlz3/Id1pk&#10;WaYPJqaw4HJD2TTgogfI1RBXgbzc32bz02q1YPV66PQ6aDUaMAwDhmEyrhalFJIkQRRFpFJCRiO5&#10;WCxrqpuCluXOIqol7oXnn82PjqjVagIAdsd8Zs7bwLb2VVt8OJVKIZl3oFPdHLfbmJqZRVEfaU9/&#10;Lzlz6gRMpgqXWrLry7ZR2WHPNqjFua9duspPxON86ZP8BpuVSJKE6Vk7nX08V3XUt0ZX/jtEGTMo&#10;ZyEEaGluKn8FYn1yJlGOw/jENHV7lrYeliwnJwFo2RdXaeu1Tgm57Wt49sjhgerujphNJgAgwWCI&#10;TkzNYMm7XIN0Odgs3I45pE/GsyVI7wJO//AEqWm9b2xsIAAQCkfo9MwjLLg8kBUZNQleEO+rpG1b&#10;xfbD9pvr9Xo93v3VL4nBYNjabaUGm5UAAJ9IUPvcPOxzTkSj0epfsA0FKUf0diy1Emw2K9595xfo&#10;7OwAsM1rXgaWzSxByyt+6nAuYGHRBZ5PFBUsb0pZz3zfFxG1Wo2TLzyHH184D5bVZ8a7Y9cWW5qb&#10;MqGkFX8Aiy4PdXuWEAqFd2daqxm19azTaTF0dBBnXzqVmaJyseP3PXPC5wQAYvE4fL4V6vUtw+db&#10;RigcAVnfiVeHJ0e1VqNBf38fDh8+hIGDBwjL6ku23d2LskgfeiBnVykIIoKhEAKBIEKhMA1FIgiH&#10;I4jH+d0WpQAmkwltrS3o7OxAb08X6enuqvri4ffmtEQQBHBcDFGOQywWp3GeBx/nEU9HQ5BMppBM&#10;JZFKpSCKIkQx7aMqipL2q0HBqNXQajTQaDRgWRZ6vQ4sy8JYZ0CdsQ7GOiPq600wm0ywWOqJXl9a&#10;oyrh//sTES3KMaziAAAAAElFTkSuQmCCUEsDBAoAAAAAAAAAIQDY35+N0QYAANEGAAAUAAAAZHJz&#10;L21lZGlhL2ltYWdlNi5wbmeJUE5HDQoaCgAAAA1JSERSAAAATgAAABoIBgAAABm1avwAAAAGYktH&#10;RAD/AP8A/6C9p5MAAAAJcEhZcwAADsQAAA7EAZUrDhsAAAZxSURBVFiF7ZlbbxvHFcd/w11ySS7J&#10;JWVZlnxVfI1lu3HspnWMxmiKImjiJA6aPDRA0RZo0AYI0AIt0AL9AH3oQ79AgQL9DO1Dnwq0KFq7&#10;cRrLF8mKYsu2JFKUxNtyl+Zt9/RBtCVK1NW0lQL5AwOSM7Mz5/x25uyZpeJLbUq+73Pz1iiBYsnG&#10;8/3ttuf/Qq7r8oc//glNC0jArTzk8sefynQmi+d9CXA1Dd+4yW9/93tsuywnho4r5fs+l69eE8et&#10;YASDau+efvYM7CIcDm+3rV8ITU5N8+e//FVGx8YQEX720YccPXJIKYD5XJ7/Xh8R8X1830cQdqRS&#10;aqC/j119vRih0Hbb/8x19+49/vb3f3D9xi1BQBBOnhjipx/8SAGoRx2v3RyVbHYO3/fxxUd8wRcf&#10;BJJWgr6dO1Tvjh5SSQtN07bPo6cox3G5Nnydy1c+Zmo6I4IgIiAQDAX5za9/wY6ennZwD6s1/nXl&#10;E6k36vi+IEsB+j4igoiPUkolLYtUcqEkkwnisTiaFtg+j59ApZLN6O0xbt4aYeyzO9L0miCCtFbZ&#10;I3DvXLrIt7554TEvtXSQdCYrw7dGV4JrfYr4C22yFKYQUBCPx0kmLZJWQiWtBJaVIGaaz57EOirZ&#10;Ng8eTDFx7x6ffz4h6ZmZFqhFWMvBHT50kI8+/EAt3Wlq+cDDN0dkKp3dFLiFvo++t/qJoGka8ZhJ&#10;PBYjHjMxY6YyzShmJEo0GiESiaDrT2fbO45DvlAkl8uRnZ0nm51lOp0R27YX7W4D1RlcJBzmV7/8&#10;OT09qTZWK8A1mk3+feUTsctOB3CLwDYCbulvEVlWt1AfCoUIhw2MUAjDCBEMhggGdYJ6ED2oo2ua&#10;CmgaSoFCAYLn+3ieT7PRoFavU63WpFKp4FYqOI6DXbKpNxrtgEQAWVK3UN9e1w4OBT/58Q8ZOv78&#10;Ck768oqgruO6Ff55+Sq1eh2QjndUKdUy5slUq9WoVqttDvl+m4PS7uwaZcnq6Ybe+M5rHaEBdIzo&#10;phlVX33xlAoEthDwO06jVm/6gurlcy/x2rdfXdXkVcns6Elx9oWTSinV2iJraY32NS/t3Ki2Qlh1&#10;78acOjnEe9+9tOZway6pgf4+zp4+hdqCJ1vg9Yy10gilFCeHjvOD77+v1stVV8S45dqzu1/Nzs0z&#10;cntccvnCmmZ0J7K0xlPQpVC1rpJJCzNqsn//Xt5+83Wl6+tiWR8cQN/OXgCVLxSZuD8pk1NparXa&#10;YoduU9ukVGv+VR5jdGqJxUyeP3YUTQtw//4DNTi4X95+8/V1V9ojbQjcI/WkkgDK8zzm5nMylc6Q&#10;ycxil8sbMnbtlqevvr6dHD1ymD27B5ibz6kr/7mK4zhy6a035OVzX9tUAOlKtHHdiszOzZGdyzE/&#10;nyOfL+J5zY653ON8ri3l8FdNMZalJh3LyvxsoaRSSQ7s28fg4H7279tLZiarPr02zO2xcfE8n6Rl&#10;8f733lXPDR7YtM9PJUw3m01Kdpl8oUixWJRi0aZUKlGyyzQaja6DCwQUyaTFzt5edvXtZGCgX+3Z&#10;3Y+m64yP32FkdExuj31GrVZ7fM0LXznFO5cuqmgksiUfnxhc2XGp1+skLWtDB/1K5SFlxxHHcXHd&#10;Co7rUqlUqFarVKs1Go0GjWYTaZ1MlFIENI2grmMYBuGwgRmNEovHsBJxZVkJUskkmqbRbDZJpzNM&#10;3LvP+J0JJicnpdn021ZlIhHn0lsXGTp+7Il878qKS2dmGL4+IigW3phYlrKsOPF4jGgkwpYS6XXU&#10;aDTI5QvMzs6RmckyPZ2WdGaGRttRa/G4FQzqfOP8OS68cl4ZhvHE83dtq/q+z92J+9y4NSolu7y4&#10;YgIBotEIZiRKJGKoSCRCOGwQNgwMwyAUChIMBtE0jYVkGzzPo+l51Ot1arUalYdVXNelXHakVLIp&#10;FAoUiqX283LHArqucfbF01x45byyrES33O1+jPN9nweT0zIyOsZMdrYrD4itlJhpcubMab7+0hkV&#10;j8e77ebm0pGNqLUtFUChUJTxOxPcmbhH2Xa6PdUK6brOkcMHOXliiGNHD28okd2qntnhZ24+x+Tk&#10;tExNp8lmZ6k3m11ZcT2pFAcO7OPQwUGeGzzQlfi1EW3LqdHzPHL5ArlcXvL5IiXbplwu47aervV6&#10;A8/z0DSNUCiIEQphmiaxmEkiEW+9tk+p3t6ebfs37n9zKhjIzzmePgAAAABJRU5ErkJgglBLAQIt&#10;ABQABgAIAAAAIQCxgme2CgEAABMCAAATAAAAAAAAAAAAAAAAAAAAAABbQ29udGVudF9UeXBlc10u&#10;eG1sUEsBAi0AFAAGAAgAAAAhADj9If/WAAAAlAEAAAsAAAAAAAAAAAAAAAAAOwEAAF9yZWxzLy5y&#10;ZWxzUEsBAi0AFAAGAAgAAAAhABnZ4heyBAAA/icAAA4AAAAAAAAAAAAAAAAAOgIAAGRycy9lMm9E&#10;b2MueG1sUEsBAi0AFAAGAAgAAAAhADq+iSzhAAAACgEAAA8AAAAAAAAAAAAAAAAAGAcAAGRycy9k&#10;b3ducmV2LnhtbFBLAQItAAoAAAAAAAAAIQA5mhXUxgYAAMYGAAAUAAAAAAAAAAAAAAAAACYIAABk&#10;cnMvbWVkaWEvaW1hZ2U3LnBuZ1BLAQItABQABgAIAAAAIQC4d/Cl5gAAADkEAAAZAAAAAAAAAAAA&#10;AAAAAB4PAABkcnMvX3JlbHMvZTJvRG9jLnhtbC5yZWxzUEsBAi0ACgAAAAAAAAAhAKMSSrjcBQAA&#10;3AUAABQAAAAAAAAAAAAAAAAAOxAAAGRycy9tZWRpYS9pbWFnZTUucG5nUEsBAi0ACgAAAAAAAAAh&#10;AFYEBiumBQAApgUAABQAAAAAAAAAAAAAAAAASRYAAGRycy9tZWRpYS9pbWFnZTQucG5nUEsBAi0A&#10;CgAAAAAAAAAhAG7ELGwnBgAAJwYAABQAAAAAAAAAAAAAAAAAIRwAAGRycy9tZWRpYS9pbWFnZTMu&#10;cG5nUEsBAi0ACgAAAAAAAAAhAPvDplHiBQAA4gUAABQAAAAAAAAAAAAAAAAAeiIAAGRycy9tZWRp&#10;YS9pbWFnZTIucG5nUEsBAi0ACgAAAAAAAAAhAF6SbkAACwAAAAsAABQAAAAAAAAAAAAAAAAAjigA&#10;AGRycy9tZWRpYS9pbWFnZTEucG5nUEsBAi0ACgAAAAAAAAAhANjfn43RBgAA0QYAABQAAAAAAAAA&#10;AAAAAAAAwDMAAGRycy9tZWRpYS9pbWFnZTYucG5nUEsFBgAAAAAMAAwACAMAAMM6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95" o:spid="_x0000_s1027" type="#_x0000_t75" style="position:absolute;left:1771;top:-1413;width:776;height:39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l16gHGAAAA3AAAAA8AAABkcnMvZG93bnJldi54bWxEj0FrwkAUhO8F/8PyCr3VjTk0El1FBE0p&#10;lKKVen1kn0ls9m3MbpPor3cLhR6HmfmGmS8HU4uOWldZVjAZRyCIc6srLhQcPjfPUxDOI2usLZOC&#10;KzlYLkYPc0y17XlH3d4XIkDYpaig9L5JpXR5SQbd2DbEwTvZ1qAPsi2kbrEPcFPLOIpepMGKw0KJ&#10;Da1Lyr/3P0bB+fK2zjxvsy/8SN5PRX28HXaZUk+Pw2oGwtPg/8N/7VetIJnE8HsmHAG5uAM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SXXqAcYAAADcAAAADwAAAAAAAAAAAAAA&#10;AACfAgAAZHJzL2Rvd25yZXYueG1sUEsFBgAAAAAEAAQA9wAAAJIDAAAAAA==&#10;">
                  <v:imagedata r:id="rId21" o:title=""/>
                </v:shape>
                <v:shape id="Picture 694" o:spid="_x0000_s1028" type="#_x0000_t75" style="position:absolute;left:1704;top:-1168;width:869;height:29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8Gm1rGAAAA3AAAAA8AAABkcnMvZG93bnJldi54bWxEj0FrwkAUhO9C/8PyCt50YytG0mxEhaKI&#10;Fox6f2Rfk7TZt2l21fTfdwuFHoeZ+YZJF71pxI06V1tWMBlHIIgLq2suFZxPr6M5COeRNTaWScE3&#10;OVhkD4MUE23vfKRb7ksRIOwSVFB53yZSuqIig25sW+LgvdvOoA+yK6Xu8B7gppFPUTSTBmsOCxW2&#10;tK6o+MyvRsF+vZnSbL/aHT7y4q05XuPL5itWavjYL19AeOr9f/ivvdUK4skz/J4JR0BmP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rwabWsYAAADcAAAADwAAAAAAAAAAAAAA&#10;AACfAgAAZHJzL2Rvd25yZXYueG1sUEsFBgAAAAAEAAQA9wAAAJIDAAAAAA==&#10;">
                  <v:imagedata r:id="rId22" o:title=""/>
                </v:shape>
                <v:shape id="Picture 693" o:spid="_x0000_s1029" type="#_x0000_t75" style="position:absolute;left:1704;top:-1168;width:869;height:29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Bbw97GAAAA3AAAAA8AAABkcnMvZG93bnJldi54bWxEj0trAkEQhO+C/2FowYvE2Q2iYXWUIAYl&#10;4CG+8Nju9D7ITs+yM+rm3zuCkGNRVV9Rs0VrKnGjxpWWFcTDCARxanXJuYLD/uvtA4TzyBory6Tg&#10;jxws5t3ODBNt7/xDt53PRYCwS1BB4X2dSOnSggy6oa2Jg5fZxqAPssmlbvAe4KaS71E0lgZLDgsF&#10;1rQsKP3dXY2CQTw5rB1fvrfn6rTab4+jPMvOSvV77ecUhKfW/4df7Y1WMIlH8DwTjoCcP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kFvD3sYAAADcAAAADwAAAAAAAAAAAAAA&#10;AACfAgAAZHJzL2Rvd25yZXYueG1sUEsFBgAAAAAEAAQA9wAAAJIDAAAAAA==&#10;">
                  <v:imagedata r:id="rId23" o:title=""/>
                </v:shape>
                <v:shape id="Picture 692" o:spid="_x0000_s1030" type="#_x0000_t75" style="position:absolute;left:1701;top:-975;width:872;height:24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diUTLEAAAA3AAAAA8AAABkcnMvZG93bnJldi54bWxEj09rAjEUxO+FfofwCt40q9AqW6OIaBX0&#10;4h/s9bF53SzdvCybmN1+e1Mo9DjMzG+Y+bK3tYjU+sqxgvEoA0FcOF1xqeB62Q5nIHxA1lg7JgU/&#10;5GG5eH6aY65dxyeK51CKBGGfowITQpNL6QtDFv3INcTJ+3KtxZBkW0rdYpfgtpaTLHuTFitOCwYb&#10;Whsqvs93q+ASN7zer6j7uO0O8ehuZho/jVKDl371DiJQH/7Df+29VjAdv8LvmXQE5OI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JdiUTLEAAAA3AAAAA8AAAAAAAAAAAAAAAAA&#10;nwIAAGRycy9kb3ducmV2LnhtbFBLBQYAAAAABAAEAPcAAACQAwAAAAA=&#10;">
                  <v:imagedata r:id="rId24" o:title=""/>
                </v:shape>
                <v:shape id="Picture 691" o:spid="_x0000_s1031" type="#_x0000_t75" style="position:absolute;left:1701;top:-975;width:872;height:24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cTHW3FAAAA3AAAAA8AAABkcnMvZG93bnJldi54bWxEj0uLwkAQhO8L/oehBW/rxAc+oqOIICvu&#10;QYyC1ybTJsFMT8zMxvjvnYWFPRZV9RW1XLemFA3VrrCsYNCPQBCnVhecKbicd58zEM4jaywtk4IX&#10;OVivOh9LjLV98omaxGciQNjFqCD3voqldGlOBl3fVsTBu9naoA+yzqSu8RngppTDKJpIgwWHhRwr&#10;2uaU3pMfo8B8XWl8LQ6zUba/DR/fl2PVzKVSvW67WYDw1Pr/8F97rxVMBxP4PROOgFy9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XEx1txQAAANwAAAAPAAAAAAAAAAAAAAAA&#10;AJ8CAABkcnMvZG93bnJldi54bWxQSwUGAAAAAAQABAD3AAAAkQMAAAAA&#10;">
                  <v:imagedata r:id="rId25" o:title=""/>
                </v:shape>
                <v:shape id="Picture 690" o:spid="_x0000_s1032" type="#_x0000_t75" style="position:absolute;left:1745;top:-799;width:789;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OmllDFAAAA3AAAAA8AAABkcnMvZG93bnJldi54bWxEj09rAjEUxO9Cv0N4hd400cKurkaphUJ7&#10;kfrn4u25eW6Wbl6WTarrt2+EgsdhZn7DLFa9a8SFulB71jAeKRDEpTc1VxoO+4/hFESIyAYbz6Th&#10;RgFWy6fBAgvjr7ylyy5WIkE4FKjBxtgWUobSksMw8i1x8s6+cxiT7CppOrwmuGvkRKlMOqw5LVhs&#10;6d1S+bP7dRqmyuYy29yO369fs62yJ1ses7XWL8/92xxEpD4+wv/tT6MhH+dwP5OOgFz+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zppZQxQAAANwAAAAPAAAAAAAAAAAAAAAA&#10;AJ8CAABkcnMvZG93bnJldi54bWxQSwUGAAAAAAQABAD3AAAAkQMAAAAA&#10;">
                  <v:imagedata r:id="rId26" o:title=""/>
                </v:shape>
                <v:shape id="Picture 689" o:spid="_x0000_s1033" type="#_x0000_t75" style="position:absolute;left:1745;top:-799;width:789;height:25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anL0G/AAAA3AAAAA8AAABkcnMvZG93bnJldi54bWxET02LwjAQvQv+hzDC3jStirt0jWVZKHjw&#10;YtX70Ixt2WZSkrTWf785CB4f73ufT6YTIznfWlaQrhIQxJXVLdcKrpdi+QXCB2SNnWVS8CQP+WE+&#10;22Om7YPPNJahFjGEfYYKmhD6TEpfNWTQr2xPHLm7dQZDhK6W2uEjhptOrpNkJw22HBsa7Om3oeqv&#10;HIyC27ZI7L3fDJuLK5mGbjwdi1Gpj8X08w0i0BTe4pf7qBV8pnFtPBOPgDz8Aw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Ampy9BvwAAANwAAAAPAAAAAAAAAAAAAAAAAJ8CAABk&#10;cnMvZG93bnJldi54bWxQSwUGAAAAAAQABAD3AAAAiwMAAAAA&#10;">
                  <v:imagedata r:id="rId27" o:title=""/>
                </v:shape>
                <w10:wrap anchorx="page"/>
              </v:group>
            </w:pict>
          </mc:Fallback>
        </mc:AlternateContent>
      </w:r>
      <w:r w:rsidRPr="00317FA0">
        <w:rPr>
          <w:rFonts w:eastAsia="Calibri" w:cs="Arial"/>
          <w:noProof/>
          <w:sz w:val="22"/>
          <w:szCs w:val="22"/>
        </w:rPr>
        <w:drawing>
          <wp:anchor distT="0" distB="0" distL="114300" distR="114300" simplePos="0" relativeHeight="251661312" behindDoc="0" locked="0" layoutInCell="1" allowOverlap="1" wp14:anchorId="5CAE3269" wp14:editId="2F2F7CA6">
            <wp:simplePos x="0" y="0"/>
            <wp:positionH relativeFrom="column">
              <wp:posOffset>853041</wp:posOffset>
            </wp:positionH>
            <wp:positionV relativeFrom="paragraph">
              <wp:posOffset>-54787</wp:posOffset>
            </wp:positionV>
            <wp:extent cx="977900" cy="414655"/>
            <wp:effectExtent l="0" t="0" r="0" b="444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977900" cy="414655"/>
                    </a:xfrm>
                    <a:prstGeom prst="rect">
                      <a:avLst/>
                    </a:prstGeom>
                    <a:noFill/>
                    <a:ln>
                      <a:noFill/>
                    </a:ln>
                  </pic:spPr>
                </pic:pic>
              </a:graphicData>
            </a:graphic>
          </wp:anchor>
        </w:drawing>
      </w:r>
    </w:p>
    <w:p w14:paraId="30B42400" w14:textId="77777777" w:rsidR="00317FA0" w:rsidRPr="00317FA0" w:rsidRDefault="00317FA0" w:rsidP="00317FA0">
      <w:pPr>
        <w:widowControl w:val="0"/>
        <w:spacing w:before="0" w:after="0" w:line="200" w:lineRule="exact"/>
        <w:rPr>
          <w:rFonts w:eastAsia="Calibri" w:cs="Arial"/>
          <w:sz w:val="20"/>
          <w:szCs w:val="20"/>
          <w:lang w:val="en-US" w:eastAsia="en-US"/>
        </w:rPr>
      </w:pPr>
    </w:p>
    <w:p w14:paraId="09D5E347" w14:textId="77777777" w:rsidR="00317FA0" w:rsidRPr="00317FA0" w:rsidRDefault="00317FA0" w:rsidP="00317FA0">
      <w:pPr>
        <w:widowControl w:val="0"/>
        <w:spacing w:before="8" w:after="0" w:line="240" w:lineRule="exact"/>
        <w:rPr>
          <w:rFonts w:eastAsia="Calibri" w:cs="Arial"/>
          <w:lang w:val="en-US" w:eastAsia="en-US"/>
        </w:rPr>
      </w:pPr>
    </w:p>
    <w:p w14:paraId="6D7CD503" w14:textId="26B3A16D" w:rsidR="00317FA0" w:rsidRPr="00E23AA4" w:rsidRDefault="00317FA0" w:rsidP="00317FA0">
      <w:pPr>
        <w:widowControl w:val="0"/>
        <w:spacing w:before="72" w:after="0"/>
        <w:ind w:left="1039" w:right="2417"/>
        <w:rPr>
          <w:rFonts w:eastAsia="Arial" w:cs="Arial"/>
          <w:sz w:val="22"/>
          <w:szCs w:val="22"/>
          <w:lang w:val="en-US" w:eastAsia="en-US"/>
        </w:rPr>
      </w:pPr>
      <w:r w:rsidRPr="00317FA0">
        <w:rPr>
          <w:rFonts w:eastAsia="Calibri" w:cs="Arial"/>
          <w:noProof/>
          <w:sz w:val="22"/>
          <w:szCs w:val="22"/>
        </w:rPr>
        <mc:AlternateContent>
          <mc:Choice Requires="wpg">
            <w:drawing>
              <wp:anchor distT="0" distB="0" distL="114300" distR="114300" simplePos="0" relativeHeight="251659264" behindDoc="1" locked="0" layoutInCell="1" allowOverlap="1" wp14:anchorId="2A0DB984" wp14:editId="4BCDBF8D">
                <wp:simplePos x="0" y="0"/>
                <wp:positionH relativeFrom="page">
                  <wp:posOffset>1725295</wp:posOffset>
                </wp:positionH>
                <wp:positionV relativeFrom="paragraph">
                  <wp:posOffset>-219710</wp:posOffset>
                </wp:positionV>
                <wp:extent cx="4536440" cy="12700"/>
                <wp:effectExtent l="0" t="0" r="12065" b="3810"/>
                <wp:wrapNone/>
                <wp:docPr id="704" name="Group 6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36440" cy="12700"/>
                          <a:chOff x="2717" y="-347"/>
                          <a:chExt cx="7144" cy="20"/>
                        </a:xfrm>
                      </wpg:grpSpPr>
                      <wpg:grpSp>
                        <wpg:cNvPr id="705" name="Group 686"/>
                        <wpg:cNvGrpSpPr>
                          <a:grpSpLocks/>
                        </wpg:cNvGrpSpPr>
                        <wpg:grpSpPr bwMode="auto">
                          <a:xfrm>
                            <a:off x="2767" y="-337"/>
                            <a:ext cx="7064" cy="2"/>
                            <a:chOff x="2767" y="-337"/>
                            <a:chExt cx="7064" cy="2"/>
                          </a:xfrm>
                        </wpg:grpSpPr>
                        <wps:wsp>
                          <wps:cNvPr id="706" name="Freeform 687"/>
                          <wps:cNvSpPr>
                            <a:spLocks/>
                          </wps:cNvSpPr>
                          <wps:spPr bwMode="auto">
                            <a:xfrm>
                              <a:off x="2767" y="-337"/>
                              <a:ext cx="7064" cy="2"/>
                            </a:xfrm>
                            <a:custGeom>
                              <a:avLst/>
                              <a:gdLst>
                                <a:gd name="T0" fmla="+- 0 2767 2767"/>
                                <a:gd name="T1" fmla="*/ T0 w 7064"/>
                                <a:gd name="T2" fmla="+- 0 9830 2767"/>
                                <a:gd name="T3" fmla="*/ T2 w 7064"/>
                              </a:gdLst>
                              <a:ahLst/>
                              <a:cxnLst>
                                <a:cxn ang="0">
                                  <a:pos x="T1" y="0"/>
                                </a:cxn>
                                <a:cxn ang="0">
                                  <a:pos x="T3" y="0"/>
                                </a:cxn>
                              </a:cxnLst>
                              <a:rect l="0" t="0" r="r" b="b"/>
                              <a:pathLst>
                                <a:path w="7064">
                                  <a:moveTo>
                                    <a:pt x="0" y="0"/>
                                  </a:moveTo>
                                  <a:lnTo>
                                    <a:pt x="7063" y="0"/>
                                  </a:lnTo>
                                </a:path>
                              </a:pathLst>
                            </a:custGeom>
                            <a:noFill/>
                            <a:ln w="12700">
                              <a:solidFill>
                                <a:srgbClr val="6D6E71"/>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07" name="Group 684"/>
                        <wpg:cNvGrpSpPr>
                          <a:grpSpLocks/>
                        </wpg:cNvGrpSpPr>
                        <wpg:grpSpPr bwMode="auto">
                          <a:xfrm>
                            <a:off x="2727" y="-337"/>
                            <a:ext cx="2" cy="2"/>
                            <a:chOff x="2727" y="-337"/>
                            <a:chExt cx="2" cy="2"/>
                          </a:xfrm>
                        </wpg:grpSpPr>
                        <wps:wsp>
                          <wps:cNvPr id="708" name="Freeform 685"/>
                          <wps:cNvSpPr>
                            <a:spLocks/>
                          </wps:cNvSpPr>
                          <wps:spPr bwMode="auto">
                            <a:xfrm>
                              <a:off x="2727" y="-337"/>
                              <a:ext cx="2" cy="2"/>
                            </a:xfrm>
                            <a:custGeom>
                              <a:avLst/>
                              <a:gdLst/>
                              <a:ahLst/>
                              <a:cxnLst>
                                <a:cxn ang="0">
                                  <a:pos x="0" y="0"/>
                                </a:cxn>
                                <a:cxn ang="0">
                                  <a:pos x="0" y="0"/>
                                </a:cxn>
                              </a:cxnLst>
                              <a:rect l="0" t="0" r="r" b="b"/>
                              <a:pathLst>
                                <a:path>
                                  <a:moveTo>
                                    <a:pt x="0" y="0"/>
                                  </a:moveTo>
                                  <a:lnTo>
                                    <a:pt x="0" y="0"/>
                                  </a:lnTo>
                                </a:path>
                              </a:pathLst>
                            </a:custGeom>
                            <a:noFill/>
                            <a:ln w="12700">
                              <a:solidFill>
                                <a:srgbClr val="6D6E7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09" name="Group 682"/>
                        <wpg:cNvGrpSpPr>
                          <a:grpSpLocks/>
                        </wpg:cNvGrpSpPr>
                        <wpg:grpSpPr bwMode="auto">
                          <a:xfrm>
                            <a:off x="9850" y="-337"/>
                            <a:ext cx="2" cy="2"/>
                            <a:chOff x="9850" y="-337"/>
                            <a:chExt cx="2" cy="2"/>
                          </a:xfrm>
                        </wpg:grpSpPr>
                        <wps:wsp>
                          <wps:cNvPr id="710" name="Freeform 683"/>
                          <wps:cNvSpPr>
                            <a:spLocks/>
                          </wps:cNvSpPr>
                          <wps:spPr bwMode="auto">
                            <a:xfrm>
                              <a:off x="9850" y="-337"/>
                              <a:ext cx="2" cy="2"/>
                            </a:xfrm>
                            <a:custGeom>
                              <a:avLst/>
                              <a:gdLst/>
                              <a:ahLst/>
                              <a:cxnLst>
                                <a:cxn ang="0">
                                  <a:pos x="0" y="0"/>
                                </a:cxn>
                                <a:cxn ang="0">
                                  <a:pos x="0" y="0"/>
                                </a:cxn>
                              </a:cxnLst>
                              <a:rect l="0" t="0" r="r" b="b"/>
                              <a:pathLst>
                                <a:path>
                                  <a:moveTo>
                                    <a:pt x="0" y="0"/>
                                  </a:moveTo>
                                  <a:lnTo>
                                    <a:pt x="0" y="0"/>
                                  </a:lnTo>
                                </a:path>
                              </a:pathLst>
                            </a:custGeom>
                            <a:noFill/>
                            <a:ln w="12700">
                              <a:solidFill>
                                <a:srgbClr val="6D6E7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2FAE46B2" id="Group 681" o:spid="_x0000_s1026" style="position:absolute;margin-left:135.85pt;margin-top:-17.3pt;width:357.2pt;height:1pt;z-index:-251657216;mso-position-horizontal-relative:page" coordorigin="2717,-347" coordsize="7144,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rYcYwQAAMgTAAAOAAAAZHJzL2Uyb0RvYy54bWzsWFuPozYUfq+0/8HisVWGSwgkaDKrVS6j&#10;StvuSpv9AQ6YixYwtUnItOp/77GNCZBMO3uZbaXOPDA2Pj4+1+9zuH19KnJ0JIxntFwa9o1lIFKG&#10;NMrKZGl83G0ncwPxGpcRzmlJlsYD4cbru1c/3DZVQBya0jwiDIGSkgdNtTTSuq4C0+RhSgrMb2hF&#10;SliMKStwDVOWmBHDDWgvctOxLM9sKIsqRkPCObxdq0XjTuqPYxLW7+KYkxrlSwNsq+WTyedePM27&#10;WxwkDFdpFrZm4C+wosBZCYd2qta4xujAsgtVRRYyymlc34S0MGkcZyGRPoA3tjXy5p7RQyV9SYIm&#10;qbowQWhHcfpiteGvx/cMZdHS8C3XQCUuIEnyXOTNbRGepkoCkLpn1YfqPVM+wvAtDT9xWDbH62Ke&#10;KGG0b36hESjEh5rK8JxiVggV4Dg6ySw8dFkgpxqF8NKdTT3XhWSFsGY7vtVmKUwhlWKX49u+gWBx&#10;MnV9lcEw3bS7fdsFP8RWR+4zcaAOlYa2himv5KRzsAvDbBwG77nD4PiedmjaOqSD4Vuedkd72kXh&#10;YlMvCsNtjwYBmo6f64p/XV19SHFFZLlyUTFdQD0d0C0jRLQylJZ0s6mkoK4r3i+q3ooQ41B7/1hO&#10;T49jFxAchAde3xMqyxIf3/JaQUIEI1nsUdsUO6jIuMgBHX6aIAuJs+RDpSXpxGwt9qOJdhZqkExh&#10;q1TrcrSQ1LWYT5XCsa6pFhO6nJ4usD/RFuJUGx2eytZqGCEsINiSbVdRLhpnB7bpfgMNICQ8fEQW&#10;zh7Lqj3tEQywdYyqzECAqnvlRoVrYZk4QgxRIzAGqlm8KOiR7KhcqkdAAIecV/OyLwXbh1apZdgh&#10;DgAsUgN5qLC1l9mSbrM8l1nIS2GKAhZhAad5FolVOWHJfpUzdMRAGN7a2/gSBEHbQKxivF5jniq5&#10;CEbKZwDsMpKnpARHm3Zc4yxXY9CTy6BDf7exEZ0umeKPhbXYzDdzd+I63mbiWuv15M125U68re3P&#10;1tP1arW2/xThs90gzaKIlMJqzVq2+7TubflT8U3HWwPveD8IW/kn3BsGwRyaIZfBF/1fJUG3rkBZ&#10;Huxp9ABtzKiiYbg2wCCl7HcDNUDBS4P/dsCMGCj/uQQsWgCUC86WE3fmA6Aj1l/Z91dwGYKqpVEb&#10;UPliuKoVzx8qliUpnGTL0ivpG2CjOBN9DpygrWonAIdy1HLY3xIFYPaQL10RpTEfijvBt+JLx3ce&#10;IwpAFEl6qg57XHmx48wS/T2Q3Os8+V0oAm6JKpQ9ipipaPaIAJrw6yniIh6aaq9GY4giI36Qjf50&#10;+IXyHSPqY+h7RRQSdMb3zwVfAW1nVK0+A3OHlvxrgPsCrP8jYF1oNNA/RJznBtbFfKYKfTId38D7&#10;sAAtqH+EXNnxHwRWG7y6ANbpcwDrlXi8AKu4Mp1hd3iZfQHWlxvrs9xY5YcO+FwkCaP9tCW+R/Xn&#10;8o57/gB39xcAAAD//wMAUEsDBBQABgAIAAAAIQDsnWKs4gAAAAsBAAAPAAAAZHJzL2Rvd25yZXYu&#10;eG1sTI/BbsIwDIbvk/YOkSftBmnKVqBrihDadkJIg0kTN9OYtqJJqia05e0XTtvR9qff35+tRt2w&#10;njpXWyNBTCNgZAqralNK+D58TBbAnEejsLGGJNzIwSp/fMgwVXYwX9TvfclCiHEpSqi8b1POXVGR&#10;Rje1LZlwO9tOow9jV3LV4RDCdcPjKEq4xtqEDxW2tKmouOyvWsLngMN6Jt777eW8uR0Pr7ufrSAp&#10;n5/G9RswT6P/g+GuH9QhD04nezXKsUZCPBfzgEqYzF4SYIFYLhIB7HTfxAnwPOP/O+S/AAAA//8D&#10;AFBLAQItABQABgAIAAAAIQC2gziS/gAAAOEBAAATAAAAAAAAAAAAAAAAAAAAAABbQ29udGVudF9U&#10;eXBlc10ueG1sUEsBAi0AFAAGAAgAAAAhADj9If/WAAAAlAEAAAsAAAAAAAAAAAAAAAAALwEAAF9y&#10;ZWxzLy5yZWxzUEsBAi0AFAAGAAgAAAAhAG4OthxjBAAAyBMAAA4AAAAAAAAAAAAAAAAALgIAAGRy&#10;cy9lMm9Eb2MueG1sUEsBAi0AFAAGAAgAAAAhAOydYqziAAAACwEAAA8AAAAAAAAAAAAAAAAAvQYA&#10;AGRycy9kb3ducmV2LnhtbFBLBQYAAAAABAAEAPMAAADMBwAAAAA=&#10;">
                <v:group id="Group 686" o:spid="_x0000_s1027" style="position:absolute;left:2767;top:-337;width:7064;height:2" coordorigin="2767,-337" coordsize="706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fj7PMUAAADcAAAADwAAAGRycy9kb3ducmV2LnhtbESPT4vCMBTE7wt+h/AE&#10;b5pWUZeuUURUPIjgH1j29miebbF5KU1s67ffLAh7HGbmN8xi1ZlSNFS7wrKCeBSBIE6tLjhTcLvu&#10;hp8gnEfWWFomBS9ysFr2PhaYaNvymZqLz0SAsEtQQe59lUjp0pwMupGtiIN3t7VBH2SdSV1jG+Cm&#10;lOMomkmDBYeFHCva5JQ+Lk+jYN9iu57E2+b4uG9eP9fp6fsYk1KDfrf+AuGp8//hd/ugFcyjKfyd&#10;CUdALn8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34+zzFAAAA3AAA&#10;AA8AAAAAAAAAAAAAAAAAqgIAAGRycy9kb3ducmV2LnhtbFBLBQYAAAAABAAEAPoAAACcAwAAAAA=&#10;">
                  <v:shape id="Freeform 687" o:spid="_x0000_s1028" style="position:absolute;left:2767;top:-337;width:7064;height:2;visibility:visible;mso-wrap-style:square;v-text-anchor:top" coordsize="706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DyDscQA&#10;AADcAAAADwAAAGRycy9kb3ducmV2LnhtbESPUWvCMBSF3wf7D+EKe5uJGzqpRhkDS8cGovMHXJpr&#10;U2xuShPb+u/NYLDHwznnO5z1dnSN6KkLtWcNs6kCQVx6U3Ol4fSze16CCBHZYOOZNNwowHbz+LDG&#10;zPiBD9QfYyUShEOGGmyMbSZlKC05DFPfEifv7DuHMcmukqbDIcFdI1+UWkiHNacFiy19WCovx6tL&#10;lFd7UHJuvvNlPvs8zb/2BeJe66fJ+L4CEWmM/+G/dmE0vKkF/J5JR0Bu7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g8g7HEAAAA3AAAAA8AAAAAAAAAAAAAAAAAmAIAAGRycy9k&#10;b3ducmV2LnhtbFBLBQYAAAAABAAEAPUAAACJAwAAAAA=&#10;" path="m,l7063,e" filled="f" strokecolor="#6d6e71" strokeweight="1pt">
                    <v:stroke dashstyle="dash"/>
                    <v:path arrowok="t" o:connecttype="custom" o:connectlocs="0,0;7063,0" o:connectangles="0,0"/>
                  </v:shape>
                </v:group>
                <v:group id="Group 684" o:spid="_x0000_s1029" style="position:absolute;left:2727;top:-337;width:2;height:2" coordorigin="2727,-337" coordsize="2,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mbA0MUAAADcAAAADwAAAGRycy9kb3ducmV2LnhtbESPT4vCMBTE74LfITzB&#10;m6ZVdl26RhFR8SAL/oFlb4/m2Rabl9LEtn77jSB4HGbmN8x82ZlSNFS7wrKCeByBIE6tLjhTcDlv&#10;R18gnEfWWFomBQ9ysFz0e3NMtG35SM3JZyJA2CWoIPe+SqR0aU4G3dhWxMG72tqgD7LOpK6xDXBT&#10;ykkUfUqDBYeFHCta55TeTnejYNdiu5rGm+Zwu64ff+ePn99DTEoNB93qG4Snzr/Dr/ZeK5hFM3ie&#10;CUdALv4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HJmwNDFAAAA3AAA&#10;AA8AAAAAAAAAAAAAAAAAqgIAAGRycy9kb3ducmV2LnhtbFBLBQYAAAAABAAEAPoAAACcAwAAAAA=&#10;">
                  <v:shape id="Freeform 685" o:spid="_x0000_s1030" style="position:absolute;left:2727;top:-337;width:2;height:2;visibility:visible;mso-wrap-style:square;v-text-anchor:top" coordsize="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09FtMIA&#10;AADcAAAADwAAAGRycy9kb3ducmV2LnhtbERPPU/DMBDdK/U/WFeJrXVggCrUrUKkSkCnhKjz1b4m&#10;UeNziE0S/j0ekDo+ve/dYbadGGnwrWMFj5sEBLF2puVaQfV1XG9B+IBssHNMCn7Jw2G/XOwwNW7i&#10;gsYy1CKGsE9RQRNCn0rpdUMW/cb1xJG7usFiiHCopRlwiuG2k09J8iwtthwbGuwpb0jfyh+r4CL1&#10;cczepvPp1H9U5yL/ri76U6mH1Zy9ggg0h7v43/1uFLwkcW08E4+A3P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DT0W0wgAAANwAAAAPAAAAAAAAAAAAAAAAAJgCAABkcnMvZG93&#10;bnJldi54bWxQSwUGAAAAAAQABAD1AAAAhwMAAAAA&#10;" path="m,l,e" filled="f" strokecolor="#6d6e71" strokeweight="1pt">
                    <v:path arrowok="t" o:connecttype="custom" o:connectlocs="0,0;0,0" o:connectangles="0,0"/>
                  </v:shape>
                </v:group>
                <v:group id="Group 682" o:spid="_x0000_s1031" style="position:absolute;left:9850;top:-337;width:2;height:2" coordorigin="9850,-337" coordsize="2,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LXxOcYAAADcAAAADwAAAGRycy9kb3ducmV2LnhtbESPW2vCQBSE3wv+h+UI&#10;faubWFo1ZhURW/ogghcQ3w7Zkwtmz4bsNon/vlso9HGYmW+YdD2YWnTUusqygngSgSDOrK64UHA5&#10;f7zMQTiPrLG2TAoe5GC9Gj2lmGjb85G6ky9EgLBLUEHpfZNI6bKSDLqJbYiDl9vWoA+yLaRusQ9w&#10;U8tpFL1LgxWHhRIb2paU3U/fRsFnj/3mNd51+3u+fdzOb4frPialnsfDZgnC0+D/w3/tL61gFi3g&#10;90w4AnL1A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stfE5xgAAANwA&#10;AAAPAAAAAAAAAAAAAAAAAKoCAABkcnMvZG93bnJldi54bWxQSwUGAAAAAAQABAD6AAAAnQMAAAAA&#10;">
                  <v:shape id="Freeform 683" o:spid="_x0000_s1032" style="position:absolute;left:9850;top:-337;width:2;height:2;visibility:visible;mso-wrap-style:square;v-text-anchor:top" coordsize="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fb8EA&#10;AADcAAAADwAAAGRycy9kb3ducmV2LnhtbERPTYvCMBC9L/gfwgh7W1M9rEs1igqCu57U4nlMxrbY&#10;TGoT2/rvzUHY4+N9z5e9rURLjS8dKxiPEhDE2pmScwXZafv1A8IHZIOVY1LwJA/LxeBjjqlxHR+o&#10;PYZcxBD2KSooQqhTKb0uyKIfuZo4clfXWAwRNrk0DXYx3FZykiTf0mLJsaHAmjYF6dvxYRVcpN62&#10;q3V33u/r3+x82Nyzi/5T6nPYr2YgAvXhX/x274yC6TjOj2fiEZCL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jg32/BAAAA3AAAAA8AAAAAAAAAAAAAAAAAmAIAAGRycy9kb3du&#10;cmV2LnhtbFBLBQYAAAAABAAEAPUAAACGAwAAAAA=&#10;" path="m,l,e" filled="f" strokecolor="#6d6e71" strokeweight="1pt">
                    <v:path arrowok="t" o:connecttype="custom" o:connectlocs="0,0;0,0" o:connectangles="0,0"/>
                  </v:shape>
                </v:group>
                <w10:wrap anchorx="page"/>
              </v:group>
            </w:pict>
          </mc:Fallback>
        </mc:AlternateContent>
      </w:r>
      <w:r w:rsidRPr="00317FA0">
        <w:rPr>
          <w:rFonts w:eastAsia="Calibri" w:cs="Arial"/>
          <w:color w:val="231F20"/>
          <w:spacing w:val="-1"/>
          <w:sz w:val="22"/>
          <w:szCs w:val="22"/>
          <w:lang w:val="en-US" w:eastAsia="en-US"/>
        </w:rPr>
        <w:t>1</w:t>
      </w:r>
      <w:r w:rsidR="00F8296D">
        <w:rPr>
          <w:rFonts w:eastAsia="Calibri" w:cs="Arial"/>
          <w:color w:val="231F20"/>
          <w:spacing w:val="-1"/>
          <w:sz w:val="22"/>
          <w:szCs w:val="22"/>
          <w:lang w:val="en-US" w:eastAsia="en-US"/>
        </w:rPr>
        <w:t>4</w:t>
      </w:r>
      <w:r w:rsidRPr="00E23AA4">
        <w:rPr>
          <w:rFonts w:eastAsia="Calibri" w:cs="Arial"/>
          <w:color w:val="231F20"/>
          <w:spacing w:val="-1"/>
          <w:sz w:val="22"/>
          <w:szCs w:val="22"/>
          <w:lang w:val="en-US" w:eastAsia="en-US"/>
        </w:rPr>
        <w:t xml:space="preserve"> October</w:t>
      </w:r>
      <w:r w:rsidRPr="00E23AA4">
        <w:rPr>
          <w:rFonts w:eastAsia="Calibri" w:cs="Arial"/>
          <w:color w:val="231F20"/>
          <w:sz w:val="22"/>
          <w:szCs w:val="22"/>
          <w:lang w:val="en-US" w:eastAsia="en-US"/>
        </w:rPr>
        <w:t xml:space="preserve"> </w:t>
      </w:r>
      <w:r w:rsidRPr="00E23AA4">
        <w:rPr>
          <w:rFonts w:eastAsia="Calibri" w:cs="Arial"/>
          <w:color w:val="231F20"/>
          <w:spacing w:val="-1"/>
          <w:sz w:val="22"/>
          <w:szCs w:val="22"/>
          <w:lang w:val="en-US" w:eastAsia="en-US"/>
        </w:rPr>
        <w:t>2015</w:t>
      </w:r>
    </w:p>
    <w:p w14:paraId="6904B319" w14:textId="77777777" w:rsidR="00317FA0" w:rsidRPr="00E23AA4" w:rsidRDefault="00317FA0" w:rsidP="00317FA0">
      <w:pPr>
        <w:widowControl w:val="0"/>
        <w:spacing w:before="181" w:after="0" w:line="250" w:lineRule="auto"/>
        <w:ind w:left="1039" w:right="2417"/>
        <w:rPr>
          <w:rFonts w:eastAsia="Calibri" w:cs="Arial"/>
          <w:color w:val="231F20"/>
          <w:spacing w:val="21"/>
          <w:sz w:val="22"/>
          <w:szCs w:val="22"/>
          <w:lang w:val="en-US" w:eastAsia="en-US"/>
        </w:rPr>
      </w:pPr>
      <w:r w:rsidRPr="00E23AA4">
        <w:rPr>
          <w:rFonts w:eastAsia="Calibri" w:cs="Arial"/>
          <w:color w:val="231F20"/>
          <w:sz w:val="22"/>
          <w:szCs w:val="22"/>
          <w:lang w:val="en-US" w:eastAsia="en-US"/>
        </w:rPr>
        <w:t>Senator</w:t>
      </w:r>
      <w:r w:rsidRPr="00E23AA4">
        <w:rPr>
          <w:rFonts w:eastAsia="Calibri" w:cs="Arial"/>
          <w:color w:val="231F20"/>
          <w:spacing w:val="-1"/>
          <w:sz w:val="22"/>
          <w:szCs w:val="22"/>
          <w:lang w:val="en-US" w:eastAsia="en-US"/>
        </w:rPr>
        <w:t xml:space="preserve"> </w:t>
      </w:r>
      <w:r w:rsidRPr="00E23AA4">
        <w:rPr>
          <w:rFonts w:eastAsia="Calibri" w:cs="Arial"/>
          <w:color w:val="231F20"/>
          <w:sz w:val="22"/>
          <w:szCs w:val="22"/>
          <w:lang w:val="en-US" w:eastAsia="en-US"/>
        </w:rPr>
        <w:t>the</w:t>
      </w:r>
      <w:r w:rsidRPr="00E23AA4">
        <w:rPr>
          <w:rFonts w:eastAsia="Calibri" w:cs="Arial"/>
          <w:color w:val="231F20"/>
          <w:spacing w:val="-1"/>
          <w:sz w:val="22"/>
          <w:szCs w:val="22"/>
          <w:lang w:val="en-US" w:eastAsia="en-US"/>
        </w:rPr>
        <w:t xml:space="preserve"> Hon</w:t>
      </w:r>
      <w:r w:rsidRPr="00E23AA4">
        <w:rPr>
          <w:rFonts w:eastAsia="Calibri" w:cs="Arial"/>
          <w:color w:val="231F20"/>
          <w:sz w:val="22"/>
          <w:szCs w:val="22"/>
          <w:lang w:val="en-US" w:eastAsia="en-US"/>
        </w:rPr>
        <w:t xml:space="preserve"> George</w:t>
      </w:r>
      <w:r w:rsidRPr="00E23AA4">
        <w:rPr>
          <w:rFonts w:eastAsia="Calibri" w:cs="Arial"/>
          <w:color w:val="231F20"/>
          <w:spacing w:val="-1"/>
          <w:sz w:val="22"/>
          <w:szCs w:val="22"/>
          <w:lang w:val="en-US" w:eastAsia="en-US"/>
        </w:rPr>
        <w:t xml:space="preserve"> </w:t>
      </w:r>
      <w:r w:rsidRPr="00E23AA4">
        <w:rPr>
          <w:rFonts w:eastAsia="Calibri" w:cs="Arial"/>
          <w:color w:val="231F20"/>
          <w:sz w:val="22"/>
          <w:szCs w:val="22"/>
          <w:lang w:val="en-US" w:eastAsia="en-US"/>
        </w:rPr>
        <w:t>Brandis</w:t>
      </w:r>
      <w:r w:rsidRPr="00E23AA4">
        <w:rPr>
          <w:rFonts w:eastAsia="Calibri" w:cs="Arial"/>
          <w:color w:val="231F20"/>
          <w:spacing w:val="-1"/>
          <w:sz w:val="22"/>
          <w:szCs w:val="22"/>
          <w:lang w:val="en-US" w:eastAsia="en-US"/>
        </w:rPr>
        <w:t xml:space="preserve"> </w:t>
      </w:r>
      <w:r w:rsidRPr="00E23AA4">
        <w:rPr>
          <w:rFonts w:eastAsia="Calibri" w:cs="Arial"/>
          <w:color w:val="231F20"/>
          <w:sz w:val="22"/>
          <w:szCs w:val="22"/>
          <w:lang w:val="en-US" w:eastAsia="en-US"/>
        </w:rPr>
        <w:t>QC</w:t>
      </w:r>
      <w:r w:rsidRPr="00E23AA4">
        <w:rPr>
          <w:rFonts w:eastAsia="Calibri" w:cs="Arial"/>
          <w:color w:val="231F20"/>
          <w:spacing w:val="21"/>
          <w:sz w:val="22"/>
          <w:szCs w:val="22"/>
          <w:lang w:val="en-US" w:eastAsia="en-US"/>
        </w:rPr>
        <w:t xml:space="preserve"> </w:t>
      </w:r>
      <w:r w:rsidRPr="00E23AA4">
        <w:rPr>
          <w:rFonts w:eastAsia="Calibri" w:cs="Arial"/>
          <w:color w:val="231F20"/>
          <w:spacing w:val="21"/>
          <w:sz w:val="22"/>
          <w:szCs w:val="22"/>
          <w:lang w:val="en-US" w:eastAsia="en-US"/>
        </w:rPr>
        <w:br/>
      </w:r>
      <w:r w:rsidRPr="00E23AA4">
        <w:rPr>
          <w:rFonts w:eastAsia="Calibri" w:cs="Arial"/>
          <w:color w:val="231F20"/>
          <w:sz w:val="22"/>
          <w:szCs w:val="22"/>
          <w:lang w:val="en-US" w:eastAsia="en-US"/>
        </w:rPr>
        <w:t>Attorney-General</w:t>
      </w:r>
    </w:p>
    <w:p w14:paraId="7457AC35" w14:textId="77777777" w:rsidR="00317FA0" w:rsidRPr="00E23AA4" w:rsidRDefault="00317FA0" w:rsidP="00317FA0">
      <w:pPr>
        <w:widowControl w:val="0"/>
        <w:spacing w:before="0" w:after="0" w:line="250" w:lineRule="auto"/>
        <w:ind w:left="1039" w:right="4650"/>
        <w:rPr>
          <w:rFonts w:eastAsia="Arial" w:cs="Arial"/>
          <w:sz w:val="22"/>
          <w:szCs w:val="22"/>
          <w:lang w:val="en-US" w:eastAsia="en-US"/>
        </w:rPr>
      </w:pPr>
      <w:r w:rsidRPr="00E23AA4">
        <w:rPr>
          <w:rFonts w:eastAsia="Calibri" w:cs="Arial"/>
          <w:color w:val="231F20"/>
          <w:sz w:val="22"/>
          <w:szCs w:val="22"/>
          <w:lang w:val="en-US" w:eastAsia="en-US"/>
        </w:rPr>
        <w:t>Parliament</w:t>
      </w:r>
      <w:r w:rsidRPr="00E23AA4">
        <w:rPr>
          <w:rFonts w:eastAsia="Calibri" w:cs="Arial"/>
          <w:color w:val="231F20"/>
          <w:spacing w:val="-1"/>
          <w:sz w:val="22"/>
          <w:szCs w:val="22"/>
          <w:lang w:val="en-US" w:eastAsia="en-US"/>
        </w:rPr>
        <w:t xml:space="preserve"> House</w:t>
      </w:r>
      <w:r w:rsidRPr="00E23AA4">
        <w:rPr>
          <w:rFonts w:eastAsia="Calibri" w:cs="Arial"/>
          <w:color w:val="231F20"/>
          <w:spacing w:val="20"/>
          <w:sz w:val="22"/>
          <w:szCs w:val="22"/>
          <w:lang w:val="en-US" w:eastAsia="en-US"/>
        </w:rPr>
        <w:t xml:space="preserve"> </w:t>
      </w:r>
      <w:r w:rsidRPr="00E23AA4">
        <w:rPr>
          <w:rFonts w:eastAsia="Calibri" w:cs="Arial"/>
          <w:color w:val="231F20"/>
          <w:spacing w:val="20"/>
          <w:sz w:val="22"/>
          <w:szCs w:val="22"/>
          <w:lang w:val="en-US" w:eastAsia="en-US"/>
        </w:rPr>
        <w:br/>
      </w:r>
      <w:r w:rsidRPr="00E23AA4">
        <w:rPr>
          <w:rFonts w:eastAsia="Calibri" w:cs="Arial"/>
          <w:color w:val="231F20"/>
          <w:spacing w:val="-1"/>
          <w:sz w:val="22"/>
          <w:szCs w:val="22"/>
          <w:lang w:val="en-US" w:eastAsia="en-US"/>
        </w:rPr>
        <w:t>CANBERRA</w:t>
      </w:r>
      <w:r w:rsidRPr="00E23AA4">
        <w:rPr>
          <w:rFonts w:eastAsia="Calibri" w:cs="Arial"/>
          <w:color w:val="231F20"/>
          <w:spacing w:val="-24"/>
          <w:sz w:val="22"/>
          <w:szCs w:val="22"/>
          <w:lang w:val="en-US" w:eastAsia="en-US"/>
        </w:rPr>
        <w:t xml:space="preserve"> </w:t>
      </w:r>
      <w:r w:rsidRPr="00E23AA4">
        <w:rPr>
          <w:rFonts w:eastAsia="Calibri" w:cs="Arial"/>
          <w:color w:val="231F20"/>
          <w:sz w:val="22"/>
          <w:szCs w:val="22"/>
          <w:lang w:val="en-US" w:eastAsia="en-US"/>
        </w:rPr>
        <w:t>ACT</w:t>
      </w:r>
      <w:r w:rsidRPr="00E23AA4">
        <w:rPr>
          <w:rFonts w:eastAsia="Calibri" w:cs="Arial"/>
          <w:color w:val="231F20"/>
          <w:spacing w:val="-4"/>
          <w:sz w:val="22"/>
          <w:szCs w:val="22"/>
          <w:lang w:val="en-US" w:eastAsia="en-US"/>
        </w:rPr>
        <w:t xml:space="preserve"> </w:t>
      </w:r>
      <w:r w:rsidRPr="00E23AA4">
        <w:rPr>
          <w:rFonts w:eastAsia="Calibri" w:cs="Arial"/>
          <w:color w:val="231F20"/>
          <w:spacing w:val="-1"/>
          <w:sz w:val="22"/>
          <w:szCs w:val="22"/>
          <w:lang w:val="en-US" w:eastAsia="en-US"/>
        </w:rPr>
        <w:t>2600</w:t>
      </w:r>
    </w:p>
    <w:p w14:paraId="62765D32" w14:textId="77777777" w:rsidR="00317FA0" w:rsidRPr="00E23AA4" w:rsidRDefault="00317FA0" w:rsidP="00317FA0">
      <w:pPr>
        <w:widowControl w:val="0"/>
        <w:spacing w:before="7" w:after="0" w:line="220" w:lineRule="exact"/>
        <w:rPr>
          <w:rFonts w:eastAsia="Calibri" w:cs="Arial"/>
          <w:sz w:val="22"/>
          <w:szCs w:val="22"/>
          <w:lang w:val="en-US" w:eastAsia="en-US"/>
        </w:rPr>
      </w:pPr>
    </w:p>
    <w:p w14:paraId="71E22F63" w14:textId="77777777" w:rsidR="00317FA0" w:rsidRPr="00E23AA4" w:rsidRDefault="00317FA0" w:rsidP="00317FA0">
      <w:pPr>
        <w:widowControl w:val="0"/>
        <w:spacing w:before="0" w:after="0"/>
        <w:ind w:left="1039" w:right="2417"/>
        <w:rPr>
          <w:rFonts w:eastAsia="Arial" w:cs="Arial"/>
          <w:sz w:val="22"/>
          <w:szCs w:val="22"/>
          <w:lang w:val="en-US" w:eastAsia="en-US"/>
        </w:rPr>
      </w:pPr>
      <w:r w:rsidRPr="00E23AA4">
        <w:rPr>
          <w:rFonts w:eastAsia="Calibri" w:cs="Arial"/>
          <w:color w:val="231F20"/>
          <w:spacing w:val="-1"/>
          <w:sz w:val="22"/>
          <w:szCs w:val="22"/>
          <w:lang w:val="en-US" w:eastAsia="en-US"/>
        </w:rPr>
        <w:t>Dear</w:t>
      </w:r>
      <w:r w:rsidRPr="00E23AA4">
        <w:rPr>
          <w:rFonts w:eastAsia="Calibri" w:cs="Arial"/>
          <w:color w:val="231F20"/>
          <w:spacing w:val="-12"/>
          <w:sz w:val="22"/>
          <w:szCs w:val="22"/>
          <w:lang w:val="en-US" w:eastAsia="en-US"/>
        </w:rPr>
        <w:t xml:space="preserve"> </w:t>
      </w:r>
      <w:r w:rsidRPr="00E23AA4">
        <w:rPr>
          <w:rFonts w:eastAsia="Calibri" w:cs="Arial"/>
          <w:color w:val="231F20"/>
          <w:sz w:val="22"/>
          <w:szCs w:val="22"/>
          <w:lang w:val="en-US" w:eastAsia="en-US"/>
        </w:rPr>
        <w:t>Attorney</w:t>
      </w:r>
    </w:p>
    <w:p w14:paraId="20F50736" w14:textId="77777777" w:rsidR="00CE1139" w:rsidRPr="00E23AA4" w:rsidRDefault="00CE1139" w:rsidP="00317FA0">
      <w:pPr>
        <w:widowControl w:val="0"/>
        <w:spacing w:before="0" w:after="0"/>
        <w:ind w:left="1039" w:right="2417"/>
        <w:rPr>
          <w:rFonts w:eastAsia="Arial" w:cs="Arial"/>
          <w:b/>
          <w:bCs/>
          <w:color w:val="231F20"/>
          <w:spacing w:val="-2"/>
          <w:sz w:val="22"/>
          <w:szCs w:val="22"/>
          <w:lang w:val="en-US" w:eastAsia="en-US"/>
        </w:rPr>
      </w:pPr>
    </w:p>
    <w:p w14:paraId="0D40DC35" w14:textId="648016BC" w:rsidR="00317FA0" w:rsidRPr="00E23AA4" w:rsidRDefault="00317FA0" w:rsidP="00317FA0">
      <w:pPr>
        <w:widowControl w:val="0"/>
        <w:spacing w:before="0" w:after="0"/>
        <w:ind w:left="1039" w:right="2417"/>
        <w:rPr>
          <w:rFonts w:eastAsia="Arial" w:cs="Arial"/>
          <w:sz w:val="22"/>
          <w:szCs w:val="22"/>
          <w:lang w:val="en-US" w:eastAsia="en-US"/>
        </w:rPr>
      </w:pPr>
      <w:r w:rsidRPr="00E23AA4">
        <w:rPr>
          <w:rFonts w:eastAsia="Arial" w:cs="Arial"/>
          <w:b/>
          <w:bCs/>
          <w:color w:val="231F20"/>
          <w:spacing w:val="-2"/>
          <w:sz w:val="22"/>
          <w:szCs w:val="22"/>
          <w:lang w:val="en-US" w:eastAsia="en-US"/>
        </w:rPr>
        <w:t>Children’s</w:t>
      </w:r>
      <w:r w:rsidRPr="00E23AA4">
        <w:rPr>
          <w:rFonts w:eastAsia="Arial" w:cs="Arial"/>
          <w:b/>
          <w:bCs/>
          <w:color w:val="231F20"/>
          <w:spacing w:val="-7"/>
          <w:sz w:val="22"/>
          <w:szCs w:val="22"/>
          <w:lang w:val="en-US" w:eastAsia="en-US"/>
        </w:rPr>
        <w:t xml:space="preserve"> </w:t>
      </w:r>
      <w:r w:rsidRPr="00E23AA4">
        <w:rPr>
          <w:rFonts w:eastAsia="Arial" w:cs="Arial"/>
          <w:b/>
          <w:bCs/>
          <w:color w:val="231F20"/>
          <w:spacing w:val="-1"/>
          <w:sz w:val="22"/>
          <w:szCs w:val="22"/>
          <w:lang w:val="en-US" w:eastAsia="en-US"/>
        </w:rPr>
        <w:t>Rights</w:t>
      </w:r>
      <w:r w:rsidRPr="00E23AA4">
        <w:rPr>
          <w:rFonts w:eastAsia="Arial" w:cs="Arial"/>
          <w:b/>
          <w:bCs/>
          <w:color w:val="231F20"/>
          <w:spacing w:val="-5"/>
          <w:sz w:val="22"/>
          <w:szCs w:val="22"/>
          <w:lang w:val="en-US" w:eastAsia="en-US"/>
        </w:rPr>
        <w:t xml:space="preserve"> </w:t>
      </w:r>
      <w:r w:rsidRPr="00E23AA4">
        <w:rPr>
          <w:rFonts w:eastAsia="Arial" w:cs="Arial"/>
          <w:b/>
          <w:bCs/>
          <w:color w:val="231F20"/>
          <w:spacing w:val="-1"/>
          <w:sz w:val="22"/>
          <w:szCs w:val="22"/>
          <w:lang w:val="en-US" w:eastAsia="en-US"/>
        </w:rPr>
        <w:t>Report</w:t>
      </w:r>
      <w:r w:rsidRPr="00E23AA4">
        <w:rPr>
          <w:rFonts w:eastAsia="Arial" w:cs="Arial"/>
          <w:b/>
          <w:bCs/>
          <w:color w:val="231F20"/>
          <w:spacing w:val="-6"/>
          <w:sz w:val="22"/>
          <w:szCs w:val="22"/>
          <w:lang w:val="en-US" w:eastAsia="en-US"/>
        </w:rPr>
        <w:t xml:space="preserve"> </w:t>
      </w:r>
      <w:r w:rsidRPr="00E23AA4">
        <w:rPr>
          <w:rFonts w:eastAsia="Arial" w:cs="Arial"/>
          <w:b/>
          <w:bCs/>
          <w:color w:val="231F20"/>
          <w:spacing w:val="-1"/>
          <w:sz w:val="22"/>
          <w:szCs w:val="22"/>
          <w:lang w:val="en-US" w:eastAsia="en-US"/>
        </w:rPr>
        <w:t>2015</w:t>
      </w:r>
    </w:p>
    <w:p w14:paraId="0C4C9ED2" w14:textId="25B32430" w:rsidR="00317FA0" w:rsidRPr="00E23AA4" w:rsidRDefault="00317FA0" w:rsidP="00451823">
      <w:pPr>
        <w:ind w:left="1039"/>
        <w:jc w:val="both"/>
        <w:rPr>
          <w:sz w:val="22"/>
          <w:szCs w:val="22"/>
        </w:rPr>
      </w:pPr>
      <w:r w:rsidRPr="00E23AA4">
        <w:rPr>
          <w:sz w:val="22"/>
          <w:szCs w:val="22"/>
        </w:rPr>
        <w:t xml:space="preserve">I am pleased to present to you the Children’s Rights Report 2015, </w:t>
      </w:r>
      <w:r w:rsidR="00CE1139" w:rsidRPr="00E23AA4">
        <w:rPr>
          <w:sz w:val="22"/>
          <w:szCs w:val="22"/>
        </w:rPr>
        <w:t xml:space="preserve">in </w:t>
      </w:r>
      <w:r w:rsidRPr="00E23AA4">
        <w:rPr>
          <w:sz w:val="22"/>
          <w:szCs w:val="22"/>
        </w:rPr>
        <w:t>accordance with section 46MB of the Australian Human Rights Commission Act 1986 (Cth) (the Act). The Act requires that I submit a report relating to the enjoyment and exercise of human rights by children in Australia on an annual basis.</w:t>
      </w:r>
    </w:p>
    <w:p w14:paraId="72758F4A" w14:textId="77777777" w:rsidR="00317FA0" w:rsidRPr="00E23AA4" w:rsidRDefault="00317FA0" w:rsidP="00451823">
      <w:pPr>
        <w:ind w:left="1039"/>
        <w:jc w:val="both"/>
        <w:rPr>
          <w:sz w:val="22"/>
          <w:szCs w:val="22"/>
        </w:rPr>
      </w:pPr>
      <w:r w:rsidRPr="00E23AA4">
        <w:rPr>
          <w:sz w:val="22"/>
          <w:szCs w:val="22"/>
        </w:rPr>
        <w:t>This report covers the period from 1 July 2014 to 30 June 2015.</w:t>
      </w:r>
    </w:p>
    <w:p w14:paraId="5FD60928" w14:textId="703F4AD3" w:rsidR="00E23AA4" w:rsidRDefault="00E23AA4" w:rsidP="00451823">
      <w:pPr>
        <w:ind w:left="1039"/>
        <w:jc w:val="both"/>
        <w:rPr>
          <w:sz w:val="22"/>
          <w:szCs w:val="22"/>
        </w:rPr>
      </w:pPr>
      <w:r>
        <w:rPr>
          <w:sz w:val="22"/>
          <w:szCs w:val="22"/>
        </w:rPr>
        <w:t xml:space="preserve">Chapter 1 reports on </w:t>
      </w:r>
      <w:r w:rsidR="00317FA0" w:rsidRPr="00E23AA4">
        <w:rPr>
          <w:sz w:val="22"/>
          <w:szCs w:val="22"/>
        </w:rPr>
        <w:t>the work I have undertaken throughout the past year to promote discussion and awareness of matters relating to the human rights of children and young people in Australia. It also discusses the progress of the recommendations that I made in my Children’s Rights Report</w:t>
      </w:r>
      <w:r w:rsidR="00CE1139" w:rsidRPr="00E23AA4">
        <w:rPr>
          <w:sz w:val="22"/>
          <w:szCs w:val="22"/>
        </w:rPr>
        <w:t>s in 2013 and</w:t>
      </w:r>
      <w:r w:rsidR="00317FA0" w:rsidRPr="00E23AA4">
        <w:rPr>
          <w:sz w:val="22"/>
          <w:szCs w:val="22"/>
        </w:rPr>
        <w:t xml:space="preserve"> 2014.</w:t>
      </w:r>
    </w:p>
    <w:p w14:paraId="76A863AD" w14:textId="5DDA3796" w:rsidR="00982B64" w:rsidRDefault="00E23AA4" w:rsidP="00451823">
      <w:pPr>
        <w:ind w:left="1039"/>
        <w:jc w:val="both"/>
        <w:rPr>
          <w:sz w:val="22"/>
          <w:szCs w:val="22"/>
        </w:rPr>
      </w:pPr>
      <w:r>
        <w:rPr>
          <w:sz w:val="22"/>
          <w:szCs w:val="22"/>
        </w:rPr>
        <w:t>Chapter 2 reports on how child</w:t>
      </w:r>
      <w:r w:rsidR="00025254">
        <w:rPr>
          <w:sz w:val="22"/>
          <w:szCs w:val="22"/>
        </w:rPr>
        <w:t>ren’s</w:t>
      </w:r>
      <w:r>
        <w:rPr>
          <w:sz w:val="22"/>
          <w:szCs w:val="22"/>
        </w:rPr>
        <w:t xml:space="preserve"> rights have been considered in legislation and court proceeding</w:t>
      </w:r>
      <w:r w:rsidR="00025254">
        <w:rPr>
          <w:sz w:val="22"/>
          <w:szCs w:val="22"/>
        </w:rPr>
        <w:t>s.</w:t>
      </w:r>
    </w:p>
    <w:p w14:paraId="69EC98DA" w14:textId="4471B939" w:rsidR="00E23AA4" w:rsidRDefault="00E23AA4" w:rsidP="00451823">
      <w:pPr>
        <w:ind w:left="1039"/>
        <w:jc w:val="both"/>
        <w:rPr>
          <w:sz w:val="22"/>
          <w:szCs w:val="22"/>
        </w:rPr>
      </w:pPr>
      <w:r>
        <w:rPr>
          <w:sz w:val="22"/>
          <w:szCs w:val="22"/>
        </w:rPr>
        <w:t xml:space="preserve">Chapter 3 reports on my project about business and children’s rights, and includes </w:t>
      </w:r>
      <w:r w:rsidR="00982B64">
        <w:rPr>
          <w:sz w:val="22"/>
          <w:szCs w:val="22"/>
        </w:rPr>
        <w:t>two recommendations.</w:t>
      </w:r>
    </w:p>
    <w:p w14:paraId="5412BD9B" w14:textId="55A11F6F" w:rsidR="00317FA0" w:rsidRPr="00E23AA4" w:rsidRDefault="00E23AA4" w:rsidP="008935E2">
      <w:pPr>
        <w:ind w:left="1039"/>
        <w:jc w:val="both"/>
        <w:rPr>
          <w:sz w:val="22"/>
          <w:szCs w:val="22"/>
        </w:rPr>
      </w:pPr>
      <w:r>
        <w:rPr>
          <w:sz w:val="22"/>
          <w:szCs w:val="22"/>
        </w:rPr>
        <w:t>Chapter 4 reports on my national consultation about how children are affected by family and domestic violence, and includes</w:t>
      </w:r>
      <w:r w:rsidR="00982B64">
        <w:rPr>
          <w:sz w:val="22"/>
          <w:szCs w:val="22"/>
        </w:rPr>
        <w:t xml:space="preserve"> fourteen recommendations.</w:t>
      </w:r>
    </w:p>
    <w:p w14:paraId="6E00D26D" w14:textId="77777777" w:rsidR="00317FA0" w:rsidRPr="00E23AA4" w:rsidRDefault="00317FA0" w:rsidP="00451823">
      <w:pPr>
        <w:ind w:left="1039"/>
        <w:jc w:val="both"/>
        <w:rPr>
          <w:sz w:val="22"/>
          <w:szCs w:val="22"/>
        </w:rPr>
      </w:pPr>
      <w:r w:rsidRPr="00E23AA4">
        <w:rPr>
          <w:sz w:val="22"/>
          <w:szCs w:val="22"/>
        </w:rPr>
        <w:t>I look forward to discussing the report with you.</w:t>
      </w:r>
    </w:p>
    <w:p w14:paraId="309587C0" w14:textId="77777777" w:rsidR="00317FA0" w:rsidRPr="00E23AA4" w:rsidRDefault="00317FA0" w:rsidP="00317FA0">
      <w:pPr>
        <w:widowControl w:val="0"/>
        <w:spacing w:before="113" w:after="0" w:line="465" w:lineRule="auto"/>
        <w:ind w:left="1039" w:right="2417"/>
        <w:rPr>
          <w:rFonts w:eastAsia="Arial" w:cs="Arial"/>
          <w:sz w:val="22"/>
          <w:szCs w:val="22"/>
          <w:lang w:val="en-US" w:eastAsia="en-US"/>
        </w:rPr>
      </w:pPr>
      <w:r w:rsidRPr="00E23AA4">
        <w:rPr>
          <w:rFonts w:eastAsia="Calibri" w:cs="Arial"/>
          <w:color w:val="231F20"/>
          <w:spacing w:val="-6"/>
          <w:sz w:val="22"/>
          <w:szCs w:val="22"/>
          <w:lang w:val="en-US" w:eastAsia="en-US"/>
        </w:rPr>
        <w:t>Y</w:t>
      </w:r>
      <w:r w:rsidRPr="00E23AA4">
        <w:rPr>
          <w:rFonts w:eastAsia="Calibri" w:cs="Arial"/>
          <w:color w:val="231F20"/>
          <w:spacing w:val="-5"/>
          <w:sz w:val="22"/>
          <w:szCs w:val="22"/>
          <w:lang w:val="en-US" w:eastAsia="en-US"/>
        </w:rPr>
        <w:t>ours</w:t>
      </w:r>
      <w:r w:rsidRPr="00E23AA4">
        <w:rPr>
          <w:rFonts w:eastAsia="Calibri" w:cs="Arial"/>
          <w:color w:val="231F20"/>
          <w:spacing w:val="-1"/>
          <w:sz w:val="22"/>
          <w:szCs w:val="22"/>
          <w:lang w:val="en-US" w:eastAsia="en-US"/>
        </w:rPr>
        <w:t xml:space="preserve"> </w:t>
      </w:r>
      <w:r w:rsidRPr="00E23AA4">
        <w:rPr>
          <w:rFonts w:eastAsia="Calibri" w:cs="Arial"/>
          <w:color w:val="231F20"/>
          <w:sz w:val="22"/>
          <w:szCs w:val="22"/>
          <w:lang w:val="en-US" w:eastAsia="en-US"/>
        </w:rPr>
        <w:t>sincerely</w:t>
      </w:r>
    </w:p>
    <w:p w14:paraId="738596CE" w14:textId="77777777" w:rsidR="00317FA0" w:rsidRPr="00E23AA4" w:rsidRDefault="00317FA0" w:rsidP="00317FA0">
      <w:pPr>
        <w:widowControl w:val="0"/>
        <w:spacing w:before="0" w:after="0"/>
        <w:ind w:left="1039" w:right="2417"/>
        <w:rPr>
          <w:rFonts w:eastAsia="Calibri" w:cs="Arial"/>
          <w:color w:val="231F20"/>
          <w:sz w:val="22"/>
          <w:szCs w:val="22"/>
          <w:lang w:val="en-US" w:eastAsia="en-US"/>
        </w:rPr>
      </w:pPr>
      <w:r w:rsidRPr="00E23AA4">
        <w:rPr>
          <w:rFonts w:ascii="Calibri" w:eastAsia="Calibri" w:hAnsi="Calibri"/>
          <w:noProof/>
          <w:sz w:val="22"/>
          <w:szCs w:val="22"/>
        </w:rPr>
        <w:drawing>
          <wp:inline distT="0" distB="0" distL="0" distR="0" wp14:anchorId="78DFD717" wp14:editId="2F3A567F">
            <wp:extent cx="1659890" cy="545465"/>
            <wp:effectExtent l="0" t="0" r="0" b="6985"/>
            <wp:docPr id="4" name="Picture 4"/>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659890" cy="545465"/>
                    </a:xfrm>
                    <a:prstGeom prst="rect">
                      <a:avLst/>
                    </a:prstGeom>
                    <a:noFill/>
                    <a:ln>
                      <a:noFill/>
                    </a:ln>
                  </pic:spPr>
                </pic:pic>
              </a:graphicData>
            </a:graphic>
          </wp:inline>
        </w:drawing>
      </w:r>
    </w:p>
    <w:p w14:paraId="66F756AB" w14:textId="77777777" w:rsidR="00317FA0" w:rsidRPr="00E23AA4" w:rsidRDefault="00317FA0" w:rsidP="00317FA0">
      <w:pPr>
        <w:widowControl w:val="0"/>
        <w:spacing w:before="0" w:after="0"/>
        <w:ind w:left="1039" w:right="2417"/>
        <w:rPr>
          <w:rFonts w:eastAsia="Calibri" w:cs="Arial"/>
          <w:color w:val="231F20"/>
          <w:sz w:val="22"/>
          <w:szCs w:val="22"/>
          <w:lang w:val="en-US" w:eastAsia="en-US"/>
        </w:rPr>
      </w:pPr>
    </w:p>
    <w:p w14:paraId="39C4C573" w14:textId="77777777" w:rsidR="00317FA0" w:rsidRPr="00E23AA4" w:rsidRDefault="00317FA0" w:rsidP="00317FA0">
      <w:pPr>
        <w:widowControl w:val="0"/>
        <w:spacing w:before="0" w:after="0"/>
        <w:ind w:left="319" w:right="2417" w:firstLine="720"/>
        <w:rPr>
          <w:rFonts w:eastAsia="Arial" w:cs="Arial"/>
          <w:sz w:val="22"/>
          <w:szCs w:val="22"/>
          <w:lang w:val="en-US" w:eastAsia="en-US"/>
        </w:rPr>
      </w:pPr>
      <w:r w:rsidRPr="00E23AA4">
        <w:rPr>
          <w:rFonts w:eastAsia="Calibri" w:cs="Arial"/>
          <w:color w:val="231F20"/>
          <w:sz w:val="22"/>
          <w:szCs w:val="22"/>
          <w:lang w:val="en-US" w:eastAsia="en-US"/>
        </w:rPr>
        <w:t>Megan</w:t>
      </w:r>
      <w:r w:rsidRPr="00E23AA4">
        <w:rPr>
          <w:rFonts w:eastAsia="Calibri" w:cs="Arial"/>
          <w:color w:val="231F20"/>
          <w:spacing w:val="-1"/>
          <w:sz w:val="22"/>
          <w:szCs w:val="22"/>
          <w:lang w:val="en-US" w:eastAsia="en-US"/>
        </w:rPr>
        <w:t xml:space="preserve"> </w:t>
      </w:r>
      <w:r w:rsidRPr="00E23AA4">
        <w:rPr>
          <w:rFonts w:eastAsia="Calibri" w:cs="Arial"/>
          <w:color w:val="231F20"/>
          <w:sz w:val="22"/>
          <w:szCs w:val="22"/>
          <w:lang w:val="en-US" w:eastAsia="en-US"/>
        </w:rPr>
        <w:t>Mitchell</w:t>
      </w:r>
    </w:p>
    <w:p w14:paraId="4CD792C3" w14:textId="77777777" w:rsidR="00317FA0" w:rsidRPr="00E23AA4" w:rsidRDefault="00317FA0" w:rsidP="00317FA0">
      <w:pPr>
        <w:widowControl w:val="0"/>
        <w:spacing w:before="11" w:after="0"/>
        <w:ind w:left="1039" w:right="2417"/>
        <w:rPr>
          <w:rFonts w:eastAsia="Arial" w:cs="Arial"/>
          <w:sz w:val="22"/>
          <w:szCs w:val="22"/>
          <w:lang w:val="en-US" w:eastAsia="en-US"/>
        </w:rPr>
      </w:pPr>
      <w:r w:rsidRPr="00E23AA4">
        <w:rPr>
          <w:rFonts w:eastAsia="Arial" w:cs="Arial"/>
          <w:b/>
          <w:bCs/>
          <w:color w:val="231F20"/>
          <w:spacing w:val="-1"/>
          <w:sz w:val="22"/>
          <w:szCs w:val="22"/>
          <w:lang w:val="en-US" w:eastAsia="en-US"/>
        </w:rPr>
        <w:t>National</w:t>
      </w:r>
      <w:r w:rsidRPr="00E23AA4">
        <w:rPr>
          <w:rFonts w:eastAsia="Arial" w:cs="Arial"/>
          <w:b/>
          <w:bCs/>
          <w:color w:val="231F20"/>
          <w:spacing w:val="-10"/>
          <w:sz w:val="22"/>
          <w:szCs w:val="22"/>
          <w:lang w:val="en-US" w:eastAsia="en-US"/>
        </w:rPr>
        <w:t xml:space="preserve"> </w:t>
      </w:r>
      <w:r w:rsidRPr="00E23AA4">
        <w:rPr>
          <w:rFonts w:eastAsia="Arial" w:cs="Arial"/>
          <w:b/>
          <w:bCs/>
          <w:color w:val="231F20"/>
          <w:spacing w:val="-2"/>
          <w:sz w:val="22"/>
          <w:szCs w:val="22"/>
          <w:lang w:val="en-US" w:eastAsia="en-US"/>
        </w:rPr>
        <w:t>Children’s</w:t>
      </w:r>
      <w:r w:rsidRPr="00E23AA4">
        <w:rPr>
          <w:rFonts w:eastAsia="Arial" w:cs="Arial"/>
          <w:b/>
          <w:bCs/>
          <w:color w:val="231F20"/>
          <w:spacing w:val="-10"/>
          <w:sz w:val="22"/>
          <w:szCs w:val="22"/>
          <w:lang w:val="en-US" w:eastAsia="en-US"/>
        </w:rPr>
        <w:t xml:space="preserve"> </w:t>
      </w:r>
      <w:r w:rsidRPr="00E23AA4">
        <w:rPr>
          <w:rFonts w:eastAsia="Arial" w:cs="Arial"/>
          <w:b/>
          <w:bCs/>
          <w:color w:val="231F20"/>
          <w:spacing w:val="-1"/>
          <w:sz w:val="22"/>
          <w:szCs w:val="22"/>
          <w:lang w:val="en-US" w:eastAsia="en-US"/>
        </w:rPr>
        <w:t>Commissioner</w:t>
      </w:r>
    </w:p>
    <w:p w14:paraId="05260F58" w14:textId="77777777" w:rsidR="00317FA0" w:rsidRPr="00317FA0" w:rsidRDefault="00317FA0" w:rsidP="00317FA0">
      <w:pPr>
        <w:widowControl w:val="0"/>
        <w:spacing w:before="4" w:after="0" w:line="150" w:lineRule="exact"/>
        <w:rPr>
          <w:rFonts w:eastAsia="Calibri" w:cs="Arial"/>
          <w:sz w:val="15"/>
          <w:szCs w:val="15"/>
          <w:lang w:val="en-US" w:eastAsia="en-US"/>
        </w:rPr>
      </w:pPr>
    </w:p>
    <w:p w14:paraId="202767E8" w14:textId="77777777" w:rsidR="00317FA0" w:rsidRPr="00317FA0" w:rsidRDefault="00317FA0" w:rsidP="00317FA0">
      <w:pPr>
        <w:widowControl w:val="0"/>
        <w:spacing w:before="0" w:after="0" w:line="200" w:lineRule="exact"/>
        <w:rPr>
          <w:rFonts w:eastAsia="Calibri" w:cs="Arial"/>
          <w:sz w:val="20"/>
          <w:szCs w:val="20"/>
          <w:lang w:val="en-US" w:eastAsia="en-US"/>
        </w:rPr>
      </w:pPr>
    </w:p>
    <w:p w14:paraId="22C9E6F5" w14:textId="629C6202" w:rsidR="00317FA0" w:rsidRPr="00317FA0" w:rsidRDefault="00DC64E0" w:rsidP="00317FA0">
      <w:pPr>
        <w:widowControl w:val="0"/>
        <w:spacing w:before="0" w:after="0" w:line="200" w:lineRule="exact"/>
        <w:rPr>
          <w:rFonts w:eastAsia="Calibri" w:cs="Arial"/>
          <w:sz w:val="20"/>
          <w:szCs w:val="20"/>
          <w:lang w:val="en-US" w:eastAsia="en-US"/>
        </w:rPr>
      </w:pPr>
      <w:r w:rsidRPr="00317FA0">
        <w:rPr>
          <w:rFonts w:eastAsia="Calibri" w:cs="Arial"/>
          <w:noProof/>
          <w:sz w:val="22"/>
          <w:szCs w:val="22"/>
        </w:rPr>
        <mc:AlternateContent>
          <mc:Choice Requires="wpg">
            <w:drawing>
              <wp:anchor distT="0" distB="0" distL="114300" distR="114300" simplePos="0" relativeHeight="251660288" behindDoc="1" locked="0" layoutInCell="1" allowOverlap="1" wp14:anchorId="735FFA3F" wp14:editId="6C150A8B">
                <wp:simplePos x="0" y="0"/>
                <wp:positionH relativeFrom="page">
                  <wp:posOffset>1573057</wp:posOffset>
                </wp:positionH>
                <wp:positionV relativeFrom="paragraph">
                  <wp:posOffset>64135</wp:posOffset>
                </wp:positionV>
                <wp:extent cx="4536440" cy="12700"/>
                <wp:effectExtent l="0" t="0" r="0" b="6350"/>
                <wp:wrapNone/>
                <wp:docPr id="697" name="Group 6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36440" cy="12700"/>
                          <a:chOff x="2750" y="-99"/>
                          <a:chExt cx="7144" cy="20"/>
                        </a:xfrm>
                      </wpg:grpSpPr>
                      <wpg:grpSp>
                        <wpg:cNvPr id="698" name="Group 679"/>
                        <wpg:cNvGrpSpPr>
                          <a:grpSpLocks/>
                        </wpg:cNvGrpSpPr>
                        <wpg:grpSpPr bwMode="auto">
                          <a:xfrm>
                            <a:off x="2800" y="-89"/>
                            <a:ext cx="7064" cy="2"/>
                            <a:chOff x="2800" y="-89"/>
                            <a:chExt cx="7064" cy="2"/>
                          </a:xfrm>
                        </wpg:grpSpPr>
                        <wps:wsp>
                          <wps:cNvPr id="699" name="Freeform 680"/>
                          <wps:cNvSpPr>
                            <a:spLocks/>
                          </wps:cNvSpPr>
                          <wps:spPr bwMode="auto">
                            <a:xfrm>
                              <a:off x="2800" y="-89"/>
                              <a:ext cx="7064" cy="2"/>
                            </a:xfrm>
                            <a:custGeom>
                              <a:avLst/>
                              <a:gdLst>
                                <a:gd name="T0" fmla="+- 0 2800 2800"/>
                                <a:gd name="T1" fmla="*/ T0 w 7064"/>
                                <a:gd name="T2" fmla="+- 0 9863 2800"/>
                                <a:gd name="T3" fmla="*/ T2 w 7064"/>
                              </a:gdLst>
                              <a:ahLst/>
                              <a:cxnLst>
                                <a:cxn ang="0">
                                  <a:pos x="T1" y="0"/>
                                </a:cxn>
                                <a:cxn ang="0">
                                  <a:pos x="T3" y="0"/>
                                </a:cxn>
                              </a:cxnLst>
                              <a:rect l="0" t="0" r="r" b="b"/>
                              <a:pathLst>
                                <a:path w="7064">
                                  <a:moveTo>
                                    <a:pt x="0" y="0"/>
                                  </a:moveTo>
                                  <a:lnTo>
                                    <a:pt x="7063" y="0"/>
                                  </a:lnTo>
                                </a:path>
                              </a:pathLst>
                            </a:custGeom>
                            <a:noFill/>
                            <a:ln w="12700">
                              <a:solidFill>
                                <a:srgbClr val="6D6E71"/>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00" name="Group 677"/>
                        <wpg:cNvGrpSpPr>
                          <a:grpSpLocks/>
                        </wpg:cNvGrpSpPr>
                        <wpg:grpSpPr bwMode="auto">
                          <a:xfrm>
                            <a:off x="2760" y="-89"/>
                            <a:ext cx="2" cy="2"/>
                            <a:chOff x="2760" y="-89"/>
                            <a:chExt cx="2" cy="2"/>
                          </a:xfrm>
                        </wpg:grpSpPr>
                        <wps:wsp>
                          <wps:cNvPr id="701" name="Freeform 678"/>
                          <wps:cNvSpPr>
                            <a:spLocks/>
                          </wps:cNvSpPr>
                          <wps:spPr bwMode="auto">
                            <a:xfrm>
                              <a:off x="2760" y="-89"/>
                              <a:ext cx="2" cy="2"/>
                            </a:xfrm>
                            <a:custGeom>
                              <a:avLst/>
                              <a:gdLst/>
                              <a:ahLst/>
                              <a:cxnLst>
                                <a:cxn ang="0">
                                  <a:pos x="0" y="0"/>
                                </a:cxn>
                                <a:cxn ang="0">
                                  <a:pos x="0" y="0"/>
                                </a:cxn>
                              </a:cxnLst>
                              <a:rect l="0" t="0" r="r" b="b"/>
                              <a:pathLst>
                                <a:path>
                                  <a:moveTo>
                                    <a:pt x="0" y="0"/>
                                  </a:moveTo>
                                  <a:lnTo>
                                    <a:pt x="0" y="0"/>
                                  </a:lnTo>
                                </a:path>
                              </a:pathLst>
                            </a:custGeom>
                            <a:noFill/>
                            <a:ln w="12700">
                              <a:solidFill>
                                <a:srgbClr val="6D6E7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02" name="Group 675"/>
                        <wpg:cNvGrpSpPr>
                          <a:grpSpLocks/>
                        </wpg:cNvGrpSpPr>
                        <wpg:grpSpPr bwMode="auto">
                          <a:xfrm>
                            <a:off x="9883" y="-89"/>
                            <a:ext cx="2" cy="2"/>
                            <a:chOff x="9883" y="-89"/>
                            <a:chExt cx="2" cy="2"/>
                          </a:xfrm>
                        </wpg:grpSpPr>
                        <wps:wsp>
                          <wps:cNvPr id="703" name="Freeform 676"/>
                          <wps:cNvSpPr>
                            <a:spLocks/>
                          </wps:cNvSpPr>
                          <wps:spPr bwMode="auto">
                            <a:xfrm>
                              <a:off x="9883" y="-89"/>
                              <a:ext cx="2" cy="2"/>
                            </a:xfrm>
                            <a:custGeom>
                              <a:avLst/>
                              <a:gdLst/>
                              <a:ahLst/>
                              <a:cxnLst>
                                <a:cxn ang="0">
                                  <a:pos x="0" y="0"/>
                                </a:cxn>
                                <a:cxn ang="0">
                                  <a:pos x="0" y="0"/>
                                </a:cxn>
                              </a:cxnLst>
                              <a:rect l="0" t="0" r="r" b="b"/>
                              <a:pathLst>
                                <a:path>
                                  <a:moveTo>
                                    <a:pt x="0" y="0"/>
                                  </a:moveTo>
                                  <a:lnTo>
                                    <a:pt x="0" y="0"/>
                                  </a:lnTo>
                                </a:path>
                              </a:pathLst>
                            </a:custGeom>
                            <a:noFill/>
                            <a:ln w="12700">
                              <a:solidFill>
                                <a:srgbClr val="6D6E7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2992627A" id="Group 674" o:spid="_x0000_s1026" style="position:absolute;margin-left:123.85pt;margin-top:5.05pt;width:357.2pt;height:1pt;z-index:-251656192;mso-position-horizontal-relative:page" coordorigin="2750,-99" coordsize="7144,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4IiPYgQAAL4TAAAOAAAAZHJzL2Uyb0RvYy54bWzsWFtv2zYUfh+w/0DocYOjSxRJFuIUhS/B&#10;gG4rUO8H0BJ1wSRRI2nL6bD/vkNSkiXZ7Zx22QYsfVBJ8/DwXL+P4f2bY1mgA2E8p9XCsG8sA5Eq&#10;onFepQvjl+1mFhiIC1zFuKAVWRhPhBtvHr795r6pQ+LQjBYxYQiUVDxs6oWRCVGHpsmjjJSY39Ca&#10;VLCYUFZiAVOWmjHDDWgvC9OxLM9sKItrRiPCOfy60ovGg9KfJCQSPycJJwIVCwNsE+rL1Hcnv+bD&#10;PQ5Thussj1oz8BdYUeK8gkN7VSssMNqz/ExVmUeMcpqIm4iWJk2SPCLKB/DGtibePDK6r5Uvadik&#10;dR8mCO0kTl+sNvrp8J6hPF4Y3tw3UIVLSJI6F3m+K8PT1GkIUo+s/lC/Z9pHGL6j0a8cls3pupyn&#10;Whjtmh9pDArxXlAVnmPCSqkCHEdHlYWnPgvkKFAEP7p3t57rQrIiWLMd32qzFGWQSrnL8e9gFRZn&#10;87lOYJSt282+7bp6p6O2mTjUZyo7W7u0U2rS+9dHAQp2HAV1xtRLmem/KwpOAC4qf4LWny4UvuV1&#10;3nSOdjE42zOIwXjXJ0MAHcdPRcW/rqg+ZLgmqla5LJc+nPMunBtGiOxj5AUqM02tBLui4sOKGqxI&#10;MQ6F95e1dHUU+3jgMNpz8UioKkl8eMeFhoMYRqrQ47YUtpCfpCwAGb6fIQvJo9SnhY9ezO7EvjPR&#10;1kINUglslXa6nE5I6ZoH3u1FXbedmNTlDHSB/WlnIc46o6Nj1VoNI4Ql/Fqq5WrKZdNswbau10AD&#10;CEkPPyELZ09l9Z72CAa4OkVUZiBA1J0OSY2FtEweIYeoWRgqFPKHkh7IlqolMQEBOOS0WlRDKdg+&#10;tkovww55AOCQHqhDpa2DzFZ0kxeFykJRSVM0qEgLOC3yWK6qCUt3y4KhAway8Fbe2relN6BtJFYz&#10;LlaYZ1ouhpH2GcC6itUpGcHxuh0LnBd6DHoKFXTo7jY2ss8VS/w+t+brYB24M9fx1jPXWq1mbzdL&#10;d+ZtbP9udbtaLlf2HzKfthtmeRyTSlrdMZbtXte8LXdqruk5a+QdHwZho/6dB8Ecm6FiBL50/+sk&#10;dJ0rIZaHOxo/QRczqikYrgwwyCj7aKAG6Hdh8N/2mBEDFT9UAEVzwHFoOqEm7p0PaI7YcGU3XMFV&#10;BKoWhjCg8uVwKTTH72uWpxmcZKteqOhbYKIkl30OhNBZ1U4ADdWo5a/PsITkpAlL+DJKL8oSvgeH&#10;StabsgQAiqRKR5fhgCanG04UMdwCdXmZIv8BfvAtgCVNtyd+8AMdywELQAt+NT9cFb8+GGMImZCD&#10;6vLrsVfnrbuPfBZ6L4iCSbClRYznIq/EtROk1s8A3LEl/xravqLq/whVAZbGd++7l0bVeRDoa8W1&#10;qHq+4b+IquDTGap6L4Gq5+Ho/na5SDGvqDq6Wb+iqnrlufh68XpXfdZdVb1vwCORYov2QUu+Qg3n&#10;6nZ7enZ7+BMAAP//AwBQSwMEFAAGAAgAAAAhANIO6NnfAAAACQEAAA8AAABkcnMvZG93bnJldi54&#10;bWxMj09Lw0AQxe+C32EZwZvdJGqrMZtSinoqBVtBvE2TaRKanQ3ZbZJ+e8eTnubPe7z5TbacbKsG&#10;6n3j2EA8i0ARF65suDLwuX+7ewLlA3KJrWMycCEPy/z6KsO0dCN/0LALlZIQ9ikaqEPoUq19UZNF&#10;P3MdsWhH11sMMvaVLnscJdy2OomiubbYsFyosaN1TcVpd7YG3kccV/fx67A5HdeX7/3j9msTkzG3&#10;N9PqBVSgKfyZ4Rdf0CEXpoM7c+lVayB5WCzEKkIUgxLD8zyR5iALqTrP9P8P8h8AAAD//wMAUEsB&#10;Ai0AFAAGAAgAAAAhALaDOJL+AAAA4QEAABMAAAAAAAAAAAAAAAAAAAAAAFtDb250ZW50X1R5cGVz&#10;XS54bWxQSwECLQAUAAYACAAAACEAOP0h/9YAAACUAQAACwAAAAAAAAAAAAAAAAAvAQAAX3JlbHMv&#10;LnJlbHNQSwECLQAUAAYACAAAACEA+uCIj2IEAAC+EwAADgAAAAAAAAAAAAAAAAAuAgAAZHJzL2Uy&#10;b0RvYy54bWxQSwECLQAUAAYACAAAACEA0g7o2d8AAAAJAQAADwAAAAAAAAAAAAAAAAC8BgAAZHJz&#10;L2Rvd25yZXYueG1sUEsFBgAAAAAEAAQA8wAAAMgHAAAAAA==&#10;">
                <v:group id="Group 679" o:spid="_x0000_s1027" style="position:absolute;left:2800;top:-89;width:7064;height:2" coordorigin="2800,-89" coordsize="7064,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RLOuMMAAADcAAAADwAAAGRycy9kb3ducmV2LnhtbERPTWvCQBC9F/wPywi9&#10;1U2USo1uQpBaepBCVRBvQ3ZMQrKzIbtN4r/vHgo9Pt73LptMKwbqXW1ZQbyIQBAXVtdcKricDy9v&#10;IJxH1thaJgUPcpCls6cdJtqO/E3DyZcihLBLUEHlfZdI6YqKDLqF7YgDd7e9QR9gX0rd4xjCTSuX&#10;UbSWBmsODRV2tK+oaE4/RsHHiGO+it+HY3PfP27n16/rMSalnudTvgXhafL/4j/3p1aw3oS14Uw4&#10;AjL9BQ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dEs64wwAAANwAAAAP&#10;AAAAAAAAAAAAAAAAAKoCAABkcnMvZG93bnJldi54bWxQSwUGAAAAAAQABAD6AAAAmgMAAAAA&#10;">
                  <v:shape id="Freeform 680" o:spid="_x0000_s1028" style="position:absolute;left:2800;top:-89;width:7064;height:2;visibility:visible;mso-wrap-style:square;v-text-anchor:top" coordsize="7064,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0iN2cIA&#10;AADcAAAADwAAAGRycy9kb3ducmV2LnhtbESP3YrCMBSE7wXfIRzBO01VFK1GEUFxcUH8eYBDc2yK&#10;zUlpota3NwvCXg4z8w2zWDW2FE+qfeFYwaCfgCDOnC44V3C9bHtTED4gaywdk4I3eVgt260Fptq9&#10;+ETPc8hFhLBPUYEJoUql9Jkhi77vKuLo3VxtMURZ51LX+IpwW8phkkykxYLjgsGKNoay+/lhI2Vk&#10;Tokc69/ddDf4uY4Pxz3iUalup1nPQQRqwn/4295rBZPZDP7OxCMglx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nSI3ZwgAAANwAAAAPAAAAAAAAAAAAAAAAAJgCAABkcnMvZG93&#10;bnJldi54bWxQSwUGAAAAAAQABAD1AAAAhwMAAAAA&#10;" path="m,l7063,e" filled="f" strokecolor="#6d6e71" strokeweight="1pt">
                    <v:stroke dashstyle="dash"/>
                    <v:path arrowok="t" o:connecttype="custom" o:connectlocs="0,0;7063,0" o:connectangles="0,0"/>
                  </v:shape>
                </v:group>
                <v:group id="Group 677" o:spid="_x0000_s1029" style="position:absolute;left:2760;top:-89;width:2;height:2" coordorigin="2760,-89" coordsize="2,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9YpMIAAADcAAAADwAAAGRycy9kb3ducmV2LnhtbERPTYvCMBC9C/sfwizs&#10;TdO6qEs1ioiKBxGswuJtaMa22ExKE9v6781hYY+P971Y9aYSLTWutKwgHkUgiDOrS84VXC+74Q8I&#10;55E1VpZJwYscrJYfgwUm2nZ8pjb1uQgh7BJUUHhfJ1K6rCCDbmRr4sDdbWPQB9jkUjfYhXBTyXEU&#10;TaXBkkNDgTVtCsoe6dMo2HfYrb/jbXt83Dev22Vy+j3GpNTXZ7+eg/DU+3/xn/ugFcyiMD+cCUdA&#10;Lt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P2PWKTCAAAA3AAAAA8A&#10;AAAAAAAAAAAAAAAAqgIAAGRycy9kb3ducmV2LnhtbFBLBQYAAAAABAAEAPoAAACZAwAAAAA=&#10;">
                  <v:shape id="Freeform 678" o:spid="_x0000_s1030" style="position:absolute;left:2760;top:-89;width:2;height:2;visibility:visible;mso-wrap-style:square;v-text-anchor:top" coordsize="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nXsKcQA&#10;AADcAAAADwAAAGRycy9kb3ducmV2LnhtbESPQWvCQBSE7wX/w/IEb3VjD1ZSV1FBqHrSBs/P3WcS&#10;zL6N2TWJ/75bKHgcZuYbZr7sbSVaanzpWMFknIAg1s6UnCvIfrbvMxA+IBusHJOCJ3lYLgZvc0yN&#10;6/hI7SnkIkLYp6igCKFOpfS6IIt+7Gri6F1dYzFE2eTSNNhFuK3kR5JMpcWS40KBNW0K0rfTwyq4&#10;SL1tV+vufDjUu+x83Nyzi94rNRr2qy8QgfrwCv+3v42Cz2QCf2fiEZCL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J17CnEAAAA3AAAAA8AAAAAAAAAAAAAAAAAmAIAAGRycy9k&#10;b3ducmV2LnhtbFBLBQYAAAAABAAEAPUAAACJAwAAAAA=&#10;" path="m,l,e" filled="f" strokecolor="#6d6e71" strokeweight="1pt">
                    <v:path arrowok="t" o:connecttype="custom" o:connectlocs="0,0;0,0" o:connectangles="0,0"/>
                  </v:shape>
                </v:group>
                <v:group id="Group 675" o:spid="_x0000_s1031" style="position:absolute;left:9883;top:-89;width:2;height:2" coordorigin="9883,-89" coordsize="2,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hFjSMYAAADcAAAADwAAAGRycy9kb3ducmV2LnhtbESPT2vCQBTE7wW/w/KE&#10;3uomkdaSuoqIlh6kYCKU3h7ZZxLMvg3ZNX++fbdQ6HGYmd8w6+1oGtFT52rLCuJFBIK4sLrmUsEl&#10;Pz69gnAeWWNjmRRM5GC7mT2sMdV24DP1mS9FgLBLUUHlfZtK6YqKDLqFbYmDd7WdQR9kV0rd4RDg&#10;ppFJFL1IgzWHhQpb2ldU3LK7UfA+4LBbxof+dLvup+/8+fPrFJNSj/Nx9wbC0+j/w3/tD61gFSXw&#10;eyYcAbn5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iEWNIxgAAANwA&#10;AAAPAAAAAAAAAAAAAAAAAKoCAABkcnMvZG93bnJldi54bWxQSwUGAAAAAAQABAD6AAAAnQMAAAAA&#10;">
                  <v:shape id="Freeform 676" o:spid="_x0000_s1032" style="position:absolute;left:9883;top:-89;width:2;height:2;visibility:visible;mso-wrap-style:square;v-text-anchor:top" coordsize="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evXxcQA&#10;AADcAAAADwAAAGRycy9kb3ducmV2LnhtbESPQWvCQBSE7wX/w/KE3urGFqpEV1FBsPWkDZ6fu88k&#10;mH2bZtck/feuIPQ4zMw3zHzZ20q01PjSsYLxKAFBrJ0pOVeQ/WzfpiB8QDZYOSYFf+RhuRi8zDE1&#10;ruMDtceQiwhhn6KCIoQ6ldLrgiz6kauJo3dxjcUQZZNL02AX4baS70nyKS2WHBcKrGlTkL4eb1bB&#10;Weptu1p3p/2+/spOh81vdtbfSr0O+9UMRKA+/Ief7Z1RMEk+4HEmHgG5u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3r18XEAAAA3AAAAA8AAAAAAAAAAAAAAAAAmAIAAGRycy9k&#10;b3ducmV2LnhtbFBLBQYAAAAABAAEAPUAAACJAwAAAAA=&#10;" path="m,l,e" filled="f" strokecolor="#6d6e71" strokeweight="1pt">
                    <v:path arrowok="t" o:connecttype="custom" o:connectlocs="0,0;0,0" o:connectangles="0,0"/>
                  </v:shape>
                </v:group>
                <w10:wrap anchorx="page"/>
              </v:group>
            </w:pict>
          </mc:Fallback>
        </mc:AlternateContent>
      </w:r>
    </w:p>
    <w:p w14:paraId="36ADF6E8" w14:textId="022BBA72" w:rsidR="00317FA0" w:rsidRPr="00317FA0" w:rsidRDefault="00317FA0" w:rsidP="00317FA0">
      <w:pPr>
        <w:widowControl w:val="0"/>
        <w:spacing w:before="79" w:after="0"/>
        <w:ind w:left="1069" w:right="2417"/>
        <w:rPr>
          <w:rFonts w:eastAsia="Arial" w:cs="Arial"/>
          <w:sz w:val="16"/>
          <w:szCs w:val="16"/>
          <w:lang w:val="en-US" w:eastAsia="en-US"/>
        </w:rPr>
      </w:pPr>
      <w:r w:rsidRPr="00317FA0">
        <w:rPr>
          <w:rFonts w:eastAsia="Calibri" w:cs="Arial"/>
          <w:color w:val="231F20"/>
          <w:w w:val="90"/>
          <w:sz w:val="16"/>
          <w:szCs w:val="22"/>
          <w:lang w:val="en-US" w:eastAsia="en-US"/>
        </w:rPr>
        <w:t>Australian</w:t>
      </w:r>
      <w:r w:rsidRPr="00317FA0">
        <w:rPr>
          <w:rFonts w:eastAsia="Calibri" w:cs="Arial"/>
          <w:color w:val="231F20"/>
          <w:spacing w:val="-1"/>
          <w:w w:val="90"/>
          <w:sz w:val="16"/>
          <w:szCs w:val="22"/>
          <w:lang w:val="en-US" w:eastAsia="en-US"/>
        </w:rPr>
        <w:t xml:space="preserve"> Human Rights</w:t>
      </w:r>
      <w:r w:rsidRPr="00317FA0">
        <w:rPr>
          <w:rFonts w:eastAsia="Calibri" w:cs="Arial"/>
          <w:color w:val="231F20"/>
          <w:w w:val="90"/>
          <w:sz w:val="16"/>
          <w:szCs w:val="22"/>
          <w:lang w:val="en-US" w:eastAsia="en-US"/>
        </w:rPr>
        <w:t xml:space="preserve"> </w:t>
      </w:r>
      <w:r w:rsidRPr="00317FA0">
        <w:rPr>
          <w:rFonts w:eastAsia="Calibri" w:cs="Arial"/>
          <w:color w:val="231F20"/>
          <w:spacing w:val="-1"/>
          <w:w w:val="90"/>
          <w:sz w:val="16"/>
          <w:szCs w:val="22"/>
          <w:lang w:val="en-US" w:eastAsia="en-US"/>
        </w:rPr>
        <w:t>Commission</w:t>
      </w:r>
    </w:p>
    <w:p w14:paraId="4AE5FB12" w14:textId="77777777" w:rsidR="00317FA0" w:rsidRPr="00317FA0" w:rsidRDefault="00317FA0" w:rsidP="00317FA0">
      <w:pPr>
        <w:widowControl w:val="0"/>
        <w:spacing w:before="121" w:after="0"/>
        <w:ind w:left="1069" w:right="2417"/>
        <w:rPr>
          <w:rFonts w:eastAsia="Arial" w:cs="Arial"/>
          <w:sz w:val="16"/>
          <w:szCs w:val="16"/>
          <w:lang w:val="en-US" w:eastAsia="en-US"/>
        </w:rPr>
      </w:pPr>
      <w:r w:rsidRPr="00317FA0">
        <w:rPr>
          <w:rFonts w:eastAsia="Calibri" w:cs="Arial"/>
          <w:color w:val="231F20"/>
          <w:spacing w:val="-1"/>
          <w:sz w:val="16"/>
          <w:szCs w:val="22"/>
          <w:lang w:val="en-US" w:eastAsia="en-US"/>
        </w:rPr>
        <w:t>Level</w:t>
      </w:r>
      <w:r w:rsidRPr="00317FA0">
        <w:rPr>
          <w:rFonts w:eastAsia="Calibri" w:cs="Arial"/>
          <w:color w:val="231F20"/>
          <w:spacing w:val="-2"/>
          <w:sz w:val="16"/>
          <w:szCs w:val="22"/>
          <w:lang w:val="en-US" w:eastAsia="en-US"/>
        </w:rPr>
        <w:t xml:space="preserve"> </w:t>
      </w:r>
      <w:r w:rsidRPr="00317FA0">
        <w:rPr>
          <w:rFonts w:eastAsia="Calibri" w:cs="Arial"/>
          <w:color w:val="231F20"/>
          <w:spacing w:val="-1"/>
          <w:sz w:val="16"/>
          <w:szCs w:val="22"/>
          <w:lang w:val="en-US" w:eastAsia="en-US"/>
        </w:rPr>
        <w:t xml:space="preserve">3, 175 </w:t>
      </w:r>
      <w:r w:rsidRPr="00317FA0">
        <w:rPr>
          <w:rFonts w:eastAsia="Calibri" w:cs="Arial"/>
          <w:color w:val="231F20"/>
          <w:sz w:val="16"/>
          <w:szCs w:val="22"/>
          <w:lang w:val="en-US" w:eastAsia="en-US"/>
        </w:rPr>
        <w:t>Pitt</w:t>
      </w:r>
      <w:r w:rsidRPr="00317FA0">
        <w:rPr>
          <w:rFonts w:eastAsia="Calibri" w:cs="Arial"/>
          <w:color w:val="231F20"/>
          <w:spacing w:val="-1"/>
          <w:sz w:val="16"/>
          <w:szCs w:val="22"/>
          <w:lang w:val="en-US" w:eastAsia="en-US"/>
        </w:rPr>
        <w:t xml:space="preserve"> </w:t>
      </w:r>
      <w:r w:rsidRPr="00317FA0">
        <w:rPr>
          <w:rFonts w:eastAsia="Calibri" w:cs="Arial"/>
          <w:color w:val="231F20"/>
          <w:sz w:val="16"/>
          <w:szCs w:val="22"/>
          <w:lang w:val="en-US" w:eastAsia="en-US"/>
        </w:rPr>
        <w:t>Street,</w:t>
      </w:r>
      <w:r w:rsidRPr="00317FA0">
        <w:rPr>
          <w:rFonts w:eastAsia="Calibri" w:cs="Arial"/>
          <w:color w:val="231F20"/>
          <w:spacing w:val="-1"/>
          <w:sz w:val="16"/>
          <w:szCs w:val="22"/>
          <w:lang w:val="en-US" w:eastAsia="en-US"/>
        </w:rPr>
        <w:t xml:space="preserve"> </w:t>
      </w:r>
      <w:r w:rsidRPr="00317FA0">
        <w:rPr>
          <w:rFonts w:eastAsia="Calibri" w:cs="Arial"/>
          <w:color w:val="231F20"/>
          <w:sz w:val="16"/>
          <w:szCs w:val="22"/>
          <w:lang w:val="en-US" w:eastAsia="en-US"/>
        </w:rPr>
        <w:t>Sydney</w:t>
      </w:r>
      <w:r w:rsidRPr="00317FA0">
        <w:rPr>
          <w:rFonts w:eastAsia="Calibri" w:cs="Arial"/>
          <w:color w:val="231F20"/>
          <w:spacing w:val="-3"/>
          <w:sz w:val="16"/>
          <w:szCs w:val="22"/>
          <w:lang w:val="en-US" w:eastAsia="en-US"/>
        </w:rPr>
        <w:t xml:space="preserve"> </w:t>
      </w:r>
      <w:r w:rsidRPr="00317FA0">
        <w:rPr>
          <w:rFonts w:eastAsia="Calibri" w:cs="Arial"/>
          <w:color w:val="231F20"/>
          <w:spacing w:val="-1"/>
          <w:sz w:val="16"/>
          <w:szCs w:val="22"/>
          <w:lang w:val="en-US" w:eastAsia="en-US"/>
        </w:rPr>
        <w:t>NSW 2000</w:t>
      </w:r>
    </w:p>
    <w:p w14:paraId="73DDC4BE" w14:textId="77777777" w:rsidR="00317FA0" w:rsidRPr="00317FA0" w:rsidRDefault="00317FA0" w:rsidP="00317FA0">
      <w:pPr>
        <w:widowControl w:val="0"/>
        <w:spacing w:before="8" w:after="0"/>
        <w:ind w:left="1069" w:right="2417"/>
        <w:rPr>
          <w:rFonts w:eastAsia="Arial" w:cs="Arial"/>
          <w:sz w:val="16"/>
          <w:szCs w:val="16"/>
          <w:lang w:val="en-US" w:eastAsia="en-US"/>
        </w:rPr>
      </w:pPr>
      <w:r w:rsidRPr="00317FA0">
        <w:rPr>
          <w:rFonts w:eastAsia="Calibri" w:cs="Arial"/>
          <w:color w:val="231F20"/>
          <w:sz w:val="16"/>
          <w:szCs w:val="22"/>
          <w:lang w:val="en-US" w:eastAsia="en-US"/>
        </w:rPr>
        <w:t>GPO</w:t>
      </w:r>
      <w:r w:rsidRPr="00317FA0">
        <w:rPr>
          <w:rFonts w:eastAsia="Calibri" w:cs="Arial"/>
          <w:color w:val="231F20"/>
          <w:spacing w:val="-2"/>
          <w:sz w:val="16"/>
          <w:szCs w:val="22"/>
          <w:lang w:val="en-US" w:eastAsia="en-US"/>
        </w:rPr>
        <w:t xml:space="preserve"> </w:t>
      </w:r>
      <w:r w:rsidRPr="00317FA0">
        <w:rPr>
          <w:rFonts w:eastAsia="Calibri" w:cs="Arial"/>
          <w:color w:val="231F20"/>
          <w:sz w:val="16"/>
          <w:szCs w:val="22"/>
          <w:lang w:val="en-US" w:eastAsia="en-US"/>
        </w:rPr>
        <w:t>Box</w:t>
      </w:r>
      <w:r w:rsidRPr="00317FA0">
        <w:rPr>
          <w:rFonts w:eastAsia="Calibri" w:cs="Arial"/>
          <w:color w:val="231F20"/>
          <w:spacing w:val="-2"/>
          <w:sz w:val="16"/>
          <w:szCs w:val="22"/>
          <w:lang w:val="en-US" w:eastAsia="en-US"/>
        </w:rPr>
        <w:t xml:space="preserve"> </w:t>
      </w:r>
      <w:r w:rsidRPr="00317FA0">
        <w:rPr>
          <w:rFonts w:eastAsia="Calibri" w:cs="Arial"/>
          <w:color w:val="231F20"/>
          <w:spacing w:val="-1"/>
          <w:sz w:val="16"/>
          <w:szCs w:val="22"/>
          <w:lang w:val="en-US" w:eastAsia="en-US"/>
        </w:rPr>
        <w:t xml:space="preserve">5218, </w:t>
      </w:r>
      <w:r w:rsidRPr="00317FA0">
        <w:rPr>
          <w:rFonts w:eastAsia="Calibri" w:cs="Arial"/>
          <w:color w:val="231F20"/>
          <w:sz w:val="16"/>
          <w:szCs w:val="22"/>
          <w:lang w:val="en-US" w:eastAsia="en-US"/>
        </w:rPr>
        <w:t>Sydney</w:t>
      </w:r>
      <w:r w:rsidRPr="00317FA0">
        <w:rPr>
          <w:rFonts w:eastAsia="Calibri" w:cs="Arial"/>
          <w:color w:val="231F20"/>
          <w:spacing w:val="-1"/>
          <w:sz w:val="16"/>
          <w:szCs w:val="22"/>
          <w:lang w:val="en-US" w:eastAsia="en-US"/>
        </w:rPr>
        <w:t xml:space="preserve"> NSW 2001</w:t>
      </w:r>
    </w:p>
    <w:p w14:paraId="1DD199BF" w14:textId="77777777" w:rsidR="00317FA0" w:rsidRPr="00317FA0" w:rsidRDefault="00317FA0" w:rsidP="00317FA0">
      <w:pPr>
        <w:widowControl w:val="0"/>
        <w:spacing w:before="121" w:after="0"/>
        <w:ind w:left="1069" w:right="2417"/>
        <w:rPr>
          <w:rFonts w:eastAsia="Arial" w:cs="Arial"/>
          <w:sz w:val="16"/>
          <w:szCs w:val="16"/>
          <w:lang w:val="en-US" w:eastAsia="en-US"/>
        </w:rPr>
      </w:pPr>
      <w:r w:rsidRPr="00317FA0">
        <w:rPr>
          <w:rFonts w:eastAsia="Calibri" w:cs="Arial"/>
          <w:i/>
          <w:color w:val="231F20"/>
          <w:spacing w:val="-3"/>
          <w:sz w:val="16"/>
          <w:szCs w:val="22"/>
          <w:lang w:val="en-US" w:eastAsia="en-US"/>
        </w:rPr>
        <w:t>Telephone:</w:t>
      </w:r>
      <w:r w:rsidRPr="00317FA0">
        <w:rPr>
          <w:rFonts w:eastAsia="Calibri" w:cs="Arial"/>
          <w:i/>
          <w:color w:val="231F20"/>
          <w:spacing w:val="-1"/>
          <w:sz w:val="16"/>
          <w:szCs w:val="22"/>
          <w:lang w:val="en-US" w:eastAsia="en-US"/>
        </w:rPr>
        <w:t xml:space="preserve"> </w:t>
      </w:r>
      <w:r w:rsidRPr="00317FA0">
        <w:rPr>
          <w:rFonts w:eastAsia="Calibri" w:cs="Arial"/>
          <w:color w:val="231F20"/>
          <w:spacing w:val="-1"/>
          <w:sz w:val="16"/>
          <w:szCs w:val="22"/>
          <w:lang w:val="en-US" w:eastAsia="en-US"/>
        </w:rPr>
        <w:t>02</w:t>
      </w:r>
      <w:r w:rsidRPr="00317FA0">
        <w:rPr>
          <w:rFonts w:eastAsia="Calibri" w:cs="Arial"/>
          <w:color w:val="231F20"/>
          <w:sz w:val="16"/>
          <w:szCs w:val="22"/>
          <w:lang w:val="en-US" w:eastAsia="en-US"/>
        </w:rPr>
        <w:t xml:space="preserve"> </w:t>
      </w:r>
      <w:r w:rsidRPr="00317FA0">
        <w:rPr>
          <w:rFonts w:eastAsia="Calibri" w:cs="Arial"/>
          <w:color w:val="231F20"/>
          <w:spacing w:val="-1"/>
          <w:sz w:val="16"/>
          <w:szCs w:val="22"/>
          <w:lang w:val="en-US" w:eastAsia="en-US"/>
        </w:rPr>
        <w:t>9284</w:t>
      </w:r>
      <w:r w:rsidRPr="00317FA0">
        <w:rPr>
          <w:rFonts w:eastAsia="Calibri" w:cs="Arial"/>
          <w:color w:val="231F20"/>
          <w:sz w:val="16"/>
          <w:szCs w:val="22"/>
          <w:lang w:val="en-US" w:eastAsia="en-US"/>
        </w:rPr>
        <w:t xml:space="preserve"> </w:t>
      </w:r>
      <w:r w:rsidRPr="00317FA0">
        <w:rPr>
          <w:rFonts w:eastAsia="Calibri" w:cs="Arial"/>
          <w:color w:val="231F20"/>
          <w:spacing w:val="-1"/>
          <w:sz w:val="16"/>
          <w:szCs w:val="22"/>
          <w:lang w:val="en-US" w:eastAsia="en-US"/>
        </w:rPr>
        <w:t>9600</w:t>
      </w:r>
    </w:p>
    <w:p w14:paraId="0D03FD72" w14:textId="77777777" w:rsidR="00317FA0" w:rsidRPr="00317FA0" w:rsidRDefault="00317FA0" w:rsidP="00317FA0">
      <w:pPr>
        <w:widowControl w:val="0"/>
        <w:spacing w:before="8" w:after="0"/>
        <w:ind w:left="1069" w:right="2417"/>
        <w:rPr>
          <w:rFonts w:eastAsia="Arial" w:cs="Arial"/>
          <w:sz w:val="16"/>
          <w:szCs w:val="16"/>
          <w:lang w:val="en-US" w:eastAsia="en-US"/>
        </w:rPr>
      </w:pPr>
      <w:r w:rsidRPr="00317FA0">
        <w:rPr>
          <w:rFonts w:eastAsia="Calibri" w:cs="Arial"/>
          <w:i/>
          <w:color w:val="231F20"/>
          <w:sz w:val="16"/>
          <w:szCs w:val="22"/>
          <w:lang w:val="en-US" w:eastAsia="en-US"/>
        </w:rPr>
        <w:t>Facsimile:</w:t>
      </w:r>
      <w:r w:rsidRPr="00317FA0">
        <w:rPr>
          <w:rFonts w:eastAsia="Calibri" w:cs="Arial"/>
          <w:i/>
          <w:color w:val="231F20"/>
          <w:spacing w:val="-1"/>
          <w:sz w:val="16"/>
          <w:szCs w:val="22"/>
          <w:lang w:val="en-US" w:eastAsia="en-US"/>
        </w:rPr>
        <w:t xml:space="preserve"> </w:t>
      </w:r>
      <w:r w:rsidRPr="00317FA0">
        <w:rPr>
          <w:rFonts w:eastAsia="Calibri" w:cs="Arial"/>
          <w:color w:val="231F20"/>
          <w:spacing w:val="-1"/>
          <w:sz w:val="16"/>
          <w:szCs w:val="22"/>
          <w:lang w:val="en-US" w:eastAsia="en-US"/>
        </w:rPr>
        <w:t>02</w:t>
      </w:r>
      <w:r w:rsidRPr="00317FA0">
        <w:rPr>
          <w:rFonts w:eastAsia="Calibri" w:cs="Arial"/>
          <w:color w:val="231F20"/>
          <w:sz w:val="16"/>
          <w:szCs w:val="22"/>
          <w:lang w:val="en-US" w:eastAsia="en-US"/>
        </w:rPr>
        <w:t xml:space="preserve"> </w:t>
      </w:r>
      <w:r w:rsidRPr="00317FA0">
        <w:rPr>
          <w:rFonts w:eastAsia="Calibri" w:cs="Arial"/>
          <w:color w:val="231F20"/>
          <w:spacing w:val="-1"/>
          <w:sz w:val="16"/>
          <w:szCs w:val="22"/>
          <w:lang w:val="en-US" w:eastAsia="en-US"/>
        </w:rPr>
        <w:t>9284</w:t>
      </w:r>
      <w:r w:rsidRPr="00317FA0">
        <w:rPr>
          <w:rFonts w:eastAsia="Calibri" w:cs="Arial"/>
          <w:color w:val="231F20"/>
          <w:sz w:val="16"/>
          <w:szCs w:val="22"/>
          <w:lang w:val="en-US" w:eastAsia="en-US"/>
        </w:rPr>
        <w:t xml:space="preserve"> </w:t>
      </w:r>
      <w:r w:rsidRPr="00317FA0">
        <w:rPr>
          <w:rFonts w:eastAsia="Calibri" w:cs="Arial"/>
          <w:color w:val="231F20"/>
          <w:spacing w:val="-4"/>
          <w:sz w:val="16"/>
          <w:szCs w:val="22"/>
          <w:lang w:val="en-US" w:eastAsia="en-US"/>
        </w:rPr>
        <w:t>9611</w:t>
      </w:r>
    </w:p>
    <w:p w14:paraId="6D1EB5B5" w14:textId="77777777" w:rsidR="00317FA0" w:rsidRPr="00317FA0" w:rsidRDefault="00317FA0" w:rsidP="00317FA0">
      <w:pPr>
        <w:widowControl w:val="0"/>
        <w:spacing w:before="8" w:after="0"/>
        <w:ind w:left="1069" w:right="2417"/>
        <w:rPr>
          <w:rFonts w:eastAsia="Arial" w:cs="Arial"/>
          <w:sz w:val="16"/>
          <w:szCs w:val="16"/>
          <w:lang w:val="en-US" w:eastAsia="en-US"/>
        </w:rPr>
      </w:pPr>
      <w:r w:rsidRPr="00317FA0">
        <w:rPr>
          <w:rFonts w:eastAsia="Calibri" w:cs="Arial"/>
          <w:i/>
          <w:color w:val="231F20"/>
          <w:spacing w:val="-2"/>
          <w:sz w:val="16"/>
          <w:szCs w:val="22"/>
          <w:lang w:val="en-US" w:eastAsia="en-US"/>
        </w:rPr>
        <w:t xml:space="preserve">Website: </w:t>
      </w:r>
      <w:hyperlink r:id="rId30">
        <w:r w:rsidRPr="00317FA0">
          <w:rPr>
            <w:rFonts w:eastAsia="Calibri" w:cs="Arial"/>
            <w:color w:val="231F20"/>
            <w:spacing w:val="-2"/>
            <w:sz w:val="16"/>
            <w:szCs w:val="22"/>
            <w:lang w:val="en-US" w:eastAsia="en-US"/>
          </w:rPr>
          <w:t>www.humanrights.gov.au</w:t>
        </w:r>
      </w:hyperlink>
    </w:p>
    <w:p w14:paraId="1077B2BF" w14:textId="72143EBE" w:rsidR="00957C72" w:rsidRPr="00BD1C67" w:rsidRDefault="00317FA0" w:rsidP="00354AA1">
      <w:pPr>
        <w:spacing w:before="0" w:after="0"/>
        <w:jc w:val="both"/>
        <w:rPr>
          <w:b/>
        </w:rPr>
      </w:pPr>
      <w:r>
        <w:rPr>
          <w:b/>
        </w:rPr>
        <w:br w:type="column"/>
      </w:r>
      <w:r w:rsidR="00957C72" w:rsidRPr="00BD1C67">
        <w:rPr>
          <w:b/>
        </w:rPr>
        <w:lastRenderedPageBreak/>
        <w:t>About the National Children’s Commissioner</w:t>
      </w:r>
    </w:p>
    <w:p w14:paraId="5B10F478" w14:textId="77777777" w:rsidR="00957C72" w:rsidRDefault="00957C72" w:rsidP="00354AA1">
      <w:pPr>
        <w:spacing w:before="0" w:after="0"/>
        <w:jc w:val="both"/>
      </w:pPr>
    </w:p>
    <w:p w14:paraId="347F8A71" w14:textId="77777777" w:rsidR="00957C72" w:rsidRDefault="00957C72" w:rsidP="00354AA1">
      <w:pPr>
        <w:spacing w:before="0" w:after="0"/>
        <w:jc w:val="both"/>
      </w:pPr>
      <w:r>
        <w:t>Legislation establishing the position of National Children’s Commissioner was passed by the federal Parliament on 25 June 2012.</w:t>
      </w:r>
    </w:p>
    <w:p w14:paraId="1BEEEBA4" w14:textId="77777777" w:rsidR="00957C72" w:rsidRDefault="00957C72" w:rsidP="00354AA1">
      <w:pPr>
        <w:spacing w:before="0" w:after="0"/>
        <w:jc w:val="both"/>
      </w:pPr>
    </w:p>
    <w:p w14:paraId="37D2BD35" w14:textId="77777777" w:rsidR="00957C72" w:rsidRDefault="00957C72" w:rsidP="00354AA1">
      <w:pPr>
        <w:spacing w:before="0" w:after="0"/>
        <w:jc w:val="both"/>
      </w:pPr>
      <w:r>
        <w:t xml:space="preserve">Ms Megan Mitchell was appointed as the inaugural National Children’s Commissioner on 25 February 2013 and commenced in the role on 25 March 2013. </w:t>
      </w:r>
    </w:p>
    <w:p w14:paraId="2AB170CC" w14:textId="77777777" w:rsidR="00957C72" w:rsidRDefault="00957C72" w:rsidP="00354AA1">
      <w:pPr>
        <w:spacing w:before="0" w:after="0"/>
        <w:jc w:val="both"/>
      </w:pPr>
    </w:p>
    <w:p w14:paraId="74411414" w14:textId="77777777" w:rsidR="00957C72" w:rsidRDefault="00957C72" w:rsidP="00354AA1">
      <w:pPr>
        <w:spacing w:before="0" w:after="0"/>
        <w:jc w:val="both"/>
      </w:pPr>
      <w:r>
        <w:t xml:space="preserve">Section 46MB of the </w:t>
      </w:r>
      <w:r w:rsidRPr="0073376A">
        <w:rPr>
          <w:i/>
        </w:rPr>
        <w:t>Australian Human Rights Commission Act 1986</w:t>
      </w:r>
      <w:r>
        <w:t xml:space="preserve"> (Cth) (the Act) describes the functions that are to be performed by the National Children’s Commissioner. Under the Act, the National Children’s Commissioner is specifically required to:</w:t>
      </w:r>
    </w:p>
    <w:p w14:paraId="7FAC3886" w14:textId="77777777" w:rsidR="00957C72" w:rsidRDefault="00957C72" w:rsidP="00354AA1">
      <w:pPr>
        <w:spacing w:before="0" w:after="0"/>
        <w:jc w:val="both"/>
      </w:pPr>
    </w:p>
    <w:p w14:paraId="0D01773A" w14:textId="77777777" w:rsidR="00957C72" w:rsidRDefault="00957C72" w:rsidP="000D1D92">
      <w:pPr>
        <w:pStyle w:val="ListParagraph"/>
        <w:numPr>
          <w:ilvl w:val="0"/>
          <w:numId w:val="71"/>
        </w:numPr>
        <w:spacing w:before="0" w:after="0"/>
        <w:jc w:val="both"/>
      </w:pPr>
      <w:r>
        <w:t>submit a report to the Minister as soon as practicable after 30 June in each year. This report must deal with matters, relating to the enjoyment and exercise of human rights by children in Australia, as the National Children’s Commissioner considers appropriate; and may include recommendations that the Commissioner considers appropriate as to the action that should be taken to ensure the enjoyment and exercise of human rights by children in Australia</w:t>
      </w:r>
    </w:p>
    <w:p w14:paraId="0C479A01" w14:textId="77777777" w:rsidR="00957C72" w:rsidRDefault="00957C72" w:rsidP="000D1D92">
      <w:pPr>
        <w:pStyle w:val="ListParagraph"/>
        <w:numPr>
          <w:ilvl w:val="0"/>
          <w:numId w:val="71"/>
        </w:numPr>
        <w:spacing w:before="0" w:after="0"/>
        <w:jc w:val="both"/>
      </w:pPr>
      <w:r>
        <w:t>promote discussion and awareness of matters relating to the human rights of children in Australia</w:t>
      </w:r>
    </w:p>
    <w:p w14:paraId="31EBD91A" w14:textId="77777777" w:rsidR="00957C72" w:rsidRDefault="00957C72" w:rsidP="000D1D92">
      <w:pPr>
        <w:pStyle w:val="ListParagraph"/>
        <w:numPr>
          <w:ilvl w:val="0"/>
          <w:numId w:val="71"/>
        </w:numPr>
        <w:spacing w:before="0" w:after="0"/>
        <w:jc w:val="both"/>
      </w:pPr>
      <w:r>
        <w:t>undertake research, or educational or other programs, for the purpose of promoting respect for the human rights of children in Australia, and promoting the enjoyment and exercise of human rights by children in Australia</w:t>
      </w:r>
    </w:p>
    <w:p w14:paraId="3FF491E3" w14:textId="77777777" w:rsidR="00957C72" w:rsidRDefault="00957C72" w:rsidP="000D1D92">
      <w:pPr>
        <w:pStyle w:val="ListParagraph"/>
        <w:numPr>
          <w:ilvl w:val="0"/>
          <w:numId w:val="71"/>
        </w:numPr>
        <w:spacing w:before="0" w:after="0"/>
        <w:jc w:val="both"/>
      </w:pPr>
      <w:r>
        <w:t>examine existing and proposed Commonwealth enactments for the purpose of ascertaining whether they recognise and protect the human rights of children in Australia, and to report to the Minister the results of any such examination.</w:t>
      </w:r>
    </w:p>
    <w:p w14:paraId="248D8A55" w14:textId="77777777" w:rsidR="00957C72" w:rsidRDefault="00957C72" w:rsidP="00354AA1">
      <w:pPr>
        <w:spacing w:before="0" w:after="0"/>
        <w:jc w:val="both"/>
      </w:pPr>
    </w:p>
    <w:p w14:paraId="6500A2B0" w14:textId="77777777" w:rsidR="00957C72" w:rsidRDefault="00957C72" w:rsidP="00354AA1">
      <w:pPr>
        <w:spacing w:before="0" w:after="0"/>
        <w:jc w:val="both"/>
      </w:pPr>
      <w:r>
        <w:t xml:space="preserve">In performing these functions, the National Children’s Commissioner may give particular attention to children who are at risk or vulnerable. </w:t>
      </w:r>
    </w:p>
    <w:p w14:paraId="646E2289" w14:textId="77777777" w:rsidR="00957C72" w:rsidRDefault="00957C72" w:rsidP="00354AA1">
      <w:pPr>
        <w:spacing w:before="0" w:after="0"/>
        <w:jc w:val="both"/>
      </w:pPr>
    </w:p>
    <w:p w14:paraId="702FD17C" w14:textId="77777777" w:rsidR="00957C72" w:rsidRDefault="00957C72" w:rsidP="00354AA1">
      <w:pPr>
        <w:spacing w:before="0" w:after="0"/>
        <w:jc w:val="both"/>
      </w:pPr>
      <w:r>
        <w:t>Under the Act, the National Children’s Commissioner is able to compel the production of documents and information held by the Commonwealth.</w:t>
      </w:r>
    </w:p>
    <w:p w14:paraId="75847B94" w14:textId="77777777" w:rsidR="00957C72" w:rsidRDefault="00957C72" w:rsidP="00354AA1">
      <w:pPr>
        <w:spacing w:before="0" w:after="0"/>
        <w:jc w:val="both"/>
      </w:pPr>
    </w:p>
    <w:p w14:paraId="7685CE94" w14:textId="77777777" w:rsidR="00957C72" w:rsidRDefault="00957C72" w:rsidP="00354AA1">
      <w:pPr>
        <w:spacing w:before="0" w:after="0"/>
        <w:jc w:val="both"/>
      </w:pPr>
      <w:r>
        <w:t>The United Nations Convention on the Rights of the Child underpins the work of the National Children’s Commissioner. In addition to having regard to the Convention on the Rights of the Child, the National Children’s Commissioner must have regard to a range of human rights instruments:</w:t>
      </w:r>
    </w:p>
    <w:p w14:paraId="065300AD" w14:textId="77777777" w:rsidR="00957C72" w:rsidRDefault="00957C72" w:rsidP="00354AA1">
      <w:pPr>
        <w:spacing w:before="0" w:after="0"/>
        <w:jc w:val="both"/>
      </w:pPr>
    </w:p>
    <w:p w14:paraId="394D9888" w14:textId="77777777" w:rsidR="00957C72" w:rsidRDefault="00957C72" w:rsidP="000D1D92">
      <w:pPr>
        <w:pStyle w:val="ListParagraph"/>
        <w:numPr>
          <w:ilvl w:val="0"/>
          <w:numId w:val="72"/>
        </w:numPr>
        <w:spacing w:before="0" w:after="0"/>
        <w:jc w:val="both"/>
      </w:pPr>
      <w:r>
        <w:t>Universal Declaration of Human Rights</w:t>
      </w:r>
    </w:p>
    <w:p w14:paraId="70E16F45" w14:textId="77777777" w:rsidR="00957C72" w:rsidRDefault="00957C72" w:rsidP="000D1D92">
      <w:pPr>
        <w:pStyle w:val="ListParagraph"/>
        <w:numPr>
          <w:ilvl w:val="0"/>
          <w:numId w:val="72"/>
        </w:numPr>
        <w:spacing w:before="0" w:after="0"/>
        <w:jc w:val="both"/>
      </w:pPr>
      <w:r>
        <w:t>International Convention on the Elimination of All Forms of Racial Discrimination</w:t>
      </w:r>
    </w:p>
    <w:p w14:paraId="1376B06A" w14:textId="77777777" w:rsidR="00957C72" w:rsidRDefault="00957C72" w:rsidP="000D1D92">
      <w:pPr>
        <w:pStyle w:val="ListParagraph"/>
        <w:numPr>
          <w:ilvl w:val="0"/>
          <w:numId w:val="72"/>
        </w:numPr>
        <w:spacing w:before="0" w:after="0"/>
        <w:jc w:val="both"/>
      </w:pPr>
      <w:r>
        <w:t>International Covenant on Economic, Social and Cultural Rights</w:t>
      </w:r>
    </w:p>
    <w:p w14:paraId="4B5AA035" w14:textId="77777777" w:rsidR="00957C72" w:rsidRDefault="00957C72" w:rsidP="000D1D92">
      <w:pPr>
        <w:pStyle w:val="ListParagraph"/>
        <w:numPr>
          <w:ilvl w:val="0"/>
          <w:numId w:val="72"/>
        </w:numPr>
        <w:spacing w:before="0" w:after="0"/>
        <w:jc w:val="both"/>
      </w:pPr>
      <w:r>
        <w:t>International Covenant on Civil and Political Rights</w:t>
      </w:r>
    </w:p>
    <w:p w14:paraId="6EC0F8F4" w14:textId="77777777" w:rsidR="00957C72" w:rsidRDefault="00957C72" w:rsidP="000D1D92">
      <w:pPr>
        <w:pStyle w:val="ListParagraph"/>
        <w:numPr>
          <w:ilvl w:val="0"/>
          <w:numId w:val="72"/>
        </w:numPr>
        <w:spacing w:before="0" w:after="0"/>
        <w:jc w:val="both"/>
      </w:pPr>
      <w:r>
        <w:t>Convention on the Elimination of All Forms of Discrimination Against Women</w:t>
      </w:r>
    </w:p>
    <w:p w14:paraId="7C1B9176" w14:textId="77777777" w:rsidR="00957C72" w:rsidRDefault="00957C72" w:rsidP="000D1D92">
      <w:pPr>
        <w:pStyle w:val="ListParagraph"/>
        <w:numPr>
          <w:ilvl w:val="0"/>
          <w:numId w:val="72"/>
        </w:numPr>
        <w:spacing w:before="0" w:after="0"/>
        <w:jc w:val="both"/>
      </w:pPr>
      <w:r>
        <w:t>Convention on the Rights of Persons with Disabilities</w:t>
      </w:r>
    </w:p>
    <w:p w14:paraId="48A86091" w14:textId="77777777" w:rsidR="00957C72" w:rsidRDefault="00957C72" w:rsidP="00354AA1">
      <w:pPr>
        <w:spacing w:before="0" w:after="0"/>
        <w:ind w:firstLine="720"/>
        <w:jc w:val="both"/>
      </w:pPr>
      <w:r>
        <w:t xml:space="preserve">and such other instruments relating to human rights considered relevant. </w:t>
      </w:r>
    </w:p>
    <w:p w14:paraId="7E8D6886" w14:textId="77777777" w:rsidR="00957C72" w:rsidRDefault="00957C72" w:rsidP="00354AA1">
      <w:pPr>
        <w:spacing w:before="0" w:after="0"/>
        <w:jc w:val="both"/>
      </w:pPr>
    </w:p>
    <w:p w14:paraId="11EFD252" w14:textId="38C45932" w:rsidR="00957C72" w:rsidRDefault="00957C72" w:rsidP="00354AA1">
      <w:pPr>
        <w:spacing w:before="0" w:after="0"/>
        <w:jc w:val="both"/>
      </w:pPr>
      <w:r>
        <w:t>All Australian states and territories have Children’s Commissioners and/or Guardians and/or Advocates. The legislative functions of these roles differ between jurisdictions.</w:t>
      </w:r>
      <w:r w:rsidR="00317FA0">
        <w:t xml:space="preserve"> </w:t>
      </w:r>
      <w:r>
        <w:lastRenderedPageBreak/>
        <w:t>Some have a broad focus, which include all children, whereas others have specified responsibilities relating to children who are at risk or who are vulnerable. Their primary focus is on issues concerning children within their individual jurisdictions. The National Children’s Commissioner works collaboratively with the state and territory Children’s Commissioners, Guardians and Advocate</w:t>
      </w:r>
      <w:r w:rsidR="0086587F">
        <w:t>s</w:t>
      </w:r>
      <w:r>
        <w:t xml:space="preserve"> through the Australian Children’s Commissioners and Guardians Group. </w:t>
      </w:r>
    </w:p>
    <w:p w14:paraId="38644E29" w14:textId="77777777" w:rsidR="00957C72" w:rsidRDefault="00957C72" w:rsidP="00354AA1">
      <w:pPr>
        <w:spacing w:before="0" w:after="0"/>
        <w:jc w:val="both"/>
        <w:rPr>
          <w:b/>
        </w:rPr>
      </w:pPr>
    </w:p>
    <w:p w14:paraId="7B174179" w14:textId="77777777" w:rsidR="00957C72" w:rsidRPr="0073376A" w:rsidRDefault="00957C72" w:rsidP="00354AA1">
      <w:pPr>
        <w:spacing w:before="0" w:after="0"/>
        <w:jc w:val="both"/>
        <w:rPr>
          <w:b/>
        </w:rPr>
      </w:pPr>
      <w:r w:rsidRPr="0073376A">
        <w:rPr>
          <w:b/>
        </w:rPr>
        <w:t>Previous roles and qualifications</w:t>
      </w:r>
    </w:p>
    <w:p w14:paraId="4637C335" w14:textId="77777777" w:rsidR="00957C72" w:rsidRDefault="00957C72" w:rsidP="00354AA1">
      <w:pPr>
        <w:spacing w:before="0" w:after="0"/>
        <w:jc w:val="both"/>
      </w:pPr>
    </w:p>
    <w:p w14:paraId="644892A8" w14:textId="64295F00" w:rsidR="00957C72" w:rsidRDefault="00317FA0" w:rsidP="00354AA1">
      <w:pPr>
        <w:spacing w:before="0" w:after="0"/>
        <w:jc w:val="both"/>
      </w:pPr>
      <w:r>
        <w:t>Commissioner Mitchell</w:t>
      </w:r>
      <w:r w:rsidR="00957C72">
        <w:t xml:space="preserve"> has extensive experience working with children from all types of backgrounds, including practical expertise in child protection, juvenile justice</w:t>
      </w:r>
      <w:r w:rsidR="00C550A3">
        <w:t xml:space="preserve">, and children’s services. </w:t>
      </w:r>
      <w:r w:rsidR="00957C72">
        <w:t xml:space="preserve">Previous roles include, NSW Commissioner for Children and Young People, Executive Director of the ACT Office for Children, Youth and Family Support, Executive Director for Out-of-Home Care in the NSW Department of Community Services, and CEO of the Australian Council of Social Service. </w:t>
      </w:r>
    </w:p>
    <w:p w14:paraId="4F2F1F08" w14:textId="77777777" w:rsidR="00957C72" w:rsidRDefault="00957C72" w:rsidP="00354AA1">
      <w:pPr>
        <w:spacing w:before="0" w:after="0"/>
        <w:jc w:val="both"/>
      </w:pPr>
    </w:p>
    <w:p w14:paraId="5DC6543D" w14:textId="6B108EB8" w:rsidR="00957C72" w:rsidRDefault="00317FA0" w:rsidP="00354AA1">
      <w:pPr>
        <w:spacing w:before="0" w:after="0"/>
        <w:jc w:val="both"/>
      </w:pPr>
      <w:r>
        <w:t>Commissioner Mitchell</w:t>
      </w:r>
      <w:r w:rsidR="00957C72">
        <w:t xml:space="preserve"> has qualifications in social policy, psychology and education: a Bachelor of Arts from the University of Sydney (1979), a Diploma of Education from the Sydney Teachers College (1980), a Master of Arts (Psychology) from the University of Sydney (1982), and a Master of Arts (Social Policy) from the University of York (1989).</w:t>
      </w:r>
    </w:p>
    <w:p w14:paraId="1C9A9C4D" w14:textId="77777777" w:rsidR="00957C72" w:rsidRDefault="00957C72" w:rsidP="00354AA1">
      <w:pPr>
        <w:spacing w:before="0" w:after="0"/>
        <w:jc w:val="both"/>
      </w:pPr>
    </w:p>
    <w:p w14:paraId="726AFE47" w14:textId="1A61AC52" w:rsidR="00957C72" w:rsidRPr="00A02F56" w:rsidRDefault="00957C72" w:rsidP="00354AA1">
      <w:pPr>
        <w:spacing w:before="0" w:after="0"/>
        <w:jc w:val="both"/>
      </w:pPr>
      <w:r>
        <w:t xml:space="preserve">For information on the work of the National Children’s Commissioner, please visit: </w:t>
      </w:r>
      <w:hyperlink r:id="rId31" w:history="1">
        <w:r w:rsidR="00C550A3" w:rsidRPr="00126108">
          <w:rPr>
            <w:rStyle w:val="Hyperlink"/>
          </w:rPr>
          <w:t>http://www.humanrights.gov.au/our-work/childrens-rights</w:t>
        </w:r>
      </w:hyperlink>
      <w:r>
        <w:t>.</w:t>
      </w:r>
    </w:p>
    <w:p w14:paraId="0DA9CE80" w14:textId="77777777" w:rsidR="005F7541" w:rsidRPr="005F7541" w:rsidRDefault="005F7541" w:rsidP="00354AA1">
      <w:pPr>
        <w:pStyle w:val="TOC1"/>
        <w:jc w:val="both"/>
        <w:rPr>
          <w:rFonts w:asciiTheme="majorHAnsi" w:hAnsiTheme="majorHAnsi"/>
          <w:b/>
          <w:caps/>
          <w:noProof/>
          <w:sz w:val="30"/>
          <w:szCs w:val="30"/>
        </w:rPr>
      </w:pPr>
      <w:r>
        <w:rPr>
          <w:rFonts w:asciiTheme="majorHAnsi" w:hAnsiTheme="majorHAnsi"/>
          <w:b/>
          <w:caps/>
          <w:noProof/>
          <w:sz w:val="30"/>
          <w:szCs w:val="30"/>
        </w:rPr>
        <w:br w:type="column"/>
      </w:r>
      <w:r w:rsidRPr="005F7541">
        <w:rPr>
          <w:rFonts w:asciiTheme="majorHAnsi" w:hAnsiTheme="majorHAnsi"/>
          <w:b/>
          <w:caps/>
          <w:noProof/>
          <w:sz w:val="30"/>
          <w:szCs w:val="30"/>
        </w:rPr>
        <w:lastRenderedPageBreak/>
        <w:t>TABLE OF CONTENTS</w:t>
      </w:r>
    </w:p>
    <w:p w14:paraId="2E53B2A3" w14:textId="77777777" w:rsidR="000C5FE3" w:rsidRDefault="005F7541">
      <w:pPr>
        <w:pStyle w:val="TOC1"/>
        <w:rPr>
          <w:rFonts w:asciiTheme="minorHAnsi" w:eastAsiaTheme="minorEastAsia" w:hAnsiTheme="minorHAnsi" w:cstheme="minorBidi"/>
          <w:bCs w:val="0"/>
          <w:noProof/>
          <w:sz w:val="22"/>
          <w:szCs w:val="22"/>
        </w:rPr>
      </w:pPr>
      <w:r>
        <w:rPr>
          <w:rFonts w:asciiTheme="majorHAnsi" w:hAnsiTheme="majorHAnsi"/>
          <w:caps/>
          <w:noProof/>
          <w:sz w:val="22"/>
        </w:rPr>
        <w:fldChar w:fldCharType="begin"/>
      </w:r>
      <w:r>
        <w:rPr>
          <w:rFonts w:asciiTheme="majorHAnsi" w:hAnsiTheme="majorHAnsi"/>
          <w:caps/>
          <w:noProof/>
          <w:sz w:val="22"/>
        </w:rPr>
        <w:instrText xml:space="preserve"> TOC \o "1-2" \h \z \u </w:instrText>
      </w:r>
      <w:r>
        <w:rPr>
          <w:rFonts w:asciiTheme="majorHAnsi" w:hAnsiTheme="majorHAnsi"/>
          <w:caps/>
          <w:noProof/>
          <w:sz w:val="22"/>
        </w:rPr>
        <w:fldChar w:fldCharType="separate"/>
      </w:r>
      <w:hyperlink w:anchor="_Toc432577298" w:history="1">
        <w:r w:rsidR="000C5FE3" w:rsidRPr="003258EF">
          <w:rPr>
            <w:rStyle w:val="Hyperlink"/>
            <w:noProof/>
          </w:rPr>
          <w:t>Chapter 1</w:t>
        </w:r>
        <w:r w:rsidR="000C5FE3">
          <w:rPr>
            <w:rFonts w:asciiTheme="minorHAnsi" w:eastAsiaTheme="minorEastAsia" w:hAnsiTheme="minorHAnsi" w:cstheme="minorBidi"/>
            <w:bCs w:val="0"/>
            <w:noProof/>
            <w:sz w:val="22"/>
            <w:szCs w:val="22"/>
          </w:rPr>
          <w:tab/>
        </w:r>
        <w:r w:rsidR="000C5FE3" w:rsidRPr="003258EF">
          <w:rPr>
            <w:rStyle w:val="Hyperlink"/>
            <w:noProof/>
          </w:rPr>
          <w:t>My work to promote discussion and awareness of children’s rights in Australia</w:t>
        </w:r>
        <w:r w:rsidR="000C5FE3">
          <w:rPr>
            <w:noProof/>
            <w:webHidden/>
          </w:rPr>
          <w:tab/>
        </w:r>
        <w:r w:rsidR="000C5FE3">
          <w:rPr>
            <w:noProof/>
            <w:webHidden/>
          </w:rPr>
          <w:fldChar w:fldCharType="begin"/>
        </w:r>
        <w:r w:rsidR="000C5FE3">
          <w:rPr>
            <w:noProof/>
            <w:webHidden/>
          </w:rPr>
          <w:instrText xml:space="preserve"> PAGEREF _Toc432577298 \h </w:instrText>
        </w:r>
        <w:r w:rsidR="000C5FE3">
          <w:rPr>
            <w:noProof/>
            <w:webHidden/>
          </w:rPr>
        </w:r>
        <w:r w:rsidR="000C5FE3">
          <w:rPr>
            <w:noProof/>
            <w:webHidden/>
          </w:rPr>
          <w:fldChar w:fldCharType="separate"/>
        </w:r>
        <w:r w:rsidR="000C5FE3">
          <w:rPr>
            <w:noProof/>
            <w:webHidden/>
          </w:rPr>
          <w:t>2</w:t>
        </w:r>
        <w:r w:rsidR="000C5FE3">
          <w:rPr>
            <w:noProof/>
            <w:webHidden/>
          </w:rPr>
          <w:fldChar w:fldCharType="end"/>
        </w:r>
      </w:hyperlink>
    </w:p>
    <w:p w14:paraId="5BF8E0DE"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299" w:history="1">
        <w:r w:rsidR="000C5FE3" w:rsidRPr="003258EF">
          <w:rPr>
            <w:rStyle w:val="Hyperlink"/>
            <w:noProof/>
          </w:rPr>
          <w:t>1.1</w:t>
        </w:r>
        <w:r w:rsidR="000C5FE3">
          <w:rPr>
            <w:rFonts w:asciiTheme="minorHAnsi" w:eastAsiaTheme="minorEastAsia" w:hAnsiTheme="minorHAnsi" w:cstheme="minorBidi"/>
            <w:noProof/>
            <w:sz w:val="22"/>
            <w:szCs w:val="22"/>
          </w:rPr>
          <w:tab/>
        </w:r>
        <w:r w:rsidR="000C5FE3" w:rsidRPr="003258EF">
          <w:rPr>
            <w:rStyle w:val="Hyperlink"/>
            <w:noProof/>
          </w:rPr>
          <w:t>Introduction</w:t>
        </w:r>
        <w:r w:rsidR="000C5FE3">
          <w:rPr>
            <w:noProof/>
            <w:webHidden/>
          </w:rPr>
          <w:tab/>
        </w:r>
        <w:r w:rsidR="000C5FE3">
          <w:rPr>
            <w:noProof/>
            <w:webHidden/>
          </w:rPr>
          <w:fldChar w:fldCharType="begin"/>
        </w:r>
        <w:r w:rsidR="000C5FE3">
          <w:rPr>
            <w:noProof/>
            <w:webHidden/>
          </w:rPr>
          <w:instrText xml:space="preserve"> PAGEREF _Toc432577299 \h </w:instrText>
        </w:r>
        <w:r w:rsidR="000C5FE3">
          <w:rPr>
            <w:noProof/>
            <w:webHidden/>
          </w:rPr>
        </w:r>
        <w:r w:rsidR="000C5FE3">
          <w:rPr>
            <w:noProof/>
            <w:webHidden/>
          </w:rPr>
          <w:fldChar w:fldCharType="separate"/>
        </w:r>
        <w:r w:rsidR="000C5FE3">
          <w:rPr>
            <w:noProof/>
            <w:webHidden/>
          </w:rPr>
          <w:t>3</w:t>
        </w:r>
        <w:r w:rsidR="000C5FE3">
          <w:rPr>
            <w:noProof/>
            <w:webHidden/>
          </w:rPr>
          <w:fldChar w:fldCharType="end"/>
        </w:r>
      </w:hyperlink>
    </w:p>
    <w:p w14:paraId="75D793B0"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00" w:history="1">
        <w:r w:rsidR="000C5FE3" w:rsidRPr="003258EF">
          <w:rPr>
            <w:rStyle w:val="Hyperlink"/>
            <w:noProof/>
          </w:rPr>
          <w:t>1.2</w:t>
        </w:r>
        <w:r w:rsidR="000C5FE3">
          <w:rPr>
            <w:rFonts w:asciiTheme="minorHAnsi" w:eastAsiaTheme="minorEastAsia" w:hAnsiTheme="minorHAnsi" w:cstheme="minorBidi"/>
            <w:noProof/>
            <w:sz w:val="22"/>
            <w:szCs w:val="22"/>
          </w:rPr>
          <w:tab/>
        </w:r>
        <w:r w:rsidR="000C5FE3" w:rsidRPr="003258EF">
          <w:rPr>
            <w:rStyle w:val="Hyperlink"/>
            <w:noProof/>
          </w:rPr>
          <w:t>A right to be heard</w:t>
        </w:r>
        <w:r w:rsidR="000C5FE3">
          <w:rPr>
            <w:noProof/>
            <w:webHidden/>
          </w:rPr>
          <w:tab/>
        </w:r>
        <w:r w:rsidR="000C5FE3">
          <w:rPr>
            <w:noProof/>
            <w:webHidden/>
          </w:rPr>
          <w:fldChar w:fldCharType="begin"/>
        </w:r>
        <w:r w:rsidR="000C5FE3">
          <w:rPr>
            <w:noProof/>
            <w:webHidden/>
          </w:rPr>
          <w:instrText xml:space="preserve"> PAGEREF _Toc432577300 \h </w:instrText>
        </w:r>
        <w:r w:rsidR="000C5FE3">
          <w:rPr>
            <w:noProof/>
            <w:webHidden/>
          </w:rPr>
        </w:r>
        <w:r w:rsidR="000C5FE3">
          <w:rPr>
            <w:noProof/>
            <w:webHidden/>
          </w:rPr>
          <w:fldChar w:fldCharType="separate"/>
        </w:r>
        <w:r w:rsidR="000C5FE3">
          <w:rPr>
            <w:noProof/>
            <w:webHidden/>
          </w:rPr>
          <w:t>4</w:t>
        </w:r>
        <w:r w:rsidR="000C5FE3">
          <w:rPr>
            <w:noProof/>
            <w:webHidden/>
          </w:rPr>
          <w:fldChar w:fldCharType="end"/>
        </w:r>
      </w:hyperlink>
    </w:p>
    <w:p w14:paraId="6A49CE7B"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01" w:history="1">
        <w:r w:rsidR="000C5FE3" w:rsidRPr="003258EF">
          <w:rPr>
            <w:rStyle w:val="Hyperlink"/>
            <w:noProof/>
          </w:rPr>
          <w:t>1.3</w:t>
        </w:r>
        <w:r w:rsidR="000C5FE3">
          <w:rPr>
            <w:rFonts w:asciiTheme="minorHAnsi" w:eastAsiaTheme="minorEastAsia" w:hAnsiTheme="minorHAnsi" w:cstheme="minorBidi"/>
            <w:noProof/>
            <w:sz w:val="22"/>
            <w:szCs w:val="22"/>
          </w:rPr>
          <w:tab/>
        </w:r>
        <w:r w:rsidR="000C5FE3" w:rsidRPr="003258EF">
          <w:rPr>
            <w:rStyle w:val="Hyperlink"/>
            <w:noProof/>
          </w:rPr>
          <w:t>Freedom from violence, abuse and neglect</w:t>
        </w:r>
        <w:r w:rsidR="000C5FE3">
          <w:rPr>
            <w:noProof/>
            <w:webHidden/>
          </w:rPr>
          <w:tab/>
        </w:r>
        <w:r w:rsidR="000C5FE3">
          <w:rPr>
            <w:noProof/>
            <w:webHidden/>
          </w:rPr>
          <w:fldChar w:fldCharType="begin"/>
        </w:r>
        <w:r w:rsidR="000C5FE3">
          <w:rPr>
            <w:noProof/>
            <w:webHidden/>
          </w:rPr>
          <w:instrText xml:space="preserve"> PAGEREF _Toc432577301 \h </w:instrText>
        </w:r>
        <w:r w:rsidR="000C5FE3">
          <w:rPr>
            <w:noProof/>
            <w:webHidden/>
          </w:rPr>
        </w:r>
        <w:r w:rsidR="000C5FE3">
          <w:rPr>
            <w:noProof/>
            <w:webHidden/>
          </w:rPr>
          <w:fldChar w:fldCharType="separate"/>
        </w:r>
        <w:r w:rsidR="000C5FE3">
          <w:rPr>
            <w:noProof/>
            <w:webHidden/>
          </w:rPr>
          <w:t>7</w:t>
        </w:r>
        <w:r w:rsidR="000C5FE3">
          <w:rPr>
            <w:noProof/>
            <w:webHidden/>
          </w:rPr>
          <w:fldChar w:fldCharType="end"/>
        </w:r>
      </w:hyperlink>
    </w:p>
    <w:p w14:paraId="2C833527"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02" w:history="1">
        <w:r w:rsidR="000C5FE3" w:rsidRPr="003258EF">
          <w:rPr>
            <w:rStyle w:val="Hyperlink"/>
            <w:noProof/>
          </w:rPr>
          <w:t>1.4</w:t>
        </w:r>
        <w:r w:rsidR="000C5FE3">
          <w:rPr>
            <w:rFonts w:asciiTheme="minorHAnsi" w:eastAsiaTheme="minorEastAsia" w:hAnsiTheme="minorHAnsi" w:cstheme="minorBidi"/>
            <w:noProof/>
            <w:sz w:val="22"/>
            <w:szCs w:val="22"/>
          </w:rPr>
          <w:tab/>
        </w:r>
        <w:r w:rsidR="000C5FE3" w:rsidRPr="003258EF">
          <w:rPr>
            <w:rStyle w:val="Hyperlink"/>
            <w:noProof/>
          </w:rPr>
          <w:t>Opportunity to thrive</w:t>
        </w:r>
        <w:r w:rsidR="000C5FE3">
          <w:rPr>
            <w:noProof/>
            <w:webHidden/>
          </w:rPr>
          <w:tab/>
        </w:r>
        <w:r w:rsidR="000C5FE3">
          <w:rPr>
            <w:noProof/>
            <w:webHidden/>
          </w:rPr>
          <w:fldChar w:fldCharType="begin"/>
        </w:r>
        <w:r w:rsidR="000C5FE3">
          <w:rPr>
            <w:noProof/>
            <w:webHidden/>
          </w:rPr>
          <w:instrText xml:space="preserve"> PAGEREF _Toc432577302 \h </w:instrText>
        </w:r>
        <w:r w:rsidR="000C5FE3">
          <w:rPr>
            <w:noProof/>
            <w:webHidden/>
          </w:rPr>
        </w:r>
        <w:r w:rsidR="000C5FE3">
          <w:rPr>
            <w:noProof/>
            <w:webHidden/>
          </w:rPr>
          <w:fldChar w:fldCharType="separate"/>
        </w:r>
        <w:r w:rsidR="000C5FE3">
          <w:rPr>
            <w:noProof/>
            <w:webHidden/>
          </w:rPr>
          <w:t>10</w:t>
        </w:r>
        <w:r w:rsidR="000C5FE3">
          <w:rPr>
            <w:noProof/>
            <w:webHidden/>
          </w:rPr>
          <w:fldChar w:fldCharType="end"/>
        </w:r>
      </w:hyperlink>
    </w:p>
    <w:p w14:paraId="409AE54C"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03" w:history="1">
        <w:r w:rsidR="000C5FE3" w:rsidRPr="003258EF">
          <w:rPr>
            <w:rStyle w:val="Hyperlink"/>
            <w:noProof/>
          </w:rPr>
          <w:t>1.5</w:t>
        </w:r>
        <w:r w:rsidR="000C5FE3">
          <w:rPr>
            <w:rFonts w:asciiTheme="minorHAnsi" w:eastAsiaTheme="minorEastAsia" w:hAnsiTheme="minorHAnsi" w:cstheme="minorBidi"/>
            <w:noProof/>
            <w:sz w:val="22"/>
            <w:szCs w:val="22"/>
          </w:rPr>
          <w:tab/>
        </w:r>
        <w:r w:rsidR="000C5FE3" w:rsidRPr="003258EF">
          <w:rPr>
            <w:rStyle w:val="Hyperlink"/>
            <w:noProof/>
          </w:rPr>
          <w:t>Engaged citizenship</w:t>
        </w:r>
        <w:r w:rsidR="000C5FE3">
          <w:rPr>
            <w:noProof/>
            <w:webHidden/>
          </w:rPr>
          <w:tab/>
        </w:r>
        <w:r w:rsidR="000C5FE3">
          <w:rPr>
            <w:noProof/>
            <w:webHidden/>
          </w:rPr>
          <w:fldChar w:fldCharType="begin"/>
        </w:r>
        <w:r w:rsidR="000C5FE3">
          <w:rPr>
            <w:noProof/>
            <w:webHidden/>
          </w:rPr>
          <w:instrText xml:space="preserve"> PAGEREF _Toc432577303 \h </w:instrText>
        </w:r>
        <w:r w:rsidR="000C5FE3">
          <w:rPr>
            <w:noProof/>
            <w:webHidden/>
          </w:rPr>
        </w:r>
        <w:r w:rsidR="000C5FE3">
          <w:rPr>
            <w:noProof/>
            <w:webHidden/>
          </w:rPr>
          <w:fldChar w:fldCharType="separate"/>
        </w:r>
        <w:r w:rsidR="000C5FE3">
          <w:rPr>
            <w:noProof/>
            <w:webHidden/>
          </w:rPr>
          <w:t>13</w:t>
        </w:r>
        <w:r w:rsidR="000C5FE3">
          <w:rPr>
            <w:noProof/>
            <w:webHidden/>
          </w:rPr>
          <w:fldChar w:fldCharType="end"/>
        </w:r>
      </w:hyperlink>
    </w:p>
    <w:p w14:paraId="115B5D11"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04" w:history="1">
        <w:r w:rsidR="000C5FE3" w:rsidRPr="003258EF">
          <w:rPr>
            <w:rStyle w:val="Hyperlink"/>
            <w:noProof/>
          </w:rPr>
          <w:t>1.6</w:t>
        </w:r>
        <w:r w:rsidR="000C5FE3">
          <w:rPr>
            <w:rFonts w:asciiTheme="minorHAnsi" w:eastAsiaTheme="minorEastAsia" w:hAnsiTheme="minorHAnsi" w:cstheme="minorBidi"/>
            <w:noProof/>
            <w:sz w:val="22"/>
            <w:szCs w:val="22"/>
          </w:rPr>
          <w:tab/>
        </w:r>
        <w:r w:rsidR="000C5FE3" w:rsidRPr="003258EF">
          <w:rPr>
            <w:rStyle w:val="Hyperlink"/>
            <w:noProof/>
          </w:rPr>
          <w:t>Action and accountability</w:t>
        </w:r>
        <w:r w:rsidR="000C5FE3">
          <w:rPr>
            <w:noProof/>
            <w:webHidden/>
          </w:rPr>
          <w:tab/>
        </w:r>
        <w:r w:rsidR="000C5FE3">
          <w:rPr>
            <w:noProof/>
            <w:webHidden/>
          </w:rPr>
          <w:fldChar w:fldCharType="begin"/>
        </w:r>
        <w:r w:rsidR="000C5FE3">
          <w:rPr>
            <w:noProof/>
            <w:webHidden/>
          </w:rPr>
          <w:instrText xml:space="preserve"> PAGEREF _Toc432577304 \h </w:instrText>
        </w:r>
        <w:r w:rsidR="000C5FE3">
          <w:rPr>
            <w:noProof/>
            <w:webHidden/>
          </w:rPr>
        </w:r>
        <w:r w:rsidR="000C5FE3">
          <w:rPr>
            <w:noProof/>
            <w:webHidden/>
          </w:rPr>
          <w:fldChar w:fldCharType="separate"/>
        </w:r>
        <w:r w:rsidR="000C5FE3">
          <w:rPr>
            <w:noProof/>
            <w:webHidden/>
          </w:rPr>
          <w:t>15</w:t>
        </w:r>
        <w:r w:rsidR="000C5FE3">
          <w:rPr>
            <w:noProof/>
            <w:webHidden/>
          </w:rPr>
          <w:fldChar w:fldCharType="end"/>
        </w:r>
      </w:hyperlink>
    </w:p>
    <w:p w14:paraId="790E2173"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05" w:history="1">
        <w:r w:rsidR="000C5FE3" w:rsidRPr="003258EF">
          <w:rPr>
            <w:rStyle w:val="Hyperlink"/>
            <w:noProof/>
          </w:rPr>
          <w:t>1.7</w:t>
        </w:r>
        <w:r w:rsidR="000C5FE3">
          <w:rPr>
            <w:rFonts w:asciiTheme="minorHAnsi" w:eastAsiaTheme="minorEastAsia" w:hAnsiTheme="minorHAnsi" w:cstheme="minorBidi"/>
            <w:noProof/>
            <w:sz w:val="22"/>
            <w:szCs w:val="22"/>
          </w:rPr>
          <w:tab/>
        </w:r>
        <w:r w:rsidR="000C5FE3" w:rsidRPr="003258EF">
          <w:rPr>
            <w:rStyle w:val="Hyperlink"/>
            <w:noProof/>
          </w:rPr>
          <w:t>Acknowledgments</w:t>
        </w:r>
        <w:r w:rsidR="000C5FE3">
          <w:rPr>
            <w:noProof/>
            <w:webHidden/>
          </w:rPr>
          <w:tab/>
        </w:r>
        <w:r w:rsidR="000C5FE3">
          <w:rPr>
            <w:noProof/>
            <w:webHidden/>
          </w:rPr>
          <w:fldChar w:fldCharType="begin"/>
        </w:r>
        <w:r w:rsidR="000C5FE3">
          <w:rPr>
            <w:noProof/>
            <w:webHidden/>
          </w:rPr>
          <w:instrText xml:space="preserve"> PAGEREF _Toc432577305 \h </w:instrText>
        </w:r>
        <w:r w:rsidR="000C5FE3">
          <w:rPr>
            <w:noProof/>
            <w:webHidden/>
          </w:rPr>
        </w:r>
        <w:r w:rsidR="000C5FE3">
          <w:rPr>
            <w:noProof/>
            <w:webHidden/>
          </w:rPr>
          <w:fldChar w:fldCharType="separate"/>
        </w:r>
        <w:r w:rsidR="000C5FE3">
          <w:rPr>
            <w:noProof/>
            <w:webHidden/>
          </w:rPr>
          <w:t>24</w:t>
        </w:r>
        <w:r w:rsidR="000C5FE3">
          <w:rPr>
            <w:noProof/>
            <w:webHidden/>
          </w:rPr>
          <w:fldChar w:fldCharType="end"/>
        </w:r>
      </w:hyperlink>
    </w:p>
    <w:p w14:paraId="2E263589" w14:textId="77777777" w:rsidR="000C5FE3" w:rsidRDefault="0086430A">
      <w:pPr>
        <w:pStyle w:val="TOC1"/>
        <w:rPr>
          <w:rFonts w:asciiTheme="minorHAnsi" w:eastAsiaTheme="minorEastAsia" w:hAnsiTheme="minorHAnsi" w:cstheme="minorBidi"/>
          <w:bCs w:val="0"/>
          <w:noProof/>
          <w:sz w:val="22"/>
          <w:szCs w:val="22"/>
        </w:rPr>
      </w:pPr>
      <w:hyperlink w:anchor="_Toc432577306" w:history="1">
        <w:r w:rsidR="000C5FE3" w:rsidRPr="003258EF">
          <w:rPr>
            <w:rStyle w:val="Hyperlink"/>
            <w:noProof/>
          </w:rPr>
          <w:t>Chapter 2</w:t>
        </w:r>
        <w:r w:rsidR="000C5FE3">
          <w:rPr>
            <w:rFonts w:asciiTheme="minorHAnsi" w:eastAsiaTheme="minorEastAsia" w:hAnsiTheme="minorHAnsi" w:cstheme="minorBidi"/>
            <w:bCs w:val="0"/>
            <w:noProof/>
            <w:sz w:val="22"/>
            <w:szCs w:val="22"/>
          </w:rPr>
          <w:tab/>
        </w:r>
        <w:r w:rsidR="000C5FE3" w:rsidRPr="003258EF">
          <w:rPr>
            <w:rStyle w:val="Hyperlink"/>
            <w:noProof/>
          </w:rPr>
          <w:t>Child rights in legislation and court proceedings</w:t>
        </w:r>
        <w:r w:rsidR="000C5FE3">
          <w:rPr>
            <w:noProof/>
            <w:webHidden/>
          </w:rPr>
          <w:tab/>
        </w:r>
        <w:r w:rsidR="000C5FE3">
          <w:rPr>
            <w:noProof/>
            <w:webHidden/>
          </w:rPr>
          <w:fldChar w:fldCharType="begin"/>
        </w:r>
        <w:r w:rsidR="000C5FE3">
          <w:rPr>
            <w:noProof/>
            <w:webHidden/>
          </w:rPr>
          <w:instrText xml:space="preserve"> PAGEREF _Toc432577306 \h </w:instrText>
        </w:r>
        <w:r w:rsidR="000C5FE3">
          <w:rPr>
            <w:noProof/>
            <w:webHidden/>
          </w:rPr>
        </w:r>
        <w:r w:rsidR="000C5FE3">
          <w:rPr>
            <w:noProof/>
            <w:webHidden/>
          </w:rPr>
          <w:fldChar w:fldCharType="separate"/>
        </w:r>
        <w:r w:rsidR="000C5FE3">
          <w:rPr>
            <w:noProof/>
            <w:webHidden/>
          </w:rPr>
          <w:t>2</w:t>
        </w:r>
        <w:r w:rsidR="000C5FE3">
          <w:rPr>
            <w:noProof/>
            <w:webHidden/>
          </w:rPr>
          <w:fldChar w:fldCharType="end"/>
        </w:r>
      </w:hyperlink>
    </w:p>
    <w:p w14:paraId="0AE08CE2"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07" w:history="1">
        <w:r w:rsidR="000C5FE3" w:rsidRPr="003258EF">
          <w:rPr>
            <w:rStyle w:val="Hyperlink"/>
            <w:noProof/>
          </w:rPr>
          <w:t>2.1</w:t>
        </w:r>
        <w:r w:rsidR="000C5FE3">
          <w:rPr>
            <w:rFonts w:asciiTheme="minorHAnsi" w:eastAsiaTheme="minorEastAsia" w:hAnsiTheme="minorHAnsi" w:cstheme="minorBidi"/>
            <w:noProof/>
            <w:sz w:val="22"/>
            <w:szCs w:val="22"/>
          </w:rPr>
          <w:tab/>
        </w:r>
        <w:r w:rsidR="000C5FE3" w:rsidRPr="003258EF">
          <w:rPr>
            <w:rStyle w:val="Hyperlink"/>
            <w:noProof/>
          </w:rPr>
          <w:t>The PJC’s consideration of child rights</w:t>
        </w:r>
        <w:r w:rsidR="000C5FE3">
          <w:rPr>
            <w:noProof/>
            <w:webHidden/>
          </w:rPr>
          <w:tab/>
        </w:r>
        <w:r w:rsidR="000C5FE3">
          <w:rPr>
            <w:noProof/>
            <w:webHidden/>
          </w:rPr>
          <w:fldChar w:fldCharType="begin"/>
        </w:r>
        <w:r w:rsidR="000C5FE3">
          <w:rPr>
            <w:noProof/>
            <w:webHidden/>
          </w:rPr>
          <w:instrText xml:space="preserve"> PAGEREF _Toc432577307 \h </w:instrText>
        </w:r>
        <w:r w:rsidR="000C5FE3">
          <w:rPr>
            <w:noProof/>
            <w:webHidden/>
          </w:rPr>
        </w:r>
        <w:r w:rsidR="000C5FE3">
          <w:rPr>
            <w:noProof/>
            <w:webHidden/>
          </w:rPr>
          <w:fldChar w:fldCharType="separate"/>
        </w:r>
        <w:r w:rsidR="000C5FE3">
          <w:rPr>
            <w:noProof/>
            <w:webHidden/>
          </w:rPr>
          <w:t>3</w:t>
        </w:r>
        <w:r w:rsidR="000C5FE3">
          <w:rPr>
            <w:noProof/>
            <w:webHidden/>
          </w:rPr>
          <w:fldChar w:fldCharType="end"/>
        </w:r>
      </w:hyperlink>
    </w:p>
    <w:p w14:paraId="638971D9"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08" w:history="1">
        <w:r w:rsidR="000C5FE3" w:rsidRPr="003258EF">
          <w:rPr>
            <w:rStyle w:val="Hyperlink"/>
            <w:noProof/>
          </w:rPr>
          <w:t>2.2</w:t>
        </w:r>
        <w:r w:rsidR="000C5FE3">
          <w:rPr>
            <w:rFonts w:asciiTheme="minorHAnsi" w:eastAsiaTheme="minorEastAsia" w:hAnsiTheme="minorHAnsi" w:cstheme="minorBidi"/>
            <w:noProof/>
            <w:sz w:val="22"/>
            <w:szCs w:val="22"/>
          </w:rPr>
          <w:tab/>
        </w:r>
        <w:r w:rsidR="000C5FE3" w:rsidRPr="003258EF">
          <w:rPr>
            <w:rStyle w:val="Hyperlink"/>
            <w:noProof/>
          </w:rPr>
          <w:t>Bills that had a substantially positive impact on child rights</w:t>
        </w:r>
        <w:r w:rsidR="000C5FE3">
          <w:rPr>
            <w:noProof/>
            <w:webHidden/>
          </w:rPr>
          <w:tab/>
        </w:r>
        <w:r w:rsidR="000C5FE3">
          <w:rPr>
            <w:noProof/>
            <w:webHidden/>
          </w:rPr>
          <w:fldChar w:fldCharType="begin"/>
        </w:r>
        <w:r w:rsidR="000C5FE3">
          <w:rPr>
            <w:noProof/>
            <w:webHidden/>
          </w:rPr>
          <w:instrText xml:space="preserve"> PAGEREF _Toc432577308 \h </w:instrText>
        </w:r>
        <w:r w:rsidR="000C5FE3">
          <w:rPr>
            <w:noProof/>
            <w:webHidden/>
          </w:rPr>
        </w:r>
        <w:r w:rsidR="000C5FE3">
          <w:rPr>
            <w:noProof/>
            <w:webHidden/>
          </w:rPr>
          <w:fldChar w:fldCharType="separate"/>
        </w:r>
        <w:r w:rsidR="000C5FE3">
          <w:rPr>
            <w:noProof/>
            <w:webHidden/>
          </w:rPr>
          <w:t>4</w:t>
        </w:r>
        <w:r w:rsidR="000C5FE3">
          <w:rPr>
            <w:noProof/>
            <w:webHidden/>
          </w:rPr>
          <w:fldChar w:fldCharType="end"/>
        </w:r>
      </w:hyperlink>
    </w:p>
    <w:p w14:paraId="2AE17111"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09" w:history="1">
        <w:r w:rsidR="000C5FE3" w:rsidRPr="003258EF">
          <w:rPr>
            <w:rStyle w:val="Hyperlink"/>
            <w:noProof/>
          </w:rPr>
          <w:t>2.3</w:t>
        </w:r>
        <w:r w:rsidR="000C5FE3">
          <w:rPr>
            <w:rFonts w:asciiTheme="minorHAnsi" w:eastAsiaTheme="minorEastAsia" w:hAnsiTheme="minorHAnsi" w:cstheme="minorBidi"/>
            <w:noProof/>
            <w:sz w:val="22"/>
            <w:szCs w:val="22"/>
          </w:rPr>
          <w:tab/>
        </w:r>
        <w:r w:rsidR="000C5FE3" w:rsidRPr="003258EF">
          <w:rPr>
            <w:rStyle w:val="Hyperlink"/>
            <w:noProof/>
          </w:rPr>
          <w:t>Bills that had a substantially negative impact on child rights</w:t>
        </w:r>
        <w:r w:rsidR="000C5FE3">
          <w:rPr>
            <w:noProof/>
            <w:webHidden/>
          </w:rPr>
          <w:tab/>
        </w:r>
        <w:r w:rsidR="000C5FE3">
          <w:rPr>
            <w:noProof/>
            <w:webHidden/>
          </w:rPr>
          <w:fldChar w:fldCharType="begin"/>
        </w:r>
        <w:r w:rsidR="000C5FE3">
          <w:rPr>
            <w:noProof/>
            <w:webHidden/>
          </w:rPr>
          <w:instrText xml:space="preserve"> PAGEREF _Toc432577309 \h </w:instrText>
        </w:r>
        <w:r w:rsidR="000C5FE3">
          <w:rPr>
            <w:noProof/>
            <w:webHidden/>
          </w:rPr>
        </w:r>
        <w:r w:rsidR="000C5FE3">
          <w:rPr>
            <w:noProof/>
            <w:webHidden/>
          </w:rPr>
          <w:fldChar w:fldCharType="separate"/>
        </w:r>
        <w:r w:rsidR="000C5FE3">
          <w:rPr>
            <w:noProof/>
            <w:webHidden/>
          </w:rPr>
          <w:t>7</w:t>
        </w:r>
        <w:r w:rsidR="000C5FE3">
          <w:rPr>
            <w:noProof/>
            <w:webHidden/>
          </w:rPr>
          <w:fldChar w:fldCharType="end"/>
        </w:r>
      </w:hyperlink>
    </w:p>
    <w:p w14:paraId="25BB6DD9"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10" w:history="1">
        <w:r w:rsidR="000C5FE3" w:rsidRPr="003258EF">
          <w:rPr>
            <w:rStyle w:val="Hyperlink"/>
            <w:noProof/>
          </w:rPr>
          <w:t>2.4</w:t>
        </w:r>
        <w:r w:rsidR="000C5FE3">
          <w:rPr>
            <w:rFonts w:asciiTheme="minorHAnsi" w:eastAsiaTheme="minorEastAsia" w:hAnsiTheme="minorHAnsi" w:cstheme="minorBidi"/>
            <w:noProof/>
            <w:sz w:val="22"/>
            <w:szCs w:val="22"/>
          </w:rPr>
          <w:tab/>
        </w:r>
        <w:r w:rsidR="000C5FE3" w:rsidRPr="003258EF">
          <w:rPr>
            <w:rStyle w:val="Hyperlink"/>
            <w:noProof/>
          </w:rPr>
          <w:t>Bills initially considered to have had a negative impact on children’s rights but later considered to be compatible</w:t>
        </w:r>
        <w:r w:rsidR="000C5FE3">
          <w:rPr>
            <w:noProof/>
            <w:webHidden/>
          </w:rPr>
          <w:tab/>
        </w:r>
        <w:r w:rsidR="000C5FE3">
          <w:rPr>
            <w:noProof/>
            <w:webHidden/>
          </w:rPr>
          <w:fldChar w:fldCharType="begin"/>
        </w:r>
        <w:r w:rsidR="000C5FE3">
          <w:rPr>
            <w:noProof/>
            <w:webHidden/>
          </w:rPr>
          <w:instrText xml:space="preserve"> PAGEREF _Toc432577310 \h </w:instrText>
        </w:r>
        <w:r w:rsidR="000C5FE3">
          <w:rPr>
            <w:noProof/>
            <w:webHidden/>
          </w:rPr>
        </w:r>
        <w:r w:rsidR="000C5FE3">
          <w:rPr>
            <w:noProof/>
            <w:webHidden/>
          </w:rPr>
          <w:fldChar w:fldCharType="separate"/>
        </w:r>
        <w:r w:rsidR="000C5FE3">
          <w:rPr>
            <w:noProof/>
            <w:webHidden/>
          </w:rPr>
          <w:t>11</w:t>
        </w:r>
        <w:r w:rsidR="000C5FE3">
          <w:rPr>
            <w:noProof/>
            <w:webHidden/>
          </w:rPr>
          <w:fldChar w:fldCharType="end"/>
        </w:r>
      </w:hyperlink>
    </w:p>
    <w:p w14:paraId="2271DB0D"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11" w:history="1">
        <w:r w:rsidR="000C5FE3" w:rsidRPr="003258EF">
          <w:rPr>
            <w:rStyle w:val="Hyperlink"/>
            <w:noProof/>
          </w:rPr>
          <w:t>2.5</w:t>
        </w:r>
        <w:r w:rsidR="000C5FE3">
          <w:rPr>
            <w:rFonts w:asciiTheme="minorHAnsi" w:eastAsiaTheme="minorEastAsia" w:hAnsiTheme="minorHAnsi" w:cstheme="minorBidi"/>
            <w:noProof/>
            <w:sz w:val="22"/>
            <w:szCs w:val="22"/>
          </w:rPr>
          <w:tab/>
        </w:r>
        <w:r w:rsidR="000C5FE3" w:rsidRPr="003258EF">
          <w:rPr>
            <w:rStyle w:val="Hyperlink"/>
            <w:noProof/>
          </w:rPr>
          <w:t>The Commission’s intervention in Bateman &amp; Kavan [2014] FCCA 2521</w:t>
        </w:r>
        <w:r w:rsidR="000C5FE3">
          <w:rPr>
            <w:noProof/>
            <w:webHidden/>
          </w:rPr>
          <w:tab/>
        </w:r>
        <w:r w:rsidR="000C5FE3">
          <w:rPr>
            <w:noProof/>
            <w:webHidden/>
          </w:rPr>
          <w:fldChar w:fldCharType="begin"/>
        </w:r>
        <w:r w:rsidR="000C5FE3">
          <w:rPr>
            <w:noProof/>
            <w:webHidden/>
          </w:rPr>
          <w:instrText xml:space="preserve"> PAGEREF _Toc432577311 \h </w:instrText>
        </w:r>
        <w:r w:rsidR="000C5FE3">
          <w:rPr>
            <w:noProof/>
            <w:webHidden/>
          </w:rPr>
        </w:r>
        <w:r w:rsidR="000C5FE3">
          <w:rPr>
            <w:noProof/>
            <w:webHidden/>
          </w:rPr>
          <w:fldChar w:fldCharType="separate"/>
        </w:r>
        <w:r w:rsidR="000C5FE3">
          <w:rPr>
            <w:noProof/>
            <w:webHidden/>
          </w:rPr>
          <w:t>12</w:t>
        </w:r>
        <w:r w:rsidR="000C5FE3">
          <w:rPr>
            <w:noProof/>
            <w:webHidden/>
          </w:rPr>
          <w:fldChar w:fldCharType="end"/>
        </w:r>
      </w:hyperlink>
    </w:p>
    <w:p w14:paraId="04ED4490"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12" w:history="1">
        <w:r w:rsidR="000C5FE3" w:rsidRPr="003258EF">
          <w:rPr>
            <w:rStyle w:val="Hyperlink"/>
            <w:noProof/>
          </w:rPr>
          <w:t>2.6</w:t>
        </w:r>
        <w:r w:rsidR="000C5FE3">
          <w:rPr>
            <w:rFonts w:asciiTheme="minorHAnsi" w:eastAsiaTheme="minorEastAsia" w:hAnsiTheme="minorHAnsi" w:cstheme="minorBidi"/>
            <w:noProof/>
            <w:sz w:val="22"/>
            <w:szCs w:val="22"/>
          </w:rPr>
          <w:tab/>
        </w:r>
        <w:r w:rsidR="000C5FE3" w:rsidRPr="003258EF">
          <w:rPr>
            <w:rStyle w:val="Hyperlink"/>
            <w:noProof/>
          </w:rPr>
          <w:t>Conclusion</w:t>
        </w:r>
        <w:r w:rsidR="000C5FE3">
          <w:rPr>
            <w:noProof/>
            <w:webHidden/>
          </w:rPr>
          <w:tab/>
        </w:r>
        <w:r w:rsidR="000C5FE3">
          <w:rPr>
            <w:noProof/>
            <w:webHidden/>
          </w:rPr>
          <w:fldChar w:fldCharType="begin"/>
        </w:r>
        <w:r w:rsidR="000C5FE3">
          <w:rPr>
            <w:noProof/>
            <w:webHidden/>
          </w:rPr>
          <w:instrText xml:space="preserve"> PAGEREF _Toc432577312 \h </w:instrText>
        </w:r>
        <w:r w:rsidR="000C5FE3">
          <w:rPr>
            <w:noProof/>
            <w:webHidden/>
          </w:rPr>
        </w:r>
        <w:r w:rsidR="000C5FE3">
          <w:rPr>
            <w:noProof/>
            <w:webHidden/>
          </w:rPr>
          <w:fldChar w:fldCharType="separate"/>
        </w:r>
        <w:r w:rsidR="000C5FE3">
          <w:rPr>
            <w:noProof/>
            <w:webHidden/>
          </w:rPr>
          <w:t>14</w:t>
        </w:r>
        <w:r w:rsidR="000C5FE3">
          <w:rPr>
            <w:noProof/>
            <w:webHidden/>
          </w:rPr>
          <w:fldChar w:fldCharType="end"/>
        </w:r>
      </w:hyperlink>
    </w:p>
    <w:p w14:paraId="1D6BFCB1" w14:textId="77777777" w:rsidR="000C5FE3" w:rsidRDefault="0086430A">
      <w:pPr>
        <w:pStyle w:val="TOC1"/>
        <w:rPr>
          <w:rFonts w:asciiTheme="minorHAnsi" w:eastAsiaTheme="minorEastAsia" w:hAnsiTheme="minorHAnsi" w:cstheme="minorBidi"/>
          <w:bCs w:val="0"/>
          <w:noProof/>
          <w:sz w:val="22"/>
          <w:szCs w:val="22"/>
        </w:rPr>
      </w:pPr>
      <w:hyperlink w:anchor="_Toc432577313" w:history="1">
        <w:r w:rsidR="000C5FE3" w:rsidRPr="003258EF">
          <w:rPr>
            <w:rStyle w:val="Hyperlink"/>
            <w:noProof/>
          </w:rPr>
          <w:t>Chapter 3</w:t>
        </w:r>
        <w:r w:rsidR="000C5FE3">
          <w:rPr>
            <w:rFonts w:asciiTheme="minorHAnsi" w:eastAsiaTheme="minorEastAsia" w:hAnsiTheme="minorHAnsi" w:cstheme="minorBidi"/>
            <w:bCs w:val="0"/>
            <w:noProof/>
            <w:sz w:val="22"/>
            <w:szCs w:val="22"/>
          </w:rPr>
          <w:tab/>
        </w:r>
        <w:r w:rsidR="000C5FE3" w:rsidRPr="003258EF">
          <w:rPr>
            <w:rStyle w:val="Hyperlink"/>
            <w:noProof/>
          </w:rPr>
          <w:t>Business and children’s rights</w:t>
        </w:r>
        <w:r w:rsidR="000C5FE3">
          <w:rPr>
            <w:noProof/>
            <w:webHidden/>
          </w:rPr>
          <w:tab/>
        </w:r>
        <w:r w:rsidR="000C5FE3">
          <w:rPr>
            <w:noProof/>
            <w:webHidden/>
          </w:rPr>
          <w:fldChar w:fldCharType="begin"/>
        </w:r>
        <w:r w:rsidR="000C5FE3">
          <w:rPr>
            <w:noProof/>
            <w:webHidden/>
          </w:rPr>
          <w:instrText xml:space="preserve"> PAGEREF _Toc432577313 \h </w:instrText>
        </w:r>
        <w:r w:rsidR="000C5FE3">
          <w:rPr>
            <w:noProof/>
            <w:webHidden/>
          </w:rPr>
        </w:r>
        <w:r w:rsidR="000C5FE3">
          <w:rPr>
            <w:noProof/>
            <w:webHidden/>
          </w:rPr>
          <w:fldChar w:fldCharType="separate"/>
        </w:r>
        <w:r w:rsidR="000C5FE3">
          <w:rPr>
            <w:noProof/>
            <w:webHidden/>
          </w:rPr>
          <w:t>2</w:t>
        </w:r>
        <w:r w:rsidR="000C5FE3">
          <w:rPr>
            <w:noProof/>
            <w:webHidden/>
          </w:rPr>
          <w:fldChar w:fldCharType="end"/>
        </w:r>
      </w:hyperlink>
    </w:p>
    <w:p w14:paraId="52C9C480"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14" w:history="1">
        <w:r w:rsidR="000C5FE3" w:rsidRPr="003258EF">
          <w:rPr>
            <w:rStyle w:val="Hyperlink"/>
            <w:noProof/>
          </w:rPr>
          <w:t>3.1</w:t>
        </w:r>
        <w:r w:rsidR="000C5FE3">
          <w:rPr>
            <w:rFonts w:asciiTheme="minorHAnsi" w:eastAsiaTheme="minorEastAsia" w:hAnsiTheme="minorHAnsi" w:cstheme="minorBidi"/>
            <w:noProof/>
            <w:sz w:val="22"/>
            <w:szCs w:val="22"/>
          </w:rPr>
          <w:tab/>
        </w:r>
        <w:r w:rsidR="000C5FE3" w:rsidRPr="003258EF">
          <w:rPr>
            <w:rStyle w:val="Hyperlink"/>
            <w:noProof/>
          </w:rPr>
          <w:t>Introduction</w:t>
        </w:r>
        <w:r w:rsidR="000C5FE3">
          <w:rPr>
            <w:noProof/>
            <w:webHidden/>
          </w:rPr>
          <w:tab/>
        </w:r>
        <w:r w:rsidR="000C5FE3">
          <w:rPr>
            <w:noProof/>
            <w:webHidden/>
          </w:rPr>
          <w:fldChar w:fldCharType="begin"/>
        </w:r>
        <w:r w:rsidR="000C5FE3">
          <w:rPr>
            <w:noProof/>
            <w:webHidden/>
          </w:rPr>
          <w:instrText xml:space="preserve"> PAGEREF _Toc432577314 \h </w:instrText>
        </w:r>
        <w:r w:rsidR="000C5FE3">
          <w:rPr>
            <w:noProof/>
            <w:webHidden/>
          </w:rPr>
        </w:r>
        <w:r w:rsidR="000C5FE3">
          <w:rPr>
            <w:noProof/>
            <w:webHidden/>
          </w:rPr>
          <w:fldChar w:fldCharType="separate"/>
        </w:r>
        <w:r w:rsidR="000C5FE3">
          <w:rPr>
            <w:noProof/>
            <w:webHidden/>
          </w:rPr>
          <w:t>3</w:t>
        </w:r>
        <w:r w:rsidR="000C5FE3">
          <w:rPr>
            <w:noProof/>
            <w:webHidden/>
          </w:rPr>
          <w:fldChar w:fldCharType="end"/>
        </w:r>
      </w:hyperlink>
    </w:p>
    <w:p w14:paraId="2184572A"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15" w:history="1">
        <w:r w:rsidR="000C5FE3" w:rsidRPr="003258EF">
          <w:rPr>
            <w:rStyle w:val="Hyperlink"/>
            <w:noProof/>
          </w:rPr>
          <w:t>3.2</w:t>
        </w:r>
        <w:r w:rsidR="000C5FE3">
          <w:rPr>
            <w:rFonts w:asciiTheme="minorHAnsi" w:eastAsiaTheme="minorEastAsia" w:hAnsiTheme="minorHAnsi" w:cstheme="minorBidi"/>
            <w:noProof/>
            <w:sz w:val="22"/>
            <w:szCs w:val="22"/>
          </w:rPr>
          <w:tab/>
        </w:r>
        <w:r w:rsidR="000C5FE3" w:rsidRPr="003258EF">
          <w:rPr>
            <w:rStyle w:val="Hyperlink"/>
            <w:noProof/>
          </w:rPr>
          <w:t>Literature review</w:t>
        </w:r>
        <w:r w:rsidR="000C5FE3">
          <w:rPr>
            <w:noProof/>
            <w:webHidden/>
          </w:rPr>
          <w:tab/>
        </w:r>
        <w:r w:rsidR="000C5FE3">
          <w:rPr>
            <w:noProof/>
            <w:webHidden/>
          </w:rPr>
          <w:fldChar w:fldCharType="begin"/>
        </w:r>
        <w:r w:rsidR="000C5FE3">
          <w:rPr>
            <w:noProof/>
            <w:webHidden/>
          </w:rPr>
          <w:instrText xml:space="preserve"> PAGEREF _Toc432577315 \h </w:instrText>
        </w:r>
        <w:r w:rsidR="000C5FE3">
          <w:rPr>
            <w:noProof/>
            <w:webHidden/>
          </w:rPr>
        </w:r>
        <w:r w:rsidR="000C5FE3">
          <w:rPr>
            <w:noProof/>
            <w:webHidden/>
          </w:rPr>
          <w:fldChar w:fldCharType="separate"/>
        </w:r>
        <w:r w:rsidR="000C5FE3">
          <w:rPr>
            <w:noProof/>
            <w:webHidden/>
          </w:rPr>
          <w:t>9</w:t>
        </w:r>
        <w:r w:rsidR="000C5FE3">
          <w:rPr>
            <w:noProof/>
            <w:webHidden/>
          </w:rPr>
          <w:fldChar w:fldCharType="end"/>
        </w:r>
      </w:hyperlink>
    </w:p>
    <w:p w14:paraId="6D10B8FA"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16" w:history="1">
        <w:r w:rsidR="000C5FE3" w:rsidRPr="003258EF">
          <w:rPr>
            <w:rStyle w:val="Hyperlink"/>
            <w:noProof/>
          </w:rPr>
          <w:t>3.3</w:t>
        </w:r>
        <w:r w:rsidR="000C5FE3">
          <w:rPr>
            <w:rFonts w:asciiTheme="minorHAnsi" w:eastAsiaTheme="minorEastAsia" w:hAnsiTheme="minorHAnsi" w:cstheme="minorBidi"/>
            <w:noProof/>
            <w:sz w:val="22"/>
            <w:szCs w:val="22"/>
          </w:rPr>
          <w:tab/>
        </w:r>
        <w:r w:rsidR="000C5FE3" w:rsidRPr="003258EF">
          <w:rPr>
            <w:rStyle w:val="Hyperlink"/>
            <w:noProof/>
          </w:rPr>
          <w:t>Australian consumer protection and children</w:t>
        </w:r>
        <w:r w:rsidR="000C5FE3">
          <w:rPr>
            <w:noProof/>
            <w:webHidden/>
          </w:rPr>
          <w:tab/>
        </w:r>
        <w:r w:rsidR="000C5FE3">
          <w:rPr>
            <w:noProof/>
            <w:webHidden/>
          </w:rPr>
          <w:fldChar w:fldCharType="begin"/>
        </w:r>
        <w:r w:rsidR="000C5FE3">
          <w:rPr>
            <w:noProof/>
            <w:webHidden/>
          </w:rPr>
          <w:instrText xml:space="preserve"> PAGEREF _Toc432577316 \h </w:instrText>
        </w:r>
        <w:r w:rsidR="000C5FE3">
          <w:rPr>
            <w:noProof/>
            <w:webHidden/>
          </w:rPr>
        </w:r>
        <w:r w:rsidR="000C5FE3">
          <w:rPr>
            <w:noProof/>
            <w:webHidden/>
          </w:rPr>
          <w:fldChar w:fldCharType="separate"/>
        </w:r>
        <w:r w:rsidR="000C5FE3">
          <w:rPr>
            <w:noProof/>
            <w:webHidden/>
          </w:rPr>
          <w:t>16</w:t>
        </w:r>
        <w:r w:rsidR="000C5FE3">
          <w:rPr>
            <w:noProof/>
            <w:webHidden/>
          </w:rPr>
          <w:fldChar w:fldCharType="end"/>
        </w:r>
      </w:hyperlink>
    </w:p>
    <w:p w14:paraId="35953D0A"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17" w:history="1">
        <w:r w:rsidR="000C5FE3" w:rsidRPr="003258EF">
          <w:rPr>
            <w:rStyle w:val="Hyperlink"/>
            <w:noProof/>
          </w:rPr>
          <w:t>3.4</w:t>
        </w:r>
        <w:r w:rsidR="000C5FE3">
          <w:rPr>
            <w:rFonts w:asciiTheme="minorHAnsi" w:eastAsiaTheme="minorEastAsia" w:hAnsiTheme="minorHAnsi" w:cstheme="minorBidi"/>
            <w:noProof/>
            <w:sz w:val="22"/>
            <w:szCs w:val="22"/>
          </w:rPr>
          <w:tab/>
        </w:r>
        <w:r w:rsidR="000C5FE3" w:rsidRPr="003258EF">
          <w:rPr>
            <w:rStyle w:val="Hyperlink"/>
            <w:noProof/>
          </w:rPr>
          <w:t>Consultations – what do children say?</w:t>
        </w:r>
        <w:r w:rsidR="000C5FE3">
          <w:rPr>
            <w:noProof/>
            <w:webHidden/>
          </w:rPr>
          <w:tab/>
        </w:r>
        <w:r w:rsidR="000C5FE3">
          <w:rPr>
            <w:noProof/>
            <w:webHidden/>
          </w:rPr>
          <w:fldChar w:fldCharType="begin"/>
        </w:r>
        <w:r w:rsidR="000C5FE3">
          <w:rPr>
            <w:noProof/>
            <w:webHidden/>
          </w:rPr>
          <w:instrText xml:space="preserve"> PAGEREF _Toc432577317 \h </w:instrText>
        </w:r>
        <w:r w:rsidR="000C5FE3">
          <w:rPr>
            <w:noProof/>
            <w:webHidden/>
          </w:rPr>
        </w:r>
        <w:r w:rsidR="000C5FE3">
          <w:rPr>
            <w:noProof/>
            <w:webHidden/>
          </w:rPr>
          <w:fldChar w:fldCharType="separate"/>
        </w:r>
        <w:r w:rsidR="000C5FE3">
          <w:rPr>
            <w:noProof/>
            <w:webHidden/>
          </w:rPr>
          <w:t>20</w:t>
        </w:r>
        <w:r w:rsidR="000C5FE3">
          <w:rPr>
            <w:noProof/>
            <w:webHidden/>
          </w:rPr>
          <w:fldChar w:fldCharType="end"/>
        </w:r>
      </w:hyperlink>
    </w:p>
    <w:p w14:paraId="395389F7"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18" w:history="1">
        <w:r w:rsidR="000C5FE3" w:rsidRPr="003258EF">
          <w:rPr>
            <w:rStyle w:val="Hyperlink"/>
            <w:noProof/>
          </w:rPr>
          <w:t>3.5</w:t>
        </w:r>
        <w:r w:rsidR="000C5FE3">
          <w:rPr>
            <w:rFonts w:asciiTheme="minorHAnsi" w:eastAsiaTheme="minorEastAsia" w:hAnsiTheme="minorHAnsi" w:cstheme="minorBidi"/>
            <w:noProof/>
            <w:sz w:val="22"/>
            <w:szCs w:val="22"/>
          </w:rPr>
          <w:tab/>
        </w:r>
        <w:r w:rsidR="000C5FE3" w:rsidRPr="003258EF">
          <w:rPr>
            <w:rStyle w:val="Hyperlink"/>
            <w:noProof/>
          </w:rPr>
          <w:t>Conclusion: summary &amp; key concerns</w:t>
        </w:r>
        <w:r w:rsidR="000C5FE3">
          <w:rPr>
            <w:noProof/>
            <w:webHidden/>
          </w:rPr>
          <w:tab/>
        </w:r>
        <w:r w:rsidR="000C5FE3">
          <w:rPr>
            <w:noProof/>
            <w:webHidden/>
          </w:rPr>
          <w:fldChar w:fldCharType="begin"/>
        </w:r>
        <w:r w:rsidR="000C5FE3">
          <w:rPr>
            <w:noProof/>
            <w:webHidden/>
          </w:rPr>
          <w:instrText xml:space="preserve"> PAGEREF _Toc432577318 \h </w:instrText>
        </w:r>
        <w:r w:rsidR="000C5FE3">
          <w:rPr>
            <w:noProof/>
            <w:webHidden/>
          </w:rPr>
        </w:r>
        <w:r w:rsidR="000C5FE3">
          <w:rPr>
            <w:noProof/>
            <w:webHidden/>
          </w:rPr>
          <w:fldChar w:fldCharType="separate"/>
        </w:r>
        <w:r w:rsidR="000C5FE3">
          <w:rPr>
            <w:noProof/>
            <w:webHidden/>
          </w:rPr>
          <w:t>27</w:t>
        </w:r>
        <w:r w:rsidR="000C5FE3">
          <w:rPr>
            <w:noProof/>
            <w:webHidden/>
          </w:rPr>
          <w:fldChar w:fldCharType="end"/>
        </w:r>
      </w:hyperlink>
    </w:p>
    <w:p w14:paraId="54E0A0B2"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19" w:history="1">
        <w:r w:rsidR="000C5FE3" w:rsidRPr="003258EF">
          <w:rPr>
            <w:rStyle w:val="Hyperlink"/>
            <w:noProof/>
          </w:rPr>
          <w:t>3.6</w:t>
        </w:r>
        <w:r w:rsidR="000C5FE3">
          <w:rPr>
            <w:rFonts w:asciiTheme="minorHAnsi" w:eastAsiaTheme="minorEastAsia" w:hAnsiTheme="minorHAnsi" w:cstheme="minorBidi"/>
            <w:noProof/>
            <w:sz w:val="22"/>
            <w:szCs w:val="22"/>
          </w:rPr>
          <w:tab/>
        </w:r>
        <w:r w:rsidR="000C5FE3" w:rsidRPr="003258EF">
          <w:rPr>
            <w:rStyle w:val="Hyperlink"/>
            <w:noProof/>
          </w:rPr>
          <w:t>Recommendations</w:t>
        </w:r>
        <w:r w:rsidR="000C5FE3">
          <w:rPr>
            <w:noProof/>
            <w:webHidden/>
          </w:rPr>
          <w:tab/>
        </w:r>
        <w:r w:rsidR="000C5FE3">
          <w:rPr>
            <w:noProof/>
            <w:webHidden/>
          </w:rPr>
          <w:fldChar w:fldCharType="begin"/>
        </w:r>
        <w:r w:rsidR="000C5FE3">
          <w:rPr>
            <w:noProof/>
            <w:webHidden/>
          </w:rPr>
          <w:instrText xml:space="preserve"> PAGEREF _Toc432577319 \h </w:instrText>
        </w:r>
        <w:r w:rsidR="000C5FE3">
          <w:rPr>
            <w:noProof/>
            <w:webHidden/>
          </w:rPr>
        </w:r>
        <w:r w:rsidR="000C5FE3">
          <w:rPr>
            <w:noProof/>
            <w:webHidden/>
          </w:rPr>
          <w:fldChar w:fldCharType="separate"/>
        </w:r>
        <w:r w:rsidR="000C5FE3">
          <w:rPr>
            <w:noProof/>
            <w:webHidden/>
          </w:rPr>
          <w:t>31</w:t>
        </w:r>
        <w:r w:rsidR="000C5FE3">
          <w:rPr>
            <w:noProof/>
            <w:webHidden/>
          </w:rPr>
          <w:fldChar w:fldCharType="end"/>
        </w:r>
      </w:hyperlink>
    </w:p>
    <w:p w14:paraId="4881AFF2"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20" w:history="1">
        <w:r w:rsidR="000C5FE3" w:rsidRPr="003258EF">
          <w:rPr>
            <w:rStyle w:val="Hyperlink"/>
            <w:noProof/>
          </w:rPr>
          <w:t>3.7</w:t>
        </w:r>
        <w:r w:rsidR="000C5FE3">
          <w:rPr>
            <w:rFonts w:asciiTheme="minorHAnsi" w:eastAsiaTheme="minorEastAsia" w:hAnsiTheme="minorHAnsi" w:cstheme="minorBidi"/>
            <w:noProof/>
            <w:sz w:val="22"/>
            <w:szCs w:val="22"/>
          </w:rPr>
          <w:tab/>
        </w:r>
        <w:r w:rsidR="000C5FE3" w:rsidRPr="003258EF">
          <w:rPr>
            <w:rStyle w:val="Hyperlink"/>
            <w:noProof/>
          </w:rPr>
          <w:t>Acknowledgments</w:t>
        </w:r>
        <w:r w:rsidR="000C5FE3">
          <w:rPr>
            <w:noProof/>
            <w:webHidden/>
          </w:rPr>
          <w:tab/>
        </w:r>
        <w:r w:rsidR="000C5FE3">
          <w:rPr>
            <w:noProof/>
            <w:webHidden/>
          </w:rPr>
          <w:fldChar w:fldCharType="begin"/>
        </w:r>
        <w:r w:rsidR="000C5FE3">
          <w:rPr>
            <w:noProof/>
            <w:webHidden/>
          </w:rPr>
          <w:instrText xml:space="preserve"> PAGEREF _Toc432577320 \h </w:instrText>
        </w:r>
        <w:r w:rsidR="000C5FE3">
          <w:rPr>
            <w:noProof/>
            <w:webHidden/>
          </w:rPr>
        </w:r>
        <w:r w:rsidR="000C5FE3">
          <w:rPr>
            <w:noProof/>
            <w:webHidden/>
          </w:rPr>
          <w:fldChar w:fldCharType="separate"/>
        </w:r>
        <w:r w:rsidR="000C5FE3">
          <w:rPr>
            <w:noProof/>
            <w:webHidden/>
          </w:rPr>
          <w:t>31</w:t>
        </w:r>
        <w:r w:rsidR="000C5FE3">
          <w:rPr>
            <w:noProof/>
            <w:webHidden/>
          </w:rPr>
          <w:fldChar w:fldCharType="end"/>
        </w:r>
      </w:hyperlink>
    </w:p>
    <w:p w14:paraId="3247A43E" w14:textId="77777777" w:rsidR="000C5FE3" w:rsidRDefault="0086430A">
      <w:pPr>
        <w:pStyle w:val="TOC1"/>
        <w:rPr>
          <w:rFonts w:asciiTheme="minorHAnsi" w:eastAsiaTheme="minorEastAsia" w:hAnsiTheme="minorHAnsi" w:cstheme="minorBidi"/>
          <w:bCs w:val="0"/>
          <w:noProof/>
          <w:sz w:val="22"/>
          <w:szCs w:val="22"/>
        </w:rPr>
      </w:pPr>
      <w:hyperlink w:anchor="_Toc432577321" w:history="1">
        <w:r w:rsidR="000C5FE3" w:rsidRPr="003258EF">
          <w:rPr>
            <w:rStyle w:val="Hyperlink"/>
            <w:noProof/>
          </w:rPr>
          <w:t>Chapter 4</w:t>
        </w:r>
        <w:r w:rsidR="000C5FE3">
          <w:rPr>
            <w:rFonts w:asciiTheme="minorHAnsi" w:eastAsiaTheme="minorEastAsia" w:hAnsiTheme="minorHAnsi" w:cstheme="minorBidi"/>
            <w:bCs w:val="0"/>
            <w:noProof/>
            <w:sz w:val="22"/>
            <w:szCs w:val="22"/>
          </w:rPr>
          <w:tab/>
        </w:r>
        <w:r w:rsidR="000C5FE3" w:rsidRPr="003258EF">
          <w:rPr>
            <w:rStyle w:val="Hyperlink"/>
            <w:noProof/>
          </w:rPr>
          <w:t>“All I want is a life free from violence” – the impact of family and domestic violence on children</w:t>
        </w:r>
        <w:r w:rsidR="000C5FE3">
          <w:rPr>
            <w:noProof/>
            <w:webHidden/>
          </w:rPr>
          <w:tab/>
        </w:r>
        <w:r w:rsidR="000C5FE3">
          <w:rPr>
            <w:noProof/>
            <w:webHidden/>
          </w:rPr>
          <w:fldChar w:fldCharType="begin"/>
        </w:r>
        <w:r w:rsidR="000C5FE3">
          <w:rPr>
            <w:noProof/>
            <w:webHidden/>
          </w:rPr>
          <w:instrText xml:space="preserve"> PAGEREF _Toc432577321 \h </w:instrText>
        </w:r>
        <w:r w:rsidR="000C5FE3">
          <w:rPr>
            <w:noProof/>
            <w:webHidden/>
          </w:rPr>
        </w:r>
        <w:r w:rsidR="000C5FE3">
          <w:rPr>
            <w:noProof/>
            <w:webHidden/>
          </w:rPr>
          <w:fldChar w:fldCharType="separate"/>
        </w:r>
        <w:r w:rsidR="000C5FE3">
          <w:rPr>
            <w:noProof/>
            <w:webHidden/>
          </w:rPr>
          <w:t>2</w:t>
        </w:r>
        <w:r w:rsidR="000C5FE3">
          <w:rPr>
            <w:noProof/>
            <w:webHidden/>
          </w:rPr>
          <w:fldChar w:fldCharType="end"/>
        </w:r>
      </w:hyperlink>
    </w:p>
    <w:p w14:paraId="0174A363"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22" w:history="1">
        <w:r w:rsidR="000C5FE3" w:rsidRPr="003258EF">
          <w:rPr>
            <w:rStyle w:val="Hyperlink"/>
            <w:noProof/>
          </w:rPr>
          <w:t>4.1</w:t>
        </w:r>
        <w:r w:rsidR="000C5FE3">
          <w:rPr>
            <w:rFonts w:asciiTheme="minorHAnsi" w:eastAsiaTheme="minorEastAsia" w:hAnsiTheme="minorHAnsi" w:cstheme="minorBidi"/>
            <w:noProof/>
            <w:sz w:val="22"/>
            <w:szCs w:val="22"/>
          </w:rPr>
          <w:tab/>
        </w:r>
        <w:r w:rsidR="000C5FE3" w:rsidRPr="003258EF">
          <w:rPr>
            <w:rStyle w:val="Hyperlink"/>
            <w:noProof/>
          </w:rPr>
          <w:t>Introduction</w:t>
        </w:r>
        <w:r w:rsidR="000C5FE3">
          <w:rPr>
            <w:noProof/>
            <w:webHidden/>
          </w:rPr>
          <w:tab/>
        </w:r>
        <w:r w:rsidR="000C5FE3">
          <w:rPr>
            <w:noProof/>
            <w:webHidden/>
          </w:rPr>
          <w:fldChar w:fldCharType="begin"/>
        </w:r>
        <w:r w:rsidR="000C5FE3">
          <w:rPr>
            <w:noProof/>
            <w:webHidden/>
          </w:rPr>
          <w:instrText xml:space="preserve"> PAGEREF _Toc432577322 \h </w:instrText>
        </w:r>
        <w:r w:rsidR="000C5FE3">
          <w:rPr>
            <w:noProof/>
            <w:webHidden/>
          </w:rPr>
        </w:r>
        <w:r w:rsidR="000C5FE3">
          <w:rPr>
            <w:noProof/>
            <w:webHidden/>
          </w:rPr>
          <w:fldChar w:fldCharType="separate"/>
        </w:r>
        <w:r w:rsidR="000C5FE3">
          <w:rPr>
            <w:noProof/>
            <w:webHidden/>
          </w:rPr>
          <w:t>2</w:t>
        </w:r>
        <w:r w:rsidR="000C5FE3">
          <w:rPr>
            <w:noProof/>
            <w:webHidden/>
          </w:rPr>
          <w:fldChar w:fldCharType="end"/>
        </w:r>
      </w:hyperlink>
    </w:p>
    <w:p w14:paraId="72ACBDAA"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23" w:history="1">
        <w:r w:rsidR="000C5FE3" w:rsidRPr="003258EF">
          <w:rPr>
            <w:rStyle w:val="Hyperlink"/>
            <w:noProof/>
          </w:rPr>
          <w:t>4.2</w:t>
        </w:r>
        <w:r w:rsidR="000C5FE3">
          <w:rPr>
            <w:rFonts w:asciiTheme="minorHAnsi" w:eastAsiaTheme="minorEastAsia" w:hAnsiTheme="minorHAnsi" w:cstheme="minorBidi"/>
            <w:noProof/>
            <w:sz w:val="22"/>
            <w:szCs w:val="22"/>
          </w:rPr>
          <w:tab/>
        </w:r>
        <w:r w:rsidR="000C5FE3" w:rsidRPr="003258EF">
          <w:rPr>
            <w:rStyle w:val="Hyperlink"/>
            <w:noProof/>
          </w:rPr>
          <w:t>What did we know about children and family and domestic violence before starting this examination?</w:t>
        </w:r>
        <w:r w:rsidR="000C5FE3">
          <w:rPr>
            <w:noProof/>
            <w:webHidden/>
          </w:rPr>
          <w:tab/>
        </w:r>
        <w:r w:rsidR="000C5FE3">
          <w:rPr>
            <w:noProof/>
            <w:webHidden/>
          </w:rPr>
          <w:fldChar w:fldCharType="begin"/>
        </w:r>
        <w:r w:rsidR="000C5FE3">
          <w:rPr>
            <w:noProof/>
            <w:webHidden/>
          </w:rPr>
          <w:instrText xml:space="preserve"> PAGEREF _Toc432577323 \h </w:instrText>
        </w:r>
        <w:r w:rsidR="000C5FE3">
          <w:rPr>
            <w:noProof/>
            <w:webHidden/>
          </w:rPr>
        </w:r>
        <w:r w:rsidR="000C5FE3">
          <w:rPr>
            <w:noProof/>
            <w:webHidden/>
          </w:rPr>
          <w:fldChar w:fldCharType="separate"/>
        </w:r>
        <w:r w:rsidR="000C5FE3">
          <w:rPr>
            <w:noProof/>
            <w:webHidden/>
          </w:rPr>
          <w:t>6</w:t>
        </w:r>
        <w:r w:rsidR="000C5FE3">
          <w:rPr>
            <w:noProof/>
            <w:webHidden/>
          </w:rPr>
          <w:fldChar w:fldCharType="end"/>
        </w:r>
      </w:hyperlink>
    </w:p>
    <w:p w14:paraId="67F52582"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24" w:history="1">
        <w:r w:rsidR="000C5FE3" w:rsidRPr="003258EF">
          <w:rPr>
            <w:rStyle w:val="Hyperlink"/>
            <w:noProof/>
          </w:rPr>
          <w:t>4.3</w:t>
        </w:r>
        <w:r w:rsidR="000C5FE3">
          <w:rPr>
            <w:rFonts w:asciiTheme="minorHAnsi" w:eastAsiaTheme="minorEastAsia" w:hAnsiTheme="minorHAnsi" w:cstheme="minorBidi"/>
            <w:noProof/>
            <w:sz w:val="22"/>
            <w:szCs w:val="22"/>
          </w:rPr>
          <w:tab/>
        </w:r>
        <w:r w:rsidR="000C5FE3" w:rsidRPr="003258EF">
          <w:rPr>
            <w:rStyle w:val="Hyperlink"/>
            <w:noProof/>
          </w:rPr>
          <w:t>Why is family and domestic violence a child rights issue?</w:t>
        </w:r>
        <w:r w:rsidR="000C5FE3">
          <w:rPr>
            <w:noProof/>
            <w:webHidden/>
          </w:rPr>
          <w:tab/>
        </w:r>
        <w:r w:rsidR="000C5FE3">
          <w:rPr>
            <w:noProof/>
            <w:webHidden/>
          </w:rPr>
          <w:fldChar w:fldCharType="begin"/>
        </w:r>
        <w:r w:rsidR="000C5FE3">
          <w:rPr>
            <w:noProof/>
            <w:webHidden/>
          </w:rPr>
          <w:instrText xml:space="preserve"> PAGEREF _Toc432577324 \h </w:instrText>
        </w:r>
        <w:r w:rsidR="000C5FE3">
          <w:rPr>
            <w:noProof/>
            <w:webHidden/>
          </w:rPr>
        </w:r>
        <w:r w:rsidR="000C5FE3">
          <w:rPr>
            <w:noProof/>
            <w:webHidden/>
          </w:rPr>
          <w:fldChar w:fldCharType="separate"/>
        </w:r>
        <w:r w:rsidR="000C5FE3">
          <w:rPr>
            <w:noProof/>
            <w:webHidden/>
          </w:rPr>
          <w:t>9</w:t>
        </w:r>
        <w:r w:rsidR="000C5FE3">
          <w:rPr>
            <w:noProof/>
            <w:webHidden/>
          </w:rPr>
          <w:fldChar w:fldCharType="end"/>
        </w:r>
      </w:hyperlink>
    </w:p>
    <w:p w14:paraId="42ACD042"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25" w:history="1">
        <w:r w:rsidR="000C5FE3" w:rsidRPr="003258EF">
          <w:rPr>
            <w:rStyle w:val="Hyperlink"/>
            <w:noProof/>
          </w:rPr>
          <w:t>4.4</w:t>
        </w:r>
        <w:r w:rsidR="000C5FE3">
          <w:rPr>
            <w:rFonts w:asciiTheme="minorHAnsi" w:eastAsiaTheme="minorEastAsia" w:hAnsiTheme="minorHAnsi" w:cstheme="minorBidi"/>
            <w:noProof/>
            <w:sz w:val="22"/>
            <w:szCs w:val="22"/>
          </w:rPr>
          <w:tab/>
        </w:r>
        <w:r w:rsidR="000C5FE3" w:rsidRPr="003258EF">
          <w:rPr>
            <w:rStyle w:val="Hyperlink"/>
            <w:noProof/>
          </w:rPr>
          <w:t>National examination into the impact of family and domestic violence on children</w:t>
        </w:r>
        <w:r w:rsidR="000C5FE3">
          <w:rPr>
            <w:noProof/>
            <w:webHidden/>
          </w:rPr>
          <w:tab/>
        </w:r>
        <w:r w:rsidR="000C5FE3">
          <w:rPr>
            <w:noProof/>
            <w:webHidden/>
          </w:rPr>
          <w:fldChar w:fldCharType="begin"/>
        </w:r>
        <w:r w:rsidR="000C5FE3">
          <w:rPr>
            <w:noProof/>
            <w:webHidden/>
          </w:rPr>
          <w:instrText xml:space="preserve"> PAGEREF _Toc432577325 \h </w:instrText>
        </w:r>
        <w:r w:rsidR="000C5FE3">
          <w:rPr>
            <w:noProof/>
            <w:webHidden/>
          </w:rPr>
        </w:r>
        <w:r w:rsidR="000C5FE3">
          <w:rPr>
            <w:noProof/>
            <w:webHidden/>
          </w:rPr>
          <w:fldChar w:fldCharType="separate"/>
        </w:r>
        <w:r w:rsidR="000C5FE3">
          <w:rPr>
            <w:noProof/>
            <w:webHidden/>
          </w:rPr>
          <w:t>10</w:t>
        </w:r>
        <w:r w:rsidR="000C5FE3">
          <w:rPr>
            <w:noProof/>
            <w:webHidden/>
          </w:rPr>
          <w:fldChar w:fldCharType="end"/>
        </w:r>
      </w:hyperlink>
    </w:p>
    <w:p w14:paraId="7ABE3A42"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26" w:history="1">
        <w:r w:rsidR="000C5FE3" w:rsidRPr="003258EF">
          <w:rPr>
            <w:rStyle w:val="Hyperlink"/>
            <w:noProof/>
          </w:rPr>
          <w:t>4.5</w:t>
        </w:r>
        <w:r w:rsidR="000C5FE3">
          <w:rPr>
            <w:rFonts w:asciiTheme="minorHAnsi" w:eastAsiaTheme="minorEastAsia" w:hAnsiTheme="minorHAnsi" w:cstheme="minorBidi"/>
            <w:noProof/>
            <w:sz w:val="22"/>
            <w:szCs w:val="22"/>
          </w:rPr>
          <w:tab/>
        </w:r>
        <w:r w:rsidR="000C5FE3" w:rsidRPr="003258EF">
          <w:rPr>
            <w:rStyle w:val="Hyperlink"/>
            <w:noProof/>
          </w:rPr>
          <w:t>What did we find out about children’s experiences of family and domestic violence?</w:t>
        </w:r>
        <w:r w:rsidR="000C5FE3">
          <w:rPr>
            <w:noProof/>
            <w:webHidden/>
          </w:rPr>
          <w:tab/>
        </w:r>
        <w:r w:rsidR="000C5FE3">
          <w:rPr>
            <w:noProof/>
            <w:webHidden/>
          </w:rPr>
          <w:fldChar w:fldCharType="begin"/>
        </w:r>
        <w:r w:rsidR="000C5FE3">
          <w:rPr>
            <w:noProof/>
            <w:webHidden/>
          </w:rPr>
          <w:instrText xml:space="preserve"> PAGEREF _Toc432577326 \h </w:instrText>
        </w:r>
        <w:r w:rsidR="000C5FE3">
          <w:rPr>
            <w:noProof/>
            <w:webHidden/>
          </w:rPr>
        </w:r>
        <w:r w:rsidR="000C5FE3">
          <w:rPr>
            <w:noProof/>
            <w:webHidden/>
          </w:rPr>
          <w:fldChar w:fldCharType="separate"/>
        </w:r>
        <w:r w:rsidR="000C5FE3">
          <w:rPr>
            <w:noProof/>
            <w:webHidden/>
          </w:rPr>
          <w:t>18</w:t>
        </w:r>
        <w:r w:rsidR="000C5FE3">
          <w:rPr>
            <w:noProof/>
            <w:webHidden/>
          </w:rPr>
          <w:fldChar w:fldCharType="end"/>
        </w:r>
      </w:hyperlink>
    </w:p>
    <w:p w14:paraId="6ECDDE59"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27" w:history="1">
        <w:r w:rsidR="000C5FE3" w:rsidRPr="003258EF">
          <w:rPr>
            <w:rStyle w:val="Hyperlink"/>
            <w:noProof/>
          </w:rPr>
          <w:t>4.6</w:t>
        </w:r>
        <w:r w:rsidR="000C5FE3">
          <w:rPr>
            <w:rFonts w:asciiTheme="minorHAnsi" w:eastAsiaTheme="minorEastAsia" w:hAnsiTheme="minorHAnsi" w:cstheme="minorBidi"/>
            <w:noProof/>
            <w:sz w:val="22"/>
            <w:szCs w:val="22"/>
          </w:rPr>
          <w:tab/>
        </w:r>
        <w:r w:rsidR="000C5FE3" w:rsidRPr="003258EF">
          <w:rPr>
            <w:rStyle w:val="Hyperlink"/>
            <w:noProof/>
          </w:rPr>
          <w:t>Key issues arising out of my examination</w:t>
        </w:r>
        <w:r w:rsidR="000C5FE3">
          <w:rPr>
            <w:noProof/>
            <w:webHidden/>
          </w:rPr>
          <w:tab/>
        </w:r>
        <w:r w:rsidR="000C5FE3">
          <w:rPr>
            <w:noProof/>
            <w:webHidden/>
          </w:rPr>
          <w:fldChar w:fldCharType="begin"/>
        </w:r>
        <w:r w:rsidR="000C5FE3">
          <w:rPr>
            <w:noProof/>
            <w:webHidden/>
          </w:rPr>
          <w:instrText xml:space="preserve"> PAGEREF _Toc432577327 \h </w:instrText>
        </w:r>
        <w:r w:rsidR="000C5FE3">
          <w:rPr>
            <w:noProof/>
            <w:webHidden/>
          </w:rPr>
        </w:r>
        <w:r w:rsidR="000C5FE3">
          <w:rPr>
            <w:noProof/>
            <w:webHidden/>
          </w:rPr>
          <w:fldChar w:fldCharType="separate"/>
        </w:r>
        <w:r w:rsidR="000C5FE3">
          <w:rPr>
            <w:noProof/>
            <w:webHidden/>
          </w:rPr>
          <w:t>58</w:t>
        </w:r>
        <w:r w:rsidR="000C5FE3">
          <w:rPr>
            <w:noProof/>
            <w:webHidden/>
          </w:rPr>
          <w:fldChar w:fldCharType="end"/>
        </w:r>
      </w:hyperlink>
    </w:p>
    <w:p w14:paraId="6AD7FD95"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28" w:history="1">
        <w:r w:rsidR="000C5FE3" w:rsidRPr="003258EF">
          <w:rPr>
            <w:rStyle w:val="Hyperlink"/>
            <w:noProof/>
          </w:rPr>
          <w:t>4.7</w:t>
        </w:r>
        <w:r w:rsidR="000C5FE3">
          <w:rPr>
            <w:rFonts w:asciiTheme="minorHAnsi" w:eastAsiaTheme="minorEastAsia" w:hAnsiTheme="minorHAnsi" w:cstheme="minorBidi"/>
            <w:noProof/>
            <w:sz w:val="22"/>
            <w:szCs w:val="22"/>
          </w:rPr>
          <w:tab/>
        </w:r>
        <w:r w:rsidR="000C5FE3" w:rsidRPr="003258EF">
          <w:rPr>
            <w:rStyle w:val="Hyperlink"/>
            <w:noProof/>
          </w:rPr>
          <w:t>Conclusion</w:t>
        </w:r>
        <w:r w:rsidR="000C5FE3">
          <w:rPr>
            <w:noProof/>
            <w:webHidden/>
          </w:rPr>
          <w:tab/>
        </w:r>
        <w:r w:rsidR="000C5FE3">
          <w:rPr>
            <w:noProof/>
            <w:webHidden/>
          </w:rPr>
          <w:fldChar w:fldCharType="begin"/>
        </w:r>
        <w:r w:rsidR="000C5FE3">
          <w:rPr>
            <w:noProof/>
            <w:webHidden/>
          </w:rPr>
          <w:instrText xml:space="preserve"> PAGEREF _Toc432577328 \h </w:instrText>
        </w:r>
        <w:r w:rsidR="000C5FE3">
          <w:rPr>
            <w:noProof/>
            <w:webHidden/>
          </w:rPr>
        </w:r>
        <w:r w:rsidR="000C5FE3">
          <w:rPr>
            <w:noProof/>
            <w:webHidden/>
          </w:rPr>
          <w:fldChar w:fldCharType="separate"/>
        </w:r>
        <w:r w:rsidR="000C5FE3">
          <w:rPr>
            <w:noProof/>
            <w:webHidden/>
          </w:rPr>
          <w:t>72</w:t>
        </w:r>
        <w:r w:rsidR="000C5FE3">
          <w:rPr>
            <w:noProof/>
            <w:webHidden/>
          </w:rPr>
          <w:fldChar w:fldCharType="end"/>
        </w:r>
      </w:hyperlink>
    </w:p>
    <w:p w14:paraId="7B2823B4"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29" w:history="1">
        <w:r w:rsidR="000C5FE3" w:rsidRPr="003258EF">
          <w:rPr>
            <w:rStyle w:val="Hyperlink"/>
            <w:noProof/>
          </w:rPr>
          <w:t>4.8</w:t>
        </w:r>
        <w:r w:rsidR="000C5FE3">
          <w:rPr>
            <w:rFonts w:asciiTheme="minorHAnsi" w:eastAsiaTheme="minorEastAsia" w:hAnsiTheme="minorHAnsi" w:cstheme="minorBidi"/>
            <w:noProof/>
            <w:sz w:val="22"/>
            <w:szCs w:val="22"/>
          </w:rPr>
          <w:tab/>
        </w:r>
        <w:r w:rsidR="000C5FE3" w:rsidRPr="003258EF">
          <w:rPr>
            <w:rStyle w:val="Hyperlink"/>
            <w:noProof/>
          </w:rPr>
          <w:t>Acknowledgments</w:t>
        </w:r>
        <w:r w:rsidR="000C5FE3">
          <w:rPr>
            <w:noProof/>
            <w:webHidden/>
          </w:rPr>
          <w:tab/>
        </w:r>
        <w:r w:rsidR="000C5FE3">
          <w:rPr>
            <w:noProof/>
            <w:webHidden/>
          </w:rPr>
          <w:fldChar w:fldCharType="begin"/>
        </w:r>
        <w:r w:rsidR="000C5FE3">
          <w:rPr>
            <w:noProof/>
            <w:webHidden/>
          </w:rPr>
          <w:instrText xml:space="preserve"> PAGEREF _Toc432577329 \h </w:instrText>
        </w:r>
        <w:r w:rsidR="000C5FE3">
          <w:rPr>
            <w:noProof/>
            <w:webHidden/>
          </w:rPr>
        </w:r>
        <w:r w:rsidR="000C5FE3">
          <w:rPr>
            <w:noProof/>
            <w:webHidden/>
          </w:rPr>
          <w:fldChar w:fldCharType="separate"/>
        </w:r>
        <w:r w:rsidR="000C5FE3">
          <w:rPr>
            <w:noProof/>
            <w:webHidden/>
          </w:rPr>
          <w:t>72</w:t>
        </w:r>
        <w:r w:rsidR="000C5FE3">
          <w:rPr>
            <w:noProof/>
            <w:webHidden/>
          </w:rPr>
          <w:fldChar w:fldCharType="end"/>
        </w:r>
      </w:hyperlink>
    </w:p>
    <w:p w14:paraId="4DEEA3DB" w14:textId="77777777" w:rsidR="000C5FE3" w:rsidRDefault="0086430A">
      <w:pPr>
        <w:pStyle w:val="TOC2"/>
        <w:tabs>
          <w:tab w:val="left" w:pos="960"/>
          <w:tab w:val="right" w:pos="9060"/>
        </w:tabs>
        <w:rPr>
          <w:rFonts w:asciiTheme="minorHAnsi" w:eastAsiaTheme="minorEastAsia" w:hAnsiTheme="minorHAnsi" w:cstheme="minorBidi"/>
          <w:noProof/>
          <w:sz w:val="22"/>
          <w:szCs w:val="22"/>
        </w:rPr>
      </w:pPr>
      <w:hyperlink w:anchor="_Toc432577330" w:history="1">
        <w:r w:rsidR="000C5FE3" w:rsidRPr="003258EF">
          <w:rPr>
            <w:rStyle w:val="Hyperlink"/>
            <w:noProof/>
          </w:rPr>
          <w:t>4.9</w:t>
        </w:r>
        <w:r w:rsidR="000C5FE3">
          <w:rPr>
            <w:rFonts w:asciiTheme="minorHAnsi" w:eastAsiaTheme="minorEastAsia" w:hAnsiTheme="minorHAnsi" w:cstheme="minorBidi"/>
            <w:noProof/>
            <w:sz w:val="22"/>
            <w:szCs w:val="22"/>
          </w:rPr>
          <w:tab/>
        </w:r>
        <w:r w:rsidR="000C5FE3" w:rsidRPr="003258EF">
          <w:rPr>
            <w:rStyle w:val="Hyperlink"/>
            <w:noProof/>
          </w:rPr>
          <w:t>Recommendations</w:t>
        </w:r>
        <w:r w:rsidR="000C5FE3">
          <w:rPr>
            <w:noProof/>
            <w:webHidden/>
          </w:rPr>
          <w:tab/>
        </w:r>
        <w:r w:rsidR="000C5FE3">
          <w:rPr>
            <w:noProof/>
            <w:webHidden/>
          </w:rPr>
          <w:fldChar w:fldCharType="begin"/>
        </w:r>
        <w:r w:rsidR="000C5FE3">
          <w:rPr>
            <w:noProof/>
            <w:webHidden/>
          </w:rPr>
          <w:instrText xml:space="preserve"> PAGEREF _Toc432577330 \h </w:instrText>
        </w:r>
        <w:r w:rsidR="000C5FE3">
          <w:rPr>
            <w:noProof/>
            <w:webHidden/>
          </w:rPr>
        </w:r>
        <w:r w:rsidR="000C5FE3">
          <w:rPr>
            <w:noProof/>
            <w:webHidden/>
          </w:rPr>
          <w:fldChar w:fldCharType="separate"/>
        </w:r>
        <w:r w:rsidR="000C5FE3">
          <w:rPr>
            <w:noProof/>
            <w:webHidden/>
          </w:rPr>
          <w:t>74</w:t>
        </w:r>
        <w:r w:rsidR="000C5FE3">
          <w:rPr>
            <w:noProof/>
            <w:webHidden/>
          </w:rPr>
          <w:fldChar w:fldCharType="end"/>
        </w:r>
      </w:hyperlink>
    </w:p>
    <w:p w14:paraId="5710DEF3" w14:textId="77777777" w:rsidR="000C5FE3" w:rsidRDefault="0086430A">
      <w:pPr>
        <w:pStyle w:val="TOC1"/>
        <w:rPr>
          <w:rFonts w:asciiTheme="minorHAnsi" w:eastAsiaTheme="minorEastAsia" w:hAnsiTheme="minorHAnsi" w:cstheme="minorBidi"/>
          <w:bCs w:val="0"/>
          <w:noProof/>
          <w:sz w:val="22"/>
          <w:szCs w:val="22"/>
        </w:rPr>
      </w:pPr>
      <w:hyperlink w:anchor="_Toc432577331" w:history="1">
        <w:r w:rsidR="000C5FE3" w:rsidRPr="003258EF">
          <w:rPr>
            <w:rStyle w:val="Hyperlink"/>
            <w:noProof/>
          </w:rPr>
          <w:t>Appendices</w:t>
        </w:r>
        <w:r w:rsidR="000C5FE3">
          <w:rPr>
            <w:noProof/>
            <w:webHidden/>
          </w:rPr>
          <w:tab/>
        </w:r>
        <w:r w:rsidR="000C5FE3">
          <w:rPr>
            <w:noProof/>
            <w:webHidden/>
          </w:rPr>
          <w:fldChar w:fldCharType="begin"/>
        </w:r>
        <w:r w:rsidR="000C5FE3">
          <w:rPr>
            <w:noProof/>
            <w:webHidden/>
          </w:rPr>
          <w:instrText xml:space="preserve"> PAGEREF _Toc432577331 \h </w:instrText>
        </w:r>
        <w:r w:rsidR="000C5FE3">
          <w:rPr>
            <w:noProof/>
            <w:webHidden/>
          </w:rPr>
        </w:r>
        <w:r w:rsidR="000C5FE3">
          <w:rPr>
            <w:noProof/>
            <w:webHidden/>
          </w:rPr>
          <w:fldChar w:fldCharType="separate"/>
        </w:r>
        <w:r w:rsidR="000C5FE3">
          <w:rPr>
            <w:noProof/>
            <w:webHidden/>
          </w:rPr>
          <w:t>89</w:t>
        </w:r>
        <w:r w:rsidR="000C5FE3">
          <w:rPr>
            <w:noProof/>
            <w:webHidden/>
          </w:rPr>
          <w:fldChar w:fldCharType="end"/>
        </w:r>
      </w:hyperlink>
    </w:p>
    <w:p w14:paraId="3D45FAAD" w14:textId="77777777" w:rsidR="000C5FE3" w:rsidRDefault="0086430A">
      <w:pPr>
        <w:pStyle w:val="TOC2"/>
        <w:tabs>
          <w:tab w:val="right" w:pos="9060"/>
        </w:tabs>
        <w:rPr>
          <w:rFonts w:asciiTheme="minorHAnsi" w:eastAsiaTheme="minorEastAsia" w:hAnsiTheme="minorHAnsi" w:cstheme="minorBidi"/>
          <w:noProof/>
          <w:sz w:val="22"/>
          <w:szCs w:val="22"/>
        </w:rPr>
      </w:pPr>
      <w:hyperlink w:anchor="_Toc432577332" w:history="1">
        <w:r w:rsidR="000C5FE3" w:rsidRPr="003258EF">
          <w:rPr>
            <w:rStyle w:val="Hyperlink"/>
            <w:noProof/>
          </w:rPr>
          <w:t>Appendix 1: Speaking engagements</w:t>
        </w:r>
        <w:r w:rsidR="000C5FE3">
          <w:rPr>
            <w:noProof/>
            <w:webHidden/>
          </w:rPr>
          <w:tab/>
        </w:r>
        <w:r w:rsidR="000C5FE3">
          <w:rPr>
            <w:noProof/>
            <w:webHidden/>
          </w:rPr>
          <w:fldChar w:fldCharType="begin"/>
        </w:r>
        <w:r w:rsidR="000C5FE3">
          <w:rPr>
            <w:noProof/>
            <w:webHidden/>
          </w:rPr>
          <w:instrText xml:space="preserve"> PAGEREF _Toc432577332 \h </w:instrText>
        </w:r>
        <w:r w:rsidR="000C5FE3">
          <w:rPr>
            <w:noProof/>
            <w:webHidden/>
          </w:rPr>
        </w:r>
        <w:r w:rsidR="000C5FE3">
          <w:rPr>
            <w:noProof/>
            <w:webHidden/>
          </w:rPr>
          <w:fldChar w:fldCharType="separate"/>
        </w:r>
        <w:r w:rsidR="000C5FE3">
          <w:rPr>
            <w:noProof/>
            <w:webHidden/>
          </w:rPr>
          <w:t>89</w:t>
        </w:r>
        <w:r w:rsidR="000C5FE3">
          <w:rPr>
            <w:noProof/>
            <w:webHidden/>
          </w:rPr>
          <w:fldChar w:fldCharType="end"/>
        </w:r>
      </w:hyperlink>
    </w:p>
    <w:p w14:paraId="40AE95FD" w14:textId="77777777" w:rsidR="000C5FE3" w:rsidRDefault="0086430A">
      <w:pPr>
        <w:pStyle w:val="TOC2"/>
        <w:tabs>
          <w:tab w:val="right" w:pos="9060"/>
        </w:tabs>
        <w:rPr>
          <w:rFonts w:asciiTheme="minorHAnsi" w:eastAsiaTheme="minorEastAsia" w:hAnsiTheme="minorHAnsi" w:cstheme="minorBidi"/>
          <w:noProof/>
          <w:sz w:val="22"/>
          <w:szCs w:val="22"/>
        </w:rPr>
      </w:pPr>
      <w:hyperlink w:anchor="_Toc432577333" w:history="1">
        <w:r w:rsidR="000C5FE3" w:rsidRPr="003258EF">
          <w:rPr>
            <w:rStyle w:val="Hyperlink"/>
            <w:noProof/>
          </w:rPr>
          <w:t>Appendix 2: Face to face meetings and teleconferences about issues affecting children and young people</w:t>
        </w:r>
        <w:r w:rsidR="000C5FE3">
          <w:rPr>
            <w:noProof/>
            <w:webHidden/>
          </w:rPr>
          <w:tab/>
        </w:r>
        <w:r w:rsidR="000C5FE3">
          <w:rPr>
            <w:noProof/>
            <w:webHidden/>
          </w:rPr>
          <w:fldChar w:fldCharType="begin"/>
        </w:r>
        <w:r w:rsidR="000C5FE3">
          <w:rPr>
            <w:noProof/>
            <w:webHidden/>
          </w:rPr>
          <w:instrText xml:space="preserve"> PAGEREF _Toc432577333 \h </w:instrText>
        </w:r>
        <w:r w:rsidR="000C5FE3">
          <w:rPr>
            <w:noProof/>
            <w:webHidden/>
          </w:rPr>
        </w:r>
        <w:r w:rsidR="000C5FE3">
          <w:rPr>
            <w:noProof/>
            <w:webHidden/>
          </w:rPr>
          <w:fldChar w:fldCharType="separate"/>
        </w:r>
        <w:r w:rsidR="000C5FE3">
          <w:rPr>
            <w:noProof/>
            <w:webHidden/>
          </w:rPr>
          <w:t>92</w:t>
        </w:r>
        <w:r w:rsidR="000C5FE3">
          <w:rPr>
            <w:noProof/>
            <w:webHidden/>
          </w:rPr>
          <w:fldChar w:fldCharType="end"/>
        </w:r>
      </w:hyperlink>
    </w:p>
    <w:p w14:paraId="04BCEE45" w14:textId="77777777" w:rsidR="000C5FE3" w:rsidRDefault="0086430A">
      <w:pPr>
        <w:pStyle w:val="TOC2"/>
        <w:tabs>
          <w:tab w:val="right" w:pos="9060"/>
        </w:tabs>
        <w:rPr>
          <w:rFonts w:asciiTheme="minorHAnsi" w:eastAsiaTheme="minorEastAsia" w:hAnsiTheme="minorHAnsi" w:cstheme="minorBidi"/>
          <w:noProof/>
          <w:sz w:val="22"/>
          <w:szCs w:val="22"/>
        </w:rPr>
      </w:pPr>
      <w:hyperlink w:anchor="_Toc432577334" w:history="1">
        <w:r w:rsidR="000C5FE3" w:rsidRPr="003258EF">
          <w:rPr>
            <w:rStyle w:val="Hyperlink"/>
            <w:noProof/>
          </w:rPr>
          <w:t>Appendix 3: Memberships of advisory groups and ambassadorships</w:t>
        </w:r>
        <w:r w:rsidR="000C5FE3">
          <w:rPr>
            <w:noProof/>
            <w:webHidden/>
          </w:rPr>
          <w:tab/>
        </w:r>
        <w:r w:rsidR="000C5FE3">
          <w:rPr>
            <w:noProof/>
            <w:webHidden/>
          </w:rPr>
          <w:fldChar w:fldCharType="begin"/>
        </w:r>
        <w:r w:rsidR="000C5FE3">
          <w:rPr>
            <w:noProof/>
            <w:webHidden/>
          </w:rPr>
          <w:instrText xml:space="preserve"> PAGEREF _Toc432577334 \h </w:instrText>
        </w:r>
        <w:r w:rsidR="000C5FE3">
          <w:rPr>
            <w:noProof/>
            <w:webHidden/>
          </w:rPr>
        </w:r>
        <w:r w:rsidR="000C5FE3">
          <w:rPr>
            <w:noProof/>
            <w:webHidden/>
          </w:rPr>
          <w:fldChar w:fldCharType="separate"/>
        </w:r>
        <w:r w:rsidR="000C5FE3">
          <w:rPr>
            <w:noProof/>
            <w:webHidden/>
          </w:rPr>
          <w:t>102</w:t>
        </w:r>
        <w:r w:rsidR="000C5FE3">
          <w:rPr>
            <w:noProof/>
            <w:webHidden/>
          </w:rPr>
          <w:fldChar w:fldCharType="end"/>
        </w:r>
      </w:hyperlink>
    </w:p>
    <w:p w14:paraId="5F0D7AFF" w14:textId="77777777" w:rsidR="000C5FE3" w:rsidRDefault="0086430A">
      <w:pPr>
        <w:pStyle w:val="TOC2"/>
        <w:tabs>
          <w:tab w:val="right" w:pos="9060"/>
        </w:tabs>
        <w:rPr>
          <w:rFonts w:asciiTheme="minorHAnsi" w:eastAsiaTheme="minorEastAsia" w:hAnsiTheme="minorHAnsi" w:cstheme="minorBidi"/>
          <w:noProof/>
          <w:sz w:val="22"/>
          <w:szCs w:val="22"/>
        </w:rPr>
      </w:pPr>
      <w:hyperlink w:anchor="_Toc432577335" w:history="1">
        <w:r w:rsidR="000C5FE3" w:rsidRPr="003258EF">
          <w:rPr>
            <w:rStyle w:val="Hyperlink"/>
            <w:noProof/>
          </w:rPr>
          <w:t>Appendix 4: Consultations about business and children’s rights</w:t>
        </w:r>
        <w:r w:rsidR="000C5FE3">
          <w:rPr>
            <w:noProof/>
            <w:webHidden/>
          </w:rPr>
          <w:tab/>
        </w:r>
        <w:r w:rsidR="000C5FE3">
          <w:rPr>
            <w:noProof/>
            <w:webHidden/>
          </w:rPr>
          <w:fldChar w:fldCharType="begin"/>
        </w:r>
        <w:r w:rsidR="000C5FE3">
          <w:rPr>
            <w:noProof/>
            <w:webHidden/>
          </w:rPr>
          <w:instrText xml:space="preserve"> PAGEREF _Toc432577335 \h </w:instrText>
        </w:r>
        <w:r w:rsidR="000C5FE3">
          <w:rPr>
            <w:noProof/>
            <w:webHidden/>
          </w:rPr>
        </w:r>
        <w:r w:rsidR="000C5FE3">
          <w:rPr>
            <w:noProof/>
            <w:webHidden/>
          </w:rPr>
          <w:fldChar w:fldCharType="separate"/>
        </w:r>
        <w:r w:rsidR="000C5FE3">
          <w:rPr>
            <w:noProof/>
            <w:webHidden/>
          </w:rPr>
          <w:t>103</w:t>
        </w:r>
        <w:r w:rsidR="000C5FE3">
          <w:rPr>
            <w:noProof/>
            <w:webHidden/>
          </w:rPr>
          <w:fldChar w:fldCharType="end"/>
        </w:r>
      </w:hyperlink>
    </w:p>
    <w:p w14:paraId="23346FBD" w14:textId="77777777" w:rsidR="000C5FE3" w:rsidRDefault="0086430A">
      <w:pPr>
        <w:pStyle w:val="TOC2"/>
        <w:tabs>
          <w:tab w:val="right" w:pos="9060"/>
        </w:tabs>
        <w:rPr>
          <w:rFonts w:asciiTheme="minorHAnsi" w:eastAsiaTheme="minorEastAsia" w:hAnsiTheme="minorHAnsi" w:cstheme="minorBidi"/>
          <w:noProof/>
          <w:sz w:val="22"/>
          <w:szCs w:val="22"/>
        </w:rPr>
      </w:pPr>
      <w:hyperlink w:anchor="_Toc432577336" w:history="1">
        <w:r w:rsidR="000C5FE3" w:rsidRPr="003258EF">
          <w:rPr>
            <w:rStyle w:val="Hyperlink"/>
            <w:noProof/>
          </w:rPr>
          <w:t>Appendix 5: Submissions to my examination of family and domestic violence affecting children</w:t>
        </w:r>
        <w:r w:rsidR="000C5FE3">
          <w:rPr>
            <w:noProof/>
            <w:webHidden/>
          </w:rPr>
          <w:tab/>
        </w:r>
        <w:r w:rsidR="000C5FE3">
          <w:rPr>
            <w:noProof/>
            <w:webHidden/>
          </w:rPr>
          <w:fldChar w:fldCharType="begin"/>
        </w:r>
        <w:r w:rsidR="000C5FE3">
          <w:rPr>
            <w:noProof/>
            <w:webHidden/>
          </w:rPr>
          <w:instrText xml:space="preserve"> PAGEREF _Toc432577336 \h </w:instrText>
        </w:r>
        <w:r w:rsidR="000C5FE3">
          <w:rPr>
            <w:noProof/>
            <w:webHidden/>
          </w:rPr>
        </w:r>
        <w:r w:rsidR="000C5FE3">
          <w:rPr>
            <w:noProof/>
            <w:webHidden/>
          </w:rPr>
          <w:fldChar w:fldCharType="separate"/>
        </w:r>
        <w:r w:rsidR="000C5FE3">
          <w:rPr>
            <w:noProof/>
            <w:webHidden/>
          </w:rPr>
          <w:t>103</w:t>
        </w:r>
        <w:r w:rsidR="000C5FE3">
          <w:rPr>
            <w:noProof/>
            <w:webHidden/>
          </w:rPr>
          <w:fldChar w:fldCharType="end"/>
        </w:r>
      </w:hyperlink>
    </w:p>
    <w:p w14:paraId="2DAF7D1A" w14:textId="77777777" w:rsidR="000C5FE3" w:rsidRDefault="0086430A">
      <w:pPr>
        <w:pStyle w:val="TOC2"/>
        <w:tabs>
          <w:tab w:val="right" w:pos="9060"/>
        </w:tabs>
        <w:rPr>
          <w:rFonts w:asciiTheme="minorHAnsi" w:eastAsiaTheme="minorEastAsia" w:hAnsiTheme="minorHAnsi" w:cstheme="minorBidi"/>
          <w:noProof/>
          <w:sz w:val="22"/>
          <w:szCs w:val="22"/>
        </w:rPr>
      </w:pPr>
      <w:hyperlink w:anchor="_Toc432577337" w:history="1">
        <w:r w:rsidR="000C5FE3" w:rsidRPr="003258EF">
          <w:rPr>
            <w:rStyle w:val="Hyperlink"/>
            <w:noProof/>
          </w:rPr>
          <w:t>Appendix 6: National roundtables for my examination of family and domestic violence affecting children</w:t>
        </w:r>
        <w:r w:rsidR="000C5FE3">
          <w:rPr>
            <w:noProof/>
            <w:webHidden/>
          </w:rPr>
          <w:tab/>
        </w:r>
        <w:r w:rsidR="000C5FE3">
          <w:rPr>
            <w:noProof/>
            <w:webHidden/>
          </w:rPr>
          <w:fldChar w:fldCharType="begin"/>
        </w:r>
        <w:r w:rsidR="000C5FE3">
          <w:rPr>
            <w:noProof/>
            <w:webHidden/>
          </w:rPr>
          <w:instrText xml:space="preserve"> PAGEREF _Toc432577337 \h </w:instrText>
        </w:r>
        <w:r w:rsidR="000C5FE3">
          <w:rPr>
            <w:noProof/>
            <w:webHidden/>
          </w:rPr>
        </w:r>
        <w:r w:rsidR="000C5FE3">
          <w:rPr>
            <w:noProof/>
            <w:webHidden/>
          </w:rPr>
          <w:fldChar w:fldCharType="separate"/>
        </w:r>
        <w:r w:rsidR="000C5FE3">
          <w:rPr>
            <w:noProof/>
            <w:webHidden/>
          </w:rPr>
          <w:t>107</w:t>
        </w:r>
        <w:r w:rsidR="000C5FE3">
          <w:rPr>
            <w:noProof/>
            <w:webHidden/>
          </w:rPr>
          <w:fldChar w:fldCharType="end"/>
        </w:r>
      </w:hyperlink>
    </w:p>
    <w:p w14:paraId="405F2750" w14:textId="77777777" w:rsidR="000C5FE3" w:rsidRDefault="0086430A">
      <w:pPr>
        <w:pStyle w:val="TOC2"/>
        <w:tabs>
          <w:tab w:val="right" w:pos="9060"/>
        </w:tabs>
        <w:rPr>
          <w:rFonts w:asciiTheme="minorHAnsi" w:eastAsiaTheme="minorEastAsia" w:hAnsiTheme="minorHAnsi" w:cstheme="minorBidi"/>
          <w:noProof/>
          <w:sz w:val="22"/>
          <w:szCs w:val="22"/>
        </w:rPr>
      </w:pPr>
      <w:hyperlink w:anchor="_Toc432577338" w:history="1">
        <w:r w:rsidR="000C5FE3" w:rsidRPr="003258EF">
          <w:rPr>
            <w:rStyle w:val="Hyperlink"/>
            <w:noProof/>
          </w:rPr>
          <w:t>Appendix 7: Individual consultations with stakeholders relating to my examination of family and domestic violence affecting children</w:t>
        </w:r>
        <w:r w:rsidR="000C5FE3">
          <w:rPr>
            <w:noProof/>
            <w:webHidden/>
          </w:rPr>
          <w:tab/>
        </w:r>
        <w:r w:rsidR="000C5FE3">
          <w:rPr>
            <w:noProof/>
            <w:webHidden/>
          </w:rPr>
          <w:fldChar w:fldCharType="begin"/>
        </w:r>
        <w:r w:rsidR="000C5FE3">
          <w:rPr>
            <w:noProof/>
            <w:webHidden/>
          </w:rPr>
          <w:instrText xml:space="preserve"> PAGEREF _Toc432577338 \h </w:instrText>
        </w:r>
        <w:r w:rsidR="000C5FE3">
          <w:rPr>
            <w:noProof/>
            <w:webHidden/>
          </w:rPr>
        </w:r>
        <w:r w:rsidR="000C5FE3">
          <w:rPr>
            <w:noProof/>
            <w:webHidden/>
          </w:rPr>
          <w:fldChar w:fldCharType="separate"/>
        </w:r>
        <w:r w:rsidR="000C5FE3">
          <w:rPr>
            <w:noProof/>
            <w:webHidden/>
          </w:rPr>
          <w:t>115</w:t>
        </w:r>
        <w:r w:rsidR="000C5FE3">
          <w:rPr>
            <w:noProof/>
            <w:webHidden/>
          </w:rPr>
          <w:fldChar w:fldCharType="end"/>
        </w:r>
      </w:hyperlink>
    </w:p>
    <w:p w14:paraId="1D73EBE0" w14:textId="77777777" w:rsidR="000C5FE3" w:rsidRDefault="0086430A">
      <w:pPr>
        <w:pStyle w:val="TOC2"/>
        <w:tabs>
          <w:tab w:val="right" w:pos="9060"/>
        </w:tabs>
        <w:rPr>
          <w:rFonts w:asciiTheme="minorHAnsi" w:eastAsiaTheme="minorEastAsia" w:hAnsiTheme="minorHAnsi" w:cstheme="minorBidi"/>
          <w:noProof/>
          <w:sz w:val="22"/>
          <w:szCs w:val="22"/>
        </w:rPr>
      </w:pPr>
      <w:hyperlink w:anchor="_Toc432577339" w:history="1">
        <w:r w:rsidR="000C5FE3" w:rsidRPr="003258EF">
          <w:rPr>
            <w:rStyle w:val="Hyperlink"/>
            <w:noProof/>
          </w:rPr>
          <w:t>Appendix 8: ABS Recorded Crime – Victims data about children aged 0 to 17 years who were victims of physical assault and sexual assault</w:t>
        </w:r>
        <w:r w:rsidR="000C5FE3">
          <w:rPr>
            <w:noProof/>
            <w:webHidden/>
          </w:rPr>
          <w:tab/>
        </w:r>
        <w:r w:rsidR="000C5FE3">
          <w:rPr>
            <w:noProof/>
            <w:webHidden/>
          </w:rPr>
          <w:fldChar w:fldCharType="begin"/>
        </w:r>
        <w:r w:rsidR="000C5FE3">
          <w:rPr>
            <w:noProof/>
            <w:webHidden/>
          </w:rPr>
          <w:instrText xml:space="preserve"> PAGEREF _Toc432577339 \h </w:instrText>
        </w:r>
        <w:r w:rsidR="000C5FE3">
          <w:rPr>
            <w:noProof/>
            <w:webHidden/>
          </w:rPr>
        </w:r>
        <w:r w:rsidR="000C5FE3">
          <w:rPr>
            <w:noProof/>
            <w:webHidden/>
          </w:rPr>
          <w:fldChar w:fldCharType="separate"/>
        </w:r>
        <w:r w:rsidR="000C5FE3">
          <w:rPr>
            <w:noProof/>
            <w:webHidden/>
          </w:rPr>
          <w:t>115</w:t>
        </w:r>
        <w:r w:rsidR="000C5FE3">
          <w:rPr>
            <w:noProof/>
            <w:webHidden/>
          </w:rPr>
          <w:fldChar w:fldCharType="end"/>
        </w:r>
      </w:hyperlink>
    </w:p>
    <w:p w14:paraId="032CB29E" w14:textId="77777777" w:rsidR="000C5FE3" w:rsidRDefault="0086430A">
      <w:pPr>
        <w:pStyle w:val="TOC2"/>
        <w:tabs>
          <w:tab w:val="right" w:pos="9060"/>
        </w:tabs>
        <w:rPr>
          <w:rFonts w:asciiTheme="minorHAnsi" w:eastAsiaTheme="minorEastAsia" w:hAnsiTheme="minorHAnsi" w:cstheme="minorBidi"/>
          <w:noProof/>
          <w:sz w:val="22"/>
          <w:szCs w:val="22"/>
        </w:rPr>
      </w:pPr>
      <w:hyperlink w:anchor="_Toc432577340" w:history="1">
        <w:r w:rsidR="000C5FE3" w:rsidRPr="003258EF">
          <w:rPr>
            <w:rStyle w:val="Hyperlink"/>
            <w:noProof/>
          </w:rPr>
          <w:t>Appendix 9: ABS Personal Safety Survey data about children aged 0 to 14 years who experienced physical abuse and sexual abuse</w:t>
        </w:r>
        <w:r w:rsidR="000C5FE3">
          <w:rPr>
            <w:noProof/>
            <w:webHidden/>
          </w:rPr>
          <w:tab/>
        </w:r>
        <w:r w:rsidR="000C5FE3">
          <w:rPr>
            <w:noProof/>
            <w:webHidden/>
          </w:rPr>
          <w:fldChar w:fldCharType="begin"/>
        </w:r>
        <w:r w:rsidR="000C5FE3">
          <w:rPr>
            <w:noProof/>
            <w:webHidden/>
          </w:rPr>
          <w:instrText xml:space="preserve"> PAGEREF _Toc432577340 \h </w:instrText>
        </w:r>
        <w:r w:rsidR="000C5FE3">
          <w:rPr>
            <w:noProof/>
            <w:webHidden/>
          </w:rPr>
        </w:r>
        <w:r w:rsidR="000C5FE3">
          <w:rPr>
            <w:noProof/>
            <w:webHidden/>
          </w:rPr>
          <w:fldChar w:fldCharType="separate"/>
        </w:r>
        <w:r w:rsidR="000C5FE3">
          <w:rPr>
            <w:noProof/>
            <w:webHidden/>
          </w:rPr>
          <w:t>140</w:t>
        </w:r>
        <w:r w:rsidR="000C5FE3">
          <w:rPr>
            <w:noProof/>
            <w:webHidden/>
          </w:rPr>
          <w:fldChar w:fldCharType="end"/>
        </w:r>
      </w:hyperlink>
    </w:p>
    <w:p w14:paraId="64CCFA63" w14:textId="77777777" w:rsidR="000C5FE3" w:rsidRDefault="0086430A">
      <w:pPr>
        <w:pStyle w:val="TOC2"/>
        <w:tabs>
          <w:tab w:val="right" w:pos="9060"/>
        </w:tabs>
        <w:rPr>
          <w:rFonts w:asciiTheme="minorHAnsi" w:eastAsiaTheme="minorEastAsia" w:hAnsiTheme="minorHAnsi" w:cstheme="minorBidi"/>
          <w:noProof/>
          <w:sz w:val="22"/>
          <w:szCs w:val="22"/>
        </w:rPr>
      </w:pPr>
      <w:hyperlink w:anchor="_Toc432577341" w:history="1">
        <w:r w:rsidR="000C5FE3" w:rsidRPr="003258EF">
          <w:rPr>
            <w:rStyle w:val="Hyperlink"/>
            <w:noProof/>
          </w:rPr>
          <w:t>Appendix 10: National Centre for Longitudinal Data research summaries</w:t>
        </w:r>
        <w:r w:rsidR="000C5FE3">
          <w:rPr>
            <w:noProof/>
            <w:webHidden/>
          </w:rPr>
          <w:tab/>
        </w:r>
        <w:r w:rsidR="000C5FE3">
          <w:rPr>
            <w:noProof/>
            <w:webHidden/>
          </w:rPr>
          <w:fldChar w:fldCharType="begin"/>
        </w:r>
        <w:r w:rsidR="000C5FE3">
          <w:rPr>
            <w:noProof/>
            <w:webHidden/>
          </w:rPr>
          <w:instrText xml:space="preserve"> PAGEREF _Toc432577341 \h </w:instrText>
        </w:r>
        <w:r w:rsidR="000C5FE3">
          <w:rPr>
            <w:noProof/>
            <w:webHidden/>
          </w:rPr>
        </w:r>
        <w:r w:rsidR="000C5FE3">
          <w:rPr>
            <w:noProof/>
            <w:webHidden/>
          </w:rPr>
          <w:fldChar w:fldCharType="separate"/>
        </w:r>
        <w:r w:rsidR="000C5FE3">
          <w:rPr>
            <w:noProof/>
            <w:webHidden/>
          </w:rPr>
          <w:t>146</w:t>
        </w:r>
        <w:r w:rsidR="000C5FE3">
          <w:rPr>
            <w:noProof/>
            <w:webHidden/>
          </w:rPr>
          <w:fldChar w:fldCharType="end"/>
        </w:r>
      </w:hyperlink>
    </w:p>
    <w:p w14:paraId="26AEA181" w14:textId="77777777" w:rsidR="000C5FE3" w:rsidRDefault="0086430A">
      <w:pPr>
        <w:pStyle w:val="TOC2"/>
        <w:tabs>
          <w:tab w:val="right" w:pos="9060"/>
        </w:tabs>
        <w:rPr>
          <w:rFonts w:asciiTheme="minorHAnsi" w:eastAsiaTheme="minorEastAsia" w:hAnsiTheme="minorHAnsi" w:cstheme="minorBidi"/>
          <w:noProof/>
          <w:sz w:val="22"/>
          <w:szCs w:val="22"/>
        </w:rPr>
      </w:pPr>
      <w:hyperlink w:anchor="_Toc432577342" w:history="1">
        <w:r w:rsidR="000C5FE3" w:rsidRPr="003258EF">
          <w:rPr>
            <w:rStyle w:val="Hyperlink"/>
            <w:noProof/>
          </w:rPr>
          <w:t>Appendix 11: Kids Helpline data about children’s experiences of family and domestic violence</w:t>
        </w:r>
        <w:r w:rsidR="000C5FE3">
          <w:rPr>
            <w:noProof/>
            <w:webHidden/>
          </w:rPr>
          <w:tab/>
        </w:r>
        <w:r w:rsidR="000C5FE3">
          <w:rPr>
            <w:noProof/>
            <w:webHidden/>
          </w:rPr>
          <w:fldChar w:fldCharType="begin"/>
        </w:r>
        <w:r w:rsidR="000C5FE3">
          <w:rPr>
            <w:noProof/>
            <w:webHidden/>
          </w:rPr>
          <w:instrText xml:space="preserve"> PAGEREF _Toc432577342 \h </w:instrText>
        </w:r>
        <w:r w:rsidR="000C5FE3">
          <w:rPr>
            <w:noProof/>
            <w:webHidden/>
          </w:rPr>
        </w:r>
        <w:r w:rsidR="000C5FE3">
          <w:rPr>
            <w:noProof/>
            <w:webHidden/>
          </w:rPr>
          <w:fldChar w:fldCharType="separate"/>
        </w:r>
        <w:r w:rsidR="000C5FE3">
          <w:rPr>
            <w:noProof/>
            <w:webHidden/>
          </w:rPr>
          <w:t>149</w:t>
        </w:r>
        <w:r w:rsidR="000C5FE3">
          <w:rPr>
            <w:noProof/>
            <w:webHidden/>
          </w:rPr>
          <w:fldChar w:fldCharType="end"/>
        </w:r>
      </w:hyperlink>
    </w:p>
    <w:p w14:paraId="6BA011F1" w14:textId="27198E79" w:rsidR="003F7BF2" w:rsidRPr="00C73CE5" w:rsidRDefault="005F7541" w:rsidP="0076347E">
      <w:pPr>
        <w:spacing w:before="0" w:after="0"/>
        <w:jc w:val="both"/>
        <w:rPr>
          <w:b/>
        </w:rPr>
      </w:pPr>
      <w:r>
        <w:rPr>
          <w:rFonts w:asciiTheme="majorHAnsi" w:hAnsiTheme="majorHAnsi"/>
          <w:caps/>
          <w:noProof/>
          <w:sz w:val="22"/>
          <w:szCs w:val="20"/>
        </w:rPr>
        <w:fldChar w:fldCharType="end"/>
      </w:r>
    </w:p>
    <w:p w14:paraId="76DD3792" w14:textId="77777777" w:rsidR="003F7BF2" w:rsidRDefault="003F7BF2" w:rsidP="003F7BF2">
      <w:pPr>
        <w:spacing w:before="0" w:after="0"/>
      </w:pPr>
    </w:p>
    <w:p w14:paraId="470D647C" w14:textId="77777777" w:rsidR="009C7483" w:rsidRDefault="009C7483">
      <w:pPr>
        <w:spacing w:before="0" w:after="0"/>
        <w:rPr>
          <w:b/>
          <w:sz w:val="36"/>
          <w:szCs w:val="36"/>
        </w:rPr>
      </w:pPr>
      <w:r>
        <w:rPr>
          <w:b/>
          <w:sz w:val="36"/>
          <w:szCs w:val="36"/>
        </w:rPr>
        <w:br w:type="page"/>
      </w:r>
    </w:p>
    <w:p w14:paraId="13CDB3A1" w14:textId="199D6A8D" w:rsidR="00DC64E0" w:rsidRDefault="00DC64E0" w:rsidP="00DC64E0">
      <w:pPr>
        <w:spacing w:before="0" w:after="0"/>
        <w:jc w:val="both"/>
        <w:rPr>
          <w:b/>
          <w:sz w:val="36"/>
          <w:szCs w:val="36"/>
        </w:rPr>
      </w:pPr>
      <w:r w:rsidRPr="00DC64E0">
        <w:rPr>
          <w:b/>
          <w:sz w:val="36"/>
          <w:szCs w:val="36"/>
        </w:rPr>
        <w:lastRenderedPageBreak/>
        <w:t>Overview</w:t>
      </w:r>
    </w:p>
    <w:p w14:paraId="67F14BDB" w14:textId="77777777" w:rsidR="00DC64E0" w:rsidRDefault="00DC64E0" w:rsidP="00DC64E0">
      <w:pPr>
        <w:spacing w:before="0" w:after="0"/>
        <w:jc w:val="both"/>
        <w:rPr>
          <w:b/>
          <w:sz w:val="36"/>
          <w:szCs w:val="36"/>
        </w:rPr>
      </w:pPr>
    </w:p>
    <w:p w14:paraId="4237C9CA" w14:textId="5570EAEC" w:rsidR="00DC64E0" w:rsidRPr="00DC64E0" w:rsidRDefault="00DC64E0" w:rsidP="00DC64E0">
      <w:pPr>
        <w:spacing w:before="0" w:after="0"/>
        <w:jc w:val="both"/>
      </w:pPr>
      <w:r w:rsidRPr="00DC64E0">
        <w:t xml:space="preserve">It is with great pleasure that I present my third annual </w:t>
      </w:r>
      <w:r w:rsidRPr="00DC64E0">
        <w:rPr>
          <w:i/>
        </w:rPr>
        <w:t>Children’s Rights Report</w:t>
      </w:r>
      <w:r w:rsidRPr="00DC64E0">
        <w:t xml:space="preserve"> as the National Children’s Commissioner. This report details how I have fulfilled my statutory functions, outlined in Section 46MB of the </w:t>
      </w:r>
      <w:r w:rsidRPr="009C7483">
        <w:rPr>
          <w:i/>
        </w:rPr>
        <w:t>Australia Human Rights Commission Act 1986</w:t>
      </w:r>
      <w:r w:rsidRPr="00DC64E0">
        <w:t xml:space="preserve"> (Cth) (the Act) during the 2014-15 period.</w:t>
      </w:r>
    </w:p>
    <w:p w14:paraId="71452438" w14:textId="77777777" w:rsidR="00DC64E0" w:rsidRPr="00DC64E0" w:rsidRDefault="00DC64E0" w:rsidP="00DC64E0">
      <w:pPr>
        <w:spacing w:before="0" w:after="0"/>
        <w:jc w:val="both"/>
      </w:pPr>
    </w:p>
    <w:p w14:paraId="048B7062" w14:textId="4559DE23" w:rsidR="00DC64E0" w:rsidRPr="00DC64E0" w:rsidRDefault="00DC64E0" w:rsidP="00DC64E0">
      <w:pPr>
        <w:spacing w:before="0" w:after="0"/>
        <w:jc w:val="both"/>
      </w:pPr>
      <w:r w:rsidRPr="00DC64E0">
        <w:t xml:space="preserve">At the core of my role is the promotion and protection of children’s rights, in line with Australia’s commitments under the United Nations </w:t>
      </w:r>
      <w:r w:rsidRPr="00AE0B34">
        <w:t>Convention on the Rights of the Child</w:t>
      </w:r>
      <w:r w:rsidRPr="00DC64E0">
        <w:t xml:space="preserve">, and other international laws and conventions where children’s lives are affected. </w:t>
      </w:r>
    </w:p>
    <w:p w14:paraId="746312C6" w14:textId="77777777" w:rsidR="00DC64E0" w:rsidRPr="00DC64E0" w:rsidRDefault="00DC64E0" w:rsidP="00DC64E0">
      <w:pPr>
        <w:spacing w:before="0" w:after="0"/>
        <w:jc w:val="both"/>
      </w:pPr>
    </w:p>
    <w:p w14:paraId="17D43875" w14:textId="3A628815" w:rsidR="00DC64E0" w:rsidRPr="00DC64E0" w:rsidRDefault="00DC64E0" w:rsidP="00DC64E0">
      <w:pPr>
        <w:spacing w:before="0" w:after="0"/>
        <w:jc w:val="both"/>
      </w:pPr>
      <w:r w:rsidRPr="00DC64E0">
        <w:t xml:space="preserve">The work I do in this role is for all of the 5.2 million </w:t>
      </w:r>
      <w:r w:rsidR="008254A6">
        <w:t>children aged 0-17</w:t>
      </w:r>
      <w:r w:rsidRPr="00DC64E0">
        <w:t xml:space="preserve"> year</w:t>
      </w:r>
      <w:r w:rsidR="008254A6">
        <w:t>s</w:t>
      </w:r>
      <w:r w:rsidRPr="00DC64E0">
        <w:t xml:space="preserve"> across the nation,</w:t>
      </w:r>
      <w:r w:rsidR="008254A6">
        <w:rPr>
          <w:rStyle w:val="EndnoteReference"/>
        </w:rPr>
        <w:endnoteReference w:id="1"/>
      </w:r>
      <w:r w:rsidRPr="00DC64E0">
        <w:t xml:space="preserve"> with a particular focus on issues that arise when children’s rights are denied, disputed, neglected or violated, and where their voices largely go unheard.</w:t>
      </w:r>
    </w:p>
    <w:p w14:paraId="4386A42A" w14:textId="77777777" w:rsidR="00DC64E0" w:rsidRPr="00DC64E0" w:rsidRDefault="00DC64E0" w:rsidP="00DC64E0">
      <w:pPr>
        <w:spacing w:before="0" w:after="0"/>
        <w:jc w:val="both"/>
      </w:pPr>
    </w:p>
    <w:p w14:paraId="1F54B9EC" w14:textId="6978E24C" w:rsidR="00DC64E0" w:rsidRPr="00DC64E0" w:rsidRDefault="00DC64E0" w:rsidP="00DC64E0">
      <w:pPr>
        <w:spacing w:before="0" w:after="0"/>
        <w:jc w:val="both"/>
      </w:pPr>
      <w:r w:rsidRPr="00DC64E0">
        <w:t xml:space="preserve">In this </w:t>
      </w:r>
      <w:r w:rsidR="009C7483">
        <w:t>r</w:t>
      </w:r>
      <w:r w:rsidRPr="00DC64E0">
        <w:t xml:space="preserve">eport, you will read about, and I hope be encouraged by, the progress made in delivering a society that sees children and young people as citizens now, rather than citizens in waiting and as rights holders on their own behalf - a society whose members are committed to realising those rights and supporting their fulfilment. </w:t>
      </w:r>
    </w:p>
    <w:p w14:paraId="106D6456" w14:textId="77777777" w:rsidR="00DC64E0" w:rsidRPr="00DC64E0" w:rsidRDefault="00DC64E0" w:rsidP="00DC64E0">
      <w:pPr>
        <w:spacing w:before="0" w:after="0"/>
        <w:jc w:val="both"/>
      </w:pPr>
    </w:p>
    <w:p w14:paraId="4FAEE34D" w14:textId="77777777" w:rsidR="00DC64E0" w:rsidRPr="00DC64E0" w:rsidRDefault="00DC64E0" w:rsidP="00DC64E0">
      <w:pPr>
        <w:spacing w:before="0" w:after="0"/>
        <w:jc w:val="both"/>
      </w:pPr>
      <w:r w:rsidRPr="00DC64E0">
        <w:t>I hope that you will be inspired by what you read in this year’s report, including the results of two new projects on the impact of family and domestic violence on children, and on children’s rights and business.</w:t>
      </w:r>
    </w:p>
    <w:p w14:paraId="0352D353" w14:textId="77777777" w:rsidR="00DC64E0" w:rsidRPr="00DC64E0" w:rsidRDefault="00DC64E0" w:rsidP="00DC64E0">
      <w:pPr>
        <w:spacing w:before="0" w:after="0"/>
        <w:jc w:val="both"/>
      </w:pPr>
    </w:p>
    <w:p w14:paraId="1B81BC2B" w14:textId="77777777" w:rsidR="00DC64E0" w:rsidRPr="00DC64E0" w:rsidRDefault="00DC64E0" w:rsidP="00DC64E0">
      <w:pPr>
        <w:spacing w:before="0" w:after="0"/>
        <w:jc w:val="both"/>
      </w:pPr>
      <w:r w:rsidRPr="00DC64E0">
        <w:t>This could not be achieved without the efforts of the staff of the Australian Human Rights Commission, who have worked tirelessly to support me over the year and to deliver this report. Nor could I do my job without the generous support of the many individuals and agencies across government and community who care about and care for children and young people. And most importantly my heartfelt thanks to all the fabulous children and young people I have been able to engage with, learn from and be inspired by.</w:t>
      </w:r>
    </w:p>
    <w:p w14:paraId="5B1C8D1F" w14:textId="77777777" w:rsidR="00DC64E0" w:rsidRPr="00DC64E0" w:rsidRDefault="00DC64E0" w:rsidP="00DC64E0">
      <w:pPr>
        <w:spacing w:before="0" w:after="0"/>
        <w:jc w:val="both"/>
      </w:pPr>
    </w:p>
    <w:p w14:paraId="2EF7EE85" w14:textId="2A7E7CBD" w:rsidR="00DC64E0" w:rsidRDefault="00DC64E0" w:rsidP="0076347E">
      <w:pPr>
        <w:spacing w:before="0" w:after="0"/>
        <w:ind w:left="1440" w:hanging="1440"/>
        <w:jc w:val="both"/>
        <w:rPr>
          <w:b/>
        </w:rPr>
      </w:pPr>
      <w:r w:rsidRPr="00DC64E0">
        <w:rPr>
          <w:b/>
        </w:rPr>
        <w:t xml:space="preserve">Chapter 1: </w:t>
      </w:r>
      <w:r w:rsidR="006A687A">
        <w:rPr>
          <w:b/>
        </w:rPr>
        <w:tab/>
      </w:r>
      <w:r w:rsidRPr="00DC64E0">
        <w:rPr>
          <w:b/>
        </w:rPr>
        <w:t>My work to promote discussion and awareness of children’s rights in Australia</w:t>
      </w:r>
    </w:p>
    <w:p w14:paraId="33B0568E" w14:textId="77777777" w:rsidR="003449BE" w:rsidRDefault="00DC64E0" w:rsidP="00DC64E0">
      <w:pPr>
        <w:spacing w:before="0" w:after="0"/>
        <w:jc w:val="both"/>
        <w:sectPr w:rsidR="003449BE" w:rsidSect="00B63D24">
          <w:headerReference w:type="even" r:id="rId32"/>
          <w:headerReference w:type="default" r:id="rId33"/>
          <w:footerReference w:type="default" r:id="rId34"/>
          <w:headerReference w:type="first" r:id="rId35"/>
          <w:endnotePr>
            <w:numFmt w:val="decimal"/>
          </w:endnotePr>
          <w:pgSz w:w="11906" w:h="16838" w:code="9"/>
          <w:pgMar w:top="1134" w:right="1418" w:bottom="1134" w:left="1418" w:header="709" w:footer="709" w:gutter="0"/>
          <w:pgNumType w:start="2"/>
          <w:cols w:space="708"/>
          <w:docGrid w:linePitch="360"/>
        </w:sectPr>
      </w:pPr>
      <w:r w:rsidRPr="00DC64E0">
        <w:rPr>
          <w:b/>
        </w:rPr>
        <w:br/>
      </w:r>
      <w:r w:rsidRPr="00DC64E0">
        <w:t xml:space="preserve">Chapter 1 examines the work I have undertaken throughout the past year to promote discussion and awareness of matters relating to the human rights of children and young people in Australia. It also discuss the progress of recommendations that I made in my </w:t>
      </w:r>
      <w:r w:rsidRPr="00DC64E0">
        <w:rPr>
          <w:i/>
        </w:rPr>
        <w:t xml:space="preserve">Children’s Rights Report 2013 </w:t>
      </w:r>
      <w:r w:rsidRPr="00DC64E0">
        <w:t xml:space="preserve">and </w:t>
      </w:r>
      <w:r w:rsidRPr="00DC64E0">
        <w:rPr>
          <w:i/>
        </w:rPr>
        <w:t>2014</w:t>
      </w:r>
      <w:r w:rsidRPr="00DC64E0">
        <w:t>.</w:t>
      </w:r>
    </w:p>
    <w:p w14:paraId="49A02182" w14:textId="5184240B" w:rsidR="00DC64E0" w:rsidRPr="00DC64E0" w:rsidRDefault="00DC64E0" w:rsidP="00DC64E0">
      <w:pPr>
        <w:spacing w:before="0" w:after="0"/>
        <w:jc w:val="both"/>
        <w:rPr>
          <w:b/>
        </w:rPr>
      </w:pPr>
      <w:r w:rsidRPr="00DC64E0">
        <w:rPr>
          <w:b/>
        </w:rPr>
        <w:lastRenderedPageBreak/>
        <w:t xml:space="preserve">Chapter 2: </w:t>
      </w:r>
      <w:r w:rsidR="006A687A">
        <w:rPr>
          <w:b/>
        </w:rPr>
        <w:tab/>
      </w:r>
      <w:r w:rsidRPr="00DC64E0">
        <w:rPr>
          <w:b/>
        </w:rPr>
        <w:t>Child rights in legislation and court proceedings</w:t>
      </w:r>
    </w:p>
    <w:p w14:paraId="1F32451B" w14:textId="77777777" w:rsidR="00DC64E0" w:rsidRPr="00DC64E0" w:rsidRDefault="00DC64E0" w:rsidP="00DC64E0">
      <w:pPr>
        <w:spacing w:before="0" w:after="0"/>
        <w:jc w:val="both"/>
      </w:pPr>
    </w:p>
    <w:p w14:paraId="6691DE38" w14:textId="77777777" w:rsidR="00DC64E0" w:rsidRPr="00DC64E0" w:rsidRDefault="00DC64E0" w:rsidP="00DC64E0">
      <w:pPr>
        <w:spacing w:before="0" w:after="0"/>
        <w:jc w:val="both"/>
      </w:pPr>
      <w:r w:rsidRPr="00DC64E0">
        <w:t>Chapter 2 reports on my survey of the comments made by the Parliamentary Joint Committee on Human Rights regarding how the human rights of children and young people were taken into account by the Statements of Compatibility with Human Rights accompanying Bills introduced to Parliament during the reporting period. Where the Australian Human Rights Commission examined Bills in more detail and made submissions about these Bills, I have included a summary of our position.</w:t>
      </w:r>
    </w:p>
    <w:p w14:paraId="0506FA24" w14:textId="77777777" w:rsidR="00DC64E0" w:rsidRPr="00DC64E0" w:rsidRDefault="00DC64E0" w:rsidP="00DC64E0">
      <w:pPr>
        <w:spacing w:before="0" w:after="0"/>
        <w:jc w:val="both"/>
      </w:pPr>
    </w:p>
    <w:p w14:paraId="77B6EADA" w14:textId="18A91B06" w:rsidR="00DC64E0" w:rsidRPr="00DC64E0" w:rsidRDefault="00DC64E0" w:rsidP="00DC64E0">
      <w:pPr>
        <w:spacing w:before="0" w:after="0"/>
        <w:jc w:val="both"/>
        <w:rPr>
          <w:b/>
        </w:rPr>
      </w:pPr>
      <w:r w:rsidRPr="00DC64E0">
        <w:rPr>
          <w:b/>
        </w:rPr>
        <w:t xml:space="preserve">Chapter 3: </w:t>
      </w:r>
      <w:r w:rsidR="006A687A">
        <w:rPr>
          <w:b/>
        </w:rPr>
        <w:tab/>
      </w:r>
      <w:r w:rsidRPr="00DC64E0">
        <w:rPr>
          <w:b/>
        </w:rPr>
        <w:t>Business and Children’s Rights</w:t>
      </w:r>
    </w:p>
    <w:p w14:paraId="3F5C9ABE" w14:textId="77777777" w:rsidR="00DC64E0" w:rsidRPr="00DC64E0" w:rsidRDefault="00DC64E0" w:rsidP="00DC64E0">
      <w:pPr>
        <w:spacing w:before="0" w:after="0"/>
        <w:jc w:val="both"/>
        <w:rPr>
          <w:b/>
        </w:rPr>
      </w:pPr>
    </w:p>
    <w:p w14:paraId="5EA93414" w14:textId="723DD2F7" w:rsidR="00DC64E0" w:rsidRPr="00DC64E0" w:rsidRDefault="00DC64E0" w:rsidP="00DC64E0">
      <w:pPr>
        <w:spacing w:before="0" w:after="0"/>
        <w:jc w:val="both"/>
      </w:pPr>
      <w:r w:rsidRPr="00DC64E0">
        <w:t xml:space="preserve">Chapter 3 details the </w:t>
      </w:r>
      <w:r w:rsidR="00DA19E7">
        <w:t>work</w:t>
      </w:r>
      <w:r w:rsidRPr="00DC64E0">
        <w:t xml:space="preserve"> and research that I undertook in 2015, into the rights of children within the Australian business and consumer context, focusing on children as consumers of goods and services. As part of this </w:t>
      </w:r>
      <w:r w:rsidR="00DA19E7">
        <w:t>work,</w:t>
      </w:r>
      <w:r w:rsidRPr="00DC64E0">
        <w:t xml:space="preserve"> an extensive literature review was undertaken, and I consulted with financial advice services, the National Children’s Youth and Law Centre, and </w:t>
      </w:r>
      <w:r w:rsidR="00113512">
        <w:t>120</w:t>
      </w:r>
      <w:r w:rsidR="00113512" w:rsidRPr="00DC64E0">
        <w:t xml:space="preserve"> </w:t>
      </w:r>
      <w:r w:rsidRPr="00DC64E0">
        <w:t xml:space="preserve">students and young people, from a total of </w:t>
      </w:r>
      <w:r w:rsidR="00DA19E7">
        <w:t>seven</w:t>
      </w:r>
      <w:r w:rsidRPr="00DC64E0">
        <w:t xml:space="preserve"> schools and youth groups. </w:t>
      </w:r>
    </w:p>
    <w:p w14:paraId="1C3FC0EE" w14:textId="77777777" w:rsidR="00DC64E0" w:rsidRPr="00DC64E0" w:rsidRDefault="00DC64E0" w:rsidP="00DC64E0">
      <w:pPr>
        <w:spacing w:before="0" w:after="0"/>
        <w:jc w:val="both"/>
      </w:pPr>
    </w:p>
    <w:p w14:paraId="54D91FE2" w14:textId="7AED1586" w:rsidR="00DC64E0" w:rsidRPr="00DC64E0" w:rsidRDefault="00DA19E7" w:rsidP="00DC64E0">
      <w:pPr>
        <w:spacing w:before="0" w:after="0"/>
        <w:jc w:val="both"/>
      </w:pPr>
      <w:r>
        <w:t>Through my work, I found</w:t>
      </w:r>
      <w:r w:rsidR="00DC64E0" w:rsidRPr="00DC64E0">
        <w:t xml:space="preserve"> that children are very active as consumers, including in the on</w:t>
      </w:r>
      <w:r>
        <w:t>line environment. However</w:t>
      </w:r>
      <w:r w:rsidR="00DC64E0" w:rsidRPr="00DC64E0">
        <w:t xml:space="preserve"> relatively little is known about how children are affected as consumers, or of potential opportunities to pursue greater safeguards.</w:t>
      </w:r>
    </w:p>
    <w:p w14:paraId="28A90E80" w14:textId="77777777" w:rsidR="00DC64E0" w:rsidRPr="00DC64E0" w:rsidRDefault="00DC64E0" w:rsidP="00DC64E0">
      <w:pPr>
        <w:spacing w:before="0" w:after="0"/>
        <w:jc w:val="both"/>
      </w:pPr>
    </w:p>
    <w:p w14:paraId="789DFF77" w14:textId="77777777" w:rsidR="00DC64E0" w:rsidRPr="00DC64E0" w:rsidRDefault="00DC64E0" w:rsidP="00DC64E0">
      <w:pPr>
        <w:spacing w:before="0" w:after="0"/>
        <w:jc w:val="both"/>
      </w:pPr>
      <w:r w:rsidRPr="00DC64E0">
        <w:t>I recommend that research be supported in the Australian context to better understand children’s experiences as contemporary consumers, and how existing regulatory frameworks are shaping business efforts to raise awareness among children of their rights as consumers.</w:t>
      </w:r>
    </w:p>
    <w:p w14:paraId="605E768F" w14:textId="77777777" w:rsidR="00DC64E0" w:rsidRPr="00DC64E0" w:rsidRDefault="00DC64E0" w:rsidP="00DC64E0">
      <w:pPr>
        <w:spacing w:before="0" w:after="0"/>
        <w:jc w:val="both"/>
      </w:pPr>
    </w:p>
    <w:p w14:paraId="129567F6" w14:textId="63631C78" w:rsidR="006A687A" w:rsidRDefault="00DC64E0" w:rsidP="00DC64E0">
      <w:pPr>
        <w:spacing w:before="0" w:after="0"/>
        <w:jc w:val="both"/>
        <w:rPr>
          <w:b/>
        </w:rPr>
      </w:pPr>
      <w:r w:rsidRPr="00DC64E0">
        <w:rPr>
          <w:b/>
        </w:rPr>
        <w:t xml:space="preserve">Chapter 4: </w:t>
      </w:r>
      <w:r w:rsidR="006A687A">
        <w:rPr>
          <w:b/>
        </w:rPr>
        <w:tab/>
        <w:t xml:space="preserve">“All I want is a life </w:t>
      </w:r>
      <w:r w:rsidR="00684616">
        <w:rPr>
          <w:b/>
        </w:rPr>
        <w:t>free from violence</w:t>
      </w:r>
      <w:r w:rsidR="006A687A">
        <w:rPr>
          <w:b/>
        </w:rPr>
        <w:t xml:space="preserve">” </w:t>
      </w:r>
    </w:p>
    <w:p w14:paraId="2C761AE1" w14:textId="77777777" w:rsidR="006A687A" w:rsidRDefault="006A687A" w:rsidP="0076347E">
      <w:pPr>
        <w:spacing w:before="0" w:after="0"/>
        <w:ind w:left="720" w:firstLine="720"/>
        <w:jc w:val="both"/>
        <w:rPr>
          <w:b/>
        </w:rPr>
      </w:pPr>
    </w:p>
    <w:p w14:paraId="22F72F62" w14:textId="07045141" w:rsidR="00DC64E0" w:rsidRPr="00DC64E0" w:rsidRDefault="006A687A" w:rsidP="0076347E">
      <w:pPr>
        <w:spacing w:before="0" w:after="0"/>
        <w:ind w:left="720" w:firstLine="720"/>
        <w:jc w:val="both"/>
        <w:rPr>
          <w:b/>
        </w:rPr>
      </w:pPr>
      <w:r>
        <w:rPr>
          <w:b/>
        </w:rPr>
        <w:t>The impact of family and domestic violence on children</w:t>
      </w:r>
    </w:p>
    <w:p w14:paraId="7FE1777F" w14:textId="77777777" w:rsidR="00DC64E0" w:rsidRPr="00DC64E0" w:rsidRDefault="00DC64E0" w:rsidP="00DC64E0">
      <w:pPr>
        <w:spacing w:before="0" w:after="0"/>
        <w:jc w:val="both"/>
        <w:rPr>
          <w:b/>
        </w:rPr>
      </w:pPr>
    </w:p>
    <w:p w14:paraId="07B24C7C" w14:textId="1CA12B06" w:rsidR="00DC64E0" w:rsidRPr="00DC64E0" w:rsidRDefault="00DC64E0" w:rsidP="00DC64E0">
      <w:pPr>
        <w:spacing w:before="0" w:after="0"/>
        <w:jc w:val="both"/>
      </w:pPr>
      <w:r w:rsidRPr="00DC64E0">
        <w:t xml:space="preserve">Chapter 4 details the </w:t>
      </w:r>
      <w:r w:rsidR="00D815EB">
        <w:t xml:space="preserve">national consultation </w:t>
      </w:r>
      <w:r w:rsidRPr="00DC64E0">
        <w:t>I undertook in 2015</w:t>
      </w:r>
      <w:r w:rsidR="00D815EB">
        <w:t xml:space="preserve"> </w:t>
      </w:r>
      <w:r w:rsidRPr="00DC64E0">
        <w:t>into the impact of family and domestic violence on the human rights of children and young people under the age of 18</w:t>
      </w:r>
      <w:r w:rsidR="00113512">
        <w:t xml:space="preserve"> years</w:t>
      </w:r>
      <w:r w:rsidRPr="00DC64E0">
        <w:t xml:space="preserve">. As part of my </w:t>
      </w:r>
      <w:r w:rsidR="0068086E">
        <w:t>consultation</w:t>
      </w:r>
      <w:r w:rsidRPr="00DC64E0">
        <w:t xml:space="preserve">, I held roundtables in all state and territory capital cities across Australia with experts in </w:t>
      </w:r>
      <w:r w:rsidR="0068086E">
        <w:t>family</w:t>
      </w:r>
      <w:r w:rsidR="0068086E" w:rsidRPr="00DC64E0">
        <w:t xml:space="preserve"> </w:t>
      </w:r>
      <w:r w:rsidRPr="00DC64E0">
        <w:t xml:space="preserve">and </w:t>
      </w:r>
      <w:r w:rsidR="0068086E">
        <w:t>domestic</w:t>
      </w:r>
      <w:r w:rsidR="0068086E" w:rsidRPr="00DC64E0">
        <w:t xml:space="preserve"> </w:t>
      </w:r>
      <w:r w:rsidRPr="00DC64E0">
        <w:t>violence, and received 62 responses to my call for submissions. I also sourced previously unpublished data from the Australian Bureau of Statistics, the National Centre for Longitudinal Data, and the Kids Helpline.</w:t>
      </w:r>
    </w:p>
    <w:p w14:paraId="5E2CE293" w14:textId="77777777" w:rsidR="00DC64E0" w:rsidRPr="00DC64E0" w:rsidRDefault="00DC64E0" w:rsidP="00DC64E0">
      <w:pPr>
        <w:spacing w:before="0" w:after="0"/>
        <w:jc w:val="both"/>
      </w:pPr>
    </w:p>
    <w:p w14:paraId="433DD19C" w14:textId="6DFC57AC" w:rsidR="00113512" w:rsidRDefault="00DC64E0" w:rsidP="00DC64E0">
      <w:pPr>
        <w:spacing w:before="0" w:after="0"/>
        <w:jc w:val="both"/>
      </w:pPr>
      <w:r w:rsidRPr="00DC64E0">
        <w:t xml:space="preserve">The primary finding from my </w:t>
      </w:r>
      <w:r w:rsidR="0068086E">
        <w:t>consultation</w:t>
      </w:r>
      <w:r w:rsidR="0068086E" w:rsidRPr="00DC64E0">
        <w:t xml:space="preserve"> </w:t>
      </w:r>
      <w:r w:rsidRPr="00DC64E0">
        <w:t xml:space="preserve">is that while the evidence base about the harmful effects of family and domestic violence is strong, much less is known about the variability in impact and the accessibility of or effectiveness of interventions. </w:t>
      </w:r>
    </w:p>
    <w:p w14:paraId="33FB3270" w14:textId="77777777" w:rsidR="00113512" w:rsidRDefault="00113512" w:rsidP="00DC64E0">
      <w:pPr>
        <w:spacing w:before="0" w:after="0"/>
        <w:jc w:val="both"/>
      </w:pPr>
    </w:p>
    <w:p w14:paraId="7AFCFDB6" w14:textId="359F1BD3" w:rsidR="00DC64E0" w:rsidRPr="00DC64E0" w:rsidRDefault="00DC64E0" w:rsidP="00DC64E0">
      <w:pPr>
        <w:spacing w:before="0" w:after="0"/>
        <w:jc w:val="both"/>
      </w:pPr>
      <w:r w:rsidRPr="00DC64E0">
        <w:t>Comprehensive, quality data and research at a national level is required to improve our understanding of both the prevalence and impact of family and domestic violence on children. Early intervention and education is also urgently needed to prevent violence and provide better protection for children.</w:t>
      </w:r>
    </w:p>
    <w:p w14:paraId="569E26ED" w14:textId="77777777" w:rsidR="00DC64E0" w:rsidRPr="00DC64E0" w:rsidRDefault="00DC64E0" w:rsidP="00DC64E0">
      <w:pPr>
        <w:spacing w:before="0" w:after="0"/>
        <w:jc w:val="both"/>
      </w:pPr>
    </w:p>
    <w:p w14:paraId="0C483D06" w14:textId="49E84F84" w:rsidR="00DC64E0" w:rsidRPr="00DC64E0" w:rsidRDefault="00C77150" w:rsidP="00DC64E0">
      <w:pPr>
        <w:spacing w:before="0" w:after="0"/>
        <w:jc w:val="both"/>
      </w:pPr>
      <w:r>
        <w:t xml:space="preserve">I make </w:t>
      </w:r>
      <w:r w:rsidR="0068086E">
        <w:t>14</w:t>
      </w:r>
      <w:r w:rsidR="0068086E" w:rsidRPr="00DC64E0">
        <w:t xml:space="preserve"> </w:t>
      </w:r>
      <w:r w:rsidR="00DC64E0" w:rsidRPr="00DC64E0">
        <w:t>recommendations which provide direction for moving forward.</w:t>
      </w:r>
    </w:p>
    <w:p w14:paraId="4A59CA5F" w14:textId="77777777" w:rsidR="00DC64E0" w:rsidRPr="00DC64E0" w:rsidRDefault="00DC64E0" w:rsidP="00DC64E0">
      <w:pPr>
        <w:spacing w:before="0" w:after="0"/>
        <w:jc w:val="both"/>
      </w:pPr>
    </w:p>
    <w:p w14:paraId="0EF559A9" w14:textId="77777777" w:rsidR="003449BE" w:rsidRDefault="003449BE" w:rsidP="00DC64E0">
      <w:pPr>
        <w:spacing w:before="0" w:after="0"/>
        <w:jc w:val="both"/>
        <w:rPr>
          <w:b/>
        </w:rPr>
      </w:pPr>
    </w:p>
    <w:p w14:paraId="71B58B61" w14:textId="77777777" w:rsidR="00DC64E0" w:rsidRPr="00DC64E0" w:rsidRDefault="00DC64E0" w:rsidP="00DC64E0">
      <w:pPr>
        <w:spacing w:before="0" w:after="0"/>
        <w:jc w:val="both"/>
      </w:pPr>
      <w:r w:rsidRPr="00DC64E0">
        <w:rPr>
          <w:b/>
        </w:rPr>
        <w:lastRenderedPageBreak/>
        <w:t>Support Services</w:t>
      </w:r>
    </w:p>
    <w:p w14:paraId="5CB10584" w14:textId="77777777" w:rsidR="00DC64E0" w:rsidRPr="00DC64E0" w:rsidRDefault="00DC64E0" w:rsidP="00DC64E0">
      <w:pPr>
        <w:spacing w:before="0" w:after="0"/>
        <w:jc w:val="both"/>
      </w:pPr>
    </w:p>
    <w:p w14:paraId="1F9BBABF" w14:textId="77777777" w:rsidR="00DC64E0" w:rsidRDefault="00DC64E0" w:rsidP="00DC64E0">
      <w:pPr>
        <w:spacing w:before="0" w:after="0"/>
        <w:jc w:val="both"/>
      </w:pPr>
      <w:r w:rsidRPr="00DC64E0">
        <w:t>If you are feeling distressed or are experiencing family and domestic violence and would like to talk to someone, please contact:</w:t>
      </w:r>
    </w:p>
    <w:p w14:paraId="0E2D8DC5" w14:textId="2E4F3D4A" w:rsidR="00DC64E0" w:rsidRPr="00DC64E0" w:rsidRDefault="00DC64E0" w:rsidP="00DC64E0">
      <w:pPr>
        <w:spacing w:before="0" w:after="0"/>
        <w:jc w:val="both"/>
      </w:pPr>
    </w:p>
    <w:p w14:paraId="34BD75E6" w14:textId="7EE5FE9A" w:rsidR="00DC64E0" w:rsidRPr="0076347E" w:rsidRDefault="00DC64E0" w:rsidP="000D1D92">
      <w:pPr>
        <w:numPr>
          <w:ilvl w:val="0"/>
          <w:numId w:val="74"/>
        </w:numPr>
        <w:spacing w:before="0" w:after="0"/>
        <w:jc w:val="both"/>
        <w:rPr>
          <w:sz w:val="20"/>
          <w:szCs w:val="20"/>
        </w:rPr>
      </w:pPr>
      <w:r w:rsidRPr="0076347E">
        <w:rPr>
          <w:sz w:val="20"/>
          <w:szCs w:val="20"/>
        </w:rPr>
        <w:t xml:space="preserve">Kids Helpline on 1800 55 1800 or </w:t>
      </w:r>
      <w:hyperlink r:id="rId36" w:history="1">
        <w:r w:rsidRPr="0076347E">
          <w:rPr>
            <w:rStyle w:val="Hyperlink"/>
            <w:sz w:val="20"/>
            <w:szCs w:val="20"/>
          </w:rPr>
          <w:t>www.kidshelp.com.au</w:t>
        </w:r>
      </w:hyperlink>
      <w:r w:rsidRPr="0076347E">
        <w:rPr>
          <w:sz w:val="20"/>
          <w:szCs w:val="20"/>
        </w:rPr>
        <w:t xml:space="preserve"> </w:t>
      </w:r>
    </w:p>
    <w:p w14:paraId="15AD9045" w14:textId="612324C3" w:rsidR="00DC64E0" w:rsidRPr="0076347E" w:rsidRDefault="00DC64E0" w:rsidP="000D1D92">
      <w:pPr>
        <w:numPr>
          <w:ilvl w:val="0"/>
          <w:numId w:val="74"/>
        </w:numPr>
        <w:spacing w:before="0" w:after="0"/>
        <w:jc w:val="both"/>
        <w:rPr>
          <w:sz w:val="20"/>
          <w:szCs w:val="20"/>
        </w:rPr>
      </w:pPr>
      <w:r w:rsidRPr="0076347E">
        <w:rPr>
          <w:sz w:val="20"/>
          <w:szCs w:val="20"/>
        </w:rPr>
        <w:t>Headspace on 1800 650 890</w:t>
      </w:r>
    </w:p>
    <w:p w14:paraId="3BF5B479" w14:textId="77777777" w:rsidR="00DC64E0" w:rsidRPr="0076347E" w:rsidRDefault="00DC64E0" w:rsidP="000D1D92">
      <w:pPr>
        <w:numPr>
          <w:ilvl w:val="0"/>
          <w:numId w:val="74"/>
        </w:numPr>
        <w:spacing w:before="0" w:after="0"/>
        <w:jc w:val="both"/>
        <w:rPr>
          <w:sz w:val="20"/>
          <w:szCs w:val="20"/>
        </w:rPr>
      </w:pPr>
      <w:r w:rsidRPr="0076347E">
        <w:rPr>
          <w:sz w:val="20"/>
          <w:szCs w:val="20"/>
        </w:rPr>
        <w:t>Lifeline on 13 11 14 or ww.lifeline.org</w:t>
      </w:r>
    </w:p>
    <w:p w14:paraId="32FCF99D" w14:textId="77777777" w:rsidR="00DC64E0" w:rsidRPr="0076347E" w:rsidRDefault="00DC64E0" w:rsidP="000D1D92">
      <w:pPr>
        <w:numPr>
          <w:ilvl w:val="0"/>
          <w:numId w:val="74"/>
        </w:numPr>
        <w:spacing w:before="0" w:after="0"/>
        <w:jc w:val="both"/>
        <w:rPr>
          <w:rStyle w:val="Hyperlink"/>
          <w:color w:val="auto"/>
          <w:sz w:val="20"/>
          <w:szCs w:val="20"/>
          <w:u w:val="none"/>
        </w:rPr>
      </w:pPr>
      <w:r w:rsidRPr="0076347E">
        <w:rPr>
          <w:sz w:val="20"/>
          <w:szCs w:val="20"/>
        </w:rPr>
        <w:t xml:space="preserve">1800 RESPECT on 1800 732 732 or </w:t>
      </w:r>
      <w:hyperlink r:id="rId37" w:history="1">
        <w:r w:rsidRPr="0076347E">
          <w:rPr>
            <w:rStyle w:val="Hyperlink"/>
            <w:sz w:val="20"/>
            <w:szCs w:val="20"/>
          </w:rPr>
          <w:t>www.1800respect.org.au</w:t>
        </w:r>
      </w:hyperlink>
    </w:p>
    <w:p w14:paraId="160DF0A3" w14:textId="0C1CB6DC" w:rsidR="00727707" w:rsidRPr="0076347E" w:rsidRDefault="00727707" w:rsidP="000D1D92">
      <w:pPr>
        <w:numPr>
          <w:ilvl w:val="0"/>
          <w:numId w:val="74"/>
        </w:numPr>
        <w:spacing w:before="0" w:after="0"/>
        <w:jc w:val="both"/>
        <w:rPr>
          <w:sz w:val="20"/>
          <w:szCs w:val="20"/>
        </w:rPr>
      </w:pPr>
      <w:r w:rsidRPr="0076347E">
        <w:rPr>
          <w:sz w:val="20"/>
          <w:szCs w:val="20"/>
        </w:rPr>
        <w:t xml:space="preserve">MensLine Australia on 1300 78 99 78 or </w:t>
      </w:r>
      <w:hyperlink r:id="rId38" w:history="1">
        <w:r w:rsidRPr="0076347E">
          <w:rPr>
            <w:rStyle w:val="Hyperlink"/>
            <w:sz w:val="20"/>
            <w:szCs w:val="20"/>
          </w:rPr>
          <w:t>www.mensline.org.au</w:t>
        </w:r>
      </w:hyperlink>
      <w:r w:rsidRPr="0076347E">
        <w:rPr>
          <w:sz w:val="20"/>
          <w:szCs w:val="20"/>
        </w:rPr>
        <w:t xml:space="preserve"> </w:t>
      </w:r>
    </w:p>
    <w:p w14:paraId="139428FA" w14:textId="07EEB8F0" w:rsidR="00990761" w:rsidRDefault="00DC64E0" w:rsidP="000D1D92">
      <w:pPr>
        <w:numPr>
          <w:ilvl w:val="0"/>
          <w:numId w:val="74"/>
        </w:numPr>
        <w:spacing w:before="0" w:after="0"/>
        <w:jc w:val="both"/>
        <w:rPr>
          <w:sz w:val="20"/>
          <w:szCs w:val="20"/>
        </w:rPr>
      </w:pPr>
      <w:r w:rsidRPr="00B77005">
        <w:rPr>
          <w:sz w:val="20"/>
          <w:szCs w:val="20"/>
        </w:rPr>
        <w:t>Police and ambulance services on 000</w:t>
      </w:r>
    </w:p>
    <w:p w14:paraId="22994BE8" w14:textId="757D543A" w:rsidR="00B77005" w:rsidRDefault="003449BE" w:rsidP="00B77005">
      <w:pPr>
        <w:spacing w:before="0" w:after="0"/>
        <w:jc w:val="both"/>
        <w:rPr>
          <w:b/>
        </w:rPr>
      </w:pPr>
      <w:r>
        <w:rPr>
          <w:b/>
        </w:rPr>
        <w:br w:type="column"/>
      </w:r>
      <w:r w:rsidR="00B77005">
        <w:rPr>
          <w:b/>
        </w:rPr>
        <w:lastRenderedPageBreak/>
        <w:t>Recommendations</w:t>
      </w:r>
    </w:p>
    <w:p w14:paraId="3536D58D" w14:textId="77777777" w:rsidR="00B77005" w:rsidRDefault="00B77005" w:rsidP="00B77005">
      <w:pPr>
        <w:spacing w:before="0" w:after="0"/>
        <w:jc w:val="both"/>
        <w:rPr>
          <w:b/>
        </w:rPr>
      </w:pPr>
    </w:p>
    <w:tbl>
      <w:tblPr>
        <w:tblStyle w:val="TableGrid"/>
        <w:tblW w:w="0" w:type="auto"/>
        <w:tblLook w:val="04A0" w:firstRow="1" w:lastRow="0" w:firstColumn="1" w:lastColumn="0" w:noHBand="0" w:noVBand="1"/>
      </w:tblPr>
      <w:tblGrid>
        <w:gridCol w:w="9060"/>
      </w:tblGrid>
      <w:tr w:rsidR="00D32172" w:rsidRPr="007774A1" w14:paraId="2F656321" w14:textId="77777777" w:rsidTr="003A09B4">
        <w:trPr>
          <w:trHeight w:val="430"/>
        </w:trPr>
        <w:tc>
          <w:tcPr>
            <w:tcW w:w="9060" w:type="dxa"/>
            <w:tcBorders>
              <w:top w:val="nil"/>
              <w:left w:val="nil"/>
              <w:bottom w:val="dotted" w:sz="4" w:space="0" w:color="auto"/>
              <w:right w:val="nil"/>
            </w:tcBorders>
            <w:vAlign w:val="center"/>
          </w:tcPr>
          <w:p w14:paraId="5F61361A" w14:textId="77777777" w:rsidR="00D32172" w:rsidRPr="007774A1" w:rsidRDefault="00D32172" w:rsidP="003A09B4">
            <w:pPr>
              <w:spacing w:before="0" w:after="0"/>
              <w:jc w:val="both"/>
              <w:rPr>
                <w:b/>
                <w:sz w:val="21"/>
                <w:szCs w:val="21"/>
              </w:rPr>
            </w:pPr>
            <w:r>
              <w:rPr>
                <w:b/>
                <w:sz w:val="21"/>
                <w:szCs w:val="21"/>
              </w:rPr>
              <w:t>Recommendation 1:</w:t>
            </w:r>
            <w:r>
              <w:t xml:space="preserve"> </w:t>
            </w:r>
            <w:r w:rsidRPr="009B72BC">
              <w:rPr>
                <w:sz w:val="21"/>
                <w:szCs w:val="21"/>
              </w:rPr>
              <w:t>The Australian Government provide guidance to business and industry on how it can better respect and support children’s rights.</w:t>
            </w:r>
          </w:p>
        </w:tc>
      </w:tr>
      <w:tr w:rsidR="00D32172" w:rsidRPr="007774A1" w14:paraId="0234F3AB" w14:textId="77777777" w:rsidTr="003A09B4">
        <w:trPr>
          <w:trHeight w:val="415"/>
        </w:trPr>
        <w:tc>
          <w:tcPr>
            <w:tcW w:w="9060" w:type="dxa"/>
            <w:tcBorders>
              <w:top w:val="nil"/>
              <w:left w:val="nil"/>
              <w:bottom w:val="dotted" w:sz="4" w:space="0" w:color="auto"/>
              <w:right w:val="nil"/>
            </w:tcBorders>
            <w:vAlign w:val="center"/>
          </w:tcPr>
          <w:p w14:paraId="5F98C11A" w14:textId="77777777" w:rsidR="00D32172" w:rsidRPr="007774A1" w:rsidRDefault="00D32172" w:rsidP="003A09B4">
            <w:pPr>
              <w:spacing w:before="0" w:after="0"/>
              <w:jc w:val="both"/>
              <w:rPr>
                <w:b/>
                <w:sz w:val="21"/>
                <w:szCs w:val="21"/>
              </w:rPr>
            </w:pPr>
            <w:r>
              <w:rPr>
                <w:b/>
                <w:sz w:val="21"/>
                <w:szCs w:val="21"/>
              </w:rPr>
              <w:t>Recommendation 2:</w:t>
            </w:r>
            <w:r>
              <w:t xml:space="preserve"> </w:t>
            </w:r>
            <w:r w:rsidRPr="009B72BC">
              <w:rPr>
                <w:sz w:val="21"/>
                <w:szCs w:val="21"/>
              </w:rPr>
              <w:t>The Australian Government resource the Australian Human Rights Commission to undertake research on the relationship between business and children’s rights in the Australian context, particularly in relation to high risk areas such as the online consumer environment.</w:t>
            </w:r>
          </w:p>
        </w:tc>
      </w:tr>
      <w:tr w:rsidR="00D32172" w:rsidRPr="007774A1" w14:paraId="453F7514" w14:textId="77777777" w:rsidTr="003A09B4">
        <w:trPr>
          <w:trHeight w:val="415"/>
        </w:trPr>
        <w:tc>
          <w:tcPr>
            <w:tcW w:w="9060" w:type="dxa"/>
            <w:tcBorders>
              <w:top w:val="nil"/>
              <w:left w:val="nil"/>
              <w:bottom w:val="dotted" w:sz="4" w:space="0" w:color="auto"/>
              <w:right w:val="nil"/>
            </w:tcBorders>
            <w:vAlign w:val="center"/>
          </w:tcPr>
          <w:p w14:paraId="447485D7" w14:textId="77777777" w:rsidR="00D32172" w:rsidRPr="007774A1" w:rsidRDefault="00D32172" w:rsidP="003A09B4">
            <w:pPr>
              <w:spacing w:before="0" w:after="0"/>
              <w:jc w:val="both"/>
              <w:rPr>
                <w:sz w:val="21"/>
                <w:szCs w:val="21"/>
              </w:rPr>
            </w:pPr>
            <w:r w:rsidRPr="007774A1">
              <w:rPr>
                <w:b/>
                <w:sz w:val="21"/>
                <w:szCs w:val="21"/>
              </w:rPr>
              <w:t xml:space="preserve">Recommendation </w:t>
            </w:r>
            <w:r>
              <w:rPr>
                <w:b/>
                <w:sz w:val="21"/>
                <w:szCs w:val="21"/>
              </w:rPr>
              <w:t>3</w:t>
            </w:r>
            <w:r w:rsidRPr="007774A1">
              <w:rPr>
                <w:b/>
                <w:sz w:val="21"/>
                <w:szCs w:val="21"/>
              </w:rPr>
              <w:t>:</w:t>
            </w:r>
            <w:r w:rsidRPr="007774A1">
              <w:rPr>
                <w:sz w:val="21"/>
                <w:szCs w:val="21"/>
              </w:rPr>
              <w:t xml:space="preserve"> </w:t>
            </w:r>
            <w:r w:rsidRPr="007537EB">
              <w:rPr>
                <w:sz w:val="21"/>
                <w:szCs w:val="21"/>
              </w:rPr>
              <w:t xml:space="preserve">The Annual Progress Reports of the National Plan to Reduce Violence </w:t>
            </w:r>
            <w:r>
              <w:rPr>
                <w:sz w:val="21"/>
                <w:szCs w:val="21"/>
              </w:rPr>
              <w:t>a</w:t>
            </w:r>
            <w:r w:rsidRPr="007537EB">
              <w:rPr>
                <w:sz w:val="21"/>
                <w:szCs w:val="21"/>
              </w:rPr>
              <w:t>gainst Women and their Children should detail how all jurisdictions are working towards implementing the Australian Bureau of Statistics National Data Collection and Reporting Framework.</w:t>
            </w:r>
          </w:p>
        </w:tc>
      </w:tr>
      <w:tr w:rsidR="00D32172" w:rsidRPr="007774A1" w14:paraId="4F3678B8" w14:textId="77777777" w:rsidTr="003A09B4">
        <w:trPr>
          <w:trHeight w:val="306"/>
        </w:trPr>
        <w:tc>
          <w:tcPr>
            <w:tcW w:w="9060" w:type="dxa"/>
            <w:tcBorders>
              <w:top w:val="nil"/>
              <w:left w:val="nil"/>
              <w:bottom w:val="dotted" w:sz="4" w:space="0" w:color="auto"/>
              <w:right w:val="nil"/>
            </w:tcBorders>
            <w:vAlign w:val="center"/>
          </w:tcPr>
          <w:p w14:paraId="2E7B674B" w14:textId="77777777" w:rsidR="00D32172" w:rsidRPr="007774A1" w:rsidRDefault="00D32172" w:rsidP="003A09B4">
            <w:pPr>
              <w:spacing w:before="0" w:after="0"/>
              <w:jc w:val="both"/>
              <w:rPr>
                <w:sz w:val="21"/>
                <w:szCs w:val="21"/>
              </w:rPr>
            </w:pPr>
            <w:r w:rsidRPr="007774A1">
              <w:rPr>
                <w:b/>
                <w:sz w:val="21"/>
                <w:szCs w:val="21"/>
              </w:rPr>
              <w:t xml:space="preserve">Recommendation </w:t>
            </w:r>
            <w:r>
              <w:rPr>
                <w:b/>
                <w:sz w:val="21"/>
                <w:szCs w:val="21"/>
              </w:rPr>
              <w:t>4</w:t>
            </w:r>
            <w:r w:rsidRPr="007774A1">
              <w:rPr>
                <w:b/>
                <w:sz w:val="21"/>
                <w:szCs w:val="21"/>
              </w:rPr>
              <w:t>:</w:t>
            </w:r>
            <w:r w:rsidRPr="007774A1">
              <w:rPr>
                <w:sz w:val="21"/>
                <w:szCs w:val="21"/>
              </w:rPr>
              <w:t xml:space="preserve"> </w:t>
            </w:r>
            <w:r w:rsidRPr="007537EB">
              <w:rPr>
                <w:sz w:val="21"/>
                <w:szCs w:val="21"/>
              </w:rPr>
              <w:t>Data about a child’s experience as a victim of family and domestic violence should be recorded as a separate entry in the Australian Bureau of Statistics National Data Collection and Reporting Framework, and not just part of an adult entry.</w:t>
            </w:r>
          </w:p>
        </w:tc>
      </w:tr>
      <w:tr w:rsidR="00D32172" w:rsidRPr="007774A1" w14:paraId="69B339D0" w14:textId="77777777" w:rsidTr="003A09B4">
        <w:trPr>
          <w:trHeight w:val="259"/>
        </w:trPr>
        <w:tc>
          <w:tcPr>
            <w:tcW w:w="9060" w:type="dxa"/>
            <w:tcBorders>
              <w:top w:val="nil"/>
              <w:left w:val="nil"/>
              <w:bottom w:val="dotted" w:sz="4" w:space="0" w:color="auto"/>
              <w:right w:val="nil"/>
            </w:tcBorders>
            <w:vAlign w:val="center"/>
          </w:tcPr>
          <w:p w14:paraId="77C207D4" w14:textId="77777777" w:rsidR="00D32172" w:rsidRPr="007774A1" w:rsidRDefault="00D32172" w:rsidP="003A09B4">
            <w:pPr>
              <w:spacing w:before="0" w:after="0"/>
              <w:jc w:val="both"/>
              <w:rPr>
                <w:sz w:val="21"/>
                <w:szCs w:val="21"/>
              </w:rPr>
            </w:pPr>
            <w:r w:rsidRPr="007774A1">
              <w:rPr>
                <w:b/>
                <w:sz w:val="21"/>
                <w:szCs w:val="21"/>
              </w:rPr>
              <w:t xml:space="preserve">Recommendation </w:t>
            </w:r>
            <w:r>
              <w:rPr>
                <w:b/>
                <w:sz w:val="21"/>
                <w:szCs w:val="21"/>
              </w:rPr>
              <w:t>5</w:t>
            </w:r>
            <w:r w:rsidRPr="007774A1">
              <w:rPr>
                <w:b/>
                <w:sz w:val="21"/>
                <w:szCs w:val="21"/>
              </w:rPr>
              <w:t>:</w:t>
            </w:r>
            <w:r w:rsidRPr="007774A1">
              <w:rPr>
                <w:sz w:val="21"/>
                <w:szCs w:val="21"/>
              </w:rPr>
              <w:t xml:space="preserve"> </w:t>
            </w:r>
            <w:r w:rsidRPr="007537EB">
              <w:rPr>
                <w:sz w:val="21"/>
                <w:szCs w:val="21"/>
              </w:rPr>
              <w:t>Data about lesbian, gay, bisexual, transgender and intersex status should be recorded in the Australian Bureau of Statistics National Data Collection and Reporting Framework.</w:t>
            </w:r>
          </w:p>
        </w:tc>
      </w:tr>
      <w:tr w:rsidR="00D32172" w:rsidRPr="007774A1" w14:paraId="5B623388" w14:textId="77777777" w:rsidTr="003A09B4">
        <w:trPr>
          <w:trHeight w:val="99"/>
        </w:trPr>
        <w:tc>
          <w:tcPr>
            <w:tcW w:w="9060" w:type="dxa"/>
            <w:tcBorders>
              <w:top w:val="nil"/>
              <w:left w:val="nil"/>
              <w:bottom w:val="dotted" w:sz="4" w:space="0" w:color="auto"/>
              <w:right w:val="nil"/>
            </w:tcBorders>
            <w:vAlign w:val="center"/>
          </w:tcPr>
          <w:p w14:paraId="1BBDCCB0" w14:textId="77777777" w:rsidR="00D32172" w:rsidRPr="007774A1" w:rsidRDefault="00D32172" w:rsidP="003A09B4">
            <w:pPr>
              <w:spacing w:before="0" w:after="0"/>
              <w:jc w:val="both"/>
              <w:rPr>
                <w:sz w:val="21"/>
                <w:szCs w:val="21"/>
              </w:rPr>
            </w:pPr>
            <w:r w:rsidRPr="007774A1">
              <w:rPr>
                <w:b/>
                <w:sz w:val="21"/>
                <w:szCs w:val="21"/>
              </w:rPr>
              <w:t xml:space="preserve">Recommendation </w:t>
            </w:r>
            <w:r>
              <w:rPr>
                <w:b/>
                <w:sz w:val="21"/>
                <w:szCs w:val="21"/>
              </w:rPr>
              <w:t>6</w:t>
            </w:r>
            <w:r w:rsidRPr="007774A1">
              <w:rPr>
                <w:b/>
                <w:sz w:val="21"/>
                <w:szCs w:val="21"/>
              </w:rPr>
              <w:t>:</w:t>
            </w:r>
            <w:r w:rsidRPr="007774A1">
              <w:rPr>
                <w:sz w:val="21"/>
                <w:szCs w:val="21"/>
              </w:rPr>
              <w:t xml:space="preserve"> </w:t>
            </w:r>
            <w:r w:rsidRPr="007537EB">
              <w:rPr>
                <w:sz w:val="21"/>
                <w:szCs w:val="21"/>
              </w:rPr>
              <w:t xml:space="preserve">The Annual Progress Reports of the National Plan to Reduce Violence </w:t>
            </w:r>
            <w:r>
              <w:rPr>
                <w:sz w:val="21"/>
                <w:szCs w:val="21"/>
              </w:rPr>
              <w:t>a</w:t>
            </w:r>
            <w:r w:rsidRPr="007537EB">
              <w:rPr>
                <w:sz w:val="21"/>
                <w:szCs w:val="21"/>
              </w:rPr>
              <w:t>gainst Women and their Children should detail how the Australian Bureau of Statistics Personal Safety Survey is working towards surveying adequate sampling sizes across vulnerable groups.</w:t>
            </w:r>
          </w:p>
        </w:tc>
      </w:tr>
      <w:tr w:rsidR="00D32172" w:rsidRPr="007774A1" w14:paraId="3623C916" w14:textId="77777777" w:rsidTr="003A09B4">
        <w:trPr>
          <w:trHeight w:val="507"/>
        </w:trPr>
        <w:tc>
          <w:tcPr>
            <w:tcW w:w="9060" w:type="dxa"/>
            <w:tcBorders>
              <w:top w:val="nil"/>
              <w:left w:val="nil"/>
              <w:bottom w:val="dotted" w:sz="4" w:space="0" w:color="auto"/>
              <w:right w:val="nil"/>
            </w:tcBorders>
            <w:vAlign w:val="center"/>
          </w:tcPr>
          <w:p w14:paraId="615FE011" w14:textId="77777777" w:rsidR="00D32172" w:rsidRPr="007774A1" w:rsidRDefault="00D32172" w:rsidP="003A09B4">
            <w:pPr>
              <w:spacing w:before="0" w:after="0"/>
              <w:jc w:val="both"/>
              <w:rPr>
                <w:sz w:val="21"/>
                <w:szCs w:val="21"/>
              </w:rPr>
            </w:pPr>
            <w:r w:rsidRPr="007774A1">
              <w:rPr>
                <w:b/>
                <w:sz w:val="21"/>
                <w:szCs w:val="21"/>
              </w:rPr>
              <w:t xml:space="preserve">Recommendation </w:t>
            </w:r>
            <w:r>
              <w:rPr>
                <w:b/>
                <w:sz w:val="21"/>
                <w:szCs w:val="21"/>
              </w:rPr>
              <w:t>7</w:t>
            </w:r>
            <w:r w:rsidRPr="007774A1">
              <w:rPr>
                <w:b/>
                <w:sz w:val="21"/>
                <w:szCs w:val="21"/>
              </w:rPr>
              <w:t>:</w:t>
            </w:r>
            <w:r w:rsidRPr="007774A1">
              <w:rPr>
                <w:sz w:val="21"/>
                <w:szCs w:val="21"/>
              </w:rPr>
              <w:t xml:space="preserve"> </w:t>
            </w:r>
            <w:r w:rsidRPr="007537EB">
              <w:rPr>
                <w:sz w:val="21"/>
                <w:szCs w:val="21"/>
              </w:rPr>
              <w:t>Support for the Australian Longitudinal Study on Women’s Health (ALSWH) project by the Australian Government Department of Health is extended after 30 June 2016 and support for the Mothers and their Children’s Health (MatCH) project by the Australian Government Department of Health is also extended after its National Health and Medical Research Council grant expires in 2017.</w:t>
            </w:r>
          </w:p>
        </w:tc>
      </w:tr>
      <w:tr w:rsidR="00D32172" w:rsidRPr="007774A1" w14:paraId="3B5EEF88" w14:textId="77777777" w:rsidTr="003A09B4">
        <w:trPr>
          <w:trHeight w:val="567"/>
        </w:trPr>
        <w:tc>
          <w:tcPr>
            <w:tcW w:w="9060" w:type="dxa"/>
            <w:tcBorders>
              <w:top w:val="nil"/>
              <w:left w:val="nil"/>
              <w:bottom w:val="dotted" w:sz="4" w:space="0" w:color="auto"/>
              <w:right w:val="nil"/>
            </w:tcBorders>
            <w:vAlign w:val="center"/>
          </w:tcPr>
          <w:p w14:paraId="15E633D3" w14:textId="77777777" w:rsidR="00D32172" w:rsidRPr="007774A1" w:rsidRDefault="00D32172" w:rsidP="003A09B4">
            <w:pPr>
              <w:spacing w:before="0" w:after="0"/>
              <w:jc w:val="both"/>
              <w:rPr>
                <w:sz w:val="21"/>
                <w:szCs w:val="21"/>
              </w:rPr>
            </w:pPr>
            <w:r w:rsidRPr="007774A1">
              <w:rPr>
                <w:b/>
                <w:sz w:val="21"/>
                <w:szCs w:val="21"/>
              </w:rPr>
              <w:t xml:space="preserve">Recommendation </w:t>
            </w:r>
            <w:r>
              <w:rPr>
                <w:b/>
                <w:sz w:val="21"/>
                <w:szCs w:val="21"/>
              </w:rPr>
              <w:t>8</w:t>
            </w:r>
            <w:r w:rsidRPr="007774A1">
              <w:rPr>
                <w:b/>
                <w:sz w:val="21"/>
                <w:szCs w:val="21"/>
              </w:rPr>
              <w:t>:</w:t>
            </w:r>
            <w:r w:rsidRPr="007774A1">
              <w:rPr>
                <w:sz w:val="21"/>
                <w:szCs w:val="21"/>
              </w:rPr>
              <w:t xml:space="preserve"> </w:t>
            </w:r>
            <w:r w:rsidRPr="007537EB">
              <w:rPr>
                <w:sz w:val="21"/>
                <w:szCs w:val="21"/>
              </w:rPr>
              <w:t>The data linkage study currently being conducted in the Northern Territory by Menzies School of Health Research (Improving the developmental outcomes of Northern Territory children: a data linkage study to inform policy and practice in health, family services and education) is supported by the Australian Government Department of Social Services after its National Health and Medical Research Council grant expires in 2017.</w:t>
            </w:r>
          </w:p>
        </w:tc>
      </w:tr>
      <w:tr w:rsidR="00D32172" w:rsidRPr="007774A1" w14:paraId="6A771217" w14:textId="77777777" w:rsidTr="003A09B4">
        <w:trPr>
          <w:trHeight w:val="85"/>
        </w:trPr>
        <w:tc>
          <w:tcPr>
            <w:tcW w:w="9060" w:type="dxa"/>
            <w:tcBorders>
              <w:top w:val="nil"/>
              <w:left w:val="nil"/>
              <w:bottom w:val="dotted" w:sz="4" w:space="0" w:color="auto"/>
              <w:right w:val="nil"/>
            </w:tcBorders>
            <w:vAlign w:val="center"/>
          </w:tcPr>
          <w:p w14:paraId="441811FE" w14:textId="77777777" w:rsidR="00D32172" w:rsidRPr="006977DC" w:rsidRDefault="00D32172" w:rsidP="003A09B4">
            <w:pPr>
              <w:spacing w:before="0" w:after="0"/>
              <w:jc w:val="both"/>
              <w:rPr>
                <w:sz w:val="21"/>
                <w:szCs w:val="21"/>
              </w:rPr>
            </w:pPr>
            <w:r w:rsidRPr="006977DC">
              <w:rPr>
                <w:b/>
                <w:sz w:val="21"/>
                <w:szCs w:val="21"/>
              </w:rPr>
              <w:t xml:space="preserve">Recommendation </w:t>
            </w:r>
            <w:r>
              <w:rPr>
                <w:b/>
                <w:sz w:val="21"/>
                <w:szCs w:val="21"/>
              </w:rPr>
              <w:t>9</w:t>
            </w:r>
            <w:r w:rsidRPr="006977DC">
              <w:rPr>
                <w:b/>
                <w:sz w:val="21"/>
                <w:szCs w:val="21"/>
              </w:rPr>
              <w:t>:</w:t>
            </w:r>
            <w:r w:rsidRPr="006977DC">
              <w:rPr>
                <w:sz w:val="21"/>
                <w:szCs w:val="21"/>
              </w:rPr>
              <w:t xml:space="preserve"> </w:t>
            </w:r>
            <w:r w:rsidRPr="007537EB">
              <w:rPr>
                <w:sz w:val="21"/>
                <w:szCs w:val="21"/>
              </w:rPr>
              <w:t>The Council of Australian Governments prioritise the development of a policy framework for responses to family and domestic violence affecting children.</w:t>
            </w:r>
          </w:p>
        </w:tc>
      </w:tr>
      <w:tr w:rsidR="00D32172" w:rsidRPr="007774A1" w14:paraId="63E83A64" w14:textId="77777777" w:rsidTr="003A09B4">
        <w:trPr>
          <w:trHeight w:val="407"/>
        </w:trPr>
        <w:tc>
          <w:tcPr>
            <w:tcW w:w="9060" w:type="dxa"/>
            <w:tcBorders>
              <w:top w:val="nil"/>
              <w:left w:val="nil"/>
              <w:bottom w:val="dotted" w:sz="4" w:space="0" w:color="auto"/>
              <w:right w:val="nil"/>
            </w:tcBorders>
            <w:vAlign w:val="center"/>
          </w:tcPr>
          <w:p w14:paraId="74FDEDDE" w14:textId="77777777" w:rsidR="00D32172" w:rsidRPr="007537EB" w:rsidRDefault="00D32172" w:rsidP="003A09B4">
            <w:pPr>
              <w:spacing w:before="0" w:after="0"/>
              <w:jc w:val="both"/>
              <w:rPr>
                <w:sz w:val="21"/>
                <w:szCs w:val="21"/>
              </w:rPr>
            </w:pPr>
            <w:r w:rsidRPr="007774A1">
              <w:rPr>
                <w:b/>
                <w:sz w:val="21"/>
                <w:szCs w:val="21"/>
              </w:rPr>
              <w:t xml:space="preserve">Recommendation </w:t>
            </w:r>
            <w:r>
              <w:rPr>
                <w:b/>
                <w:sz w:val="21"/>
                <w:szCs w:val="21"/>
              </w:rPr>
              <w:t>10</w:t>
            </w:r>
            <w:r w:rsidRPr="007774A1">
              <w:rPr>
                <w:b/>
                <w:sz w:val="21"/>
                <w:szCs w:val="21"/>
              </w:rPr>
              <w:t>:</w:t>
            </w:r>
            <w:r w:rsidRPr="007774A1">
              <w:rPr>
                <w:sz w:val="21"/>
                <w:szCs w:val="21"/>
              </w:rPr>
              <w:t xml:space="preserve"> </w:t>
            </w:r>
            <w:r w:rsidRPr="007537EB">
              <w:rPr>
                <w:sz w:val="21"/>
                <w:szCs w:val="21"/>
              </w:rPr>
              <w:t>A review of the criteria for entry into the Magellan program should be undertaken by the Family Court of Australia or another appropriate entity.</w:t>
            </w:r>
          </w:p>
          <w:p w14:paraId="4C9B64F8" w14:textId="77777777" w:rsidR="00D32172" w:rsidRPr="007537EB" w:rsidRDefault="00D32172" w:rsidP="003A09B4">
            <w:pPr>
              <w:spacing w:before="0" w:after="0"/>
              <w:jc w:val="both"/>
              <w:rPr>
                <w:sz w:val="21"/>
                <w:szCs w:val="21"/>
              </w:rPr>
            </w:pPr>
          </w:p>
          <w:p w14:paraId="007D59BC" w14:textId="77777777" w:rsidR="00D32172" w:rsidRPr="00B42C86" w:rsidRDefault="00D32172" w:rsidP="003A09B4">
            <w:pPr>
              <w:spacing w:before="0" w:after="0"/>
              <w:jc w:val="both"/>
              <w:rPr>
                <w:sz w:val="22"/>
                <w:szCs w:val="22"/>
              </w:rPr>
            </w:pPr>
            <w:r w:rsidRPr="007537EB">
              <w:rPr>
                <w:sz w:val="21"/>
                <w:szCs w:val="21"/>
              </w:rPr>
              <w:t>Regard should be given to the findings and recommendations of the Victorian Royal Commission into Family Violence and also the Family Law Council Inquiry into families with complex needs and the intersection of the family law and child protection systems.</w:t>
            </w:r>
          </w:p>
        </w:tc>
      </w:tr>
      <w:tr w:rsidR="00D32172" w:rsidRPr="007774A1" w14:paraId="42773B99" w14:textId="77777777" w:rsidTr="003A09B4">
        <w:trPr>
          <w:trHeight w:val="357"/>
        </w:trPr>
        <w:tc>
          <w:tcPr>
            <w:tcW w:w="9060" w:type="dxa"/>
            <w:tcBorders>
              <w:top w:val="nil"/>
              <w:left w:val="nil"/>
              <w:bottom w:val="dotted" w:sz="4" w:space="0" w:color="auto"/>
              <w:right w:val="nil"/>
            </w:tcBorders>
            <w:vAlign w:val="center"/>
          </w:tcPr>
          <w:p w14:paraId="5F14F7E7" w14:textId="77777777" w:rsidR="00D32172" w:rsidRPr="007774A1" w:rsidRDefault="00D32172" w:rsidP="003A09B4">
            <w:pPr>
              <w:spacing w:before="0" w:after="0"/>
              <w:jc w:val="both"/>
              <w:rPr>
                <w:sz w:val="21"/>
                <w:szCs w:val="21"/>
              </w:rPr>
            </w:pPr>
            <w:r w:rsidRPr="007774A1">
              <w:rPr>
                <w:b/>
                <w:sz w:val="21"/>
                <w:szCs w:val="21"/>
              </w:rPr>
              <w:t xml:space="preserve">Recommendation </w:t>
            </w:r>
            <w:r>
              <w:rPr>
                <w:b/>
                <w:sz w:val="21"/>
                <w:szCs w:val="21"/>
              </w:rPr>
              <w:t>11</w:t>
            </w:r>
            <w:r w:rsidRPr="007774A1">
              <w:rPr>
                <w:b/>
                <w:sz w:val="21"/>
                <w:szCs w:val="21"/>
              </w:rPr>
              <w:t>:</w:t>
            </w:r>
            <w:r w:rsidRPr="007774A1">
              <w:rPr>
                <w:sz w:val="21"/>
                <w:szCs w:val="21"/>
              </w:rPr>
              <w:t xml:space="preserve"> </w:t>
            </w:r>
            <w:r w:rsidRPr="00660AD6">
              <w:rPr>
                <w:sz w:val="21"/>
                <w:szCs w:val="21"/>
              </w:rPr>
              <w:t>The Australian Bureau of Statistics Personal Safety Survey should extend its collection of information from men and women aged 18 years and over about their experiences of abuse from the ages of 0-15 years to the ages of 0-17 years.</w:t>
            </w:r>
          </w:p>
        </w:tc>
      </w:tr>
      <w:tr w:rsidR="00D32172" w:rsidRPr="007774A1" w14:paraId="0317704C" w14:textId="77777777" w:rsidTr="003A09B4">
        <w:trPr>
          <w:trHeight w:val="85"/>
        </w:trPr>
        <w:tc>
          <w:tcPr>
            <w:tcW w:w="9060" w:type="dxa"/>
            <w:tcBorders>
              <w:top w:val="nil"/>
              <w:left w:val="nil"/>
              <w:bottom w:val="dotted" w:sz="4" w:space="0" w:color="auto"/>
              <w:right w:val="nil"/>
            </w:tcBorders>
            <w:vAlign w:val="center"/>
          </w:tcPr>
          <w:p w14:paraId="73363EE3" w14:textId="77777777" w:rsidR="00D32172" w:rsidRPr="007774A1" w:rsidRDefault="00D32172" w:rsidP="003A09B4">
            <w:pPr>
              <w:spacing w:before="0" w:after="0"/>
              <w:jc w:val="both"/>
              <w:rPr>
                <w:sz w:val="21"/>
                <w:szCs w:val="21"/>
              </w:rPr>
            </w:pPr>
            <w:r w:rsidRPr="007774A1">
              <w:rPr>
                <w:b/>
                <w:sz w:val="21"/>
                <w:szCs w:val="21"/>
              </w:rPr>
              <w:t xml:space="preserve">Recommendation </w:t>
            </w:r>
            <w:r>
              <w:rPr>
                <w:b/>
                <w:sz w:val="21"/>
                <w:szCs w:val="21"/>
              </w:rPr>
              <w:t>12</w:t>
            </w:r>
            <w:r w:rsidRPr="007774A1">
              <w:rPr>
                <w:b/>
                <w:sz w:val="21"/>
                <w:szCs w:val="21"/>
              </w:rPr>
              <w:t>:</w:t>
            </w:r>
            <w:r w:rsidRPr="007774A1">
              <w:rPr>
                <w:sz w:val="21"/>
                <w:szCs w:val="21"/>
              </w:rPr>
              <w:t xml:space="preserve"> </w:t>
            </w:r>
            <w:r w:rsidRPr="007537EB">
              <w:rPr>
                <w:sz w:val="21"/>
                <w:szCs w:val="21"/>
              </w:rPr>
              <w:t>The Australian Bureau of Statistics prioritise working with state and territory jurisdictions to achieve national consistency in the coding of offender relationships to child victims.</w:t>
            </w:r>
          </w:p>
        </w:tc>
      </w:tr>
      <w:tr w:rsidR="00D32172" w:rsidRPr="007774A1" w14:paraId="5076F27F" w14:textId="77777777" w:rsidTr="003A09B4">
        <w:trPr>
          <w:trHeight w:val="85"/>
        </w:trPr>
        <w:tc>
          <w:tcPr>
            <w:tcW w:w="9060" w:type="dxa"/>
            <w:tcBorders>
              <w:top w:val="nil"/>
              <w:left w:val="nil"/>
              <w:bottom w:val="dotted" w:sz="4" w:space="0" w:color="auto"/>
              <w:right w:val="nil"/>
            </w:tcBorders>
            <w:vAlign w:val="center"/>
          </w:tcPr>
          <w:p w14:paraId="353BC164" w14:textId="77777777" w:rsidR="00D32172" w:rsidRPr="007774A1" w:rsidRDefault="00D32172" w:rsidP="003A09B4">
            <w:pPr>
              <w:spacing w:before="0" w:after="0"/>
              <w:jc w:val="both"/>
              <w:rPr>
                <w:b/>
                <w:sz w:val="21"/>
                <w:szCs w:val="21"/>
              </w:rPr>
            </w:pPr>
            <w:r w:rsidRPr="007774A1">
              <w:rPr>
                <w:b/>
                <w:sz w:val="21"/>
                <w:szCs w:val="21"/>
              </w:rPr>
              <w:t xml:space="preserve">Recommendation </w:t>
            </w:r>
            <w:r>
              <w:rPr>
                <w:b/>
                <w:sz w:val="21"/>
                <w:szCs w:val="21"/>
              </w:rPr>
              <w:t>13</w:t>
            </w:r>
            <w:r w:rsidRPr="007774A1">
              <w:rPr>
                <w:b/>
                <w:sz w:val="21"/>
                <w:szCs w:val="21"/>
              </w:rPr>
              <w:t>:</w:t>
            </w:r>
            <w:r w:rsidRPr="007774A1">
              <w:rPr>
                <w:sz w:val="21"/>
                <w:szCs w:val="21"/>
              </w:rPr>
              <w:t xml:space="preserve"> </w:t>
            </w:r>
            <w:r w:rsidRPr="007537EB">
              <w:rPr>
                <w:sz w:val="21"/>
                <w:szCs w:val="21"/>
              </w:rPr>
              <w:t>Options for data collection on screening for family and domestic violence during pregnancy through the National Perinatal Data Collection are progressed by the Australian Institute of Health and Welfare.</w:t>
            </w:r>
          </w:p>
        </w:tc>
      </w:tr>
      <w:tr w:rsidR="00D32172" w:rsidRPr="007774A1" w14:paraId="3BCDF7EB" w14:textId="77777777" w:rsidTr="003A09B4">
        <w:trPr>
          <w:trHeight w:val="85"/>
        </w:trPr>
        <w:tc>
          <w:tcPr>
            <w:tcW w:w="9060" w:type="dxa"/>
            <w:tcBorders>
              <w:top w:val="nil"/>
              <w:left w:val="nil"/>
              <w:bottom w:val="dotted" w:sz="4" w:space="0" w:color="auto"/>
              <w:right w:val="nil"/>
            </w:tcBorders>
            <w:vAlign w:val="center"/>
          </w:tcPr>
          <w:p w14:paraId="7E41C275" w14:textId="77777777" w:rsidR="00D32172" w:rsidRPr="007774A1" w:rsidRDefault="00D32172" w:rsidP="003A09B4">
            <w:pPr>
              <w:spacing w:before="0" w:after="0"/>
              <w:jc w:val="both"/>
              <w:rPr>
                <w:sz w:val="21"/>
                <w:szCs w:val="21"/>
              </w:rPr>
            </w:pPr>
            <w:r w:rsidRPr="007774A1">
              <w:rPr>
                <w:b/>
                <w:sz w:val="21"/>
                <w:szCs w:val="21"/>
              </w:rPr>
              <w:t>Recommendation 1</w:t>
            </w:r>
            <w:r>
              <w:rPr>
                <w:b/>
                <w:sz w:val="21"/>
                <w:szCs w:val="21"/>
              </w:rPr>
              <w:t>4</w:t>
            </w:r>
            <w:r w:rsidRPr="007774A1">
              <w:rPr>
                <w:b/>
                <w:sz w:val="21"/>
                <w:szCs w:val="21"/>
              </w:rPr>
              <w:t>:</w:t>
            </w:r>
            <w:r w:rsidRPr="007774A1">
              <w:rPr>
                <w:sz w:val="21"/>
                <w:szCs w:val="21"/>
              </w:rPr>
              <w:t xml:space="preserve"> </w:t>
            </w:r>
            <w:r w:rsidRPr="007537EB">
              <w:rPr>
                <w:sz w:val="21"/>
                <w:szCs w:val="21"/>
              </w:rPr>
              <w:t>The Australian Government Department of Social Services support the work of Professor Arabena and the Indigenous Health Equity Unit at the University of Melbourne to progress the early intervention research agenda under the First 1000 Days initiative.</w:t>
            </w:r>
          </w:p>
        </w:tc>
      </w:tr>
      <w:tr w:rsidR="00D32172" w:rsidRPr="007774A1" w14:paraId="69069D9A" w14:textId="77777777" w:rsidTr="003A09B4">
        <w:trPr>
          <w:trHeight w:val="85"/>
        </w:trPr>
        <w:tc>
          <w:tcPr>
            <w:tcW w:w="9060" w:type="dxa"/>
            <w:tcBorders>
              <w:top w:val="nil"/>
              <w:left w:val="nil"/>
              <w:bottom w:val="dotted" w:sz="4" w:space="0" w:color="auto"/>
              <w:right w:val="nil"/>
            </w:tcBorders>
            <w:vAlign w:val="center"/>
          </w:tcPr>
          <w:p w14:paraId="67ACBE1F" w14:textId="77777777" w:rsidR="00D32172" w:rsidRPr="007774A1" w:rsidRDefault="00D32172" w:rsidP="003A09B4">
            <w:pPr>
              <w:spacing w:before="0" w:after="0"/>
              <w:jc w:val="both"/>
              <w:rPr>
                <w:b/>
                <w:sz w:val="21"/>
                <w:szCs w:val="21"/>
              </w:rPr>
            </w:pPr>
            <w:r w:rsidRPr="007774A1">
              <w:rPr>
                <w:b/>
                <w:sz w:val="21"/>
                <w:szCs w:val="21"/>
              </w:rPr>
              <w:t>Recommendation 1</w:t>
            </w:r>
            <w:r>
              <w:rPr>
                <w:b/>
                <w:sz w:val="21"/>
                <w:szCs w:val="21"/>
              </w:rPr>
              <w:t>5</w:t>
            </w:r>
            <w:r w:rsidRPr="007774A1">
              <w:rPr>
                <w:b/>
                <w:sz w:val="21"/>
                <w:szCs w:val="21"/>
              </w:rPr>
              <w:t>:</w:t>
            </w:r>
            <w:r w:rsidRPr="007774A1">
              <w:rPr>
                <w:sz w:val="21"/>
                <w:szCs w:val="21"/>
              </w:rPr>
              <w:t xml:space="preserve"> </w:t>
            </w:r>
            <w:r w:rsidRPr="005A47D7">
              <w:rPr>
                <w:sz w:val="21"/>
                <w:szCs w:val="21"/>
              </w:rPr>
              <w:t>The next ANROWS (Australia’s National Research Organisation for Women’s Safety) Research Program should include research into sibling violence.</w:t>
            </w:r>
          </w:p>
        </w:tc>
      </w:tr>
      <w:tr w:rsidR="00D32172" w:rsidRPr="007774A1" w14:paraId="488E8289" w14:textId="77777777" w:rsidTr="003A09B4">
        <w:trPr>
          <w:trHeight w:val="85"/>
        </w:trPr>
        <w:tc>
          <w:tcPr>
            <w:tcW w:w="9060" w:type="dxa"/>
            <w:tcBorders>
              <w:top w:val="nil"/>
              <w:left w:val="nil"/>
              <w:bottom w:val="dotted" w:sz="4" w:space="0" w:color="auto"/>
              <w:right w:val="nil"/>
            </w:tcBorders>
            <w:vAlign w:val="center"/>
          </w:tcPr>
          <w:p w14:paraId="3DD8FDD4" w14:textId="77777777" w:rsidR="00D32172" w:rsidRPr="007774A1" w:rsidRDefault="00D32172" w:rsidP="003A09B4">
            <w:pPr>
              <w:spacing w:before="0" w:after="0"/>
              <w:jc w:val="both"/>
              <w:rPr>
                <w:b/>
                <w:sz w:val="21"/>
                <w:szCs w:val="21"/>
              </w:rPr>
            </w:pPr>
            <w:r w:rsidRPr="007774A1">
              <w:rPr>
                <w:b/>
                <w:sz w:val="21"/>
                <w:szCs w:val="21"/>
              </w:rPr>
              <w:t>Recommendation 1</w:t>
            </w:r>
            <w:r>
              <w:rPr>
                <w:b/>
                <w:sz w:val="21"/>
                <w:szCs w:val="21"/>
              </w:rPr>
              <w:t>6</w:t>
            </w:r>
            <w:r w:rsidRPr="007774A1">
              <w:rPr>
                <w:b/>
                <w:sz w:val="21"/>
                <w:szCs w:val="21"/>
              </w:rPr>
              <w:t>:</w:t>
            </w:r>
            <w:r w:rsidRPr="007774A1">
              <w:rPr>
                <w:sz w:val="21"/>
                <w:szCs w:val="21"/>
              </w:rPr>
              <w:t xml:space="preserve"> </w:t>
            </w:r>
            <w:r w:rsidRPr="005A47D7">
              <w:rPr>
                <w:sz w:val="21"/>
                <w:szCs w:val="21"/>
              </w:rPr>
              <w:t>The next ANROWS (Australia’s National Research Organisation for Women’s Safety) Research Program should include research into female children aged 15 to 17 years affected by family and domestic violence.</w:t>
            </w:r>
          </w:p>
        </w:tc>
      </w:tr>
    </w:tbl>
    <w:p w14:paraId="51A71D69" w14:textId="719CACAD" w:rsidR="00B77005" w:rsidRPr="00B77005" w:rsidRDefault="00B77005" w:rsidP="00B77005">
      <w:pPr>
        <w:spacing w:before="0" w:after="0"/>
        <w:jc w:val="both"/>
        <w:rPr>
          <w:sz w:val="20"/>
          <w:szCs w:val="20"/>
        </w:rPr>
        <w:sectPr w:rsidR="00B77005" w:rsidRPr="00B77005" w:rsidSect="001715AD">
          <w:endnotePr>
            <w:numFmt w:val="decimal"/>
          </w:endnotePr>
          <w:pgSz w:w="11906" w:h="16838" w:code="9"/>
          <w:pgMar w:top="1134" w:right="1418" w:bottom="1134" w:left="1418" w:header="709" w:footer="709" w:gutter="0"/>
          <w:cols w:space="708"/>
          <w:docGrid w:linePitch="360"/>
        </w:sectPr>
      </w:pPr>
    </w:p>
    <w:p w14:paraId="59E90EB8" w14:textId="7C2A3914" w:rsidR="00607A44" w:rsidRDefault="00D94316" w:rsidP="00354AA1">
      <w:pPr>
        <w:pStyle w:val="Heading1"/>
        <w:jc w:val="both"/>
      </w:pPr>
      <w:bookmarkStart w:id="4" w:name="_Toc430767442"/>
      <w:bookmarkStart w:id="5" w:name="_Toc432577298"/>
      <w:r w:rsidRPr="00D94316">
        <w:lastRenderedPageBreak/>
        <w:t>My work to promote discussion and awareness of children’s rights in Australia</w:t>
      </w:r>
      <w:bookmarkEnd w:id="4"/>
      <w:bookmarkEnd w:id="5"/>
    </w:p>
    <w:p w14:paraId="23F57CF7" w14:textId="77777777" w:rsidR="00C550A3" w:rsidRPr="00C550A3" w:rsidRDefault="00C550A3" w:rsidP="00C550A3"/>
    <w:p w14:paraId="5CE6915E" w14:textId="77777777" w:rsidR="006970D8" w:rsidRPr="006970D8" w:rsidRDefault="0086430A" w:rsidP="00354AA1">
      <w:pPr>
        <w:pStyle w:val="TOC2"/>
        <w:tabs>
          <w:tab w:val="left" w:pos="960"/>
          <w:tab w:val="right" w:pos="9060"/>
        </w:tabs>
        <w:jc w:val="both"/>
        <w:rPr>
          <w:rFonts w:asciiTheme="minorHAnsi" w:eastAsiaTheme="minorEastAsia" w:hAnsiTheme="minorHAnsi" w:cstheme="minorBidi"/>
          <w:noProof/>
          <w:sz w:val="22"/>
          <w:szCs w:val="22"/>
        </w:rPr>
      </w:pPr>
      <w:hyperlink w:anchor="_Toc430778316" w:history="1">
        <w:r w:rsidR="006970D8" w:rsidRPr="006970D8">
          <w:rPr>
            <w:rStyle w:val="Hyperlink"/>
            <w:noProof/>
            <w:color w:val="auto"/>
            <w:u w:val="none"/>
          </w:rPr>
          <w:t>1.1</w:t>
        </w:r>
        <w:r w:rsidR="006970D8" w:rsidRPr="006970D8">
          <w:rPr>
            <w:rFonts w:asciiTheme="minorHAnsi" w:eastAsiaTheme="minorEastAsia" w:hAnsiTheme="minorHAnsi" w:cstheme="minorBidi"/>
            <w:noProof/>
            <w:sz w:val="22"/>
            <w:szCs w:val="22"/>
          </w:rPr>
          <w:tab/>
        </w:r>
        <w:r w:rsidR="006970D8" w:rsidRPr="006970D8">
          <w:rPr>
            <w:rStyle w:val="Hyperlink"/>
            <w:noProof/>
            <w:color w:val="auto"/>
            <w:u w:val="none"/>
          </w:rPr>
          <w:t>Introduction</w:t>
        </w:r>
        <w:r w:rsidR="006970D8" w:rsidRPr="006970D8">
          <w:rPr>
            <w:noProof/>
            <w:webHidden/>
          </w:rPr>
          <w:tab/>
        </w:r>
        <w:r w:rsidR="006970D8" w:rsidRPr="006970D8">
          <w:rPr>
            <w:noProof/>
            <w:webHidden/>
          </w:rPr>
          <w:fldChar w:fldCharType="begin"/>
        </w:r>
        <w:r w:rsidR="006970D8" w:rsidRPr="006970D8">
          <w:rPr>
            <w:noProof/>
            <w:webHidden/>
          </w:rPr>
          <w:instrText xml:space="preserve"> PAGEREF _Toc430778316 \h </w:instrText>
        </w:r>
        <w:r w:rsidR="006970D8" w:rsidRPr="006970D8">
          <w:rPr>
            <w:noProof/>
            <w:webHidden/>
          </w:rPr>
        </w:r>
        <w:r w:rsidR="006970D8" w:rsidRPr="006970D8">
          <w:rPr>
            <w:noProof/>
            <w:webHidden/>
          </w:rPr>
          <w:fldChar w:fldCharType="separate"/>
        </w:r>
        <w:r w:rsidR="006970D8" w:rsidRPr="006970D8">
          <w:rPr>
            <w:noProof/>
            <w:webHidden/>
          </w:rPr>
          <w:t>6</w:t>
        </w:r>
        <w:r w:rsidR="006970D8" w:rsidRPr="006970D8">
          <w:rPr>
            <w:noProof/>
            <w:webHidden/>
          </w:rPr>
          <w:fldChar w:fldCharType="end"/>
        </w:r>
      </w:hyperlink>
    </w:p>
    <w:p w14:paraId="1463ABE7" w14:textId="77777777" w:rsidR="006970D8" w:rsidRPr="006970D8" w:rsidRDefault="0086430A" w:rsidP="00354AA1">
      <w:pPr>
        <w:pStyle w:val="TOC2"/>
        <w:tabs>
          <w:tab w:val="left" w:pos="960"/>
          <w:tab w:val="right" w:pos="9060"/>
        </w:tabs>
        <w:jc w:val="both"/>
        <w:rPr>
          <w:rFonts w:asciiTheme="minorHAnsi" w:eastAsiaTheme="minorEastAsia" w:hAnsiTheme="minorHAnsi" w:cstheme="minorBidi"/>
          <w:noProof/>
          <w:sz w:val="22"/>
          <w:szCs w:val="22"/>
        </w:rPr>
      </w:pPr>
      <w:hyperlink w:anchor="_Toc430778317" w:history="1">
        <w:r w:rsidR="006970D8" w:rsidRPr="006970D8">
          <w:rPr>
            <w:rStyle w:val="Hyperlink"/>
            <w:noProof/>
            <w:color w:val="auto"/>
            <w:u w:val="none"/>
          </w:rPr>
          <w:t>1.2</w:t>
        </w:r>
        <w:r w:rsidR="006970D8" w:rsidRPr="006970D8">
          <w:rPr>
            <w:rFonts w:asciiTheme="minorHAnsi" w:eastAsiaTheme="minorEastAsia" w:hAnsiTheme="minorHAnsi" w:cstheme="minorBidi"/>
            <w:noProof/>
            <w:sz w:val="22"/>
            <w:szCs w:val="22"/>
          </w:rPr>
          <w:tab/>
        </w:r>
        <w:r w:rsidR="006970D8" w:rsidRPr="006970D8">
          <w:rPr>
            <w:rStyle w:val="Hyperlink"/>
            <w:noProof/>
            <w:color w:val="auto"/>
            <w:u w:val="none"/>
          </w:rPr>
          <w:t>A right to be heard</w:t>
        </w:r>
        <w:r w:rsidR="006970D8" w:rsidRPr="006970D8">
          <w:rPr>
            <w:noProof/>
            <w:webHidden/>
          </w:rPr>
          <w:tab/>
        </w:r>
        <w:r w:rsidR="006970D8" w:rsidRPr="006970D8">
          <w:rPr>
            <w:noProof/>
            <w:webHidden/>
          </w:rPr>
          <w:fldChar w:fldCharType="begin"/>
        </w:r>
        <w:r w:rsidR="006970D8" w:rsidRPr="006970D8">
          <w:rPr>
            <w:noProof/>
            <w:webHidden/>
          </w:rPr>
          <w:instrText xml:space="preserve"> PAGEREF _Toc430778317 \h </w:instrText>
        </w:r>
        <w:r w:rsidR="006970D8" w:rsidRPr="006970D8">
          <w:rPr>
            <w:noProof/>
            <w:webHidden/>
          </w:rPr>
        </w:r>
        <w:r w:rsidR="006970D8" w:rsidRPr="006970D8">
          <w:rPr>
            <w:noProof/>
            <w:webHidden/>
          </w:rPr>
          <w:fldChar w:fldCharType="separate"/>
        </w:r>
        <w:r w:rsidR="006970D8" w:rsidRPr="006970D8">
          <w:rPr>
            <w:noProof/>
            <w:webHidden/>
          </w:rPr>
          <w:t>7</w:t>
        </w:r>
        <w:r w:rsidR="006970D8" w:rsidRPr="006970D8">
          <w:rPr>
            <w:noProof/>
            <w:webHidden/>
          </w:rPr>
          <w:fldChar w:fldCharType="end"/>
        </w:r>
      </w:hyperlink>
    </w:p>
    <w:p w14:paraId="4EC66DD8" w14:textId="28E51E80" w:rsidR="006970D8" w:rsidRPr="006970D8" w:rsidRDefault="0086430A" w:rsidP="00354AA1">
      <w:pPr>
        <w:pStyle w:val="TOC3"/>
        <w:tabs>
          <w:tab w:val="left" w:pos="1440"/>
          <w:tab w:val="right" w:pos="9060"/>
        </w:tabs>
        <w:ind w:left="1440" w:hanging="960"/>
        <w:jc w:val="both"/>
        <w:rPr>
          <w:rFonts w:asciiTheme="minorHAnsi" w:eastAsiaTheme="minorEastAsia" w:hAnsiTheme="minorHAnsi" w:cstheme="minorBidi"/>
          <w:iCs w:val="0"/>
          <w:noProof/>
          <w:sz w:val="22"/>
          <w:szCs w:val="22"/>
        </w:rPr>
      </w:pPr>
      <w:hyperlink w:anchor="_Toc430778318" w:history="1">
        <w:r w:rsidR="006970D8" w:rsidRPr="006970D8">
          <w:rPr>
            <w:rStyle w:val="Hyperlink"/>
            <w:noProof/>
            <w:color w:val="auto"/>
            <w:u w:val="none"/>
          </w:rPr>
          <w:t>1.2.1</w:t>
        </w:r>
        <w:r w:rsidR="006970D8" w:rsidRPr="006970D8">
          <w:rPr>
            <w:rFonts w:asciiTheme="minorHAnsi" w:eastAsiaTheme="minorEastAsia" w:hAnsiTheme="minorHAnsi" w:cstheme="minorBidi"/>
            <w:iCs w:val="0"/>
            <w:noProof/>
            <w:sz w:val="22"/>
            <w:szCs w:val="22"/>
          </w:rPr>
          <w:tab/>
        </w:r>
        <w:r w:rsidR="006970D8" w:rsidRPr="006970D8">
          <w:rPr>
            <w:rStyle w:val="Hyperlink"/>
            <w:noProof/>
            <w:color w:val="auto"/>
            <w:u w:val="none"/>
          </w:rPr>
          <w:t>The voice of the child in the Third Action Plan of the National Framework for Protecting Australia’s Children</w:t>
        </w:r>
        <w:r w:rsidR="000D73CC">
          <w:rPr>
            <w:rStyle w:val="Hyperlink"/>
            <w:noProof/>
            <w:color w:val="auto"/>
            <w:u w:val="none"/>
          </w:rPr>
          <w:t xml:space="preserve"> (National Framework)</w:t>
        </w:r>
        <w:r w:rsidR="006970D8" w:rsidRPr="006970D8">
          <w:rPr>
            <w:noProof/>
            <w:webHidden/>
          </w:rPr>
          <w:tab/>
        </w:r>
        <w:r w:rsidR="006970D8" w:rsidRPr="006970D8">
          <w:rPr>
            <w:noProof/>
            <w:webHidden/>
          </w:rPr>
          <w:fldChar w:fldCharType="begin"/>
        </w:r>
        <w:r w:rsidR="006970D8" w:rsidRPr="006970D8">
          <w:rPr>
            <w:noProof/>
            <w:webHidden/>
          </w:rPr>
          <w:instrText xml:space="preserve"> PAGEREF _Toc430778318 \h </w:instrText>
        </w:r>
        <w:r w:rsidR="006970D8" w:rsidRPr="006970D8">
          <w:rPr>
            <w:noProof/>
            <w:webHidden/>
          </w:rPr>
        </w:r>
        <w:r w:rsidR="006970D8" w:rsidRPr="006970D8">
          <w:rPr>
            <w:noProof/>
            <w:webHidden/>
          </w:rPr>
          <w:fldChar w:fldCharType="separate"/>
        </w:r>
        <w:r w:rsidR="006970D8" w:rsidRPr="006970D8">
          <w:rPr>
            <w:noProof/>
            <w:webHidden/>
          </w:rPr>
          <w:t>7</w:t>
        </w:r>
        <w:r w:rsidR="006970D8" w:rsidRPr="006970D8">
          <w:rPr>
            <w:noProof/>
            <w:webHidden/>
          </w:rPr>
          <w:fldChar w:fldCharType="end"/>
        </w:r>
      </w:hyperlink>
    </w:p>
    <w:p w14:paraId="2D70E8C3" w14:textId="77777777" w:rsidR="006970D8" w:rsidRPr="006970D8" w:rsidRDefault="0086430A" w:rsidP="00354AA1">
      <w:pPr>
        <w:pStyle w:val="TOC3"/>
        <w:tabs>
          <w:tab w:val="left" w:pos="1440"/>
          <w:tab w:val="right" w:pos="9060"/>
        </w:tabs>
        <w:jc w:val="both"/>
        <w:rPr>
          <w:rFonts w:asciiTheme="minorHAnsi" w:eastAsiaTheme="minorEastAsia" w:hAnsiTheme="minorHAnsi" w:cstheme="minorBidi"/>
          <w:iCs w:val="0"/>
          <w:noProof/>
          <w:sz w:val="22"/>
          <w:szCs w:val="22"/>
        </w:rPr>
      </w:pPr>
      <w:hyperlink w:anchor="_Toc430778319" w:history="1">
        <w:r w:rsidR="006970D8" w:rsidRPr="006970D8">
          <w:rPr>
            <w:rStyle w:val="Hyperlink"/>
            <w:noProof/>
            <w:color w:val="auto"/>
            <w:u w:val="none"/>
          </w:rPr>
          <w:t>1.2.2</w:t>
        </w:r>
        <w:r w:rsidR="006970D8" w:rsidRPr="006970D8">
          <w:rPr>
            <w:rFonts w:asciiTheme="minorHAnsi" w:eastAsiaTheme="minorEastAsia" w:hAnsiTheme="minorHAnsi" w:cstheme="minorBidi"/>
            <w:iCs w:val="0"/>
            <w:noProof/>
            <w:sz w:val="22"/>
            <w:szCs w:val="22"/>
          </w:rPr>
          <w:tab/>
        </w:r>
        <w:r w:rsidR="006970D8" w:rsidRPr="006970D8">
          <w:rPr>
            <w:rStyle w:val="Hyperlink"/>
            <w:noProof/>
            <w:color w:val="auto"/>
            <w:u w:val="none"/>
          </w:rPr>
          <w:t>The voice of the child in the family law system</w:t>
        </w:r>
        <w:r w:rsidR="006970D8" w:rsidRPr="006970D8">
          <w:rPr>
            <w:noProof/>
            <w:webHidden/>
          </w:rPr>
          <w:tab/>
        </w:r>
        <w:r w:rsidR="006970D8" w:rsidRPr="006970D8">
          <w:rPr>
            <w:noProof/>
            <w:webHidden/>
          </w:rPr>
          <w:fldChar w:fldCharType="begin"/>
        </w:r>
        <w:r w:rsidR="006970D8" w:rsidRPr="006970D8">
          <w:rPr>
            <w:noProof/>
            <w:webHidden/>
          </w:rPr>
          <w:instrText xml:space="preserve"> PAGEREF _Toc430778319 \h </w:instrText>
        </w:r>
        <w:r w:rsidR="006970D8" w:rsidRPr="006970D8">
          <w:rPr>
            <w:noProof/>
            <w:webHidden/>
          </w:rPr>
        </w:r>
        <w:r w:rsidR="006970D8" w:rsidRPr="006970D8">
          <w:rPr>
            <w:noProof/>
            <w:webHidden/>
          </w:rPr>
          <w:fldChar w:fldCharType="separate"/>
        </w:r>
        <w:r w:rsidR="006970D8" w:rsidRPr="006970D8">
          <w:rPr>
            <w:noProof/>
            <w:webHidden/>
          </w:rPr>
          <w:t>8</w:t>
        </w:r>
        <w:r w:rsidR="006970D8" w:rsidRPr="006970D8">
          <w:rPr>
            <w:noProof/>
            <w:webHidden/>
          </w:rPr>
          <w:fldChar w:fldCharType="end"/>
        </w:r>
      </w:hyperlink>
    </w:p>
    <w:p w14:paraId="5F9E4CE4" w14:textId="77777777" w:rsidR="006970D8" w:rsidRPr="006970D8" w:rsidRDefault="0086430A" w:rsidP="00354AA1">
      <w:pPr>
        <w:pStyle w:val="TOC3"/>
        <w:tabs>
          <w:tab w:val="left" w:pos="1440"/>
          <w:tab w:val="right" w:pos="9060"/>
        </w:tabs>
        <w:jc w:val="both"/>
        <w:rPr>
          <w:rFonts w:asciiTheme="minorHAnsi" w:eastAsiaTheme="minorEastAsia" w:hAnsiTheme="minorHAnsi" w:cstheme="minorBidi"/>
          <w:iCs w:val="0"/>
          <w:noProof/>
          <w:sz w:val="22"/>
          <w:szCs w:val="22"/>
        </w:rPr>
      </w:pPr>
      <w:hyperlink w:anchor="_Toc430778320" w:history="1">
        <w:r w:rsidR="006970D8" w:rsidRPr="006970D8">
          <w:rPr>
            <w:rStyle w:val="Hyperlink"/>
            <w:noProof/>
            <w:color w:val="auto"/>
            <w:u w:val="none"/>
          </w:rPr>
          <w:t>1.2.3</w:t>
        </w:r>
        <w:r w:rsidR="006970D8" w:rsidRPr="006970D8">
          <w:rPr>
            <w:rFonts w:asciiTheme="minorHAnsi" w:eastAsiaTheme="minorEastAsia" w:hAnsiTheme="minorHAnsi" w:cstheme="minorBidi"/>
            <w:iCs w:val="0"/>
            <w:noProof/>
            <w:sz w:val="22"/>
            <w:szCs w:val="22"/>
          </w:rPr>
          <w:tab/>
        </w:r>
        <w:r w:rsidR="006970D8" w:rsidRPr="006970D8">
          <w:rPr>
            <w:rStyle w:val="Hyperlink"/>
            <w:noProof/>
            <w:color w:val="auto"/>
            <w:u w:val="none"/>
          </w:rPr>
          <w:t>The voice of the child in complaints processes</w:t>
        </w:r>
        <w:r w:rsidR="006970D8" w:rsidRPr="006970D8">
          <w:rPr>
            <w:noProof/>
            <w:webHidden/>
          </w:rPr>
          <w:tab/>
        </w:r>
        <w:r w:rsidR="006970D8" w:rsidRPr="006970D8">
          <w:rPr>
            <w:noProof/>
            <w:webHidden/>
          </w:rPr>
          <w:fldChar w:fldCharType="begin"/>
        </w:r>
        <w:r w:rsidR="006970D8" w:rsidRPr="006970D8">
          <w:rPr>
            <w:noProof/>
            <w:webHidden/>
          </w:rPr>
          <w:instrText xml:space="preserve"> PAGEREF _Toc430778320 \h </w:instrText>
        </w:r>
        <w:r w:rsidR="006970D8" w:rsidRPr="006970D8">
          <w:rPr>
            <w:noProof/>
            <w:webHidden/>
          </w:rPr>
        </w:r>
        <w:r w:rsidR="006970D8" w:rsidRPr="006970D8">
          <w:rPr>
            <w:noProof/>
            <w:webHidden/>
          </w:rPr>
          <w:fldChar w:fldCharType="separate"/>
        </w:r>
        <w:r w:rsidR="006970D8" w:rsidRPr="006970D8">
          <w:rPr>
            <w:noProof/>
            <w:webHidden/>
          </w:rPr>
          <w:t>9</w:t>
        </w:r>
        <w:r w:rsidR="006970D8" w:rsidRPr="006970D8">
          <w:rPr>
            <w:noProof/>
            <w:webHidden/>
          </w:rPr>
          <w:fldChar w:fldCharType="end"/>
        </w:r>
      </w:hyperlink>
    </w:p>
    <w:p w14:paraId="56F8AEAD" w14:textId="047FFC9D" w:rsidR="006970D8" w:rsidRPr="006970D8" w:rsidRDefault="0086430A" w:rsidP="00354AA1">
      <w:pPr>
        <w:pStyle w:val="TOC3"/>
        <w:tabs>
          <w:tab w:val="left" w:pos="1440"/>
          <w:tab w:val="right" w:pos="9060"/>
        </w:tabs>
        <w:jc w:val="both"/>
        <w:rPr>
          <w:rFonts w:asciiTheme="minorHAnsi" w:eastAsiaTheme="minorEastAsia" w:hAnsiTheme="minorHAnsi" w:cstheme="minorBidi"/>
          <w:iCs w:val="0"/>
          <w:noProof/>
          <w:sz w:val="22"/>
          <w:szCs w:val="22"/>
        </w:rPr>
      </w:pPr>
      <w:hyperlink w:anchor="_Toc430778321" w:history="1">
        <w:r w:rsidR="006970D8" w:rsidRPr="006970D8">
          <w:rPr>
            <w:rStyle w:val="Hyperlink"/>
            <w:noProof/>
            <w:color w:val="auto"/>
            <w:u w:val="none"/>
          </w:rPr>
          <w:t>1.2.4</w:t>
        </w:r>
        <w:r w:rsidR="006970D8" w:rsidRPr="006970D8">
          <w:rPr>
            <w:rFonts w:asciiTheme="minorHAnsi" w:eastAsiaTheme="minorEastAsia" w:hAnsiTheme="minorHAnsi" w:cstheme="minorBidi"/>
            <w:iCs w:val="0"/>
            <w:noProof/>
            <w:sz w:val="22"/>
            <w:szCs w:val="22"/>
          </w:rPr>
          <w:tab/>
        </w:r>
        <w:r w:rsidR="006970D8" w:rsidRPr="006970D8">
          <w:rPr>
            <w:rStyle w:val="Hyperlink"/>
            <w:noProof/>
            <w:color w:val="auto"/>
            <w:u w:val="none"/>
          </w:rPr>
          <w:t>Children</w:t>
        </w:r>
        <w:r w:rsidR="004053D1">
          <w:rPr>
            <w:rStyle w:val="Hyperlink"/>
            <w:noProof/>
            <w:color w:val="auto"/>
            <w:u w:val="none"/>
          </w:rPr>
          <w:t>’s</w:t>
        </w:r>
        <w:r w:rsidR="006970D8" w:rsidRPr="006970D8">
          <w:rPr>
            <w:rStyle w:val="Hyperlink"/>
            <w:noProof/>
            <w:color w:val="auto"/>
            <w:u w:val="none"/>
          </w:rPr>
          <w:t xml:space="preserve"> and young people’s voices on consumer rights</w:t>
        </w:r>
        <w:r w:rsidR="006970D8" w:rsidRPr="006970D8">
          <w:rPr>
            <w:noProof/>
            <w:webHidden/>
          </w:rPr>
          <w:tab/>
        </w:r>
        <w:r w:rsidR="006970D8" w:rsidRPr="006970D8">
          <w:rPr>
            <w:noProof/>
            <w:webHidden/>
          </w:rPr>
          <w:fldChar w:fldCharType="begin"/>
        </w:r>
        <w:r w:rsidR="006970D8" w:rsidRPr="006970D8">
          <w:rPr>
            <w:noProof/>
            <w:webHidden/>
          </w:rPr>
          <w:instrText xml:space="preserve"> PAGEREF _Toc430778321 \h </w:instrText>
        </w:r>
        <w:r w:rsidR="006970D8" w:rsidRPr="006970D8">
          <w:rPr>
            <w:noProof/>
            <w:webHidden/>
          </w:rPr>
        </w:r>
        <w:r w:rsidR="006970D8" w:rsidRPr="006970D8">
          <w:rPr>
            <w:noProof/>
            <w:webHidden/>
          </w:rPr>
          <w:fldChar w:fldCharType="separate"/>
        </w:r>
        <w:r w:rsidR="006970D8" w:rsidRPr="006970D8">
          <w:rPr>
            <w:noProof/>
            <w:webHidden/>
          </w:rPr>
          <w:t>10</w:t>
        </w:r>
        <w:r w:rsidR="006970D8" w:rsidRPr="006970D8">
          <w:rPr>
            <w:noProof/>
            <w:webHidden/>
          </w:rPr>
          <w:fldChar w:fldCharType="end"/>
        </w:r>
      </w:hyperlink>
    </w:p>
    <w:p w14:paraId="1D52199D" w14:textId="77777777" w:rsidR="006970D8" w:rsidRPr="006970D8" w:rsidRDefault="0086430A" w:rsidP="00354AA1">
      <w:pPr>
        <w:pStyle w:val="TOC2"/>
        <w:tabs>
          <w:tab w:val="left" w:pos="960"/>
          <w:tab w:val="right" w:pos="9060"/>
        </w:tabs>
        <w:jc w:val="both"/>
        <w:rPr>
          <w:rFonts w:asciiTheme="minorHAnsi" w:eastAsiaTheme="minorEastAsia" w:hAnsiTheme="minorHAnsi" w:cstheme="minorBidi"/>
          <w:noProof/>
          <w:sz w:val="22"/>
          <w:szCs w:val="22"/>
        </w:rPr>
      </w:pPr>
      <w:hyperlink w:anchor="_Toc430778322" w:history="1">
        <w:r w:rsidR="006970D8" w:rsidRPr="006970D8">
          <w:rPr>
            <w:rStyle w:val="Hyperlink"/>
            <w:noProof/>
            <w:color w:val="auto"/>
            <w:u w:val="none"/>
          </w:rPr>
          <w:t>1.3</w:t>
        </w:r>
        <w:r w:rsidR="006970D8" w:rsidRPr="006970D8">
          <w:rPr>
            <w:rFonts w:asciiTheme="minorHAnsi" w:eastAsiaTheme="minorEastAsia" w:hAnsiTheme="minorHAnsi" w:cstheme="minorBidi"/>
            <w:noProof/>
            <w:sz w:val="22"/>
            <w:szCs w:val="22"/>
          </w:rPr>
          <w:tab/>
        </w:r>
        <w:r w:rsidR="006970D8" w:rsidRPr="006970D8">
          <w:rPr>
            <w:rStyle w:val="Hyperlink"/>
            <w:noProof/>
            <w:color w:val="auto"/>
            <w:u w:val="none"/>
          </w:rPr>
          <w:t>Freedom from violence, abuse and neglect</w:t>
        </w:r>
        <w:r w:rsidR="006970D8" w:rsidRPr="006970D8">
          <w:rPr>
            <w:noProof/>
            <w:webHidden/>
          </w:rPr>
          <w:tab/>
        </w:r>
        <w:r w:rsidR="006970D8" w:rsidRPr="006970D8">
          <w:rPr>
            <w:noProof/>
            <w:webHidden/>
          </w:rPr>
          <w:fldChar w:fldCharType="begin"/>
        </w:r>
        <w:r w:rsidR="006970D8" w:rsidRPr="006970D8">
          <w:rPr>
            <w:noProof/>
            <w:webHidden/>
          </w:rPr>
          <w:instrText xml:space="preserve"> PAGEREF _Toc430778322 \h </w:instrText>
        </w:r>
        <w:r w:rsidR="006970D8" w:rsidRPr="006970D8">
          <w:rPr>
            <w:noProof/>
            <w:webHidden/>
          </w:rPr>
        </w:r>
        <w:r w:rsidR="006970D8" w:rsidRPr="006970D8">
          <w:rPr>
            <w:noProof/>
            <w:webHidden/>
          </w:rPr>
          <w:fldChar w:fldCharType="separate"/>
        </w:r>
        <w:r w:rsidR="006970D8" w:rsidRPr="006970D8">
          <w:rPr>
            <w:noProof/>
            <w:webHidden/>
          </w:rPr>
          <w:t>10</w:t>
        </w:r>
        <w:r w:rsidR="006970D8" w:rsidRPr="006970D8">
          <w:rPr>
            <w:noProof/>
            <w:webHidden/>
          </w:rPr>
          <w:fldChar w:fldCharType="end"/>
        </w:r>
      </w:hyperlink>
    </w:p>
    <w:p w14:paraId="71AD4BB0" w14:textId="77777777" w:rsidR="006970D8" w:rsidRPr="006970D8" w:rsidRDefault="0086430A" w:rsidP="00354AA1">
      <w:pPr>
        <w:pStyle w:val="TOC3"/>
        <w:tabs>
          <w:tab w:val="left" w:pos="1440"/>
          <w:tab w:val="right" w:pos="9060"/>
        </w:tabs>
        <w:ind w:left="1440" w:hanging="960"/>
        <w:jc w:val="both"/>
        <w:rPr>
          <w:rFonts w:asciiTheme="minorHAnsi" w:eastAsiaTheme="minorEastAsia" w:hAnsiTheme="minorHAnsi" w:cstheme="minorBidi"/>
          <w:iCs w:val="0"/>
          <w:noProof/>
          <w:sz w:val="22"/>
          <w:szCs w:val="22"/>
        </w:rPr>
      </w:pPr>
      <w:hyperlink w:anchor="_Toc430778323" w:history="1">
        <w:r w:rsidR="006970D8" w:rsidRPr="006970D8">
          <w:rPr>
            <w:rStyle w:val="Hyperlink"/>
            <w:noProof/>
            <w:color w:val="auto"/>
            <w:u w:val="none"/>
          </w:rPr>
          <w:t>1.3.1</w:t>
        </w:r>
        <w:r w:rsidR="006970D8" w:rsidRPr="006970D8">
          <w:rPr>
            <w:rFonts w:asciiTheme="minorHAnsi" w:eastAsiaTheme="minorEastAsia" w:hAnsiTheme="minorHAnsi" w:cstheme="minorBidi"/>
            <w:iCs w:val="0"/>
            <w:noProof/>
            <w:sz w:val="22"/>
            <w:szCs w:val="22"/>
          </w:rPr>
          <w:tab/>
        </w:r>
        <w:r w:rsidR="006970D8" w:rsidRPr="006970D8">
          <w:rPr>
            <w:rStyle w:val="Hyperlink"/>
            <w:noProof/>
            <w:color w:val="auto"/>
            <w:u w:val="none"/>
          </w:rPr>
          <w:t>Self-harm and suicidal behaviour in Aboriginal and Torres Strait Islander children and young people</w:t>
        </w:r>
        <w:r w:rsidR="006970D8" w:rsidRPr="006970D8">
          <w:rPr>
            <w:noProof/>
            <w:webHidden/>
          </w:rPr>
          <w:tab/>
        </w:r>
        <w:r w:rsidR="006970D8" w:rsidRPr="006970D8">
          <w:rPr>
            <w:noProof/>
            <w:webHidden/>
          </w:rPr>
          <w:fldChar w:fldCharType="begin"/>
        </w:r>
        <w:r w:rsidR="006970D8" w:rsidRPr="006970D8">
          <w:rPr>
            <w:noProof/>
            <w:webHidden/>
          </w:rPr>
          <w:instrText xml:space="preserve"> PAGEREF _Toc430778323 \h </w:instrText>
        </w:r>
        <w:r w:rsidR="006970D8" w:rsidRPr="006970D8">
          <w:rPr>
            <w:noProof/>
            <w:webHidden/>
          </w:rPr>
        </w:r>
        <w:r w:rsidR="006970D8" w:rsidRPr="006970D8">
          <w:rPr>
            <w:noProof/>
            <w:webHidden/>
          </w:rPr>
          <w:fldChar w:fldCharType="separate"/>
        </w:r>
        <w:r w:rsidR="006970D8" w:rsidRPr="006970D8">
          <w:rPr>
            <w:noProof/>
            <w:webHidden/>
          </w:rPr>
          <w:t>11</w:t>
        </w:r>
        <w:r w:rsidR="006970D8" w:rsidRPr="006970D8">
          <w:rPr>
            <w:noProof/>
            <w:webHidden/>
          </w:rPr>
          <w:fldChar w:fldCharType="end"/>
        </w:r>
      </w:hyperlink>
    </w:p>
    <w:p w14:paraId="203D8CDC" w14:textId="77777777" w:rsidR="006970D8" w:rsidRPr="006970D8" w:rsidRDefault="0086430A" w:rsidP="00354AA1">
      <w:pPr>
        <w:pStyle w:val="TOC3"/>
        <w:tabs>
          <w:tab w:val="left" w:pos="1440"/>
          <w:tab w:val="right" w:pos="9060"/>
        </w:tabs>
        <w:ind w:left="1440" w:hanging="960"/>
        <w:jc w:val="both"/>
        <w:rPr>
          <w:rFonts w:asciiTheme="minorHAnsi" w:eastAsiaTheme="minorEastAsia" w:hAnsiTheme="minorHAnsi" w:cstheme="minorBidi"/>
          <w:iCs w:val="0"/>
          <w:noProof/>
          <w:sz w:val="22"/>
          <w:szCs w:val="22"/>
        </w:rPr>
      </w:pPr>
      <w:hyperlink w:anchor="_Toc430778324" w:history="1">
        <w:r w:rsidR="006970D8" w:rsidRPr="006970D8">
          <w:rPr>
            <w:rStyle w:val="Hyperlink"/>
            <w:noProof/>
            <w:color w:val="auto"/>
            <w:u w:val="none"/>
          </w:rPr>
          <w:t>1.3.2</w:t>
        </w:r>
        <w:r w:rsidR="006970D8" w:rsidRPr="006970D8">
          <w:rPr>
            <w:rFonts w:asciiTheme="minorHAnsi" w:eastAsiaTheme="minorEastAsia" w:hAnsiTheme="minorHAnsi" w:cstheme="minorBidi"/>
            <w:iCs w:val="0"/>
            <w:noProof/>
            <w:sz w:val="22"/>
            <w:szCs w:val="22"/>
          </w:rPr>
          <w:tab/>
        </w:r>
        <w:r w:rsidR="006970D8" w:rsidRPr="006970D8">
          <w:rPr>
            <w:rStyle w:val="Hyperlink"/>
            <w:noProof/>
            <w:color w:val="auto"/>
            <w:u w:val="none"/>
          </w:rPr>
          <w:t>The impact of family and domestic violence on children and young people</w:t>
        </w:r>
        <w:r w:rsidR="006970D8" w:rsidRPr="006970D8">
          <w:rPr>
            <w:noProof/>
            <w:webHidden/>
          </w:rPr>
          <w:tab/>
        </w:r>
        <w:r w:rsidR="006970D8" w:rsidRPr="006970D8">
          <w:rPr>
            <w:noProof/>
            <w:webHidden/>
          </w:rPr>
          <w:fldChar w:fldCharType="begin"/>
        </w:r>
        <w:r w:rsidR="006970D8" w:rsidRPr="006970D8">
          <w:rPr>
            <w:noProof/>
            <w:webHidden/>
          </w:rPr>
          <w:instrText xml:space="preserve"> PAGEREF _Toc430778324 \h </w:instrText>
        </w:r>
        <w:r w:rsidR="006970D8" w:rsidRPr="006970D8">
          <w:rPr>
            <w:noProof/>
            <w:webHidden/>
          </w:rPr>
        </w:r>
        <w:r w:rsidR="006970D8" w:rsidRPr="006970D8">
          <w:rPr>
            <w:noProof/>
            <w:webHidden/>
          </w:rPr>
          <w:fldChar w:fldCharType="separate"/>
        </w:r>
        <w:r w:rsidR="006970D8" w:rsidRPr="006970D8">
          <w:rPr>
            <w:noProof/>
            <w:webHidden/>
          </w:rPr>
          <w:t>13</w:t>
        </w:r>
        <w:r w:rsidR="006970D8" w:rsidRPr="006970D8">
          <w:rPr>
            <w:noProof/>
            <w:webHidden/>
          </w:rPr>
          <w:fldChar w:fldCharType="end"/>
        </w:r>
      </w:hyperlink>
    </w:p>
    <w:p w14:paraId="74519961" w14:textId="77777777" w:rsidR="006970D8" w:rsidRPr="006970D8" w:rsidRDefault="0086430A" w:rsidP="00354AA1">
      <w:pPr>
        <w:pStyle w:val="TOC2"/>
        <w:tabs>
          <w:tab w:val="left" w:pos="960"/>
          <w:tab w:val="right" w:pos="9060"/>
        </w:tabs>
        <w:jc w:val="both"/>
        <w:rPr>
          <w:rFonts w:asciiTheme="minorHAnsi" w:eastAsiaTheme="minorEastAsia" w:hAnsiTheme="minorHAnsi" w:cstheme="minorBidi"/>
          <w:noProof/>
          <w:sz w:val="22"/>
          <w:szCs w:val="22"/>
        </w:rPr>
      </w:pPr>
      <w:hyperlink w:anchor="_Toc430778325" w:history="1">
        <w:r w:rsidR="006970D8" w:rsidRPr="006970D8">
          <w:rPr>
            <w:rStyle w:val="Hyperlink"/>
            <w:noProof/>
            <w:color w:val="auto"/>
            <w:u w:val="none"/>
          </w:rPr>
          <w:t>1.4</w:t>
        </w:r>
        <w:r w:rsidR="006970D8" w:rsidRPr="006970D8">
          <w:rPr>
            <w:rFonts w:asciiTheme="minorHAnsi" w:eastAsiaTheme="minorEastAsia" w:hAnsiTheme="minorHAnsi" w:cstheme="minorBidi"/>
            <w:noProof/>
            <w:sz w:val="22"/>
            <w:szCs w:val="22"/>
          </w:rPr>
          <w:tab/>
        </w:r>
        <w:r w:rsidR="006970D8" w:rsidRPr="006970D8">
          <w:rPr>
            <w:rStyle w:val="Hyperlink"/>
            <w:noProof/>
            <w:color w:val="auto"/>
            <w:u w:val="none"/>
          </w:rPr>
          <w:t>Opportunity to thrive</w:t>
        </w:r>
        <w:r w:rsidR="006970D8" w:rsidRPr="006970D8">
          <w:rPr>
            <w:noProof/>
            <w:webHidden/>
          </w:rPr>
          <w:tab/>
        </w:r>
        <w:r w:rsidR="006970D8" w:rsidRPr="006970D8">
          <w:rPr>
            <w:noProof/>
            <w:webHidden/>
          </w:rPr>
          <w:fldChar w:fldCharType="begin"/>
        </w:r>
        <w:r w:rsidR="006970D8" w:rsidRPr="006970D8">
          <w:rPr>
            <w:noProof/>
            <w:webHidden/>
          </w:rPr>
          <w:instrText xml:space="preserve"> PAGEREF _Toc430778325 \h </w:instrText>
        </w:r>
        <w:r w:rsidR="006970D8" w:rsidRPr="006970D8">
          <w:rPr>
            <w:noProof/>
            <w:webHidden/>
          </w:rPr>
        </w:r>
        <w:r w:rsidR="006970D8" w:rsidRPr="006970D8">
          <w:rPr>
            <w:noProof/>
            <w:webHidden/>
          </w:rPr>
          <w:fldChar w:fldCharType="separate"/>
        </w:r>
        <w:r w:rsidR="006970D8" w:rsidRPr="006970D8">
          <w:rPr>
            <w:noProof/>
            <w:webHidden/>
          </w:rPr>
          <w:t>13</w:t>
        </w:r>
        <w:r w:rsidR="006970D8" w:rsidRPr="006970D8">
          <w:rPr>
            <w:noProof/>
            <w:webHidden/>
          </w:rPr>
          <w:fldChar w:fldCharType="end"/>
        </w:r>
      </w:hyperlink>
    </w:p>
    <w:p w14:paraId="797606AF" w14:textId="77777777" w:rsidR="006970D8" w:rsidRPr="006970D8" w:rsidRDefault="0086430A" w:rsidP="00354AA1">
      <w:pPr>
        <w:pStyle w:val="TOC3"/>
        <w:tabs>
          <w:tab w:val="left" w:pos="1440"/>
          <w:tab w:val="right" w:pos="9060"/>
        </w:tabs>
        <w:jc w:val="both"/>
        <w:rPr>
          <w:rFonts w:asciiTheme="minorHAnsi" w:eastAsiaTheme="minorEastAsia" w:hAnsiTheme="minorHAnsi" w:cstheme="minorBidi"/>
          <w:iCs w:val="0"/>
          <w:noProof/>
          <w:sz w:val="22"/>
          <w:szCs w:val="22"/>
        </w:rPr>
      </w:pPr>
      <w:hyperlink w:anchor="_Toc430778326" w:history="1">
        <w:r w:rsidR="006970D8" w:rsidRPr="006970D8">
          <w:rPr>
            <w:rStyle w:val="Hyperlink"/>
            <w:noProof/>
            <w:color w:val="auto"/>
            <w:u w:val="none"/>
          </w:rPr>
          <w:t>1.4.1</w:t>
        </w:r>
        <w:r w:rsidR="006970D8" w:rsidRPr="006970D8">
          <w:rPr>
            <w:rFonts w:asciiTheme="minorHAnsi" w:eastAsiaTheme="minorEastAsia" w:hAnsiTheme="minorHAnsi" w:cstheme="minorBidi"/>
            <w:iCs w:val="0"/>
            <w:noProof/>
            <w:sz w:val="22"/>
            <w:szCs w:val="22"/>
          </w:rPr>
          <w:tab/>
        </w:r>
        <w:r w:rsidR="006970D8" w:rsidRPr="006970D8">
          <w:rPr>
            <w:rStyle w:val="Hyperlink"/>
            <w:noProof/>
            <w:color w:val="auto"/>
            <w:u w:val="none"/>
          </w:rPr>
          <w:t>Protecting the rights of children in need of care and protection</w:t>
        </w:r>
        <w:r w:rsidR="006970D8" w:rsidRPr="006970D8">
          <w:rPr>
            <w:noProof/>
            <w:webHidden/>
          </w:rPr>
          <w:tab/>
        </w:r>
        <w:r w:rsidR="006970D8" w:rsidRPr="006970D8">
          <w:rPr>
            <w:noProof/>
            <w:webHidden/>
          </w:rPr>
          <w:fldChar w:fldCharType="begin"/>
        </w:r>
        <w:r w:rsidR="006970D8" w:rsidRPr="006970D8">
          <w:rPr>
            <w:noProof/>
            <w:webHidden/>
          </w:rPr>
          <w:instrText xml:space="preserve"> PAGEREF _Toc430778326 \h </w:instrText>
        </w:r>
        <w:r w:rsidR="006970D8" w:rsidRPr="006970D8">
          <w:rPr>
            <w:noProof/>
            <w:webHidden/>
          </w:rPr>
        </w:r>
        <w:r w:rsidR="006970D8" w:rsidRPr="006970D8">
          <w:rPr>
            <w:noProof/>
            <w:webHidden/>
          </w:rPr>
          <w:fldChar w:fldCharType="separate"/>
        </w:r>
        <w:r w:rsidR="006970D8" w:rsidRPr="006970D8">
          <w:rPr>
            <w:noProof/>
            <w:webHidden/>
          </w:rPr>
          <w:t>13</w:t>
        </w:r>
        <w:r w:rsidR="006970D8" w:rsidRPr="006970D8">
          <w:rPr>
            <w:noProof/>
            <w:webHidden/>
          </w:rPr>
          <w:fldChar w:fldCharType="end"/>
        </w:r>
      </w:hyperlink>
    </w:p>
    <w:p w14:paraId="3FEB6FDE" w14:textId="77777777" w:rsidR="006970D8" w:rsidRPr="006970D8" w:rsidRDefault="0086430A" w:rsidP="00354AA1">
      <w:pPr>
        <w:pStyle w:val="TOC3"/>
        <w:tabs>
          <w:tab w:val="left" w:pos="1440"/>
          <w:tab w:val="right" w:pos="9060"/>
        </w:tabs>
        <w:ind w:left="1440" w:hanging="960"/>
        <w:jc w:val="both"/>
        <w:rPr>
          <w:rFonts w:asciiTheme="minorHAnsi" w:eastAsiaTheme="minorEastAsia" w:hAnsiTheme="minorHAnsi" w:cstheme="minorBidi"/>
          <w:iCs w:val="0"/>
          <w:noProof/>
          <w:sz w:val="22"/>
          <w:szCs w:val="22"/>
        </w:rPr>
      </w:pPr>
      <w:hyperlink w:anchor="_Toc430778327" w:history="1">
        <w:r w:rsidR="006970D8" w:rsidRPr="006970D8">
          <w:rPr>
            <w:rStyle w:val="Hyperlink"/>
            <w:noProof/>
            <w:color w:val="auto"/>
            <w:u w:val="none"/>
          </w:rPr>
          <w:t>1.4.2</w:t>
        </w:r>
        <w:r w:rsidR="006970D8" w:rsidRPr="006970D8">
          <w:rPr>
            <w:rFonts w:asciiTheme="minorHAnsi" w:eastAsiaTheme="minorEastAsia" w:hAnsiTheme="minorHAnsi" w:cstheme="minorBidi"/>
            <w:iCs w:val="0"/>
            <w:noProof/>
            <w:sz w:val="22"/>
            <w:szCs w:val="22"/>
          </w:rPr>
          <w:tab/>
        </w:r>
        <w:r w:rsidR="006970D8" w:rsidRPr="006970D8">
          <w:rPr>
            <w:rStyle w:val="Hyperlink"/>
            <w:noProof/>
            <w:color w:val="auto"/>
            <w:u w:val="none"/>
          </w:rPr>
          <w:t>Promoting the rights of Aboriginal and Torres Strait Islander children and young people in the National Framework</w:t>
        </w:r>
        <w:r w:rsidR="006970D8" w:rsidRPr="006970D8">
          <w:rPr>
            <w:noProof/>
            <w:webHidden/>
          </w:rPr>
          <w:tab/>
        </w:r>
        <w:r w:rsidR="006970D8" w:rsidRPr="006970D8">
          <w:rPr>
            <w:noProof/>
            <w:webHidden/>
          </w:rPr>
          <w:fldChar w:fldCharType="begin"/>
        </w:r>
        <w:r w:rsidR="006970D8" w:rsidRPr="006970D8">
          <w:rPr>
            <w:noProof/>
            <w:webHidden/>
          </w:rPr>
          <w:instrText xml:space="preserve"> PAGEREF _Toc430778327 \h </w:instrText>
        </w:r>
        <w:r w:rsidR="006970D8" w:rsidRPr="006970D8">
          <w:rPr>
            <w:noProof/>
            <w:webHidden/>
          </w:rPr>
        </w:r>
        <w:r w:rsidR="006970D8" w:rsidRPr="006970D8">
          <w:rPr>
            <w:noProof/>
            <w:webHidden/>
          </w:rPr>
          <w:fldChar w:fldCharType="separate"/>
        </w:r>
        <w:r w:rsidR="006970D8" w:rsidRPr="006970D8">
          <w:rPr>
            <w:noProof/>
            <w:webHidden/>
          </w:rPr>
          <w:t>16</w:t>
        </w:r>
        <w:r w:rsidR="006970D8" w:rsidRPr="006970D8">
          <w:rPr>
            <w:noProof/>
            <w:webHidden/>
          </w:rPr>
          <w:fldChar w:fldCharType="end"/>
        </w:r>
      </w:hyperlink>
    </w:p>
    <w:p w14:paraId="462F8113" w14:textId="77777777" w:rsidR="006970D8" w:rsidRPr="006970D8" w:rsidRDefault="0086430A" w:rsidP="00354AA1">
      <w:pPr>
        <w:pStyle w:val="TOC2"/>
        <w:tabs>
          <w:tab w:val="left" w:pos="960"/>
          <w:tab w:val="right" w:pos="9060"/>
        </w:tabs>
        <w:jc w:val="both"/>
        <w:rPr>
          <w:rFonts w:asciiTheme="minorHAnsi" w:eastAsiaTheme="minorEastAsia" w:hAnsiTheme="minorHAnsi" w:cstheme="minorBidi"/>
          <w:noProof/>
          <w:sz w:val="22"/>
          <w:szCs w:val="22"/>
        </w:rPr>
      </w:pPr>
      <w:hyperlink w:anchor="_Toc430778328" w:history="1">
        <w:r w:rsidR="006970D8" w:rsidRPr="006970D8">
          <w:rPr>
            <w:rStyle w:val="Hyperlink"/>
            <w:noProof/>
            <w:color w:val="auto"/>
            <w:u w:val="none"/>
          </w:rPr>
          <w:t>1.5</w:t>
        </w:r>
        <w:r w:rsidR="006970D8" w:rsidRPr="006970D8">
          <w:rPr>
            <w:rFonts w:asciiTheme="minorHAnsi" w:eastAsiaTheme="minorEastAsia" w:hAnsiTheme="minorHAnsi" w:cstheme="minorBidi"/>
            <w:noProof/>
            <w:sz w:val="22"/>
            <w:szCs w:val="22"/>
          </w:rPr>
          <w:tab/>
        </w:r>
        <w:r w:rsidR="006970D8" w:rsidRPr="006970D8">
          <w:rPr>
            <w:rStyle w:val="Hyperlink"/>
            <w:noProof/>
            <w:color w:val="auto"/>
            <w:u w:val="none"/>
          </w:rPr>
          <w:t>Engaged citizenship</w:t>
        </w:r>
        <w:r w:rsidR="006970D8" w:rsidRPr="006970D8">
          <w:rPr>
            <w:noProof/>
            <w:webHidden/>
          </w:rPr>
          <w:tab/>
        </w:r>
        <w:r w:rsidR="006970D8" w:rsidRPr="006970D8">
          <w:rPr>
            <w:noProof/>
            <w:webHidden/>
          </w:rPr>
          <w:fldChar w:fldCharType="begin"/>
        </w:r>
        <w:r w:rsidR="006970D8" w:rsidRPr="006970D8">
          <w:rPr>
            <w:noProof/>
            <w:webHidden/>
          </w:rPr>
          <w:instrText xml:space="preserve"> PAGEREF _Toc430778328 \h </w:instrText>
        </w:r>
        <w:r w:rsidR="006970D8" w:rsidRPr="006970D8">
          <w:rPr>
            <w:noProof/>
            <w:webHidden/>
          </w:rPr>
        </w:r>
        <w:r w:rsidR="006970D8" w:rsidRPr="006970D8">
          <w:rPr>
            <w:noProof/>
            <w:webHidden/>
          </w:rPr>
          <w:fldChar w:fldCharType="separate"/>
        </w:r>
        <w:r w:rsidR="006970D8" w:rsidRPr="006970D8">
          <w:rPr>
            <w:noProof/>
            <w:webHidden/>
          </w:rPr>
          <w:t>16</w:t>
        </w:r>
        <w:r w:rsidR="006970D8" w:rsidRPr="006970D8">
          <w:rPr>
            <w:noProof/>
            <w:webHidden/>
          </w:rPr>
          <w:fldChar w:fldCharType="end"/>
        </w:r>
      </w:hyperlink>
    </w:p>
    <w:p w14:paraId="27777F2F" w14:textId="77777777" w:rsidR="006970D8" w:rsidRPr="006970D8" w:rsidRDefault="0086430A" w:rsidP="00354AA1">
      <w:pPr>
        <w:pStyle w:val="TOC3"/>
        <w:tabs>
          <w:tab w:val="left" w:pos="1440"/>
          <w:tab w:val="right" w:pos="9060"/>
        </w:tabs>
        <w:ind w:left="1440" w:hanging="960"/>
        <w:jc w:val="both"/>
        <w:rPr>
          <w:rFonts w:asciiTheme="minorHAnsi" w:eastAsiaTheme="minorEastAsia" w:hAnsiTheme="minorHAnsi" w:cstheme="minorBidi"/>
          <w:iCs w:val="0"/>
          <w:noProof/>
          <w:sz w:val="22"/>
          <w:szCs w:val="22"/>
        </w:rPr>
      </w:pPr>
      <w:hyperlink w:anchor="_Toc430778329" w:history="1">
        <w:r w:rsidR="006970D8" w:rsidRPr="006970D8">
          <w:rPr>
            <w:rStyle w:val="Hyperlink"/>
            <w:noProof/>
            <w:color w:val="auto"/>
            <w:u w:val="none"/>
          </w:rPr>
          <w:t>1.5.1</w:t>
        </w:r>
        <w:r w:rsidR="006970D8" w:rsidRPr="006970D8">
          <w:rPr>
            <w:rFonts w:asciiTheme="minorHAnsi" w:eastAsiaTheme="minorEastAsia" w:hAnsiTheme="minorHAnsi" w:cstheme="minorBidi"/>
            <w:iCs w:val="0"/>
            <w:noProof/>
            <w:sz w:val="22"/>
            <w:szCs w:val="22"/>
          </w:rPr>
          <w:tab/>
        </w:r>
        <w:r w:rsidR="006970D8" w:rsidRPr="006970D8">
          <w:rPr>
            <w:rStyle w:val="Hyperlink"/>
            <w:noProof/>
            <w:color w:val="auto"/>
            <w:u w:val="none"/>
          </w:rPr>
          <w:t>Co-presenting with a young person to Australian Public Service employees</w:t>
        </w:r>
        <w:r w:rsidR="006970D8" w:rsidRPr="006970D8">
          <w:rPr>
            <w:noProof/>
            <w:webHidden/>
          </w:rPr>
          <w:tab/>
        </w:r>
        <w:r w:rsidR="006970D8" w:rsidRPr="006970D8">
          <w:rPr>
            <w:noProof/>
            <w:webHidden/>
          </w:rPr>
          <w:fldChar w:fldCharType="begin"/>
        </w:r>
        <w:r w:rsidR="006970D8" w:rsidRPr="006970D8">
          <w:rPr>
            <w:noProof/>
            <w:webHidden/>
          </w:rPr>
          <w:instrText xml:space="preserve"> PAGEREF _Toc430778329 \h </w:instrText>
        </w:r>
        <w:r w:rsidR="006970D8" w:rsidRPr="006970D8">
          <w:rPr>
            <w:noProof/>
            <w:webHidden/>
          </w:rPr>
        </w:r>
        <w:r w:rsidR="006970D8" w:rsidRPr="006970D8">
          <w:rPr>
            <w:noProof/>
            <w:webHidden/>
          </w:rPr>
          <w:fldChar w:fldCharType="separate"/>
        </w:r>
        <w:r w:rsidR="006970D8" w:rsidRPr="006970D8">
          <w:rPr>
            <w:noProof/>
            <w:webHidden/>
          </w:rPr>
          <w:t>17</w:t>
        </w:r>
        <w:r w:rsidR="006970D8" w:rsidRPr="006970D8">
          <w:rPr>
            <w:noProof/>
            <w:webHidden/>
          </w:rPr>
          <w:fldChar w:fldCharType="end"/>
        </w:r>
      </w:hyperlink>
    </w:p>
    <w:p w14:paraId="2E56FA47" w14:textId="77777777" w:rsidR="006970D8" w:rsidRPr="006970D8" w:rsidRDefault="0086430A" w:rsidP="00354AA1">
      <w:pPr>
        <w:pStyle w:val="TOC3"/>
        <w:tabs>
          <w:tab w:val="left" w:pos="1440"/>
          <w:tab w:val="right" w:pos="9060"/>
        </w:tabs>
        <w:jc w:val="both"/>
        <w:rPr>
          <w:rFonts w:asciiTheme="minorHAnsi" w:eastAsiaTheme="minorEastAsia" w:hAnsiTheme="minorHAnsi" w:cstheme="minorBidi"/>
          <w:iCs w:val="0"/>
          <w:noProof/>
          <w:sz w:val="22"/>
          <w:szCs w:val="22"/>
        </w:rPr>
      </w:pPr>
      <w:hyperlink w:anchor="_Toc430778330" w:history="1">
        <w:r w:rsidR="006970D8" w:rsidRPr="006970D8">
          <w:rPr>
            <w:rStyle w:val="Hyperlink"/>
            <w:noProof/>
            <w:color w:val="auto"/>
            <w:u w:val="none"/>
          </w:rPr>
          <w:t>1.5.2</w:t>
        </w:r>
        <w:r w:rsidR="006970D8" w:rsidRPr="006970D8">
          <w:rPr>
            <w:rFonts w:asciiTheme="minorHAnsi" w:eastAsiaTheme="minorEastAsia" w:hAnsiTheme="minorHAnsi" w:cstheme="minorBidi"/>
            <w:iCs w:val="0"/>
            <w:noProof/>
            <w:sz w:val="22"/>
            <w:szCs w:val="22"/>
          </w:rPr>
          <w:tab/>
        </w:r>
        <w:r w:rsidR="006970D8" w:rsidRPr="006970D8">
          <w:rPr>
            <w:rStyle w:val="Hyperlink"/>
            <w:noProof/>
            <w:color w:val="auto"/>
            <w:u w:val="none"/>
          </w:rPr>
          <w:t>Encouraging human rights education in schools</w:t>
        </w:r>
        <w:r w:rsidR="006970D8" w:rsidRPr="006970D8">
          <w:rPr>
            <w:noProof/>
            <w:webHidden/>
          </w:rPr>
          <w:tab/>
        </w:r>
        <w:r w:rsidR="006970D8" w:rsidRPr="006970D8">
          <w:rPr>
            <w:noProof/>
            <w:webHidden/>
          </w:rPr>
          <w:fldChar w:fldCharType="begin"/>
        </w:r>
        <w:r w:rsidR="006970D8" w:rsidRPr="006970D8">
          <w:rPr>
            <w:noProof/>
            <w:webHidden/>
          </w:rPr>
          <w:instrText xml:space="preserve"> PAGEREF _Toc430778330 \h </w:instrText>
        </w:r>
        <w:r w:rsidR="006970D8" w:rsidRPr="006970D8">
          <w:rPr>
            <w:noProof/>
            <w:webHidden/>
          </w:rPr>
        </w:r>
        <w:r w:rsidR="006970D8" w:rsidRPr="006970D8">
          <w:rPr>
            <w:noProof/>
            <w:webHidden/>
          </w:rPr>
          <w:fldChar w:fldCharType="separate"/>
        </w:r>
        <w:r w:rsidR="006970D8" w:rsidRPr="006970D8">
          <w:rPr>
            <w:noProof/>
            <w:webHidden/>
          </w:rPr>
          <w:t>17</w:t>
        </w:r>
        <w:r w:rsidR="006970D8" w:rsidRPr="006970D8">
          <w:rPr>
            <w:noProof/>
            <w:webHidden/>
          </w:rPr>
          <w:fldChar w:fldCharType="end"/>
        </w:r>
      </w:hyperlink>
    </w:p>
    <w:p w14:paraId="59CC4537" w14:textId="77777777" w:rsidR="006970D8" w:rsidRPr="006970D8" w:rsidRDefault="0086430A" w:rsidP="00354AA1">
      <w:pPr>
        <w:pStyle w:val="TOC3"/>
        <w:tabs>
          <w:tab w:val="left" w:pos="1440"/>
          <w:tab w:val="right" w:pos="9060"/>
        </w:tabs>
        <w:jc w:val="both"/>
        <w:rPr>
          <w:rFonts w:asciiTheme="minorHAnsi" w:eastAsiaTheme="minorEastAsia" w:hAnsiTheme="minorHAnsi" w:cstheme="minorBidi"/>
          <w:iCs w:val="0"/>
          <w:noProof/>
          <w:sz w:val="22"/>
          <w:szCs w:val="22"/>
        </w:rPr>
      </w:pPr>
      <w:hyperlink w:anchor="_Toc430778331" w:history="1">
        <w:r w:rsidR="006970D8" w:rsidRPr="006970D8">
          <w:rPr>
            <w:rStyle w:val="Hyperlink"/>
            <w:noProof/>
            <w:color w:val="auto"/>
            <w:u w:val="none"/>
          </w:rPr>
          <w:t>1.5.3</w:t>
        </w:r>
        <w:r w:rsidR="006970D8" w:rsidRPr="006970D8">
          <w:rPr>
            <w:rFonts w:asciiTheme="minorHAnsi" w:eastAsiaTheme="minorEastAsia" w:hAnsiTheme="minorHAnsi" w:cstheme="minorBidi"/>
            <w:iCs w:val="0"/>
            <w:noProof/>
            <w:sz w:val="22"/>
            <w:szCs w:val="22"/>
          </w:rPr>
          <w:tab/>
        </w:r>
        <w:r w:rsidR="006970D8" w:rsidRPr="006970D8">
          <w:rPr>
            <w:rStyle w:val="Hyperlink"/>
            <w:noProof/>
            <w:color w:val="auto"/>
            <w:u w:val="none"/>
          </w:rPr>
          <w:t>Submissions</w:t>
        </w:r>
        <w:r w:rsidR="006970D8" w:rsidRPr="006970D8">
          <w:rPr>
            <w:noProof/>
            <w:webHidden/>
          </w:rPr>
          <w:tab/>
        </w:r>
        <w:r w:rsidR="006970D8" w:rsidRPr="006970D8">
          <w:rPr>
            <w:noProof/>
            <w:webHidden/>
          </w:rPr>
          <w:fldChar w:fldCharType="begin"/>
        </w:r>
        <w:r w:rsidR="006970D8" w:rsidRPr="006970D8">
          <w:rPr>
            <w:noProof/>
            <w:webHidden/>
          </w:rPr>
          <w:instrText xml:space="preserve"> PAGEREF _Toc430778331 \h </w:instrText>
        </w:r>
        <w:r w:rsidR="006970D8" w:rsidRPr="006970D8">
          <w:rPr>
            <w:noProof/>
            <w:webHidden/>
          </w:rPr>
        </w:r>
        <w:r w:rsidR="006970D8" w:rsidRPr="006970D8">
          <w:rPr>
            <w:noProof/>
            <w:webHidden/>
          </w:rPr>
          <w:fldChar w:fldCharType="separate"/>
        </w:r>
        <w:r w:rsidR="006970D8" w:rsidRPr="006970D8">
          <w:rPr>
            <w:noProof/>
            <w:webHidden/>
          </w:rPr>
          <w:t>18</w:t>
        </w:r>
        <w:r w:rsidR="006970D8" w:rsidRPr="006970D8">
          <w:rPr>
            <w:noProof/>
            <w:webHidden/>
          </w:rPr>
          <w:fldChar w:fldCharType="end"/>
        </w:r>
      </w:hyperlink>
    </w:p>
    <w:p w14:paraId="0C883D81" w14:textId="77777777" w:rsidR="006970D8" w:rsidRPr="006970D8" w:rsidRDefault="0086430A" w:rsidP="00354AA1">
      <w:pPr>
        <w:pStyle w:val="TOC2"/>
        <w:tabs>
          <w:tab w:val="left" w:pos="960"/>
          <w:tab w:val="right" w:pos="9060"/>
        </w:tabs>
        <w:jc w:val="both"/>
        <w:rPr>
          <w:rFonts w:asciiTheme="minorHAnsi" w:eastAsiaTheme="minorEastAsia" w:hAnsiTheme="minorHAnsi" w:cstheme="minorBidi"/>
          <w:noProof/>
          <w:sz w:val="22"/>
          <w:szCs w:val="22"/>
        </w:rPr>
      </w:pPr>
      <w:hyperlink w:anchor="_Toc430778332" w:history="1">
        <w:r w:rsidR="006970D8" w:rsidRPr="006970D8">
          <w:rPr>
            <w:rStyle w:val="Hyperlink"/>
            <w:noProof/>
            <w:color w:val="auto"/>
            <w:u w:val="none"/>
          </w:rPr>
          <w:t>1.6</w:t>
        </w:r>
        <w:r w:rsidR="006970D8" w:rsidRPr="006970D8">
          <w:rPr>
            <w:rFonts w:asciiTheme="minorHAnsi" w:eastAsiaTheme="minorEastAsia" w:hAnsiTheme="minorHAnsi" w:cstheme="minorBidi"/>
            <w:noProof/>
            <w:sz w:val="22"/>
            <w:szCs w:val="22"/>
          </w:rPr>
          <w:tab/>
        </w:r>
        <w:r w:rsidR="006970D8" w:rsidRPr="006970D8">
          <w:rPr>
            <w:rStyle w:val="Hyperlink"/>
            <w:noProof/>
            <w:color w:val="auto"/>
            <w:u w:val="none"/>
          </w:rPr>
          <w:t>Action and accountability</w:t>
        </w:r>
        <w:r w:rsidR="006970D8" w:rsidRPr="006970D8">
          <w:rPr>
            <w:noProof/>
            <w:webHidden/>
          </w:rPr>
          <w:tab/>
        </w:r>
        <w:r w:rsidR="006970D8" w:rsidRPr="006970D8">
          <w:rPr>
            <w:noProof/>
            <w:webHidden/>
          </w:rPr>
          <w:fldChar w:fldCharType="begin"/>
        </w:r>
        <w:r w:rsidR="006970D8" w:rsidRPr="006970D8">
          <w:rPr>
            <w:noProof/>
            <w:webHidden/>
          </w:rPr>
          <w:instrText xml:space="preserve"> PAGEREF _Toc430778332 \h </w:instrText>
        </w:r>
        <w:r w:rsidR="006970D8" w:rsidRPr="006970D8">
          <w:rPr>
            <w:noProof/>
            <w:webHidden/>
          </w:rPr>
        </w:r>
        <w:r w:rsidR="006970D8" w:rsidRPr="006970D8">
          <w:rPr>
            <w:noProof/>
            <w:webHidden/>
          </w:rPr>
          <w:fldChar w:fldCharType="separate"/>
        </w:r>
        <w:r w:rsidR="006970D8" w:rsidRPr="006970D8">
          <w:rPr>
            <w:noProof/>
            <w:webHidden/>
          </w:rPr>
          <w:t>18</w:t>
        </w:r>
        <w:r w:rsidR="006970D8" w:rsidRPr="006970D8">
          <w:rPr>
            <w:noProof/>
            <w:webHidden/>
          </w:rPr>
          <w:fldChar w:fldCharType="end"/>
        </w:r>
      </w:hyperlink>
    </w:p>
    <w:p w14:paraId="61AC2E44" w14:textId="77777777" w:rsidR="006970D8" w:rsidRPr="006970D8" w:rsidRDefault="0086430A" w:rsidP="00354AA1">
      <w:pPr>
        <w:pStyle w:val="TOC3"/>
        <w:tabs>
          <w:tab w:val="left" w:pos="1440"/>
          <w:tab w:val="right" w:pos="9060"/>
        </w:tabs>
        <w:jc w:val="both"/>
        <w:rPr>
          <w:rFonts w:asciiTheme="minorHAnsi" w:eastAsiaTheme="minorEastAsia" w:hAnsiTheme="minorHAnsi" w:cstheme="minorBidi"/>
          <w:iCs w:val="0"/>
          <w:noProof/>
          <w:sz w:val="22"/>
          <w:szCs w:val="22"/>
        </w:rPr>
      </w:pPr>
      <w:hyperlink w:anchor="_Toc430778333" w:history="1">
        <w:r w:rsidR="006970D8" w:rsidRPr="006970D8">
          <w:rPr>
            <w:rStyle w:val="Hyperlink"/>
            <w:noProof/>
            <w:color w:val="auto"/>
            <w:u w:val="none"/>
          </w:rPr>
          <w:t>1.6.1</w:t>
        </w:r>
        <w:r w:rsidR="006970D8" w:rsidRPr="006970D8">
          <w:rPr>
            <w:rFonts w:asciiTheme="minorHAnsi" w:eastAsiaTheme="minorEastAsia" w:hAnsiTheme="minorHAnsi" w:cstheme="minorBidi"/>
            <w:iCs w:val="0"/>
            <w:noProof/>
            <w:sz w:val="22"/>
            <w:szCs w:val="22"/>
          </w:rPr>
          <w:tab/>
        </w:r>
        <w:r w:rsidR="006970D8" w:rsidRPr="006970D8">
          <w:rPr>
            <w:rStyle w:val="Hyperlink"/>
            <w:noProof/>
            <w:color w:val="auto"/>
            <w:u w:val="none"/>
          </w:rPr>
          <w:t>Recommendations made in the Children’s Rights Report 2014</w:t>
        </w:r>
        <w:r w:rsidR="006970D8" w:rsidRPr="006970D8">
          <w:rPr>
            <w:noProof/>
            <w:webHidden/>
          </w:rPr>
          <w:tab/>
        </w:r>
        <w:r w:rsidR="006970D8" w:rsidRPr="006970D8">
          <w:rPr>
            <w:noProof/>
            <w:webHidden/>
          </w:rPr>
          <w:fldChar w:fldCharType="begin"/>
        </w:r>
        <w:r w:rsidR="006970D8" w:rsidRPr="006970D8">
          <w:rPr>
            <w:noProof/>
            <w:webHidden/>
          </w:rPr>
          <w:instrText xml:space="preserve"> PAGEREF _Toc430778333 \h </w:instrText>
        </w:r>
        <w:r w:rsidR="006970D8" w:rsidRPr="006970D8">
          <w:rPr>
            <w:noProof/>
            <w:webHidden/>
          </w:rPr>
        </w:r>
        <w:r w:rsidR="006970D8" w:rsidRPr="006970D8">
          <w:rPr>
            <w:noProof/>
            <w:webHidden/>
          </w:rPr>
          <w:fldChar w:fldCharType="separate"/>
        </w:r>
        <w:r w:rsidR="006970D8" w:rsidRPr="006970D8">
          <w:rPr>
            <w:noProof/>
            <w:webHidden/>
          </w:rPr>
          <w:t>19</w:t>
        </w:r>
        <w:r w:rsidR="006970D8" w:rsidRPr="006970D8">
          <w:rPr>
            <w:noProof/>
            <w:webHidden/>
          </w:rPr>
          <w:fldChar w:fldCharType="end"/>
        </w:r>
      </w:hyperlink>
    </w:p>
    <w:p w14:paraId="2577CD95" w14:textId="77777777" w:rsidR="006970D8" w:rsidRPr="006970D8" w:rsidRDefault="0086430A" w:rsidP="00354AA1">
      <w:pPr>
        <w:pStyle w:val="TOC3"/>
        <w:tabs>
          <w:tab w:val="left" w:pos="1440"/>
          <w:tab w:val="right" w:pos="9060"/>
        </w:tabs>
        <w:jc w:val="both"/>
        <w:rPr>
          <w:rFonts w:asciiTheme="minorHAnsi" w:eastAsiaTheme="minorEastAsia" w:hAnsiTheme="minorHAnsi" w:cstheme="minorBidi"/>
          <w:iCs w:val="0"/>
          <w:noProof/>
          <w:sz w:val="22"/>
          <w:szCs w:val="22"/>
        </w:rPr>
      </w:pPr>
      <w:hyperlink w:anchor="_Toc430778334" w:history="1">
        <w:r w:rsidR="006970D8" w:rsidRPr="006970D8">
          <w:rPr>
            <w:rStyle w:val="Hyperlink"/>
            <w:noProof/>
            <w:color w:val="auto"/>
            <w:u w:val="none"/>
          </w:rPr>
          <w:t>1.6.2</w:t>
        </w:r>
        <w:r w:rsidR="006970D8" w:rsidRPr="006970D8">
          <w:rPr>
            <w:rFonts w:asciiTheme="minorHAnsi" w:eastAsiaTheme="minorEastAsia" w:hAnsiTheme="minorHAnsi" w:cstheme="minorBidi"/>
            <w:iCs w:val="0"/>
            <w:noProof/>
            <w:sz w:val="22"/>
            <w:szCs w:val="22"/>
          </w:rPr>
          <w:tab/>
        </w:r>
        <w:r w:rsidR="006970D8" w:rsidRPr="006970D8">
          <w:rPr>
            <w:rStyle w:val="Hyperlink"/>
            <w:noProof/>
            <w:color w:val="auto"/>
            <w:u w:val="none"/>
          </w:rPr>
          <w:t>Recommendations made in the Children’s Rights Report 2013</w:t>
        </w:r>
        <w:r w:rsidR="006970D8" w:rsidRPr="006970D8">
          <w:rPr>
            <w:noProof/>
            <w:webHidden/>
          </w:rPr>
          <w:tab/>
        </w:r>
        <w:r w:rsidR="006970D8" w:rsidRPr="006970D8">
          <w:rPr>
            <w:noProof/>
            <w:webHidden/>
          </w:rPr>
          <w:fldChar w:fldCharType="begin"/>
        </w:r>
        <w:r w:rsidR="006970D8" w:rsidRPr="006970D8">
          <w:rPr>
            <w:noProof/>
            <w:webHidden/>
          </w:rPr>
          <w:instrText xml:space="preserve"> PAGEREF _Toc430778334 \h </w:instrText>
        </w:r>
        <w:r w:rsidR="006970D8" w:rsidRPr="006970D8">
          <w:rPr>
            <w:noProof/>
            <w:webHidden/>
          </w:rPr>
        </w:r>
        <w:r w:rsidR="006970D8" w:rsidRPr="006970D8">
          <w:rPr>
            <w:noProof/>
            <w:webHidden/>
          </w:rPr>
          <w:fldChar w:fldCharType="separate"/>
        </w:r>
        <w:r w:rsidR="006970D8" w:rsidRPr="006970D8">
          <w:rPr>
            <w:noProof/>
            <w:webHidden/>
          </w:rPr>
          <w:t>24</w:t>
        </w:r>
        <w:r w:rsidR="006970D8" w:rsidRPr="006970D8">
          <w:rPr>
            <w:noProof/>
            <w:webHidden/>
          </w:rPr>
          <w:fldChar w:fldCharType="end"/>
        </w:r>
      </w:hyperlink>
    </w:p>
    <w:p w14:paraId="00168FAB" w14:textId="14768DCF" w:rsidR="00C550A3" w:rsidRDefault="00C550A3">
      <w:pPr>
        <w:spacing w:before="0" w:after="0"/>
      </w:pPr>
      <w:r>
        <w:br w:type="page"/>
      </w:r>
    </w:p>
    <w:p w14:paraId="1460199A" w14:textId="4DE1C780" w:rsidR="00AA3994" w:rsidRPr="00151800" w:rsidRDefault="00AA3994" w:rsidP="00354AA1">
      <w:pPr>
        <w:pStyle w:val="Heading2"/>
        <w:jc w:val="both"/>
      </w:pPr>
      <w:bookmarkStart w:id="6" w:name="_Toc432577299"/>
      <w:r>
        <w:lastRenderedPageBreak/>
        <w:t>Introduction</w:t>
      </w:r>
      <w:bookmarkEnd w:id="6"/>
    </w:p>
    <w:p w14:paraId="45C2DD2C" w14:textId="13F602A2" w:rsidR="00835B68" w:rsidRPr="000F4F54" w:rsidRDefault="00835B68" w:rsidP="00354AA1">
      <w:pPr>
        <w:jc w:val="both"/>
      </w:pPr>
      <w:r w:rsidRPr="000F4F54">
        <w:t xml:space="preserve">This chapter reports on the work that I have undertaken in the period 1 July 2014 to 30 June 2015 to promote the discussion and awareness of children’s rights in Australia. </w:t>
      </w:r>
    </w:p>
    <w:p w14:paraId="5FABAB9D" w14:textId="62CA5941" w:rsidR="00835B68" w:rsidRDefault="00835B68" w:rsidP="00354AA1">
      <w:pPr>
        <w:jc w:val="both"/>
      </w:pPr>
      <w:r>
        <w:t>I also report on</w:t>
      </w:r>
      <w:r w:rsidRPr="00151800">
        <w:t xml:space="preserve"> the progress of the recommendations made in my 2013 and 2014 statutory reports to federal </w:t>
      </w:r>
      <w:r w:rsidR="00E91F7E">
        <w:t>P</w:t>
      </w:r>
      <w:r w:rsidRPr="00151800">
        <w:t>arliament.</w:t>
      </w:r>
    </w:p>
    <w:p w14:paraId="57E37C94" w14:textId="6522D0F8" w:rsidR="0022654F" w:rsidRDefault="0022654F" w:rsidP="00354AA1">
      <w:pPr>
        <w:jc w:val="both"/>
      </w:pPr>
      <w:r w:rsidRPr="00151800">
        <w:t>When I started my term as National Children’s Commissioner in 2013, I conducted a national listening tour (</w:t>
      </w:r>
      <w:r w:rsidRPr="00AE0B34">
        <w:rPr>
          <w:i/>
        </w:rPr>
        <w:t>the Big Banter</w:t>
      </w:r>
      <w:r w:rsidRPr="00151800">
        <w:t xml:space="preserve">) to identify the main human rights issues affecting Australia’s children and young people. </w:t>
      </w:r>
    </w:p>
    <w:p w14:paraId="4D2F0BBD" w14:textId="64D8031F" w:rsidR="0022654F" w:rsidRPr="00151800" w:rsidRDefault="0022654F" w:rsidP="00354AA1">
      <w:pPr>
        <w:jc w:val="both"/>
      </w:pPr>
      <w:r w:rsidRPr="00151800">
        <w:t>From my consultations with children and young people, key stakeholders, academics, and service providers, I identified five key themes.</w:t>
      </w:r>
    </w:p>
    <w:p w14:paraId="20E22090" w14:textId="6EE8FA1D" w:rsidR="0022654F" w:rsidRPr="00151800" w:rsidRDefault="0022654F" w:rsidP="00354AA1">
      <w:pPr>
        <w:jc w:val="both"/>
      </w:pPr>
      <w:r w:rsidRPr="00151800">
        <w:t xml:space="preserve">These </w:t>
      </w:r>
      <w:r>
        <w:t>were</w:t>
      </w:r>
      <w:r w:rsidRPr="00151800">
        <w:t xml:space="preserve">: </w:t>
      </w:r>
    </w:p>
    <w:p w14:paraId="1E07F20E" w14:textId="77777777" w:rsidR="0022654F" w:rsidRPr="000F4F54" w:rsidRDefault="0022654F" w:rsidP="00354AA1">
      <w:pPr>
        <w:pStyle w:val="ListParagraph"/>
        <w:numPr>
          <w:ilvl w:val="0"/>
          <w:numId w:val="16"/>
        </w:numPr>
        <w:spacing w:after="120"/>
        <w:contextualSpacing w:val="0"/>
        <w:jc w:val="both"/>
        <w:rPr>
          <w:sz w:val="22"/>
          <w:szCs w:val="22"/>
        </w:rPr>
      </w:pPr>
      <w:r w:rsidRPr="000F4F54">
        <w:rPr>
          <w:b/>
          <w:sz w:val="22"/>
          <w:szCs w:val="22"/>
        </w:rPr>
        <w:t>A right to be heard:</w:t>
      </w:r>
      <w:r w:rsidRPr="000F4F54">
        <w:rPr>
          <w:sz w:val="22"/>
          <w:szCs w:val="22"/>
        </w:rPr>
        <w:t xml:space="preserve"> children’s voice and participation in decision-making processes; specifically involving children in issues that affect them; and ensuring that existing mechanisms for resolving disputes are accessible and available to children. </w:t>
      </w:r>
    </w:p>
    <w:p w14:paraId="31DDD057" w14:textId="77777777" w:rsidR="0022654F" w:rsidRPr="000F4F54" w:rsidRDefault="0022654F" w:rsidP="00354AA1">
      <w:pPr>
        <w:pStyle w:val="ListParagraph"/>
        <w:numPr>
          <w:ilvl w:val="0"/>
          <w:numId w:val="16"/>
        </w:numPr>
        <w:spacing w:after="120"/>
        <w:contextualSpacing w:val="0"/>
        <w:jc w:val="both"/>
        <w:rPr>
          <w:sz w:val="22"/>
          <w:szCs w:val="22"/>
        </w:rPr>
      </w:pPr>
      <w:r w:rsidRPr="000F4F54">
        <w:rPr>
          <w:b/>
          <w:sz w:val="22"/>
          <w:szCs w:val="22"/>
        </w:rPr>
        <w:t>Freedom from violence, abuse and neglect:</w:t>
      </w:r>
      <w:r w:rsidRPr="000F4F54">
        <w:rPr>
          <w:sz w:val="22"/>
          <w:szCs w:val="22"/>
        </w:rPr>
        <w:t xml:space="preserve"> ensuring safe environments and respect for the dignity of the child; specifically making sure that the commitments made in national frameworks are achieved and built upon, through adequate resourcing and action; encouraging a proactive approach to issues of child safety that places a premium on prevention, through enabling safe communities and environments for children; and building resilience among our children. </w:t>
      </w:r>
    </w:p>
    <w:p w14:paraId="258E5780" w14:textId="77777777" w:rsidR="0022654F" w:rsidRPr="000F4F54" w:rsidRDefault="0022654F" w:rsidP="00354AA1">
      <w:pPr>
        <w:pStyle w:val="ListParagraph"/>
        <w:numPr>
          <w:ilvl w:val="0"/>
          <w:numId w:val="16"/>
        </w:numPr>
        <w:spacing w:after="120"/>
        <w:contextualSpacing w:val="0"/>
        <w:jc w:val="both"/>
        <w:rPr>
          <w:sz w:val="22"/>
          <w:szCs w:val="22"/>
        </w:rPr>
      </w:pPr>
      <w:r w:rsidRPr="000F4F54">
        <w:rPr>
          <w:b/>
          <w:sz w:val="22"/>
          <w:szCs w:val="22"/>
        </w:rPr>
        <w:t>The opportunity to thrive:</w:t>
      </w:r>
      <w:r w:rsidRPr="000F4F54">
        <w:rPr>
          <w:sz w:val="22"/>
          <w:szCs w:val="22"/>
        </w:rPr>
        <w:t xml:space="preserve"> safeguarding the health and wellbeing of all children in Australia, which includes promoting and supporting children through early intervention and prevention; and identifying and focusing on the most marginalised and vulnerable children. </w:t>
      </w:r>
    </w:p>
    <w:p w14:paraId="60BF7E53" w14:textId="77777777" w:rsidR="0022654F" w:rsidRPr="000F4F54" w:rsidRDefault="0022654F" w:rsidP="00354AA1">
      <w:pPr>
        <w:pStyle w:val="ListParagraph"/>
        <w:numPr>
          <w:ilvl w:val="0"/>
          <w:numId w:val="16"/>
        </w:numPr>
        <w:spacing w:after="120"/>
        <w:contextualSpacing w:val="0"/>
        <w:jc w:val="both"/>
        <w:rPr>
          <w:sz w:val="22"/>
          <w:szCs w:val="22"/>
        </w:rPr>
      </w:pPr>
      <w:r w:rsidRPr="000F4F54">
        <w:rPr>
          <w:b/>
          <w:sz w:val="22"/>
          <w:szCs w:val="22"/>
        </w:rPr>
        <w:t>Engaged citizenship:</w:t>
      </w:r>
      <w:r w:rsidRPr="000F4F54">
        <w:rPr>
          <w:sz w:val="22"/>
          <w:szCs w:val="22"/>
        </w:rPr>
        <w:t xml:space="preserve"> promoting civic</w:t>
      </w:r>
      <w:r>
        <w:rPr>
          <w:sz w:val="22"/>
          <w:szCs w:val="22"/>
        </w:rPr>
        <w:t xml:space="preserve"> engagement and active </w:t>
      </w:r>
      <w:r w:rsidRPr="000F4F54">
        <w:rPr>
          <w:sz w:val="22"/>
          <w:szCs w:val="22"/>
        </w:rPr>
        <w:t xml:space="preserve">citizenship through education and awareness-raising. </w:t>
      </w:r>
    </w:p>
    <w:p w14:paraId="2D5E122A" w14:textId="77777777" w:rsidR="0022654F" w:rsidRPr="000F4F54" w:rsidRDefault="0022654F" w:rsidP="00354AA1">
      <w:pPr>
        <w:pStyle w:val="ListParagraph"/>
        <w:numPr>
          <w:ilvl w:val="0"/>
          <w:numId w:val="16"/>
        </w:numPr>
        <w:spacing w:after="120"/>
        <w:contextualSpacing w:val="0"/>
        <w:jc w:val="both"/>
        <w:rPr>
          <w:sz w:val="22"/>
          <w:szCs w:val="22"/>
        </w:rPr>
      </w:pPr>
      <w:r w:rsidRPr="000F4F54">
        <w:rPr>
          <w:b/>
          <w:sz w:val="22"/>
          <w:szCs w:val="22"/>
        </w:rPr>
        <w:t>Action and accountability</w:t>
      </w:r>
      <w:r w:rsidRPr="000F4F54">
        <w:rPr>
          <w:sz w:val="22"/>
          <w:szCs w:val="22"/>
        </w:rPr>
        <w:t xml:space="preserve">: taking deliberate and proactive steps to protect the wellbeing and rights of children, specifically by collecting comprehensive national data about the wellbeing and human rights of Australia’s children; progressing a national vision for Australia’s children through intergovernmental partnerships and agreements; developing outcome-based reporting and monitoring of government service delivery and policy development; and developing a children’s impact assessment process for law, policy and practice. </w:t>
      </w:r>
    </w:p>
    <w:p w14:paraId="0CEBB133" w14:textId="77777777" w:rsidR="0022654F" w:rsidRDefault="0022654F" w:rsidP="00354AA1">
      <w:pPr>
        <w:jc w:val="both"/>
      </w:pPr>
      <w:r w:rsidRPr="00151800">
        <w:t>These key themes guide my priorities, strategic advocacy</w:t>
      </w:r>
      <w:r>
        <w:t>, research,</w:t>
      </w:r>
      <w:r w:rsidRPr="00151800">
        <w:t xml:space="preserve"> an</w:t>
      </w:r>
      <w:r>
        <w:t xml:space="preserve">d engagement with stakeholders. This chapter outlines my work for the year according to these five key themes. </w:t>
      </w:r>
    </w:p>
    <w:p w14:paraId="48F9A022" w14:textId="77777777" w:rsidR="0022654F" w:rsidRPr="0022654F" w:rsidRDefault="0022654F" w:rsidP="00354AA1">
      <w:pPr>
        <w:jc w:val="both"/>
      </w:pPr>
      <w:r w:rsidRPr="0024569A">
        <w:t>My speaking engagements are detailed in Appendix 1, my meetings with stakeholders are listed in Appendix 2, and my memberships of advisory groups and ambassadorships are provided in Appendix 3.</w:t>
      </w:r>
      <w:r>
        <w:t xml:space="preserve"> These demonstrate the broad base of my strategic advocacy for children and young people and the level of my engagement with stakeholders.</w:t>
      </w:r>
    </w:p>
    <w:p w14:paraId="2B811171" w14:textId="77777777" w:rsidR="00D94316" w:rsidRDefault="00D94316" w:rsidP="00354AA1">
      <w:pPr>
        <w:pStyle w:val="Heading2"/>
        <w:jc w:val="both"/>
      </w:pPr>
      <w:bookmarkStart w:id="7" w:name="_Toc430767444"/>
      <w:bookmarkStart w:id="8" w:name="_Toc432577300"/>
      <w:r>
        <w:lastRenderedPageBreak/>
        <w:t>A right to be heard</w:t>
      </w:r>
      <w:bookmarkEnd w:id="7"/>
      <w:bookmarkEnd w:id="8"/>
    </w:p>
    <w:p w14:paraId="1186F4C5" w14:textId="77777777" w:rsidR="00E0649C" w:rsidRPr="009228A5" w:rsidRDefault="00E0649C" w:rsidP="00354AA1">
      <w:pPr>
        <w:jc w:val="both"/>
      </w:pPr>
      <w:r w:rsidRPr="009228A5">
        <w:t xml:space="preserve">One of the core aspects of my work as National Children’s Commissioner is to ensure that the voices of children are meaningfully incorporated into the decisions and processes that affect them. </w:t>
      </w:r>
    </w:p>
    <w:p w14:paraId="0168DF72" w14:textId="26662192" w:rsidR="00E0649C" w:rsidRPr="009228A5" w:rsidRDefault="00E0649C" w:rsidP="00354AA1">
      <w:pPr>
        <w:jc w:val="both"/>
      </w:pPr>
      <w:r w:rsidRPr="009228A5">
        <w:t xml:space="preserve">Respect for the views of children is one </w:t>
      </w:r>
      <w:r w:rsidR="00A1620C">
        <w:t xml:space="preserve">of </w:t>
      </w:r>
      <w:r w:rsidRPr="009228A5">
        <w:t xml:space="preserve">the four guiding principles of the Convention on the Rights of the Child, as stated in </w:t>
      </w:r>
      <w:r>
        <w:t>a</w:t>
      </w:r>
      <w:r w:rsidRPr="009228A5">
        <w:t>rticle 12:</w:t>
      </w:r>
    </w:p>
    <w:p w14:paraId="2F50BC88" w14:textId="77777777" w:rsidR="00E0649C" w:rsidRPr="00546273" w:rsidRDefault="00E0649C" w:rsidP="00354AA1">
      <w:pPr>
        <w:ind w:left="720"/>
        <w:jc w:val="both"/>
        <w:rPr>
          <w:sz w:val="22"/>
          <w:szCs w:val="22"/>
        </w:rPr>
      </w:pPr>
      <w:r w:rsidRPr="00546273">
        <w:rPr>
          <w:sz w:val="22"/>
          <w:szCs w:val="22"/>
        </w:rPr>
        <w:t>States Parties shall assure to the child who is capable of forming his or her own views the right to express those views freely in all matters affecting the child, the views of the child being given due weight in accordance with the age and maturity of the child</w:t>
      </w:r>
      <w:r w:rsidRPr="00546273">
        <w:rPr>
          <w:i/>
          <w:sz w:val="22"/>
          <w:szCs w:val="22"/>
        </w:rPr>
        <w:t>.</w:t>
      </w:r>
      <w:r w:rsidRPr="00546273">
        <w:rPr>
          <w:sz w:val="22"/>
          <w:szCs w:val="22"/>
          <w:vertAlign w:val="superscript"/>
        </w:rPr>
        <w:endnoteReference w:id="2"/>
      </w:r>
    </w:p>
    <w:p w14:paraId="475D7603" w14:textId="367CD2C0" w:rsidR="00E0649C" w:rsidRDefault="00E0649C" w:rsidP="00354AA1">
      <w:pPr>
        <w:jc w:val="both"/>
      </w:pPr>
      <w:r>
        <w:t>I seek to involve children and young people in my work in a variety of ways. I</w:t>
      </w:r>
      <w:r w:rsidRPr="009228A5">
        <w:t xml:space="preserve"> </w:t>
      </w:r>
      <w:r>
        <w:t>work with</w:t>
      </w:r>
      <w:r w:rsidRPr="009228A5">
        <w:t xml:space="preserve"> other organisations</w:t>
      </w:r>
      <w:r>
        <w:t xml:space="preserve"> to assist them to directly consult with children and young people</w:t>
      </w:r>
      <w:r w:rsidR="00AE0B34">
        <w:t>;</w:t>
      </w:r>
      <w:r>
        <w:t xml:space="preserve"> I consult independently with children and young people</w:t>
      </w:r>
      <w:r w:rsidR="00AE0B34">
        <w:t xml:space="preserve">; and </w:t>
      </w:r>
      <w:r>
        <w:t xml:space="preserve">I ask children and young people to co-present with me at speaking engagements. </w:t>
      </w:r>
    </w:p>
    <w:p w14:paraId="678536CE" w14:textId="77777777" w:rsidR="00E0649C" w:rsidRPr="00E0649C" w:rsidRDefault="00E0649C" w:rsidP="00354AA1">
      <w:pPr>
        <w:jc w:val="both"/>
      </w:pPr>
      <w:r>
        <w:t>In all my work, I advocate for the voices of children and young people to be directly heard.</w:t>
      </w:r>
    </w:p>
    <w:p w14:paraId="7C945998" w14:textId="52B94022" w:rsidR="00D94316" w:rsidRDefault="00D94316" w:rsidP="00354AA1">
      <w:pPr>
        <w:pStyle w:val="Heading3"/>
        <w:jc w:val="both"/>
      </w:pPr>
      <w:bookmarkStart w:id="9" w:name="_Toc430767445"/>
      <w:r w:rsidRPr="00607A44">
        <w:t>The voice of the child in the Third Action Plan of the National Framework for Protecting Australia’s Children</w:t>
      </w:r>
      <w:bookmarkEnd w:id="9"/>
      <w:r w:rsidR="00455AA2">
        <w:t xml:space="preserve"> (National Framework)</w:t>
      </w:r>
    </w:p>
    <w:p w14:paraId="623E1779" w14:textId="1AB0625D" w:rsidR="00E0649C" w:rsidRDefault="00E0649C" w:rsidP="00354AA1">
      <w:pPr>
        <w:jc w:val="both"/>
      </w:pPr>
      <w:r>
        <w:t>T</w:t>
      </w:r>
      <w:r w:rsidRPr="00783F7F">
        <w:t xml:space="preserve">he </w:t>
      </w:r>
      <w:r w:rsidRPr="00783F7F">
        <w:rPr>
          <w:i/>
        </w:rPr>
        <w:t>National Forum for Protecting Australia’s Children</w:t>
      </w:r>
      <w:r w:rsidRPr="00783F7F">
        <w:t xml:space="preserve"> is a</w:t>
      </w:r>
      <w:r w:rsidRPr="00783F7F">
        <w:rPr>
          <w:i/>
        </w:rPr>
        <w:t xml:space="preserve"> </w:t>
      </w:r>
      <w:r w:rsidRPr="00783F7F">
        <w:t xml:space="preserve">collaborative body of Commonwealth, state and territory governments and non-government organisations </w:t>
      </w:r>
      <w:r>
        <w:t xml:space="preserve">overseeing </w:t>
      </w:r>
      <w:r w:rsidRPr="00783F7F">
        <w:t xml:space="preserve">the implementation of the </w:t>
      </w:r>
      <w:r w:rsidRPr="00F10C2C">
        <w:rPr>
          <w:i/>
        </w:rPr>
        <w:t>National Framework for Protecting Australia’s Children 2009-2020</w:t>
      </w:r>
      <w:r w:rsidRPr="00783F7F">
        <w:t xml:space="preserve"> (the National </w:t>
      </w:r>
      <w:r>
        <w:t>F</w:t>
      </w:r>
      <w:r w:rsidRPr="00783F7F">
        <w:t>ramework).</w:t>
      </w:r>
      <w:r>
        <w:t xml:space="preserve"> In 2014</w:t>
      </w:r>
      <w:r w:rsidR="00B733DA">
        <w:t>,</w:t>
      </w:r>
      <w:r>
        <w:t xml:space="preserve"> I officially became a member of this group. </w:t>
      </w:r>
    </w:p>
    <w:p w14:paraId="03177585" w14:textId="0A3AF52E" w:rsidR="00E0649C" w:rsidRDefault="00E0649C" w:rsidP="00354AA1">
      <w:pPr>
        <w:jc w:val="both"/>
      </w:pPr>
      <w:r>
        <w:t xml:space="preserve">The </w:t>
      </w:r>
      <w:r w:rsidR="00196F57">
        <w:t xml:space="preserve">National </w:t>
      </w:r>
      <w:r>
        <w:t xml:space="preserve">Framework is a landmark initiative which brings together all jurisdictions in a sustained commitment and effort to keep Australia’s children safe and well, by reforming and enhancing systems and programs that impact on children. </w:t>
      </w:r>
      <w:r w:rsidRPr="00783F7F">
        <w:t xml:space="preserve">The implementation of the National Framework occurs through three year action plans. This year, I have </w:t>
      </w:r>
      <w:r>
        <w:t xml:space="preserve">participated in the development of the </w:t>
      </w:r>
      <w:r w:rsidR="00FE4A70" w:rsidRPr="00783F7F">
        <w:t>National Framework’s Third Action Plan</w:t>
      </w:r>
      <w:r w:rsidR="00FE4A70">
        <w:t xml:space="preserve">, </w:t>
      </w:r>
      <w:r>
        <w:t>covering the period 2015 to 2018</w:t>
      </w:r>
      <w:r w:rsidRPr="00783F7F">
        <w:t xml:space="preserve">. </w:t>
      </w:r>
    </w:p>
    <w:p w14:paraId="36042CC2" w14:textId="5F82EF44" w:rsidR="00E0649C" w:rsidRDefault="00E0649C" w:rsidP="00354AA1">
      <w:pPr>
        <w:jc w:val="both"/>
      </w:pPr>
      <w:r>
        <w:t xml:space="preserve">Early work against the </w:t>
      </w:r>
      <w:r w:rsidR="00196F57" w:rsidRPr="00783F7F">
        <w:t xml:space="preserve">National </w:t>
      </w:r>
      <w:r>
        <w:t>Framework primarily focused on improving the qua</w:t>
      </w:r>
      <w:r w:rsidR="00196F57">
        <w:t>lity and consistency of the out-</w:t>
      </w:r>
      <w:r>
        <w:t>of</w:t>
      </w:r>
      <w:r w:rsidR="00196F57">
        <w:t>-</w:t>
      </w:r>
      <w:r>
        <w:t xml:space="preserve">home care system, data development and exchange of information about children at risk of abuse. The actions in the </w:t>
      </w:r>
      <w:r w:rsidR="00FE4A70">
        <w:t>T</w:t>
      </w:r>
      <w:r>
        <w:t xml:space="preserve">hird </w:t>
      </w:r>
      <w:r w:rsidR="00FE4A70">
        <w:t>A</w:t>
      </w:r>
      <w:r w:rsidR="00FE4A70" w:rsidRPr="00783F7F">
        <w:t xml:space="preserve">ction </w:t>
      </w:r>
      <w:r w:rsidR="00FE4A70">
        <w:t>P</w:t>
      </w:r>
      <w:r>
        <w:t>lan are designed to build early intervention and prevention responses across the service sector, and break the cycle of intergenerational disadvantage.</w:t>
      </w:r>
    </w:p>
    <w:p w14:paraId="5935E638" w14:textId="40B97551" w:rsidR="00E0649C" w:rsidRDefault="00E0649C" w:rsidP="00354AA1">
      <w:pPr>
        <w:jc w:val="both"/>
      </w:pPr>
      <w:r>
        <w:t xml:space="preserve">Through my involvement, </w:t>
      </w:r>
      <w:r w:rsidRPr="00783F7F">
        <w:t xml:space="preserve">I have encouraged </w:t>
      </w:r>
      <w:r w:rsidR="00A1620C">
        <w:t>t</w:t>
      </w:r>
      <w:r w:rsidRPr="00783F7F">
        <w:t>he inclusion of children</w:t>
      </w:r>
      <w:r w:rsidR="00A1620C">
        <w:t>’s</w:t>
      </w:r>
      <w:r w:rsidRPr="00783F7F">
        <w:t xml:space="preserve"> and young people’s voices in the development of the Third Action Plan. </w:t>
      </w:r>
    </w:p>
    <w:p w14:paraId="03CDD7BA" w14:textId="69C394C9" w:rsidR="00E0649C" w:rsidRDefault="00E0649C" w:rsidP="00354AA1">
      <w:pPr>
        <w:jc w:val="both"/>
      </w:pPr>
      <w:r w:rsidRPr="00783F7F">
        <w:t>I worked in partnership with the Department of Social Services to facilitate two round</w:t>
      </w:r>
      <w:r>
        <w:t>tables with young people to assist in the development</w:t>
      </w:r>
      <w:r w:rsidRPr="00783F7F">
        <w:t xml:space="preserve"> of the Third Action Plan. This is the first time that the perspectives and ideas of children and young people have been directly sought in the development of an action plan.</w:t>
      </w:r>
      <w:r>
        <w:t xml:space="preserve"> </w:t>
      </w:r>
    </w:p>
    <w:p w14:paraId="5A9543F0" w14:textId="41D6208B" w:rsidR="00E0649C" w:rsidRPr="00783F7F" w:rsidRDefault="00E0649C" w:rsidP="00354AA1">
      <w:pPr>
        <w:jc w:val="both"/>
      </w:pPr>
      <w:r>
        <w:lastRenderedPageBreak/>
        <w:t>C</w:t>
      </w:r>
      <w:r w:rsidRPr="00783F7F">
        <w:t>onsultations took place in Lismore and Melbourne and involved a total of 17 young people</w:t>
      </w:r>
      <w:r>
        <w:t xml:space="preserve"> with a care experience</w:t>
      </w:r>
      <w:r w:rsidRPr="00783F7F">
        <w:t xml:space="preserve">, ranging in age from </w:t>
      </w:r>
      <w:r w:rsidR="001F6D70">
        <w:t>14</w:t>
      </w:r>
      <w:r w:rsidRPr="00783F7F">
        <w:t xml:space="preserve"> to </w:t>
      </w:r>
      <w:r w:rsidR="001F6D70">
        <w:t>25</w:t>
      </w:r>
      <w:r w:rsidRPr="00783F7F">
        <w:t xml:space="preserve"> years. The young people came from diverse backgrounds and all either </w:t>
      </w:r>
      <w:r>
        <w:t xml:space="preserve">had </w:t>
      </w:r>
      <w:r w:rsidRPr="00783F7F">
        <w:t xml:space="preserve">been </w:t>
      </w:r>
      <w:r>
        <w:t>in</w:t>
      </w:r>
      <w:r w:rsidR="001F6D70">
        <w:t>,</w:t>
      </w:r>
      <w:r>
        <w:t xml:space="preserve"> </w:t>
      </w:r>
      <w:r w:rsidRPr="00783F7F">
        <w:t>or were currently in</w:t>
      </w:r>
      <w:r w:rsidR="001F6D70">
        <w:t>,</w:t>
      </w:r>
      <w:r w:rsidRPr="00783F7F">
        <w:t xml:space="preserve"> out-of-home care</w:t>
      </w:r>
      <w:r>
        <w:t xml:space="preserve">. This included </w:t>
      </w:r>
      <w:r w:rsidRPr="00783F7F">
        <w:t xml:space="preserve">kinship care, foster care and residential care. Their time in out-of-home care varied from 2-3 years up to 15-16 years. </w:t>
      </w:r>
    </w:p>
    <w:p w14:paraId="2B5C2FBF" w14:textId="77777777" w:rsidR="00E0649C" w:rsidRDefault="00E0649C" w:rsidP="00354AA1">
      <w:pPr>
        <w:jc w:val="both"/>
      </w:pPr>
      <w:r w:rsidRPr="00783F7F">
        <w:t>The young people who participated in these consultations highlighted the importance of having a say in</w:t>
      </w:r>
      <w:r>
        <w:t xml:space="preserve"> decision-making processes. </w:t>
      </w:r>
    </w:p>
    <w:p w14:paraId="0AA078E6" w14:textId="77777777" w:rsidR="00E0649C" w:rsidRDefault="00E0649C" w:rsidP="00354AA1">
      <w:pPr>
        <w:jc w:val="both"/>
      </w:pPr>
      <w:r w:rsidRPr="0083646B">
        <w:t>One Melbourne participant stated ‘[we need] more understandable forums like this, so that young people can say what they need in a supportive environment’</w:t>
      </w:r>
      <w:r>
        <w:t>.</w:t>
      </w:r>
      <w:r w:rsidRPr="0083646B">
        <w:t xml:space="preserve"> </w:t>
      </w:r>
      <w:r>
        <w:t>A</w:t>
      </w:r>
      <w:r w:rsidRPr="0083646B">
        <w:t>nother said that ‘young people’s voices should be heard through CREATE and forums like this’. A</w:t>
      </w:r>
      <w:r>
        <w:t>nother</w:t>
      </w:r>
      <w:r w:rsidRPr="0083646B">
        <w:t xml:space="preserve"> Lismore participant stated it was important that adults ‘check with us, ask us, see if that’s OK’.</w:t>
      </w:r>
      <w:r w:rsidRPr="00EB132B">
        <w:t xml:space="preserve"> </w:t>
      </w:r>
    </w:p>
    <w:p w14:paraId="494AC01C" w14:textId="448F81A5" w:rsidR="00E0649C" w:rsidRPr="00EB132B" w:rsidRDefault="00E0649C" w:rsidP="00354AA1">
      <w:pPr>
        <w:jc w:val="both"/>
      </w:pPr>
      <w:r>
        <w:t xml:space="preserve">I commend those involved in the National Framework for recognising the need for ongoing engagement with children on </w:t>
      </w:r>
      <w:r w:rsidR="003B5A3B">
        <w:t xml:space="preserve">the </w:t>
      </w:r>
      <w:r>
        <w:t>development and implementation of actions under the</w:t>
      </w:r>
      <w:r w:rsidR="003B5A3B">
        <w:t xml:space="preserve"> National</w:t>
      </w:r>
      <w:r>
        <w:t xml:space="preserve"> Framework.</w:t>
      </w:r>
    </w:p>
    <w:p w14:paraId="53B8C09F" w14:textId="77777777" w:rsidR="00E0649C" w:rsidRDefault="00E0649C" w:rsidP="00354AA1">
      <w:pPr>
        <w:jc w:val="both"/>
      </w:pPr>
      <w:r>
        <w:t>Work under the National Framework also includes a national survey of</w:t>
      </w:r>
      <w:r w:rsidRPr="009228A5">
        <w:t xml:space="preserve"> children in out-of-home care. This survey </w:t>
      </w:r>
      <w:r>
        <w:t>provides</w:t>
      </w:r>
      <w:r w:rsidRPr="009228A5">
        <w:t xml:space="preserve"> a means of directly engaging with young people in out-of-home care and monitoring their ongoing wellbeing. </w:t>
      </w:r>
    </w:p>
    <w:p w14:paraId="71C2746B" w14:textId="77777777" w:rsidR="00E0649C" w:rsidRPr="00F84502" w:rsidRDefault="00E0649C" w:rsidP="00354AA1">
      <w:pPr>
        <w:jc w:val="both"/>
      </w:pPr>
      <w:r w:rsidRPr="009228A5">
        <w:t xml:space="preserve">Data collection for the survey is due to be completed this year and will be reported in the first </w:t>
      </w:r>
      <w:r w:rsidRPr="00AE0B34">
        <w:rPr>
          <w:i/>
        </w:rPr>
        <w:t xml:space="preserve">National Report into the Views of Children and Young People in Out-of-Home Care </w:t>
      </w:r>
      <w:r w:rsidRPr="00F84502">
        <w:t>in 2016.</w:t>
      </w:r>
    </w:p>
    <w:p w14:paraId="4BF912D9" w14:textId="77777777" w:rsidR="00D94316" w:rsidRDefault="00D94316" w:rsidP="00354AA1">
      <w:pPr>
        <w:pStyle w:val="Heading3"/>
        <w:jc w:val="both"/>
      </w:pPr>
      <w:bookmarkStart w:id="10" w:name="_Toc430767446"/>
      <w:r w:rsidRPr="00D94316">
        <w:t>The voice of the child</w:t>
      </w:r>
      <w:bookmarkEnd w:id="10"/>
      <w:r w:rsidR="000A04FB">
        <w:t xml:space="preserve"> in the family law system</w:t>
      </w:r>
    </w:p>
    <w:p w14:paraId="2D54F0EA" w14:textId="55683B1B" w:rsidR="000A04FB" w:rsidRPr="00783F7F" w:rsidRDefault="000A04FB" w:rsidP="00354AA1">
      <w:pPr>
        <w:jc w:val="both"/>
      </w:pPr>
      <w:r w:rsidRPr="00783F7F">
        <w:t xml:space="preserve">The Convention on the Rights of the Child specifically provides for children and young people to have a say in legal matters </w:t>
      </w:r>
      <w:r w:rsidR="00B733DA">
        <w:t>a</w:t>
      </w:r>
      <w:r w:rsidRPr="00783F7F">
        <w:t>ffecting them</w:t>
      </w:r>
      <w:r>
        <w:t>, stating that</w:t>
      </w:r>
      <w:r w:rsidRPr="00783F7F">
        <w:t xml:space="preserve">: </w:t>
      </w:r>
    </w:p>
    <w:p w14:paraId="2EAB11EF" w14:textId="77777777" w:rsidR="000A04FB" w:rsidRPr="00B2085A" w:rsidRDefault="000A04FB" w:rsidP="00354AA1">
      <w:pPr>
        <w:ind w:left="720"/>
        <w:jc w:val="both"/>
        <w:rPr>
          <w:sz w:val="22"/>
          <w:szCs w:val="22"/>
        </w:rPr>
      </w:pPr>
      <w:r w:rsidRPr="00B2085A">
        <w:rPr>
          <w:sz w:val="22"/>
          <w:szCs w:val="22"/>
        </w:rPr>
        <w:t>The child shall in particular be provided the opportunity to be heard in any judicial and administrative proceedings affecting the child, either directly, or through a representative or an appropriate body, in a manner consistent with the procedural rules of national law.</w:t>
      </w:r>
      <w:r w:rsidRPr="00B2085A">
        <w:rPr>
          <w:rStyle w:val="EndnoteReference"/>
          <w:sz w:val="22"/>
          <w:szCs w:val="22"/>
        </w:rPr>
        <w:endnoteReference w:id="3"/>
      </w:r>
    </w:p>
    <w:p w14:paraId="73DBB7E4" w14:textId="2D891576" w:rsidR="000A04FB" w:rsidRPr="00783F7F" w:rsidRDefault="000A04FB" w:rsidP="00354AA1">
      <w:pPr>
        <w:jc w:val="both"/>
      </w:pPr>
      <w:r w:rsidRPr="00783F7F">
        <w:t xml:space="preserve">In Australia, the majority of family law matters are resolved through </w:t>
      </w:r>
      <w:r>
        <w:t>family dispute resolution</w:t>
      </w:r>
      <w:r w:rsidRPr="00783F7F">
        <w:t xml:space="preserve"> before reaching the family law courts. Those that </w:t>
      </w:r>
      <w:r>
        <w:t>reach the courts</w:t>
      </w:r>
      <w:r w:rsidRPr="00783F7F">
        <w:t xml:space="preserve"> are handled by the Federal Circuit Court</w:t>
      </w:r>
      <w:r w:rsidR="00EB4D82">
        <w:t xml:space="preserve"> of Australia</w:t>
      </w:r>
      <w:r w:rsidRPr="00783F7F">
        <w:t xml:space="preserve"> and the</w:t>
      </w:r>
      <w:r w:rsidRPr="00934C1B">
        <w:t xml:space="preserve"> </w:t>
      </w:r>
      <w:r w:rsidRPr="00783F7F">
        <w:t>Family Court of Australia</w:t>
      </w:r>
      <w:r>
        <w:t>. Some cases are complex, characterised by child protection and family violence concerns</w:t>
      </w:r>
      <w:r w:rsidRPr="00783F7F">
        <w:t xml:space="preserve">. </w:t>
      </w:r>
    </w:p>
    <w:p w14:paraId="4F2A9D43" w14:textId="77777777" w:rsidR="000A04FB" w:rsidRPr="00783F7F" w:rsidRDefault="000A04FB" w:rsidP="00354AA1">
      <w:pPr>
        <w:jc w:val="both"/>
      </w:pPr>
      <w:r w:rsidRPr="00783F7F">
        <w:t>As part of my work as National Children’s Commissioner, I have advocated for improvements to the family law system</w:t>
      </w:r>
      <w:r>
        <w:t xml:space="preserve"> to allow for the increased participation of children and young people in family law matters.</w:t>
      </w:r>
      <w:r w:rsidRPr="00783F7F">
        <w:t xml:space="preserve"> </w:t>
      </w:r>
    </w:p>
    <w:p w14:paraId="30E001DC" w14:textId="4BA0E6D2" w:rsidR="000A04FB" w:rsidRDefault="000A04FB" w:rsidP="00354AA1">
      <w:pPr>
        <w:jc w:val="both"/>
      </w:pPr>
      <w:r w:rsidRPr="00783F7F">
        <w:t>In March 2015, I addressed the Coalition Backbench Policy Committee on Communications, Legal Affairs and Industry on matters relating to children's right</w:t>
      </w:r>
      <w:r>
        <w:t xml:space="preserve">s and the family </w:t>
      </w:r>
      <w:r w:rsidR="005B4E3D">
        <w:t>law</w:t>
      </w:r>
      <w:r>
        <w:t xml:space="preserve"> system. </w:t>
      </w:r>
    </w:p>
    <w:p w14:paraId="1C5DCB25" w14:textId="77777777" w:rsidR="002521C1" w:rsidRDefault="000A04FB" w:rsidP="00354AA1">
      <w:pPr>
        <w:jc w:val="both"/>
      </w:pPr>
      <w:r w:rsidRPr="00783F7F">
        <w:lastRenderedPageBreak/>
        <w:t>I emphasi</w:t>
      </w:r>
      <w:r>
        <w:t xml:space="preserve">sed the need to listen to the voices of the </w:t>
      </w:r>
      <w:r w:rsidRPr="00783F7F">
        <w:t>child</w:t>
      </w:r>
      <w:r>
        <w:t>ren</w:t>
      </w:r>
      <w:r w:rsidRPr="00783F7F">
        <w:t xml:space="preserve"> involved when making legal rulings. Professor Richard Chisholm</w:t>
      </w:r>
      <w:r>
        <w:t>, a former Family Law Court judge,</w:t>
      </w:r>
      <w:r w:rsidRPr="00783F7F">
        <w:t xml:space="preserve"> </w:t>
      </w:r>
      <w:r>
        <w:t>accompanied me for this appearance</w:t>
      </w:r>
      <w:r w:rsidR="002521C1">
        <w:t>.</w:t>
      </w:r>
    </w:p>
    <w:p w14:paraId="46FCE5D0" w14:textId="55470B8E" w:rsidR="000A04FB" w:rsidRDefault="000A04FB" w:rsidP="00354AA1">
      <w:pPr>
        <w:jc w:val="both"/>
      </w:pPr>
      <w:r w:rsidRPr="00783F7F">
        <w:t>I also participated in a facilitated discussion hosted by the Attorney-General’s Department, as part of the Garran Strategy Series, on the topic of 'The Family Law Act and the Changing Shape of the Family'. This workshop focussed on policy gaps in this area and explored ways of shaping positive policy responses.</w:t>
      </w:r>
    </w:p>
    <w:p w14:paraId="6F094576" w14:textId="21F49D38" w:rsidR="000A04FB" w:rsidRDefault="000A04FB" w:rsidP="00354AA1">
      <w:pPr>
        <w:jc w:val="both"/>
      </w:pPr>
      <w:r>
        <w:t xml:space="preserve">During the year I received a number of representations from people who had direct experiences in the </w:t>
      </w:r>
      <w:r w:rsidR="005B4E3D">
        <w:t>f</w:t>
      </w:r>
      <w:r>
        <w:t xml:space="preserve">amily </w:t>
      </w:r>
      <w:r w:rsidR="005B4E3D">
        <w:t>l</w:t>
      </w:r>
      <w:r>
        <w:t xml:space="preserve">aw system. </w:t>
      </w:r>
    </w:p>
    <w:p w14:paraId="51BAA518" w14:textId="1C6A1EDC" w:rsidR="000A04FB" w:rsidRDefault="000A04FB" w:rsidP="00354AA1">
      <w:pPr>
        <w:jc w:val="both"/>
      </w:pPr>
      <w:r>
        <w:t xml:space="preserve">Some children and young people met with me to relay personal stories of their interactions with the </w:t>
      </w:r>
      <w:r w:rsidR="005B4E3D">
        <w:t>family l</w:t>
      </w:r>
      <w:r>
        <w:t xml:space="preserve">aw system. Their insights helped me to understand how their experiences had impacted on their safety, relationships and self-esteem. </w:t>
      </w:r>
    </w:p>
    <w:p w14:paraId="005C72D9" w14:textId="77777777" w:rsidR="000A04FB" w:rsidRDefault="000A04FB" w:rsidP="00354AA1">
      <w:pPr>
        <w:jc w:val="both"/>
      </w:pPr>
      <w:r>
        <w:t xml:space="preserve">These children and young people pointed to areas of the legal system where there should be greater consideration of children’s rights. They emphasised the importance of improving the system’s capacity to provide children with relevant information and allow them to participate in meaningful ways. </w:t>
      </w:r>
    </w:p>
    <w:p w14:paraId="75AE9C3C" w14:textId="77777777" w:rsidR="000A04FB" w:rsidRDefault="000A04FB" w:rsidP="00354AA1">
      <w:pPr>
        <w:jc w:val="both"/>
      </w:pPr>
      <w:r>
        <w:t xml:space="preserve">The children and young people who spoke to me also highlighted the ways they provide support and assistance to each other. </w:t>
      </w:r>
    </w:p>
    <w:p w14:paraId="696FDD37" w14:textId="77777777" w:rsidR="00D94316" w:rsidRDefault="00D94316" w:rsidP="00354AA1">
      <w:pPr>
        <w:pStyle w:val="Heading3"/>
        <w:jc w:val="both"/>
      </w:pPr>
      <w:bookmarkStart w:id="11" w:name="_Toc430767447"/>
      <w:r w:rsidRPr="00D94316">
        <w:t>The voice of the child in complaints processes</w:t>
      </w:r>
      <w:bookmarkEnd w:id="11"/>
    </w:p>
    <w:p w14:paraId="038685C3" w14:textId="77777777" w:rsidR="000A04FB" w:rsidRDefault="000A04FB" w:rsidP="00354AA1">
      <w:pPr>
        <w:jc w:val="both"/>
      </w:pPr>
      <w:r w:rsidRPr="00BC2AA3">
        <w:t xml:space="preserve">Since commencing my role, I have called for the development of accessible and child-friendly complaint mechanisms </w:t>
      </w:r>
      <w:r>
        <w:t xml:space="preserve">as an important means of empowering children and young people to claim their rights and be involved in </w:t>
      </w:r>
      <w:r w:rsidRPr="009228A5">
        <w:t>decisions and processes that affect them</w:t>
      </w:r>
      <w:r>
        <w:t>.</w:t>
      </w:r>
    </w:p>
    <w:p w14:paraId="5AC64A34" w14:textId="77777777" w:rsidR="000A04FB" w:rsidRPr="00A738EF" w:rsidRDefault="000A04FB" w:rsidP="00354AA1">
      <w:pPr>
        <w:jc w:val="both"/>
      </w:pPr>
      <w:r w:rsidRPr="00A738EF">
        <w:t xml:space="preserve">Under Australia’s </w:t>
      </w:r>
      <w:r>
        <w:t>f</w:t>
      </w:r>
      <w:r w:rsidRPr="00A738EF">
        <w:t xml:space="preserve">ederal anti-discrimination and human rights legislation, the </w:t>
      </w:r>
      <w:r>
        <w:t xml:space="preserve">Australian Human Rights </w:t>
      </w:r>
      <w:r w:rsidRPr="00383FB6">
        <w:t>Commission</w:t>
      </w:r>
      <w:r w:rsidRPr="00A738EF">
        <w:t xml:space="preserve"> can investigate and </w:t>
      </w:r>
      <w:r>
        <w:t xml:space="preserve">conciliate </w:t>
      </w:r>
      <w:r w:rsidRPr="00A738EF">
        <w:t>complaints of discrimination, harassment and bullying based on a person’s sex, disability, age and race</w:t>
      </w:r>
      <w:r>
        <w:t>.</w:t>
      </w:r>
      <w:r w:rsidRPr="00A738EF">
        <w:t xml:space="preserve"> The Commission can also investigate and conciliate complaints alleging sexual harassment, racial hatred and breaches of human rights by the Commonwealth. </w:t>
      </w:r>
    </w:p>
    <w:p w14:paraId="041987DC" w14:textId="77777777" w:rsidR="000A04FB" w:rsidRDefault="000A04FB" w:rsidP="00354AA1">
      <w:pPr>
        <w:jc w:val="both"/>
      </w:pPr>
      <w:r w:rsidRPr="00AE349C">
        <w:t xml:space="preserve">In the </w:t>
      </w:r>
      <w:r>
        <w:t>201</w:t>
      </w:r>
      <w:r w:rsidRPr="002A5745">
        <w:t>4-2015 reporting year</w:t>
      </w:r>
      <w:r>
        <w:t>,</w:t>
      </w:r>
      <w:r w:rsidRPr="002A5745">
        <w:t xml:space="preserve"> the Investigation and Conciliation Service at the </w:t>
      </w:r>
      <w:r>
        <w:t xml:space="preserve">Australian Human Rights </w:t>
      </w:r>
      <w:r w:rsidRPr="002A5745">
        <w:t xml:space="preserve">Commission received 278 complaints involving children. That is complaints by </w:t>
      </w:r>
      <w:r>
        <w:t xml:space="preserve">a child </w:t>
      </w:r>
      <w:r w:rsidRPr="002A5745">
        <w:t>or on behalf of a child</w:t>
      </w:r>
      <w:r>
        <w:t>,</w:t>
      </w:r>
      <w:r w:rsidRPr="002A5745">
        <w:t xml:space="preserve"> or an issue concerning a child. This represents around 12% of </w:t>
      </w:r>
      <w:r>
        <w:t xml:space="preserve">all </w:t>
      </w:r>
      <w:r w:rsidRPr="002A5745">
        <w:t>complaints received during this period.</w:t>
      </w:r>
      <w:r w:rsidRPr="00AE349C">
        <w:t xml:space="preserve"> </w:t>
      </w:r>
    </w:p>
    <w:p w14:paraId="627DA3AA" w14:textId="77777777" w:rsidR="000A04FB" w:rsidRPr="00B83A9F" w:rsidRDefault="000A04FB" w:rsidP="00354AA1">
      <w:pPr>
        <w:jc w:val="both"/>
      </w:pPr>
      <w:r w:rsidRPr="00B83A9F">
        <w:t xml:space="preserve">The main area of complaint involving children was allegations of breaches of human rights by the Commonwealth relating to immigration detention. This was followed by complaints alleging disability discrimination in the provision of education. The third most common area of complaint was allegations of disability discrimination in the provision of goods and services.  </w:t>
      </w:r>
    </w:p>
    <w:p w14:paraId="08FC9910" w14:textId="77777777" w:rsidR="000A04FB" w:rsidRDefault="000A04FB" w:rsidP="00354AA1">
      <w:pPr>
        <w:jc w:val="both"/>
      </w:pPr>
      <w:r>
        <w:t>T</w:t>
      </w:r>
      <w:r w:rsidRPr="00383FB6">
        <w:t>he complaint handling role is vested sol</w:t>
      </w:r>
      <w:r>
        <w:t xml:space="preserve">ely in the President of the Australian Human Rights Commission. </w:t>
      </w:r>
      <w:r w:rsidRPr="00383FB6">
        <w:t>I do not have a complaint-handling role or a role in d</w:t>
      </w:r>
      <w:r>
        <w:t xml:space="preserve">ealing with individual children’s cases. </w:t>
      </w:r>
    </w:p>
    <w:p w14:paraId="5D88A84B" w14:textId="77777777" w:rsidR="000A04FB" w:rsidRDefault="000A04FB" w:rsidP="00354AA1">
      <w:pPr>
        <w:jc w:val="both"/>
      </w:pPr>
      <w:r>
        <w:lastRenderedPageBreak/>
        <w:t xml:space="preserve">However I do regularly meet with the </w:t>
      </w:r>
      <w:r w:rsidRPr="0028101B">
        <w:t>Investigation and Conciliation Service</w:t>
      </w:r>
      <w:r>
        <w:t xml:space="preserve"> to discuss the general types of issues raised with them in relation to children and young people. I take the opportunity in these meetings to reinforce the importance of listening directly to children and young people. The </w:t>
      </w:r>
      <w:r w:rsidRPr="0028101B">
        <w:t>Investigation and Conciliation Service</w:t>
      </w:r>
      <w:r>
        <w:t xml:space="preserve"> is continually seeking to refine its information and complaint services to ensure that they are accessible and appropriate to the different communities and stakeholders who use them, including children and young people. </w:t>
      </w:r>
    </w:p>
    <w:p w14:paraId="5EAD28E6" w14:textId="77777777" w:rsidR="000A04FB" w:rsidRPr="00AE349C" w:rsidRDefault="000A04FB" w:rsidP="00354AA1">
      <w:pPr>
        <w:jc w:val="both"/>
      </w:pPr>
      <w:r>
        <w:t>T</w:t>
      </w:r>
      <w:r w:rsidRPr="0032657E">
        <w:t xml:space="preserve">he </w:t>
      </w:r>
      <w:r w:rsidRPr="002A5745">
        <w:t>Investi</w:t>
      </w:r>
      <w:r>
        <w:t xml:space="preserve">gation and Conciliation Service’s </w:t>
      </w:r>
      <w:r w:rsidRPr="0032657E">
        <w:t xml:space="preserve">approach to complaints involving children is one of maximum appropriate involvement with reference to the age of the child or young person and the presenting situation. </w:t>
      </w:r>
    </w:p>
    <w:p w14:paraId="3406EFB9" w14:textId="3AFCD2EA" w:rsidR="000A04FB" w:rsidRPr="0032657E" w:rsidRDefault="000A04FB" w:rsidP="00354AA1">
      <w:pPr>
        <w:jc w:val="both"/>
      </w:pPr>
      <w:r w:rsidRPr="0032657E">
        <w:t>The nature of the part</w:t>
      </w:r>
      <w:r>
        <w:t>icipation is assessed on a case</w:t>
      </w:r>
      <w:r w:rsidR="00AE3B97">
        <w:t xml:space="preserve"> </w:t>
      </w:r>
      <w:r>
        <w:t>by</w:t>
      </w:r>
      <w:r w:rsidR="00AE3B97">
        <w:t xml:space="preserve"> </w:t>
      </w:r>
      <w:r w:rsidRPr="0032657E">
        <w:t>case</w:t>
      </w:r>
      <w:r>
        <w:t xml:space="preserve"> </w:t>
      </w:r>
      <w:r w:rsidRPr="0032657E">
        <w:t xml:space="preserve">basis and can include </w:t>
      </w:r>
      <w:r>
        <w:t xml:space="preserve">discussions with the parent, </w:t>
      </w:r>
      <w:r w:rsidRPr="0032657E">
        <w:t>guardian</w:t>
      </w:r>
      <w:r>
        <w:t xml:space="preserve"> or </w:t>
      </w:r>
      <w:r w:rsidRPr="0032657E">
        <w:t>support person to make sure that the views of the child are sought and understood</w:t>
      </w:r>
      <w:r>
        <w:t>. It can also involve</w:t>
      </w:r>
      <w:r w:rsidRPr="0032657E">
        <w:t xml:space="preserve"> the child or young person attending the conciliation conference</w:t>
      </w:r>
      <w:r>
        <w:t xml:space="preserve"> </w:t>
      </w:r>
      <w:r w:rsidRPr="0032657E">
        <w:t xml:space="preserve">or the child’s representative reading out a statement from the child at the conference. </w:t>
      </w:r>
    </w:p>
    <w:p w14:paraId="092762D4" w14:textId="77777777" w:rsidR="000A04FB" w:rsidRPr="0028101B" w:rsidRDefault="000A04FB" w:rsidP="00354AA1">
      <w:pPr>
        <w:jc w:val="both"/>
      </w:pPr>
      <w:r w:rsidRPr="0028101B">
        <w:t xml:space="preserve">Feedback to the </w:t>
      </w:r>
      <w:r w:rsidRPr="002A5745">
        <w:t>Investi</w:t>
      </w:r>
      <w:r>
        <w:t>gation and Conciliation Service from a respondent party to a</w:t>
      </w:r>
      <w:r w:rsidRPr="0028101B">
        <w:t xml:space="preserve"> conciliation process</w:t>
      </w:r>
      <w:r>
        <w:t xml:space="preserve"> in relation to a young person</w:t>
      </w:r>
      <w:r w:rsidRPr="00E62F50">
        <w:t>’s involvement in the process</w:t>
      </w:r>
      <w:r w:rsidRPr="0028101B">
        <w:t xml:space="preserve"> stated:</w:t>
      </w:r>
    </w:p>
    <w:p w14:paraId="47071198" w14:textId="77777777" w:rsidR="000A04FB" w:rsidRPr="00B2085A" w:rsidRDefault="000A04FB" w:rsidP="00354AA1">
      <w:pPr>
        <w:ind w:left="360"/>
        <w:jc w:val="both"/>
        <w:rPr>
          <w:sz w:val="22"/>
          <w:szCs w:val="22"/>
        </w:rPr>
      </w:pPr>
      <w:r w:rsidRPr="00B2085A">
        <w:rPr>
          <w:sz w:val="22"/>
          <w:szCs w:val="22"/>
        </w:rPr>
        <w:t>The service in this matter was excellent. This matter was a disability discrimination complaint in education involving a young person (aged sixteen). Arrangements were made for the young person to express his experience of the issues leading to the complaint, and his feelings about the issues, during the conciliation conference. This was a particularly empowering and beneficial experience for the young person, and greatly assisted him and his family in moving forward.</w:t>
      </w:r>
    </w:p>
    <w:p w14:paraId="753ABEFF" w14:textId="77777777" w:rsidR="000A04FB" w:rsidRPr="000A04FB" w:rsidRDefault="000A04FB" w:rsidP="00354AA1">
      <w:pPr>
        <w:jc w:val="both"/>
      </w:pPr>
      <w:r w:rsidRPr="00FB3F3D">
        <w:t>I would like to sincerely thank the Investigation and Conciliation Service for its support to me throughout the year.</w:t>
      </w:r>
    </w:p>
    <w:p w14:paraId="69BE211D" w14:textId="0B875002" w:rsidR="00D94316" w:rsidRDefault="00D94316" w:rsidP="00354AA1">
      <w:pPr>
        <w:pStyle w:val="Heading3"/>
        <w:jc w:val="both"/>
      </w:pPr>
      <w:bookmarkStart w:id="12" w:name="_Toc430767448"/>
      <w:r w:rsidRPr="00D94316">
        <w:t>Children</w:t>
      </w:r>
      <w:r w:rsidR="00175FFD">
        <w:t>’s</w:t>
      </w:r>
      <w:r w:rsidRPr="00D94316">
        <w:t xml:space="preserve"> and young people’s voices on consumer rights</w:t>
      </w:r>
      <w:bookmarkEnd w:id="12"/>
    </w:p>
    <w:p w14:paraId="3E0945B4" w14:textId="7449A53D" w:rsidR="000A04FB" w:rsidRPr="000A04FB" w:rsidRDefault="000A04FB" w:rsidP="00354AA1">
      <w:pPr>
        <w:jc w:val="both"/>
      </w:pPr>
      <w:r w:rsidRPr="00783F7F">
        <w:t xml:space="preserve">This year I spoke with over 100 children about their knowledge of their consumer rights as part of my </w:t>
      </w:r>
      <w:r w:rsidR="00C760C3">
        <w:t>work on</w:t>
      </w:r>
      <w:r w:rsidRPr="00783F7F">
        <w:t xml:space="preserve"> children’s rights and business. In these consultations, children and young people emphasised the empowering ef</w:t>
      </w:r>
      <w:r>
        <w:t xml:space="preserve">fect of </w:t>
      </w:r>
      <w:r w:rsidRPr="00783F7F">
        <w:t>having their views solicited and heard</w:t>
      </w:r>
      <w:r>
        <w:t>.</w:t>
      </w:r>
      <w:r w:rsidRPr="00783F7F">
        <w:t xml:space="preserve"> I report on this in detail in </w:t>
      </w:r>
      <w:r>
        <w:t>C</w:t>
      </w:r>
      <w:r w:rsidRPr="00783F7F">
        <w:t>hapter 3.</w:t>
      </w:r>
    </w:p>
    <w:p w14:paraId="04C3E103" w14:textId="77777777" w:rsidR="00D94316" w:rsidRDefault="00D94316" w:rsidP="00354AA1">
      <w:pPr>
        <w:pStyle w:val="Heading2"/>
        <w:jc w:val="both"/>
      </w:pPr>
      <w:bookmarkStart w:id="13" w:name="_Toc430767449"/>
      <w:bookmarkStart w:id="14" w:name="_Toc432577301"/>
      <w:r w:rsidRPr="00D94316">
        <w:t>Freedom from violence, abuse and neglect</w:t>
      </w:r>
      <w:bookmarkEnd w:id="13"/>
      <w:bookmarkEnd w:id="14"/>
    </w:p>
    <w:p w14:paraId="699BE2AA" w14:textId="77777777" w:rsidR="0093038B" w:rsidRDefault="0093038B" w:rsidP="00354AA1">
      <w:pPr>
        <w:jc w:val="both"/>
        <w:rPr>
          <w:highlight w:val="yellow"/>
        </w:rPr>
      </w:pPr>
      <w:r w:rsidRPr="007205C5">
        <w:t xml:space="preserve">The </w:t>
      </w:r>
      <w:r>
        <w:t>r</w:t>
      </w:r>
      <w:r w:rsidRPr="007205C5">
        <w:t xml:space="preserve">ight </w:t>
      </w:r>
      <w:r>
        <w:t xml:space="preserve">of children </w:t>
      </w:r>
      <w:r w:rsidRPr="007205C5">
        <w:t xml:space="preserve">to be free from </w:t>
      </w:r>
      <w:r>
        <w:t xml:space="preserve">all forms of </w:t>
      </w:r>
      <w:r w:rsidRPr="007205C5">
        <w:t>violence</w:t>
      </w:r>
      <w:r>
        <w:t xml:space="preserve">, abuse and neglect is one of the central themes guiding my work </w:t>
      </w:r>
      <w:r w:rsidRPr="007205C5">
        <w:t>as National Children’s Commissioner</w:t>
      </w:r>
      <w:r>
        <w:t>.</w:t>
      </w:r>
    </w:p>
    <w:p w14:paraId="1C5384E7" w14:textId="2769512D" w:rsidR="0093038B" w:rsidRDefault="0093038B" w:rsidP="00354AA1">
      <w:pPr>
        <w:jc w:val="both"/>
      </w:pPr>
      <w:r>
        <w:t>The responsibility to protect children from all forms of violence,</w:t>
      </w:r>
      <w:r w:rsidR="00C760C3">
        <w:t xml:space="preserve"> abuse and neglect is outlined </w:t>
      </w:r>
      <w:r w:rsidR="00B77009">
        <w:t xml:space="preserve">in </w:t>
      </w:r>
      <w:r w:rsidR="00C760C3">
        <w:t>a</w:t>
      </w:r>
      <w:r>
        <w:t xml:space="preserve">rticle 19 </w:t>
      </w:r>
      <w:r w:rsidR="0067743C">
        <w:t>of</w:t>
      </w:r>
      <w:r>
        <w:t xml:space="preserve"> the Convention on the Rights of the Child, which states that:</w:t>
      </w:r>
    </w:p>
    <w:p w14:paraId="4B1E5008" w14:textId="77777777" w:rsidR="0093038B" w:rsidRDefault="0093038B" w:rsidP="00354AA1">
      <w:pPr>
        <w:ind w:left="720"/>
        <w:jc w:val="both"/>
        <w:rPr>
          <w:color w:val="000000"/>
          <w:sz w:val="22"/>
          <w:szCs w:val="22"/>
          <w:shd w:val="clear" w:color="auto" w:fill="FFFFFF"/>
        </w:rPr>
      </w:pPr>
      <w:r w:rsidRPr="00B2085A">
        <w:rPr>
          <w:color w:val="000000"/>
          <w:sz w:val="22"/>
          <w:szCs w:val="22"/>
          <w:shd w:val="clear" w:color="auto" w:fill="FFFFFF"/>
        </w:rPr>
        <w:t>States Parties shall take all appropriate legislative, administrative, social and educational measures to protect the child from all forms of physical or mental violence, injury or abuse, neglect or negligent treatment, maltreatment or exploitation, including sexual abuse, while in the care of parent(s), legal guardian(s) or any other person who has the care of the child.</w:t>
      </w:r>
      <w:r w:rsidRPr="00B2085A">
        <w:rPr>
          <w:rStyle w:val="EndnoteReference"/>
          <w:color w:val="000000"/>
          <w:sz w:val="22"/>
          <w:szCs w:val="22"/>
          <w:shd w:val="clear" w:color="auto" w:fill="FFFFFF"/>
        </w:rPr>
        <w:endnoteReference w:id="4"/>
      </w:r>
    </w:p>
    <w:p w14:paraId="64F132FF" w14:textId="1A10F78F" w:rsidR="0093038B" w:rsidRPr="0093038B" w:rsidRDefault="0093038B" w:rsidP="00354AA1">
      <w:pPr>
        <w:jc w:val="both"/>
      </w:pPr>
      <w:r w:rsidRPr="004E4F56">
        <w:rPr>
          <w:color w:val="000000"/>
          <w:shd w:val="clear" w:color="auto" w:fill="FFFFFF"/>
        </w:rPr>
        <w:lastRenderedPageBreak/>
        <w:t>During 2014</w:t>
      </w:r>
      <w:r w:rsidR="00C760C3">
        <w:rPr>
          <w:color w:val="000000"/>
          <w:shd w:val="clear" w:color="auto" w:fill="FFFFFF"/>
        </w:rPr>
        <w:t>,</w:t>
      </w:r>
      <w:r w:rsidRPr="004E4F56">
        <w:rPr>
          <w:color w:val="000000"/>
          <w:shd w:val="clear" w:color="auto" w:fill="FFFFFF"/>
        </w:rPr>
        <w:t xml:space="preserve"> I examined suicide and self-harm among children and young peop</w:t>
      </w:r>
      <w:r w:rsidR="0099126A">
        <w:rPr>
          <w:color w:val="000000"/>
          <w:shd w:val="clear" w:color="auto" w:fill="FFFFFF"/>
        </w:rPr>
        <w:t xml:space="preserve">le, to shine a light on what we </w:t>
      </w:r>
      <w:r w:rsidRPr="004E4F56">
        <w:rPr>
          <w:color w:val="000000"/>
          <w:shd w:val="clear" w:color="auto" w:fill="FFFFFF"/>
        </w:rPr>
        <w:t>know about this issue, and to identify areas for action.</w:t>
      </w:r>
    </w:p>
    <w:p w14:paraId="143E56A7" w14:textId="77777777" w:rsidR="00D94316" w:rsidRDefault="00D94316" w:rsidP="00354AA1">
      <w:pPr>
        <w:pStyle w:val="Heading3"/>
        <w:jc w:val="both"/>
      </w:pPr>
      <w:bookmarkStart w:id="15" w:name="_Toc430767450"/>
      <w:r w:rsidRPr="00D94316">
        <w:t>Self-harm and suicidal behaviour in Aboriginal and Torres Strait Islander children and young people</w:t>
      </w:r>
      <w:bookmarkEnd w:id="15"/>
    </w:p>
    <w:p w14:paraId="368EFB5E" w14:textId="40089284" w:rsidR="0093038B" w:rsidRPr="009228A5" w:rsidRDefault="0093038B" w:rsidP="00354AA1">
      <w:pPr>
        <w:jc w:val="both"/>
      </w:pPr>
      <w:r w:rsidRPr="009228A5">
        <w:t xml:space="preserve">In my </w:t>
      </w:r>
      <w:r w:rsidRPr="00173F83">
        <w:rPr>
          <w:i/>
        </w:rPr>
        <w:t>Children’s Rights Report</w:t>
      </w:r>
      <w:r w:rsidR="00173F83" w:rsidRPr="00173F83">
        <w:rPr>
          <w:i/>
        </w:rPr>
        <w:t xml:space="preserve"> 2014</w:t>
      </w:r>
      <w:r w:rsidRPr="009228A5">
        <w:t>, I highlighted the ways in which Aboriginal and Torres Strait Islander children and young people are disproportionately affected</w:t>
      </w:r>
      <w:r>
        <w:t xml:space="preserve"> by </w:t>
      </w:r>
      <w:r w:rsidRPr="009228A5">
        <w:t>intentional self-harm and suicidal behaviour.</w:t>
      </w:r>
      <w:r w:rsidR="00173F83" w:rsidRPr="00173F83">
        <w:rPr>
          <w:rStyle w:val="EndnoteReference"/>
        </w:rPr>
        <w:t xml:space="preserve"> </w:t>
      </w:r>
      <w:r w:rsidR="00173F83">
        <w:rPr>
          <w:rStyle w:val="EndnoteReference"/>
        </w:rPr>
        <w:endnoteReference w:id="5"/>
      </w:r>
    </w:p>
    <w:p w14:paraId="264E0F8E" w14:textId="6B9C998A" w:rsidR="0093038B" w:rsidRPr="009228A5" w:rsidRDefault="0093038B" w:rsidP="00354AA1">
      <w:pPr>
        <w:jc w:val="both"/>
      </w:pPr>
      <w:r>
        <w:t xml:space="preserve">Data from the </w:t>
      </w:r>
      <w:r w:rsidRPr="009228A5">
        <w:t xml:space="preserve">Australian Bureau of Statistics (ABS) </w:t>
      </w:r>
      <w:r>
        <w:t xml:space="preserve">shows </w:t>
      </w:r>
      <w:r w:rsidRPr="009228A5">
        <w:t>that in 2014</w:t>
      </w:r>
      <w:r>
        <w:t xml:space="preserve"> </w:t>
      </w:r>
      <w:r w:rsidR="007C0AE4" w:rsidRPr="009228A5">
        <w:t xml:space="preserve">Aboriginal and Torres Strait Islander children and young people </w:t>
      </w:r>
      <w:r w:rsidRPr="009228A5">
        <w:t xml:space="preserve">accounted for 28.1% of all the recorded deaths </w:t>
      </w:r>
      <w:r w:rsidR="007C0AE4">
        <w:t>of</w:t>
      </w:r>
      <w:r w:rsidRPr="009228A5">
        <w:t xml:space="preserve"> children and young people under 18 years of age due to intentional self-harm.</w:t>
      </w:r>
      <w:r>
        <w:rPr>
          <w:rStyle w:val="EndnoteReference"/>
        </w:rPr>
        <w:endnoteReference w:id="6"/>
      </w:r>
      <w:r w:rsidR="007C0AE4">
        <w:t xml:space="preserve"> </w:t>
      </w:r>
    </w:p>
    <w:p w14:paraId="1BB77C3A" w14:textId="77777777" w:rsidR="0093038B" w:rsidRDefault="0093038B" w:rsidP="00354AA1">
      <w:pPr>
        <w:jc w:val="both"/>
      </w:pPr>
      <w:r w:rsidRPr="009228A5">
        <w:t>One of the major r</w:t>
      </w:r>
      <w:r>
        <w:t>ecommendations</w:t>
      </w:r>
      <w:r w:rsidRPr="009228A5">
        <w:t xml:space="preserve"> in my 2014 report was the need for focused national research in a range of areas that would inform the development of an effective suite of interventions for children</w:t>
      </w:r>
      <w:r>
        <w:t xml:space="preserve"> and young people</w:t>
      </w:r>
      <w:r w:rsidRPr="009228A5">
        <w:t xml:space="preserve">, </w:t>
      </w:r>
      <w:r>
        <w:t xml:space="preserve">in </w:t>
      </w:r>
      <w:r w:rsidRPr="009228A5">
        <w:t>particular</w:t>
      </w:r>
      <w:r>
        <w:t xml:space="preserve"> for </w:t>
      </w:r>
      <w:r w:rsidRPr="009228A5">
        <w:t>Aboriginal and Torres Strait Islander children</w:t>
      </w:r>
      <w:r>
        <w:t xml:space="preserve"> and young people, including universal resilience building through to clinical treatments</w:t>
      </w:r>
      <w:r w:rsidRPr="009228A5">
        <w:t>.</w:t>
      </w:r>
      <w:r w:rsidRPr="009228A5">
        <w:rPr>
          <w:rStyle w:val="EndnoteReference"/>
        </w:rPr>
        <w:endnoteReference w:id="7"/>
      </w:r>
      <w:r w:rsidRPr="009228A5">
        <w:t xml:space="preserve"> </w:t>
      </w:r>
    </w:p>
    <w:p w14:paraId="6925750A" w14:textId="77777777" w:rsidR="0093038B" w:rsidRPr="009228A5" w:rsidRDefault="0093038B" w:rsidP="00354AA1">
      <w:pPr>
        <w:jc w:val="both"/>
      </w:pPr>
      <w:r>
        <w:t>At the beginning of the</w:t>
      </w:r>
      <w:r w:rsidRPr="009228A5">
        <w:t xml:space="preserve"> year</w:t>
      </w:r>
      <w:r>
        <w:t>,</w:t>
      </w:r>
      <w:r w:rsidRPr="009228A5">
        <w:t xml:space="preserve"> I became a member of </w:t>
      </w:r>
      <w:r>
        <w:t xml:space="preserve">the </w:t>
      </w:r>
      <w:r w:rsidRPr="009228A5">
        <w:t xml:space="preserve">National Advisory Committee for the </w:t>
      </w:r>
      <w:r w:rsidRPr="00107C87">
        <w:t>Aboriginal and Torres Strait Islander Suicide Prevention Evaluation Project</w:t>
      </w:r>
      <w:r>
        <w:t xml:space="preserve"> (ATSISPEP).</w:t>
      </w:r>
    </w:p>
    <w:p w14:paraId="5D07F4C5" w14:textId="77777777" w:rsidR="0093038B" w:rsidRPr="009228A5" w:rsidRDefault="0093038B" w:rsidP="00354AA1">
      <w:pPr>
        <w:jc w:val="both"/>
      </w:pPr>
      <w:r w:rsidRPr="009228A5">
        <w:t>ATSISPEP is an important national initiative, funded by the Australian Government, to evaluate the effectiveness of existing suicide prevention programs and services in combatting the high levels of suicide in the Aboriginal and Torres Strait Islander population. Given the unique set of issues faced by Aboriginal and Torres Strait Islander children, the work of ATSISPEP is critical.</w:t>
      </w:r>
    </w:p>
    <w:p w14:paraId="1546183D" w14:textId="77777777" w:rsidR="0093038B" w:rsidRDefault="0093038B" w:rsidP="00354AA1">
      <w:pPr>
        <w:jc w:val="both"/>
      </w:pPr>
      <w:r w:rsidRPr="009228A5">
        <w:t xml:space="preserve">As part of my involvement in the National Advisory Committee </w:t>
      </w:r>
      <w:r>
        <w:t xml:space="preserve">for </w:t>
      </w:r>
      <w:r w:rsidRPr="009228A5">
        <w:t>ATSISPEP, I part</w:t>
      </w:r>
      <w:r>
        <w:t xml:space="preserve">icipated in a Youth Roundtable </w:t>
      </w:r>
      <w:r w:rsidRPr="009228A5">
        <w:t xml:space="preserve">to discuss suicide prevention in Aboriginal and Torres Strait Islander communities. </w:t>
      </w:r>
    </w:p>
    <w:p w14:paraId="3D1C9A80" w14:textId="71BB359F" w:rsidR="0093038B" w:rsidRDefault="0093038B" w:rsidP="00354AA1">
      <w:pPr>
        <w:jc w:val="both"/>
      </w:pPr>
      <w:r w:rsidRPr="009228A5">
        <w:t xml:space="preserve">The roundtable was held in Canberra with 20 Aboriginal </w:t>
      </w:r>
      <w:r>
        <w:t>and Torres Strait Islander young people</w:t>
      </w:r>
      <w:r w:rsidRPr="009228A5">
        <w:t xml:space="preserve"> from across Australia.</w:t>
      </w:r>
      <w:r>
        <w:t xml:space="preserve"> Key messages</w:t>
      </w:r>
      <w:r w:rsidRPr="009228A5">
        <w:t xml:space="preserve"> </w:t>
      </w:r>
      <w:r>
        <w:t xml:space="preserve">from </w:t>
      </w:r>
      <w:r w:rsidR="007C0AE4">
        <w:t xml:space="preserve">the </w:t>
      </w:r>
      <w:r w:rsidRPr="009228A5">
        <w:t>roundtable were that young people w</w:t>
      </w:r>
      <w:r>
        <w:t>ant to be part of the solutions;</w:t>
      </w:r>
      <w:r w:rsidRPr="009228A5">
        <w:t xml:space="preserve"> links with effec</w:t>
      </w:r>
      <w:r>
        <w:t>tive mental health services are</w:t>
      </w:r>
      <w:r w:rsidRPr="009228A5">
        <w:t xml:space="preserve"> vital; and that developing cultural connectedness and a sense of personal identity </w:t>
      </w:r>
      <w:r>
        <w:t xml:space="preserve">is essential </w:t>
      </w:r>
      <w:r w:rsidRPr="009228A5">
        <w:t xml:space="preserve">to effective suicide prevention strategies. </w:t>
      </w:r>
    </w:p>
    <w:p w14:paraId="0D5FFF23" w14:textId="09D8AFB1" w:rsidR="0093038B" w:rsidRPr="0048614A" w:rsidRDefault="0093038B" w:rsidP="00354AA1">
      <w:pPr>
        <w:jc w:val="both"/>
      </w:pPr>
      <w:r w:rsidRPr="0048614A">
        <w:t>One participant said</w:t>
      </w:r>
      <w:r w:rsidR="007C0AE4">
        <w:t>:</w:t>
      </w:r>
      <w:r w:rsidRPr="0048614A">
        <w:t xml:space="preserve"> </w:t>
      </w:r>
    </w:p>
    <w:p w14:paraId="36CBA500" w14:textId="6674D766" w:rsidR="0093038B" w:rsidRPr="0048614A" w:rsidRDefault="0093038B" w:rsidP="00354AA1">
      <w:pPr>
        <w:ind w:left="720"/>
        <w:jc w:val="both"/>
        <w:rPr>
          <w:sz w:val="22"/>
        </w:rPr>
      </w:pPr>
      <w:r w:rsidRPr="0048614A">
        <w:rPr>
          <w:sz w:val="22"/>
        </w:rPr>
        <w:t>Growing up in a community with issues that White mobs don’t have you come to know about mental health and impacts from alcohol an</w:t>
      </w:r>
      <w:r w:rsidR="007C0AE4">
        <w:rPr>
          <w:sz w:val="22"/>
        </w:rPr>
        <w:t>d drugs from a very young age.</w:t>
      </w:r>
    </w:p>
    <w:p w14:paraId="3D85CF2F" w14:textId="2B784D68" w:rsidR="0093038B" w:rsidRPr="0048614A" w:rsidRDefault="0093038B" w:rsidP="00354AA1">
      <w:pPr>
        <w:jc w:val="both"/>
      </w:pPr>
      <w:r w:rsidRPr="0048614A">
        <w:t>In talking about protective factors, a participant stated</w:t>
      </w:r>
      <w:r w:rsidR="007C0AE4">
        <w:t>:</w:t>
      </w:r>
    </w:p>
    <w:p w14:paraId="516A2447" w14:textId="0A55330D" w:rsidR="0093038B" w:rsidRPr="0048614A" w:rsidRDefault="0093038B" w:rsidP="00354AA1">
      <w:pPr>
        <w:ind w:left="720"/>
        <w:jc w:val="both"/>
        <w:rPr>
          <w:sz w:val="22"/>
        </w:rPr>
      </w:pPr>
      <w:r w:rsidRPr="0048614A">
        <w:rPr>
          <w:sz w:val="22"/>
        </w:rPr>
        <w:t xml:space="preserve">We are all part of the healing, doing the healing with family and friends around us. It’s everyone’s bit to do </w:t>
      </w:r>
      <w:r w:rsidR="007C0AE4">
        <w:rPr>
          <w:sz w:val="22"/>
        </w:rPr>
        <w:t>what we can to prevent suicide.</w:t>
      </w:r>
    </w:p>
    <w:p w14:paraId="6FFE8857" w14:textId="2D56F5C8" w:rsidR="0093038B" w:rsidRPr="0048614A" w:rsidRDefault="0093038B" w:rsidP="00354AA1">
      <w:pPr>
        <w:jc w:val="both"/>
      </w:pPr>
      <w:r w:rsidRPr="0048614A">
        <w:t>A</w:t>
      </w:r>
      <w:r w:rsidR="007C0AE4">
        <w:t>nother young person stated that:</w:t>
      </w:r>
    </w:p>
    <w:p w14:paraId="12C15590" w14:textId="616A9751" w:rsidR="0093038B" w:rsidRPr="00ED392E" w:rsidRDefault="0093038B" w:rsidP="00354AA1">
      <w:pPr>
        <w:ind w:left="720"/>
        <w:jc w:val="both"/>
        <w:rPr>
          <w:sz w:val="22"/>
        </w:rPr>
      </w:pPr>
      <w:r w:rsidRPr="0048614A">
        <w:rPr>
          <w:sz w:val="22"/>
        </w:rPr>
        <w:lastRenderedPageBreak/>
        <w:t>Protective factors need to be developed on how to positively influence self-esteem, how to connect with family</w:t>
      </w:r>
      <w:r w:rsidR="00B165B4">
        <w:rPr>
          <w:sz w:val="22"/>
        </w:rPr>
        <w:t>,</w:t>
      </w:r>
      <w:r w:rsidRPr="0048614A">
        <w:rPr>
          <w:sz w:val="22"/>
        </w:rPr>
        <w:t xml:space="preserve"> community </w:t>
      </w:r>
      <w:r w:rsidR="00B165B4" w:rsidRPr="0048614A">
        <w:rPr>
          <w:sz w:val="22"/>
        </w:rPr>
        <w:t xml:space="preserve">and </w:t>
      </w:r>
      <w:r w:rsidRPr="0048614A">
        <w:rPr>
          <w:sz w:val="22"/>
        </w:rPr>
        <w:t xml:space="preserve">culture. We can use culture to harness positive influence, harnessing our cultural practices as links to community, family, building resilience. </w:t>
      </w:r>
    </w:p>
    <w:p w14:paraId="1DFC34C7" w14:textId="77777777" w:rsidR="0093038B" w:rsidRPr="009228A5" w:rsidRDefault="0093038B" w:rsidP="00354AA1">
      <w:pPr>
        <w:jc w:val="both"/>
      </w:pPr>
      <w:r w:rsidRPr="009228A5">
        <w:t xml:space="preserve">The ATSISPEP final report </w:t>
      </w:r>
      <w:r>
        <w:t>will be released in December 2015</w:t>
      </w:r>
      <w:r w:rsidRPr="009228A5">
        <w:t xml:space="preserve"> and will describe the characteristics of successful Aboriginal and Torres Strait Islander suicide prevention programs, identify existing programs that appear to be most effective, and deliver a culturally appropriate evaluation framework that can be used by governments to inform future funding decisions.</w:t>
      </w:r>
    </w:p>
    <w:p w14:paraId="6F818A5C" w14:textId="77777777" w:rsidR="0093038B" w:rsidRDefault="0093038B" w:rsidP="00354AA1">
      <w:pPr>
        <w:jc w:val="both"/>
      </w:pPr>
      <w:r w:rsidRPr="00461749">
        <w:t xml:space="preserve">This year I also became an industry partner with the NHMRC Centre of Research Excellence in Suicide Prevention (CRESP). This partnership involves working as part of an Australia-wide research community group, to consider how research on suicide in Australia can be better </w:t>
      </w:r>
      <w:r>
        <w:t xml:space="preserve">targeted, </w:t>
      </w:r>
      <w:r w:rsidRPr="00461749">
        <w:t>understood and translated.</w:t>
      </w:r>
      <w:r>
        <w:t xml:space="preserve"> </w:t>
      </w:r>
    </w:p>
    <w:p w14:paraId="57A5E3FB" w14:textId="6FD66FC6" w:rsidR="0093038B" w:rsidRDefault="0093038B" w:rsidP="00354AA1">
      <w:pPr>
        <w:jc w:val="both"/>
      </w:pPr>
      <w:r>
        <w:t>I</w:t>
      </w:r>
      <w:r w:rsidRPr="009228A5">
        <w:t>n collaboration with my colleague</w:t>
      </w:r>
      <w:r w:rsidR="00101D76">
        <w:t xml:space="preserve">, </w:t>
      </w:r>
      <w:r w:rsidR="00B165B4" w:rsidRPr="009228A5">
        <w:t>Aboriginal and Torres Strait Islander Social Justice Commissioner</w:t>
      </w:r>
      <w:r w:rsidR="00B165B4">
        <w:t>,</w:t>
      </w:r>
      <w:r w:rsidRPr="009228A5">
        <w:t xml:space="preserve"> </w:t>
      </w:r>
      <w:r w:rsidR="00B165B4">
        <w:t>Mick</w:t>
      </w:r>
      <w:r w:rsidRPr="009228A5">
        <w:t xml:space="preserve"> Gooda,</w:t>
      </w:r>
      <w:r>
        <w:t xml:space="preserve"> we contributed an article to</w:t>
      </w:r>
      <w:r w:rsidRPr="009228A5">
        <w:t xml:space="preserve"> the Indigenous Law Bulletin which highlighted the findings of </w:t>
      </w:r>
      <w:r>
        <w:t>my</w:t>
      </w:r>
      <w:r w:rsidRPr="009228A5">
        <w:t xml:space="preserve"> </w:t>
      </w:r>
      <w:r w:rsidRPr="00926B3A">
        <w:rPr>
          <w:i/>
        </w:rPr>
        <w:t xml:space="preserve">Children’s Rights Report </w:t>
      </w:r>
      <w:r w:rsidR="00926B3A" w:rsidRPr="00926B3A">
        <w:rPr>
          <w:i/>
        </w:rPr>
        <w:t>2014</w:t>
      </w:r>
      <w:r w:rsidR="00926B3A" w:rsidRPr="009228A5">
        <w:t xml:space="preserve"> </w:t>
      </w:r>
      <w:r w:rsidRPr="009228A5">
        <w:t>and emphasised the need to promote Aboriginal and Torres Strait Islander children’s rights in suicide prevention research.</w:t>
      </w:r>
      <w:r>
        <w:rPr>
          <w:rStyle w:val="EndnoteReference"/>
        </w:rPr>
        <w:endnoteReference w:id="8"/>
      </w:r>
    </w:p>
    <w:p w14:paraId="1227F811" w14:textId="77777777" w:rsidR="0093038B" w:rsidRDefault="0093038B" w:rsidP="00354AA1">
      <w:pPr>
        <w:jc w:val="both"/>
      </w:pPr>
      <w:r>
        <w:t>Through my</w:t>
      </w:r>
      <w:r w:rsidRPr="009228A5">
        <w:t xml:space="preserve"> participa</w:t>
      </w:r>
      <w:r>
        <w:t>tion in these important forums, and partnerships with key</w:t>
      </w:r>
      <w:r w:rsidRPr="009228A5">
        <w:t xml:space="preserve"> stakeholder organisations, I will continue to advocate for research </w:t>
      </w:r>
      <w:r>
        <w:t>and other initiatives relating to</w:t>
      </w:r>
      <w:r w:rsidRPr="009228A5">
        <w:t xml:space="preserve"> self-harm and suicidal behaviour which adequately prioritise the needs of Aboriginal and Torres Strait Islander children and young people.</w:t>
      </w:r>
    </w:p>
    <w:p w14:paraId="22645C86" w14:textId="77777777" w:rsidR="0093038B" w:rsidRDefault="0093038B" w:rsidP="00354AA1">
      <w:pPr>
        <w:jc w:val="both"/>
      </w:pPr>
      <w:r>
        <w:t xml:space="preserve">The National Mental Health Commission’s </w:t>
      </w:r>
      <w:r w:rsidRPr="00107C87">
        <w:rPr>
          <w:i/>
        </w:rPr>
        <w:t>Report of the National Review of Mental Health Programmes and Services</w:t>
      </w:r>
      <w:r>
        <w:t>, released in April 2015, has also drawn attention to the high rates of suicide and comparatively poor mental health of Aboriginal and Torres Strait Islander peoples.</w:t>
      </w:r>
      <w:r>
        <w:rPr>
          <w:rStyle w:val="EndnoteReference"/>
        </w:rPr>
        <w:endnoteReference w:id="9"/>
      </w:r>
    </w:p>
    <w:p w14:paraId="7F3E4AEE" w14:textId="1AE04876" w:rsidR="0093038B" w:rsidRPr="0093038B" w:rsidRDefault="0093038B" w:rsidP="00354AA1">
      <w:pPr>
        <w:jc w:val="both"/>
      </w:pPr>
      <w:r>
        <w:t xml:space="preserve">The National Mental Health Commission recommended a dedicated plan to close the mental health gap based on the renewed </w:t>
      </w:r>
      <w:r w:rsidRPr="00107C87">
        <w:rPr>
          <w:i/>
        </w:rPr>
        <w:t>National Strategic Framework for Aboriginal and Torres Strait Islander Mental Health and Social and Emotional Wellbeing</w:t>
      </w:r>
      <w:r>
        <w:t>. The</w:t>
      </w:r>
      <w:r w:rsidR="000744AA">
        <w:t xml:space="preserve"> </w:t>
      </w:r>
      <w:r w:rsidR="00107C87">
        <w:t>r</w:t>
      </w:r>
      <w:r w:rsidR="000744AA">
        <w:t>eport</w:t>
      </w:r>
      <w:r>
        <w:t xml:space="preserve"> further pointed to the need for the urgent implementation of the </w:t>
      </w:r>
      <w:r w:rsidRPr="00107C87">
        <w:rPr>
          <w:i/>
        </w:rPr>
        <w:t>National Aboriginal and Torres Strait Islander Suicide Prevention Strategy</w:t>
      </w:r>
      <w:r>
        <w:t>,</w:t>
      </w:r>
      <w:r>
        <w:rPr>
          <w:rStyle w:val="EndnoteReference"/>
        </w:rPr>
        <w:endnoteReference w:id="10"/>
      </w:r>
      <w:r>
        <w:t xml:space="preserve"> and a target to reduce suicide rates by 50% over the next decade.</w:t>
      </w:r>
      <w:r w:rsidRPr="001D628A">
        <w:rPr>
          <w:rStyle w:val="EndnoteReference"/>
        </w:rPr>
        <w:t xml:space="preserve"> </w:t>
      </w:r>
      <w:r>
        <w:rPr>
          <w:rStyle w:val="EndnoteReference"/>
        </w:rPr>
        <w:endnoteReference w:id="11"/>
      </w:r>
    </w:p>
    <w:p w14:paraId="13CD8CE4" w14:textId="77777777" w:rsidR="00D94316" w:rsidRDefault="00D94316" w:rsidP="00354AA1">
      <w:pPr>
        <w:pStyle w:val="Heading3"/>
        <w:jc w:val="both"/>
      </w:pPr>
      <w:bookmarkStart w:id="16" w:name="_Toc430767451"/>
      <w:r w:rsidRPr="00D94316">
        <w:t>The impact of family and domestic violence on children and young people</w:t>
      </w:r>
      <w:bookmarkEnd w:id="16"/>
    </w:p>
    <w:p w14:paraId="4FA2C731" w14:textId="77777777" w:rsidR="00247959" w:rsidRDefault="00247959" w:rsidP="00354AA1">
      <w:pPr>
        <w:jc w:val="both"/>
      </w:pPr>
      <w:r>
        <w:t xml:space="preserve">One of the key findings of my 2014 examination into intentional self-harm and suicidal behaviour in children and young people was that family and domestic violence was a contributing risk factor that required further research.  </w:t>
      </w:r>
    </w:p>
    <w:p w14:paraId="32C07DC4" w14:textId="77777777" w:rsidR="00247959" w:rsidRPr="00247959" w:rsidRDefault="00247959" w:rsidP="00354AA1">
      <w:pPr>
        <w:jc w:val="both"/>
      </w:pPr>
      <w:r>
        <w:t>As a result of this, in 2015, my major project has been to examine how family and domestic violence impact on the human rights of children. The findings of this project are detailed in Chapter 4.</w:t>
      </w:r>
    </w:p>
    <w:p w14:paraId="1DA58F50" w14:textId="77777777" w:rsidR="00D94316" w:rsidRDefault="00D94316" w:rsidP="00354AA1">
      <w:pPr>
        <w:pStyle w:val="Heading2"/>
        <w:jc w:val="both"/>
      </w:pPr>
      <w:bookmarkStart w:id="17" w:name="_Toc430767452"/>
      <w:bookmarkStart w:id="18" w:name="_Toc432577302"/>
      <w:r w:rsidRPr="00D94316">
        <w:lastRenderedPageBreak/>
        <w:t>Opportunity to thrive</w:t>
      </w:r>
      <w:bookmarkEnd w:id="17"/>
      <w:bookmarkEnd w:id="18"/>
    </w:p>
    <w:p w14:paraId="7377B1FF" w14:textId="77777777" w:rsidR="00247959" w:rsidRDefault="00247959" w:rsidP="00354AA1">
      <w:pPr>
        <w:jc w:val="both"/>
      </w:pPr>
      <w:r>
        <w:t>The opportunity to thrive is another overarching theme that informs my work. This involves</w:t>
      </w:r>
      <w:r w:rsidRPr="00970985">
        <w:t xml:space="preserve"> </w:t>
      </w:r>
      <w:r>
        <w:t>promoting</w:t>
      </w:r>
      <w:r w:rsidRPr="00B01357">
        <w:t xml:space="preserve"> the health and wellbeing of all children</w:t>
      </w:r>
      <w:r>
        <w:t xml:space="preserve"> and young people</w:t>
      </w:r>
      <w:r w:rsidRPr="00B01357">
        <w:t xml:space="preserve"> in Australia</w:t>
      </w:r>
      <w:r>
        <w:t xml:space="preserve"> and in particular </w:t>
      </w:r>
      <w:r w:rsidRPr="00970985">
        <w:t xml:space="preserve">addressing the unequal life opportunities that exist for vulnerable groups of children and young people. </w:t>
      </w:r>
    </w:p>
    <w:p w14:paraId="51F47DD8" w14:textId="77777777" w:rsidR="00247959" w:rsidRDefault="00247959" w:rsidP="00354AA1">
      <w:pPr>
        <w:jc w:val="both"/>
      </w:pPr>
      <w:r>
        <w:t xml:space="preserve">Children who experience poverty, abuse, marginalisation and discrimination are the most likely to encounter barriers to realising their rights. </w:t>
      </w:r>
    </w:p>
    <w:p w14:paraId="2B8CAB33" w14:textId="77777777" w:rsidR="00247959" w:rsidRPr="00247959" w:rsidRDefault="00247959" w:rsidP="00354AA1">
      <w:pPr>
        <w:jc w:val="both"/>
      </w:pPr>
      <w:r>
        <w:t>In my work, I pay particular attention to promoting the rights of these children.</w:t>
      </w:r>
    </w:p>
    <w:p w14:paraId="4E90944D" w14:textId="77777777" w:rsidR="00D94316" w:rsidRDefault="00D94316" w:rsidP="00354AA1">
      <w:pPr>
        <w:pStyle w:val="Heading3"/>
        <w:jc w:val="both"/>
      </w:pPr>
      <w:bookmarkStart w:id="19" w:name="_Toc430767453"/>
      <w:r w:rsidRPr="00D94316">
        <w:t>Protecting the rights of children in need of care and protection</w:t>
      </w:r>
      <w:bookmarkEnd w:id="19"/>
    </w:p>
    <w:p w14:paraId="1B962079" w14:textId="233177E2" w:rsidR="00247959" w:rsidRDefault="00247959" w:rsidP="00354AA1">
      <w:pPr>
        <w:jc w:val="both"/>
      </w:pPr>
      <w:r w:rsidRPr="009228A5">
        <w:t xml:space="preserve">The latest information from </w:t>
      </w:r>
      <w:r>
        <w:t xml:space="preserve">the </w:t>
      </w:r>
      <w:r w:rsidRPr="009228A5">
        <w:t>A</w:t>
      </w:r>
      <w:r>
        <w:t xml:space="preserve">ustralian Institute of Health and Welfare </w:t>
      </w:r>
      <w:r w:rsidRPr="009228A5">
        <w:t xml:space="preserve">indicates that </w:t>
      </w:r>
      <w:r>
        <w:t>during 2013-</w:t>
      </w:r>
      <w:r w:rsidRPr="009228A5">
        <w:t xml:space="preserve">14, there were </w:t>
      </w:r>
      <w:r w:rsidRPr="00FA0A30">
        <w:t>51,539</w:t>
      </w:r>
      <w:r>
        <w:t xml:space="preserve"> </w:t>
      </w:r>
      <w:r w:rsidRPr="009228A5">
        <w:t xml:space="preserve">children </w:t>
      </w:r>
      <w:r>
        <w:t>in out-of-home care</w:t>
      </w:r>
      <w:r w:rsidRPr="009228A5">
        <w:t>.</w:t>
      </w:r>
      <w:r>
        <w:rPr>
          <w:rStyle w:val="EndnoteReference"/>
        </w:rPr>
        <w:endnoteReference w:id="12"/>
      </w:r>
      <w:r w:rsidRPr="009228A5">
        <w:t xml:space="preserve"> </w:t>
      </w:r>
      <w:r>
        <w:t>Nationally, the rate of children in out-of-home care rose from 7.1 per 1,000 children in 2010 to 8.1 per 1,000</w:t>
      </w:r>
      <w:r w:rsidRPr="00D45F33">
        <w:t xml:space="preserve"> </w:t>
      </w:r>
      <w:r>
        <w:t>children in 2014.</w:t>
      </w:r>
      <w:r>
        <w:rPr>
          <w:rStyle w:val="EndnoteReference"/>
        </w:rPr>
        <w:endnoteReference w:id="13"/>
      </w:r>
    </w:p>
    <w:p w14:paraId="696874E8" w14:textId="77777777" w:rsidR="00247959" w:rsidRPr="009228A5" w:rsidRDefault="00247959" w:rsidP="00354AA1">
      <w:pPr>
        <w:jc w:val="both"/>
      </w:pPr>
      <w:r>
        <w:t xml:space="preserve">The number of children who were the subject of substantiated reports of child abuse or neglect has also increased over time. In 2013-14, </w:t>
      </w:r>
      <w:r w:rsidRPr="004E4C53">
        <w:t xml:space="preserve">40,844 </w:t>
      </w:r>
      <w:r>
        <w:t>children were the subjects of substantiated reports, an increase of 31% from 31,295 in 2009-10.</w:t>
      </w:r>
      <w:r>
        <w:rPr>
          <w:rStyle w:val="EndnoteReference"/>
        </w:rPr>
        <w:endnoteReference w:id="14"/>
      </w:r>
    </w:p>
    <w:p w14:paraId="6759D5E6" w14:textId="3FF1A718" w:rsidR="00247959" w:rsidRPr="009228A5" w:rsidRDefault="00247959" w:rsidP="00354AA1">
      <w:pPr>
        <w:jc w:val="both"/>
      </w:pPr>
      <w:r w:rsidRPr="009228A5">
        <w:t>As well as the difficult, often traumatic, circumstances that lead to children</w:t>
      </w:r>
      <w:r>
        <w:t xml:space="preserve"> and young people</w:t>
      </w:r>
      <w:r w:rsidRPr="009228A5">
        <w:t xml:space="preserve"> being removed from their families, </w:t>
      </w:r>
      <w:r>
        <w:t xml:space="preserve">many </w:t>
      </w:r>
      <w:r w:rsidRPr="009228A5">
        <w:t xml:space="preserve">children </w:t>
      </w:r>
      <w:r>
        <w:t xml:space="preserve">and young people </w:t>
      </w:r>
      <w:r w:rsidRPr="009228A5">
        <w:t xml:space="preserve">in out-of-home care also </w:t>
      </w:r>
      <w:r>
        <w:t>experience</w:t>
      </w:r>
      <w:r w:rsidRPr="009228A5">
        <w:t xml:space="preserve"> poorer life outcomes</w:t>
      </w:r>
      <w:r>
        <w:t xml:space="preserve"> than other children and young people, particularly</w:t>
      </w:r>
      <w:r w:rsidRPr="009228A5">
        <w:t xml:space="preserve"> in the areas of health, education and employment.</w:t>
      </w:r>
      <w:r>
        <w:rPr>
          <w:rStyle w:val="EndnoteReference"/>
        </w:rPr>
        <w:endnoteReference w:id="15"/>
      </w:r>
    </w:p>
    <w:p w14:paraId="7C6FCECA" w14:textId="77777777" w:rsidR="00247959" w:rsidRDefault="00247959" w:rsidP="00354AA1">
      <w:pPr>
        <w:jc w:val="both"/>
      </w:pPr>
      <w:r w:rsidRPr="009228A5">
        <w:t>In 2012, in their concluding observations</w:t>
      </w:r>
      <w:r w:rsidRPr="00664D6A">
        <w:t xml:space="preserve"> </w:t>
      </w:r>
      <w:r>
        <w:t>of</w:t>
      </w:r>
      <w:r w:rsidRPr="009228A5">
        <w:t xml:space="preserve"> Australia's progress under the Convention on the Rights of the Child, the </w:t>
      </w:r>
      <w:r>
        <w:t xml:space="preserve">United Nations </w:t>
      </w:r>
      <w:r w:rsidRPr="009228A5">
        <w:t xml:space="preserve">Committee on the Rights of the Child strongly critiqued Australia’s performance in the area of out-of-home care. The </w:t>
      </w:r>
      <w:r>
        <w:t>C</w:t>
      </w:r>
      <w:r w:rsidRPr="009228A5">
        <w:t xml:space="preserve">ommittee </w:t>
      </w:r>
      <w:r>
        <w:t xml:space="preserve">specifically </w:t>
      </w:r>
      <w:r w:rsidRPr="009228A5">
        <w:t>raised concerns about the increasing number of children placed in care and the absence of data documenting the criteria and processes leading to these placements.</w:t>
      </w:r>
      <w:r>
        <w:rPr>
          <w:rStyle w:val="EndnoteReference"/>
        </w:rPr>
        <w:endnoteReference w:id="16"/>
      </w:r>
      <w:r w:rsidRPr="009228A5">
        <w:t xml:space="preserve"> It also recommended measures to strengthen programs for family support by targeting the most vulnerable families.</w:t>
      </w:r>
      <w:r>
        <w:rPr>
          <w:rStyle w:val="EndnoteReference"/>
        </w:rPr>
        <w:endnoteReference w:id="17"/>
      </w:r>
    </w:p>
    <w:p w14:paraId="685D0D59" w14:textId="77777777" w:rsidR="00247959" w:rsidRPr="00247959" w:rsidRDefault="00247959" w:rsidP="00354AA1">
      <w:pPr>
        <w:spacing w:after="120"/>
        <w:jc w:val="both"/>
        <w:rPr>
          <w:b/>
        </w:rPr>
      </w:pPr>
      <w:r w:rsidRPr="00247959">
        <w:rPr>
          <w:b/>
        </w:rPr>
        <w:t>Membership of the National Forum for Protecting Australia’s Children under the National Framework for Protecting Australia’s Children</w:t>
      </w:r>
    </w:p>
    <w:p w14:paraId="54D5F3CF" w14:textId="6F57443C" w:rsidR="00247959" w:rsidRDefault="00247959" w:rsidP="00354AA1">
      <w:pPr>
        <w:jc w:val="both"/>
      </w:pPr>
      <w:r w:rsidRPr="009228A5">
        <w:t xml:space="preserve">Much of the </w:t>
      </w:r>
      <w:r>
        <w:t xml:space="preserve">national </w:t>
      </w:r>
      <w:r w:rsidRPr="009228A5">
        <w:t xml:space="preserve">work </w:t>
      </w:r>
      <w:r>
        <w:t xml:space="preserve">relating to improving </w:t>
      </w:r>
      <w:r w:rsidRPr="009228A5">
        <w:t xml:space="preserve">out-of-home care is </w:t>
      </w:r>
      <w:r>
        <w:t>being completed</w:t>
      </w:r>
      <w:r w:rsidRPr="009228A5">
        <w:t xml:space="preserve"> under the remit of the National Framework</w:t>
      </w:r>
      <w:r>
        <w:t xml:space="preserve">. </w:t>
      </w:r>
    </w:p>
    <w:p w14:paraId="2EF73C4B" w14:textId="77777777" w:rsidR="00247959" w:rsidRDefault="00247959" w:rsidP="00354AA1">
      <w:pPr>
        <w:jc w:val="both"/>
      </w:pPr>
      <w:r>
        <w:t>As</w:t>
      </w:r>
      <w:r w:rsidRPr="00783F7F">
        <w:t xml:space="preserve"> a member of the </w:t>
      </w:r>
      <w:r w:rsidRPr="007C62D6">
        <w:t>National Forum for Protecting Australia’s Children</w:t>
      </w:r>
      <w:r>
        <w:t>, I am an active advocate for children and young people involved with care and protection systems. My work with the Department of Social Services in directly seeking the views of children and young people with an out-of-home care experience in the development of the Third Action Plan associated with the National Framework is detailed earlier in this chapter.</w:t>
      </w:r>
    </w:p>
    <w:p w14:paraId="5DD0D8E5" w14:textId="77777777" w:rsidR="00247959" w:rsidRPr="00247959" w:rsidRDefault="00247959" w:rsidP="00354AA1">
      <w:pPr>
        <w:spacing w:after="120"/>
        <w:jc w:val="both"/>
        <w:rPr>
          <w:b/>
        </w:rPr>
      </w:pPr>
      <w:r w:rsidRPr="00247959">
        <w:rPr>
          <w:b/>
        </w:rPr>
        <w:t>Senate Community Affairs References Committee inquiry into out-of-home care</w:t>
      </w:r>
    </w:p>
    <w:p w14:paraId="301DA641" w14:textId="77777777" w:rsidR="00247959" w:rsidRPr="009228A5" w:rsidRDefault="00247959" w:rsidP="00354AA1">
      <w:pPr>
        <w:jc w:val="both"/>
      </w:pPr>
      <w:r>
        <w:lastRenderedPageBreak/>
        <w:t xml:space="preserve">In February 2015, </w:t>
      </w:r>
      <w:r w:rsidRPr="009228A5">
        <w:t>I appeared and gave evidence at a public hearing of the</w:t>
      </w:r>
      <w:r>
        <w:t xml:space="preserve"> </w:t>
      </w:r>
      <w:r w:rsidRPr="004B7714">
        <w:t>Senate Community Affairs References Committee inquiry into out-of-home care. The</w:t>
      </w:r>
      <w:r w:rsidRPr="000A4002">
        <w:t xml:space="preserve"> focus of this inquiry was </w:t>
      </w:r>
      <w:r>
        <w:t>to look at the reasons behind</w:t>
      </w:r>
      <w:r w:rsidRPr="009228A5">
        <w:t xml:space="preserve"> increasing numbers of children </w:t>
      </w:r>
      <w:r>
        <w:t xml:space="preserve">being </w:t>
      </w:r>
      <w:r w:rsidRPr="009228A5">
        <w:t>placed in</w:t>
      </w:r>
      <w:r>
        <w:t>to</w:t>
      </w:r>
      <w:r w:rsidRPr="009228A5">
        <w:t xml:space="preserve"> out-of-home care</w:t>
      </w:r>
      <w:r>
        <w:t xml:space="preserve">; </w:t>
      </w:r>
      <w:r w:rsidRPr="009228A5">
        <w:t>outcomes for children in out-of-home care</w:t>
      </w:r>
      <w:r>
        <w:t>;</w:t>
      </w:r>
      <w:r w:rsidRPr="009228A5">
        <w:t xml:space="preserve"> ways of improving the current models and practices in out-of-home care</w:t>
      </w:r>
      <w:r>
        <w:t>; and opportunities for early intervention</w:t>
      </w:r>
      <w:r w:rsidRPr="009228A5">
        <w:t xml:space="preserve">. </w:t>
      </w:r>
    </w:p>
    <w:p w14:paraId="7C7FD604" w14:textId="77777777" w:rsidR="00247959" w:rsidRDefault="00247959" w:rsidP="00354AA1">
      <w:pPr>
        <w:jc w:val="both"/>
      </w:pPr>
      <w:r>
        <w:t xml:space="preserve">In giving evidence, I drew attention to the lack of permanency, stability and high quality support for many children in out-of-home care and </w:t>
      </w:r>
      <w:r w:rsidRPr="009228A5">
        <w:t xml:space="preserve">the need for more </w:t>
      </w:r>
      <w:r w:rsidRPr="000A4002">
        <w:t>effective early intervention and prevention programs</w:t>
      </w:r>
      <w:r>
        <w:t xml:space="preserve">. </w:t>
      </w:r>
      <w:r w:rsidRPr="009228A5">
        <w:t>Since</w:t>
      </w:r>
      <w:r w:rsidRPr="009228A5">
        <w:rPr>
          <w:b/>
        </w:rPr>
        <w:t xml:space="preserve"> </w:t>
      </w:r>
      <w:r w:rsidRPr="009228A5">
        <w:t>my first report to Parliament in 2013</w:t>
      </w:r>
      <w:r>
        <w:t>,</w:t>
      </w:r>
      <w:r w:rsidRPr="009228A5">
        <w:t xml:space="preserve"> I have consistently drawn attention to the lack of </w:t>
      </w:r>
      <w:r>
        <w:t xml:space="preserve">evidence-based </w:t>
      </w:r>
      <w:r w:rsidRPr="009228A5">
        <w:t>early intervention services for vulnerable families</w:t>
      </w:r>
      <w:r>
        <w:t xml:space="preserve"> across the country</w:t>
      </w:r>
      <w:r w:rsidRPr="009228A5">
        <w:t xml:space="preserve">. </w:t>
      </w:r>
    </w:p>
    <w:p w14:paraId="01E1B4B3" w14:textId="390BFD14" w:rsidR="00042C8A" w:rsidRDefault="00042C8A" w:rsidP="00354AA1">
      <w:pPr>
        <w:jc w:val="both"/>
      </w:pPr>
      <w:r>
        <w:t>Building and supporting safe, resilient families where children can grow and thrive is fundamental to ensuring children’s rights are upheld. It will also stem further growth of out-of-home care and interrupt the cycle of intergenerational disadvantage.</w:t>
      </w:r>
    </w:p>
    <w:p w14:paraId="3B89237A" w14:textId="7C9FB29C" w:rsidR="00247959" w:rsidRDefault="00247959" w:rsidP="00354AA1">
      <w:pPr>
        <w:jc w:val="both"/>
      </w:pPr>
      <w:r>
        <w:t xml:space="preserve">The </w:t>
      </w:r>
      <w:r w:rsidR="00042C8A">
        <w:t xml:space="preserve">Senate </w:t>
      </w:r>
      <w:r w:rsidR="007E63C4">
        <w:t>C</w:t>
      </w:r>
      <w:r>
        <w:t xml:space="preserve">ommittee released its final report in August </w:t>
      </w:r>
      <w:r w:rsidR="00042C8A">
        <w:t>2015</w:t>
      </w:r>
      <w:r>
        <w:rPr>
          <w:rStyle w:val="EndnoteReference"/>
        </w:rPr>
        <w:endnoteReference w:id="18"/>
      </w:r>
      <w:r w:rsidR="00CA4B7A">
        <w:t xml:space="preserve"> and</w:t>
      </w:r>
      <w:r>
        <w:t xml:space="preserve"> I am very pleased </w:t>
      </w:r>
      <w:r w:rsidR="00CA4B7A">
        <w:t>its</w:t>
      </w:r>
      <w:r>
        <w:t xml:space="preserve"> findings and recommendations seek to promote a child-centred approach to out-of-home care in Australia. </w:t>
      </w:r>
    </w:p>
    <w:p w14:paraId="1722CD19" w14:textId="77777777" w:rsidR="00247959" w:rsidRPr="00247959" w:rsidRDefault="00247959" w:rsidP="00354AA1">
      <w:pPr>
        <w:spacing w:after="120"/>
        <w:jc w:val="both"/>
        <w:rPr>
          <w:b/>
        </w:rPr>
      </w:pPr>
      <w:r w:rsidRPr="00247959">
        <w:rPr>
          <w:b/>
        </w:rPr>
        <w:t>The Royal Commission into Institutional Responses to Child Sexual Abuse</w:t>
      </w:r>
    </w:p>
    <w:p w14:paraId="2D230064" w14:textId="77777777" w:rsidR="00247959" w:rsidRPr="009228A5" w:rsidRDefault="00247959" w:rsidP="00354AA1">
      <w:pPr>
        <w:jc w:val="both"/>
      </w:pPr>
      <w:r w:rsidRPr="002C4F5E">
        <w:t>The Royal Commission into Institutional Responses to Child Sexual Abuse (the Royal Commission)</w:t>
      </w:r>
      <w:r w:rsidRPr="009228A5">
        <w:t xml:space="preserve"> was </w:t>
      </w:r>
      <w:r>
        <w:t>established in 2012</w:t>
      </w:r>
      <w:r w:rsidRPr="009228A5">
        <w:t xml:space="preserve"> to investigate</w:t>
      </w:r>
      <w:r>
        <w:t xml:space="preserve"> the</w:t>
      </w:r>
      <w:r w:rsidRPr="009228A5">
        <w:t xml:space="preserve"> sexual abuse of ch</w:t>
      </w:r>
      <w:r>
        <w:t xml:space="preserve">ildren within private, public and non-government institutions. </w:t>
      </w:r>
    </w:p>
    <w:p w14:paraId="32D2BAAB" w14:textId="77777777" w:rsidR="00247959" w:rsidRPr="009228A5" w:rsidRDefault="00247959" w:rsidP="00354AA1">
      <w:pPr>
        <w:jc w:val="both"/>
      </w:pPr>
      <w:r w:rsidRPr="009228A5">
        <w:t xml:space="preserve">In July this year, I appeared before the Royal Commission </w:t>
      </w:r>
      <w:r>
        <w:t>as part of its</w:t>
      </w:r>
      <w:r w:rsidRPr="009228A5">
        <w:t xml:space="preserve"> inquiry into preventing child sexual abuse in out-of-home care.</w:t>
      </w:r>
    </w:p>
    <w:p w14:paraId="595010C1" w14:textId="77777777" w:rsidR="00247959" w:rsidRDefault="00247959" w:rsidP="00354AA1">
      <w:pPr>
        <w:jc w:val="both"/>
      </w:pPr>
      <w:r w:rsidRPr="009228A5">
        <w:t>At this appearance, I stressed the need for an enhanced evidence base through improved data collection</w:t>
      </w:r>
      <w:r w:rsidRPr="00814BC9">
        <w:t>.</w:t>
      </w:r>
      <w:r w:rsidRPr="006F56B5">
        <w:t xml:space="preserve"> </w:t>
      </w:r>
    </w:p>
    <w:p w14:paraId="6F9FA5C2" w14:textId="444F1DD9" w:rsidR="00247959" w:rsidRDefault="00247959" w:rsidP="00354AA1">
      <w:pPr>
        <w:jc w:val="both"/>
      </w:pPr>
      <w:r w:rsidRPr="009228A5">
        <w:t>In order to address the root causes of child abuse and neglect, there is a critical need for more comprehensive and standardised systems for t</w:t>
      </w:r>
      <w:r w:rsidR="009E4CF0">
        <w:t>he collection of national data.</w:t>
      </w:r>
    </w:p>
    <w:p w14:paraId="5AA70806" w14:textId="20EA6391" w:rsidR="00247959" w:rsidRPr="009228A5" w:rsidRDefault="00247959" w:rsidP="00354AA1">
      <w:pPr>
        <w:jc w:val="both"/>
        <w:rPr>
          <w:vertAlign w:val="superscript"/>
        </w:rPr>
      </w:pPr>
      <w:r>
        <w:t>While</w:t>
      </w:r>
      <w:r w:rsidRPr="009228A5">
        <w:t xml:space="preserve"> there is some </w:t>
      </w:r>
      <w:r>
        <w:t>information</w:t>
      </w:r>
      <w:r w:rsidRPr="009228A5">
        <w:t xml:space="preserve"> on </w:t>
      </w:r>
      <w:r>
        <w:t>reports</w:t>
      </w:r>
      <w:r w:rsidRPr="009228A5">
        <w:t xml:space="preserve"> of children </w:t>
      </w:r>
      <w:r>
        <w:t xml:space="preserve">abused </w:t>
      </w:r>
      <w:r w:rsidRPr="009228A5">
        <w:t xml:space="preserve">in out-of-home care, data collection practices </w:t>
      </w:r>
      <w:r>
        <w:t xml:space="preserve">differ </w:t>
      </w:r>
      <w:r w:rsidRPr="009228A5">
        <w:t>across the state and territory jurisdictions.</w:t>
      </w:r>
      <w:r w:rsidRPr="007E63C4">
        <w:rPr>
          <w:sz w:val="20"/>
          <w:szCs w:val="20"/>
          <w:vertAlign w:val="superscript"/>
        </w:rPr>
        <w:endnoteReference w:id="19"/>
      </w:r>
    </w:p>
    <w:p w14:paraId="54EBB475" w14:textId="77777777" w:rsidR="00247959" w:rsidRPr="00A34DC5" w:rsidRDefault="00247959" w:rsidP="00354AA1">
      <w:pPr>
        <w:jc w:val="both"/>
      </w:pPr>
      <w:r w:rsidRPr="009228A5">
        <w:t xml:space="preserve">I also highlighted to the Royal Commission the importance of </w:t>
      </w:r>
      <w:r w:rsidRPr="004B7714">
        <w:t>strengthened oversight mechanisms to enhance accountability. Greater efforts sh</w:t>
      </w:r>
      <w:r>
        <w:t>ould</w:t>
      </w:r>
      <w:r w:rsidRPr="009228A5">
        <w:t xml:space="preserve"> be made to develop child-centred oversight systems within out-of-h</w:t>
      </w:r>
      <w:r>
        <w:t>ome care,</w:t>
      </w:r>
      <w:r w:rsidRPr="009228A5">
        <w:t xml:space="preserve"> </w:t>
      </w:r>
      <w:r>
        <w:t xml:space="preserve">including </w:t>
      </w:r>
      <w:r w:rsidRPr="009228A5">
        <w:t>external monitoring and child-f</w:t>
      </w:r>
      <w:r>
        <w:t xml:space="preserve">riendly complaints mechanisms. </w:t>
      </w:r>
    </w:p>
    <w:p w14:paraId="7176C404" w14:textId="77777777" w:rsidR="00247959" w:rsidRDefault="00247959" w:rsidP="00354AA1">
      <w:pPr>
        <w:jc w:val="both"/>
      </w:pPr>
      <w:r>
        <w:t xml:space="preserve">In addition, the Royal Commission consulted with me in private sessions </w:t>
      </w:r>
      <w:r w:rsidRPr="009228A5">
        <w:t>on ways to improve working with children checks</w:t>
      </w:r>
      <w:r>
        <w:t xml:space="preserve"> to deliver greater consistency across jurisdictions</w:t>
      </w:r>
      <w:r w:rsidRPr="009228A5">
        <w:t>. The Royal Commission’s report</w:t>
      </w:r>
      <w:r>
        <w:t xml:space="preserve"> </w:t>
      </w:r>
      <w:r w:rsidRPr="009228A5">
        <w:t>on this issue was publically released in August 2015</w:t>
      </w:r>
      <w:r>
        <w:t xml:space="preserve"> and made 36 recommendations.</w:t>
      </w:r>
      <w:r>
        <w:rPr>
          <w:rStyle w:val="EndnoteReference"/>
        </w:rPr>
        <w:endnoteReference w:id="20"/>
      </w:r>
    </w:p>
    <w:p w14:paraId="744AD3A6" w14:textId="77777777" w:rsidR="00247959" w:rsidRPr="00442634" w:rsidRDefault="00247959" w:rsidP="00354AA1">
      <w:pPr>
        <w:spacing w:after="120"/>
        <w:jc w:val="both"/>
        <w:rPr>
          <w:b/>
        </w:rPr>
      </w:pPr>
      <w:r w:rsidRPr="00442634">
        <w:rPr>
          <w:b/>
        </w:rPr>
        <w:t xml:space="preserve">Identity documents for children and young people in out-of-home care </w:t>
      </w:r>
    </w:p>
    <w:p w14:paraId="75A66D6E" w14:textId="77777777" w:rsidR="00247959" w:rsidRDefault="00247959" w:rsidP="00354AA1">
      <w:pPr>
        <w:jc w:val="both"/>
      </w:pPr>
      <w:r w:rsidRPr="00823037">
        <w:lastRenderedPageBreak/>
        <w:t xml:space="preserve">Foster </w:t>
      </w:r>
      <w:r>
        <w:t xml:space="preserve">and kinship </w:t>
      </w:r>
      <w:r w:rsidRPr="00823037">
        <w:t xml:space="preserve">carers often experience difficulties in </w:t>
      </w:r>
      <w:r>
        <w:t>obtain</w:t>
      </w:r>
      <w:r w:rsidRPr="00823037">
        <w:t>ing timely access to identity documents</w:t>
      </w:r>
      <w:r>
        <w:t xml:space="preserve">, such as Medicare cards and passports, </w:t>
      </w:r>
      <w:r w:rsidRPr="00823037">
        <w:t>for the children and young people in their care.</w:t>
      </w:r>
      <w:r>
        <w:t xml:space="preserve"> </w:t>
      </w:r>
    </w:p>
    <w:p w14:paraId="0CC104FB" w14:textId="77777777" w:rsidR="00247959" w:rsidRDefault="00247959" w:rsidP="00354AA1">
      <w:pPr>
        <w:jc w:val="both"/>
      </w:pPr>
      <w:r>
        <w:t>Aboriginal and Torres Strait Islander children and young people can face additional hurdles with different Commonwealth agencies requiring different sets of documents as proof of identity.</w:t>
      </w:r>
      <w:r w:rsidRPr="00823037">
        <w:t xml:space="preserve"> </w:t>
      </w:r>
    </w:p>
    <w:p w14:paraId="63E8D9F0" w14:textId="7DFFFEFE" w:rsidR="00247959" w:rsidRDefault="00247959" w:rsidP="00354AA1">
      <w:pPr>
        <w:jc w:val="both"/>
      </w:pPr>
      <w:r>
        <w:t>T</w:t>
      </w:r>
      <w:r w:rsidRPr="009228A5">
        <w:t xml:space="preserve">he differential treatment </w:t>
      </w:r>
      <w:r>
        <w:t>created by the</w:t>
      </w:r>
      <w:r w:rsidRPr="009228A5">
        <w:t xml:space="preserve"> lack of identity documents significantly </w:t>
      </w:r>
      <w:r w:rsidR="0086587F">
        <w:t>a</w:t>
      </w:r>
      <w:r>
        <w:t xml:space="preserve">ffects a child’s </w:t>
      </w:r>
      <w:r w:rsidRPr="009228A5">
        <w:t>sense of identity and belonging</w:t>
      </w:r>
      <w:r>
        <w:t>;</w:t>
      </w:r>
      <w:r w:rsidRPr="009228A5">
        <w:t xml:space="preserve"> and the quality of their relationships with their carers. </w:t>
      </w:r>
    </w:p>
    <w:p w14:paraId="76FDB456" w14:textId="77777777" w:rsidR="00247959" w:rsidRDefault="00247959" w:rsidP="00354AA1">
      <w:pPr>
        <w:jc w:val="both"/>
      </w:pPr>
      <w:r>
        <w:t xml:space="preserve">It may also impact on </w:t>
      </w:r>
      <w:r w:rsidRPr="009228A5">
        <w:t>accessing healt</w:t>
      </w:r>
      <w:r>
        <w:t>h services through Medicare, enrolling in school</w:t>
      </w:r>
      <w:r w:rsidRPr="009228A5">
        <w:t>, undertaking international travel and missing out on other important opportunities.</w:t>
      </w:r>
    </w:p>
    <w:p w14:paraId="7DFC3383" w14:textId="77777777" w:rsidR="00247959" w:rsidRPr="009228A5" w:rsidRDefault="00247959" w:rsidP="00354AA1">
      <w:pPr>
        <w:jc w:val="both"/>
      </w:pPr>
      <w:r>
        <w:t>Article 8 in</w:t>
      </w:r>
      <w:r w:rsidRPr="009228A5">
        <w:t xml:space="preserve"> the Convent</w:t>
      </w:r>
      <w:r>
        <w:t>ion on the Rights of the Child</w:t>
      </w:r>
      <w:r w:rsidRPr="009228A5">
        <w:t xml:space="preserve"> </w:t>
      </w:r>
      <w:r>
        <w:t xml:space="preserve">states: </w:t>
      </w:r>
    </w:p>
    <w:p w14:paraId="4F511490" w14:textId="46B7B1B7" w:rsidR="00247959" w:rsidRPr="005E188A" w:rsidRDefault="000B25CA" w:rsidP="00354AA1">
      <w:pPr>
        <w:ind w:left="720"/>
        <w:jc w:val="both"/>
        <w:rPr>
          <w:sz w:val="22"/>
          <w:szCs w:val="20"/>
        </w:rPr>
      </w:pPr>
      <w:r>
        <w:rPr>
          <w:sz w:val="22"/>
          <w:szCs w:val="20"/>
        </w:rPr>
        <w:t>w</w:t>
      </w:r>
      <w:r w:rsidR="00247959" w:rsidRPr="005E188A">
        <w:rPr>
          <w:sz w:val="22"/>
          <w:szCs w:val="20"/>
        </w:rPr>
        <w:t>here a child is illegally deprived of some or all of the elements of his or her identity, States Parties shall provide appropriate assistance and protection, with a view to re-establishing speedily his or her identity.</w:t>
      </w:r>
      <w:r w:rsidR="00247959" w:rsidRPr="005E188A">
        <w:rPr>
          <w:rStyle w:val="EndnoteReference"/>
          <w:sz w:val="22"/>
          <w:szCs w:val="20"/>
        </w:rPr>
        <w:endnoteReference w:id="21"/>
      </w:r>
    </w:p>
    <w:p w14:paraId="748EA868" w14:textId="53ED69E4" w:rsidR="00247959" w:rsidRPr="0099744E" w:rsidRDefault="00247959" w:rsidP="00354AA1">
      <w:pPr>
        <w:jc w:val="both"/>
        <w:rPr>
          <w:b/>
        </w:rPr>
      </w:pPr>
      <w:r w:rsidRPr="009228A5">
        <w:t xml:space="preserve">As part of my advocacy on this </w:t>
      </w:r>
      <w:r>
        <w:t>matter</w:t>
      </w:r>
      <w:r w:rsidRPr="009228A5">
        <w:t xml:space="preserve"> I have written to both the Minister for Social Services and the Chair of Senate Community Affairs References Committee, encouraging both the Minister and the Senate Committee to take active steps to ameliorate this issue.</w:t>
      </w:r>
      <w:r>
        <w:t xml:space="preserve"> </w:t>
      </w:r>
      <w:r w:rsidR="0086587F">
        <w:t xml:space="preserve">Children’s </w:t>
      </w:r>
      <w:r>
        <w:t>Commissioner</w:t>
      </w:r>
      <w:r w:rsidR="0086587F">
        <w:t>s</w:t>
      </w:r>
      <w:r>
        <w:t>, Guardians and Advocates at the state and territory level are also working within their jurisdictions to ensure children in out-of-home care have improved access to identity documents.</w:t>
      </w:r>
    </w:p>
    <w:p w14:paraId="1FDFA4A8" w14:textId="77777777" w:rsidR="00247959" w:rsidRPr="00442634" w:rsidRDefault="00247959" w:rsidP="00354AA1">
      <w:pPr>
        <w:spacing w:after="120"/>
        <w:jc w:val="both"/>
        <w:rPr>
          <w:b/>
        </w:rPr>
      </w:pPr>
      <w:r w:rsidRPr="00442634">
        <w:rPr>
          <w:b/>
        </w:rPr>
        <w:t>Rights of children and young people in the justice system</w:t>
      </w:r>
    </w:p>
    <w:p w14:paraId="61BC72B5" w14:textId="28F7E028" w:rsidR="00247959" w:rsidRDefault="00247959" w:rsidP="00354AA1">
      <w:pPr>
        <w:jc w:val="both"/>
      </w:pPr>
      <w:r>
        <w:t>During 2014-15, as part of the collective work of the Australian Commissioners and Guardians Group (AC</w:t>
      </w:r>
      <w:r w:rsidR="000A239E">
        <w:t>G</w:t>
      </w:r>
      <w:r>
        <w:t>G), a model charter of rights for children and young people in the justice system</w:t>
      </w:r>
      <w:r w:rsidRPr="0040393A">
        <w:t xml:space="preserve"> </w:t>
      </w:r>
      <w:r>
        <w:t>was developed.</w:t>
      </w:r>
      <w:r>
        <w:rPr>
          <w:rStyle w:val="EndnoteReference"/>
        </w:rPr>
        <w:endnoteReference w:id="22"/>
      </w:r>
      <w:r>
        <w:t xml:space="preserve"> </w:t>
      </w:r>
    </w:p>
    <w:p w14:paraId="15897401" w14:textId="78410545" w:rsidR="00247959" w:rsidRDefault="00247959" w:rsidP="00354AA1">
      <w:pPr>
        <w:jc w:val="both"/>
      </w:pPr>
      <w:r>
        <w:t>At the May 2015 meeting of the AC</w:t>
      </w:r>
      <w:r w:rsidR="000A239E">
        <w:t>G</w:t>
      </w:r>
      <w:r>
        <w:t>G, state and terri</w:t>
      </w:r>
      <w:r w:rsidR="0086587F">
        <w:t xml:space="preserve">tory Children’s Commissioners, </w:t>
      </w:r>
      <w:r>
        <w:t xml:space="preserve">Guardians </w:t>
      </w:r>
      <w:r w:rsidR="0086587F">
        <w:t xml:space="preserve">and Advocates </w:t>
      </w:r>
      <w:r>
        <w:t>updated each other on actions taken within their jurisdictions to implement the charter. The AC</w:t>
      </w:r>
      <w:r w:rsidR="000A239E">
        <w:t>G</w:t>
      </w:r>
      <w:r>
        <w:t>G will continue to monitor implementation of, and compliance with, the charter.</w:t>
      </w:r>
    </w:p>
    <w:p w14:paraId="55341391" w14:textId="77777777" w:rsidR="00D94316" w:rsidRDefault="00D94316" w:rsidP="00354AA1">
      <w:pPr>
        <w:pStyle w:val="Heading3"/>
        <w:jc w:val="both"/>
      </w:pPr>
      <w:bookmarkStart w:id="20" w:name="_Toc430767454"/>
      <w:r w:rsidRPr="00D94316">
        <w:t>Promoting the rights of Aboriginal and Torres Strait Islander children and young people in the National Framework</w:t>
      </w:r>
      <w:bookmarkEnd w:id="20"/>
    </w:p>
    <w:p w14:paraId="49DF8D46" w14:textId="002BB522" w:rsidR="00442634" w:rsidRDefault="00442634" w:rsidP="00354AA1">
      <w:pPr>
        <w:jc w:val="both"/>
      </w:pPr>
      <w:r w:rsidRPr="009228A5">
        <w:t xml:space="preserve">In the 2012 review of Australia's progress under the Convention on the Rights of the Child, the United Nations Committee on the Rights of the Child raised numerous concerns about the situation of Aboriginal and Torres Strait Islander children in Australia. The </w:t>
      </w:r>
      <w:r w:rsidR="000B25CA">
        <w:t>C</w:t>
      </w:r>
      <w:r w:rsidRPr="009228A5">
        <w:t>ommittee noted</w:t>
      </w:r>
      <w:r>
        <w:t>:</w:t>
      </w:r>
    </w:p>
    <w:p w14:paraId="203B89FA" w14:textId="238FFEC9" w:rsidR="00442634" w:rsidRPr="005E188A" w:rsidRDefault="000B25CA" w:rsidP="00354AA1">
      <w:pPr>
        <w:ind w:left="720"/>
        <w:jc w:val="both"/>
        <w:rPr>
          <w:sz w:val="22"/>
        </w:rPr>
      </w:pPr>
      <w:r>
        <w:rPr>
          <w:sz w:val="22"/>
        </w:rPr>
        <w:t>t</w:t>
      </w:r>
      <w:r w:rsidR="00442634" w:rsidRPr="005E188A">
        <w:rPr>
          <w:sz w:val="22"/>
        </w:rPr>
        <w:t>he serious and widespread discrimination faced by Aboriginal and Torres Strait Islander children, including in terms of provision of and accessibility to basic services and significant over-representation in the criminal justice system and in out-of-home care.</w:t>
      </w:r>
      <w:r w:rsidR="00442634" w:rsidRPr="005E188A">
        <w:rPr>
          <w:rStyle w:val="EndnoteReference"/>
          <w:sz w:val="22"/>
        </w:rPr>
        <w:endnoteReference w:id="23"/>
      </w:r>
    </w:p>
    <w:p w14:paraId="2729039A" w14:textId="604BF3FE" w:rsidR="00442634" w:rsidRPr="009228A5" w:rsidRDefault="00442634" w:rsidP="00354AA1">
      <w:pPr>
        <w:jc w:val="both"/>
      </w:pPr>
      <w:r w:rsidRPr="009228A5">
        <w:lastRenderedPageBreak/>
        <w:t>In the three years since the Committee made this comment, there has been a regrettable lack of progress in addressing the systemic disadvantage experienced by Aboriginal and Torres Strait Islander children</w:t>
      </w:r>
      <w:r>
        <w:t xml:space="preserve"> and young people</w:t>
      </w:r>
      <w:r w:rsidRPr="009228A5">
        <w:t xml:space="preserve">. In 2013-14, the incarceration rate for </w:t>
      </w:r>
      <w:r w:rsidR="000B25CA" w:rsidRPr="009228A5">
        <w:t>Aboriginal and Torres Strait Islander</w:t>
      </w:r>
      <w:r w:rsidRPr="009228A5">
        <w:t xml:space="preserve"> children </w:t>
      </w:r>
      <w:r>
        <w:t xml:space="preserve">and young people </w:t>
      </w:r>
      <w:r w:rsidRPr="009228A5">
        <w:t xml:space="preserve">aged 10–17 </w:t>
      </w:r>
      <w:r w:rsidR="00016638">
        <w:t xml:space="preserve">years </w:t>
      </w:r>
      <w:r w:rsidRPr="009228A5">
        <w:t>in the juvenile justice system was 24 times higher than non-Indigenous children</w:t>
      </w:r>
      <w:r>
        <w:t xml:space="preserve"> and young people</w:t>
      </w:r>
      <w:r w:rsidRPr="009228A5">
        <w:t>,</w:t>
      </w:r>
      <w:r w:rsidRPr="009228A5">
        <w:rPr>
          <w:rStyle w:val="EndnoteReference"/>
        </w:rPr>
        <w:endnoteReference w:id="24"/>
      </w:r>
      <w:r w:rsidRPr="009228A5">
        <w:t xml:space="preserve"> and Aboriginal and Torres</w:t>
      </w:r>
      <w:r>
        <w:t xml:space="preserve"> Strait Islander children and young people were </w:t>
      </w:r>
      <w:r w:rsidR="00107C87">
        <w:t>9</w:t>
      </w:r>
      <w:r w:rsidRPr="009228A5">
        <w:t xml:space="preserve"> times more likely than non-Indigenous children </w:t>
      </w:r>
      <w:r>
        <w:t xml:space="preserve">and young people </w:t>
      </w:r>
      <w:r w:rsidRPr="009228A5">
        <w:t>to be in out-of-home care.</w:t>
      </w:r>
      <w:r w:rsidRPr="009228A5">
        <w:rPr>
          <w:rStyle w:val="EndnoteReference"/>
        </w:rPr>
        <w:endnoteReference w:id="25"/>
      </w:r>
      <w:r w:rsidRPr="009228A5">
        <w:t xml:space="preserve"> </w:t>
      </w:r>
    </w:p>
    <w:p w14:paraId="6B7C053B" w14:textId="2FF43CD2" w:rsidR="00442634" w:rsidRPr="009228A5" w:rsidRDefault="00442634" w:rsidP="00354AA1">
      <w:pPr>
        <w:jc w:val="both"/>
      </w:pPr>
      <w:r>
        <w:t>This year, a</w:t>
      </w:r>
      <w:r w:rsidRPr="009228A5">
        <w:t>s part of my involvement in the development of the Third Action Plan for the National Framework</w:t>
      </w:r>
      <w:r>
        <w:t xml:space="preserve"> and in collaboration with the Department of Social Services</w:t>
      </w:r>
      <w:r w:rsidRPr="009228A5">
        <w:t xml:space="preserve">, I </w:t>
      </w:r>
      <w:r>
        <w:t>co-chaired</w:t>
      </w:r>
      <w:r w:rsidRPr="00627B56">
        <w:t xml:space="preserve"> </w:t>
      </w:r>
      <w:r w:rsidRPr="009228A5">
        <w:t>an Indigenous Roundtable</w:t>
      </w:r>
      <w:r>
        <w:t xml:space="preserve"> </w:t>
      </w:r>
      <w:r w:rsidRPr="009228A5">
        <w:t xml:space="preserve">with Commissioner Mick Gooda. The aim of this roundtable was to ensure that </w:t>
      </w:r>
      <w:r>
        <w:t xml:space="preserve">a broad range of </w:t>
      </w:r>
      <w:r w:rsidRPr="009228A5">
        <w:t>perspectives from Aboriginal and Torres Strait Islander representatives were incorporated into the formulation of the Third Action Plan.</w:t>
      </w:r>
    </w:p>
    <w:p w14:paraId="0FE1A3EB" w14:textId="77777777" w:rsidR="00442634" w:rsidRPr="009228A5" w:rsidRDefault="00442634" w:rsidP="00354AA1">
      <w:pPr>
        <w:jc w:val="both"/>
      </w:pPr>
      <w:r w:rsidRPr="009228A5">
        <w:t>The roundtable was held in Sydney in May 2015 and was attended by approximately 25 participants. A focal point for discussion at the roundtable was the alarming over-representation of Aboriginal and Torres Strait Islander children in the child protection system and the need for genuine and meaningful engagement with Aboriginal and Torres Strait Islander communities and families to address this.</w:t>
      </w:r>
    </w:p>
    <w:p w14:paraId="5E5A2F08" w14:textId="77777777" w:rsidR="00442634" w:rsidRPr="00442634" w:rsidRDefault="00442634" w:rsidP="00354AA1">
      <w:pPr>
        <w:jc w:val="both"/>
      </w:pPr>
      <w:r w:rsidRPr="009228A5">
        <w:t xml:space="preserve">Commissioner Gooda and I </w:t>
      </w:r>
      <w:r>
        <w:t xml:space="preserve">will </w:t>
      </w:r>
      <w:r w:rsidRPr="009228A5">
        <w:t xml:space="preserve">continue to </w:t>
      </w:r>
      <w:r>
        <w:t xml:space="preserve">work </w:t>
      </w:r>
      <w:r w:rsidRPr="009228A5">
        <w:t>with the Department of Social Services on ways to prioritise the rights and needs of Aboriginal and Torres Strait Islander children in the Third Action Plan for the National Framework.</w:t>
      </w:r>
    </w:p>
    <w:p w14:paraId="44CB3CBE" w14:textId="77777777" w:rsidR="00D94316" w:rsidRDefault="00D94316" w:rsidP="00354AA1">
      <w:pPr>
        <w:pStyle w:val="Heading2"/>
        <w:jc w:val="both"/>
      </w:pPr>
      <w:bookmarkStart w:id="21" w:name="_Toc430767455"/>
      <w:bookmarkStart w:id="22" w:name="_Toc432577303"/>
      <w:r w:rsidRPr="00D94316">
        <w:t>Engaged citizenship</w:t>
      </w:r>
      <w:bookmarkEnd w:id="21"/>
      <w:bookmarkEnd w:id="22"/>
    </w:p>
    <w:p w14:paraId="43E62202" w14:textId="77777777" w:rsidR="00442634" w:rsidRDefault="00442634" w:rsidP="00354AA1">
      <w:pPr>
        <w:jc w:val="both"/>
      </w:pPr>
      <w:r>
        <w:t xml:space="preserve">One of my statutory responsibilities is to </w:t>
      </w:r>
      <w:r w:rsidRPr="006863C3">
        <w:t xml:space="preserve">promote discussion and </w:t>
      </w:r>
      <w:r>
        <w:t xml:space="preserve">raise </w:t>
      </w:r>
      <w:r w:rsidRPr="006863C3">
        <w:t>awareness of matters relating to the human rights of children in Australia</w:t>
      </w:r>
      <w:r>
        <w:t>.</w:t>
      </w:r>
    </w:p>
    <w:p w14:paraId="6EB39086" w14:textId="77777777" w:rsidR="00442634" w:rsidRDefault="00442634" w:rsidP="00354AA1">
      <w:pPr>
        <w:jc w:val="both"/>
      </w:pPr>
      <w:r>
        <w:t>As well as raising awareness of children’s rights broadly in all the work that I do, I promote</w:t>
      </w:r>
      <w:r w:rsidRPr="001F172B">
        <w:t xml:space="preserve"> knowledge </w:t>
      </w:r>
      <w:r>
        <w:t xml:space="preserve">of children’s rights </w:t>
      </w:r>
      <w:r w:rsidRPr="008F3577">
        <w:t>amongst children and young people</w:t>
      </w:r>
      <w:r>
        <w:t xml:space="preserve"> through my engagement with schools and youth groups. </w:t>
      </w:r>
    </w:p>
    <w:p w14:paraId="79BC50CC" w14:textId="07FBAA7E" w:rsidR="00442634" w:rsidRPr="00442634" w:rsidRDefault="00442634" w:rsidP="00354AA1">
      <w:pPr>
        <w:jc w:val="both"/>
      </w:pPr>
      <w:r>
        <w:t>I also make presentations at conferences and forums, and prepare or contribute to submissions to government inquiries</w:t>
      </w:r>
      <w:r w:rsidR="002E7FD6">
        <w:t>,</w:t>
      </w:r>
      <w:r>
        <w:t xml:space="preserve"> which promote awareness of, respect for and the protection of children’s rights.</w:t>
      </w:r>
    </w:p>
    <w:p w14:paraId="4874A682" w14:textId="77777777" w:rsidR="00D94316" w:rsidRDefault="00D94316" w:rsidP="00354AA1">
      <w:pPr>
        <w:pStyle w:val="Heading3"/>
        <w:jc w:val="both"/>
      </w:pPr>
      <w:bookmarkStart w:id="23" w:name="_Toc430767456"/>
      <w:r w:rsidRPr="00D94316">
        <w:t>Co-presenting with a young person to Australian Public Service employees</w:t>
      </w:r>
      <w:bookmarkEnd w:id="23"/>
    </w:p>
    <w:p w14:paraId="3E24A191" w14:textId="77777777" w:rsidR="00442634" w:rsidRPr="00783F7F" w:rsidRDefault="00442634" w:rsidP="00354AA1">
      <w:pPr>
        <w:jc w:val="both"/>
      </w:pPr>
      <w:r w:rsidRPr="00783F7F">
        <w:t xml:space="preserve">In February 2015, I </w:t>
      </w:r>
      <w:r>
        <w:t xml:space="preserve">addressed </w:t>
      </w:r>
      <w:r w:rsidRPr="00783F7F">
        <w:t>Australian Public Service employees about the ways that the public service can champion children’s rights</w:t>
      </w:r>
      <w:r>
        <w:t>, as part of the broader program of human rights education offered by the Australian Human Rights Commission</w:t>
      </w:r>
      <w:r w:rsidRPr="00783F7F">
        <w:t xml:space="preserve">. </w:t>
      </w:r>
    </w:p>
    <w:p w14:paraId="1E571770" w14:textId="77777777" w:rsidR="00442634" w:rsidRPr="00783F7F" w:rsidRDefault="00442634" w:rsidP="00354AA1">
      <w:pPr>
        <w:jc w:val="both"/>
      </w:pPr>
      <w:r w:rsidRPr="00783F7F">
        <w:t>As part of this event, I invited a youth representative from the CREATE Foundation, the peak body representing children and young people living in out-of-home care</w:t>
      </w:r>
      <w:r>
        <w:t>,</w:t>
      </w:r>
      <w:r w:rsidRPr="00783F7F">
        <w:t xml:space="preserve"> to co-present with me.</w:t>
      </w:r>
      <w:r>
        <w:t xml:space="preserve"> </w:t>
      </w:r>
    </w:p>
    <w:p w14:paraId="0E2ADC69" w14:textId="1670F178" w:rsidR="00442634" w:rsidRPr="00783F7F" w:rsidRDefault="00442634" w:rsidP="00354AA1">
      <w:pPr>
        <w:jc w:val="both"/>
      </w:pPr>
      <w:r>
        <w:lastRenderedPageBreak/>
        <w:t>The young person spoke</w:t>
      </w:r>
      <w:r w:rsidRPr="00783F7F">
        <w:t xml:space="preserve"> about her interactions with government agencies and ways to improve government services to children. In particular she pointed out the importance of having people who are willing to perse</w:t>
      </w:r>
      <w:r w:rsidR="007036A3">
        <w:t>vere and listen to young people:</w:t>
      </w:r>
    </w:p>
    <w:p w14:paraId="1D566EE1" w14:textId="05EC346E" w:rsidR="00442634" w:rsidRPr="005E188A" w:rsidRDefault="00442634" w:rsidP="00354AA1">
      <w:pPr>
        <w:ind w:left="720"/>
        <w:jc w:val="both"/>
        <w:rPr>
          <w:sz w:val="22"/>
          <w:szCs w:val="22"/>
        </w:rPr>
      </w:pPr>
      <w:r w:rsidRPr="005E188A">
        <w:rPr>
          <w:sz w:val="22"/>
          <w:szCs w:val="22"/>
        </w:rPr>
        <w:t xml:space="preserve">It’s hard to have your voice heard. It’s hard for people to notice you. I was never really noticed until about a year ago. I think I want to help kids get noticed a lot earlier - so they can get the help they need at a much quicker rate. </w:t>
      </w:r>
    </w:p>
    <w:p w14:paraId="17E87333" w14:textId="09B0317A" w:rsidR="00442634" w:rsidRPr="00442634" w:rsidRDefault="00442634" w:rsidP="00354AA1">
      <w:pPr>
        <w:jc w:val="both"/>
      </w:pPr>
      <w:r w:rsidRPr="0099156C">
        <w:t>Dr Tim Moore, Senior</w:t>
      </w:r>
      <w:r>
        <w:t xml:space="preserve"> Research Fellow, Institute of Child Protection </w:t>
      </w:r>
      <w:r w:rsidRPr="0099156C">
        <w:t>Studies</w:t>
      </w:r>
      <w:r w:rsidR="00DA5F6B">
        <w:t>,</w:t>
      </w:r>
      <w:r w:rsidRPr="0099156C">
        <w:t xml:space="preserve"> </w:t>
      </w:r>
      <w:r>
        <w:t>and</w:t>
      </w:r>
      <w:r w:rsidRPr="0099156C">
        <w:t xml:space="preserve"> Phil Brown</w:t>
      </w:r>
      <w:r>
        <w:t>, Acting Group Manager, Families, Department of Social Services</w:t>
      </w:r>
      <w:r w:rsidR="00DA5F6B">
        <w:t>,</w:t>
      </w:r>
      <w:r>
        <w:t xml:space="preserve"> also </w:t>
      </w:r>
      <w:r w:rsidRPr="0099156C">
        <w:t>presented with us</w:t>
      </w:r>
      <w:r>
        <w:t xml:space="preserve"> and I would like to thank all three speakers for their valuable contributions.</w:t>
      </w:r>
    </w:p>
    <w:p w14:paraId="4B982D9D" w14:textId="77777777" w:rsidR="00D94316" w:rsidRDefault="00D94316" w:rsidP="00354AA1">
      <w:pPr>
        <w:pStyle w:val="Heading3"/>
        <w:jc w:val="both"/>
      </w:pPr>
      <w:bookmarkStart w:id="24" w:name="_Toc430767457"/>
      <w:r w:rsidRPr="00D94316">
        <w:t>Encouraging human rights education in schools</w:t>
      </w:r>
      <w:bookmarkEnd w:id="24"/>
    </w:p>
    <w:p w14:paraId="281AC1D2" w14:textId="505F872E" w:rsidR="00442634" w:rsidRPr="009228A5" w:rsidRDefault="00442634" w:rsidP="00354AA1">
      <w:pPr>
        <w:jc w:val="both"/>
      </w:pPr>
      <w:r w:rsidRPr="009228A5">
        <w:t>The importance of human rights education is recognised in a number of international human rights treaties, including the Convention on the Rights of the Child. In 2011, the U</w:t>
      </w:r>
      <w:r w:rsidR="00DA5F6B">
        <w:t xml:space="preserve">nited </w:t>
      </w:r>
      <w:r w:rsidRPr="009228A5">
        <w:t>N</w:t>
      </w:r>
      <w:r w:rsidR="00DA5F6B">
        <w:t>ations</w:t>
      </w:r>
      <w:r w:rsidRPr="009228A5">
        <w:t xml:space="preserve"> General Assembly adopted the Declaration on Human Rights Education and Training, a milestone declaration which affirmed that human rights education is both a right in itself, as well as a way of protecting human rights. </w:t>
      </w:r>
    </w:p>
    <w:p w14:paraId="258A4A57" w14:textId="77777777" w:rsidR="00442634" w:rsidRDefault="00442634" w:rsidP="00354AA1">
      <w:pPr>
        <w:jc w:val="both"/>
      </w:pPr>
      <w:r w:rsidRPr="009228A5">
        <w:t>Promoting awareness of and respect for human rights is one of the core functions of the Aust</w:t>
      </w:r>
      <w:r>
        <w:t xml:space="preserve">ralian Human Rights Commission. </w:t>
      </w:r>
    </w:p>
    <w:p w14:paraId="4552B629" w14:textId="77777777" w:rsidR="00442634" w:rsidRPr="009228A5" w:rsidRDefault="00442634" w:rsidP="00354AA1">
      <w:pPr>
        <w:jc w:val="both"/>
      </w:pPr>
      <w:r w:rsidRPr="009228A5">
        <w:t xml:space="preserve">The development and implementation of a national education curriculum in Australia has presented the </w:t>
      </w:r>
      <w:r>
        <w:t xml:space="preserve">Australian Human Rights </w:t>
      </w:r>
      <w:r w:rsidRPr="009228A5">
        <w:t>Commission with an important opport</w:t>
      </w:r>
      <w:r>
        <w:t>unity to create targeted school education resources to help</w:t>
      </w:r>
      <w:r w:rsidRPr="009228A5">
        <w:t xml:space="preserve"> children and young people build a critical understanding of human rights and responsibilities, and develop the attitudes, behaviours and skills to apply human rights in everyday life.</w:t>
      </w:r>
    </w:p>
    <w:p w14:paraId="11231279" w14:textId="77777777" w:rsidR="00442634" w:rsidRPr="009228A5" w:rsidRDefault="00442634" w:rsidP="00354AA1">
      <w:pPr>
        <w:jc w:val="both"/>
      </w:pPr>
      <w:r w:rsidRPr="009228A5">
        <w:t xml:space="preserve">In December 2014, the </w:t>
      </w:r>
      <w:r>
        <w:t xml:space="preserve">Australian Human Rights </w:t>
      </w:r>
      <w:r w:rsidRPr="009228A5">
        <w:t xml:space="preserve">Commission launched seven new </w:t>
      </w:r>
      <w:r w:rsidRPr="009228A5">
        <w:rPr>
          <w:i/>
          <w:iCs/>
        </w:rPr>
        <w:t>RightsED</w:t>
      </w:r>
      <w:r>
        <w:t xml:space="preserve"> school resources</w:t>
      </w:r>
      <w:r w:rsidRPr="009228A5">
        <w:t xml:space="preserve"> promoting the rights of people with disabilities and raising awareness of racism and ways to combat it. </w:t>
      </w:r>
    </w:p>
    <w:p w14:paraId="09885BB1" w14:textId="34ABCC7A" w:rsidR="00442634" w:rsidRDefault="00442634" w:rsidP="00354AA1">
      <w:pPr>
        <w:jc w:val="both"/>
      </w:pPr>
      <w:r>
        <w:t>In June 2015</w:t>
      </w:r>
      <w:r w:rsidRPr="009228A5">
        <w:t xml:space="preserve">, </w:t>
      </w:r>
      <w:r>
        <w:rPr>
          <w:lang w:val="en"/>
        </w:rPr>
        <w:t>to mark the 800</w:t>
      </w:r>
      <w:r w:rsidRPr="00DA5F6B">
        <w:rPr>
          <w:vertAlign w:val="superscript"/>
          <w:lang w:val="en"/>
        </w:rPr>
        <w:t>th</w:t>
      </w:r>
      <w:r w:rsidR="00DA5F6B">
        <w:rPr>
          <w:lang w:val="en"/>
        </w:rPr>
        <w:t xml:space="preserve"> </w:t>
      </w:r>
      <w:r>
        <w:rPr>
          <w:lang w:val="en"/>
        </w:rPr>
        <w:t>year of Magna Carta, the Australian Human Rights Commission released a video, an interactive infographic and a teaching resource on the evolution of human rights. The Magna Carta has an enduring legacy in shaping and advancing the principles of freedom, justice, the rule of law and government by consent.</w:t>
      </w:r>
    </w:p>
    <w:p w14:paraId="4F323D76" w14:textId="77777777" w:rsidR="00442634" w:rsidRPr="00442634" w:rsidRDefault="00442634" w:rsidP="00354AA1">
      <w:pPr>
        <w:jc w:val="both"/>
      </w:pPr>
      <w:r w:rsidRPr="009228A5">
        <w:t xml:space="preserve">All of the </w:t>
      </w:r>
      <w:r>
        <w:t xml:space="preserve">Australia Human Rights </w:t>
      </w:r>
      <w:r w:rsidRPr="009228A5">
        <w:t>Commission’s new resources have been mapped to the Australian Curriculum. The resources are targeted at students in Year</w:t>
      </w:r>
      <w:r>
        <w:t>s 5 to 10 and include the curriculum areas</w:t>
      </w:r>
      <w:r w:rsidRPr="009228A5">
        <w:t xml:space="preserve"> </w:t>
      </w:r>
      <w:r>
        <w:t xml:space="preserve">of </w:t>
      </w:r>
      <w:r w:rsidRPr="009228A5">
        <w:t>History, Geography, Civics and Citizenship, Health and Physical Education</w:t>
      </w:r>
      <w:r>
        <w:t>, and Mathematics</w:t>
      </w:r>
      <w:r w:rsidRPr="009228A5">
        <w:t>.</w:t>
      </w:r>
    </w:p>
    <w:p w14:paraId="556CBF7E" w14:textId="77777777" w:rsidR="00D94316" w:rsidRDefault="00D94316" w:rsidP="00354AA1">
      <w:pPr>
        <w:pStyle w:val="Heading3"/>
        <w:jc w:val="both"/>
      </w:pPr>
      <w:bookmarkStart w:id="25" w:name="_Toc430767458"/>
      <w:r w:rsidRPr="00D94316">
        <w:t>Submissions</w:t>
      </w:r>
      <w:bookmarkEnd w:id="25"/>
    </w:p>
    <w:p w14:paraId="47FB26A1" w14:textId="77777777" w:rsidR="00442634" w:rsidRDefault="00442634" w:rsidP="00354AA1">
      <w:pPr>
        <w:jc w:val="both"/>
      </w:pPr>
      <w:r w:rsidRPr="009228A5">
        <w:t>In</w:t>
      </w:r>
      <w:r>
        <w:t xml:space="preserve"> this</w:t>
      </w:r>
      <w:r w:rsidRPr="009228A5">
        <w:t xml:space="preserve"> reporting period, the </w:t>
      </w:r>
      <w:r>
        <w:t xml:space="preserve">Australian Human Rights </w:t>
      </w:r>
      <w:r w:rsidRPr="009228A5">
        <w:t>Commission</w:t>
      </w:r>
      <w:r>
        <w:t xml:space="preserve"> </w:t>
      </w:r>
      <w:r w:rsidRPr="009228A5">
        <w:t xml:space="preserve">made </w:t>
      </w:r>
      <w:r>
        <w:t xml:space="preserve">10 </w:t>
      </w:r>
      <w:r w:rsidRPr="00F20774">
        <w:t xml:space="preserve">submissions </w:t>
      </w:r>
      <w:r>
        <w:t>which included consideration of children’s rights:</w:t>
      </w:r>
    </w:p>
    <w:p w14:paraId="0905D0DF" w14:textId="77777777" w:rsidR="00442634" w:rsidRDefault="00442634" w:rsidP="00354AA1">
      <w:pPr>
        <w:pStyle w:val="ListParagraph"/>
        <w:numPr>
          <w:ilvl w:val="0"/>
          <w:numId w:val="17"/>
        </w:numPr>
        <w:spacing w:after="120"/>
        <w:contextualSpacing w:val="0"/>
        <w:jc w:val="both"/>
      </w:pPr>
      <w:r w:rsidRPr="00F20774">
        <w:lastRenderedPageBreak/>
        <w:t>Inquiry into the Counter-Terrorism Legislation Amendme</w:t>
      </w:r>
      <w:r>
        <w:t xml:space="preserve">nt (Foreign Fighters) Bill 2014 (Cth), </w:t>
      </w:r>
      <w:r w:rsidRPr="00914DBC">
        <w:t xml:space="preserve">Submission </w:t>
      </w:r>
      <w:r>
        <w:t>to the</w:t>
      </w:r>
      <w:r w:rsidRPr="00914DBC">
        <w:t xml:space="preserve"> Parliamentary Joint Committee on Intelligence and Security</w:t>
      </w:r>
      <w:r>
        <w:t xml:space="preserve"> (2 October 2014)</w:t>
      </w:r>
      <w:r>
        <w:rPr>
          <w:rStyle w:val="EndnoteReference"/>
        </w:rPr>
        <w:endnoteReference w:id="26"/>
      </w:r>
    </w:p>
    <w:p w14:paraId="3F2AC172" w14:textId="7AD858C3" w:rsidR="00442634" w:rsidRDefault="00442634" w:rsidP="00354AA1">
      <w:pPr>
        <w:pStyle w:val="ListParagraph"/>
        <w:numPr>
          <w:ilvl w:val="0"/>
          <w:numId w:val="18"/>
        </w:numPr>
        <w:spacing w:before="120" w:after="0"/>
        <w:ind w:left="714" w:hanging="357"/>
        <w:contextualSpacing w:val="0"/>
        <w:jc w:val="both"/>
      </w:pPr>
      <w:r>
        <w:t xml:space="preserve">Inquiry into the </w:t>
      </w:r>
      <w:r w:rsidRPr="00B77009">
        <w:t>Guardian for Unaccompanied Children Bill 2014</w:t>
      </w:r>
      <w:r>
        <w:rPr>
          <w:rStyle w:val="Hyperlink"/>
          <w:color w:val="auto"/>
          <w:u w:val="none"/>
        </w:rPr>
        <w:t xml:space="preserve"> (</w:t>
      </w:r>
      <w:r w:rsidRPr="003641BF">
        <w:rPr>
          <w:rStyle w:val="Hyperlink"/>
          <w:color w:val="auto"/>
          <w:u w:val="none"/>
        </w:rPr>
        <w:t>Cth</w:t>
      </w:r>
      <w:r>
        <w:rPr>
          <w:rStyle w:val="Hyperlink"/>
          <w:color w:val="auto"/>
          <w:u w:val="none"/>
        </w:rPr>
        <w:t>),</w:t>
      </w:r>
      <w:r>
        <w:t xml:space="preserve"> </w:t>
      </w:r>
      <w:r w:rsidRPr="003B67DE">
        <w:t xml:space="preserve">Submission </w:t>
      </w:r>
      <w:r>
        <w:t xml:space="preserve">to the </w:t>
      </w:r>
      <w:r w:rsidRPr="003B67DE">
        <w:t>Senate Legal and Constitutional Affairs</w:t>
      </w:r>
      <w:r w:rsidRPr="009228A5">
        <w:t xml:space="preserve"> </w:t>
      </w:r>
      <w:r w:rsidR="008E6CB4">
        <w:t xml:space="preserve">Legislation Committee </w:t>
      </w:r>
      <w:r w:rsidRPr="009228A5">
        <w:t>(23 October 2014)</w:t>
      </w:r>
      <w:r>
        <w:rPr>
          <w:rStyle w:val="EndnoteReference"/>
        </w:rPr>
        <w:endnoteReference w:id="27"/>
      </w:r>
    </w:p>
    <w:p w14:paraId="664C025C" w14:textId="0CC30965" w:rsidR="00442634" w:rsidRDefault="00442634" w:rsidP="00354AA1">
      <w:pPr>
        <w:pStyle w:val="ListParagraph"/>
        <w:numPr>
          <w:ilvl w:val="0"/>
          <w:numId w:val="18"/>
        </w:numPr>
        <w:spacing w:before="120" w:after="0"/>
        <w:ind w:left="714" w:hanging="357"/>
        <w:contextualSpacing w:val="0"/>
        <w:jc w:val="both"/>
      </w:pPr>
      <w:r w:rsidRPr="003641BF">
        <w:t>Inquiry into the Migration Amendment (Character and General Visa Cancellation) Bill 2014</w:t>
      </w:r>
      <w:r>
        <w:t xml:space="preserve"> (Cth), </w:t>
      </w:r>
      <w:r w:rsidRPr="00ED5BE6">
        <w:t xml:space="preserve">Submission </w:t>
      </w:r>
      <w:r>
        <w:t xml:space="preserve">to the </w:t>
      </w:r>
      <w:r w:rsidR="008E6CB4" w:rsidRPr="003B67DE">
        <w:t>Senate Legal and Constitutional Affairs</w:t>
      </w:r>
      <w:r w:rsidR="008E6CB4" w:rsidRPr="009228A5">
        <w:t xml:space="preserve"> </w:t>
      </w:r>
      <w:r w:rsidR="008E6CB4">
        <w:t xml:space="preserve">Legislation Committee </w:t>
      </w:r>
      <w:r>
        <w:t>(28 October 2014)</w:t>
      </w:r>
      <w:r>
        <w:rPr>
          <w:rStyle w:val="EndnoteReference"/>
        </w:rPr>
        <w:endnoteReference w:id="28"/>
      </w:r>
    </w:p>
    <w:p w14:paraId="0D037C5C" w14:textId="3AD1EC74" w:rsidR="00442634" w:rsidRDefault="00442634" w:rsidP="00354AA1">
      <w:pPr>
        <w:pStyle w:val="ListParagraph"/>
        <w:numPr>
          <w:ilvl w:val="0"/>
          <w:numId w:val="18"/>
        </w:numPr>
        <w:spacing w:before="120" w:after="0"/>
        <w:ind w:left="714" w:hanging="357"/>
        <w:contextualSpacing w:val="0"/>
        <w:jc w:val="both"/>
      </w:pPr>
      <w:r w:rsidRPr="003641BF">
        <w:t>Inquiry into the Migration and Maritime Powers Legislation Amendment (Resolving the Asylum Legacy Caseload) Bill 2014,</w:t>
      </w:r>
      <w:r>
        <w:t xml:space="preserve"> (Cth),</w:t>
      </w:r>
      <w:r w:rsidRPr="003641BF">
        <w:t xml:space="preserve"> Submission to </w:t>
      </w:r>
      <w:r>
        <w:t xml:space="preserve">the </w:t>
      </w:r>
      <w:r w:rsidRPr="003641BF">
        <w:t xml:space="preserve">Senate </w:t>
      </w:r>
      <w:r w:rsidR="008E6CB4" w:rsidRPr="003B67DE">
        <w:t>Legal and Constitutional Affairs</w:t>
      </w:r>
      <w:r w:rsidR="008E6CB4" w:rsidRPr="009228A5">
        <w:t xml:space="preserve"> </w:t>
      </w:r>
      <w:r w:rsidR="008E6CB4">
        <w:t xml:space="preserve">Legislation Committee </w:t>
      </w:r>
      <w:r>
        <w:t>(</w:t>
      </w:r>
      <w:r w:rsidRPr="00914DBC">
        <w:t>31 October 2014</w:t>
      </w:r>
      <w:r>
        <w:t>)</w:t>
      </w:r>
      <w:r>
        <w:rPr>
          <w:rStyle w:val="EndnoteReference"/>
        </w:rPr>
        <w:endnoteReference w:id="29"/>
      </w:r>
    </w:p>
    <w:p w14:paraId="59C68F57" w14:textId="3100DE38" w:rsidR="00442634" w:rsidRPr="003641BF" w:rsidRDefault="00442634" w:rsidP="00354AA1">
      <w:pPr>
        <w:pStyle w:val="ListParagraph"/>
        <w:numPr>
          <w:ilvl w:val="0"/>
          <w:numId w:val="18"/>
        </w:numPr>
        <w:spacing w:before="120" w:after="0"/>
        <w:ind w:left="714" w:hanging="357"/>
        <w:contextualSpacing w:val="0"/>
        <w:jc w:val="both"/>
      </w:pPr>
      <w:r w:rsidRPr="003641BF">
        <w:t>Inquiry into the Australian Citizenship and Other Legislation Amendment Bill 2014</w:t>
      </w:r>
      <w:r>
        <w:t xml:space="preserve"> (Cth), </w:t>
      </w:r>
      <w:r w:rsidRPr="003641BF">
        <w:t xml:space="preserve">Submission to </w:t>
      </w:r>
      <w:r>
        <w:t xml:space="preserve">the </w:t>
      </w:r>
      <w:r w:rsidR="008E6CB4" w:rsidRPr="003B67DE">
        <w:t>Senate Legal and Constitutional Affairs</w:t>
      </w:r>
      <w:r w:rsidR="008E6CB4" w:rsidRPr="009228A5">
        <w:t xml:space="preserve"> </w:t>
      </w:r>
      <w:r w:rsidR="008E6CB4">
        <w:t>Legislation Committee</w:t>
      </w:r>
      <w:r>
        <w:t xml:space="preserve"> (6 November 2014)</w:t>
      </w:r>
      <w:r>
        <w:rPr>
          <w:rStyle w:val="EndnoteReference"/>
        </w:rPr>
        <w:endnoteReference w:id="30"/>
      </w:r>
    </w:p>
    <w:p w14:paraId="3175E61B" w14:textId="7D359F74" w:rsidR="00442634" w:rsidRPr="00871D2D" w:rsidRDefault="00442634" w:rsidP="00354AA1">
      <w:pPr>
        <w:pStyle w:val="ListParagraph"/>
        <w:numPr>
          <w:ilvl w:val="0"/>
          <w:numId w:val="18"/>
        </w:numPr>
        <w:spacing w:before="120" w:after="0"/>
        <w:ind w:left="714" w:hanging="357"/>
        <w:contextualSpacing w:val="0"/>
        <w:jc w:val="both"/>
      </w:pPr>
      <w:r w:rsidRPr="0079207A">
        <w:t>Inquiry into the adequacy of existing residential care arrangements for young people with severe physical, mental or intellectual disabilities in Australia</w:t>
      </w:r>
      <w:r>
        <w:t xml:space="preserve">, </w:t>
      </w:r>
      <w:r w:rsidRPr="0079207A">
        <w:t xml:space="preserve">Submission to the Senate </w:t>
      </w:r>
      <w:r w:rsidR="008E6CB4" w:rsidRPr="0079207A">
        <w:t>Community Affairs</w:t>
      </w:r>
      <w:r w:rsidR="008E6CB4">
        <w:t xml:space="preserve"> References </w:t>
      </w:r>
      <w:r w:rsidRPr="0079207A">
        <w:t xml:space="preserve">Committee </w:t>
      </w:r>
      <w:r>
        <w:t>(6 February 2015)</w:t>
      </w:r>
      <w:r>
        <w:rPr>
          <w:rStyle w:val="EndnoteReference"/>
        </w:rPr>
        <w:endnoteReference w:id="31"/>
      </w:r>
    </w:p>
    <w:p w14:paraId="13096A0F" w14:textId="77777777" w:rsidR="00442634" w:rsidRPr="004F58B8" w:rsidRDefault="00442634" w:rsidP="00354AA1">
      <w:pPr>
        <w:pStyle w:val="ListParagraph"/>
        <w:numPr>
          <w:ilvl w:val="0"/>
          <w:numId w:val="18"/>
        </w:numPr>
        <w:spacing w:before="120" w:after="0"/>
        <w:ind w:left="714" w:hanging="357"/>
        <w:contextualSpacing w:val="0"/>
        <w:jc w:val="both"/>
      </w:pPr>
      <w:r>
        <w:t xml:space="preserve">Australia’s Universal Periodic Review, Submission to the United Nations Human Rights Council Working Group </w:t>
      </w:r>
      <w:r w:rsidRPr="004F58B8">
        <w:t>(15 April 2015)</w:t>
      </w:r>
      <w:r>
        <w:rPr>
          <w:rStyle w:val="EndnoteReference"/>
        </w:rPr>
        <w:endnoteReference w:id="32"/>
      </w:r>
    </w:p>
    <w:p w14:paraId="6B368987" w14:textId="77777777" w:rsidR="00442634" w:rsidRDefault="00442634" w:rsidP="00354AA1">
      <w:pPr>
        <w:pStyle w:val="ListParagraph"/>
        <w:numPr>
          <w:ilvl w:val="0"/>
          <w:numId w:val="18"/>
        </w:numPr>
        <w:spacing w:before="120" w:after="120"/>
        <w:ind w:left="714" w:hanging="357"/>
        <w:contextualSpacing w:val="0"/>
        <w:jc w:val="both"/>
      </w:pPr>
      <w:r>
        <w:t>Inquiry in</w:t>
      </w:r>
      <w:r w:rsidRPr="00BA4C17">
        <w:t>to the Crimes Legislation Amendment (Powers, Offences and Other Measures) Bill 2015 (Cth)</w:t>
      </w:r>
      <w:r>
        <w:t xml:space="preserve">, Submission to the </w:t>
      </w:r>
      <w:r w:rsidRPr="00BA4C17">
        <w:t>Senate Legal and Constitutiona</w:t>
      </w:r>
      <w:r>
        <w:t>l Affairs Legislation Committee (16 April 2015)</w:t>
      </w:r>
      <w:r>
        <w:rPr>
          <w:rStyle w:val="EndnoteReference"/>
        </w:rPr>
        <w:endnoteReference w:id="33"/>
      </w:r>
    </w:p>
    <w:p w14:paraId="2646F635" w14:textId="45742083" w:rsidR="00442634" w:rsidRPr="00442634" w:rsidRDefault="00442634" w:rsidP="008E6CB4">
      <w:pPr>
        <w:pStyle w:val="ListParagraph"/>
        <w:numPr>
          <w:ilvl w:val="0"/>
          <w:numId w:val="18"/>
        </w:numPr>
        <w:spacing w:before="120" w:after="120"/>
        <w:contextualSpacing w:val="0"/>
        <w:jc w:val="both"/>
      </w:pPr>
      <w:r w:rsidRPr="0079207A">
        <w:t>Inquiry into Aboriginal and Torres Strait Islander experience of law enforcement and justice services</w:t>
      </w:r>
      <w:r>
        <w:t xml:space="preserve">, </w:t>
      </w:r>
      <w:r w:rsidRPr="0079207A">
        <w:t xml:space="preserve">Submission to the Senate </w:t>
      </w:r>
      <w:r w:rsidR="008E6CB4" w:rsidRPr="008E6CB4">
        <w:t>Finance and Public Administration References Committee</w:t>
      </w:r>
      <w:r>
        <w:t xml:space="preserve"> (27 April 2015).</w:t>
      </w:r>
      <w:r>
        <w:rPr>
          <w:rStyle w:val="EndnoteReference"/>
        </w:rPr>
        <w:endnoteReference w:id="34"/>
      </w:r>
    </w:p>
    <w:p w14:paraId="0B6013F7" w14:textId="77777777" w:rsidR="00D94316" w:rsidRDefault="00D94316" w:rsidP="00354AA1">
      <w:pPr>
        <w:pStyle w:val="Heading2"/>
        <w:jc w:val="both"/>
      </w:pPr>
      <w:bookmarkStart w:id="26" w:name="_Toc430767459"/>
      <w:bookmarkStart w:id="27" w:name="_Toc432577304"/>
      <w:r w:rsidRPr="00D94316">
        <w:t>Action and accountability</w:t>
      </w:r>
      <w:bookmarkEnd w:id="26"/>
      <w:bookmarkEnd w:id="27"/>
    </w:p>
    <w:p w14:paraId="7FEAB3DB" w14:textId="05F28BB3" w:rsidR="00442634" w:rsidRPr="0055153A" w:rsidRDefault="00442634" w:rsidP="00354AA1">
      <w:pPr>
        <w:jc w:val="both"/>
      </w:pPr>
      <w:r w:rsidRPr="0055153A">
        <w:t xml:space="preserve">Throughout the year, I </w:t>
      </w:r>
      <w:r w:rsidR="00E77051">
        <w:t xml:space="preserve">have encouraged </w:t>
      </w:r>
      <w:r w:rsidRPr="0055153A">
        <w:t>action and accountability through my p</w:t>
      </w:r>
      <w:r w:rsidR="00E77051">
        <w:t>roject work, strategic advocacy</w:t>
      </w:r>
      <w:r w:rsidRPr="0055153A">
        <w:t xml:space="preserve"> and engagement with key stakeholders.</w:t>
      </w:r>
    </w:p>
    <w:p w14:paraId="6A02E38C" w14:textId="77777777" w:rsidR="00442634" w:rsidRDefault="00442634" w:rsidP="00354AA1">
      <w:pPr>
        <w:jc w:val="both"/>
      </w:pPr>
      <w:r w:rsidRPr="0055153A">
        <w:t>In my statutory reports, I make specific recommendations to advance the wellbeing and rights of children and young people in Australia.</w:t>
      </w:r>
      <w:r>
        <w:t xml:space="preserve"> </w:t>
      </w:r>
      <w:r w:rsidRPr="0055153A">
        <w:t>I monitor the progress of these recommendations in subsequent reports.</w:t>
      </w:r>
    </w:p>
    <w:p w14:paraId="0BE06FF8" w14:textId="60860604" w:rsidR="00442634" w:rsidRDefault="005132EE" w:rsidP="00354AA1">
      <w:pPr>
        <w:jc w:val="both"/>
      </w:pPr>
      <w:r>
        <w:t>Sections 1.6.1 and 1.6.2</w:t>
      </w:r>
      <w:r w:rsidR="00442634">
        <w:t xml:space="preserve"> show the status of progress towards the recommendations that I made in my 2014 and 2013 reports.</w:t>
      </w:r>
    </w:p>
    <w:p w14:paraId="3C34251B" w14:textId="52025053" w:rsidR="00442634" w:rsidRDefault="009D1F82" w:rsidP="00354AA1">
      <w:pPr>
        <w:pStyle w:val="Heading3"/>
        <w:jc w:val="both"/>
        <w:rPr>
          <w:i/>
        </w:rPr>
      </w:pPr>
      <w:r>
        <w:br w:type="column"/>
      </w:r>
      <w:r w:rsidR="00442634" w:rsidRPr="00442634">
        <w:lastRenderedPageBreak/>
        <w:t xml:space="preserve">Recommendations made in the </w:t>
      </w:r>
      <w:r w:rsidR="00442634" w:rsidRPr="00926B3A">
        <w:rPr>
          <w:i/>
        </w:rPr>
        <w:t>Children’s Rights Report 2014</w:t>
      </w:r>
    </w:p>
    <w:tbl>
      <w:tblPr>
        <w:tblStyle w:val="GridTable4-Accent11"/>
        <w:tblW w:w="9493" w:type="dxa"/>
        <w:tblLook w:val="04A0" w:firstRow="1" w:lastRow="0" w:firstColumn="1" w:lastColumn="0" w:noHBand="0" w:noVBand="1"/>
      </w:tblPr>
      <w:tblGrid>
        <w:gridCol w:w="9493"/>
      </w:tblGrid>
      <w:tr w:rsidR="009D1F82" w:rsidRPr="009228A5" w14:paraId="4D934C07" w14:textId="77777777" w:rsidTr="00E329F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tcBorders>
              <w:bottom w:val="single" w:sz="4" w:space="0" w:color="9CC2E5" w:themeColor="accent1" w:themeTint="99"/>
            </w:tcBorders>
            <w:vAlign w:val="center"/>
          </w:tcPr>
          <w:p w14:paraId="5D096C79" w14:textId="6EE757CD" w:rsidR="009D1F82" w:rsidRPr="009228A5" w:rsidRDefault="009D1F82" w:rsidP="00B77005">
            <w:pPr>
              <w:spacing w:before="120"/>
              <w:jc w:val="both"/>
            </w:pPr>
            <w:r w:rsidRPr="00926B3A">
              <w:rPr>
                <w:i/>
              </w:rPr>
              <w:t>Children’s Rights Report 2014</w:t>
            </w:r>
          </w:p>
        </w:tc>
      </w:tr>
      <w:tr w:rsidR="00E329FB" w:rsidRPr="009228A5" w14:paraId="05136865" w14:textId="77777777" w:rsidTr="00E329F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shd w:val="clear" w:color="auto" w:fill="F2F2F2" w:themeFill="background1" w:themeFillShade="F2"/>
            <w:vAlign w:val="center"/>
          </w:tcPr>
          <w:p w14:paraId="305D4456" w14:textId="3A56C04D" w:rsidR="00E329FB" w:rsidRPr="009D1F82" w:rsidRDefault="00E329FB" w:rsidP="00E329FB">
            <w:pPr>
              <w:jc w:val="center"/>
            </w:pPr>
            <w:r>
              <w:t>Recommendation 1</w:t>
            </w:r>
          </w:p>
        </w:tc>
      </w:tr>
      <w:tr w:rsidR="00E329FB" w:rsidRPr="009228A5" w14:paraId="3E063A7A" w14:textId="77777777" w:rsidTr="00E329FB">
        <w:tc>
          <w:tcPr>
            <w:cnfStyle w:val="001000000000" w:firstRow="0" w:lastRow="0" w:firstColumn="1" w:lastColumn="0" w:oddVBand="0" w:evenVBand="0" w:oddHBand="0" w:evenHBand="0" w:firstRowFirstColumn="0" w:firstRowLastColumn="0" w:lastRowFirstColumn="0" w:lastRowLastColumn="0"/>
            <w:tcW w:w="9493" w:type="dxa"/>
            <w:tcBorders>
              <w:bottom w:val="single" w:sz="4" w:space="0" w:color="9CC2E5" w:themeColor="accent1" w:themeTint="99"/>
            </w:tcBorders>
            <w:shd w:val="clear" w:color="auto" w:fill="FFFFFF" w:themeFill="background1"/>
            <w:vAlign w:val="center"/>
          </w:tcPr>
          <w:p w14:paraId="4B274EC8" w14:textId="2CC6AC21" w:rsidR="00E329FB" w:rsidRPr="00E329FB" w:rsidRDefault="00E329FB" w:rsidP="009D1F82">
            <w:pPr>
              <w:jc w:val="both"/>
              <w:rPr>
                <w:b w:val="0"/>
              </w:rPr>
            </w:pPr>
            <w:r w:rsidRPr="00E329FB">
              <w:rPr>
                <w:b w:val="0"/>
              </w:rPr>
              <w:t>Establish a national research agenda for children and young people engaging in non-suicidal self-harm and suicidal behaviour through the new National Strategic Framework for Child and Youth Health. This should be supported by the soon to be established National Centre for Excellence in Youth Mental Health.</w:t>
            </w:r>
          </w:p>
        </w:tc>
      </w:tr>
      <w:tr w:rsidR="00E329FB" w:rsidRPr="009228A5" w14:paraId="05CAE191" w14:textId="77777777" w:rsidTr="00E329F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shd w:val="clear" w:color="auto" w:fill="F2F2F2" w:themeFill="background1" w:themeFillShade="F2"/>
            <w:vAlign w:val="center"/>
          </w:tcPr>
          <w:p w14:paraId="5FD19195" w14:textId="5B54E3A3" w:rsidR="00E329FB" w:rsidRPr="00E329FB" w:rsidRDefault="00E329FB" w:rsidP="00E329FB">
            <w:pPr>
              <w:jc w:val="center"/>
            </w:pPr>
            <w:r w:rsidRPr="00E329FB">
              <w:t>Progress of Recommendation 1</w:t>
            </w:r>
          </w:p>
        </w:tc>
      </w:tr>
      <w:tr w:rsidR="00E329FB" w:rsidRPr="009228A5" w14:paraId="033E81E7" w14:textId="77777777" w:rsidTr="00B77005">
        <w:tc>
          <w:tcPr>
            <w:cnfStyle w:val="001000000000" w:firstRow="0" w:lastRow="0" w:firstColumn="1" w:lastColumn="0" w:oddVBand="0" w:evenVBand="0" w:oddHBand="0" w:evenHBand="0" w:firstRowFirstColumn="0" w:firstRowLastColumn="0" w:lastRowFirstColumn="0" w:lastRowLastColumn="0"/>
            <w:tcW w:w="9493" w:type="dxa"/>
            <w:vAlign w:val="center"/>
          </w:tcPr>
          <w:p w14:paraId="39A7DCE0" w14:textId="77777777" w:rsidR="00E329FB" w:rsidRPr="00E329FB" w:rsidRDefault="00E329FB" w:rsidP="009D1F82">
            <w:pPr>
              <w:jc w:val="both"/>
              <w:rPr>
                <w:b w:val="0"/>
              </w:rPr>
            </w:pPr>
            <w:r w:rsidRPr="00E329FB">
              <w:rPr>
                <w:b w:val="0"/>
              </w:rPr>
              <w:t xml:space="preserve">Progress has primarily been advanced through the National Centre for Excellence in Youth Mental Health (Orygen) which was allocated $18 million in 2014. The National Strategic Framework for Child and Youth Health is still in development and has not yet been released into the public domain. </w:t>
            </w:r>
          </w:p>
          <w:p w14:paraId="77D13DF6" w14:textId="77777777" w:rsidR="00E329FB" w:rsidRPr="00E329FB" w:rsidRDefault="00E329FB" w:rsidP="009D1F82">
            <w:pPr>
              <w:jc w:val="both"/>
              <w:rPr>
                <w:b w:val="0"/>
              </w:rPr>
            </w:pPr>
            <w:r w:rsidRPr="00E329FB">
              <w:rPr>
                <w:b w:val="0"/>
              </w:rPr>
              <w:t>Communication with the Minister for Health and the Executive Director of Orygen indicates that while a national research agenda specifically on suicide and self-harm has not been initiated to date, Orygen has instigated a number of positive activities to progress research in this area.</w:t>
            </w:r>
          </w:p>
          <w:p w14:paraId="3142F63D" w14:textId="77777777" w:rsidR="00E329FB" w:rsidRPr="00E329FB" w:rsidRDefault="00E329FB" w:rsidP="009D1F82">
            <w:pPr>
              <w:jc w:val="both"/>
              <w:rPr>
                <w:b w:val="0"/>
              </w:rPr>
            </w:pPr>
            <w:r w:rsidRPr="00E329FB">
              <w:rPr>
                <w:b w:val="0"/>
              </w:rPr>
              <w:t xml:space="preserve">Orygen has been commissioned by the Australian Government to lead the development of a </w:t>
            </w:r>
            <w:r w:rsidRPr="00E329FB">
              <w:rPr>
                <w:b w:val="0"/>
                <w:i/>
              </w:rPr>
              <w:t>National Research Priorities and Implementation Framework</w:t>
            </w:r>
            <w:r w:rsidRPr="00E329FB">
              <w:rPr>
                <w:b w:val="0"/>
              </w:rPr>
              <w:t xml:space="preserve"> for youth mental health research in Australia. This Framework aims to realise a more coordinated approach within Australia to mental health research and infrastructure.</w:t>
            </w:r>
          </w:p>
          <w:p w14:paraId="70ED3CFA" w14:textId="77777777" w:rsidR="00E329FB" w:rsidRPr="00E329FB" w:rsidRDefault="00E329FB" w:rsidP="009D1F82">
            <w:pPr>
              <w:jc w:val="both"/>
              <w:rPr>
                <w:b w:val="0"/>
              </w:rPr>
            </w:pPr>
            <w:r w:rsidRPr="00E329FB">
              <w:rPr>
                <w:b w:val="0"/>
              </w:rPr>
              <w:t xml:space="preserve">Orygen has also undertaken a number of research studies within the suicide research program, including: studies on increasing help seeking for suicide related behaviour among high school students; mapping suicide clusters in Australian young people; and the safety and efficacy of online platforms for suicidal and self-harming young people. </w:t>
            </w:r>
          </w:p>
          <w:p w14:paraId="58493336" w14:textId="77777777" w:rsidR="00E329FB" w:rsidRPr="00E329FB" w:rsidRDefault="00E329FB" w:rsidP="009D1F82">
            <w:pPr>
              <w:jc w:val="both"/>
              <w:rPr>
                <w:b w:val="0"/>
              </w:rPr>
            </w:pPr>
            <w:r w:rsidRPr="00E329FB">
              <w:rPr>
                <w:b w:val="0"/>
              </w:rPr>
              <w:t xml:space="preserve">In addition to this, Orygen produced a policy paper for the Australian Government on young people and self-harm. This paper supported many of the findings of my </w:t>
            </w:r>
            <w:r w:rsidRPr="00E329FB">
              <w:rPr>
                <w:b w:val="0"/>
                <w:i/>
              </w:rPr>
              <w:t>Children’s Rights Report 2014</w:t>
            </w:r>
            <w:r w:rsidRPr="00E329FB">
              <w:rPr>
                <w:b w:val="0"/>
              </w:rPr>
              <w:t>, including the need to focus on improving data collection, responding to evidence gaps, improving cross-service responses to self-harm, and involving young people with lived experience, and their families, in research and policy development. A further policy paper on young people and suicide prevention is expected to be completed by June 2016.</w:t>
            </w:r>
          </w:p>
          <w:p w14:paraId="0B3E8A25" w14:textId="77777777" w:rsidR="00E329FB" w:rsidRPr="00E329FB" w:rsidRDefault="00E329FB" w:rsidP="009D1F82">
            <w:pPr>
              <w:jc w:val="both"/>
              <w:rPr>
                <w:b w:val="0"/>
              </w:rPr>
            </w:pPr>
            <w:r w:rsidRPr="00E329FB">
              <w:rPr>
                <w:b w:val="0"/>
              </w:rPr>
              <w:t xml:space="preserve">I welcome Orygen’s efforts to meaningfully engage with young people affected by mental health issues through the appointment of a Youth Partnerships in Research Coordinator to engage and consult with young people and the establishment of a Youth Research Council, of eight young people with a lived experience of mental ill-health to help inform the direction and design of future research. </w:t>
            </w:r>
          </w:p>
          <w:p w14:paraId="794653A7" w14:textId="77777777" w:rsidR="00E329FB" w:rsidRPr="00E329FB" w:rsidRDefault="00E329FB" w:rsidP="009D1F82">
            <w:pPr>
              <w:jc w:val="both"/>
              <w:rPr>
                <w:b w:val="0"/>
              </w:rPr>
            </w:pPr>
            <w:r w:rsidRPr="00E329FB">
              <w:rPr>
                <w:b w:val="0"/>
              </w:rPr>
              <w:t xml:space="preserve">It should also be noted that the National Mental Health Commission’s </w:t>
            </w:r>
            <w:r w:rsidRPr="00E329FB">
              <w:rPr>
                <w:b w:val="0"/>
                <w:i/>
              </w:rPr>
              <w:t xml:space="preserve">Report of the </w:t>
            </w:r>
            <w:r w:rsidRPr="00E329FB">
              <w:rPr>
                <w:b w:val="0"/>
                <w:i/>
              </w:rPr>
              <w:lastRenderedPageBreak/>
              <w:t>National Review of Mental Health Programmes and Services</w:t>
            </w:r>
            <w:r w:rsidRPr="00E329FB">
              <w:rPr>
                <w:b w:val="0"/>
              </w:rPr>
              <w:t>, released in April 2015, recommended renewed focus on children and young people, in particular in terms of mental health research, promotion and early intervention.</w:t>
            </w:r>
            <w:r w:rsidRPr="00E329FB">
              <w:rPr>
                <w:rStyle w:val="EndnoteReference"/>
                <w:b w:val="0"/>
              </w:rPr>
              <w:endnoteReference w:id="35"/>
            </w:r>
          </w:p>
          <w:p w14:paraId="1A041FF0" w14:textId="77777777" w:rsidR="00E329FB" w:rsidRPr="00E329FB" w:rsidRDefault="00E329FB" w:rsidP="009D1F82">
            <w:pPr>
              <w:jc w:val="both"/>
              <w:rPr>
                <w:b w:val="0"/>
              </w:rPr>
            </w:pPr>
            <w:r w:rsidRPr="00E329FB">
              <w:rPr>
                <w:b w:val="0"/>
              </w:rPr>
              <w:t>In addition, Suicide Prevention Australia as the lead agency of the National Coalition for Suicide Prevention, launched the first national action plan for suicide research in September 2015 and called on the Australian Government to provide $12 million in funding to initiate this research.</w:t>
            </w:r>
            <w:r w:rsidRPr="00E329FB">
              <w:rPr>
                <w:rStyle w:val="EndnoteReference"/>
                <w:b w:val="0"/>
              </w:rPr>
              <w:endnoteReference w:id="36"/>
            </w:r>
            <w:r w:rsidRPr="00E329FB">
              <w:rPr>
                <w:b w:val="0"/>
              </w:rPr>
              <w:t xml:space="preserve"> </w:t>
            </w:r>
          </w:p>
          <w:p w14:paraId="35E3E7C0" w14:textId="2B49EDD1" w:rsidR="00E329FB" w:rsidRPr="009D1F82" w:rsidRDefault="00E329FB" w:rsidP="009D1F82">
            <w:pPr>
              <w:jc w:val="both"/>
            </w:pPr>
            <w:r w:rsidRPr="00E329FB">
              <w:rPr>
                <w:b w:val="0"/>
              </w:rPr>
              <w:t>I look forward to the Government’s response to the proposals emerging from these initiatives.</w:t>
            </w:r>
          </w:p>
        </w:tc>
      </w:tr>
      <w:tr w:rsidR="00E329FB" w:rsidRPr="009D1F82" w14:paraId="59AFB8AD" w14:textId="77777777" w:rsidTr="00B770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shd w:val="clear" w:color="auto" w:fill="F2F2F2" w:themeFill="background1" w:themeFillShade="F2"/>
            <w:vAlign w:val="center"/>
          </w:tcPr>
          <w:p w14:paraId="2AAD695C" w14:textId="34A6D690" w:rsidR="00E329FB" w:rsidRPr="009D1F82" w:rsidRDefault="00E329FB" w:rsidP="00B77005">
            <w:pPr>
              <w:jc w:val="center"/>
            </w:pPr>
            <w:r>
              <w:lastRenderedPageBreak/>
              <w:t>Recommendation 2a</w:t>
            </w:r>
          </w:p>
        </w:tc>
      </w:tr>
      <w:tr w:rsidR="00E329FB" w:rsidRPr="00E329FB" w14:paraId="27793739" w14:textId="77777777" w:rsidTr="00B77005">
        <w:tc>
          <w:tcPr>
            <w:cnfStyle w:val="001000000000" w:firstRow="0" w:lastRow="0" w:firstColumn="1" w:lastColumn="0" w:oddVBand="0" w:evenVBand="0" w:oddHBand="0" w:evenHBand="0" w:firstRowFirstColumn="0" w:firstRowLastColumn="0" w:lastRowFirstColumn="0" w:lastRowLastColumn="0"/>
            <w:tcW w:w="9493" w:type="dxa"/>
            <w:tcBorders>
              <w:bottom w:val="single" w:sz="4" w:space="0" w:color="9CC2E5" w:themeColor="accent1" w:themeTint="99"/>
            </w:tcBorders>
            <w:shd w:val="clear" w:color="auto" w:fill="FFFFFF" w:themeFill="background1"/>
            <w:vAlign w:val="center"/>
          </w:tcPr>
          <w:p w14:paraId="2841C7EC" w14:textId="77777777" w:rsidR="00E329FB" w:rsidRPr="008F04C2" w:rsidRDefault="00E329FB" w:rsidP="00E329FB">
            <w:pPr>
              <w:jc w:val="both"/>
              <w:rPr>
                <w:b w:val="0"/>
              </w:rPr>
            </w:pPr>
            <w:r w:rsidRPr="008F04C2">
              <w:rPr>
                <w:b w:val="0"/>
              </w:rPr>
              <w:t>Strengthen and develop surveillance of intentional self-harm, with or without suicidal intent, through:</w:t>
            </w:r>
          </w:p>
          <w:p w14:paraId="454C9EE9" w14:textId="4C127FCE" w:rsidR="00E329FB" w:rsidRPr="00E329FB" w:rsidRDefault="00E329FB" w:rsidP="00B77005">
            <w:pPr>
              <w:jc w:val="both"/>
              <w:rPr>
                <w:b w:val="0"/>
              </w:rPr>
            </w:pPr>
            <w:r w:rsidRPr="008F04C2">
              <w:rPr>
                <w:b w:val="0"/>
              </w:rPr>
              <w:t>The Australian Government funding an annual report on deaths due to intentional self-harm involving children and young people aged 0-17 years using the agreement reached between the Australian Bureau of Statistics; the Registrars of Births, Deaths and Marriages; and state and territory coroners on the dis</w:t>
            </w:r>
            <w:r>
              <w:rPr>
                <w:b w:val="0"/>
              </w:rPr>
              <w:t>semination of unit record data.</w:t>
            </w:r>
          </w:p>
        </w:tc>
      </w:tr>
      <w:tr w:rsidR="00E329FB" w:rsidRPr="00E329FB" w14:paraId="219AC5A6" w14:textId="77777777" w:rsidTr="00B770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shd w:val="clear" w:color="auto" w:fill="F2F2F2" w:themeFill="background1" w:themeFillShade="F2"/>
            <w:vAlign w:val="center"/>
          </w:tcPr>
          <w:p w14:paraId="704852BB" w14:textId="4D57C89D" w:rsidR="00E329FB" w:rsidRPr="00E329FB" w:rsidRDefault="00E329FB" w:rsidP="00E329FB">
            <w:pPr>
              <w:jc w:val="center"/>
            </w:pPr>
            <w:r w:rsidRPr="00E329FB">
              <w:t xml:space="preserve">Progress of Recommendation </w:t>
            </w:r>
            <w:r>
              <w:t>2a</w:t>
            </w:r>
          </w:p>
        </w:tc>
      </w:tr>
      <w:tr w:rsidR="00E329FB" w:rsidRPr="009D1F82" w14:paraId="6CE161F4" w14:textId="77777777" w:rsidTr="00B77005">
        <w:tc>
          <w:tcPr>
            <w:cnfStyle w:val="001000000000" w:firstRow="0" w:lastRow="0" w:firstColumn="1" w:lastColumn="0" w:oddVBand="0" w:evenVBand="0" w:oddHBand="0" w:evenHBand="0" w:firstRowFirstColumn="0" w:firstRowLastColumn="0" w:lastRowFirstColumn="0" w:lastRowLastColumn="0"/>
            <w:tcW w:w="9493" w:type="dxa"/>
            <w:vAlign w:val="center"/>
          </w:tcPr>
          <w:p w14:paraId="3BB7FFE2" w14:textId="77777777" w:rsidR="00E329FB" w:rsidRPr="00E329FB" w:rsidRDefault="00E329FB" w:rsidP="00E329FB">
            <w:pPr>
              <w:jc w:val="both"/>
              <w:rPr>
                <w:b w:val="0"/>
              </w:rPr>
            </w:pPr>
            <w:r w:rsidRPr="00E329FB">
              <w:rPr>
                <w:b w:val="0"/>
              </w:rPr>
              <w:t xml:space="preserve">Important work is being conducted by the National Committee for Standardised Reporting on Suicide (NCSRS) which is seeking to develop a National Minimum Data Set (NMDS) for suicide. </w:t>
            </w:r>
          </w:p>
          <w:p w14:paraId="1CE05A92" w14:textId="77777777" w:rsidR="00E329FB" w:rsidRPr="00E329FB" w:rsidRDefault="00E329FB" w:rsidP="00E329FB">
            <w:pPr>
              <w:jc w:val="both"/>
              <w:rPr>
                <w:b w:val="0"/>
              </w:rPr>
            </w:pPr>
            <w:r w:rsidRPr="00E329FB">
              <w:rPr>
                <w:b w:val="0"/>
              </w:rPr>
              <w:t xml:space="preserve">This work is being led by Suicide Prevention Australia, with the Australian Bureau of Statistics (ABS), the Australian Institute of Health and Welfare (AIHW) and the National Coronial Information System providing guidance and support. </w:t>
            </w:r>
          </w:p>
          <w:p w14:paraId="65FF41DE" w14:textId="77777777" w:rsidR="00E329FB" w:rsidRPr="00E329FB" w:rsidRDefault="00E329FB" w:rsidP="00E329FB">
            <w:pPr>
              <w:jc w:val="both"/>
              <w:rPr>
                <w:b w:val="0"/>
              </w:rPr>
            </w:pPr>
            <w:r w:rsidRPr="00E329FB">
              <w:rPr>
                <w:b w:val="0"/>
              </w:rPr>
              <w:t xml:space="preserve">The NCSRS brings together stakeholders involved in the collection, analysis and reporting of suicide information, enabling a system-wide approach to data enhancement. </w:t>
            </w:r>
          </w:p>
          <w:p w14:paraId="0C8ECFA6" w14:textId="77777777" w:rsidR="00E329FB" w:rsidRPr="00E329FB" w:rsidRDefault="00E329FB" w:rsidP="00E329FB">
            <w:pPr>
              <w:jc w:val="both"/>
              <w:rPr>
                <w:b w:val="0"/>
              </w:rPr>
            </w:pPr>
            <w:r w:rsidRPr="00E329FB">
              <w:rPr>
                <w:b w:val="0"/>
              </w:rPr>
              <w:t xml:space="preserve">I welcome the efforts of the NCSRS to develop the NMDS as a positive step towards strengthening and developing data collection around suicide. </w:t>
            </w:r>
          </w:p>
          <w:p w14:paraId="5DC0B94B" w14:textId="77777777" w:rsidR="00E329FB" w:rsidRPr="00E329FB" w:rsidRDefault="00E329FB" w:rsidP="00E329FB">
            <w:pPr>
              <w:jc w:val="both"/>
              <w:rPr>
                <w:b w:val="0"/>
              </w:rPr>
            </w:pPr>
            <w:r w:rsidRPr="00E329FB">
              <w:rPr>
                <w:b w:val="0"/>
              </w:rPr>
              <w:t>Through communications with the Parliamentary Secretary to the Treasurer and the Australian Statistician, I was pleased to learn that the ABS intends to report on suicide deaths of children and young people on an annual basis. This commitment has been made with existing ABS resources with no additional funding allocated.</w:t>
            </w:r>
          </w:p>
          <w:p w14:paraId="45914F9B" w14:textId="77777777" w:rsidR="00E329FB" w:rsidRPr="00E329FB" w:rsidRDefault="00E329FB" w:rsidP="00E329FB">
            <w:pPr>
              <w:jc w:val="both"/>
              <w:rPr>
                <w:b w:val="0"/>
              </w:rPr>
            </w:pPr>
            <w:r w:rsidRPr="00E329FB">
              <w:rPr>
                <w:b w:val="0"/>
              </w:rPr>
              <w:t xml:space="preserve">I welcome the addition of six new data tables in the latest issue of the ABS data catalogue </w:t>
            </w:r>
            <w:r w:rsidRPr="00E329FB">
              <w:rPr>
                <w:b w:val="0"/>
                <w:i/>
              </w:rPr>
              <w:t>3303.0 Causes of Death</w:t>
            </w:r>
            <w:r w:rsidRPr="00E329FB">
              <w:rPr>
                <w:b w:val="0"/>
              </w:rPr>
              <w:t>, which included data on suicide deaths of children aged 5-17 years, including one focussing on Indigenous children.</w:t>
            </w:r>
            <w:r w:rsidRPr="00E329FB">
              <w:rPr>
                <w:b w:val="0"/>
                <w:sz w:val="20"/>
                <w:szCs w:val="20"/>
                <w:vertAlign w:val="superscript"/>
              </w:rPr>
              <w:endnoteReference w:id="37"/>
            </w:r>
            <w:r w:rsidRPr="00E329FB">
              <w:rPr>
                <w:b w:val="0"/>
              </w:rPr>
              <w:t xml:space="preserve"> </w:t>
            </w:r>
          </w:p>
          <w:p w14:paraId="72A7D395" w14:textId="77777777" w:rsidR="00E329FB" w:rsidRPr="00E329FB" w:rsidRDefault="00E329FB" w:rsidP="00E329FB">
            <w:pPr>
              <w:jc w:val="both"/>
              <w:rPr>
                <w:b w:val="0"/>
              </w:rPr>
            </w:pPr>
            <w:r w:rsidRPr="00E329FB">
              <w:rPr>
                <w:b w:val="0"/>
              </w:rPr>
              <w:lastRenderedPageBreak/>
              <w:t>I have been informed by the Australian Statistician that the ABS is investigating the possibility of including additional age breakdowns which would enhance the value of these tables.</w:t>
            </w:r>
          </w:p>
          <w:p w14:paraId="2B6CF903" w14:textId="77777777" w:rsidR="00E329FB" w:rsidRPr="00E329FB" w:rsidRDefault="00E329FB" w:rsidP="00E329FB">
            <w:pPr>
              <w:jc w:val="both"/>
              <w:rPr>
                <w:b w:val="0"/>
              </w:rPr>
            </w:pPr>
            <w:r w:rsidRPr="00E329FB">
              <w:rPr>
                <w:b w:val="0"/>
              </w:rPr>
              <w:t>The lack of national disaggregated data for children and young people under the age of 18 years who are engaging in intentional self-harm and suicidal behaviour is a pivotal issue.</w:t>
            </w:r>
            <w:r w:rsidRPr="00E329FB">
              <w:rPr>
                <w:rStyle w:val="EndnoteReference"/>
                <w:b w:val="0"/>
              </w:rPr>
              <w:t xml:space="preserve"> </w:t>
            </w:r>
            <w:r w:rsidRPr="00E329FB">
              <w:rPr>
                <w:rStyle w:val="EndnoteReference"/>
                <w:b w:val="0"/>
              </w:rPr>
              <w:endnoteReference w:id="38"/>
            </w:r>
            <w:r w:rsidRPr="00E329FB">
              <w:rPr>
                <w:b w:val="0"/>
              </w:rPr>
              <w:t xml:space="preserve"> </w:t>
            </w:r>
          </w:p>
          <w:p w14:paraId="0E99A190" w14:textId="77777777" w:rsidR="00E329FB" w:rsidRPr="00E329FB" w:rsidRDefault="00E329FB" w:rsidP="00E329FB">
            <w:pPr>
              <w:jc w:val="both"/>
              <w:rPr>
                <w:b w:val="0"/>
              </w:rPr>
            </w:pPr>
            <w:r w:rsidRPr="00E329FB">
              <w:rPr>
                <w:b w:val="0"/>
              </w:rPr>
              <w:t>Ideally, the data should be disaggregated by six age ranges: 0-3, 4-9, 10-11, 12-13, 14-15 and 16-17, which is equivalent to the data provided by the National Coronial Information System as part of my examination last year.</w:t>
            </w:r>
          </w:p>
          <w:p w14:paraId="36D7D101" w14:textId="77777777" w:rsidR="00E329FB" w:rsidRPr="00E329FB" w:rsidRDefault="00E329FB" w:rsidP="00E329FB">
            <w:pPr>
              <w:jc w:val="both"/>
              <w:rPr>
                <w:b w:val="0"/>
              </w:rPr>
            </w:pPr>
            <w:r w:rsidRPr="00E329FB">
              <w:rPr>
                <w:b w:val="0"/>
              </w:rPr>
              <w:t>Detailed disaggregation by age and other demographic factors could add depth to Australia's surveillance of intentional self-harm in children under 18. Without comprehensive surveillance, early intervention and prevention strategies cannot be properly planned, targeted or evaluated.</w:t>
            </w:r>
          </w:p>
          <w:p w14:paraId="31C1A4F0" w14:textId="5D525EC2" w:rsidR="00E329FB" w:rsidRPr="009D1F82" w:rsidRDefault="00E329FB" w:rsidP="00E329FB">
            <w:pPr>
              <w:jc w:val="both"/>
            </w:pPr>
            <w:r w:rsidRPr="00E329FB">
              <w:rPr>
                <w:b w:val="0"/>
              </w:rPr>
              <w:t>I am greatly appreciative of the ongoing cooperation and assistance provided by the ABS and I look forward to seeing further positive developments in this area.</w:t>
            </w:r>
          </w:p>
        </w:tc>
      </w:tr>
      <w:tr w:rsidR="00E329FB" w:rsidRPr="009D1F82" w14:paraId="6A9F4FAB" w14:textId="77777777" w:rsidTr="00B770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shd w:val="clear" w:color="auto" w:fill="F2F2F2" w:themeFill="background1" w:themeFillShade="F2"/>
            <w:vAlign w:val="center"/>
          </w:tcPr>
          <w:p w14:paraId="1164FF35" w14:textId="61E4DE63" w:rsidR="00E329FB" w:rsidRPr="009D1F82" w:rsidRDefault="00E329FB" w:rsidP="00E329FB">
            <w:pPr>
              <w:jc w:val="center"/>
            </w:pPr>
            <w:r w:rsidRPr="006306E3">
              <w:lastRenderedPageBreak/>
              <w:t>Recommendation 2b</w:t>
            </w:r>
          </w:p>
        </w:tc>
      </w:tr>
      <w:tr w:rsidR="00E329FB" w:rsidRPr="00E329FB" w14:paraId="7985C61B" w14:textId="77777777" w:rsidTr="00B77005">
        <w:tc>
          <w:tcPr>
            <w:cnfStyle w:val="001000000000" w:firstRow="0" w:lastRow="0" w:firstColumn="1" w:lastColumn="0" w:oddVBand="0" w:evenVBand="0" w:oddHBand="0" w:evenHBand="0" w:firstRowFirstColumn="0" w:firstRowLastColumn="0" w:lastRowFirstColumn="0" w:lastRowLastColumn="0"/>
            <w:tcW w:w="9493" w:type="dxa"/>
            <w:tcBorders>
              <w:bottom w:val="single" w:sz="4" w:space="0" w:color="9CC2E5" w:themeColor="accent1" w:themeTint="99"/>
            </w:tcBorders>
            <w:shd w:val="clear" w:color="auto" w:fill="FFFFFF" w:themeFill="background1"/>
            <w:vAlign w:val="center"/>
          </w:tcPr>
          <w:p w14:paraId="4B813AC2" w14:textId="77777777" w:rsidR="00E329FB" w:rsidRPr="008F04C2" w:rsidRDefault="00E329FB" w:rsidP="00E329FB">
            <w:pPr>
              <w:jc w:val="both"/>
              <w:rPr>
                <w:b w:val="0"/>
              </w:rPr>
            </w:pPr>
            <w:r w:rsidRPr="008F04C2">
              <w:rPr>
                <w:b w:val="0"/>
              </w:rPr>
              <w:t>Strengthen and develop surveillance of intentional self-harm, with or without suicidal intent, through:</w:t>
            </w:r>
          </w:p>
          <w:p w14:paraId="7CC054E5" w14:textId="37B7EF41" w:rsidR="00E329FB" w:rsidRPr="00E329FB" w:rsidRDefault="00E329FB" w:rsidP="00E329FB">
            <w:pPr>
              <w:jc w:val="both"/>
              <w:rPr>
                <w:b w:val="0"/>
              </w:rPr>
            </w:pPr>
            <w:r w:rsidRPr="008F04C2">
              <w:rPr>
                <w:b w:val="0"/>
              </w:rPr>
              <w:t xml:space="preserve">The </w:t>
            </w:r>
            <w:r>
              <w:rPr>
                <w:b w:val="0"/>
              </w:rPr>
              <w:t>Australian Institute Health and Welfare</w:t>
            </w:r>
            <w:r w:rsidRPr="008F04C2">
              <w:rPr>
                <w:b w:val="0"/>
              </w:rPr>
              <w:t xml:space="preserve"> including a section using disaggregated data about hospitalisations for intentional self-harm involving children and young people aged 0-17 years in its regular series on hospitalisations for injury and poisoning in Australia.</w:t>
            </w:r>
          </w:p>
        </w:tc>
      </w:tr>
      <w:tr w:rsidR="00E329FB" w:rsidRPr="00E329FB" w14:paraId="5DB6286C" w14:textId="77777777" w:rsidTr="00B770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shd w:val="clear" w:color="auto" w:fill="F2F2F2" w:themeFill="background1" w:themeFillShade="F2"/>
            <w:vAlign w:val="center"/>
          </w:tcPr>
          <w:p w14:paraId="1C0DEFD3" w14:textId="09929191" w:rsidR="00E329FB" w:rsidRPr="00E329FB" w:rsidRDefault="00E329FB" w:rsidP="00B77005">
            <w:pPr>
              <w:jc w:val="center"/>
            </w:pPr>
            <w:r w:rsidRPr="00E329FB">
              <w:t xml:space="preserve">Progress of Recommendation </w:t>
            </w:r>
            <w:r>
              <w:t>2b</w:t>
            </w:r>
          </w:p>
        </w:tc>
      </w:tr>
      <w:tr w:rsidR="00E329FB" w:rsidRPr="009D1F82" w14:paraId="2F0E862B" w14:textId="77777777" w:rsidTr="00B77005">
        <w:tc>
          <w:tcPr>
            <w:cnfStyle w:val="001000000000" w:firstRow="0" w:lastRow="0" w:firstColumn="1" w:lastColumn="0" w:oddVBand="0" w:evenVBand="0" w:oddHBand="0" w:evenHBand="0" w:firstRowFirstColumn="0" w:firstRowLastColumn="0" w:lastRowFirstColumn="0" w:lastRowLastColumn="0"/>
            <w:tcW w:w="9493" w:type="dxa"/>
            <w:vAlign w:val="center"/>
          </w:tcPr>
          <w:p w14:paraId="67E01BCC" w14:textId="77777777" w:rsidR="00E329FB" w:rsidRPr="00E329FB" w:rsidRDefault="00E329FB" w:rsidP="00E329FB">
            <w:pPr>
              <w:jc w:val="both"/>
              <w:rPr>
                <w:b w:val="0"/>
              </w:rPr>
            </w:pPr>
            <w:r w:rsidRPr="00E329FB">
              <w:rPr>
                <w:b w:val="0"/>
              </w:rPr>
              <w:t xml:space="preserve">The AIHW indicated that it could not extend its coverage of data on hospitalisations for children under 10 years of age. Reasons for this included difficulties in determining a suitable age at which self-inflicted acts can be interpreted as an intentional act of self-harm and small numbers in the age groups under 10 years can affect the reliability of estimates and may compromise confidentiality. </w:t>
            </w:r>
          </w:p>
          <w:p w14:paraId="1B974FB5" w14:textId="77777777" w:rsidR="00E329FB" w:rsidRPr="00E329FB" w:rsidRDefault="00E329FB" w:rsidP="00E329FB">
            <w:pPr>
              <w:jc w:val="both"/>
              <w:rPr>
                <w:b w:val="0"/>
              </w:rPr>
            </w:pPr>
            <w:r w:rsidRPr="00E329FB">
              <w:rPr>
                <w:b w:val="0"/>
              </w:rPr>
              <w:t xml:space="preserve">The AIHW indicated that it has the capacity to report on the 14-17 years cohort. However, this did not occur in its report </w:t>
            </w:r>
            <w:r w:rsidRPr="00E329FB">
              <w:rPr>
                <w:b w:val="0"/>
                <w:i/>
              </w:rPr>
              <w:t xml:space="preserve">Trends in hospitalised injury, Australia: 1999–00 to 2012–13 </w:t>
            </w:r>
            <w:r w:rsidRPr="00E329FB">
              <w:rPr>
                <w:b w:val="0"/>
              </w:rPr>
              <w:t>which was published in August 2015.</w:t>
            </w:r>
            <w:r w:rsidRPr="00E329FB">
              <w:rPr>
                <w:rStyle w:val="EndnoteReference"/>
                <w:b w:val="0"/>
              </w:rPr>
              <w:endnoteReference w:id="39"/>
            </w:r>
          </w:p>
          <w:p w14:paraId="2FFA43F9" w14:textId="120B0284" w:rsidR="00E329FB" w:rsidRPr="009D1F82" w:rsidRDefault="00E329FB" w:rsidP="00E329FB">
            <w:pPr>
              <w:jc w:val="both"/>
            </w:pPr>
            <w:r w:rsidRPr="00E329FB">
              <w:rPr>
                <w:b w:val="0"/>
              </w:rPr>
              <w:t>I will continue to advocate for the representation of children and young people aged 0–17 years in all future reporting.</w:t>
            </w:r>
          </w:p>
        </w:tc>
      </w:tr>
      <w:tr w:rsidR="00E329FB" w:rsidRPr="009D1F82" w14:paraId="1DF97BA2" w14:textId="77777777" w:rsidTr="00B770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shd w:val="clear" w:color="auto" w:fill="F2F2F2" w:themeFill="background1" w:themeFillShade="F2"/>
            <w:vAlign w:val="center"/>
          </w:tcPr>
          <w:p w14:paraId="64FF1C0A" w14:textId="77777777" w:rsidR="00E329FB" w:rsidRDefault="00E329FB" w:rsidP="00E329FB">
            <w:pPr>
              <w:jc w:val="center"/>
            </w:pPr>
            <w:r>
              <w:t>Recommendation 2c</w:t>
            </w:r>
          </w:p>
          <w:p w14:paraId="75C1918B" w14:textId="2F3024C3" w:rsidR="00E329FB" w:rsidRPr="009D1F82" w:rsidRDefault="00E329FB" w:rsidP="00B77005">
            <w:pPr>
              <w:jc w:val="center"/>
            </w:pPr>
          </w:p>
        </w:tc>
      </w:tr>
      <w:tr w:rsidR="00E329FB" w:rsidRPr="00E329FB" w14:paraId="72C7C803" w14:textId="77777777" w:rsidTr="00B77005">
        <w:tc>
          <w:tcPr>
            <w:cnfStyle w:val="001000000000" w:firstRow="0" w:lastRow="0" w:firstColumn="1" w:lastColumn="0" w:oddVBand="0" w:evenVBand="0" w:oddHBand="0" w:evenHBand="0" w:firstRowFirstColumn="0" w:firstRowLastColumn="0" w:lastRowFirstColumn="0" w:lastRowLastColumn="0"/>
            <w:tcW w:w="9493" w:type="dxa"/>
            <w:tcBorders>
              <w:bottom w:val="single" w:sz="4" w:space="0" w:color="9CC2E5" w:themeColor="accent1" w:themeTint="99"/>
            </w:tcBorders>
            <w:shd w:val="clear" w:color="auto" w:fill="FFFFFF" w:themeFill="background1"/>
            <w:vAlign w:val="center"/>
          </w:tcPr>
          <w:p w14:paraId="0CBB6E5C" w14:textId="77777777" w:rsidR="00E329FB" w:rsidRPr="008F04C2" w:rsidRDefault="00E329FB" w:rsidP="00E329FB">
            <w:pPr>
              <w:jc w:val="both"/>
              <w:rPr>
                <w:b w:val="0"/>
              </w:rPr>
            </w:pPr>
            <w:r w:rsidRPr="008F04C2">
              <w:rPr>
                <w:b w:val="0"/>
              </w:rPr>
              <w:lastRenderedPageBreak/>
              <w:t>Strengthen and develop surveillance of intentional self-harm, with or without suicidal intent, through:</w:t>
            </w:r>
          </w:p>
          <w:p w14:paraId="0708AC54" w14:textId="0D856F61" w:rsidR="00E329FB" w:rsidRPr="00E329FB" w:rsidRDefault="00E329FB" w:rsidP="00E329FB">
            <w:pPr>
              <w:jc w:val="both"/>
              <w:rPr>
                <w:b w:val="0"/>
              </w:rPr>
            </w:pPr>
            <w:r w:rsidRPr="008F04C2">
              <w:rPr>
                <w:b w:val="0"/>
              </w:rPr>
              <w:t xml:space="preserve">The Australian and New Zealand Child Death Review and Prevention Group continuing its work in relation to the development of a national child death database, in conjunction with the </w:t>
            </w:r>
            <w:r>
              <w:rPr>
                <w:b w:val="0"/>
              </w:rPr>
              <w:t>Australian Institute of Health and Welfare</w:t>
            </w:r>
            <w:r w:rsidRPr="008F04C2">
              <w:rPr>
                <w:b w:val="0"/>
              </w:rPr>
              <w:t>, and providing an annual progress report.</w:t>
            </w:r>
          </w:p>
        </w:tc>
      </w:tr>
      <w:tr w:rsidR="00E329FB" w:rsidRPr="00E329FB" w14:paraId="41CAB26D" w14:textId="77777777" w:rsidTr="00B770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shd w:val="clear" w:color="auto" w:fill="F2F2F2" w:themeFill="background1" w:themeFillShade="F2"/>
            <w:vAlign w:val="center"/>
          </w:tcPr>
          <w:p w14:paraId="75510F73" w14:textId="7FA72609" w:rsidR="00E329FB" w:rsidRPr="00E329FB" w:rsidRDefault="00E329FB" w:rsidP="00B77005">
            <w:pPr>
              <w:jc w:val="center"/>
            </w:pPr>
            <w:r w:rsidRPr="00E329FB">
              <w:t xml:space="preserve">Progress of Recommendation </w:t>
            </w:r>
            <w:r>
              <w:t>2c</w:t>
            </w:r>
          </w:p>
        </w:tc>
      </w:tr>
      <w:tr w:rsidR="00E329FB" w:rsidRPr="009D1F82" w14:paraId="7AB491B8" w14:textId="77777777" w:rsidTr="00B77005">
        <w:tc>
          <w:tcPr>
            <w:cnfStyle w:val="001000000000" w:firstRow="0" w:lastRow="0" w:firstColumn="1" w:lastColumn="0" w:oddVBand="0" w:evenVBand="0" w:oddHBand="0" w:evenHBand="0" w:firstRowFirstColumn="0" w:firstRowLastColumn="0" w:lastRowFirstColumn="0" w:lastRowLastColumn="0"/>
            <w:tcW w:w="9493" w:type="dxa"/>
            <w:vAlign w:val="center"/>
          </w:tcPr>
          <w:p w14:paraId="3A2B4357" w14:textId="77777777" w:rsidR="00E329FB" w:rsidRPr="00E329FB" w:rsidRDefault="00E329FB" w:rsidP="00E329FB">
            <w:pPr>
              <w:jc w:val="both"/>
              <w:rPr>
                <w:b w:val="0"/>
              </w:rPr>
            </w:pPr>
            <w:r w:rsidRPr="00E329FB">
              <w:rPr>
                <w:b w:val="0"/>
              </w:rPr>
              <w:t>Through communication with the Chair of the Australian and New Zealand Child Death Review and Prevention Group (ANZCDR&amp;PG), I understand that ANZCDR&amp;PG is continuing its valuable work to establish a national child death and injury database, as per recommendation 2c.</w:t>
            </w:r>
          </w:p>
          <w:p w14:paraId="28C32517" w14:textId="77777777" w:rsidR="00E329FB" w:rsidRPr="00E329FB" w:rsidRDefault="00E329FB" w:rsidP="00E329FB">
            <w:pPr>
              <w:jc w:val="both"/>
              <w:rPr>
                <w:b w:val="0"/>
              </w:rPr>
            </w:pPr>
            <w:r w:rsidRPr="00E329FB">
              <w:rPr>
                <w:b w:val="0"/>
              </w:rPr>
              <w:t>I was pleased to learn that the AIHW and ABS have both indicated to the ANZCDR&amp;PG their commitment to be actively involved in achieving this goal.</w:t>
            </w:r>
          </w:p>
          <w:p w14:paraId="661625CA" w14:textId="6172BDF1" w:rsidR="00E329FB" w:rsidRPr="009D1F82" w:rsidRDefault="00E329FB" w:rsidP="00E329FB">
            <w:pPr>
              <w:jc w:val="both"/>
            </w:pPr>
            <w:r w:rsidRPr="00E329FB">
              <w:rPr>
                <w:b w:val="0"/>
              </w:rPr>
              <w:t>I look forward to continuing to support the ANZCDR&amp;PG in their efforts to enhance the availability of information in this critical area.</w:t>
            </w:r>
          </w:p>
        </w:tc>
      </w:tr>
      <w:tr w:rsidR="00E329FB" w:rsidRPr="009D1F82" w14:paraId="511B2497" w14:textId="77777777" w:rsidTr="00B770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shd w:val="clear" w:color="auto" w:fill="F2F2F2" w:themeFill="background1" w:themeFillShade="F2"/>
            <w:vAlign w:val="center"/>
          </w:tcPr>
          <w:p w14:paraId="7C4729CA" w14:textId="50F18238" w:rsidR="00E329FB" w:rsidRPr="009D1F82" w:rsidRDefault="00E329FB" w:rsidP="00E329FB">
            <w:pPr>
              <w:spacing w:before="120"/>
              <w:jc w:val="center"/>
            </w:pPr>
            <w:r w:rsidRPr="009228A5">
              <w:t>Recommendation 3</w:t>
            </w:r>
            <w:r>
              <w:t>a</w:t>
            </w:r>
          </w:p>
        </w:tc>
      </w:tr>
      <w:tr w:rsidR="00E329FB" w:rsidRPr="00E329FB" w14:paraId="50858344" w14:textId="77777777" w:rsidTr="00B77005">
        <w:tc>
          <w:tcPr>
            <w:cnfStyle w:val="001000000000" w:firstRow="0" w:lastRow="0" w:firstColumn="1" w:lastColumn="0" w:oddVBand="0" w:evenVBand="0" w:oddHBand="0" w:evenHBand="0" w:firstRowFirstColumn="0" w:firstRowLastColumn="0" w:lastRowFirstColumn="0" w:lastRowLastColumn="0"/>
            <w:tcW w:w="9493" w:type="dxa"/>
            <w:tcBorders>
              <w:bottom w:val="single" w:sz="4" w:space="0" w:color="9CC2E5" w:themeColor="accent1" w:themeTint="99"/>
            </w:tcBorders>
            <w:shd w:val="clear" w:color="auto" w:fill="FFFFFF" w:themeFill="background1"/>
            <w:vAlign w:val="center"/>
          </w:tcPr>
          <w:p w14:paraId="6591002C" w14:textId="77777777" w:rsidR="008C2A31" w:rsidRPr="008F04C2" w:rsidRDefault="008C2A31" w:rsidP="008C2A31">
            <w:pPr>
              <w:jc w:val="both"/>
              <w:rPr>
                <w:b w:val="0"/>
              </w:rPr>
            </w:pPr>
            <w:r w:rsidRPr="008F04C2">
              <w:rPr>
                <w:b w:val="0"/>
              </w:rPr>
              <w:t>Collect national data on children and young people who die due to intentional self-harm through:</w:t>
            </w:r>
          </w:p>
          <w:p w14:paraId="19579896" w14:textId="06C0866F" w:rsidR="00E329FB" w:rsidRPr="00E329FB" w:rsidRDefault="008C2A31" w:rsidP="008C2A31">
            <w:pPr>
              <w:jc w:val="both"/>
              <w:rPr>
                <w:b w:val="0"/>
              </w:rPr>
            </w:pPr>
            <w:r w:rsidRPr="008F04C2">
              <w:rPr>
                <w:b w:val="0"/>
              </w:rPr>
              <w:t>The use of the standardised National Police Form, in all jurisdictions, by 2015. This should include an electronic transfer to the National Coronial Information System. A plan to monitor the outcomes of all jurisdictions using the standardised National Police Form should be developed, and the possibility of incorporating a range of demographic, psychosocial and psychiatric information specific to children and young people should be investigated.</w:t>
            </w:r>
          </w:p>
        </w:tc>
      </w:tr>
      <w:tr w:rsidR="00E329FB" w:rsidRPr="00E329FB" w14:paraId="646D6FD7" w14:textId="77777777" w:rsidTr="00B770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shd w:val="clear" w:color="auto" w:fill="F2F2F2" w:themeFill="background1" w:themeFillShade="F2"/>
            <w:vAlign w:val="center"/>
          </w:tcPr>
          <w:p w14:paraId="2D099A33" w14:textId="5DCA16AC" w:rsidR="00E329FB" w:rsidRPr="00E329FB" w:rsidRDefault="00E329FB" w:rsidP="00B77005">
            <w:pPr>
              <w:jc w:val="center"/>
            </w:pPr>
            <w:r w:rsidRPr="00E329FB">
              <w:t xml:space="preserve">Recommendation </w:t>
            </w:r>
            <w:r w:rsidR="008C2A31">
              <w:t>3b</w:t>
            </w:r>
          </w:p>
        </w:tc>
      </w:tr>
      <w:tr w:rsidR="00E329FB" w:rsidRPr="009D1F82" w14:paraId="3A7DAC04" w14:textId="77777777" w:rsidTr="00B77005">
        <w:tc>
          <w:tcPr>
            <w:cnfStyle w:val="001000000000" w:firstRow="0" w:lastRow="0" w:firstColumn="1" w:lastColumn="0" w:oddVBand="0" w:evenVBand="0" w:oddHBand="0" w:evenHBand="0" w:firstRowFirstColumn="0" w:firstRowLastColumn="0" w:lastRowFirstColumn="0" w:lastRowLastColumn="0"/>
            <w:tcW w:w="9493" w:type="dxa"/>
            <w:vAlign w:val="center"/>
          </w:tcPr>
          <w:p w14:paraId="2760289E" w14:textId="77777777" w:rsidR="008C2A31" w:rsidRPr="008F04C2" w:rsidRDefault="008C2A31" w:rsidP="008C2A31">
            <w:pPr>
              <w:jc w:val="both"/>
              <w:rPr>
                <w:b w:val="0"/>
              </w:rPr>
            </w:pPr>
            <w:r w:rsidRPr="008F04C2">
              <w:rPr>
                <w:b w:val="0"/>
              </w:rPr>
              <w:t>Collect national data on children and young people who die due to intentional self-harm through:</w:t>
            </w:r>
          </w:p>
          <w:p w14:paraId="23EC4772" w14:textId="21306292" w:rsidR="00E329FB" w:rsidRPr="009D1F82" w:rsidRDefault="008C2A31" w:rsidP="008C2A31">
            <w:pPr>
              <w:jc w:val="both"/>
            </w:pPr>
            <w:r w:rsidRPr="008F04C2">
              <w:rPr>
                <w:b w:val="0"/>
              </w:rPr>
              <w:t xml:space="preserve">The Standing Council on Law, Crime and Community Safety putting the issue of standardisation of coronial legislation and/or coronial systems on its agenda. Standardisation should require that where all state and territory coroners find a death under investigation to be caused by an action of the deceased, the coroner must make a further finding of intent, based on the evidence, to clarify whether the deceased intended to take the action which caused his or her death; the deceased lacked capacity to recognise that his or her action would cause his or her death but death was </w:t>
            </w:r>
            <w:r w:rsidRPr="008F04C2">
              <w:rPr>
                <w:b w:val="0"/>
              </w:rPr>
              <w:lastRenderedPageBreak/>
              <w:t>a reasonably foreseeable consequence of the action; or it is not clear from the evidence whether the deceased intended to cause his or her death.</w:t>
            </w:r>
          </w:p>
        </w:tc>
      </w:tr>
      <w:tr w:rsidR="00E329FB" w:rsidRPr="009D1F82" w14:paraId="784A2FAE" w14:textId="77777777" w:rsidTr="00B770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shd w:val="clear" w:color="auto" w:fill="F2F2F2" w:themeFill="background1" w:themeFillShade="F2"/>
            <w:vAlign w:val="center"/>
          </w:tcPr>
          <w:p w14:paraId="023CF9DC" w14:textId="0018D772" w:rsidR="00E329FB" w:rsidRPr="009D1F82" w:rsidRDefault="008C2A31" w:rsidP="00B77005">
            <w:pPr>
              <w:jc w:val="center"/>
            </w:pPr>
            <w:r>
              <w:lastRenderedPageBreak/>
              <w:t>Progress of Recommendations 3a and 3b</w:t>
            </w:r>
          </w:p>
        </w:tc>
      </w:tr>
      <w:tr w:rsidR="00E329FB" w:rsidRPr="00E329FB" w14:paraId="0C29C3BD" w14:textId="77777777" w:rsidTr="00B77005">
        <w:tc>
          <w:tcPr>
            <w:cnfStyle w:val="001000000000" w:firstRow="0" w:lastRow="0" w:firstColumn="1" w:lastColumn="0" w:oddVBand="0" w:evenVBand="0" w:oddHBand="0" w:evenHBand="0" w:firstRowFirstColumn="0" w:firstRowLastColumn="0" w:lastRowFirstColumn="0" w:lastRowLastColumn="0"/>
            <w:tcW w:w="9493" w:type="dxa"/>
            <w:tcBorders>
              <w:bottom w:val="single" w:sz="4" w:space="0" w:color="9CC2E5" w:themeColor="accent1" w:themeTint="99"/>
            </w:tcBorders>
            <w:shd w:val="clear" w:color="auto" w:fill="FFFFFF" w:themeFill="background1"/>
            <w:vAlign w:val="center"/>
          </w:tcPr>
          <w:p w14:paraId="2A600EA3" w14:textId="3D2BA396" w:rsidR="008C2A31" w:rsidRPr="008C2A31" w:rsidRDefault="008C2A31" w:rsidP="008C2A31">
            <w:pPr>
              <w:jc w:val="both"/>
              <w:rPr>
                <w:b w:val="0"/>
              </w:rPr>
            </w:pPr>
            <w:r w:rsidRPr="008C2A31">
              <w:rPr>
                <w:b w:val="0"/>
              </w:rPr>
              <w:t xml:space="preserve">The Attorney-General has informed me in writing that the Australian Government is supportive of efforts to improve the consistency of suicide reporting and collection of data. </w:t>
            </w:r>
          </w:p>
          <w:p w14:paraId="421E5436" w14:textId="77777777" w:rsidR="008C2A31" w:rsidRPr="008C2A31" w:rsidRDefault="008C2A31" w:rsidP="008C2A31">
            <w:pPr>
              <w:jc w:val="both"/>
              <w:rPr>
                <w:b w:val="0"/>
              </w:rPr>
            </w:pPr>
            <w:r w:rsidRPr="008C2A31">
              <w:rPr>
                <w:b w:val="0"/>
              </w:rPr>
              <w:t xml:space="preserve">The Attorney-General stated that any work to develop nationally consistent forms and legislation should be led by the states and territories as coronial matters fall within their responsibilities. </w:t>
            </w:r>
          </w:p>
          <w:p w14:paraId="20918305" w14:textId="77777777" w:rsidR="008C2A31" w:rsidRPr="008C2A31" w:rsidRDefault="008C2A31" w:rsidP="008C2A31">
            <w:pPr>
              <w:jc w:val="both"/>
              <w:rPr>
                <w:b w:val="0"/>
              </w:rPr>
            </w:pPr>
            <w:r w:rsidRPr="008C2A31">
              <w:rPr>
                <w:b w:val="0"/>
              </w:rPr>
              <w:t>The Attorney-General also advised me that the Victorian Attorney-General will be raising the issue of standardisation at the Standing Council on Law, Crime and Community Safety meeting on 5 November 2015.</w:t>
            </w:r>
          </w:p>
          <w:p w14:paraId="095C23C5" w14:textId="77777777" w:rsidR="008C2A31" w:rsidRPr="008C2A31" w:rsidRDefault="008C2A31" w:rsidP="008C2A31">
            <w:pPr>
              <w:jc w:val="both"/>
              <w:rPr>
                <w:b w:val="0"/>
              </w:rPr>
            </w:pPr>
            <w:r w:rsidRPr="008C2A31">
              <w:rPr>
                <w:b w:val="0"/>
              </w:rPr>
              <w:t xml:space="preserve">I encourage the Australian Government to take a leadership role in lifting the quality and consistency of data relating to children and young people who die due to intentional self-harm. I commend the Victorian Attorney-General for progressing this matter. </w:t>
            </w:r>
          </w:p>
          <w:p w14:paraId="51142058" w14:textId="2ED504F3" w:rsidR="00E329FB" w:rsidRPr="00E329FB" w:rsidRDefault="008C2A31" w:rsidP="008C2A31">
            <w:pPr>
              <w:jc w:val="both"/>
              <w:rPr>
                <w:b w:val="0"/>
              </w:rPr>
            </w:pPr>
            <w:r w:rsidRPr="008C2A31">
              <w:rPr>
                <w:b w:val="0"/>
              </w:rPr>
              <w:t>I look forward to engaging with the Standing Council on Law, Crime and Community Safety further on the issues of standardised police forms and coronial legislation.</w:t>
            </w:r>
            <w:r>
              <w:t xml:space="preserve">  </w:t>
            </w:r>
          </w:p>
        </w:tc>
      </w:tr>
      <w:tr w:rsidR="00E329FB" w:rsidRPr="00E329FB" w14:paraId="6C84D191" w14:textId="77777777" w:rsidTr="00B770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shd w:val="clear" w:color="auto" w:fill="F2F2F2" w:themeFill="background1" w:themeFillShade="F2"/>
            <w:vAlign w:val="center"/>
          </w:tcPr>
          <w:p w14:paraId="3946CF20" w14:textId="5EFBD469" w:rsidR="00E329FB" w:rsidRPr="00E329FB" w:rsidRDefault="00E329FB" w:rsidP="00B77005">
            <w:pPr>
              <w:jc w:val="center"/>
            </w:pPr>
            <w:r w:rsidRPr="00E329FB">
              <w:t xml:space="preserve">Recommendation </w:t>
            </w:r>
            <w:r w:rsidR="008C2A31">
              <w:t>4</w:t>
            </w:r>
          </w:p>
        </w:tc>
      </w:tr>
      <w:tr w:rsidR="00E329FB" w:rsidRPr="009D1F82" w14:paraId="0C905B04" w14:textId="77777777" w:rsidTr="00B77005">
        <w:tc>
          <w:tcPr>
            <w:cnfStyle w:val="001000000000" w:firstRow="0" w:lastRow="0" w:firstColumn="1" w:lastColumn="0" w:oddVBand="0" w:evenVBand="0" w:oddHBand="0" w:evenHBand="0" w:firstRowFirstColumn="0" w:firstRowLastColumn="0" w:lastRowFirstColumn="0" w:lastRowLastColumn="0"/>
            <w:tcW w:w="9493" w:type="dxa"/>
            <w:vAlign w:val="center"/>
          </w:tcPr>
          <w:p w14:paraId="506D4F84" w14:textId="5AE2EAD6" w:rsidR="00E329FB" w:rsidRPr="009D1F82" w:rsidRDefault="008C2A31" w:rsidP="008C2A31">
            <w:pPr>
              <w:jc w:val="both"/>
            </w:pPr>
            <w:r w:rsidRPr="008F04C2">
              <w:rPr>
                <w:b w:val="0"/>
              </w:rPr>
              <w:t xml:space="preserve">The Royal Australian and New Zealand College of Psychiatrists should review and, where appropriate, update its </w:t>
            </w:r>
            <w:r w:rsidRPr="00AE3185">
              <w:rPr>
                <w:b w:val="0"/>
                <w:i/>
              </w:rPr>
              <w:t>Guidelines for the Management of Deliberate Self Harm in Young People</w:t>
            </w:r>
            <w:r w:rsidRPr="008F04C2">
              <w:rPr>
                <w:b w:val="0"/>
              </w:rPr>
              <w:t xml:space="preserve"> (2000).</w:t>
            </w:r>
          </w:p>
        </w:tc>
      </w:tr>
      <w:tr w:rsidR="00E329FB" w:rsidRPr="009D1F82" w14:paraId="3D0A5430" w14:textId="77777777" w:rsidTr="00B770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shd w:val="clear" w:color="auto" w:fill="F2F2F2" w:themeFill="background1" w:themeFillShade="F2"/>
            <w:vAlign w:val="center"/>
          </w:tcPr>
          <w:p w14:paraId="190056B0" w14:textId="7443E128" w:rsidR="00E329FB" w:rsidRPr="009D1F82" w:rsidRDefault="008C2A31" w:rsidP="008C2A31">
            <w:pPr>
              <w:jc w:val="center"/>
            </w:pPr>
            <w:r>
              <w:t xml:space="preserve">Progress of </w:t>
            </w:r>
            <w:r w:rsidR="00E329FB">
              <w:t xml:space="preserve">Recommendation </w:t>
            </w:r>
            <w:r>
              <w:t>4</w:t>
            </w:r>
          </w:p>
        </w:tc>
      </w:tr>
      <w:tr w:rsidR="00E329FB" w:rsidRPr="00E329FB" w14:paraId="214D090F" w14:textId="77777777" w:rsidTr="00B77005">
        <w:tc>
          <w:tcPr>
            <w:cnfStyle w:val="001000000000" w:firstRow="0" w:lastRow="0" w:firstColumn="1" w:lastColumn="0" w:oddVBand="0" w:evenVBand="0" w:oddHBand="0" w:evenHBand="0" w:firstRowFirstColumn="0" w:firstRowLastColumn="0" w:lastRowFirstColumn="0" w:lastRowLastColumn="0"/>
            <w:tcW w:w="9493" w:type="dxa"/>
            <w:tcBorders>
              <w:bottom w:val="single" w:sz="4" w:space="0" w:color="9CC2E5" w:themeColor="accent1" w:themeTint="99"/>
            </w:tcBorders>
            <w:shd w:val="clear" w:color="auto" w:fill="FFFFFF" w:themeFill="background1"/>
            <w:vAlign w:val="center"/>
          </w:tcPr>
          <w:p w14:paraId="292767C1" w14:textId="31ABE242" w:rsidR="008C2A31" w:rsidRPr="008C2A31" w:rsidRDefault="008C2A31" w:rsidP="008C2A31">
            <w:pPr>
              <w:jc w:val="both"/>
              <w:rPr>
                <w:b w:val="0"/>
              </w:rPr>
            </w:pPr>
            <w:r w:rsidRPr="008C2A31">
              <w:rPr>
                <w:b w:val="0"/>
              </w:rPr>
              <w:t xml:space="preserve">In March this year, I learned that the Royal Australian and New Zealand College of Psychiatrists intended to update their </w:t>
            </w:r>
            <w:r w:rsidRPr="008C2A31">
              <w:rPr>
                <w:b w:val="0"/>
                <w:i/>
              </w:rPr>
              <w:t>Guidelines for Management of Deliberate Self Harm in Adults</w:t>
            </w:r>
            <w:r w:rsidRPr="008C2A31">
              <w:rPr>
                <w:b w:val="0"/>
              </w:rPr>
              <w:t xml:space="preserve">, leading to the inclusion of a new section on Children and Adolescents. As part of this update, I was invited to provide feedback on the draft guidelines for this new publication.  </w:t>
            </w:r>
          </w:p>
          <w:p w14:paraId="67C414ED" w14:textId="461BAB58" w:rsidR="008C2A31" w:rsidRPr="008C2A31" w:rsidRDefault="008C2A31" w:rsidP="008C2A31">
            <w:pPr>
              <w:jc w:val="both"/>
              <w:rPr>
                <w:b w:val="0"/>
              </w:rPr>
            </w:pPr>
            <w:r w:rsidRPr="008C2A31">
              <w:rPr>
                <w:b w:val="0"/>
              </w:rPr>
              <w:t xml:space="preserve">The reissue of updated </w:t>
            </w:r>
            <w:r w:rsidRPr="008C2A31">
              <w:rPr>
                <w:b w:val="0"/>
                <w:i/>
              </w:rPr>
              <w:t>Guidelines for the Management of Deliberate Self Harm</w:t>
            </w:r>
            <w:r w:rsidRPr="008C2A31">
              <w:rPr>
                <w:b w:val="0"/>
              </w:rPr>
              <w:t xml:space="preserve">, with the inclusion of a section on Children and Adolescents, is a welcome development and I greatly appreciated the opportunity to provide feedback on </w:t>
            </w:r>
            <w:r w:rsidR="00E00380">
              <w:rPr>
                <w:b w:val="0"/>
              </w:rPr>
              <w:t>its</w:t>
            </w:r>
            <w:r w:rsidRPr="008C2A31">
              <w:rPr>
                <w:b w:val="0"/>
              </w:rPr>
              <w:t xml:space="preserve"> content. </w:t>
            </w:r>
          </w:p>
          <w:p w14:paraId="6863C2AE" w14:textId="561A60CC" w:rsidR="008C2A31" w:rsidRPr="008C2A31" w:rsidRDefault="008C2A31" w:rsidP="008C2A31">
            <w:pPr>
              <w:jc w:val="both"/>
              <w:rPr>
                <w:b w:val="0"/>
              </w:rPr>
            </w:pPr>
            <w:r w:rsidRPr="008C2A31">
              <w:rPr>
                <w:b w:val="0"/>
              </w:rPr>
              <w:t xml:space="preserve">I have been informed that there are no current plans to review or update the </w:t>
            </w:r>
            <w:r w:rsidRPr="008C2A31">
              <w:rPr>
                <w:b w:val="0"/>
                <w:i/>
              </w:rPr>
              <w:t xml:space="preserve">Guidelines for the Management of Deliberate Self Harm in Young People </w:t>
            </w:r>
            <w:r w:rsidRPr="008C2A31">
              <w:rPr>
                <w:b w:val="0"/>
              </w:rPr>
              <w:t>(2000), as aspects of this publication have now been included and updated in th</w:t>
            </w:r>
            <w:r w:rsidR="00E00380">
              <w:rPr>
                <w:b w:val="0"/>
              </w:rPr>
              <w:t>e</w:t>
            </w:r>
            <w:r w:rsidRPr="008C2A31">
              <w:rPr>
                <w:b w:val="0"/>
              </w:rPr>
              <w:t xml:space="preserve"> new </w:t>
            </w:r>
            <w:r w:rsidRPr="008C2A31">
              <w:rPr>
                <w:b w:val="0"/>
                <w:i/>
              </w:rPr>
              <w:t>Guidelines for Management of Deliberate Self-Harm</w:t>
            </w:r>
            <w:r w:rsidRPr="008C2A31">
              <w:rPr>
                <w:b w:val="0"/>
              </w:rPr>
              <w:t xml:space="preserve">. Additionally, due to the inclusion of the Children </w:t>
            </w:r>
            <w:r w:rsidRPr="008C2A31">
              <w:rPr>
                <w:b w:val="0"/>
              </w:rPr>
              <w:lastRenderedPageBreak/>
              <w:t>and Adolescent section, the term ‘adult’ will not be used in the new publication’s title.</w:t>
            </w:r>
          </w:p>
          <w:p w14:paraId="504C7C65" w14:textId="56306D58" w:rsidR="00E329FB" w:rsidRPr="00E329FB" w:rsidRDefault="008C2A31" w:rsidP="008C2A31">
            <w:pPr>
              <w:jc w:val="both"/>
              <w:rPr>
                <w:b w:val="0"/>
              </w:rPr>
            </w:pPr>
            <w:r w:rsidRPr="008C2A31">
              <w:rPr>
                <w:b w:val="0"/>
              </w:rPr>
              <w:t xml:space="preserve">Despite this welcome update, I remain of the view that a stand-alone publication devoted to children and young people is warranted and encourage the Australian Department of Health to fund a review and update of the </w:t>
            </w:r>
            <w:r w:rsidRPr="008C2A31">
              <w:rPr>
                <w:b w:val="0"/>
                <w:i/>
              </w:rPr>
              <w:t>Guidelines for the Management of Deliberate Self Harm in Young People</w:t>
            </w:r>
            <w:r w:rsidRPr="008C2A31">
              <w:rPr>
                <w:b w:val="0"/>
              </w:rPr>
              <w:t>.</w:t>
            </w:r>
          </w:p>
        </w:tc>
      </w:tr>
    </w:tbl>
    <w:p w14:paraId="54D31806" w14:textId="77777777" w:rsidR="00442634" w:rsidRDefault="00442634" w:rsidP="00354AA1">
      <w:pPr>
        <w:pStyle w:val="Heading3"/>
        <w:jc w:val="both"/>
        <w:rPr>
          <w:i/>
        </w:rPr>
      </w:pPr>
      <w:r w:rsidRPr="00442634">
        <w:lastRenderedPageBreak/>
        <w:t xml:space="preserve">Recommendations made in the </w:t>
      </w:r>
      <w:r w:rsidRPr="00926B3A">
        <w:rPr>
          <w:i/>
        </w:rPr>
        <w:t>Children’s Rights Report 2013</w:t>
      </w:r>
    </w:p>
    <w:tbl>
      <w:tblPr>
        <w:tblStyle w:val="GridTable4-Accent11"/>
        <w:tblW w:w="9493" w:type="dxa"/>
        <w:tblLook w:val="04A0" w:firstRow="1" w:lastRow="0" w:firstColumn="1" w:lastColumn="0" w:noHBand="0" w:noVBand="1"/>
      </w:tblPr>
      <w:tblGrid>
        <w:gridCol w:w="9493"/>
      </w:tblGrid>
      <w:tr w:rsidR="008C2A31" w:rsidRPr="009228A5" w14:paraId="40C671DA" w14:textId="77777777" w:rsidTr="00B7700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tcBorders>
              <w:bottom w:val="single" w:sz="4" w:space="0" w:color="9CC2E5" w:themeColor="accent1" w:themeTint="99"/>
            </w:tcBorders>
            <w:vAlign w:val="center"/>
          </w:tcPr>
          <w:p w14:paraId="620DA6D7" w14:textId="0E824E0A" w:rsidR="008C2A31" w:rsidRPr="009228A5" w:rsidRDefault="008C2A31" w:rsidP="00B77005">
            <w:pPr>
              <w:spacing w:before="120"/>
              <w:jc w:val="both"/>
            </w:pPr>
            <w:r>
              <w:rPr>
                <w:i/>
              </w:rPr>
              <w:t>Children’s Rights Report 2013</w:t>
            </w:r>
          </w:p>
        </w:tc>
      </w:tr>
      <w:tr w:rsidR="008C2A31" w:rsidRPr="009228A5" w14:paraId="69B667BF" w14:textId="77777777" w:rsidTr="00B770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shd w:val="clear" w:color="auto" w:fill="F2F2F2" w:themeFill="background1" w:themeFillShade="F2"/>
            <w:vAlign w:val="center"/>
          </w:tcPr>
          <w:p w14:paraId="180A99AE" w14:textId="77777777" w:rsidR="008C2A31" w:rsidRPr="009D1F82" w:rsidRDefault="008C2A31" w:rsidP="00B77005">
            <w:pPr>
              <w:jc w:val="center"/>
            </w:pPr>
            <w:r>
              <w:t>Recommendation 1</w:t>
            </w:r>
          </w:p>
        </w:tc>
      </w:tr>
      <w:tr w:rsidR="008C2A31" w:rsidRPr="009228A5" w14:paraId="2A4C1276" w14:textId="77777777" w:rsidTr="00B77005">
        <w:tc>
          <w:tcPr>
            <w:cnfStyle w:val="001000000000" w:firstRow="0" w:lastRow="0" w:firstColumn="1" w:lastColumn="0" w:oddVBand="0" w:evenVBand="0" w:oddHBand="0" w:evenHBand="0" w:firstRowFirstColumn="0" w:firstRowLastColumn="0" w:lastRowFirstColumn="0" w:lastRowLastColumn="0"/>
            <w:tcW w:w="9493" w:type="dxa"/>
            <w:tcBorders>
              <w:bottom w:val="single" w:sz="4" w:space="0" w:color="9CC2E5" w:themeColor="accent1" w:themeTint="99"/>
            </w:tcBorders>
            <w:shd w:val="clear" w:color="auto" w:fill="FFFFFF" w:themeFill="background1"/>
            <w:vAlign w:val="center"/>
          </w:tcPr>
          <w:p w14:paraId="15B70BCA" w14:textId="0132573E" w:rsidR="008C2A31" w:rsidRPr="00E329FB" w:rsidRDefault="00272DD5" w:rsidP="0000365A">
            <w:pPr>
              <w:spacing w:before="120"/>
              <w:jc w:val="both"/>
              <w:rPr>
                <w:b w:val="0"/>
              </w:rPr>
            </w:pPr>
            <w:r>
              <w:rPr>
                <w:b w:val="0"/>
              </w:rPr>
              <w:t xml:space="preserve">That the </w:t>
            </w:r>
            <w:r w:rsidR="0000365A" w:rsidRPr="009228A5">
              <w:rPr>
                <w:b w:val="0"/>
              </w:rPr>
              <w:t>Australian Government respond</w:t>
            </w:r>
            <w:r w:rsidR="0000365A">
              <w:rPr>
                <w:b w:val="0"/>
              </w:rPr>
              <w:t>s</w:t>
            </w:r>
            <w:r w:rsidR="0000365A" w:rsidRPr="009228A5">
              <w:rPr>
                <w:b w:val="0"/>
              </w:rPr>
              <w:t xml:space="preserve"> formally to the Concluding Observations of the United Nations Committee on the Rights of the Child on Australia’s fourth report of progress under the C</w:t>
            </w:r>
            <w:r w:rsidR="0000365A">
              <w:rPr>
                <w:b w:val="0"/>
              </w:rPr>
              <w:t xml:space="preserve">onvention on the </w:t>
            </w:r>
            <w:r w:rsidR="0000365A" w:rsidRPr="009228A5">
              <w:rPr>
                <w:b w:val="0"/>
              </w:rPr>
              <w:t>R</w:t>
            </w:r>
            <w:r w:rsidR="0000365A">
              <w:rPr>
                <w:b w:val="0"/>
              </w:rPr>
              <w:t xml:space="preserve">ights of the </w:t>
            </w:r>
            <w:r w:rsidR="0000365A" w:rsidRPr="009228A5">
              <w:rPr>
                <w:b w:val="0"/>
              </w:rPr>
              <w:t>C</w:t>
            </w:r>
            <w:r w:rsidR="0000365A">
              <w:rPr>
                <w:b w:val="0"/>
              </w:rPr>
              <w:t>hild</w:t>
            </w:r>
            <w:r w:rsidR="0000365A" w:rsidRPr="009228A5">
              <w:rPr>
                <w:b w:val="0"/>
              </w:rPr>
              <w:t xml:space="preserve"> and its Optional Protocols.</w:t>
            </w:r>
          </w:p>
        </w:tc>
      </w:tr>
      <w:tr w:rsidR="008C2A31" w:rsidRPr="009228A5" w14:paraId="46406BCB" w14:textId="77777777" w:rsidTr="00B770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shd w:val="clear" w:color="auto" w:fill="F2F2F2" w:themeFill="background1" w:themeFillShade="F2"/>
            <w:vAlign w:val="center"/>
          </w:tcPr>
          <w:p w14:paraId="436CF6AF" w14:textId="77777777" w:rsidR="008C2A31" w:rsidRPr="00E329FB" w:rsidRDefault="008C2A31" w:rsidP="00B77005">
            <w:pPr>
              <w:jc w:val="center"/>
            </w:pPr>
            <w:r w:rsidRPr="00E329FB">
              <w:t>Progress of Recommendation 1</w:t>
            </w:r>
          </w:p>
        </w:tc>
      </w:tr>
      <w:tr w:rsidR="008C2A31" w:rsidRPr="009228A5" w14:paraId="74B31A01" w14:textId="77777777" w:rsidTr="00B77005">
        <w:tc>
          <w:tcPr>
            <w:cnfStyle w:val="001000000000" w:firstRow="0" w:lastRow="0" w:firstColumn="1" w:lastColumn="0" w:oddVBand="0" w:evenVBand="0" w:oddHBand="0" w:evenHBand="0" w:firstRowFirstColumn="0" w:firstRowLastColumn="0" w:lastRowFirstColumn="0" w:lastRowLastColumn="0"/>
            <w:tcW w:w="9493" w:type="dxa"/>
            <w:vAlign w:val="center"/>
          </w:tcPr>
          <w:p w14:paraId="4BF215C4" w14:textId="77777777" w:rsidR="0000365A" w:rsidRPr="0000365A" w:rsidRDefault="0000365A" w:rsidP="0000365A">
            <w:pPr>
              <w:spacing w:before="120"/>
              <w:jc w:val="both"/>
              <w:rPr>
                <w:b w:val="0"/>
              </w:rPr>
            </w:pPr>
            <w:r w:rsidRPr="0000365A">
              <w:rPr>
                <w:b w:val="0"/>
              </w:rPr>
              <w:t xml:space="preserve">Not implemented. </w:t>
            </w:r>
          </w:p>
          <w:p w14:paraId="2139D0E7" w14:textId="77777777" w:rsidR="0000365A" w:rsidRPr="0000365A" w:rsidRDefault="0000365A" w:rsidP="0000365A">
            <w:pPr>
              <w:spacing w:before="120"/>
              <w:jc w:val="both"/>
              <w:rPr>
                <w:b w:val="0"/>
              </w:rPr>
            </w:pPr>
            <w:r w:rsidRPr="0000365A">
              <w:rPr>
                <w:b w:val="0"/>
              </w:rPr>
              <w:t xml:space="preserve">In 2014, the Attorney-General informed me that there was no formal requirement to respond to the Concluding Observations of the United Nations Committee on the Rights of the Child on Australia’s fourth report of progress, and that Australia’s next report to the United Nations Committee on the Rights of the Child will detail how Australia has implemented the 2012 Concluding Observations. </w:t>
            </w:r>
          </w:p>
          <w:p w14:paraId="420FF972" w14:textId="77777777" w:rsidR="0000365A" w:rsidRPr="0000365A" w:rsidRDefault="0000365A" w:rsidP="0000365A">
            <w:pPr>
              <w:spacing w:before="120"/>
              <w:jc w:val="both"/>
              <w:rPr>
                <w:b w:val="0"/>
              </w:rPr>
            </w:pPr>
            <w:r w:rsidRPr="0000365A">
              <w:rPr>
                <w:b w:val="0"/>
              </w:rPr>
              <w:t xml:space="preserve">The Australian Government convened a roundtable discussion about the Concluding Observations in December 2012, which the Government noted would inform future policy development. </w:t>
            </w:r>
          </w:p>
          <w:p w14:paraId="79E167D9" w14:textId="77777777" w:rsidR="0000365A" w:rsidRPr="0000365A" w:rsidRDefault="0000365A" w:rsidP="0000365A">
            <w:pPr>
              <w:spacing w:before="120"/>
              <w:jc w:val="both"/>
              <w:rPr>
                <w:b w:val="0"/>
              </w:rPr>
            </w:pPr>
            <w:r w:rsidRPr="0000365A">
              <w:rPr>
                <w:b w:val="0"/>
              </w:rPr>
              <w:t xml:space="preserve">More than three years have passed since the United Nations Committee on the Rights of the Child issued its Concluding Observations to Australia, and Australia’s next report to the United Nations Committee on the Rights of the Child is not due until 15 January 2018. </w:t>
            </w:r>
          </w:p>
          <w:p w14:paraId="5759DD14" w14:textId="4D0044D4" w:rsidR="0000365A" w:rsidRPr="0000365A" w:rsidRDefault="0000365A" w:rsidP="0000365A">
            <w:pPr>
              <w:spacing w:before="120"/>
              <w:jc w:val="both"/>
              <w:rPr>
                <w:b w:val="0"/>
              </w:rPr>
            </w:pPr>
            <w:r w:rsidRPr="0000365A">
              <w:rPr>
                <w:b w:val="0"/>
              </w:rPr>
              <w:t>It is my view that the wellbeing of Australia’s children and young people would be significantly enhanced if the Australian Government responded to the Concluding Observations with a plan to monitor, prioritise and implement the recommendations made by the United Nations Committee on the Rights of the Child.</w:t>
            </w:r>
          </w:p>
          <w:p w14:paraId="0EFC00B0" w14:textId="2D831BD0" w:rsidR="008C2A31" w:rsidRPr="009D1F82" w:rsidRDefault="0000365A" w:rsidP="0000365A">
            <w:pPr>
              <w:jc w:val="both"/>
            </w:pPr>
            <w:r w:rsidRPr="0000365A">
              <w:rPr>
                <w:b w:val="0"/>
              </w:rPr>
              <w:t>I will continue to engage in constructive dialogue with the Attorney-General in relation to this.</w:t>
            </w:r>
          </w:p>
        </w:tc>
      </w:tr>
      <w:tr w:rsidR="008C2A31" w:rsidRPr="009D1F82" w14:paraId="220E73A1" w14:textId="77777777" w:rsidTr="00B770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shd w:val="clear" w:color="auto" w:fill="F2F2F2" w:themeFill="background1" w:themeFillShade="F2"/>
            <w:vAlign w:val="center"/>
          </w:tcPr>
          <w:p w14:paraId="15F98FCD" w14:textId="55F87A19" w:rsidR="008C2A31" w:rsidRPr="009D1F82" w:rsidRDefault="008C2A31" w:rsidP="00B77005">
            <w:pPr>
              <w:jc w:val="center"/>
            </w:pPr>
            <w:r>
              <w:t>Recommendation 2</w:t>
            </w:r>
          </w:p>
        </w:tc>
      </w:tr>
      <w:tr w:rsidR="008C2A31" w:rsidRPr="00E329FB" w14:paraId="6F32664F" w14:textId="77777777" w:rsidTr="00B77005">
        <w:tc>
          <w:tcPr>
            <w:cnfStyle w:val="001000000000" w:firstRow="0" w:lastRow="0" w:firstColumn="1" w:lastColumn="0" w:oddVBand="0" w:evenVBand="0" w:oddHBand="0" w:evenHBand="0" w:firstRowFirstColumn="0" w:firstRowLastColumn="0" w:lastRowFirstColumn="0" w:lastRowLastColumn="0"/>
            <w:tcW w:w="9493" w:type="dxa"/>
            <w:tcBorders>
              <w:bottom w:val="single" w:sz="4" w:space="0" w:color="9CC2E5" w:themeColor="accent1" w:themeTint="99"/>
            </w:tcBorders>
            <w:shd w:val="clear" w:color="auto" w:fill="FFFFFF" w:themeFill="background1"/>
            <w:vAlign w:val="center"/>
          </w:tcPr>
          <w:p w14:paraId="296DAA7E" w14:textId="373558BF" w:rsidR="008C2A31" w:rsidRPr="00E329FB" w:rsidRDefault="0000365A" w:rsidP="00B77005">
            <w:pPr>
              <w:jc w:val="both"/>
              <w:rPr>
                <w:b w:val="0"/>
              </w:rPr>
            </w:pPr>
            <w:r w:rsidRPr="009228A5">
              <w:rPr>
                <w:b w:val="0"/>
              </w:rPr>
              <w:lastRenderedPageBreak/>
              <w:t>That the Australian Government accedes to the Optional Protocol to the Convention on the Rights of the Child on a Communications Procedure (OPCP) and ratifies the Optional Protocol to the Convention Against Torture and Other Cruel, Inhuman or Degrading Treatment or Punishment (OPCAT).</w:t>
            </w:r>
          </w:p>
        </w:tc>
      </w:tr>
      <w:tr w:rsidR="008C2A31" w:rsidRPr="00E329FB" w14:paraId="3CCE7239" w14:textId="77777777" w:rsidTr="00B770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shd w:val="clear" w:color="auto" w:fill="F2F2F2" w:themeFill="background1" w:themeFillShade="F2"/>
            <w:vAlign w:val="center"/>
          </w:tcPr>
          <w:p w14:paraId="7B8BC9ED" w14:textId="63358043" w:rsidR="008C2A31" w:rsidRPr="00E329FB" w:rsidRDefault="008C2A31" w:rsidP="00B77005">
            <w:pPr>
              <w:jc w:val="center"/>
            </w:pPr>
            <w:r w:rsidRPr="00E329FB">
              <w:t xml:space="preserve">Progress of Recommendation </w:t>
            </w:r>
            <w:r>
              <w:t>2</w:t>
            </w:r>
          </w:p>
        </w:tc>
      </w:tr>
      <w:tr w:rsidR="008C2A31" w:rsidRPr="009D1F82" w14:paraId="7036884D" w14:textId="77777777" w:rsidTr="00B77005">
        <w:tc>
          <w:tcPr>
            <w:cnfStyle w:val="001000000000" w:firstRow="0" w:lastRow="0" w:firstColumn="1" w:lastColumn="0" w:oddVBand="0" w:evenVBand="0" w:oddHBand="0" w:evenHBand="0" w:firstRowFirstColumn="0" w:firstRowLastColumn="0" w:lastRowFirstColumn="0" w:lastRowLastColumn="0"/>
            <w:tcW w:w="9493" w:type="dxa"/>
            <w:vAlign w:val="center"/>
          </w:tcPr>
          <w:p w14:paraId="566D2031" w14:textId="77777777" w:rsidR="0000365A" w:rsidRPr="0000365A" w:rsidRDefault="0000365A" w:rsidP="0000365A">
            <w:pPr>
              <w:spacing w:before="120"/>
              <w:jc w:val="both"/>
              <w:rPr>
                <w:b w:val="0"/>
              </w:rPr>
            </w:pPr>
            <w:r w:rsidRPr="0000365A">
              <w:rPr>
                <w:b w:val="0"/>
              </w:rPr>
              <w:t>Not implemented.</w:t>
            </w:r>
          </w:p>
          <w:p w14:paraId="3378C8F3" w14:textId="77777777" w:rsidR="0000365A" w:rsidRPr="0000365A" w:rsidRDefault="0000365A" w:rsidP="0000365A">
            <w:pPr>
              <w:jc w:val="both"/>
              <w:rPr>
                <w:b w:val="0"/>
              </w:rPr>
            </w:pPr>
            <w:r w:rsidRPr="0000365A">
              <w:rPr>
                <w:b w:val="0"/>
              </w:rPr>
              <w:t>In 2014, the Attorney-General indicated to me that the Australian Government had not yet formed a formal position on OPCP and OPCAT.</w:t>
            </w:r>
          </w:p>
          <w:p w14:paraId="3BC1E141" w14:textId="77777777" w:rsidR="0000365A" w:rsidRPr="0000365A" w:rsidRDefault="0000365A" w:rsidP="0000365A">
            <w:pPr>
              <w:jc w:val="both"/>
              <w:rPr>
                <w:b w:val="0"/>
              </w:rPr>
            </w:pPr>
            <w:r w:rsidRPr="0000365A">
              <w:rPr>
                <w:b w:val="0"/>
              </w:rPr>
              <w:t xml:space="preserve">In 2015, the Attorney-General informed me that the Australian Government’s position has not changed in relation to this recommendation. </w:t>
            </w:r>
          </w:p>
          <w:p w14:paraId="0F8158C0" w14:textId="17EB3F53" w:rsidR="008C2A31" w:rsidRPr="009D1F82" w:rsidRDefault="0000365A" w:rsidP="0000365A">
            <w:pPr>
              <w:jc w:val="both"/>
            </w:pPr>
            <w:r w:rsidRPr="0000365A">
              <w:rPr>
                <w:b w:val="0"/>
              </w:rPr>
              <w:t>I hope that the Australian Government, as a matter of priority, will develop a formal view on OPCP and OPCAT, given their importance in protecting the rights and welfare of children and young people both in Australia and around the world.</w:t>
            </w:r>
          </w:p>
        </w:tc>
      </w:tr>
      <w:tr w:rsidR="008C2A31" w:rsidRPr="009D1F82" w14:paraId="6B28ABE2" w14:textId="77777777" w:rsidTr="00B770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shd w:val="clear" w:color="auto" w:fill="F2F2F2" w:themeFill="background1" w:themeFillShade="F2"/>
            <w:vAlign w:val="center"/>
          </w:tcPr>
          <w:p w14:paraId="7717E7E8" w14:textId="3DB53F43" w:rsidR="008C2A31" w:rsidRPr="009D1F82" w:rsidRDefault="008C2A31" w:rsidP="00B77005">
            <w:pPr>
              <w:jc w:val="center"/>
            </w:pPr>
            <w:r>
              <w:t>Recommendation 3</w:t>
            </w:r>
          </w:p>
        </w:tc>
      </w:tr>
      <w:tr w:rsidR="008C2A31" w:rsidRPr="00E329FB" w14:paraId="7A3FC90C" w14:textId="77777777" w:rsidTr="00B77005">
        <w:tc>
          <w:tcPr>
            <w:cnfStyle w:val="001000000000" w:firstRow="0" w:lastRow="0" w:firstColumn="1" w:lastColumn="0" w:oddVBand="0" w:evenVBand="0" w:oddHBand="0" w:evenHBand="0" w:firstRowFirstColumn="0" w:firstRowLastColumn="0" w:lastRowFirstColumn="0" w:lastRowLastColumn="0"/>
            <w:tcW w:w="9493" w:type="dxa"/>
            <w:tcBorders>
              <w:bottom w:val="single" w:sz="4" w:space="0" w:color="9CC2E5" w:themeColor="accent1" w:themeTint="99"/>
            </w:tcBorders>
            <w:shd w:val="clear" w:color="auto" w:fill="FFFFFF" w:themeFill="background1"/>
            <w:vAlign w:val="center"/>
          </w:tcPr>
          <w:p w14:paraId="2EA7E66E" w14:textId="3B5C9135" w:rsidR="008C2A31" w:rsidRPr="00E329FB" w:rsidRDefault="00272DD5" w:rsidP="00272DD5">
            <w:pPr>
              <w:jc w:val="both"/>
              <w:rPr>
                <w:b w:val="0"/>
              </w:rPr>
            </w:pPr>
            <w:r>
              <w:rPr>
                <w:b w:val="0"/>
              </w:rPr>
              <w:t>That t</w:t>
            </w:r>
            <w:r w:rsidR="0000365A" w:rsidRPr="009228A5">
              <w:rPr>
                <w:b w:val="0"/>
              </w:rPr>
              <w:t>he Australian Government finalises its review of Australia’s reservations and withdraws its reservation under article 37(c) of the Convention on the Rights of the Child which relates to the obligation to separate children from adults in prison.</w:t>
            </w:r>
          </w:p>
        </w:tc>
      </w:tr>
      <w:tr w:rsidR="008C2A31" w:rsidRPr="00E329FB" w14:paraId="2BEE16F1" w14:textId="77777777" w:rsidTr="00B770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shd w:val="clear" w:color="auto" w:fill="F2F2F2" w:themeFill="background1" w:themeFillShade="F2"/>
            <w:vAlign w:val="center"/>
          </w:tcPr>
          <w:p w14:paraId="7C10CF4F" w14:textId="1A9E11F0" w:rsidR="008C2A31" w:rsidRPr="00E329FB" w:rsidRDefault="008C2A31" w:rsidP="00B77005">
            <w:pPr>
              <w:jc w:val="center"/>
            </w:pPr>
            <w:r w:rsidRPr="00E329FB">
              <w:t xml:space="preserve">Progress of Recommendation </w:t>
            </w:r>
            <w:r>
              <w:t>3</w:t>
            </w:r>
          </w:p>
        </w:tc>
      </w:tr>
      <w:tr w:rsidR="008C2A31" w:rsidRPr="009D1F82" w14:paraId="20A507C6" w14:textId="77777777" w:rsidTr="00B77005">
        <w:tc>
          <w:tcPr>
            <w:cnfStyle w:val="001000000000" w:firstRow="0" w:lastRow="0" w:firstColumn="1" w:lastColumn="0" w:oddVBand="0" w:evenVBand="0" w:oddHBand="0" w:evenHBand="0" w:firstRowFirstColumn="0" w:firstRowLastColumn="0" w:lastRowFirstColumn="0" w:lastRowLastColumn="0"/>
            <w:tcW w:w="9493" w:type="dxa"/>
            <w:vAlign w:val="center"/>
          </w:tcPr>
          <w:p w14:paraId="6135B8C6" w14:textId="77777777" w:rsidR="0000365A" w:rsidRPr="0000365A" w:rsidRDefault="0000365A" w:rsidP="0000365A">
            <w:pPr>
              <w:spacing w:before="120"/>
              <w:jc w:val="both"/>
              <w:rPr>
                <w:b w:val="0"/>
              </w:rPr>
            </w:pPr>
            <w:r w:rsidRPr="0000365A">
              <w:rPr>
                <w:b w:val="0"/>
              </w:rPr>
              <w:t>Not implemented.</w:t>
            </w:r>
          </w:p>
          <w:p w14:paraId="64FE7837" w14:textId="77777777" w:rsidR="0000365A" w:rsidRPr="0000365A" w:rsidRDefault="0000365A" w:rsidP="0000365A">
            <w:pPr>
              <w:jc w:val="both"/>
              <w:rPr>
                <w:b w:val="0"/>
              </w:rPr>
            </w:pPr>
            <w:r w:rsidRPr="0000365A">
              <w:rPr>
                <w:b w:val="0"/>
              </w:rPr>
              <w:t xml:space="preserve">In 2014, the Attorney-General stated that state and territory governments were reluctant to remove Australia’s reservation to article 37(c). </w:t>
            </w:r>
          </w:p>
          <w:p w14:paraId="5319D248" w14:textId="1156D297" w:rsidR="008C2A31" w:rsidRPr="009D1F82" w:rsidRDefault="0000365A" w:rsidP="0000365A">
            <w:pPr>
              <w:jc w:val="both"/>
            </w:pPr>
            <w:r w:rsidRPr="0000365A">
              <w:rPr>
                <w:b w:val="0"/>
              </w:rPr>
              <w:t>The Attorney-General also stated that new detention facilities would need to be constructed in geographically remote areas in order to separate children from adults in detention, and this would be a costly undertaking.</w:t>
            </w:r>
          </w:p>
        </w:tc>
      </w:tr>
      <w:tr w:rsidR="008C2A31" w:rsidRPr="009D1F82" w14:paraId="5F0DDF68" w14:textId="77777777" w:rsidTr="00B770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shd w:val="clear" w:color="auto" w:fill="F2F2F2" w:themeFill="background1" w:themeFillShade="F2"/>
            <w:vAlign w:val="center"/>
          </w:tcPr>
          <w:p w14:paraId="75E7F779" w14:textId="2CD4A79E" w:rsidR="008C2A31" w:rsidRPr="009D1F82" w:rsidRDefault="008C2A31" w:rsidP="008C2A31">
            <w:pPr>
              <w:jc w:val="center"/>
            </w:pPr>
            <w:r>
              <w:t>Recommendation 4</w:t>
            </w:r>
          </w:p>
        </w:tc>
      </w:tr>
      <w:tr w:rsidR="008C2A31" w:rsidRPr="00E329FB" w14:paraId="0C3D6561" w14:textId="77777777" w:rsidTr="00B77005">
        <w:tc>
          <w:tcPr>
            <w:cnfStyle w:val="001000000000" w:firstRow="0" w:lastRow="0" w:firstColumn="1" w:lastColumn="0" w:oddVBand="0" w:evenVBand="0" w:oddHBand="0" w:evenHBand="0" w:firstRowFirstColumn="0" w:firstRowLastColumn="0" w:lastRowFirstColumn="0" w:lastRowLastColumn="0"/>
            <w:tcW w:w="9493" w:type="dxa"/>
            <w:tcBorders>
              <w:bottom w:val="single" w:sz="4" w:space="0" w:color="9CC2E5" w:themeColor="accent1" w:themeTint="99"/>
            </w:tcBorders>
            <w:shd w:val="clear" w:color="auto" w:fill="FFFFFF" w:themeFill="background1"/>
            <w:vAlign w:val="center"/>
          </w:tcPr>
          <w:p w14:paraId="6ED8BFA7" w14:textId="1DA28EC6" w:rsidR="008C2A31" w:rsidRPr="00AE7848" w:rsidRDefault="0000365A" w:rsidP="0000365A">
            <w:pPr>
              <w:jc w:val="both"/>
              <w:rPr>
                <w:b w:val="0"/>
              </w:rPr>
            </w:pPr>
            <w:r>
              <w:rPr>
                <w:b w:val="0"/>
              </w:rPr>
              <w:t xml:space="preserve">That the Australian Institute of Health and Welfare (AIHW) extends its current cohort of Australian children in </w:t>
            </w:r>
            <w:r>
              <w:rPr>
                <w:b w:val="0"/>
                <w:i/>
              </w:rPr>
              <w:t xml:space="preserve">A picture </w:t>
            </w:r>
            <w:r w:rsidR="00AE7848">
              <w:rPr>
                <w:b w:val="0"/>
                <w:i/>
              </w:rPr>
              <w:t xml:space="preserve">of Australia’s children </w:t>
            </w:r>
            <w:r w:rsidR="00AE7848">
              <w:rPr>
                <w:b w:val="0"/>
              </w:rPr>
              <w:t xml:space="preserve">from 0 to 14 years to 0 to 17 years, consistent with the </w:t>
            </w:r>
            <w:r w:rsidR="00AE7848">
              <w:rPr>
                <w:b w:val="0"/>
                <w:i/>
              </w:rPr>
              <w:t>Convention on the Rights of the Child</w:t>
            </w:r>
            <w:r w:rsidR="00AE7848">
              <w:rPr>
                <w:b w:val="0"/>
              </w:rPr>
              <w:t xml:space="preserve"> definition of the child.</w:t>
            </w:r>
          </w:p>
        </w:tc>
      </w:tr>
      <w:tr w:rsidR="008C2A31" w:rsidRPr="00E329FB" w14:paraId="49195E65" w14:textId="77777777" w:rsidTr="00B770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shd w:val="clear" w:color="auto" w:fill="F2F2F2" w:themeFill="background1" w:themeFillShade="F2"/>
            <w:vAlign w:val="center"/>
          </w:tcPr>
          <w:p w14:paraId="2A66E985" w14:textId="5EBD4EF9" w:rsidR="008C2A31" w:rsidRPr="00E329FB" w:rsidRDefault="008C2A31" w:rsidP="00B77005">
            <w:pPr>
              <w:jc w:val="center"/>
            </w:pPr>
            <w:r w:rsidRPr="00E329FB">
              <w:t xml:space="preserve">Progress of Recommendation </w:t>
            </w:r>
            <w:r>
              <w:t>4</w:t>
            </w:r>
          </w:p>
        </w:tc>
      </w:tr>
      <w:tr w:rsidR="008C2A31" w:rsidRPr="009D1F82" w14:paraId="683BC8A9" w14:textId="77777777" w:rsidTr="00B77005">
        <w:tc>
          <w:tcPr>
            <w:cnfStyle w:val="001000000000" w:firstRow="0" w:lastRow="0" w:firstColumn="1" w:lastColumn="0" w:oddVBand="0" w:evenVBand="0" w:oddHBand="0" w:evenHBand="0" w:firstRowFirstColumn="0" w:firstRowLastColumn="0" w:lastRowFirstColumn="0" w:lastRowLastColumn="0"/>
            <w:tcW w:w="9493" w:type="dxa"/>
            <w:vAlign w:val="center"/>
          </w:tcPr>
          <w:p w14:paraId="6F31E56F" w14:textId="5D5AAFF4" w:rsidR="008C2A31" w:rsidRPr="0000365A" w:rsidRDefault="0000365A" w:rsidP="0000365A">
            <w:pPr>
              <w:jc w:val="both"/>
              <w:rPr>
                <w:b w:val="0"/>
              </w:rPr>
            </w:pPr>
            <w:r>
              <w:rPr>
                <w:b w:val="0"/>
              </w:rPr>
              <w:lastRenderedPageBreak/>
              <w:t xml:space="preserve">As I reported in the Children’s Rights Report 2014, the Australian Government Department of </w:t>
            </w:r>
            <w:r w:rsidR="00272DD5">
              <w:rPr>
                <w:b w:val="0"/>
              </w:rPr>
              <w:t>Health</w:t>
            </w:r>
            <w:r>
              <w:rPr>
                <w:b w:val="0"/>
              </w:rPr>
              <w:t xml:space="preserve"> ceased funding for </w:t>
            </w:r>
            <w:r w:rsidRPr="0000365A">
              <w:rPr>
                <w:b w:val="0"/>
                <w:i/>
              </w:rPr>
              <w:t>A picture of Australia’s children</w:t>
            </w:r>
            <w:r>
              <w:rPr>
                <w:b w:val="0"/>
              </w:rPr>
              <w:t xml:space="preserve">. </w:t>
            </w:r>
          </w:p>
        </w:tc>
      </w:tr>
      <w:tr w:rsidR="008C2A31" w:rsidRPr="009D1F82" w14:paraId="56D51277" w14:textId="77777777" w:rsidTr="00B770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shd w:val="clear" w:color="auto" w:fill="F2F2F2" w:themeFill="background1" w:themeFillShade="F2"/>
            <w:vAlign w:val="center"/>
          </w:tcPr>
          <w:p w14:paraId="588DE69E" w14:textId="7FEF25B3" w:rsidR="008C2A31" w:rsidRPr="009D1F82" w:rsidRDefault="008C2A31" w:rsidP="00B77005">
            <w:pPr>
              <w:spacing w:before="120"/>
              <w:jc w:val="center"/>
            </w:pPr>
            <w:r>
              <w:t>Recommendation 5</w:t>
            </w:r>
          </w:p>
        </w:tc>
      </w:tr>
      <w:tr w:rsidR="008C2A31" w:rsidRPr="00E329FB" w14:paraId="642DB64A" w14:textId="77777777" w:rsidTr="00B77005">
        <w:tc>
          <w:tcPr>
            <w:cnfStyle w:val="001000000000" w:firstRow="0" w:lastRow="0" w:firstColumn="1" w:lastColumn="0" w:oddVBand="0" w:evenVBand="0" w:oddHBand="0" w:evenHBand="0" w:firstRowFirstColumn="0" w:firstRowLastColumn="0" w:lastRowFirstColumn="0" w:lastRowLastColumn="0"/>
            <w:tcW w:w="9493" w:type="dxa"/>
            <w:tcBorders>
              <w:bottom w:val="single" w:sz="4" w:space="0" w:color="9CC2E5" w:themeColor="accent1" w:themeTint="99"/>
            </w:tcBorders>
            <w:shd w:val="clear" w:color="auto" w:fill="FFFFFF" w:themeFill="background1"/>
            <w:vAlign w:val="center"/>
          </w:tcPr>
          <w:p w14:paraId="6D25F4D0" w14:textId="265A5F72" w:rsidR="008C2A31" w:rsidRPr="00E329FB" w:rsidRDefault="00272DD5" w:rsidP="00B77005">
            <w:pPr>
              <w:jc w:val="both"/>
              <w:rPr>
                <w:b w:val="0"/>
              </w:rPr>
            </w:pPr>
            <w:r>
              <w:rPr>
                <w:b w:val="0"/>
              </w:rPr>
              <w:t>That the</w:t>
            </w:r>
            <w:r w:rsidR="0000365A" w:rsidRPr="009228A5">
              <w:rPr>
                <w:b w:val="0"/>
              </w:rPr>
              <w:t xml:space="preserve"> Australian Government establishes relevant data holdings and analytics covering all the key domains of children’s rights outlined in the Convention on the Rights of the Child, including comparable data across jurisdictions, which the National Children’s Commissioner can use to monitor the enjoyment and exercise of human rights by children in Australia.</w:t>
            </w:r>
          </w:p>
        </w:tc>
      </w:tr>
      <w:tr w:rsidR="008C2A31" w:rsidRPr="00E329FB" w14:paraId="31EA9ED0" w14:textId="77777777" w:rsidTr="00B770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shd w:val="clear" w:color="auto" w:fill="F2F2F2" w:themeFill="background1" w:themeFillShade="F2"/>
            <w:vAlign w:val="center"/>
          </w:tcPr>
          <w:p w14:paraId="48B70FEC" w14:textId="7DAC807C" w:rsidR="008C2A31" w:rsidRPr="00E329FB" w:rsidRDefault="008C2A31" w:rsidP="00B77005">
            <w:pPr>
              <w:jc w:val="center"/>
            </w:pPr>
            <w:r w:rsidRPr="00E329FB">
              <w:t xml:space="preserve">Progress of Recommendation </w:t>
            </w:r>
            <w:r>
              <w:t>5</w:t>
            </w:r>
          </w:p>
        </w:tc>
      </w:tr>
      <w:tr w:rsidR="008C2A31" w:rsidRPr="009D1F82" w14:paraId="1A6138A4" w14:textId="77777777" w:rsidTr="00B77005">
        <w:tc>
          <w:tcPr>
            <w:cnfStyle w:val="001000000000" w:firstRow="0" w:lastRow="0" w:firstColumn="1" w:lastColumn="0" w:oddVBand="0" w:evenVBand="0" w:oddHBand="0" w:evenHBand="0" w:firstRowFirstColumn="0" w:firstRowLastColumn="0" w:lastRowFirstColumn="0" w:lastRowLastColumn="0"/>
            <w:tcW w:w="9493" w:type="dxa"/>
            <w:vAlign w:val="center"/>
          </w:tcPr>
          <w:p w14:paraId="7DE44632" w14:textId="77777777" w:rsidR="0000365A" w:rsidRPr="0000365A" w:rsidRDefault="0000365A" w:rsidP="0000365A">
            <w:pPr>
              <w:jc w:val="both"/>
              <w:rPr>
                <w:b w:val="0"/>
                <w:lang w:val="en-US"/>
              </w:rPr>
            </w:pPr>
            <w:r w:rsidRPr="0000365A">
              <w:rPr>
                <w:b w:val="0"/>
                <w:lang w:val="en-US"/>
              </w:rPr>
              <w:t>Not implemented.</w:t>
            </w:r>
          </w:p>
          <w:p w14:paraId="3965F55C" w14:textId="0A8F161A" w:rsidR="0000365A" w:rsidRPr="0000365A" w:rsidRDefault="0000365A" w:rsidP="0000365A">
            <w:pPr>
              <w:jc w:val="both"/>
              <w:rPr>
                <w:b w:val="0"/>
                <w:lang w:val="en-US"/>
              </w:rPr>
            </w:pPr>
            <w:r w:rsidRPr="0000365A">
              <w:rPr>
                <w:b w:val="0"/>
                <w:lang w:val="en-US"/>
              </w:rPr>
              <w:t xml:space="preserve">In 2014, the Attorney-General </w:t>
            </w:r>
            <w:r w:rsidR="00973CAC">
              <w:rPr>
                <w:b w:val="0"/>
                <w:lang w:val="en-US"/>
              </w:rPr>
              <w:t>indicated</w:t>
            </w:r>
            <w:r w:rsidRPr="0000365A">
              <w:rPr>
                <w:b w:val="0"/>
                <w:lang w:val="en-US"/>
              </w:rPr>
              <w:t xml:space="preserve"> that the Australian Government remains committed to collaborating with state and territory governments via its cross-jurisdictional Early Childhood Data Subgroup, to implement further improvements to data collection and enhance research capability into the future. </w:t>
            </w:r>
          </w:p>
          <w:p w14:paraId="17829461" w14:textId="77777777" w:rsidR="0000365A" w:rsidRPr="0000365A" w:rsidRDefault="0000365A" w:rsidP="0000365A">
            <w:pPr>
              <w:jc w:val="both"/>
              <w:rPr>
                <w:b w:val="0"/>
                <w:lang w:val="en-US"/>
              </w:rPr>
            </w:pPr>
            <w:r w:rsidRPr="0000365A">
              <w:rPr>
                <w:b w:val="0"/>
                <w:lang w:val="en-US"/>
              </w:rPr>
              <w:t>The Attorney-General indicated that this should provide the building blocks for data linkage capability across sectors, including health, early childhood and schools, which in turn will allow multi-dimensional research as well as longitudinal analysis.</w:t>
            </w:r>
          </w:p>
          <w:p w14:paraId="07830B6F" w14:textId="77777777" w:rsidR="0000365A" w:rsidRPr="0000365A" w:rsidRDefault="0000365A" w:rsidP="0000365A">
            <w:pPr>
              <w:jc w:val="both"/>
              <w:rPr>
                <w:b w:val="0"/>
                <w:lang w:val="en-US"/>
              </w:rPr>
            </w:pPr>
            <w:r w:rsidRPr="0000365A">
              <w:rPr>
                <w:b w:val="0"/>
                <w:lang w:val="en-US"/>
              </w:rPr>
              <w:t>In May 2014, I sought advice from the AIHW on what would be required to implement my 2013 recommendation. The AIHW estimated that it would require 4-5 months of scoping work, followed by data analysis at a cost of approximately $150,000.</w:t>
            </w:r>
          </w:p>
          <w:p w14:paraId="495A4BA9" w14:textId="77777777" w:rsidR="0000365A" w:rsidRPr="0000365A" w:rsidRDefault="0000365A" w:rsidP="0000365A">
            <w:pPr>
              <w:jc w:val="both"/>
              <w:rPr>
                <w:b w:val="0"/>
                <w:lang w:val="en-US"/>
              </w:rPr>
            </w:pPr>
            <w:r w:rsidRPr="0000365A">
              <w:rPr>
                <w:b w:val="0"/>
                <w:lang w:val="en-US"/>
              </w:rPr>
              <w:t xml:space="preserve">As the National Children’s Commissioner, I do not have the funds to progress this. I approached a number of Australian Government departments for assistance but, to date, no funding could be sourced. </w:t>
            </w:r>
          </w:p>
          <w:p w14:paraId="28155DED" w14:textId="77777777" w:rsidR="0000365A" w:rsidRPr="0000365A" w:rsidRDefault="0000365A" w:rsidP="0000365A">
            <w:pPr>
              <w:jc w:val="both"/>
              <w:rPr>
                <w:b w:val="0"/>
                <w:lang w:val="en-US"/>
              </w:rPr>
            </w:pPr>
            <w:r w:rsidRPr="0000365A">
              <w:rPr>
                <w:b w:val="0"/>
                <w:lang w:val="en-US"/>
              </w:rPr>
              <w:t>In September 2015, the AIHW released a new set of data through the National Youth Information Framework, an interactive data portal which includes, for the first time, a breakdown of data for children aged 12-17 years.</w:t>
            </w:r>
            <w:r w:rsidRPr="0000365A">
              <w:rPr>
                <w:rStyle w:val="EndnoteReference"/>
                <w:b w:val="0"/>
                <w:lang w:val="en-US"/>
              </w:rPr>
              <w:endnoteReference w:id="40"/>
            </w:r>
            <w:r w:rsidRPr="0000365A">
              <w:rPr>
                <w:b w:val="0"/>
                <w:lang w:val="en-US"/>
              </w:rPr>
              <w:t xml:space="preserve"> </w:t>
            </w:r>
          </w:p>
          <w:p w14:paraId="56C1042B" w14:textId="77777777" w:rsidR="0000365A" w:rsidRPr="0000365A" w:rsidRDefault="0000365A" w:rsidP="0000365A">
            <w:pPr>
              <w:jc w:val="both"/>
              <w:rPr>
                <w:b w:val="0"/>
                <w:lang w:val="en-US"/>
              </w:rPr>
            </w:pPr>
            <w:r w:rsidRPr="0000365A">
              <w:rPr>
                <w:b w:val="0"/>
                <w:lang w:val="en-US"/>
              </w:rPr>
              <w:t xml:space="preserve">The data portal covers 38 indicators of health and wellbeing for children and young people aged 12-24 years, including: death and disease; substance abuse; suicide and self-harm; obesity; physical activity rates and educational outcomes. </w:t>
            </w:r>
          </w:p>
          <w:p w14:paraId="45C9D2DE" w14:textId="77777777" w:rsidR="0000365A" w:rsidRPr="0000365A" w:rsidRDefault="0000365A" w:rsidP="0000365A">
            <w:pPr>
              <w:jc w:val="both"/>
              <w:rPr>
                <w:b w:val="0"/>
                <w:lang w:val="en-US"/>
              </w:rPr>
            </w:pPr>
            <w:r w:rsidRPr="0000365A">
              <w:rPr>
                <w:b w:val="0"/>
                <w:lang w:val="en-US"/>
              </w:rPr>
              <w:t>I welcome this initiative and will continue to encourage the AIHW to provide further disaggregated data on children aged 0–17 years and groups of children such as Aboriginal and Torres Strait Islander children, children from culturally and linguistically diverse backgrounds, children with disability and children with diverse sexual orientations and gender identities.</w:t>
            </w:r>
          </w:p>
          <w:p w14:paraId="6AAB620B" w14:textId="77777777" w:rsidR="0000365A" w:rsidRPr="0000365A" w:rsidRDefault="0000365A" w:rsidP="0000365A">
            <w:pPr>
              <w:spacing w:before="120"/>
              <w:jc w:val="both"/>
              <w:rPr>
                <w:b w:val="0"/>
                <w:lang w:val="en-US"/>
              </w:rPr>
            </w:pPr>
            <w:r w:rsidRPr="0000365A">
              <w:rPr>
                <w:b w:val="0"/>
                <w:lang w:val="en-US"/>
              </w:rPr>
              <w:t xml:space="preserve">Coverage of all the key domains contained in the Convention on the Rights of the Child will provide an accurate picture of the rights and wellbeing of Australia’s children. This will highlight progress as well as gaps in our implementation of the Convention </w:t>
            </w:r>
            <w:r w:rsidRPr="0000365A">
              <w:rPr>
                <w:b w:val="0"/>
              </w:rPr>
              <w:t xml:space="preserve">on the </w:t>
            </w:r>
            <w:r w:rsidRPr="0000365A">
              <w:rPr>
                <w:b w:val="0"/>
              </w:rPr>
              <w:lastRenderedPageBreak/>
              <w:t>Rights of the Child</w:t>
            </w:r>
            <w:r w:rsidRPr="0000365A">
              <w:rPr>
                <w:b w:val="0"/>
                <w:lang w:val="en-US"/>
              </w:rPr>
              <w:t xml:space="preserve">, and would constitute an important component of Australia’s periodic review by the United Nations Committee on the Rights of the Child, next scheduled for 2018. </w:t>
            </w:r>
          </w:p>
          <w:p w14:paraId="48811075" w14:textId="4BDD2034" w:rsidR="008C2A31" w:rsidRPr="009D1F82" w:rsidRDefault="0000365A" w:rsidP="0000365A">
            <w:pPr>
              <w:jc w:val="both"/>
            </w:pPr>
            <w:r w:rsidRPr="0000365A">
              <w:rPr>
                <w:b w:val="0"/>
                <w:lang w:val="en-US"/>
              </w:rPr>
              <w:t>I will continue to advocate and seek support for this project.</w:t>
            </w:r>
          </w:p>
        </w:tc>
      </w:tr>
      <w:tr w:rsidR="008C2A31" w:rsidRPr="009D1F82" w14:paraId="4512CAC9" w14:textId="77777777" w:rsidTr="00B770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shd w:val="clear" w:color="auto" w:fill="F2F2F2" w:themeFill="background1" w:themeFillShade="F2"/>
            <w:vAlign w:val="center"/>
          </w:tcPr>
          <w:p w14:paraId="1EC6A0C8" w14:textId="40D7BDF4" w:rsidR="008C2A31" w:rsidRPr="009D1F82" w:rsidRDefault="001332CA" w:rsidP="00B77005">
            <w:pPr>
              <w:jc w:val="center"/>
            </w:pPr>
            <w:r>
              <w:lastRenderedPageBreak/>
              <w:t>Recommendation 6</w:t>
            </w:r>
          </w:p>
        </w:tc>
      </w:tr>
      <w:tr w:rsidR="008C2A31" w:rsidRPr="00E329FB" w14:paraId="320B24BB" w14:textId="77777777" w:rsidTr="00B77005">
        <w:tc>
          <w:tcPr>
            <w:cnfStyle w:val="001000000000" w:firstRow="0" w:lastRow="0" w:firstColumn="1" w:lastColumn="0" w:oddVBand="0" w:evenVBand="0" w:oddHBand="0" w:evenHBand="0" w:firstRowFirstColumn="0" w:firstRowLastColumn="0" w:lastRowFirstColumn="0" w:lastRowLastColumn="0"/>
            <w:tcW w:w="9493" w:type="dxa"/>
            <w:tcBorders>
              <w:bottom w:val="single" w:sz="4" w:space="0" w:color="9CC2E5" w:themeColor="accent1" w:themeTint="99"/>
            </w:tcBorders>
            <w:shd w:val="clear" w:color="auto" w:fill="FFFFFF" w:themeFill="background1"/>
            <w:vAlign w:val="center"/>
          </w:tcPr>
          <w:p w14:paraId="55DD9E34" w14:textId="740C54CE" w:rsidR="008C2A31" w:rsidRPr="00E329FB" w:rsidRDefault="0000365A" w:rsidP="00B77005">
            <w:pPr>
              <w:jc w:val="both"/>
              <w:rPr>
                <w:b w:val="0"/>
              </w:rPr>
            </w:pPr>
            <w:r w:rsidRPr="009228A5">
              <w:rPr>
                <w:b w:val="0"/>
              </w:rPr>
              <w:t>That the Australian Government includes in its regular monitoring and evaluation of national policy reforms and initiatives, a component that reports on how it is giving effect to the articles of the Convention on the Rights of the Child.</w:t>
            </w:r>
          </w:p>
        </w:tc>
      </w:tr>
      <w:tr w:rsidR="008C2A31" w:rsidRPr="00E329FB" w14:paraId="696290C2" w14:textId="77777777" w:rsidTr="00B7700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493" w:type="dxa"/>
            <w:shd w:val="clear" w:color="auto" w:fill="F2F2F2" w:themeFill="background1" w:themeFillShade="F2"/>
            <w:vAlign w:val="center"/>
          </w:tcPr>
          <w:p w14:paraId="708CECBA" w14:textId="4E2785B6" w:rsidR="008C2A31" w:rsidRPr="00E329FB" w:rsidRDefault="001332CA" w:rsidP="00B77005">
            <w:pPr>
              <w:jc w:val="center"/>
            </w:pPr>
            <w:r>
              <w:t xml:space="preserve">Progress of </w:t>
            </w:r>
            <w:r w:rsidR="008C2A31" w:rsidRPr="00E329FB">
              <w:t xml:space="preserve">Recommendation </w:t>
            </w:r>
            <w:r>
              <w:t>6</w:t>
            </w:r>
          </w:p>
        </w:tc>
      </w:tr>
      <w:tr w:rsidR="008C2A31" w:rsidRPr="009D1F82" w14:paraId="258D3B69" w14:textId="77777777" w:rsidTr="00B77005">
        <w:tc>
          <w:tcPr>
            <w:cnfStyle w:val="001000000000" w:firstRow="0" w:lastRow="0" w:firstColumn="1" w:lastColumn="0" w:oddVBand="0" w:evenVBand="0" w:oddHBand="0" w:evenHBand="0" w:firstRowFirstColumn="0" w:firstRowLastColumn="0" w:lastRowFirstColumn="0" w:lastRowLastColumn="0"/>
            <w:tcW w:w="9493" w:type="dxa"/>
            <w:vAlign w:val="center"/>
          </w:tcPr>
          <w:p w14:paraId="0DF51378" w14:textId="77777777" w:rsidR="0000365A" w:rsidRPr="0000365A" w:rsidRDefault="0000365A" w:rsidP="0000365A">
            <w:pPr>
              <w:jc w:val="both"/>
              <w:rPr>
                <w:b w:val="0"/>
              </w:rPr>
            </w:pPr>
            <w:r w:rsidRPr="0000365A">
              <w:rPr>
                <w:b w:val="0"/>
              </w:rPr>
              <w:t>Not implemented.</w:t>
            </w:r>
          </w:p>
          <w:p w14:paraId="0DF8AD73" w14:textId="77777777" w:rsidR="0000365A" w:rsidRPr="0000365A" w:rsidRDefault="0000365A" w:rsidP="0000365A">
            <w:pPr>
              <w:jc w:val="both"/>
              <w:rPr>
                <w:b w:val="0"/>
              </w:rPr>
            </w:pPr>
            <w:r w:rsidRPr="0000365A">
              <w:rPr>
                <w:b w:val="0"/>
              </w:rPr>
              <w:t xml:space="preserve">In 2014, the Attorney-General indicated to me that monitoring and evaluating national policy initiatives against the rights contained in the Convention on the Rights of the Child would require an additional layer of reporting outside the periodic reporting to the United Nations Committee on the Rights of the Child. </w:t>
            </w:r>
          </w:p>
          <w:p w14:paraId="1822D9DD" w14:textId="77777777" w:rsidR="0000365A" w:rsidRPr="0000365A" w:rsidRDefault="0000365A" w:rsidP="0000365A">
            <w:pPr>
              <w:jc w:val="both"/>
              <w:rPr>
                <w:b w:val="0"/>
              </w:rPr>
            </w:pPr>
            <w:r w:rsidRPr="0000365A">
              <w:rPr>
                <w:b w:val="0"/>
              </w:rPr>
              <w:t xml:space="preserve">The Attorney-General advised this would be a resource intensive exercise cutting across multiple jurisdictions and multiple programs and policies. </w:t>
            </w:r>
          </w:p>
          <w:p w14:paraId="0C0CB8E6" w14:textId="77777777" w:rsidR="0000365A" w:rsidRPr="0000365A" w:rsidRDefault="0000365A" w:rsidP="0000365A">
            <w:pPr>
              <w:spacing w:before="120"/>
              <w:jc w:val="both"/>
              <w:rPr>
                <w:b w:val="0"/>
                <w:lang w:val="en-US"/>
              </w:rPr>
            </w:pPr>
            <w:r w:rsidRPr="0000365A">
              <w:rPr>
                <w:b w:val="0"/>
                <w:lang w:val="en-US"/>
              </w:rPr>
              <w:t xml:space="preserve">I consider comprehensive and regular monitoring on the status of children’s rights in Australia to be a fundamental aspect of Australia’s commitments under the Convention </w:t>
            </w:r>
            <w:r w:rsidRPr="0000365A">
              <w:rPr>
                <w:b w:val="0"/>
              </w:rPr>
              <w:t>on the Rights of the Child</w:t>
            </w:r>
            <w:r w:rsidRPr="0000365A">
              <w:rPr>
                <w:b w:val="0"/>
                <w:lang w:val="en-US"/>
              </w:rPr>
              <w:t xml:space="preserve">. </w:t>
            </w:r>
          </w:p>
          <w:p w14:paraId="05583F9E" w14:textId="5F1DF937" w:rsidR="008C2A31" w:rsidRPr="009D1F82" w:rsidRDefault="0000365A" w:rsidP="0000365A">
            <w:pPr>
              <w:jc w:val="both"/>
            </w:pPr>
            <w:r w:rsidRPr="0000365A">
              <w:rPr>
                <w:b w:val="0"/>
                <w:lang w:val="en-US"/>
              </w:rPr>
              <w:t>I will continue to advocate for the inclusion of children’s rights in all national policy reforms and initiatives.</w:t>
            </w:r>
          </w:p>
        </w:tc>
      </w:tr>
    </w:tbl>
    <w:p w14:paraId="63A1AEB8" w14:textId="3406120E" w:rsidR="00442634" w:rsidRDefault="00CB666E" w:rsidP="00CB666E">
      <w:pPr>
        <w:pStyle w:val="Heading2"/>
      </w:pPr>
      <w:bookmarkStart w:id="28" w:name="_Toc432577305"/>
      <w:r>
        <w:t>Acknowledgments</w:t>
      </w:r>
      <w:bookmarkEnd w:id="28"/>
    </w:p>
    <w:p w14:paraId="4CB8B6FD" w14:textId="16D8E210" w:rsidR="00D94316" w:rsidRDefault="00CB666E" w:rsidP="00354AA1">
      <w:pPr>
        <w:jc w:val="both"/>
      </w:pPr>
      <w:r>
        <w:t>I would like to sincerely thank Professor Anne Graham,</w:t>
      </w:r>
      <w:r w:rsidRPr="007712BA">
        <w:t xml:space="preserve"> </w:t>
      </w:r>
      <w:r>
        <w:t>Director of the</w:t>
      </w:r>
      <w:r w:rsidRPr="007712BA">
        <w:t xml:space="preserve"> Centre for Children &amp; Young People</w:t>
      </w:r>
      <w:r>
        <w:t xml:space="preserve"> at Southern Cross University, and Ms Noelle Hudson, </w:t>
      </w:r>
      <w:r w:rsidRPr="00EB132B">
        <w:t xml:space="preserve">National Policy and Advocacy Manager </w:t>
      </w:r>
      <w:r>
        <w:t>at the CREATE Foundation, for their generous assistance</w:t>
      </w:r>
      <w:r w:rsidR="00876695">
        <w:t xml:space="preserve"> </w:t>
      </w:r>
      <w:r w:rsidR="005F2183">
        <w:t>in arranging consultations with young people with a</w:t>
      </w:r>
      <w:r w:rsidR="00F21E8E">
        <w:t xml:space="preserve">n out-of-home </w:t>
      </w:r>
      <w:r w:rsidR="005F2183">
        <w:t>care experience.</w:t>
      </w:r>
    </w:p>
    <w:p w14:paraId="25CFBB97" w14:textId="3AAD74D5" w:rsidR="005F2183" w:rsidRDefault="005F2183" w:rsidP="005F2183">
      <w:pPr>
        <w:jc w:val="both"/>
      </w:pPr>
      <w:r>
        <w:t>I would like to thank</w:t>
      </w:r>
      <w:r w:rsidRPr="005F2183">
        <w:t xml:space="preserve"> </w:t>
      </w:r>
      <w:r w:rsidRPr="00783F7F">
        <w:t xml:space="preserve">Professor Richard Chisholm </w:t>
      </w:r>
      <w:r>
        <w:t>for his contribution and support in addressing the</w:t>
      </w:r>
      <w:r w:rsidRPr="00783F7F">
        <w:t xml:space="preserve"> Coalition Backbench Policy Committee on Communications, Legal Affairs and Industry on matters relating to children's right</w:t>
      </w:r>
      <w:r>
        <w:t>s and the family law system i</w:t>
      </w:r>
      <w:r w:rsidRPr="00783F7F">
        <w:t>n March 2015</w:t>
      </w:r>
      <w:r>
        <w:t>.</w:t>
      </w:r>
    </w:p>
    <w:p w14:paraId="0E78D50A" w14:textId="77777777" w:rsidR="00990761" w:rsidRDefault="005F2183" w:rsidP="005F2183">
      <w:pPr>
        <w:jc w:val="both"/>
        <w:sectPr w:rsidR="00990761" w:rsidSect="001715AD">
          <w:endnotePr>
            <w:numFmt w:val="decimal"/>
          </w:endnotePr>
          <w:pgSz w:w="11906" w:h="16838" w:code="9"/>
          <w:pgMar w:top="1134" w:right="1418" w:bottom="1134" w:left="1418" w:header="709" w:footer="709" w:gutter="0"/>
          <w:cols w:space="708"/>
          <w:docGrid w:linePitch="360"/>
        </w:sectPr>
      </w:pPr>
      <w:r>
        <w:t xml:space="preserve">I sincerely thank all those children and young people who spoke to me </w:t>
      </w:r>
      <w:r w:rsidR="009F70AB">
        <w:t xml:space="preserve">during the year for their courage in telling me their stories in order to help improve </w:t>
      </w:r>
      <w:r w:rsidR="00F21E8E">
        <w:t>o</w:t>
      </w:r>
      <w:r w:rsidR="009F70AB">
        <w:t>utcomes for children.</w:t>
      </w:r>
    </w:p>
    <w:p w14:paraId="6031EF15" w14:textId="08AF3F0E" w:rsidR="009F2764" w:rsidRDefault="00442634" w:rsidP="00354AA1">
      <w:pPr>
        <w:pStyle w:val="Heading1"/>
        <w:jc w:val="both"/>
      </w:pPr>
      <w:bookmarkStart w:id="29" w:name="_Toc432577306"/>
      <w:r>
        <w:lastRenderedPageBreak/>
        <w:t>Child rights in legislation and court proceedings</w:t>
      </w:r>
      <w:bookmarkEnd w:id="29"/>
    </w:p>
    <w:p w14:paraId="76ADE51F" w14:textId="77777777" w:rsidR="00F80C0F" w:rsidRPr="00A07596" w:rsidRDefault="00F80C0F" w:rsidP="00354AA1">
      <w:pPr>
        <w:pStyle w:val="TOC2"/>
        <w:tabs>
          <w:tab w:val="left" w:pos="960"/>
          <w:tab w:val="right" w:pos="9060"/>
        </w:tabs>
        <w:jc w:val="both"/>
        <w:rPr>
          <w:rFonts w:asciiTheme="minorHAnsi" w:eastAsiaTheme="minorEastAsia" w:hAnsiTheme="minorHAnsi" w:cstheme="minorBidi"/>
          <w:noProof/>
          <w:color w:val="000000" w:themeColor="text1"/>
          <w:sz w:val="22"/>
          <w:szCs w:val="22"/>
        </w:rPr>
      </w:pPr>
      <w:r w:rsidRPr="00A07596">
        <w:rPr>
          <w:rStyle w:val="Hyperlink"/>
          <w:noProof/>
          <w:color w:val="000000" w:themeColor="text1"/>
          <w:u w:val="none"/>
        </w:rPr>
        <w:t>2.1</w:t>
      </w:r>
      <w:r w:rsidRPr="00A07596">
        <w:rPr>
          <w:rFonts w:asciiTheme="minorHAnsi" w:eastAsiaTheme="minorEastAsia" w:hAnsiTheme="minorHAnsi" w:cstheme="minorBidi"/>
          <w:noProof/>
          <w:color w:val="000000" w:themeColor="text1"/>
          <w:sz w:val="22"/>
          <w:szCs w:val="22"/>
        </w:rPr>
        <w:tab/>
      </w:r>
      <w:r w:rsidRPr="00A07596">
        <w:rPr>
          <w:rStyle w:val="Hyperlink"/>
          <w:noProof/>
          <w:color w:val="000000" w:themeColor="text1"/>
          <w:u w:val="none"/>
        </w:rPr>
        <w:t>The PJC’s consideration of child rights</w:t>
      </w:r>
      <w:r w:rsidRPr="00A07596">
        <w:rPr>
          <w:noProof/>
          <w:webHidden/>
          <w:color w:val="000000" w:themeColor="text1"/>
        </w:rPr>
        <w:tab/>
      </w:r>
      <w:r w:rsidRPr="00A07596">
        <w:rPr>
          <w:noProof/>
          <w:webHidden/>
          <w:color w:val="000000" w:themeColor="text1"/>
        </w:rPr>
        <w:fldChar w:fldCharType="begin"/>
      </w:r>
      <w:r w:rsidRPr="00A07596">
        <w:rPr>
          <w:noProof/>
          <w:webHidden/>
          <w:color w:val="000000" w:themeColor="text1"/>
        </w:rPr>
        <w:instrText xml:space="preserve"> PAGEREF _Toc430778336 \h </w:instrText>
      </w:r>
      <w:r w:rsidRPr="00A07596">
        <w:rPr>
          <w:noProof/>
          <w:webHidden/>
          <w:color w:val="000000" w:themeColor="text1"/>
        </w:rPr>
      </w:r>
      <w:r w:rsidRPr="00A07596">
        <w:rPr>
          <w:noProof/>
          <w:webHidden/>
          <w:color w:val="000000" w:themeColor="text1"/>
        </w:rPr>
        <w:fldChar w:fldCharType="separate"/>
      </w:r>
      <w:r w:rsidRPr="00A07596">
        <w:rPr>
          <w:noProof/>
          <w:webHidden/>
          <w:color w:val="000000" w:themeColor="text1"/>
        </w:rPr>
        <w:t>29</w:t>
      </w:r>
      <w:r w:rsidRPr="00A07596">
        <w:rPr>
          <w:noProof/>
          <w:webHidden/>
          <w:color w:val="000000" w:themeColor="text1"/>
        </w:rPr>
        <w:fldChar w:fldCharType="end"/>
      </w:r>
    </w:p>
    <w:p w14:paraId="083BD711" w14:textId="77777777" w:rsidR="00F80C0F" w:rsidRPr="00A07596" w:rsidRDefault="00F80C0F" w:rsidP="00354AA1">
      <w:pPr>
        <w:pStyle w:val="TOC2"/>
        <w:tabs>
          <w:tab w:val="left" w:pos="960"/>
          <w:tab w:val="right" w:pos="9060"/>
        </w:tabs>
        <w:jc w:val="both"/>
        <w:rPr>
          <w:rFonts w:asciiTheme="minorHAnsi" w:eastAsiaTheme="minorEastAsia" w:hAnsiTheme="minorHAnsi" w:cstheme="minorBidi"/>
          <w:noProof/>
          <w:color w:val="000000" w:themeColor="text1"/>
          <w:sz w:val="22"/>
          <w:szCs w:val="22"/>
        </w:rPr>
      </w:pPr>
      <w:r w:rsidRPr="00A07596">
        <w:rPr>
          <w:rStyle w:val="Hyperlink"/>
          <w:noProof/>
          <w:color w:val="000000" w:themeColor="text1"/>
          <w:u w:val="none"/>
        </w:rPr>
        <w:t>2.2</w:t>
      </w:r>
      <w:r w:rsidRPr="00A07596">
        <w:rPr>
          <w:rFonts w:asciiTheme="minorHAnsi" w:eastAsiaTheme="minorEastAsia" w:hAnsiTheme="minorHAnsi" w:cstheme="minorBidi"/>
          <w:noProof/>
          <w:color w:val="000000" w:themeColor="text1"/>
          <w:sz w:val="22"/>
          <w:szCs w:val="22"/>
        </w:rPr>
        <w:tab/>
      </w:r>
      <w:r w:rsidRPr="00A07596">
        <w:rPr>
          <w:rStyle w:val="Hyperlink"/>
          <w:noProof/>
          <w:color w:val="000000" w:themeColor="text1"/>
          <w:u w:val="none"/>
        </w:rPr>
        <w:t>Bills that had a substantially positive impact on child rights</w:t>
      </w:r>
      <w:r w:rsidRPr="00A07596">
        <w:rPr>
          <w:noProof/>
          <w:webHidden/>
          <w:color w:val="000000" w:themeColor="text1"/>
        </w:rPr>
        <w:tab/>
      </w:r>
      <w:r w:rsidRPr="00A07596">
        <w:rPr>
          <w:noProof/>
          <w:webHidden/>
          <w:color w:val="000000" w:themeColor="text1"/>
        </w:rPr>
        <w:fldChar w:fldCharType="begin"/>
      </w:r>
      <w:r w:rsidRPr="00A07596">
        <w:rPr>
          <w:noProof/>
          <w:webHidden/>
          <w:color w:val="000000" w:themeColor="text1"/>
        </w:rPr>
        <w:instrText xml:space="preserve"> PAGEREF _Toc430778337 \h </w:instrText>
      </w:r>
      <w:r w:rsidRPr="00A07596">
        <w:rPr>
          <w:noProof/>
          <w:webHidden/>
          <w:color w:val="000000" w:themeColor="text1"/>
        </w:rPr>
      </w:r>
      <w:r w:rsidRPr="00A07596">
        <w:rPr>
          <w:noProof/>
          <w:webHidden/>
          <w:color w:val="000000" w:themeColor="text1"/>
        </w:rPr>
        <w:fldChar w:fldCharType="separate"/>
      </w:r>
      <w:r w:rsidRPr="00A07596">
        <w:rPr>
          <w:noProof/>
          <w:webHidden/>
          <w:color w:val="000000" w:themeColor="text1"/>
        </w:rPr>
        <w:t>30</w:t>
      </w:r>
      <w:r w:rsidRPr="00A07596">
        <w:rPr>
          <w:noProof/>
          <w:webHidden/>
          <w:color w:val="000000" w:themeColor="text1"/>
        </w:rPr>
        <w:fldChar w:fldCharType="end"/>
      </w:r>
    </w:p>
    <w:p w14:paraId="7AB663F0" w14:textId="77777777" w:rsidR="00F80C0F" w:rsidRPr="00A07596" w:rsidRDefault="00F80C0F"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r w:rsidRPr="00A07596">
        <w:rPr>
          <w:rStyle w:val="Hyperlink"/>
          <w:noProof/>
          <w:color w:val="000000" w:themeColor="text1"/>
          <w:u w:val="none"/>
        </w:rPr>
        <w:t>2.2.1</w:t>
      </w:r>
      <w:r w:rsidRPr="00A07596">
        <w:rPr>
          <w:rFonts w:asciiTheme="minorHAnsi" w:eastAsiaTheme="minorEastAsia" w:hAnsiTheme="minorHAnsi" w:cstheme="minorBidi"/>
          <w:iCs w:val="0"/>
          <w:noProof/>
          <w:color w:val="000000" w:themeColor="text1"/>
          <w:sz w:val="22"/>
          <w:szCs w:val="22"/>
        </w:rPr>
        <w:tab/>
      </w:r>
      <w:r w:rsidRPr="00A07596">
        <w:rPr>
          <w:rStyle w:val="Hyperlink"/>
          <w:noProof/>
          <w:color w:val="000000" w:themeColor="text1"/>
          <w:u w:val="none"/>
        </w:rPr>
        <w:t>Guardian for Unaccompanied Children Bill 2014 (Cth)</w:t>
      </w:r>
      <w:r w:rsidRPr="00A07596">
        <w:rPr>
          <w:noProof/>
          <w:webHidden/>
          <w:color w:val="000000" w:themeColor="text1"/>
        </w:rPr>
        <w:tab/>
      </w:r>
      <w:r w:rsidRPr="00A07596">
        <w:rPr>
          <w:noProof/>
          <w:webHidden/>
          <w:color w:val="000000" w:themeColor="text1"/>
        </w:rPr>
        <w:fldChar w:fldCharType="begin"/>
      </w:r>
      <w:r w:rsidRPr="00A07596">
        <w:rPr>
          <w:noProof/>
          <w:webHidden/>
          <w:color w:val="000000" w:themeColor="text1"/>
        </w:rPr>
        <w:instrText xml:space="preserve"> PAGEREF _Toc430778338 \h </w:instrText>
      </w:r>
      <w:r w:rsidRPr="00A07596">
        <w:rPr>
          <w:noProof/>
          <w:webHidden/>
          <w:color w:val="000000" w:themeColor="text1"/>
        </w:rPr>
      </w:r>
      <w:r w:rsidRPr="00A07596">
        <w:rPr>
          <w:noProof/>
          <w:webHidden/>
          <w:color w:val="000000" w:themeColor="text1"/>
        </w:rPr>
        <w:fldChar w:fldCharType="separate"/>
      </w:r>
      <w:r w:rsidRPr="00A07596">
        <w:rPr>
          <w:noProof/>
          <w:webHidden/>
          <w:color w:val="000000" w:themeColor="text1"/>
        </w:rPr>
        <w:t>30</w:t>
      </w:r>
      <w:r w:rsidRPr="00A07596">
        <w:rPr>
          <w:noProof/>
          <w:webHidden/>
          <w:color w:val="000000" w:themeColor="text1"/>
        </w:rPr>
        <w:fldChar w:fldCharType="end"/>
      </w:r>
    </w:p>
    <w:p w14:paraId="4224FA4E" w14:textId="77777777" w:rsidR="00F80C0F" w:rsidRPr="00A07596" w:rsidRDefault="00F80C0F"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r w:rsidRPr="00A07596">
        <w:rPr>
          <w:rStyle w:val="Hyperlink"/>
          <w:noProof/>
          <w:color w:val="000000" w:themeColor="text1"/>
          <w:u w:val="none"/>
        </w:rPr>
        <w:t>2.2.2</w:t>
      </w:r>
      <w:r w:rsidRPr="00A07596">
        <w:rPr>
          <w:rFonts w:asciiTheme="minorHAnsi" w:eastAsiaTheme="minorEastAsia" w:hAnsiTheme="minorHAnsi" w:cstheme="minorBidi"/>
          <w:iCs w:val="0"/>
          <w:noProof/>
          <w:color w:val="000000" w:themeColor="text1"/>
          <w:sz w:val="22"/>
          <w:szCs w:val="22"/>
        </w:rPr>
        <w:tab/>
      </w:r>
      <w:r w:rsidRPr="00A07596">
        <w:rPr>
          <w:rStyle w:val="Hyperlink"/>
          <w:noProof/>
          <w:color w:val="000000" w:themeColor="text1"/>
          <w:u w:val="none"/>
        </w:rPr>
        <w:t>Australian Education Amendment Bill 2014 (Cth)</w:t>
      </w:r>
      <w:r w:rsidRPr="00A07596">
        <w:rPr>
          <w:noProof/>
          <w:webHidden/>
          <w:color w:val="000000" w:themeColor="text1"/>
        </w:rPr>
        <w:tab/>
      </w:r>
      <w:r w:rsidRPr="00A07596">
        <w:rPr>
          <w:noProof/>
          <w:webHidden/>
          <w:color w:val="000000" w:themeColor="text1"/>
        </w:rPr>
        <w:fldChar w:fldCharType="begin"/>
      </w:r>
      <w:r w:rsidRPr="00A07596">
        <w:rPr>
          <w:noProof/>
          <w:webHidden/>
          <w:color w:val="000000" w:themeColor="text1"/>
        </w:rPr>
        <w:instrText xml:space="preserve"> PAGEREF _Toc430778339 \h </w:instrText>
      </w:r>
      <w:r w:rsidRPr="00A07596">
        <w:rPr>
          <w:noProof/>
          <w:webHidden/>
          <w:color w:val="000000" w:themeColor="text1"/>
        </w:rPr>
      </w:r>
      <w:r w:rsidRPr="00A07596">
        <w:rPr>
          <w:noProof/>
          <w:webHidden/>
          <w:color w:val="000000" w:themeColor="text1"/>
        </w:rPr>
        <w:fldChar w:fldCharType="separate"/>
      </w:r>
      <w:r w:rsidRPr="00A07596">
        <w:rPr>
          <w:noProof/>
          <w:webHidden/>
          <w:color w:val="000000" w:themeColor="text1"/>
        </w:rPr>
        <w:t>31</w:t>
      </w:r>
      <w:r w:rsidRPr="00A07596">
        <w:rPr>
          <w:noProof/>
          <w:webHidden/>
          <w:color w:val="000000" w:themeColor="text1"/>
        </w:rPr>
        <w:fldChar w:fldCharType="end"/>
      </w:r>
    </w:p>
    <w:p w14:paraId="1FA34F97" w14:textId="77777777" w:rsidR="00F80C0F" w:rsidRPr="00A07596" w:rsidRDefault="00F80C0F" w:rsidP="00354AA1">
      <w:pPr>
        <w:pStyle w:val="TOC3"/>
        <w:tabs>
          <w:tab w:val="left" w:pos="1440"/>
          <w:tab w:val="right" w:pos="9060"/>
        </w:tabs>
        <w:ind w:left="1440" w:hanging="960"/>
        <w:jc w:val="both"/>
        <w:rPr>
          <w:rFonts w:asciiTheme="minorHAnsi" w:eastAsiaTheme="minorEastAsia" w:hAnsiTheme="minorHAnsi" w:cstheme="minorBidi"/>
          <w:iCs w:val="0"/>
          <w:noProof/>
          <w:color w:val="000000" w:themeColor="text1"/>
          <w:sz w:val="22"/>
          <w:szCs w:val="22"/>
        </w:rPr>
      </w:pPr>
      <w:r w:rsidRPr="00A07596">
        <w:rPr>
          <w:rStyle w:val="Hyperlink"/>
          <w:noProof/>
          <w:color w:val="000000" w:themeColor="text1"/>
          <w:u w:val="none"/>
        </w:rPr>
        <w:t>2.2.3</w:t>
      </w:r>
      <w:r w:rsidRPr="00A07596">
        <w:rPr>
          <w:rFonts w:asciiTheme="minorHAnsi" w:eastAsiaTheme="minorEastAsia" w:hAnsiTheme="minorHAnsi" w:cstheme="minorBidi"/>
          <w:iCs w:val="0"/>
          <w:noProof/>
          <w:color w:val="000000" w:themeColor="text1"/>
          <w:sz w:val="22"/>
          <w:szCs w:val="22"/>
        </w:rPr>
        <w:tab/>
      </w:r>
      <w:r w:rsidRPr="00A07596">
        <w:rPr>
          <w:rStyle w:val="Hyperlink"/>
          <w:noProof/>
          <w:color w:val="000000" w:themeColor="text1"/>
          <w:u w:val="none"/>
        </w:rPr>
        <w:t>Social Security and Other Legislation Amendment (Caring for Single Parents) Bill 2014 (Cth)</w:t>
      </w:r>
      <w:r w:rsidRPr="00A07596">
        <w:rPr>
          <w:noProof/>
          <w:webHidden/>
          <w:color w:val="000000" w:themeColor="text1"/>
        </w:rPr>
        <w:tab/>
      </w:r>
      <w:r w:rsidRPr="00A07596">
        <w:rPr>
          <w:noProof/>
          <w:webHidden/>
          <w:color w:val="000000" w:themeColor="text1"/>
        </w:rPr>
        <w:fldChar w:fldCharType="begin"/>
      </w:r>
      <w:r w:rsidRPr="00A07596">
        <w:rPr>
          <w:noProof/>
          <w:webHidden/>
          <w:color w:val="000000" w:themeColor="text1"/>
        </w:rPr>
        <w:instrText xml:space="preserve"> PAGEREF _Toc430778340 \h </w:instrText>
      </w:r>
      <w:r w:rsidRPr="00A07596">
        <w:rPr>
          <w:noProof/>
          <w:webHidden/>
          <w:color w:val="000000" w:themeColor="text1"/>
        </w:rPr>
      </w:r>
      <w:r w:rsidRPr="00A07596">
        <w:rPr>
          <w:noProof/>
          <w:webHidden/>
          <w:color w:val="000000" w:themeColor="text1"/>
        </w:rPr>
        <w:fldChar w:fldCharType="separate"/>
      </w:r>
      <w:r w:rsidRPr="00A07596">
        <w:rPr>
          <w:noProof/>
          <w:webHidden/>
          <w:color w:val="000000" w:themeColor="text1"/>
        </w:rPr>
        <w:t>31</w:t>
      </w:r>
      <w:r w:rsidRPr="00A07596">
        <w:rPr>
          <w:noProof/>
          <w:webHidden/>
          <w:color w:val="000000" w:themeColor="text1"/>
        </w:rPr>
        <w:fldChar w:fldCharType="end"/>
      </w:r>
    </w:p>
    <w:p w14:paraId="573111BF" w14:textId="77777777" w:rsidR="00F80C0F" w:rsidRPr="00A07596" w:rsidRDefault="00F80C0F" w:rsidP="00354AA1">
      <w:pPr>
        <w:pStyle w:val="TOC3"/>
        <w:tabs>
          <w:tab w:val="left" w:pos="1440"/>
          <w:tab w:val="right" w:pos="9060"/>
        </w:tabs>
        <w:ind w:left="1440" w:hanging="960"/>
        <w:jc w:val="both"/>
        <w:rPr>
          <w:rFonts w:asciiTheme="minorHAnsi" w:eastAsiaTheme="minorEastAsia" w:hAnsiTheme="minorHAnsi" w:cstheme="minorBidi"/>
          <w:iCs w:val="0"/>
          <w:noProof/>
          <w:color w:val="000000" w:themeColor="text1"/>
          <w:sz w:val="22"/>
          <w:szCs w:val="22"/>
        </w:rPr>
      </w:pPr>
      <w:r w:rsidRPr="00A07596">
        <w:rPr>
          <w:rStyle w:val="Hyperlink"/>
          <w:noProof/>
          <w:color w:val="000000" w:themeColor="text1"/>
          <w:u w:val="none"/>
        </w:rPr>
        <w:t>2.2.4</w:t>
      </w:r>
      <w:r w:rsidRPr="00A07596">
        <w:rPr>
          <w:rFonts w:asciiTheme="minorHAnsi" w:eastAsiaTheme="minorEastAsia" w:hAnsiTheme="minorHAnsi" w:cstheme="minorBidi"/>
          <w:iCs w:val="0"/>
          <w:noProof/>
          <w:color w:val="000000" w:themeColor="text1"/>
          <w:sz w:val="22"/>
          <w:szCs w:val="22"/>
        </w:rPr>
        <w:tab/>
      </w:r>
      <w:r w:rsidRPr="00A07596">
        <w:rPr>
          <w:rStyle w:val="Hyperlink"/>
          <w:noProof/>
          <w:color w:val="000000" w:themeColor="text1"/>
          <w:u w:val="none"/>
        </w:rPr>
        <w:t xml:space="preserve">Enhancing Online Safety for Children Bill 2014 (Cth) and the Enhancing Online Safety for Children (Consequential Amendments) </w:t>
      </w:r>
      <w:r w:rsidRPr="00A07596">
        <w:rPr>
          <w:rStyle w:val="Hyperlink"/>
          <w:noProof/>
          <w:color w:val="000000" w:themeColor="text1"/>
          <w:u w:val="none"/>
        </w:rPr>
        <w:br/>
        <w:t>Bill 2014 (Cth)</w:t>
      </w:r>
      <w:r w:rsidRPr="00A07596">
        <w:rPr>
          <w:noProof/>
          <w:webHidden/>
          <w:color w:val="000000" w:themeColor="text1"/>
        </w:rPr>
        <w:tab/>
      </w:r>
      <w:r w:rsidRPr="00A07596">
        <w:rPr>
          <w:noProof/>
          <w:webHidden/>
          <w:color w:val="000000" w:themeColor="text1"/>
        </w:rPr>
        <w:fldChar w:fldCharType="begin"/>
      </w:r>
      <w:r w:rsidRPr="00A07596">
        <w:rPr>
          <w:noProof/>
          <w:webHidden/>
          <w:color w:val="000000" w:themeColor="text1"/>
        </w:rPr>
        <w:instrText xml:space="preserve"> PAGEREF _Toc430778341 \h </w:instrText>
      </w:r>
      <w:r w:rsidRPr="00A07596">
        <w:rPr>
          <w:noProof/>
          <w:webHidden/>
          <w:color w:val="000000" w:themeColor="text1"/>
        </w:rPr>
      </w:r>
      <w:r w:rsidRPr="00A07596">
        <w:rPr>
          <w:noProof/>
          <w:webHidden/>
          <w:color w:val="000000" w:themeColor="text1"/>
        </w:rPr>
        <w:fldChar w:fldCharType="separate"/>
      </w:r>
      <w:r w:rsidRPr="00A07596">
        <w:rPr>
          <w:noProof/>
          <w:webHidden/>
          <w:color w:val="000000" w:themeColor="text1"/>
        </w:rPr>
        <w:t>32</w:t>
      </w:r>
      <w:r w:rsidRPr="00A07596">
        <w:rPr>
          <w:noProof/>
          <w:webHidden/>
          <w:color w:val="000000" w:themeColor="text1"/>
        </w:rPr>
        <w:fldChar w:fldCharType="end"/>
      </w:r>
    </w:p>
    <w:p w14:paraId="1082A794" w14:textId="77777777" w:rsidR="00F80C0F" w:rsidRPr="00A07596" w:rsidRDefault="00F80C0F" w:rsidP="00354AA1">
      <w:pPr>
        <w:pStyle w:val="TOC3"/>
        <w:tabs>
          <w:tab w:val="left" w:pos="1440"/>
          <w:tab w:val="right" w:pos="9060"/>
        </w:tabs>
        <w:ind w:left="1440" w:hanging="960"/>
        <w:jc w:val="both"/>
        <w:rPr>
          <w:rFonts w:asciiTheme="minorHAnsi" w:eastAsiaTheme="minorEastAsia" w:hAnsiTheme="minorHAnsi" w:cstheme="minorBidi"/>
          <w:iCs w:val="0"/>
          <w:noProof/>
          <w:color w:val="000000" w:themeColor="text1"/>
          <w:sz w:val="22"/>
          <w:szCs w:val="22"/>
        </w:rPr>
      </w:pPr>
      <w:r w:rsidRPr="00A07596">
        <w:rPr>
          <w:rStyle w:val="Hyperlink"/>
          <w:noProof/>
          <w:color w:val="000000" w:themeColor="text1"/>
          <w:u w:val="none"/>
        </w:rPr>
        <w:t>2.2.5</w:t>
      </w:r>
      <w:r w:rsidRPr="00A07596">
        <w:rPr>
          <w:rFonts w:asciiTheme="minorHAnsi" w:eastAsiaTheme="minorEastAsia" w:hAnsiTheme="minorHAnsi" w:cstheme="minorBidi"/>
          <w:iCs w:val="0"/>
          <w:noProof/>
          <w:color w:val="000000" w:themeColor="text1"/>
          <w:sz w:val="22"/>
          <w:szCs w:val="22"/>
        </w:rPr>
        <w:tab/>
      </w:r>
      <w:r w:rsidRPr="00A07596">
        <w:rPr>
          <w:rStyle w:val="Hyperlink"/>
          <w:noProof/>
          <w:color w:val="000000" w:themeColor="text1"/>
          <w:u w:val="none"/>
        </w:rPr>
        <w:t>Crimes Legislation Amendment (Powers, Offences and Other Measures) Bill 2015 (Cth)</w:t>
      </w:r>
      <w:r w:rsidRPr="00A07596">
        <w:rPr>
          <w:noProof/>
          <w:webHidden/>
          <w:color w:val="000000" w:themeColor="text1"/>
        </w:rPr>
        <w:tab/>
      </w:r>
      <w:r w:rsidRPr="00A07596">
        <w:rPr>
          <w:noProof/>
          <w:webHidden/>
          <w:color w:val="000000" w:themeColor="text1"/>
        </w:rPr>
        <w:fldChar w:fldCharType="begin"/>
      </w:r>
      <w:r w:rsidRPr="00A07596">
        <w:rPr>
          <w:noProof/>
          <w:webHidden/>
          <w:color w:val="000000" w:themeColor="text1"/>
        </w:rPr>
        <w:instrText xml:space="preserve"> PAGEREF _Toc430778342 \h </w:instrText>
      </w:r>
      <w:r w:rsidRPr="00A07596">
        <w:rPr>
          <w:noProof/>
          <w:webHidden/>
          <w:color w:val="000000" w:themeColor="text1"/>
        </w:rPr>
      </w:r>
      <w:r w:rsidRPr="00A07596">
        <w:rPr>
          <w:noProof/>
          <w:webHidden/>
          <w:color w:val="000000" w:themeColor="text1"/>
        </w:rPr>
        <w:fldChar w:fldCharType="separate"/>
      </w:r>
      <w:r w:rsidRPr="00A07596">
        <w:rPr>
          <w:noProof/>
          <w:webHidden/>
          <w:color w:val="000000" w:themeColor="text1"/>
        </w:rPr>
        <w:t>32</w:t>
      </w:r>
      <w:r w:rsidRPr="00A07596">
        <w:rPr>
          <w:noProof/>
          <w:webHidden/>
          <w:color w:val="000000" w:themeColor="text1"/>
        </w:rPr>
        <w:fldChar w:fldCharType="end"/>
      </w:r>
    </w:p>
    <w:p w14:paraId="7F638E69" w14:textId="77777777" w:rsidR="00F80C0F" w:rsidRPr="00A07596" w:rsidRDefault="00F80C0F" w:rsidP="00354AA1">
      <w:pPr>
        <w:pStyle w:val="TOC2"/>
        <w:tabs>
          <w:tab w:val="left" w:pos="960"/>
          <w:tab w:val="right" w:pos="9060"/>
        </w:tabs>
        <w:jc w:val="both"/>
        <w:rPr>
          <w:rFonts w:asciiTheme="minorHAnsi" w:eastAsiaTheme="minorEastAsia" w:hAnsiTheme="minorHAnsi" w:cstheme="minorBidi"/>
          <w:noProof/>
          <w:color w:val="000000" w:themeColor="text1"/>
          <w:sz w:val="22"/>
          <w:szCs w:val="22"/>
        </w:rPr>
      </w:pPr>
      <w:r w:rsidRPr="00A07596">
        <w:rPr>
          <w:rStyle w:val="Hyperlink"/>
          <w:noProof/>
          <w:color w:val="000000" w:themeColor="text1"/>
          <w:u w:val="none"/>
        </w:rPr>
        <w:t>2.3</w:t>
      </w:r>
      <w:r w:rsidRPr="00A07596">
        <w:rPr>
          <w:rFonts w:asciiTheme="minorHAnsi" w:eastAsiaTheme="minorEastAsia" w:hAnsiTheme="minorHAnsi" w:cstheme="minorBidi"/>
          <w:noProof/>
          <w:color w:val="000000" w:themeColor="text1"/>
          <w:sz w:val="22"/>
          <w:szCs w:val="22"/>
        </w:rPr>
        <w:tab/>
      </w:r>
      <w:r w:rsidRPr="00A07596">
        <w:rPr>
          <w:rStyle w:val="Hyperlink"/>
          <w:noProof/>
          <w:color w:val="000000" w:themeColor="text1"/>
          <w:u w:val="none"/>
        </w:rPr>
        <w:t>Bills that had a substantially negative impact on child rights</w:t>
      </w:r>
      <w:r w:rsidRPr="00A07596">
        <w:rPr>
          <w:noProof/>
          <w:webHidden/>
          <w:color w:val="000000" w:themeColor="text1"/>
        </w:rPr>
        <w:tab/>
      </w:r>
      <w:r w:rsidRPr="00A07596">
        <w:rPr>
          <w:noProof/>
          <w:webHidden/>
          <w:color w:val="000000" w:themeColor="text1"/>
        </w:rPr>
        <w:fldChar w:fldCharType="begin"/>
      </w:r>
      <w:r w:rsidRPr="00A07596">
        <w:rPr>
          <w:noProof/>
          <w:webHidden/>
          <w:color w:val="000000" w:themeColor="text1"/>
        </w:rPr>
        <w:instrText xml:space="preserve"> PAGEREF _Toc430778343 \h </w:instrText>
      </w:r>
      <w:r w:rsidRPr="00A07596">
        <w:rPr>
          <w:noProof/>
          <w:webHidden/>
          <w:color w:val="000000" w:themeColor="text1"/>
        </w:rPr>
      </w:r>
      <w:r w:rsidRPr="00A07596">
        <w:rPr>
          <w:noProof/>
          <w:webHidden/>
          <w:color w:val="000000" w:themeColor="text1"/>
        </w:rPr>
        <w:fldChar w:fldCharType="separate"/>
      </w:r>
      <w:r w:rsidRPr="00A07596">
        <w:rPr>
          <w:noProof/>
          <w:webHidden/>
          <w:color w:val="000000" w:themeColor="text1"/>
        </w:rPr>
        <w:t>33</w:t>
      </w:r>
      <w:r w:rsidRPr="00A07596">
        <w:rPr>
          <w:noProof/>
          <w:webHidden/>
          <w:color w:val="000000" w:themeColor="text1"/>
        </w:rPr>
        <w:fldChar w:fldCharType="end"/>
      </w:r>
    </w:p>
    <w:p w14:paraId="295B5472" w14:textId="77777777" w:rsidR="00F80C0F" w:rsidRPr="00A07596" w:rsidRDefault="00F80C0F" w:rsidP="00354AA1">
      <w:pPr>
        <w:pStyle w:val="TOC3"/>
        <w:tabs>
          <w:tab w:val="left" w:pos="1440"/>
          <w:tab w:val="right" w:pos="9060"/>
        </w:tabs>
        <w:ind w:left="1440" w:hanging="960"/>
        <w:jc w:val="both"/>
        <w:rPr>
          <w:rFonts w:asciiTheme="minorHAnsi" w:eastAsiaTheme="minorEastAsia" w:hAnsiTheme="minorHAnsi" w:cstheme="minorBidi"/>
          <w:iCs w:val="0"/>
          <w:noProof/>
          <w:color w:val="000000" w:themeColor="text1"/>
          <w:sz w:val="22"/>
          <w:szCs w:val="22"/>
        </w:rPr>
      </w:pPr>
      <w:r w:rsidRPr="00A07596">
        <w:rPr>
          <w:rStyle w:val="Hyperlink"/>
          <w:noProof/>
          <w:color w:val="000000" w:themeColor="text1"/>
          <w:u w:val="none"/>
        </w:rPr>
        <w:t>2.3.1</w:t>
      </w:r>
      <w:r w:rsidRPr="00A07596">
        <w:rPr>
          <w:rFonts w:asciiTheme="minorHAnsi" w:eastAsiaTheme="minorEastAsia" w:hAnsiTheme="minorHAnsi" w:cstheme="minorBidi"/>
          <w:iCs w:val="0"/>
          <w:noProof/>
          <w:color w:val="000000" w:themeColor="text1"/>
          <w:sz w:val="22"/>
          <w:szCs w:val="22"/>
        </w:rPr>
        <w:tab/>
      </w:r>
      <w:r w:rsidRPr="00A07596">
        <w:rPr>
          <w:rStyle w:val="Hyperlink"/>
          <w:noProof/>
          <w:color w:val="000000" w:themeColor="text1"/>
          <w:u w:val="none"/>
        </w:rPr>
        <w:t>Migration Amendment (Character and General Visa Cancellation) Bill 2014 (Cth)</w:t>
      </w:r>
      <w:r w:rsidRPr="00A07596">
        <w:rPr>
          <w:noProof/>
          <w:webHidden/>
          <w:color w:val="000000" w:themeColor="text1"/>
        </w:rPr>
        <w:tab/>
      </w:r>
      <w:r w:rsidRPr="00A07596">
        <w:rPr>
          <w:noProof/>
          <w:webHidden/>
          <w:color w:val="000000" w:themeColor="text1"/>
        </w:rPr>
        <w:fldChar w:fldCharType="begin"/>
      </w:r>
      <w:r w:rsidRPr="00A07596">
        <w:rPr>
          <w:noProof/>
          <w:webHidden/>
          <w:color w:val="000000" w:themeColor="text1"/>
        </w:rPr>
        <w:instrText xml:space="preserve"> PAGEREF _Toc430778344 \h </w:instrText>
      </w:r>
      <w:r w:rsidRPr="00A07596">
        <w:rPr>
          <w:noProof/>
          <w:webHidden/>
          <w:color w:val="000000" w:themeColor="text1"/>
        </w:rPr>
      </w:r>
      <w:r w:rsidRPr="00A07596">
        <w:rPr>
          <w:noProof/>
          <w:webHidden/>
          <w:color w:val="000000" w:themeColor="text1"/>
        </w:rPr>
        <w:fldChar w:fldCharType="separate"/>
      </w:r>
      <w:r w:rsidRPr="00A07596">
        <w:rPr>
          <w:noProof/>
          <w:webHidden/>
          <w:color w:val="000000" w:themeColor="text1"/>
        </w:rPr>
        <w:t>33</w:t>
      </w:r>
      <w:r w:rsidRPr="00A07596">
        <w:rPr>
          <w:noProof/>
          <w:webHidden/>
          <w:color w:val="000000" w:themeColor="text1"/>
        </w:rPr>
        <w:fldChar w:fldCharType="end"/>
      </w:r>
    </w:p>
    <w:p w14:paraId="2FC36E76" w14:textId="77777777" w:rsidR="00F80C0F" w:rsidRPr="00A07596" w:rsidRDefault="00F80C0F" w:rsidP="00354AA1">
      <w:pPr>
        <w:pStyle w:val="TOC3"/>
        <w:tabs>
          <w:tab w:val="left" w:pos="1440"/>
          <w:tab w:val="right" w:pos="9060"/>
        </w:tabs>
        <w:ind w:left="1440" w:hanging="960"/>
        <w:jc w:val="both"/>
        <w:rPr>
          <w:rFonts w:asciiTheme="minorHAnsi" w:eastAsiaTheme="minorEastAsia" w:hAnsiTheme="minorHAnsi" w:cstheme="minorBidi"/>
          <w:iCs w:val="0"/>
          <w:noProof/>
          <w:color w:val="000000" w:themeColor="text1"/>
          <w:sz w:val="22"/>
          <w:szCs w:val="22"/>
        </w:rPr>
      </w:pPr>
      <w:r w:rsidRPr="00A07596">
        <w:rPr>
          <w:rStyle w:val="Hyperlink"/>
          <w:noProof/>
          <w:color w:val="000000" w:themeColor="text1"/>
          <w:u w:val="none"/>
        </w:rPr>
        <w:t>2.3.2</w:t>
      </w:r>
      <w:r w:rsidRPr="00A07596">
        <w:rPr>
          <w:rFonts w:asciiTheme="minorHAnsi" w:eastAsiaTheme="minorEastAsia" w:hAnsiTheme="minorHAnsi" w:cstheme="minorBidi"/>
          <w:iCs w:val="0"/>
          <w:noProof/>
          <w:color w:val="000000" w:themeColor="text1"/>
          <w:sz w:val="22"/>
          <w:szCs w:val="22"/>
        </w:rPr>
        <w:tab/>
      </w:r>
      <w:r w:rsidRPr="00A07596">
        <w:rPr>
          <w:rStyle w:val="Hyperlink"/>
          <w:noProof/>
          <w:color w:val="000000" w:themeColor="text1"/>
          <w:u w:val="none"/>
        </w:rPr>
        <w:t>Migration and Maritime Powers Legislation Amendment (Resolving the Asylum Legacy Caseload) Bill 2014 (Cth)</w:t>
      </w:r>
      <w:r w:rsidRPr="00A07596">
        <w:rPr>
          <w:noProof/>
          <w:webHidden/>
          <w:color w:val="000000" w:themeColor="text1"/>
        </w:rPr>
        <w:tab/>
      </w:r>
      <w:r w:rsidRPr="00A07596">
        <w:rPr>
          <w:noProof/>
          <w:webHidden/>
          <w:color w:val="000000" w:themeColor="text1"/>
        </w:rPr>
        <w:fldChar w:fldCharType="begin"/>
      </w:r>
      <w:r w:rsidRPr="00A07596">
        <w:rPr>
          <w:noProof/>
          <w:webHidden/>
          <w:color w:val="000000" w:themeColor="text1"/>
        </w:rPr>
        <w:instrText xml:space="preserve"> PAGEREF _Toc430778345 \h </w:instrText>
      </w:r>
      <w:r w:rsidRPr="00A07596">
        <w:rPr>
          <w:noProof/>
          <w:webHidden/>
          <w:color w:val="000000" w:themeColor="text1"/>
        </w:rPr>
      </w:r>
      <w:r w:rsidRPr="00A07596">
        <w:rPr>
          <w:noProof/>
          <w:webHidden/>
          <w:color w:val="000000" w:themeColor="text1"/>
        </w:rPr>
        <w:fldChar w:fldCharType="separate"/>
      </w:r>
      <w:r w:rsidRPr="00A07596">
        <w:rPr>
          <w:noProof/>
          <w:webHidden/>
          <w:color w:val="000000" w:themeColor="text1"/>
        </w:rPr>
        <w:t>34</w:t>
      </w:r>
      <w:r w:rsidRPr="00A07596">
        <w:rPr>
          <w:noProof/>
          <w:webHidden/>
          <w:color w:val="000000" w:themeColor="text1"/>
        </w:rPr>
        <w:fldChar w:fldCharType="end"/>
      </w:r>
    </w:p>
    <w:p w14:paraId="77715E8F" w14:textId="77777777" w:rsidR="00F80C0F" w:rsidRPr="00A07596" w:rsidRDefault="00F80C0F"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r w:rsidRPr="00A07596">
        <w:rPr>
          <w:rStyle w:val="Hyperlink"/>
          <w:noProof/>
          <w:color w:val="000000" w:themeColor="text1"/>
          <w:u w:val="none"/>
        </w:rPr>
        <w:t>2.3.3</w:t>
      </w:r>
      <w:r w:rsidRPr="00A07596">
        <w:rPr>
          <w:rFonts w:asciiTheme="minorHAnsi" w:eastAsiaTheme="minorEastAsia" w:hAnsiTheme="minorHAnsi" w:cstheme="minorBidi"/>
          <w:iCs w:val="0"/>
          <w:noProof/>
          <w:color w:val="000000" w:themeColor="text1"/>
          <w:sz w:val="22"/>
          <w:szCs w:val="22"/>
        </w:rPr>
        <w:tab/>
      </w:r>
      <w:r w:rsidRPr="00A07596">
        <w:rPr>
          <w:rStyle w:val="Hyperlink"/>
          <w:noProof/>
          <w:color w:val="000000" w:themeColor="text1"/>
          <w:u w:val="none"/>
        </w:rPr>
        <w:t>Australian Citizenship and Other Legislation Amendment Bill 2014 (Cth)</w:t>
      </w:r>
      <w:r w:rsidRPr="00A07596">
        <w:rPr>
          <w:noProof/>
          <w:webHidden/>
          <w:color w:val="000000" w:themeColor="text1"/>
        </w:rPr>
        <w:tab/>
      </w:r>
      <w:r w:rsidRPr="00A07596">
        <w:rPr>
          <w:noProof/>
          <w:webHidden/>
          <w:color w:val="000000" w:themeColor="text1"/>
        </w:rPr>
        <w:fldChar w:fldCharType="begin"/>
      </w:r>
      <w:r w:rsidRPr="00A07596">
        <w:rPr>
          <w:noProof/>
          <w:webHidden/>
          <w:color w:val="000000" w:themeColor="text1"/>
        </w:rPr>
        <w:instrText xml:space="preserve"> PAGEREF _Toc430778346 \h </w:instrText>
      </w:r>
      <w:r w:rsidRPr="00A07596">
        <w:rPr>
          <w:noProof/>
          <w:webHidden/>
          <w:color w:val="000000" w:themeColor="text1"/>
        </w:rPr>
      </w:r>
      <w:r w:rsidRPr="00A07596">
        <w:rPr>
          <w:noProof/>
          <w:webHidden/>
          <w:color w:val="000000" w:themeColor="text1"/>
        </w:rPr>
        <w:fldChar w:fldCharType="separate"/>
      </w:r>
      <w:r w:rsidRPr="00A07596">
        <w:rPr>
          <w:noProof/>
          <w:webHidden/>
          <w:color w:val="000000" w:themeColor="text1"/>
        </w:rPr>
        <w:t>34</w:t>
      </w:r>
      <w:r w:rsidRPr="00A07596">
        <w:rPr>
          <w:noProof/>
          <w:webHidden/>
          <w:color w:val="000000" w:themeColor="text1"/>
        </w:rPr>
        <w:fldChar w:fldCharType="end"/>
      </w:r>
    </w:p>
    <w:p w14:paraId="53458EE8" w14:textId="77777777" w:rsidR="00F80C0F" w:rsidRPr="00A07596" w:rsidRDefault="00F80C0F" w:rsidP="00354AA1">
      <w:pPr>
        <w:pStyle w:val="TOC3"/>
        <w:tabs>
          <w:tab w:val="left" w:pos="1440"/>
          <w:tab w:val="right" w:pos="9060"/>
        </w:tabs>
        <w:ind w:left="1440" w:hanging="960"/>
        <w:jc w:val="both"/>
        <w:rPr>
          <w:rFonts w:asciiTheme="minorHAnsi" w:eastAsiaTheme="minorEastAsia" w:hAnsiTheme="minorHAnsi" w:cstheme="minorBidi"/>
          <w:iCs w:val="0"/>
          <w:noProof/>
          <w:color w:val="000000" w:themeColor="text1"/>
          <w:sz w:val="22"/>
          <w:szCs w:val="22"/>
        </w:rPr>
      </w:pPr>
      <w:r w:rsidRPr="00A07596">
        <w:rPr>
          <w:rStyle w:val="Hyperlink"/>
          <w:noProof/>
          <w:color w:val="000000" w:themeColor="text1"/>
          <w:u w:val="none"/>
        </w:rPr>
        <w:t>2.3.4</w:t>
      </w:r>
      <w:r w:rsidRPr="00A07596">
        <w:rPr>
          <w:rFonts w:asciiTheme="minorHAnsi" w:eastAsiaTheme="minorEastAsia" w:hAnsiTheme="minorHAnsi" w:cstheme="minorBidi"/>
          <w:iCs w:val="0"/>
          <w:noProof/>
          <w:color w:val="000000" w:themeColor="text1"/>
          <w:sz w:val="22"/>
          <w:szCs w:val="22"/>
        </w:rPr>
        <w:tab/>
      </w:r>
      <w:r w:rsidRPr="00A07596">
        <w:rPr>
          <w:rStyle w:val="Hyperlink"/>
          <w:noProof/>
          <w:color w:val="000000" w:themeColor="text1"/>
          <w:u w:val="none"/>
        </w:rPr>
        <w:t>Migration Amendment (Strengthening Biometrics Integrity) Bill 2015 (Cth)</w:t>
      </w:r>
      <w:r w:rsidRPr="00A07596">
        <w:rPr>
          <w:noProof/>
          <w:webHidden/>
          <w:color w:val="000000" w:themeColor="text1"/>
        </w:rPr>
        <w:tab/>
      </w:r>
      <w:r w:rsidRPr="00A07596">
        <w:rPr>
          <w:noProof/>
          <w:webHidden/>
          <w:color w:val="000000" w:themeColor="text1"/>
        </w:rPr>
        <w:fldChar w:fldCharType="begin"/>
      </w:r>
      <w:r w:rsidRPr="00A07596">
        <w:rPr>
          <w:noProof/>
          <w:webHidden/>
          <w:color w:val="000000" w:themeColor="text1"/>
        </w:rPr>
        <w:instrText xml:space="preserve"> PAGEREF _Toc430778347 \h </w:instrText>
      </w:r>
      <w:r w:rsidRPr="00A07596">
        <w:rPr>
          <w:noProof/>
          <w:webHidden/>
          <w:color w:val="000000" w:themeColor="text1"/>
        </w:rPr>
      </w:r>
      <w:r w:rsidRPr="00A07596">
        <w:rPr>
          <w:noProof/>
          <w:webHidden/>
          <w:color w:val="000000" w:themeColor="text1"/>
        </w:rPr>
        <w:fldChar w:fldCharType="separate"/>
      </w:r>
      <w:r w:rsidRPr="00A07596">
        <w:rPr>
          <w:noProof/>
          <w:webHidden/>
          <w:color w:val="000000" w:themeColor="text1"/>
        </w:rPr>
        <w:t>36</w:t>
      </w:r>
      <w:r w:rsidRPr="00A07596">
        <w:rPr>
          <w:noProof/>
          <w:webHidden/>
          <w:color w:val="000000" w:themeColor="text1"/>
        </w:rPr>
        <w:fldChar w:fldCharType="end"/>
      </w:r>
    </w:p>
    <w:p w14:paraId="2E8836F8" w14:textId="77777777" w:rsidR="00F80C0F" w:rsidRPr="00A07596" w:rsidRDefault="00F80C0F" w:rsidP="00354AA1">
      <w:pPr>
        <w:pStyle w:val="TOC2"/>
        <w:tabs>
          <w:tab w:val="left" w:pos="960"/>
          <w:tab w:val="right" w:pos="9060"/>
        </w:tabs>
        <w:ind w:left="720" w:hanging="480"/>
        <w:jc w:val="both"/>
        <w:rPr>
          <w:rFonts w:asciiTheme="minorHAnsi" w:eastAsiaTheme="minorEastAsia" w:hAnsiTheme="minorHAnsi" w:cstheme="minorBidi"/>
          <w:noProof/>
          <w:color w:val="000000" w:themeColor="text1"/>
          <w:sz w:val="22"/>
          <w:szCs w:val="22"/>
        </w:rPr>
      </w:pPr>
      <w:r w:rsidRPr="00A07596">
        <w:rPr>
          <w:rStyle w:val="Hyperlink"/>
          <w:noProof/>
          <w:color w:val="000000" w:themeColor="text1"/>
          <w:u w:val="none"/>
        </w:rPr>
        <w:t>2.4</w:t>
      </w:r>
      <w:r w:rsidRPr="00A07596">
        <w:rPr>
          <w:rFonts w:asciiTheme="minorHAnsi" w:eastAsiaTheme="minorEastAsia" w:hAnsiTheme="minorHAnsi" w:cstheme="minorBidi"/>
          <w:noProof/>
          <w:color w:val="000000" w:themeColor="text1"/>
          <w:sz w:val="22"/>
          <w:szCs w:val="22"/>
        </w:rPr>
        <w:tab/>
      </w:r>
      <w:r w:rsidRPr="00A07596">
        <w:rPr>
          <w:rStyle w:val="Hyperlink"/>
          <w:noProof/>
          <w:color w:val="000000" w:themeColor="text1"/>
          <w:u w:val="none"/>
        </w:rPr>
        <w:t>Bills initially considered to have had a negative impact on children’s rights but later considered to be compatible</w:t>
      </w:r>
      <w:r w:rsidRPr="00A07596">
        <w:rPr>
          <w:noProof/>
          <w:webHidden/>
          <w:color w:val="000000" w:themeColor="text1"/>
        </w:rPr>
        <w:tab/>
      </w:r>
      <w:r w:rsidRPr="00A07596">
        <w:rPr>
          <w:noProof/>
          <w:webHidden/>
          <w:color w:val="000000" w:themeColor="text1"/>
        </w:rPr>
        <w:fldChar w:fldCharType="begin"/>
      </w:r>
      <w:r w:rsidRPr="00A07596">
        <w:rPr>
          <w:noProof/>
          <w:webHidden/>
          <w:color w:val="000000" w:themeColor="text1"/>
        </w:rPr>
        <w:instrText xml:space="preserve"> PAGEREF _Toc430778348 \h </w:instrText>
      </w:r>
      <w:r w:rsidRPr="00A07596">
        <w:rPr>
          <w:noProof/>
          <w:webHidden/>
          <w:color w:val="000000" w:themeColor="text1"/>
        </w:rPr>
      </w:r>
      <w:r w:rsidRPr="00A07596">
        <w:rPr>
          <w:noProof/>
          <w:webHidden/>
          <w:color w:val="000000" w:themeColor="text1"/>
        </w:rPr>
        <w:fldChar w:fldCharType="separate"/>
      </w:r>
      <w:r w:rsidRPr="00A07596">
        <w:rPr>
          <w:noProof/>
          <w:webHidden/>
          <w:color w:val="000000" w:themeColor="text1"/>
        </w:rPr>
        <w:t>37</w:t>
      </w:r>
      <w:r w:rsidRPr="00A07596">
        <w:rPr>
          <w:noProof/>
          <w:webHidden/>
          <w:color w:val="000000" w:themeColor="text1"/>
        </w:rPr>
        <w:fldChar w:fldCharType="end"/>
      </w:r>
    </w:p>
    <w:p w14:paraId="3AB19605" w14:textId="77777777" w:rsidR="00F80C0F" w:rsidRPr="00A07596" w:rsidRDefault="00F80C0F" w:rsidP="00354AA1">
      <w:pPr>
        <w:pStyle w:val="TOC3"/>
        <w:tabs>
          <w:tab w:val="left" w:pos="1440"/>
          <w:tab w:val="right" w:pos="9060"/>
        </w:tabs>
        <w:ind w:left="1440" w:hanging="960"/>
        <w:jc w:val="both"/>
        <w:rPr>
          <w:rFonts w:asciiTheme="minorHAnsi" w:eastAsiaTheme="minorEastAsia" w:hAnsiTheme="minorHAnsi" w:cstheme="minorBidi"/>
          <w:iCs w:val="0"/>
          <w:noProof/>
          <w:color w:val="000000" w:themeColor="text1"/>
          <w:sz w:val="22"/>
          <w:szCs w:val="22"/>
        </w:rPr>
      </w:pPr>
      <w:r w:rsidRPr="00A07596">
        <w:rPr>
          <w:rStyle w:val="Hyperlink"/>
          <w:noProof/>
          <w:color w:val="000000" w:themeColor="text1"/>
          <w:u w:val="none"/>
        </w:rPr>
        <w:t>2.4.1</w:t>
      </w:r>
      <w:r w:rsidRPr="00A07596">
        <w:rPr>
          <w:rFonts w:asciiTheme="minorHAnsi" w:eastAsiaTheme="minorEastAsia" w:hAnsiTheme="minorHAnsi" w:cstheme="minorBidi"/>
          <w:iCs w:val="0"/>
          <w:noProof/>
          <w:color w:val="000000" w:themeColor="text1"/>
          <w:sz w:val="22"/>
          <w:szCs w:val="22"/>
        </w:rPr>
        <w:tab/>
      </w:r>
      <w:r w:rsidRPr="00A07596">
        <w:rPr>
          <w:rStyle w:val="Hyperlink"/>
          <w:noProof/>
          <w:color w:val="000000" w:themeColor="text1"/>
          <w:u w:val="none"/>
        </w:rPr>
        <w:t>Telecommunications Legislation Amendment (Deregulation) Bill 2014 (Cth)</w:t>
      </w:r>
      <w:r w:rsidRPr="00A07596">
        <w:rPr>
          <w:noProof/>
          <w:webHidden/>
          <w:color w:val="000000" w:themeColor="text1"/>
        </w:rPr>
        <w:tab/>
      </w:r>
      <w:r w:rsidRPr="00A07596">
        <w:rPr>
          <w:noProof/>
          <w:webHidden/>
          <w:color w:val="000000" w:themeColor="text1"/>
        </w:rPr>
        <w:fldChar w:fldCharType="begin"/>
      </w:r>
      <w:r w:rsidRPr="00A07596">
        <w:rPr>
          <w:noProof/>
          <w:webHidden/>
          <w:color w:val="000000" w:themeColor="text1"/>
        </w:rPr>
        <w:instrText xml:space="preserve"> PAGEREF _Toc430778349 \h </w:instrText>
      </w:r>
      <w:r w:rsidRPr="00A07596">
        <w:rPr>
          <w:noProof/>
          <w:webHidden/>
          <w:color w:val="000000" w:themeColor="text1"/>
        </w:rPr>
      </w:r>
      <w:r w:rsidRPr="00A07596">
        <w:rPr>
          <w:noProof/>
          <w:webHidden/>
          <w:color w:val="000000" w:themeColor="text1"/>
        </w:rPr>
        <w:fldChar w:fldCharType="separate"/>
      </w:r>
      <w:r w:rsidRPr="00A07596">
        <w:rPr>
          <w:noProof/>
          <w:webHidden/>
          <w:color w:val="000000" w:themeColor="text1"/>
        </w:rPr>
        <w:t>37</w:t>
      </w:r>
      <w:r w:rsidRPr="00A07596">
        <w:rPr>
          <w:noProof/>
          <w:webHidden/>
          <w:color w:val="000000" w:themeColor="text1"/>
        </w:rPr>
        <w:fldChar w:fldCharType="end"/>
      </w:r>
    </w:p>
    <w:p w14:paraId="49D5140F" w14:textId="77777777" w:rsidR="00F80C0F" w:rsidRPr="00A07596" w:rsidRDefault="00F80C0F" w:rsidP="00354AA1">
      <w:pPr>
        <w:pStyle w:val="TOC3"/>
        <w:tabs>
          <w:tab w:val="left" w:pos="1440"/>
          <w:tab w:val="right" w:pos="9060"/>
        </w:tabs>
        <w:ind w:left="1440" w:hanging="960"/>
        <w:jc w:val="both"/>
        <w:rPr>
          <w:rFonts w:asciiTheme="minorHAnsi" w:eastAsiaTheme="minorEastAsia" w:hAnsiTheme="minorHAnsi" w:cstheme="minorBidi"/>
          <w:iCs w:val="0"/>
          <w:noProof/>
          <w:color w:val="000000" w:themeColor="text1"/>
          <w:sz w:val="22"/>
          <w:szCs w:val="22"/>
        </w:rPr>
      </w:pPr>
      <w:r w:rsidRPr="00A07596">
        <w:rPr>
          <w:rStyle w:val="Hyperlink"/>
          <w:noProof/>
          <w:color w:val="000000" w:themeColor="text1"/>
          <w:u w:val="none"/>
        </w:rPr>
        <w:t>2.4.2</w:t>
      </w:r>
      <w:r w:rsidRPr="00A07596">
        <w:rPr>
          <w:rFonts w:asciiTheme="minorHAnsi" w:eastAsiaTheme="minorEastAsia" w:hAnsiTheme="minorHAnsi" w:cstheme="minorBidi"/>
          <w:iCs w:val="0"/>
          <w:noProof/>
          <w:color w:val="000000" w:themeColor="text1"/>
          <w:sz w:val="22"/>
          <w:szCs w:val="22"/>
        </w:rPr>
        <w:tab/>
      </w:r>
      <w:r w:rsidRPr="00A07596">
        <w:rPr>
          <w:rStyle w:val="Hyperlink"/>
          <w:noProof/>
          <w:color w:val="000000" w:themeColor="text1"/>
          <w:u w:val="none"/>
        </w:rPr>
        <w:t>Counter-Terrorism Legislation Amendment (Foreign Fighters) Bill 2014 (Cth)</w:t>
      </w:r>
      <w:r w:rsidRPr="00A07596">
        <w:rPr>
          <w:noProof/>
          <w:webHidden/>
          <w:color w:val="000000" w:themeColor="text1"/>
        </w:rPr>
        <w:tab/>
      </w:r>
      <w:r w:rsidRPr="00A07596">
        <w:rPr>
          <w:noProof/>
          <w:webHidden/>
          <w:color w:val="000000" w:themeColor="text1"/>
        </w:rPr>
        <w:fldChar w:fldCharType="begin"/>
      </w:r>
      <w:r w:rsidRPr="00A07596">
        <w:rPr>
          <w:noProof/>
          <w:webHidden/>
          <w:color w:val="000000" w:themeColor="text1"/>
        </w:rPr>
        <w:instrText xml:space="preserve"> PAGEREF _Toc430778350 \h </w:instrText>
      </w:r>
      <w:r w:rsidRPr="00A07596">
        <w:rPr>
          <w:noProof/>
          <w:webHidden/>
          <w:color w:val="000000" w:themeColor="text1"/>
        </w:rPr>
      </w:r>
      <w:r w:rsidRPr="00A07596">
        <w:rPr>
          <w:noProof/>
          <w:webHidden/>
          <w:color w:val="000000" w:themeColor="text1"/>
        </w:rPr>
        <w:fldChar w:fldCharType="separate"/>
      </w:r>
      <w:r w:rsidRPr="00A07596">
        <w:rPr>
          <w:noProof/>
          <w:webHidden/>
          <w:color w:val="000000" w:themeColor="text1"/>
        </w:rPr>
        <w:t>37</w:t>
      </w:r>
      <w:r w:rsidRPr="00A07596">
        <w:rPr>
          <w:noProof/>
          <w:webHidden/>
          <w:color w:val="000000" w:themeColor="text1"/>
        </w:rPr>
        <w:fldChar w:fldCharType="end"/>
      </w:r>
    </w:p>
    <w:p w14:paraId="0E6F5FEA" w14:textId="77777777" w:rsidR="00F80C0F" w:rsidRPr="00A07596" w:rsidRDefault="00F80C0F" w:rsidP="00354AA1">
      <w:pPr>
        <w:pStyle w:val="TOC2"/>
        <w:tabs>
          <w:tab w:val="left" w:pos="960"/>
          <w:tab w:val="right" w:pos="9060"/>
        </w:tabs>
        <w:jc w:val="both"/>
        <w:rPr>
          <w:rFonts w:asciiTheme="minorHAnsi" w:eastAsiaTheme="minorEastAsia" w:hAnsiTheme="minorHAnsi" w:cstheme="minorBidi"/>
          <w:noProof/>
          <w:color w:val="000000" w:themeColor="text1"/>
          <w:sz w:val="22"/>
          <w:szCs w:val="22"/>
        </w:rPr>
      </w:pPr>
      <w:r w:rsidRPr="00A07596">
        <w:rPr>
          <w:rStyle w:val="Hyperlink"/>
          <w:noProof/>
          <w:color w:val="000000" w:themeColor="text1"/>
          <w:u w:val="none"/>
        </w:rPr>
        <w:t>2.5</w:t>
      </w:r>
      <w:r w:rsidRPr="00A07596">
        <w:rPr>
          <w:rFonts w:asciiTheme="minorHAnsi" w:eastAsiaTheme="minorEastAsia" w:hAnsiTheme="minorHAnsi" w:cstheme="minorBidi"/>
          <w:noProof/>
          <w:color w:val="000000" w:themeColor="text1"/>
          <w:sz w:val="22"/>
          <w:szCs w:val="22"/>
        </w:rPr>
        <w:tab/>
      </w:r>
      <w:r w:rsidRPr="00A07596">
        <w:rPr>
          <w:rStyle w:val="Hyperlink"/>
          <w:noProof/>
          <w:color w:val="000000" w:themeColor="text1"/>
          <w:u w:val="none"/>
        </w:rPr>
        <w:t>The Commission’s intervention in Bateman &amp; Kavan [2014] FCCA 2521</w:t>
      </w:r>
      <w:r w:rsidRPr="00A07596">
        <w:rPr>
          <w:noProof/>
          <w:webHidden/>
          <w:color w:val="000000" w:themeColor="text1"/>
        </w:rPr>
        <w:tab/>
      </w:r>
      <w:r w:rsidRPr="00A07596">
        <w:rPr>
          <w:noProof/>
          <w:webHidden/>
          <w:color w:val="000000" w:themeColor="text1"/>
        </w:rPr>
        <w:fldChar w:fldCharType="begin"/>
      </w:r>
      <w:r w:rsidRPr="00A07596">
        <w:rPr>
          <w:noProof/>
          <w:webHidden/>
          <w:color w:val="000000" w:themeColor="text1"/>
        </w:rPr>
        <w:instrText xml:space="preserve"> PAGEREF _Toc430778351 \h </w:instrText>
      </w:r>
      <w:r w:rsidRPr="00A07596">
        <w:rPr>
          <w:noProof/>
          <w:webHidden/>
          <w:color w:val="000000" w:themeColor="text1"/>
        </w:rPr>
      </w:r>
      <w:r w:rsidRPr="00A07596">
        <w:rPr>
          <w:noProof/>
          <w:webHidden/>
          <w:color w:val="000000" w:themeColor="text1"/>
        </w:rPr>
        <w:fldChar w:fldCharType="separate"/>
      </w:r>
      <w:r w:rsidRPr="00A07596">
        <w:rPr>
          <w:noProof/>
          <w:webHidden/>
          <w:color w:val="000000" w:themeColor="text1"/>
        </w:rPr>
        <w:t>38</w:t>
      </w:r>
      <w:r w:rsidRPr="00A07596">
        <w:rPr>
          <w:noProof/>
          <w:webHidden/>
          <w:color w:val="000000" w:themeColor="text1"/>
        </w:rPr>
        <w:fldChar w:fldCharType="end"/>
      </w:r>
    </w:p>
    <w:p w14:paraId="61BF4D07" w14:textId="77777777" w:rsidR="00F80C0F" w:rsidRPr="00A07596" w:rsidRDefault="00F80C0F" w:rsidP="00354AA1">
      <w:pPr>
        <w:pStyle w:val="TOC2"/>
        <w:tabs>
          <w:tab w:val="left" w:pos="960"/>
          <w:tab w:val="right" w:pos="9060"/>
        </w:tabs>
        <w:jc w:val="both"/>
        <w:rPr>
          <w:rFonts w:asciiTheme="minorHAnsi" w:eastAsiaTheme="minorEastAsia" w:hAnsiTheme="minorHAnsi" w:cstheme="minorBidi"/>
          <w:noProof/>
          <w:color w:val="000000" w:themeColor="text1"/>
          <w:sz w:val="22"/>
          <w:szCs w:val="22"/>
        </w:rPr>
      </w:pPr>
      <w:r w:rsidRPr="00A07596">
        <w:rPr>
          <w:rStyle w:val="Hyperlink"/>
          <w:noProof/>
          <w:color w:val="000000" w:themeColor="text1"/>
          <w:u w:val="none"/>
        </w:rPr>
        <w:t>2.6</w:t>
      </w:r>
      <w:r w:rsidRPr="00A07596">
        <w:rPr>
          <w:rFonts w:asciiTheme="minorHAnsi" w:eastAsiaTheme="minorEastAsia" w:hAnsiTheme="minorHAnsi" w:cstheme="minorBidi"/>
          <w:noProof/>
          <w:color w:val="000000" w:themeColor="text1"/>
          <w:sz w:val="22"/>
          <w:szCs w:val="22"/>
        </w:rPr>
        <w:tab/>
      </w:r>
      <w:r w:rsidRPr="00A07596">
        <w:rPr>
          <w:rStyle w:val="Hyperlink"/>
          <w:noProof/>
          <w:color w:val="000000" w:themeColor="text1"/>
          <w:u w:val="none"/>
        </w:rPr>
        <w:t>Conclusion</w:t>
      </w:r>
      <w:r w:rsidRPr="00A07596">
        <w:rPr>
          <w:noProof/>
          <w:webHidden/>
          <w:color w:val="000000" w:themeColor="text1"/>
        </w:rPr>
        <w:tab/>
      </w:r>
      <w:r w:rsidRPr="00A07596">
        <w:rPr>
          <w:noProof/>
          <w:webHidden/>
          <w:color w:val="000000" w:themeColor="text1"/>
        </w:rPr>
        <w:fldChar w:fldCharType="begin"/>
      </w:r>
      <w:r w:rsidRPr="00A07596">
        <w:rPr>
          <w:noProof/>
          <w:webHidden/>
          <w:color w:val="000000" w:themeColor="text1"/>
        </w:rPr>
        <w:instrText xml:space="preserve"> PAGEREF _Toc430778352 \h </w:instrText>
      </w:r>
      <w:r w:rsidRPr="00A07596">
        <w:rPr>
          <w:noProof/>
          <w:webHidden/>
          <w:color w:val="000000" w:themeColor="text1"/>
        </w:rPr>
      </w:r>
      <w:r w:rsidRPr="00A07596">
        <w:rPr>
          <w:noProof/>
          <w:webHidden/>
          <w:color w:val="000000" w:themeColor="text1"/>
        </w:rPr>
        <w:fldChar w:fldCharType="separate"/>
      </w:r>
      <w:r w:rsidRPr="00A07596">
        <w:rPr>
          <w:noProof/>
          <w:webHidden/>
          <w:color w:val="000000" w:themeColor="text1"/>
        </w:rPr>
        <w:t>39</w:t>
      </w:r>
      <w:r w:rsidRPr="00A07596">
        <w:rPr>
          <w:noProof/>
          <w:webHidden/>
          <w:color w:val="000000" w:themeColor="text1"/>
        </w:rPr>
        <w:fldChar w:fldCharType="end"/>
      </w:r>
    </w:p>
    <w:p w14:paraId="02FAE827" w14:textId="0646D2FB" w:rsidR="00F80C0F" w:rsidRPr="00F80C0F" w:rsidRDefault="00F80C0F" w:rsidP="00354AA1">
      <w:pPr>
        <w:jc w:val="both"/>
      </w:pPr>
    </w:p>
    <w:p w14:paraId="6EA8D524" w14:textId="25FF5300" w:rsidR="00442634" w:rsidRDefault="006970D8" w:rsidP="00354AA1">
      <w:pPr>
        <w:jc w:val="both"/>
      </w:pPr>
      <w:r>
        <w:br w:type="column"/>
      </w:r>
      <w:r w:rsidR="00442634">
        <w:lastRenderedPageBreak/>
        <w:t xml:space="preserve">This chapter of my report describes how the Parliamentary Joint Committee on Human Rights (PJC) has considered the child rights compatibility of Bills introduced to federal </w:t>
      </w:r>
      <w:r w:rsidR="0085165D">
        <w:t>P</w:t>
      </w:r>
      <w:r w:rsidR="00442634">
        <w:t xml:space="preserve">arliament during my reporting period of 1 July 2014 to 30 June 2015. I also refer to written submissions made by the Australian Human Rights Commission in relation to Bills examined by the PJC. </w:t>
      </w:r>
    </w:p>
    <w:p w14:paraId="5E05B007" w14:textId="77777777" w:rsidR="00442634" w:rsidRDefault="00442634" w:rsidP="00354AA1">
      <w:pPr>
        <w:jc w:val="both"/>
      </w:pPr>
      <w:r>
        <w:t xml:space="preserve">This chapter also describes how the Australian Human Rights Commission has promoted the human rights of children through a recent intervention in a Federal Circuit Court case, </w:t>
      </w:r>
      <w:r w:rsidRPr="00807D59">
        <w:rPr>
          <w:i/>
        </w:rPr>
        <w:t>Bateman &amp; Kavan</w:t>
      </w:r>
      <w:r>
        <w:t xml:space="preserve"> [2014] FCCA 2521.</w:t>
      </w:r>
      <w:r>
        <w:rPr>
          <w:rStyle w:val="EndnoteReference"/>
        </w:rPr>
        <w:endnoteReference w:id="41"/>
      </w:r>
    </w:p>
    <w:p w14:paraId="1B3EE751" w14:textId="77777777" w:rsidR="00442634" w:rsidRDefault="00442634" w:rsidP="00354AA1">
      <w:pPr>
        <w:pStyle w:val="Heading2"/>
        <w:jc w:val="both"/>
      </w:pPr>
      <w:bookmarkStart w:id="30" w:name="_Toc427857437"/>
      <w:bookmarkStart w:id="31" w:name="_Toc430702057"/>
      <w:bookmarkStart w:id="32" w:name="_Toc432577307"/>
      <w:r>
        <w:t>The PJC’s consideration of child rights</w:t>
      </w:r>
      <w:bookmarkEnd w:id="30"/>
      <w:bookmarkEnd w:id="31"/>
      <w:bookmarkEnd w:id="32"/>
    </w:p>
    <w:p w14:paraId="573CE20B" w14:textId="153B1E6A" w:rsidR="00442634" w:rsidRDefault="00442634" w:rsidP="00354AA1">
      <w:pPr>
        <w:jc w:val="both"/>
      </w:pPr>
      <w:r>
        <w:t xml:space="preserve">The </w:t>
      </w:r>
      <w:r>
        <w:rPr>
          <w:i/>
        </w:rPr>
        <w:t xml:space="preserve">Human Rights (Parliamentary Scrutiny) Act 2011 </w:t>
      </w:r>
      <w:r>
        <w:t xml:space="preserve">(Cth) requires that all Bills introduced to federal </w:t>
      </w:r>
      <w:r w:rsidR="0085165D">
        <w:t>P</w:t>
      </w:r>
      <w:r>
        <w:t>arliament contain a Statement of Compatibility with Human Rights (Statement of Compatibility) and be examined by the PJC for human rights compatibility.</w:t>
      </w:r>
      <w:r>
        <w:rPr>
          <w:rStyle w:val="EndnoteReference"/>
        </w:rPr>
        <w:endnoteReference w:id="42"/>
      </w:r>
      <w:r>
        <w:t xml:space="preserve"> </w:t>
      </w:r>
    </w:p>
    <w:p w14:paraId="55B8B51C" w14:textId="77777777" w:rsidR="00442634" w:rsidRDefault="00442634" w:rsidP="00354AA1">
      <w:pPr>
        <w:jc w:val="both"/>
      </w:pPr>
      <w:r>
        <w:t>For the purposes of the Statements of Compatibility and the PJC, human rights are defined as the rights and freedoms contained in the seven core human rights treaties to which Australia is a party, including the Convention on the Rights of the Child.</w:t>
      </w:r>
      <w:r>
        <w:rPr>
          <w:rStyle w:val="EndnoteReference"/>
        </w:rPr>
        <w:endnoteReference w:id="43"/>
      </w:r>
    </w:p>
    <w:p w14:paraId="2A08C957" w14:textId="77777777" w:rsidR="00442634" w:rsidRDefault="00442634" w:rsidP="00354AA1">
      <w:pPr>
        <w:jc w:val="both"/>
      </w:pPr>
      <w:r>
        <w:t xml:space="preserve">Statements of Compatibility for Bills introduced by an Australian Government Minister are normally drafted by public servants from the agency developing the Bill for the approval of the Minister. Statements of Compatibility for non-government Bills are usually prepared by the Member of Parliament introducing the Bill. </w:t>
      </w:r>
    </w:p>
    <w:p w14:paraId="2E20E41A" w14:textId="77777777" w:rsidR="00442634" w:rsidRDefault="00442634" w:rsidP="00354AA1">
      <w:pPr>
        <w:jc w:val="both"/>
      </w:pPr>
      <w:r>
        <w:t>The PJC has published two Guidance Notes</w:t>
      </w:r>
      <w:r>
        <w:rPr>
          <w:rStyle w:val="EndnoteReference"/>
        </w:rPr>
        <w:endnoteReference w:id="44"/>
      </w:r>
      <w:r>
        <w:t xml:space="preserve"> about human rights assessments and its requirements for Statements of Compatibility. The PJC has also published the </w:t>
      </w:r>
      <w:r>
        <w:rPr>
          <w:i/>
        </w:rPr>
        <w:t>Guide to Human Rights</w:t>
      </w:r>
      <w:r w:rsidRPr="000E430C">
        <w:rPr>
          <w:rStyle w:val="EndnoteReference"/>
        </w:rPr>
        <w:endnoteReference w:id="45"/>
      </w:r>
      <w:r>
        <w:t xml:space="preserve"> to provide a short and accessible overview of the key rights it considers when examining legislation. </w:t>
      </w:r>
    </w:p>
    <w:p w14:paraId="3EDB7696" w14:textId="573D2AB9" w:rsidR="00442634" w:rsidRDefault="00442634" w:rsidP="00354AA1">
      <w:pPr>
        <w:jc w:val="both"/>
      </w:pPr>
      <w:r>
        <w:t xml:space="preserve">The Attorney-General’s Department and the Australian Human Rights Commission have also published resources to assist proponents of Bills with the assessment of human rights compatibility. The flowchart </w:t>
      </w:r>
      <w:r w:rsidRPr="00926B3A">
        <w:t xml:space="preserve">in </w:t>
      </w:r>
      <w:r w:rsidR="000C5FE3">
        <w:t>on page 42</w:t>
      </w:r>
      <w:r w:rsidRPr="00926B3A">
        <w:t>, for</w:t>
      </w:r>
      <w:r>
        <w:t xml:space="preserve"> example, was published by the Attorney-General’s Department to assist in undertaking an initial assessment of human rights compatibility.</w:t>
      </w:r>
    </w:p>
    <w:p w14:paraId="04613ABA" w14:textId="77777777" w:rsidR="00442634" w:rsidRDefault="00442634" w:rsidP="00354AA1">
      <w:pPr>
        <w:jc w:val="both"/>
      </w:pPr>
      <w:r>
        <w:t>The PJC is composed of ten members, five from the House of Representatives and five from the Senate. The list of current members can be found on the Committee Membership website.</w:t>
      </w:r>
      <w:r>
        <w:rPr>
          <w:rStyle w:val="EndnoteReference"/>
        </w:rPr>
        <w:endnoteReference w:id="46"/>
      </w:r>
      <w:r>
        <w:t xml:space="preserve"> </w:t>
      </w:r>
    </w:p>
    <w:p w14:paraId="2116AA12" w14:textId="77777777" w:rsidR="00442634" w:rsidRDefault="00442634" w:rsidP="00354AA1">
      <w:pPr>
        <w:jc w:val="both"/>
      </w:pPr>
      <w:r>
        <w:t>The PJC considers that Statements of Compatibility are essential to the examination of human rights in the legislative process.</w:t>
      </w:r>
      <w:r>
        <w:rPr>
          <w:rStyle w:val="EndnoteReference"/>
        </w:rPr>
        <w:endnoteReference w:id="47"/>
      </w:r>
      <w:r>
        <w:t xml:space="preserve"> The PJC relies on Statements of Compatibility to set out the analysis of the Bill’s compatibility with Australia’s human rights obligations.</w:t>
      </w:r>
      <w:r>
        <w:rPr>
          <w:rStyle w:val="EndnoteReference"/>
        </w:rPr>
        <w:endnoteReference w:id="48"/>
      </w:r>
      <w:r>
        <w:t xml:space="preserve"> </w:t>
      </w:r>
    </w:p>
    <w:p w14:paraId="7D87265D" w14:textId="77777777" w:rsidR="00442634" w:rsidRDefault="00442634" w:rsidP="00354AA1">
      <w:pPr>
        <w:jc w:val="both"/>
      </w:pPr>
      <w:r>
        <w:t>Where the PJC reports that a Bill limits a human right, and the Statement of Compatibility does not include a reasoned and evidence-based assessment, the PJC may seek additional and further information about the Bill’s compatibility.</w:t>
      </w:r>
      <w:r>
        <w:rPr>
          <w:rStyle w:val="EndnoteReference"/>
        </w:rPr>
        <w:endnoteReference w:id="49"/>
      </w:r>
      <w:r>
        <w:t xml:space="preserve"> Where further information is not provided or is inadequate, the PJC will conclude its assessment based on its original analysis, which may include a conclusion that </w:t>
      </w:r>
      <w:r>
        <w:lastRenderedPageBreak/>
        <w:t>measures contained in the Bill are incompatible with Australia’s international human rights obligations.</w:t>
      </w:r>
      <w:r>
        <w:rPr>
          <w:rStyle w:val="EndnoteReference"/>
        </w:rPr>
        <w:endnoteReference w:id="50"/>
      </w:r>
      <w:r>
        <w:t xml:space="preserve"> </w:t>
      </w:r>
    </w:p>
    <w:p w14:paraId="44D7B5F8" w14:textId="77777777" w:rsidR="00442634" w:rsidRDefault="00442634" w:rsidP="00354AA1">
      <w:pPr>
        <w:jc w:val="both"/>
        <w:rPr>
          <w:b/>
          <w:highlight w:val="yellow"/>
        </w:rPr>
      </w:pPr>
      <w:r>
        <w:t>Reports by the PJC are tabled in both Houses of Parliament and can be found on the Committee Reports website.</w:t>
      </w:r>
      <w:r>
        <w:rPr>
          <w:rStyle w:val="EndnoteReference"/>
        </w:rPr>
        <w:endnoteReference w:id="51"/>
      </w:r>
    </w:p>
    <w:p w14:paraId="226CD26C" w14:textId="7BBCC2D5" w:rsidR="00442634" w:rsidRPr="00EB53E4" w:rsidRDefault="001715AD" w:rsidP="00354AA1">
      <w:pPr>
        <w:jc w:val="both"/>
      </w:pPr>
      <w:r>
        <w:rPr>
          <w:b/>
        </w:rPr>
        <w:t>Flowchart for assessing the human rights compatibility of bills and legislative instruments</w:t>
      </w:r>
      <w:r w:rsidR="00442634">
        <w:rPr>
          <w:rStyle w:val="EndnoteReference"/>
          <w:b/>
        </w:rPr>
        <w:endnoteReference w:id="52"/>
      </w:r>
      <w:r w:rsidR="00442634">
        <w:rPr>
          <w:b/>
        </w:rPr>
        <w:t xml:space="preserve"> </w:t>
      </w:r>
    </w:p>
    <w:p w14:paraId="43D13F38" w14:textId="77777777" w:rsidR="00442634" w:rsidRDefault="00442634" w:rsidP="00354AA1">
      <w:pPr>
        <w:jc w:val="both"/>
      </w:pPr>
      <w:r>
        <w:rPr>
          <w:noProof/>
        </w:rPr>
        <w:drawing>
          <wp:inline distT="0" distB="0" distL="0" distR="0" wp14:anchorId="433755A8" wp14:editId="575E9191">
            <wp:extent cx="6554419" cy="4613385"/>
            <wp:effectExtent l="0" t="0" r="0" b="0"/>
            <wp:docPr id="199" name="Picture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6902861" cy="4858639"/>
                    </a:xfrm>
                    <a:prstGeom prst="rect">
                      <a:avLst/>
                    </a:prstGeom>
                  </pic:spPr>
                </pic:pic>
              </a:graphicData>
            </a:graphic>
          </wp:inline>
        </w:drawing>
      </w:r>
    </w:p>
    <w:p w14:paraId="4D7313D8" w14:textId="77777777" w:rsidR="00442634" w:rsidRDefault="00442634" w:rsidP="00354AA1">
      <w:pPr>
        <w:pStyle w:val="Heading2"/>
        <w:jc w:val="both"/>
      </w:pPr>
      <w:bookmarkStart w:id="33" w:name="_Toc427857438"/>
      <w:bookmarkStart w:id="34" w:name="_Toc430702058"/>
      <w:bookmarkStart w:id="35" w:name="_Toc432577308"/>
      <w:r>
        <w:t>Bills that had a substantially positive impact on child rights</w:t>
      </w:r>
      <w:bookmarkEnd w:id="33"/>
      <w:bookmarkEnd w:id="34"/>
      <w:bookmarkEnd w:id="35"/>
    </w:p>
    <w:p w14:paraId="52CD30C4" w14:textId="3EF5AA8E" w:rsidR="00442634" w:rsidRPr="003F3968" w:rsidRDefault="00442634" w:rsidP="00354AA1">
      <w:pPr>
        <w:jc w:val="both"/>
      </w:pPr>
      <w:r>
        <w:t xml:space="preserve">The PJC considered six Bills introduced to federal </w:t>
      </w:r>
      <w:r w:rsidR="00B44CBD">
        <w:t>P</w:t>
      </w:r>
      <w:r>
        <w:t>arliament during my reporting period that had a substantially positive impact on children’s rights.</w:t>
      </w:r>
    </w:p>
    <w:p w14:paraId="24D4AD3D" w14:textId="77777777" w:rsidR="00442634" w:rsidRPr="00442634" w:rsidRDefault="00442634" w:rsidP="00354AA1">
      <w:pPr>
        <w:pStyle w:val="Heading3"/>
        <w:jc w:val="both"/>
      </w:pPr>
      <w:bookmarkStart w:id="36" w:name="_Toc430702059"/>
      <w:bookmarkStart w:id="37" w:name="_Toc427857439"/>
      <w:r w:rsidRPr="00442634">
        <w:t>Guardian for Unaccompanied Children Bill 2014 (Cth)</w:t>
      </w:r>
      <w:bookmarkEnd w:id="36"/>
    </w:p>
    <w:bookmarkEnd w:id="37"/>
    <w:p w14:paraId="0E06D56E" w14:textId="711A9396" w:rsidR="00442634" w:rsidRDefault="00442634" w:rsidP="00354AA1">
      <w:pPr>
        <w:jc w:val="both"/>
      </w:pPr>
      <w:r w:rsidRPr="00367DC4">
        <w:t xml:space="preserve">The Guardian for Unaccompanied Children Bill 2014 (Cth) </w:t>
      </w:r>
      <w:r w:rsidRPr="00246A31">
        <w:t>was sponsored by Senator</w:t>
      </w:r>
      <w:r w:rsidR="007A644A">
        <w:t xml:space="preserve"> </w:t>
      </w:r>
      <w:r w:rsidR="006C67A6">
        <w:t xml:space="preserve">the Hon </w:t>
      </w:r>
      <w:r w:rsidR="007A644A">
        <w:t>Sarah</w:t>
      </w:r>
      <w:r w:rsidRPr="00246A31">
        <w:t xml:space="preserve"> Hanson-Young and introduced to the Senate on 16 July 2014.</w:t>
      </w:r>
      <w:r w:rsidRPr="00367DC4">
        <w:rPr>
          <w:sz w:val="20"/>
          <w:szCs w:val="20"/>
          <w:vertAlign w:val="superscript"/>
        </w:rPr>
        <w:endnoteReference w:id="53"/>
      </w:r>
      <w:r w:rsidR="00B44CBD">
        <w:t xml:space="preserve"> T</w:t>
      </w:r>
      <w:r>
        <w:t>he Bill p</w:t>
      </w:r>
      <w:r w:rsidRPr="00367DC4">
        <w:t>roposed to establish an independent statutory office of the Guardian for Unaccompanied Non-citizen</w:t>
      </w:r>
      <w:r w:rsidRPr="00246A31">
        <w:t xml:space="preserve"> Children.</w:t>
      </w:r>
      <w:r w:rsidRPr="00367DC4">
        <w:rPr>
          <w:sz w:val="20"/>
          <w:szCs w:val="20"/>
          <w:vertAlign w:val="superscript"/>
        </w:rPr>
        <w:endnoteReference w:id="54"/>
      </w:r>
      <w:r>
        <w:t xml:space="preserve"> </w:t>
      </w:r>
      <w:r w:rsidRPr="00246A31">
        <w:t xml:space="preserve">It was proposed that the statutory office would advocate for the best interests of non-citizen children who arrive in Australia or </w:t>
      </w:r>
      <w:r w:rsidRPr="00246A31">
        <w:lastRenderedPageBreak/>
        <w:t>an Australian external territory seeking humanitarian protection, in cases where the child was not accompanied by their parents or another responsible adult.</w:t>
      </w:r>
      <w:r w:rsidRPr="00367DC4">
        <w:rPr>
          <w:sz w:val="20"/>
          <w:szCs w:val="20"/>
          <w:vertAlign w:val="superscript"/>
        </w:rPr>
        <w:endnoteReference w:id="55"/>
      </w:r>
    </w:p>
    <w:p w14:paraId="37368F63" w14:textId="2353DE09" w:rsidR="00442634" w:rsidRDefault="00442634" w:rsidP="00354AA1">
      <w:pPr>
        <w:jc w:val="both"/>
      </w:pPr>
      <w:r>
        <w:t>In August 2014</w:t>
      </w:r>
      <w:r w:rsidR="00D457AC">
        <w:t>,</w:t>
      </w:r>
      <w:r>
        <w:t xml:space="preserve"> the PJC commented that the Bill promotes the rights of children and is compatible with human rights.</w:t>
      </w:r>
      <w:r>
        <w:rPr>
          <w:rStyle w:val="EndnoteReference"/>
        </w:rPr>
        <w:endnoteReference w:id="56"/>
      </w:r>
    </w:p>
    <w:p w14:paraId="4327AC2C" w14:textId="6379BB83" w:rsidR="00442634" w:rsidRDefault="00442634" w:rsidP="00354AA1">
      <w:pPr>
        <w:jc w:val="both"/>
      </w:pPr>
      <w:r>
        <w:t>On 28 August 2014</w:t>
      </w:r>
      <w:r w:rsidR="00D457AC">
        <w:t>,</w:t>
      </w:r>
      <w:r>
        <w:t xml:space="preserve"> the Senate referred the Bill to the Senate Legal and Constitutional Affairs Legislation Committee for inquiry and report.</w:t>
      </w:r>
      <w:r>
        <w:rPr>
          <w:rStyle w:val="EndnoteReference"/>
        </w:rPr>
        <w:endnoteReference w:id="57"/>
      </w:r>
      <w:r>
        <w:t xml:space="preserve"> In its submission to the Senate inquiry, the Australian Human Rights Commission recommended that an independent guardian be appointed for all unaccompanied children in immigration detention, and recommended that the Bill be passed.</w:t>
      </w:r>
      <w:r>
        <w:rPr>
          <w:rStyle w:val="EndnoteReference"/>
        </w:rPr>
        <w:endnoteReference w:id="58"/>
      </w:r>
      <w:r>
        <w:t xml:space="preserve"> </w:t>
      </w:r>
    </w:p>
    <w:p w14:paraId="6404DA57" w14:textId="194DF6D5" w:rsidR="00442634" w:rsidRDefault="00442634" w:rsidP="00354AA1">
      <w:pPr>
        <w:jc w:val="both"/>
      </w:pPr>
      <w:r>
        <w:t xml:space="preserve">In the </w:t>
      </w:r>
      <w:r w:rsidRPr="005F01A8">
        <w:rPr>
          <w:i/>
        </w:rPr>
        <w:t>Children’s Rights Report 2013</w:t>
      </w:r>
      <w:r>
        <w:t>, which was my first statutory report to federal Parliament, I highlighted the conflict of interest where the legal guardianship of unaccompanied minors is vested in the Minister for Immigration and Border Protection.</w:t>
      </w:r>
      <w:r>
        <w:rPr>
          <w:rStyle w:val="EndnoteReference"/>
        </w:rPr>
        <w:endnoteReference w:id="59"/>
      </w:r>
      <w:r>
        <w:t xml:space="preserve"> The Australian Human Rights Commission’s report</w:t>
      </w:r>
      <w:r w:rsidR="00D457AC">
        <w:t xml:space="preserve">, </w:t>
      </w:r>
      <w:r w:rsidR="00D457AC" w:rsidRPr="00D457AC">
        <w:rPr>
          <w:i/>
        </w:rPr>
        <w:t xml:space="preserve">The Forgotten Children: </w:t>
      </w:r>
      <w:r w:rsidRPr="00D457AC">
        <w:rPr>
          <w:i/>
        </w:rPr>
        <w:t>National Inquiry into Children in Immigration Detention 2014</w:t>
      </w:r>
      <w:r w:rsidR="00D457AC">
        <w:t>,</w:t>
      </w:r>
      <w:r>
        <w:t xml:space="preserve"> also recommended that an independent guardian be appointed for unaccompanied children seeking asylum in Australia.</w:t>
      </w:r>
      <w:r>
        <w:rPr>
          <w:rStyle w:val="EndnoteReference"/>
        </w:rPr>
        <w:endnoteReference w:id="60"/>
      </w:r>
      <w:r>
        <w:t xml:space="preserve"> </w:t>
      </w:r>
    </w:p>
    <w:p w14:paraId="29392AF3" w14:textId="77777777" w:rsidR="00442634" w:rsidRDefault="00442634" w:rsidP="00354AA1">
      <w:pPr>
        <w:jc w:val="both"/>
      </w:pPr>
      <w:r>
        <w:t>The final report of the Senate inquiry was released on 9 February 2015 and recommended that the Bill not be passed.</w:t>
      </w:r>
      <w:r>
        <w:rPr>
          <w:rStyle w:val="EndnoteReference"/>
        </w:rPr>
        <w:endnoteReference w:id="61"/>
      </w:r>
      <w:r>
        <w:t xml:space="preserve"> Additional comments were provided in the final report by Labor Senators, expressing support for further consideration of the matters explored in the Bill.</w:t>
      </w:r>
      <w:r>
        <w:rPr>
          <w:rStyle w:val="EndnoteReference"/>
        </w:rPr>
        <w:endnoteReference w:id="62"/>
      </w:r>
      <w:r>
        <w:t xml:space="preserve"> A dissenting report was also provided by the Australian Greens, recommending that the Bill be passed with amendments.</w:t>
      </w:r>
      <w:r>
        <w:rPr>
          <w:rStyle w:val="EndnoteReference"/>
        </w:rPr>
        <w:endnoteReference w:id="63"/>
      </w:r>
      <w:r>
        <w:t xml:space="preserve"> </w:t>
      </w:r>
    </w:p>
    <w:p w14:paraId="113182F9" w14:textId="77777777" w:rsidR="00442634" w:rsidRPr="002951BC" w:rsidRDefault="00442634" w:rsidP="00354AA1">
      <w:pPr>
        <w:jc w:val="both"/>
      </w:pPr>
      <w:r w:rsidRPr="00E221F1">
        <w:t>The Bill is still before the Senate.</w:t>
      </w:r>
      <w:r w:rsidRPr="00E221F1">
        <w:rPr>
          <w:rStyle w:val="EndnoteReference"/>
        </w:rPr>
        <w:endnoteReference w:id="64"/>
      </w:r>
    </w:p>
    <w:p w14:paraId="337A4401" w14:textId="77777777" w:rsidR="00442634" w:rsidRPr="00442634" w:rsidRDefault="00442634" w:rsidP="00354AA1">
      <w:pPr>
        <w:pStyle w:val="Heading3"/>
        <w:jc w:val="both"/>
      </w:pPr>
      <w:bookmarkStart w:id="38" w:name="_Toc427857441"/>
      <w:bookmarkStart w:id="39" w:name="_Toc430702060"/>
      <w:bookmarkStart w:id="40" w:name="_Toc427857440"/>
      <w:r w:rsidRPr="00442634">
        <w:t>Australian Education Amendment Bill 2014</w:t>
      </w:r>
      <w:bookmarkEnd w:id="38"/>
      <w:r w:rsidRPr="00442634">
        <w:t xml:space="preserve"> (Cth)</w:t>
      </w:r>
      <w:bookmarkEnd w:id="39"/>
    </w:p>
    <w:p w14:paraId="748FA105" w14:textId="6BC09173" w:rsidR="00442634" w:rsidRDefault="00442634" w:rsidP="00354AA1">
      <w:pPr>
        <w:jc w:val="both"/>
      </w:pPr>
      <w:r>
        <w:t xml:space="preserve">The </w:t>
      </w:r>
      <w:r w:rsidRPr="00C60A54">
        <w:t>Australian Education Amendment Bill 2014 (Cth)</w:t>
      </w:r>
      <w:r>
        <w:t xml:space="preserve"> was </w:t>
      </w:r>
      <w:r w:rsidRPr="00BB492C">
        <w:t xml:space="preserve">sponsored by the </w:t>
      </w:r>
      <w:r w:rsidR="007A644A">
        <w:t>Australian Government’s</w:t>
      </w:r>
      <w:r w:rsidRPr="00BB492C">
        <w:t xml:space="preserve"> education portfolio</w:t>
      </w:r>
      <w:r>
        <w:t xml:space="preserve"> and introduced to the House of Representatives on 25 September 2014.</w:t>
      </w:r>
      <w:r>
        <w:rPr>
          <w:rStyle w:val="EndnoteReference"/>
        </w:rPr>
        <w:endnoteReference w:id="65"/>
      </w:r>
      <w:r>
        <w:t xml:space="preserve"> The Bill proposed to allow payment of additional funding in 2014 to schools with large numbers of Aboriginal and Torres Strait Islander children boarding from remote areas.</w:t>
      </w:r>
      <w:r>
        <w:rPr>
          <w:rStyle w:val="EndnoteReference"/>
        </w:rPr>
        <w:endnoteReference w:id="66"/>
      </w:r>
      <w:r>
        <w:t xml:space="preserve"> </w:t>
      </w:r>
    </w:p>
    <w:p w14:paraId="452121AB" w14:textId="77777777" w:rsidR="00442634" w:rsidRDefault="00442634" w:rsidP="00354AA1">
      <w:pPr>
        <w:jc w:val="both"/>
      </w:pPr>
      <w:r>
        <w:t>The Bill also proposed to prevent funding cuts to students with disabilities and to other students in some independent special schools and special assistance schools that would otherwise have occurred from 1 January 2015.</w:t>
      </w:r>
      <w:r>
        <w:rPr>
          <w:rStyle w:val="EndnoteReference"/>
        </w:rPr>
        <w:endnoteReference w:id="67"/>
      </w:r>
    </w:p>
    <w:p w14:paraId="231589D8" w14:textId="5598CC48" w:rsidR="00442634" w:rsidRDefault="00442634" w:rsidP="00354AA1">
      <w:pPr>
        <w:jc w:val="both"/>
      </w:pPr>
      <w:r>
        <w:t>In October 2014</w:t>
      </w:r>
      <w:r w:rsidR="007A644A">
        <w:t>,</w:t>
      </w:r>
      <w:r>
        <w:t xml:space="preserve"> the PJC commented that the Bill promotes the rights of children to education and is compatible with human rights.</w:t>
      </w:r>
      <w:r>
        <w:rPr>
          <w:rStyle w:val="EndnoteReference"/>
        </w:rPr>
        <w:endnoteReference w:id="68"/>
      </w:r>
    </w:p>
    <w:p w14:paraId="0C55EC74" w14:textId="77777777" w:rsidR="00442634" w:rsidRDefault="00442634" w:rsidP="00354AA1">
      <w:pPr>
        <w:jc w:val="both"/>
      </w:pPr>
      <w:r>
        <w:t>The Bill passed both Houses of Parliament on 18 November 2014.</w:t>
      </w:r>
      <w:r>
        <w:rPr>
          <w:rStyle w:val="EndnoteReference"/>
        </w:rPr>
        <w:endnoteReference w:id="69"/>
      </w:r>
    </w:p>
    <w:p w14:paraId="575CCE78" w14:textId="77777777" w:rsidR="00442634" w:rsidRPr="00442634" w:rsidRDefault="00442634" w:rsidP="00354AA1">
      <w:pPr>
        <w:pStyle w:val="Heading3"/>
        <w:jc w:val="both"/>
      </w:pPr>
      <w:bookmarkStart w:id="41" w:name="_Toc430702061"/>
      <w:r w:rsidRPr="00442634">
        <w:t>Social Security and Other Legislation Amendment (Caring for Single Parents) Bill 201</w:t>
      </w:r>
      <w:bookmarkEnd w:id="40"/>
      <w:r w:rsidRPr="00442634">
        <w:t>4 (Cth)</w:t>
      </w:r>
      <w:bookmarkEnd w:id="41"/>
    </w:p>
    <w:p w14:paraId="1E69B181" w14:textId="1037B49C" w:rsidR="00442634" w:rsidRDefault="00442634" w:rsidP="00354AA1">
      <w:pPr>
        <w:jc w:val="both"/>
      </w:pPr>
      <w:r>
        <w:t xml:space="preserve">The </w:t>
      </w:r>
      <w:r w:rsidRPr="00C60A54">
        <w:t>Social Security and Other Legislation Amendment (Caring for Single Parents) Bill 2014</w:t>
      </w:r>
      <w:r>
        <w:t xml:space="preserve"> (Cth) was sponsored by Senator </w:t>
      </w:r>
      <w:r w:rsidR="006C67A6">
        <w:t xml:space="preserve">the Hon </w:t>
      </w:r>
      <w:r>
        <w:t>Rachel Siewert and introduced to the House of Representatives on 22 October 2014.</w:t>
      </w:r>
      <w:r>
        <w:rPr>
          <w:rStyle w:val="EndnoteReference"/>
        </w:rPr>
        <w:endnoteReference w:id="70"/>
      </w:r>
      <w:r>
        <w:t xml:space="preserve"> The Bill proposed allowing single parents to access the parenting payment until their youngest child turns 16 </w:t>
      </w:r>
      <w:r>
        <w:lastRenderedPageBreak/>
        <w:t>years of age and to provide an enforceable right to request flexible work arrangements for those with caring responsibilities, including single parents.</w:t>
      </w:r>
      <w:r>
        <w:rPr>
          <w:rStyle w:val="EndnoteReference"/>
        </w:rPr>
        <w:endnoteReference w:id="71"/>
      </w:r>
    </w:p>
    <w:p w14:paraId="57CB6885" w14:textId="77777777" w:rsidR="00442634" w:rsidRDefault="00442634" w:rsidP="00354AA1">
      <w:pPr>
        <w:jc w:val="both"/>
      </w:pPr>
      <w:r>
        <w:t>In December 2014, the PJC commented that the Bill promotes the rights of children to family and development under articles 18 and 20 of the Convention on the Rights of the Child, and is compatible with human rights.</w:t>
      </w:r>
      <w:r>
        <w:rPr>
          <w:rStyle w:val="EndnoteReference"/>
        </w:rPr>
        <w:endnoteReference w:id="72"/>
      </w:r>
      <w:r>
        <w:t xml:space="preserve"> </w:t>
      </w:r>
    </w:p>
    <w:p w14:paraId="31759B2C" w14:textId="77777777" w:rsidR="00442634" w:rsidRPr="002951BC" w:rsidRDefault="00442634" w:rsidP="00354AA1">
      <w:pPr>
        <w:jc w:val="both"/>
      </w:pPr>
      <w:r w:rsidRPr="003463BC">
        <w:t>The Bill is still before the Senate.</w:t>
      </w:r>
      <w:r w:rsidRPr="003463BC">
        <w:rPr>
          <w:rStyle w:val="EndnoteReference"/>
        </w:rPr>
        <w:endnoteReference w:id="73"/>
      </w:r>
    </w:p>
    <w:p w14:paraId="07CEAD32" w14:textId="77777777" w:rsidR="00442634" w:rsidRDefault="00442634" w:rsidP="00354AA1">
      <w:pPr>
        <w:pStyle w:val="Heading3"/>
        <w:jc w:val="both"/>
      </w:pPr>
      <w:bookmarkStart w:id="42" w:name="_Toc427857442"/>
      <w:bookmarkStart w:id="43" w:name="_Toc430702062"/>
      <w:r w:rsidRPr="00275DD9">
        <w:t xml:space="preserve">Enhancing Online Safety for Children Bill 2014 </w:t>
      </w:r>
      <w:r w:rsidRPr="003463BC">
        <w:t>(Cth)</w:t>
      </w:r>
      <w:r>
        <w:t xml:space="preserve"> </w:t>
      </w:r>
      <w:r w:rsidRPr="00275DD9">
        <w:t>and the Enhancing Online Safety for Children (Consequential Amendments) Bill 2014</w:t>
      </w:r>
      <w:bookmarkEnd w:id="42"/>
      <w:r>
        <w:t xml:space="preserve"> </w:t>
      </w:r>
      <w:r w:rsidRPr="003463BC">
        <w:t>(Cth)</w:t>
      </w:r>
      <w:bookmarkEnd w:id="43"/>
    </w:p>
    <w:p w14:paraId="1ED71236" w14:textId="42254A4A" w:rsidR="00442634" w:rsidRDefault="00442634" w:rsidP="00354AA1">
      <w:pPr>
        <w:jc w:val="both"/>
      </w:pPr>
      <w:r>
        <w:t>On 5 September 2013, the Coalition released its pre-election policy to enhance online safety for children.</w:t>
      </w:r>
      <w:r>
        <w:rPr>
          <w:rStyle w:val="EndnoteReference"/>
        </w:rPr>
        <w:endnoteReference w:id="74"/>
      </w:r>
      <w:r>
        <w:t xml:space="preserve"> In December 2013</w:t>
      </w:r>
      <w:r w:rsidR="007A644A">
        <w:t>,</w:t>
      </w:r>
      <w:r>
        <w:t xml:space="preserve"> I was invited by the Hon Paul Fletcher MP to become a member of the Australian Government’s Online Safety Consultative Working Group (CWG) and through this role I contributed to the development of associated policy and the Bills.</w:t>
      </w:r>
    </w:p>
    <w:p w14:paraId="3BE25A30" w14:textId="00973658" w:rsidR="00442634" w:rsidRDefault="00442634" w:rsidP="00354AA1">
      <w:pPr>
        <w:jc w:val="both"/>
      </w:pPr>
      <w:r>
        <w:t xml:space="preserve">The </w:t>
      </w:r>
      <w:r w:rsidRPr="00C60A54">
        <w:t>Enhancing Online Safety for Children Bill 2014 (Cth) and the Enhancing Online Safety for Children (Consequential Amendments) Bill 2014 (Cth)</w:t>
      </w:r>
      <w:r>
        <w:t xml:space="preserve"> were sponsored by </w:t>
      </w:r>
      <w:r w:rsidRPr="00BB492C">
        <w:t xml:space="preserve">the </w:t>
      </w:r>
      <w:r w:rsidR="006C67A6">
        <w:t>Australian Government’s</w:t>
      </w:r>
      <w:r w:rsidRPr="00BB492C">
        <w:t xml:space="preserve"> communications portfolio</w:t>
      </w:r>
      <w:r>
        <w:t xml:space="preserve"> and introduced to the House of Representatives on 3 December 2014.</w:t>
      </w:r>
      <w:r>
        <w:rPr>
          <w:rStyle w:val="EndnoteReference"/>
        </w:rPr>
        <w:endnoteReference w:id="75"/>
      </w:r>
      <w:r>
        <w:t xml:space="preserve"> The Bills proposed to establish the Children’s e-Safety Commissioner and a complaints system for cyber-bullying material targeted at Australian children.</w:t>
      </w:r>
      <w:r>
        <w:rPr>
          <w:rStyle w:val="EndnoteReference"/>
        </w:rPr>
        <w:endnoteReference w:id="76"/>
      </w:r>
      <w:r>
        <w:t xml:space="preserve"> </w:t>
      </w:r>
    </w:p>
    <w:p w14:paraId="75AAC298" w14:textId="1A5AB801" w:rsidR="00442634" w:rsidRDefault="00442634" w:rsidP="00354AA1">
      <w:pPr>
        <w:jc w:val="both"/>
      </w:pPr>
      <w:r>
        <w:t xml:space="preserve">The Statement of Compatibility accompanying the Bills stated that the Bills would promote the rights of children to </w:t>
      </w:r>
      <w:r w:rsidR="006C67A6">
        <w:t xml:space="preserve">privacy </w:t>
      </w:r>
      <w:r>
        <w:t>and</w:t>
      </w:r>
      <w:r w:rsidR="006C67A6" w:rsidRPr="006C67A6">
        <w:t xml:space="preserve"> </w:t>
      </w:r>
      <w:r w:rsidR="006C67A6">
        <w:t>to protection from unlawful attacks</w:t>
      </w:r>
      <w:r>
        <w:t>.</w:t>
      </w:r>
      <w:r>
        <w:rPr>
          <w:rStyle w:val="EndnoteReference"/>
        </w:rPr>
        <w:endnoteReference w:id="77"/>
      </w:r>
      <w:r>
        <w:t xml:space="preserve"> </w:t>
      </w:r>
    </w:p>
    <w:p w14:paraId="32F83549" w14:textId="2DD15CD3" w:rsidR="00442634" w:rsidRDefault="00442634" w:rsidP="00354AA1">
      <w:pPr>
        <w:jc w:val="both"/>
      </w:pPr>
      <w:r>
        <w:t>On 4 December 2014</w:t>
      </w:r>
      <w:r w:rsidR="007A644A">
        <w:t>,</w:t>
      </w:r>
      <w:r>
        <w:t xml:space="preserve"> the Senate referred the Bills to the Senate Environment and Communications Legislation Committee for inquiry and report.</w:t>
      </w:r>
      <w:r>
        <w:rPr>
          <w:rStyle w:val="EndnoteReference"/>
        </w:rPr>
        <w:endnoteReference w:id="78"/>
      </w:r>
      <w:r>
        <w:t xml:space="preserve"> The final report of the Senate inquiry was released on 3 March 2015 and recommended that the Bills, subject to a proposed amendment, be passed.</w:t>
      </w:r>
      <w:r>
        <w:rPr>
          <w:rStyle w:val="EndnoteReference"/>
        </w:rPr>
        <w:endnoteReference w:id="79"/>
      </w:r>
    </w:p>
    <w:p w14:paraId="7720F2EE" w14:textId="53E2E2D8" w:rsidR="00442634" w:rsidRDefault="00442634" w:rsidP="00354AA1">
      <w:pPr>
        <w:jc w:val="both"/>
      </w:pPr>
      <w:r>
        <w:t>In February 2015</w:t>
      </w:r>
      <w:r w:rsidR="007A644A">
        <w:t>,</w:t>
      </w:r>
      <w:r>
        <w:t xml:space="preserve"> the PJC commented that the Bills did not require additional comment as they did not raise human rights concerns.</w:t>
      </w:r>
      <w:r>
        <w:rPr>
          <w:rStyle w:val="EndnoteReference"/>
        </w:rPr>
        <w:endnoteReference w:id="80"/>
      </w:r>
    </w:p>
    <w:p w14:paraId="46148441" w14:textId="77777777" w:rsidR="00442634" w:rsidRPr="00FE6B53" w:rsidRDefault="00442634" w:rsidP="00354AA1">
      <w:pPr>
        <w:jc w:val="both"/>
      </w:pPr>
      <w:r>
        <w:t>The Bills passed both Houses of Parliament in March 2015.</w:t>
      </w:r>
      <w:r>
        <w:rPr>
          <w:rStyle w:val="EndnoteReference"/>
        </w:rPr>
        <w:endnoteReference w:id="81"/>
      </w:r>
    </w:p>
    <w:p w14:paraId="1C228BC1" w14:textId="77777777" w:rsidR="00442634" w:rsidRPr="00442634" w:rsidRDefault="00442634" w:rsidP="00354AA1">
      <w:pPr>
        <w:pStyle w:val="Heading3"/>
        <w:jc w:val="both"/>
      </w:pPr>
      <w:bookmarkStart w:id="44" w:name="_Toc427857443"/>
      <w:bookmarkStart w:id="45" w:name="_Toc430702063"/>
      <w:r w:rsidRPr="00442634">
        <w:t>Crimes Legislation Amendment (Powers, Offences and Other Measures) Bill 2015</w:t>
      </w:r>
      <w:bookmarkEnd w:id="44"/>
      <w:r w:rsidRPr="00442634">
        <w:t xml:space="preserve"> (Cth)</w:t>
      </w:r>
      <w:bookmarkEnd w:id="45"/>
    </w:p>
    <w:p w14:paraId="7458324B" w14:textId="1BE6E799" w:rsidR="00442634" w:rsidRDefault="00442634" w:rsidP="00354AA1">
      <w:pPr>
        <w:jc w:val="both"/>
      </w:pPr>
      <w:r>
        <w:t xml:space="preserve">The </w:t>
      </w:r>
      <w:r w:rsidRPr="00C60A54">
        <w:t>Crimes Legislation Amendment (Powers, Offences and Other Measures) Bill 2015 (Cth)</w:t>
      </w:r>
      <w:r>
        <w:t xml:space="preserve"> was sponsored by </w:t>
      </w:r>
      <w:r w:rsidRPr="00BB492C">
        <w:t xml:space="preserve">the </w:t>
      </w:r>
      <w:r w:rsidR="006C67A6">
        <w:t>Australian Government’s</w:t>
      </w:r>
      <w:r w:rsidRPr="00BB492C">
        <w:t xml:space="preserve"> Attorney-General’s portfolio</w:t>
      </w:r>
      <w:r>
        <w:t xml:space="preserve"> and introduced to the House of Representatives on 19 March 2015.</w:t>
      </w:r>
      <w:r>
        <w:rPr>
          <w:rStyle w:val="EndnoteReference"/>
        </w:rPr>
        <w:endnoteReference w:id="82"/>
      </w:r>
      <w:r>
        <w:t xml:space="preserve"> The Bill proposed, among other things, to expand the definition of forced marriage and increase the penalties for forced marriages.</w:t>
      </w:r>
      <w:r>
        <w:rPr>
          <w:rStyle w:val="EndnoteReference"/>
        </w:rPr>
        <w:endnoteReference w:id="83"/>
      </w:r>
    </w:p>
    <w:p w14:paraId="768E5683" w14:textId="77777777" w:rsidR="00442634" w:rsidRDefault="00442634" w:rsidP="00354AA1">
      <w:pPr>
        <w:jc w:val="both"/>
      </w:pPr>
      <w:r>
        <w:t>The Statement of Compatibility accompanying the Bill stated that the Bill would promote children’s rights by increasing protection against forced marriage for children who do not have the capacity to provide free and full consent to marriage.</w:t>
      </w:r>
      <w:r>
        <w:rPr>
          <w:rStyle w:val="EndnoteReference"/>
        </w:rPr>
        <w:endnoteReference w:id="84"/>
      </w:r>
    </w:p>
    <w:p w14:paraId="4D99D5C0" w14:textId="77777777" w:rsidR="00442634" w:rsidRDefault="00442634" w:rsidP="00354AA1">
      <w:pPr>
        <w:jc w:val="both"/>
      </w:pPr>
      <w:r>
        <w:lastRenderedPageBreak/>
        <w:t>The PJC did not comment on the measures contained in the Bill relating to forced marriage.</w:t>
      </w:r>
    </w:p>
    <w:p w14:paraId="21AA11D3" w14:textId="10FA6A27" w:rsidR="00442634" w:rsidRDefault="00442634" w:rsidP="00354AA1">
      <w:pPr>
        <w:jc w:val="both"/>
      </w:pPr>
      <w:r>
        <w:t>On 26 March 2015</w:t>
      </w:r>
      <w:r w:rsidR="0028672A">
        <w:t>,</w:t>
      </w:r>
      <w:r>
        <w:t xml:space="preserve"> the Senate referred the Bill to the Senate Legal and Constitutional Affairs Legislation Committee for inquiry and report.</w:t>
      </w:r>
      <w:r>
        <w:rPr>
          <w:rStyle w:val="EndnoteReference"/>
        </w:rPr>
        <w:endnoteReference w:id="85"/>
      </w:r>
      <w:r>
        <w:t xml:space="preserve"> In its submission to the Senate inquiry, the Australian Human Rights Commission recommended that the measures contained in the Bill relating to forced marriage should be passed.</w:t>
      </w:r>
      <w:r>
        <w:rPr>
          <w:rStyle w:val="EndnoteReference"/>
        </w:rPr>
        <w:endnoteReference w:id="86"/>
      </w:r>
      <w:r>
        <w:t xml:space="preserve"> </w:t>
      </w:r>
    </w:p>
    <w:p w14:paraId="147A94C9" w14:textId="77777777" w:rsidR="00442634" w:rsidRDefault="00442634" w:rsidP="00354AA1">
      <w:pPr>
        <w:jc w:val="both"/>
      </w:pPr>
      <w:r>
        <w:t>The final report of the Senate inquiry was released on 16 June 2015 and recommended that the Bill be passed, subject to the federal, state and territory governments reviewing underage sex offences to make sure of consistency with the federal offences of forced marriage.</w:t>
      </w:r>
      <w:r>
        <w:rPr>
          <w:rStyle w:val="EndnoteReference"/>
        </w:rPr>
        <w:endnoteReference w:id="87"/>
      </w:r>
    </w:p>
    <w:p w14:paraId="3DAAA149" w14:textId="3CB89F96" w:rsidR="00442634" w:rsidRDefault="00442634" w:rsidP="00354AA1">
      <w:pPr>
        <w:jc w:val="both"/>
      </w:pPr>
      <w:r>
        <w:t>The Bill passed the Senate on 19 August 2015 with amendments to other parts of the Bill and has been returned to the House of Representatives.</w:t>
      </w:r>
      <w:r>
        <w:rPr>
          <w:rStyle w:val="EndnoteReference"/>
        </w:rPr>
        <w:endnoteReference w:id="88"/>
      </w:r>
    </w:p>
    <w:p w14:paraId="55FA452F" w14:textId="77777777" w:rsidR="00442634" w:rsidRPr="00442634" w:rsidRDefault="00442634" w:rsidP="00354AA1">
      <w:pPr>
        <w:pStyle w:val="Heading2"/>
        <w:jc w:val="both"/>
      </w:pPr>
      <w:bookmarkStart w:id="46" w:name="_Toc427857444"/>
      <w:bookmarkStart w:id="47" w:name="_Toc430702064"/>
      <w:bookmarkStart w:id="48" w:name="_Toc432577309"/>
      <w:r w:rsidRPr="00442634">
        <w:t>Bills that had a substantially negative impact on child rights</w:t>
      </w:r>
      <w:bookmarkEnd w:id="46"/>
      <w:bookmarkEnd w:id="47"/>
      <w:bookmarkEnd w:id="48"/>
    </w:p>
    <w:p w14:paraId="7D3D09D7" w14:textId="060F6C37" w:rsidR="00442634" w:rsidRPr="003F3968" w:rsidRDefault="00442634" w:rsidP="00354AA1">
      <w:pPr>
        <w:jc w:val="both"/>
      </w:pPr>
      <w:r>
        <w:t xml:space="preserve">The PJC considered four Bills introduced to federal </w:t>
      </w:r>
      <w:r w:rsidR="001B5E8F">
        <w:t>P</w:t>
      </w:r>
      <w:r>
        <w:t>arliament during my reporting period that had a substantially negative impact on children’s rights.</w:t>
      </w:r>
    </w:p>
    <w:p w14:paraId="29AF8148" w14:textId="77777777" w:rsidR="00442634" w:rsidRPr="00442634" w:rsidRDefault="00442634" w:rsidP="00354AA1">
      <w:pPr>
        <w:pStyle w:val="Heading3"/>
        <w:jc w:val="both"/>
      </w:pPr>
      <w:bookmarkStart w:id="49" w:name="_Toc427857447"/>
      <w:bookmarkStart w:id="50" w:name="_Toc430702065"/>
      <w:bookmarkStart w:id="51" w:name="_Toc427857448"/>
      <w:bookmarkStart w:id="52" w:name="_Toc427857446"/>
      <w:bookmarkStart w:id="53" w:name="_Toc427857445"/>
      <w:r w:rsidRPr="00442634">
        <w:t>Migration Amendment (Character and General Visa Cancellation) Bill 2014</w:t>
      </w:r>
      <w:bookmarkEnd w:id="49"/>
      <w:r w:rsidRPr="00442634">
        <w:t xml:space="preserve"> (Cth)</w:t>
      </w:r>
      <w:bookmarkEnd w:id="50"/>
    </w:p>
    <w:p w14:paraId="4CFF6A84" w14:textId="0D822148" w:rsidR="00442634" w:rsidRPr="00346CE2" w:rsidRDefault="00442634" w:rsidP="00354AA1">
      <w:pPr>
        <w:pStyle w:val="coveraddress"/>
        <w:jc w:val="both"/>
        <w:rPr>
          <w:color w:val="auto"/>
          <w:sz w:val="24"/>
          <w:szCs w:val="24"/>
        </w:rPr>
      </w:pPr>
      <w:r>
        <w:rPr>
          <w:color w:val="auto"/>
          <w:sz w:val="24"/>
          <w:szCs w:val="24"/>
        </w:rPr>
        <w:t xml:space="preserve">The </w:t>
      </w:r>
      <w:r w:rsidRPr="00346CE2">
        <w:rPr>
          <w:color w:val="auto"/>
          <w:sz w:val="24"/>
          <w:szCs w:val="24"/>
        </w:rPr>
        <w:tab/>
        <w:t>Migration Amendment (Character and General Visa Cancellation) Bill 2014 (Cth)</w:t>
      </w:r>
      <w:r>
        <w:rPr>
          <w:color w:val="auto"/>
          <w:sz w:val="24"/>
          <w:szCs w:val="24"/>
        </w:rPr>
        <w:t xml:space="preserve"> </w:t>
      </w:r>
      <w:r w:rsidRPr="00346CE2">
        <w:rPr>
          <w:color w:val="auto"/>
          <w:sz w:val="24"/>
          <w:szCs w:val="24"/>
        </w:rPr>
        <w:t xml:space="preserve">was sponsored by the </w:t>
      </w:r>
      <w:r w:rsidR="001B5E8F">
        <w:rPr>
          <w:color w:val="auto"/>
          <w:sz w:val="24"/>
          <w:szCs w:val="24"/>
        </w:rPr>
        <w:t>Australian Government’s</w:t>
      </w:r>
      <w:r w:rsidRPr="00BB492C">
        <w:rPr>
          <w:color w:val="auto"/>
          <w:sz w:val="24"/>
          <w:szCs w:val="24"/>
        </w:rPr>
        <w:t xml:space="preserve"> immigration and border protection portfolio</w:t>
      </w:r>
      <w:r w:rsidRPr="00346CE2">
        <w:rPr>
          <w:color w:val="auto"/>
          <w:sz w:val="24"/>
          <w:szCs w:val="24"/>
        </w:rPr>
        <w:t xml:space="preserve"> and introduced to the House of Representatives on 24 September 2014.</w:t>
      </w:r>
      <w:r w:rsidRPr="00346CE2">
        <w:rPr>
          <w:rStyle w:val="EndnoteReference"/>
          <w:color w:val="auto"/>
          <w:szCs w:val="24"/>
        </w:rPr>
        <w:endnoteReference w:id="89"/>
      </w:r>
      <w:r>
        <w:rPr>
          <w:color w:val="auto"/>
          <w:sz w:val="24"/>
          <w:szCs w:val="24"/>
        </w:rPr>
        <w:t xml:space="preserve"> The Bill proposed</w:t>
      </w:r>
      <w:r w:rsidRPr="00346CE2">
        <w:rPr>
          <w:color w:val="auto"/>
          <w:sz w:val="24"/>
          <w:szCs w:val="24"/>
        </w:rPr>
        <w:t>, among other things,</w:t>
      </w:r>
      <w:r>
        <w:rPr>
          <w:color w:val="auto"/>
          <w:sz w:val="24"/>
          <w:szCs w:val="24"/>
        </w:rPr>
        <w:t xml:space="preserve"> to</w:t>
      </w:r>
      <w:r w:rsidRPr="00346CE2">
        <w:rPr>
          <w:color w:val="auto"/>
          <w:sz w:val="24"/>
          <w:szCs w:val="24"/>
        </w:rPr>
        <w:t xml:space="preserve"> expand visa cancellation powers.</w:t>
      </w:r>
      <w:r w:rsidRPr="00346CE2">
        <w:rPr>
          <w:rStyle w:val="EndnoteReference"/>
          <w:color w:val="auto"/>
          <w:szCs w:val="24"/>
        </w:rPr>
        <w:endnoteReference w:id="90"/>
      </w:r>
    </w:p>
    <w:p w14:paraId="7DA62F1A" w14:textId="77777777" w:rsidR="00442634" w:rsidRPr="00346CE2" w:rsidRDefault="00442634" w:rsidP="00354AA1">
      <w:pPr>
        <w:pStyle w:val="coveraddress"/>
        <w:jc w:val="both"/>
        <w:rPr>
          <w:color w:val="auto"/>
          <w:sz w:val="24"/>
          <w:szCs w:val="24"/>
        </w:rPr>
      </w:pPr>
    </w:p>
    <w:p w14:paraId="6B6A00E3" w14:textId="5443705E" w:rsidR="00442634" w:rsidRPr="00346CE2" w:rsidRDefault="00442634" w:rsidP="00354AA1">
      <w:pPr>
        <w:pStyle w:val="coveraddress"/>
        <w:jc w:val="both"/>
        <w:rPr>
          <w:color w:val="auto"/>
          <w:sz w:val="24"/>
          <w:szCs w:val="24"/>
        </w:rPr>
      </w:pPr>
      <w:r w:rsidRPr="00346CE2">
        <w:rPr>
          <w:color w:val="auto"/>
          <w:sz w:val="24"/>
          <w:szCs w:val="24"/>
        </w:rPr>
        <w:t>On 25 September 2014</w:t>
      </w:r>
      <w:r w:rsidR="001B5E8F">
        <w:rPr>
          <w:color w:val="auto"/>
          <w:sz w:val="24"/>
          <w:szCs w:val="24"/>
        </w:rPr>
        <w:t>,</w:t>
      </w:r>
      <w:r w:rsidRPr="00346CE2">
        <w:rPr>
          <w:color w:val="auto"/>
          <w:sz w:val="24"/>
          <w:szCs w:val="24"/>
        </w:rPr>
        <w:t xml:space="preserve"> the Senate referred the Bill to the Senate Legal and Constitutional Affairs Legislation Committee for inquiry and report.</w:t>
      </w:r>
      <w:r w:rsidRPr="00346CE2">
        <w:rPr>
          <w:rStyle w:val="EndnoteReference"/>
          <w:color w:val="auto"/>
          <w:szCs w:val="24"/>
        </w:rPr>
        <w:endnoteReference w:id="91"/>
      </w:r>
      <w:r w:rsidRPr="00346CE2">
        <w:rPr>
          <w:color w:val="auto"/>
          <w:sz w:val="24"/>
          <w:szCs w:val="24"/>
        </w:rPr>
        <w:t xml:space="preserve"> In its submission to the Senate inquiry, the Australian Human Rights Commission expressed concern that the Bill lowered the threshold to refuse and cancel visas and increased the</w:t>
      </w:r>
      <w:r>
        <w:rPr>
          <w:color w:val="auto"/>
          <w:sz w:val="24"/>
          <w:szCs w:val="24"/>
        </w:rPr>
        <w:t xml:space="preserve"> </w:t>
      </w:r>
      <w:r w:rsidRPr="00346CE2">
        <w:rPr>
          <w:color w:val="auto"/>
          <w:sz w:val="24"/>
          <w:szCs w:val="24"/>
        </w:rPr>
        <w:t>personal visa cancellation powers</w:t>
      </w:r>
      <w:r>
        <w:rPr>
          <w:color w:val="auto"/>
          <w:sz w:val="24"/>
          <w:szCs w:val="24"/>
        </w:rPr>
        <w:t xml:space="preserve"> held by the Minister for Immigration and Border Protection</w:t>
      </w:r>
      <w:r w:rsidRPr="00346CE2">
        <w:rPr>
          <w:color w:val="auto"/>
          <w:sz w:val="24"/>
          <w:szCs w:val="24"/>
        </w:rPr>
        <w:t>.</w:t>
      </w:r>
      <w:r w:rsidRPr="00346CE2">
        <w:rPr>
          <w:rStyle w:val="EndnoteReference"/>
          <w:color w:val="auto"/>
          <w:szCs w:val="24"/>
        </w:rPr>
        <w:endnoteReference w:id="92"/>
      </w:r>
      <w:r w:rsidRPr="00346CE2">
        <w:rPr>
          <w:color w:val="auto"/>
          <w:sz w:val="24"/>
          <w:szCs w:val="24"/>
        </w:rPr>
        <w:t xml:space="preserve"> </w:t>
      </w:r>
    </w:p>
    <w:p w14:paraId="5CB0FBD3" w14:textId="77777777" w:rsidR="00442634" w:rsidRPr="00346CE2" w:rsidRDefault="00442634" w:rsidP="00354AA1">
      <w:pPr>
        <w:pStyle w:val="coveraddress"/>
        <w:jc w:val="both"/>
        <w:rPr>
          <w:color w:val="auto"/>
          <w:sz w:val="24"/>
          <w:szCs w:val="24"/>
        </w:rPr>
      </w:pPr>
    </w:p>
    <w:p w14:paraId="0CB9B522" w14:textId="3A3A9C3E" w:rsidR="00442634" w:rsidRDefault="00442634" w:rsidP="00354AA1">
      <w:pPr>
        <w:pStyle w:val="coveraddress"/>
        <w:jc w:val="both"/>
        <w:rPr>
          <w:color w:val="auto"/>
          <w:sz w:val="24"/>
          <w:szCs w:val="24"/>
        </w:rPr>
      </w:pPr>
      <w:r w:rsidRPr="00346CE2">
        <w:rPr>
          <w:color w:val="auto"/>
          <w:sz w:val="24"/>
          <w:szCs w:val="24"/>
        </w:rPr>
        <w:t xml:space="preserve">The </w:t>
      </w:r>
      <w:r>
        <w:rPr>
          <w:color w:val="auto"/>
          <w:sz w:val="24"/>
          <w:szCs w:val="24"/>
        </w:rPr>
        <w:t xml:space="preserve">Australian Human Rights </w:t>
      </w:r>
      <w:r w:rsidRPr="00346CE2">
        <w:rPr>
          <w:color w:val="auto"/>
          <w:sz w:val="24"/>
          <w:szCs w:val="24"/>
        </w:rPr>
        <w:t>Commission suggested</w:t>
      </w:r>
      <w:r>
        <w:rPr>
          <w:color w:val="auto"/>
          <w:sz w:val="24"/>
          <w:szCs w:val="24"/>
        </w:rPr>
        <w:t xml:space="preserve"> in its submission</w:t>
      </w:r>
      <w:r w:rsidRPr="00346CE2">
        <w:rPr>
          <w:color w:val="auto"/>
          <w:sz w:val="24"/>
          <w:szCs w:val="24"/>
        </w:rPr>
        <w:t xml:space="preserve"> that the Bill could lead to unjustified interference in family life, including the separation of children from their family,</w:t>
      </w:r>
      <w:r w:rsidRPr="00346CE2">
        <w:rPr>
          <w:rStyle w:val="EndnoteReference"/>
          <w:color w:val="auto"/>
          <w:szCs w:val="24"/>
        </w:rPr>
        <w:endnoteReference w:id="93"/>
      </w:r>
      <w:r w:rsidRPr="00346CE2">
        <w:rPr>
          <w:color w:val="auto"/>
          <w:sz w:val="24"/>
          <w:szCs w:val="24"/>
        </w:rPr>
        <w:t xml:space="preserve"> and recommended that the Bill not be passed.</w:t>
      </w:r>
      <w:r w:rsidRPr="00346CE2">
        <w:rPr>
          <w:rStyle w:val="EndnoteReference"/>
          <w:color w:val="auto"/>
          <w:szCs w:val="24"/>
        </w:rPr>
        <w:endnoteReference w:id="94"/>
      </w:r>
      <w:r w:rsidRPr="00346CE2">
        <w:rPr>
          <w:color w:val="auto"/>
          <w:sz w:val="24"/>
          <w:szCs w:val="24"/>
        </w:rPr>
        <w:t xml:space="preserve"> </w:t>
      </w:r>
    </w:p>
    <w:p w14:paraId="4B6686E8" w14:textId="77777777" w:rsidR="00442634" w:rsidRDefault="00442634" w:rsidP="00354AA1">
      <w:pPr>
        <w:pStyle w:val="coveraddress"/>
        <w:jc w:val="both"/>
        <w:rPr>
          <w:color w:val="auto"/>
          <w:sz w:val="24"/>
          <w:szCs w:val="24"/>
        </w:rPr>
      </w:pPr>
    </w:p>
    <w:p w14:paraId="37525CE8" w14:textId="77777777" w:rsidR="00442634" w:rsidRPr="00346CE2" w:rsidRDefault="00442634" w:rsidP="00354AA1">
      <w:pPr>
        <w:pStyle w:val="coveraddress"/>
        <w:jc w:val="both"/>
        <w:rPr>
          <w:color w:val="auto"/>
          <w:sz w:val="24"/>
          <w:szCs w:val="24"/>
        </w:rPr>
      </w:pPr>
      <w:r w:rsidRPr="00346CE2">
        <w:rPr>
          <w:color w:val="auto"/>
          <w:sz w:val="24"/>
          <w:szCs w:val="24"/>
        </w:rPr>
        <w:t>The final report of the Senate inquiry was released on 25 November 2014 and recommended that the Bill be passed, subject to amendments.</w:t>
      </w:r>
      <w:r w:rsidRPr="00346CE2">
        <w:rPr>
          <w:rStyle w:val="EndnoteReference"/>
          <w:color w:val="auto"/>
          <w:szCs w:val="24"/>
        </w:rPr>
        <w:endnoteReference w:id="95"/>
      </w:r>
      <w:r w:rsidRPr="00346CE2">
        <w:rPr>
          <w:color w:val="auto"/>
          <w:sz w:val="24"/>
          <w:szCs w:val="24"/>
        </w:rPr>
        <w:t xml:space="preserve"> </w:t>
      </w:r>
    </w:p>
    <w:p w14:paraId="6DC2F5F6" w14:textId="77777777" w:rsidR="00442634" w:rsidRPr="00346CE2" w:rsidRDefault="00442634" w:rsidP="00354AA1">
      <w:pPr>
        <w:pStyle w:val="coveraddress"/>
        <w:jc w:val="both"/>
        <w:rPr>
          <w:color w:val="auto"/>
          <w:sz w:val="24"/>
          <w:szCs w:val="24"/>
        </w:rPr>
      </w:pPr>
    </w:p>
    <w:p w14:paraId="6B62DBB8" w14:textId="77777777" w:rsidR="00442634" w:rsidRDefault="00442634" w:rsidP="00354AA1">
      <w:pPr>
        <w:pStyle w:val="coveraddress"/>
        <w:jc w:val="both"/>
        <w:rPr>
          <w:color w:val="auto"/>
          <w:sz w:val="24"/>
          <w:szCs w:val="24"/>
        </w:rPr>
      </w:pPr>
      <w:r w:rsidRPr="00346CE2">
        <w:rPr>
          <w:color w:val="auto"/>
          <w:sz w:val="24"/>
          <w:szCs w:val="24"/>
        </w:rPr>
        <w:t>A dissenting report was provided by the Australian Greens, which recommended that the Bill not be passed</w:t>
      </w:r>
      <w:r>
        <w:rPr>
          <w:color w:val="auto"/>
          <w:sz w:val="24"/>
          <w:szCs w:val="24"/>
        </w:rPr>
        <w:t>.</w:t>
      </w:r>
      <w:r w:rsidRPr="00346CE2">
        <w:rPr>
          <w:rStyle w:val="EndnoteReference"/>
          <w:color w:val="auto"/>
          <w:szCs w:val="24"/>
        </w:rPr>
        <w:endnoteReference w:id="96"/>
      </w:r>
      <w:r>
        <w:rPr>
          <w:color w:val="auto"/>
          <w:sz w:val="24"/>
          <w:szCs w:val="24"/>
        </w:rPr>
        <w:t xml:space="preserve"> The dissenting report </w:t>
      </w:r>
      <w:r w:rsidRPr="00346CE2">
        <w:rPr>
          <w:color w:val="auto"/>
          <w:sz w:val="24"/>
          <w:szCs w:val="24"/>
        </w:rPr>
        <w:t xml:space="preserve">suggested that the threshold for visa refusal or cancellation should require the individual to pose a significant risk, that visa cancellation and refusal decision-making processes should be subject to </w:t>
      </w:r>
      <w:r w:rsidRPr="00346CE2">
        <w:rPr>
          <w:color w:val="auto"/>
          <w:sz w:val="24"/>
          <w:szCs w:val="24"/>
        </w:rPr>
        <w:lastRenderedPageBreak/>
        <w:t xml:space="preserve">independent merits review, and that </w:t>
      </w:r>
      <w:r>
        <w:rPr>
          <w:color w:val="auto"/>
          <w:sz w:val="24"/>
          <w:szCs w:val="24"/>
        </w:rPr>
        <w:t>the</w:t>
      </w:r>
      <w:r w:rsidRPr="00346CE2">
        <w:rPr>
          <w:color w:val="auto"/>
          <w:sz w:val="24"/>
          <w:szCs w:val="24"/>
        </w:rPr>
        <w:t xml:space="preserve"> limitations on reviewing </w:t>
      </w:r>
      <w:r>
        <w:rPr>
          <w:color w:val="auto"/>
          <w:sz w:val="24"/>
          <w:szCs w:val="24"/>
        </w:rPr>
        <w:t>how</w:t>
      </w:r>
      <w:r w:rsidRPr="00346CE2">
        <w:rPr>
          <w:color w:val="auto"/>
          <w:sz w:val="24"/>
          <w:szCs w:val="24"/>
        </w:rPr>
        <w:t xml:space="preserve"> Ministerial discretion </w:t>
      </w:r>
      <w:r>
        <w:rPr>
          <w:color w:val="auto"/>
          <w:sz w:val="24"/>
          <w:szCs w:val="24"/>
        </w:rPr>
        <w:t xml:space="preserve">is exercised </w:t>
      </w:r>
      <w:r w:rsidRPr="00346CE2">
        <w:rPr>
          <w:color w:val="auto"/>
          <w:sz w:val="24"/>
          <w:szCs w:val="24"/>
        </w:rPr>
        <w:t>should be examined.</w:t>
      </w:r>
      <w:r w:rsidRPr="00346CE2">
        <w:rPr>
          <w:rStyle w:val="EndnoteReference"/>
          <w:color w:val="auto"/>
          <w:szCs w:val="24"/>
        </w:rPr>
        <w:endnoteReference w:id="97"/>
      </w:r>
    </w:p>
    <w:p w14:paraId="4A941DB3" w14:textId="77777777" w:rsidR="00442634" w:rsidRPr="00346CE2" w:rsidRDefault="00442634" w:rsidP="00354AA1">
      <w:pPr>
        <w:pStyle w:val="coveraddress"/>
        <w:jc w:val="both"/>
        <w:rPr>
          <w:color w:val="auto"/>
          <w:sz w:val="24"/>
          <w:szCs w:val="24"/>
        </w:rPr>
      </w:pPr>
    </w:p>
    <w:p w14:paraId="2F443F9C" w14:textId="186336CC" w:rsidR="00442634" w:rsidRPr="00346CE2" w:rsidRDefault="00442634" w:rsidP="00354AA1">
      <w:pPr>
        <w:pStyle w:val="coveraddress"/>
        <w:jc w:val="both"/>
        <w:rPr>
          <w:color w:val="auto"/>
          <w:sz w:val="24"/>
          <w:szCs w:val="24"/>
        </w:rPr>
      </w:pPr>
      <w:r w:rsidRPr="00346CE2">
        <w:rPr>
          <w:color w:val="auto"/>
          <w:sz w:val="24"/>
          <w:szCs w:val="24"/>
        </w:rPr>
        <w:t xml:space="preserve">The Bill passed both </w:t>
      </w:r>
      <w:r w:rsidR="001B5E8F">
        <w:rPr>
          <w:color w:val="auto"/>
          <w:sz w:val="24"/>
          <w:szCs w:val="24"/>
        </w:rPr>
        <w:t>H</w:t>
      </w:r>
      <w:r w:rsidRPr="00346CE2">
        <w:rPr>
          <w:color w:val="auto"/>
          <w:sz w:val="24"/>
          <w:szCs w:val="24"/>
        </w:rPr>
        <w:t>ouses of Parliament on 26 November 2014.</w:t>
      </w:r>
      <w:r w:rsidRPr="00346CE2">
        <w:rPr>
          <w:rStyle w:val="EndnoteReference"/>
          <w:color w:val="auto"/>
          <w:szCs w:val="24"/>
        </w:rPr>
        <w:endnoteReference w:id="98"/>
      </w:r>
    </w:p>
    <w:p w14:paraId="68490681" w14:textId="77777777" w:rsidR="00442634" w:rsidRPr="00346CE2" w:rsidRDefault="00442634" w:rsidP="00354AA1">
      <w:pPr>
        <w:pStyle w:val="coveraddress"/>
        <w:jc w:val="both"/>
        <w:rPr>
          <w:color w:val="auto"/>
          <w:sz w:val="24"/>
          <w:szCs w:val="24"/>
        </w:rPr>
      </w:pPr>
    </w:p>
    <w:p w14:paraId="548B83F7" w14:textId="18827B99" w:rsidR="00442634" w:rsidRPr="00346CE2" w:rsidRDefault="00442634" w:rsidP="00354AA1">
      <w:pPr>
        <w:pStyle w:val="coveraddress"/>
        <w:jc w:val="both"/>
        <w:rPr>
          <w:color w:val="auto"/>
        </w:rPr>
      </w:pPr>
      <w:r w:rsidRPr="00346CE2">
        <w:rPr>
          <w:color w:val="auto"/>
          <w:sz w:val="24"/>
          <w:szCs w:val="24"/>
        </w:rPr>
        <w:t>In March 2015</w:t>
      </w:r>
      <w:r w:rsidR="002F4C1C">
        <w:rPr>
          <w:color w:val="auto"/>
          <w:sz w:val="24"/>
          <w:szCs w:val="24"/>
        </w:rPr>
        <w:t>,</w:t>
      </w:r>
      <w:r w:rsidRPr="00346CE2">
        <w:rPr>
          <w:color w:val="auto"/>
          <w:sz w:val="24"/>
          <w:szCs w:val="24"/>
        </w:rPr>
        <w:t xml:space="preserve"> the PJC commented that the expansion of visa cancelation powers limits the right to liberty.</w:t>
      </w:r>
      <w:r w:rsidRPr="00346CE2">
        <w:rPr>
          <w:rStyle w:val="EndnoteReference"/>
          <w:color w:val="auto"/>
          <w:szCs w:val="24"/>
        </w:rPr>
        <w:endnoteReference w:id="99"/>
      </w:r>
      <w:r w:rsidRPr="00346CE2">
        <w:rPr>
          <w:color w:val="auto"/>
          <w:sz w:val="24"/>
          <w:szCs w:val="24"/>
        </w:rPr>
        <w:t xml:space="preserve"> The PJC commented that it will seek advice from the Minister for Immigration and Border Protection as to whether the proposed measures are aimed at achieving a legitimate objective, are rational, and are reasonable and proportionate.</w:t>
      </w:r>
      <w:r w:rsidRPr="00346CE2">
        <w:rPr>
          <w:rStyle w:val="EndnoteReference"/>
          <w:color w:val="auto"/>
          <w:szCs w:val="24"/>
        </w:rPr>
        <w:endnoteReference w:id="100"/>
      </w:r>
    </w:p>
    <w:p w14:paraId="0752734D" w14:textId="77777777" w:rsidR="00442634" w:rsidRPr="00346CE2" w:rsidRDefault="00442634" w:rsidP="00354AA1">
      <w:pPr>
        <w:pStyle w:val="Heading3"/>
        <w:jc w:val="both"/>
      </w:pPr>
      <w:bookmarkStart w:id="54" w:name="_Toc430702066"/>
      <w:r w:rsidRPr="00346CE2">
        <w:t>Migration and Maritime Powers Legislation Amendment (Resolving the Asylum Legacy Caseload) Bill 2014</w:t>
      </w:r>
      <w:bookmarkEnd w:id="51"/>
      <w:r w:rsidRPr="00346CE2">
        <w:t xml:space="preserve"> (Cth)</w:t>
      </w:r>
      <w:bookmarkEnd w:id="54"/>
    </w:p>
    <w:p w14:paraId="011DF8EA" w14:textId="352EFCB5" w:rsidR="00442634" w:rsidRDefault="00442634" w:rsidP="00354AA1">
      <w:pPr>
        <w:jc w:val="both"/>
      </w:pPr>
      <w:r>
        <w:t xml:space="preserve">The </w:t>
      </w:r>
      <w:r w:rsidRPr="00E2560D">
        <w:t>Migration and Maritime Powers Legislation Amendment (Resolving the Asylum Legacy Caseload) Bill 2014 (Cth)</w:t>
      </w:r>
      <w:r>
        <w:t xml:space="preserve"> </w:t>
      </w:r>
      <w:r w:rsidRPr="00346CE2">
        <w:t xml:space="preserve">was sponsored by </w:t>
      </w:r>
      <w:r w:rsidRPr="00BB492C">
        <w:t xml:space="preserve">the </w:t>
      </w:r>
      <w:r w:rsidR="002F4C1C">
        <w:t>Australian Gov</w:t>
      </w:r>
      <w:r w:rsidRPr="00BB492C">
        <w:t>ernment’s immigration and border protection portfolio</w:t>
      </w:r>
      <w:r w:rsidRPr="00346CE2">
        <w:t xml:space="preserve"> and introduced </w:t>
      </w:r>
      <w:r>
        <w:t>to the House of Representatives on 25 September 2014.</w:t>
      </w:r>
      <w:r>
        <w:rPr>
          <w:rStyle w:val="EndnoteReference"/>
        </w:rPr>
        <w:endnoteReference w:id="101"/>
      </w:r>
      <w:r>
        <w:t xml:space="preserve"> The Bill proposed to, among other things, designate children born to parents who arrived by sea after 13 August 2012 as ‘unauthorised maritime arrivals’</w:t>
      </w:r>
      <w:r w:rsidR="002028CE">
        <w:t xml:space="preserve"> (UMAs)</w:t>
      </w:r>
      <w:r>
        <w:t>.</w:t>
      </w:r>
      <w:r>
        <w:rPr>
          <w:rStyle w:val="EndnoteReference"/>
        </w:rPr>
        <w:endnoteReference w:id="102"/>
      </w:r>
    </w:p>
    <w:p w14:paraId="75E2D55D" w14:textId="4FB1E0B9" w:rsidR="00442634" w:rsidRDefault="00442634" w:rsidP="00354AA1">
      <w:pPr>
        <w:jc w:val="both"/>
      </w:pPr>
      <w:r>
        <w:t>On 25 September 2014</w:t>
      </w:r>
      <w:r w:rsidR="002F4C1C">
        <w:t>,</w:t>
      </w:r>
      <w:r>
        <w:t xml:space="preserve"> the Senate referred the Bill to the Senate Legal and Constitutional Affairs Legislation Committee for inquiry and report.</w:t>
      </w:r>
      <w:r>
        <w:rPr>
          <w:rStyle w:val="EndnoteReference"/>
        </w:rPr>
        <w:endnoteReference w:id="103"/>
      </w:r>
      <w:r>
        <w:t xml:space="preserve"> In its submission to the Senate inquiry, the Australian Human Rights Commission recommended that the Bill not be passed</w:t>
      </w:r>
      <w:r>
        <w:rPr>
          <w:rStyle w:val="EndnoteReference"/>
        </w:rPr>
        <w:endnoteReference w:id="104"/>
      </w:r>
      <w:r>
        <w:t xml:space="preserve"> and expressed concern that measures contained in the Bill would require children born in Australia to asylum seeker parents, who arrive by boat, to be detained and transferred to Nauru.</w:t>
      </w:r>
      <w:r>
        <w:rPr>
          <w:rStyle w:val="EndnoteReference"/>
        </w:rPr>
        <w:endnoteReference w:id="105"/>
      </w:r>
      <w:r>
        <w:t xml:space="preserve"> </w:t>
      </w:r>
    </w:p>
    <w:p w14:paraId="1A203F02" w14:textId="77777777" w:rsidR="00442634" w:rsidRDefault="00442634" w:rsidP="00354AA1">
      <w:pPr>
        <w:jc w:val="both"/>
      </w:pPr>
      <w:r>
        <w:t>The final report of the Senate inquiry was released on 24 November 2014 and recommended that the Bill be passed, that the operation of the Bill be reviewed in three years and that the birth registration process be completed before any child born in Australia is removed to a regional processing country.</w:t>
      </w:r>
      <w:r>
        <w:rPr>
          <w:rStyle w:val="EndnoteReference"/>
        </w:rPr>
        <w:endnoteReference w:id="106"/>
      </w:r>
    </w:p>
    <w:p w14:paraId="621DF63B" w14:textId="4EA8419B" w:rsidR="00442634" w:rsidRDefault="00442634" w:rsidP="00354AA1">
      <w:pPr>
        <w:jc w:val="both"/>
      </w:pPr>
      <w:r>
        <w:t>A dissenting report was provided by the Australian Labor Party</w:t>
      </w:r>
      <w:r>
        <w:rPr>
          <w:rStyle w:val="EndnoteReference"/>
        </w:rPr>
        <w:endnoteReference w:id="107"/>
      </w:r>
      <w:r>
        <w:t xml:space="preserve"> and the Australian Greens,</w:t>
      </w:r>
      <w:r>
        <w:rPr>
          <w:rStyle w:val="EndnoteReference"/>
        </w:rPr>
        <w:endnoteReference w:id="108"/>
      </w:r>
      <w:r>
        <w:t xml:space="preserve"> with the Australian Greens commenting on how the measures contain</w:t>
      </w:r>
      <w:r w:rsidR="0079295B">
        <w:t>ed in the Bill would affect new</w:t>
      </w:r>
      <w:r>
        <w:t>born babies:</w:t>
      </w:r>
    </w:p>
    <w:p w14:paraId="327C32B7" w14:textId="77777777" w:rsidR="00442634" w:rsidRDefault="00442634" w:rsidP="00354AA1">
      <w:pPr>
        <w:ind w:left="720"/>
        <w:jc w:val="both"/>
      </w:pPr>
      <w:r>
        <w:rPr>
          <w:sz w:val="22"/>
          <w:szCs w:val="22"/>
        </w:rPr>
        <w:t>With retrospective effect, the Bill would also classify babies born in Australia to asylum seeker parents as ‘Unauthorised Maritime Arrivals (UMAs)’. These children were born in Australian hospitals, yet the Bill seeks to classify them as if they arrived by boat.</w:t>
      </w:r>
      <w:r>
        <w:rPr>
          <w:rStyle w:val="EndnoteReference"/>
        </w:rPr>
        <w:endnoteReference w:id="109"/>
      </w:r>
    </w:p>
    <w:p w14:paraId="61B264EE" w14:textId="7607052D" w:rsidR="00442634" w:rsidRDefault="00442634" w:rsidP="00354AA1">
      <w:pPr>
        <w:jc w:val="both"/>
      </w:pPr>
      <w:r>
        <w:t>In October 2014</w:t>
      </w:r>
      <w:r w:rsidR="002F4C1C">
        <w:t>,</w:t>
      </w:r>
      <w:r>
        <w:t xml:space="preserve"> the PJC commented that the designation of a child as a UMA potentially limits the obligation to consider the best interests of the child as a primary consideration.</w:t>
      </w:r>
      <w:r>
        <w:rPr>
          <w:rStyle w:val="EndnoteReference"/>
        </w:rPr>
        <w:endnoteReference w:id="110"/>
      </w:r>
      <w:r>
        <w:t xml:space="preserve"> </w:t>
      </w:r>
    </w:p>
    <w:p w14:paraId="13D6DF1F" w14:textId="77777777" w:rsidR="00442634" w:rsidRDefault="00442634" w:rsidP="00354AA1">
      <w:pPr>
        <w:jc w:val="both"/>
      </w:pPr>
      <w:r>
        <w:t>The PJC indicated that it would seek advice from the Minister for Immigration and Border Protection as to whether the proposed measures are aimed at achieving a legitimate objective, are rational, and are reasonable and proportionate.</w:t>
      </w:r>
      <w:r>
        <w:rPr>
          <w:rStyle w:val="EndnoteReference"/>
        </w:rPr>
        <w:endnoteReference w:id="111"/>
      </w:r>
    </w:p>
    <w:p w14:paraId="353A67E0" w14:textId="77777777" w:rsidR="00442634" w:rsidRDefault="00442634" w:rsidP="00354AA1">
      <w:pPr>
        <w:jc w:val="both"/>
      </w:pPr>
      <w:r>
        <w:t>The Bill passed both Houses of Parliament on 5 December 2014.</w:t>
      </w:r>
      <w:r>
        <w:rPr>
          <w:rStyle w:val="EndnoteReference"/>
        </w:rPr>
        <w:endnoteReference w:id="112"/>
      </w:r>
    </w:p>
    <w:p w14:paraId="1CAFDE62" w14:textId="77777777" w:rsidR="00442634" w:rsidRPr="00442634" w:rsidRDefault="00442634" w:rsidP="00354AA1">
      <w:pPr>
        <w:pStyle w:val="Heading3"/>
        <w:jc w:val="both"/>
      </w:pPr>
      <w:bookmarkStart w:id="55" w:name="_Toc430702067"/>
      <w:r w:rsidRPr="00442634">
        <w:lastRenderedPageBreak/>
        <w:t>Australian Citizenship and Other Legislation Amendment Bill 2014</w:t>
      </w:r>
      <w:bookmarkEnd w:id="52"/>
      <w:r w:rsidRPr="00442634">
        <w:t xml:space="preserve"> (Cth)</w:t>
      </w:r>
      <w:bookmarkEnd w:id="55"/>
    </w:p>
    <w:p w14:paraId="21F31F8F" w14:textId="60A7798A" w:rsidR="00442634" w:rsidRDefault="00442634" w:rsidP="00354AA1">
      <w:pPr>
        <w:jc w:val="both"/>
      </w:pPr>
      <w:r>
        <w:t xml:space="preserve">The </w:t>
      </w:r>
      <w:r w:rsidRPr="00080F0B">
        <w:t xml:space="preserve">Australian Citizenship and </w:t>
      </w:r>
      <w:r>
        <w:t>O</w:t>
      </w:r>
      <w:r w:rsidRPr="00080F0B">
        <w:t>ther Legislation Amendment Bill 2014 (Cth)</w:t>
      </w:r>
      <w:r>
        <w:t xml:space="preserve"> was sponsored by the </w:t>
      </w:r>
      <w:r w:rsidR="002028CE">
        <w:t>Australian G</w:t>
      </w:r>
      <w:r w:rsidRPr="00BB492C">
        <w:t>overnment’s immigration and border protection portfolio</w:t>
      </w:r>
      <w:r>
        <w:t xml:space="preserve"> and introduced to the House of Representatives on 23 October 2014.</w:t>
      </w:r>
      <w:r>
        <w:rPr>
          <w:rStyle w:val="EndnoteReference"/>
        </w:rPr>
        <w:endnoteReference w:id="113"/>
      </w:r>
      <w:r>
        <w:t xml:space="preserve"> The Bill proposed, among other things, to give the Minister for Immigration and Border Protection a discretionary power to revoke a person’s citizenship, including the citizenship of children, up to 10 years after citizenship was first granted.</w:t>
      </w:r>
      <w:r>
        <w:rPr>
          <w:rStyle w:val="EndnoteReference"/>
        </w:rPr>
        <w:endnoteReference w:id="114"/>
      </w:r>
      <w:r>
        <w:t xml:space="preserve"> </w:t>
      </w:r>
    </w:p>
    <w:p w14:paraId="070E6F25" w14:textId="41A45274" w:rsidR="00442634" w:rsidRDefault="00442634" w:rsidP="00354AA1">
      <w:pPr>
        <w:jc w:val="both"/>
      </w:pPr>
      <w:r>
        <w:t xml:space="preserve">To revoke citizenship, the </w:t>
      </w:r>
      <w:r w:rsidR="002028CE">
        <w:t>M</w:t>
      </w:r>
      <w:r>
        <w:t>inister must be ‘satisfied’ that the person became an Australian citizen as a result of fraud or misrepresentation by themselves or a third party.</w:t>
      </w:r>
      <w:r>
        <w:rPr>
          <w:rStyle w:val="EndnoteReference"/>
        </w:rPr>
        <w:endnoteReference w:id="115"/>
      </w:r>
      <w:r>
        <w:t xml:space="preserve"> </w:t>
      </w:r>
    </w:p>
    <w:p w14:paraId="4FCA88C6" w14:textId="77777777" w:rsidR="00442634" w:rsidRDefault="00442634" w:rsidP="00354AA1">
      <w:pPr>
        <w:jc w:val="both"/>
      </w:pPr>
      <w:r>
        <w:t>The Bill proposed no requirement that the allegations of fraud or misrepresentation in relation to the citizenship application be proven in court or that a person be convicted.</w:t>
      </w:r>
      <w:r>
        <w:rPr>
          <w:rStyle w:val="EndnoteReference"/>
        </w:rPr>
        <w:endnoteReference w:id="116"/>
      </w:r>
    </w:p>
    <w:p w14:paraId="27EE05D3" w14:textId="24A67194" w:rsidR="00442634" w:rsidRDefault="00442634" w:rsidP="00354AA1">
      <w:pPr>
        <w:jc w:val="both"/>
      </w:pPr>
      <w:r>
        <w:t>On 30 October 2014</w:t>
      </w:r>
      <w:r w:rsidR="002028CE">
        <w:t>,</w:t>
      </w:r>
      <w:r>
        <w:t xml:space="preserve"> the Senate referred the Bill to the Senate Legal and Constitutional Affairs Legislation Committee for inquiry and report.</w:t>
      </w:r>
      <w:r>
        <w:rPr>
          <w:rStyle w:val="EndnoteReference"/>
        </w:rPr>
        <w:endnoteReference w:id="117"/>
      </w:r>
      <w:r>
        <w:t xml:space="preserve"> In its submission to the Senate inquiry, the Australian Human Rights Commission referred to the rights of children to nationality under article 8 of the Convention on the Rights of the Child </w:t>
      </w:r>
      <w:r w:rsidR="002028CE">
        <w:t xml:space="preserve">and </w:t>
      </w:r>
      <w:r>
        <w:t>expressed concern about the potential for children to become stateless.</w:t>
      </w:r>
      <w:r>
        <w:rPr>
          <w:rStyle w:val="EndnoteReference"/>
        </w:rPr>
        <w:endnoteReference w:id="118"/>
      </w:r>
      <w:r>
        <w:t xml:space="preserve"> The Australian Human Rights Commission recommended that the Bill not be passed.</w:t>
      </w:r>
      <w:r>
        <w:rPr>
          <w:rStyle w:val="EndnoteReference"/>
        </w:rPr>
        <w:endnoteReference w:id="119"/>
      </w:r>
    </w:p>
    <w:p w14:paraId="716226B9" w14:textId="1FF23C45" w:rsidR="00442634" w:rsidRDefault="00442634" w:rsidP="00354AA1">
      <w:pPr>
        <w:jc w:val="both"/>
      </w:pPr>
      <w:r>
        <w:t xml:space="preserve">The final report of the Senate inquiry was released on 1 December 2014 and recommended that the Bill clarify the discretionary nature of the </w:t>
      </w:r>
      <w:r w:rsidR="002028CE">
        <w:t>M</w:t>
      </w:r>
      <w:r>
        <w:t>inister’s power to revoke citizenship.</w:t>
      </w:r>
      <w:r>
        <w:rPr>
          <w:rStyle w:val="EndnoteReference"/>
        </w:rPr>
        <w:endnoteReference w:id="120"/>
      </w:r>
      <w:r>
        <w:t xml:space="preserve"> The Senate’s final report commented on whether the Bill could result in making children stateless and suggested that the Bill be clarified:</w:t>
      </w:r>
    </w:p>
    <w:p w14:paraId="5D747473" w14:textId="77777777" w:rsidR="00442634" w:rsidRPr="00807D59" w:rsidRDefault="00442634" w:rsidP="00354AA1">
      <w:pPr>
        <w:ind w:left="720"/>
        <w:jc w:val="both"/>
        <w:rPr>
          <w:sz w:val="22"/>
          <w:szCs w:val="22"/>
        </w:rPr>
      </w:pPr>
      <w:r w:rsidRPr="00807D59">
        <w:rPr>
          <w:sz w:val="22"/>
          <w:szCs w:val="22"/>
        </w:rPr>
        <w:t>The committee notes the perceived inconsistency between the Bill and the [Explanatory Memorandum] on the question of whether the fraud of a third party could be used to revoke a child’s citizenship and thereby makes them stateless. The EM suggests that it could not, but the Bill states that it could. The committee suggests that the Bill should clarify the discretionary nature of the minister’s power.</w:t>
      </w:r>
      <w:r w:rsidRPr="00807D59">
        <w:rPr>
          <w:rStyle w:val="EndnoteReference"/>
          <w:sz w:val="22"/>
          <w:szCs w:val="22"/>
        </w:rPr>
        <w:endnoteReference w:id="121"/>
      </w:r>
    </w:p>
    <w:p w14:paraId="57A459AF" w14:textId="79BDB7DC" w:rsidR="00442634" w:rsidRDefault="00442634" w:rsidP="00354AA1">
      <w:pPr>
        <w:jc w:val="both"/>
      </w:pPr>
      <w:r>
        <w:t>In June 2015 the PJC commented on the measures contained in the Bill to revoke citizenship without a court finding.</w:t>
      </w:r>
      <w:r>
        <w:rPr>
          <w:rStyle w:val="EndnoteReference"/>
        </w:rPr>
        <w:endnoteReference w:id="122"/>
      </w:r>
      <w:r>
        <w:t xml:space="preserve"> The PJC members did not reach consensus about the compatibility of the Bill with the right of children to have their best interests taken as a primary consideration and commented that:</w:t>
      </w:r>
    </w:p>
    <w:p w14:paraId="57117CB8" w14:textId="77777777" w:rsidR="00442634" w:rsidRPr="00807D59" w:rsidRDefault="00442634" w:rsidP="00354AA1">
      <w:pPr>
        <w:ind w:left="720"/>
        <w:jc w:val="both"/>
        <w:rPr>
          <w:sz w:val="22"/>
          <w:szCs w:val="22"/>
        </w:rPr>
      </w:pPr>
      <w:r w:rsidRPr="00807D59">
        <w:rPr>
          <w:sz w:val="22"/>
          <w:szCs w:val="22"/>
        </w:rPr>
        <w:t>Some committee members noted the minister’s advice that the measure does not limit the obligation to consider the best interests of the child as a primary consideration and consider that the expanded power to revoke citizenship for fraud or misrepresentation is justified to ensure the integrity of the citizenship system.</w:t>
      </w:r>
    </w:p>
    <w:p w14:paraId="54EA7922" w14:textId="77777777" w:rsidR="00442634" w:rsidRPr="00346CE2" w:rsidRDefault="00442634" w:rsidP="00354AA1">
      <w:pPr>
        <w:ind w:left="720"/>
        <w:jc w:val="both"/>
      </w:pPr>
      <w:r w:rsidRPr="00807D59">
        <w:rPr>
          <w:sz w:val="22"/>
          <w:szCs w:val="22"/>
        </w:rPr>
        <w:t xml:space="preserve">On the other hand, the previous report concluded that the proposed expanded power to revoke a child’s citizenship without a court finding limits the obligation to consider the best interests of the child. Some committee members considered that the statement of compatibility had not provided sufficient information to justify that limitation for the purposes of international human rights law, and the minister’s response has not provided any further information to justify the limitation. The revocation power is able to be exercised regardless of whether or not there has been consideration of the best interests of the child. Some committee members therefore </w:t>
      </w:r>
      <w:r w:rsidRPr="00807D59">
        <w:rPr>
          <w:sz w:val="22"/>
          <w:szCs w:val="22"/>
        </w:rPr>
        <w:lastRenderedPageBreak/>
        <w:t>consider that the power to revoke a child’s citizenship without a court finding is incompatible with the obligation to consid</w:t>
      </w:r>
      <w:r w:rsidRPr="00346CE2">
        <w:rPr>
          <w:sz w:val="22"/>
          <w:szCs w:val="22"/>
        </w:rPr>
        <w:t>er the best interests of the child.</w:t>
      </w:r>
      <w:r w:rsidRPr="00346CE2">
        <w:rPr>
          <w:rStyle w:val="EndnoteReference"/>
          <w:sz w:val="22"/>
          <w:szCs w:val="22"/>
        </w:rPr>
        <w:endnoteReference w:id="123"/>
      </w:r>
    </w:p>
    <w:p w14:paraId="4235E278" w14:textId="77777777" w:rsidR="00442634" w:rsidRPr="00346CE2" w:rsidRDefault="00442634" w:rsidP="00354AA1">
      <w:pPr>
        <w:jc w:val="both"/>
      </w:pPr>
      <w:r w:rsidRPr="00346CE2">
        <w:t>The Bill is still before the Senate.</w:t>
      </w:r>
      <w:r w:rsidRPr="00346CE2">
        <w:rPr>
          <w:rStyle w:val="EndnoteReference"/>
        </w:rPr>
        <w:endnoteReference w:id="124"/>
      </w:r>
    </w:p>
    <w:p w14:paraId="3FBD3F9A" w14:textId="77777777" w:rsidR="000C7937" w:rsidRPr="00AA3994" w:rsidRDefault="000C7937" w:rsidP="000C7937">
      <w:pPr>
        <w:pStyle w:val="Heading3"/>
        <w:jc w:val="both"/>
      </w:pPr>
      <w:bookmarkStart w:id="56" w:name="_Toc427857450"/>
      <w:bookmarkStart w:id="57" w:name="_Toc430702070"/>
      <w:bookmarkStart w:id="58" w:name="_Toc430702068"/>
      <w:r w:rsidRPr="00AA3994">
        <w:t>Telecommunications Legislation Amendment (Deregulation) Bill</w:t>
      </w:r>
      <w:bookmarkEnd w:id="56"/>
      <w:r w:rsidRPr="00AA3994">
        <w:t xml:space="preserve"> 2014 (Cth)</w:t>
      </w:r>
      <w:bookmarkEnd w:id="57"/>
    </w:p>
    <w:p w14:paraId="5A3DCD43" w14:textId="77777777" w:rsidR="000C7937" w:rsidRDefault="000C7937" w:rsidP="000C7937">
      <w:pPr>
        <w:jc w:val="both"/>
      </w:pPr>
      <w:r>
        <w:t xml:space="preserve">The </w:t>
      </w:r>
      <w:r w:rsidRPr="00D15ED9">
        <w:t xml:space="preserve">Telecommunications Legislation Amendment (Deregulation) Bill </w:t>
      </w:r>
      <w:r>
        <w:t xml:space="preserve">2014 </w:t>
      </w:r>
      <w:r w:rsidRPr="00D15ED9">
        <w:t>(Cth)</w:t>
      </w:r>
      <w:r>
        <w:t xml:space="preserve"> was sponsored by </w:t>
      </w:r>
      <w:r w:rsidRPr="00BB492C">
        <w:t xml:space="preserve">the </w:t>
      </w:r>
      <w:r>
        <w:t>Australian</w:t>
      </w:r>
      <w:r w:rsidRPr="00BB492C">
        <w:t xml:space="preserve"> </w:t>
      </w:r>
      <w:r>
        <w:t>G</w:t>
      </w:r>
      <w:r w:rsidRPr="00BB492C">
        <w:t>overnment’s communications portfolio</w:t>
      </w:r>
      <w:r>
        <w:t xml:space="preserve"> and introduced to the House of Representatives on 22 October 2014.</w:t>
      </w:r>
      <w:r>
        <w:rPr>
          <w:rStyle w:val="EndnoteReference"/>
        </w:rPr>
        <w:endnoteReference w:id="125"/>
      </w:r>
      <w:r>
        <w:t xml:space="preserve"> The Bill proposed to, among other things, deregulate the supply of telephone sex services.</w:t>
      </w:r>
      <w:r>
        <w:rPr>
          <w:rStyle w:val="EndnoteReference"/>
        </w:rPr>
        <w:endnoteReference w:id="126"/>
      </w:r>
    </w:p>
    <w:p w14:paraId="0FF866C6" w14:textId="77777777" w:rsidR="000C7937" w:rsidRDefault="000C7937" w:rsidP="000C7937">
      <w:pPr>
        <w:jc w:val="both"/>
      </w:pPr>
      <w:r>
        <w:t>In November 2014, the PJC commented that telephone sex services were initially regulated to address community concerns that they were too easily accessed by children, and that deregulation may expose children to a risk of harm.</w:t>
      </w:r>
      <w:r>
        <w:rPr>
          <w:rStyle w:val="EndnoteReference"/>
        </w:rPr>
        <w:endnoteReference w:id="127"/>
      </w:r>
    </w:p>
    <w:p w14:paraId="478B6ED4" w14:textId="77777777" w:rsidR="000C7937" w:rsidRPr="00807D59" w:rsidRDefault="000C7937" w:rsidP="000C7937">
      <w:pPr>
        <w:jc w:val="both"/>
        <w:rPr>
          <w:b/>
        </w:rPr>
      </w:pPr>
      <w:r>
        <w:t>The Bill passed both Houses of Parliament on 25 March 2015.</w:t>
      </w:r>
      <w:r>
        <w:rPr>
          <w:rStyle w:val="EndnoteReference"/>
        </w:rPr>
        <w:endnoteReference w:id="128"/>
      </w:r>
    </w:p>
    <w:p w14:paraId="4B279DFF" w14:textId="77777777" w:rsidR="000C7937" w:rsidRDefault="000C7937" w:rsidP="000C7937">
      <w:pPr>
        <w:jc w:val="both"/>
      </w:pPr>
      <w:r>
        <w:t>In June 2015, the PJC later commented that the regulation of telephone sex services provided only certain limited consumer protections and did not contain provisions specifically designed to protect children from harm.</w:t>
      </w:r>
      <w:r>
        <w:rPr>
          <w:rStyle w:val="EndnoteReference"/>
        </w:rPr>
        <w:endnoteReference w:id="129"/>
      </w:r>
      <w:r>
        <w:t xml:space="preserve"> The PJC concluded that the Bill would be compatible with the rights of children.</w:t>
      </w:r>
      <w:r>
        <w:rPr>
          <w:rStyle w:val="EndnoteReference"/>
        </w:rPr>
        <w:endnoteReference w:id="130"/>
      </w:r>
    </w:p>
    <w:p w14:paraId="283DFC9F" w14:textId="77777777" w:rsidR="00442634" w:rsidRPr="00442634" w:rsidRDefault="00442634" w:rsidP="00354AA1">
      <w:pPr>
        <w:pStyle w:val="Heading3"/>
        <w:jc w:val="both"/>
      </w:pPr>
      <w:r w:rsidRPr="00442634">
        <w:t>Migration Amendment (Strengthening Biometrics Integrity) Bill 2015</w:t>
      </w:r>
      <w:bookmarkEnd w:id="53"/>
      <w:r w:rsidRPr="00442634">
        <w:t xml:space="preserve"> (Cth)</w:t>
      </w:r>
      <w:bookmarkEnd w:id="58"/>
    </w:p>
    <w:p w14:paraId="6D11303B" w14:textId="03C37012" w:rsidR="00442634" w:rsidRDefault="00442634" w:rsidP="00354AA1">
      <w:pPr>
        <w:jc w:val="both"/>
      </w:pPr>
      <w:r>
        <w:t xml:space="preserve">The </w:t>
      </w:r>
      <w:r w:rsidRPr="00C60A54">
        <w:t>Migration Amendment (Strengthening Biometrics Integrity) Bill 2015 (Cth)</w:t>
      </w:r>
      <w:r>
        <w:t xml:space="preserve"> was sponsored by the </w:t>
      </w:r>
      <w:r w:rsidR="00C1617E">
        <w:t>Australian Government’s</w:t>
      </w:r>
      <w:r w:rsidRPr="00BB492C">
        <w:t xml:space="preserve"> immigration and border protection portfolio</w:t>
      </w:r>
      <w:r>
        <w:t xml:space="preserve"> and introduced to the House of Representatives on 5 March 2015.</w:t>
      </w:r>
      <w:r>
        <w:rPr>
          <w:rStyle w:val="EndnoteReference"/>
        </w:rPr>
        <w:endnoteReference w:id="131"/>
      </w:r>
      <w:r>
        <w:t xml:space="preserve"> The Bill proposed, among other things, to remove existing restrictions on the collection of biometric data from minors and allow collection from children under the age of 15 without the presence or consent of a parent, guardian or independent person.</w:t>
      </w:r>
      <w:r>
        <w:rPr>
          <w:rStyle w:val="EndnoteReference"/>
        </w:rPr>
        <w:endnoteReference w:id="132"/>
      </w:r>
      <w:r>
        <w:t xml:space="preserve"> </w:t>
      </w:r>
    </w:p>
    <w:p w14:paraId="47744AC8" w14:textId="77777777" w:rsidR="00442634" w:rsidRDefault="00442634" w:rsidP="00354AA1">
      <w:pPr>
        <w:jc w:val="both"/>
      </w:pPr>
      <w:r>
        <w:t>Biometric data includes fingerprints, handprints, measurements of height and weight, photographs or images of a person’s face and shoulders, an audio or visual recording of a person, an iris scan, a person’s signature or other identifiers specified by the associated regulation.</w:t>
      </w:r>
      <w:r>
        <w:rPr>
          <w:rStyle w:val="EndnoteReference"/>
        </w:rPr>
        <w:endnoteReference w:id="133"/>
      </w:r>
    </w:p>
    <w:p w14:paraId="5365C487" w14:textId="472D2975" w:rsidR="00442634" w:rsidRDefault="00442634" w:rsidP="00354AA1">
      <w:pPr>
        <w:jc w:val="both"/>
      </w:pPr>
      <w:r>
        <w:t>On 5 March 2015</w:t>
      </w:r>
      <w:r w:rsidR="00C1617E">
        <w:t>,</w:t>
      </w:r>
      <w:r>
        <w:t xml:space="preserve"> the Senate referred the Bill to the Senate Legal and Constitutional Affairs Legislation Committee for inquiry and report.</w:t>
      </w:r>
      <w:r>
        <w:rPr>
          <w:rStyle w:val="EndnoteReference"/>
        </w:rPr>
        <w:endnoteReference w:id="134"/>
      </w:r>
      <w:r>
        <w:t xml:space="preserve"> The final report of the Senate inquiry was released on 5 June 2015 and recommended that the Bill be passed.</w:t>
      </w:r>
      <w:r>
        <w:rPr>
          <w:rStyle w:val="EndnoteReference"/>
        </w:rPr>
        <w:endnoteReference w:id="135"/>
      </w:r>
      <w:r>
        <w:t xml:space="preserve"> The Senate’s final report commented that departmental policies could provide adequate safeguards in relation to collecting biometric data from children under the age of 15:</w:t>
      </w:r>
    </w:p>
    <w:p w14:paraId="02316223" w14:textId="77777777" w:rsidR="00442634" w:rsidRPr="00807D59" w:rsidRDefault="00442634" w:rsidP="00354AA1">
      <w:pPr>
        <w:ind w:left="720"/>
        <w:jc w:val="both"/>
        <w:rPr>
          <w:sz w:val="22"/>
          <w:szCs w:val="22"/>
        </w:rPr>
      </w:pPr>
      <w:r w:rsidRPr="00807D59">
        <w:rPr>
          <w:sz w:val="22"/>
          <w:szCs w:val="22"/>
        </w:rPr>
        <w:t>The committee considers that the measures in the Bill designed to enhance the department’s ability to collect biometric information from minors are warranted, given ongoing concerns in relation to human trafficking and the emerging threat of young people seeking to become involved in terrorist activities overseas.</w:t>
      </w:r>
    </w:p>
    <w:p w14:paraId="3B8E8C31" w14:textId="77777777" w:rsidR="00442634" w:rsidRPr="00807D59" w:rsidRDefault="00442634" w:rsidP="00354AA1">
      <w:pPr>
        <w:ind w:left="720"/>
        <w:jc w:val="both"/>
        <w:rPr>
          <w:sz w:val="22"/>
          <w:szCs w:val="22"/>
        </w:rPr>
      </w:pPr>
      <w:r w:rsidRPr="00807D59">
        <w:rPr>
          <w:sz w:val="22"/>
          <w:szCs w:val="22"/>
        </w:rPr>
        <w:lastRenderedPageBreak/>
        <w:t>The committee also consider</w:t>
      </w:r>
      <w:r>
        <w:rPr>
          <w:sz w:val="22"/>
          <w:szCs w:val="22"/>
        </w:rPr>
        <w:t>s</w:t>
      </w:r>
      <w:r w:rsidRPr="00807D59">
        <w:rPr>
          <w:sz w:val="22"/>
          <w:szCs w:val="22"/>
        </w:rPr>
        <w:t xml:space="preserve"> that the collection of personal identifiers from minors must be consistent with recognised rights of children and should not separate children from a parent or guardian unnecessarily; these issues should be adequately addressed in the department’s policies and guidelines.</w:t>
      </w:r>
      <w:r w:rsidRPr="00807D59">
        <w:rPr>
          <w:rStyle w:val="EndnoteReference"/>
          <w:sz w:val="22"/>
          <w:szCs w:val="22"/>
        </w:rPr>
        <w:endnoteReference w:id="136"/>
      </w:r>
    </w:p>
    <w:p w14:paraId="66A50579" w14:textId="77777777" w:rsidR="00442634" w:rsidRDefault="00442634" w:rsidP="00354AA1">
      <w:pPr>
        <w:jc w:val="both"/>
      </w:pPr>
      <w:r>
        <w:t xml:space="preserve">A dissenting report was provided by the Labor Senators, which commented that safeguards for children must be provided in law, not departmental policy: </w:t>
      </w:r>
    </w:p>
    <w:p w14:paraId="63CFE359" w14:textId="77777777" w:rsidR="00442634" w:rsidRPr="00807D59" w:rsidRDefault="00442634" w:rsidP="00354AA1">
      <w:pPr>
        <w:ind w:left="720"/>
        <w:jc w:val="both"/>
        <w:rPr>
          <w:sz w:val="22"/>
          <w:szCs w:val="22"/>
        </w:rPr>
      </w:pPr>
      <w:r>
        <w:rPr>
          <w:sz w:val="22"/>
          <w:szCs w:val="22"/>
        </w:rPr>
        <w:t>Whilst the majority report did note that the collection of personal identifiers from minors must be consistent with recognised rights of children, and noted that such issues would be addressed in the department’s policies and guidelines, Labor Senators believe that only legislative measures will adequately provide the required safeguards.</w:t>
      </w:r>
      <w:r>
        <w:rPr>
          <w:rStyle w:val="EndnoteReference"/>
          <w:szCs w:val="22"/>
        </w:rPr>
        <w:endnoteReference w:id="137"/>
      </w:r>
    </w:p>
    <w:p w14:paraId="3951B8DB" w14:textId="2A9C59C7" w:rsidR="00442634" w:rsidRDefault="00442634" w:rsidP="00354AA1">
      <w:pPr>
        <w:jc w:val="both"/>
      </w:pPr>
      <w:r>
        <w:t>In August 2015</w:t>
      </w:r>
      <w:r w:rsidR="00C1617E">
        <w:t>,</w:t>
      </w:r>
      <w:r>
        <w:t xml:space="preserve"> the PJC commented that the measures contained in the Bill would limit the rights of children and may be incompatible with human rights:</w:t>
      </w:r>
    </w:p>
    <w:p w14:paraId="0F2D7623" w14:textId="77777777" w:rsidR="00442634" w:rsidRDefault="00442634" w:rsidP="00354AA1">
      <w:pPr>
        <w:ind w:left="720"/>
        <w:jc w:val="both"/>
      </w:pPr>
      <w:r>
        <w:rPr>
          <w:sz w:val="22"/>
          <w:szCs w:val="22"/>
        </w:rPr>
        <w:t>The committee considers that removing the current restrictions on the collection of personal identifiers on minors engages and limits the obligation to consider the best interests of the child as a primary consideration. As noted above, the minister’s response has not sufficiently justified this limitation for the purposes of international human rights law. The committee therefore considers that the power to collect personal identifiers from minors without the presence of their parent or guardian may be incompatible with the obligation to consider the best interests of the child.</w:t>
      </w:r>
      <w:r>
        <w:rPr>
          <w:rStyle w:val="EndnoteReference"/>
          <w:szCs w:val="22"/>
        </w:rPr>
        <w:endnoteReference w:id="138"/>
      </w:r>
      <w:r>
        <w:t xml:space="preserve"> </w:t>
      </w:r>
    </w:p>
    <w:p w14:paraId="5E19E89E" w14:textId="77777777" w:rsidR="00442634" w:rsidRDefault="00442634" w:rsidP="00354AA1">
      <w:pPr>
        <w:jc w:val="both"/>
      </w:pPr>
      <w:r>
        <w:t>The PJC also commented on the need for child rights safeguards to be included in legislation, not policy:</w:t>
      </w:r>
    </w:p>
    <w:p w14:paraId="22FDCF51" w14:textId="77777777" w:rsidR="00442634" w:rsidRDefault="00442634" w:rsidP="00354AA1">
      <w:pPr>
        <w:ind w:left="720"/>
        <w:jc w:val="both"/>
      </w:pPr>
      <w:r>
        <w:rPr>
          <w:sz w:val="22"/>
          <w:szCs w:val="22"/>
        </w:rPr>
        <w:t>The committee notes that the minister’s response explains that the department will implement additional policy guidelines to guide officers on how the new power to collect personal identifiers is to be exercised. The committee welcomes such guidance. However, international human rights law generally requires that appropriate safeguards be included in legislation. The committee remains concerned that the Bill gives a broad discretionary power to collect personal identifiers from minors with few statutory safeguards.</w:t>
      </w:r>
      <w:r>
        <w:rPr>
          <w:rStyle w:val="EndnoteReference"/>
          <w:szCs w:val="22"/>
        </w:rPr>
        <w:endnoteReference w:id="139"/>
      </w:r>
    </w:p>
    <w:p w14:paraId="7E0708B3" w14:textId="77777777" w:rsidR="00442634" w:rsidRPr="00C34339" w:rsidRDefault="00442634" w:rsidP="00354AA1">
      <w:pPr>
        <w:jc w:val="both"/>
      </w:pPr>
      <w:r>
        <w:t>The Bill passed both Houses of Parliament on 13 August 2015.</w:t>
      </w:r>
      <w:r>
        <w:rPr>
          <w:rStyle w:val="EndnoteReference"/>
        </w:rPr>
        <w:endnoteReference w:id="140"/>
      </w:r>
    </w:p>
    <w:p w14:paraId="6EE5B6A8" w14:textId="77777777" w:rsidR="00442634" w:rsidRPr="00AA3994" w:rsidRDefault="00442634" w:rsidP="00354AA1">
      <w:pPr>
        <w:pStyle w:val="Heading2"/>
        <w:jc w:val="both"/>
      </w:pPr>
      <w:bookmarkStart w:id="59" w:name="_Toc427857449"/>
      <w:bookmarkStart w:id="60" w:name="_Toc430702069"/>
      <w:bookmarkStart w:id="61" w:name="_Toc432577310"/>
      <w:r w:rsidRPr="00AA3994">
        <w:t>Bills initially considered to have had a negative impact on children’s rights but later considered to be compatible</w:t>
      </w:r>
      <w:bookmarkEnd w:id="59"/>
      <w:bookmarkEnd w:id="60"/>
      <w:bookmarkEnd w:id="61"/>
    </w:p>
    <w:p w14:paraId="7D9D4024" w14:textId="390D1376" w:rsidR="00442634" w:rsidRPr="00ED158E" w:rsidRDefault="00442634" w:rsidP="00354AA1">
      <w:pPr>
        <w:jc w:val="both"/>
      </w:pPr>
      <w:r>
        <w:t xml:space="preserve">The PJC initially considered </w:t>
      </w:r>
      <w:r w:rsidR="00E94B0F">
        <w:t xml:space="preserve">that </w:t>
      </w:r>
      <w:r>
        <w:t xml:space="preserve">two Bills introduced to federal </w:t>
      </w:r>
      <w:r w:rsidR="00C1617E">
        <w:t>P</w:t>
      </w:r>
      <w:r>
        <w:t>arliament during my reporting period would have a negative impact on children’s rights, but later considered that the two Bills would be compatible with children’s rights.</w:t>
      </w:r>
    </w:p>
    <w:p w14:paraId="4A842485" w14:textId="77777777" w:rsidR="00442634" w:rsidRPr="00AA3994" w:rsidRDefault="00442634" w:rsidP="00354AA1">
      <w:pPr>
        <w:pStyle w:val="Heading3"/>
        <w:jc w:val="both"/>
      </w:pPr>
      <w:bookmarkStart w:id="62" w:name="_Toc427850140"/>
      <w:bookmarkStart w:id="63" w:name="_Toc427855313"/>
      <w:bookmarkStart w:id="64" w:name="_Toc427855373"/>
      <w:bookmarkStart w:id="65" w:name="_Toc427855821"/>
      <w:bookmarkStart w:id="66" w:name="_Toc427850144"/>
      <w:bookmarkStart w:id="67" w:name="_Toc427855317"/>
      <w:bookmarkStart w:id="68" w:name="_Toc427855377"/>
      <w:bookmarkStart w:id="69" w:name="_Toc427855825"/>
      <w:bookmarkStart w:id="70" w:name="_Toc427857451"/>
      <w:bookmarkStart w:id="71" w:name="_Toc430702071"/>
      <w:bookmarkEnd w:id="62"/>
      <w:bookmarkEnd w:id="63"/>
      <w:bookmarkEnd w:id="64"/>
      <w:bookmarkEnd w:id="65"/>
      <w:bookmarkEnd w:id="66"/>
      <w:bookmarkEnd w:id="67"/>
      <w:bookmarkEnd w:id="68"/>
      <w:bookmarkEnd w:id="69"/>
      <w:r w:rsidRPr="00AA3994">
        <w:t>Counter-Terrorism Legislation Amendment (Foreign Fighters) Bill 2014</w:t>
      </w:r>
      <w:bookmarkEnd w:id="70"/>
      <w:r w:rsidRPr="00AA3994">
        <w:t xml:space="preserve"> (Cth)</w:t>
      </w:r>
      <w:bookmarkEnd w:id="71"/>
    </w:p>
    <w:p w14:paraId="4A79E7C5" w14:textId="39122AE9" w:rsidR="00442634" w:rsidRDefault="00442634" w:rsidP="00354AA1">
      <w:pPr>
        <w:jc w:val="both"/>
      </w:pPr>
      <w:r>
        <w:t xml:space="preserve">The </w:t>
      </w:r>
      <w:r w:rsidRPr="0051566F">
        <w:t>Counter-Terrorism Legislation Amendment (Foreign Fighters) Bill 2014 (Cth)</w:t>
      </w:r>
      <w:r>
        <w:t xml:space="preserve"> was sponsored by </w:t>
      </w:r>
      <w:r w:rsidRPr="00BB492C">
        <w:t xml:space="preserve">the </w:t>
      </w:r>
      <w:r w:rsidR="00D64DFD">
        <w:t>Australian G</w:t>
      </w:r>
      <w:r w:rsidRPr="00BB492C">
        <w:t>overnment’s Attorney-General’s portfolio</w:t>
      </w:r>
      <w:r>
        <w:t xml:space="preserve"> and introduced to the Senate on 24 September 2014.</w:t>
      </w:r>
      <w:r>
        <w:rPr>
          <w:rStyle w:val="EndnoteReference"/>
        </w:rPr>
        <w:endnoteReference w:id="141"/>
      </w:r>
      <w:r>
        <w:t xml:space="preserve"> The Bill proposed to, among </w:t>
      </w:r>
      <w:r>
        <w:lastRenderedPageBreak/>
        <w:t>other things, provide for the cancellation of a number of social welfare payments for individuals on security grounds.</w:t>
      </w:r>
      <w:r>
        <w:rPr>
          <w:rStyle w:val="EndnoteReference"/>
        </w:rPr>
        <w:endnoteReference w:id="142"/>
      </w:r>
    </w:p>
    <w:p w14:paraId="41BD4828" w14:textId="090509A2" w:rsidR="00442634" w:rsidRDefault="00442634" w:rsidP="00354AA1">
      <w:pPr>
        <w:jc w:val="both"/>
      </w:pPr>
      <w:r>
        <w:t>On 24 September 2014</w:t>
      </w:r>
      <w:r w:rsidR="00D64DFD">
        <w:t>,</w:t>
      </w:r>
      <w:r>
        <w:t xml:space="preserve"> the Attorney-General referred the Bill to the Parliamentary Joint Committee on Intelligence and Security for inquiry and report.</w:t>
      </w:r>
      <w:r>
        <w:rPr>
          <w:rStyle w:val="EndnoteReference"/>
        </w:rPr>
        <w:endnoteReference w:id="143"/>
      </w:r>
      <w:r>
        <w:t xml:space="preserve"> In its submission to the parliamentary inquiry, the Australian Human Rights Commission referred to the right of children to social security under article 26 of the Convention on the Rights of the Child and expressed concern about the potential for children to be affected by the cancellation of welfare payments.</w:t>
      </w:r>
      <w:r>
        <w:rPr>
          <w:rStyle w:val="EndnoteReference"/>
        </w:rPr>
        <w:endnoteReference w:id="144"/>
      </w:r>
      <w:r>
        <w:t xml:space="preserve"> The Australian Human Rights Commission recommended that the discretion to cancel social welfare payments include consideration of the effect of welfare cancellation on all relevant parties, including children.</w:t>
      </w:r>
      <w:r>
        <w:rPr>
          <w:rStyle w:val="EndnoteReference"/>
        </w:rPr>
        <w:endnoteReference w:id="145"/>
      </w:r>
      <w:r>
        <w:t xml:space="preserve"> </w:t>
      </w:r>
    </w:p>
    <w:p w14:paraId="15860D56" w14:textId="77777777" w:rsidR="00442634" w:rsidRDefault="00442634" w:rsidP="00354AA1">
      <w:pPr>
        <w:jc w:val="both"/>
      </w:pPr>
      <w:r>
        <w:t>The final report of the parliamentary inquiry was released on 17 October 2014 and recommended that the Bill be amended to require consideration of the likely effect of the cancellation of welfare payments on any dependents, including children, and what alternative arrangements might apply.</w:t>
      </w:r>
      <w:r>
        <w:rPr>
          <w:rStyle w:val="EndnoteReference"/>
        </w:rPr>
        <w:endnoteReference w:id="146"/>
      </w:r>
    </w:p>
    <w:p w14:paraId="52BA57CF" w14:textId="77777777" w:rsidR="00442634" w:rsidRDefault="00442634" w:rsidP="00354AA1">
      <w:pPr>
        <w:jc w:val="both"/>
      </w:pPr>
      <w:r>
        <w:t>The Bill passed both Houses of Parliament on 30 October 2014</w:t>
      </w:r>
      <w:r>
        <w:rPr>
          <w:rStyle w:val="EndnoteReference"/>
        </w:rPr>
        <w:endnoteReference w:id="147"/>
      </w:r>
      <w:r>
        <w:t xml:space="preserve"> with amendments to require consideration of the likely effects of welfare cancellation on dependents.</w:t>
      </w:r>
      <w:r>
        <w:rPr>
          <w:rStyle w:val="EndnoteReference"/>
        </w:rPr>
        <w:endnoteReference w:id="148"/>
      </w:r>
    </w:p>
    <w:p w14:paraId="51C7898C" w14:textId="364A17C7" w:rsidR="00442634" w:rsidRDefault="00442634" w:rsidP="00354AA1">
      <w:pPr>
        <w:jc w:val="both"/>
      </w:pPr>
      <w:r>
        <w:t>In March 2015</w:t>
      </w:r>
      <w:r w:rsidR="00D64DFD">
        <w:t>,</w:t>
      </w:r>
      <w:r>
        <w:t xml:space="preserve"> the PJC commented that the amendments to the Bill are likely to be compatible with the obligation to consider the best interests of the child.</w:t>
      </w:r>
      <w:r>
        <w:rPr>
          <w:rStyle w:val="EndnoteReference"/>
        </w:rPr>
        <w:endnoteReference w:id="149"/>
      </w:r>
      <w:r>
        <w:t xml:space="preserve"> The PJC included a copy of advice provided by the Attorney-General about the</w:t>
      </w:r>
      <w:r w:rsidR="001B0A2E">
        <w:t xml:space="preserve"> Bill’s</w:t>
      </w:r>
      <w:r>
        <w:t xml:space="preserve"> compatibility with the child’s right to have their best interests taken as a primary consideration:</w:t>
      </w:r>
    </w:p>
    <w:p w14:paraId="6EF4A888" w14:textId="77777777" w:rsidR="00442634" w:rsidRDefault="00442634" w:rsidP="00354AA1">
      <w:pPr>
        <w:ind w:left="720"/>
        <w:jc w:val="both"/>
      </w:pPr>
      <w:r>
        <w:rPr>
          <w:sz w:val="22"/>
          <w:szCs w:val="22"/>
        </w:rPr>
        <w:t>The Committee may wish to note that, on the recommendation of the [Parliamentary Joint Committee on Intelligence and Security], the Bill was amended to include specific factors to which the Attorney-General must have regard when considering whether to issue a Security Notice to cancel an individual’s welfare. The Attorney-General must consider the extent (if any) that any welfare payments of the individual who is the subject of the notice, are being, or may be, used for a purpose that might prejudice the security of Australia or a foreign country, and the likely effect of welfare cancellation on the individual’s dependants. This amendment clarified the circumstances where the power may be exercised. In this way, the amendments to the Bill ensure the rights and interests of the child (where applicable) are appropriately factored into the decision-making process.</w:t>
      </w:r>
      <w:r>
        <w:rPr>
          <w:rStyle w:val="EndnoteReference"/>
          <w:szCs w:val="22"/>
        </w:rPr>
        <w:endnoteReference w:id="150"/>
      </w:r>
    </w:p>
    <w:p w14:paraId="3AF26018" w14:textId="77777777" w:rsidR="00442634" w:rsidRDefault="00442634" w:rsidP="00354AA1">
      <w:pPr>
        <w:pStyle w:val="Heading2"/>
        <w:jc w:val="both"/>
      </w:pPr>
      <w:bookmarkStart w:id="72" w:name="_Toc427857452"/>
      <w:bookmarkStart w:id="73" w:name="_Toc430702072"/>
      <w:bookmarkStart w:id="74" w:name="_Toc432577311"/>
      <w:r>
        <w:t xml:space="preserve">The Commission’s intervention in </w:t>
      </w:r>
      <w:r w:rsidRPr="000E430C">
        <w:t>Bateman &amp; Kavan</w:t>
      </w:r>
      <w:r w:rsidRPr="007B236A">
        <w:t xml:space="preserve"> [2014] FCCA 2521</w:t>
      </w:r>
      <w:bookmarkEnd w:id="72"/>
      <w:bookmarkEnd w:id="73"/>
      <w:bookmarkEnd w:id="74"/>
    </w:p>
    <w:p w14:paraId="7F5D47C4" w14:textId="77777777" w:rsidR="00442634" w:rsidRDefault="00442634" w:rsidP="00354AA1">
      <w:pPr>
        <w:jc w:val="both"/>
      </w:pPr>
      <w:r>
        <w:t>The Australian Human Rights Commission has a function to intervene, with a court’s leave, in proceedings involving issues of discrimination</w:t>
      </w:r>
      <w:r>
        <w:rPr>
          <w:rStyle w:val="EndnoteReference"/>
        </w:rPr>
        <w:endnoteReference w:id="151"/>
      </w:r>
      <w:r>
        <w:t xml:space="preserve"> or human rights.</w:t>
      </w:r>
      <w:r>
        <w:rPr>
          <w:rStyle w:val="EndnoteReference"/>
        </w:rPr>
        <w:endnoteReference w:id="152"/>
      </w:r>
      <w:r>
        <w:t xml:space="preserve"> Guidelines about the Commission’s intervention function and how the Commission will exercise that function are available online.</w:t>
      </w:r>
      <w:r>
        <w:rPr>
          <w:rStyle w:val="EndnoteReference"/>
        </w:rPr>
        <w:endnoteReference w:id="153"/>
      </w:r>
    </w:p>
    <w:p w14:paraId="38971C3F" w14:textId="537EF67F" w:rsidR="00442634" w:rsidRDefault="00442634" w:rsidP="00354AA1">
      <w:pPr>
        <w:jc w:val="both"/>
      </w:pPr>
      <w:r>
        <w:t>On 22 April 2014</w:t>
      </w:r>
      <w:r w:rsidR="001B0A2E">
        <w:t>,</w:t>
      </w:r>
      <w:r>
        <w:t xml:space="preserve"> an order was made by the Federal Circuit Court extending an invitation to the Australian Human Rights Commission to intervene in the case of </w:t>
      </w:r>
      <w:r w:rsidRPr="00807D59">
        <w:rPr>
          <w:i/>
        </w:rPr>
        <w:t>Bateman &amp; Kavan</w:t>
      </w:r>
      <w:r>
        <w:t xml:space="preserve"> [2014] FCCA 2521.</w:t>
      </w:r>
      <w:r>
        <w:rPr>
          <w:rStyle w:val="EndnoteReference"/>
        </w:rPr>
        <w:endnoteReference w:id="154"/>
      </w:r>
      <w:r>
        <w:t xml:space="preserve"> The Commission accepted the invitation and orders were granted with the consent of all parties to join the Commission to the proceedings.</w:t>
      </w:r>
      <w:r>
        <w:rPr>
          <w:rStyle w:val="EndnoteReference"/>
        </w:rPr>
        <w:endnoteReference w:id="155"/>
      </w:r>
    </w:p>
    <w:p w14:paraId="1823620C" w14:textId="77777777" w:rsidR="00442634" w:rsidRDefault="00442634" w:rsidP="00354AA1">
      <w:pPr>
        <w:jc w:val="both"/>
      </w:pPr>
      <w:r>
        <w:lastRenderedPageBreak/>
        <w:t xml:space="preserve">The case dealt with the parentage of a child born as a result of an artificial conception procedure. At issue was whether the biological father of the child was a ‘parent’ for the purposes of paying child support. </w:t>
      </w:r>
    </w:p>
    <w:p w14:paraId="207532F0" w14:textId="77777777" w:rsidR="00442634" w:rsidRDefault="00442634" w:rsidP="00354AA1">
      <w:pPr>
        <w:jc w:val="both"/>
      </w:pPr>
      <w:r>
        <w:t>Previous cases from 1996 suggested that the meaning of ‘parent’ in the child support legislation was narrower than in the family law legislation. If those cases had been followed, the biological father would have been a parent for the purposes of access but not for the purposes of child support.</w:t>
      </w:r>
    </w:p>
    <w:p w14:paraId="4B2FED17" w14:textId="77777777" w:rsidR="00442634" w:rsidRDefault="00442634" w:rsidP="00354AA1">
      <w:pPr>
        <w:jc w:val="both"/>
      </w:pPr>
      <w:r>
        <w:t xml:space="preserve">The Commission’s submission focussed on amendments to the child support legislation since those cases, and the importance of interpreting the amendments in light of human rights principles. </w:t>
      </w:r>
    </w:p>
    <w:p w14:paraId="08A76546" w14:textId="77777777" w:rsidR="00442634" w:rsidRDefault="00442634" w:rsidP="00354AA1">
      <w:pPr>
        <w:jc w:val="both"/>
      </w:pPr>
      <w:r>
        <w:t>The parties settled the matter by consent, agreeing that the biological father was a parent and was liable for child support. Judge Harman delivered reasons for making the consent orders. Judge Harman considered that it was important to deliver written reasons because of the implications for other child support cases.</w:t>
      </w:r>
      <w:r>
        <w:rPr>
          <w:rStyle w:val="EndnoteReference"/>
        </w:rPr>
        <w:endnoteReference w:id="156"/>
      </w:r>
    </w:p>
    <w:p w14:paraId="18E4E0B6" w14:textId="77777777" w:rsidR="00442634" w:rsidRDefault="00442634" w:rsidP="00354AA1">
      <w:pPr>
        <w:jc w:val="both"/>
      </w:pPr>
      <w:r>
        <w:t xml:space="preserve">The Court accepted that there should be consistency in law and its application between the meaning of ‘parent’ in family law legislation and child support legislation. </w:t>
      </w:r>
    </w:p>
    <w:p w14:paraId="1F8D5506" w14:textId="6B64D02C" w:rsidR="00442634" w:rsidRDefault="00442634" w:rsidP="00354AA1">
      <w:pPr>
        <w:jc w:val="both"/>
      </w:pPr>
      <w:r>
        <w:t>Judge Harman’s written reasons reproduce the whole of the Commission’s written submission at paragraph 28. There is then some consideration of the human rights of the child in this particular case, in paragraphs 55-61.</w:t>
      </w:r>
    </w:p>
    <w:p w14:paraId="0C0395C8" w14:textId="77777777" w:rsidR="00442634" w:rsidRDefault="00442634" w:rsidP="00354AA1">
      <w:pPr>
        <w:jc w:val="both"/>
      </w:pPr>
      <w:r>
        <w:t>Judge Harman commented on the value of the Commission’s intervention:</w:t>
      </w:r>
    </w:p>
    <w:p w14:paraId="0095E1E4" w14:textId="77777777" w:rsidR="00442634" w:rsidRPr="00807D59" w:rsidRDefault="00442634" w:rsidP="00354AA1">
      <w:pPr>
        <w:ind w:left="720"/>
        <w:jc w:val="both"/>
        <w:rPr>
          <w:sz w:val="22"/>
          <w:szCs w:val="22"/>
        </w:rPr>
      </w:pPr>
      <w:r w:rsidRPr="00807D59">
        <w:rPr>
          <w:sz w:val="22"/>
          <w:szCs w:val="22"/>
        </w:rPr>
        <w:t>These issues … speak to the rights-based approach which I am urged by the Australian Human Rights Commission to adopt. In this case I accept that such an approach has some real force and application.</w:t>
      </w:r>
    </w:p>
    <w:p w14:paraId="11079F34" w14:textId="77777777" w:rsidR="00442634" w:rsidRPr="00807D59" w:rsidRDefault="00442634" w:rsidP="00354AA1">
      <w:pPr>
        <w:ind w:left="720"/>
        <w:jc w:val="both"/>
        <w:rPr>
          <w:sz w:val="22"/>
          <w:szCs w:val="22"/>
        </w:rPr>
      </w:pPr>
      <w:r w:rsidRPr="00807D59">
        <w:rPr>
          <w:sz w:val="22"/>
          <w:szCs w:val="22"/>
        </w:rPr>
        <w:t>… I am satisfied, as is submitted by the Australian Human Rights Commission, that the changes brought to the child support legislation by section 29 are such that this earlier body of case law can be distinguished.</w:t>
      </w:r>
    </w:p>
    <w:p w14:paraId="6C734A48" w14:textId="77777777" w:rsidR="00442634" w:rsidRDefault="00442634" w:rsidP="00354AA1">
      <w:pPr>
        <w:ind w:left="720"/>
        <w:jc w:val="both"/>
        <w:rPr>
          <w:sz w:val="22"/>
          <w:szCs w:val="22"/>
        </w:rPr>
      </w:pPr>
      <w:r w:rsidRPr="00807D59">
        <w:rPr>
          <w:sz w:val="22"/>
          <w:szCs w:val="22"/>
        </w:rPr>
        <w:t>… [The child] is born of two known individuals who acknowledge that fact. The child has a right to know that and a right to be financially supported by both in accordance with the means of those individuals and in accordance with law.</w:t>
      </w:r>
    </w:p>
    <w:p w14:paraId="1DF5A0EF" w14:textId="77777777" w:rsidR="00442634" w:rsidRPr="00807D59" w:rsidRDefault="00442634" w:rsidP="00354AA1">
      <w:pPr>
        <w:ind w:left="720"/>
        <w:jc w:val="both"/>
        <w:rPr>
          <w:sz w:val="22"/>
          <w:szCs w:val="22"/>
        </w:rPr>
      </w:pPr>
      <w:r w:rsidRPr="00807D59">
        <w:rPr>
          <w:sz w:val="22"/>
          <w:szCs w:val="22"/>
        </w:rPr>
        <w:t>I do not propose to canvass the arguments otherwise raised within the submissions of the Australian Human Rights Commission … save to indicate that they are accepted in their totality.</w:t>
      </w:r>
    </w:p>
    <w:p w14:paraId="732BBAED" w14:textId="77777777" w:rsidR="00442634" w:rsidRDefault="00442634" w:rsidP="00354AA1">
      <w:pPr>
        <w:ind w:left="720"/>
        <w:jc w:val="both"/>
        <w:rPr>
          <w:sz w:val="22"/>
          <w:szCs w:val="22"/>
        </w:rPr>
      </w:pPr>
      <w:r w:rsidRPr="00807D59">
        <w:rPr>
          <w:sz w:val="22"/>
          <w:szCs w:val="22"/>
        </w:rPr>
        <w:t xml:space="preserve">… What is abundantly clear from the various provisions of the </w:t>
      </w:r>
      <w:r w:rsidRPr="00807D59">
        <w:rPr>
          <w:i/>
          <w:sz w:val="22"/>
          <w:szCs w:val="22"/>
        </w:rPr>
        <w:t>International Convention on the Rights of the Child</w:t>
      </w:r>
      <w:r w:rsidRPr="00807D59">
        <w:rPr>
          <w:sz w:val="22"/>
          <w:szCs w:val="22"/>
        </w:rPr>
        <w:t xml:space="preserve"> as are identified in the submissions is that this young child has rights. Indeed, children born into this world, irrespective of how that may have occurred, have equal and universal rights. The child’s rights include the right to know his parentage socially, psychologically, emotionally, medically and financially.</w:t>
      </w:r>
    </w:p>
    <w:p w14:paraId="6FAF0896" w14:textId="77777777" w:rsidR="00442634" w:rsidRPr="004E2583" w:rsidRDefault="00442634" w:rsidP="00354AA1">
      <w:pPr>
        <w:ind w:left="720"/>
        <w:jc w:val="both"/>
      </w:pPr>
      <w:r w:rsidRPr="00807D59">
        <w:rPr>
          <w:sz w:val="22"/>
          <w:szCs w:val="22"/>
        </w:rPr>
        <w:t xml:space="preserve">… There should be no distinction between this child and any other child whose donator of genetic material is clearly known and based upon a distinction drawn purely on the means by which fertilisation of a human egg occurred. The child has a right to know his parentage and, as is indicated by the submissions of the Australian </w:t>
      </w:r>
      <w:r w:rsidRPr="00807D59">
        <w:rPr>
          <w:sz w:val="22"/>
          <w:szCs w:val="22"/>
        </w:rPr>
        <w:lastRenderedPageBreak/>
        <w:t>Human Rights Commission and those of the mother, a right to receive financial support from his parents.</w:t>
      </w:r>
      <w:r>
        <w:rPr>
          <w:rStyle w:val="EndnoteReference"/>
          <w:szCs w:val="22"/>
        </w:rPr>
        <w:endnoteReference w:id="157"/>
      </w:r>
    </w:p>
    <w:p w14:paraId="28E95150" w14:textId="77777777" w:rsidR="00442634" w:rsidRPr="002951BC" w:rsidRDefault="00442634" w:rsidP="00354AA1">
      <w:pPr>
        <w:pStyle w:val="Heading2"/>
        <w:jc w:val="both"/>
      </w:pPr>
      <w:bookmarkStart w:id="75" w:name="_Toc427857453"/>
      <w:bookmarkStart w:id="76" w:name="_Toc430702073"/>
      <w:bookmarkStart w:id="77" w:name="_Toc432577312"/>
      <w:r w:rsidRPr="002951BC">
        <w:t>Conclusion</w:t>
      </w:r>
      <w:bookmarkEnd w:id="75"/>
      <w:bookmarkEnd w:id="76"/>
      <w:bookmarkEnd w:id="77"/>
    </w:p>
    <w:p w14:paraId="19E1366B" w14:textId="77777777" w:rsidR="00442634" w:rsidRDefault="00442634" w:rsidP="00354AA1">
      <w:pPr>
        <w:jc w:val="both"/>
      </w:pPr>
      <w:r>
        <w:t>The PJC has described its scrutiny role as ‘primarily preventative in nature and directed at minimising risks of new legislation giving rise to breaches of human rights in practice’.</w:t>
      </w:r>
      <w:r>
        <w:rPr>
          <w:rStyle w:val="EndnoteReference"/>
        </w:rPr>
        <w:endnoteReference w:id="158"/>
      </w:r>
      <w:r>
        <w:t xml:space="preserve"> The PJC also considers that it has an educative role, including by raising awareness of laws that promote human rights.</w:t>
      </w:r>
      <w:r>
        <w:rPr>
          <w:rStyle w:val="EndnoteReference"/>
        </w:rPr>
        <w:endnoteReference w:id="159"/>
      </w:r>
      <w:r>
        <w:t xml:space="preserve"> </w:t>
      </w:r>
    </w:p>
    <w:p w14:paraId="54144DEF" w14:textId="77777777" w:rsidR="00990761" w:rsidRDefault="00442634" w:rsidP="00354AA1">
      <w:pPr>
        <w:jc w:val="both"/>
        <w:sectPr w:rsidR="00990761" w:rsidSect="00F60D11">
          <w:endnotePr>
            <w:numFmt w:val="decimal"/>
            <w:numRestart w:val="eachSect"/>
          </w:endnotePr>
          <w:pgSz w:w="11906" w:h="16838" w:code="9"/>
          <w:pgMar w:top="1134" w:right="1418" w:bottom="1134" w:left="1418" w:header="709" w:footer="709" w:gutter="0"/>
          <w:cols w:space="708"/>
          <w:docGrid w:linePitch="360"/>
        </w:sectPr>
      </w:pPr>
      <w:r>
        <w:t>My description of the PJC’s consideration of child rights compatibility in this chapter, as well as my description of the Commission’s parliamentary submissions and intervention in the Federal Circuit Court, seeks to advance the</w:t>
      </w:r>
      <w:r w:rsidR="00DF1155">
        <w:t>se</w:t>
      </w:r>
      <w:r>
        <w:t xml:space="preserve"> preventative and educative objectives, specifically as they relate to the human rights of children in Australia.</w:t>
      </w:r>
    </w:p>
    <w:p w14:paraId="19AAF3EE" w14:textId="29FEB2A7" w:rsidR="00AA3994" w:rsidRDefault="00AA3994" w:rsidP="00354AA1">
      <w:pPr>
        <w:pStyle w:val="Heading1"/>
        <w:jc w:val="both"/>
      </w:pPr>
      <w:bookmarkStart w:id="78" w:name="_Toc432577313"/>
      <w:r>
        <w:lastRenderedPageBreak/>
        <w:t>Business and children’s rights</w:t>
      </w:r>
      <w:bookmarkEnd w:id="78"/>
    </w:p>
    <w:p w14:paraId="4E5CA2B0" w14:textId="77777777" w:rsidR="00A07596" w:rsidRPr="00A07596" w:rsidRDefault="0086430A" w:rsidP="00354AA1">
      <w:pPr>
        <w:pStyle w:val="TOC2"/>
        <w:tabs>
          <w:tab w:val="left" w:pos="960"/>
          <w:tab w:val="right" w:pos="9060"/>
        </w:tabs>
        <w:jc w:val="both"/>
        <w:rPr>
          <w:rFonts w:asciiTheme="minorHAnsi" w:eastAsiaTheme="minorEastAsia" w:hAnsiTheme="minorHAnsi" w:cstheme="minorBidi"/>
          <w:noProof/>
          <w:color w:val="000000" w:themeColor="text1"/>
          <w:sz w:val="22"/>
          <w:szCs w:val="22"/>
        </w:rPr>
      </w:pPr>
      <w:hyperlink w:anchor="_Toc430778354" w:history="1">
        <w:r w:rsidR="00A07596" w:rsidRPr="00A07596">
          <w:rPr>
            <w:rStyle w:val="Hyperlink"/>
            <w:noProof/>
            <w:color w:val="000000" w:themeColor="text1"/>
            <w:u w:val="none"/>
          </w:rPr>
          <w:t>3.1</w:t>
        </w:r>
        <w:r w:rsidR="00A07596" w:rsidRPr="00A07596">
          <w:rPr>
            <w:rFonts w:asciiTheme="minorHAnsi" w:eastAsiaTheme="minorEastAsia" w:hAnsiTheme="minorHAnsi" w:cstheme="minorBidi"/>
            <w:noProof/>
            <w:color w:val="000000" w:themeColor="text1"/>
            <w:sz w:val="22"/>
            <w:szCs w:val="22"/>
          </w:rPr>
          <w:tab/>
        </w:r>
        <w:r w:rsidR="00A07596" w:rsidRPr="00A07596">
          <w:rPr>
            <w:rStyle w:val="Hyperlink"/>
            <w:noProof/>
            <w:color w:val="000000" w:themeColor="text1"/>
            <w:u w:val="none"/>
          </w:rPr>
          <w:t>Introduction</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_Toc430778354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42</w:t>
        </w:r>
        <w:r w:rsidR="00A07596" w:rsidRPr="00A07596">
          <w:rPr>
            <w:noProof/>
            <w:webHidden/>
            <w:color w:val="000000" w:themeColor="text1"/>
          </w:rPr>
          <w:fldChar w:fldCharType="end"/>
        </w:r>
      </w:hyperlink>
    </w:p>
    <w:p w14:paraId="52DA20BD"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55" w:history="1">
        <w:r w:rsidR="00A07596" w:rsidRPr="00A07596">
          <w:rPr>
            <w:rStyle w:val="Hyperlink"/>
            <w:noProof/>
            <w:color w:val="000000" w:themeColor="text1"/>
            <w:u w:val="none"/>
          </w:rPr>
          <w:t>3.1.1</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Why is business a child rights issue?</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_Toc430778355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42</w:t>
        </w:r>
        <w:r w:rsidR="00A07596" w:rsidRPr="00A07596">
          <w:rPr>
            <w:noProof/>
            <w:webHidden/>
            <w:color w:val="000000" w:themeColor="text1"/>
          </w:rPr>
          <w:fldChar w:fldCharType="end"/>
        </w:r>
      </w:hyperlink>
    </w:p>
    <w:p w14:paraId="1526D498"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56" w:history="1">
        <w:r w:rsidR="00A07596" w:rsidRPr="00A07596">
          <w:rPr>
            <w:rStyle w:val="Hyperlink"/>
            <w:noProof/>
            <w:color w:val="000000" w:themeColor="text1"/>
            <w:u w:val="none"/>
          </w:rPr>
          <w:t>3.1.2</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Children as consumers</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_Toc430778356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43</w:t>
        </w:r>
        <w:r w:rsidR="00A07596" w:rsidRPr="00A07596">
          <w:rPr>
            <w:noProof/>
            <w:webHidden/>
            <w:color w:val="000000" w:themeColor="text1"/>
          </w:rPr>
          <w:fldChar w:fldCharType="end"/>
        </w:r>
      </w:hyperlink>
    </w:p>
    <w:p w14:paraId="0DB68E35"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57" w:history="1">
        <w:r w:rsidR="00A07596" w:rsidRPr="00A07596">
          <w:rPr>
            <w:rStyle w:val="Hyperlink"/>
            <w:noProof/>
            <w:color w:val="000000" w:themeColor="text1"/>
            <w:u w:val="none"/>
          </w:rPr>
          <w:t>3.1.3</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The impact of the internet</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_Toc430778357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44</w:t>
        </w:r>
        <w:r w:rsidR="00A07596" w:rsidRPr="00A07596">
          <w:rPr>
            <w:noProof/>
            <w:webHidden/>
            <w:color w:val="000000" w:themeColor="text1"/>
          </w:rPr>
          <w:fldChar w:fldCharType="end"/>
        </w:r>
      </w:hyperlink>
    </w:p>
    <w:p w14:paraId="2F7A4991"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58" w:history="1">
        <w:r w:rsidR="00A07596" w:rsidRPr="00A07596">
          <w:rPr>
            <w:rStyle w:val="Hyperlink"/>
            <w:noProof/>
            <w:color w:val="000000" w:themeColor="text1"/>
            <w:u w:val="none"/>
          </w:rPr>
          <w:t>3.1.4</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An identified need for further investigation</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_Toc430778358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45</w:t>
        </w:r>
        <w:r w:rsidR="00A07596" w:rsidRPr="00A07596">
          <w:rPr>
            <w:noProof/>
            <w:webHidden/>
            <w:color w:val="000000" w:themeColor="text1"/>
          </w:rPr>
          <w:fldChar w:fldCharType="end"/>
        </w:r>
      </w:hyperlink>
    </w:p>
    <w:p w14:paraId="01651001"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59" w:history="1">
        <w:r w:rsidR="00A07596" w:rsidRPr="00A07596">
          <w:rPr>
            <w:rStyle w:val="Hyperlink"/>
            <w:noProof/>
            <w:color w:val="000000" w:themeColor="text1"/>
            <w:u w:val="none"/>
          </w:rPr>
          <w:t>3.1.5</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A child rights-based approach</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_Toc430778359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46</w:t>
        </w:r>
        <w:r w:rsidR="00A07596" w:rsidRPr="00A07596">
          <w:rPr>
            <w:noProof/>
            <w:webHidden/>
            <w:color w:val="000000" w:themeColor="text1"/>
          </w:rPr>
          <w:fldChar w:fldCharType="end"/>
        </w:r>
      </w:hyperlink>
    </w:p>
    <w:p w14:paraId="1D239F0D" w14:textId="77777777" w:rsidR="00A07596" w:rsidRPr="00A07596" w:rsidRDefault="0086430A" w:rsidP="00354AA1">
      <w:pPr>
        <w:pStyle w:val="TOC2"/>
        <w:tabs>
          <w:tab w:val="left" w:pos="960"/>
          <w:tab w:val="right" w:pos="9060"/>
        </w:tabs>
        <w:jc w:val="both"/>
        <w:rPr>
          <w:rFonts w:asciiTheme="minorHAnsi" w:eastAsiaTheme="minorEastAsia" w:hAnsiTheme="minorHAnsi" w:cstheme="minorBidi"/>
          <w:noProof/>
          <w:color w:val="000000" w:themeColor="text1"/>
          <w:sz w:val="22"/>
          <w:szCs w:val="22"/>
        </w:rPr>
      </w:pPr>
      <w:hyperlink w:anchor="_Toc430778360" w:history="1">
        <w:r w:rsidR="00A07596" w:rsidRPr="00A07596">
          <w:rPr>
            <w:rStyle w:val="Hyperlink"/>
            <w:noProof/>
            <w:color w:val="000000" w:themeColor="text1"/>
            <w:u w:val="none"/>
          </w:rPr>
          <w:t>3.2</w:t>
        </w:r>
        <w:r w:rsidR="00A07596" w:rsidRPr="00A07596">
          <w:rPr>
            <w:rFonts w:asciiTheme="minorHAnsi" w:eastAsiaTheme="minorEastAsia" w:hAnsiTheme="minorHAnsi" w:cstheme="minorBidi"/>
            <w:noProof/>
            <w:color w:val="000000" w:themeColor="text1"/>
            <w:sz w:val="22"/>
            <w:szCs w:val="22"/>
          </w:rPr>
          <w:tab/>
        </w:r>
        <w:r w:rsidR="00A07596" w:rsidRPr="00A07596">
          <w:rPr>
            <w:rStyle w:val="Hyperlink"/>
            <w:noProof/>
            <w:color w:val="000000" w:themeColor="text1"/>
            <w:u w:val="none"/>
          </w:rPr>
          <w:t>Literature review</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_Toc430778360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47</w:t>
        </w:r>
        <w:r w:rsidR="00A07596" w:rsidRPr="00A07596">
          <w:rPr>
            <w:noProof/>
            <w:webHidden/>
            <w:color w:val="000000" w:themeColor="text1"/>
          </w:rPr>
          <w:fldChar w:fldCharType="end"/>
        </w:r>
      </w:hyperlink>
    </w:p>
    <w:p w14:paraId="7A998166"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61" w:history="1">
        <w:r w:rsidR="00A07596" w:rsidRPr="00A07596">
          <w:rPr>
            <w:rStyle w:val="Hyperlink"/>
            <w:noProof/>
            <w:color w:val="000000" w:themeColor="text1"/>
            <w:u w:val="none"/>
          </w:rPr>
          <w:t>3.2.1</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Children and the consumer market</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_Toc430778361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48</w:t>
        </w:r>
        <w:r w:rsidR="00A07596" w:rsidRPr="00A07596">
          <w:rPr>
            <w:noProof/>
            <w:webHidden/>
            <w:color w:val="000000" w:themeColor="text1"/>
          </w:rPr>
          <w:fldChar w:fldCharType="end"/>
        </w:r>
      </w:hyperlink>
    </w:p>
    <w:p w14:paraId="6E061CED"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62" w:history="1">
        <w:r w:rsidR="00A07596" w:rsidRPr="00A07596">
          <w:rPr>
            <w:rStyle w:val="Hyperlink"/>
            <w:noProof/>
            <w:color w:val="000000" w:themeColor="text1"/>
            <w:u w:val="none"/>
          </w:rPr>
          <w:t>3.2.2</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Children and the online consumer market</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_Toc430778362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48</w:t>
        </w:r>
        <w:r w:rsidR="00A07596" w:rsidRPr="00A07596">
          <w:rPr>
            <w:noProof/>
            <w:webHidden/>
            <w:color w:val="000000" w:themeColor="text1"/>
          </w:rPr>
          <w:fldChar w:fldCharType="end"/>
        </w:r>
      </w:hyperlink>
    </w:p>
    <w:p w14:paraId="7B90A3DC"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63" w:history="1">
        <w:r w:rsidR="00A07596" w:rsidRPr="00A07596">
          <w:rPr>
            <w:rStyle w:val="Hyperlink"/>
            <w:noProof/>
            <w:color w:val="000000" w:themeColor="text1"/>
            <w:u w:val="none"/>
          </w:rPr>
          <w:t>3.2.3</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Online advertising</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_Toc430778363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49</w:t>
        </w:r>
        <w:r w:rsidR="00A07596" w:rsidRPr="00A07596">
          <w:rPr>
            <w:noProof/>
            <w:webHidden/>
            <w:color w:val="000000" w:themeColor="text1"/>
          </w:rPr>
          <w:fldChar w:fldCharType="end"/>
        </w:r>
      </w:hyperlink>
    </w:p>
    <w:p w14:paraId="76EB212F"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64" w:history="1">
        <w:r w:rsidR="00A07596" w:rsidRPr="00A07596">
          <w:rPr>
            <w:rStyle w:val="Hyperlink"/>
            <w:noProof/>
            <w:color w:val="000000" w:themeColor="text1"/>
            <w:u w:val="none"/>
          </w:rPr>
          <w:t>3.2.4</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Online privacy concerns</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_Toc430778364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51</w:t>
        </w:r>
        <w:r w:rsidR="00A07596" w:rsidRPr="00A07596">
          <w:rPr>
            <w:noProof/>
            <w:webHidden/>
            <w:color w:val="000000" w:themeColor="text1"/>
          </w:rPr>
          <w:fldChar w:fldCharType="end"/>
        </w:r>
      </w:hyperlink>
    </w:p>
    <w:p w14:paraId="3565086D"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65" w:history="1">
        <w:r w:rsidR="00A07596" w:rsidRPr="00A07596">
          <w:rPr>
            <w:rStyle w:val="Hyperlink"/>
            <w:noProof/>
            <w:color w:val="000000" w:themeColor="text1"/>
            <w:u w:val="none"/>
          </w:rPr>
          <w:t>3.2.5</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Regulatory issues</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_Toc430778365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51</w:t>
        </w:r>
        <w:r w:rsidR="00A07596" w:rsidRPr="00A07596">
          <w:rPr>
            <w:noProof/>
            <w:webHidden/>
            <w:color w:val="000000" w:themeColor="text1"/>
          </w:rPr>
          <w:fldChar w:fldCharType="end"/>
        </w:r>
      </w:hyperlink>
    </w:p>
    <w:p w14:paraId="00011D49" w14:textId="77777777" w:rsidR="00A07596" w:rsidRPr="00A07596" w:rsidRDefault="0086430A" w:rsidP="00354AA1">
      <w:pPr>
        <w:pStyle w:val="TOC2"/>
        <w:tabs>
          <w:tab w:val="left" w:pos="960"/>
          <w:tab w:val="right" w:pos="9060"/>
        </w:tabs>
        <w:jc w:val="both"/>
        <w:rPr>
          <w:rFonts w:asciiTheme="minorHAnsi" w:eastAsiaTheme="minorEastAsia" w:hAnsiTheme="minorHAnsi" w:cstheme="minorBidi"/>
          <w:noProof/>
          <w:color w:val="000000" w:themeColor="text1"/>
          <w:sz w:val="22"/>
          <w:szCs w:val="22"/>
        </w:rPr>
      </w:pPr>
      <w:hyperlink w:anchor="_Toc430778366" w:history="1">
        <w:r w:rsidR="00A07596" w:rsidRPr="00A07596">
          <w:rPr>
            <w:rStyle w:val="Hyperlink"/>
            <w:noProof/>
            <w:color w:val="000000" w:themeColor="text1"/>
            <w:u w:val="none"/>
          </w:rPr>
          <w:t>3.3</w:t>
        </w:r>
        <w:r w:rsidR="00A07596" w:rsidRPr="00A07596">
          <w:rPr>
            <w:rFonts w:asciiTheme="minorHAnsi" w:eastAsiaTheme="minorEastAsia" w:hAnsiTheme="minorHAnsi" w:cstheme="minorBidi"/>
            <w:noProof/>
            <w:color w:val="000000" w:themeColor="text1"/>
            <w:sz w:val="22"/>
            <w:szCs w:val="22"/>
          </w:rPr>
          <w:tab/>
        </w:r>
        <w:r w:rsidR="00A07596" w:rsidRPr="00A07596">
          <w:rPr>
            <w:rStyle w:val="Hyperlink"/>
            <w:noProof/>
            <w:color w:val="000000" w:themeColor="text1"/>
            <w:u w:val="none"/>
          </w:rPr>
          <w:t>Australian consumer protection and children</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_Toc430778366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54</w:t>
        </w:r>
        <w:r w:rsidR="00A07596" w:rsidRPr="00A07596">
          <w:rPr>
            <w:noProof/>
            <w:webHidden/>
            <w:color w:val="000000" w:themeColor="text1"/>
          </w:rPr>
          <w:fldChar w:fldCharType="end"/>
        </w:r>
      </w:hyperlink>
    </w:p>
    <w:p w14:paraId="45CD2B46"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67" w:history="1">
        <w:r w:rsidR="00A07596" w:rsidRPr="00A07596">
          <w:rPr>
            <w:rStyle w:val="Hyperlink"/>
            <w:noProof/>
            <w:color w:val="000000" w:themeColor="text1"/>
            <w:u w:val="none"/>
          </w:rPr>
          <w:t>3.3.1</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Case study: children and online privacy</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_Toc430778367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55</w:t>
        </w:r>
        <w:r w:rsidR="00A07596" w:rsidRPr="00A07596">
          <w:rPr>
            <w:noProof/>
            <w:webHidden/>
            <w:color w:val="000000" w:themeColor="text1"/>
          </w:rPr>
          <w:fldChar w:fldCharType="end"/>
        </w:r>
      </w:hyperlink>
    </w:p>
    <w:p w14:paraId="6B01E748"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68" w:history="1">
        <w:r w:rsidR="00A07596" w:rsidRPr="00A07596">
          <w:rPr>
            <w:rStyle w:val="Hyperlink"/>
            <w:noProof/>
            <w:color w:val="000000" w:themeColor="text1"/>
            <w:u w:val="none"/>
          </w:rPr>
          <w:t>3.3.2</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Case study: consumer contracts and children</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_Toc430778368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56</w:t>
        </w:r>
        <w:r w:rsidR="00A07596" w:rsidRPr="00A07596">
          <w:rPr>
            <w:noProof/>
            <w:webHidden/>
            <w:color w:val="000000" w:themeColor="text1"/>
          </w:rPr>
          <w:fldChar w:fldCharType="end"/>
        </w:r>
      </w:hyperlink>
    </w:p>
    <w:p w14:paraId="4312AE77" w14:textId="77777777" w:rsidR="00A07596" w:rsidRPr="00A07596" w:rsidRDefault="0086430A" w:rsidP="00354AA1">
      <w:pPr>
        <w:pStyle w:val="TOC2"/>
        <w:tabs>
          <w:tab w:val="left" w:pos="960"/>
          <w:tab w:val="right" w:pos="9060"/>
        </w:tabs>
        <w:jc w:val="both"/>
        <w:rPr>
          <w:rFonts w:asciiTheme="minorHAnsi" w:eastAsiaTheme="minorEastAsia" w:hAnsiTheme="minorHAnsi" w:cstheme="minorBidi"/>
          <w:noProof/>
          <w:color w:val="000000" w:themeColor="text1"/>
          <w:sz w:val="22"/>
          <w:szCs w:val="22"/>
        </w:rPr>
      </w:pPr>
      <w:hyperlink w:anchor="_Toc430778369" w:history="1">
        <w:r w:rsidR="00A07596" w:rsidRPr="00A07596">
          <w:rPr>
            <w:rStyle w:val="Hyperlink"/>
            <w:noProof/>
            <w:color w:val="000000" w:themeColor="text1"/>
            <w:u w:val="none"/>
          </w:rPr>
          <w:t>3.4</w:t>
        </w:r>
        <w:r w:rsidR="00A07596" w:rsidRPr="00A07596">
          <w:rPr>
            <w:rFonts w:asciiTheme="minorHAnsi" w:eastAsiaTheme="minorEastAsia" w:hAnsiTheme="minorHAnsi" w:cstheme="minorBidi"/>
            <w:noProof/>
            <w:color w:val="000000" w:themeColor="text1"/>
            <w:sz w:val="22"/>
            <w:szCs w:val="22"/>
          </w:rPr>
          <w:tab/>
        </w:r>
        <w:r w:rsidR="00A07596" w:rsidRPr="00A07596">
          <w:rPr>
            <w:rStyle w:val="Hyperlink"/>
            <w:noProof/>
            <w:color w:val="000000" w:themeColor="text1"/>
            <w:u w:val="none"/>
          </w:rPr>
          <w:t>Consultations – what do children say?</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_Toc430778369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58</w:t>
        </w:r>
        <w:r w:rsidR="00A07596" w:rsidRPr="00A07596">
          <w:rPr>
            <w:noProof/>
            <w:webHidden/>
            <w:color w:val="000000" w:themeColor="text1"/>
          </w:rPr>
          <w:fldChar w:fldCharType="end"/>
        </w:r>
      </w:hyperlink>
    </w:p>
    <w:p w14:paraId="3EBBE811"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70" w:history="1">
        <w:r w:rsidR="00A07596" w:rsidRPr="00A07596">
          <w:rPr>
            <w:rStyle w:val="Hyperlink"/>
            <w:noProof/>
            <w:color w:val="000000" w:themeColor="text1"/>
            <w:u w:val="none"/>
          </w:rPr>
          <w:t>3.4.1</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Financial advice services</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_Toc430778370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58</w:t>
        </w:r>
        <w:r w:rsidR="00A07596" w:rsidRPr="00A07596">
          <w:rPr>
            <w:noProof/>
            <w:webHidden/>
            <w:color w:val="000000" w:themeColor="text1"/>
          </w:rPr>
          <w:fldChar w:fldCharType="end"/>
        </w:r>
      </w:hyperlink>
    </w:p>
    <w:p w14:paraId="49C2B00A"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71" w:history="1">
        <w:r w:rsidR="00A07596" w:rsidRPr="00A07596">
          <w:rPr>
            <w:rStyle w:val="Hyperlink"/>
            <w:noProof/>
            <w:color w:val="000000" w:themeColor="text1"/>
            <w:u w:val="none"/>
          </w:rPr>
          <w:t>3.4.2</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Schools consultations/youth organisations</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_Toc430778371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59</w:t>
        </w:r>
        <w:r w:rsidR="00A07596" w:rsidRPr="00A07596">
          <w:rPr>
            <w:noProof/>
            <w:webHidden/>
            <w:color w:val="000000" w:themeColor="text1"/>
          </w:rPr>
          <w:fldChar w:fldCharType="end"/>
        </w:r>
      </w:hyperlink>
    </w:p>
    <w:p w14:paraId="4CE83DA2"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72" w:history="1">
        <w:r w:rsidR="00A07596" w:rsidRPr="00A07596">
          <w:rPr>
            <w:rStyle w:val="Hyperlink"/>
            <w:noProof/>
            <w:color w:val="000000" w:themeColor="text1"/>
            <w:u w:val="none"/>
          </w:rPr>
          <w:t>3.4.3</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Children as consumers online</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_Toc430778372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59</w:t>
        </w:r>
        <w:r w:rsidR="00A07596" w:rsidRPr="00A07596">
          <w:rPr>
            <w:noProof/>
            <w:webHidden/>
            <w:color w:val="000000" w:themeColor="text1"/>
          </w:rPr>
          <w:fldChar w:fldCharType="end"/>
        </w:r>
      </w:hyperlink>
    </w:p>
    <w:p w14:paraId="04914D11"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73" w:history="1">
        <w:r w:rsidR="00A07596" w:rsidRPr="00A07596">
          <w:rPr>
            <w:rStyle w:val="Hyperlink"/>
            <w:noProof/>
            <w:color w:val="000000" w:themeColor="text1"/>
            <w:u w:val="none"/>
          </w:rPr>
          <w:t>3.4.4</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Influence of family/friends on purchasing</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_Toc430778373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60</w:t>
        </w:r>
        <w:r w:rsidR="00A07596" w:rsidRPr="00A07596">
          <w:rPr>
            <w:noProof/>
            <w:webHidden/>
            <w:color w:val="000000" w:themeColor="text1"/>
          </w:rPr>
          <w:fldChar w:fldCharType="end"/>
        </w:r>
      </w:hyperlink>
    </w:p>
    <w:p w14:paraId="55463727"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74" w:history="1">
        <w:r w:rsidR="00A07596" w:rsidRPr="00A07596">
          <w:rPr>
            <w:rStyle w:val="Hyperlink"/>
            <w:noProof/>
            <w:color w:val="000000" w:themeColor="text1"/>
            <w:u w:val="none"/>
          </w:rPr>
          <w:t>3.4.5</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Impact of advertising</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_Toc430778374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60</w:t>
        </w:r>
        <w:r w:rsidR="00A07596" w:rsidRPr="00A07596">
          <w:rPr>
            <w:noProof/>
            <w:webHidden/>
            <w:color w:val="000000" w:themeColor="text1"/>
          </w:rPr>
          <w:fldChar w:fldCharType="end"/>
        </w:r>
      </w:hyperlink>
    </w:p>
    <w:p w14:paraId="01BEB2EE"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75" w:history="1">
        <w:r w:rsidR="00A07596" w:rsidRPr="00A07596">
          <w:rPr>
            <w:rStyle w:val="Hyperlink"/>
            <w:noProof/>
            <w:color w:val="000000" w:themeColor="text1"/>
            <w:u w:val="none"/>
          </w:rPr>
          <w:t>3.4.6</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Internet as a market research tool</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_Toc430778375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61</w:t>
        </w:r>
        <w:r w:rsidR="00A07596" w:rsidRPr="00A07596">
          <w:rPr>
            <w:noProof/>
            <w:webHidden/>
            <w:color w:val="000000" w:themeColor="text1"/>
          </w:rPr>
          <w:fldChar w:fldCharType="end"/>
        </w:r>
      </w:hyperlink>
    </w:p>
    <w:p w14:paraId="0BE30D2F"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76" w:history="1">
        <w:r w:rsidR="00A07596" w:rsidRPr="00A07596">
          <w:rPr>
            <w:rStyle w:val="Hyperlink"/>
            <w:noProof/>
            <w:color w:val="000000" w:themeColor="text1"/>
            <w:u w:val="none"/>
          </w:rPr>
          <w:t>3.4.7</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Consumer experiences</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_Toc430778376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61</w:t>
        </w:r>
        <w:r w:rsidR="00A07596" w:rsidRPr="00A07596">
          <w:rPr>
            <w:noProof/>
            <w:webHidden/>
            <w:color w:val="000000" w:themeColor="text1"/>
          </w:rPr>
          <w:fldChar w:fldCharType="end"/>
        </w:r>
      </w:hyperlink>
    </w:p>
    <w:p w14:paraId="207D8AD0"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77" w:history="1">
        <w:r w:rsidR="00A07596" w:rsidRPr="00A07596">
          <w:rPr>
            <w:rStyle w:val="Hyperlink"/>
            <w:noProof/>
            <w:color w:val="000000" w:themeColor="text1"/>
            <w:u w:val="none"/>
          </w:rPr>
          <w:t>3.4.8</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Knowledge of consumer rights</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_Toc430778377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62</w:t>
        </w:r>
        <w:r w:rsidR="00A07596" w:rsidRPr="00A07596">
          <w:rPr>
            <w:noProof/>
            <w:webHidden/>
            <w:color w:val="000000" w:themeColor="text1"/>
          </w:rPr>
          <w:fldChar w:fldCharType="end"/>
        </w:r>
      </w:hyperlink>
    </w:p>
    <w:p w14:paraId="0B4303A8"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78" w:history="1">
        <w:r w:rsidR="00A07596" w:rsidRPr="00A07596">
          <w:rPr>
            <w:rStyle w:val="Hyperlink"/>
            <w:noProof/>
            <w:color w:val="000000" w:themeColor="text1"/>
            <w:u w:val="none"/>
          </w:rPr>
          <w:t>3.4.9</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Knowledge of consumer assistance</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_Toc430778378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63</w:t>
        </w:r>
        <w:r w:rsidR="00A07596" w:rsidRPr="00A07596">
          <w:rPr>
            <w:noProof/>
            <w:webHidden/>
            <w:color w:val="000000" w:themeColor="text1"/>
          </w:rPr>
          <w:fldChar w:fldCharType="end"/>
        </w:r>
      </w:hyperlink>
    </w:p>
    <w:p w14:paraId="24EFEDCE"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79" w:history="1">
        <w:r w:rsidR="00A07596" w:rsidRPr="00A07596">
          <w:rPr>
            <w:rStyle w:val="Hyperlink"/>
            <w:noProof/>
            <w:color w:val="000000" w:themeColor="text1"/>
            <w:u w:val="none"/>
          </w:rPr>
          <w:t>3.4.10</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How can business assist?</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_Toc430778379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64</w:t>
        </w:r>
        <w:r w:rsidR="00A07596" w:rsidRPr="00A07596">
          <w:rPr>
            <w:noProof/>
            <w:webHidden/>
            <w:color w:val="000000" w:themeColor="text1"/>
          </w:rPr>
          <w:fldChar w:fldCharType="end"/>
        </w:r>
      </w:hyperlink>
    </w:p>
    <w:p w14:paraId="2382C8A6" w14:textId="77777777" w:rsidR="00A07596" w:rsidRPr="00A07596" w:rsidRDefault="0086430A" w:rsidP="00354AA1">
      <w:pPr>
        <w:pStyle w:val="TOC2"/>
        <w:tabs>
          <w:tab w:val="left" w:pos="960"/>
          <w:tab w:val="right" w:pos="9060"/>
        </w:tabs>
        <w:jc w:val="both"/>
        <w:rPr>
          <w:rFonts w:asciiTheme="minorHAnsi" w:eastAsiaTheme="minorEastAsia" w:hAnsiTheme="minorHAnsi" w:cstheme="minorBidi"/>
          <w:noProof/>
          <w:color w:val="000000" w:themeColor="text1"/>
          <w:sz w:val="22"/>
          <w:szCs w:val="22"/>
        </w:rPr>
      </w:pPr>
      <w:hyperlink w:anchor="_Toc430778380" w:history="1">
        <w:r w:rsidR="00A07596" w:rsidRPr="00A07596">
          <w:rPr>
            <w:rStyle w:val="Hyperlink"/>
            <w:noProof/>
            <w:color w:val="000000" w:themeColor="text1"/>
            <w:u w:val="none"/>
          </w:rPr>
          <w:t>3.5</w:t>
        </w:r>
        <w:r w:rsidR="00A07596" w:rsidRPr="00A07596">
          <w:rPr>
            <w:rFonts w:asciiTheme="minorHAnsi" w:eastAsiaTheme="minorEastAsia" w:hAnsiTheme="minorHAnsi" w:cstheme="minorBidi"/>
            <w:noProof/>
            <w:color w:val="000000" w:themeColor="text1"/>
            <w:sz w:val="22"/>
            <w:szCs w:val="22"/>
          </w:rPr>
          <w:tab/>
        </w:r>
        <w:r w:rsidR="00A07596" w:rsidRPr="00A07596">
          <w:rPr>
            <w:rStyle w:val="Hyperlink"/>
            <w:noProof/>
            <w:color w:val="000000" w:themeColor="text1"/>
            <w:u w:val="none"/>
          </w:rPr>
          <w:t>Conclusion: summary &amp; key concerns</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_Toc430778380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66</w:t>
        </w:r>
        <w:r w:rsidR="00A07596" w:rsidRPr="00A07596">
          <w:rPr>
            <w:noProof/>
            <w:webHidden/>
            <w:color w:val="000000" w:themeColor="text1"/>
          </w:rPr>
          <w:fldChar w:fldCharType="end"/>
        </w:r>
      </w:hyperlink>
    </w:p>
    <w:p w14:paraId="6B584B1A"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81" w:history="1">
        <w:r w:rsidR="00A07596" w:rsidRPr="00A07596">
          <w:rPr>
            <w:rStyle w:val="Hyperlink"/>
            <w:noProof/>
            <w:color w:val="000000" w:themeColor="text1"/>
            <w:u w:val="none"/>
          </w:rPr>
          <w:t>3.5.1</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Key concern: privacy and advertising</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_Toc430778381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66</w:t>
        </w:r>
        <w:r w:rsidR="00A07596" w:rsidRPr="00A07596">
          <w:rPr>
            <w:noProof/>
            <w:webHidden/>
            <w:color w:val="000000" w:themeColor="text1"/>
          </w:rPr>
          <w:fldChar w:fldCharType="end"/>
        </w:r>
      </w:hyperlink>
    </w:p>
    <w:p w14:paraId="35460EE2"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82" w:history="1">
        <w:r w:rsidR="00A07596" w:rsidRPr="00A07596">
          <w:rPr>
            <w:rStyle w:val="Hyperlink"/>
            <w:noProof/>
            <w:color w:val="000000" w:themeColor="text1"/>
            <w:u w:val="none"/>
          </w:rPr>
          <w:t>3.5.2</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Key concern: contractual complexity</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_Toc430778382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67</w:t>
        </w:r>
        <w:r w:rsidR="00A07596" w:rsidRPr="00A07596">
          <w:rPr>
            <w:noProof/>
            <w:webHidden/>
            <w:color w:val="000000" w:themeColor="text1"/>
          </w:rPr>
          <w:fldChar w:fldCharType="end"/>
        </w:r>
      </w:hyperlink>
    </w:p>
    <w:p w14:paraId="5BB5BBA8"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83" w:history="1">
        <w:r w:rsidR="00A07596" w:rsidRPr="00A07596">
          <w:rPr>
            <w:rStyle w:val="Hyperlink"/>
            <w:noProof/>
            <w:color w:val="000000" w:themeColor="text1"/>
            <w:u w:val="none"/>
          </w:rPr>
          <w:t>3.5.3</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Key concern: enforcement and redress</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_Toc430778383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67</w:t>
        </w:r>
        <w:r w:rsidR="00A07596" w:rsidRPr="00A07596">
          <w:rPr>
            <w:noProof/>
            <w:webHidden/>
            <w:color w:val="000000" w:themeColor="text1"/>
          </w:rPr>
          <w:fldChar w:fldCharType="end"/>
        </w:r>
      </w:hyperlink>
    </w:p>
    <w:p w14:paraId="65ED07C7" w14:textId="77777777" w:rsidR="00A07596" w:rsidRPr="00A07596" w:rsidRDefault="0086430A" w:rsidP="00354AA1">
      <w:pPr>
        <w:pStyle w:val="TOC3"/>
        <w:tabs>
          <w:tab w:val="left" w:pos="1440"/>
          <w:tab w:val="right" w:pos="9060"/>
        </w:tabs>
        <w:jc w:val="both"/>
        <w:rPr>
          <w:rFonts w:asciiTheme="minorHAnsi" w:eastAsiaTheme="minorEastAsia" w:hAnsiTheme="minorHAnsi" w:cstheme="minorBidi"/>
          <w:iCs w:val="0"/>
          <w:noProof/>
          <w:color w:val="000000" w:themeColor="text1"/>
          <w:sz w:val="22"/>
          <w:szCs w:val="22"/>
        </w:rPr>
      </w:pPr>
      <w:hyperlink w:anchor="_Toc430778384" w:history="1">
        <w:r w:rsidR="00A07596" w:rsidRPr="00A07596">
          <w:rPr>
            <w:rStyle w:val="Hyperlink"/>
            <w:noProof/>
            <w:color w:val="000000" w:themeColor="text1"/>
            <w:u w:val="none"/>
          </w:rPr>
          <w:t>3.5.4</w:t>
        </w:r>
        <w:r w:rsidR="00A07596" w:rsidRPr="00A07596">
          <w:rPr>
            <w:rFonts w:asciiTheme="minorHAnsi" w:eastAsiaTheme="minorEastAsia" w:hAnsiTheme="minorHAnsi" w:cstheme="minorBidi"/>
            <w:iCs w:val="0"/>
            <w:noProof/>
            <w:color w:val="000000" w:themeColor="text1"/>
            <w:sz w:val="22"/>
            <w:szCs w:val="22"/>
          </w:rPr>
          <w:tab/>
        </w:r>
        <w:r w:rsidR="00A07596" w:rsidRPr="00A07596">
          <w:rPr>
            <w:rStyle w:val="Hyperlink"/>
            <w:noProof/>
            <w:color w:val="000000" w:themeColor="text1"/>
            <w:u w:val="none"/>
          </w:rPr>
          <w:t>Key concern: education and research</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_Toc430778384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68</w:t>
        </w:r>
        <w:r w:rsidR="00A07596" w:rsidRPr="00A07596">
          <w:rPr>
            <w:noProof/>
            <w:webHidden/>
            <w:color w:val="000000" w:themeColor="text1"/>
          </w:rPr>
          <w:fldChar w:fldCharType="end"/>
        </w:r>
      </w:hyperlink>
    </w:p>
    <w:p w14:paraId="51503EC6" w14:textId="77777777" w:rsidR="00A07596" w:rsidRPr="00A07596" w:rsidRDefault="0086430A" w:rsidP="00354AA1">
      <w:pPr>
        <w:pStyle w:val="TOC2"/>
        <w:tabs>
          <w:tab w:val="left" w:pos="960"/>
          <w:tab w:val="right" w:pos="9060"/>
        </w:tabs>
        <w:jc w:val="both"/>
        <w:rPr>
          <w:rFonts w:asciiTheme="minorHAnsi" w:eastAsiaTheme="minorEastAsia" w:hAnsiTheme="minorHAnsi" w:cstheme="minorBidi"/>
          <w:noProof/>
          <w:color w:val="000000" w:themeColor="text1"/>
          <w:sz w:val="22"/>
          <w:szCs w:val="22"/>
        </w:rPr>
      </w:pPr>
      <w:hyperlink w:anchor="_Toc430778385" w:history="1">
        <w:r w:rsidR="00A07596" w:rsidRPr="00A07596">
          <w:rPr>
            <w:rStyle w:val="Hyperlink"/>
            <w:noProof/>
            <w:color w:val="000000" w:themeColor="text1"/>
            <w:u w:val="none"/>
          </w:rPr>
          <w:t>3.6</w:t>
        </w:r>
        <w:r w:rsidR="00A07596" w:rsidRPr="00A07596">
          <w:rPr>
            <w:rFonts w:asciiTheme="minorHAnsi" w:eastAsiaTheme="minorEastAsia" w:hAnsiTheme="minorHAnsi" w:cstheme="minorBidi"/>
            <w:noProof/>
            <w:color w:val="000000" w:themeColor="text1"/>
            <w:sz w:val="22"/>
            <w:szCs w:val="22"/>
          </w:rPr>
          <w:tab/>
        </w:r>
        <w:r w:rsidR="00A07596" w:rsidRPr="00A07596">
          <w:rPr>
            <w:rStyle w:val="Hyperlink"/>
            <w:noProof/>
            <w:color w:val="000000" w:themeColor="text1"/>
            <w:u w:val="none"/>
          </w:rPr>
          <w:t>Recommendations</w:t>
        </w:r>
        <w:r w:rsidR="00A07596" w:rsidRPr="00A07596">
          <w:rPr>
            <w:noProof/>
            <w:webHidden/>
            <w:color w:val="000000" w:themeColor="text1"/>
          </w:rPr>
          <w:tab/>
        </w:r>
        <w:r w:rsidR="00A07596" w:rsidRPr="00A07596">
          <w:rPr>
            <w:noProof/>
            <w:webHidden/>
            <w:color w:val="000000" w:themeColor="text1"/>
          </w:rPr>
          <w:fldChar w:fldCharType="begin"/>
        </w:r>
        <w:r w:rsidR="00A07596" w:rsidRPr="00A07596">
          <w:rPr>
            <w:noProof/>
            <w:webHidden/>
            <w:color w:val="000000" w:themeColor="text1"/>
          </w:rPr>
          <w:instrText xml:space="preserve"> PAGEREF _Toc430778385 \h </w:instrText>
        </w:r>
        <w:r w:rsidR="00A07596" w:rsidRPr="00A07596">
          <w:rPr>
            <w:noProof/>
            <w:webHidden/>
            <w:color w:val="000000" w:themeColor="text1"/>
          </w:rPr>
        </w:r>
        <w:r w:rsidR="00A07596" w:rsidRPr="00A07596">
          <w:rPr>
            <w:noProof/>
            <w:webHidden/>
            <w:color w:val="000000" w:themeColor="text1"/>
          </w:rPr>
          <w:fldChar w:fldCharType="separate"/>
        </w:r>
        <w:r w:rsidR="00A07596" w:rsidRPr="00A07596">
          <w:rPr>
            <w:noProof/>
            <w:webHidden/>
            <w:color w:val="000000" w:themeColor="text1"/>
          </w:rPr>
          <w:t>69</w:t>
        </w:r>
        <w:r w:rsidR="00A07596" w:rsidRPr="00A07596">
          <w:rPr>
            <w:noProof/>
            <w:webHidden/>
            <w:color w:val="000000" w:themeColor="text1"/>
          </w:rPr>
          <w:fldChar w:fldCharType="end"/>
        </w:r>
      </w:hyperlink>
    </w:p>
    <w:p w14:paraId="0E8517D6" w14:textId="138B6117" w:rsidR="00A07596" w:rsidRPr="00A07596" w:rsidRDefault="00A07596" w:rsidP="00354AA1">
      <w:pPr>
        <w:jc w:val="both"/>
      </w:pPr>
    </w:p>
    <w:p w14:paraId="22F0216B" w14:textId="77777777" w:rsidR="006970D8" w:rsidRPr="006970D8" w:rsidRDefault="006970D8" w:rsidP="00354AA1">
      <w:pPr>
        <w:jc w:val="both"/>
      </w:pPr>
    </w:p>
    <w:p w14:paraId="713ED3F2" w14:textId="77777777" w:rsidR="00AA3994" w:rsidRDefault="006970D8" w:rsidP="00354AA1">
      <w:pPr>
        <w:pStyle w:val="Heading2"/>
        <w:jc w:val="both"/>
      </w:pPr>
      <w:bookmarkStart w:id="79" w:name="_Toc430702074"/>
      <w:r>
        <w:br w:type="column"/>
      </w:r>
      <w:bookmarkStart w:id="80" w:name="_Toc432577314"/>
      <w:r w:rsidR="00AA3994" w:rsidRPr="007C547D">
        <w:lastRenderedPageBreak/>
        <w:t>Introduction</w:t>
      </w:r>
      <w:bookmarkEnd w:id="79"/>
      <w:bookmarkEnd w:id="80"/>
    </w:p>
    <w:p w14:paraId="1255CF19" w14:textId="1E5B55BF" w:rsidR="00AA3994" w:rsidRPr="003D0638" w:rsidRDefault="00AA3994" w:rsidP="00354AA1">
      <w:pPr>
        <w:ind w:left="720"/>
        <w:jc w:val="both"/>
        <w:rPr>
          <w:sz w:val="20"/>
          <w:szCs w:val="20"/>
        </w:rPr>
      </w:pPr>
      <w:r>
        <w:rPr>
          <w:sz w:val="20"/>
          <w:szCs w:val="20"/>
        </w:rPr>
        <w:t>We live in a completely different culture and economic times. The last 10 years have seen ridiculous changes in living standards and expectations. We are now an instant society which</w:t>
      </w:r>
      <w:r w:rsidR="006533E2">
        <w:rPr>
          <w:sz w:val="20"/>
          <w:szCs w:val="20"/>
        </w:rPr>
        <w:t xml:space="preserve"> adults were not brought up in.</w:t>
      </w:r>
      <w:r w:rsidR="00C40B26">
        <w:rPr>
          <w:sz w:val="20"/>
          <w:szCs w:val="20"/>
        </w:rPr>
        <w:t xml:space="preserve"> (</w:t>
      </w:r>
      <w:r>
        <w:rPr>
          <w:sz w:val="20"/>
          <w:szCs w:val="20"/>
        </w:rPr>
        <w:t>Boy, 16 years old</w:t>
      </w:r>
      <w:r w:rsidR="00C40B26">
        <w:rPr>
          <w:sz w:val="20"/>
          <w:szCs w:val="20"/>
        </w:rPr>
        <w:t>)</w:t>
      </w:r>
      <w:r>
        <w:rPr>
          <w:rStyle w:val="EndnoteReference"/>
          <w:szCs w:val="20"/>
        </w:rPr>
        <w:endnoteReference w:id="160"/>
      </w:r>
    </w:p>
    <w:p w14:paraId="00F6A004" w14:textId="0F8F62FF" w:rsidR="00AA3994" w:rsidRDefault="00AA3994" w:rsidP="00354AA1">
      <w:pPr>
        <w:pStyle w:val="SubmissionNormal"/>
        <w:numPr>
          <w:ilvl w:val="0"/>
          <w:numId w:val="0"/>
        </w:numPr>
        <w:jc w:val="both"/>
      </w:pPr>
      <w:r>
        <w:t xml:space="preserve">In the past few decades </w:t>
      </w:r>
      <w:r w:rsidRPr="00552A81">
        <w:t>we have witnessed the rapid globalisation of business and the widespread uptake of technology across communities</w:t>
      </w:r>
      <w:r>
        <w:t>.</w:t>
      </w:r>
      <w:r>
        <w:rPr>
          <w:rStyle w:val="EndnoteReference"/>
        </w:rPr>
        <w:endnoteReference w:id="161"/>
      </w:r>
      <w:r>
        <w:t xml:space="preserve"> One issue which has </w:t>
      </w:r>
      <w:r w:rsidR="004F61F7">
        <w:t>emerged during</w:t>
      </w:r>
      <w:r>
        <w:t xml:space="preserve"> this period, and that now demands our attention, is the evolving and increasingly complex relationship of children to business. Within this changed environment, questions arise as to how children’s human rights fare.</w:t>
      </w:r>
    </w:p>
    <w:p w14:paraId="08936B1F" w14:textId="7BBC3BEF" w:rsidR="00BE0641" w:rsidRDefault="00AA3994" w:rsidP="00354AA1">
      <w:pPr>
        <w:pStyle w:val="SubmissionNormal"/>
        <w:numPr>
          <w:ilvl w:val="0"/>
          <w:numId w:val="0"/>
        </w:numPr>
        <w:jc w:val="both"/>
      </w:pPr>
      <w:r w:rsidRPr="00552A81">
        <w:t xml:space="preserve">International responses to this issue have </w:t>
      </w:r>
      <w:r w:rsidRPr="00BE0641">
        <w:t xml:space="preserve">been surprisingly recent. Formal consideration of the relationship of business to human rights occurred between the United Nations and the international business sector </w:t>
      </w:r>
      <w:r w:rsidR="006533E2" w:rsidRPr="00BE0641">
        <w:t>through the 1990</w:t>
      </w:r>
      <w:r w:rsidRPr="00BE0641">
        <w:t>s.</w:t>
      </w:r>
      <w:r w:rsidRPr="00BE0641">
        <w:rPr>
          <w:rStyle w:val="EndnoteReference"/>
        </w:rPr>
        <w:endnoteReference w:id="162"/>
      </w:r>
      <w:r w:rsidRPr="00BE0641">
        <w:t xml:space="preserve"> </w:t>
      </w:r>
      <w:r w:rsidR="00BE0641" w:rsidRPr="00BE0641">
        <w:t xml:space="preserve">  </w:t>
      </w:r>
    </w:p>
    <w:p w14:paraId="10657A32" w14:textId="6ACE191F" w:rsidR="00AA3994" w:rsidRDefault="00BE0641" w:rsidP="00354AA1">
      <w:pPr>
        <w:pStyle w:val="SubmissionNormal"/>
        <w:numPr>
          <w:ilvl w:val="0"/>
          <w:numId w:val="0"/>
        </w:numPr>
        <w:jc w:val="both"/>
      </w:pPr>
      <w:r w:rsidRPr="00BE0641">
        <w:rPr>
          <w:lang w:val="en"/>
        </w:rPr>
        <w:t xml:space="preserve">In June 2011, the United Nations Human Rights Council unanimously adopted the </w:t>
      </w:r>
      <w:r w:rsidRPr="00BE0641">
        <w:rPr>
          <w:i/>
          <w:lang w:val="en"/>
        </w:rPr>
        <w:t>Guiding Principles on Business and Human Rights</w:t>
      </w:r>
      <w:r w:rsidRPr="00BE0641">
        <w:rPr>
          <w:lang w:val="en"/>
        </w:rPr>
        <w:t xml:space="preserve"> (the Guiding Principles). The Guiding Principles provide a global standard for addressing and preventing human rights impacts associated with business activity. The Principles operate on a three pillar framework, known as the Protect, Respect, Remedy Framework.</w:t>
      </w:r>
      <w:r>
        <w:rPr>
          <w:rStyle w:val="EndnoteReference"/>
          <w:lang w:val="en"/>
        </w:rPr>
        <w:endnoteReference w:id="163"/>
      </w:r>
    </w:p>
    <w:p w14:paraId="200D813F" w14:textId="77777777" w:rsidR="00AA3994" w:rsidRDefault="00AA3994" w:rsidP="00354AA1">
      <w:pPr>
        <w:pStyle w:val="SubmissionNormal"/>
        <w:numPr>
          <w:ilvl w:val="0"/>
          <w:numId w:val="0"/>
        </w:numPr>
        <w:jc w:val="both"/>
      </w:pPr>
      <w:r>
        <w:t xml:space="preserve">However a specific focus on the impact of business on the human rights of children only occurred in 2012 with the release by UNICEF, Save the Children and the UN Global Compact of the </w:t>
      </w:r>
      <w:r w:rsidRPr="0056730F">
        <w:rPr>
          <w:i/>
        </w:rPr>
        <w:t>Children’s Rights and Business Principles</w:t>
      </w:r>
      <w:r>
        <w:t xml:space="preserve"> (the Business Principles).</w:t>
      </w:r>
      <w:r>
        <w:rPr>
          <w:rStyle w:val="EndnoteReference"/>
        </w:rPr>
        <w:endnoteReference w:id="164"/>
      </w:r>
      <w:r>
        <w:t xml:space="preserve"> The Business Principles offer guidance to business on how it can respect and support children’s rights.</w:t>
      </w:r>
      <w:r>
        <w:rPr>
          <w:rStyle w:val="EndnoteReference"/>
        </w:rPr>
        <w:endnoteReference w:id="165"/>
      </w:r>
    </w:p>
    <w:p w14:paraId="41240BE4" w14:textId="167C216B" w:rsidR="00AA3994" w:rsidRDefault="00AA3994" w:rsidP="00354AA1">
      <w:pPr>
        <w:pStyle w:val="SubmissionNormal"/>
        <w:numPr>
          <w:ilvl w:val="0"/>
          <w:numId w:val="0"/>
        </w:numPr>
        <w:jc w:val="both"/>
      </w:pPr>
      <w:r>
        <w:t xml:space="preserve">In 2013, the United Nations Committee on the Rights of the Child </w:t>
      </w:r>
      <w:r w:rsidR="000958FB">
        <w:t xml:space="preserve">(the Committee) </w:t>
      </w:r>
      <w:r>
        <w:t xml:space="preserve">released the </w:t>
      </w:r>
      <w:r w:rsidRPr="004F61F7">
        <w:rPr>
          <w:i/>
        </w:rPr>
        <w:t xml:space="preserve">General Comment on State Obligations Regarding the Impact of the Business Sector on Children’s Rights </w:t>
      </w:r>
      <w:r>
        <w:t>(General Comment).</w:t>
      </w:r>
      <w:r>
        <w:rPr>
          <w:rStyle w:val="EndnoteReference"/>
        </w:rPr>
        <w:endnoteReference w:id="166"/>
      </w:r>
      <w:r>
        <w:t xml:space="preserve"> The General Comment includes a framework for the implementation of children’s rights in the business sector and details specific measures for States to undertake in protecting the rights of children in relation to business activities.</w:t>
      </w:r>
      <w:r>
        <w:rPr>
          <w:rStyle w:val="EndnoteReference"/>
        </w:rPr>
        <w:endnoteReference w:id="167"/>
      </w:r>
      <w:r>
        <w:t xml:space="preserve"> </w:t>
      </w:r>
    </w:p>
    <w:p w14:paraId="1EE8FC4A" w14:textId="77777777" w:rsidR="00AA3994" w:rsidRDefault="00AA3994" w:rsidP="00354AA1">
      <w:pPr>
        <w:pStyle w:val="SubmissionNormal"/>
        <w:numPr>
          <w:ilvl w:val="0"/>
          <w:numId w:val="0"/>
        </w:numPr>
        <w:jc w:val="both"/>
      </w:pPr>
      <w:r w:rsidRPr="00552A81">
        <w:t>While these documents are non-binding</w:t>
      </w:r>
      <w:r w:rsidRPr="00552A81">
        <w:rPr>
          <w:rStyle w:val="EndnoteReference"/>
        </w:rPr>
        <w:endnoteReference w:id="168"/>
      </w:r>
      <w:r w:rsidRPr="00552A81">
        <w:t xml:space="preserve">, they </w:t>
      </w:r>
      <w:r w:rsidRPr="00EF1665">
        <w:t>provide a valuable lens through which to consider how the Australian business context relates to children and their human rights. It also provides us with an opportunity to hear what children in Australia have to say about their experiences. These international initiatives</w:t>
      </w:r>
      <w:r>
        <w:t xml:space="preserve"> have also forged an important precedent for a partnership-based approach with business. There is little reason to doubt that the goodwill evident within the international business sector will be similarly reflected at the domestic level in ensuring that the rights of Australian children are upheld as consumers of goods and services. </w:t>
      </w:r>
    </w:p>
    <w:p w14:paraId="6B236591" w14:textId="77777777" w:rsidR="00AA3994" w:rsidRPr="006D0876" w:rsidRDefault="00AA3994" w:rsidP="00354AA1">
      <w:pPr>
        <w:pStyle w:val="Heading3"/>
        <w:jc w:val="both"/>
      </w:pPr>
      <w:bookmarkStart w:id="81" w:name="_Toc430333082"/>
      <w:bookmarkStart w:id="82" w:name="_Toc430702075"/>
      <w:r w:rsidRPr="006D0876">
        <w:t>Why is business a child rights issue?</w:t>
      </w:r>
      <w:bookmarkEnd w:id="81"/>
      <w:bookmarkEnd w:id="82"/>
    </w:p>
    <w:p w14:paraId="47FC5ED7" w14:textId="77777777" w:rsidR="00AA3994" w:rsidRPr="00687121" w:rsidRDefault="00AA3994" w:rsidP="00DE57C1">
      <w:pPr>
        <w:ind w:left="720"/>
        <w:jc w:val="both"/>
        <w:rPr>
          <w:sz w:val="20"/>
          <w:szCs w:val="20"/>
        </w:rPr>
      </w:pPr>
      <w:r w:rsidRPr="0058743E">
        <w:rPr>
          <w:sz w:val="20"/>
          <w:szCs w:val="20"/>
        </w:rPr>
        <w:t xml:space="preserve">All </w:t>
      </w:r>
      <w:r>
        <w:rPr>
          <w:sz w:val="20"/>
          <w:szCs w:val="20"/>
        </w:rPr>
        <w:t xml:space="preserve">children have rights everywhere </w:t>
      </w:r>
      <w:r w:rsidRPr="0058743E">
        <w:rPr>
          <w:sz w:val="20"/>
          <w:szCs w:val="20"/>
        </w:rPr>
        <w:t>and at all times</w:t>
      </w:r>
      <w:r>
        <w:rPr>
          <w:sz w:val="20"/>
          <w:szCs w:val="20"/>
        </w:rPr>
        <w:t>.</w:t>
      </w:r>
      <w:r>
        <w:rPr>
          <w:rStyle w:val="EndnoteReference"/>
          <w:szCs w:val="20"/>
        </w:rPr>
        <w:endnoteReference w:id="169"/>
      </w:r>
    </w:p>
    <w:p w14:paraId="37CF3EFD" w14:textId="77777777" w:rsidR="00AA3994" w:rsidRDefault="00AA3994" w:rsidP="00354AA1">
      <w:pPr>
        <w:pStyle w:val="SubmissionNormal"/>
        <w:numPr>
          <w:ilvl w:val="0"/>
          <w:numId w:val="0"/>
        </w:numPr>
        <w:jc w:val="both"/>
      </w:pPr>
      <w:r>
        <w:t>Children’s rights are universal, indivisible, interdependent and interrelated.</w:t>
      </w:r>
      <w:r>
        <w:rPr>
          <w:rStyle w:val="EndnoteReference"/>
        </w:rPr>
        <w:endnoteReference w:id="170"/>
      </w:r>
      <w:r>
        <w:t xml:space="preserve"> Children’s rights transcend all groupings and institutions – they are relevant everywhere, including in the sphere of business. The global and transnational nature of business has made its scope, impact and influence much greater than in the </w:t>
      </w:r>
      <w:r>
        <w:lastRenderedPageBreak/>
        <w:t>past.</w:t>
      </w:r>
      <w:r>
        <w:rPr>
          <w:rStyle w:val="EndnoteReference"/>
        </w:rPr>
        <w:endnoteReference w:id="171"/>
      </w:r>
      <w:r>
        <w:t xml:space="preserve"> It has been reported that as far back as 2000, the revenues of the largest corporations exceeded the gross domestic product of some countries.</w:t>
      </w:r>
      <w:r>
        <w:rPr>
          <w:rStyle w:val="EndnoteReference"/>
        </w:rPr>
        <w:endnoteReference w:id="172"/>
      </w:r>
    </w:p>
    <w:p w14:paraId="24B0446E" w14:textId="77777777" w:rsidR="00AA3994" w:rsidRDefault="00AA3994" w:rsidP="00354AA1">
      <w:pPr>
        <w:pStyle w:val="SubmissionNormal"/>
        <w:numPr>
          <w:ilvl w:val="0"/>
          <w:numId w:val="0"/>
        </w:numPr>
        <w:jc w:val="both"/>
      </w:pPr>
      <w:r>
        <w:t>Given children under the age of 18 years account for almost one third of the world’s population,</w:t>
      </w:r>
      <w:r>
        <w:rPr>
          <w:rStyle w:val="EndnoteReference"/>
        </w:rPr>
        <w:endnoteReference w:id="173"/>
      </w:r>
      <w:r>
        <w:t xml:space="preserve"> children emerge as both rights-holders and as key stakeholders in the activities of business.</w:t>
      </w:r>
      <w:r>
        <w:rPr>
          <w:rStyle w:val="EndnoteReference"/>
        </w:rPr>
        <w:endnoteReference w:id="174"/>
      </w:r>
      <w:r>
        <w:t xml:space="preserve"> </w:t>
      </w:r>
      <w:r w:rsidRPr="00552A81">
        <w:t>As detailed in the Business Principles, children interact with business in many ways including as consumers; family members of employees; young workers and as future employees and business leaders.</w:t>
      </w:r>
      <w:r w:rsidRPr="00552A81">
        <w:rPr>
          <w:rStyle w:val="EndnoteReference"/>
        </w:rPr>
        <w:endnoteReference w:id="175"/>
      </w:r>
      <w:r w:rsidRPr="00552A81">
        <w:t xml:space="preserve"> Children are also active members of communities within which business</w:t>
      </w:r>
      <w:r>
        <w:t>es</w:t>
      </w:r>
      <w:r w:rsidRPr="00552A81">
        <w:t xml:space="preserve"> operate.</w:t>
      </w:r>
      <w:r w:rsidRPr="00552A81">
        <w:rPr>
          <w:rStyle w:val="EndnoteReference"/>
        </w:rPr>
        <w:endnoteReference w:id="176"/>
      </w:r>
      <w:r>
        <w:t xml:space="preserve"> It is for these reasons I have chosen to focus on the human rights issues relating to children’s interactions with business. </w:t>
      </w:r>
    </w:p>
    <w:p w14:paraId="193E059B" w14:textId="6F5D39EE" w:rsidR="00AA3994" w:rsidRDefault="00AA3994" w:rsidP="00354AA1">
      <w:pPr>
        <w:pStyle w:val="SubmissionNormal"/>
        <w:numPr>
          <w:ilvl w:val="0"/>
          <w:numId w:val="0"/>
        </w:numPr>
        <w:jc w:val="both"/>
      </w:pPr>
      <w:r>
        <w:t xml:space="preserve">The </w:t>
      </w:r>
      <w:r w:rsidR="00DE57C1">
        <w:t xml:space="preserve">United Nations </w:t>
      </w:r>
      <w:r>
        <w:t>Committee on the Rights of the Child identifies four general principles</w:t>
      </w:r>
      <w:r>
        <w:rPr>
          <w:rStyle w:val="EndnoteReference"/>
        </w:rPr>
        <w:endnoteReference w:id="177"/>
      </w:r>
      <w:r>
        <w:t xml:space="preserve"> that should guide any decisions and actions (including by the private sector) that concern children.</w:t>
      </w:r>
      <w:r>
        <w:rPr>
          <w:rStyle w:val="EndnoteReference"/>
        </w:rPr>
        <w:endnoteReference w:id="178"/>
      </w:r>
      <w:r>
        <w:t xml:space="preserve"> These are the right to non-discrimination;</w:t>
      </w:r>
      <w:r>
        <w:rPr>
          <w:rStyle w:val="EndnoteReference"/>
        </w:rPr>
        <w:endnoteReference w:id="179"/>
      </w:r>
      <w:r>
        <w:t xml:space="preserve"> the best interests of the child;</w:t>
      </w:r>
      <w:r>
        <w:rPr>
          <w:rStyle w:val="EndnoteReference"/>
        </w:rPr>
        <w:endnoteReference w:id="180"/>
      </w:r>
      <w:r>
        <w:t xml:space="preserve"> the right to life; survival and development</w:t>
      </w:r>
      <w:r>
        <w:rPr>
          <w:rStyle w:val="EndnoteReference"/>
        </w:rPr>
        <w:endnoteReference w:id="181"/>
      </w:r>
      <w:r>
        <w:t xml:space="preserve"> and the right of the child to be heard.</w:t>
      </w:r>
      <w:r>
        <w:rPr>
          <w:rStyle w:val="EndnoteReference"/>
        </w:rPr>
        <w:endnoteReference w:id="182"/>
      </w:r>
      <w:r>
        <w:t xml:space="preserve"> </w:t>
      </w:r>
    </w:p>
    <w:p w14:paraId="7B69D662" w14:textId="77777777" w:rsidR="00AA3994" w:rsidRDefault="00AA3994" w:rsidP="00354AA1">
      <w:pPr>
        <w:pStyle w:val="SubmissionNormal"/>
        <w:numPr>
          <w:ilvl w:val="0"/>
          <w:numId w:val="0"/>
        </w:numPr>
        <w:jc w:val="both"/>
      </w:pPr>
      <w:r>
        <w:t>The application of these guiding principles to the activities of business raise issues as varied as poor work conditions for children;</w:t>
      </w:r>
      <w:r>
        <w:rPr>
          <w:rStyle w:val="EndnoteReference"/>
        </w:rPr>
        <w:endnoteReference w:id="183"/>
      </w:r>
      <w:r>
        <w:t xml:space="preserve"> inflexible work environments for parents and carers;</w:t>
      </w:r>
      <w:r>
        <w:rPr>
          <w:rStyle w:val="EndnoteReference"/>
        </w:rPr>
        <w:endnoteReference w:id="184"/>
      </w:r>
      <w:r>
        <w:t xml:space="preserve"> environmental and product safety;</w:t>
      </w:r>
      <w:r>
        <w:rPr>
          <w:rStyle w:val="EndnoteReference"/>
        </w:rPr>
        <w:endnoteReference w:id="185"/>
      </w:r>
      <w:r>
        <w:t xml:space="preserve"> use of child-appropriate marketing and advertising</w:t>
      </w:r>
      <w:r>
        <w:rPr>
          <w:rStyle w:val="EndnoteReference"/>
        </w:rPr>
        <w:endnoteReference w:id="186"/>
      </w:r>
      <w:r>
        <w:t xml:space="preserve"> and protection of children in emergency situations.</w:t>
      </w:r>
      <w:r>
        <w:rPr>
          <w:rStyle w:val="EndnoteReference"/>
        </w:rPr>
        <w:endnoteReference w:id="187"/>
      </w:r>
    </w:p>
    <w:p w14:paraId="26526DF5" w14:textId="77777777" w:rsidR="00AA3994" w:rsidRDefault="00AA3994" w:rsidP="00354AA1">
      <w:pPr>
        <w:pStyle w:val="SubmissionNormal"/>
        <w:numPr>
          <w:ilvl w:val="0"/>
          <w:numId w:val="0"/>
        </w:numPr>
        <w:jc w:val="both"/>
      </w:pPr>
      <w:r w:rsidRPr="00EF1665">
        <w:t>It is clear that business, whatever the size, and whether directly or indirectly, impacts on the rights of children on a daily basis.</w:t>
      </w:r>
      <w:r w:rsidRPr="006B2C16">
        <w:t xml:space="preserve"> Like family, school, </w:t>
      </w:r>
      <w:r>
        <w:t xml:space="preserve">and </w:t>
      </w:r>
      <w:r w:rsidRPr="006B2C16">
        <w:t>work, business has become an ‘institution’ in the lives of most people. It is difficult to imagine how, in modern life, interactions with business could be avoided. Rather, all sectors that form part of our contemporary society, whether it be government, business or civil society, are now major actors in protecting</w:t>
      </w:r>
      <w:r>
        <w:t xml:space="preserve"> children and advancing their rights. </w:t>
      </w:r>
    </w:p>
    <w:p w14:paraId="43510953" w14:textId="77777777" w:rsidR="00AA3994" w:rsidRPr="003A7717" w:rsidRDefault="00AA3994" w:rsidP="00354AA1">
      <w:pPr>
        <w:pStyle w:val="SubmissionNormal"/>
        <w:numPr>
          <w:ilvl w:val="0"/>
          <w:numId w:val="0"/>
        </w:numPr>
        <w:jc w:val="both"/>
      </w:pPr>
      <w:r>
        <w:t xml:space="preserve">Issues such as environmental hazards, product safety </w:t>
      </w:r>
      <w:r w:rsidRPr="00552A81">
        <w:t>and child labour have been central to discussions on children’s rights and business</w:t>
      </w:r>
      <w:r>
        <w:t xml:space="preserve"> to date</w:t>
      </w:r>
      <w:r w:rsidRPr="00552A81">
        <w:t>. The issue that has remained on the periphery, and which will be the focus of this chapter, is children as consumers.</w:t>
      </w:r>
      <w:r>
        <w:t xml:space="preserve"> </w:t>
      </w:r>
    </w:p>
    <w:p w14:paraId="16DF8D45" w14:textId="77777777" w:rsidR="00AA3994" w:rsidRDefault="00AA3994" w:rsidP="00354AA1">
      <w:pPr>
        <w:pStyle w:val="Heading3"/>
        <w:jc w:val="both"/>
      </w:pPr>
      <w:bookmarkStart w:id="83" w:name="_Toc430333083"/>
      <w:bookmarkStart w:id="84" w:name="_Toc430702076"/>
      <w:r>
        <w:t>Children as consumers</w:t>
      </w:r>
      <w:bookmarkEnd w:id="83"/>
      <w:bookmarkEnd w:id="84"/>
    </w:p>
    <w:p w14:paraId="193B5AEC" w14:textId="77777777" w:rsidR="00AA3994" w:rsidRDefault="00AA3994" w:rsidP="00354AA1">
      <w:pPr>
        <w:pStyle w:val="SubmissionNormal"/>
        <w:numPr>
          <w:ilvl w:val="0"/>
          <w:numId w:val="0"/>
        </w:numPr>
        <w:jc w:val="both"/>
      </w:pPr>
      <w:r>
        <w:t>It can be disconcerting to conceive of children as active ‘consumers’ in contrast with the idea of a naïve, passive childhood empty of all consumer urges. But research, and indeed the practices of the business sector itself, reveals a very different reality.</w:t>
      </w:r>
    </w:p>
    <w:p w14:paraId="151BD4D2" w14:textId="77777777" w:rsidR="00AA3994" w:rsidRDefault="00AA3994" w:rsidP="00354AA1">
      <w:pPr>
        <w:pStyle w:val="SubmissionNormal"/>
        <w:numPr>
          <w:ilvl w:val="0"/>
          <w:numId w:val="0"/>
        </w:numPr>
        <w:jc w:val="both"/>
      </w:pPr>
      <w:r w:rsidRPr="00552A81">
        <w:t>Children’s participation as consumers has been mapped in detail by business across different markets</w:t>
      </w:r>
      <w:r>
        <w:t>, precisely because they are key players in these markets</w:t>
      </w:r>
      <w:r w:rsidRPr="00552A81">
        <w:t>. Bodies of academic research exist</w:t>
      </w:r>
      <w:r w:rsidRPr="00552A81">
        <w:rPr>
          <w:rStyle w:val="EndnoteReference"/>
        </w:rPr>
        <w:endnoteReference w:id="188"/>
      </w:r>
      <w:r w:rsidRPr="00552A81">
        <w:t xml:space="preserve"> on the ‘consumer socialisation of children’ which analyses the</w:t>
      </w:r>
      <w:r>
        <w:t xml:space="preserve"> processes by which children ‘acquire skills, knowledge and attitudes relevant to their functioning as consumers in the market place’.</w:t>
      </w:r>
      <w:r>
        <w:rPr>
          <w:rStyle w:val="EndnoteReference"/>
        </w:rPr>
        <w:endnoteReference w:id="189"/>
      </w:r>
      <w:r>
        <w:t xml:space="preserve"> Children have been identified not only as active </w:t>
      </w:r>
      <w:r w:rsidRPr="005B2445">
        <w:t>individual consumers but as major influencers of parental purchases</w:t>
      </w:r>
      <w:r w:rsidRPr="005B2445">
        <w:rPr>
          <w:rStyle w:val="EndnoteReference"/>
        </w:rPr>
        <w:endnoteReference w:id="190"/>
      </w:r>
      <w:r w:rsidRPr="005B2445">
        <w:t xml:space="preserve"> and as potential future consumers.</w:t>
      </w:r>
      <w:r w:rsidRPr="005B2445">
        <w:rPr>
          <w:rStyle w:val="EndnoteReference"/>
        </w:rPr>
        <w:endnoteReference w:id="191"/>
      </w:r>
      <w:r w:rsidRPr="005B2445">
        <w:t xml:space="preserve"> </w:t>
      </w:r>
    </w:p>
    <w:p w14:paraId="67C041E5" w14:textId="77777777" w:rsidR="00AA3994" w:rsidRDefault="00AA3994" w:rsidP="00354AA1">
      <w:pPr>
        <w:pStyle w:val="SubmissionNormal"/>
        <w:numPr>
          <w:ilvl w:val="0"/>
          <w:numId w:val="0"/>
        </w:numPr>
        <w:jc w:val="both"/>
      </w:pPr>
      <w:r>
        <w:t>As a point of comparison, a US report published in 2001 found that children’s spending had ‘doubled’ during each decade of the 1960s, 1970s and 1980s and had ‘tripled’ in the 1990s.</w:t>
      </w:r>
      <w:r>
        <w:rPr>
          <w:rStyle w:val="EndnoteReference"/>
        </w:rPr>
        <w:endnoteReference w:id="192"/>
      </w:r>
      <w:r>
        <w:t xml:space="preserve"> At around the same time, estimates placed the value of the </w:t>
      </w:r>
      <w:r>
        <w:lastRenderedPageBreak/>
        <w:t>US children’s market at approximately $115 billion.</w:t>
      </w:r>
      <w:r>
        <w:rPr>
          <w:rStyle w:val="EndnoteReference"/>
        </w:rPr>
        <w:endnoteReference w:id="193"/>
      </w:r>
      <w:r>
        <w:t xml:space="preserve"> In Australia, a 1996 report of the Australian Law Reform Commission (ALRC) similarly noted that children ‘are significant consumers of goods and services’ with ‘markets in toys, fast food, entertainment and clothes…directed explicitly at children’.</w:t>
      </w:r>
      <w:r>
        <w:rPr>
          <w:rStyle w:val="EndnoteReference"/>
        </w:rPr>
        <w:endnoteReference w:id="194"/>
      </w:r>
      <w:r>
        <w:t xml:space="preserve"> </w:t>
      </w:r>
    </w:p>
    <w:p w14:paraId="55ACE494" w14:textId="77777777" w:rsidR="00AA3994" w:rsidRDefault="00AA3994" w:rsidP="00354AA1">
      <w:pPr>
        <w:pStyle w:val="SubmissionNormal"/>
        <w:numPr>
          <w:ilvl w:val="0"/>
          <w:numId w:val="0"/>
        </w:numPr>
        <w:jc w:val="both"/>
      </w:pPr>
      <w:r w:rsidRPr="00EF1665">
        <w:t>Children are active citizens, and being part of an ‘active citizenry’ includes engaging with business as consumers.</w:t>
      </w:r>
      <w:r>
        <w:t xml:space="preserve"> What this situation raises is the question of how to </w:t>
      </w:r>
      <w:r w:rsidRPr="00CB3DC6">
        <w:t>‘ethically’ engage with the ‘child consumer’.</w:t>
      </w:r>
      <w:r>
        <w:t xml:space="preserve"> </w:t>
      </w:r>
    </w:p>
    <w:p w14:paraId="64C9DB4E" w14:textId="77777777" w:rsidR="00AA3994" w:rsidRDefault="00AA3994" w:rsidP="00354AA1">
      <w:pPr>
        <w:pStyle w:val="SubmissionNormal"/>
        <w:numPr>
          <w:ilvl w:val="0"/>
          <w:numId w:val="0"/>
        </w:numPr>
        <w:jc w:val="both"/>
      </w:pPr>
      <w:r>
        <w:t xml:space="preserve">This has given rise to academic research and advocacy focused on a number of policy issues ranging from junk food advertising to product safety to the sexualisation of children in advertising. Yet one factor that has led to unparalleled change within the landscape of business and its impact on children’s lives has been the advent of the internet. </w:t>
      </w:r>
    </w:p>
    <w:p w14:paraId="2EEF1B80" w14:textId="77777777" w:rsidR="00AA3994" w:rsidRDefault="00AA3994" w:rsidP="00354AA1">
      <w:pPr>
        <w:pStyle w:val="Heading3"/>
        <w:jc w:val="both"/>
      </w:pPr>
      <w:bookmarkStart w:id="85" w:name="_Toc430333084"/>
      <w:bookmarkStart w:id="86" w:name="_Toc430702077"/>
      <w:r>
        <w:t>The impact of the internet</w:t>
      </w:r>
      <w:bookmarkEnd w:id="85"/>
      <w:bookmarkEnd w:id="86"/>
    </w:p>
    <w:p w14:paraId="25FEC103" w14:textId="77777777" w:rsidR="00AA3994" w:rsidRPr="00552A81" w:rsidRDefault="00AA3994" w:rsidP="00354AA1">
      <w:pPr>
        <w:pStyle w:val="SubmissionNormal"/>
        <w:numPr>
          <w:ilvl w:val="0"/>
          <w:numId w:val="0"/>
        </w:numPr>
        <w:jc w:val="both"/>
      </w:pPr>
      <w:r>
        <w:t>While the internet itself may no longer be considered ‘new’,</w:t>
      </w:r>
      <w:r w:rsidRPr="003262B3">
        <w:t xml:space="preserve"> its</w:t>
      </w:r>
      <w:r>
        <w:t xml:space="preserve"> ongoing</w:t>
      </w:r>
      <w:r w:rsidRPr="003262B3">
        <w:t xml:space="preserve"> impact</w:t>
      </w:r>
      <w:r>
        <w:t xml:space="preserve"> across areas of public and private life have created new and untested frontiers, the implications of which will continue to evolve. </w:t>
      </w:r>
      <w:r w:rsidRPr="00EF1665">
        <w:t>The internet has redefined not only what it means to be a business, but what it means to be a customer. It has aided the globalisation of business and facilitated the emergence of children as online consumers in particular.</w:t>
      </w:r>
      <w:r w:rsidRPr="00552A81">
        <w:t xml:space="preserve"> </w:t>
      </w:r>
    </w:p>
    <w:p w14:paraId="393F5CD1" w14:textId="7A753F80" w:rsidR="00AA3994" w:rsidRDefault="00AA3994" w:rsidP="00354AA1">
      <w:pPr>
        <w:pStyle w:val="SubmissionNormal"/>
        <w:numPr>
          <w:ilvl w:val="0"/>
          <w:numId w:val="0"/>
        </w:numPr>
        <w:jc w:val="both"/>
      </w:pPr>
      <w:r>
        <w:t>The i</w:t>
      </w:r>
      <w:r w:rsidRPr="00552A81">
        <w:t>nternet houses the new global shopfront</w:t>
      </w:r>
      <w:r>
        <w:t>,</w:t>
      </w:r>
      <w:r w:rsidRPr="00552A81">
        <w:t xml:space="preserve"> with consumer outlets finding their way off streets, out of shopping centres and straight into Australian homes. In 2012-13, over three-quarters (76</w:t>
      </w:r>
      <w:r>
        <w:t>%</w:t>
      </w:r>
      <w:r w:rsidRPr="00552A81">
        <w:t xml:space="preserve">) or three out of four </w:t>
      </w:r>
      <w:r>
        <w:t>of Australia’s 15.4 million i</w:t>
      </w:r>
      <w:r w:rsidRPr="00552A81">
        <w:t>nternet users bought somethin</w:t>
      </w:r>
      <w:r>
        <w:t>g on</w:t>
      </w:r>
      <w:r w:rsidRPr="00552A81">
        <w:t>line.</w:t>
      </w:r>
      <w:r w:rsidRPr="00552A81">
        <w:rPr>
          <w:rStyle w:val="EndnoteReference"/>
        </w:rPr>
        <w:endnoteReference w:id="195"/>
      </w:r>
      <w:r w:rsidRPr="00552A81">
        <w:t xml:space="preserve"> O</w:t>
      </w:r>
      <w:r>
        <w:t>f particular note within the on</w:t>
      </w:r>
      <w:r w:rsidRPr="00552A81">
        <w:t>line context</w:t>
      </w:r>
      <w:r>
        <w:t xml:space="preserve"> is the high level of i</w:t>
      </w:r>
      <w:r w:rsidRPr="00552A81">
        <w:t xml:space="preserve">nternet use by children in Australia. </w:t>
      </w:r>
    </w:p>
    <w:p w14:paraId="4ED897C4" w14:textId="43BA8AD9" w:rsidR="00AA3994" w:rsidRPr="00552A81" w:rsidRDefault="00AA3994" w:rsidP="00354AA1">
      <w:pPr>
        <w:pStyle w:val="SubmissionNormal"/>
        <w:numPr>
          <w:ilvl w:val="0"/>
          <w:numId w:val="0"/>
        </w:numPr>
        <w:jc w:val="both"/>
      </w:pPr>
      <w:r w:rsidRPr="00552A81">
        <w:t>The Australian Bureau of Statistics reports that 90% of children a</w:t>
      </w:r>
      <w:r>
        <w:t>ged 5 to 14 years accessed the i</w:t>
      </w:r>
      <w:r w:rsidRPr="00552A81">
        <w:t>nternet in the 12 months to April 2012.</w:t>
      </w:r>
      <w:r w:rsidRPr="00552A81">
        <w:rPr>
          <w:rStyle w:val="EndnoteReference"/>
        </w:rPr>
        <w:endnoteReference w:id="196"/>
      </w:r>
      <w:r w:rsidRPr="00552A81">
        <w:t xml:space="preserve"> This reflects a steady increase from 65% in 2006 and 79% in 2009.</w:t>
      </w:r>
      <w:r w:rsidRPr="00552A81">
        <w:rPr>
          <w:rStyle w:val="EndnoteReference"/>
        </w:rPr>
        <w:endnoteReference w:id="197"/>
      </w:r>
      <w:r w:rsidRPr="00552A81">
        <w:t xml:space="preserve"> Generally, the propor</w:t>
      </w:r>
      <w:r>
        <w:t>tion of children accessing the i</w:t>
      </w:r>
      <w:r w:rsidRPr="00552A81">
        <w:t xml:space="preserve">nternet increased with age with 79% of children </w:t>
      </w:r>
      <w:r w:rsidR="002E30E0">
        <w:t xml:space="preserve">aged </w:t>
      </w:r>
      <w:r w:rsidRPr="00552A81">
        <w:t xml:space="preserve">5 </w:t>
      </w:r>
      <w:r>
        <w:t>to 8 years having accessed the i</w:t>
      </w:r>
      <w:r w:rsidRPr="00552A81">
        <w:t>nternet, 96% of 9 to 11 year olds and 98% of 12 to 14 year olds.</w:t>
      </w:r>
      <w:r w:rsidRPr="00552A81">
        <w:rPr>
          <w:rStyle w:val="EndnoteReference"/>
        </w:rPr>
        <w:endnoteReference w:id="198"/>
      </w:r>
    </w:p>
    <w:p w14:paraId="66430BDF" w14:textId="666D8DC8" w:rsidR="00AA3994" w:rsidRDefault="00AA3994" w:rsidP="00354AA1">
      <w:pPr>
        <w:pStyle w:val="SubmissionNormal"/>
        <w:numPr>
          <w:ilvl w:val="0"/>
          <w:numId w:val="0"/>
        </w:numPr>
        <w:jc w:val="both"/>
      </w:pPr>
      <w:r w:rsidRPr="00552A81">
        <w:t xml:space="preserve">An increasingly important part of this context is the use of multiple internet-enabled devices such as mobile </w:t>
      </w:r>
      <w:r>
        <w:t xml:space="preserve">smart </w:t>
      </w:r>
      <w:r w:rsidRPr="00552A81">
        <w:t xml:space="preserve">phones. In relation to children and mobile </w:t>
      </w:r>
      <w:r>
        <w:t xml:space="preserve">smart </w:t>
      </w:r>
      <w:r w:rsidRPr="00552A81">
        <w:t xml:space="preserve">phone use, concerns have typically centred on contractual difficulties children have in understanding </w:t>
      </w:r>
      <w:r w:rsidR="002E30E0">
        <w:t xml:space="preserve">the </w:t>
      </w:r>
      <w:r w:rsidRPr="00552A81">
        <w:t>terms and conditions of phone contracts (and issues of debt recovery).</w:t>
      </w:r>
      <w:r w:rsidRPr="00552A81">
        <w:rPr>
          <w:rStyle w:val="EndnoteReference"/>
        </w:rPr>
        <w:endnoteReference w:id="199"/>
      </w:r>
      <w:r w:rsidRPr="00552A81">
        <w:t xml:space="preserve"> </w:t>
      </w:r>
    </w:p>
    <w:p w14:paraId="352B69C4" w14:textId="74C6E737" w:rsidR="00AA3994" w:rsidRPr="00552A81" w:rsidRDefault="00AA3994" w:rsidP="00354AA1">
      <w:pPr>
        <w:pStyle w:val="SubmissionNormal"/>
        <w:numPr>
          <w:ilvl w:val="0"/>
          <w:numId w:val="0"/>
        </w:numPr>
        <w:jc w:val="both"/>
      </w:pPr>
      <w:r w:rsidRPr="00552A81">
        <w:t>Yet an emerg</w:t>
      </w:r>
      <w:r>
        <w:t>ent</w:t>
      </w:r>
      <w:r w:rsidRPr="00552A81">
        <w:t xml:space="preserve"> issue </w:t>
      </w:r>
      <w:r>
        <w:t>is how access to the i</w:t>
      </w:r>
      <w:r w:rsidRPr="00552A81">
        <w:t xml:space="preserve">nternet itself has now proliferated across multi-functional devices offering users a ‘mobile’ platform. Research has found that 37% of </w:t>
      </w:r>
      <w:r w:rsidR="002E30E0">
        <w:t>8</w:t>
      </w:r>
      <w:r w:rsidRPr="00552A81">
        <w:t xml:space="preserve"> to </w:t>
      </w:r>
      <w:r w:rsidR="002E30E0">
        <w:t>9</w:t>
      </w:r>
      <w:r w:rsidRPr="00552A81">
        <w:t xml:space="preserve"> year olds and 51% of 10 to 11 year olds </w:t>
      </w:r>
      <w:r>
        <w:t>have at some time accessed the i</w:t>
      </w:r>
      <w:r w:rsidRPr="00552A81">
        <w:t>nternet via a mobile</w:t>
      </w:r>
      <w:r>
        <w:t xml:space="preserve"> smart </w:t>
      </w:r>
      <w:r w:rsidRPr="00552A81">
        <w:t>phone.</w:t>
      </w:r>
      <w:r w:rsidRPr="00552A81">
        <w:rPr>
          <w:rStyle w:val="EndnoteReference"/>
        </w:rPr>
        <w:endnoteReference w:id="200"/>
      </w:r>
      <w:r>
        <w:t xml:space="preserve"> Apart from desktop and lap top computers, other i</w:t>
      </w:r>
      <w:r w:rsidRPr="00552A81">
        <w:t xml:space="preserve">nternet enabled devices include </w:t>
      </w:r>
      <w:r w:rsidRPr="00B04377">
        <w:t>iPads</w:t>
      </w:r>
      <w:r>
        <w:t xml:space="preserve"> (tablets)</w:t>
      </w:r>
      <w:r w:rsidR="002E30E0">
        <w:t>, iPods and game</w:t>
      </w:r>
      <w:r w:rsidRPr="00B04377">
        <w:t xml:space="preserve"> consoles.</w:t>
      </w:r>
      <w:r w:rsidRPr="00B04377">
        <w:rPr>
          <w:rStyle w:val="EndnoteReference"/>
        </w:rPr>
        <w:endnoteReference w:id="201"/>
      </w:r>
      <w:r>
        <w:t xml:space="preserve"> </w:t>
      </w:r>
    </w:p>
    <w:p w14:paraId="5D85526D" w14:textId="77777777" w:rsidR="00AA3994" w:rsidRDefault="00AA3994" w:rsidP="00354AA1">
      <w:pPr>
        <w:pStyle w:val="SubmissionNormal"/>
        <w:numPr>
          <w:ilvl w:val="0"/>
          <w:numId w:val="0"/>
        </w:numPr>
        <w:jc w:val="both"/>
      </w:pPr>
      <w:r w:rsidRPr="00552A81">
        <w:t>While c</w:t>
      </w:r>
      <w:r>
        <w:t>hildren use the i</w:t>
      </w:r>
      <w:r w:rsidRPr="00552A81">
        <w:t>nternet for a variety of purposes such as study; listening to music; playing games and social networking</w:t>
      </w:r>
      <w:r w:rsidRPr="00552A81">
        <w:rPr>
          <w:rStyle w:val="EndnoteReference"/>
        </w:rPr>
        <w:endnoteReference w:id="202"/>
      </w:r>
      <w:r w:rsidRPr="00552A81">
        <w:t xml:space="preserve"> it is also being used as an information channel to research products and to </w:t>
      </w:r>
      <w:r>
        <w:t>shop on</w:t>
      </w:r>
      <w:r w:rsidRPr="00552A81">
        <w:t>line.</w:t>
      </w:r>
      <w:r w:rsidRPr="00552A81">
        <w:rPr>
          <w:rStyle w:val="EndnoteReference"/>
        </w:rPr>
        <w:endnoteReference w:id="203"/>
      </w:r>
      <w:r w:rsidRPr="00552A81">
        <w:t xml:space="preserve"> Purchases are being made either </w:t>
      </w:r>
      <w:r w:rsidRPr="00552A81">
        <w:lastRenderedPageBreak/>
        <w:t>directly by children or indirectly by others on their behalf</w:t>
      </w:r>
      <w:r w:rsidRPr="00552A81">
        <w:rPr>
          <w:rStyle w:val="EndnoteReference"/>
        </w:rPr>
        <w:endnoteReference w:id="204"/>
      </w:r>
      <w:r w:rsidRPr="00552A81">
        <w:t xml:space="preserve"> through a ‘mobile’ platform.</w:t>
      </w:r>
    </w:p>
    <w:p w14:paraId="5EB811B6" w14:textId="4EE87AF4" w:rsidR="00AA3994" w:rsidRDefault="00AA3994" w:rsidP="00354AA1">
      <w:pPr>
        <w:pStyle w:val="SubmissionNormal"/>
        <w:numPr>
          <w:ilvl w:val="0"/>
          <w:numId w:val="0"/>
        </w:numPr>
        <w:jc w:val="both"/>
      </w:pPr>
      <w:r>
        <w:t>It has also been reported that as of 2011 there were over a million apps available</w:t>
      </w:r>
      <w:r>
        <w:rPr>
          <w:rStyle w:val="EndnoteReference"/>
        </w:rPr>
        <w:endnoteReference w:id="205"/>
      </w:r>
      <w:r>
        <w:t xml:space="preserve"> with a corresponding increase in games that are available as apps.</w:t>
      </w:r>
      <w:r>
        <w:rPr>
          <w:rStyle w:val="EndnoteReference"/>
        </w:rPr>
        <w:endnoteReference w:id="206"/>
      </w:r>
      <w:r>
        <w:t xml:space="preserve"> Where businesses opt to offer or exclusively use online mobile platforms to sell goods</w:t>
      </w:r>
      <w:r w:rsidR="00840640">
        <w:t xml:space="preserve"> and services (such as through </w:t>
      </w:r>
      <w:r>
        <w:t xml:space="preserve">apps), choices about how customers shop are being made for them. </w:t>
      </w:r>
    </w:p>
    <w:p w14:paraId="568C6575" w14:textId="77777777" w:rsidR="00AA3994" w:rsidRDefault="00AA3994" w:rsidP="00354AA1">
      <w:pPr>
        <w:pStyle w:val="SubmissionNormal"/>
        <w:numPr>
          <w:ilvl w:val="0"/>
          <w:numId w:val="0"/>
        </w:numPr>
        <w:jc w:val="both"/>
      </w:pPr>
      <w:r>
        <w:t>As the consumer context undergoes rapid and fundamental change, issues arise as to whether children are adequately equipped to navigate this changed environment.</w:t>
      </w:r>
      <w:r w:rsidRPr="000445EC">
        <w:t xml:space="preserve"> The active participation of children as online consumers raises pressing questions about whether existing regulation remains relevant, balanced and adequate.</w:t>
      </w:r>
      <w:r>
        <w:t xml:space="preserve"> </w:t>
      </w:r>
    </w:p>
    <w:p w14:paraId="631D1A62" w14:textId="77777777" w:rsidR="00AA3994" w:rsidRDefault="00AA3994" w:rsidP="00354AA1">
      <w:pPr>
        <w:pStyle w:val="Heading3"/>
        <w:jc w:val="both"/>
      </w:pPr>
      <w:bookmarkStart w:id="87" w:name="_Toc430333085"/>
      <w:bookmarkStart w:id="88" w:name="_Toc430702078"/>
      <w:r>
        <w:t>An identified need for further investigation</w:t>
      </w:r>
      <w:bookmarkEnd w:id="87"/>
      <w:bookmarkEnd w:id="88"/>
    </w:p>
    <w:p w14:paraId="6E8A1C7B" w14:textId="66F02644" w:rsidR="00AA3994" w:rsidRPr="00552A81" w:rsidRDefault="00AA3994" w:rsidP="00354AA1">
      <w:pPr>
        <w:pStyle w:val="SubmissionNormal"/>
        <w:numPr>
          <w:ilvl w:val="0"/>
          <w:numId w:val="0"/>
        </w:numPr>
        <w:jc w:val="both"/>
      </w:pPr>
      <w:r w:rsidRPr="00552A81">
        <w:t>There is growing recognition and acceptance of the relevance of business to human rights.</w:t>
      </w:r>
      <w:r w:rsidRPr="00552A81">
        <w:rPr>
          <w:rStyle w:val="EndnoteReference"/>
        </w:rPr>
        <w:endnoteReference w:id="207"/>
      </w:r>
      <w:r w:rsidRPr="00552A81">
        <w:t xml:space="preserve"> The </w:t>
      </w:r>
      <w:r w:rsidR="00840640">
        <w:t xml:space="preserve">United Nations </w:t>
      </w:r>
      <w:r w:rsidRPr="00552A81">
        <w:t>Committee on the Rights of the Child highlights the specific role of national human rights institutions in raising awareness of the provisions of the Convent</w:t>
      </w:r>
      <w:r w:rsidR="00840640">
        <w:t xml:space="preserve">ion on the Rights of the Child </w:t>
      </w:r>
      <w:r w:rsidRPr="00552A81">
        <w:t>within the business sector.</w:t>
      </w:r>
      <w:r w:rsidRPr="00552A81">
        <w:rPr>
          <w:rStyle w:val="EndnoteReference"/>
        </w:rPr>
        <w:endnoteReference w:id="208"/>
      </w:r>
      <w:r>
        <w:t xml:space="preserve"> An impetus </w:t>
      </w:r>
      <w:r w:rsidRPr="00552A81">
        <w:t>exists to take stock of how children are treated within the Australian consumer environment.</w:t>
      </w:r>
    </w:p>
    <w:p w14:paraId="437396B1" w14:textId="0C1966AB" w:rsidR="00AA3994" w:rsidRPr="00552A81" w:rsidRDefault="00AA3994" w:rsidP="00354AA1">
      <w:pPr>
        <w:pStyle w:val="SubmissionNormal"/>
        <w:numPr>
          <w:ilvl w:val="0"/>
          <w:numId w:val="0"/>
        </w:numPr>
        <w:jc w:val="both"/>
      </w:pPr>
      <w:r w:rsidRPr="00552A81">
        <w:t>As a signatory to the Convention</w:t>
      </w:r>
      <w:r w:rsidR="00840640" w:rsidRPr="00840640">
        <w:t xml:space="preserve"> </w:t>
      </w:r>
      <w:r w:rsidR="00840640">
        <w:t>on the Rights of the Child</w:t>
      </w:r>
      <w:r w:rsidRPr="00552A81">
        <w:t xml:space="preserve">, the Australian </w:t>
      </w:r>
      <w:r>
        <w:t>G</w:t>
      </w:r>
      <w:r w:rsidRPr="00552A81">
        <w:t xml:space="preserve">overnment has an obligation to comply with its provisions. Business has a responsibility to uphold the human rights of children within its operations, as well as complying with relevant regulation that ensures this occurs. </w:t>
      </w:r>
    </w:p>
    <w:p w14:paraId="4468CF74" w14:textId="77777777" w:rsidR="00AA3994" w:rsidRPr="00552A81" w:rsidRDefault="00AA3994" w:rsidP="00354AA1">
      <w:pPr>
        <w:pStyle w:val="SubmissionNormal"/>
        <w:numPr>
          <w:ilvl w:val="0"/>
          <w:numId w:val="0"/>
        </w:numPr>
        <w:jc w:val="both"/>
      </w:pPr>
      <w:r w:rsidRPr="00552A81">
        <w:t>While the business sector has emerged as a key feature of Australian society, children’s role</w:t>
      </w:r>
      <w:r>
        <w:t xml:space="preserve"> as ‘on</w:t>
      </w:r>
      <w:r w:rsidRPr="00552A81">
        <w:t xml:space="preserve">line consumers’ remains peripheral to both consumer and cyber discourses. </w:t>
      </w:r>
      <w:r w:rsidRPr="000445EC">
        <w:t>It has attracted little research or data collection both domestically and internationally.</w:t>
      </w:r>
      <w:r w:rsidRPr="00552A81">
        <w:t xml:space="preserve"> </w:t>
      </w:r>
    </w:p>
    <w:p w14:paraId="03EB761A" w14:textId="77777777" w:rsidR="00AA3994" w:rsidRPr="00552A81" w:rsidRDefault="00AA3994" w:rsidP="00354AA1">
      <w:pPr>
        <w:pStyle w:val="SubmissionNormal"/>
        <w:numPr>
          <w:ilvl w:val="0"/>
          <w:numId w:val="0"/>
        </w:numPr>
        <w:jc w:val="both"/>
      </w:pPr>
      <w:r w:rsidRPr="00552A81">
        <w:t xml:space="preserve">It remains unclear what problems </w:t>
      </w:r>
      <w:r>
        <w:t>children are experiencing as on</w:t>
      </w:r>
      <w:r w:rsidRPr="00552A81">
        <w:t xml:space="preserve">line consumers and whether current regulation is sufficient to the task of ensuring children’s human rights are adequately safeguarded. Given this situation a need exists for further investigation into this issue. </w:t>
      </w:r>
    </w:p>
    <w:p w14:paraId="7B1E7891" w14:textId="53C9DD9D" w:rsidR="00AA3994" w:rsidRPr="00552A81" w:rsidRDefault="00AA3994" w:rsidP="00354AA1">
      <w:pPr>
        <w:pStyle w:val="SubmissionNormal"/>
        <w:numPr>
          <w:ilvl w:val="0"/>
          <w:numId w:val="0"/>
        </w:numPr>
        <w:jc w:val="both"/>
      </w:pPr>
      <w:r w:rsidRPr="00552A81">
        <w:t xml:space="preserve">Section 46MB(1)(c) of the </w:t>
      </w:r>
      <w:r w:rsidRPr="00840640">
        <w:rPr>
          <w:i/>
        </w:rPr>
        <w:t>Australian Human Rights Commission Act 1986</w:t>
      </w:r>
      <w:r w:rsidR="00840640">
        <w:t xml:space="preserve"> (Cth) </w:t>
      </w:r>
      <w:r w:rsidRPr="00552A81">
        <w:t>provides that the National Children’s Commissioner may:</w:t>
      </w:r>
    </w:p>
    <w:p w14:paraId="5B044A8F" w14:textId="77777777" w:rsidR="00AA3994" w:rsidRPr="00B16868" w:rsidRDefault="00AA3994" w:rsidP="00354AA1">
      <w:pPr>
        <w:pStyle w:val="SubmissionNormal"/>
        <w:numPr>
          <w:ilvl w:val="0"/>
          <w:numId w:val="0"/>
        </w:numPr>
        <w:ind w:left="971"/>
        <w:jc w:val="both"/>
        <w:rPr>
          <w:sz w:val="22"/>
        </w:rPr>
      </w:pPr>
      <w:r w:rsidRPr="00B16868">
        <w:rPr>
          <w:sz w:val="22"/>
        </w:rPr>
        <w:t>Undertake research, or educational or other programs, for the purpose of promoting respect for the human rights of children in Australia, and promoting the enjoyment and exercise of human rights by children in Australia.</w:t>
      </w:r>
    </w:p>
    <w:p w14:paraId="4EAD41C4" w14:textId="77777777" w:rsidR="00AA3994" w:rsidRPr="00552A81" w:rsidRDefault="00AA3994" w:rsidP="00354AA1">
      <w:pPr>
        <w:pStyle w:val="SubmissionNormal"/>
        <w:numPr>
          <w:ilvl w:val="0"/>
          <w:numId w:val="0"/>
        </w:numPr>
        <w:jc w:val="both"/>
      </w:pPr>
      <w:r w:rsidRPr="00552A81">
        <w:t xml:space="preserve">Utilising this function, </w:t>
      </w:r>
      <w:r>
        <w:t>I undertook an initial</w:t>
      </w:r>
      <w:r w:rsidRPr="00552A81">
        <w:t xml:space="preserve"> examination</w:t>
      </w:r>
      <w:r>
        <w:t xml:space="preserve"> </w:t>
      </w:r>
      <w:r w:rsidRPr="00552A81">
        <w:t>into issues relating to the impact of business on the human rights of children and young people (under the age of 18 years) as consumers</w:t>
      </w:r>
      <w:r>
        <w:t>, with a particular focus on the online environment</w:t>
      </w:r>
      <w:r w:rsidRPr="00552A81">
        <w:t xml:space="preserve">. </w:t>
      </w:r>
    </w:p>
    <w:p w14:paraId="67C0D2AB" w14:textId="77777777" w:rsidR="00AA3994" w:rsidRDefault="00AA3994" w:rsidP="00354AA1">
      <w:pPr>
        <w:pStyle w:val="SubmissionNormal"/>
        <w:numPr>
          <w:ilvl w:val="0"/>
          <w:numId w:val="0"/>
        </w:numPr>
        <w:jc w:val="both"/>
      </w:pPr>
      <w:r w:rsidRPr="00552A81">
        <w:t>Children are entitled to be active and empowered participants in all areas of</w:t>
      </w:r>
      <w:r w:rsidRPr="00F42C22">
        <w:t xml:space="preserve"> public life, including as consumers. It is our responsibility as a community to ensure that this occurs in </w:t>
      </w:r>
      <w:r>
        <w:t>a manner that respects and realises the human rights of children</w:t>
      </w:r>
      <w:r w:rsidRPr="00F42C22">
        <w:t>.</w:t>
      </w:r>
    </w:p>
    <w:p w14:paraId="6B5EDB7C" w14:textId="66F0C184" w:rsidR="00AA3994" w:rsidRDefault="00AA3994" w:rsidP="00354AA1">
      <w:pPr>
        <w:pStyle w:val="SubmissionNormal"/>
        <w:numPr>
          <w:ilvl w:val="0"/>
          <w:numId w:val="0"/>
        </w:numPr>
        <w:jc w:val="both"/>
      </w:pPr>
      <w:r w:rsidRPr="00552A81">
        <w:lastRenderedPageBreak/>
        <w:t>I hope that this examination will contribut</w:t>
      </w:r>
      <w:r>
        <w:t>e</w:t>
      </w:r>
      <w:r w:rsidRPr="00552A81">
        <w:t xml:space="preserve"> to the start of a </w:t>
      </w:r>
      <w:r>
        <w:t xml:space="preserve">national discussion about children’s rights as consumers, on </w:t>
      </w:r>
      <w:r w:rsidRPr="00552A81">
        <w:t>th</w:t>
      </w:r>
      <w:r>
        <w:t>eir activities and experiences, and on options to work collaboratively</w:t>
      </w:r>
      <w:r w:rsidRPr="00552A81">
        <w:t xml:space="preserve"> with business to further improve the on</w:t>
      </w:r>
      <w:r w:rsidR="002809BF">
        <w:t>line and off</w:t>
      </w:r>
      <w:r w:rsidRPr="00552A81">
        <w:t>line consumer context</w:t>
      </w:r>
      <w:r>
        <w:t xml:space="preserve"> for children and young people</w:t>
      </w:r>
      <w:r w:rsidRPr="00552A81">
        <w:t xml:space="preserve">. </w:t>
      </w:r>
    </w:p>
    <w:p w14:paraId="31171D6F" w14:textId="77777777" w:rsidR="00AA3994" w:rsidRPr="00881FEF" w:rsidRDefault="00AA3994" w:rsidP="00354AA1">
      <w:pPr>
        <w:pStyle w:val="Heading3"/>
        <w:jc w:val="both"/>
      </w:pPr>
      <w:bookmarkStart w:id="89" w:name="_Toc430333086"/>
      <w:bookmarkStart w:id="90" w:name="_Toc430702079"/>
      <w:r>
        <w:t>A child rights-based approach</w:t>
      </w:r>
      <w:bookmarkEnd w:id="89"/>
      <w:bookmarkEnd w:id="90"/>
    </w:p>
    <w:p w14:paraId="5ED0E8B0" w14:textId="579F3D96" w:rsidR="00AA3994" w:rsidRPr="00A56392" w:rsidRDefault="00AA3994" w:rsidP="00354AA1">
      <w:pPr>
        <w:pStyle w:val="SubmissionNormal"/>
        <w:numPr>
          <w:ilvl w:val="0"/>
          <w:numId w:val="0"/>
        </w:numPr>
        <w:shd w:val="clear" w:color="auto" w:fill="FFFFFF" w:themeFill="background1"/>
        <w:jc w:val="both"/>
      </w:pPr>
      <w:r w:rsidRPr="00A56392">
        <w:t xml:space="preserve">The </w:t>
      </w:r>
      <w:r w:rsidR="001820B0">
        <w:t xml:space="preserve">United Nations </w:t>
      </w:r>
      <w:r w:rsidRPr="00A56392">
        <w:t>Committee on the Rights of the Child actively promotes the adoption of a child rights-based approach</w:t>
      </w:r>
      <w:r w:rsidR="001820B0">
        <w:t>,</w:t>
      </w:r>
      <w:r w:rsidRPr="00A56392">
        <w:rPr>
          <w:rStyle w:val="EndnoteReference"/>
        </w:rPr>
        <w:endnoteReference w:id="209"/>
      </w:r>
      <w:r w:rsidRPr="00A56392">
        <w:t xml:space="preserve"> which is consistent with the Commission’s own objective of applying ‘a human-rights-based approach to its work’.</w:t>
      </w:r>
      <w:r w:rsidRPr="00A56392">
        <w:rPr>
          <w:rStyle w:val="EndnoteReference"/>
        </w:rPr>
        <w:endnoteReference w:id="210"/>
      </w:r>
      <w:r w:rsidRPr="00A56392">
        <w:t xml:space="preserve"> </w:t>
      </w:r>
    </w:p>
    <w:p w14:paraId="0F7B9F14" w14:textId="6750FEAC" w:rsidR="00AA3994" w:rsidRPr="00A56392" w:rsidRDefault="00AA3994" w:rsidP="00354AA1">
      <w:pPr>
        <w:pStyle w:val="SubmissionNormal"/>
        <w:numPr>
          <w:ilvl w:val="0"/>
          <w:numId w:val="0"/>
        </w:numPr>
        <w:shd w:val="clear" w:color="auto" w:fill="FFFFFF" w:themeFill="background1"/>
        <w:jc w:val="both"/>
        <w:rPr>
          <w:color w:val="000000" w:themeColor="text1"/>
        </w:rPr>
      </w:pPr>
      <w:r w:rsidRPr="00A56392">
        <w:rPr>
          <w:color w:val="000000" w:themeColor="text1"/>
        </w:rPr>
        <w:t>According to the Committee, a child</w:t>
      </w:r>
      <w:r w:rsidR="001820B0">
        <w:rPr>
          <w:color w:val="000000" w:themeColor="text1"/>
        </w:rPr>
        <w:t xml:space="preserve"> </w:t>
      </w:r>
      <w:r w:rsidRPr="00A56392">
        <w:rPr>
          <w:color w:val="000000" w:themeColor="text1"/>
        </w:rPr>
        <w:t>rights</w:t>
      </w:r>
      <w:r w:rsidR="001820B0">
        <w:rPr>
          <w:color w:val="000000" w:themeColor="text1"/>
        </w:rPr>
        <w:t>-</w:t>
      </w:r>
      <w:r w:rsidRPr="00A56392">
        <w:rPr>
          <w:color w:val="000000" w:themeColor="text1"/>
        </w:rPr>
        <w:t>based approach conceives of children as rights</w:t>
      </w:r>
      <w:r>
        <w:rPr>
          <w:color w:val="000000" w:themeColor="text1"/>
        </w:rPr>
        <w:t>-</w:t>
      </w:r>
      <w:r w:rsidRPr="00A56392">
        <w:rPr>
          <w:color w:val="000000" w:themeColor="text1"/>
        </w:rPr>
        <w:t>holders with non-negotiable rights to protection.</w:t>
      </w:r>
      <w:r w:rsidRPr="00A56392">
        <w:rPr>
          <w:rStyle w:val="EndnoteReference"/>
          <w:color w:val="000000" w:themeColor="text1"/>
        </w:rPr>
        <w:endnoteReference w:id="211"/>
      </w:r>
      <w:r w:rsidRPr="00A56392">
        <w:rPr>
          <w:color w:val="000000" w:themeColor="text1"/>
        </w:rPr>
        <w:t xml:space="preserve"> It is seen as distinct from ‘child protection approaches’ where children are treated as passive ‘objects’ in need of assistance.</w:t>
      </w:r>
      <w:r w:rsidRPr="00A56392">
        <w:rPr>
          <w:rStyle w:val="EndnoteReference"/>
          <w:color w:val="000000" w:themeColor="text1"/>
        </w:rPr>
        <w:endnoteReference w:id="212"/>
      </w:r>
      <w:r w:rsidRPr="00A56392">
        <w:rPr>
          <w:color w:val="000000" w:themeColor="text1"/>
        </w:rPr>
        <w:t xml:space="preserve"> </w:t>
      </w:r>
    </w:p>
    <w:p w14:paraId="14926E67" w14:textId="77777777" w:rsidR="00AA3994" w:rsidRPr="00A56392" w:rsidRDefault="00AA3994" w:rsidP="00354AA1">
      <w:pPr>
        <w:pStyle w:val="SubmissionNormal"/>
        <w:numPr>
          <w:ilvl w:val="0"/>
          <w:numId w:val="0"/>
        </w:numPr>
        <w:shd w:val="clear" w:color="auto" w:fill="FFFFFF" w:themeFill="background1"/>
        <w:jc w:val="both"/>
      </w:pPr>
      <w:r w:rsidRPr="00A56392">
        <w:t>A child rights-based approach aims to develop the capacity of duty bearers (such as governments) to meet their obligations and to build the capacity of rights</w:t>
      </w:r>
      <w:r>
        <w:t>-</w:t>
      </w:r>
      <w:r w:rsidRPr="00A56392">
        <w:t>holders (children) to claim their rights.</w:t>
      </w:r>
      <w:r w:rsidRPr="00A56392">
        <w:rPr>
          <w:rStyle w:val="EndnoteReference"/>
        </w:rPr>
        <w:endnoteReference w:id="213"/>
      </w:r>
      <w:r w:rsidRPr="00A56392">
        <w:t xml:space="preserve"> It is guided by four general principles</w:t>
      </w:r>
      <w:r w:rsidRPr="00A56392">
        <w:rPr>
          <w:rStyle w:val="EndnoteReference"/>
        </w:rPr>
        <w:endnoteReference w:id="214"/>
      </w:r>
      <w:r w:rsidRPr="00A56392">
        <w:t xml:space="preserve"> that the Committee has specifically applied to the business context which</w:t>
      </w:r>
      <w:r>
        <w:t xml:space="preserve"> are</w:t>
      </w:r>
      <w:r w:rsidRPr="00A56392">
        <w:t xml:space="preserve"> summarised below:</w:t>
      </w:r>
    </w:p>
    <w:p w14:paraId="50A2185E" w14:textId="3425BEE0" w:rsidR="00AA3994" w:rsidRPr="00A56392" w:rsidRDefault="00AA3994" w:rsidP="000D1D92">
      <w:pPr>
        <w:pStyle w:val="SubmissionNormal"/>
        <w:numPr>
          <w:ilvl w:val="0"/>
          <w:numId w:val="20"/>
        </w:numPr>
        <w:shd w:val="clear" w:color="auto" w:fill="FFFFFF" w:themeFill="background1"/>
        <w:jc w:val="both"/>
      </w:pPr>
      <w:r w:rsidRPr="00A56392">
        <w:rPr>
          <w:i/>
        </w:rPr>
        <w:t>Th</w:t>
      </w:r>
      <w:r w:rsidR="001820B0">
        <w:rPr>
          <w:i/>
        </w:rPr>
        <w:t>e right to non-discrimination (a</w:t>
      </w:r>
      <w:r w:rsidRPr="00A56392">
        <w:rPr>
          <w:i/>
        </w:rPr>
        <w:t>rticle 2)</w:t>
      </w:r>
      <w:r w:rsidRPr="00A56392">
        <w:t xml:space="preserve"> – in relation to business, the </w:t>
      </w:r>
      <w:r w:rsidR="001F0C3F">
        <w:t>State Party</w:t>
      </w:r>
      <w:r w:rsidRPr="00A56392">
        <w:t xml:space="preserve"> must ensure that all legislation, policies and programmes that deal with business issues do not discriminate (intentionally or unintentionally) against children.</w:t>
      </w:r>
      <w:r w:rsidRPr="00A56392">
        <w:rPr>
          <w:rStyle w:val="EndnoteReference"/>
        </w:rPr>
        <w:endnoteReference w:id="215"/>
      </w:r>
      <w:r w:rsidRPr="00A56392">
        <w:t xml:space="preserve"> States </w:t>
      </w:r>
      <w:r w:rsidR="001F0C3F">
        <w:t xml:space="preserve">Parties </w:t>
      </w:r>
      <w:r w:rsidRPr="00A56392">
        <w:t>should collect statistical data and other information to identify discrimination against children, raise awareness of it within the private sphere and provide a mechanism for redress.</w:t>
      </w:r>
      <w:r w:rsidRPr="00A56392">
        <w:rPr>
          <w:rStyle w:val="EndnoteReference"/>
        </w:rPr>
        <w:endnoteReference w:id="216"/>
      </w:r>
      <w:r w:rsidRPr="00A56392">
        <w:t xml:space="preserve"> </w:t>
      </w:r>
    </w:p>
    <w:p w14:paraId="758DBBC4" w14:textId="5375E073" w:rsidR="00AA3994" w:rsidRPr="00A56392" w:rsidRDefault="00AA3994" w:rsidP="000D1D92">
      <w:pPr>
        <w:pStyle w:val="SubmissionNormal"/>
        <w:numPr>
          <w:ilvl w:val="0"/>
          <w:numId w:val="20"/>
        </w:numPr>
        <w:shd w:val="clear" w:color="auto" w:fill="FFFFFF" w:themeFill="background1"/>
        <w:jc w:val="both"/>
      </w:pPr>
      <w:r w:rsidRPr="00A56392">
        <w:rPr>
          <w:i/>
        </w:rPr>
        <w:t>The best interests of the child (</w:t>
      </w:r>
      <w:r w:rsidR="001820B0">
        <w:rPr>
          <w:i/>
        </w:rPr>
        <w:t>a</w:t>
      </w:r>
      <w:r w:rsidRPr="00A56392">
        <w:rPr>
          <w:i/>
        </w:rPr>
        <w:t xml:space="preserve">rticle 3) – </w:t>
      </w:r>
      <w:r w:rsidRPr="00A56392">
        <w:t xml:space="preserve">the </w:t>
      </w:r>
      <w:r w:rsidR="001F0C3F">
        <w:t>State Party</w:t>
      </w:r>
      <w:r w:rsidRPr="00A56392">
        <w:t xml:space="preserve"> has an obligation to ensure that the best interests of the child are a primary consideration in decisions and actions taken by the private sector that impact on a child.</w:t>
      </w:r>
      <w:r w:rsidRPr="00A56392">
        <w:rPr>
          <w:rStyle w:val="EndnoteReference"/>
        </w:rPr>
        <w:endnoteReference w:id="217"/>
      </w:r>
      <w:r w:rsidRPr="00A56392">
        <w:t xml:space="preserve"> </w:t>
      </w:r>
      <w:r w:rsidR="00283AB8">
        <w:t>States Parties</w:t>
      </w:r>
      <w:r w:rsidRPr="00A56392">
        <w:t xml:space="preserve"> must apply the ‘best interests’ principle to all legislative, administrative and judicial proceedings concerning business activities that impact on children.</w:t>
      </w:r>
      <w:r w:rsidRPr="00A56392">
        <w:rPr>
          <w:rStyle w:val="EndnoteReference"/>
        </w:rPr>
        <w:endnoteReference w:id="218"/>
      </w:r>
      <w:r w:rsidRPr="00A56392">
        <w:t xml:space="preserve"> This includes explaining how the best interests of the child ha</w:t>
      </w:r>
      <w:r w:rsidR="001F0C3F">
        <w:t>ve</w:t>
      </w:r>
      <w:r w:rsidRPr="00A56392">
        <w:t xml:space="preserve"> been weighed against other policy considerations in government decision-making.</w:t>
      </w:r>
      <w:r w:rsidRPr="00A56392">
        <w:rPr>
          <w:rStyle w:val="EndnoteReference"/>
        </w:rPr>
        <w:endnoteReference w:id="219"/>
      </w:r>
    </w:p>
    <w:p w14:paraId="59694470" w14:textId="1CB7E212" w:rsidR="00AA3994" w:rsidRPr="00A56392" w:rsidRDefault="00AA3994" w:rsidP="000D1D92">
      <w:pPr>
        <w:pStyle w:val="SubmissionNormal"/>
        <w:numPr>
          <w:ilvl w:val="0"/>
          <w:numId w:val="20"/>
        </w:numPr>
        <w:shd w:val="clear" w:color="auto" w:fill="FFFFFF" w:themeFill="background1"/>
        <w:jc w:val="both"/>
      </w:pPr>
      <w:r w:rsidRPr="00A56392">
        <w:rPr>
          <w:i/>
        </w:rPr>
        <w:t>The right to life, survival and development (</w:t>
      </w:r>
      <w:r w:rsidR="001820B0">
        <w:rPr>
          <w:i/>
        </w:rPr>
        <w:t>a</w:t>
      </w:r>
      <w:r w:rsidRPr="00A56392">
        <w:rPr>
          <w:i/>
        </w:rPr>
        <w:t>rticle 6)</w:t>
      </w:r>
      <w:r w:rsidRPr="00A56392">
        <w:t xml:space="preserve"> – ‘development’ is defined as a ‘holistic concept, embracing the child’s physical, mental, spiritual, moral, psychological and social development’.</w:t>
      </w:r>
      <w:r w:rsidRPr="00A56392">
        <w:rPr>
          <w:rStyle w:val="EndnoteReference"/>
        </w:rPr>
        <w:endnoteReference w:id="220"/>
      </w:r>
      <w:r w:rsidRPr="00A56392">
        <w:t xml:space="preserve"> In the business-specific context, a child’s healthy development may be impacted on by certain forms of marketing and advertising</w:t>
      </w:r>
      <w:r>
        <w:t>, or products</w:t>
      </w:r>
      <w:r w:rsidRPr="00A56392">
        <w:t>.</w:t>
      </w:r>
      <w:r w:rsidRPr="00A56392">
        <w:rPr>
          <w:rStyle w:val="EndnoteReference"/>
        </w:rPr>
        <w:endnoteReference w:id="221"/>
      </w:r>
      <w:r w:rsidRPr="00A56392">
        <w:t xml:space="preserve"> Where this is the case, </w:t>
      </w:r>
      <w:r w:rsidR="00283AB8">
        <w:t>States Parties</w:t>
      </w:r>
      <w:r w:rsidRPr="00A56392">
        <w:t xml:space="preserve"> have an obligation to consider preventative measures such as effective regulation and monitoring of industr</w:t>
      </w:r>
      <w:r>
        <w:t>y</w:t>
      </w:r>
      <w:r w:rsidRPr="00A56392">
        <w:t>.</w:t>
      </w:r>
      <w:r w:rsidRPr="00A56392">
        <w:rPr>
          <w:rStyle w:val="EndnoteReference"/>
        </w:rPr>
        <w:endnoteReference w:id="222"/>
      </w:r>
    </w:p>
    <w:p w14:paraId="36736ECE" w14:textId="2446E815" w:rsidR="00AA3994" w:rsidRPr="00A56392" w:rsidRDefault="00AA3994" w:rsidP="000D1D92">
      <w:pPr>
        <w:pStyle w:val="SubmissionNormal"/>
        <w:numPr>
          <w:ilvl w:val="0"/>
          <w:numId w:val="20"/>
        </w:numPr>
        <w:shd w:val="clear" w:color="auto" w:fill="FFFFFF" w:themeFill="background1"/>
        <w:jc w:val="both"/>
      </w:pPr>
      <w:r w:rsidRPr="00A56392">
        <w:rPr>
          <w:i/>
        </w:rPr>
        <w:t>The right of the child to be heard (</w:t>
      </w:r>
      <w:r w:rsidR="001820B0">
        <w:rPr>
          <w:i/>
        </w:rPr>
        <w:t>a</w:t>
      </w:r>
      <w:r w:rsidRPr="00A56392">
        <w:rPr>
          <w:i/>
        </w:rPr>
        <w:t>rticle 12)</w:t>
      </w:r>
      <w:r w:rsidRPr="00A56392">
        <w:t xml:space="preserve"> – </w:t>
      </w:r>
      <w:r w:rsidR="001F0C3F">
        <w:t>S</w:t>
      </w:r>
      <w:r>
        <w:t>tate</w:t>
      </w:r>
      <w:r w:rsidR="00283AB8">
        <w:t>s</w:t>
      </w:r>
      <w:r>
        <w:t xml:space="preserve"> </w:t>
      </w:r>
      <w:r w:rsidR="001F0C3F">
        <w:t>P</w:t>
      </w:r>
      <w:r>
        <w:t>arties</w:t>
      </w:r>
      <w:r w:rsidRPr="00A56392">
        <w:t xml:space="preserve"> should provide children with the opportunity</w:t>
      </w:r>
      <w:r w:rsidRPr="00A56392">
        <w:rPr>
          <w:rStyle w:val="EndnoteReference"/>
        </w:rPr>
        <w:endnoteReference w:id="223"/>
      </w:r>
      <w:r w:rsidRPr="00A56392">
        <w:t xml:space="preserve"> to be heard when developing national and local-level business related laws and policies that may affect them.</w:t>
      </w:r>
      <w:r w:rsidRPr="00A56392">
        <w:rPr>
          <w:rStyle w:val="EndnoteReference"/>
        </w:rPr>
        <w:endnoteReference w:id="224"/>
      </w:r>
      <w:r w:rsidR="00283AB8">
        <w:t xml:space="preserve"> The State Party</w:t>
      </w:r>
      <w:r w:rsidRPr="00A56392">
        <w:t xml:space="preserve"> should encourage children to form ‘a free view’ and provide an </w:t>
      </w:r>
      <w:r w:rsidRPr="00A56392">
        <w:lastRenderedPageBreak/>
        <w:t>environment that enables children’s ability to be heard.</w:t>
      </w:r>
      <w:r w:rsidRPr="00A56392">
        <w:rPr>
          <w:rStyle w:val="EndnoteReference"/>
        </w:rPr>
        <w:endnoteReference w:id="225"/>
      </w:r>
      <w:r w:rsidRPr="00A56392">
        <w:t xml:space="preserve"> The broadest interpretation should be applied to matters that could impact on children in order to assist with their inclusion in the social processes of their community and society.</w:t>
      </w:r>
      <w:r w:rsidRPr="00A56392">
        <w:rPr>
          <w:rStyle w:val="EndnoteReference"/>
        </w:rPr>
        <w:endnoteReference w:id="226"/>
      </w:r>
      <w:r w:rsidRPr="00A56392">
        <w:t xml:space="preserve"> Pertinently for business, the Committee specifically refers to the necessity of procedures for complaints, including access to remedies or redress.</w:t>
      </w:r>
      <w:r w:rsidRPr="00A56392">
        <w:rPr>
          <w:rStyle w:val="EndnoteReference"/>
        </w:rPr>
        <w:endnoteReference w:id="227"/>
      </w:r>
      <w:r w:rsidRPr="00A56392">
        <w:t xml:space="preserve"> </w:t>
      </w:r>
      <w:r w:rsidRPr="007325D3">
        <w:t>Further to this, children’s voices</w:t>
      </w:r>
      <w:r>
        <w:t xml:space="preserve"> also</w:t>
      </w:r>
      <w:r w:rsidRPr="007325D3">
        <w:t xml:space="preserve"> have a critical part to play as engaged customers in the design process, as expert users of goods and services, to the benef</w:t>
      </w:r>
      <w:r>
        <w:t xml:space="preserve">it of the long term health of a </w:t>
      </w:r>
      <w:r w:rsidRPr="007325D3">
        <w:t>business.</w:t>
      </w:r>
      <w:r w:rsidRPr="007325D3">
        <w:rPr>
          <w:rStyle w:val="EndnoteReference"/>
        </w:rPr>
        <w:endnoteReference w:id="228"/>
      </w:r>
    </w:p>
    <w:p w14:paraId="056EA0D1" w14:textId="35B112FB" w:rsidR="00AA3994" w:rsidRPr="00A56392" w:rsidRDefault="00AA3994" w:rsidP="00354AA1">
      <w:pPr>
        <w:pStyle w:val="SubmissionNormal"/>
        <w:numPr>
          <w:ilvl w:val="0"/>
          <w:numId w:val="0"/>
        </w:numPr>
        <w:shd w:val="clear" w:color="auto" w:fill="FFFFFF" w:themeFill="background1"/>
        <w:jc w:val="both"/>
      </w:pPr>
      <w:r w:rsidRPr="00A56392">
        <w:t>These rights do not sit in isolation from each other and often intersect. For example, the right to be heard (</w:t>
      </w:r>
      <w:r w:rsidR="001F0C3F">
        <w:t>a</w:t>
      </w:r>
      <w:r w:rsidRPr="00A56392">
        <w:t>rticle 12) can be linked with the right to freedom of expression (</w:t>
      </w:r>
      <w:r w:rsidR="001F0C3F">
        <w:t>a</w:t>
      </w:r>
      <w:r w:rsidRPr="00A56392">
        <w:t>rticle 13) as can the child’s right to information (</w:t>
      </w:r>
      <w:r w:rsidR="001F0C3F">
        <w:t>a</w:t>
      </w:r>
      <w:r w:rsidRPr="00A56392">
        <w:t>rticle 17) which to a large degree, is a prerequisite to the ability to express one’s views.</w:t>
      </w:r>
      <w:r w:rsidRPr="00A56392">
        <w:rPr>
          <w:rStyle w:val="EndnoteReference"/>
        </w:rPr>
        <w:endnoteReference w:id="229"/>
      </w:r>
      <w:r w:rsidRPr="00A56392">
        <w:t xml:space="preserve"> </w:t>
      </w:r>
    </w:p>
    <w:p w14:paraId="001C2C73" w14:textId="77777777" w:rsidR="00AA3994" w:rsidRPr="00A56392" w:rsidRDefault="00AA3994" w:rsidP="00354AA1">
      <w:pPr>
        <w:pStyle w:val="SubmissionNormal"/>
        <w:numPr>
          <w:ilvl w:val="0"/>
          <w:numId w:val="0"/>
        </w:numPr>
        <w:shd w:val="clear" w:color="auto" w:fill="FFFFFF" w:themeFill="background1"/>
        <w:jc w:val="both"/>
      </w:pPr>
      <w:r w:rsidRPr="00A56392">
        <w:t>What must also be taken into account is that children are not a homogenous group and that this diversity must be incorporated into any assessment of the best interests of the child.</w:t>
      </w:r>
      <w:r w:rsidRPr="00A56392">
        <w:rPr>
          <w:rStyle w:val="EndnoteReference"/>
        </w:rPr>
        <w:endnoteReference w:id="230"/>
      </w:r>
      <w:r w:rsidRPr="00A56392">
        <w:t xml:space="preserve"> While children share basic universal needs, the expression of those needs can be affected by the sex, sexual orientation, national origin, religion and beliefs, cultural identity and/or personality of the child.</w:t>
      </w:r>
      <w:r w:rsidRPr="00A56392">
        <w:rPr>
          <w:rStyle w:val="EndnoteReference"/>
        </w:rPr>
        <w:endnoteReference w:id="231"/>
      </w:r>
      <w:r w:rsidRPr="00A56392">
        <w:t xml:space="preserve"> </w:t>
      </w:r>
    </w:p>
    <w:p w14:paraId="53E1E5EF" w14:textId="77777777" w:rsidR="00AA3994" w:rsidRPr="00A56392" w:rsidRDefault="00AA3994" w:rsidP="00354AA1">
      <w:pPr>
        <w:pStyle w:val="SubmissionNormal"/>
        <w:numPr>
          <w:ilvl w:val="0"/>
          <w:numId w:val="0"/>
        </w:numPr>
        <w:shd w:val="clear" w:color="auto" w:fill="FFFFFF" w:themeFill="background1"/>
        <w:jc w:val="both"/>
      </w:pPr>
      <w:r w:rsidRPr="00A56392">
        <w:t>Informed by this approach, the chapter includes an international survey of existing literature as well as a summary of key regulatory issues that emerge within the domestic legal context. Also included are the findings from a series of consultations</w:t>
      </w:r>
      <w:r>
        <w:t xml:space="preserve"> I have </w:t>
      </w:r>
      <w:r w:rsidRPr="00A56392">
        <w:t xml:space="preserve">undertaken with children on their experiences as consumers. </w:t>
      </w:r>
    </w:p>
    <w:p w14:paraId="1C3ED779" w14:textId="77777777" w:rsidR="00AA3994" w:rsidRDefault="00AA3994" w:rsidP="00354AA1">
      <w:pPr>
        <w:pStyle w:val="SubmissionNormal"/>
        <w:numPr>
          <w:ilvl w:val="0"/>
          <w:numId w:val="0"/>
        </w:numPr>
        <w:shd w:val="clear" w:color="auto" w:fill="FFFFFF" w:themeFill="background1"/>
        <w:jc w:val="both"/>
      </w:pPr>
      <w:r w:rsidRPr="00A56392">
        <w:t xml:space="preserve">For the purposes of this </w:t>
      </w:r>
      <w:r>
        <w:t>examination</w:t>
      </w:r>
      <w:r w:rsidRPr="00A56392">
        <w:t xml:space="preserve"> ‘consumer’ will be defined as ‘those who purchase goods and services for personal or household use’</w:t>
      </w:r>
      <w:r>
        <w:t>.</w:t>
      </w:r>
      <w:r>
        <w:rPr>
          <w:rStyle w:val="EndnoteReference"/>
        </w:rPr>
        <w:endnoteReference w:id="232"/>
      </w:r>
    </w:p>
    <w:p w14:paraId="31DCF00F" w14:textId="77777777" w:rsidR="00AA3994" w:rsidRDefault="00AA3994" w:rsidP="00354AA1">
      <w:pPr>
        <w:pStyle w:val="SubmissionNormal"/>
        <w:numPr>
          <w:ilvl w:val="0"/>
          <w:numId w:val="0"/>
        </w:numPr>
        <w:shd w:val="clear" w:color="auto" w:fill="FFFFFF" w:themeFill="background1"/>
        <w:jc w:val="both"/>
      </w:pPr>
      <w:r>
        <w:rPr>
          <w:noProof/>
        </w:rPr>
        <mc:AlternateContent>
          <mc:Choice Requires="wps">
            <w:drawing>
              <wp:inline distT="0" distB="0" distL="0" distR="0" wp14:anchorId="49C120FC" wp14:editId="3259D21A">
                <wp:extent cx="4883785" cy="4031311"/>
                <wp:effectExtent l="0" t="0" r="12065" b="26670"/>
                <wp:docPr id="1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83785" cy="4031311"/>
                        </a:xfrm>
                        <a:prstGeom prst="rect">
                          <a:avLst/>
                        </a:prstGeom>
                        <a:solidFill>
                          <a:srgbClr val="FFFFFF"/>
                        </a:solidFill>
                        <a:ln w="9525">
                          <a:solidFill>
                            <a:srgbClr val="000000"/>
                          </a:solidFill>
                          <a:miter lim="800000"/>
                          <a:headEnd/>
                          <a:tailEnd/>
                        </a:ln>
                      </wps:spPr>
                      <wps:txbx>
                        <w:txbxContent>
                          <w:p w14:paraId="5B1B02C1" w14:textId="77777777" w:rsidR="00F008D2" w:rsidRPr="00C133A0" w:rsidRDefault="00F008D2" w:rsidP="00AA3994">
                            <w:pPr>
                              <w:rPr>
                                <w:b/>
                              </w:rPr>
                            </w:pPr>
                            <w:r w:rsidRPr="00C133A0">
                              <w:rPr>
                                <w:b/>
                              </w:rPr>
                              <w:t>Summary</w:t>
                            </w:r>
                          </w:p>
                          <w:p w14:paraId="364587D2" w14:textId="77777777" w:rsidR="00F008D2" w:rsidRDefault="00F008D2" w:rsidP="000D1D92">
                            <w:pPr>
                              <w:pStyle w:val="ListParagraph"/>
                              <w:numPr>
                                <w:ilvl w:val="0"/>
                                <w:numId w:val="21"/>
                              </w:numPr>
                            </w:pPr>
                            <w:r>
                              <w:t>International initiatives provide a valuable lens through which to consider children’s rights in the Australian business context</w:t>
                            </w:r>
                          </w:p>
                          <w:p w14:paraId="247857BC" w14:textId="77777777" w:rsidR="00F008D2" w:rsidRDefault="00F008D2" w:rsidP="00AA3994">
                            <w:pPr>
                              <w:pStyle w:val="ListParagraph"/>
                            </w:pPr>
                          </w:p>
                          <w:p w14:paraId="37CA95F9" w14:textId="6C09CE32" w:rsidR="00F008D2" w:rsidRDefault="00F008D2" w:rsidP="000D1D92">
                            <w:pPr>
                              <w:pStyle w:val="ListParagraph"/>
                              <w:numPr>
                                <w:ilvl w:val="0"/>
                                <w:numId w:val="21"/>
                              </w:numPr>
                            </w:pPr>
                            <w:r>
                              <w:t>It is clear that business impacts on the rights of children on a daily basis</w:t>
                            </w:r>
                          </w:p>
                          <w:p w14:paraId="71E840A7" w14:textId="77777777" w:rsidR="00F008D2" w:rsidRDefault="00F008D2" w:rsidP="00AA3994">
                            <w:pPr>
                              <w:pStyle w:val="ListParagraph"/>
                            </w:pPr>
                          </w:p>
                          <w:p w14:paraId="760546A4" w14:textId="77777777" w:rsidR="00F008D2" w:rsidRDefault="00F008D2" w:rsidP="000D1D92">
                            <w:pPr>
                              <w:pStyle w:val="ListParagraph"/>
                              <w:numPr>
                                <w:ilvl w:val="0"/>
                                <w:numId w:val="21"/>
                              </w:numPr>
                            </w:pPr>
                            <w:r>
                              <w:t>Children are active citizens which includes being consumers</w:t>
                            </w:r>
                          </w:p>
                          <w:p w14:paraId="43740B12" w14:textId="77777777" w:rsidR="00F008D2" w:rsidRDefault="00F008D2" w:rsidP="00AA3994">
                            <w:pPr>
                              <w:pStyle w:val="ListParagraph"/>
                            </w:pPr>
                          </w:p>
                          <w:p w14:paraId="55D9975E" w14:textId="603BF7BE" w:rsidR="00F008D2" w:rsidRPr="000445EC" w:rsidRDefault="00F008D2" w:rsidP="000D1D92">
                            <w:pPr>
                              <w:pStyle w:val="ListParagraph"/>
                              <w:numPr>
                                <w:ilvl w:val="0"/>
                                <w:numId w:val="21"/>
                              </w:numPr>
                            </w:pPr>
                            <w:r w:rsidRPr="00EF1665">
                              <w:t xml:space="preserve">The internet has redefined business </w:t>
                            </w:r>
                            <w:r>
                              <w:t>and facilitated children as online</w:t>
                            </w:r>
                            <w:r w:rsidRPr="00EF1665">
                              <w:t xml:space="preserve"> </w:t>
                            </w:r>
                            <w:r w:rsidRPr="000445EC">
                              <w:t>consumers</w:t>
                            </w:r>
                          </w:p>
                          <w:p w14:paraId="1790C539" w14:textId="77777777" w:rsidR="00F008D2" w:rsidRPr="000445EC" w:rsidRDefault="00F008D2" w:rsidP="000D1D92">
                            <w:pPr>
                              <w:pStyle w:val="SubmissionNormal"/>
                              <w:numPr>
                                <w:ilvl w:val="0"/>
                                <w:numId w:val="21"/>
                              </w:numPr>
                              <w:jc w:val="both"/>
                            </w:pPr>
                            <w:r>
                              <w:t xml:space="preserve">Pressing questions are raised </w:t>
                            </w:r>
                            <w:r w:rsidRPr="000445EC">
                              <w:t>about whether existing regulation remains relevant, balanced and adequate</w:t>
                            </w:r>
                          </w:p>
                          <w:p w14:paraId="27EAC78B" w14:textId="77777777" w:rsidR="00F008D2" w:rsidRDefault="00F008D2" w:rsidP="000D1D92">
                            <w:pPr>
                              <w:pStyle w:val="ListParagraph"/>
                              <w:numPr>
                                <w:ilvl w:val="0"/>
                                <w:numId w:val="21"/>
                              </w:numPr>
                            </w:pPr>
                            <w:r>
                              <w:t>This issue has attracted</w:t>
                            </w:r>
                            <w:r w:rsidRPr="000445EC">
                              <w:t xml:space="preserve"> little research or data collection both d</w:t>
                            </w:r>
                            <w:r>
                              <w:t>omestically and internationally</w:t>
                            </w:r>
                          </w:p>
                          <w:p w14:paraId="74F5DCEF" w14:textId="77777777" w:rsidR="00F008D2" w:rsidRDefault="00F008D2" w:rsidP="00AA3994">
                            <w:pPr>
                              <w:pStyle w:val="ListParagraph"/>
                            </w:pPr>
                          </w:p>
                          <w:p w14:paraId="1729BAEE" w14:textId="68094153" w:rsidR="00F008D2" w:rsidRDefault="00F008D2" w:rsidP="000D1D92">
                            <w:pPr>
                              <w:pStyle w:val="ListParagraph"/>
                              <w:numPr>
                                <w:ilvl w:val="0"/>
                                <w:numId w:val="21"/>
                              </w:numPr>
                            </w:pPr>
                            <w:r>
                              <w:t>A need exists for further investigation using a child-rights based approach.</w:t>
                            </w:r>
                          </w:p>
                        </w:txbxContent>
                      </wps:txbx>
                      <wps:bodyPr rot="0" vert="horz" wrap="square" lIns="91440" tIns="45720" rIns="91440" bIns="45720" anchor="t" anchorCtr="0">
                        <a:noAutofit/>
                      </wps:bodyPr>
                    </wps:wsp>
                  </a:graphicData>
                </a:graphic>
              </wp:inline>
            </w:drawing>
          </mc:Choice>
          <mc:Fallback>
            <w:pict>
              <v:shape w14:anchorId="49C120FC" id="Text Box 2" o:spid="_x0000_s1028" type="#_x0000_t202" style="width:384.55pt;height:317.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1agJwIAAE4EAAAOAAAAZHJzL2Uyb0RvYy54bWysVNtu2zAMfR+wfxD0vtjOZU2MOEWXLsOA&#10;7gK0+wBZlmNhkqhJSuzu60vJaRZ028swPwiiSB2R55BeXw9akaNwXoKpaDHJKRGGQyPNvqLfHnZv&#10;lpT4wEzDFBhR0Ufh6fXm9at1b0sxhQ5UIxxBEOPL3la0C8GWWeZ5JzTzE7DCoLMFp1lA0+2zxrEe&#10;0bXKpnn+NuvBNdYBF97j6e3opJuE37aChy9t60UgqqKYW0irS2sd12yzZuXeMdtJfkqD/UMWmkmD&#10;j56hbllg5ODkb1Bacgce2jDhoDNoW8lFqgGrKfIX1dx3zIpUC5Lj7Zkm//9g+efjV0dkg9qtZpQY&#10;plGkBzEE8g4GMo389NaXGHZvMTAMeIyxqVZv74B/98TAtmNmL26cg74TrMH8ingzu7g64vgIUvef&#10;oMFn2CFAAhpapyN5SAdBdNTp8axNTIXj4Xy5nF0tF5Rw9M3zWTErxjdY+XzdOh8+CNAkbirqUPwE&#10;z453PsR0WPkcEl/zoGSzk0olw+3rrXLkyLBRdulLFbwIU4b0FV0tpouRgb9C5On7E4SWATteSV3R&#10;5TmIlZG396ZJ/RiYVOMeU1bmRGTkbmQxDPWQNDvrU0PziMw6GBscBxI3HbiflPTY3BX1Pw7MCUrU&#10;R4PqrIr5PE5DMuaLqyka7tJTX3qY4QhV0UDJuN2GNEGRNwM3qGIrE79R7jGTU8rYtIn204DFqbi0&#10;U9Sv38DmCQAA//8DAFBLAwQUAAYACAAAACEAe0qlxd0AAAAFAQAADwAAAGRycy9kb3ducmV2Lnht&#10;bEyPwU7DMBBE70j8g7VIXBB1Squ0CXEqhASCGxQE1228TSLsdbDdNPw9hgtcVhrNaOZttZmsESP5&#10;0DtWMJ9lIIgbp3tuFby+3F2uQYSIrNE4JgVfFGBTn55UWGp35Gcat7EVqYRDiQq6GIdSytB0ZDHM&#10;3ECcvL3zFmOSvpXa4zGVWyOvsiyXFntOCx0OdNtR87E9WAXr5cP4Hh4XT29NvjdFvFiN959eqfOz&#10;6eYaRKQp/oXhBz+hQ52Ydu7AOgijID0Sf2/yVnkxB7FTkC+WBci6kv/p628AAAD//wMAUEsBAi0A&#10;FAAGAAgAAAAhALaDOJL+AAAA4QEAABMAAAAAAAAAAAAAAAAAAAAAAFtDb250ZW50X1R5cGVzXS54&#10;bWxQSwECLQAUAAYACAAAACEAOP0h/9YAAACUAQAACwAAAAAAAAAAAAAAAAAvAQAAX3JlbHMvLnJl&#10;bHNQSwECLQAUAAYACAAAACEAwm9WoCcCAABOBAAADgAAAAAAAAAAAAAAAAAuAgAAZHJzL2Uyb0Rv&#10;Yy54bWxQSwECLQAUAAYACAAAACEAe0qlxd0AAAAFAQAADwAAAAAAAAAAAAAAAACBBAAAZHJzL2Rv&#10;d25yZXYueG1sUEsFBgAAAAAEAAQA8wAAAIsFAAAAAA==&#10;">
                <v:textbox>
                  <w:txbxContent>
                    <w:p w14:paraId="5B1B02C1" w14:textId="77777777" w:rsidR="00F008D2" w:rsidRPr="00C133A0" w:rsidRDefault="00F008D2" w:rsidP="00AA3994">
                      <w:pPr>
                        <w:rPr>
                          <w:b/>
                        </w:rPr>
                      </w:pPr>
                      <w:r w:rsidRPr="00C133A0">
                        <w:rPr>
                          <w:b/>
                        </w:rPr>
                        <w:t>Summary</w:t>
                      </w:r>
                    </w:p>
                    <w:p w14:paraId="364587D2" w14:textId="77777777" w:rsidR="00F008D2" w:rsidRDefault="00F008D2" w:rsidP="000D1D92">
                      <w:pPr>
                        <w:pStyle w:val="ListParagraph"/>
                        <w:numPr>
                          <w:ilvl w:val="0"/>
                          <w:numId w:val="21"/>
                        </w:numPr>
                      </w:pPr>
                      <w:r>
                        <w:t>International initiatives provide a valuable lens through which to consider children’s rights in the Australian business context</w:t>
                      </w:r>
                    </w:p>
                    <w:p w14:paraId="247857BC" w14:textId="77777777" w:rsidR="00F008D2" w:rsidRDefault="00F008D2" w:rsidP="00AA3994">
                      <w:pPr>
                        <w:pStyle w:val="ListParagraph"/>
                      </w:pPr>
                    </w:p>
                    <w:p w14:paraId="37CA95F9" w14:textId="6C09CE32" w:rsidR="00F008D2" w:rsidRDefault="00F008D2" w:rsidP="000D1D92">
                      <w:pPr>
                        <w:pStyle w:val="ListParagraph"/>
                        <w:numPr>
                          <w:ilvl w:val="0"/>
                          <w:numId w:val="21"/>
                        </w:numPr>
                      </w:pPr>
                      <w:r>
                        <w:t>It is clear that business impacts on the rights of children on a daily basis</w:t>
                      </w:r>
                    </w:p>
                    <w:p w14:paraId="71E840A7" w14:textId="77777777" w:rsidR="00F008D2" w:rsidRDefault="00F008D2" w:rsidP="00AA3994">
                      <w:pPr>
                        <w:pStyle w:val="ListParagraph"/>
                      </w:pPr>
                    </w:p>
                    <w:p w14:paraId="760546A4" w14:textId="77777777" w:rsidR="00F008D2" w:rsidRDefault="00F008D2" w:rsidP="000D1D92">
                      <w:pPr>
                        <w:pStyle w:val="ListParagraph"/>
                        <w:numPr>
                          <w:ilvl w:val="0"/>
                          <w:numId w:val="21"/>
                        </w:numPr>
                      </w:pPr>
                      <w:r>
                        <w:t>Children are active citizens which includes being consumers</w:t>
                      </w:r>
                    </w:p>
                    <w:p w14:paraId="43740B12" w14:textId="77777777" w:rsidR="00F008D2" w:rsidRDefault="00F008D2" w:rsidP="00AA3994">
                      <w:pPr>
                        <w:pStyle w:val="ListParagraph"/>
                      </w:pPr>
                    </w:p>
                    <w:p w14:paraId="55D9975E" w14:textId="603BF7BE" w:rsidR="00F008D2" w:rsidRPr="000445EC" w:rsidRDefault="00F008D2" w:rsidP="000D1D92">
                      <w:pPr>
                        <w:pStyle w:val="ListParagraph"/>
                        <w:numPr>
                          <w:ilvl w:val="0"/>
                          <w:numId w:val="21"/>
                        </w:numPr>
                      </w:pPr>
                      <w:r w:rsidRPr="00EF1665">
                        <w:t xml:space="preserve">The internet has redefined business </w:t>
                      </w:r>
                      <w:r>
                        <w:t>and facilitated children as online</w:t>
                      </w:r>
                      <w:r w:rsidRPr="00EF1665">
                        <w:t xml:space="preserve"> </w:t>
                      </w:r>
                      <w:r w:rsidRPr="000445EC">
                        <w:t>consumers</w:t>
                      </w:r>
                    </w:p>
                    <w:p w14:paraId="1790C539" w14:textId="77777777" w:rsidR="00F008D2" w:rsidRPr="000445EC" w:rsidRDefault="00F008D2" w:rsidP="000D1D92">
                      <w:pPr>
                        <w:pStyle w:val="SubmissionNormal"/>
                        <w:numPr>
                          <w:ilvl w:val="0"/>
                          <w:numId w:val="21"/>
                        </w:numPr>
                        <w:jc w:val="both"/>
                      </w:pPr>
                      <w:r>
                        <w:t xml:space="preserve">Pressing questions are raised </w:t>
                      </w:r>
                      <w:r w:rsidRPr="000445EC">
                        <w:t>about whether existing regulation remains relevant, balanced and adequate</w:t>
                      </w:r>
                    </w:p>
                    <w:p w14:paraId="27EAC78B" w14:textId="77777777" w:rsidR="00F008D2" w:rsidRDefault="00F008D2" w:rsidP="000D1D92">
                      <w:pPr>
                        <w:pStyle w:val="ListParagraph"/>
                        <w:numPr>
                          <w:ilvl w:val="0"/>
                          <w:numId w:val="21"/>
                        </w:numPr>
                      </w:pPr>
                      <w:r>
                        <w:t>This issue has attracted</w:t>
                      </w:r>
                      <w:r w:rsidRPr="000445EC">
                        <w:t xml:space="preserve"> little research or data collection both d</w:t>
                      </w:r>
                      <w:r>
                        <w:t>omestically and internationally</w:t>
                      </w:r>
                    </w:p>
                    <w:p w14:paraId="74F5DCEF" w14:textId="77777777" w:rsidR="00F008D2" w:rsidRDefault="00F008D2" w:rsidP="00AA3994">
                      <w:pPr>
                        <w:pStyle w:val="ListParagraph"/>
                      </w:pPr>
                    </w:p>
                    <w:p w14:paraId="1729BAEE" w14:textId="68094153" w:rsidR="00F008D2" w:rsidRDefault="00F008D2" w:rsidP="000D1D92">
                      <w:pPr>
                        <w:pStyle w:val="ListParagraph"/>
                        <w:numPr>
                          <w:ilvl w:val="0"/>
                          <w:numId w:val="21"/>
                        </w:numPr>
                      </w:pPr>
                      <w:r>
                        <w:t>A need exists for further investigation using a child-rights based approach.</w:t>
                      </w:r>
                    </w:p>
                  </w:txbxContent>
                </v:textbox>
                <w10:anchorlock/>
              </v:shape>
            </w:pict>
          </mc:Fallback>
        </mc:AlternateContent>
      </w:r>
    </w:p>
    <w:p w14:paraId="03F244A6" w14:textId="77777777" w:rsidR="00AA3994" w:rsidRDefault="00AA3994" w:rsidP="00354AA1">
      <w:pPr>
        <w:pStyle w:val="Heading2"/>
        <w:jc w:val="both"/>
      </w:pPr>
      <w:bookmarkStart w:id="91" w:name="_Toc430333087"/>
      <w:bookmarkStart w:id="92" w:name="_Toc430702080"/>
      <w:bookmarkStart w:id="93" w:name="_Toc432577315"/>
      <w:r>
        <w:lastRenderedPageBreak/>
        <w:t>Literature review</w:t>
      </w:r>
      <w:bookmarkEnd w:id="91"/>
      <w:bookmarkEnd w:id="92"/>
      <w:bookmarkEnd w:id="93"/>
      <w:r w:rsidRPr="0010508C">
        <w:t xml:space="preserve"> </w:t>
      </w:r>
    </w:p>
    <w:p w14:paraId="00403594" w14:textId="77777777" w:rsidR="00AA3994" w:rsidRPr="00552A81" w:rsidRDefault="00AA3994" w:rsidP="00354AA1">
      <w:pPr>
        <w:pStyle w:val="SubmissionNormal"/>
        <w:numPr>
          <w:ilvl w:val="0"/>
          <w:numId w:val="0"/>
        </w:numPr>
        <w:jc w:val="both"/>
      </w:pPr>
      <w:r>
        <w:t xml:space="preserve">There is limited Australian research on children and business. While existing research largely reflects international sources, it has been undertaken in comparable </w:t>
      </w:r>
      <w:r w:rsidRPr="00552A81">
        <w:t>countries with similar levels of technology saturation and as such offers valuable insights into our own domestic context.</w:t>
      </w:r>
    </w:p>
    <w:p w14:paraId="3A5414C1" w14:textId="77777777" w:rsidR="00AA3994" w:rsidRPr="00552A81" w:rsidRDefault="00AA3994" w:rsidP="00354AA1">
      <w:pPr>
        <w:pStyle w:val="Heading3"/>
        <w:jc w:val="both"/>
      </w:pPr>
      <w:bookmarkStart w:id="94" w:name="_Toc430333088"/>
      <w:bookmarkStart w:id="95" w:name="_Toc430702081"/>
      <w:r w:rsidRPr="00552A81">
        <w:t>Children and the consumer market</w:t>
      </w:r>
      <w:bookmarkEnd w:id="94"/>
      <w:bookmarkEnd w:id="95"/>
    </w:p>
    <w:p w14:paraId="46AD0D7A" w14:textId="77777777" w:rsidR="00AA3994" w:rsidRDefault="00AA3994" w:rsidP="00354AA1">
      <w:pPr>
        <w:pStyle w:val="SubmissionNormal"/>
        <w:numPr>
          <w:ilvl w:val="0"/>
          <w:numId w:val="0"/>
        </w:numPr>
        <w:jc w:val="both"/>
      </w:pPr>
      <w:r w:rsidRPr="00801052">
        <w:t>Within the academic discipline of marketing research there is ‘little disagreement’ that children are both ‘stakeholders in business’ and ‘also consumers’.</w:t>
      </w:r>
      <w:r w:rsidRPr="00801052">
        <w:rPr>
          <w:rStyle w:val="EndnoteReference"/>
        </w:rPr>
        <w:endnoteReference w:id="233"/>
      </w:r>
      <w:r w:rsidRPr="00552A81">
        <w:t xml:space="preserve"> </w:t>
      </w:r>
      <w:r>
        <w:t xml:space="preserve">Children </w:t>
      </w:r>
      <w:r w:rsidRPr="00552A81">
        <w:t>have an increased ability to make consumer choices, including a significant role in influencing parental purchasing patterns, and have exposure to media, technology and brands</w:t>
      </w:r>
      <w:r>
        <w:t xml:space="preserve"> at quite</w:t>
      </w:r>
      <w:r w:rsidRPr="00552A81">
        <w:t xml:space="preserve"> early age</w:t>
      </w:r>
      <w:r>
        <w:t>s</w:t>
      </w:r>
      <w:r w:rsidRPr="00552A81">
        <w:t>.</w:t>
      </w:r>
      <w:r w:rsidRPr="00552A81">
        <w:rPr>
          <w:rStyle w:val="EndnoteReference"/>
        </w:rPr>
        <w:endnoteReference w:id="234"/>
      </w:r>
    </w:p>
    <w:p w14:paraId="77EACF9E" w14:textId="77777777" w:rsidR="00AA3994" w:rsidRDefault="00AA3994" w:rsidP="00354AA1">
      <w:pPr>
        <w:pStyle w:val="SubmissionNormal"/>
        <w:numPr>
          <w:ilvl w:val="0"/>
          <w:numId w:val="0"/>
        </w:numPr>
        <w:jc w:val="both"/>
      </w:pPr>
      <w:r w:rsidRPr="000336FA">
        <w:t>The fact that children are an identified part of the ‘global teen market’</w:t>
      </w:r>
      <w:r w:rsidRPr="000336FA">
        <w:rPr>
          <w:rStyle w:val="EndnoteReference"/>
        </w:rPr>
        <w:endnoteReference w:id="235"/>
      </w:r>
      <w:r w:rsidRPr="000336FA">
        <w:t xml:space="preserve"> seems</w:t>
      </w:r>
      <w:r>
        <w:t xml:space="preserve"> evident in the numerous marketing strategies directed specifically at children. </w:t>
      </w:r>
      <w:r w:rsidRPr="000336FA">
        <w:t xml:space="preserve">Within the European Union context, research has identified three distinct markets </w:t>
      </w:r>
      <w:r>
        <w:t>that</w:t>
      </w:r>
      <w:r w:rsidRPr="000336FA">
        <w:t xml:space="preserve"> are</w:t>
      </w:r>
      <w:r>
        <w:t xml:space="preserve"> relevant to children as consumers: the primary market (the direct spending of money); the parental market (influence over parental purchasing) and the future market (where consumer habits are seeded in childhood).</w:t>
      </w:r>
      <w:r>
        <w:rPr>
          <w:rStyle w:val="EndnoteReference"/>
        </w:rPr>
        <w:endnoteReference w:id="236"/>
      </w:r>
      <w:r>
        <w:t xml:space="preserve"> </w:t>
      </w:r>
    </w:p>
    <w:p w14:paraId="062BD97D" w14:textId="77777777" w:rsidR="00AA3994" w:rsidRDefault="00AA3994" w:rsidP="00354AA1">
      <w:pPr>
        <w:pStyle w:val="SubmissionNormal"/>
        <w:numPr>
          <w:ilvl w:val="0"/>
          <w:numId w:val="0"/>
        </w:numPr>
        <w:jc w:val="both"/>
      </w:pPr>
      <w:r>
        <w:t>Other approaches include the theory of ‘consumer socialisation’, which describes ‘processes by which young people acquire skills, knowledge and attitudes relevant to their functioning as consumers in the market place’.</w:t>
      </w:r>
      <w:r>
        <w:rPr>
          <w:rStyle w:val="EndnoteReference"/>
        </w:rPr>
        <w:endnoteReference w:id="237"/>
      </w:r>
      <w:r>
        <w:t xml:space="preserve"> </w:t>
      </w:r>
    </w:p>
    <w:p w14:paraId="5B4331E7" w14:textId="0A3E826F" w:rsidR="00AA3994" w:rsidRDefault="00AA3994" w:rsidP="00354AA1">
      <w:pPr>
        <w:pStyle w:val="SubmissionNormal"/>
        <w:numPr>
          <w:ilvl w:val="0"/>
          <w:numId w:val="0"/>
        </w:numPr>
        <w:jc w:val="both"/>
      </w:pPr>
      <w:r>
        <w:t>According to this approach, children pass through three stages: the ‘perceptual’ stage (ages 3 to 7 years) where children display familiarity with ‘brands or retail stores’.</w:t>
      </w:r>
      <w:r>
        <w:rPr>
          <w:rStyle w:val="EndnoteReference"/>
        </w:rPr>
        <w:endnoteReference w:id="238"/>
      </w:r>
      <w:r>
        <w:t xml:space="preserve"> The ‘analytical’ stage (ages 7 to 11 years) is where ‘products and brands are analysed and discriminated’ on the basis of a number of factors, including advertiser’s motives.</w:t>
      </w:r>
      <w:r>
        <w:rPr>
          <w:rStyle w:val="EndnoteReference"/>
        </w:rPr>
        <w:endnoteReference w:id="239"/>
      </w:r>
      <w:r>
        <w:t xml:space="preserve"> The final stage is the ‘reflective’ stage (ages 11 to 16</w:t>
      </w:r>
      <w:r w:rsidR="00C40B26">
        <w:t xml:space="preserve"> years</w:t>
      </w:r>
      <w:r>
        <w:t>) where marketplace concepts such as ‘branding and pricing’ becomes increasingly ‘nuanced and more complex’.</w:t>
      </w:r>
      <w:r>
        <w:rPr>
          <w:rStyle w:val="EndnoteReference"/>
        </w:rPr>
        <w:endnoteReference w:id="240"/>
      </w:r>
      <w:r>
        <w:t xml:space="preserve"> The latter stage sees children moving into adolescence with the growing need to ‘shape their own identity and conform to group expectations’.</w:t>
      </w:r>
      <w:r>
        <w:rPr>
          <w:rStyle w:val="EndnoteReference"/>
        </w:rPr>
        <w:endnoteReference w:id="241"/>
      </w:r>
      <w:r>
        <w:t xml:space="preserve"> </w:t>
      </w:r>
    </w:p>
    <w:p w14:paraId="3BDE4C2D" w14:textId="77777777" w:rsidR="00AA3994" w:rsidRPr="00552A81" w:rsidRDefault="00AA3994" w:rsidP="00354AA1">
      <w:pPr>
        <w:pStyle w:val="SubmissionNormal"/>
        <w:numPr>
          <w:ilvl w:val="0"/>
          <w:numId w:val="0"/>
        </w:numPr>
        <w:jc w:val="both"/>
      </w:pPr>
      <w:r w:rsidRPr="00552A81">
        <w:t>Related to this is ‘adolescent consumption autonomy’</w:t>
      </w:r>
      <w:r w:rsidRPr="00552A81">
        <w:rPr>
          <w:rStyle w:val="EndnoteReference"/>
        </w:rPr>
        <w:endnoteReference w:id="242"/>
      </w:r>
      <w:r w:rsidRPr="00552A81">
        <w:t xml:space="preserve"> which </w:t>
      </w:r>
      <w:r>
        <w:t>is described</w:t>
      </w:r>
      <w:r w:rsidRPr="00552A81">
        <w:t xml:space="preserve"> as part of the shift into ‘adulthood’, learning to exercise consumer decisions independent from parents and guardians.</w:t>
      </w:r>
      <w:r w:rsidRPr="00552A81">
        <w:rPr>
          <w:rStyle w:val="EndnoteReference"/>
        </w:rPr>
        <w:endnoteReference w:id="243"/>
      </w:r>
      <w:r w:rsidRPr="00552A81">
        <w:t xml:space="preserve"> Such decisions build ‘confidence to define their goals independent of the wishes of parents’ replaced instead with an increasing dependence on close peer relationships.</w:t>
      </w:r>
      <w:r w:rsidRPr="00552A81">
        <w:rPr>
          <w:rStyle w:val="EndnoteReference"/>
        </w:rPr>
        <w:endnoteReference w:id="244"/>
      </w:r>
      <w:r w:rsidRPr="00552A81">
        <w:t xml:space="preserve"> Business is able to use this information to formulate effective strategies for ‘targeting and serving adolescent consumers’ based on the degree to which consumption autonomy has been attained.</w:t>
      </w:r>
      <w:r w:rsidRPr="00552A81">
        <w:rPr>
          <w:rStyle w:val="EndnoteReference"/>
        </w:rPr>
        <w:endnoteReference w:id="245"/>
      </w:r>
      <w:r w:rsidRPr="00552A81">
        <w:t xml:space="preserve"> </w:t>
      </w:r>
    </w:p>
    <w:p w14:paraId="5A1D2B58" w14:textId="77777777" w:rsidR="00AA3994" w:rsidRPr="00552A81" w:rsidRDefault="00AA3994" w:rsidP="00354AA1">
      <w:pPr>
        <w:pStyle w:val="Heading3"/>
        <w:jc w:val="both"/>
      </w:pPr>
      <w:bookmarkStart w:id="96" w:name="_Toc430333089"/>
      <w:bookmarkStart w:id="97" w:name="_Toc430702082"/>
      <w:r>
        <w:t>Children and the on</w:t>
      </w:r>
      <w:r w:rsidRPr="00552A81">
        <w:t>line consumer market</w:t>
      </w:r>
      <w:bookmarkEnd w:id="96"/>
      <w:bookmarkEnd w:id="97"/>
    </w:p>
    <w:p w14:paraId="2C14B65F" w14:textId="77777777" w:rsidR="00AA3994" w:rsidRPr="00552A81" w:rsidRDefault="00AA3994" w:rsidP="00354AA1">
      <w:pPr>
        <w:pStyle w:val="SubmissionNormal"/>
        <w:numPr>
          <w:ilvl w:val="0"/>
          <w:numId w:val="0"/>
        </w:numPr>
        <w:jc w:val="both"/>
      </w:pPr>
      <w:r w:rsidRPr="00552A81">
        <w:t>While research</w:t>
      </w:r>
      <w:r>
        <w:t xml:space="preserve"> on i</w:t>
      </w:r>
      <w:r w:rsidRPr="00552A81">
        <w:t>nternet use largely relates to adults</w:t>
      </w:r>
      <w:r w:rsidRPr="00CE0099">
        <w:t>, children are seen ‘as one of the fastest growing online niches’.</w:t>
      </w:r>
      <w:r w:rsidRPr="00CE0099">
        <w:rPr>
          <w:rStyle w:val="EndnoteReference"/>
        </w:rPr>
        <w:endnoteReference w:id="246"/>
      </w:r>
      <w:r w:rsidRPr="00CE0099">
        <w:t xml:space="preserve"> A survey of ava</w:t>
      </w:r>
      <w:r w:rsidRPr="00552A81">
        <w:t xml:space="preserve">ilable </w:t>
      </w:r>
      <w:r>
        <w:t>data reveals very high i</w:t>
      </w:r>
      <w:r w:rsidRPr="00552A81">
        <w:t>nternet access and usage by children in Australia.</w:t>
      </w:r>
      <w:r w:rsidRPr="00552A81">
        <w:rPr>
          <w:rStyle w:val="EndnoteReference"/>
        </w:rPr>
        <w:endnoteReference w:id="247"/>
      </w:r>
      <w:r w:rsidRPr="00552A81">
        <w:t xml:space="preserve"> Proliferation has been further driven by the availability and use of multiple internet-enabled devices (such as mobile </w:t>
      </w:r>
      <w:r>
        <w:t xml:space="preserve">smart </w:t>
      </w:r>
      <w:r w:rsidRPr="00552A81">
        <w:t>phones, iPads, game consoles).</w:t>
      </w:r>
      <w:r w:rsidRPr="00552A81">
        <w:rPr>
          <w:rStyle w:val="EndnoteReference"/>
        </w:rPr>
        <w:endnoteReference w:id="248"/>
      </w:r>
      <w:r w:rsidRPr="00552A81">
        <w:t xml:space="preserve"> </w:t>
      </w:r>
      <w:r>
        <w:t>While the i</w:t>
      </w:r>
      <w:r w:rsidRPr="00552A81">
        <w:t xml:space="preserve">nternet is used by children for a </w:t>
      </w:r>
      <w:r w:rsidRPr="00552A81">
        <w:lastRenderedPageBreak/>
        <w:t>variety of purposes,</w:t>
      </w:r>
      <w:r w:rsidRPr="00552A81">
        <w:rPr>
          <w:rStyle w:val="EndnoteReference"/>
        </w:rPr>
        <w:endnoteReference w:id="249"/>
      </w:r>
      <w:r w:rsidRPr="00552A81">
        <w:t xml:space="preserve"> one commentator notes ‘if you can get someone to click on your site, it creates a relationship between product and consumer’.</w:t>
      </w:r>
      <w:r w:rsidRPr="00552A81">
        <w:rPr>
          <w:rStyle w:val="EndnoteReference"/>
        </w:rPr>
        <w:endnoteReference w:id="250"/>
      </w:r>
      <w:r w:rsidRPr="00552A81">
        <w:t xml:space="preserve"> </w:t>
      </w:r>
    </w:p>
    <w:p w14:paraId="31A52777" w14:textId="77777777" w:rsidR="00AA3994" w:rsidRDefault="00AA3994" w:rsidP="00354AA1">
      <w:pPr>
        <w:pStyle w:val="SubmissionNormal"/>
        <w:numPr>
          <w:ilvl w:val="0"/>
          <w:numId w:val="0"/>
        </w:numPr>
        <w:jc w:val="both"/>
      </w:pPr>
      <w:r w:rsidRPr="00552A81">
        <w:t>Research from the United Kingdom reveals a number of reasons why children buy pro</w:t>
      </w:r>
      <w:r>
        <w:t>ducts on</w:t>
      </w:r>
      <w:r w:rsidRPr="00552A81">
        <w:t>line</w:t>
      </w:r>
      <w:r w:rsidRPr="00552A81">
        <w:rPr>
          <w:rStyle w:val="EndnoteReference"/>
        </w:rPr>
        <w:endnoteReference w:id="251"/>
      </w:r>
      <w:r w:rsidRPr="00552A81">
        <w:t xml:space="preserve"> including the inability to purchase the product locally and the idea of ‘exclusivity’ (the ability to access a range of products that peers would not possess).</w:t>
      </w:r>
      <w:r w:rsidRPr="00552A81">
        <w:rPr>
          <w:rStyle w:val="EndnoteReference"/>
        </w:rPr>
        <w:endnoteReference w:id="252"/>
      </w:r>
      <w:r w:rsidRPr="00552A81">
        <w:t xml:space="preserve"> </w:t>
      </w:r>
    </w:p>
    <w:p w14:paraId="27E7C89D" w14:textId="77777777" w:rsidR="00AA3994" w:rsidRPr="00552A81" w:rsidRDefault="00AA3994" w:rsidP="00354AA1">
      <w:pPr>
        <w:pStyle w:val="SubmissionNormal"/>
        <w:numPr>
          <w:ilvl w:val="0"/>
          <w:numId w:val="0"/>
        </w:numPr>
        <w:jc w:val="both"/>
      </w:pPr>
      <w:r w:rsidRPr="00552A81">
        <w:t>Other research reveals that after education, ‘playing games is the most popular online activity for children between the ages of 5 and 14’.</w:t>
      </w:r>
      <w:r w:rsidRPr="00552A81">
        <w:rPr>
          <w:rStyle w:val="EndnoteReference"/>
        </w:rPr>
        <w:endnoteReference w:id="253"/>
      </w:r>
      <w:r w:rsidRPr="00552A81">
        <w:t xml:space="preserve"> </w:t>
      </w:r>
      <w:r w:rsidRPr="00FF4D21">
        <w:t>Apps are becoming increasingly popular with children in the context of the significant growth in games available exclusively as apps.</w:t>
      </w:r>
      <w:r w:rsidRPr="00FF4D21">
        <w:rPr>
          <w:rStyle w:val="EndnoteReference"/>
        </w:rPr>
        <w:endnoteReference w:id="254"/>
      </w:r>
      <w:r>
        <w:t xml:space="preserve"> </w:t>
      </w:r>
    </w:p>
    <w:p w14:paraId="0207F459" w14:textId="548B95B3" w:rsidR="00AA3994" w:rsidRDefault="00AA3994" w:rsidP="00354AA1">
      <w:pPr>
        <w:pStyle w:val="SubmissionNormal"/>
        <w:numPr>
          <w:ilvl w:val="0"/>
          <w:numId w:val="0"/>
        </w:numPr>
        <w:jc w:val="both"/>
      </w:pPr>
      <w:r w:rsidRPr="00CE0099">
        <w:t>The internet platform has also enabled more creative forms of consumption.</w:t>
      </w:r>
      <w:r w:rsidRPr="00552A81">
        <w:t xml:space="preserve"> </w:t>
      </w:r>
      <w:r w:rsidR="00C40B26">
        <w:t>One commentator argues that as ‘</w:t>
      </w:r>
      <w:r w:rsidRPr="00552A81">
        <w:t xml:space="preserve">traditional barriers between </w:t>
      </w:r>
      <w:r w:rsidR="00C40B26">
        <w:t>“</w:t>
      </w:r>
      <w:r w:rsidRPr="00552A81">
        <w:t>content and</w:t>
      </w:r>
      <w:r w:rsidR="00C40B26">
        <w:t xml:space="preserve"> commerce”</w:t>
      </w:r>
      <w:r>
        <w:t xml:space="preserve"> disappear’</w:t>
      </w:r>
      <w:r>
        <w:rPr>
          <w:rStyle w:val="EndnoteReference"/>
        </w:rPr>
        <w:endnoteReference w:id="255"/>
      </w:r>
      <w:r>
        <w:t xml:space="preserve"> the result is the emergence of a ‘children’s digital media culture”</w:t>
      </w:r>
      <w:r>
        <w:rPr>
          <w:rStyle w:val="EndnoteReference"/>
        </w:rPr>
        <w:endnoteReference w:id="256"/>
      </w:r>
      <w:r>
        <w:t xml:space="preserve"> where ‘new levels of intimacy are built between marketers and children’.</w:t>
      </w:r>
      <w:r>
        <w:rPr>
          <w:rStyle w:val="EndnoteReference"/>
        </w:rPr>
        <w:endnoteReference w:id="257"/>
      </w:r>
      <w:r>
        <w:t xml:space="preserve">  </w:t>
      </w:r>
    </w:p>
    <w:p w14:paraId="0635AE7C" w14:textId="77777777" w:rsidR="00AA3994" w:rsidRDefault="00AA3994" w:rsidP="00354AA1">
      <w:pPr>
        <w:pStyle w:val="SubmissionNormal"/>
        <w:numPr>
          <w:ilvl w:val="0"/>
          <w:numId w:val="0"/>
        </w:numPr>
        <w:jc w:val="both"/>
      </w:pPr>
      <w:r>
        <w:t>For example, an extension of the ‘online gaming’ model is where children purchase access to ‘virtual worlds’ in which they create content and ideas within a virtual context, in effect aiding the development of the game.</w:t>
      </w:r>
      <w:r>
        <w:rPr>
          <w:rStyle w:val="EndnoteReference"/>
        </w:rPr>
        <w:endnoteReference w:id="258"/>
      </w:r>
      <w:r>
        <w:t xml:space="preserve"> Businesses can incorporate contractual clauses that waive all intellectual property rights children possess to the work they produce online and claim it as the property of the business.</w:t>
      </w:r>
      <w:r>
        <w:rPr>
          <w:rStyle w:val="EndnoteReference"/>
        </w:rPr>
        <w:endnoteReference w:id="259"/>
      </w:r>
      <w:r>
        <w:t xml:space="preserve"> </w:t>
      </w:r>
    </w:p>
    <w:p w14:paraId="54738EB5" w14:textId="77777777" w:rsidR="00AA3994" w:rsidRDefault="00AA3994" w:rsidP="00354AA1">
      <w:pPr>
        <w:pStyle w:val="SubmissionNormal"/>
        <w:numPr>
          <w:ilvl w:val="0"/>
          <w:numId w:val="0"/>
        </w:numPr>
        <w:jc w:val="both"/>
      </w:pPr>
      <w:r>
        <w:t xml:space="preserve">Online virtual platforms have enabled a type of consumer situation where children are paying for the ability to develop the product of the business for free. Another area where there appears to be a similar coalescing of consumer and business objectives is in the area of online advertising. </w:t>
      </w:r>
    </w:p>
    <w:p w14:paraId="7036A768" w14:textId="77777777" w:rsidR="00AA3994" w:rsidRDefault="00AA3994" w:rsidP="00354AA1">
      <w:pPr>
        <w:pStyle w:val="Heading3"/>
        <w:jc w:val="both"/>
      </w:pPr>
      <w:bookmarkStart w:id="98" w:name="_Toc430333090"/>
      <w:bookmarkStart w:id="99" w:name="_Toc430702083"/>
      <w:r>
        <w:t>Online advertising</w:t>
      </w:r>
      <w:bookmarkEnd w:id="98"/>
      <w:bookmarkEnd w:id="99"/>
    </w:p>
    <w:p w14:paraId="7BC146C0" w14:textId="77777777" w:rsidR="00AA3994" w:rsidRPr="00552A81" w:rsidRDefault="00AA3994" w:rsidP="00354AA1">
      <w:pPr>
        <w:autoSpaceDE w:val="0"/>
        <w:autoSpaceDN w:val="0"/>
        <w:adjustRightInd w:val="0"/>
        <w:spacing w:before="0" w:after="0"/>
        <w:ind w:left="720"/>
        <w:jc w:val="both"/>
        <w:rPr>
          <w:rFonts w:cs="Arial"/>
          <w:iCs/>
          <w:sz w:val="20"/>
          <w:szCs w:val="20"/>
        </w:rPr>
      </w:pPr>
      <w:r w:rsidRPr="00552A81">
        <w:rPr>
          <w:rFonts w:cs="Arial"/>
          <w:iCs/>
          <w:color w:val="000000"/>
          <w:sz w:val="20"/>
          <w:szCs w:val="20"/>
        </w:rPr>
        <w:t xml:space="preserve">Peer pressure and it is like the adverts are on all the time saying what you should own – all the time even stuff in films. </w:t>
      </w:r>
      <w:r>
        <w:rPr>
          <w:rFonts w:cs="Arial"/>
          <w:color w:val="000000"/>
          <w:sz w:val="20"/>
          <w:szCs w:val="20"/>
        </w:rPr>
        <w:t>(</w:t>
      </w:r>
      <w:r>
        <w:rPr>
          <w:rFonts w:cs="Arial"/>
          <w:bCs/>
          <w:color w:val="000000"/>
          <w:sz w:val="20"/>
          <w:szCs w:val="20"/>
        </w:rPr>
        <w:t xml:space="preserve">Female, </w:t>
      </w:r>
      <w:r w:rsidRPr="00552A81">
        <w:rPr>
          <w:rFonts w:cs="Arial"/>
          <w:bCs/>
          <w:color w:val="000000"/>
          <w:sz w:val="20"/>
          <w:szCs w:val="20"/>
        </w:rPr>
        <w:t>13</w:t>
      </w:r>
      <w:r>
        <w:rPr>
          <w:rFonts w:cs="Arial"/>
          <w:bCs/>
          <w:color w:val="000000"/>
          <w:sz w:val="20"/>
          <w:szCs w:val="20"/>
        </w:rPr>
        <w:t xml:space="preserve"> years)</w:t>
      </w:r>
      <w:r w:rsidRPr="00552A81">
        <w:rPr>
          <w:rStyle w:val="EndnoteReference"/>
          <w:rFonts w:cs="Arial"/>
          <w:bCs/>
          <w:color w:val="000000"/>
          <w:szCs w:val="20"/>
        </w:rPr>
        <w:endnoteReference w:id="260"/>
      </w:r>
    </w:p>
    <w:p w14:paraId="40C42B43" w14:textId="4E3CB4A4" w:rsidR="00AA3994" w:rsidRPr="00552A81" w:rsidRDefault="00AA3994" w:rsidP="00354AA1">
      <w:pPr>
        <w:pStyle w:val="SubmissionNormal"/>
        <w:numPr>
          <w:ilvl w:val="0"/>
          <w:numId w:val="0"/>
        </w:numPr>
        <w:jc w:val="both"/>
      </w:pPr>
      <w:r w:rsidRPr="00552A81">
        <w:t>The importan</w:t>
      </w:r>
      <w:r>
        <w:t>ce of advertising within the on</w:t>
      </w:r>
      <w:r w:rsidRPr="00552A81">
        <w:t xml:space="preserve">line context is underscored </w:t>
      </w:r>
      <w:r>
        <w:t>by the fact that the i</w:t>
      </w:r>
      <w:r w:rsidRPr="00552A81">
        <w:t>nternet is used to research purchases regardless of whether the actual</w:t>
      </w:r>
      <w:r w:rsidR="00FE2EC2">
        <w:t xml:space="preserve"> purchase ultimately occurs off</w:t>
      </w:r>
      <w:r w:rsidRPr="00552A81">
        <w:t>line.</w:t>
      </w:r>
      <w:r w:rsidRPr="00552A81">
        <w:rPr>
          <w:rStyle w:val="EndnoteReference"/>
        </w:rPr>
        <w:endnoteReference w:id="261"/>
      </w:r>
      <w:r w:rsidRPr="00552A81">
        <w:t xml:space="preserve"> One</w:t>
      </w:r>
      <w:r>
        <w:t xml:space="preserve"> </w:t>
      </w:r>
      <w:r w:rsidR="00FE2EC2">
        <w:t>United Kingdom</w:t>
      </w:r>
      <w:r w:rsidRPr="00552A81">
        <w:t xml:space="preserve"> study in 2003 found that 41% of children ‘used the Internet for this activity, finding it a valuable method for gathering product information’.</w:t>
      </w:r>
      <w:r w:rsidRPr="00552A81">
        <w:rPr>
          <w:rStyle w:val="EndnoteReference"/>
        </w:rPr>
        <w:endnoteReference w:id="262"/>
      </w:r>
      <w:r w:rsidRPr="00552A81">
        <w:t xml:space="preserve"> It was seen as aiding an ‘informed’ consumer choice even where the purcha</w:t>
      </w:r>
      <w:r w:rsidR="00FE2EC2">
        <w:t>se itself was commonly made off</w:t>
      </w:r>
      <w:r w:rsidRPr="00552A81">
        <w:t>line.</w:t>
      </w:r>
      <w:r w:rsidRPr="00552A81">
        <w:rPr>
          <w:rStyle w:val="EndnoteReference"/>
        </w:rPr>
        <w:endnoteReference w:id="263"/>
      </w:r>
    </w:p>
    <w:p w14:paraId="40BC7864" w14:textId="77777777" w:rsidR="00AA3994" w:rsidRPr="00552A81" w:rsidRDefault="00AA3994" w:rsidP="00354AA1">
      <w:pPr>
        <w:pStyle w:val="SubmissionNormal"/>
        <w:numPr>
          <w:ilvl w:val="0"/>
          <w:numId w:val="0"/>
        </w:numPr>
        <w:ind w:left="720"/>
        <w:jc w:val="both"/>
        <w:rPr>
          <w:sz w:val="20"/>
          <w:szCs w:val="20"/>
        </w:rPr>
      </w:pPr>
      <w:r w:rsidRPr="00552A81">
        <w:rPr>
          <w:sz w:val="20"/>
          <w:szCs w:val="20"/>
        </w:rPr>
        <w:t>I like skating and body boarding and surfing and stuff, and I’ve seen ads that come up and actually offer skating and body boarding and surfing. I’m not sure if it’s just me or they were placing those surfing ones [ads] on everyone’s MySpace or just mine. (</w:t>
      </w:r>
      <w:r>
        <w:rPr>
          <w:sz w:val="20"/>
          <w:szCs w:val="20"/>
        </w:rPr>
        <w:t>Male</w:t>
      </w:r>
      <w:r w:rsidRPr="00552A81">
        <w:rPr>
          <w:sz w:val="20"/>
          <w:szCs w:val="20"/>
        </w:rPr>
        <w:t>, 16 years)</w:t>
      </w:r>
      <w:r w:rsidRPr="00552A81">
        <w:rPr>
          <w:rStyle w:val="EndnoteReference"/>
          <w:szCs w:val="20"/>
        </w:rPr>
        <w:endnoteReference w:id="264"/>
      </w:r>
    </w:p>
    <w:p w14:paraId="19636002" w14:textId="77777777" w:rsidR="00AA3994" w:rsidRPr="00FB60E3" w:rsidRDefault="00AA3994" w:rsidP="00354AA1">
      <w:pPr>
        <w:pStyle w:val="SubmissionNormal"/>
        <w:numPr>
          <w:ilvl w:val="0"/>
          <w:numId w:val="0"/>
        </w:numPr>
        <w:jc w:val="both"/>
        <w:rPr>
          <w:highlight w:val="yellow"/>
        </w:rPr>
      </w:pPr>
      <w:r w:rsidRPr="00CE0099">
        <w:t>Part of the online advertising context can involve the use of tracking software and spyware, without the child’s knowledge.</w:t>
      </w:r>
      <w:r w:rsidRPr="00CE0099">
        <w:rPr>
          <w:rStyle w:val="EndnoteReference"/>
        </w:rPr>
        <w:endnoteReference w:id="265"/>
      </w:r>
      <w:r w:rsidRPr="00552A81">
        <w:t xml:space="preserve"> This software allows marketers to know who is visiting their websites and can allow them to create an ‘extensive data file</w:t>
      </w:r>
      <w:r>
        <w:t xml:space="preserve"> about individual user’s preferences for places and products’.</w:t>
      </w:r>
      <w:r>
        <w:rPr>
          <w:rStyle w:val="EndnoteReference"/>
        </w:rPr>
        <w:endnoteReference w:id="266"/>
      </w:r>
      <w:r>
        <w:t xml:space="preserve"> Such amassed information can potentially be used for ‘one-on-one relational marketing strategies directed at </w:t>
      </w:r>
      <w:r w:rsidRPr="00CE0099">
        <w:t>specific individuals’</w:t>
      </w:r>
      <w:r w:rsidRPr="00CE0099">
        <w:rPr>
          <w:rStyle w:val="EndnoteReference"/>
        </w:rPr>
        <w:endnoteReference w:id="267"/>
      </w:r>
      <w:r w:rsidRPr="00CE0099">
        <w:t xml:space="preserve"> (for example, targeted advertising on social networking sites). </w:t>
      </w:r>
    </w:p>
    <w:p w14:paraId="1466F1BD" w14:textId="77777777" w:rsidR="00AA3994" w:rsidRDefault="00AA3994" w:rsidP="00354AA1">
      <w:pPr>
        <w:pStyle w:val="SubmissionNormal"/>
        <w:numPr>
          <w:ilvl w:val="0"/>
          <w:numId w:val="0"/>
        </w:numPr>
        <w:jc w:val="both"/>
      </w:pPr>
      <w:r w:rsidRPr="00896499">
        <w:lastRenderedPageBreak/>
        <w:t>An emerging practice in online marketing is where advertising becomes deeply embedded and integral to the online content or produc</w:t>
      </w:r>
      <w:r>
        <w:t>t purchased</w:t>
      </w:r>
      <w:r>
        <w:rPr>
          <w:rStyle w:val="EndnoteReference"/>
        </w:rPr>
        <w:endnoteReference w:id="268"/>
      </w:r>
      <w:r>
        <w:t xml:space="preserve"> or even becomes the product itself. New ways to market to children and young people are being explored through online media and wireless devices which can involve the use of stealth techniques.</w:t>
      </w:r>
      <w:r>
        <w:rPr>
          <w:rStyle w:val="EndnoteReference"/>
        </w:rPr>
        <w:endnoteReference w:id="269"/>
      </w:r>
      <w:r>
        <w:t xml:space="preserve"> Child consumers are ‘immersed in branded environments frequently without knowing that they are being exposed to sophisticated marketing campaigns’.</w:t>
      </w:r>
      <w:r>
        <w:rPr>
          <w:rStyle w:val="EndnoteReference"/>
        </w:rPr>
        <w:endnoteReference w:id="270"/>
      </w:r>
      <w:r>
        <w:t xml:space="preserve"> These stealth techniques aim to create ‘favorable views and memories of specific products’.</w:t>
      </w:r>
      <w:r>
        <w:rPr>
          <w:rStyle w:val="EndnoteReference"/>
        </w:rPr>
        <w:endnoteReference w:id="271"/>
      </w:r>
    </w:p>
    <w:p w14:paraId="4C549E4D" w14:textId="77777777" w:rsidR="00AA3994" w:rsidRDefault="00AA3994" w:rsidP="00354AA1">
      <w:pPr>
        <w:pStyle w:val="SubmissionNormal"/>
        <w:numPr>
          <w:ilvl w:val="0"/>
          <w:numId w:val="0"/>
        </w:numPr>
        <w:jc w:val="both"/>
      </w:pPr>
      <w:r>
        <w:t>There are innumerable commercial game sites that offer children ‘compelling and entertaining online spaces in which to build communities, create content and play games’.</w:t>
      </w:r>
      <w:r>
        <w:rPr>
          <w:rStyle w:val="EndnoteReference"/>
        </w:rPr>
        <w:endnoteReference w:id="272"/>
      </w:r>
      <w:r>
        <w:t xml:space="preserve"> However the same sites ‘award “points”, virtual currency, or similar incentives to players who fill out marketing surveys, visit sponsored sites, and participate in simple point and click “advergames”’.</w:t>
      </w:r>
      <w:r>
        <w:rPr>
          <w:rStyle w:val="EndnoteReference"/>
        </w:rPr>
        <w:endnoteReference w:id="273"/>
      </w:r>
      <w:r>
        <w:t xml:space="preserve"> </w:t>
      </w:r>
    </w:p>
    <w:p w14:paraId="6549C41D" w14:textId="77777777" w:rsidR="00AA3994" w:rsidRDefault="00AA3994" w:rsidP="00354AA1">
      <w:pPr>
        <w:pStyle w:val="SubmissionNormal"/>
        <w:numPr>
          <w:ilvl w:val="0"/>
          <w:numId w:val="0"/>
        </w:numPr>
        <w:jc w:val="both"/>
      </w:pPr>
      <w:r>
        <w:t>Advergames are games created by companies for their clients for the specific purpose of advertising products.</w:t>
      </w:r>
      <w:r>
        <w:rPr>
          <w:rStyle w:val="EndnoteReference"/>
        </w:rPr>
        <w:endnoteReference w:id="274"/>
      </w:r>
      <w:r>
        <w:t xml:space="preserve"> The brand can become ‘the hero of the game’ while entertaining the player at the same time.</w:t>
      </w:r>
      <w:r>
        <w:rPr>
          <w:rStyle w:val="EndnoteReference"/>
        </w:rPr>
        <w:endnoteReference w:id="275"/>
      </w:r>
      <w:r>
        <w:t xml:space="preserve"> The overriding objective is that, by the end of the game, the player should have learnt something of the brand/product.</w:t>
      </w:r>
      <w:r>
        <w:rPr>
          <w:rStyle w:val="EndnoteReference"/>
        </w:rPr>
        <w:endnoteReference w:id="276"/>
      </w:r>
      <w:r>
        <w:t xml:space="preserve"> In the advergaming context the advertisement is the product being consumed – there is no tangible difference between the two. </w:t>
      </w:r>
    </w:p>
    <w:p w14:paraId="59F58C10" w14:textId="20A25602" w:rsidR="00AA3994" w:rsidRPr="000060AE" w:rsidRDefault="00AA3994" w:rsidP="00354AA1">
      <w:pPr>
        <w:pStyle w:val="SubmissionNormal"/>
        <w:numPr>
          <w:ilvl w:val="0"/>
          <w:numId w:val="0"/>
        </w:numPr>
        <w:pBdr>
          <w:top w:val="single" w:sz="4" w:space="1" w:color="auto"/>
          <w:left w:val="single" w:sz="4" w:space="4" w:color="auto"/>
          <w:bottom w:val="single" w:sz="4" w:space="1" w:color="auto"/>
          <w:right w:val="single" w:sz="4" w:space="4" w:color="auto"/>
        </w:pBdr>
        <w:jc w:val="both"/>
        <w:rPr>
          <w:b/>
        </w:rPr>
      </w:pPr>
      <w:r w:rsidDel="00EA7502">
        <w:t xml:space="preserve"> </w:t>
      </w:r>
      <w:r>
        <w:rPr>
          <w:b/>
        </w:rPr>
        <w:t>‘</w:t>
      </w:r>
      <w:r w:rsidRPr="000060AE">
        <w:rPr>
          <w:b/>
        </w:rPr>
        <w:t>Neopet</w:t>
      </w:r>
      <w:r w:rsidR="00FE2EC2">
        <w:rPr>
          <w:b/>
        </w:rPr>
        <w:t>s</w:t>
      </w:r>
      <w:r>
        <w:rPr>
          <w:b/>
        </w:rPr>
        <w:t>’</w:t>
      </w:r>
      <w:r w:rsidRPr="000060AE">
        <w:rPr>
          <w:b/>
        </w:rPr>
        <w:t xml:space="preserve"> – advergaming example </w:t>
      </w:r>
    </w:p>
    <w:p w14:paraId="3C0B217F" w14:textId="0F1D4807" w:rsidR="00AA3994" w:rsidRDefault="00AA3994" w:rsidP="00354AA1">
      <w:pPr>
        <w:pStyle w:val="SubmissionNormal"/>
        <w:numPr>
          <w:ilvl w:val="0"/>
          <w:numId w:val="0"/>
        </w:numPr>
        <w:pBdr>
          <w:top w:val="single" w:sz="4" w:space="1" w:color="auto"/>
          <w:left w:val="single" w:sz="4" w:space="4" w:color="auto"/>
          <w:bottom w:val="single" w:sz="4" w:space="1" w:color="auto"/>
          <w:right w:val="single" w:sz="4" w:space="4" w:color="auto"/>
        </w:pBdr>
        <w:jc w:val="both"/>
      </w:pPr>
      <w:r>
        <w:t>The Neopet</w:t>
      </w:r>
      <w:r w:rsidR="00FE2EC2">
        <w:t>s</w:t>
      </w:r>
      <w:r w:rsidR="00BA2D97">
        <w:t xml:space="preserve"> web</w:t>
      </w:r>
      <w:r>
        <w:t>site has more than 50 million registered users. It is a free online site where members create or adopt a ‘NeoPet’ to look after and explore the community of ‘Neopia’.</w:t>
      </w:r>
      <w:r>
        <w:rPr>
          <w:rStyle w:val="EndnoteReference"/>
        </w:rPr>
        <w:endnoteReference w:id="277"/>
      </w:r>
      <w:r>
        <w:t xml:space="preserve"> Looking after the pet requires the acquisition of currency (‘NeoPoints’) which is gained by ‘playing various games, exchanging or selling items, filling out marketing surveys and entering contests and games of chance’.</w:t>
      </w:r>
      <w:r>
        <w:rPr>
          <w:rStyle w:val="EndnoteReference"/>
        </w:rPr>
        <w:endnoteReference w:id="278"/>
      </w:r>
      <w:r>
        <w:t xml:space="preserve"> Users are also encouraged to buy ‘a variety of related merchandise and collectables, which includes trading cards, plush toys, and numerous product tie-ins and licensed spin-offs’.</w:t>
      </w:r>
      <w:r>
        <w:rPr>
          <w:rStyle w:val="EndnoteReference"/>
        </w:rPr>
        <w:endnoteReference w:id="279"/>
      </w:r>
      <w:r>
        <w:t xml:space="preserve"> ‘Immersive advertising’ is used where products and brand names are integrated within the games and features of ‘Neopia’.</w:t>
      </w:r>
      <w:r>
        <w:rPr>
          <w:rStyle w:val="EndnoteReference"/>
        </w:rPr>
        <w:endnoteReference w:id="280"/>
      </w:r>
      <w:r>
        <w:t xml:space="preserve"> A substantial part of Neopets revenue is generated by providing ‘market research and consumer studies of its users’.</w:t>
      </w:r>
      <w:r>
        <w:rPr>
          <w:rStyle w:val="EndnoteReference"/>
        </w:rPr>
        <w:endnoteReference w:id="281"/>
      </w:r>
    </w:p>
    <w:p w14:paraId="1210DD41" w14:textId="77777777" w:rsidR="00AA3994" w:rsidRPr="00E806C3" w:rsidRDefault="00AA3994" w:rsidP="00354AA1">
      <w:pPr>
        <w:pStyle w:val="SubmissionNormal"/>
        <w:numPr>
          <w:ilvl w:val="0"/>
          <w:numId w:val="0"/>
        </w:numPr>
        <w:ind w:left="720"/>
        <w:jc w:val="both"/>
        <w:rPr>
          <w:sz w:val="20"/>
          <w:szCs w:val="20"/>
        </w:rPr>
      </w:pPr>
      <w:r w:rsidRPr="00E806C3">
        <w:rPr>
          <w:sz w:val="20"/>
          <w:szCs w:val="20"/>
        </w:rPr>
        <w:t>You sometimes go on to browse on these sites and you get emails saying fantastic sale, you click on and see what they are and you think that’s really cheap I might just get that, you haven’t actually thought of buying it</w:t>
      </w:r>
      <w:r>
        <w:rPr>
          <w:sz w:val="20"/>
          <w:szCs w:val="20"/>
        </w:rPr>
        <w:t>.</w:t>
      </w:r>
      <w:r w:rsidRPr="00E806C3">
        <w:rPr>
          <w:sz w:val="20"/>
          <w:szCs w:val="20"/>
        </w:rPr>
        <w:t xml:space="preserve"> (</w:t>
      </w:r>
      <w:r>
        <w:rPr>
          <w:sz w:val="20"/>
          <w:szCs w:val="20"/>
        </w:rPr>
        <w:t>Male,</w:t>
      </w:r>
      <w:r w:rsidRPr="00E806C3">
        <w:rPr>
          <w:sz w:val="20"/>
          <w:szCs w:val="20"/>
        </w:rPr>
        <w:t xml:space="preserve"> 16</w:t>
      </w:r>
      <w:r>
        <w:rPr>
          <w:sz w:val="20"/>
          <w:szCs w:val="20"/>
        </w:rPr>
        <w:t xml:space="preserve"> years</w:t>
      </w:r>
      <w:r w:rsidRPr="00E806C3">
        <w:rPr>
          <w:sz w:val="20"/>
          <w:szCs w:val="20"/>
        </w:rPr>
        <w:t>)</w:t>
      </w:r>
      <w:r w:rsidRPr="00E806C3">
        <w:rPr>
          <w:rStyle w:val="EndnoteReference"/>
          <w:szCs w:val="20"/>
        </w:rPr>
        <w:endnoteReference w:id="282"/>
      </w:r>
    </w:p>
    <w:p w14:paraId="2C04D178" w14:textId="77777777" w:rsidR="00AA3994" w:rsidRPr="00552A81" w:rsidRDefault="00AA3994" w:rsidP="00354AA1">
      <w:pPr>
        <w:pStyle w:val="SubmissionNormal"/>
        <w:numPr>
          <w:ilvl w:val="0"/>
          <w:numId w:val="0"/>
        </w:numPr>
        <w:jc w:val="both"/>
      </w:pPr>
      <w:r>
        <w:t>A number of commentators raise concerns about the susceptibility of young children to advertising where, cognitively speaking, they are less likely to identify strategies used to influence product choice.</w:t>
      </w:r>
      <w:r>
        <w:rPr>
          <w:rStyle w:val="EndnoteReference"/>
        </w:rPr>
        <w:endnoteReference w:id="283"/>
      </w:r>
      <w:r>
        <w:t xml:space="preserve"> Aggressive marketing strategies can also actively encourage children to use ‘pester power’ on guardians in order to influence </w:t>
      </w:r>
      <w:r w:rsidRPr="00552A81">
        <w:t>purchasing decisions.</w:t>
      </w:r>
      <w:r w:rsidRPr="00552A81">
        <w:rPr>
          <w:rStyle w:val="EndnoteReference"/>
        </w:rPr>
        <w:endnoteReference w:id="284"/>
      </w:r>
    </w:p>
    <w:p w14:paraId="4FE4ADAD" w14:textId="77777777" w:rsidR="00AA3994" w:rsidRPr="00BA0F44" w:rsidRDefault="00AA3994" w:rsidP="00354AA1">
      <w:pPr>
        <w:pStyle w:val="SubmissionNormal"/>
        <w:numPr>
          <w:ilvl w:val="0"/>
          <w:numId w:val="0"/>
        </w:numPr>
        <w:jc w:val="both"/>
      </w:pPr>
      <w:r w:rsidRPr="00552A81">
        <w:t xml:space="preserve">While there is significant research on the influence of television advertising on children of various ages, there </w:t>
      </w:r>
      <w:r w:rsidRPr="00BA0F44">
        <w:t>is little research on online advertising and its impact on children, particularly given the nature of new digital technologies.</w:t>
      </w:r>
      <w:r w:rsidRPr="00BA0F44">
        <w:rPr>
          <w:rStyle w:val="EndnoteReference"/>
        </w:rPr>
        <w:endnoteReference w:id="285"/>
      </w:r>
    </w:p>
    <w:p w14:paraId="12E7B1D3" w14:textId="77777777" w:rsidR="00AA3994" w:rsidRPr="00552A81" w:rsidRDefault="00AA3994" w:rsidP="00354AA1">
      <w:pPr>
        <w:pStyle w:val="SubmissionNormal"/>
        <w:numPr>
          <w:ilvl w:val="0"/>
          <w:numId w:val="0"/>
        </w:numPr>
        <w:jc w:val="both"/>
      </w:pPr>
      <w:r w:rsidRPr="00BA0F44">
        <w:t>These practices also raise questions about online privacy and whether this ‘research into children’ (or data mining) is occurring by ‘stealth’.</w:t>
      </w:r>
      <w:r w:rsidRPr="00BA0F44">
        <w:rPr>
          <w:rStyle w:val="EndnoteReference"/>
        </w:rPr>
        <w:endnoteReference w:id="286"/>
      </w:r>
      <w:r w:rsidRPr="00552A81">
        <w:t xml:space="preserve"> This is in contrast to the approach adopted by institutions such as academia and government where strict </w:t>
      </w:r>
      <w:r w:rsidRPr="00552A81">
        <w:lastRenderedPageBreak/>
        <w:t>ethical guidelines have been established</w:t>
      </w:r>
      <w:r>
        <w:t xml:space="preserve"> for such purposes</w:t>
      </w:r>
      <w:r w:rsidRPr="00552A81">
        <w:t>. Such guidelines closely regulate research conducted on children and ensure fully informed consent is secured from children and their guardians.</w:t>
      </w:r>
      <w:r w:rsidRPr="00552A81">
        <w:rPr>
          <w:rStyle w:val="EndnoteReference"/>
        </w:rPr>
        <w:endnoteReference w:id="287"/>
      </w:r>
      <w:r w:rsidRPr="00552A81">
        <w:t xml:space="preserve"> </w:t>
      </w:r>
    </w:p>
    <w:p w14:paraId="5D9D9550" w14:textId="77777777" w:rsidR="00AA3994" w:rsidRPr="00552A81" w:rsidRDefault="00AA3994" w:rsidP="00354AA1">
      <w:pPr>
        <w:pStyle w:val="Heading3"/>
        <w:jc w:val="both"/>
      </w:pPr>
      <w:bookmarkStart w:id="100" w:name="_Toc430333091"/>
      <w:bookmarkStart w:id="101" w:name="_Toc430702084"/>
      <w:r>
        <w:t>On</w:t>
      </w:r>
      <w:r w:rsidRPr="00552A81">
        <w:t>line privacy concerns</w:t>
      </w:r>
      <w:bookmarkEnd w:id="100"/>
      <w:bookmarkEnd w:id="101"/>
    </w:p>
    <w:p w14:paraId="0175F79B" w14:textId="2834FEB9" w:rsidR="00AA3994" w:rsidRPr="00552A81" w:rsidRDefault="00E05E66" w:rsidP="00354AA1">
      <w:pPr>
        <w:pStyle w:val="SubmissionNormal"/>
        <w:numPr>
          <w:ilvl w:val="0"/>
          <w:numId w:val="0"/>
        </w:numPr>
        <w:jc w:val="both"/>
      </w:pPr>
      <w:r>
        <w:t>I</w:t>
      </w:r>
      <w:r w:rsidR="00AA3994" w:rsidRPr="00552A81">
        <w:t xml:space="preserve">f contemporary children’s culture is truly </w:t>
      </w:r>
      <w:r>
        <w:t>‘</w:t>
      </w:r>
      <w:r w:rsidR="00AA3994" w:rsidRPr="00552A81">
        <w:t>inseparable from media use</w:t>
      </w:r>
      <w:r>
        <w:t>’</w:t>
      </w:r>
      <w:r w:rsidR="00850DA2">
        <w:t>,</w:t>
      </w:r>
      <w:r w:rsidR="00AA3994" w:rsidRPr="00552A81">
        <w:rPr>
          <w:rStyle w:val="EndnoteReference"/>
        </w:rPr>
        <w:endnoteReference w:id="288"/>
      </w:r>
      <w:r w:rsidR="00AA3994" w:rsidRPr="00552A81">
        <w:t xml:space="preserve"> it is also intimately familiar with emergin</w:t>
      </w:r>
      <w:r>
        <w:t>g forms of media surveillance</w:t>
      </w:r>
      <w:r w:rsidR="00AA3994" w:rsidRPr="00552A81">
        <w:t>.</w:t>
      </w:r>
      <w:r w:rsidR="00AA3994" w:rsidRPr="00552A81">
        <w:rPr>
          <w:rStyle w:val="EndnoteReference"/>
        </w:rPr>
        <w:endnoteReference w:id="289"/>
      </w:r>
      <w:r w:rsidR="00AA3994" w:rsidRPr="00552A81">
        <w:t xml:space="preserve"> The use of tracking software and spyware such as cookies</w:t>
      </w:r>
      <w:r w:rsidR="00AA3994" w:rsidRPr="00552A81">
        <w:rPr>
          <w:rStyle w:val="EndnoteReference"/>
        </w:rPr>
        <w:endnoteReference w:id="290"/>
      </w:r>
      <w:r w:rsidR="00AA3994" w:rsidRPr="00552A81">
        <w:t xml:space="preserve"> can be used to construct very detailed consumer profiles of a demographic group that is otherwise very difficult to gain access to.</w:t>
      </w:r>
      <w:r w:rsidR="00AA3994" w:rsidRPr="00552A81">
        <w:rPr>
          <w:rStyle w:val="EndnoteReference"/>
        </w:rPr>
        <w:endnoteReference w:id="291"/>
      </w:r>
      <w:r w:rsidR="00AA3994" w:rsidRPr="00552A81">
        <w:t xml:space="preserve"> It also facilitates the tailoring and strategic placement of advertisements on the screen page while the child is active on the website.</w:t>
      </w:r>
      <w:r w:rsidR="00AA3994" w:rsidRPr="00552A81">
        <w:rPr>
          <w:rStyle w:val="EndnoteReference"/>
        </w:rPr>
        <w:endnoteReference w:id="292"/>
      </w:r>
      <w:r w:rsidR="00AA3994" w:rsidRPr="00552A81">
        <w:t xml:space="preserve"> </w:t>
      </w:r>
    </w:p>
    <w:p w14:paraId="25A8AB1C" w14:textId="5D564840" w:rsidR="00AA3994" w:rsidRPr="00552A81" w:rsidRDefault="00AA3994" w:rsidP="00354AA1">
      <w:pPr>
        <w:pStyle w:val="SubmissionNormal"/>
        <w:numPr>
          <w:ilvl w:val="0"/>
          <w:numId w:val="0"/>
        </w:numPr>
        <w:jc w:val="both"/>
      </w:pPr>
      <w:r w:rsidRPr="00552A81">
        <w:t>Quite apart from individual websites collecting personal information, there is also the broader issue of data</w:t>
      </w:r>
      <w:r w:rsidR="00ED1722">
        <w:t xml:space="preserve"> </w:t>
      </w:r>
      <w:r w:rsidRPr="00552A81">
        <w:t>mining. Data mining algorithms search across raw data, identifying trends ‘and constructing generalisations and categories’.</w:t>
      </w:r>
      <w:r w:rsidRPr="00552A81">
        <w:rPr>
          <w:rStyle w:val="EndnoteReference"/>
        </w:rPr>
        <w:endnoteReference w:id="293"/>
      </w:r>
      <w:r w:rsidRPr="00552A81">
        <w:t xml:space="preserve"> This data is then cross-collated with other databases to produce a ‘truly staggering amount of consumer information’.</w:t>
      </w:r>
      <w:r w:rsidRPr="00552A81">
        <w:rPr>
          <w:rStyle w:val="EndnoteReference"/>
        </w:rPr>
        <w:endnoteReference w:id="294"/>
      </w:r>
      <w:r w:rsidRPr="00552A81">
        <w:t xml:space="preserve"> In this sense it is not so much the creation of children’s data footprints that is the issue as is the collection and use of such material by other parties, which can be for purposes completely unrelated to the original purpose.</w:t>
      </w:r>
      <w:r w:rsidRPr="00552A81">
        <w:rPr>
          <w:rStyle w:val="EndnoteReference"/>
        </w:rPr>
        <w:endnoteReference w:id="295"/>
      </w:r>
    </w:p>
    <w:p w14:paraId="52B914AF" w14:textId="6AA9A97A" w:rsidR="00AA3994" w:rsidRDefault="00AA3994" w:rsidP="00354AA1">
      <w:pPr>
        <w:pStyle w:val="SubmissionNormal"/>
        <w:numPr>
          <w:ilvl w:val="0"/>
          <w:numId w:val="0"/>
        </w:numPr>
        <w:jc w:val="both"/>
      </w:pPr>
      <w:r>
        <w:t>Other related on</w:t>
      </w:r>
      <w:r w:rsidRPr="00552A81">
        <w:t>line privacy concerns include receiving unsolicited emails; access to priv</w:t>
      </w:r>
      <w:r>
        <w:t>ate files; loss of anonymity on</w:t>
      </w:r>
      <w:r w:rsidRPr="00552A81">
        <w:t>line, unauthorised sharing or disclosure of information and misuse of personal financial details.</w:t>
      </w:r>
      <w:r w:rsidRPr="00552A81">
        <w:rPr>
          <w:rStyle w:val="EndnoteReference"/>
        </w:rPr>
        <w:endnoteReference w:id="296"/>
      </w:r>
      <w:r w:rsidRPr="00552A81">
        <w:t xml:space="preserve"> Notably, one research study revealed that the problems children saw with online shopping involved the security of</w:t>
      </w:r>
      <w:r>
        <w:t xml:space="preserve"> online transactions, providing personal details online and the subsequent junk emails received from companies.</w:t>
      </w:r>
      <w:r>
        <w:rPr>
          <w:rStyle w:val="EndnoteReference"/>
        </w:rPr>
        <w:endnoteReference w:id="297"/>
      </w:r>
    </w:p>
    <w:p w14:paraId="215B55CE" w14:textId="77777777" w:rsidR="00AA3994" w:rsidRDefault="00AA3994" w:rsidP="00354AA1">
      <w:pPr>
        <w:pStyle w:val="SubmissionNormal"/>
        <w:numPr>
          <w:ilvl w:val="0"/>
          <w:numId w:val="0"/>
        </w:numPr>
        <w:jc w:val="both"/>
      </w:pPr>
      <w:r>
        <w:t xml:space="preserve">Despite these issues, </w:t>
      </w:r>
      <w:r w:rsidRPr="00ED40C3">
        <w:t>a lack of research in this area has been identified where ‘policy makers have typically neglected children and youth, despite their online presence’ in e-commerce discussions.</w:t>
      </w:r>
      <w:r w:rsidRPr="00ED40C3">
        <w:rPr>
          <w:rStyle w:val="EndnoteReference"/>
        </w:rPr>
        <w:endnoteReference w:id="298"/>
      </w:r>
      <w:r>
        <w:t xml:space="preserve"> </w:t>
      </w:r>
    </w:p>
    <w:p w14:paraId="47F781EC" w14:textId="77777777" w:rsidR="00AA3994" w:rsidRPr="00552A81" w:rsidRDefault="00AA3994" w:rsidP="00354AA1">
      <w:pPr>
        <w:pStyle w:val="Heading3"/>
        <w:jc w:val="both"/>
      </w:pPr>
      <w:bookmarkStart w:id="102" w:name="_Toc430333092"/>
      <w:bookmarkStart w:id="103" w:name="_Toc430702085"/>
      <w:r w:rsidRPr="00552A81">
        <w:t>Regulatory issues</w:t>
      </w:r>
      <w:bookmarkEnd w:id="102"/>
      <w:bookmarkEnd w:id="103"/>
    </w:p>
    <w:p w14:paraId="7D401C83" w14:textId="77777777" w:rsidR="00AA3994" w:rsidRPr="00552A81" w:rsidRDefault="00AA3994" w:rsidP="00354AA1">
      <w:pPr>
        <w:pStyle w:val="SubmissionNormal"/>
        <w:numPr>
          <w:ilvl w:val="0"/>
          <w:numId w:val="0"/>
        </w:numPr>
        <w:jc w:val="both"/>
      </w:pPr>
      <w:r w:rsidRPr="00552A81">
        <w:t>With what has been called the ‘com</w:t>
      </w:r>
      <w:r>
        <w:t>mercialisation’ of the i</w:t>
      </w:r>
      <w:r w:rsidRPr="00552A81">
        <w:t>nternet, particularly for children,</w:t>
      </w:r>
      <w:r w:rsidRPr="00552A81">
        <w:rPr>
          <w:rStyle w:val="EndnoteReference"/>
        </w:rPr>
        <w:endnoteReference w:id="299"/>
      </w:r>
      <w:r w:rsidRPr="00552A81">
        <w:t xml:space="preserve"> questions arise as to whether existing regulation has kept up with the rapidly changing consumer environment as it impacts on children</w:t>
      </w:r>
      <w:r>
        <w:t>.</w:t>
      </w:r>
      <w:r w:rsidRPr="00552A81">
        <w:t xml:space="preserve"> It is argued that there is a </w:t>
      </w:r>
      <w:r>
        <w:t>pressing need to ‘</w:t>
      </w:r>
      <w:r w:rsidRPr="00552A81">
        <w:t>acknowledge children’s needs and emergi</w:t>
      </w:r>
      <w:r>
        <w:t>ng rights as “digital citizens”’</w:t>
      </w:r>
      <w:r w:rsidRPr="00ED5B92">
        <w:rPr>
          <w:rStyle w:val="EndnoteReference"/>
        </w:rPr>
        <w:t xml:space="preserve"> </w:t>
      </w:r>
      <w:r w:rsidRPr="00552A81">
        <w:rPr>
          <w:rStyle w:val="EndnoteReference"/>
        </w:rPr>
        <w:endnoteReference w:id="300"/>
      </w:r>
      <w:r w:rsidRPr="00552A81">
        <w:t xml:space="preserve"> within the online context</w:t>
      </w:r>
      <w:r>
        <w:t xml:space="preserve"> in particular</w:t>
      </w:r>
      <w:r w:rsidRPr="00552A81">
        <w:t xml:space="preserve">. </w:t>
      </w:r>
    </w:p>
    <w:p w14:paraId="1F92CF5E" w14:textId="6CA2F6E6" w:rsidR="00AA3994" w:rsidRPr="00552A81" w:rsidRDefault="00AA3994" w:rsidP="00354AA1">
      <w:pPr>
        <w:pStyle w:val="SubmissionNormal"/>
        <w:numPr>
          <w:ilvl w:val="0"/>
          <w:numId w:val="0"/>
        </w:numPr>
        <w:jc w:val="both"/>
      </w:pPr>
      <w:r w:rsidRPr="00552A81">
        <w:t>The picture revealed is of children who have ‘spending power to utilize their skills’ but who still lack the ability to make more informed choices.</w:t>
      </w:r>
      <w:r w:rsidRPr="00552A81">
        <w:rPr>
          <w:rStyle w:val="EndnoteReference"/>
        </w:rPr>
        <w:endnoteReference w:id="301"/>
      </w:r>
      <w:r w:rsidR="00ED1722">
        <w:t xml:space="preserve"> </w:t>
      </w:r>
      <w:r w:rsidRPr="00552A81">
        <w:t xml:space="preserve">The </w:t>
      </w:r>
      <w:r w:rsidRPr="00ED40C3">
        <w:t>idea of the adept ‘cyber-kid’ contrasts with the findings of studies that suggest children’s knowledge of the processes and issues associated with online use might actually be ‘quite superficial and limited’.</w:t>
      </w:r>
      <w:r w:rsidRPr="00ED40C3">
        <w:rPr>
          <w:rStyle w:val="EndnoteReference"/>
        </w:rPr>
        <w:endnoteReference w:id="302"/>
      </w:r>
      <w:r w:rsidRPr="00ED40C3">
        <w:t xml:space="preserve"> Ev</w:t>
      </w:r>
      <w:r w:rsidRPr="00552A81">
        <w:t>erything from the lack of attention to privacy policies to children’s limited understanding of key legal and economic concepts suggest the need for further inquiry ‘into children’s actual (as opposed to assumed) cyber-literacy’.</w:t>
      </w:r>
      <w:r w:rsidRPr="00552A81">
        <w:rPr>
          <w:rStyle w:val="EndnoteReference"/>
        </w:rPr>
        <w:endnoteReference w:id="303"/>
      </w:r>
    </w:p>
    <w:p w14:paraId="5E2A13B3" w14:textId="769747B9" w:rsidR="00AA3994" w:rsidRPr="00552A81" w:rsidRDefault="00AA3994" w:rsidP="00354AA1">
      <w:pPr>
        <w:pStyle w:val="SubmissionNormal"/>
        <w:numPr>
          <w:ilvl w:val="0"/>
          <w:numId w:val="0"/>
        </w:numPr>
        <w:jc w:val="both"/>
      </w:pPr>
      <w:r w:rsidRPr="00552A81">
        <w:t>I</w:t>
      </w:r>
      <w:r>
        <w:t>n the i</w:t>
      </w:r>
      <w:r w:rsidRPr="00552A81">
        <w:t>nternet era, children can no longer be insulated and protected from ‘the outside’ world as</w:t>
      </w:r>
      <w:r w:rsidR="00ED1722">
        <w:t xml:space="preserve"> arguably this no longer exists. I</w:t>
      </w:r>
      <w:r w:rsidRPr="00552A81">
        <w:t>nstead</w:t>
      </w:r>
      <w:r w:rsidR="00ED1722">
        <w:t>,</w:t>
      </w:r>
      <w:r w:rsidRPr="00552A81">
        <w:t xml:space="preserve"> childhood has become </w:t>
      </w:r>
      <w:r w:rsidRPr="00552A81">
        <w:lastRenderedPageBreak/>
        <w:t>inseparable from media use and media surveillance.</w:t>
      </w:r>
      <w:r w:rsidRPr="00552A81">
        <w:rPr>
          <w:rStyle w:val="EndnoteReference"/>
        </w:rPr>
        <w:endnoteReference w:id="304"/>
      </w:r>
      <w:r w:rsidRPr="00552A81">
        <w:t xml:space="preserve"> Amid these fundamental social shifts in how children participate, the challenge is to ensure children emerge, not just as competent users of technology, but also as active, empowered and consumer literate participants.</w:t>
      </w:r>
      <w:r w:rsidRPr="00552A81">
        <w:rPr>
          <w:rStyle w:val="EndnoteReference"/>
        </w:rPr>
        <w:endnoteReference w:id="305"/>
      </w:r>
      <w:r w:rsidRPr="00552A81">
        <w:t xml:space="preserve"> </w:t>
      </w:r>
    </w:p>
    <w:p w14:paraId="0F42AFF8" w14:textId="77777777" w:rsidR="00AA3994" w:rsidRPr="00552A81" w:rsidRDefault="00AA3994" w:rsidP="00354AA1">
      <w:pPr>
        <w:pStyle w:val="SubmissionNormal"/>
        <w:numPr>
          <w:ilvl w:val="0"/>
          <w:numId w:val="0"/>
        </w:numPr>
        <w:jc w:val="both"/>
      </w:pPr>
      <w:r w:rsidRPr="00ED40C3">
        <w:t>Contractual complexity is noted as an issue in,</w:t>
      </w:r>
      <w:r w:rsidRPr="00552A81">
        <w:t xml:space="preserve"> for example, children’s knowledge of privacy policies and how companies track, collect and use the</w:t>
      </w:r>
      <w:r>
        <w:t>ir personal information on the i</w:t>
      </w:r>
      <w:r w:rsidRPr="00552A81">
        <w:t>nternet.</w:t>
      </w:r>
      <w:r w:rsidRPr="00552A81">
        <w:rPr>
          <w:rStyle w:val="EndnoteReference"/>
        </w:rPr>
        <w:endnoteReference w:id="306"/>
      </w:r>
      <w:r w:rsidRPr="00552A81">
        <w:t xml:space="preserve"> Similar issues arise where children agree to </w:t>
      </w:r>
      <w:r>
        <w:t>e</w:t>
      </w:r>
      <w:r w:rsidRPr="00552A81">
        <w:t>nd-use license agreements which are mostly written in inaccessible language and easily bypassed or agreed to.</w:t>
      </w:r>
      <w:r w:rsidRPr="00552A81">
        <w:rPr>
          <w:rStyle w:val="EndnoteReference"/>
        </w:rPr>
        <w:endnoteReference w:id="307"/>
      </w:r>
      <w:r w:rsidRPr="00552A81">
        <w:t xml:space="preserve"> These agreements put the onus on the child to seek parental consent</w:t>
      </w:r>
      <w:r w:rsidRPr="00552A81">
        <w:rPr>
          <w:rStyle w:val="EndnoteReference"/>
        </w:rPr>
        <w:endnoteReference w:id="308"/>
      </w:r>
      <w:r w:rsidRPr="00552A81">
        <w:t xml:space="preserve"> and can act to waive children’s rights to any content they create.</w:t>
      </w:r>
      <w:r w:rsidRPr="00552A81">
        <w:rPr>
          <w:rStyle w:val="EndnoteReference"/>
        </w:rPr>
        <w:endnoteReference w:id="309"/>
      </w:r>
      <w:r w:rsidRPr="00552A81">
        <w:t xml:space="preserve"> </w:t>
      </w:r>
    </w:p>
    <w:p w14:paraId="0C656CD4" w14:textId="7644DDD3" w:rsidR="00AA3994" w:rsidRDefault="00AA3994" w:rsidP="00354AA1">
      <w:pPr>
        <w:pStyle w:val="SubmissionNormal"/>
        <w:numPr>
          <w:ilvl w:val="0"/>
          <w:numId w:val="0"/>
        </w:numPr>
        <w:jc w:val="both"/>
      </w:pPr>
      <w:r w:rsidRPr="00552A81">
        <w:t xml:space="preserve">The use of ‘parental consent’ in the </w:t>
      </w:r>
      <w:r>
        <w:t>on</w:t>
      </w:r>
      <w:r w:rsidRPr="00552A81">
        <w:t xml:space="preserve">line context is </w:t>
      </w:r>
      <w:r w:rsidRPr="00ED40C3">
        <w:t>a widely understood safeguard of children and their rights, yet it has emerged in a number of studies that the process of securing informed parental consent is largely inadequate</w:t>
      </w:r>
      <w:r w:rsidRPr="00552A81">
        <w:t>.</w:t>
      </w:r>
      <w:r w:rsidRPr="00552A81">
        <w:rPr>
          <w:rStyle w:val="EndnoteReference"/>
        </w:rPr>
        <w:endnoteReference w:id="310"/>
      </w:r>
      <w:r w:rsidRPr="00552A81">
        <w:t xml:space="preserve"> Research </w:t>
      </w:r>
      <w:r>
        <w:t xml:space="preserve">demonstrates </w:t>
      </w:r>
      <w:r w:rsidRPr="00552A81">
        <w:t>that the securing of parental consent ‘is rarely strictly enforced by site operators, and can often</w:t>
      </w:r>
      <w:r w:rsidR="009A3138">
        <w:t xml:space="preserve"> be easily by-</w:t>
      </w:r>
      <w:r>
        <w:t>passed by child users’.</w:t>
      </w:r>
      <w:r>
        <w:rPr>
          <w:rStyle w:val="EndnoteReference"/>
        </w:rPr>
        <w:endnoteReference w:id="311"/>
      </w:r>
      <w:r>
        <w:t xml:space="preserve"> This is of particular relevance in light of recent Australian data suggesting an increase in internet access by children at friend’s houses</w:t>
      </w:r>
      <w:r w:rsidR="009A3138">
        <w:t>,</w:t>
      </w:r>
      <w:r>
        <w:rPr>
          <w:rStyle w:val="EndnoteReference"/>
        </w:rPr>
        <w:endnoteReference w:id="312"/>
      </w:r>
      <w:r>
        <w:t xml:space="preserve"> away from direct parental supervision. </w:t>
      </w:r>
    </w:p>
    <w:p w14:paraId="2A0CA92E" w14:textId="7D2A5385" w:rsidR="00AA3994" w:rsidRPr="00552A81" w:rsidRDefault="00AA3994" w:rsidP="00354AA1">
      <w:pPr>
        <w:pStyle w:val="SubmissionNormal"/>
        <w:numPr>
          <w:ilvl w:val="0"/>
          <w:numId w:val="0"/>
        </w:numPr>
        <w:jc w:val="both"/>
      </w:pPr>
      <w:r w:rsidRPr="00207527">
        <w:t>A clear example of this is in the context of apps</w:t>
      </w:r>
      <w:r>
        <w:t xml:space="preserve"> where parents may not even be aware of</w:t>
      </w:r>
      <w:r w:rsidRPr="00301F25">
        <w:t xml:space="preserve"> ‘the need to supervise children’s use of mobile applications’ hosted on their mobile phones.</w:t>
      </w:r>
      <w:r w:rsidRPr="00301F25">
        <w:rPr>
          <w:rStyle w:val="EndnoteReference"/>
        </w:rPr>
        <w:endnoteReference w:id="313"/>
      </w:r>
      <w:r w:rsidRPr="00301F25">
        <w:t xml:space="preserve"> This is acutely the case with the use of the ‘freemium’ app model where </w:t>
      </w:r>
      <w:r>
        <w:t>a</w:t>
      </w:r>
      <w:r w:rsidRPr="00301F25">
        <w:t xml:space="preserve"> game is advertised as ‘free’ but often require</w:t>
      </w:r>
      <w:r>
        <w:t>s</w:t>
      </w:r>
      <w:r w:rsidRPr="00301F25">
        <w:t xml:space="preserve"> the purchasing of digital or ‘virtual’ currencies in order to work effectively.</w:t>
      </w:r>
      <w:r w:rsidRPr="00301F25">
        <w:rPr>
          <w:rStyle w:val="EndnoteReference"/>
        </w:rPr>
        <w:endnoteReference w:id="314"/>
      </w:r>
      <w:r w:rsidRPr="00301F25">
        <w:t xml:space="preserve"> This can lead to situations where ‘children may make a number of in-app purchases without the knowledge of their parents’.</w:t>
      </w:r>
      <w:r w:rsidRPr="00301F25">
        <w:rPr>
          <w:rStyle w:val="EndnoteReference"/>
        </w:rPr>
        <w:endnoteReference w:id="315"/>
      </w:r>
      <w:r w:rsidRPr="00301F25">
        <w:t xml:space="preserve"> This is in part because children often ‘do not understand that they are spending real money, or how much they are spending (for example</w:t>
      </w:r>
      <w:r>
        <w:t>,</w:t>
      </w:r>
      <w:r w:rsidRPr="00301F25">
        <w:t xml:space="preserve"> in th</w:t>
      </w:r>
      <w:r w:rsidR="00850DA2">
        <w:t>e popular game Smurf Village a “wagon”</w:t>
      </w:r>
      <w:r w:rsidRPr="00301F25">
        <w:t xml:space="preserve"> of 2000 </w:t>
      </w:r>
      <w:r w:rsidR="00850DA2">
        <w:t>“</w:t>
      </w:r>
      <w:r w:rsidRPr="00301F25">
        <w:t>Smurfberries</w:t>
      </w:r>
      <w:r w:rsidR="00850DA2">
        <w:t>”</w:t>
      </w:r>
      <w:r w:rsidRPr="00301F25">
        <w:t xml:space="preserve"> cost</w:t>
      </w:r>
      <w:r>
        <w:t>s</w:t>
      </w:r>
      <w:r w:rsidRPr="00301F25">
        <w:t xml:space="preserve"> $</w:t>
      </w:r>
      <w:r w:rsidRPr="00010DEA">
        <w:t>109.99)</w:t>
      </w:r>
      <w:r w:rsidR="00DC3CD3">
        <w:t>’</w:t>
      </w:r>
      <w:r w:rsidRPr="00010DEA">
        <w:t>.</w:t>
      </w:r>
      <w:r w:rsidRPr="00010DEA">
        <w:rPr>
          <w:rStyle w:val="EndnoteReference"/>
        </w:rPr>
        <w:endnoteReference w:id="316"/>
      </w:r>
      <w:r>
        <w:t xml:space="preserve"> Other concerns raised within the app context include marketing strategies being inappropriate to the age of users and apps targeted at children that simulate gambling.</w:t>
      </w:r>
      <w:r>
        <w:rPr>
          <w:rStyle w:val="EndnoteReference"/>
        </w:rPr>
        <w:endnoteReference w:id="317"/>
      </w:r>
    </w:p>
    <w:p w14:paraId="42C30AF9" w14:textId="77777777" w:rsidR="00AA3994" w:rsidRPr="00552A81" w:rsidRDefault="00AA3994" w:rsidP="00354AA1">
      <w:pPr>
        <w:pStyle w:val="SubmissionNormal"/>
        <w:numPr>
          <w:ilvl w:val="0"/>
          <w:numId w:val="0"/>
        </w:numPr>
        <w:jc w:val="both"/>
      </w:pPr>
      <w:r w:rsidRPr="00FF4D21">
        <w:t>Suggested reforms to the app consumer market</w:t>
      </w:r>
      <w:r w:rsidRPr="00010DEA">
        <w:t xml:space="preserve"> include ensuring consumers ma</w:t>
      </w:r>
      <w:r>
        <w:t>k</w:t>
      </w:r>
      <w:r w:rsidRPr="00010DEA">
        <w:t xml:space="preserve">e greater </w:t>
      </w:r>
      <w:r w:rsidRPr="00552A81">
        <w:t>use of ‘existing settings and controls’ in safeguarding appropriate use by children.</w:t>
      </w:r>
      <w:r w:rsidRPr="00552A81">
        <w:rPr>
          <w:rStyle w:val="EndnoteReference"/>
        </w:rPr>
        <w:endnoteReference w:id="318"/>
      </w:r>
      <w:r w:rsidRPr="00552A81">
        <w:t xml:space="preserve"> </w:t>
      </w:r>
      <w:r>
        <w:t>T</w:t>
      </w:r>
      <w:r w:rsidRPr="00552A81">
        <w:t xml:space="preserve">he adoption by business of a </w:t>
      </w:r>
      <w:r w:rsidRPr="00506836">
        <w:t>‘best practice’ industry approach</w:t>
      </w:r>
      <w:r w:rsidRPr="00552A81">
        <w:t xml:space="preserve"> to ensure appropriate use of apps by children</w:t>
      </w:r>
      <w:r>
        <w:t xml:space="preserve"> was also recommended</w:t>
      </w:r>
      <w:r w:rsidRPr="00552A81">
        <w:t>.</w:t>
      </w:r>
      <w:r w:rsidRPr="00552A81">
        <w:rPr>
          <w:rStyle w:val="EndnoteReference"/>
        </w:rPr>
        <w:endnoteReference w:id="319"/>
      </w:r>
      <w:r w:rsidRPr="00552A81">
        <w:t xml:space="preserve"> Further research and continued monitoring of children’s consumer experiences with apps was considered necessary.</w:t>
      </w:r>
      <w:r w:rsidRPr="00552A81">
        <w:rPr>
          <w:rStyle w:val="EndnoteReference"/>
        </w:rPr>
        <w:endnoteReference w:id="320"/>
      </w:r>
    </w:p>
    <w:p w14:paraId="4F88D450" w14:textId="4AE274AD" w:rsidR="00AA3994" w:rsidRPr="00552A81" w:rsidRDefault="00AA3994" w:rsidP="00354AA1">
      <w:pPr>
        <w:pStyle w:val="SubmissionNormal"/>
        <w:numPr>
          <w:ilvl w:val="0"/>
          <w:numId w:val="0"/>
        </w:numPr>
        <w:ind w:left="720"/>
        <w:jc w:val="both"/>
        <w:rPr>
          <w:sz w:val="20"/>
          <w:szCs w:val="20"/>
        </w:rPr>
      </w:pPr>
      <w:r w:rsidRPr="00552A81">
        <w:rPr>
          <w:sz w:val="20"/>
          <w:szCs w:val="20"/>
        </w:rPr>
        <w:t xml:space="preserve">Everything is nice as written, but companies only aim at earnings. </w:t>
      </w:r>
      <w:r w:rsidR="00ED1722">
        <w:rPr>
          <w:sz w:val="20"/>
          <w:szCs w:val="20"/>
        </w:rPr>
        <w:t>(</w:t>
      </w:r>
      <w:r w:rsidRPr="00552A81">
        <w:rPr>
          <w:sz w:val="20"/>
          <w:szCs w:val="20"/>
        </w:rPr>
        <w:t>Young person</w:t>
      </w:r>
      <w:r>
        <w:rPr>
          <w:sz w:val="20"/>
          <w:szCs w:val="20"/>
        </w:rPr>
        <w:t>,</w:t>
      </w:r>
      <w:r w:rsidRPr="00552A81">
        <w:rPr>
          <w:sz w:val="20"/>
          <w:szCs w:val="20"/>
        </w:rPr>
        <w:t xml:space="preserve"> Brazil</w:t>
      </w:r>
      <w:r w:rsidR="00ED1722">
        <w:rPr>
          <w:sz w:val="20"/>
          <w:szCs w:val="20"/>
        </w:rPr>
        <w:t>)</w:t>
      </w:r>
      <w:r w:rsidRPr="00552A81">
        <w:rPr>
          <w:rStyle w:val="EndnoteReference"/>
          <w:rFonts w:cs="Arial"/>
          <w:szCs w:val="20"/>
        </w:rPr>
        <w:endnoteReference w:id="321"/>
      </w:r>
    </w:p>
    <w:p w14:paraId="4F45E371" w14:textId="58F8ACE6" w:rsidR="00AA3994" w:rsidRPr="00552A81" w:rsidRDefault="00AA3994" w:rsidP="00354AA1">
      <w:pPr>
        <w:pStyle w:val="SubmissionNormal"/>
        <w:numPr>
          <w:ilvl w:val="0"/>
          <w:numId w:val="0"/>
        </w:numPr>
        <w:jc w:val="both"/>
      </w:pPr>
      <w:r w:rsidRPr="00552A81">
        <w:t>However</w:t>
      </w:r>
      <w:r>
        <w:t xml:space="preserve">, </w:t>
      </w:r>
      <w:r w:rsidRPr="00552A81">
        <w:t xml:space="preserve">criticisms </w:t>
      </w:r>
      <w:r>
        <w:t>have been</w:t>
      </w:r>
      <w:r w:rsidRPr="00552A81">
        <w:t xml:space="preserve"> levelled at the adoption of voluntary ‘best practice’ or self-regulatory approach</w:t>
      </w:r>
      <w:r>
        <w:t>es, as</w:t>
      </w:r>
      <w:r w:rsidRPr="00552A81">
        <w:t xml:space="preserve"> failing to guarantee that all businesses would abide by relevant standards.</w:t>
      </w:r>
      <w:r w:rsidRPr="00552A81">
        <w:rPr>
          <w:rStyle w:val="EndnoteReference"/>
        </w:rPr>
        <w:endnoteReference w:id="322"/>
      </w:r>
      <w:r w:rsidRPr="00552A81">
        <w:t xml:space="preserve"> For example, where business adopts codes of conduct limiting ‘traditional’ forms of advertising to children (</w:t>
      </w:r>
      <w:r w:rsidR="004B4BE8">
        <w:t>such as</w:t>
      </w:r>
      <w:r w:rsidRPr="00552A81">
        <w:t xml:space="preserve"> television), the </w:t>
      </w:r>
      <w:r w:rsidRPr="00506836">
        <w:t>perceived risk was that investment would be diverted to forms of ‘new media’ not yet covered by such codes</w:t>
      </w:r>
      <w:r w:rsidRPr="00552A81">
        <w:t>.</w:t>
      </w:r>
      <w:r w:rsidRPr="00552A81">
        <w:rPr>
          <w:rStyle w:val="EndnoteReference"/>
        </w:rPr>
        <w:endnoteReference w:id="323"/>
      </w:r>
      <w:r w:rsidRPr="00552A81">
        <w:t xml:space="preserve">  </w:t>
      </w:r>
    </w:p>
    <w:p w14:paraId="473352D9" w14:textId="0989F588" w:rsidR="00AA3994" w:rsidRPr="00552A81" w:rsidRDefault="00AA3994" w:rsidP="00354AA1">
      <w:pPr>
        <w:pStyle w:val="SubmissionNormal"/>
        <w:numPr>
          <w:ilvl w:val="0"/>
          <w:numId w:val="0"/>
        </w:numPr>
        <w:jc w:val="both"/>
      </w:pPr>
      <w:r w:rsidRPr="00552A81">
        <w:t xml:space="preserve">Concerns </w:t>
      </w:r>
      <w:r>
        <w:t>have</w:t>
      </w:r>
      <w:r w:rsidRPr="00552A81">
        <w:t xml:space="preserve"> also</w:t>
      </w:r>
      <w:r>
        <w:t xml:space="preserve"> been</w:t>
      </w:r>
      <w:r w:rsidRPr="00552A81">
        <w:t xml:space="preserve"> raised about regulation only targeting ‘misleading’ advertising in a situation where ‘perfectly truthful advertisements’ can send messages that are inconsistent with public policy goals.</w:t>
      </w:r>
      <w:r w:rsidRPr="00552A81">
        <w:rPr>
          <w:rStyle w:val="EndnoteReference"/>
        </w:rPr>
        <w:endnoteReference w:id="324"/>
      </w:r>
      <w:r w:rsidRPr="00552A81">
        <w:t xml:space="preserve"> In other words, </w:t>
      </w:r>
      <w:r w:rsidRPr="00506836">
        <w:t>‘self-</w:t>
      </w:r>
      <w:r w:rsidRPr="00506836">
        <w:lastRenderedPageBreak/>
        <w:t>regulation cannot prevent marketing that works’ – that is, sustained and targeted advertising to children.</w:t>
      </w:r>
      <w:r w:rsidRPr="00506836">
        <w:rPr>
          <w:rStyle w:val="EndnoteReference"/>
        </w:rPr>
        <w:endnoteReference w:id="325"/>
      </w:r>
      <w:r w:rsidRPr="00506836">
        <w:t xml:space="preserve"> Instead it is argued that the very aims of self</w:t>
      </w:r>
      <w:r w:rsidRPr="00552A81">
        <w:t xml:space="preserve">-regulation </w:t>
      </w:r>
      <w:r w:rsidRPr="00636FE7">
        <w:t xml:space="preserve">have to be reconfigured to continue to support business needs, and to </w:t>
      </w:r>
      <w:r w:rsidR="00636FE7" w:rsidRPr="00636FE7">
        <w:t>protect</w:t>
      </w:r>
      <w:r w:rsidRPr="00636FE7">
        <w:t xml:space="preserve"> against commercial practices that gain an unfair competitive advantage.</w:t>
      </w:r>
      <w:r w:rsidRPr="00636FE7">
        <w:rPr>
          <w:rStyle w:val="EndnoteReference"/>
        </w:rPr>
        <w:endnoteReference w:id="326"/>
      </w:r>
      <w:r w:rsidRPr="00552A81">
        <w:t xml:space="preserve"> </w:t>
      </w:r>
    </w:p>
    <w:p w14:paraId="16FE1EC9" w14:textId="6981FD28" w:rsidR="00AA3994" w:rsidRPr="00552A81" w:rsidRDefault="00AA3994" w:rsidP="00354AA1">
      <w:pPr>
        <w:pStyle w:val="SubmissionNormal"/>
        <w:numPr>
          <w:ilvl w:val="0"/>
          <w:numId w:val="0"/>
        </w:numPr>
        <w:jc w:val="both"/>
      </w:pPr>
      <w:r w:rsidRPr="00552A81">
        <w:t>Accordingly</w:t>
      </w:r>
      <w:r>
        <w:t>,</w:t>
      </w:r>
      <w:r w:rsidRPr="00552A81">
        <w:t xml:space="preserve"> consumers, particularly vulnerable consumers such as children, </w:t>
      </w:r>
      <w:r>
        <w:t xml:space="preserve">need to </w:t>
      </w:r>
      <w:r w:rsidRPr="00552A81">
        <w:t>be protected by ‘restricting exposure to, and the impact of, certain forms of marketing’.</w:t>
      </w:r>
      <w:r w:rsidRPr="00552A81">
        <w:rPr>
          <w:rStyle w:val="EndnoteReference"/>
        </w:rPr>
        <w:endnoteReference w:id="327"/>
      </w:r>
      <w:r w:rsidRPr="00552A81">
        <w:t xml:space="preserve"> </w:t>
      </w:r>
      <w:r w:rsidR="00F51BD1">
        <w:t xml:space="preserve">Amadine </w:t>
      </w:r>
      <w:r>
        <w:t xml:space="preserve">Garde argues it is </w:t>
      </w:r>
      <w:r w:rsidRPr="00552A81">
        <w:t>counter-intuitive to place the onus on business to curtail promotion of products that are lawfully placed on the market.</w:t>
      </w:r>
      <w:r w:rsidRPr="00552A81">
        <w:rPr>
          <w:rStyle w:val="EndnoteReference"/>
        </w:rPr>
        <w:endnoteReference w:id="328"/>
      </w:r>
      <w:r w:rsidRPr="00552A81">
        <w:t xml:space="preserve"> In a regulatory sense, stakeholders </w:t>
      </w:r>
      <w:r>
        <w:t>are</w:t>
      </w:r>
      <w:r w:rsidRPr="00552A81">
        <w:t xml:space="preserve"> seen as having ‘different roles’</w:t>
      </w:r>
      <w:r>
        <w:t>, with</w:t>
      </w:r>
      <w:r w:rsidRPr="00552A81">
        <w:t xml:space="preserve"> government</w:t>
      </w:r>
      <w:r>
        <w:t xml:space="preserve"> </w:t>
      </w:r>
      <w:r w:rsidRPr="00552A81">
        <w:t>responsible for developing policy and providing leadership in implementation, monitoring and evaluation of these practices.</w:t>
      </w:r>
      <w:r w:rsidRPr="00552A81">
        <w:rPr>
          <w:rStyle w:val="EndnoteReference"/>
        </w:rPr>
        <w:endnoteReference w:id="329"/>
      </w:r>
      <w:r w:rsidRPr="00552A81">
        <w:t xml:space="preserve">  </w:t>
      </w:r>
    </w:p>
    <w:p w14:paraId="2DEFB13B" w14:textId="77777777" w:rsidR="00AA3994" w:rsidRPr="00552A81" w:rsidRDefault="00AA3994" w:rsidP="00354AA1">
      <w:pPr>
        <w:pStyle w:val="SubmissionNormal"/>
        <w:numPr>
          <w:ilvl w:val="0"/>
          <w:numId w:val="0"/>
        </w:numPr>
        <w:jc w:val="both"/>
      </w:pPr>
      <w:r>
        <w:t>One approach</w:t>
      </w:r>
      <w:r w:rsidRPr="00552A81">
        <w:t xml:space="preserve"> to improved privacy regulation </w:t>
      </w:r>
      <w:r>
        <w:t xml:space="preserve">suggested in the literature </w:t>
      </w:r>
      <w:r w:rsidRPr="00552A81">
        <w:t>in</w:t>
      </w:r>
      <w:r>
        <w:t>volves</w:t>
      </w:r>
      <w:r w:rsidRPr="00552A81">
        <w:t xml:space="preserve"> an ‘explicit and clear campaign of awareness regarding the uses to which data’ may be stored and mined</w:t>
      </w:r>
      <w:r w:rsidRPr="00506836">
        <w:t>, placing the onus of responsibility on those who wish to use personal data in this mann</w:t>
      </w:r>
      <w:r w:rsidRPr="00552A81">
        <w:t>er.</w:t>
      </w:r>
      <w:r w:rsidRPr="00552A81">
        <w:rPr>
          <w:rStyle w:val="EndnoteReference"/>
        </w:rPr>
        <w:endnoteReference w:id="330"/>
      </w:r>
      <w:r w:rsidRPr="00552A81">
        <w:t xml:space="preserve"> Arguably, this knowledge or awareness would give people the opportunity to ‘resist or negotiate the uses of their information’.</w:t>
      </w:r>
      <w:r w:rsidRPr="00552A81">
        <w:rPr>
          <w:rStyle w:val="EndnoteReference"/>
        </w:rPr>
        <w:endnoteReference w:id="331"/>
      </w:r>
      <w:r w:rsidRPr="00552A81">
        <w:t xml:space="preserve"> It was also considered ‘</w:t>
      </w:r>
      <w:r w:rsidRPr="00061ABE">
        <w:t>especially vital that appropriate guidelines were established for ensuring truly informed consent from a child’</w:t>
      </w:r>
      <w:r w:rsidRPr="00552A81">
        <w:t>.</w:t>
      </w:r>
      <w:r w:rsidRPr="00552A81">
        <w:rPr>
          <w:rStyle w:val="EndnoteReference"/>
        </w:rPr>
        <w:endnoteReference w:id="332"/>
      </w:r>
      <w:r w:rsidRPr="00552A81">
        <w:t xml:space="preserve"> Child research protocols used by academic and government institutions were recommended as </w:t>
      </w:r>
      <w:r>
        <w:t xml:space="preserve">offering </w:t>
      </w:r>
      <w:r w:rsidRPr="00552A81">
        <w:t>a possible framework.</w:t>
      </w:r>
      <w:r w:rsidRPr="00552A81">
        <w:rPr>
          <w:rStyle w:val="EndnoteReference"/>
        </w:rPr>
        <w:endnoteReference w:id="333"/>
      </w:r>
      <w:r w:rsidRPr="00552A81">
        <w:t xml:space="preserve"> </w:t>
      </w:r>
    </w:p>
    <w:p w14:paraId="5F6EDE5A" w14:textId="3EF10BFE" w:rsidR="00AA3994" w:rsidRDefault="00AA3994" w:rsidP="00354AA1">
      <w:pPr>
        <w:pStyle w:val="SubmissionNormal"/>
        <w:numPr>
          <w:ilvl w:val="0"/>
          <w:numId w:val="0"/>
        </w:numPr>
        <w:jc w:val="both"/>
      </w:pPr>
      <w:r w:rsidRPr="00552A81">
        <w:t>Reference was also made to the U</w:t>
      </w:r>
      <w:r w:rsidR="00F51BD1">
        <w:t xml:space="preserve">nited </w:t>
      </w:r>
      <w:r w:rsidRPr="00552A81">
        <w:t>S</w:t>
      </w:r>
      <w:r w:rsidR="00F51BD1">
        <w:t>tates</w:t>
      </w:r>
      <w:r w:rsidRPr="00552A81">
        <w:t xml:space="preserve"> approach </w:t>
      </w:r>
      <w:r>
        <w:t>where</w:t>
      </w:r>
      <w:r w:rsidRPr="00552A81">
        <w:t xml:space="preserve"> </w:t>
      </w:r>
      <w:r>
        <w:t>specific</w:t>
      </w:r>
      <w:r w:rsidRPr="00552A81">
        <w:t xml:space="preserve"> regulatory requirements </w:t>
      </w:r>
      <w:r>
        <w:t xml:space="preserve">are </w:t>
      </w:r>
      <w:r w:rsidRPr="00552A81">
        <w:t>placed on children’s websites that knowingly gather information from children (under the age of 13</w:t>
      </w:r>
      <w:r w:rsidR="00F51BD1">
        <w:t xml:space="preserve"> years</w:t>
      </w:r>
      <w:r w:rsidRPr="00552A81">
        <w:t>)</w:t>
      </w:r>
      <w:r>
        <w:t>.</w:t>
      </w:r>
      <w:r w:rsidRPr="00552A81">
        <w:rPr>
          <w:rStyle w:val="EndnoteReference"/>
        </w:rPr>
        <w:endnoteReference w:id="334"/>
      </w:r>
      <w:r w:rsidRPr="00552A81">
        <w:t xml:space="preserve"> </w:t>
      </w:r>
      <w:r>
        <w:t>Businesses are required</w:t>
      </w:r>
      <w:r w:rsidRPr="00552A81">
        <w:t xml:space="preserve"> </w:t>
      </w:r>
      <w:r>
        <w:t>to</w:t>
      </w:r>
      <w:r w:rsidRPr="00552A81">
        <w:t xml:space="preserve"> give notice to parents about data collection activities and obtain verifiable consent from parents prior</w:t>
      </w:r>
      <w:r>
        <w:t xml:space="preserve"> to collecting any information from children.</w:t>
      </w:r>
      <w:r>
        <w:rPr>
          <w:rStyle w:val="EndnoteReference"/>
        </w:rPr>
        <w:endnoteReference w:id="335"/>
      </w:r>
      <w:r>
        <w:t xml:space="preserve"> They must also provide parents with access to any information collected from </w:t>
      </w:r>
      <w:r w:rsidRPr="00552A81">
        <w:t>their children together with the opportunity to prevent the data being used for any other purpose.</w:t>
      </w:r>
      <w:r w:rsidRPr="00552A81">
        <w:rPr>
          <w:rStyle w:val="EndnoteReference"/>
        </w:rPr>
        <w:endnoteReference w:id="336"/>
      </w:r>
    </w:p>
    <w:p w14:paraId="3B550C32" w14:textId="4065E405" w:rsidR="00AA3994" w:rsidRPr="00552A81" w:rsidRDefault="00AA3994" w:rsidP="00354AA1">
      <w:pPr>
        <w:pStyle w:val="SubmissionNormal"/>
        <w:numPr>
          <w:ilvl w:val="0"/>
          <w:numId w:val="0"/>
        </w:numPr>
        <w:jc w:val="both"/>
      </w:pPr>
      <w:r>
        <w:t>The proposed European Union General Data Protection Regulation recommends incorporating a consent requirement</w:t>
      </w:r>
      <w:r w:rsidRPr="003B4F0C">
        <w:t xml:space="preserve"> </w:t>
      </w:r>
      <w:r>
        <w:t>where personal data is being processed for children under the age of 13</w:t>
      </w:r>
      <w:r w:rsidR="00F51BD1">
        <w:t xml:space="preserve"> years</w:t>
      </w:r>
      <w:r>
        <w:t>.</w:t>
      </w:r>
      <w:r>
        <w:rPr>
          <w:rStyle w:val="EndnoteReference"/>
        </w:rPr>
        <w:endnoteReference w:id="337"/>
      </w:r>
      <w:r>
        <w:t xml:space="preserve"> The consent must be verifiably given by parents on behalf of the child.</w:t>
      </w:r>
      <w:r>
        <w:rPr>
          <w:rStyle w:val="EndnoteReference"/>
        </w:rPr>
        <w:endnoteReference w:id="338"/>
      </w:r>
      <w:r>
        <w:t xml:space="preserve"> This has not yet been implemented. Like Australia, privacy laws in Singapore, Hong Kong,</w:t>
      </w:r>
      <w:r>
        <w:rPr>
          <w:rStyle w:val="EndnoteReference"/>
        </w:rPr>
        <w:endnoteReference w:id="339"/>
      </w:r>
      <w:r>
        <w:t xml:space="preserve"> New Zealand and Canada do not make specific provisions for protecting the personal data of children (minors).</w:t>
      </w:r>
      <w:r>
        <w:rPr>
          <w:rStyle w:val="EndnoteReference"/>
        </w:rPr>
        <w:endnoteReference w:id="340"/>
      </w:r>
    </w:p>
    <w:p w14:paraId="48C1AA69" w14:textId="2F447DA7" w:rsidR="00AA3994" w:rsidRPr="00552A81" w:rsidRDefault="00AA3994" w:rsidP="00354AA1">
      <w:pPr>
        <w:pStyle w:val="SubmissionNormal"/>
        <w:numPr>
          <w:ilvl w:val="0"/>
          <w:numId w:val="0"/>
        </w:numPr>
        <w:jc w:val="both"/>
      </w:pPr>
      <w:r w:rsidRPr="00552A81">
        <w:t xml:space="preserve">Another important procedural issue that </w:t>
      </w:r>
      <w:r>
        <w:t>is consistently</w:t>
      </w:r>
      <w:r w:rsidRPr="00552A81">
        <w:t xml:space="preserve"> raised </w:t>
      </w:r>
      <w:r w:rsidR="001A6DCE">
        <w:t>is</w:t>
      </w:r>
      <w:r w:rsidRPr="00552A81">
        <w:t xml:space="preserve"> the </w:t>
      </w:r>
      <w:r w:rsidRPr="00061ABE">
        <w:t>need for an effective complaints system.</w:t>
      </w:r>
      <w:r w:rsidRPr="00552A81">
        <w:t xml:space="preserve"> A number of commentators note the importance of effective complaints and remediation systems</w:t>
      </w:r>
      <w:r w:rsidR="00F51BD1">
        <w:t>,</w:t>
      </w:r>
      <w:r w:rsidRPr="00552A81">
        <w:rPr>
          <w:rStyle w:val="EndnoteReference"/>
        </w:rPr>
        <w:endnoteReference w:id="341"/>
      </w:r>
      <w:r w:rsidRPr="00552A81">
        <w:t xml:space="preserve"> </w:t>
      </w:r>
      <w:r w:rsidRPr="009C65B7">
        <w:t xml:space="preserve">with one study finding </w:t>
      </w:r>
      <w:r w:rsidRPr="00B1072B">
        <w:t xml:space="preserve">that ‘only nine out of 22 sites’ responded </w:t>
      </w:r>
      <w:r w:rsidRPr="00A96266">
        <w:t>to complaints submitted by children seeking assistance</w:t>
      </w:r>
      <w:r w:rsidRPr="009C65B7">
        <w:t>.</w:t>
      </w:r>
      <w:r w:rsidRPr="009C65B7">
        <w:rPr>
          <w:rStyle w:val="EndnoteReference"/>
        </w:rPr>
        <w:endnoteReference w:id="342"/>
      </w:r>
      <w:r w:rsidRPr="00552A81">
        <w:t xml:space="preserve"> </w:t>
      </w:r>
    </w:p>
    <w:p w14:paraId="48B36C97" w14:textId="54EB2361" w:rsidR="00AA3994" w:rsidRPr="00552A81" w:rsidRDefault="00F51BD1" w:rsidP="00354AA1">
      <w:pPr>
        <w:pStyle w:val="SubmissionNormal"/>
        <w:numPr>
          <w:ilvl w:val="0"/>
          <w:numId w:val="0"/>
        </w:numPr>
        <w:jc w:val="both"/>
      </w:pPr>
      <w:r>
        <w:t xml:space="preserve">Sandra </w:t>
      </w:r>
      <w:r w:rsidR="00AA3994">
        <w:t>Calvert raises the issue of regulatory consistency, asking regulators ‘to address the issue of consistent regulation between newer online marketing activities and traditional television and film guidelines’.</w:t>
      </w:r>
      <w:r w:rsidR="00AA3994" w:rsidRPr="00A87E63">
        <w:rPr>
          <w:rStyle w:val="EndnoteReference"/>
        </w:rPr>
        <w:endnoteReference w:id="343"/>
      </w:r>
      <w:r w:rsidR="00AA3994">
        <w:t xml:space="preserve"> Given the increasing convergence of ‘varying forms of technologies together under one umbrella’</w:t>
      </w:r>
      <w:r w:rsidR="00AA3994">
        <w:rPr>
          <w:rStyle w:val="EndnoteReference"/>
        </w:rPr>
        <w:endnoteReference w:id="344"/>
      </w:r>
      <w:r w:rsidR="00AA3994">
        <w:t xml:space="preserve"> it is seen as ‘sensible to have uniform standards for marketing to children across varying media platforms’.</w:t>
      </w:r>
      <w:r w:rsidR="00AA3994">
        <w:rPr>
          <w:rStyle w:val="EndnoteReference"/>
        </w:rPr>
        <w:endnoteReference w:id="345"/>
      </w:r>
    </w:p>
    <w:p w14:paraId="2659ACA8" w14:textId="77777777" w:rsidR="00AA3994" w:rsidRPr="00552A81" w:rsidRDefault="00AA3994" w:rsidP="00354AA1">
      <w:pPr>
        <w:pStyle w:val="SubmissionNormal"/>
        <w:numPr>
          <w:ilvl w:val="0"/>
          <w:numId w:val="0"/>
        </w:numPr>
        <w:jc w:val="both"/>
      </w:pPr>
      <w:r w:rsidRPr="00061ABE">
        <w:t>The fact that the online environment is not constrained solely by domestic law poses additional regulatory challenges</w:t>
      </w:r>
      <w:r w:rsidRPr="00552A81">
        <w:t>.</w:t>
      </w:r>
      <w:r w:rsidRPr="00552A81">
        <w:rPr>
          <w:rStyle w:val="EndnoteReference"/>
        </w:rPr>
        <w:endnoteReference w:id="346"/>
      </w:r>
      <w:r w:rsidRPr="00552A81">
        <w:t xml:space="preserve"> For example, ‘setting up an online shop in a </w:t>
      </w:r>
      <w:r w:rsidRPr="00552A81">
        <w:lastRenderedPageBreak/>
        <w:t>different country…can insulate users from prosecution for violating a number of laws’ that would otherwise apply in the domestic context.</w:t>
      </w:r>
      <w:r w:rsidRPr="00552A81">
        <w:rPr>
          <w:rStyle w:val="EndnoteReference"/>
        </w:rPr>
        <w:endnoteReference w:id="347"/>
      </w:r>
      <w:r w:rsidRPr="00552A81">
        <w:t xml:space="preserve">  </w:t>
      </w:r>
    </w:p>
    <w:p w14:paraId="59416DAA" w14:textId="77777777" w:rsidR="00AA3994" w:rsidRDefault="00AA3994" w:rsidP="00354AA1">
      <w:pPr>
        <w:pStyle w:val="SubmissionNormal"/>
        <w:numPr>
          <w:ilvl w:val="0"/>
          <w:numId w:val="0"/>
        </w:numPr>
        <w:jc w:val="both"/>
      </w:pPr>
      <w:r w:rsidRPr="00552A81">
        <w:t>As online communities (of which consumer activities are a part) become ‘increasingly important arenas for social development and cultural participation’ the opportunities these provide to both users</w:t>
      </w:r>
      <w:r>
        <w:t xml:space="preserve"> and business ‘will continue to expand’.</w:t>
      </w:r>
      <w:r>
        <w:rPr>
          <w:rStyle w:val="EndnoteReference"/>
        </w:rPr>
        <w:endnoteReference w:id="348"/>
      </w:r>
      <w:r>
        <w:t xml:space="preserve"> So too, it is argued, will the underlying tensions between ‘human rights and current market-research practices’.</w:t>
      </w:r>
      <w:r>
        <w:rPr>
          <w:rStyle w:val="EndnoteReference"/>
        </w:rPr>
        <w:endnoteReference w:id="349"/>
      </w:r>
      <w:r>
        <w:t xml:space="preserve"> The aim of regulation is to address such tensions and provide a balance to often competing policy objectives.</w:t>
      </w:r>
    </w:p>
    <w:p w14:paraId="3E18FB49" w14:textId="7BEFC1AA" w:rsidR="00AA3994" w:rsidRDefault="00AA3994" w:rsidP="00354AA1">
      <w:pPr>
        <w:pStyle w:val="SubmissionNormal"/>
        <w:numPr>
          <w:ilvl w:val="0"/>
          <w:numId w:val="0"/>
        </w:numPr>
        <w:jc w:val="both"/>
        <w:rPr>
          <w:bCs/>
        </w:rPr>
      </w:pPr>
      <w:r>
        <w:rPr>
          <w:noProof/>
        </w:rPr>
        <mc:AlternateContent>
          <mc:Choice Requires="wps">
            <w:drawing>
              <wp:anchor distT="45720" distB="45720" distL="114300" distR="114300" simplePos="0" relativeHeight="251654144" behindDoc="0" locked="0" layoutInCell="1" allowOverlap="1" wp14:anchorId="5AF548D2" wp14:editId="3ADDEBB0">
                <wp:simplePos x="0" y="0"/>
                <wp:positionH relativeFrom="margin">
                  <wp:posOffset>-5080</wp:posOffset>
                </wp:positionH>
                <wp:positionV relativeFrom="paragraph">
                  <wp:posOffset>1149350</wp:posOffset>
                </wp:positionV>
                <wp:extent cx="5675630" cy="5467350"/>
                <wp:effectExtent l="0" t="0" r="20320" b="19050"/>
                <wp:wrapSquare wrapText="bothSides"/>
                <wp:docPr id="1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75630" cy="5467350"/>
                        </a:xfrm>
                        <a:prstGeom prst="rect">
                          <a:avLst/>
                        </a:prstGeom>
                        <a:solidFill>
                          <a:srgbClr val="FFFFFF"/>
                        </a:solidFill>
                        <a:ln w="9525">
                          <a:solidFill>
                            <a:srgbClr val="000000"/>
                          </a:solidFill>
                          <a:miter lim="800000"/>
                          <a:headEnd/>
                          <a:tailEnd/>
                        </a:ln>
                      </wps:spPr>
                      <wps:txbx>
                        <w:txbxContent>
                          <w:p w14:paraId="71B06D4D" w14:textId="77777777" w:rsidR="00F008D2" w:rsidRPr="00C133A0" w:rsidRDefault="00F008D2" w:rsidP="00AA3994">
                            <w:pPr>
                              <w:rPr>
                                <w:b/>
                              </w:rPr>
                            </w:pPr>
                            <w:r w:rsidRPr="00C133A0">
                              <w:rPr>
                                <w:b/>
                              </w:rPr>
                              <w:t>Summary – Literature review</w:t>
                            </w:r>
                          </w:p>
                          <w:p w14:paraId="185E08F4" w14:textId="77777777" w:rsidR="00F008D2" w:rsidRDefault="00F008D2" w:rsidP="000D1D92">
                            <w:pPr>
                              <w:pStyle w:val="ListParagraph"/>
                              <w:numPr>
                                <w:ilvl w:val="0"/>
                                <w:numId w:val="22"/>
                              </w:numPr>
                            </w:pPr>
                            <w:r w:rsidRPr="00CE0099">
                              <w:t>Children are seen as one of the fastest growing online niches</w:t>
                            </w:r>
                          </w:p>
                          <w:p w14:paraId="6A8A345B" w14:textId="77777777" w:rsidR="00F008D2" w:rsidRDefault="00F008D2" w:rsidP="00AA3994">
                            <w:pPr>
                              <w:pStyle w:val="ListParagraph"/>
                            </w:pPr>
                          </w:p>
                          <w:p w14:paraId="53077E58" w14:textId="77777777" w:rsidR="00F008D2" w:rsidRDefault="00F008D2" w:rsidP="000D1D92">
                            <w:pPr>
                              <w:pStyle w:val="ListParagraph"/>
                              <w:numPr>
                                <w:ilvl w:val="0"/>
                                <w:numId w:val="22"/>
                              </w:numPr>
                            </w:pPr>
                            <w:r>
                              <w:t>Online advertising</w:t>
                            </w:r>
                            <w:r w:rsidRPr="00896499">
                              <w:t xml:space="preserve"> can involve the use of t</w:t>
                            </w:r>
                            <w:r>
                              <w:t xml:space="preserve">racking software </w:t>
                            </w:r>
                            <w:r w:rsidRPr="00896499">
                              <w:t xml:space="preserve">and embedded advertising </w:t>
                            </w:r>
                            <w:r>
                              <w:t xml:space="preserve">that is </w:t>
                            </w:r>
                            <w:r w:rsidRPr="00896499">
                              <w:t>integral to the online content or product purchased</w:t>
                            </w:r>
                          </w:p>
                          <w:p w14:paraId="6186D666" w14:textId="77777777" w:rsidR="00F008D2" w:rsidRDefault="00F008D2" w:rsidP="00AA3994">
                            <w:pPr>
                              <w:pStyle w:val="ListParagraph"/>
                            </w:pPr>
                          </w:p>
                          <w:p w14:paraId="0CDBFE7E" w14:textId="77777777" w:rsidR="00F008D2" w:rsidRDefault="00F008D2" w:rsidP="000D1D92">
                            <w:pPr>
                              <w:pStyle w:val="ListParagraph"/>
                              <w:numPr>
                                <w:ilvl w:val="0"/>
                                <w:numId w:val="22"/>
                              </w:numPr>
                            </w:pPr>
                            <w:r w:rsidRPr="00DD5A87">
                              <w:t>These practices raise questions about online privacy and whether this ‘research into children’ (o</w:t>
                            </w:r>
                            <w:r>
                              <w:t>r data mining) is occurring by stealth</w:t>
                            </w:r>
                          </w:p>
                          <w:p w14:paraId="6EBEEFC7" w14:textId="77777777" w:rsidR="00F008D2" w:rsidRDefault="00F008D2" w:rsidP="00AA3994">
                            <w:pPr>
                              <w:pStyle w:val="ListParagraph"/>
                            </w:pPr>
                          </w:p>
                          <w:p w14:paraId="2E01947D" w14:textId="77777777" w:rsidR="00F008D2" w:rsidRDefault="00F008D2" w:rsidP="000D1D92">
                            <w:pPr>
                              <w:pStyle w:val="ListParagraph"/>
                              <w:numPr>
                                <w:ilvl w:val="0"/>
                                <w:numId w:val="22"/>
                              </w:numPr>
                            </w:pPr>
                            <w:r>
                              <w:t>Little</w:t>
                            </w:r>
                            <w:r w:rsidRPr="00DD5A87">
                              <w:t xml:space="preserve"> research </w:t>
                            </w:r>
                            <w:r>
                              <w:t xml:space="preserve">exists </w:t>
                            </w:r>
                            <w:r w:rsidRPr="00DD5A87">
                              <w:t>on</w:t>
                            </w:r>
                            <w:r>
                              <w:t xml:space="preserve"> children and</w:t>
                            </w:r>
                            <w:r w:rsidRPr="00DD5A87">
                              <w:t xml:space="preserve"> online advertis</w:t>
                            </w:r>
                            <w:r>
                              <w:t xml:space="preserve">ing/privacy in relation to </w:t>
                            </w:r>
                            <w:r w:rsidRPr="00DD5A87">
                              <w:t>new digital tec</w:t>
                            </w:r>
                            <w:r>
                              <w:t>hnologies</w:t>
                            </w:r>
                          </w:p>
                          <w:p w14:paraId="0DAA482B" w14:textId="77777777" w:rsidR="00F008D2" w:rsidRDefault="00F008D2" w:rsidP="00AA3994">
                            <w:pPr>
                              <w:pStyle w:val="ListParagraph"/>
                            </w:pPr>
                          </w:p>
                          <w:p w14:paraId="589F5B68" w14:textId="77777777" w:rsidR="00F008D2" w:rsidRDefault="00F008D2" w:rsidP="000D1D92">
                            <w:pPr>
                              <w:pStyle w:val="ListParagraph"/>
                              <w:numPr>
                                <w:ilvl w:val="0"/>
                                <w:numId w:val="22"/>
                              </w:numPr>
                            </w:pPr>
                            <w:r>
                              <w:t>S</w:t>
                            </w:r>
                            <w:r w:rsidRPr="00ED40C3">
                              <w:t xml:space="preserve">tudies suggest children’s knowledge of issues associated with online use </w:t>
                            </w:r>
                            <w:r>
                              <w:t xml:space="preserve">is </w:t>
                            </w:r>
                            <w:r w:rsidRPr="00ED40C3">
                              <w:t>superficial and limited</w:t>
                            </w:r>
                          </w:p>
                          <w:p w14:paraId="7482910D" w14:textId="77777777" w:rsidR="00F008D2" w:rsidRDefault="00F008D2" w:rsidP="00AA3994">
                            <w:pPr>
                              <w:pStyle w:val="ListParagraph"/>
                            </w:pPr>
                          </w:p>
                          <w:p w14:paraId="50038B9E" w14:textId="579F6F8A" w:rsidR="00F008D2" w:rsidRDefault="00F008D2" w:rsidP="000D1D92">
                            <w:pPr>
                              <w:pStyle w:val="ListParagraph"/>
                              <w:numPr>
                                <w:ilvl w:val="0"/>
                                <w:numId w:val="22"/>
                              </w:numPr>
                            </w:pPr>
                            <w:r>
                              <w:t xml:space="preserve">Contractual complexity is an issue, as is the inadequacy in </w:t>
                            </w:r>
                            <w:r w:rsidRPr="00506836">
                              <w:t xml:space="preserve">the process of securing informed parental consent </w:t>
                            </w:r>
                          </w:p>
                          <w:p w14:paraId="33101BD1" w14:textId="77777777" w:rsidR="00F008D2" w:rsidRDefault="00F008D2" w:rsidP="00AA3994">
                            <w:pPr>
                              <w:pStyle w:val="ListParagraph"/>
                            </w:pPr>
                          </w:p>
                          <w:p w14:paraId="0C07FE97" w14:textId="1A86EB62" w:rsidR="00F008D2" w:rsidRPr="00061ABE" w:rsidRDefault="00F008D2" w:rsidP="000D1D92">
                            <w:pPr>
                              <w:pStyle w:val="ListParagraph"/>
                              <w:numPr>
                                <w:ilvl w:val="0"/>
                                <w:numId w:val="22"/>
                              </w:numPr>
                            </w:pPr>
                            <w:r>
                              <w:t xml:space="preserve">Perceived risks </w:t>
                            </w:r>
                            <w:r w:rsidRPr="00506836">
                              <w:t xml:space="preserve">with self-regulation </w:t>
                            </w:r>
                            <w:r>
                              <w:t xml:space="preserve">were identified, with suggested reform including placing </w:t>
                            </w:r>
                            <w:r w:rsidRPr="00061ABE">
                              <w:t>the onus of responsibility on those who wish to use personal data</w:t>
                            </w:r>
                          </w:p>
                          <w:p w14:paraId="29BE9C48" w14:textId="77777777" w:rsidR="00F008D2" w:rsidRPr="00061ABE" w:rsidRDefault="00F008D2" w:rsidP="00AA3994">
                            <w:pPr>
                              <w:pStyle w:val="ListParagraph"/>
                            </w:pPr>
                          </w:p>
                          <w:p w14:paraId="107E3D31" w14:textId="42514F40" w:rsidR="00F008D2" w:rsidRPr="00061ABE" w:rsidRDefault="00F008D2" w:rsidP="000D1D92">
                            <w:pPr>
                              <w:pStyle w:val="ListParagraph"/>
                              <w:numPr>
                                <w:ilvl w:val="0"/>
                                <w:numId w:val="22"/>
                              </w:numPr>
                            </w:pPr>
                            <w:r>
                              <w:t>The literature suggests that a</w:t>
                            </w:r>
                            <w:r w:rsidRPr="00061ABE">
                              <w:t>ppropriate guidelines for ensuring trul</w:t>
                            </w:r>
                            <w:r>
                              <w:t xml:space="preserve">y informed consent from a child, together with </w:t>
                            </w:r>
                            <w:r w:rsidRPr="00061ABE">
                              <w:t>an ef</w:t>
                            </w:r>
                            <w:r>
                              <w:t>fective complaints system,</w:t>
                            </w:r>
                            <w:r w:rsidRPr="00BD178A">
                              <w:t xml:space="preserve"> </w:t>
                            </w:r>
                            <w:r>
                              <w:t xml:space="preserve">should be </w:t>
                            </w:r>
                            <w:r w:rsidRPr="00061ABE">
                              <w:t>established</w:t>
                            </w:r>
                          </w:p>
                          <w:p w14:paraId="55FE3BC5" w14:textId="77777777" w:rsidR="00F008D2" w:rsidRPr="00061ABE" w:rsidRDefault="00F008D2" w:rsidP="00AA3994">
                            <w:pPr>
                              <w:pStyle w:val="ListParagraph"/>
                            </w:pPr>
                          </w:p>
                          <w:p w14:paraId="1547CC89" w14:textId="4500D7CE" w:rsidR="00F008D2" w:rsidRPr="00061ABE" w:rsidRDefault="00F008D2" w:rsidP="000D1D92">
                            <w:pPr>
                              <w:pStyle w:val="ListParagraph"/>
                              <w:numPr>
                                <w:ilvl w:val="0"/>
                                <w:numId w:val="22"/>
                              </w:numPr>
                            </w:pPr>
                            <w:r w:rsidRPr="00061ABE">
                              <w:t>The online environment is not constrained solely by domestic law</w:t>
                            </w:r>
                            <w:r>
                              <w:t>,</w:t>
                            </w:r>
                            <w:r w:rsidRPr="00061ABE">
                              <w:t xml:space="preserve"> </w:t>
                            </w:r>
                            <w:r>
                              <w:t xml:space="preserve">which </w:t>
                            </w:r>
                            <w:r w:rsidRPr="00061ABE">
                              <w:t>poses additional regulatory challenges</w:t>
                            </w:r>
                            <w:r>
                              <w:t>.</w:t>
                            </w:r>
                          </w:p>
                          <w:p w14:paraId="7E7E60AF" w14:textId="77777777" w:rsidR="00F008D2" w:rsidRDefault="00F008D2" w:rsidP="00AA3994">
                            <w:pPr>
                              <w:pStyle w:val="ListParagraph"/>
                            </w:pPr>
                          </w:p>
                          <w:p w14:paraId="51500D43" w14:textId="77777777" w:rsidR="00F008D2" w:rsidRPr="00506836" w:rsidRDefault="00F008D2" w:rsidP="00AA3994"/>
                          <w:p w14:paraId="0719AE91" w14:textId="77777777" w:rsidR="00F008D2" w:rsidRPr="00DD5A87" w:rsidRDefault="00F008D2" w:rsidP="00AA3994">
                            <w:pPr>
                              <w:pStyle w:val="ListParagraph"/>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F548D2" id="_x0000_s1029" type="#_x0000_t202" style="position:absolute;left:0;text-align:left;margin-left:-.4pt;margin-top:90.5pt;width:446.9pt;height:430.5pt;z-index:25165414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rDu+KAIAAE4EAAAOAAAAZHJzL2Uyb0RvYy54bWysVNuO2yAQfa/Uf0C8N87N2Y0VZ7XNNlWl&#10;7UXa7QdgjGNUYCiQ2OnXd8BJGm3bl6p+QAwzHGbOmfHqrteKHITzEkxJJ6MxJcJwqKXZlfTr8/bN&#10;LSU+MFMzBUaU9Cg8vVu/frXqbCGm0IKqhSMIYnzR2ZK2IdgiyzxvhWZ+BFYYdDbgNAtoul1WO9Yh&#10;ulbZdDxeZB242jrgwns8fRicdJ3wm0bw8LlpvAhElRRzC2l1aa3imq1XrNg5ZlvJT2mwf8hCM2nw&#10;0QvUAwuM7J38DUpL7sBDE0YcdAZNI7lINWA1k/GLap5aZkWqBcnx9kKT/3+w/NPhiyOyRu2Wc0oM&#10;0yjSs+gDeQs9mUZ+OusLDHuyGBh6PMbYVKu3j8C/eWJg0zKzE/fOQdcKVmN+k3gzu7o64PgIUnUf&#10;ocZn2D5AAuobpyN5SAdBdNTpeNEmpsLxMF/c5IsZujj68vniZpYn9TJWnK9b58N7AZrETUkdip/g&#10;2eHRh5gOK84h8TUPStZbqVQy3K7aKEcODBtlm75UwYswZUhX0mU+zQcG/goxTt+fILQM2PFK6pLe&#10;XoJYEXl7Z+rUj4FJNewxZWVOREbuBhZDX/VJs9lZnwrqIzLrYGhwHEjctOB+UNJhc5fUf98zJyhR&#10;Hwyqs5zM53EakjHPb6ZouGtPde1hhiNUSQMlw3YT0gRF3gzco4qNTPxGuYdMTilj0ybaTwMWp+La&#10;TlG/fgPrnwAAAP//AwBQSwMEFAAGAAgAAAAhAJBwrv7fAAAACgEAAA8AAABkcnMvZG93bnJldi54&#10;bWxMj81OwzAQhO9IvIO1SFwQdfqjkoY4FUICwQ1KVa5uvE0i7HWw3TS8PdsT3HZnVrPflOvRWTFg&#10;iJ0nBdNJBgKp9qajRsH24+k2BxGTJqOtJ1TwgxHW1eVFqQvjT/SOwyY1gkMoFlpBm1JfSBnrFp2O&#10;E98jsXfwwenEa2ikCfrE4c7KWZYtpdMd8YdW9/jYYv21OToF+eJl+Iyv87ddvTzYVbq5G56/g1LX&#10;V+PDPYiEY/o7hjM+o0PFTHt/JBOFVXAGTyznU67Efr6a87BnJVvMMpBVKf9XqH4BAAD//wMAUEsB&#10;Ai0AFAAGAAgAAAAhALaDOJL+AAAA4QEAABMAAAAAAAAAAAAAAAAAAAAAAFtDb250ZW50X1R5cGVz&#10;XS54bWxQSwECLQAUAAYACAAAACEAOP0h/9YAAACUAQAACwAAAAAAAAAAAAAAAAAvAQAAX3JlbHMv&#10;LnJlbHNQSwECLQAUAAYACAAAACEA7qw7vigCAABOBAAADgAAAAAAAAAAAAAAAAAuAgAAZHJzL2Uy&#10;b0RvYy54bWxQSwECLQAUAAYACAAAACEAkHCu/t8AAAAKAQAADwAAAAAAAAAAAAAAAACCBAAAZHJz&#10;L2Rvd25yZXYueG1sUEsFBgAAAAAEAAQA8wAAAI4FAAAAAA==&#10;">
                <v:textbox>
                  <w:txbxContent>
                    <w:p w14:paraId="71B06D4D" w14:textId="77777777" w:rsidR="00F008D2" w:rsidRPr="00C133A0" w:rsidRDefault="00F008D2" w:rsidP="00AA3994">
                      <w:pPr>
                        <w:rPr>
                          <w:b/>
                        </w:rPr>
                      </w:pPr>
                      <w:r w:rsidRPr="00C133A0">
                        <w:rPr>
                          <w:b/>
                        </w:rPr>
                        <w:t>Summary – Literature review</w:t>
                      </w:r>
                    </w:p>
                    <w:p w14:paraId="185E08F4" w14:textId="77777777" w:rsidR="00F008D2" w:rsidRDefault="00F008D2" w:rsidP="000D1D92">
                      <w:pPr>
                        <w:pStyle w:val="ListParagraph"/>
                        <w:numPr>
                          <w:ilvl w:val="0"/>
                          <w:numId w:val="22"/>
                        </w:numPr>
                      </w:pPr>
                      <w:r w:rsidRPr="00CE0099">
                        <w:t>Children are seen as one of the fastest growing online niches</w:t>
                      </w:r>
                    </w:p>
                    <w:p w14:paraId="6A8A345B" w14:textId="77777777" w:rsidR="00F008D2" w:rsidRDefault="00F008D2" w:rsidP="00AA3994">
                      <w:pPr>
                        <w:pStyle w:val="ListParagraph"/>
                      </w:pPr>
                    </w:p>
                    <w:p w14:paraId="53077E58" w14:textId="77777777" w:rsidR="00F008D2" w:rsidRDefault="00F008D2" w:rsidP="000D1D92">
                      <w:pPr>
                        <w:pStyle w:val="ListParagraph"/>
                        <w:numPr>
                          <w:ilvl w:val="0"/>
                          <w:numId w:val="22"/>
                        </w:numPr>
                      </w:pPr>
                      <w:r>
                        <w:t>Online advertising</w:t>
                      </w:r>
                      <w:r w:rsidRPr="00896499">
                        <w:t xml:space="preserve"> can involve the use of t</w:t>
                      </w:r>
                      <w:r>
                        <w:t xml:space="preserve">racking software </w:t>
                      </w:r>
                      <w:r w:rsidRPr="00896499">
                        <w:t xml:space="preserve">and embedded advertising </w:t>
                      </w:r>
                      <w:r>
                        <w:t xml:space="preserve">that is </w:t>
                      </w:r>
                      <w:r w:rsidRPr="00896499">
                        <w:t>integral to the online content or product purchased</w:t>
                      </w:r>
                    </w:p>
                    <w:p w14:paraId="6186D666" w14:textId="77777777" w:rsidR="00F008D2" w:rsidRDefault="00F008D2" w:rsidP="00AA3994">
                      <w:pPr>
                        <w:pStyle w:val="ListParagraph"/>
                      </w:pPr>
                    </w:p>
                    <w:p w14:paraId="0CDBFE7E" w14:textId="77777777" w:rsidR="00F008D2" w:rsidRDefault="00F008D2" w:rsidP="000D1D92">
                      <w:pPr>
                        <w:pStyle w:val="ListParagraph"/>
                        <w:numPr>
                          <w:ilvl w:val="0"/>
                          <w:numId w:val="22"/>
                        </w:numPr>
                      </w:pPr>
                      <w:r w:rsidRPr="00DD5A87">
                        <w:t>These practices raise questions about online privacy and whether this ‘research into children’ (o</w:t>
                      </w:r>
                      <w:r>
                        <w:t>r data mining) is occurring by stealth</w:t>
                      </w:r>
                    </w:p>
                    <w:p w14:paraId="6EBEEFC7" w14:textId="77777777" w:rsidR="00F008D2" w:rsidRDefault="00F008D2" w:rsidP="00AA3994">
                      <w:pPr>
                        <w:pStyle w:val="ListParagraph"/>
                      </w:pPr>
                    </w:p>
                    <w:p w14:paraId="2E01947D" w14:textId="77777777" w:rsidR="00F008D2" w:rsidRDefault="00F008D2" w:rsidP="000D1D92">
                      <w:pPr>
                        <w:pStyle w:val="ListParagraph"/>
                        <w:numPr>
                          <w:ilvl w:val="0"/>
                          <w:numId w:val="22"/>
                        </w:numPr>
                      </w:pPr>
                      <w:r>
                        <w:t>Little</w:t>
                      </w:r>
                      <w:r w:rsidRPr="00DD5A87">
                        <w:t xml:space="preserve"> research </w:t>
                      </w:r>
                      <w:r>
                        <w:t xml:space="preserve">exists </w:t>
                      </w:r>
                      <w:r w:rsidRPr="00DD5A87">
                        <w:t>on</w:t>
                      </w:r>
                      <w:r>
                        <w:t xml:space="preserve"> children and</w:t>
                      </w:r>
                      <w:r w:rsidRPr="00DD5A87">
                        <w:t xml:space="preserve"> online advertis</w:t>
                      </w:r>
                      <w:r>
                        <w:t xml:space="preserve">ing/privacy in relation to </w:t>
                      </w:r>
                      <w:r w:rsidRPr="00DD5A87">
                        <w:t>new digital tec</w:t>
                      </w:r>
                      <w:r>
                        <w:t>hnologies</w:t>
                      </w:r>
                    </w:p>
                    <w:p w14:paraId="0DAA482B" w14:textId="77777777" w:rsidR="00F008D2" w:rsidRDefault="00F008D2" w:rsidP="00AA3994">
                      <w:pPr>
                        <w:pStyle w:val="ListParagraph"/>
                      </w:pPr>
                    </w:p>
                    <w:p w14:paraId="589F5B68" w14:textId="77777777" w:rsidR="00F008D2" w:rsidRDefault="00F008D2" w:rsidP="000D1D92">
                      <w:pPr>
                        <w:pStyle w:val="ListParagraph"/>
                        <w:numPr>
                          <w:ilvl w:val="0"/>
                          <w:numId w:val="22"/>
                        </w:numPr>
                      </w:pPr>
                      <w:r>
                        <w:t>S</w:t>
                      </w:r>
                      <w:r w:rsidRPr="00ED40C3">
                        <w:t xml:space="preserve">tudies suggest children’s knowledge of issues associated with online use </w:t>
                      </w:r>
                      <w:r>
                        <w:t xml:space="preserve">is </w:t>
                      </w:r>
                      <w:r w:rsidRPr="00ED40C3">
                        <w:t>superficial and limited</w:t>
                      </w:r>
                    </w:p>
                    <w:p w14:paraId="7482910D" w14:textId="77777777" w:rsidR="00F008D2" w:rsidRDefault="00F008D2" w:rsidP="00AA3994">
                      <w:pPr>
                        <w:pStyle w:val="ListParagraph"/>
                      </w:pPr>
                    </w:p>
                    <w:p w14:paraId="50038B9E" w14:textId="579F6F8A" w:rsidR="00F008D2" w:rsidRDefault="00F008D2" w:rsidP="000D1D92">
                      <w:pPr>
                        <w:pStyle w:val="ListParagraph"/>
                        <w:numPr>
                          <w:ilvl w:val="0"/>
                          <w:numId w:val="22"/>
                        </w:numPr>
                      </w:pPr>
                      <w:r>
                        <w:t xml:space="preserve">Contractual complexity is an issue, as is the inadequacy in </w:t>
                      </w:r>
                      <w:r w:rsidRPr="00506836">
                        <w:t xml:space="preserve">the process of securing informed parental consent </w:t>
                      </w:r>
                    </w:p>
                    <w:p w14:paraId="33101BD1" w14:textId="77777777" w:rsidR="00F008D2" w:rsidRDefault="00F008D2" w:rsidP="00AA3994">
                      <w:pPr>
                        <w:pStyle w:val="ListParagraph"/>
                      </w:pPr>
                    </w:p>
                    <w:p w14:paraId="0C07FE97" w14:textId="1A86EB62" w:rsidR="00F008D2" w:rsidRPr="00061ABE" w:rsidRDefault="00F008D2" w:rsidP="000D1D92">
                      <w:pPr>
                        <w:pStyle w:val="ListParagraph"/>
                        <w:numPr>
                          <w:ilvl w:val="0"/>
                          <w:numId w:val="22"/>
                        </w:numPr>
                      </w:pPr>
                      <w:r>
                        <w:t xml:space="preserve">Perceived risks </w:t>
                      </w:r>
                      <w:r w:rsidRPr="00506836">
                        <w:t xml:space="preserve">with self-regulation </w:t>
                      </w:r>
                      <w:r>
                        <w:t xml:space="preserve">were identified, with suggested reform including placing </w:t>
                      </w:r>
                      <w:r w:rsidRPr="00061ABE">
                        <w:t>the onus of responsibility on those who wish to use personal data</w:t>
                      </w:r>
                    </w:p>
                    <w:p w14:paraId="29BE9C48" w14:textId="77777777" w:rsidR="00F008D2" w:rsidRPr="00061ABE" w:rsidRDefault="00F008D2" w:rsidP="00AA3994">
                      <w:pPr>
                        <w:pStyle w:val="ListParagraph"/>
                      </w:pPr>
                    </w:p>
                    <w:p w14:paraId="107E3D31" w14:textId="42514F40" w:rsidR="00F008D2" w:rsidRPr="00061ABE" w:rsidRDefault="00F008D2" w:rsidP="000D1D92">
                      <w:pPr>
                        <w:pStyle w:val="ListParagraph"/>
                        <w:numPr>
                          <w:ilvl w:val="0"/>
                          <w:numId w:val="22"/>
                        </w:numPr>
                      </w:pPr>
                      <w:r>
                        <w:t>The literature suggests that a</w:t>
                      </w:r>
                      <w:r w:rsidRPr="00061ABE">
                        <w:t>ppropriate guidelines for ensuring trul</w:t>
                      </w:r>
                      <w:r>
                        <w:t xml:space="preserve">y informed consent from a child, together with </w:t>
                      </w:r>
                      <w:r w:rsidRPr="00061ABE">
                        <w:t>an ef</w:t>
                      </w:r>
                      <w:r>
                        <w:t>fective complaints system,</w:t>
                      </w:r>
                      <w:r w:rsidRPr="00BD178A">
                        <w:t xml:space="preserve"> </w:t>
                      </w:r>
                      <w:r>
                        <w:t xml:space="preserve">should be </w:t>
                      </w:r>
                      <w:r w:rsidRPr="00061ABE">
                        <w:t>established</w:t>
                      </w:r>
                    </w:p>
                    <w:p w14:paraId="55FE3BC5" w14:textId="77777777" w:rsidR="00F008D2" w:rsidRPr="00061ABE" w:rsidRDefault="00F008D2" w:rsidP="00AA3994">
                      <w:pPr>
                        <w:pStyle w:val="ListParagraph"/>
                      </w:pPr>
                    </w:p>
                    <w:p w14:paraId="1547CC89" w14:textId="4500D7CE" w:rsidR="00F008D2" w:rsidRPr="00061ABE" w:rsidRDefault="00F008D2" w:rsidP="000D1D92">
                      <w:pPr>
                        <w:pStyle w:val="ListParagraph"/>
                        <w:numPr>
                          <w:ilvl w:val="0"/>
                          <w:numId w:val="22"/>
                        </w:numPr>
                      </w:pPr>
                      <w:r w:rsidRPr="00061ABE">
                        <w:t>The online environment is not constrained solely by domestic law</w:t>
                      </w:r>
                      <w:r>
                        <w:t>,</w:t>
                      </w:r>
                      <w:r w:rsidRPr="00061ABE">
                        <w:t xml:space="preserve"> </w:t>
                      </w:r>
                      <w:r>
                        <w:t xml:space="preserve">which </w:t>
                      </w:r>
                      <w:r w:rsidRPr="00061ABE">
                        <w:t>poses additional regulatory challenges</w:t>
                      </w:r>
                      <w:r>
                        <w:t>.</w:t>
                      </w:r>
                    </w:p>
                    <w:p w14:paraId="7E7E60AF" w14:textId="77777777" w:rsidR="00F008D2" w:rsidRDefault="00F008D2" w:rsidP="00AA3994">
                      <w:pPr>
                        <w:pStyle w:val="ListParagraph"/>
                      </w:pPr>
                    </w:p>
                    <w:p w14:paraId="51500D43" w14:textId="77777777" w:rsidR="00F008D2" w:rsidRPr="00506836" w:rsidRDefault="00F008D2" w:rsidP="00AA3994"/>
                    <w:p w14:paraId="0719AE91" w14:textId="77777777" w:rsidR="00F008D2" w:rsidRPr="00DD5A87" w:rsidRDefault="00F008D2" w:rsidP="00AA3994">
                      <w:pPr>
                        <w:pStyle w:val="ListParagraph"/>
                      </w:pPr>
                    </w:p>
                  </w:txbxContent>
                </v:textbox>
                <w10:wrap type="square" anchorx="margin"/>
              </v:shape>
            </w:pict>
          </mc:Fallback>
        </mc:AlternateContent>
      </w:r>
      <w:r>
        <w:t>A number of key regulatory issues that emerge within the Australian legal context are considered below, the review of which was assisted by analysis from King &amp; Wood Mallesons.</w:t>
      </w:r>
    </w:p>
    <w:p w14:paraId="5F6CE1E8" w14:textId="4A889CD0" w:rsidR="00AA3994" w:rsidRDefault="00AA3994" w:rsidP="00354AA1">
      <w:pPr>
        <w:pStyle w:val="Heading2"/>
        <w:jc w:val="both"/>
      </w:pPr>
      <w:bookmarkStart w:id="104" w:name="_Toc430333093"/>
      <w:bookmarkStart w:id="105" w:name="_Toc430702086"/>
      <w:bookmarkStart w:id="106" w:name="_Toc432577316"/>
      <w:r>
        <w:lastRenderedPageBreak/>
        <w:t>Australian consumer protection and children</w:t>
      </w:r>
      <w:bookmarkEnd w:id="104"/>
      <w:bookmarkEnd w:id="105"/>
      <w:bookmarkEnd w:id="106"/>
    </w:p>
    <w:p w14:paraId="6F235892" w14:textId="304C37A6" w:rsidR="00AA3994" w:rsidRPr="003A09B4" w:rsidRDefault="00AA3994" w:rsidP="00354AA1">
      <w:pPr>
        <w:jc w:val="both"/>
      </w:pPr>
      <w:r w:rsidRPr="003A09B4">
        <w:t xml:space="preserve">Many different laws regulate the online consumer space. For example, consumer laws cover unfair contracts, </w:t>
      </w:r>
      <w:r w:rsidR="00AE3B97" w:rsidRPr="003A09B4">
        <w:t xml:space="preserve">product safety and </w:t>
      </w:r>
      <w:r w:rsidRPr="003A09B4">
        <w:t>misleading and deceptive conduct</w:t>
      </w:r>
      <w:r w:rsidR="00AE3B97" w:rsidRPr="003A09B4">
        <w:t>,</w:t>
      </w:r>
      <w:r w:rsidRPr="003A09B4">
        <w:t xml:space="preserve"> and provides for options for redress.</w:t>
      </w:r>
      <w:r w:rsidRPr="003A09B4">
        <w:rPr>
          <w:rStyle w:val="EndnoteReference"/>
        </w:rPr>
        <w:endnoteReference w:id="350"/>
      </w:r>
      <w:r w:rsidRPr="003A09B4">
        <w:t xml:space="preserve"> Privacy laws also apply to the online marketplace as does the regulation of online forms of marketing and advertising.</w:t>
      </w:r>
    </w:p>
    <w:p w14:paraId="3A09CA55" w14:textId="611FD340" w:rsidR="00AA3994" w:rsidRDefault="00AA3994" w:rsidP="00354AA1">
      <w:pPr>
        <w:jc w:val="both"/>
      </w:pPr>
      <w:r w:rsidRPr="003A09B4">
        <w:t>Given the breadth of laws involved in the regulation of online consumer activities, in this examination two issues have been singled out as case studies. The aim is to highlight how laws operate domestically and the extent to which they operate to specifically protect (if at all) the rights of children as online consumers. The first of these is privacy</w:t>
      </w:r>
      <w:r w:rsidR="003A09B4" w:rsidRPr="003A09B4">
        <w:t xml:space="preserve"> law. The second is consumer law – </w:t>
      </w:r>
      <w:r w:rsidRPr="003A09B4">
        <w:t>specifically the ability of children to enter into contracts, unfair contracts and misleading and deceptive conduct.</w:t>
      </w:r>
    </w:p>
    <w:p w14:paraId="24A3EAEF" w14:textId="77777777" w:rsidR="00AA3994" w:rsidRDefault="00AA3994" w:rsidP="00354AA1">
      <w:pPr>
        <w:pStyle w:val="Heading3"/>
        <w:jc w:val="both"/>
      </w:pPr>
      <w:bookmarkStart w:id="107" w:name="_Toc430333094"/>
      <w:bookmarkStart w:id="108" w:name="_Toc430702087"/>
      <w:r>
        <w:t>Case study: children and online privacy</w:t>
      </w:r>
      <w:bookmarkEnd w:id="107"/>
      <w:bookmarkEnd w:id="108"/>
    </w:p>
    <w:p w14:paraId="3F789450" w14:textId="29E6F982" w:rsidR="00AA3994" w:rsidRDefault="00AA3994" w:rsidP="00354AA1">
      <w:pPr>
        <w:jc w:val="both"/>
      </w:pPr>
      <w:r>
        <w:t xml:space="preserve">In Australia, both state and federal laws exist in relation to privacy. The main source of information privacy regulation in Australia is the federal </w:t>
      </w:r>
      <w:r w:rsidRPr="00371F62">
        <w:rPr>
          <w:i/>
        </w:rPr>
        <w:t>Privacy Act 1988</w:t>
      </w:r>
      <w:r>
        <w:t xml:space="preserve"> (Cth)</w:t>
      </w:r>
      <w:r w:rsidR="00AE3B97">
        <w:t xml:space="preserve"> (the Privacy Act)</w:t>
      </w:r>
      <w:r>
        <w:t>. In a 2008 review of the Privacy Act</w:t>
      </w:r>
      <w:r w:rsidR="00AE3B97">
        <w:t>,</w:t>
      </w:r>
      <w:r>
        <w:t xml:space="preserve"> the Australian Law Reform Commission (ALRC) identified a number of issues relating to children and their expectations of privacy and the disclosure of their personal information.</w:t>
      </w:r>
      <w:r>
        <w:rPr>
          <w:rStyle w:val="EndnoteReference"/>
        </w:rPr>
        <w:endnoteReference w:id="351"/>
      </w:r>
      <w:r>
        <w:t xml:space="preserve"> </w:t>
      </w:r>
      <w:r w:rsidRPr="00A64907">
        <w:t>A particular issue of concern was the actual capacity of children to genuinely consent to or otherwise make decisions that affect their rights.</w:t>
      </w:r>
      <w:r w:rsidRPr="00A64907">
        <w:rPr>
          <w:rStyle w:val="EndnoteReference"/>
        </w:rPr>
        <w:endnoteReference w:id="352"/>
      </w:r>
      <w:r>
        <w:t xml:space="preserve"> </w:t>
      </w:r>
    </w:p>
    <w:p w14:paraId="0FDE9177" w14:textId="70678E42" w:rsidR="00AA3994" w:rsidRPr="00552A81" w:rsidRDefault="00AA3994" w:rsidP="00354AA1">
      <w:pPr>
        <w:jc w:val="both"/>
      </w:pPr>
      <w:r>
        <w:t xml:space="preserve">The </w:t>
      </w:r>
      <w:r w:rsidRPr="00552A81">
        <w:t xml:space="preserve">Privacy Act does not set a minimum age at which a child is able to consent to decisions about their privacy and the use of their personal information. In the absence of a </w:t>
      </w:r>
      <w:r>
        <w:t xml:space="preserve">set </w:t>
      </w:r>
      <w:r w:rsidRPr="00552A81">
        <w:t xml:space="preserve">minimum age, </w:t>
      </w:r>
      <w:r w:rsidRPr="00A64907">
        <w:t>an individual assessment on the ability to consent would need to be made of each child on a case by case basis</w:t>
      </w:r>
      <w:r w:rsidRPr="00552A81">
        <w:t>.</w:t>
      </w:r>
      <w:r w:rsidRPr="00552A81">
        <w:rPr>
          <w:rStyle w:val="EndnoteReference"/>
        </w:rPr>
        <w:endnoteReference w:id="353"/>
      </w:r>
      <w:r w:rsidRPr="00552A81">
        <w:t xml:space="preserve"> This would include assessing the child’s ability to fully comprehend the meaning of the decision.</w:t>
      </w:r>
      <w:r w:rsidRPr="00552A81">
        <w:rPr>
          <w:rStyle w:val="EndnoteReference"/>
        </w:rPr>
        <w:endnoteReference w:id="354"/>
      </w:r>
      <w:r w:rsidRPr="00552A81">
        <w:t xml:space="preserve"> Until that time it is assumed that a parent or guardian will make these decisions on behalf of the child.</w:t>
      </w:r>
      <w:r w:rsidRPr="00552A81">
        <w:rPr>
          <w:rStyle w:val="EndnoteReference"/>
        </w:rPr>
        <w:endnoteReference w:id="355"/>
      </w:r>
      <w:r w:rsidRPr="00552A81">
        <w:t xml:space="preserve"> </w:t>
      </w:r>
      <w:r w:rsidRPr="00A64907">
        <w:t>In a practical sense, the ability of business to make such an assessment would be difficult to undertake</w:t>
      </w:r>
      <w:r w:rsidR="00AE3B97">
        <w:t xml:space="preserve">, </w:t>
      </w:r>
      <w:r w:rsidRPr="00A64907">
        <w:t>particularly in the context of online commerce.</w:t>
      </w:r>
    </w:p>
    <w:p w14:paraId="687F31E2" w14:textId="7672C191" w:rsidR="00AA3994" w:rsidRDefault="00AA3994" w:rsidP="00354AA1">
      <w:pPr>
        <w:jc w:val="both"/>
      </w:pPr>
      <w:r>
        <w:t>The</w:t>
      </w:r>
      <w:r w:rsidRPr="00552A81">
        <w:t xml:space="preserve"> ALRC </w:t>
      </w:r>
      <w:r>
        <w:t>drew specific attention to the impact</w:t>
      </w:r>
      <w:r w:rsidRPr="00552A81">
        <w:t xml:space="preserve"> of ‘direct marketing’ </w:t>
      </w:r>
      <w:r>
        <w:t xml:space="preserve">on </w:t>
      </w:r>
      <w:r w:rsidRPr="00552A81">
        <w:t>children and young people.</w:t>
      </w:r>
      <w:r w:rsidRPr="00552A81">
        <w:rPr>
          <w:rStyle w:val="EndnoteReference"/>
        </w:rPr>
        <w:endnoteReference w:id="356"/>
      </w:r>
      <w:r w:rsidRPr="00552A81">
        <w:t xml:space="preserve"> A number of laws regulate ‘direct marketing’ practices including the </w:t>
      </w:r>
      <w:r w:rsidRPr="00552A81">
        <w:rPr>
          <w:i/>
        </w:rPr>
        <w:t>Spam Act 2003</w:t>
      </w:r>
      <w:r w:rsidRPr="00552A81">
        <w:t xml:space="preserve"> (Cth) and the </w:t>
      </w:r>
      <w:r w:rsidRPr="00552A81">
        <w:rPr>
          <w:i/>
        </w:rPr>
        <w:t xml:space="preserve">Do Not Call Register Act 2006 </w:t>
      </w:r>
      <w:r w:rsidRPr="00552A81">
        <w:t xml:space="preserve">(Cth). </w:t>
      </w:r>
      <w:r w:rsidR="00842C10">
        <w:t>With</w:t>
      </w:r>
      <w:r w:rsidRPr="00552A81">
        <w:t xml:space="preserve"> respect </w:t>
      </w:r>
      <w:r w:rsidR="00842C10">
        <w:t>to</w:t>
      </w:r>
      <w:r w:rsidRPr="00552A81">
        <w:t xml:space="preserve"> the</w:t>
      </w:r>
      <w:r>
        <w:t xml:space="preserve"> Privacy Act, the ALRC concluded that children did not have the ability to ‘comprehend the nature of an ongoing [consumer] relationship or have sufficient understanding to have a “reasonable expectation” of receiving direct marketing material as a result of that continuing relationship’.</w:t>
      </w:r>
      <w:r>
        <w:rPr>
          <w:rStyle w:val="EndnoteReference"/>
        </w:rPr>
        <w:endnoteReference w:id="357"/>
      </w:r>
    </w:p>
    <w:p w14:paraId="72A99905" w14:textId="5B451C8A" w:rsidR="00AA3994" w:rsidRDefault="00AA3994" w:rsidP="00354AA1">
      <w:pPr>
        <w:jc w:val="both"/>
      </w:pPr>
      <w:r>
        <w:t>To address this issue, the ALRC recommended that parental consent be a prerequisite to the use of personal information for direct marketing purposes for children under the age of 15 years.</w:t>
      </w:r>
      <w:r>
        <w:rPr>
          <w:rStyle w:val="EndnoteReference"/>
        </w:rPr>
        <w:endnoteReference w:id="358"/>
      </w:r>
      <w:r>
        <w:t xml:space="preserve"> For children and young people over the age of 15 years, the ALRC proposed a change to the law that allowed organisations to presume that children over the age of 15 years possess the capacity to consent.</w:t>
      </w:r>
      <w:r>
        <w:rPr>
          <w:rStyle w:val="EndnoteReference"/>
        </w:rPr>
        <w:endnoteReference w:id="359"/>
      </w:r>
      <w:r>
        <w:t xml:space="preserve"> If organisations wished to rely on this presumption then reasonable steps had to be undertaken to confirm the person was over 15 years of age.</w:t>
      </w:r>
      <w:r>
        <w:rPr>
          <w:rStyle w:val="EndnoteReference"/>
        </w:rPr>
        <w:endnoteReference w:id="360"/>
      </w:r>
      <w:r>
        <w:t xml:space="preserve"> This recommended change to the law has not been adopted by</w:t>
      </w:r>
      <w:r w:rsidR="00A44F5B">
        <w:t xml:space="preserve"> the Australian G</w:t>
      </w:r>
      <w:r>
        <w:t>overnment.</w:t>
      </w:r>
      <w:r>
        <w:rPr>
          <w:rStyle w:val="EndnoteReference"/>
        </w:rPr>
        <w:endnoteReference w:id="361"/>
      </w:r>
      <w:r>
        <w:t xml:space="preserve"> </w:t>
      </w:r>
      <w:r w:rsidRPr="00495E5B">
        <w:t xml:space="preserve">A further review by the ALRC in 2014 into </w:t>
      </w:r>
      <w:r w:rsidRPr="00A44F5B">
        <w:rPr>
          <w:i/>
        </w:rPr>
        <w:t>Serious Invasions of Privacy in the Digital Era</w:t>
      </w:r>
      <w:r w:rsidRPr="006F51AC">
        <w:t xml:space="preserve"> </w:t>
      </w:r>
      <w:r w:rsidRPr="006F51AC">
        <w:lastRenderedPageBreak/>
        <w:t xml:space="preserve">highlighted similar concerns and recommended a cause of action </w:t>
      </w:r>
      <w:r w:rsidRPr="008F6818">
        <w:t xml:space="preserve">provision </w:t>
      </w:r>
      <w:r w:rsidRPr="00A96266">
        <w:t>be includ</w:t>
      </w:r>
      <w:r w:rsidRPr="00495E5B">
        <w:t>ed in the legisl</w:t>
      </w:r>
      <w:r w:rsidRPr="006F51AC">
        <w:t>ation in relation to serious breaches of privacy</w:t>
      </w:r>
      <w:r w:rsidRPr="00495E5B">
        <w:t>.</w:t>
      </w:r>
      <w:r w:rsidRPr="00495E5B">
        <w:rPr>
          <w:rStyle w:val="EndnoteReference"/>
        </w:rPr>
        <w:endnoteReference w:id="362"/>
      </w:r>
    </w:p>
    <w:p w14:paraId="5A2F58E1" w14:textId="2F11CB00" w:rsidR="00AA2C8B" w:rsidRDefault="00AA2C8B" w:rsidP="00354AA1">
      <w:pPr>
        <w:jc w:val="both"/>
      </w:pPr>
      <w:r>
        <w:t>The Office of the Australian Information Commissioner (OAIC) has published guidelines on its interpretation of the Australian Privacy Principles set out in the Privacy Act.  The guidelines state that where it is not reasonable for a regulated entity to perform a case-by-case assessment of the capacity of an individual under the age of 18, the entity may presume that an individual over the age of 15 has capacity to consent unless there is something to suggest otherwise.</w:t>
      </w:r>
      <w:r>
        <w:rPr>
          <w:rStyle w:val="EndnoteReference"/>
        </w:rPr>
        <w:endnoteReference w:id="363"/>
      </w:r>
      <w:r>
        <w:t xml:space="preserve">  While these guidelines are in line with the ALRC’s proposed changes to the law, they are not legally binding and serve only to indicate the OAIC’s approach to regulation.</w:t>
      </w:r>
    </w:p>
    <w:p w14:paraId="6F604090" w14:textId="11B1F21B" w:rsidR="00AA3994" w:rsidRDefault="00AA3994" w:rsidP="00354AA1">
      <w:pPr>
        <w:jc w:val="both"/>
      </w:pPr>
      <w:r>
        <w:t xml:space="preserve">No significant change to Australian privacy laws has occurred in relation to children and young people since the publication of the </w:t>
      </w:r>
      <w:r w:rsidRPr="004F3FEE">
        <w:t>ALRC report in 2008.</w:t>
      </w:r>
      <w:r>
        <w:t xml:space="preserve"> Given the high levels of internet use by children in Australia it may now be a timely opportunity to revi</w:t>
      </w:r>
      <w:r w:rsidR="00644976">
        <w:t>sit the ALRC’s recommendations on</w:t>
      </w:r>
      <w:r>
        <w:t xml:space="preserve"> the online privacy of children in Australia.</w:t>
      </w:r>
    </w:p>
    <w:p w14:paraId="5A99B5F1" w14:textId="6E16F9FB" w:rsidR="00AA3994" w:rsidRPr="004521F0" w:rsidRDefault="00AA3994" w:rsidP="00354AA1">
      <w:pPr>
        <w:jc w:val="both"/>
        <w:rPr>
          <w:rFonts w:cs="Arial"/>
        </w:rPr>
      </w:pPr>
      <w:r w:rsidRPr="004521F0">
        <w:rPr>
          <w:rFonts w:cs="Arial"/>
        </w:rPr>
        <w:t>In 2015, the OAIC</w:t>
      </w:r>
      <w:r w:rsidR="00AA2C8B">
        <w:rPr>
          <w:rFonts w:cs="Arial"/>
        </w:rPr>
        <w:t xml:space="preserve"> </w:t>
      </w:r>
      <w:r w:rsidRPr="004521F0">
        <w:rPr>
          <w:rFonts w:cs="Arial"/>
        </w:rPr>
        <w:t>along with 28 other privacy enforcement authorities around the world took part in the third Global Privacy Enforcement Network (GPEN) Privacy Sweep.</w:t>
      </w:r>
      <w:r w:rsidRPr="004521F0">
        <w:rPr>
          <w:rStyle w:val="EndnoteReference"/>
          <w:rFonts w:cs="Arial"/>
        </w:rPr>
        <w:endnoteReference w:id="364"/>
      </w:r>
      <w:r w:rsidRPr="004521F0">
        <w:rPr>
          <w:rFonts w:cs="Arial"/>
        </w:rPr>
        <w:t xml:space="preserve"> A number of child-targeted websites and apps were examined for the collection of children’s personal information.</w:t>
      </w:r>
      <w:r w:rsidRPr="004521F0">
        <w:rPr>
          <w:rStyle w:val="EndnoteReference"/>
          <w:rFonts w:cs="Arial"/>
        </w:rPr>
        <w:endnoteReference w:id="365"/>
      </w:r>
      <w:r w:rsidRPr="004521F0">
        <w:rPr>
          <w:rFonts w:cs="Arial"/>
        </w:rPr>
        <w:t xml:space="preserve"> This included consideration of whether parental involvement was sought, the ease of deletion of personal information, whether users were redirected off the site and the tailoring of privacy information to children.</w:t>
      </w:r>
      <w:r w:rsidRPr="004521F0">
        <w:rPr>
          <w:rStyle w:val="EndnoteReference"/>
          <w:rFonts w:cs="Arial"/>
        </w:rPr>
        <w:endnoteReference w:id="366"/>
      </w:r>
    </w:p>
    <w:p w14:paraId="55E5D277" w14:textId="60C39A88" w:rsidR="00AA3994" w:rsidRPr="00615ED1" w:rsidRDefault="00AA3994" w:rsidP="00354AA1">
      <w:pPr>
        <w:jc w:val="both"/>
        <w:rPr>
          <w:rFonts w:cs="Arial"/>
        </w:rPr>
      </w:pPr>
      <w:r w:rsidRPr="004521F0">
        <w:rPr>
          <w:rFonts w:cs="Arial"/>
        </w:rPr>
        <w:t xml:space="preserve">The OAIC found that a number of websites/apps targeting children </w:t>
      </w:r>
      <w:r>
        <w:rPr>
          <w:rFonts w:cs="Arial"/>
        </w:rPr>
        <w:t xml:space="preserve">under </w:t>
      </w:r>
      <w:r w:rsidRPr="004521F0">
        <w:rPr>
          <w:rFonts w:cs="Arial"/>
        </w:rPr>
        <w:t xml:space="preserve">12 years </w:t>
      </w:r>
      <w:r>
        <w:rPr>
          <w:rFonts w:cs="Arial"/>
        </w:rPr>
        <w:t xml:space="preserve">either did not collect, or limited the </w:t>
      </w:r>
      <w:r w:rsidRPr="004521F0">
        <w:rPr>
          <w:rFonts w:cs="Arial"/>
        </w:rPr>
        <w:t>collection of</w:t>
      </w:r>
      <w:r>
        <w:rPr>
          <w:rFonts w:cs="Arial"/>
        </w:rPr>
        <w:t>,</w:t>
      </w:r>
      <w:r w:rsidRPr="004521F0">
        <w:rPr>
          <w:rFonts w:cs="Arial"/>
        </w:rPr>
        <w:t xml:space="preserve"> children’s personal information.</w:t>
      </w:r>
      <w:r w:rsidRPr="004521F0">
        <w:rPr>
          <w:rStyle w:val="EndnoteReference"/>
          <w:rFonts w:cs="Arial"/>
        </w:rPr>
        <w:endnoteReference w:id="367"/>
      </w:r>
      <w:r w:rsidRPr="004521F0">
        <w:rPr>
          <w:rFonts w:cs="Arial"/>
        </w:rPr>
        <w:t xml:space="preserve"> However deficiencies existed in the incorporation of child-appropriate privacy measures (including the tailoring of privacy information to children) and the re-directing of children </w:t>
      </w:r>
      <w:r w:rsidR="00A44F5B">
        <w:rPr>
          <w:rFonts w:cs="Arial"/>
        </w:rPr>
        <w:t>away from</w:t>
      </w:r>
      <w:r w:rsidRPr="004521F0">
        <w:rPr>
          <w:rFonts w:cs="Arial"/>
        </w:rPr>
        <w:t xml:space="preserve"> sites.</w:t>
      </w:r>
      <w:r w:rsidRPr="004521F0">
        <w:rPr>
          <w:rStyle w:val="EndnoteReference"/>
          <w:rFonts w:cs="Arial"/>
        </w:rPr>
        <w:endnoteReference w:id="368"/>
      </w:r>
      <w:r w:rsidRPr="004521F0">
        <w:rPr>
          <w:rFonts w:cs="Arial"/>
        </w:rPr>
        <w:t xml:space="preserve"> Facilitating parental involvement was considered a key measure to protecting children’s privacy along with protective controls in respect of collection and deletion of personal information and redirection.</w:t>
      </w:r>
      <w:r w:rsidRPr="004521F0">
        <w:rPr>
          <w:rStyle w:val="EndnoteReference"/>
          <w:rFonts w:cs="Arial"/>
        </w:rPr>
        <w:endnoteReference w:id="369"/>
      </w:r>
      <w:r w:rsidRPr="004521F0">
        <w:rPr>
          <w:rFonts w:cs="Arial"/>
        </w:rPr>
        <w:t xml:space="preserve"> The OAIC is currently considering the resu</w:t>
      </w:r>
      <w:r w:rsidR="00B55A05">
        <w:rPr>
          <w:rFonts w:cs="Arial"/>
        </w:rPr>
        <w:t>lts for any further follow-</w:t>
      </w:r>
      <w:r w:rsidRPr="004521F0">
        <w:rPr>
          <w:rFonts w:cs="Arial"/>
        </w:rPr>
        <w:t>up action.</w:t>
      </w:r>
      <w:r w:rsidRPr="004521F0">
        <w:rPr>
          <w:rStyle w:val="EndnoteReference"/>
          <w:rFonts w:cs="Arial"/>
        </w:rPr>
        <w:endnoteReference w:id="370"/>
      </w:r>
    </w:p>
    <w:p w14:paraId="6CC7F8FE" w14:textId="77777777" w:rsidR="00AA3994" w:rsidRDefault="00AA3994" w:rsidP="00354AA1">
      <w:pPr>
        <w:pStyle w:val="Heading3"/>
        <w:jc w:val="both"/>
      </w:pPr>
      <w:bookmarkStart w:id="109" w:name="_Toc430333095"/>
      <w:bookmarkStart w:id="110" w:name="_Toc430702088"/>
      <w:r>
        <w:t>Case study: consumer contracts and children</w:t>
      </w:r>
      <w:r>
        <w:rPr>
          <w:rStyle w:val="EndnoteReference"/>
        </w:rPr>
        <w:endnoteReference w:id="371"/>
      </w:r>
      <w:bookmarkEnd w:id="109"/>
      <w:bookmarkEnd w:id="110"/>
    </w:p>
    <w:p w14:paraId="4EA81957" w14:textId="77777777" w:rsidR="00AA3994" w:rsidRDefault="00AA3994" w:rsidP="00354AA1">
      <w:pPr>
        <w:jc w:val="both"/>
      </w:pPr>
      <w:r w:rsidRPr="005B1318">
        <w:t>A contract is enforceable where both parties have the ‘capacity’ to enter into a contract. Certain parties may be exempt from what would otherwise be a binding contract if they are considered to ‘lack capacity’. Those considered to ‘lack capacity’ include children (minors).</w:t>
      </w:r>
      <w:r w:rsidRPr="005B1318">
        <w:rPr>
          <w:rStyle w:val="EndnoteReference"/>
        </w:rPr>
        <w:endnoteReference w:id="372"/>
      </w:r>
    </w:p>
    <w:p w14:paraId="21E0FC31" w14:textId="77777777" w:rsidR="00AA3994" w:rsidRDefault="00AA3994" w:rsidP="00354AA1">
      <w:pPr>
        <w:jc w:val="both"/>
      </w:pPr>
      <w:r>
        <w:t>While the ability to understand commercial matters varies between individuals, Australian law sets the age of an adult at 18 years of age for most purposes.</w:t>
      </w:r>
      <w:r>
        <w:rPr>
          <w:rStyle w:val="EndnoteReference"/>
        </w:rPr>
        <w:endnoteReference w:id="373"/>
      </w:r>
      <w:r>
        <w:t xml:space="preserve"> </w:t>
      </w:r>
      <w:r w:rsidRPr="00230221">
        <w:t>People under the age of 18 years are ‘minors’ who are generally not bound to obligations arising out of contracts due to their presumed ‘lack of capacity’ to fully understand the obligations they have entered into.</w:t>
      </w:r>
      <w:r>
        <w:t xml:space="preserve"> </w:t>
      </w:r>
    </w:p>
    <w:p w14:paraId="4F37B89E" w14:textId="1BAE49E7" w:rsidR="00AA3994" w:rsidRDefault="00AA3994" w:rsidP="00354AA1">
      <w:pPr>
        <w:jc w:val="both"/>
      </w:pPr>
      <w:r>
        <w:t>The common law</w:t>
      </w:r>
      <w:r>
        <w:rPr>
          <w:rStyle w:val="EndnoteReference"/>
        </w:rPr>
        <w:endnoteReference w:id="374"/>
      </w:r>
      <w:r>
        <w:t xml:space="preserve"> allows for one exception to this general rule where a minor will be bound to contracts for goods and services that are considered ‘necessary’ to the minor’s way of life.</w:t>
      </w:r>
      <w:r>
        <w:rPr>
          <w:rStyle w:val="EndnoteReference"/>
        </w:rPr>
        <w:endnoteReference w:id="375"/>
      </w:r>
      <w:r>
        <w:t xml:space="preserve"> </w:t>
      </w:r>
      <w:r w:rsidR="00B55A05">
        <w:t>Determining</w:t>
      </w:r>
      <w:r>
        <w:t xml:space="preserve"> whether something is ‘necessary’ will depend on </w:t>
      </w:r>
      <w:r>
        <w:lastRenderedPageBreak/>
        <w:t>individual circumstances including his/her age, means, requirements and whether the minor was provided with these goods or services from alternative sources.</w:t>
      </w:r>
      <w:r>
        <w:rPr>
          <w:rStyle w:val="EndnoteReference"/>
        </w:rPr>
        <w:endnoteReference w:id="376"/>
      </w:r>
      <w:r>
        <w:t xml:space="preserve"> </w:t>
      </w:r>
    </w:p>
    <w:p w14:paraId="27B276EB" w14:textId="4F20B55E" w:rsidR="00AA3994" w:rsidRDefault="00AA3994" w:rsidP="00354AA1">
      <w:pPr>
        <w:jc w:val="both"/>
      </w:pPr>
      <w:r>
        <w:t xml:space="preserve">Legislation on contracting with minors also exists at the </w:t>
      </w:r>
      <w:r w:rsidR="00427826">
        <w:t>s</w:t>
      </w:r>
      <w:r>
        <w:t xml:space="preserve">tate and </w:t>
      </w:r>
      <w:r w:rsidR="00427826">
        <w:t>t</w:t>
      </w:r>
      <w:r>
        <w:t>erritory level. It largely mirrors the common law position that minors under the age of 18 years cannot be bound to contracts with the exception of contracts for goods and services considered ‘necessary’</w:t>
      </w:r>
      <w:r>
        <w:rPr>
          <w:rStyle w:val="EndnoteReference"/>
        </w:rPr>
        <w:endnoteReference w:id="377"/>
      </w:r>
      <w:r>
        <w:t xml:space="preserve"> (or in the case of NSW - considered ‘beneficial’).</w:t>
      </w:r>
      <w:r>
        <w:rPr>
          <w:rStyle w:val="EndnoteReference"/>
        </w:rPr>
        <w:endnoteReference w:id="378"/>
      </w:r>
    </w:p>
    <w:p w14:paraId="0488CFF8" w14:textId="77777777" w:rsidR="00AA3994" w:rsidRDefault="00AA3994" w:rsidP="00354AA1">
      <w:pPr>
        <w:jc w:val="both"/>
      </w:pPr>
      <w:r>
        <w:t>Similar to the Privacy Act, general consumer laws (known as the ‘Australian Consumer Law’) do not contain any child-specific provisions.</w:t>
      </w:r>
      <w:r>
        <w:rPr>
          <w:rStyle w:val="EndnoteReference"/>
        </w:rPr>
        <w:endnoteReference w:id="379"/>
      </w:r>
      <w:r>
        <w:t xml:space="preserve"> The law does however include provisions that are generally relevant to children’s online consumer activities such as the prohibition of unfair terms in consumer contracts and the prohibition of misleading and deceptive conduct.</w:t>
      </w:r>
      <w:r>
        <w:rPr>
          <w:rStyle w:val="EndnoteReference"/>
        </w:rPr>
        <w:endnoteReference w:id="380"/>
      </w:r>
      <w:r>
        <w:t xml:space="preserve"> </w:t>
      </w:r>
    </w:p>
    <w:p w14:paraId="0F9F1239" w14:textId="77777777" w:rsidR="00AA3994" w:rsidRDefault="00AA3994" w:rsidP="00354AA1">
      <w:pPr>
        <w:jc w:val="both"/>
      </w:pPr>
      <w:r>
        <w:t xml:space="preserve">For </w:t>
      </w:r>
      <w:r w:rsidRPr="00A01BF0">
        <w:t>a term in a contract to be unfair it must</w:t>
      </w:r>
      <w:r>
        <w:t>:</w:t>
      </w:r>
      <w:r w:rsidRPr="00A01BF0">
        <w:t xml:space="preserve"> cause a significant imbalance between the parties’ rights and obligations; be unreasonable and unnecessary to protecting the legitimate interests of the party who has gained the advantage</w:t>
      </w:r>
      <w:r>
        <w:t>;</w:t>
      </w:r>
      <w:r w:rsidRPr="00A01BF0">
        <w:t xml:space="preserve"> and caused detriment to the disadvantaged party.</w:t>
      </w:r>
      <w:r w:rsidRPr="00A01BF0">
        <w:rPr>
          <w:rStyle w:val="EndnoteReference"/>
        </w:rPr>
        <w:endnoteReference w:id="381"/>
      </w:r>
      <w:r w:rsidRPr="00A01BF0">
        <w:t xml:space="preserve"> While the age of a party is not specifically considered within these provisions, arguably a young person could be at greater risk of falling victim to unfair contractual terms owing to their relative lack of capacity.</w:t>
      </w:r>
    </w:p>
    <w:p w14:paraId="648ABFDD" w14:textId="77777777" w:rsidR="00AA3994" w:rsidRDefault="00AA3994" w:rsidP="00354AA1">
      <w:pPr>
        <w:jc w:val="both"/>
      </w:pPr>
      <w:r w:rsidRPr="0036431D">
        <w:t>The test for whether something is misleading or deceptive is whether a reasonable person in the category of consumers likely to be affected (here young people) would consider the conduct to be misleading or deceptive</w:t>
      </w:r>
      <w:r>
        <w:t>.</w:t>
      </w:r>
      <w:r>
        <w:rPr>
          <w:rStyle w:val="EndnoteReference"/>
        </w:rPr>
        <w:endnoteReference w:id="382"/>
      </w:r>
      <w:r>
        <w:t xml:space="preserve"> While the law does not have specific provisions relating to children, it is flexibly applied to different categories of people. For goods and services specifically targeted at young people </w:t>
      </w:r>
      <w:r w:rsidRPr="00A01BF0">
        <w:t>the relevant category to consider would be ‘young consumers’ and the conduct would be assessed against the understanding or comprehension of an ‘ordinary young person’</w:t>
      </w:r>
      <w:r>
        <w:t>.</w:t>
      </w:r>
      <w:r>
        <w:rPr>
          <w:rStyle w:val="EndnoteReference"/>
        </w:rPr>
        <w:endnoteReference w:id="383"/>
      </w:r>
      <w:r>
        <w:t xml:space="preserve"> To this extent, the law recognises and makes allowances for the particular issues children may have in this context.</w:t>
      </w:r>
    </w:p>
    <w:p w14:paraId="39EF731A" w14:textId="08F65E72" w:rsidR="00AA3994" w:rsidRDefault="00AA3994" w:rsidP="00354AA1">
      <w:pPr>
        <w:jc w:val="both"/>
      </w:pPr>
      <w:r w:rsidRPr="00BA3749">
        <w:t>One of the practical difficulties presented by modern commerce is the use of the internet to conduct business by parties resident in different countries. It is unclear which country’s laws apply to such transactions.</w:t>
      </w:r>
      <w:r>
        <w:t xml:space="preserve"> The application of </w:t>
      </w:r>
      <w:r w:rsidR="001F69FB">
        <w:t xml:space="preserve">the </w:t>
      </w:r>
      <w:r>
        <w:t>Australian Consumer Law (such as unfair contractual terms) to overseas business has not yet been determined.</w:t>
      </w:r>
      <w:r>
        <w:rPr>
          <w:rStyle w:val="EndnoteReference"/>
        </w:rPr>
        <w:endnoteReference w:id="384"/>
      </w:r>
      <w:r>
        <w:t xml:space="preserve"> It has, however, been determined that representations made on the internet by overseas entities can constitute misleading and deceptive conduct for the purposes of Australian law.</w:t>
      </w:r>
      <w:r>
        <w:rPr>
          <w:rStyle w:val="EndnoteReference"/>
        </w:rPr>
        <w:endnoteReference w:id="385"/>
      </w:r>
    </w:p>
    <w:p w14:paraId="321F82EA" w14:textId="5A839172" w:rsidR="00AA3994" w:rsidRDefault="00AA3994" w:rsidP="00354AA1">
      <w:pPr>
        <w:jc w:val="both"/>
      </w:pPr>
      <w:r w:rsidRPr="00BA3749">
        <w:t xml:space="preserve">While Australian </w:t>
      </w:r>
      <w:r>
        <w:t>c</w:t>
      </w:r>
      <w:r w:rsidRPr="00BA3749">
        <w:t>onsumer law has the capacity to consider the particular issues that children as a ‘category’ may possess, it still only offers a reactive, court-based solution in situations where children wish to enforce their rights.</w:t>
      </w:r>
      <w:r>
        <w:t xml:space="preserve"> Pursuing such an action in court is costly and time-consuming for most people. The ability of children (even where represented by a parent/guardian) to avail themselves of this option in a practical sense is questionable</w:t>
      </w:r>
      <w:r w:rsidR="001F69FB">
        <w:t xml:space="preserve">, </w:t>
      </w:r>
      <w:r>
        <w:t xml:space="preserve">particularly where any monetary loss incurred involved a relatively small amount. </w:t>
      </w:r>
      <w:r w:rsidRPr="00BA3749">
        <w:t>In the absence of preventative and/or child-accessible enforcement options, this could lead to a situation where children disproportionately bear the loss of such transactions/misconduct.</w:t>
      </w:r>
      <w:r>
        <w:t xml:space="preserve"> </w:t>
      </w:r>
    </w:p>
    <w:p w14:paraId="7DEE1602" w14:textId="7FF1E1DD" w:rsidR="00AA3994" w:rsidRDefault="00AA3994" w:rsidP="00354AA1">
      <w:pPr>
        <w:jc w:val="both"/>
      </w:pPr>
      <w:r>
        <w:t xml:space="preserve">In the absence of a minimum age, the use of parental consent as a safeguard of children’s rights in the online privacy context needs to be reconsidered. It is clear that both business and children/guardians face practical difficulties in assessing a child’s </w:t>
      </w:r>
      <w:r>
        <w:lastRenderedPageBreak/>
        <w:t>individual ability to provide meaningful consent. It is suggested that clear guidance be provided on what is being consented to</w:t>
      </w:r>
      <w:r w:rsidR="001F69FB">
        <w:t xml:space="preserve">, </w:t>
      </w:r>
      <w:r>
        <w:t>even where guardians are involved.</w:t>
      </w:r>
    </w:p>
    <w:p w14:paraId="31CF441D" w14:textId="7C4EAED9" w:rsidR="00AA3994" w:rsidRDefault="00AA3994" w:rsidP="00354AA1">
      <w:pPr>
        <w:jc w:val="both"/>
      </w:pPr>
      <w:r>
        <w:t>Additionally</w:t>
      </w:r>
      <w:r w:rsidR="00B67BDF">
        <w:t>,</w:t>
      </w:r>
      <w:r>
        <w:t xml:space="preserve"> any ge</w:t>
      </w:r>
      <w:r w:rsidR="001F69FB">
        <w:t>neral review of such regulations and</w:t>
      </w:r>
      <w:r>
        <w:t xml:space="preserve"> safeguards must be applicable within the transnational online context to ensure any options for redress are able to be enforced.</w:t>
      </w:r>
    </w:p>
    <w:p w14:paraId="7774C9E6" w14:textId="77777777" w:rsidR="00AA3994" w:rsidRDefault="00AA3994" w:rsidP="00354AA1">
      <w:pPr>
        <w:jc w:val="both"/>
      </w:pPr>
    </w:p>
    <w:p w14:paraId="567273B1" w14:textId="77777777" w:rsidR="00AA3994" w:rsidRDefault="00AA3994" w:rsidP="00354AA1">
      <w:pPr>
        <w:jc w:val="both"/>
      </w:pPr>
    </w:p>
    <w:p w14:paraId="7FCD1FF1" w14:textId="77777777" w:rsidR="00AA3994" w:rsidRDefault="00AA3994" w:rsidP="00354AA1">
      <w:pPr>
        <w:jc w:val="both"/>
      </w:pPr>
      <w:r>
        <w:rPr>
          <w:noProof/>
        </w:rPr>
        <mc:AlternateContent>
          <mc:Choice Requires="wps">
            <w:drawing>
              <wp:anchor distT="45720" distB="45720" distL="114300" distR="114300" simplePos="0" relativeHeight="251656192" behindDoc="0" locked="0" layoutInCell="1" allowOverlap="1" wp14:anchorId="4785309E" wp14:editId="6EA79A46">
                <wp:simplePos x="0" y="0"/>
                <wp:positionH relativeFrom="column">
                  <wp:posOffset>61595</wp:posOffset>
                </wp:positionH>
                <wp:positionV relativeFrom="paragraph">
                  <wp:posOffset>90170</wp:posOffset>
                </wp:positionV>
                <wp:extent cx="5586730" cy="5472430"/>
                <wp:effectExtent l="0" t="0" r="13970" b="13970"/>
                <wp:wrapSquare wrapText="bothSides"/>
                <wp:docPr id="1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86730" cy="5472430"/>
                        </a:xfrm>
                        <a:prstGeom prst="rect">
                          <a:avLst/>
                        </a:prstGeom>
                        <a:solidFill>
                          <a:srgbClr val="FFFFFF"/>
                        </a:solidFill>
                        <a:ln w="9525">
                          <a:solidFill>
                            <a:srgbClr val="000000"/>
                          </a:solidFill>
                          <a:miter lim="800000"/>
                          <a:headEnd/>
                          <a:tailEnd/>
                        </a:ln>
                      </wps:spPr>
                      <wps:txbx>
                        <w:txbxContent>
                          <w:p w14:paraId="6D1DE29F" w14:textId="77777777" w:rsidR="00F008D2" w:rsidRPr="00C133A0" w:rsidRDefault="00F008D2" w:rsidP="00AA3994">
                            <w:pPr>
                              <w:rPr>
                                <w:b/>
                              </w:rPr>
                            </w:pPr>
                            <w:r w:rsidRPr="00C133A0">
                              <w:rPr>
                                <w:b/>
                              </w:rPr>
                              <w:t>Summary - Australian consumer protection and children</w:t>
                            </w:r>
                          </w:p>
                          <w:p w14:paraId="2E8BEC9E" w14:textId="37DAC66F" w:rsidR="00F008D2" w:rsidRPr="00A64907" w:rsidRDefault="00F008D2" w:rsidP="000D1D92">
                            <w:pPr>
                              <w:pStyle w:val="ListParagraph"/>
                              <w:numPr>
                                <w:ilvl w:val="0"/>
                                <w:numId w:val="23"/>
                              </w:numPr>
                            </w:pPr>
                            <w:r w:rsidRPr="00A64907">
                              <w:t xml:space="preserve">A particular issue of concern </w:t>
                            </w:r>
                            <w:r>
                              <w:t>is</w:t>
                            </w:r>
                            <w:r w:rsidRPr="00A64907">
                              <w:t xml:space="preserve"> the actual capacity of children to genuinely consent to</w:t>
                            </w:r>
                            <w:r>
                              <w:t xml:space="preserve"> </w:t>
                            </w:r>
                            <w:r w:rsidRPr="00A64907">
                              <w:t>or otherwise make decisions that affect their rights</w:t>
                            </w:r>
                          </w:p>
                          <w:p w14:paraId="490130CE" w14:textId="77777777" w:rsidR="00F008D2" w:rsidRDefault="00F008D2" w:rsidP="00AA3994">
                            <w:pPr>
                              <w:pStyle w:val="ListParagraph"/>
                            </w:pPr>
                          </w:p>
                          <w:p w14:paraId="4DBA2CA5" w14:textId="77777777" w:rsidR="00F008D2" w:rsidRDefault="00F008D2" w:rsidP="000D1D92">
                            <w:pPr>
                              <w:pStyle w:val="ListParagraph"/>
                              <w:numPr>
                                <w:ilvl w:val="0"/>
                                <w:numId w:val="23"/>
                              </w:numPr>
                            </w:pPr>
                            <w:r>
                              <w:t>An</w:t>
                            </w:r>
                            <w:r w:rsidRPr="00A64907">
                              <w:t xml:space="preserve"> individual assessment on the ability to consent</w:t>
                            </w:r>
                            <w:r>
                              <w:t xml:space="preserve"> to privacy related-decisions</w:t>
                            </w:r>
                            <w:r w:rsidRPr="00A64907">
                              <w:t xml:space="preserve"> would need to be made of each child on a case by case basis</w:t>
                            </w:r>
                          </w:p>
                          <w:p w14:paraId="7A4F9FA9" w14:textId="77777777" w:rsidR="00F008D2" w:rsidRDefault="00F008D2" w:rsidP="00AA3994">
                            <w:pPr>
                              <w:pStyle w:val="ListParagraph"/>
                            </w:pPr>
                          </w:p>
                          <w:p w14:paraId="5BAD21E9" w14:textId="77777777" w:rsidR="00F008D2" w:rsidRDefault="00F008D2" w:rsidP="000D1D92">
                            <w:pPr>
                              <w:pStyle w:val="ListParagraph"/>
                              <w:numPr>
                                <w:ilvl w:val="0"/>
                                <w:numId w:val="23"/>
                              </w:numPr>
                            </w:pPr>
                            <w:r>
                              <w:t>Practically speaking</w:t>
                            </w:r>
                            <w:r w:rsidRPr="000466AD">
                              <w:t xml:space="preserve"> the ability of business to make such an assessment would be difficult to undertake in the context of online commerce</w:t>
                            </w:r>
                          </w:p>
                          <w:p w14:paraId="1BFAC9E1" w14:textId="77777777" w:rsidR="00F008D2" w:rsidRDefault="00F008D2" w:rsidP="00AA3994">
                            <w:pPr>
                              <w:pStyle w:val="ListParagraph"/>
                            </w:pPr>
                          </w:p>
                          <w:p w14:paraId="7F1F753B" w14:textId="77777777" w:rsidR="00F008D2" w:rsidRPr="000466AD" w:rsidRDefault="00F008D2" w:rsidP="000D1D92">
                            <w:pPr>
                              <w:pStyle w:val="ListParagraph"/>
                              <w:numPr>
                                <w:ilvl w:val="0"/>
                                <w:numId w:val="23"/>
                              </w:numPr>
                            </w:pPr>
                            <w:r w:rsidRPr="000466AD">
                              <w:rPr>
                                <w:rFonts w:cs="Arial"/>
                              </w:rPr>
                              <w:t>The OAIC considers facilitating parental involvement as a key measure to protecting children’s privacy</w:t>
                            </w:r>
                          </w:p>
                          <w:p w14:paraId="74E156FC" w14:textId="77777777" w:rsidR="00F008D2" w:rsidRDefault="00F008D2" w:rsidP="00AA3994">
                            <w:pPr>
                              <w:pStyle w:val="ListParagraph"/>
                            </w:pPr>
                          </w:p>
                          <w:p w14:paraId="03D2F9D0" w14:textId="77777777" w:rsidR="00F008D2" w:rsidRDefault="00F008D2" w:rsidP="000D1D92">
                            <w:pPr>
                              <w:pStyle w:val="ListParagraph"/>
                              <w:numPr>
                                <w:ilvl w:val="0"/>
                                <w:numId w:val="23"/>
                              </w:numPr>
                              <w:jc w:val="both"/>
                            </w:pPr>
                            <w:r w:rsidRPr="00230221">
                              <w:t>People under the age of 18 years are generally not bound to contractual obligations due to their presumed ‘lack of capacity’</w:t>
                            </w:r>
                          </w:p>
                          <w:p w14:paraId="4FC64234" w14:textId="77777777" w:rsidR="00F008D2" w:rsidRDefault="00F008D2" w:rsidP="00AA3994">
                            <w:pPr>
                              <w:pStyle w:val="ListParagraph"/>
                            </w:pPr>
                          </w:p>
                          <w:p w14:paraId="03E6B417" w14:textId="77777777" w:rsidR="00F008D2" w:rsidRDefault="00F008D2" w:rsidP="000D1D92">
                            <w:pPr>
                              <w:pStyle w:val="ListParagraph"/>
                              <w:numPr>
                                <w:ilvl w:val="0"/>
                                <w:numId w:val="23"/>
                              </w:numPr>
                              <w:jc w:val="both"/>
                            </w:pPr>
                            <w:r w:rsidRPr="00A01BF0">
                              <w:t>A young person could be at greater risk of falling victim to unfair contractual terms owing to their relative lack of capacity</w:t>
                            </w:r>
                          </w:p>
                          <w:p w14:paraId="449778BF" w14:textId="77777777" w:rsidR="00F008D2" w:rsidRDefault="00F008D2" w:rsidP="00AA3994">
                            <w:pPr>
                              <w:pStyle w:val="ListParagraph"/>
                              <w:jc w:val="both"/>
                            </w:pPr>
                          </w:p>
                          <w:p w14:paraId="02001F8B" w14:textId="77777777" w:rsidR="00F008D2" w:rsidRDefault="00F008D2" w:rsidP="000D1D92">
                            <w:pPr>
                              <w:pStyle w:val="ListParagraph"/>
                              <w:numPr>
                                <w:ilvl w:val="0"/>
                                <w:numId w:val="23"/>
                              </w:numPr>
                              <w:jc w:val="both"/>
                            </w:pPr>
                            <w:r w:rsidRPr="00BA3749">
                              <w:t>Where online commerce occurs by parties resident in different countries it  is unclear which country’s laws apply to such transactions</w:t>
                            </w:r>
                          </w:p>
                          <w:p w14:paraId="59C6B70A" w14:textId="77777777" w:rsidR="00F008D2" w:rsidRDefault="00F008D2" w:rsidP="00AA3994">
                            <w:pPr>
                              <w:pStyle w:val="ListParagraph"/>
                            </w:pPr>
                          </w:p>
                          <w:p w14:paraId="3768E688" w14:textId="77777777" w:rsidR="00F008D2" w:rsidRPr="00BA3749" w:rsidRDefault="00F008D2" w:rsidP="000D1D92">
                            <w:pPr>
                              <w:pStyle w:val="ListParagraph"/>
                              <w:numPr>
                                <w:ilvl w:val="0"/>
                                <w:numId w:val="23"/>
                              </w:numPr>
                              <w:jc w:val="both"/>
                            </w:pPr>
                            <w:r>
                              <w:t>The law s</w:t>
                            </w:r>
                            <w:r w:rsidRPr="00BA3749">
                              <w:t>till only</w:t>
                            </w:r>
                            <w:r>
                              <w:t xml:space="preserve"> largely</w:t>
                            </w:r>
                            <w:r w:rsidRPr="00BA3749">
                              <w:t xml:space="preserve"> offers a reactive, court-based solution in situations where children wish to enforce their rights</w:t>
                            </w:r>
                          </w:p>
                          <w:p w14:paraId="4E60CF77" w14:textId="77777777" w:rsidR="00F008D2" w:rsidRDefault="00F008D2" w:rsidP="00AA3994">
                            <w:pPr>
                              <w:pStyle w:val="ListParagraph"/>
                            </w:pPr>
                          </w:p>
                          <w:p w14:paraId="7303DCD2" w14:textId="7196BB55" w:rsidR="00F008D2" w:rsidRPr="0036431D" w:rsidRDefault="00F008D2" w:rsidP="000D1D92">
                            <w:pPr>
                              <w:pStyle w:val="ListParagraph"/>
                              <w:numPr>
                                <w:ilvl w:val="0"/>
                                <w:numId w:val="23"/>
                              </w:numPr>
                              <w:jc w:val="both"/>
                            </w:pPr>
                            <w:r>
                              <w:t>T</w:t>
                            </w:r>
                            <w:r w:rsidRPr="0036431D">
                              <w:t>he absence of preventative and/or child-acces</w:t>
                            </w:r>
                            <w:r>
                              <w:t xml:space="preserve">sible enforcement options </w:t>
                            </w:r>
                            <w:r w:rsidRPr="0036431D">
                              <w:t>could lead to situations where children disproportionately bear the loss of such transactions/misconduct</w:t>
                            </w:r>
                            <w:r>
                              <w:t>.</w:t>
                            </w:r>
                          </w:p>
                          <w:p w14:paraId="763B6743" w14:textId="77777777" w:rsidR="00F008D2" w:rsidRDefault="00F008D2" w:rsidP="00AA3994">
                            <w:pPr>
                              <w:pStyle w:val="ListParagraph"/>
                              <w:jc w:val="both"/>
                            </w:pPr>
                          </w:p>
                          <w:p w14:paraId="5FF562A9" w14:textId="77777777" w:rsidR="00F008D2" w:rsidRDefault="00F008D2" w:rsidP="00AA3994">
                            <w:pPr>
                              <w:pStyle w:val="ListParagraph"/>
                            </w:pPr>
                          </w:p>
                          <w:p w14:paraId="63D6C7D5" w14:textId="77777777" w:rsidR="00F008D2" w:rsidRPr="000466AD" w:rsidRDefault="00F008D2" w:rsidP="00AA3994">
                            <w:pPr>
                              <w:pStyle w:val="ListParagraph"/>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785309E" id="_x0000_s1030" type="#_x0000_t202" style="position:absolute;left:0;text-align:left;margin-left:4.85pt;margin-top:7.1pt;width:439.9pt;height:430.9pt;z-index:2516561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ncjJwIAAE4EAAAOAAAAZHJzL2Uyb0RvYy54bWysVNtu2zAMfR+wfxD0vjjxnCYx4hRdugwD&#10;ugvQ7gNkWY6FSaImKbG7rx8lp2l2exnmB4EUqUPykPT6etCKHIXzEkxFZ5MpJcJwaKTZV/TLw+7V&#10;khIfmGmYAiMq+ig8vd68fLHubSly6EA1whEEMb7sbUW7EGyZZZ53QjM/ASsMGltwmgVU3T5rHOsR&#10;Xassn06vsh5cYx1w4T3e3o5Gukn4bSt4+NS2XgSiKoq5hXS6dNbxzDZrVu4ds53kpzTYP2ShmTQY&#10;9Ax1ywIjByd/g9KSO/DQhgkHnUHbSi5SDVjNbPpLNfcdsyLVguR4e6bJ/z9Y/vH42RHZYO9WC0oM&#10;09ikBzEE8gYGkkd+eutLdLu36BgGvEbfVKu3d8C/emJg2zGzFzfOQd8J1mB+s/gyu3g64vgIUvcf&#10;oMEw7BAgAQ2t05E8pIMgOvbp8dybmArHy/l8ebV4jSaOtnmxyAtUYgxWPj23zod3AjSJQkUdNj/B&#10;s+OdD6Prk0uM5kHJZieVSorb11vlyJHhoOzSd0L/yU0Z0ld0Nc/nIwN/hZim708QWgaceCV1RZdn&#10;J1ZG3t6aBtNkZWBSjTJWp8yJyMjdyGIY6iH1rIgBIsk1NI/IrINxwHEhUejAfaekx+GuqP92YE5Q&#10;ot4b7M5qVhRxG5JSzBc5Ku7SUl9amOEIVdFAyShuQ9qgmKqBG+xiKxO/z5mcUsahTR06LVjciks9&#10;eT3/BjY/AAAA//8DAFBLAwQUAAYACAAAACEAx6Jlo94AAAAIAQAADwAAAGRycy9kb3ducmV2Lnht&#10;bEyPzU7DMBCE70i8g7VIXBB1KCV/xKkQEojeoCC4uvE2iYjXwXbT8PYsJ7jt7oxmv6nWsx3EhD70&#10;jhRcLRIQSI0zPbUK3l4fLnMQIWoyenCECr4xwLo+Pal0adyRXnDaxlZwCIVSK+hiHEspQ9Oh1WHh&#10;RiTW9s5bHXn1rTReHzncDnKZJKm0uif+0OkR7ztsPrcHqyBfPU0fYXP9/N6k+6GIF9n0+OWVOj+b&#10;725BRJzjnxl+8RkdambauQOZIAYFRcZGPq+WIFjO8+IGxI6HLE1A1pX8X6D+AQAA//8DAFBLAQIt&#10;ABQABgAIAAAAIQC2gziS/gAAAOEBAAATAAAAAAAAAAAAAAAAAAAAAABbQ29udGVudF9UeXBlc10u&#10;eG1sUEsBAi0AFAAGAAgAAAAhADj9If/WAAAAlAEAAAsAAAAAAAAAAAAAAAAALwEAAF9yZWxzLy5y&#10;ZWxzUEsBAi0AFAAGAAgAAAAhAMHGdyMnAgAATgQAAA4AAAAAAAAAAAAAAAAALgIAAGRycy9lMm9E&#10;b2MueG1sUEsBAi0AFAAGAAgAAAAhAMeiZaPeAAAACAEAAA8AAAAAAAAAAAAAAAAAgQQAAGRycy9k&#10;b3ducmV2LnhtbFBLBQYAAAAABAAEAPMAAACMBQAAAAA=&#10;">
                <v:textbox>
                  <w:txbxContent>
                    <w:p w14:paraId="6D1DE29F" w14:textId="77777777" w:rsidR="00F008D2" w:rsidRPr="00C133A0" w:rsidRDefault="00F008D2" w:rsidP="00AA3994">
                      <w:pPr>
                        <w:rPr>
                          <w:b/>
                        </w:rPr>
                      </w:pPr>
                      <w:r w:rsidRPr="00C133A0">
                        <w:rPr>
                          <w:b/>
                        </w:rPr>
                        <w:t>Summary - Australian consumer protection and children</w:t>
                      </w:r>
                    </w:p>
                    <w:p w14:paraId="2E8BEC9E" w14:textId="37DAC66F" w:rsidR="00F008D2" w:rsidRPr="00A64907" w:rsidRDefault="00F008D2" w:rsidP="000D1D92">
                      <w:pPr>
                        <w:pStyle w:val="ListParagraph"/>
                        <w:numPr>
                          <w:ilvl w:val="0"/>
                          <w:numId w:val="23"/>
                        </w:numPr>
                      </w:pPr>
                      <w:r w:rsidRPr="00A64907">
                        <w:t xml:space="preserve">A particular issue of concern </w:t>
                      </w:r>
                      <w:r>
                        <w:t>is</w:t>
                      </w:r>
                      <w:r w:rsidRPr="00A64907">
                        <w:t xml:space="preserve"> the actual capacity of children to genuinely consent to</w:t>
                      </w:r>
                      <w:r>
                        <w:t xml:space="preserve"> </w:t>
                      </w:r>
                      <w:r w:rsidRPr="00A64907">
                        <w:t>or otherwise make decisions that affect their rights</w:t>
                      </w:r>
                    </w:p>
                    <w:p w14:paraId="490130CE" w14:textId="77777777" w:rsidR="00F008D2" w:rsidRDefault="00F008D2" w:rsidP="00AA3994">
                      <w:pPr>
                        <w:pStyle w:val="ListParagraph"/>
                      </w:pPr>
                    </w:p>
                    <w:p w14:paraId="4DBA2CA5" w14:textId="77777777" w:rsidR="00F008D2" w:rsidRDefault="00F008D2" w:rsidP="000D1D92">
                      <w:pPr>
                        <w:pStyle w:val="ListParagraph"/>
                        <w:numPr>
                          <w:ilvl w:val="0"/>
                          <w:numId w:val="23"/>
                        </w:numPr>
                      </w:pPr>
                      <w:r>
                        <w:t>An</w:t>
                      </w:r>
                      <w:r w:rsidRPr="00A64907">
                        <w:t xml:space="preserve"> individual assessment on the ability to consent</w:t>
                      </w:r>
                      <w:r>
                        <w:t xml:space="preserve"> to privacy related-decisions</w:t>
                      </w:r>
                      <w:r w:rsidRPr="00A64907">
                        <w:t xml:space="preserve"> would need to be made of each child on a case by case basis</w:t>
                      </w:r>
                    </w:p>
                    <w:p w14:paraId="7A4F9FA9" w14:textId="77777777" w:rsidR="00F008D2" w:rsidRDefault="00F008D2" w:rsidP="00AA3994">
                      <w:pPr>
                        <w:pStyle w:val="ListParagraph"/>
                      </w:pPr>
                    </w:p>
                    <w:p w14:paraId="5BAD21E9" w14:textId="77777777" w:rsidR="00F008D2" w:rsidRDefault="00F008D2" w:rsidP="000D1D92">
                      <w:pPr>
                        <w:pStyle w:val="ListParagraph"/>
                        <w:numPr>
                          <w:ilvl w:val="0"/>
                          <w:numId w:val="23"/>
                        </w:numPr>
                      </w:pPr>
                      <w:r>
                        <w:t>Practically speaking</w:t>
                      </w:r>
                      <w:r w:rsidRPr="000466AD">
                        <w:t xml:space="preserve"> the ability of business to make such an assessment would be difficult to undertake in the context of online commerce</w:t>
                      </w:r>
                    </w:p>
                    <w:p w14:paraId="1BFAC9E1" w14:textId="77777777" w:rsidR="00F008D2" w:rsidRDefault="00F008D2" w:rsidP="00AA3994">
                      <w:pPr>
                        <w:pStyle w:val="ListParagraph"/>
                      </w:pPr>
                    </w:p>
                    <w:p w14:paraId="7F1F753B" w14:textId="77777777" w:rsidR="00F008D2" w:rsidRPr="000466AD" w:rsidRDefault="00F008D2" w:rsidP="000D1D92">
                      <w:pPr>
                        <w:pStyle w:val="ListParagraph"/>
                        <w:numPr>
                          <w:ilvl w:val="0"/>
                          <w:numId w:val="23"/>
                        </w:numPr>
                      </w:pPr>
                      <w:r w:rsidRPr="000466AD">
                        <w:rPr>
                          <w:rFonts w:cs="Arial"/>
                        </w:rPr>
                        <w:t>The OAIC considers facilitating parental involvement as a key measure to protecting children’s privacy</w:t>
                      </w:r>
                    </w:p>
                    <w:p w14:paraId="74E156FC" w14:textId="77777777" w:rsidR="00F008D2" w:rsidRDefault="00F008D2" w:rsidP="00AA3994">
                      <w:pPr>
                        <w:pStyle w:val="ListParagraph"/>
                      </w:pPr>
                    </w:p>
                    <w:p w14:paraId="03D2F9D0" w14:textId="77777777" w:rsidR="00F008D2" w:rsidRDefault="00F008D2" w:rsidP="000D1D92">
                      <w:pPr>
                        <w:pStyle w:val="ListParagraph"/>
                        <w:numPr>
                          <w:ilvl w:val="0"/>
                          <w:numId w:val="23"/>
                        </w:numPr>
                        <w:jc w:val="both"/>
                      </w:pPr>
                      <w:r w:rsidRPr="00230221">
                        <w:t>People under the age of 18 years are generally not bound to contractual obligations due to their presumed ‘lack of capacity’</w:t>
                      </w:r>
                    </w:p>
                    <w:p w14:paraId="4FC64234" w14:textId="77777777" w:rsidR="00F008D2" w:rsidRDefault="00F008D2" w:rsidP="00AA3994">
                      <w:pPr>
                        <w:pStyle w:val="ListParagraph"/>
                      </w:pPr>
                    </w:p>
                    <w:p w14:paraId="03E6B417" w14:textId="77777777" w:rsidR="00F008D2" w:rsidRDefault="00F008D2" w:rsidP="000D1D92">
                      <w:pPr>
                        <w:pStyle w:val="ListParagraph"/>
                        <w:numPr>
                          <w:ilvl w:val="0"/>
                          <w:numId w:val="23"/>
                        </w:numPr>
                        <w:jc w:val="both"/>
                      </w:pPr>
                      <w:r w:rsidRPr="00A01BF0">
                        <w:t>A young person could be at greater risk of falling victim to unfair contractual terms owing to their relative lack of capacity</w:t>
                      </w:r>
                    </w:p>
                    <w:p w14:paraId="449778BF" w14:textId="77777777" w:rsidR="00F008D2" w:rsidRDefault="00F008D2" w:rsidP="00AA3994">
                      <w:pPr>
                        <w:pStyle w:val="ListParagraph"/>
                        <w:jc w:val="both"/>
                      </w:pPr>
                    </w:p>
                    <w:p w14:paraId="02001F8B" w14:textId="77777777" w:rsidR="00F008D2" w:rsidRDefault="00F008D2" w:rsidP="000D1D92">
                      <w:pPr>
                        <w:pStyle w:val="ListParagraph"/>
                        <w:numPr>
                          <w:ilvl w:val="0"/>
                          <w:numId w:val="23"/>
                        </w:numPr>
                        <w:jc w:val="both"/>
                      </w:pPr>
                      <w:r w:rsidRPr="00BA3749">
                        <w:t>Where online commerce occurs by parties resident in different countries it  is unclear which country’s laws apply to such transactions</w:t>
                      </w:r>
                    </w:p>
                    <w:p w14:paraId="59C6B70A" w14:textId="77777777" w:rsidR="00F008D2" w:rsidRDefault="00F008D2" w:rsidP="00AA3994">
                      <w:pPr>
                        <w:pStyle w:val="ListParagraph"/>
                      </w:pPr>
                    </w:p>
                    <w:p w14:paraId="3768E688" w14:textId="77777777" w:rsidR="00F008D2" w:rsidRPr="00BA3749" w:rsidRDefault="00F008D2" w:rsidP="000D1D92">
                      <w:pPr>
                        <w:pStyle w:val="ListParagraph"/>
                        <w:numPr>
                          <w:ilvl w:val="0"/>
                          <w:numId w:val="23"/>
                        </w:numPr>
                        <w:jc w:val="both"/>
                      </w:pPr>
                      <w:r>
                        <w:t>The law s</w:t>
                      </w:r>
                      <w:r w:rsidRPr="00BA3749">
                        <w:t>till only</w:t>
                      </w:r>
                      <w:r>
                        <w:t xml:space="preserve"> largely</w:t>
                      </w:r>
                      <w:r w:rsidRPr="00BA3749">
                        <w:t xml:space="preserve"> offers a reactive, court-based solution in situations where children wish to enforce their rights</w:t>
                      </w:r>
                    </w:p>
                    <w:p w14:paraId="4E60CF77" w14:textId="77777777" w:rsidR="00F008D2" w:rsidRDefault="00F008D2" w:rsidP="00AA3994">
                      <w:pPr>
                        <w:pStyle w:val="ListParagraph"/>
                      </w:pPr>
                    </w:p>
                    <w:p w14:paraId="7303DCD2" w14:textId="7196BB55" w:rsidR="00F008D2" w:rsidRPr="0036431D" w:rsidRDefault="00F008D2" w:rsidP="000D1D92">
                      <w:pPr>
                        <w:pStyle w:val="ListParagraph"/>
                        <w:numPr>
                          <w:ilvl w:val="0"/>
                          <w:numId w:val="23"/>
                        </w:numPr>
                        <w:jc w:val="both"/>
                      </w:pPr>
                      <w:r>
                        <w:t>T</w:t>
                      </w:r>
                      <w:r w:rsidRPr="0036431D">
                        <w:t>he absence of preventative and/or child-acces</w:t>
                      </w:r>
                      <w:r>
                        <w:t xml:space="preserve">sible enforcement options </w:t>
                      </w:r>
                      <w:r w:rsidRPr="0036431D">
                        <w:t>could lead to situations where children disproportionately bear the loss of such transactions/misconduct</w:t>
                      </w:r>
                      <w:r>
                        <w:t>.</w:t>
                      </w:r>
                    </w:p>
                    <w:p w14:paraId="763B6743" w14:textId="77777777" w:rsidR="00F008D2" w:rsidRDefault="00F008D2" w:rsidP="00AA3994">
                      <w:pPr>
                        <w:pStyle w:val="ListParagraph"/>
                        <w:jc w:val="both"/>
                      </w:pPr>
                    </w:p>
                    <w:p w14:paraId="5FF562A9" w14:textId="77777777" w:rsidR="00F008D2" w:rsidRDefault="00F008D2" w:rsidP="00AA3994">
                      <w:pPr>
                        <w:pStyle w:val="ListParagraph"/>
                      </w:pPr>
                    </w:p>
                    <w:p w14:paraId="63D6C7D5" w14:textId="77777777" w:rsidR="00F008D2" w:rsidRPr="000466AD" w:rsidRDefault="00F008D2" w:rsidP="00AA3994">
                      <w:pPr>
                        <w:pStyle w:val="ListParagraph"/>
                      </w:pPr>
                    </w:p>
                  </w:txbxContent>
                </v:textbox>
                <w10:wrap type="square"/>
              </v:shape>
            </w:pict>
          </mc:Fallback>
        </mc:AlternateContent>
      </w:r>
    </w:p>
    <w:p w14:paraId="7B4F6E29" w14:textId="77777777" w:rsidR="00AA3994" w:rsidRDefault="00AA3994" w:rsidP="00354AA1">
      <w:pPr>
        <w:pStyle w:val="Heading2"/>
        <w:jc w:val="both"/>
      </w:pPr>
      <w:bookmarkStart w:id="111" w:name="_Toc430333096"/>
      <w:bookmarkStart w:id="112" w:name="_Toc430702089"/>
      <w:bookmarkStart w:id="113" w:name="_Toc432577317"/>
      <w:r>
        <w:lastRenderedPageBreak/>
        <w:t>Consultations – what do children say?</w:t>
      </w:r>
      <w:bookmarkEnd w:id="111"/>
      <w:bookmarkEnd w:id="112"/>
      <w:bookmarkEnd w:id="113"/>
    </w:p>
    <w:p w14:paraId="314226C9" w14:textId="77777777" w:rsidR="00AA3994" w:rsidRPr="000E4AF5" w:rsidRDefault="00AA3994" w:rsidP="00354AA1">
      <w:pPr>
        <w:pStyle w:val="Heading3"/>
        <w:jc w:val="both"/>
      </w:pPr>
      <w:bookmarkStart w:id="114" w:name="_Toc430333097"/>
      <w:bookmarkStart w:id="115" w:name="_Toc430702090"/>
      <w:r>
        <w:t>Financial advice services</w:t>
      </w:r>
      <w:bookmarkEnd w:id="114"/>
      <w:bookmarkEnd w:id="115"/>
    </w:p>
    <w:p w14:paraId="51D6CBA7" w14:textId="77777777" w:rsidR="00AA3994" w:rsidRPr="00552A81" w:rsidRDefault="00AA3994" w:rsidP="00354AA1">
      <w:pPr>
        <w:jc w:val="both"/>
      </w:pPr>
      <w:r>
        <w:t xml:space="preserve">As part of the examination into this issue, I was able to liaise with a number of financial advice services, as well as the National Children’s </w:t>
      </w:r>
      <w:r w:rsidRPr="00552A81">
        <w:t>Youth and Law Centre, to ascertain whether children were using these services to seek consumer advice.</w:t>
      </w:r>
    </w:p>
    <w:p w14:paraId="384FAF51" w14:textId="505F015A" w:rsidR="00AA3994" w:rsidRDefault="00AA3994" w:rsidP="00354AA1">
      <w:pPr>
        <w:jc w:val="both"/>
      </w:pPr>
      <w:r w:rsidRPr="00030874">
        <w:t>Almost uniformly the responses received made it clear children were either not availing themselves of these services for this purpose or were grossly underrepresented.</w:t>
      </w:r>
      <w:r w:rsidRPr="00030874">
        <w:rPr>
          <w:rStyle w:val="EndnoteReference"/>
        </w:rPr>
        <w:endnoteReference w:id="386"/>
      </w:r>
      <w:r w:rsidRPr="00552A81">
        <w:t xml:space="preserve"> In some instances data was not disaggregated by </w:t>
      </w:r>
      <w:r w:rsidR="00B67BDF">
        <w:t xml:space="preserve">the </w:t>
      </w:r>
      <w:r w:rsidRPr="00552A81">
        <w:t>age of the complainant</w:t>
      </w:r>
      <w:r w:rsidRPr="00552A81">
        <w:rPr>
          <w:rStyle w:val="EndnoteReference"/>
        </w:rPr>
        <w:endnoteReference w:id="387"/>
      </w:r>
      <w:r w:rsidRPr="00552A81">
        <w:t xml:space="preserve"> or where the guardian was named in a contract on the child’s behalf, the record of complaint was in the guardian’s name and recorded age.</w:t>
      </w:r>
      <w:r w:rsidRPr="00552A81">
        <w:rPr>
          <w:rStyle w:val="EndnoteReference"/>
        </w:rPr>
        <w:endnoteReference w:id="388"/>
      </w:r>
      <w:r w:rsidRPr="00552A81">
        <w:t xml:space="preserve"> This practice had the consequence of effectively masking the role of the child as the actual complainant.</w:t>
      </w:r>
      <w:r>
        <w:t xml:space="preserve"> </w:t>
      </w:r>
    </w:p>
    <w:p w14:paraId="6405949C" w14:textId="77777777" w:rsidR="00AA3994" w:rsidRDefault="00AA3994" w:rsidP="00354AA1">
      <w:pPr>
        <w:jc w:val="both"/>
      </w:pPr>
      <w:r>
        <w:t>Disaggregated data by age is necessary in identifying problems children are experiencing within the consumer context and organisations should be supported to routinely collect this type of information. In terms of a child’s right to be heard, it raises broader questions of children’s awareness of such organisations and the accessibility of such services to children.</w:t>
      </w:r>
    </w:p>
    <w:p w14:paraId="45230AE0" w14:textId="3FAE7C2E" w:rsidR="00AA3994" w:rsidRDefault="00B67BDF" w:rsidP="00354AA1">
      <w:pPr>
        <w:pStyle w:val="Heading3"/>
        <w:jc w:val="both"/>
      </w:pPr>
      <w:bookmarkStart w:id="116" w:name="_Toc430333098"/>
      <w:bookmarkStart w:id="117" w:name="_Toc430702091"/>
      <w:r>
        <w:t xml:space="preserve">Consultations with schools and </w:t>
      </w:r>
      <w:r w:rsidR="00AA3994">
        <w:t>youth organisations</w:t>
      </w:r>
      <w:bookmarkEnd w:id="116"/>
      <w:bookmarkEnd w:id="117"/>
    </w:p>
    <w:p w14:paraId="6C6503EC" w14:textId="648C7968" w:rsidR="00AA3994" w:rsidRDefault="00AA3994" w:rsidP="00354AA1">
      <w:pPr>
        <w:jc w:val="both"/>
      </w:pPr>
      <w:r>
        <w:t xml:space="preserve">As part of a formal consultation process, I met with a total of </w:t>
      </w:r>
      <w:r w:rsidR="00B67BDF">
        <w:t>7</w:t>
      </w:r>
      <w:r w:rsidR="00113512">
        <w:t xml:space="preserve"> schools and youth groups. 120</w:t>
      </w:r>
      <w:r>
        <w:t xml:space="preserve"> students/young people were consulted, with age groups ranging from </w:t>
      </w:r>
      <w:r w:rsidR="00B67BDF">
        <w:t>Y</w:t>
      </w:r>
      <w:r>
        <w:t xml:space="preserve">ear 6 up to </w:t>
      </w:r>
      <w:r w:rsidR="00B67BDF">
        <w:t>Y</w:t>
      </w:r>
      <w:r>
        <w:t>ear 12 age students. The schools consulted with represented a cross-section of diversity, gender and socio-economic background. The children and young people participated in general discussion, scenario-based exercises and completed a short individual survey.</w:t>
      </w:r>
    </w:p>
    <w:p w14:paraId="7A5458AF" w14:textId="77777777" w:rsidR="00AA3994" w:rsidRDefault="00AA3994" w:rsidP="00354AA1">
      <w:pPr>
        <w:jc w:val="both"/>
      </w:pPr>
      <w:r>
        <w:t xml:space="preserve">Given the lack of research on this issue, the aim of the consultations was to learn directly from children about their experiences as consumers within the Australian business context. Given the small sample size, the consultations represent a starting point for discussion and to flag issues identified by children for further detailed consideration. </w:t>
      </w:r>
    </w:p>
    <w:p w14:paraId="10DB3DC5" w14:textId="77777777" w:rsidR="00AA3994" w:rsidRPr="0081446F" w:rsidRDefault="00AA3994" w:rsidP="00354AA1">
      <w:pPr>
        <w:jc w:val="both"/>
      </w:pPr>
      <w:r w:rsidRPr="00B96B26">
        <w:t xml:space="preserve">The analysis includes a summary of </w:t>
      </w:r>
      <w:r>
        <w:t>a number of children’s rights</w:t>
      </w:r>
      <w:r w:rsidRPr="00B96B26">
        <w:t xml:space="preserve"> </w:t>
      </w:r>
      <w:r>
        <w:t>relevant to</w:t>
      </w:r>
      <w:r w:rsidRPr="00B96B26">
        <w:t xml:space="preserve"> each issue identified</w:t>
      </w:r>
      <w:r>
        <w:t>, in keeping with the guiding principles of the Convention on the Rights of the Child.</w:t>
      </w:r>
    </w:p>
    <w:p w14:paraId="45DD5C59" w14:textId="77777777" w:rsidR="00AA3994" w:rsidRDefault="00AA3994" w:rsidP="00354AA1">
      <w:pPr>
        <w:pStyle w:val="Heading3"/>
        <w:jc w:val="both"/>
      </w:pPr>
      <w:bookmarkStart w:id="118" w:name="_Toc430333099"/>
      <w:bookmarkStart w:id="119" w:name="_Toc430702092"/>
      <w:r>
        <w:t>Children as consumers online</w:t>
      </w:r>
      <w:bookmarkEnd w:id="118"/>
      <w:bookmarkEnd w:id="119"/>
    </w:p>
    <w:p w14:paraId="582C9B7F" w14:textId="0665ED51" w:rsidR="00AA3994" w:rsidRPr="006254C9" w:rsidRDefault="00AA3994" w:rsidP="00354AA1">
      <w:pPr>
        <w:ind w:left="1440"/>
        <w:jc w:val="both"/>
        <w:rPr>
          <w:sz w:val="20"/>
          <w:szCs w:val="20"/>
        </w:rPr>
      </w:pPr>
      <w:r w:rsidRPr="006254C9">
        <w:rPr>
          <w:sz w:val="20"/>
          <w:szCs w:val="20"/>
        </w:rPr>
        <w:t>[It’s] easier online and going shopping can be annoying</w:t>
      </w:r>
      <w:r w:rsidR="00B67BDF">
        <w:rPr>
          <w:sz w:val="20"/>
          <w:szCs w:val="20"/>
        </w:rPr>
        <w:t>. (</w:t>
      </w:r>
      <w:r>
        <w:rPr>
          <w:sz w:val="20"/>
          <w:szCs w:val="20"/>
        </w:rPr>
        <w:t xml:space="preserve">Year 8 </w:t>
      </w:r>
      <w:r w:rsidR="00B67BDF">
        <w:rPr>
          <w:sz w:val="20"/>
          <w:szCs w:val="20"/>
        </w:rPr>
        <w:t>s</w:t>
      </w:r>
      <w:r>
        <w:rPr>
          <w:sz w:val="20"/>
          <w:szCs w:val="20"/>
        </w:rPr>
        <w:t>tudent</w:t>
      </w:r>
      <w:r w:rsidR="00B67BDF">
        <w:rPr>
          <w:sz w:val="20"/>
          <w:szCs w:val="20"/>
        </w:rPr>
        <w:t>)</w:t>
      </w:r>
      <w:r w:rsidR="00B67BDF">
        <w:rPr>
          <w:rStyle w:val="EndnoteReference"/>
          <w:szCs w:val="20"/>
        </w:rPr>
        <w:endnoteReference w:id="389"/>
      </w:r>
    </w:p>
    <w:p w14:paraId="425636D2" w14:textId="5CF8B1E4" w:rsidR="00AA3994" w:rsidRPr="00030874" w:rsidRDefault="00AA3994" w:rsidP="00354AA1">
      <w:pPr>
        <w:jc w:val="both"/>
      </w:pPr>
      <w:r w:rsidRPr="00030874">
        <w:t>It is clear from consultations that children are significant users of the internet as consumers, with 62.5% of participants saying that they used the internet to purchase products.</w:t>
      </w:r>
      <w:r>
        <w:t xml:space="preserve"> Reasons for on</w:t>
      </w:r>
      <w:r w:rsidRPr="00552A81">
        <w:t>line purchasing included ‘ease and convenience’</w:t>
      </w:r>
      <w:r w:rsidR="003B4324">
        <w:t>,</w:t>
      </w:r>
      <w:r w:rsidRPr="00552A81">
        <w:t xml:space="preserve"> cheaper online prices and product availability. Most </w:t>
      </w:r>
      <w:r>
        <w:t>products purchased on</w:t>
      </w:r>
      <w:r w:rsidRPr="00552A81">
        <w:t>line were for leisure/entertainment purposes (</w:t>
      </w:r>
      <w:r w:rsidR="00171732">
        <w:t>clothing, shoes</w:t>
      </w:r>
      <w:r w:rsidR="00171732" w:rsidRPr="00552A81">
        <w:t xml:space="preserve"> </w:t>
      </w:r>
      <w:r w:rsidR="00171732">
        <w:t xml:space="preserve">and </w:t>
      </w:r>
      <w:r w:rsidRPr="00552A81">
        <w:t>digital entertainment such as games</w:t>
      </w:r>
      <w:r w:rsidR="00171732">
        <w:t xml:space="preserve"> and</w:t>
      </w:r>
      <w:r w:rsidRPr="00552A81">
        <w:t xml:space="preserve"> apps) and for the</w:t>
      </w:r>
      <w:r w:rsidR="00171732">
        <w:t xml:space="preserve"> purchase of technology (phones,</w:t>
      </w:r>
      <w:r w:rsidRPr="00552A81">
        <w:t xml:space="preserve"> computers</w:t>
      </w:r>
      <w:r w:rsidR="00171732">
        <w:t>,</w:t>
      </w:r>
      <w:r w:rsidRPr="00552A81">
        <w:t xml:space="preserve"> </w:t>
      </w:r>
      <w:r w:rsidR="00840BEA">
        <w:t xml:space="preserve">game </w:t>
      </w:r>
      <w:r w:rsidR="00840BEA">
        <w:lastRenderedPageBreak/>
        <w:t>consoles and</w:t>
      </w:r>
      <w:r w:rsidRPr="00552A81">
        <w:t xml:space="preserve"> technology accessories). Some variations in age group were noted in terms of the type </w:t>
      </w:r>
      <w:r w:rsidRPr="00030874">
        <w:t xml:space="preserve">of products being purchased. </w:t>
      </w:r>
    </w:p>
    <w:p w14:paraId="0081EE69" w14:textId="0A28117A" w:rsidR="00AA3994" w:rsidRDefault="00AA3994" w:rsidP="00354AA1">
      <w:pPr>
        <w:jc w:val="both"/>
      </w:pPr>
      <w:r w:rsidRPr="00030874">
        <w:t>The focus on leisure and entertainment reflects the importance of access to such products by children</w:t>
      </w:r>
      <w:r w:rsidR="0071112F">
        <w:t>,</w:t>
      </w:r>
      <w:r w:rsidRPr="00030874">
        <w:t xml:space="preserve"> particularly when guided by the principle on the child’s right to development.</w:t>
      </w:r>
      <w:r w:rsidRPr="00552A81">
        <w:t xml:space="preserve"> </w:t>
      </w:r>
      <w:r>
        <w:t>Where the i</w:t>
      </w:r>
      <w:r w:rsidRPr="00552A81">
        <w:t xml:space="preserve">nternet </w:t>
      </w:r>
      <w:r>
        <w:t>becomes</w:t>
      </w:r>
      <w:r w:rsidRPr="00552A81">
        <w:t xml:space="preserve"> the sole platform for access to a number of social and educational opportunities</w:t>
      </w:r>
      <w:r>
        <w:t>, the ability to purchase technology itself contributes to understanding children’s consumer choices online. In the past this arguably would have been cast as the right of children to have access to books, leisure activities (such as team sports) and cultural activities</w:t>
      </w:r>
      <w:r w:rsidR="0071112F">
        <w:t xml:space="preserve"> as an important part their ‘holistic development’</w:t>
      </w:r>
      <w:r>
        <w:t xml:space="preserve">. </w:t>
      </w:r>
      <w:r w:rsidR="0071112F">
        <w:t>N</w:t>
      </w:r>
      <w:r>
        <w:t xml:space="preserve">ow many of these ‘products’ and activities </w:t>
      </w:r>
      <w:r w:rsidR="0071112F">
        <w:t>are easily accessible</w:t>
      </w:r>
      <w:r>
        <w:t xml:space="preserve"> </w:t>
      </w:r>
      <w:r w:rsidR="0071112F">
        <w:t>online.</w:t>
      </w:r>
    </w:p>
    <w:p w14:paraId="0F6DF04E" w14:textId="77777777" w:rsidR="00AA3994" w:rsidRDefault="00AA3994" w:rsidP="00354AA1">
      <w:pPr>
        <w:pStyle w:val="Heading3"/>
        <w:jc w:val="both"/>
      </w:pPr>
      <w:bookmarkStart w:id="120" w:name="_Toc430333100"/>
      <w:bookmarkStart w:id="121" w:name="_Toc430702093"/>
      <w:r>
        <w:t>Influence of family/friends on purchasing</w:t>
      </w:r>
      <w:bookmarkEnd w:id="120"/>
      <w:bookmarkEnd w:id="121"/>
    </w:p>
    <w:p w14:paraId="07A88B16" w14:textId="3DEF1D11" w:rsidR="00AA3994" w:rsidRPr="001E4D2D" w:rsidRDefault="00AA3994" w:rsidP="00354AA1">
      <w:pPr>
        <w:ind w:left="131" w:firstLine="720"/>
        <w:jc w:val="both"/>
        <w:rPr>
          <w:sz w:val="20"/>
          <w:szCs w:val="20"/>
        </w:rPr>
      </w:pPr>
      <w:r w:rsidRPr="001E4D2D">
        <w:rPr>
          <w:sz w:val="20"/>
          <w:szCs w:val="20"/>
        </w:rPr>
        <w:t>Find out what Paulo thinks</w:t>
      </w:r>
      <w:r w:rsidR="00B67BDF">
        <w:rPr>
          <w:sz w:val="20"/>
          <w:szCs w:val="20"/>
        </w:rPr>
        <w:t>. (</w:t>
      </w:r>
      <w:r w:rsidRPr="001E4D2D">
        <w:rPr>
          <w:sz w:val="20"/>
          <w:szCs w:val="20"/>
        </w:rPr>
        <w:t>Year 6</w:t>
      </w:r>
      <w:r>
        <w:rPr>
          <w:sz w:val="20"/>
          <w:szCs w:val="20"/>
        </w:rPr>
        <w:t xml:space="preserve"> </w:t>
      </w:r>
      <w:r w:rsidR="00B67BDF">
        <w:rPr>
          <w:sz w:val="20"/>
          <w:szCs w:val="20"/>
        </w:rPr>
        <w:t>s</w:t>
      </w:r>
      <w:r>
        <w:rPr>
          <w:sz w:val="20"/>
          <w:szCs w:val="20"/>
        </w:rPr>
        <w:t>tudent</w:t>
      </w:r>
      <w:r w:rsidR="00B67BDF">
        <w:rPr>
          <w:sz w:val="20"/>
          <w:szCs w:val="20"/>
        </w:rPr>
        <w:t xml:space="preserve">) </w:t>
      </w:r>
      <w:r w:rsidR="00B67BDF" w:rsidRPr="001E4D2D">
        <w:rPr>
          <w:rStyle w:val="EndnoteReference"/>
          <w:szCs w:val="20"/>
        </w:rPr>
        <w:endnoteReference w:id="390"/>
      </w:r>
    </w:p>
    <w:p w14:paraId="67EC834C" w14:textId="77777777" w:rsidR="00AA3994" w:rsidRPr="00552A81" w:rsidRDefault="00AA3994" w:rsidP="00354AA1">
      <w:pPr>
        <w:jc w:val="both"/>
      </w:pPr>
      <w:r w:rsidRPr="00552A81">
        <w:t xml:space="preserve">The most commonly cited influence on purchasing decisions were friends and family members. </w:t>
      </w:r>
    </w:p>
    <w:p w14:paraId="7775FAEC" w14:textId="77777777" w:rsidR="00AA3994" w:rsidRPr="00552A81" w:rsidRDefault="00AA3994" w:rsidP="00354AA1">
      <w:pPr>
        <w:jc w:val="both"/>
      </w:pPr>
      <w:r w:rsidRPr="00552A81">
        <w:t xml:space="preserve">Generally, ‘family members’ referred to ‘parents’ as opposed to other family members and nearly all children surveyed said they often or always informed their parents about making online purchases. The influence of parents in the online shopping context may be linked to children relying primarily on parent’s credit cards to make purchases. This is in contrast to offline purchases where other sources of payment featured (allowance, income from job and/or trading goods, gift money). Specific reference was made to the use of ‘debit cards’ or ‘pre-paid Visa cards’ by children over 16 years, the use of which would not require a guardian’s knowledge or consent. </w:t>
      </w:r>
    </w:p>
    <w:p w14:paraId="04281F15" w14:textId="77777777" w:rsidR="00AA3994" w:rsidRPr="00552A81" w:rsidRDefault="00AA3994" w:rsidP="00354AA1">
      <w:pPr>
        <w:jc w:val="both"/>
      </w:pPr>
      <w:r w:rsidRPr="00552A81">
        <w:t>Apart from parents, siblings were also mentioned in the context of influencing purchases as well as in facilitating the purchase.</w:t>
      </w:r>
    </w:p>
    <w:p w14:paraId="123D191C" w14:textId="77777777" w:rsidR="00AA3994" w:rsidRPr="00552A81" w:rsidRDefault="00AA3994" w:rsidP="00354AA1">
      <w:pPr>
        <w:jc w:val="both"/>
      </w:pPr>
      <w:r w:rsidRPr="00552A81">
        <w:t xml:space="preserve">Some children mentioned </w:t>
      </w:r>
      <w:r>
        <w:t>certain</w:t>
      </w:r>
      <w:r w:rsidRPr="00552A81">
        <w:t xml:space="preserve"> friends when talking about why they might make purchases. This was particularly the case with gaming where purchases seemed to follow general trends as well as what friends had purchased. Research has linked the role of the adolescent peer group in purchasing to assertions of individuality and independence, though it was difficult to clearly ascertain how much of a factor this played in decision-making. Where such activities do contribute to a child’s burgeoning assertion of their individuality and independence (and in this context particularly where access to such activities</w:t>
      </w:r>
      <w:r>
        <w:t xml:space="preserve"> and products can only occur on</w:t>
      </w:r>
      <w:r w:rsidRPr="00552A81">
        <w:t xml:space="preserve">line) this can be similarly informed by the guiding principle on the right to development. </w:t>
      </w:r>
    </w:p>
    <w:p w14:paraId="4CF90EA7" w14:textId="77777777" w:rsidR="00AA3994" w:rsidRPr="00552A81" w:rsidRDefault="00AA3994" w:rsidP="00354AA1">
      <w:pPr>
        <w:jc w:val="both"/>
      </w:pPr>
      <w:r w:rsidRPr="00552A81">
        <w:t xml:space="preserve">While circumventing direct parental influence through the use of other forms of payment can be seen as an assertion of independence, issues arise as to whether these payment practices are occurring in a manner that is consistent with the best interests of the child. This is particularly the case where </w:t>
      </w:r>
      <w:r>
        <w:t>regulatory safeguards in the on</w:t>
      </w:r>
      <w:r w:rsidRPr="00552A81">
        <w:t>line context often assume the consent of guardians as a safeguard.</w:t>
      </w:r>
    </w:p>
    <w:p w14:paraId="09B40173" w14:textId="77777777" w:rsidR="00AA3994" w:rsidRPr="00552A81" w:rsidRDefault="00AA3994" w:rsidP="00354AA1">
      <w:pPr>
        <w:pStyle w:val="Heading3"/>
        <w:jc w:val="both"/>
      </w:pPr>
      <w:bookmarkStart w:id="122" w:name="_Toc430333101"/>
      <w:bookmarkStart w:id="123" w:name="_Toc430702094"/>
      <w:r w:rsidRPr="00552A81">
        <w:t>Impact of advertising</w:t>
      </w:r>
      <w:bookmarkEnd w:id="122"/>
      <w:bookmarkEnd w:id="123"/>
    </w:p>
    <w:p w14:paraId="59A85804" w14:textId="44408F56" w:rsidR="00AA3994" w:rsidRPr="00552A81" w:rsidRDefault="00AA3994" w:rsidP="00354AA1">
      <w:pPr>
        <w:ind w:left="851"/>
        <w:jc w:val="both"/>
        <w:rPr>
          <w:sz w:val="20"/>
          <w:szCs w:val="20"/>
        </w:rPr>
      </w:pPr>
      <w:r w:rsidRPr="00552A81">
        <w:rPr>
          <w:sz w:val="20"/>
          <w:szCs w:val="20"/>
        </w:rPr>
        <w:t>Ads can trick you [by] making it [the product] look awesome</w:t>
      </w:r>
      <w:r w:rsidR="008E681F">
        <w:rPr>
          <w:sz w:val="20"/>
          <w:szCs w:val="20"/>
        </w:rPr>
        <w:t>.</w:t>
      </w:r>
      <w:r w:rsidRPr="00552A81">
        <w:rPr>
          <w:sz w:val="20"/>
          <w:szCs w:val="20"/>
        </w:rPr>
        <w:t xml:space="preserve"> </w:t>
      </w:r>
      <w:r w:rsidR="008E681F">
        <w:rPr>
          <w:sz w:val="20"/>
          <w:szCs w:val="20"/>
        </w:rPr>
        <w:t>(</w:t>
      </w:r>
      <w:r w:rsidRPr="00552A81">
        <w:rPr>
          <w:sz w:val="20"/>
          <w:szCs w:val="20"/>
        </w:rPr>
        <w:t xml:space="preserve">Year 6 </w:t>
      </w:r>
      <w:r w:rsidR="00732BD5">
        <w:rPr>
          <w:sz w:val="20"/>
          <w:szCs w:val="20"/>
        </w:rPr>
        <w:t>s</w:t>
      </w:r>
      <w:r>
        <w:rPr>
          <w:sz w:val="20"/>
          <w:szCs w:val="20"/>
        </w:rPr>
        <w:t>tudent</w:t>
      </w:r>
      <w:r w:rsidR="008E681F">
        <w:rPr>
          <w:sz w:val="20"/>
          <w:szCs w:val="20"/>
        </w:rPr>
        <w:t>)</w:t>
      </w:r>
      <w:r w:rsidR="008E681F" w:rsidRPr="00552A81">
        <w:rPr>
          <w:rStyle w:val="EndnoteReference"/>
          <w:szCs w:val="20"/>
        </w:rPr>
        <w:endnoteReference w:id="391"/>
      </w:r>
    </w:p>
    <w:p w14:paraId="2A4576FC" w14:textId="6AE03949" w:rsidR="00AA3994" w:rsidRPr="007E784F" w:rsidRDefault="00AA3994" w:rsidP="00354AA1">
      <w:pPr>
        <w:jc w:val="both"/>
      </w:pPr>
      <w:r w:rsidRPr="00552A81">
        <w:lastRenderedPageBreak/>
        <w:t>Al</w:t>
      </w:r>
      <w:r>
        <w:t>though some of the participants were of the view that they were generally not influenced by advertising and ‘popular trends’,</w:t>
      </w:r>
      <w:r w:rsidRPr="00552A81">
        <w:t xml:space="preserve"> </w:t>
      </w:r>
      <w:r w:rsidRPr="00030874">
        <w:t>‘ads’ were the next most commonly cited factor influencing decisions after family and friends.</w:t>
      </w:r>
      <w:r w:rsidRPr="00552A81">
        <w:t xml:space="preserve"> </w:t>
      </w:r>
      <w:r>
        <w:t>Further, m</w:t>
      </w:r>
      <w:r w:rsidRPr="00552A81">
        <w:t xml:space="preserve">any of the children </w:t>
      </w:r>
      <w:r>
        <w:t>and young people said</w:t>
      </w:r>
      <w:r w:rsidRPr="00552A81">
        <w:t xml:space="preserve"> that b</w:t>
      </w:r>
      <w:r w:rsidR="00732BD5">
        <w:t>rands influenced their decision-</w:t>
      </w:r>
      <w:r w:rsidRPr="00552A81">
        <w:t>making when considering a purchase. Some participants referred to specific brands and companies when discussing their</w:t>
      </w:r>
      <w:r>
        <w:t xml:space="preserve"> purchasing habits and, in some instances, demonstrated in depth knowledge of developers of products.</w:t>
      </w:r>
    </w:p>
    <w:p w14:paraId="45F259BE" w14:textId="77777777" w:rsidR="00AA3994" w:rsidRPr="00552A81" w:rsidRDefault="00AA3994" w:rsidP="00354AA1">
      <w:pPr>
        <w:jc w:val="both"/>
      </w:pPr>
      <w:r>
        <w:t>The principle on</w:t>
      </w:r>
      <w:r w:rsidRPr="007E784F">
        <w:t xml:space="preserve"> the right to development has been interpreted by the Committee to include consideration of how a child’s ‘healthy development’ may be impacted on by certain forms of marketing and advertising.</w:t>
      </w:r>
      <w:r>
        <w:rPr>
          <w:rStyle w:val="EndnoteReference"/>
        </w:rPr>
        <w:endnoteReference w:id="392"/>
      </w:r>
      <w:r>
        <w:t xml:space="preserve"> In addition to this, the principle on the best interests of the child obliges government to ensure that the </w:t>
      </w:r>
      <w:r w:rsidRPr="00552A81">
        <w:t>child’s best interests is a primary consideration in actions taken by the private sector.</w:t>
      </w:r>
      <w:r w:rsidRPr="00552A81">
        <w:rPr>
          <w:rStyle w:val="EndnoteReference"/>
        </w:rPr>
        <w:endnoteReference w:id="393"/>
      </w:r>
      <w:r w:rsidRPr="00552A81">
        <w:t xml:space="preserve"> Guided by these principles, a </w:t>
      </w:r>
      <w:r>
        <w:t xml:space="preserve">detailed </w:t>
      </w:r>
      <w:r w:rsidRPr="00552A81">
        <w:t xml:space="preserve">review into the type and level of advertising targeted at children within the Australian </w:t>
      </w:r>
      <w:r>
        <w:t>on</w:t>
      </w:r>
      <w:r w:rsidRPr="00552A81">
        <w:t xml:space="preserve">line consumer context </w:t>
      </w:r>
      <w:r>
        <w:t>should</w:t>
      </w:r>
      <w:r w:rsidRPr="00552A81">
        <w:t xml:space="preserve"> be considered. </w:t>
      </w:r>
    </w:p>
    <w:p w14:paraId="7D69B0B3" w14:textId="77777777" w:rsidR="00AA3994" w:rsidRPr="00552A81" w:rsidRDefault="00AA3994" w:rsidP="00354AA1">
      <w:pPr>
        <w:pStyle w:val="Heading3"/>
        <w:jc w:val="both"/>
      </w:pPr>
      <w:bookmarkStart w:id="124" w:name="_Toc430333102"/>
      <w:bookmarkStart w:id="125" w:name="_Toc430702095"/>
      <w:r w:rsidRPr="00552A81">
        <w:t>Internet as a market research tool</w:t>
      </w:r>
      <w:bookmarkEnd w:id="124"/>
      <w:bookmarkEnd w:id="125"/>
    </w:p>
    <w:p w14:paraId="5AACCBB2" w14:textId="0D2526EB" w:rsidR="00AA3994" w:rsidRPr="00552A81" w:rsidRDefault="00AA3994" w:rsidP="00354AA1">
      <w:pPr>
        <w:ind w:left="851"/>
        <w:jc w:val="both"/>
        <w:rPr>
          <w:sz w:val="20"/>
          <w:szCs w:val="20"/>
        </w:rPr>
      </w:pPr>
      <w:r w:rsidRPr="00552A81">
        <w:rPr>
          <w:sz w:val="20"/>
          <w:szCs w:val="20"/>
        </w:rPr>
        <w:t>You can go onl</w:t>
      </w:r>
      <w:r w:rsidR="008E681F">
        <w:rPr>
          <w:sz w:val="20"/>
          <w:szCs w:val="20"/>
        </w:rPr>
        <w:t>ine and do a bit of researching. (</w:t>
      </w:r>
      <w:r w:rsidR="00732BD5">
        <w:rPr>
          <w:sz w:val="20"/>
          <w:szCs w:val="20"/>
        </w:rPr>
        <w:t>Young person</w:t>
      </w:r>
      <w:r>
        <w:rPr>
          <w:sz w:val="20"/>
          <w:szCs w:val="20"/>
        </w:rPr>
        <w:t xml:space="preserve">, </w:t>
      </w:r>
      <w:r w:rsidRPr="00552A81">
        <w:rPr>
          <w:sz w:val="20"/>
          <w:szCs w:val="20"/>
        </w:rPr>
        <w:t>HighWater Theatre</w:t>
      </w:r>
      <w:r w:rsidR="000379B5">
        <w:rPr>
          <w:sz w:val="20"/>
          <w:szCs w:val="20"/>
        </w:rPr>
        <w:t xml:space="preserve"> Program</w:t>
      </w:r>
      <w:r w:rsidR="008E681F">
        <w:rPr>
          <w:sz w:val="20"/>
          <w:szCs w:val="20"/>
        </w:rPr>
        <w:t>)</w:t>
      </w:r>
      <w:r w:rsidRPr="00552A81">
        <w:rPr>
          <w:rStyle w:val="EndnoteReference"/>
          <w:szCs w:val="20"/>
        </w:rPr>
        <w:endnoteReference w:id="394"/>
      </w:r>
    </w:p>
    <w:p w14:paraId="320F517E" w14:textId="41D0C79A" w:rsidR="00AA3994" w:rsidRPr="00552A81" w:rsidRDefault="00AA3994" w:rsidP="00354AA1">
      <w:pPr>
        <w:jc w:val="both"/>
      </w:pPr>
      <w:r w:rsidRPr="00DF2F8E">
        <w:t>It emerged that the internet was being used by children as a type of ‘market research’ tool.</w:t>
      </w:r>
      <w:r w:rsidRPr="00552A81">
        <w:t xml:space="preserve"> This was particularly so with children who seemed to possess high levels of digital literacy. For example</w:t>
      </w:r>
      <w:r>
        <w:t>,</w:t>
      </w:r>
      <w:r w:rsidRPr="00552A81">
        <w:t xml:space="preserve"> students spoke of going online and looking at forums and Facebook pages to see if people had written negative comments about products they were interested in purchasi</w:t>
      </w:r>
      <w:r>
        <w:t>ng. The significance of this on</w:t>
      </w:r>
      <w:r w:rsidRPr="00552A81">
        <w:t>line ‘consumer activity’ is two-fold – first that it focuses on the process of selection (regardless of whether the product itself is purchased on</w:t>
      </w:r>
      <w:r w:rsidR="00732BD5">
        <w:t>line</w:t>
      </w:r>
      <w:r w:rsidRPr="00552A81">
        <w:t xml:space="preserve"> or offline). Second, </w:t>
      </w:r>
      <w:r w:rsidRPr="00DF2F8E">
        <w:t>this practice reinforces the impact and significance of certain forms of online advertising</w:t>
      </w:r>
      <w:r>
        <w:t xml:space="preserve">, </w:t>
      </w:r>
      <w:r w:rsidRPr="00552A81">
        <w:t>such as company sponsored product reviews and information sites.</w:t>
      </w:r>
    </w:p>
    <w:p w14:paraId="10B622D9" w14:textId="526C6CD2" w:rsidR="00AA3994" w:rsidRPr="00552A81" w:rsidRDefault="00AA3994" w:rsidP="00354AA1">
      <w:pPr>
        <w:jc w:val="both"/>
      </w:pPr>
      <w:r w:rsidRPr="00552A81">
        <w:t>Again the child’s right to development and the best interests of the child are principles that should guide consideration of this issue. This is particularly the case where such marketing and advertising is capable of misleading children who may lack the capacity to distinguish between sponsored and independent reviews of products.</w:t>
      </w:r>
      <w:r w:rsidRPr="00552A81">
        <w:rPr>
          <w:rStyle w:val="EndnoteReference"/>
        </w:rPr>
        <w:endnoteReference w:id="395"/>
      </w:r>
      <w:r w:rsidRPr="00552A81">
        <w:t xml:space="preserve"> </w:t>
      </w:r>
      <w:r w:rsidR="00732BD5">
        <w:t>The Australian G</w:t>
      </w:r>
      <w:r w:rsidRPr="00552A81">
        <w:t>overnment</w:t>
      </w:r>
      <w:r w:rsidR="00732BD5">
        <w:t xml:space="preserve"> </w:t>
      </w:r>
      <w:r w:rsidRPr="00552A81">
        <w:t>may wish to monitor this situation to ensure that proper regulation of this issue is in keeping with the best interests of the child.</w:t>
      </w:r>
      <w:r w:rsidRPr="00552A81">
        <w:rPr>
          <w:rStyle w:val="EndnoteReference"/>
        </w:rPr>
        <w:endnoteReference w:id="396"/>
      </w:r>
      <w:r w:rsidRPr="00552A81">
        <w:t xml:space="preserve"> An additional consideration might be a child’s right to access information and material from a diversity of sources.</w:t>
      </w:r>
      <w:r w:rsidRPr="00552A81">
        <w:rPr>
          <w:rStyle w:val="EndnoteReference"/>
        </w:rPr>
        <w:endnoteReference w:id="397"/>
      </w:r>
      <w:r w:rsidRPr="00552A81">
        <w:t xml:space="preserve"> In this context</w:t>
      </w:r>
      <w:r w:rsidR="00732BD5">
        <w:t>,</w:t>
      </w:r>
      <w:r w:rsidRPr="00552A81">
        <w:t xml:space="preserve"> the </w:t>
      </w:r>
      <w:r w:rsidR="00732BD5">
        <w:t>Australian G</w:t>
      </w:r>
      <w:r w:rsidRPr="00552A81">
        <w:t>overnment could consider developing appropriate guidelines to ensure the protection of the child from material that may be considered ‘injurious’ to their wellbeing.</w:t>
      </w:r>
      <w:r w:rsidRPr="00552A81">
        <w:rPr>
          <w:rStyle w:val="EndnoteReference"/>
        </w:rPr>
        <w:endnoteReference w:id="398"/>
      </w:r>
      <w:r w:rsidRPr="00552A81">
        <w:t xml:space="preserve"> </w:t>
      </w:r>
    </w:p>
    <w:p w14:paraId="36638AAA" w14:textId="77777777" w:rsidR="00AA3994" w:rsidRPr="00552A81" w:rsidRDefault="00AA3994" w:rsidP="00354AA1">
      <w:pPr>
        <w:jc w:val="both"/>
      </w:pPr>
      <w:r w:rsidRPr="00DF2F8E">
        <w:t>A child’s right to privacy</w:t>
      </w:r>
      <w:r w:rsidRPr="00DF2F8E">
        <w:rPr>
          <w:rStyle w:val="EndnoteReference"/>
        </w:rPr>
        <w:endnoteReference w:id="399"/>
      </w:r>
      <w:r w:rsidRPr="00DF2F8E">
        <w:t xml:space="preserve"> is also relevant to the use and regulation of the internet as a market research tool. Regardless of whether a product is actually purchased, information can be gathered on a child’s site visits and compiled as part of market research.</w:t>
      </w:r>
      <w:r w:rsidRPr="00552A81">
        <w:t xml:space="preserve"> This information can be on-sold to other companies for marketing purposes or to specifically t</w:t>
      </w:r>
      <w:r>
        <w:t>arget children with tailored on</w:t>
      </w:r>
      <w:r w:rsidRPr="00552A81">
        <w:t xml:space="preserve">line advertisements. </w:t>
      </w:r>
    </w:p>
    <w:p w14:paraId="23CB7F90" w14:textId="77777777" w:rsidR="00AA3994" w:rsidRPr="00552A81" w:rsidRDefault="00AA3994" w:rsidP="00354AA1">
      <w:pPr>
        <w:pStyle w:val="Heading3"/>
        <w:jc w:val="both"/>
      </w:pPr>
      <w:bookmarkStart w:id="126" w:name="_Toc430333103"/>
      <w:bookmarkStart w:id="127" w:name="_Toc430702096"/>
      <w:r>
        <w:lastRenderedPageBreak/>
        <w:t>C</w:t>
      </w:r>
      <w:r w:rsidRPr="00552A81">
        <w:t xml:space="preserve">onsumer </w:t>
      </w:r>
      <w:r>
        <w:t>experiences</w:t>
      </w:r>
      <w:bookmarkEnd w:id="126"/>
      <w:bookmarkEnd w:id="127"/>
    </w:p>
    <w:p w14:paraId="50E98F0E" w14:textId="159664AF" w:rsidR="00AA3994" w:rsidRPr="00552A81" w:rsidRDefault="00AA3994" w:rsidP="00354AA1">
      <w:pPr>
        <w:ind w:left="720"/>
        <w:jc w:val="both"/>
        <w:rPr>
          <w:sz w:val="20"/>
          <w:szCs w:val="20"/>
        </w:rPr>
      </w:pPr>
      <w:r w:rsidRPr="00552A81">
        <w:rPr>
          <w:sz w:val="20"/>
          <w:szCs w:val="20"/>
        </w:rPr>
        <w:t>I don’t know why she would expect, you know, not to get ripped off…if they are all the way on the other side of the planet or something it’s probably not the best idea to give them your money</w:t>
      </w:r>
      <w:r w:rsidR="00732BD5">
        <w:rPr>
          <w:sz w:val="20"/>
          <w:szCs w:val="20"/>
        </w:rPr>
        <w:t>. (</w:t>
      </w:r>
      <w:r w:rsidRPr="00552A81">
        <w:rPr>
          <w:sz w:val="20"/>
          <w:szCs w:val="20"/>
        </w:rPr>
        <w:t>Year 9</w:t>
      </w:r>
      <w:r>
        <w:rPr>
          <w:sz w:val="20"/>
          <w:szCs w:val="20"/>
        </w:rPr>
        <w:t xml:space="preserve"> </w:t>
      </w:r>
      <w:r w:rsidR="00732BD5">
        <w:rPr>
          <w:sz w:val="20"/>
          <w:szCs w:val="20"/>
        </w:rPr>
        <w:t>s</w:t>
      </w:r>
      <w:r>
        <w:rPr>
          <w:sz w:val="20"/>
          <w:szCs w:val="20"/>
        </w:rPr>
        <w:t>tudent</w:t>
      </w:r>
      <w:r w:rsidR="00732BD5">
        <w:rPr>
          <w:sz w:val="20"/>
          <w:szCs w:val="20"/>
        </w:rPr>
        <w:t>)</w:t>
      </w:r>
      <w:r w:rsidR="00732BD5" w:rsidRPr="00552A81">
        <w:rPr>
          <w:rStyle w:val="EndnoteReference"/>
          <w:szCs w:val="20"/>
        </w:rPr>
        <w:endnoteReference w:id="400"/>
      </w:r>
    </w:p>
    <w:p w14:paraId="2B21DA76" w14:textId="55751D4D" w:rsidR="00AA3994" w:rsidRPr="00552A81" w:rsidRDefault="00AA3994" w:rsidP="00354AA1">
      <w:pPr>
        <w:jc w:val="both"/>
      </w:pPr>
      <w:r w:rsidRPr="00552A81">
        <w:t xml:space="preserve">The problems children experienced in purchasing products online ranged from receiving products that were unfit for purpose (in poor condition, non-functioning/incompatible); receiving the wrong product (wrong colour/style) to not receiving the product at all. In older age groups, problems included issues with warranties and hidden terms and conditions in contracts (for example receiving phone bills charging for extra data usage). In most situations, steps were taken by the child </w:t>
      </w:r>
      <w:r>
        <w:t xml:space="preserve">(and/or their parent/friend/sibling) </w:t>
      </w:r>
      <w:r w:rsidRPr="00552A81">
        <w:t>to address the issue through internal company processes and the problem was resolved. In a smaller number of cases no action was taken and the situation remained unchanged.</w:t>
      </w:r>
    </w:p>
    <w:p w14:paraId="4CC6BA8E" w14:textId="77777777" w:rsidR="00AA3994" w:rsidRPr="00552A81" w:rsidRDefault="00AA3994" w:rsidP="00354AA1">
      <w:pPr>
        <w:jc w:val="both"/>
      </w:pPr>
      <w:r w:rsidRPr="00552A81">
        <w:t>Apart from ‘lack of necessity’, the main reason identified b</w:t>
      </w:r>
      <w:r>
        <w:t>y children who did not use the i</w:t>
      </w:r>
      <w:r w:rsidRPr="00552A81">
        <w:t xml:space="preserve">nternet to purchase products were issues with ‘security’ and/or privacy. There was a reluctance to provide personal information and suspicions about the process being a ‘scam’ that could result in funds being fraudulently removed from a parent’s account. </w:t>
      </w:r>
    </w:p>
    <w:p w14:paraId="7EEFC3AE" w14:textId="77777777" w:rsidR="00AA3994" w:rsidRPr="00552A81" w:rsidRDefault="00AA3994" w:rsidP="00354AA1">
      <w:pPr>
        <w:jc w:val="both"/>
      </w:pPr>
      <w:r w:rsidRPr="00AF2AD2">
        <w:t>A number of the consumer issues that children experienced online could be in part addressed by the provision of clear information on their consumer rights.</w:t>
      </w:r>
      <w:r w:rsidRPr="00552A81">
        <w:t xml:space="preserve"> Relevantly for business, the Committee has commented that the guiding principle on the right to be heard includes the ability of children to access information ‘in formats appropriate to their age and capacities on all issues of concern to them’.</w:t>
      </w:r>
      <w:r w:rsidRPr="00552A81">
        <w:rPr>
          <w:rStyle w:val="EndnoteReference"/>
        </w:rPr>
        <w:endnoteReference w:id="401"/>
      </w:r>
      <w:r w:rsidRPr="00552A81">
        <w:t xml:space="preserve"> This includes the provision of information on their rights</w:t>
      </w:r>
      <w:r w:rsidRPr="00552A81">
        <w:rPr>
          <w:rStyle w:val="EndnoteReference"/>
        </w:rPr>
        <w:endnoteReference w:id="402"/>
      </w:r>
      <w:r w:rsidRPr="00552A81">
        <w:t xml:space="preserve"> (such as contractual rights). In practical terms this would mean providing contracts that are easy to understand in accessible formats, including information on the returns process.</w:t>
      </w:r>
    </w:p>
    <w:p w14:paraId="4F32F235" w14:textId="2296D531" w:rsidR="00AA3994" w:rsidRPr="00552A81" w:rsidRDefault="00AA3994" w:rsidP="00354AA1">
      <w:pPr>
        <w:ind w:left="720"/>
        <w:jc w:val="both"/>
        <w:rPr>
          <w:sz w:val="20"/>
          <w:szCs w:val="20"/>
        </w:rPr>
      </w:pPr>
      <w:r w:rsidRPr="00552A81">
        <w:rPr>
          <w:sz w:val="20"/>
          <w:szCs w:val="20"/>
        </w:rPr>
        <w:t>I get at my email address all these weird messages from all these weird sites…and it’s really disturbing sometimes because they send photos</w:t>
      </w:r>
      <w:r w:rsidR="00A14079">
        <w:rPr>
          <w:sz w:val="20"/>
          <w:szCs w:val="20"/>
        </w:rPr>
        <w:t>. (</w:t>
      </w:r>
      <w:r>
        <w:rPr>
          <w:sz w:val="20"/>
          <w:szCs w:val="20"/>
        </w:rPr>
        <w:t>Y</w:t>
      </w:r>
      <w:r w:rsidRPr="00552A81">
        <w:rPr>
          <w:sz w:val="20"/>
          <w:szCs w:val="20"/>
        </w:rPr>
        <w:t>ear 10</w:t>
      </w:r>
      <w:r>
        <w:rPr>
          <w:sz w:val="20"/>
          <w:szCs w:val="20"/>
        </w:rPr>
        <w:t xml:space="preserve"> </w:t>
      </w:r>
      <w:r w:rsidR="00A14079">
        <w:rPr>
          <w:sz w:val="20"/>
          <w:szCs w:val="20"/>
        </w:rPr>
        <w:t>s</w:t>
      </w:r>
      <w:r>
        <w:rPr>
          <w:sz w:val="20"/>
          <w:szCs w:val="20"/>
        </w:rPr>
        <w:t>tudent</w:t>
      </w:r>
      <w:r w:rsidR="00A14079">
        <w:rPr>
          <w:sz w:val="20"/>
          <w:szCs w:val="20"/>
        </w:rPr>
        <w:t>)</w:t>
      </w:r>
      <w:r w:rsidR="00A14079" w:rsidRPr="00552A81">
        <w:rPr>
          <w:rStyle w:val="EndnoteReference"/>
          <w:szCs w:val="20"/>
        </w:rPr>
        <w:endnoteReference w:id="403"/>
      </w:r>
    </w:p>
    <w:p w14:paraId="7082A8CD" w14:textId="77777777" w:rsidR="00AA3994" w:rsidRPr="00552A81" w:rsidRDefault="00AA3994" w:rsidP="00354AA1">
      <w:pPr>
        <w:jc w:val="both"/>
      </w:pPr>
      <w:r w:rsidRPr="00552A81">
        <w:t>Another consideration in this context is the child’s right to privacy where they are entitled to protection of the law against breaches of their privacy.</w:t>
      </w:r>
      <w:r w:rsidRPr="00552A81">
        <w:rPr>
          <w:rStyle w:val="EndnoteReference"/>
        </w:rPr>
        <w:endnoteReference w:id="404"/>
      </w:r>
      <w:r w:rsidRPr="00552A81">
        <w:t xml:space="preserve"> The relevance of this issue is to the children who avoid </w:t>
      </w:r>
      <w:r>
        <w:t>using the i</w:t>
      </w:r>
      <w:r w:rsidRPr="00552A81">
        <w:t xml:space="preserve">nternet as a consumer platform (and in doing so denying themselves access to the same opportunities as other consumers) because of concerns about the security of their information. These concerns could be alleviated in part with the </w:t>
      </w:r>
      <w:r w:rsidRPr="00AF2AD2">
        <w:t>provision of accessible and easily enforceable privacy policies</w:t>
      </w:r>
      <w:r w:rsidRPr="00552A81">
        <w:t xml:space="preserve"> that clearly state children’s privacy rights within the consumer context.</w:t>
      </w:r>
      <w:r w:rsidRPr="00552A81">
        <w:rPr>
          <w:rStyle w:val="EndnoteReference"/>
        </w:rPr>
        <w:endnoteReference w:id="405"/>
      </w:r>
      <w:r w:rsidRPr="00552A81">
        <w:t xml:space="preserve"> This would in turn assist in upholding the principle to the right to development in relation to an otherwise excluded group of children.</w:t>
      </w:r>
    </w:p>
    <w:p w14:paraId="5F92C099" w14:textId="77777777" w:rsidR="00AA3994" w:rsidRPr="00552A81" w:rsidRDefault="00AA3994" w:rsidP="00354AA1">
      <w:pPr>
        <w:pStyle w:val="Heading3"/>
        <w:jc w:val="both"/>
      </w:pPr>
      <w:bookmarkStart w:id="128" w:name="_Toc430333104"/>
      <w:bookmarkStart w:id="129" w:name="_Toc430702097"/>
      <w:r w:rsidRPr="00552A81">
        <w:t>Knowledge of consumer rights</w:t>
      </w:r>
      <w:bookmarkEnd w:id="128"/>
      <w:bookmarkEnd w:id="129"/>
    </w:p>
    <w:p w14:paraId="1BF39ECD" w14:textId="362AD66A" w:rsidR="00AA3994" w:rsidRPr="00552A81" w:rsidRDefault="00AA3994" w:rsidP="00354AA1">
      <w:pPr>
        <w:ind w:left="720"/>
        <w:jc w:val="both"/>
        <w:rPr>
          <w:sz w:val="20"/>
          <w:szCs w:val="20"/>
        </w:rPr>
      </w:pPr>
      <w:r w:rsidRPr="00552A81">
        <w:rPr>
          <w:sz w:val="20"/>
          <w:szCs w:val="20"/>
        </w:rPr>
        <w:t>You could waste like half of your day just reading the terms and conditions</w:t>
      </w:r>
      <w:r w:rsidR="00A14079">
        <w:rPr>
          <w:sz w:val="20"/>
          <w:szCs w:val="20"/>
        </w:rPr>
        <w:t>.</w:t>
      </w:r>
      <w:r w:rsidRPr="00552A81">
        <w:rPr>
          <w:sz w:val="20"/>
          <w:szCs w:val="20"/>
        </w:rPr>
        <w:t xml:space="preserve"> </w:t>
      </w:r>
      <w:r w:rsidR="00A14079">
        <w:rPr>
          <w:sz w:val="20"/>
          <w:szCs w:val="20"/>
        </w:rPr>
        <w:t>(</w:t>
      </w:r>
      <w:r w:rsidRPr="00552A81">
        <w:rPr>
          <w:sz w:val="20"/>
          <w:szCs w:val="20"/>
        </w:rPr>
        <w:t>Year 6</w:t>
      </w:r>
      <w:r>
        <w:rPr>
          <w:sz w:val="20"/>
          <w:szCs w:val="20"/>
        </w:rPr>
        <w:t xml:space="preserve"> </w:t>
      </w:r>
      <w:r w:rsidR="00A14079">
        <w:rPr>
          <w:sz w:val="20"/>
          <w:szCs w:val="20"/>
        </w:rPr>
        <w:t>s</w:t>
      </w:r>
      <w:r>
        <w:rPr>
          <w:sz w:val="20"/>
          <w:szCs w:val="20"/>
        </w:rPr>
        <w:t>tudent</w:t>
      </w:r>
      <w:r w:rsidR="00A14079">
        <w:rPr>
          <w:sz w:val="20"/>
          <w:szCs w:val="20"/>
        </w:rPr>
        <w:t>)</w:t>
      </w:r>
      <w:r w:rsidR="00A14079" w:rsidRPr="00552A81">
        <w:rPr>
          <w:rStyle w:val="EndnoteReference"/>
          <w:szCs w:val="20"/>
        </w:rPr>
        <w:endnoteReference w:id="406"/>
      </w:r>
    </w:p>
    <w:p w14:paraId="6C1FE38E" w14:textId="77777777" w:rsidR="00AA3994" w:rsidRPr="00AF2AD2" w:rsidRDefault="00AA3994" w:rsidP="00354AA1">
      <w:pPr>
        <w:jc w:val="both"/>
      </w:pPr>
      <w:r w:rsidRPr="00552A81">
        <w:t xml:space="preserve">About half of the participants said that they knew they had consumer rights and </w:t>
      </w:r>
      <w:r>
        <w:t xml:space="preserve">knowledge </w:t>
      </w:r>
      <w:r w:rsidRPr="00552A81">
        <w:t>of basic options available to them (for example</w:t>
      </w:r>
      <w:r>
        <w:t>,</w:t>
      </w:r>
      <w:r w:rsidRPr="00552A81">
        <w:t xml:space="preserve"> needing </w:t>
      </w:r>
      <w:r>
        <w:t>a</w:t>
      </w:r>
      <w:r w:rsidRPr="00552A81">
        <w:t xml:space="preserve"> receipt in order to return an item). Yet </w:t>
      </w:r>
      <w:r w:rsidRPr="00AF2AD2">
        <w:t>while participants seemed generally more confident and knowledgeable about processes involved in returning purchases to shops, this did not seem to translate to the online consumer context.</w:t>
      </w:r>
    </w:p>
    <w:p w14:paraId="1E69AA8F" w14:textId="7063F5DB" w:rsidR="00AA3994" w:rsidRDefault="00AA3994" w:rsidP="00354AA1">
      <w:pPr>
        <w:jc w:val="both"/>
      </w:pPr>
      <w:r w:rsidRPr="00AF2AD2">
        <w:lastRenderedPageBreak/>
        <w:t>Consultations revealed a general tendency to believe that the onus to fix the problem was with the consumer.</w:t>
      </w:r>
      <w:r w:rsidRPr="00552A81">
        <w:t xml:space="preserve"> For example, </w:t>
      </w:r>
      <w:r>
        <w:t xml:space="preserve">in a scenario </w:t>
      </w:r>
      <w:r w:rsidRPr="00552A81">
        <w:t>where a young person bought a pair of jeans online that were ripped, one of the most commonly suggested solutions was for the person to ‘sew up the jeans’ themselves. Similarly in scenarios involving game apps that didn’t work, some participants suggested the person bear the cost of fixing the problem by simply</w:t>
      </w:r>
      <w:r>
        <w:t xml:space="preserve"> </w:t>
      </w:r>
      <w:r w:rsidR="00A14079">
        <w:t>re-purchasing</w:t>
      </w:r>
      <w:r>
        <w:t xml:space="preserve"> the app.</w:t>
      </w:r>
    </w:p>
    <w:p w14:paraId="56C1000C" w14:textId="77777777" w:rsidR="00AA3994" w:rsidRDefault="00AA3994" w:rsidP="00354AA1">
      <w:pPr>
        <w:jc w:val="both"/>
      </w:pPr>
      <w:r>
        <w:t>Even where the products involved were more expensive, solutions suggested by children continued to place the onus on the young person to resolve the problem themselves. In a scenario where an iPad purchased on a parent’s credit card failed to arrive, a suggested solution was to ‘pay back’ the money to the parent. Similarly, where a young person was locked into a phone plan with ‘hidden costs’ one suggested solution was to ‘save up money for a new contract’.</w:t>
      </w:r>
    </w:p>
    <w:p w14:paraId="452BACDE" w14:textId="77777777" w:rsidR="00AA3994" w:rsidRPr="00552A81" w:rsidRDefault="00AA3994" w:rsidP="00354AA1">
      <w:pPr>
        <w:jc w:val="both"/>
      </w:pPr>
      <w:r w:rsidRPr="00552A81">
        <w:t>The majority of participants were often unsure of how to proceed in situations where online refunds and exchanges had been denied. Few children understood their right to a product of a certain standard that was ‘fit for purpose’. When prompted about available consumer options once the returns period had elapsed on a faulty product, most children thought nothing could be done. A student summed up the general view with - ‘bad luck!’. Another student joked ‘go home and cry’.</w:t>
      </w:r>
    </w:p>
    <w:p w14:paraId="379398B1" w14:textId="77777777" w:rsidR="00AA3994" w:rsidRPr="00552A81" w:rsidRDefault="00AA3994" w:rsidP="00354AA1">
      <w:pPr>
        <w:jc w:val="both"/>
      </w:pPr>
      <w:r w:rsidRPr="00552A81">
        <w:t xml:space="preserve">A similar </w:t>
      </w:r>
      <w:r w:rsidRPr="00F22ECA">
        <w:t>attitude of ‘personal culpability’ or ‘luck’ emerged in the idea that they were the victims of ‘scams’.</w:t>
      </w:r>
      <w:r w:rsidRPr="00552A81">
        <w:t xml:space="preserve"> A situation where a young person’s details were handed out to other companies was described as a ‘scam’ as was a situa</w:t>
      </w:r>
      <w:r>
        <w:t>tion where an iPad purchased on</w:t>
      </w:r>
      <w:r w:rsidRPr="00552A81">
        <w:t xml:space="preserve">line failed to arrive. In the latter scenario, as it was perceived to be the result of a ‘scam’ it was thought ‘the child might be too scared to tell the parent because they might get in trouble’. </w:t>
      </w:r>
    </w:p>
    <w:p w14:paraId="34558230" w14:textId="25B96A0C" w:rsidR="00AA3994" w:rsidRPr="00552A81" w:rsidRDefault="00AA3994" w:rsidP="00354AA1">
      <w:pPr>
        <w:ind w:firstLine="720"/>
        <w:jc w:val="both"/>
        <w:rPr>
          <w:sz w:val="20"/>
          <w:szCs w:val="20"/>
        </w:rPr>
      </w:pPr>
      <w:r w:rsidRPr="00552A81">
        <w:rPr>
          <w:sz w:val="20"/>
          <w:szCs w:val="20"/>
        </w:rPr>
        <w:t>Say online ‘it’s very bad – 0 stars’</w:t>
      </w:r>
      <w:r w:rsidR="004224B6">
        <w:rPr>
          <w:sz w:val="20"/>
          <w:szCs w:val="20"/>
        </w:rPr>
        <w:t>. (</w:t>
      </w:r>
      <w:r w:rsidRPr="00552A81">
        <w:rPr>
          <w:sz w:val="20"/>
          <w:szCs w:val="20"/>
        </w:rPr>
        <w:t>Year 6</w:t>
      </w:r>
      <w:r>
        <w:rPr>
          <w:sz w:val="20"/>
          <w:szCs w:val="20"/>
        </w:rPr>
        <w:t xml:space="preserve"> </w:t>
      </w:r>
      <w:r w:rsidR="004224B6">
        <w:rPr>
          <w:sz w:val="20"/>
          <w:szCs w:val="20"/>
        </w:rPr>
        <w:t>s</w:t>
      </w:r>
      <w:r>
        <w:rPr>
          <w:sz w:val="20"/>
          <w:szCs w:val="20"/>
        </w:rPr>
        <w:t>tudent</w:t>
      </w:r>
      <w:r w:rsidR="004224B6">
        <w:rPr>
          <w:sz w:val="20"/>
          <w:szCs w:val="20"/>
        </w:rPr>
        <w:t>)</w:t>
      </w:r>
      <w:r w:rsidR="004224B6" w:rsidRPr="00552A81">
        <w:rPr>
          <w:rStyle w:val="EndnoteReference"/>
          <w:szCs w:val="20"/>
        </w:rPr>
        <w:endnoteReference w:id="407"/>
      </w:r>
    </w:p>
    <w:p w14:paraId="4F7034A4" w14:textId="77777777" w:rsidR="00AA3994" w:rsidRPr="00552A81" w:rsidRDefault="00AA3994" w:rsidP="00354AA1">
      <w:pPr>
        <w:jc w:val="both"/>
      </w:pPr>
      <w:r w:rsidRPr="00552A81">
        <w:t xml:space="preserve">Interestingly, a number of participants suggested ‘reputational’ as opposed to ‘consumer rights-based’ options for redress. This ranged from ‘protesting outside the factory’ to using online rating sites to ‘contacting television channels’ and ‘spreading the word’. As one young person stated, ‘tell everyone to never buy something from there’. </w:t>
      </w:r>
    </w:p>
    <w:p w14:paraId="1EA0632D" w14:textId="77777777" w:rsidR="00AA3994" w:rsidRPr="00552A81" w:rsidRDefault="00AA3994" w:rsidP="00354AA1">
      <w:pPr>
        <w:jc w:val="both"/>
      </w:pPr>
      <w:r w:rsidRPr="00E27038">
        <w:t>Situations that could have been addressed pursuant to consumer rights protections were instead perceived as situations where the child had been ‘tricked’ or ‘caught out’ and was at fault. What this attitude shows is a vacuum of knowledge about avenues of redress that exist as part of a child’s consumer rights.</w:t>
      </w:r>
      <w:r w:rsidRPr="00552A81">
        <w:t xml:space="preserve"> Similarly the ‘reputational redress option’ raises questions about whether children are ‘choosing’ that option or whether it is seen as the only option available to them. </w:t>
      </w:r>
    </w:p>
    <w:p w14:paraId="0A0988E5" w14:textId="77777777" w:rsidR="00AA3994" w:rsidRPr="00552A81" w:rsidRDefault="00AA3994" w:rsidP="00354AA1">
      <w:pPr>
        <w:jc w:val="both"/>
      </w:pPr>
      <w:r w:rsidRPr="00552A81">
        <w:t xml:space="preserve">The guiding principle on the right of the child to be heard </w:t>
      </w:r>
      <w:r>
        <w:t>stresse</w:t>
      </w:r>
      <w:r w:rsidRPr="00552A81">
        <w:t>s the importance of information on children’s rights being provided in child appropriate formats.</w:t>
      </w:r>
      <w:r w:rsidRPr="00552A81">
        <w:rPr>
          <w:rStyle w:val="EndnoteReference"/>
        </w:rPr>
        <w:endnoteReference w:id="408"/>
      </w:r>
      <w:r>
        <w:t xml:space="preserve"> In the on</w:t>
      </w:r>
      <w:r w:rsidRPr="00552A81">
        <w:t>line context, this would include both consumer rights and privacy rights (in terms of the appropriate use of personal information).</w:t>
      </w:r>
      <w:r w:rsidRPr="00552A81">
        <w:rPr>
          <w:rStyle w:val="EndnoteReference"/>
        </w:rPr>
        <w:endnoteReference w:id="409"/>
      </w:r>
      <w:r w:rsidRPr="00552A81">
        <w:t xml:space="preserve"> The concept of ‘child appropriate formats’ may need to extend beyond the mere simplification of legal terms to consideration of how to effectively bring such terms and conditions to the attention of the child and their guardian. Importantly, the guiding principle on the right to be heard </w:t>
      </w:r>
      <w:r>
        <w:t>emphasises</w:t>
      </w:r>
      <w:r w:rsidRPr="00552A81">
        <w:t xml:space="preserve"> the provision of accessible complaints procedures, including access to remedies or redress.</w:t>
      </w:r>
      <w:r w:rsidRPr="00552A81">
        <w:rPr>
          <w:rStyle w:val="EndnoteReference"/>
        </w:rPr>
        <w:endnoteReference w:id="410"/>
      </w:r>
    </w:p>
    <w:p w14:paraId="2AD580F9" w14:textId="77777777" w:rsidR="00AA3994" w:rsidRPr="00552A81" w:rsidRDefault="00AA3994" w:rsidP="00354AA1">
      <w:pPr>
        <w:pStyle w:val="Heading3"/>
        <w:jc w:val="both"/>
      </w:pPr>
      <w:bookmarkStart w:id="130" w:name="_Toc430333105"/>
      <w:bookmarkStart w:id="131" w:name="_Toc430702098"/>
      <w:r w:rsidRPr="00552A81">
        <w:lastRenderedPageBreak/>
        <w:t>Knowledge of consumer assistance</w:t>
      </w:r>
      <w:bookmarkEnd w:id="130"/>
      <w:bookmarkEnd w:id="131"/>
    </w:p>
    <w:p w14:paraId="5BC1AABF" w14:textId="5BAB2F86" w:rsidR="00AA3994" w:rsidRDefault="00AA3994" w:rsidP="00354AA1">
      <w:pPr>
        <w:ind w:left="720"/>
        <w:jc w:val="both"/>
        <w:rPr>
          <w:sz w:val="20"/>
          <w:szCs w:val="20"/>
        </w:rPr>
      </w:pPr>
      <w:r w:rsidRPr="00552A81">
        <w:rPr>
          <w:sz w:val="20"/>
          <w:szCs w:val="20"/>
        </w:rPr>
        <w:t>Complain to a system above the shop</w:t>
      </w:r>
      <w:r w:rsidR="004224B6">
        <w:rPr>
          <w:sz w:val="20"/>
          <w:szCs w:val="20"/>
        </w:rPr>
        <w:t>. (</w:t>
      </w:r>
      <w:r w:rsidRPr="00552A81">
        <w:rPr>
          <w:sz w:val="20"/>
          <w:szCs w:val="20"/>
        </w:rPr>
        <w:t>Year 9</w:t>
      </w:r>
      <w:r>
        <w:rPr>
          <w:sz w:val="20"/>
          <w:szCs w:val="20"/>
        </w:rPr>
        <w:t xml:space="preserve"> </w:t>
      </w:r>
      <w:r w:rsidR="004224B6">
        <w:rPr>
          <w:sz w:val="20"/>
          <w:szCs w:val="20"/>
        </w:rPr>
        <w:t>student)</w:t>
      </w:r>
      <w:r w:rsidR="004224B6" w:rsidRPr="00552A81">
        <w:rPr>
          <w:rStyle w:val="EndnoteReference"/>
          <w:szCs w:val="20"/>
        </w:rPr>
        <w:endnoteReference w:id="411"/>
      </w:r>
    </w:p>
    <w:p w14:paraId="2FC03682" w14:textId="1B93B50A" w:rsidR="00AA3994" w:rsidRPr="00552A81" w:rsidRDefault="00AA3994" w:rsidP="00354AA1">
      <w:pPr>
        <w:ind w:left="720"/>
        <w:jc w:val="both"/>
        <w:rPr>
          <w:sz w:val="20"/>
          <w:szCs w:val="20"/>
        </w:rPr>
      </w:pPr>
      <w:r>
        <w:rPr>
          <w:sz w:val="20"/>
          <w:szCs w:val="20"/>
        </w:rPr>
        <w:t>But this is like on</w:t>
      </w:r>
      <w:r w:rsidRPr="00552A81">
        <w:rPr>
          <w:sz w:val="20"/>
          <w:szCs w:val="20"/>
        </w:rPr>
        <w:t>line, so….don’t really know</w:t>
      </w:r>
      <w:r w:rsidR="004224B6">
        <w:rPr>
          <w:sz w:val="20"/>
          <w:szCs w:val="20"/>
        </w:rPr>
        <w:t>. (</w:t>
      </w:r>
      <w:r w:rsidRPr="00552A81">
        <w:rPr>
          <w:sz w:val="20"/>
          <w:szCs w:val="20"/>
        </w:rPr>
        <w:t>Year 10</w:t>
      </w:r>
      <w:r>
        <w:rPr>
          <w:sz w:val="20"/>
          <w:szCs w:val="20"/>
        </w:rPr>
        <w:t xml:space="preserve"> </w:t>
      </w:r>
      <w:r w:rsidR="004224B6">
        <w:rPr>
          <w:sz w:val="20"/>
          <w:szCs w:val="20"/>
        </w:rPr>
        <w:t>student)</w:t>
      </w:r>
      <w:r w:rsidR="004224B6" w:rsidRPr="00552A81">
        <w:rPr>
          <w:rStyle w:val="EndnoteReference"/>
          <w:szCs w:val="20"/>
        </w:rPr>
        <w:endnoteReference w:id="412"/>
      </w:r>
    </w:p>
    <w:p w14:paraId="7BF7D9E3" w14:textId="77777777" w:rsidR="00AA3994" w:rsidRPr="00552A81" w:rsidRDefault="00AA3994" w:rsidP="00354AA1">
      <w:pPr>
        <w:jc w:val="both"/>
      </w:pPr>
      <w:r w:rsidRPr="00E27038">
        <w:t>While participants seemed aware that formal avenues existed for addressing breaches of consumer rights, they were unclear of any specific options.</w:t>
      </w:r>
      <w:r w:rsidRPr="00552A81">
        <w:t xml:space="preserve"> This was particularly evident among younger children. </w:t>
      </w:r>
    </w:p>
    <w:p w14:paraId="6E6ED04C" w14:textId="43EB23D8" w:rsidR="00AA3994" w:rsidRPr="00552A81" w:rsidRDefault="00AA3994" w:rsidP="00354AA1">
      <w:pPr>
        <w:jc w:val="both"/>
      </w:pPr>
      <w:r w:rsidRPr="00552A81">
        <w:t xml:space="preserve">Many of the Year 6 students suggested calling the police, ‘suing’ the company or involving the government in some way as appropriate avenues for redress. Responses ranged from ‘get the government and shut the company down’; ‘call government helpline’ to ‘complain to the children’s rights commissioner and see what they can do’. </w:t>
      </w:r>
      <w:r w:rsidRPr="00E27038">
        <w:t>The ability to enforce rights in a transnational context was also commented on</w:t>
      </w:r>
      <w:r w:rsidR="00B63D90">
        <w:t>.</w:t>
      </w:r>
      <w:r w:rsidRPr="00E27038">
        <w:t xml:space="preserve"> </w:t>
      </w:r>
      <w:r w:rsidR="00B63D90">
        <w:t>T</w:t>
      </w:r>
      <w:r w:rsidRPr="00E27038">
        <w:t>here seemed to be little confidence in the ability to seek redress where the company was hosted in another country.</w:t>
      </w:r>
      <w:r w:rsidRPr="00552A81">
        <w:t xml:space="preserve"> </w:t>
      </w:r>
      <w:r>
        <w:t xml:space="preserve">In a scenario where a faulty iPad was purchased from a Hong Kong-based company, this lack of confidence was revealed in comments such as </w:t>
      </w:r>
      <w:r w:rsidRPr="00552A81">
        <w:t>‘call the Chinese police’ and ‘catch a plane to Hong Kong’.</w:t>
      </w:r>
    </w:p>
    <w:p w14:paraId="2C39F71C" w14:textId="77777777" w:rsidR="00AA3994" w:rsidRPr="00552A81" w:rsidRDefault="00AA3994" w:rsidP="00354AA1">
      <w:pPr>
        <w:jc w:val="both"/>
      </w:pPr>
      <w:r w:rsidRPr="00552A81">
        <w:t>Even among older participants there was a lack of knowledge as to the most appropriate agencies to contact. The ‘Human Rights Commission’ was one suggested option as were vague references to a complaint system existing outside of the shop’s internal processes. Only two participants suggested approaching an ombudsman or ‘fair trading’.</w:t>
      </w:r>
    </w:p>
    <w:p w14:paraId="46C9BE9E" w14:textId="3D84035B" w:rsidR="00AA3994" w:rsidRPr="00552A81" w:rsidRDefault="00AA3994" w:rsidP="00354AA1">
      <w:pPr>
        <w:jc w:val="both"/>
      </w:pPr>
      <w:r w:rsidRPr="00552A81">
        <w:t xml:space="preserve">In a practical sense the knowledge of rights requires knowledge of how to implement those rights through relevant complaints resolution bodies. The guiding principle on the right of the child to be </w:t>
      </w:r>
      <w:r w:rsidRPr="00E27038">
        <w:t>heard requires access to child-appropriate information relating to appeals and complaints procedures</w:t>
      </w:r>
      <w:r w:rsidRPr="00552A81">
        <w:t>.</w:t>
      </w:r>
      <w:r w:rsidRPr="00552A81">
        <w:rPr>
          <w:rStyle w:val="EndnoteReference"/>
        </w:rPr>
        <w:endnoteReference w:id="413"/>
      </w:r>
      <w:r w:rsidRPr="00552A81">
        <w:t xml:space="preserve"> Both business and government have key roles to play in raising awareness and in ensuring the accessibility of such processes for children.</w:t>
      </w:r>
      <w:r w:rsidRPr="00552A81">
        <w:rPr>
          <w:rStyle w:val="EndnoteReference"/>
        </w:rPr>
        <w:endnoteReference w:id="414"/>
      </w:r>
      <w:r w:rsidRPr="00552A81">
        <w:t xml:space="preserve"> In addition to this children should have the opportunity to have access to a representative or appropriate body in proceedings affecting them.</w:t>
      </w:r>
      <w:r w:rsidRPr="00552A81">
        <w:rPr>
          <w:rStyle w:val="EndnoteReference"/>
        </w:rPr>
        <w:endnoteReference w:id="415"/>
      </w:r>
      <w:r w:rsidRPr="00552A81">
        <w:t xml:space="preserve"> </w:t>
      </w:r>
      <w:r w:rsidR="00092E8A">
        <w:t>G</w:t>
      </w:r>
      <w:r w:rsidRPr="00552A81">
        <w:t>overnment</w:t>
      </w:r>
      <w:r w:rsidR="00092E8A">
        <w:t>s</w:t>
      </w:r>
      <w:r w:rsidRPr="00552A81">
        <w:t xml:space="preserve"> could usefully assist in raising awareness of such organisations among children and their guardians.</w:t>
      </w:r>
    </w:p>
    <w:p w14:paraId="44A29E3F" w14:textId="77777777" w:rsidR="00AA3994" w:rsidRPr="00552A81" w:rsidRDefault="00AA3994" w:rsidP="00354AA1">
      <w:pPr>
        <w:pStyle w:val="Heading3"/>
        <w:jc w:val="both"/>
      </w:pPr>
      <w:bookmarkStart w:id="132" w:name="_Toc430333106"/>
      <w:bookmarkStart w:id="133" w:name="_Toc430702099"/>
      <w:r w:rsidRPr="00552A81">
        <w:t>How can business assist?</w:t>
      </w:r>
      <w:bookmarkEnd w:id="132"/>
      <w:bookmarkEnd w:id="133"/>
    </w:p>
    <w:p w14:paraId="2D9DB17A" w14:textId="15E82CBF" w:rsidR="00AA3994" w:rsidRPr="00552A81" w:rsidRDefault="00AA3994" w:rsidP="00354AA1">
      <w:pPr>
        <w:ind w:left="720"/>
        <w:jc w:val="both"/>
        <w:rPr>
          <w:sz w:val="20"/>
          <w:szCs w:val="20"/>
        </w:rPr>
      </w:pPr>
      <w:r w:rsidRPr="00552A81">
        <w:rPr>
          <w:sz w:val="20"/>
          <w:szCs w:val="20"/>
        </w:rPr>
        <w:t>Businesses should translate from ‘terms and conditions’ to English</w:t>
      </w:r>
      <w:r w:rsidR="001F360D">
        <w:rPr>
          <w:sz w:val="20"/>
          <w:szCs w:val="20"/>
        </w:rPr>
        <w:t>. (</w:t>
      </w:r>
      <w:r w:rsidRPr="00552A81">
        <w:rPr>
          <w:sz w:val="20"/>
          <w:szCs w:val="20"/>
        </w:rPr>
        <w:t>Year 6</w:t>
      </w:r>
      <w:r>
        <w:rPr>
          <w:sz w:val="20"/>
          <w:szCs w:val="20"/>
        </w:rPr>
        <w:t xml:space="preserve"> </w:t>
      </w:r>
      <w:r w:rsidR="001F360D">
        <w:rPr>
          <w:sz w:val="20"/>
          <w:szCs w:val="20"/>
        </w:rPr>
        <w:t>s</w:t>
      </w:r>
      <w:r>
        <w:rPr>
          <w:sz w:val="20"/>
          <w:szCs w:val="20"/>
        </w:rPr>
        <w:t>tudent</w:t>
      </w:r>
      <w:r w:rsidR="001F360D">
        <w:rPr>
          <w:sz w:val="20"/>
          <w:szCs w:val="20"/>
        </w:rPr>
        <w:t>)</w:t>
      </w:r>
      <w:r w:rsidR="001F360D" w:rsidRPr="00552A81">
        <w:rPr>
          <w:rStyle w:val="EndnoteReference"/>
          <w:szCs w:val="20"/>
        </w:rPr>
        <w:endnoteReference w:id="416"/>
      </w:r>
    </w:p>
    <w:p w14:paraId="15AE5FF4" w14:textId="29FFEBD4" w:rsidR="00AA3994" w:rsidRPr="00552A81" w:rsidRDefault="00AA3994" w:rsidP="00354AA1">
      <w:pPr>
        <w:ind w:left="720"/>
        <w:jc w:val="both"/>
        <w:rPr>
          <w:sz w:val="20"/>
          <w:szCs w:val="20"/>
        </w:rPr>
      </w:pPr>
      <w:r w:rsidRPr="00552A81">
        <w:rPr>
          <w:sz w:val="20"/>
          <w:szCs w:val="20"/>
        </w:rPr>
        <w:t>Most companies don’t help</w:t>
      </w:r>
      <w:r w:rsidR="001F360D">
        <w:rPr>
          <w:sz w:val="20"/>
          <w:szCs w:val="20"/>
        </w:rPr>
        <w:t>. (</w:t>
      </w:r>
      <w:r w:rsidRPr="00552A81">
        <w:rPr>
          <w:sz w:val="20"/>
          <w:szCs w:val="20"/>
        </w:rPr>
        <w:t>Year 9</w:t>
      </w:r>
      <w:r>
        <w:rPr>
          <w:sz w:val="20"/>
          <w:szCs w:val="20"/>
        </w:rPr>
        <w:t xml:space="preserve"> </w:t>
      </w:r>
      <w:r w:rsidR="001F360D">
        <w:rPr>
          <w:sz w:val="20"/>
          <w:szCs w:val="20"/>
        </w:rPr>
        <w:t>s</w:t>
      </w:r>
      <w:r>
        <w:rPr>
          <w:sz w:val="20"/>
          <w:szCs w:val="20"/>
        </w:rPr>
        <w:t>tudent</w:t>
      </w:r>
      <w:r w:rsidR="001F360D">
        <w:rPr>
          <w:sz w:val="20"/>
          <w:szCs w:val="20"/>
        </w:rPr>
        <w:t>)</w:t>
      </w:r>
      <w:r w:rsidR="001F360D" w:rsidRPr="00552A81">
        <w:rPr>
          <w:rStyle w:val="EndnoteReference"/>
          <w:szCs w:val="20"/>
        </w:rPr>
        <w:endnoteReference w:id="417"/>
      </w:r>
    </w:p>
    <w:p w14:paraId="5DA3C3D1" w14:textId="77777777" w:rsidR="00AA3994" w:rsidRPr="00552A81" w:rsidRDefault="00AA3994" w:rsidP="00354AA1">
      <w:pPr>
        <w:jc w:val="both"/>
      </w:pPr>
      <w:r w:rsidRPr="00552A81">
        <w:t>A number of children and young people expressed low expectations about the likelihood that business would assist them within the consumer context. Sentiments included that companies simply ‘don’t help’ either because ‘they think they can get away with things because we are children’ or that they ‘won’t do much about it’ because they ‘already have lots of money’. It was stated that business shouldn’t ‘take advantage’ of young people being unaware of consumer rights and should instead assist customers with the provision of easily accessible information and take active steps to resolve problems that arise.</w:t>
      </w:r>
      <w:r w:rsidRPr="00552A81">
        <w:rPr>
          <w:rStyle w:val="EndnoteReference"/>
        </w:rPr>
        <w:endnoteReference w:id="418"/>
      </w:r>
    </w:p>
    <w:p w14:paraId="6E9C2142" w14:textId="6619A8D9" w:rsidR="00AA3994" w:rsidRPr="00552A81" w:rsidRDefault="00AA3994" w:rsidP="00354AA1">
      <w:pPr>
        <w:jc w:val="both"/>
      </w:pPr>
      <w:r w:rsidRPr="00552A81">
        <w:lastRenderedPageBreak/>
        <w:t>Suggestions as to how companies could assist children predominantly concerned the provision of information on consumer rights. Most participants suggested providing more information to young people, in a clearer format within the consumer context including ‘child-friendly’ formats. Information needed to be ‘clearly explained’</w:t>
      </w:r>
      <w:r w:rsidR="000379B5">
        <w:t>,</w:t>
      </w:r>
      <w:r w:rsidRPr="00552A81">
        <w:t xml:space="preserve"> particularly about their ‘rights’ where </w:t>
      </w:r>
      <w:r w:rsidRPr="00E27038">
        <w:t>companies should try and ‘help’ children to make information (terms and conditions, warranties, contracts</w:t>
      </w:r>
      <w:r>
        <w:t>, policies</w:t>
      </w:r>
      <w:r w:rsidRPr="00E27038">
        <w:t>) ‘easier to understand’.</w:t>
      </w:r>
    </w:p>
    <w:p w14:paraId="76B4D63D" w14:textId="77777777" w:rsidR="00AA3994" w:rsidRDefault="00AA3994" w:rsidP="00354AA1">
      <w:pPr>
        <w:jc w:val="both"/>
      </w:pPr>
      <w:r w:rsidRPr="00552A81">
        <w:t>What is striking about these suggestions is how closely they mirror the considerations arising out of the guiding principles to be heard, to develop and to act in a child’s best interests.</w:t>
      </w:r>
      <w:r>
        <w:t xml:space="preserve"> Implementation of a number of these suggested measures could assist business in ensuring that the rights of children are being upheld within the online consumer context. </w:t>
      </w:r>
    </w:p>
    <w:p w14:paraId="128BC658" w14:textId="016F7DC1" w:rsidR="00AA3994" w:rsidRDefault="00AA3994" w:rsidP="00354AA1">
      <w:pPr>
        <w:jc w:val="both"/>
      </w:pPr>
      <w:r w:rsidRPr="00552A81">
        <w:t>It also provides business with the opportunity to change children’s opinions about how business is viewed and provides government</w:t>
      </w:r>
      <w:r w:rsidR="000379B5">
        <w:t>s</w:t>
      </w:r>
      <w:r w:rsidRPr="00552A81">
        <w:t xml:space="preserve"> with the opportunity to support business in these actions by ensuring that the best interests of the child are being met by the private sector within the consumer context.</w:t>
      </w:r>
      <w:r w:rsidRPr="00552A81">
        <w:rPr>
          <w:rStyle w:val="EndnoteReference"/>
        </w:rPr>
        <w:endnoteReference w:id="419"/>
      </w:r>
    </w:p>
    <w:p w14:paraId="454F1DA8" w14:textId="2997A006" w:rsidR="00AA3994" w:rsidRDefault="00092E8A" w:rsidP="00354AA1">
      <w:pPr>
        <w:jc w:val="both"/>
      </w:pPr>
      <w:r w:rsidRPr="00C133A0">
        <w:rPr>
          <w:noProof/>
        </w:rPr>
        <w:lastRenderedPageBreak/>
        <mc:AlternateContent>
          <mc:Choice Requires="wps">
            <w:drawing>
              <wp:inline distT="0" distB="0" distL="0" distR="0" wp14:anchorId="38E2C3FF" wp14:editId="41FBA781">
                <wp:extent cx="5759450" cy="6496216"/>
                <wp:effectExtent l="0" t="0" r="12700" b="19050"/>
                <wp:docPr id="19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9450" cy="6496216"/>
                        </a:xfrm>
                        <a:prstGeom prst="rect">
                          <a:avLst/>
                        </a:prstGeom>
                        <a:solidFill>
                          <a:srgbClr val="FFFFFF"/>
                        </a:solidFill>
                        <a:ln w="9525">
                          <a:solidFill>
                            <a:srgbClr val="000000"/>
                          </a:solidFill>
                          <a:miter lim="800000"/>
                          <a:headEnd/>
                          <a:tailEnd/>
                        </a:ln>
                      </wps:spPr>
                      <wps:txbx>
                        <w:txbxContent>
                          <w:p w14:paraId="3B0E809B" w14:textId="77777777" w:rsidR="00F008D2" w:rsidRPr="00C133A0" w:rsidRDefault="00F008D2" w:rsidP="00092E8A">
                            <w:pPr>
                              <w:rPr>
                                <w:b/>
                                <w:bCs/>
                              </w:rPr>
                            </w:pPr>
                            <w:r>
                              <w:rPr>
                                <w:b/>
                                <w:bCs/>
                              </w:rPr>
                              <w:t xml:space="preserve">Summary – </w:t>
                            </w:r>
                            <w:r w:rsidRPr="00C133A0">
                              <w:rPr>
                                <w:b/>
                                <w:bCs/>
                              </w:rPr>
                              <w:t>Consultations</w:t>
                            </w:r>
                            <w:r>
                              <w:rPr>
                                <w:b/>
                                <w:bCs/>
                              </w:rPr>
                              <w:t>:</w:t>
                            </w:r>
                            <w:r w:rsidRPr="00C133A0">
                              <w:rPr>
                                <w:b/>
                                <w:bCs/>
                              </w:rPr>
                              <w:t xml:space="preserve"> what do children say?</w:t>
                            </w:r>
                          </w:p>
                          <w:p w14:paraId="63563B01" w14:textId="77777777" w:rsidR="00F008D2" w:rsidRDefault="00F008D2" w:rsidP="000D1D92">
                            <w:pPr>
                              <w:pStyle w:val="ListParagraph"/>
                              <w:numPr>
                                <w:ilvl w:val="0"/>
                                <w:numId w:val="24"/>
                              </w:numPr>
                            </w:pPr>
                            <w:r>
                              <w:t>C</w:t>
                            </w:r>
                            <w:r w:rsidRPr="00030874">
                              <w:t>hildren are either not availing themselves of financial advice services for this purpose or were grossly underrepresented</w:t>
                            </w:r>
                          </w:p>
                          <w:p w14:paraId="7E227737" w14:textId="77777777" w:rsidR="00F008D2" w:rsidRDefault="00F008D2" w:rsidP="00092E8A">
                            <w:pPr>
                              <w:pStyle w:val="ListParagraph"/>
                            </w:pPr>
                          </w:p>
                          <w:p w14:paraId="0B4481BA" w14:textId="77777777" w:rsidR="00F008D2" w:rsidRDefault="00F008D2" w:rsidP="000D1D92">
                            <w:pPr>
                              <w:pStyle w:val="ListParagraph"/>
                              <w:numPr>
                                <w:ilvl w:val="0"/>
                                <w:numId w:val="24"/>
                              </w:numPr>
                            </w:pPr>
                            <w:r>
                              <w:t>Consultations revealed</w:t>
                            </w:r>
                            <w:r w:rsidRPr="00030874">
                              <w:t xml:space="preserve"> that children are significant users of the internet as consumers</w:t>
                            </w:r>
                          </w:p>
                          <w:p w14:paraId="5E318314" w14:textId="77777777" w:rsidR="00F008D2" w:rsidRDefault="00F008D2" w:rsidP="00092E8A">
                            <w:pPr>
                              <w:pStyle w:val="ListParagraph"/>
                            </w:pPr>
                          </w:p>
                          <w:p w14:paraId="2C7E6D2F" w14:textId="77777777" w:rsidR="00F008D2" w:rsidRDefault="00F008D2" w:rsidP="000D1D92">
                            <w:pPr>
                              <w:pStyle w:val="ListParagraph"/>
                              <w:numPr>
                                <w:ilvl w:val="0"/>
                                <w:numId w:val="24"/>
                              </w:numPr>
                            </w:pPr>
                            <w:r w:rsidRPr="00030874">
                              <w:t>The focus on leisure and entertainment reflects the importance of access to such products by children in light of their right to development</w:t>
                            </w:r>
                          </w:p>
                          <w:p w14:paraId="092F7287" w14:textId="77777777" w:rsidR="00F008D2" w:rsidRDefault="00F008D2" w:rsidP="00092E8A">
                            <w:pPr>
                              <w:pStyle w:val="ListParagraph"/>
                            </w:pPr>
                          </w:p>
                          <w:p w14:paraId="7C495F55" w14:textId="7334AF3E" w:rsidR="00F008D2" w:rsidRDefault="00F008D2" w:rsidP="000D1D92">
                            <w:pPr>
                              <w:pStyle w:val="ListParagraph"/>
                              <w:numPr>
                                <w:ilvl w:val="0"/>
                                <w:numId w:val="24"/>
                              </w:numPr>
                            </w:pPr>
                            <w:r w:rsidRPr="00030874">
                              <w:t>Ad</w:t>
                            </w:r>
                            <w:r>
                              <w:t>vertisements</w:t>
                            </w:r>
                            <w:r w:rsidRPr="00030874">
                              <w:t xml:space="preserve"> were the next most commonly cited factor influencing decisions after family and friends</w:t>
                            </w:r>
                          </w:p>
                          <w:p w14:paraId="25DB4C39" w14:textId="77777777" w:rsidR="00F008D2" w:rsidRDefault="00F008D2" w:rsidP="00092E8A">
                            <w:pPr>
                              <w:pStyle w:val="ListParagraph"/>
                            </w:pPr>
                          </w:p>
                          <w:p w14:paraId="6907E26C" w14:textId="32C359ED" w:rsidR="00F008D2" w:rsidRDefault="00F008D2" w:rsidP="000D1D92">
                            <w:pPr>
                              <w:pStyle w:val="ListParagraph"/>
                              <w:numPr>
                                <w:ilvl w:val="0"/>
                                <w:numId w:val="24"/>
                              </w:numPr>
                            </w:pPr>
                            <w:r w:rsidRPr="00DF2F8E">
                              <w:t>The internet was being used by children as a type of ‘market research’ tool</w:t>
                            </w:r>
                            <w:r>
                              <w:t>,</w:t>
                            </w:r>
                            <w:r w:rsidRPr="00DF2F8E">
                              <w:t xml:space="preserve"> reinforcing the significance of certain forms of online advertising</w:t>
                            </w:r>
                            <w:r>
                              <w:t xml:space="preserve"> and online privacy concerns</w:t>
                            </w:r>
                          </w:p>
                          <w:p w14:paraId="6E864085" w14:textId="77777777" w:rsidR="00F008D2" w:rsidRDefault="00F008D2" w:rsidP="00092E8A">
                            <w:pPr>
                              <w:pStyle w:val="ListParagraph"/>
                            </w:pPr>
                          </w:p>
                          <w:p w14:paraId="2F660EC0" w14:textId="4733E2D2" w:rsidR="00F008D2" w:rsidRPr="00F22ECA" w:rsidRDefault="00F008D2" w:rsidP="000D1D92">
                            <w:pPr>
                              <w:pStyle w:val="ListParagraph"/>
                              <w:numPr>
                                <w:ilvl w:val="0"/>
                                <w:numId w:val="24"/>
                              </w:numPr>
                            </w:pPr>
                            <w:r w:rsidRPr="00F22ECA">
                              <w:t xml:space="preserve">While participants seemed more knowledgeable about offline returns processes this did not seem to translate to the online consumer context </w:t>
                            </w:r>
                          </w:p>
                          <w:p w14:paraId="7950ACE5" w14:textId="77777777" w:rsidR="00F008D2" w:rsidRPr="00680F72" w:rsidRDefault="00F008D2" w:rsidP="00092E8A">
                            <w:pPr>
                              <w:pStyle w:val="ListParagraph"/>
                            </w:pPr>
                          </w:p>
                          <w:p w14:paraId="2705C288" w14:textId="77777777" w:rsidR="00F008D2" w:rsidRDefault="00F008D2" w:rsidP="000D1D92">
                            <w:pPr>
                              <w:pStyle w:val="ListParagraph"/>
                              <w:numPr>
                                <w:ilvl w:val="0"/>
                                <w:numId w:val="24"/>
                              </w:numPr>
                            </w:pPr>
                            <w:r w:rsidRPr="00680F72">
                              <w:t>There was a general tendency to believe that</w:t>
                            </w:r>
                            <w:r>
                              <w:t xml:space="preserve"> the onus to fix a</w:t>
                            </w:r>
                            <w:r w:rsidRPr="00680F72">
                              <w:t xml:space="preserve"> problem was </w:t>
                            </w:r>
                            <w:r>
                              <w:t>on</w:t>
                            </w:r>
                            <w:r w:rsidRPr="00680F72">
                              <w:t xml:space="preserve"> the consumer </w:t>
                            </w:r>
                          </w:p>
                          <w:p w14:paraId="2304A044" w14:textId="77777777" w:rsidR="00F008D2" w:rsidRDefault="00F008D2" w:rsidP="00092E8A">
                            <w:pPr>
                              <w:pStyle w:val="ListParagraph"/>
                            </w:pPr>
                          </w:p>
                          <w:p w14:paraId="038527C6" w14:textId="2C917186" w:rsidR="00F008D2" w:rsidRPr="00680F72" w:rsidRDefault="00F008D2" w:rsidP="000D1D92">
                            <w:pPr>
                              <w:pStyle w:val="ListParagraph"/>
                              <w:numPr>
                                <w:ilvl w:val="0"/>
                                <w:numId w:val="24"/>
                              </w:numPr>
                            </w:pPr>
                            <w:r>
                              <w:t>W</w:t>
                            </w:r>
                            <w:r w:rsidRPr="00680F72">
                              <w:t xml:space="preserve">hile </w:t>
                            </w:r>
                            <w:r>
                              <w:t>there was awareness</w:t>
                            </w:r>
                            <w:r w:rsidRPr="00680F72">
                              <w:t xml:space="preserve"> </w:t>
                            </w:r>
                            <w:r>
                              <w:t>of</w:t>
                            </w:r>
                            <w:r w:rsidRPr="00680F72">
                              <w:t xml:space="preserve"> formal avenues</w:t>
                            </w:r>
                            <w:r>
                              <w:t xml:space="preserve"> for redress, participants</w:t>
                            </w:r>
                            <w:r w:rsidRPr="00680F72">
                              <w:t xml:space="preserve"> were unclear of any specific options</w:t>
                            </w:r>
                          </w:p>
                          <w:p w14:paraId="26538CF4" w14:textId="77777777" w:rsidR="00F008D2" w:rsidRPr="00680F72" w:rsidRDefault="00F008D2" w:rsidP="00092E8A">
                            <w:pPr>
                              <w:pStyle w:val="ListParagraph"/>
                            </w:pPr>
                          </w:p>
                          <w:p w14:paraId="6E53450E" w14:textId="77777777" w:rsidR="00F008D2" w:rsidRPr="00680F72" w:rsidRDefault="00F008D2" w:rsidP="000D1D92">
                            <w:pPr>
                              <w:pStyle w:val="ListParagraph"/>
                              <w:numPr>
                                <w:ilvl w:val="0"/>
                                <w:numId w:val="24"/>
                              </w:numPr>
                            </w:pPr>
                            <w:r w:rsidRPr="00680F72">
                              <w:t xml:space="preserve">There was little confidence in the ability to enforce rights in a transnational context </w:t>
                            </w:r>
                          </w:p>
                          <w:p w14:paraId="0B8D10D1" w14:textId="77777777" w:rsidR="00F008D2" w:rsidRPr="00680F72" w:rsidRDefault="00F008D2" w:rsidP="00092E8A">
                            <w:pPr>
                              <w:pStyle w:val="ListParagraph"/>
                            </w:pPr>
                          </w:p>
                          <w:p w14:paraId="3DCAD69A" w14:textId="77777777" w:rsidR="00F008D2" w:rsidRPr="00AF2AD2" w:rsidRDefault="00F008D2" w:rsidP="000D1D92">
                            <w:pPr>
                              <w:pStyle w:val="ListParagraph"/>
                              <w:numPr>
                                <w:ilvl w:val="0"/>
                                <w:numId w:val="24"/>
                              </w:numPr>
                            </w:pPr>
                            <w:r>
                              <w:t>There was a belief that companies should assist</w:t>
                            </w:r>
                            <w:r w:rsidRPr="00680F72">
                              <w:t xml:space="preserve"> children </w:t>
                            </w:r>
                            <w:r>
                              <w:t>and</w:t>
                            </w:r>
                            <w:r w:rsidRPr="00680F72">
                              <w:t xml:space="preserve"> make information (terms and conditions, warranties, co</w:t>
                            </w:r>
                            <w:r>
                              <w:t>ntracts, policies) easier to understand.</w:t>
                            </w:r>
                          </w:p>
                        </w:txbxContent>
                      </wps:txbx>
                      <wps:bodyPr rot="0" vert="horz" wrap="square" lIns="91440" tIns="45720" rIns="91440" bIns="45720" anchor="t" anchorCtr="0">
                        <a:noAutofit/>
                      </wps:bodyPr>
                    </wps:wsp>
                  </a:graphicData>
                </a:graphic>
              </wp:inline>
            </w:drawing>
          </mc:Choice>
          <mc:Fallback>
            <w:pict>
              <v:shape w14:anchorId="38E2C3FF" id="_x0000_s1031" type="#_x0000_t202" style="width:453.5pt;height:51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dXsJwIAAE4EAAAOAAAAZHJzL2Uyb0RvYy54bWysVM1u2zAMvg/YOwi6L06MOG2MOEWXLsOA&#10;rhvQ7gFkWY6FSaImKbGzpx8lp2n2dxnmg0CK1EfyI+nVzaAVOQjnJZiKziZTSoTh0Eizq+iXp+2b&#10;a0p8YKZhCoyo6FF4erN+/WrV21Lk0IFqhCMIYnzZ24p2IdgyyzzvhGZ+AlYYNLbgNAuoul3WONYj&#10;ulZZPp0ush5cYx1w4T3e3o1Guk74bSt4+NS2XgSiKoq5hXS6dNbxzNYrVu4cs53kpzTYP2ShmTQY&#10;9Ax1xwIjeyd/g9KSO/DQhgkHnUHbSi5SDVjNbPpLNY8dsyLVguR4e6bJ/z9Y/nD47IhssHdLbJVh&#10;Gpv0JIZA3sJA8shPb32Jbo8WHcOA1+ibavX2HvhXTwxsOmZ24tY56DvBGsxvFl9mF09HHB9B6v4j&#10;NBiG7QMkoKF1OpKHdBBExz4dz72JqXC8LK6K5bxAE0fbYr5c5LNFisHK5+fW+fBegCZRqKjD5id4&#10;drj3IabDymeXGM2Dks1WKpUUt6s3ypEDw0HZpu+E/pObMqSv6LLIi5GBv0JM0/cnCC0DTrySuqLX&#10;ZydWRt7emSbNY2BSjTKmrMyJyMjdyGIY6iH1rIgBIsk1NEdk1sE44LiQKHTgvlPS43BX1H/bMyco&#10;UR8Mdmc5m8/jNiRlXlzlqLhLS31pYYYjVEUDJaO4CWmDIm8GbrGLrUz8vmRyShmHNtF+WrC4FZd6&#10;8nr5Dax/AAAA//8DAFBLAwQUAAYACAAAACEA8rOcb9wAAAAGAQAADwAAAGRycy9kb3ducmV2Lnht&#10;bEyPzU7DMBCE70i8g7VIXBC1aVF/QpwKIYHgVgqCqxtvkwh7HWw3DW/PwgUuK41mNPtNuR69EwPG&#10;1AXScDVRIJDqYDtqNLy+3F8uQaRsyBoXCDV8YYJ1dXpSmsKGIz3jsM2N4BJKhdHQ5twXUqa6RW/S&#10;JPRI7O1D9CazjI200Ry53Ds5VWouvemIP7Smx7sW64/twWtYXj8O7+lptnmr53u3yheL4eEzan1+&#10;Nt7egMg45r8w/OAzOlTMtAsHskk4DTwk/172VmrBcschNZ0pkFUp/+NX3wAAAP//AwBQSwECLQAU&#10;AAYACAAAACEAtoM4kv4AAADhAQAAEwAAAAAAAAAAAAAAAAAAAAAAW0NvbnRlbnRfVHlwZXNdLnht&#10;bFBLAQItABQABgAIAAAAIQA4/SH/1gAAAJQBAAALAAAAAAAAAAAAAAAAAC8BAABfcmVscy8ucmVs&#10;c1BLAQItABQABgAIAAAAIQB2+dXsJwIAAE4EAAAOAAAAAAAAAAAAAAAAAC4CAABkcnMvZTJvRG9j&#10;LnhtbFBLAQItABQABgAIAAAAIQDys5xv3AAAAAYBAAAPAAAAAAAAAAAAAAAAAIEEAABkcnMvZG93&#10;bnJldi54bWxQSwUGAAAAAAQABADzAAAAigUAAAAA&#10;">
                <v:textbox>
                  <w:txbxContent>
                    <w:p w14:paraId="3B0E809B" w14:textId="77777777" w:rsidR="00F008D2" w:rsidRPr="00C133A0" w:rsidRDefault="00F008D2" w:rsidP="00092E8A">
                      <w:pPr>
                        <w:rPr>
                          <w:b/>
                          <w:bCs/>
                        </w:rPr>
                      </w:pPr>
                      <w:r>
                        <w:rPr>
                          <w:b/>
                          <w:bCs/>
                        </w:rPr>
                        <w:t xml:space="preserve">Summary – </w:t>
                      </w:r>
                      <w:r w:rsidRPr="00C133A0">
                        <w:rPr>
                          <w:b/>
                          <w:bCs/>
                        </w:rPr>
                        <w:t>Consultations</w:t>
                      </w:r>
                      <w:r>
                        <w:rPr>
                          <w:b/>
                          <w:bCs/>
                        </w:rPr>
                        <w:t>:</w:t>
                      </w:r>
                      <w:r w:rsidRPr="00C133A0">
                        <w:rPr>
                          <w:b/>
                          <w:bCs/>
                        </w:rPr>
                        <w:t xml:space="preserve"> what do children say?</w:t>
                      </w:r>
                    </w:p>
                    <w:p w14:paraId="63563B01" w14:textId="77777777" w:rsidR="00F008D2" w:rsidRDefault="00F008D2" w:rsidP="000D1D92">
                      <w:pPr>
                        <w:pStyle w:val="ListParagraph"/>
                        <w:numPr>
                          <w:ilvl w:val="0"/>
                          <w:numId w:val="24"/>
                        </w:numPr>
                      </w:pPr>
                      <w:r>
                        <w:t>C</w:t>
                      </w:r>
                      <w:r w:rsidRPr="00030874">
                        <w:t>hildren are either not availing themselves of financial advice services for this purpose or were grossly underrepresented</w:t>
                      </w:r>
                    </w:p>
                    <w:p w14:paraId="7E227737" w14:textId="77777777" w:rsidR="00F008D2" w:rsidRDefault="00F008D2" w:rsidP="00092E8A">
                      <w:pPr>
                        <w:pStyle w:val="ListParagraph"/>
                      </w:pPr>
                    </w:p>
                    <w:p w14:paraId="0B4481BA" w14:textId="77777777" w:rsidR="00F008D2" w:rsidRDefault="00F008D2" w:rsidP="000D1D92">
                      <w:pPr>
                        <w:pStyle w:val="ListParagraph"/>
                        <w:numPr>
                          <w:ilvl w:val="0"/>
                          <w:numId w:val="24"/>
                        </w:numPr>
                      </w:pPr>
                      <w:r>
                        <w:t>Consultations revealed</w:t>
                      </w:r>
                      <w:r w:rsidRPr="00030874">
                        <w:t xml:space="preserve"> that children are significant users of the internet as consumers</w:t>
                      </w:r>
                    </w:p>
                    <w:p w14:paraId="5E318314" w14:textId="77777777" w:rsidR="00F008D2" w:rsidRDefault="00F008D2" w:rsidP="00092E8A">
                      <w:pPr>
                        <w:pStyle w:val="ListParagraph"/>
                      </w:pPr>
                    </w:p>
                    <w:p w14:paraId="2C7E6D2F" w14:textId="77777777" w:rsidR="00F008D2" w:rsidRDefault="00F008D2" w:rsidP="000D1D92">
                      <w:pPr>
                        <w:pStyle w:val="ListParagraph"/>
                        <w:numPr>
                          <w:ilvl w:val="0"/>
                          <w:numId w:val="24"/>
                        </w:numPr>
                      </w:pPr>
                      <w:r w:rsidRPr="00030874">
                        <w:t>The focus on leisure and entertainment reflects the importance of access to such products by children in light of their right to development</w:t>
                      </w:r>
                    </w:p>
                    <w:p w14:paraId="092F7287" w14:textId="77777777" w:rsidR="00F008D2" w:rsidRDefault="00F008D2" w:rsidP="00092E8A">
                      <w:pPr>
                        <w:pStyle w:val="ListParagraph"/>
                      </w:pPr>
                    </w:p>
                    <w:p w14:paraId="7C495F55" w14:textId="7334AF3E" w:rsidR="00F008D2" w:rsidRDefault="00F008D2" w:rsidP="000D1D92">
                      <w:pPr>
                        <w:pStyle w:val="ListParagraph"/>
                        <w:numPr>
                          <w:ilvl w:val="0"/>
                          <w:numId w:val="24"/>
                        </w:numPr>
                      </w:pPr>
                      <w:r w:rsidRPr="00030874">
                        <w:t>Ad</w:t>
                      </w:r>
                      <w:r>
                        <w:t>vertisements</w:t>
                      </w:r>
                      <w:r w:rsidRPr="00030874">
                        <w:t xml:space="preserve"> were the next most commonly cited factor influencing decisions after family and friends</w:t>
                      </w:r>
                    </w:p>
                    <w:p w14:paraId="25DB4C39" w14:textId="77777777" w:rsidR="00F008D2" w:rsidRDefault="00F008D2" w:rsidP="00092E8A">
                      <w:pPr>
                        <w:pStyle w:val="ListParagraph"/>
                      </w:pPr>
                    </w:p>
                    <w:p w14:paraId="6907E26C" w14:textId="32C359ED" w:rsidR="00F008D2" w:rsidRDefault="00F008D2" w:rsidP="000D1D92">
                      <w:pPr>
                        <w:pStyle w:val="ListParagraph"/>
                        <w:numPr>
                          <w:ilvl w:val="0"/>
                          <w:numId w:val="24"/>
                        </w:numPr>
                      </w:pPr>
                      <w:r w:rsidRPr="00DF2F8E">
                        <w:t>The internet was being used by children as a type of ‘market research’ tool</w:t>
                      </w:r>
                      <w:r>
                        <w:t>,</w:t>
                      </w:r>
                      <w:r w:rsidRPr="00DF2F8E">
                        <w:t xml:space="preserve"> reinforcing the significance of certain forms of online advertising</w:t>
                      </w:r>
                      <w:r>
                        <w:t xml:space="preserve"> and online privacy concerns</w:t>
                      </w:r>
                    </w:p>
                    <w:p w14:paraId="6E864085" w14:textId="77777777" w:rsidR="00F008D2" w:rsidRDefault="00F008D2" w:rsidP="00092E8A">
                      <w:pPr>
                        <w:pStyle w:val="ListParagraph"/>
                      </w:pPr>
                    </w:p>
                    <w:p w14:paraId="2F660EC0" w14:textId="4733E2D2" w:rsidR="00F008D2" w:rsidRPr="00F22ECA" w:rsidRDefault="00F008D2" w:rsidP="000D1D92">
                      <w:pPr>
                        <w:pStyle w:val="ListParagraph"/>
                        <w:numPr>
                          <w:ilvl w:val="0"/>
                          <w:numId w:val="24"/>
                        </w:numPr>
                      </w:pPr>
                      <w:r w:rsidRPr="00F22ECA">
                        <w:t xml:space="preserve">While participants seemed more knowledgeable about offline returns processes this did not seem to translate to the online consumer context </w:t>
                      </w:r>
                    </w:p>
                    <w:p w14:paraId="7950ACE5" w14:textId="77777777" w:rsidR="00F008D2" w:rsidRPr="00680F72" w:rsidRDefault="00F008D2" w:rsidP="00092E8A">
                      <w:pPr>
                        <w:pStyle w:val="ListParagraph"/>
                      </w:pPr>
                    </w:p>
                    <w:p w14:paraId="2705C288" w14:textId="77777777" w:rsidR="00F008D2" w:rsidRDefault="00F008D2" w:rsidP="000D1D92">
                      <w:pPr>
                        <w:pStyle w:val="ListParagraph"/>
                        <w:numPr>
                          <w:ilvl w:val="0"/>
                          <w:numId w:val="24"/>
                        </w:numPr>
                      </w:pPr>
                      <w:r w:rsidRPr="00680F72">
                        <w:t>There was a general tendency to believe that</w:t>
                      </w:r>
                      <w:r>
                        <w:t xml:space="preserve"> the onus to fix a</w:t>
                      </w:r>
                      <w:r w:rsidRPr="00680F72">
                        <w:t xml:space="preserve"> problem was </w:t>
                      </w:r>
                      <w:r>
                        <w:t>on</w:t>
                      </w:r>
                      <w:r w:rsidRPr="00680F72">
                        <w:t xml:space="preserve"> the consumer </w:t>
                      </w:r>
                    </w:p>
                    <w:p w14:paraId="2304A044" w14:textId="77777777" w:rsidR="00F008D2" w:rsidRDefault="00F008D2" w:rsidP="00092E8A">
                      <w:pPr>
                        <w:pStyle w:val="ListParagraph"/>
                      </w:pPr>
                    </w:p>
                    <w:p w14:paraId="038527C6" w14:textId="2C917186" w:rsidR="00F008D2" w:rsidRPr="00680F72" w:rsidRDefault="00F008D2" w:rsidP="000D1D92">
                      <w:pPr>
                        <w:pStyle w:val="ListParagraph"/>
                        <w:numPr>
                          <w:ilvl w:val="0"/>
                          <w:numId w:val="24"/>
                        </w:numPr>
                      </w:pPr>
                      <w:r>
                        <w:t>W</w:t>
                      </w:r>
                      <w:r w:rsidRPr="00680F72">
                        <w:t xml:space="preserve">hile </w:t>
                      </w:r>
                      <w:r>
                        <w:t>there was awareness</w:t>
                      </w:r>
                      <w:r w:rsidRPr="00680F72">
                        <w:t xml:space="preserve"> </w:t>
                      </w:r>
                      <w:r>
                        <w:t>of</w:t>
                      </w:r>
                      <w:r w:rsidRPr="00680F72">
                        <w:t xml:space="preserve"> formal avenues</w:t>
                      </w:r>
                      <w:r>
                        <w:t xml:space="preserve"> for redress, participants</w:t>
                      </w:r>
                      <w:r w:rsidRPr="00680F72">
                        <w:t xml:space="preserve"> were unclear of any specific options</w:t>
                      </w:r>
                    </w:p>
                    <w:p w14:paraId="26538CF4" w14:textId="77777777" w:rsidR="00F008D2" w:rsidRPr="00680F72" w:rsidRDefault="00F008D2" w:rsidP="00092E8A">
                      <w:pPr>
                        <w:pStyle w:val="ListParagraph"/>
                      </w:pPr>
                    </w:p>
                    <w:p w14:paraId="6E53450E" w14:textId="77777777" w:rsidR="00F008D2" w:rsidRPr="00680F72" w:rsidRDefault="00F008D2" w:rsidP="000D1D92">
                      <w:pPr>
                        <w:pStyle w:val="ListParagraph"/>
                        <w:numPr>
                          <w:ilvl w:val="0"/>
                          <w:numId w:val="24"/>
                        </w:numPr>
                      </w:pPr>
                      <w:r w:rsidRPr="00680F72">
                        <w:t xml:space="preserve">There was little confidence in the ability to enforce rights in a transnational context </w:t>
                      </w:r>
                    </w:p>
                    <w:p w14:paraId="0B8D10D1" w14:textId="77777777" w:rsidR="00F008D2" w:rsidRPr="00680F72" w:rsidRDefault="00F008D2" w:rsidP="00092E8A">
                      <w:pPr>
                        <w:pStyle w:val="ListParagraph"/>
                      </w:pPr>
                    </w:p>
                    <w:p w14:paraId="3DCAD69A" w14:textId="77777777" w:rsidR="00F008D2" w:rsidRPr="00AF2AD2" w:rsidRDefault="00F008D2" w:rsidP="000D1D92">
                      <w:pPr>
                        <w:pStyle w:val="ListParagraph"/>
                        <w:numPr>
                          <w:ilvl w:val="0"/>
                          <w:numId w:val="24"/>
                        </w:numPr>
                      </w:pPr>
                      <w:r>
                        <w:t>There was a belief that companies should assist</w:t>
                      </w:r>
                      <w:r w:rsidRPr="00680F72">
                        <w:t xml:space="preserve"> children </w:t>
                      </w:r>
                      <w:r>
                        <w:t>and</w:t>
                      </w:r>
                      <w:r w:rsidRPr="00680F72">
                        <w:t xml:space="preserve"> make information (terms and conditions, warranties, co</w:t>
                      </w:r>
                      <w:r>
                        <w:t>ntracts, policies) easier to understand.</w:t>
                      </w:r>
                    </w:p>
                  </w:txbxContent>
                </v:textbox>
                <w10:anchorlock/>
              </v:shape>
            </w:pict>
          </mc:Fallback>
        </mc:AlternateContent>
      </w:r>
    </w:p>
    <w:p w14:paraId="07318D7A" w14:textId="77777777" w:rsidR="00AA3994" w:rsidRDefault="00AA3994" w:rsidP="00354AA1">
      <w:pPr>
        <w:pStyle w:val="Heading2"/>
        <w:jc w:val="both"/>
      </w:pPr>
      <w:bookmarkStart w:id="134" w:name="_Toc430333107"/>
      <w:bookmarkStart w:id="135" w:name="_Toc430702100"/>
      <w:bookmarkStart w:id="136" w:name="_Toc432577318"/>
      <w:r>
        <w:t>Conclusion: summary &amp; key concerns</w:t>
      </w:r>
      <w:bookmarkEnd w:id="134"/>
      <w:bookmarkEnd w:id="135"/>
      <w:bookmarkEnd w:id="136"/>
    </w:p>
    <w:p w14:paraId="130D33D3" w14:textId="77777777" w:rsidR="00AA3994" w:rsidRDefault="00AA3994" w:rsidP="00354AA1">
      <w:pPr>
        <w:pStyle w:val="SubmissionNormal"/>
        <w:numPr>
          <w:ilvl w:val="0"/>
          <w:numId w:val="0"/>
        </w:numPr>
        <w:jc w:val="both"/>
      </w:pPr>
      <w:r>
        <w:t>The globalisation, not only of business, but of</w:t>
      </w:r>
      <w:r w:rsidRPr="00F47491">
        <w:t xml:space="preserve"> technology across communities</w:t>
      </w:r>
      <w:r>
        <w:t xml:space="preserve"> necessitates a re-evaluation of children’s relationship with business. This is particularly pressing in light of the impact of the i</w:t>
      </w:r>
      <w:r w:rsidRPr="00F47491">
        <w:t xml:space="preserve">nternet </w:t>
      </w:r>
      <w:r>
        <w:t>on redefining</w:t>
      </w:r>
      <w:r w:rsidRPr="00F47491">
        <w:t xml:space="preserve"> business </w:t>
      </w:r>
      <w:r>
        <w:t xml:space="preserve">operations </w:t>
      </w:r>
      <w:r w:rsidRPr="00F47491">
        <w:t>and</w:t>
      </w:r>
      <w:r>
        <w:t xml:space="preserve"> in</w:t>
      </w:r>
      <w:r w:rsidRPr="00F47491">
        <w:t xml:space="preserve"> </w:t>
      </w:r>
      <w:r>
        <w:t>facilitating the emergence of children as on</w:t>
      </w:r>
      <w:r w:rsidRPr="00F47491">
        <w:t>line consumers.</w:t>
      </w:r>
    </w:p>
    <w:p w14:paraId="7C89E976" w14:textId="6CA8FB70" w:rsidR="00AA3994" w:rsidRDefault="00AA3994" w:rsidP="00354AA1">
      <w:pPr>
        <w:pStyle w:val="SubmissionNormal"/>
        <w:numPr>
          <w:ilvl w:val="0"/>
          <w:numId w:val="0"/>
        </w:numPr>
        <w:jc w:val="both"/>
      </w:pPr>
      <w:r>
        <w:t>The internet is</w:t>
      </w:r>
      <w:r w:rsidRPr="00F47491">
        <w:t xml:space="preserve"> </w:t>
      </w:r>
      <w:r>
        <w:t xml:space="preserve">being </w:t>
      </w:r>
      <w:r w:rsidRPr="00F47491">
        <w:t xml:space="preserve">used </w:t>
      </w:r>
      <w:r>
        <w:t xml:space="preserve">by children </w:t>
      </w:r>
      <w:r w:rsidRPr="00F47491">
        <w:t>as an information channel to resear</w:t>
      </w:r>
      <w:r>
        <w:t>ch products and to shop online with access proliferating through fixed and mobile platforms. It has also led to more ‘</w:t>
      </w:r>
      <w:r w:rsidRPr="00F47491">
        <w:t>creative</w:t>
      </w:r>
      <w:r>
        <w:t>’</w:t>
      </w:r>
      <w:r w:rsidRPr="00F47491">
        <w:t xml:space="preserve"> forms of consumption</w:t>
      </w:r>
      <w:r>
        <w:t xml:space="preserve"> that blur the lines between advertiser and product as well as purchaser and seller.</w:t>
      </w:r>
    </w:p>
    <w:p w14:paraId="51CE3C77" w14:textId="29C2F56B" w:rsidR="00AA3994" w:rsidRDefault="00AA3994" w:rsidP="00354AA1">
      <w:pPr>
        <w:jc w:val="both"/>
      </w:pPr>
      <w:r>
        <w:lastRenderedPageBreak/>
        <w:t xml:space="preserve">Research </w:t>
      </w:r>
      <w:r w:rsidRPr="00F47491">
        <w:t>describes</w:t>
      </w:r>
      <w:r>
        <w:t xml:space="preserve"> the importance of consumer activities to children as integrally linked to the shift into ‘adulthood’ in </w:t>
      </w:r>
      <w:r w:rsidRPr="00F47491">
        <w:t>learning to exercise decisio</w:t>
      </w:r>
      <w:r>
        <w:t>ns independent</w:t>
      </w:r>
      <w:r w:rsidR="002C4A3B">
        <w:t>ly</w:t>
      </w:r>
      <w:r>
        <w:t xml:space="preserve"> from parents/guardians. The outcomes of consultations with children undertaken for this examination support this focus on children’s independent identity in</w:t>
      </w:r>
      <w:r w:rsidRPr="00F47491">
        <w:t xml:space="preserve"> </w:t>
      </w:r>
      <w:r>
        <w:t>the types of on</w:t>
      </w:r>
      <w:r w:rsidRPr="00F47491">
        <w:t xml:space="preserve">line </w:t>
      </w:r>
      <w:r>
        <w:t>products purchased primarily for</w:t>
      </w:r>
      <w:r w:rsidRPr="00F47491">
        <w:t xml:space="preserve"> leisure/entertainment </w:t>
      </w:r>
      <w:r>
        <w:t xml:space="preserve">purposes. The internet also facilitates wider access to such options through increased </w:t>
      </w:r>
      <w:r w:rsidRPr="00F47491">
        <w:t>availability</w:t>
      </w:r>
      <w:r>
        <w:t xml:space="preserve"> and cheaper online prices</w:t>
      </w:r>
      <w:r w:rsidRPr="00F47491">
        <w:t>.</w:t>
      </w:r>
      <w:r>
        <w:t xml:space="preserve"> </w:t>
      </w:r>
    </w:p>
    <w:p w14:paraId="6FF290F2" w14:textId="77777777" w:rsidR="00AA3994" w:rsidRDefault="00AA3994" w:rsidP="00354AA1">
      <w:pPr>
        <w:jc w:val="both"/>
      </w:pPr>
      <w:r>
        <w:t>Some commentators have suggested that the transforming of the internet into an increasingly ‘commercialised space’ has simultaneously occurred with the rise in its significance as an arena</w:t>
      </w:r>
      <w:r w:rsidRPr="00F47491">
        <w:t xml:space="preserve"> </w:t>
      </w:r>
      <w:r>
        <w:t>for</w:t>
      </w:r>
      <w:r w:rsidRPr="00F47491">
        <w:t xml:space="preserve"> social development and cultural participation</w:t>
      </w:r>
      <w:r>
        <w:t>. Within this context, q</w:t>
      </w:r>
      <w:r w:rsidRPr="00F47491">
        <w:t xml:space="preserve">uestions arise as to whether existing regulation has kept </w:t>
      </w:r>
      <w:r>
        <w:t>up with the rapidly changing on</w:t>
      </w:r>
      <w:r w:rsidRPr="00F47491">
        <w:t xml:space="preserve">line consumer environment as it </w:t>
      </w:r>
      <w:r>
        <w:t>relates to</w:t>
      </w:r>
      <w:r w:rsidRPr="00F47491">
        <w:t xml:space="preserve"> children.</w:t>
      </w:r>
      <w:r>
        <w:t xml:space="preserve"> </w:t>
      </w:r>
    </w:p>
    <w:p w14:paraId="47AF8D73" w14:textId="77777777" w:rsidR="00AA3994" w:rsidRDefault="00AA3994" w:rsidP="00354AA1">
      <w:pPr>
        <w:jc w:val="both"/>
      </w:pPr>
      <w:r>
        <w:t xml:space="preserve">It remains </w:t>
      </w:r>
      <w:r w:rsidRPr="00F47491">
        <w:t xml:space="preserve">unclear what problems </w:t>
      </w:r>
      <w:r>
        <w:t>children are experiencing as on</w:t>
      </w:r>
      <w:r w:rsidRPr="00F47491">
        <w:t xml:space="preserve">line consumers and whether current regulation </w:t>
      </w:r>
      <w:r>
        <w:t>remains adequate</w:t>
      </w:r>
      <w:r w:rsidRPr="00F47491">
        <w:t>.</w:t>
      </w:r>
      <w:r>
        <w:t xml:space="preserve"> Children’s role as ‘on</w:t>
      </w:r>
      <w:r w:rsidRPr="00F47491">
        <w:t xml:space="preserve">line consumers’ remains peripheral to both consumer and cyber </w:t>
      </w:r>
      <w:r>
        <w:t>academic discourses. Even i</w:t>
      </w:r>
      <w:r w:rsidRPr="00F47491">
        <w:t xml:space="preserve">nternational responses to </w:t>
      </w:r>
      <w:r>
        <w:t xml:space="preserve">the issue of children’s human rights and business have been surprisingly recent. </w:t>
      </w:r>
    </w:p>
    <w:p w14:paraId="34D2403B" w14:textId="77777777" w:rsidR="00AA3994" w:rsidRDefault="00AA3994" w:rsidP="00354AA1">
      <w:pPr>
        <w:jc w:val="both"/>
      </w:pPr>
      <w:r>
        <w:t>While non-binding in nature, the significance of the Business Principles and General Comment is in sending a clear signal about the relevance of children’s human rights to business. These initiatives also usefully provide a child rights-based framework within which to</w:t>
      </w:r>
      <w:r w:rsidRPr="00F47491">
        <w:t xml:space="preserve"> take stock of how children are treated within the Australian consumer environment</w:t>
      </w:r>
      <w:r>
        <w:t xml:space="preserve"> and in particular, the online consumer environment.</w:t>
      </w:r>
    </w:p>
    <w:p w14:paraId="00F6EDE8" w14:textId="77777777" w:rsidR="00AA3994" w:rsidRDefault="00AA3994" w:rsidP="00354AA1">
      <w:pPr>
        <w:pStyle w:val="Heading3"/>
        <w:jc w:val="both"/>
      </w:pPr>
      <w:bookmarkStart w:id="137" w:name="_Toc430333108"/>
      <w:bookmarkStart w:id="138" w:name="_Toc430702101"/>
      <w:r>
        <w:t>Key concern: privacy and advertising</w:t>
      </w:r>
      <w:bookmarkEnd w:id="137"/>
      <w:bookmarkEnd w:id="138"/>
    </w:p>
    <w:p w14:paraId="1C1181EC" w14:textId="67A9DC50" w:rsidR="00AA3994" w:rsidRDefault="00AA3994" w:rsidP="00354AA1">
      <w:pPr>
        <w:jc w:val="both"/>
      </w:pPr>
      <w:r>
        <w:t>Initial consultations with children showed t</w:t>
      </w:r>
      <w:r w:rsidRPr="00F47491">
        <w:t xml:space="preserve">he importance of </w:t>
      </w:r>
      <w:r>
        <w:t xml:space="preserve">brand </w:t>
      </w:r>
      <w:r w:rsidRPr="00F47491">
        <w:t>advertising</w:t>
      </w:r>
      <w:r>
        <w:t>, particularly</w:t>
      </w:r>
      <w:r w:rsidRPr="00F47491">
        <w:t xml:space="preserve"> </w:t>
      </w:r>
      <w:r>
        <w:t>where the internet was being</w:t>
      </w:r>
      <w:r w:rsidRPr="00F47491">
        <w:t xml:space="preserve"> used to research purchases regardless of whether the actual purchase</w:t>
      </w:r>
      <w:r>
        <w:t xml:space="preserve"> occurred</w:t>
      </w:r>
      <w:r w:rsidRPr="00F47491">
        <w:t xml:space="preserve"> offline.</w:t>
      </w:r>
      <w:r>
        <w:t xml:space="preserve"> </w:t>
      </w:r>
    </w:p>
    <w:p w14:paraId="66B20DC1" w14:textId="35A7EEBD" w:rsidR="00AA3994" w:rsidRDefault="00AA3994" w:rsidP="00354AA1">
      <w:pPr>
        <w:jc w:val="both"/>
      </w:pPr>
      <w:r>
        <w:t xml:space="preserve">Issues exist around the potential use </w:t>
      </w:r>
      <w:r w:rsidRPr="00F47491">
        <w:t>of tracking software and spyware, without the child’s knowledge</w:t>
      </w:r>
      <w:r>
        <w:t xml:space="preserve"> and the concern that </w:t>
      </w:r>
      <w:r w:rsidRPr="00F47491">
        <w:t xml:space="preserve">this ‘research into children’ (or data mining) is occurring by ‘stealth’. </w:t>
      </w:r>
      <w:r>
        <w:t>Other related on</w:t>
      </w:r>
      <w:r w:rsidRPr="00F47491">
        <w:t>line privacy concerns include receiving unsolicited emails; access to pri</w:t>
      </w:r>
      <w:r>
        <w:t>vate files; loss of anonymity on</w:t>
      </w:r>
      <w:r w:rsidRPr="00F47491">
        <w:t>line</w:t>
      </w:r>
      <w:r w:rsidR="008B4819">
        <w:t>;</w:t>
      </w:r>
      <w:r w:rsidRPr="00F47491">
        <w:t xml:space="preserve"> unauthorised sharing or disclosure of information</w:t>
      </w:r>
      <w:r w:rsidR="008B4819">
        <w:t>;</w:t>
      </w:r>
      <w:r w:rsidRPr="00F47491">
        <w:t xml:space="preserve"> and misuse of personal financial details</w:t>
      </w:r>
      <w:r>
        <w:t xml:space="preserve">. </w:t>
      </w:r>
    </w:p>
    <w:p w14:paraId="57C69458" w14:textId="067E9F82" w:rsidR="00AA3994" w:rsidRDefault="00AA3994" w:rsidP="00354AA1">
      <w:pPr>
        <w:pStyle w:val="SubmissionNormal"/>
        <w:numPr>
          <w:ilvl w:val="0"/>
          <w:numId w:val="0"/>
        </w:numPr>
        <w:jc w:val="both"/>
      </w:pPr>
      <w:r w:rsidRPr="00F47491">
        <w:t>While there is research on the influence of television advertising on children of various ages, there is little research on online advertising and its impact on children</w:t>
      </w:r>
      <w:r>
        <w:t>. In terms of b</w:t>
      </w:r>
      <w:r w:rsidRPr="00F47491">
        <w:t>reaches of privacy</w:t>
      </w:r>
      <w:r>
        <w:t xml:space="preserve"> this is an issue of particular significance </w:t>
      </w:r>
      <w:r w:rsidRPr="00F47491">
        <w:t>to th</w:t>
      </w:r>
      <w:r>
        <w:t>e children who avoid using the i</w:t>
      </w:r>
      <w:r w:rsidRPr="00F47491">
        <w:t>nternet as a consumer platform</w:t>
      </w:r>
      <w:r>
        <w:t xml:space="preserve"> altogether</w:t>
      </w:r>
      <w:r w:rsidRPr="00F47491">
        <w:t xml:space="preserve"> (and in doing so deny themselves access to the same opportunities</w:t>
      </w:r>
      <w:r>
        <w:t xml:space="preserve">). </w:t>
      </w:r>
    </w:p>
    <w:p w14:paraId="7835D36D" w14:textId="77777777" w:rsidR="00AA3994" w:rsidRDefault="00AA3994" w:rsidP="00354AA1">
      <w:pPr>
        <w:pStyle w:val="SubmissionNormal"/>
        <w:numPr>
          <w:ilvl w:val="0"/>
          <w:numId w:val="0"/>
        </w:numPr>
        <w:jc w:val="both"/>
      </w:pPr>
      <w:r>
        <w:t>The ALRC considered a number of these privacy issues and made recommendations (detailed earlier) which may need to be reconsidered in light of children actively using the internet as online consumers.</w:t>
      </w:r>
    </w:p>
    <w:p w14:paraId="43FCE62C" w14:textId="77777777" w:rsidR="00AA3994" w:rsidRPr="00F47491" w:rsidRDefault="00AA3994" w:rsidP="00354AA1">
      <w:pPr>
        <w:pStyle w:val="Heading3"/>
        <w:jc w:val="both"/>
      </w:pPr>
      <w:bookmarkStart w:id="139" w:name="_Toc430333109"/>
      <w:bookmarkStart w:id="140" w:name="_Toc430702102"/>
      <w:r>
        <w:t>Key concern: contractual complexity</w:t>
      </w:r>
      <w:bookmarkEnd w:id="139"/>
      <w:bookmarkEnd w:id="140"/>
    </w:p>
    <w:p w14:paraId="5816FD46" w14:textId="0AC7CAA4" w:rsidR="00AA3994" w:rsidRDefault="00AA3994" w:rsidP="00354AA1">
      <w:pPr>
        <w:jc w:val="both"/>
      </w:pPr>
      <w:r>
        <w:t>The issue of c</w:t>
      </w:r>
      <w:r w:rsidRPr="00F47491">
        <w:t>ontractual complexity</w:t>
      </w:r>
      <w:r>
        <w:t xml:space="preserve"> was also raised</w:t>
      </w:r>
      <w:r w:rsidR="006D279E">
        <w:t>,</w:t>
      </w:r>
      <w:r>
        <w:t xml:space="preserve"> with ‘parental consent’ in the on</w:t>
      </w:r>
      <w:r w:rsidRPr="00F47491">
        <w:t xml:space="preserve">line context widely understood </w:t>
      </w:r>
      <w:r>
        <w:t xml:space="preserve">to be a </w:t>
      </w:r>
      <w:r w:rsidRPr="00F47491">
        <w:t>safeguar</w:t>
      </w:r>
      <w:r>
        <w:t>d of children and their rights. Y</w:t>
      </w:r>
      <w:r w:rsidRPr="00F47491">
        <w:t xml:space="preserve">et it </w:t>
      </w:r>
      <w:r w:rsidRPr="00F47491">
        <w:lastRenderedPageBreak/>
        <w:t xml:space="preserve">has emerged in a number of </w:t>
      </w:r>
      <w:r>
        <w:t xml:space="preserve">international </w:t>
      </w:r>
      <w:r w:rsidRPr="00F47491">
        <w:t>studies that the process of securing informed parenta</w:t>
      </w:r>
      <w:r>
        <w:t xml:space="preserve">l consent is largely </w:t>
      </w:r>
      <w:r w:rsidRPr="0004028C">
        <w:t xml:space="preserve">inadequate. </w:t>
      </w:r>
    </w:p>
    <w:p w14:paraId="04FF57BA" w14:textId="77777777" w:rsidR="00AA3994" w:rsidRDefault="00AA3994" w:rsidP="00354AA1">
      <w:pPr>
        <w:jc w:val="both"/>
      </w:pPr>
      <w:r w:rsidRPr="0004028C">
        <w:t>Currently in Australia, an individual assessment of the ability to consent would need to be made of each child on a case by case basis.</w:t>
      </w:r>
      <w:r w:rsidRPr="00F47491">
        <w:t xml:space="preserve"> This would include assessing the child’s ability to fully comprehend the meaning of the decision</w:t>
      </w:r>
      <w:r>
        <w:t xml:space="preserve"> which for</w:t>
      </w:r>
      <w:r w:rsidRPr="00F47491">
        <w:t xml:space="preserve"> business, in a practical sense, </w:t>
      </w:r>
      <w:r>
        <w:t xml:space="preserve">is </w:t>
      </w:r>
      <w:r w:rsidRPr="00F47491">
        <w:t xml:space="preserve">difficult to undertake - particularly in the online </w:t>
      </w:r>
      <w:r>
        <w:t>context</w:t>
      </w:r>
      <w:r w:rsidRPr="00F47491">
        <w:t>.</w:t>
      </w:r>
      <w:r>
        <w:t xml:space="preserve"> </w:t>
      </w:r>
    </w:p>
    <w:p w14:paraId="52D52042" w14:textId="75E973FE" w:rsidR="00AA3994" w:rsidRDefault="00AA3994" w:rsidP="00354AA1">
      <w:pPr>
        <w:jc w:val="both"/>
      </w:pPr>
      <w:r w:rsidRPr="00F47491">
        <w:t>The concept of ‘child appropriate formats’ may need to extend beyond the mere simplification of legal terms to consideration of how to effectively bring such terms and conditions to the attention o</w:t>
      </w:r>
      <w:r>
        <w:t>f child</w:t>
      </w:r>
      <w:r w:rsidR="006D279E">
        <w:t>ren</w:t>
      </w:r>
      <w:r>
        <w:t xml:space="preserve"> and </w:t>
      </w:r>
      <w:r w:rsidR="006D279E">
        <w:t xml:space="preserve">their </w:t>
      </w:r>
      <w:r>
        <w:t xml:space="preserve">guardians. </w:t>
      </w:r>
    </w:p>
    <w:p w14:paraId="55436BD4" w14:textId="4CD68E23" w:rsidR="00AA3994" w:rsidRDefault="00AA3994" w:rsidP="00354AA1">
      <w:pPr>
        <w:jc w:val="both"/>
      </w:pPr>
      <w:r>
        <w:t>Legislative and policy reforms undertaken in other comparable overseas jurisdictions may offer some useful guidance in reviewing the use of the ‘parental consent’ safeguard within the Australian online context (for example the U</w:t>
      </w:r>
      <w:r w:rsidR="006D279E">
        <w:t xml:space="preserve">nited </w:t>
      </w:r>
      <w:r>
        <w:t>S</w:t>
      </w:r>
      <w:r w:rsidR="006D279E">
        <w:t>tates</w:t>
      </w:r>
      <w:r>
        <w:t xml:space="preserve"> model detailed earlier). </w:t>
      </w:r>
    </w:p>
    <w:p w14:paraId="168C746B" w14:textId="77777777" w:rsidR="00AA3994" w:rsidRDefault="00AA3994" w:rsidP="00354AA1">
      <w:pPr>
        <w:pStyle w:val="Heading3"/>
        <w:jc w:val="both"/>
      </w:pPr>
      <w:r>
        <w:t xml:space="preserve"> </w:t>
      </w:r>
      <w:bookmarkStart w:id="141" w:name="_Toc430333110"/>
      <w:bookmarkStart w:id="142" w:name="_Toc430702103"/>
      <w:r>
        <w:t>Key concern: enforcement and redress</w:t>
      </w:r>
      <w:bookmarkEnd w:id="141"/>
      <w:bookmarkEnd w:id="142"/>
    </w:p>
    <w:p w14:paraId="255ADC87" w14:textId="3FC5E5DB" w:rsidR="00AA3994" w:rsidRDefault="00AA3994" w:rsidP="00354AA1">
      <w:pPr>
        <w:jc w:val="both"/>
      </w:pPr>
      <w:r>
        <w:t xml:space="preserve">Consultations revealed that a majority of children </w:t>
      </w:r>
      <w:r w:rsidRPr="00F47491">
        <w:t>were often unsure of how to proceed in situations where online refunds and exchanges had been</w:t>
      </w:r>
      <w:r>
        <w:t xml:space="preserve"> denied</w:t>
      </w:r>
      <w:r w:rsidRPr="00F47491">
        <w:t>.</w:t>
      </w:r>
      <w:r>
        <w:t xml:space="preserve"> Instead a </w:t>
      </w:r>
      <w:r w:rsidRPr="00F47491">
        <w:t xml:space="preserve">tendency </w:t>
      </w:r>
      <w:r>
        <w:t xml:space="preserve">existed </w:t>
      </w:r>
      <w:r w:rsidRPr="00F47491">
        <w:t>to suggest that the onus to fix t</w:t>
      </w:r>
      <w:r>
        <w:t>he problem was with the consumer</w:t>
      </w:r>
      <w:r w:rsidR="006D279E">
        <w:t xml:space="preserve">, </w:t>
      </w:r>
      <w:r>
        <w:t>involving</w:t>
      </w:r>
      <w:r w:rsidRPr="00F47491">
        <w:t xml:space="preserve"> ‘personal culpability’ or ‘luck’</w:t>
      </w:r>
      <w:r>
        <w:t xml:space="preserve">. </w:t>
      </w:r>
      <w:r w:rsidRPr="00F47491">
        <w:t>What this attitude reveals is a vacuum of know</w:t>
      </w:r>
      <w:r>
        <w:t xml:space="preserve">ledge about avenues of redress. </w:t>
      </w:r>
    </w:p>
    <w:p w14:paraId="29CAEE9A" w14:textId="444E4D57" w:rsidR="00AA3994" w:rsidRDefault="00AA3994" w:rsidP="00354AA1">
      <w:pPr>
        <w:jc w:val="both"/>
      </w:pPr>
      <w:r>
        <w:t xml:space="preserve">Similarly using ‘reputational’ tactics to elicit a response from business </w:t>
      </w:r>
      <w:r w:rsidRPr="00F47491">
        <w:t xml:space="preserve">raises questions about whether children are </w:t>
      </w:r>
      <w:r w:rsidR="006D279E">
        <w:t>choosing</w:t>
      </w:r>
      <w:r w:rsidRPr="00F47491">
        <w:t xml:space="preserve"> that option or whether it is seen as the only option available to them.</w:t>
      </w:r>
    </w:p>
    <w:p w14:paraId="69304F54" w14:textId="77777777" w:rsidR="00AA3994" w:rsidRDefault="00AA3994" w:rsidP="00354AA1">
      <w:pPr>
        <w:jc w:val="both"/>
      </w:pPr>
      <w:r>
        <w:t>It seemed that a</w:t>
      </w:r>
      <w:r w:rsidRPr="00F47491">
        <w:t xml:space="preserve"> number of the consumer issu</w:t>
      </w:r>
      <w:r>
        <w:t>es that children experienced on</w:t>
      </w:r>
      <w:r w:rsidRPr="00F47491">
        <w:t xml:space="preserve">line could in part </w:t>
      </w:r>
      <w:r>
        <w:t xml:space="preserve">be </w:t>
      </w:r>
      <w:r w:rsidRPr="00F47491">
        <w:t>addressed by the provision of clear information on their consumer rights</w:t>
      </w:r>
      <w:r>
        <w:t xml:space="preserve"> and who they can contact if they have a problem or issue</w:t>
      </w:r>
      <w:r w:rsidRPr="00F47491">
        <w:t>.</w:t>
      </w:r>
      <w:r>
        <w:t xml:space="preserve"> While children spoke of using</w:t>
      </w:r>
      <w:r w:rsidRPr="00F47491">
        <w:t xml:space="preserve"> internal company processes </w:t>
      </w:r>
      <w:r>
        <w:t>to resolve problems, this</w:t>
      </w:r>
      <w:r w:rsidRPr="00F47491">
        <w:t xml:space="preserve"> confiden</w:t>
      </w:r>
      <w:r>
        <w:t xml:space="preserve">ce </w:t>
      </w:r>
      <w:r w:rsidRPr="00F47491">
        <w:t>did not seem to translate to the online consumer context.</w:t>
      </w:r>
    </w:p>
    <w:p w14:paraId="7D602AFE" w14:textId="0AF9CB70" w:rsidR="00AA3994" w:rsidRDefault="00AA3994" w:rsidP="00354AA1">
      <w:pPr>
        <w:pStyle w:val="SubmissionNormal"/>
        <w:numPr>
          <w:ilvl w:val="0"/>
          <w:numId w:val="0"/>
        </w:numPr>
        <w:jc w:val="both"/>
      </w:pPr>
      <w:r>
        <w:t>Consultations with financial advice services revealed a</w:t>
      </w:r>
      <w:r w:rsidRPr="00F47491">
        <w:t xml:space="preserve">lmost uniformly </w:t>
      </w:r>
      <w:r>
        <w:t xml:space="preserve">that </w:t>
      </w:r>
      <w:r w:rsidRPr="00F47491">
        <w:t>children were either not availing themselves of these services for this purpose</w:t>
      </w:r>
      <w:r w:rsidR="006D279E">
        <w:t>,</w:t>
      </w:r>
      <w:r w:rsidRPr="00F47491">
        <w:t xml:space="preserve"> or were grossly underrepresented. </w:t>
      </w:r>
    </w:p>
    <w:p w14:paraId="6D5E5E89" w14:textId="77777777" w:rsidR="00AA3994" w:rsidRDefault="00AA3994" w:rsidP="00354AA1">
      <w:pPr>
        <w:jc w:val="both"/>
      </w:pPr>
      <w:r>
        <w:t>A further complicating factor was the e</w:t>
      </w:r>
      <w:r w:rsidRPr="00F47491">
        <w:t xml:space="preserve">nforcement </w:t>
      </w:r>
      <w:r>
        <w:t>of contracts within the on</w:t>
      </w:r>
      <w:r w:rsidRPr="00F47491">
        <w:t xml:space="preserve">line environment </w:t>
      </w:r>
      <w:r>
        <w:t>where it</w:t>
      </w:r>
      <w:r w:rsidRPr="00F47491">
        <w:t xml:space="preserve"> is not</w:t>
      </w:r>
      <w:r>
        <w:t xml:space="preserve"> solely determined by</w:t>
      </w:r>
      <w:r w:rsidRPr="00F47491">
        <w:t xml:space="preserve"> </w:t>
      </w:r>
      <w:r>
        <w:t xml:space="preserve">Australian </w:t>
      </w:r>
      <w:r w:rsidRPr="00F47491">
        <w:t>law</w:t>
      </w:r>
      <w:r>
        <w:t xml:space="preserve">. </w:t>
      </w:r>
      <w:r w:rsidRPr="00F47491">
        <w:t>The ability to enforce rights in a transnational context</w:t>
      </w:r>
      <w:r>
        <w:t xml:space="preserve"> remains unclear, not only to children and other consumers, but as a matter of law.</w:t>
      </w:r>
    </w:p>
    <w:p w14:paraId="585DAF2B" w14:textId="77777777" w:rsidR="00AA3994" w:rsidRDefault="00AA3994" w:rsidP="00354AA1">
      <w:pPr>
        <w:pStyle w:val="Heading3"/>
        <w:jc w:val="both"/>
      </w:pPr>
      <w:bookmarkStart w:id="143" w:name="_Toc430333111"/>
      <w:bookmarkStart w:id="144" w:name="_Toc430702104"/>
      <w:r>
        <w:t>Key concern: education and research</w:t>
      </w:r>
      <w:bookmarkEnd w:id="143"/>
      <w:bookmarkEnd w:id="144"/>
    </w:p>
    <w:p w14:paraId="1D15F923" w14:textId="4C4401C4" w:rsidR="00AA3994" w:rsidRDefault="00AA3994" w:rsidP="00354AA1">
      <w:pPr>
        <w:pStyle w:val="SubmissionNormal"/>
        <w:numPr>
          <w:ilvl w:val="0"/>
          <w:numId w:val="0"/>
        </w:numPr>
        <w:jc w:val="both"/>
      </w:pPr>
      <w:r>
        <w:t>Numerous reform options were raised within research and from consultations. These ranged from legislative and policy-based reforms, the adoption of</w:t>
      </w:r>
      <w:r w:rsidRPr="00F47491">
        <w:t xml:space="preserve"> ‘b</w:t>
      </w:r>
      <w:r>
        <w:t>est practice’ industry approaches</w:t>
      </w:r>
      <w:r w:rsidR="00876214">
        <w:t>,</w:t>
      </w:r>
      <w:r>
        <w:t xml:space="preserve"> awareness-raising campaigns in respect of consumer rights</w:t>
      </w:r>
      <w:r w:rsidR="00876214">
        <w:t>,</w:t>
      </w:r>
      <w:r>
        <w:t xml:space="preserve"> as well as the </w:t>
      </w:r>
      <w:r w:rsidRPr="00F47491">
        <w:t>need for an effective complaints system.</w:t>
      </w:r>
      <w:r>
        <w:t xml:space="preserve"> Certainly businesses’ perspective on the effectiveness of different forms of regulation within the online </w:t>
      </w:r>
      <w:r>
        <w:lastRenderedPageBreak/>
        <w:t>context would be instructive, particularly as it relates to children and the issues they experience.</w:t>
      </w:r>
    </w:p>
    <w:p w14:paraId="6F03787F" w14:textId="2B1F4B78" w:rsidR="00AA3994" w:rsidRDefault="00AA3994" w:rsidP="00354AA1">
      <w:pPr>
        <w:pStyle w:val="SubmissionNormal"/>
        <w:numPr>
          <w:ilvl w:val="0"/>
          <w:numId w:val="0"/>
        </w:numPr>
        <w:jc w:val="both"/>
      </w:pPr>
      <w:r>
        <w:t>It is my view that the best approach to these options is to assess them against a child rights</w:t>
      </w:r>
      <w:r w:rsidR="008F6630">
        <w:t>-</w:t>
      </w:r>
      <w:r>
        <w:t xml:space="preserve">based approach. </w:t>
      </w:r>
    </w:p>
    <w:p w14:paraId="73329698" w14:textId="77777777" w:rsidR="00AA3994" w:rsidRDefault="00AA3994" w:rsidP="00354AA1">
      <w:pPr>
        <w:pStyle w:val="SubmissionNormal"/>
        <w:numPr>
          <w:ilvl w:val="0"/>
          <w:numId w:val="0"/>
        </w:numPr>
        <w:jc w:val="both"/>
      </w:pPr>
      <w:r>
        <w:t>What</w:t>
      </w:r>
      <w:r w:rsidRPr="00F47491">
        <w:t xml:space="preserve"> is striking about suggestions</w:t>
      </w:r>
      <w:r>
        <w:t xml:space="preserve"> for improvement made by children themselves </w:t>
      </w:r>
      <w:r w:rsidRPr="00F47491">
        <w:t xml:space="preserve">is how closely they mirror the considerations arising out of the guiding principles </w:t>
      </w:r>
      <w:r>
        <w:t xml:space="preserve">of the Convention on the Rights of the Child </w:t>
      </w:r>
      <w:r w:rsidRPr="00F47491">
        <w:t xml:space="preserve">to be heard, to </w:t>
      </w:r>
      <w:r>
        <w:t xml:space="preserve">healthy </w:t>
      </w:r>
      <w:r w:rsidRPr="00F47491">
        <w:t>develop</w:t>
      </w:r>
      <w:r>
        <w:t>ment</w:t>
      </w:r>
      <w:r w:rsidRPr="00F47491">
        <w:t xml:space="preserve"> and to act in a child’s best interests</w:t>
      </w:r>
      <w:r>
        <w:t>.</w:t>
      </w:r>
    </w:p>
    <w:p w14:paraId="76C84C29" w14:textId="05D30395" w:rsidR="00AA3994" w:rsidRPr="00F47491" w:rsidRDefault="00AA3994" w:rsidP="00354AA1">
      <w:pPr>
        <w:pStyle w:val="SubmissionNormal"/>
        <w:numPr>
          <w:ilvl w:val="0"/>
          <w:numId w:val="0"/>
        </w:numPr>
        <w:jc w:val="both"/>
      </w:pPr>
      <w:r>
        <w:t>Using a child</w:t>
      </w:r>
      <w:r w:rsidR="008F6630">
        <w:t xml:space="preserve"> </w:t>
      </w:r>
      <w:r>
        <w:t>rights</w:t>
      </w:r>
      <w:r w:rsidR="008F6630">
        <w:t>-</w:t>
      </w:r>
      <w:r>
        <w:t>based approach, it is clear that further research is required on children’s experience as online consumers with research deficiencies notable in the online privacy, advertising and e-commerce contexts. Existing data collection practices by financial advice agencies were inconsistent, with data either not disaggregated</w:t>
      </w:r>
      <w:r w:rsidRPr="00F47491">
        <w:t xml:space="preserve"> by</w:t>
      </w:r>
      <w:r w:rsidR="008F6630">
        <w:t xml:space="preserve"> the</w:t>
      </w:r>
      <w:r w:rsidRPr="00F47491">
        <w:t xml:space="preserve"> age of the complainant or where the guardian was named in a contract on the child’s behalf, the record of complaint </w:t>
      </w:r>
      <w:r>
        <w:t>being made</w:t>
      </w:r>
      <w:r w:rsidRPr="00F47491">
        <w:t xml:space="preserve"> in the guardian’s name and recorded age.</w:t>
      </w:r>
    </w:p>
    <w:p w14:paraId="0B3D1F82" w14:textId="77777777" w:rsidR="008F6630" w:rsidRDefault="00AA3994" w:rsidP="00354AA1">
      <w:pPr>
        <w:jc w:val="both"/>
      </w:pPr>
      <w:r>
        <w:t>B</w:t>
      </w:r>
      <w:r w:rsidRPr="00F47491">
        <w:t>oth business and government have key roles to play in raising awareness and in ensuring the accessibility of such processes for children.</w:t>
      </w:r>
      <w:r>
        <w:t xml:space="preserve"> </w:t>
      </w:r>
      <w:r w:rsidRPr="00F47491">
        <w:t>It also provides business with the opportunity to change children’s opinions about how business is viewed and provides government with the opportunity to support business in these actions.</w:t>
      </w:r>
      <w:r>
        <w:t xml:space="preserve"> </w:t>
      </w:r>
    </w:p>
    <w:p w14:paraId="7D1EC657" w14:textId="42EE706E" w:rsidR="00AA3994" w:rsidRPr="004521F0" w:rsidRDefault="00AA3994" w:rsidP="00354AA1">
      <w:pPr>
        <w:jc w:val="both"/>
      </w:pPr>
      <w:r>
        <w:t>This chapter provides a starting point for a national approach to engaging with children and considering their concerns as contemporary consumers and</w:t>
      </w:r>
      <w:r w:rsidRPr="00F47491">
        <w:t xml:space="preserve"> work</w:t>
      </w:r>
      <w:r>
        <w:t>ing</w:t>
      </w:r>
      <w:r w:rsidRPr="00F47491">
        <w:t xml:space="preserve"> </w:t>
      </w:r>
      <w:r>
        <w:t xml:space="preserve">collaboratively </w:t>
      </w:r>
      <w:r w:rsidRPr="00F47491">
        <w:t>with business to improve the</w:t>
      </w:r>
      <w:r>
        <w:t xml:space="preserve"> experiences and safeguards for children in the </w:t>
      </w:r>
      <w:r w:rsidRPr="00F47491">
        <w:t xml:space="preserve">consumer </w:t>
      </w:r>
      <w:r w:rsidRPr="004521F0">
        <w:t>context.</w:t>
      </w:r>
    </w:p>
    <w:p w14:paraId="20ABE4C7" w14:textId="77777777" w:rsidR="00AA3994" w:rsidRPr="004521F0" w:rsidRDefault="00AA3994" w:rsidP="00354AA1">
      <w:pPr>
        <w:jc w:val="both"/>
      </w:pPr>
      <w:r w:rsidRPr="004521F0">
        <w:t>As part of my ongoing focus on business and children’s rights, I will be co-hosting a one-day conference on Universal Children’s Day, 20 November 2015, on the ‘Rights of the Child Consumer’. The aim of this conference is to better understand the contemporary rights issues confronting children as consumers.</w:t>
      </w:r>
    </w:p>
    <w:p w14:paraId="7D7472CB" w14:textId="4B4251EE" w:rsidR="00AA3994" w:rsidRPr="004521F0" w:rsidRDefault="00AA3994" w:rsidP="00354AA1">
      <w:pPr>
        <w:jc w:val="both"/>
      </w:pPr>
      <w:r w:rsidRPr="004521F0">
        <w:t>The conference will seek to identify opportunities for businesses, government and the not-for-profit sector to work together to improve children’s experiences as active consumers, and to highlight areas where better protection for children’s rights may be needed. Of particular focus will be businesses involved in media and entertainment, telecommunications, gaming and online purchasing</w:t>
      </w:r>
      <w:r w:rsidR="007D74F3">
        <w:t xml:space="preserve">, </w:t>
      </w:r>
      <w:r w:rsidRPr="004521F0">
        <w:t>all areas where children are particularly active as consumers.</w:t>
      </w:r>
    </w:p>
    <w:p w14:paraId="7764C10A" w14:textId="77777777" w:rsidR="00AA3994" w:rsidRDefault="00AA3994" w:rsidP="00354AA1">
      <w:pPr>
        <w:jc w:val="both"/>
      </w:pPr>
      <w:r w:rsidRPr="004521F0">
        <w:t>As well as representatives from government and the corporate sector, the conference will also feature children and young people who will share their personal insights and experiences as consumers.</w:t>
      </w:r>
    </w:p>
    <w:p w14:paraId="6F4EA107" w14:textId="6742C51C" w:rsidR="00AA3994" w:rsidRDefault="00B77005" w:rsidP="00354AA1">
      <w:pPr>
        <w:pStyle w:val="Heading2"/>
        <w:jc w:val="both"/>
      </w:pPr>
      <w:bookmarkStart w:id="145" w:name="_Toc430333112"/>
      <w:bookmarkStart w:id="146" w:name="_Toc430702105"/>
      <w:r>
        <w:br w:type="column"/>
      </w:r>
      <w:bookmarkStart w:id="147" w:name="_Toc432577319"/>
      <w:r w:rsidR="00AA3994">
        <w:lastRenderedPageBreak/>
        <w:t>Recommendation</w:t>
      </w:r>
      <w:bookmarkEnd w:id="145"/>
      <w:bookmarkEnd w:id="146"/>
      <w:r w:rsidR="008E691B">
        <w:t>s</w:t>
      </w:r>
      <w:bookmarkEnd w:id="147"/>
    </w:p>
    <w:tbl>
      <w:tblPr>
        <w:tblStyle w:val="TableGrid"/>
        <w:tblW w:w="0" w:type="auto"/>
        <w:shd w:val="clear" w:color="auto" w:fill="F2F2F2" w:themeFill="background1" w:themeFillShade="F2"/>
        <w:tblLook w:val="04A0" w:firstRow="1" w:lastRow="0" w:firstColumn="1" w:lastColumn="0" w:noHBand="0" w:noVBand="1"/>
      </w:tblPr>
      <w:tblGrid>
        <w:gridCol w:w="9060"/>
      </w:tblGrid>
      <w:tr w:rsidR="00B77005" w14:paraId="4CF40B42" w14:textId="77777777" w:rsidTr="00B77005">
        <w:tc>
          <w:tcPr>
            <w:tcW w:w="9060" w:type="dxa"/>
            <w:shd w:val="clear" w:color="auto" w:fill="F2F2F2" w:themeFill="background1" w:themeFillShade="F2"/>
          </w:tcPr>
          <w:p w14:paraId="3957BE28" w14:textId="38DF918D" w:rsidR="00B77005" w:rsidRPr="00096E0A" w:rsidRDefault="00B77005" w:rsidP="00B77005">
            <w:pPr>
              <w:jc w:val="both"/>
              <w:rPr>
                <w:b/>
              </w:rPr>
            </w:pPr>
            <w:r>
              <w:rPr>
                <w:b/>
              </w:rPr>
              <w:t>Recommendation 1:</w:t>
            </w:r>
          </w:p>
          <w:p w14:paraId="7626E38A" w14:textId="24CD1510" w:rsidR="00B77005" w:rsidRDefault="000B0E2A" w:rsidP="00B77005">
            <w:pPr>
              <w:jc w:val="both"/>
            </w:pPr>
            <w:r>
              <w:rPr>
                <w:b/>
              </w:rPr>
              <w:t>T</w:t>
            </w:r>
            <w:r w:rsidR="00B77005" w:rsidRPr="006E1730">
              <w:rPr>
                <w:b/>
              </w:rPr>
              <w:t>he</w:t>
            </w:r>
            <w:r w:rsidR="00B77005">
              <w:rPr>
                <w:b/>
              </w:rPr>
              <w:t xml:space="preserve"> Australian Government provide guidance to business and industry on how it can better respect and support children’s rights.</w:t>
            </w:r>
          </w:p>
        </w:tc>
      </w:tr>
    </w:tbl>
    <w:p w14:paraId="4960D2FE" w14:textId="77777777" w:rsidR="00B77005" w:rsidRDefault="00B77005" w:rsidP="00B77005">
      <w:pPr>
        <w:spacing w:before="0" w:after="0"/>
        <w:jc w:val="both"/>
      </w:pPr>
    </w:p>
    <w:tbl>
      <w:tblPr>
        <w:tblStyle w:val="TableGrid"/>
        <w:tblW w:w="0" w:type="auto"/>
        <w:shd w:val="clear" w:color="auto" w:fill="F2F2F2" w:themeFill="background1" w:themeFillShade="F2"/>
        <w:tblLook w:val="04A0" w:firstRow="1" w:lastRow="0" w:firstColumn="1" w:lastColumn="0" w:noHBand="0" w:noVBand="1"/>
      </w:tblPr>
      <w:tblGrid>
        <w:gridCol w:w="9060"/>
      </w:tblGrid>
      <w:tr w:rsidR="00B77005" w14:paraId="7D9373A3" w14:textId="77777777" w:rsidTr="00B77005">
        <w:tc>
          <w:tcPr>
            <w:tcW w:w="9060" w:type="dxa"/>
            <w:shd w:val="clear" w:color="auto" w:fill="F2F2F2" w:themeFill="background1" w:themeFillShade="F2"/>
          </w:tcPr>
          <w:p w14:paraId="78C3CF7D" w14:textId="496FC918" w:rsidR="00B77005" w:rsidRPr="00096E0A" w:rsidRDefault="00B77005" w:rsidP="00B77005">
            <w:pPr>
              <w:jc w:val="both"/>
              <w:rPr>
                <w:b/>
              </w:rPr>
            </w:pPr>
            <w:r>
              <w:rPr>
                <w:b/>
              </w:rPr>
              <w:t>Recommendation 2:</w:t>
            </w:r>
          </w:p>
          <w:p w14:paraId="0AFBEBD8" w14:textId="6AADC706" w:rsidR="00B77005" w:rsidRDefault="000B0E2A" w:rsidP="00B77005">
            <w:pPr>
              <w:jc w:val="both"/>
            </w:pPr>
            <w:r>
              <w:rPr>
                <w:b/>
              </w:rPr>
              <w:t>T</w:t>
            </w:r>
            <w:r w:rsidR="00B77005" w:rsidRPr="006E1730">
              <w:rPr>
                <w:b/>
              </w:rPr>
              <w:t>he</w:t>
            </w:r>
            <w:r w:rsidR="00B77005">
              <w:rPr>
                <w:b/>
              </w:rPr>
              <w:t xml:space="preserve"> Australian Government resource the Australian Human Rights Commission to undertake research on the relationship between business and children’s rights in the Australian context, particularly in relation to high risk areas such as the online consumer environment.</w:t>
            </w:r>
          </w:p>
        </w:tc>
      </w:tr>
    </w:tbl>
    <w:p w14:paraId="1C796AE8" w14:textId="03426000" w:rsidR="009F70AB" w:rsidRDefault="009F70AB" w:rsidP="009F70AB">
      <w:pPr>
        <w:pStyle w:val="Heading2"/>
      </w:pPr>
      <w:bookmarkStart w:id="148" w:name="_Toc432577320"/>
      <w:r>
        <w:t>Acknowledgments</w:t>
      </w:r>
      <w:bookmarkEnd w:id="148"/>
    </w:p>
    <w:p w14:paraId="0957E0BC" w14:textId="51E4570E" w:rsidR="009F70AB" w:rsidRDefault="009F70AB" w:rsidP="009F70AB">
      <w:pPr>
        <w:jc w:val="both"/>
        <w:rPr>
          <w:bCs/>
        </w:rPr>
      </w:pPr>
      <w:r>
        <w:t xml:space="preserve">I would like to thank </w:t>
      </w:r>
      <w:r>
        <w:rPr>
          <w:bCs/>
        </w:rPr>
        <w:t xml:space="preserve">Ms </w:t>
      </w:r>
      <w:r w:rsidRPr="00D55541">
        <w:t>Jane Farnsworth</w:t>
      </w:r>
      <w:r>
        <w:t xml:space="preserve">, </w:t>
      </w:r>
      <w:r w:rsidRPr="00D55541">
        <w:t>Special Counsel, Pro Bono &amp; Community</w:t>
      </w:r>
      <w:r>
        <w:t xml:space="preserve"> at </w:t>
      </w:r>
      <w:r w:rsidRPr="00D55541">
        <w:t>King &amp; Wood Mallesons</w:t>
      </w:r>
      <w:r>
        <w:t xml:space="preserve"> and Mr </w:t>
      </w:r>
      <w:r w:rsidRPr="000B5E9E">
        <w:rPr>
          <w:bCs/>
        </w:rPr>
        <w:t xml:space="preserve">Charles </w:t>
      </w:r>
      <w:r>
        <w:rPr>
          <w:bCs/>
        </w:rPr>
        <w:t xml:space="preserve">Davies, </w:t>
      </w:r>
      <w:r w:rsidRPr="000B5E9E">
        <w:rPr>
          <w:bCs/>
        </w:rPr>
        <w:t>Solicitor</w:t>
      </w:r>
      <w:r>
        <w:rPr>
          <w:bCs/>
        </w:rPr>
        <w:t xml:space="preserve"> at </w:t>
      </w:r>
      <w:r w:rsidRPr="000B5E9E">
        <w:rPr>
          <w:bCs/>
        </w:rPr>
        <w:t>King &amp; Wood Mallesons</w:t>
      </w:r>
      <w:r>
        <w:rPr>
          <w:bCs/>
        </w:rPr>
        <w:t xml:space="preserve"> for providing pro bono legal assistance.</w:t>
      </w:r>
    </w:p>
    <w:p w14:paraId="6270497B" w14:textId="77777777" w:rsidR="00990761" w:rsidRDefault="009F70AB" w:rsidP="009F70AB">
      <w:pPr>
        <w:jc w:val="both"/>
      </w:pPr>
      <w:r w:rsidRPr="009F70AB">
        <w:t>I sincerely thank the following schools and youth organisations for assisting me with</w:t>
      </w:r>
      <w:r>
        <w:t xml:space="preserve"> consultations about business and children’s rights:</w:t>
      </w:r>
      <w:r w:rsidRPr="009F70AB">
        <w:t xml:space="preserve"> Canterbury Boys High School, HighWater Theatre Program, Holroyd High School, Keilor Heights Primary School, Marrickville West Public School, Wodonga Middle Years College and YMCA Victoria.</w:t>
      </w:r>
    </w:p>
    <w:p w14:paraId="7E2B0FB4" w14:textId="77777777" w:rsidR="000D1D92" w:rsidRDefault="000D1D92" w:rsidP="009F70AB">
      <w:pPr>
        <w:jc w:val="both"/>
        <w:sectPr w:rsidR="000D1D92" w:rsidSect="002F5C2F">
          <w:endnotePr>
            <w:numFmt w:val="decimal"/>
          </w:endnotePr>
          <w:pgSz w:w="11906" w:h="16838" w:code="9"/>
          <w:pgMar w:top="1134" w:right="1418" w:bottom="1134" w:left="1418" w:header="709" w:footer="709" w:gutter="0"/>
          <w:cols w:space="708"/>
          <w:docGrid w:linePitch="360"/>
        </w:sectPr>
      </w:pPr>
    </w:p>
    <w:p w14:paraId="14EA7454" w14:textId="2282A474" w:rsidR="000D1D92" w:rsidRDefault="000D1D92" w:rsidP="000D1D92">
      <w:pPr>
        <w:pStyle w:val="Heading1"/>
      </w:pPr>
      <w:bookmarkStart w:id="149" w:name="_Toc432061254"/>
      <w:bookmarkStart w:id="150" w:name="_Toc432577321"/>
      <w:r>
        <w:lastRenderedPageBreak/>
        <w:t>“A</w:t>
      </w:r>
      <w:r w:rsidRPr="00EC432A">
        <w:t xml:space="preserve">ll I want is a life </w:t>
      </w:r>
      <w:r w:rsidR="00684616">
        <w:t>free from violence</w:t>
      </w:r>
      <w:r>
        <w:t>”</w:t>
      </w:r>
      <w:r w:rsidRPr="007F78F5">
        <w:rPr>
          <w:rStyle w:val="EndnoteReference"/>
          <w:b w:val="0"/>
        </w:rPr>
        <w:endnoteReference w:id="420"/>
      </w:r>
      <w:r>
        <w:t xml:space="preserve"> – the impact of family and domestic violence on children</w:t>
      </w:r>
      <w:bookmarkEnd w:id="149"/>
      <w:bookmarkEnd w:id="150"/>
    </w:p>
    <w:p w14:paraId="017D6F32" w14:textId="77777777" w:rsidR="000D1D92" w:rsidRDefault="000D1D92" w:rsidP="000D1D92">
      <w:pPr>
        <w:pStyle w:val="Heading2"/>
        <w:jc w:val="both"/>
      </w:pPr>
      <w:bookmarkStart w:id="151" w:name="_Toc432061255"/>
      <w:bookmarkStart w:id="152" w:name="_Toc432577322"/>
      <w:r>
        <w:t>Introduction</w:t>
      </w:r>
      <w:bookmarkEnd w:id="151"/>
      <w:bookmarkEnd w:id="152"/>
      <w:r>
        <w:t xml:space="preserve"> </w:t>
      </w:r>
    </w:p>
    <w:p w14:paraId="441F78E0" w14:textId="77777777" w:rsidR="000D1D92" w:rsidRDefault="000D1D92" w:rsidP="000D1D92">
      <w:pPr>
        <w:spacing w:before="0" w:after="0"/>
        <w:jc w:val="both"/>
        <w:rPr>
          <w:rFonts w:cs="Arial"/>
          <w:color w:val="231F20"/>
          <w:spacing w:val="-1"/>
        </w:rPr>
      </w:pPr>
      <w:r>
        <w:rPr>
          <w:rFonts w:cs="Arial"/>
          <w:color w:val="231F20"/>
          <w:spacing w:val="-1"/>
        </w:rPr>
        <w:t>Family and domestic violence is causing significant damage in Australia.</w:t>
      </w:r>
    </w:p>
    <w:p w14:paraId="066D0D8F" w14:textId="77777777" w:rsidR="000D1D92" w:rsidRDefault="000D1D92" w:rsidP="000D1D92">
      <w:pPr>
        <w:spacing w:before="0" w:after="0"/>
        <w:jc w:val="both"/>
        <w:rPr>
          <w:rFonts w:cs="Arial"/>
          <w:color w:val="231F20"/>
          <w:spacing w:val="-1"/>
        </w:rPr>
      </w:pPr>
    </w:p>
    <w:p w14:paraId="20ADE046" w14:textId="77777777" w:rsidR="000D1D92" w:rsidRDefault="000D1D92" w:rsidP="000D1D92">
      <w:pPr>
        <w:spacing w:before="0" w:after="0"/>
        <w:jc w:val="both"/>
        <w:rPr>
          <w:rFonts w:cs="Arial"/>
          <w:color w:val="231F20"/>
          <w:spacing w:val="-1"/>
        </w:rPr>
      </w:pPr>
      <w:r>
        <w:rPr>
          <w:rFonts w:cs="Arial"/>
          <w:color w:val="231F20"/>
          <w:spacing w:val="-1"/>
        </w:rPr>
        <w:t xml:space="preserve">It is widespread and destroying lives and families. </w:t>
      </w:r>
      <w:r>
        <w:rPr>
          <w:rFonts w:cs="Arial"/>
        </w:rPr>
        <w:t>While women are predominately the victims of violence within the family context,</w:t>
      </w:r>
      <w:r w:rsidRPr="00560EC1">
        <w:rPr>
          <w:rStyle w:val="EndnoteReference"/>
          <w:rFonts w:cs="Arial"/>
          <w:szCs w:val="20"/>
        </w:rPr>
        <w:endnoteReference w:id="421"/>
      </w:r>
      <w:r>
        <w:rPr>
          <w:rFonts w:cs="Arial"/>
        </w:rPr>
        <w:t xml:space="preserve"> many of these women have children. It is also the case that children can be victims of violence within the family. </w:t>
      </w:r>
      <w:r>
        <w:rPr>
          <w:rFonts w:cs="Arial"/>
          <w:color w:val="231F20"/>
          <w:spacing w:val="-1"/>
        </w:rPr>
        <w:t xml:space="preserve">Its effect has consequences in the immediate term and cumulatively over many years and through the generations.  </w:t>
      </w:r>
    </w:p>
    <w:p w14:paraId="49818F2F" w14:textId="77777777" w:rsidR="000D1D92" w:rsidRDefault="000D1D92" w:rsidP="000D1D92">
      <w:pPr>
        <w:jc w:val="both"/>
        <w:rPr>
          <w:rFonts w:cs="Arial"/>
        </w:rPr>
      </w:pPr>
      <w:r>
        <w:t>In early 2015, I chose</w:t>
      </w:r>
      <w:r w:rsidRPr="00B153D4">
        <w:t xml:space="preserve"> </w:t>
      </w:r>
      <w:r w:rsidRPr="008A5004">
        <w:t>to</w:t>
      </w:r>
      <w:r w:rsidRPr="00747EF2">
        <w:t xml:space="preserve"> focus this</w:t>
      </w:r>
      <w:r>
        <w:t xml:space="preserve"> year’s Children’s Rights R</w:t>
      </w:r>
      <w:r w:rsidRPr="00747EF2">
        <w:t>eport on</w:t>
      </w:r>
      <w:r>
        <w:rPr>
          <w:b/>
        </w:rPr>
        <w:t xml:space="preserve"> </w:t>
      </w:r>
      <w:r w:rsidRPr="006337B5">
        <w:rPr>
          <w:b/>
        </w:rPr>
        <w:t>how children aged 0</w:t>
      </w:r>
      <w:r>
        <w:rPr>
          <w:b/>
        </w:rPr>
        <w:t xml:space="preserve"> to </w:t>
      </w:r>
      <w:r w:rsidRPr="006337B5">
        <w:rPr>
          <w:b/>
        </w:rPr>
        <w:t>17 years</w:t>
      </w:r>
      <w:r>
        <w:rPr>
          <w:b/>
        </w:rPr>
        <w:t xml:space="preserve"> </w:t>
      </w:r>
      <w:r w:rsidRPr="006337B5">
        <w:rPr>
          <w:b/>
        </w:rPr>
        <w:t>are affected by family and domestic violence.</w:t>
      </w:r>
      <w:r>
        <w:rPr>
          <w:b/>
        </w:rPr>
        <w:t xml:space="preserve"> </w:t>
      </w:r>
      <w:r>
        <w:rPr>
          <w:rFonts w:cs="Arial"/>
        </w:rPr>
        <w:t>Children who live in homes characterised by violence are often the silent, forgotten, unintended, invisible victims.</w:t>
      </w:r>
      <w:r>
        <w:rPr>
          <w:rStyle w:val="EndnoteReference"/>
          <w:rFonts w:cs="Arial"/>
        </w:rPr>
        <w:endnoteReference w:id="422"/>
      </w:r>
    </w:p>
    <w:p w14:paraId="0A5EC8EE" w14:textId="77777777" w:rsidR="000D1D92" w:rsidRDefault="000D1D92" w:rsidP="000D1D92">
      <w:pPr>
        <w:jc w:val="both"/>
        <w:rPr>
          <w:rFonts w:cs="Arial"/>
        </w:rPr>
      </w:pPr>
      <w:r>
        <w:rPr>
          <w:rFonts w:cs="Arial"/>
        </w:rPr>
        <w:t>C</w:t>
      </w:r>
      <w:r w:rsidRPr="007A566F">
        <w:rPr>
          <w:rFonts w:cs="Arial"/>
        </w:rPr>
        <w:t xml:space="preserve">hildren </w:t>
      </w:r>
      <w:r>
        <w:rPr>
          <w:rFonts w:cs="Arial"/>
        </w:rPr>
        <w:t xml:space="preserve">directly raised with me </w:t>
      </w:r>
      <w:r w:rsidRPr="008E0FDD">
        <w:rPr>
          <w:rFonts w:cs="Arial"/>
          <w:b/>
        </w:rPr>
        <w:t>the importance o</w:t>
      </w:r>
      <w:r>
        <w:rPr>
          <w:rFonts w:cs="Arial"/>
          <w:b/>
        </w:rPr>
        <w:t xml:space="preserve">f living free from all forms of </w:t>
      </w:r>
      <w:r w:rsidRPr="008E0FDD">
        <w:rPr>
          <w:rFonts w:cs="Arial"/>
          <w:b/>
        </w:rPr>
        <w:t>violence</w:t>
      </w:r>
      <w:r>
        <w:rPr>
          <w:rFonts w:cs="Arial"/>
        </w:rPr>
        <w:t xml:space="preserve"> during</w:t>
      </w:r>
      <w:r w:rsidRPr="007A566F">
        <w:rPr>
          <w:rFonts w:cs="Arial"/>
        </w:rPr>
        <w:t xml:space="preserve"> </w:t>
      </w:r>
      <w:r>
        <w:rPr>
          <w:rFonts w:cs="Arial"/>
        </w:rPr>
        <w:t>my</w:t>
      </w:r>
      <w:r w:rsidRPr="007A566F">
        <w:rPr>
          <w:rFonts w:cs="Arial"/>
        </w:rPr>
        <w:t xml:space="preserve"> listening tour in 2013</w:t>
      </w:r>
      <w:r>
        <w:rPr>
          <w:rFonts w:cs="Arial"/>
        </w:rPr>
        <w:t xml:space="preserve">. My statutory report in </w:t>
      </w:r>
      <w:r w:rsidRPr="007A566F">
        <w:rPr>
          <w:rFonts w:cs="Arial"/>
        </w:rPr>
        <w:t xml:space="preserve">2013 identified the protection of children from violence as a priority issue for </w:t>
      </w:r>
      <w:r>
        <w:rPr>
          <w:rFonts w:cs="Arial"/>
        </w:rPr>
        <w:t>my term as National Children’s Commissioner</w:t>
      </w:r>
      <w:r w:rsidRPr="007A566F">
        <w:rPr>
          <w:rFonts w:cs="Arial"/>
        </w:rPr>
        <w:t>.</w:t>
      </w:r>
      <w:r w:rsidRPr="007A566F">
        <w:rPr>
          <w:rStyle w:val="EndnoteReference"/>
          <w:rFonts w:cs="Arial"/>
        </w:rPr>
        <w:endnoteReference w:id="423"/>
      </w:r>
      <w:r>
        <w:rPr>
          <w:rFonts w:cs="Arial"/>
        </w:rPr>
        <w:t xml:space="preserve"> </w:t>
      </w:r>
    </w:p>
    <w:p w14:paraId="714F178B" w14:textId="77777777" w:rsidR="000D1D92" w:rsidRDefault="000D1D92" w:rsidP="000D1D92">
      <w:pPr>
        <w:jc w:val="both"/>
        <w:rPr>
          <w:rFonts w:cs="Arial"/>
        </w:rPr>
      </w:pPr>
      <w:r>
        <w:rPr>
          <w:rFonts w:cs="Arial"/>
        </w:rPr>
        <w:t xml:space="preserve">The impact of family and domestic violence was again raised with me in 2014 in my examination of intentional self-harm, with or without suicidal intent, among children aged 0 to 17 years. </w:t>
      </w:r>
    </w:p>
    <w:p w14:paraId="02471B79" w14:textId="77777777" w:rsidR="000D1D92" w:rsidRDefault="000D1D92" w:rsidP="000D1D92">
      <w:pPr>
        <w:jc w:val="both"/>
        <w:rPr>
          <w:rFonts w:cs="Arial"/>
        </w:rPr>
      </w:pPr>
      <w:r>
        <w:rPr>
          <w:rFonts w:cs="Arial"/>
        </w:rPr>
        <w:t>For example, in one jurisdiction, a police representative at a roundtable stated that ‘every child who suicided in the last 12 months came from a domestic violence family’.</w:t>
      </w:r>
      <w:r>
        <w:rPr>
          <w:rStyle w:val="EndnoteReference"/>
          <w:rFonts w:cs="Arial"/>
        </w:rPr>
        <w:endnoteReference w:id="424"/>
      </w:r>
      <w:r>
        <w:rPr>
          <w:rFonts w:cs="Arial"/>
        </w:rPr>
        <w:t xml:space="preserve"> </w:t>
      </w:r>
    </w:p>
    <w:p w14:paraId="7CF59AB0" w14:textId="77777777" w:rsidR="000D1D92" w:rsidRDefault="000D1D92" w:rsidP="000D1D92">
      <w:pPr>
        <w:jc w:val="both"/>
        <w:rPr>
          <w:rFonts w:cs="Arial"/>
        </w:rPr>
      </w:pPr>
      <w:r>
        <w:rPr>
          <w:rFonts w:cs="Arial"/>
        </w:rPr>
        <w:t xml:space="preserve">In June 2014, the Australian Crime Commission concluded its eight year investigation of abuse in Aboriginal and Torres Strait Islander </w:t>
      </w:r>
      <w:r w:rsidRPr="000B2D96">
        <w:rPr>
          <w:rFonts w:cs="Arial"/>
        </w:rPr>
        <w:t xml:space="preserve">communities and </w:t>
      </w:r>
      <w:r>
        <w:rPr>
          <w:rFonts w:cs="Arial"/>
        </w:rPr>
        <w:t xml:space="preserve">similarly </w:t>
      </w:r>
      <w:r w:rsidRPr="000B2D96">
        <w:rPr>
          <w:rFonts w:cs="Arial"/>
        </w:rPr>
        <w:t>reported</w:t>
      </w:r>
      <w:r>
        <w:rPr>
          <w:rFonts w:cs="Arial"/>
        </w:rPr>
        <w:t xml:space="preserve"> that </w:t>
      </w:r>
      <w:r w:rsidRPr="000B2D96">
        <w:rPr>
          <w:rFonts w:cs="Arial"/>
        </w:rPr>
        <w:t>‘there are clear links between suicide and self-harm and domestic violence’.</w:t>
      </w:r>
      <w:r w:rsidRPr="000B2D96">
        <w:rPr>
          <w:rStyle w:val="EndnoteReference"/>
          <w:rFonts w:cs="Arial"/>
          <w:szCs w:val="22"/>
        </w:rPr>
        <w:endnoteReference w:id="425"/>
      </w:r>
      <w:r>
        <w:rPr>
          <w:rFonts w:cs="Arial"/>
        </w:rPr>
        <w:t xml:space="preserve"> </w:t>
      </w:r>
    </w:p>
    <w:p w14:paraId="753C58CF" w14:textId="77777777" w:rsidR="000D1D92" w:rsidRDefault="000D1D92" w:rsidP="000D1D92">
      <w:pPr>
        <w:jc w:val="both"/>
        <w:rPr>
          <w:rFonts w:cs="Arial"/>
        </w:rPr>
      </w:pPr>
      <w:r>
        <w:rPr>
          <w:rFonts w:cs="Arial"/>
        </w:rPr>
        <w:t xml:space="preserve">My statutory report in </w:t>
      </w:r>
      <w:r w:rsidRPr="000B2D96">
        <w:rPr>
          <w:rFonts w:cs="Arial"/>
        </w:rPr>
        <w:t xml:space="preserve">2014 identified the </w:t>
      </w:r>
      <w:r w:rsidRPr="007D63B2">
        <w:rPr>
          <w:rFonts w:cs="Arial"/>
          <w:b/>
        </w:rPr>
        <w:t>intersection of intentional self-harm and family and domestic violence</w:t>
      </w:r>
      <w:r w:rsidRPr="000B2D96">
        <w:rPr>
          <w:rFonts w:cs="Arial"/>
        </w:rPr>
        <w:t xml:space="preserve"> as a research priority.</w:t>
      </w:r>
      <w:r w:rsidRPr="000B2D96">
        <w:rPr>
          <w:rFonts w:cs="Arial"/>
          <w:sz w:val="20"/>
          <w:vertAlign w:val="superscript"/>
        </w:rPr>
        <w:endnoteReference w:id="426"/>
      </w:r>
    </w:p>
    <w:p w14:paraId="2727EC52" w14:textId="77777777" w:rsidR="000D1D92" w:rsidRDefault="000D1D92" w:rsidP="000D1D92">
      <w:pPr>
        <w:jc w:val="both"/>
        <w:rPr>
          <w:rFonts w:cs="Arial"/>
        </w:rPr>
      </w:pPr>
      <w:r>
        <w:rPr>
          <w:rFonts w:cs="Arial"/>
        </w:rPr>
        <w:t xml:space="preserve">Over the last two years the impact of family and domestic violence on women and their children has increasingly been the subject of media attention and policy initiatives. </w:t>
      </w:r>
    </w:p>
    <w:p w14:paraId="41A1C7A7" w14:textId="77777777" w:rsidR="000D1D92" w:rsidRDefault="000D1D92" w:rsidP="000D1D92">
      <w:pPr>
        <w:jc w:val="both"/>
        <w:rPr>
          <w:rFonts w:cs="Arial"/>
        </w:rPr>
      </w:pPr>
      <w:r>
        <w:rPr>
          <w:rFonts w:cs="Arial"/>
        </w:rPr>
        <w:t>Through this research, I am seeking to ensure that the voices and needs of children are an explicit focus in the important national conversation currently underway. Children’s experiences of violence must be central to all measures that we take to prevent violence and to deal with the consequences where it has occurred.</w:t>
      </w:r>
    </w:p>
    <w:p w14:paraId="76751E8B" w14:textId="77777777" w:rsidR="000D1D92" w:rsidRPr="00A04351" w:rsidRDefault="000D1D92" w:rsidP="000D1D92">
      <w:pPr>
        <w:pStyle w:val="Heading3"/>
      </w:pPr>
      <w:bookmarkStart w:id="153" w:name="_Toc432061256"/>
      <w:r w:rsidRPr="00A04351">
        <w:lastRenderedPageBreak/>
        <w:t>Terminology: Family and domestic violence</w:t>
      </w:r>
      <w:bookmarkEnd w:id="153"/>
    </w:p>
    <w:p w14:paraId="0621A247" w14:textId="77777777" w:rsidR="000D1D92" w:rsidRDefault="000D1D92" w:rsidP="000D1D92">
      <w:pPr>
        <w:spacing w:before="0" w:after="0"/>
        <w:jc w:val="both"/>
        <w:rPr>
          <w:rFonts w:cs="Arial"/>
        </w:rPr>
      </w:pPr>
      <w:r>
        <w:rPr>
          <w:rFonts w:cs="Arial"/>
        </w:rPr>
        <w:t xml:space="preserve">I use the term ‘family and domestic violence’ throughout my report. </w:t>
      </w:r>
    </w:p>
    <w:p w14:paraId="535B20EF" w14:textId="77777777" w:rsidR="000D1D92" w:rsidRDefault="000D1D92" w:rsidP="000D1D92">
      <w:pPr>
        <w:spacing w:before="0" w:after="0"/>
        <w:jc w:val="both"/>
        <w:rPr>
          <w:rFonts w:cs="Arial"/>
        </w:rPr>
      </w:pPr>
    </w:p>
    <w:p w14:paraId="6A0B51EE" w14:textId="77777777" w:rsidR="000D1D92" w:rsidRDefault="000D1D92" w:rsidP="000D1D92">
      <w:pPr>
        <w:spacing w:before="0" w:after="0"/>
        <w:jc w:val="both"/>
        <w:rPr>
          <w:rFonts w:cs="Arial"/>
        </w:rPr>
      </w:pPr>
      <w:r>
        <w:rPr>
          <w:rFonts w:cs="Arial"/>
        </w:rPr>
        <w:t>The use of the term ‘family and domestic violence’ is more inclusive of all those who are affected by it, including children.</w:t>
      </w:r>
    </w:p>
    <w:p w14:paraId="4F5300E2" w14:textId="77777777" w:rsidR="000D1D92" w:rsidRDefault="000D1D92" w:rsidP="000D1D92">
      <w:pPr>
        <w:spacing w:before="0" w:after="0"/>
        <w:jc w:val="both"/>
        <w:rPr>
          <w:rFonts w:cs="Arial"/>
        </w:rPr>
      </w:pPr>
    </w:p>
    <w:p w14:paraId="3E55CDBF" w14:textId="77777777" w:rsidR="000D1D92" w:rsidRDefault="000D1D92" w:rsidP="000D1D92">
      <w:pPr>
        <w:spacing w:before="0" w:after="0"/>
        <w:jc w:val="both"/>
        <w:rPr>
          <w:rFonts w:cs="Arial"/>
        </w:rPr>
      </w:pPr>
      <w:r>
        <w:rPr>
          <w:rFonts w:cs="Arial"/>
        </w:rPr>
        <w:t>The Australian Bureau of Statistics (ABS) also uses the term ‘family and domestic violence’ because it:</w:t>
      </w:r>
    </w:p>
    <w:p w14:paraId="7CC2E496" w14:textId="77777777" w:rsidR="000D1D92" w:rsidRDefault="000D1D92" w:rsidP="000D1D92">
      <w:pPr>
        <w:spacing w:before="0" w:after="0"/>
        <w:ind w:left="720"/>
        <w:jc w:val="both"/>
        <w:rPr>
          <w:rFonts w:cs="Arial"/>
        </w:rPr>
      </w:pPr>
    </w:p>
    <w:p w14:paraId="5BC84447" w14:textId="77777777" w:rsidR="000D1D92" w:rsidRDefault="000D1D92" w:rsidP="000D1D92">
      <w:pPr>
        <w:spacing w:before="0" w:after="0"/>
        <w:ind w:left="720"/>
        <w:jc w:val="both"/>
        <w:rPr>
          <w:rFonts w:cs="Arial"/>
        </w:rPr>
      </w:pPr>
      <w:r>
        <w:rPr>
          <w:rFonts w:cs="Arial"/>
          <w:sz w:val="22"/>
          <w:szCs w:val="22"/>
        </w:rPr>
        <w:t>r</w:t>
      </w:r>
      <w:r w:rsidRPr="000F0C87">
        <w:rPr>
          <w:rFonts w:cs="Arial"/>
          <w:sz w:val="22"/>
          <w:szCs w:val="22"/>
        </w:rPr>
        <w:t>eflect</w:t>
      </w:r>
      <w:r>
        <w:rPr>
          <w:rFonts w:cs="Arial"/>
          <w:sz w:val="22"/>
          <w:szCs w:val="22"/>
        </w:rPr>
        <w:t>[s]</w:t>
      </w:r>
      <w:r w:rsidRPr="000F0C87">
        <w:rPr>
          <w:rFonts w:cs="Arial"/>
          <w:sz w:val="22"/>
          <w:szCs w:val="22"/>
        </w:rPr>
        <w:t xml:space="preserve"> the mixed use of the terms 'Family Violence' and 'Domestic Violence' and is a combination of the various contextual elements implicit in these individual terms, including relationships, location of offences, and/or domestic arrangements</w:t>
      </w:r>
      <w:r w:rsidRPr="00EA66C1">
        <w:rPr>
          <w:rFonts w:cs="Arial"/>
        </w:rPr>
        <w:t>.</w:t>
      </w:r>
      <w:r w:rsidRPr="00560EC1">
        <w:rPr>
          <w:rStyle w:val="EndnoteReference"/>
          <w:rFonts w:cs="Arial"/>
          <w:szCs w:val="20"/>
        </w:rPr>
        <w:endnoteReference w:id="427"/>
      </w:r>
    </w:p>
    <w:p w14:paraId="2CF04650" w14:textId="77777777" w:rsidR="000D1D92" w:rsidRDefault="000D1D92" w:rsidP="000D1D92">
      <w:pPr>
        <w:spacing w:before="0" w:after="0"/>
        <w:jc w:val="both"/>
        <w:rPr>
          <w:rFonts w:cs="Arial"/>
        </w:rPr>
      </w:pPr>
    </w:p>
    <w:p w14:paraId="18C641D5" w14:textId="77777777" w:rsidR="000D1D92" w:rsidRDefault="000D1D92" w:rsidP="000D1D92">
      <w:pPr>
        <w:spacing w:before="0" w:after="0"/>
        <w:jc w:val="both"/>
        <w:rPr>
          <w:rFonts w:cs="Arial"/>
        </w:rPr>
      </w:pPr>
      <w:r>
        <w:rPr>
          <w:rFonts w:cs="Arial"/>
        </w:rPr>
        <w:t>I acknowledge, however, that i</w:t>
      </w:r>
      <w:r w:rsidRPr="00A76549">
        <w:rPr>
          <w:rFonts w:cs="Arial"/>
        </w:rPr>
        <w:t>n Aboriginal and Torres Strait Islander communities</w:t>
      </w:r>
      <w:r>
        <w:rPr>
          <w:rFonts w:cs="Arial"/>
        </w:rPr>
        <w:t xml:space="preserve"> </w:t>
      </w:r>
      <w:r w:rsidRPr="00A76549">
        <w:rPr>
          <w:rFonts w:cs="Arial"/>
        </w:rPr>
        <w:t xml:space="preserve">the term ‘family violence’ is </w:t>
      </w:r>
      <w:r>
        <w:rPr>
          <w:rFonts w:cs="Arial"/>
        </w:rPr>
        <w:t xml:space="preserve">more commonly </w:t>
      </w:r>
      <w:r w:rsidRPr="00A76549">
        <w:rPr>
          <w:rFonts w:cs="Arial"/>
        </w:rPr>
        <w:t>used.</w:t>
      </w:r>
      <w:r>
        <w:rPr>
          <w:rFonts w:cs="Arial"/>
        </w:rPr>
        <w:t xml:space="preserve"> This reflects the lateral nature of violence in many of these communities.</w:t>
      </w:r>
    </w:p>
    <w:p w14:paraId="08D848E5" w14:textId="77777777" w:rsidR="000D1D92" w:rsidRDefault="000D1D92" w:rsidP="000D1D92">
      <w:pPr>
        <w:spacing w:before="0" w:after="0"/>
        <w:jc w:val="both"/>
        <w:rPr>
          <w:rFonts w:cs="Arial"/>
        </w:rPr>
      </w:pPr>
    </w:p>
    <w:p w14:paraId="6C713BBA" w14:textId="77777777" w:rsidR="000D1D92" w:rsidRDefault="000D1D92" w:rsidP="000D1D92">
      <w:pPr>
        <w:spacing w:before="0" w:after="0"/>
        <w:jc w:val="both"/>
        <w:rPr>
          <w:rFonts w:cs="Arial"/>
          <w:sz w:val="20"/>
          <w:szCs w:val="20"/>
        </w:rPr>
      </w:pPr>
      <w:r>
        <w:rPr>
          <w:rFonts w:cs="Arial"/>
        </w:rPr>
        <w:t xml:space="preserve">Consistent with the ABS, I use the term ‘family and domestic violence’ to describe: </w:t>
      </w:r>
      <w:r w:rsidRPr="009E4FC9">
        <w:rPr>
          <w:rFonts w:cs="Arial"/>
        </w:rPr>
        <w:t>physical violence, sexual abuse, emotional abuse, verbal abuse and intimidation, economic and social deprivation, damage of personal property, and abuse of power which can occur within spouse and de-facto relationships, ex-spouse and ex-de-facto relationships, cultural and kinship relationship</w:t>
      </w:r>
      <w:r w:rsidRPr="00BE079D">
        <w:rPr>
          <w:rFonts w:cs="Arial"/>
        </w:rPr>
        <w:t xml:space="preserve">s, parent-child relationships, sibling relationships, </w:t>
      </w:r>
      <w:r w:rsidRPr="00B66249">
        <w:rPr>
          <w:rFonts w:cs="Arial"/>
        </w:rPr>
        <w:t>and foster and guardian relationships.</w:t>
      </w:r>
      <w:r w:rsidRPr="00560EC1">
        <w:rPr>
          <w:rStyle w:val="EndnoteReference"/>
          <w:rFonts w:cs="Arial"/>
          <w:szCs w:val="20"/>
        </w:rPr>
        <w:endnoteReference w:id="428"/>
      </w:r>
    </w:p>
    <w:p w14:paraId="4F0D33CC" w14:textId="77777777" w:rsidR="000D1D92" w:rsidRDefault="000D1D92" w:rsidP="000D1D92">
      <w:pPr>
        <w:pStyle w:val="Heading3"/>
      </w:pPr>
      <w:bookmarkStart w:id="154" w:name="_Toc432061257"/>
      <w:r>
        <w:t>Current measures to address family and domestic violence</w:t>
      </w:r>
      <w:bookmarkEnd w:id="154"/>
    </w:p>
    <w:p w14:paraId="4889023C" w14:textId="77777777" w:rsidR="000D1D92" w:rsidRDefault="000D1D92" w:rsidP="000D1D92">
      <w:pPr>
        <w:autoSpaceDE w:val="0"/>
        <w:autoSpaceDN w:val="0"/>
        <w:adjustRightInd w:val="0"/>
        <w:spacing w:before="0" w:after="0"/>
        <w:jc w:val="both"/>
        <w:rPr>
          <w:rFonts w:cs="Arial"/>
        </w:rPr>
      </w:pPr>
      <w:r w:rsidRPr="00591168">
        <w:rPr>
          <w:rFonts w:cs="Arial"/>
        </w:rPr>
        <w:t>There are two significant national policy measures in Australia to prote</w:t>
      </w:r>
      <w:r>
        <w:rPr>
          <w:rFonts w:cs="Arial"/>
        </w:rPr>
        <w:t>ct children and reduce violence:</w:t>
      </w:r>
      <w:r w:rsidRPr="00591168">
        <w:rPr>
          <w:rFonts w:cs="Arial"/>
        </w:rPr>
        <w:t xml:space="preserve"> the </w:t>
      </w:r>
      <w:r w:rsidRPr="00591168">
        <w:rPr>
          <w:rFonts w:cs="Arial"/>
          <w:b/>
        </w:rPr>
        <w:t>National Framework for Protecting Australia’s Children 2009-2020</w:t>
      </w:r>
      <w:r w:rsidRPr="00591168">
        <w:rPr>
          <w:rFonts w:cs="Arial"/>
        </w:rPr>
        <w:t xml:space="preserve"> (the National Framework) and the </w:t>
      </w:r>
      <w:r w:rsidRPr="00591168">
        <w:rPr>
          <w:rFonts w:cs="Arial"/>
          <w:b/>
        </w:rPr>
        <w:t>National Plan to Reduce Violence against Women and their Children 2010-2022</w:t>
      </w:r>
      <w:r w:rsidRPr="00591168">
        <w:rPr>
          <w:rFonts w:cs="Arial"/>
        </w:rPr>
        <w:t xml:space="preserve"> (the National Plan).</w:t>
      </w:r>
    </w:p>
    <w:p w14:paraId="4B278B91" w14:textId="77777777" w:rsidR="000D1D92" w:rsidRDefault="000D1D92" w:rsidP="000D1D92">
      <w:pPr>
        <w:autoSpaceDE w:val="0"/>
        <w:autoSpaceDN w:val="0"/>
        <w:adjustRightInd w:val="0"/>
        <w:spacing w:before="0" w:after="0"/>
        <w:jc w:val="both"/>
        <w:rPr>
          <w:rFonts w:cs="Arial"/>
        </w:rPr>
      </w:pPr>
    </w:p>
    <w:p w14:paraId="4722165D" w14:textId="77777777" w:rsidR="000D1D92" w:rsidRDefault="000D1D92" w:rsidP="000D1D92">
      <w:pPr>
        <w:autoSpaceDE w:val="0"/>
        <w:autoSpaceDN w:val="0"/>
        <w:adjustRightInd w:val="0"/>
        <w:spacing w:before="0" w:after="0"/>
        <w:jc w:val="both"/>
        <w:rPr>
          <w:rFonts w:cs="Arial"/>
        </w:rPr>
      </w:pPr>
      <w:r w:rsidRPr="00591168">
        <w:rPr>
          <w:rFonts w:cs="Arial"/>
        </w:rPr>
        <w:t xml:space="preserve">The gendered nature of family </w:t>
      </w:r>
      <w:r>
        <w:rPr>
          <w:rFonts w:cs="Arial"/>
        </w:rPr>
        <w:t xml:space="preserve">and domestic </w:t>
      </w:r>
      <w:r w:rsidRPr="00591168">
        <w:rPr>
          <w:rFonts w:cs="Arial"/>
        </w:rPr>
        <w:t xml:space="preserve">violence is recognised in the National Framework and the National Plan. Both </w:t>
      </w:r>
      <w:r>
        <w:rPr>
          <w:rFonts w:cs="Arial"/>
        </w:rPr>
        <w:t xml:space="preserve">also </w:t>
      </w:r>
      <w:r w:rsidRPr="00591168">
        <w:rPr>
          <w:rFonts w:cs="Arial"/>
        </w:rPr>
        <w:t>identify family and domestic violence as a major risk factor associated with child abuse and neglect</w:t>
      </w:r>
      <w:r w:rsidRPr="00203857">
        <w:rPr>
          <w:rStyle w:val="EndnoteReference"/>
          <w:rFonts w:cs="Arial"/>
          <w:szCs w:val="20"/>
        </w:rPr>
        <w:endnoteReference w:id="429"/>
      </w:r>
      <w:r>
        <w:rPr>
          <w:rFonts w:cs="Arial"/>
        </w:rPr>
        <w:t xml:space="preserve"> and </w:t>
      </w:r>
      <w:r w:rsidRPr="00591168">
        <w:rPr>
          <w:rFonts w:cs="Arial"/>
        </w:rPr>
        <w:t>commit to reducing family and domestic violence and its impact on children.</w:t>
      </w:r>
      <w:r w:rsidRPr="00203857">
        <w:rPr>
          <w:rStyle w:val="EndnoteReference"/>
          <w:rFonts w:cs="Arial"/>
          <w:szCs w:val="20"/>
        </w:rPr>
        <w:endnoteReference w:id="430"/>
      </w:r>
    </w:p>
    <w:p w14:paraId="01C0BBB7" w14:textId="77777777" w:rsidR="000D1D92" w:rsidRPr="00FE1824" w:rsidRDefault="000D1D92" w:rsidP="000D1D92">
      <w:pPr>
        <w:jc w:val="both"/>
        <w:rPr>
          <w:rFonts w:cs="Arial"/>
        </w:rPr>
      </w:pPr>
      <w:r w:rsidRPr="00FE1824">
        <w:rPr>
          <w:rFonts w:cs="Arial"/>
        </w:rPr>
        <w:t>The</w:t>
      </w:r>
      <w:r w:rsidRPr="00FE1824">
        <w:rPr>
          <w:rFonts w:cs="Arial"/>
          <w:b/>
        </w:rPr>
        <w:t xml:space="preserve"> National Framework</w:t>
      </w:r>
      <w:r w:rsidRPr="00FE1824">
        <w:rPr>
          <w:rFonts w:cs="Arial"/>
        </w:rPr>
        <w:t xml:space="preserve"> is Australia’s long-term plan to promote and enhance the safety and wellbeing of Australia’s children. It is being implemented through a series of three year </w:t>
      </w:r>
      <w:r>
        <w:rPr>
          <w:rFonts w:cs="Arial"/>
        </w:rPr>
        <w:t>A</w:t>
      </w:r>
      <w:r w:rsidRPr="00FE1824">
        <w:rPr>
          <w:rFonts w:cs="Arial"/>
        </w:rPr>
        <w:t xml:space="preserve">ction </w:t>
      </w:r>
      <w:r>
        <w:rPr>
          <w:rFonts w:cs="Arial"/>
        </w:rPr>
        <w:t>P</w:t>
      </w:r>
      <w:r w:rsidRPr="00FE1824">
        <w:rPr>
          <w:rFonts w:cs="Arial"/>
        </w:rPr>
        <w:t>lans.</w:t>
      </w:r>
    </w:p>
    <w:p w14:paraId="59EE0B5C" w14:textId="77777777" w:rsidR="000D1D92" w:rsidRPr="00FE1824" w:rsidRDefault="000D1D92" w:rsidP="000D1D92">
      <w:pPr>
        <w:jc w:val="both"/>
        <w:rPr>
          <w:rFonts w:cs="Arial"/>
        </w:rPr>
      </w:pPr>
      <w:r w:rsidRPr="00FE1824">
        <w:rPr>
          <w:rFonts w:cs="Arial"/>
        </w:rPr>
        <w:t xml:space="preserve">The Third Action Plan </w:t>
      </w:r>
      <w:r>
        <w:rPr>
          <w:rFonts w:cs="Arial"/>
        </w:rPr>
        <w:t>is due to be released in late</w:t>
      </w:r>
      <w:r w:rsidRPr="00FE1824">
        <w:rPr>
          <w:rFonts w:cs="Arial"/>
        </w:rPr>
        <w:t xml:space="preserve"> 2015. Three overarching strategies and two cross-cutting focus areas form the basis of the Third Action Plan.  Strategy 1:  Early Intervention with a focus on the early years, particularly the first 1000 days for a child includes specific reference to family and domestic violence as does the cross-cutting focus area, Aboriginal and Torres Strait Islander Children and Families.</w:t>
      </w:r>
    </w:p>
    <w:p w14:paraId="1C36A4E3" w14:textId="77777777" w:rsidR="000D1D92" w:rsidRDefault="000D1D92" w:rsidP="000D1D92">
      <w:pPr>
        <w:jc w:val="both"/>
        <w:rPr>
          <w:rFonts w:cs="Arial"/>
        </w:rPr>
      </w:pPr>
      <w:r w:rsidRPr="00FE1824">
        <w:rPr>
          <w:rFonts w:cs="Arial"/>
        </w:rPr>
        <w:t xml:space="preserve">Progress under the Third Action Plan will be monitored through </w:t>
      </w:r>
      <w:r>
        <w:rPr>
          <w:rFonts w:cs="Arial"/>
        </w:rPr>
        <w:t xml:space="preserve">a governance arrangement comprising state, territory and federal governments and the non-government sector, as well as </w:t>
      </w:r>
      <w:r w:rsidRPr="00FE1824">
        <w:rPr>
          <w:rFonts w:cs="Arial"/>
        </w:rPr>
        <w:t>annual reports.</w:t>
      </w:r>
    </w:p>
    <w:p w14:paraId="7760687C" w14:textId="77777777" w:rsidR="000D1D92" w:rsidRDefault="000D1D92" w:rsidP="000D1D92">
      <w:pPr>
        <w:jc w:val="both"/>
        <w:rPr>
          <w:rFonts w:cs="Arial"/>
        </w:rPr>
      </w:pPr>
      <w:r>
        <w:rPr>
          <w:rFonts w:cs="Arial"/>
        </w:rPr>
        <w:lastRenderedPageBreak/>
        <w:t xml:space="preserve">The </w:t>
      </w:r>
      <w:r w:rsidRPr="004068C7">
        <w:rPr>
          <w:rFonts w:cs="Arial"/>
          <w:b/>
        </w:rPr>
        <w:t xml:space="preserve">National Plan </w:t>
      </w:r>
      <w:r>
        <w:rPr>
          <w:rFonts w:cs="Arial"/>
        </w:rPr>
        <w:t>is being implemented through four successive three-year Action Plans up to 2022.</w:t>
      </w:r>
      <w:r>
        <w:rPr>
          <w:rStyle w:val="EndnoteReference"/>
          <w:rFonts w:cs="Arial"/>
        </w:rPr>
        <w:endnoteReference w:id="431"/>
      </w:r>
      <w:r>
        <w:rPr>
          <w:rFonts w:cs="Arial"/>
        </w:rPr>
        <w:t xml:space="preserve"> It</w:t>
      </w:r>
      <w:r w:rsidRPr="00591168">
        <w:rPr>
          <w:rFonts w:cs="Arial"/>
        </w:rPr>
        <w:t xml:space="preserve"> specifically identifies reducing the proportion of children exposed</w:t>
      </w:r>
      <w:r>
        <w:rPr>
          <w:rFonts w:cs="Arial"/>
        </w:rPr>
        <w:t xml:space="preserve"> to their mothers’ or carers’ experiences of domestic violence as a national priority.</w:t>
      </w:r>
      <w:r>
        <w:rPr>
          <w:rStyle w:val="EndnoteReference"/>
          <w:rFonts w:cs="Arial"/>
        </w:rPr>
        <w:endnoteReference w:id="432"/>
      </w:r>
    </w:p>
    <w:p w14:paraId="48955CF3" w14:textId="77777777" w:rsidR="000D1D92" w:rsidRPr="00D13BD8" w:rsidRDefault="000D1D92" w:rsidP="000D1D92">
      <w:pPr>
        <w:rPr>
          <w:b/>
        </w:rPr>
      </w:pPr>
      <w:r w:rsidRPr="00D13BD8">
        <w:rPr>
          <w:b/>
        </w:rPr>
        <w:t>National Plan to Reduce Violence against Wome</w:t>
      </w:r>
      <w:r>
        <w:rPr>
          <w:b/>
        </w:rPr>
        <w:t>n and their Children 2010-2022</w:t>
      </w:r>
    </w:p>
    <w:p w14:paraId="251BB284" w14:textId="77777777" w:rsidR="000D1D92" w:rsidRDefault="000D1D92" w:rsidP="000D1D92">
      <w:pPr>
        <w:jc w:val="both"/>
        <w:rPr>
          <w:rFonts w:cs="Arial"/>
        </w:rPr>
      </w:pPr>
      <w:r>
        <w:rPr>
          <w:rFonts w:cs="Arial"/>
          <w:noProof/>
        </w:rPr>
        <w:drawing>
          <wp:inline distT="0" distB="0" distL="0" distR="0" wp14:anchorId="2347452C" wp14:editId="00357604">
            <wp:extent cx="5759450" cy="2453005"/>
            <wp:effectExtent l="0" t="0" r="0" b="444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ational plan diagram.png"/>
                    <pic:cNvPicPr/>
                  </pic:nvPicPr>
                  <pic:blipFill>
                    <a:blip r:embed="rId40">
                      <a:extLst>
                        <a:ext uri="{28A0092B-C50C-407E-A947-70E740481C1C}">
                          <a14:useLocalDpi xmlns:a14="http://schemas.microsoft.com/office/drawing/2010/main" val="0"/>
                        </a:ext>
                      </a:extLst>
                    </a:blip>
                    <a:stretch>
                      <a:fillRect/>
                    </a:stretch>
                  </pic:blipFill>
                  <pic:spPr>
                    <a:xfrm>
                      <a:off x="0" y="0"/>
                      <a:ext cx="5759450" cy="2453005"/>
                    </a:xfrm>
                    <a:prstGeom prst="rect">
                      <a:avLst/>
                    </a:prstGeom>
                  </pic:spPr>
                </pic:pic>
              </a:graphicData>
            </a:graphic>
          </wp:inline>
        </w:drawing>
      </w:r>
    </w:p>
    <w:p w14:paraId="329C3C6F" w14:textId="77777777" w:rsidR="000D1D92" w:rsidRPr="000C4120" w:rsidRDefault="000D1D92" w:rsidP="000D1D92">
      <w:pPr>
        <w:autoSpaceDE w:val="0"/>
        <w:autoSpaceDN w:val="0"/>
        <w:adjustRightInd w:val="0"/>
        <w:spacing w:before="0" w:after="0"/>
        <w:jc w:val="both"/>
        <w:rPr>
          <w:rFonts w:ascii="TT60o00" w:hAnsi="TT60o00" w:cs="TT60o00"/>
        </w:rPr>
      </w:pPr>
      <w:r>
        <w:rPr>
          <w:rFonts w:cs="Arial"/>
        </w:rPr>
        <w:t xml:space="preserve">As National Children’s Commissioner, </w:t>
      </w:r>
      <w:r>
        <w:rPr>
          <w:rFonts w:cs="Arial"/>
          <w:color w:val="231F20"/>
          <w:spacing w:val="-1"/>
        </w:rPr>
        <w:t>I have welcomed these important initiatives and have personally participated in the development of the Action Plans attached to each of them.</w:t>
      </w:r>
    </w:p>
    <w:p w14:paraId="2EC736EE" w14:textId="77777777" w:rsidR="000D1D92" w:rsidRPr="00CA2B17" w:rsidRDefault="000D1D92" w:rsidP="000D1D92">
      <w:pPr>
        <w:jc w:val="both"/>
        <w:rPr>
          <w:rFonts w:cs="Arial"/>
        </w:rPr>
      </w:pPr>
      <w:r w:rsidRPr="00EA27AA">
        <w:rPr>
          <w:rFonts w:cs="Arial"/>
        </w:rPr>
        <w:t xml:space="preserve">The </w:t>
      </w:r>
      <w:r>
        <w:rPr>
          <w:rFonts w:cs="Arial"/>
        </w:rPr>
        <w:t xml:space="preserve">then </w:t>
      </w:r>
      <w:r w:rsidRPr="00EA27AA">
        <w:rPr>
          <w:rFonts w:cs="Arial"/>
        </w:rPr>
        <w:t xml:space="preserve">Prime Minister, the Hon Tony Abbott MP, </w:t>
      </w:r>
      <w:r>
        <w:rPr>
          <w:rFonts w:cs="Arial"/>
        </w:rPr>
        <w:t>launched the Second Action Plan of the National Plan to Reduce Violence against Women and their Children</w:t>
      </w:r>
      <w:r w:rsidRPr="00EA27AA">
        <w:rPr>
          <w:rFonts w:cs="Arial"/>
        </w:rPr>
        <w:t xml:space="preserve"> in June 2014.</w:t>
      </w:r>
      <w:r>
        <w:rPr>
          <w:rFonts w:cs="Arial"/>
        </w:rPr>
        <w:t xml:space="preserve"> New i</w:t>
      </w:r>
      <w:r w:rsidRPr="00CA2B17">
        <w:rPr>
          <w:rFonts w:cs="Arial"/>
        </w:rPr>
        <w:t xml:space="preserve">nitiatives </w:t>
      </w:r>
      <w:r>
        <w:rPr>
          <w:rFonts w:cs="Arial"/>
        </w:rPr>
        <w:t xml:space="preserve">in </w:t>
      </w:r>
      <w:r w:rsidRPr="00CA2B17">
        <w:rPr>
          <w:rFonts w:cs="Arial"/>
        </w:rPr>
        <w:t>the Second Action Plan include</w:t>
      </w:r>
      <w:r>
        <w:rPr>
          <w:rFonts w:cs="Arial"/>
        </w:rPr>
        <w:t>d</w:t>
      </w:r>
      <w:r w:rsidRPr="00CA2B17">
        <w:rPr>
          <w:rFonts w:cs="Arial"/>
        </w:rPr>
        <w:t>:</w:t>
      </w:r>
      <w:r>
        <w:rPr>
          <w:rStyle w:val="EndnoteReference"/>
          <w:rFonts w:cs="Arial"/>
        </w:rPr>
        <w:endnoteReference w:id="433"/>
      </w:r>
    </w:p>
    <w:p w14:paraId="2B9322AD" w14:textId="77777777" w:rsidR="000D1D92" w:rsidRDefault="000D1D92" w:rsidP="000D1D92">
      <w:pPr>
        <w:pStyle w:val="ListParagraph"/>
        <w:numPr>
          <w:ilvl w:val="0"/>
          <w:numId w:val="25"/>
        </w:numPr>
        <w:jc w:val="both"/>
        <w:rPr>
          <w:rFonts w:cs="Arial"/>
        </w:rPr>
      </w:pPr>
      <w:r w:rsidRPr="00CA2B17">
        <w:rPr>
          <w:rFonts w:cs="Arial"/>
        </w:rPr>
        <w:t xml:space="preserve">$3.3 million for CrimTrac to </w:t>
      </w:r>
      <w:r w:rsidRPr="0021669F">
        <w:rPr>
          <w:rFonts w:cs="Arial"/>
          <w:b/>
        </w:rPr>
        <w:t>develop and test a prototype for a National Domestic Violence Order (DVO) Scheme</w:t>
      </w:r>
      <w:r w:rsidRPr="00CA2B17">
        <w:rPr>
          <w:rFonts w:cs="Arial"/>
        </w:rPr>
        <w:t>, to strengthen the identification and enforcement of DVOs across state and territory borders.</w:t>
      </w:r>
    </w:p>
    <w:p w14:paraId="46A614FF" w14:textId="77777777" w:rsidR="000D1D92" w:rsidRDefault="000D1D92" w:rsidP="000D1D92">
      <w:pPr>
        <w:pStyle w:val="ListParagraph"/>
        <w:jc w:val="both"/>
        <w:rPr>
          <w:rFonts w:cs="Arial"/>
        </w:rPr>
      </w:pPr>
    </w:p>
    <w:p w14:paraId="6C8065C8" w14:textId="77777777" w:rsidR="000D1D92" w:rsidRDefault="000D1D92" w:rsidP="000D1D92">
      <w:pPr>
        <w:pStyle w:val="ListParagraph"/>
        <w:numPr>
          <w:ilvl w:val="0"/>
          <w:numId w:val="25"/>
        </w:numPr>
        <w:jc w:val="both"/>
        <w:rPr>
          <w:rFonts w:cs="Arial"/>
        </w:rPr>
      </w:pPr>
      <w:r w:rsidRPr="00CA2B17">
        <w:rPr>
          <w:rFonts w:cs="Arial"/>
        </w:rPr>
        <w:t xml:space="preserve">$1.7 million to take the next steps in </w:t>
      </w:r>
      <w:r w:rsidRPr="0021669F">
        <w:rPr>
          <w:rFonts w:cs="Arial"/>
          <w:b/>
        </w:rPr>
        <w:t>developing a national data collection and reporting framework</w:t>
      </w:r>
      <w:r>
        <w:rPr>
          <w:rFonts w:cs="Arial"/>
        </w:rPr>
        <w:t xml:space="preserve"> </w:t>
      </w:r>
      <w:r w:rsidRPr="00CA2B17">
        <w:rPr>
          <w:rFonts w:cs="Arial"/>
        </w:rPr>
        <w:t>by building a more consistent basis from which to gather, analyse and use data on all aspects of violence against women and their children. This includes $300,000 for the Australian Bureau of Statistics to augment data sets on victims and offenders.</w:t>
      </w:r>
    </w:p>
    <w:p w14:paraId="14CDA01F" w14:textId="77777777" w:rsidR="000D1D92" w:rsidRDefault="000D1D92" w:rsidP="000D1D92">
      <w:pPr>
        <w:pStyle w:val="ListParagraph"/>
        <w:jc w:val="both"/>
        <w:rPr>
          <w:rFonts w:cs="Arial"/>
        </w:rPr>
      </w:pPr>
    </w:p>
    <w:p w14:paraId="2F847F7B" w14:textId="77777777" w:rsidR="000D1D92" w:rsidRDefault="000D1D92" w:rsidP="000D1D92">
      <w:pPr>
        <w:pStyle w:val="ListParagraph"/>
        <w:numPr>
          <w:ilvl w:val="0"/>
          <w:numId w:val="25"/>
        </w:numPr>
        <w:jc w:val="both"/>
        <w:rPr>
          <w:rFonts w:cs="Arial"/>
        </w:rPr>
      </w:pPr>
      <w:r w:rsidRPr="00CA2B17">
        <w:rPr>
          <w:rFonts w:cs="Arial"/>
        </w:rPr>
        <w:t>More than $1 million for 1800RESPECT, Australia’s first national professional telephone and online counselling service</w:t>
      </w:r>
      <w:r>
        <w:rPr>
          <w:rFonts w:cs="Arial"/>
        </w:rPr>
        <w:t xml:space="preserve"> for people experiencing the effects of sexual assault, domestic or family violence</w:t>
      </w:r>
      <w:r w:rsidRPr="00CA2B17">
        <w:rPr>
          <w:rFonts w:cs="Arial"/>
        </w:rPr>
        <w:t xml:space="preserve">, to expand its service. The </w:t>
      </w:r>
      <w:r w:rsidRPr="0021669F">
        <w:rPr>
          <w:rFonts w:cs="Arial"/>
          <w:b/>
        </w:rPr>
        <w:t>new funding for 1800RESPECT</w:t>
      </w:r>
      <w:r w:rsidRPr="00CA2B17">
        <w:rPr>
          <w:rFonts w:cs="Arial"/>
        </w:rPr>
        <w:t xml:space="preserve"> is in addition to </w:t>
      </w:r>
      <w:r>
        <w:rPr>
          <w:rFonts w:cs="Arial"/>
        </w:rPr>
        <w:t>government</w:t>
      </w:r>
      <w:r w:rsidRPr="00CA2B17">
        <w:rPr>
          <w:rFonts w:cs="Arial"/>
        </w:rPr>
        <w:t xml:space="preserve"> investment of $28 million over the next four years to support existing services.</w:t>
      </w:r>
    </w:p>
    <w:p w14:paraId="091B70B2" w14:textId="77777777" w:rsidR="000D1D92" w:rsidRDefault="000D1D92" w:rsidP="000D1D92">
      <w:pPr>
        <w:jc w:val="both"/>
        <w:rPr>
          <w:rFonts w:cs="Arial"/>
          <w:lang w:val="en"/>
        </w:rPr>
      </w:pPr>
      <w:r>
        <w:rPr>
          <w:rFonts w:cs="Arial"/>
          <w:lang w:val="en"/>
        </w:rPr>
        <w:t>Other work is also underway. For example:</w:t>
      </w:r>
    </w:p>
    <w:p w14:paraId="7CBF1C6D" w14:textId="77777777" w:rsidR="000D1D92" w:rsidRDefault="000D1D92" w:rsidP="000D1D92">
      <w:pPr>
        <w:pStyle w:val="ListParagraph"/>
        <w:numPr>
          <w:ilvl w:val="0"/>
          <w:numId w:val="27"/>
        </w:numPr>
        <w:jc w:val="both"/>
        <w:rPr>
          <w:rFonts w:cs="Arial"/>
          <w:lang w:val="en"/>
        </w:rPr>
      </w:pPr>
      <w:r w:rsidRPr="00EF0205">
        <w:rPr>
          <w:rFonts w:cs="Arial"/>
          <w:lang w:val="en"/>
        </w:rPr>
        <w:t xml:space="preserve">On 26 June 2014, </w:t>
      </w:r>
      <w:r w:rsidRPr="00EF0205">
        <w:rPr>
          <w:rFonts w:cs="Arial"/>
          <w:b/>
          <w:lang w:val="en"/>
        </w:rPr>
        <w:t>the issue of domestic violence in Australia was referred by the Australian Government to the</w:t>
      </w:r>
      <w:r>
        <w:rPr>
          <w:rFonts w:cs="Arial"/>
          <w:b/>
          <w:lang w:val="en"/>
        </w:rPr>
        <w:t xml:space="preserve"> Senate</w:t>
      </w:r>
      <w:r w:rsidRPr="00EF0205">
        <w:rPr>
          <w:rFonts w:cs="Arial"/>
          <w:b/>
          <w:lang w:val="en"/>
        </w:rPr>
        <w:t xml:space="preserve"> Finance and Public Administration References Committee</w:t>
      </w:r>
      <w:r w:rsidRPr="00EF0205">
        <w:rPr>
          <w:rFonts w:cs="Arial"/>
          <w:lang w:val="en"/>
        </w:rPr>
        <w:t xml:space="preserve"> for inquiry and report.</w:t>
      </w:r>
      <w:r>
        <w:rPr>
          <w:rFonts w:cs="Arial"/>
          <w:lang w:val="en"/>
        </w:rPr>
        <w:t xml:space="preserve"> The Senate Committee’s final</w:t>
      </w:r>
      <w:r w:rsidRPr="00EF0205">
        <w:rPr>
          <w:rFonts w:cs="Arial"/>
          <w:lang w:val="en-US"/>
        </w:rPr>
        <w:t xml:space="preserve"> report was released on </w:t>
      </w:r>
      <w:r w:rsidRPr="00EF0205">
        <w:rPr>
          <w:rFonts w:cs="Arial"/>
          <w:bCs/>
          <w:lang w:val="en-US"/>
        </w:rPr>
        <w:t>20 August 2015</w:t>
      </w:r>
      <w:r w:rsidRPr="00EF0205">
        <w:rPr>
          <w:rFonts w:cs="Arial"/>
          <w:lang w:val="en-US"/>
        </w:rPr>
        <w:t>.</w:t>
      </w:r>
      <w:r w:rsidRPr="00EF0205">
        <w:rPr>
          <w:rFonts w:cs="Arial"/>
          <w:lang w:val="en"/>
        </w:rPr>
        <w:t xml:space="preserve"> </w:t>
      </w:r>
    </w:p>
    <w:p w14:paraId="4AB2718A" w14:textId="77777777" w:rsidR="000D1D92" w:rsidRDefault="000D1D92" w:rsidP="000D1D92">
      <w:pPr>
        <w:pStyle w:val="ListParagraph"/>
        <w:jc w:val="both"/>
        <w:rPr>
          <w:rFonts w:cs="Arial"/>
          <w:lang w:val="en"/>
        </w:rPr>
      </w:pPr>
    </w:p>
    <w:p w14:paraId="3ABAA35C" w14:textId="77777777" w:rsidR="000D1D92" w:rsidRPr="00196847" w:rsidRDefault="000D1D92" w:rsidP="000D1D92">
      <w:pPr>
        <w:pStyle w:val="ListParagraph"/>
        <w:numPr>
          <w:ilvl w:val="0"/>
          <w:numId w:val="27"/>
        </w:numPr>
        <w:spacing w:after="200"/>
        <w:jc w:val="both"/>
        <w:rPr>
          <w:rFonts w:cs="Arial"/>
        </w:rPr>
      </w:pPr>
      <w:r w:rsidRPr="00DC2C92">
        <w:rPr>
          <w:rFonts w:cs="Arial"/>
        </w:rPr>
        <w:t xml:space="preserve">In January 2015, retiring Victoria Police Chief Commissioner Ken Ley and 2015 Australian of the Year, Rosie Batty were appointed as founding members of an </w:t>
      </w:r>
      <w:r w:rsidRPr="00DC2C92">
        <w:rPr>
          <w:rFonts w:cs="Arial"/>
          <w:b/>
        </w:rPr>
        <w:t>advisory panel</w:t>
      </w:r>
      <w:r w:rsidRPr="00DC2C92">
        <w:rPr>
          <w:rFonts w:cs="Arial"/>
        </w:rPr>
        <w:t xml:space="preserve"> to guide the Council of Australian Governments (COAG) in its work </w:t>
      </w:r>
      <w:r>
        <w:rPr>
          <w:rFonts w:cs="Arial"/>
        </w:rPr>
        <w:t>to address</w:t>
      </w:r>
      <w:r w:rsidRPr="00DC2C92">
        <w:rPr>
          <w:rFonts w:cs="Arial"/>
        </w:rPr>
        <w:t xml:space="preserve"> family and domestic violence.</w:t>
      </w:r>
    </w:p>
    <w:p w14:paraId="2519CD4D" w14:textId="77777777" w:rsidR="000D1D92" w:rsidRDefault="000D1D92" w:rsidP="000D1D92">
      <w:pPr>
        <w:pStyle w:val="ListParagraph"/>
        <w:jc w:val="both"/>
        <w:rPr>
          <w:rFonts w:cs="Arial"/>
          <w:lang w:val="en"/>
        </w:rPr>
      </w:pPr>
    </w:p>
    <w:p w14:paraId="69E5C462" w14:textId="77777777" w:rsidR="000D1D92" w:rsidRPr="00B1506A" w:rsidRDefault="000D1D92" w:rsidP="000D1D92">
      <w:pPr>
        <w:pStyle w:val="ListParagraph"/>
        <w:numPr>
          <w:ilvl w:val="0"/>
          <w:numId w:val="27"/>
        </w:numPr>
        <w:jc w:val="both"/>
        <w:rPr>
          <w:rFonts w:ascii="Helvetica" w:hAnsi="Helvetica"/>
        </w:rPr>
      </w:pPr>
      <w:r>
        <w:rPr>
          <w:rFonts w:ascii="Helvetica" w:hAnsi="Helvetica"/>
        </w:rPr>
        <w:t xml:space="preserve">On 28 February 2015, the report and recommendations of </w:t>
      </w:r>
      <w:r w:rsidRPr="00303A8D">
        <w:rPr>
          <w:rFonts w:ascii="Helvetica" w:hAnsi="Helvetica"/>
          <w:b/>
        </w:rPr>
        <w:t>‘Not Now, Not Ever’ – Putting an End to Domestic and Family Violence in Queensland</w:t>
      </w:r>
      <w:r>
        <w:rPr>
          <w:rFonts w:ascii="Helvetica" w:hAnsi="Helvetica"/>
        </w:rPr>
        <w:t xml:space="preserve"> was released. </w:t>
      </w:r>
      <w:r w:rsidRPr="00B1506A">
        <w:rPr>
          <w:rFonts w:ascii="Helvetica" w:hAnsi="Helvetica"/>
        </w:rPr>
        <w:t xml:space="preserve">Dame Quentin Bryce </w:t>
      </w:r>
      <w:r>
        <w:rPr>
          <w:rFonts w:ascii="Helvetica" w:hAnsi="Helvetica"/>
        </w:rPr>
        <w:t xml:space="preserve">led the investigative taskforce, </w:t>
      </w:r>
      <w:r w:rsidRPr="00B1506A">
        <w:rPr>
          <w:rFonts w:ascii="Helvetica" w:hAnsi="Helvetica"/>
        </w:rPr>
        <w:t xml:space="preserve">which examined how soaring rates of domestic violence in Queensland should be tackled. </w:t>
      </w:r>
      <w:r>
        <w:rPr>
          <w:rFonts w:ascii="Helvetica" w:hAnsi="Helvetica"/>
        </w:rPr>
        <w:t xml:space="preserve">Queensland </w:t>
      </w:r>
      <w:r w:rsidRPr="00B1506A">
        <w:rPr>
          <w:rFonts w:ascii="Helvetica" w:hAnsi="Helvetica"/>
        </w:rPr>
        <w:t xml:space="preserve">Premier Annastacia Palaszczuk </w:t>
      </w:r>
      <w:r>
        <w:rPr>
          <w:rFonts w:ascii="Helvetica" w:hAnsi="Helvetica"/>
        </w:rPr>
        <w:t xml:space="preserve">announced that the Queensland Government will implement </w:t>
      </w:r>
      <w:r w:rsidRPr="00B1506A">
        <w:rPr>
          <w:rFonts w:ascii="Helvetica" w:hAnsi="Helvetica"/>
        </w:rPr>
        <w:t>all 140 recommendations made in the report</w:t>
      </w:r>
      <w:r>
        <w:rPr>
          <w:rFonts w:ascii="Helvetica" w:hAnsi="Helvetica"/>
        </w:rPr>
        <w:t>. In September 2015,</w:t>
      </w:r>
      <w:r w:rsidRPr="00B1506A">
        <w:rPr>
          <w:rFonts w:ascii="Helvetica" w:hAnsi="Helvetica"/>
        </w:rPr>
        <w:t xml:space="preserve"> </w:t>
      </w:r>
      <w:r>
        <w:rPr>
          <w:rFonts w:ascii="Helvetica" w:hAnsi="Helvetica"/>
        </w:rPr>
        <w:t xml:space="preserve">Premier </w:t>
      </w:r>
      <w:r w:rsidRPr="00B1506A">
        <w:rPr>
          <w:rFonts w:ascii="Helvetica" w:hAnsi="Helvetica"/>
        </w:rPr>
        <w:t>Palaszczuk</w:t>
      </w:r>
      <w:r>
        <w:rPr>
          <w:rFonts w:ascii="Helvetica" w:hAnsi="Helvetica"/>
        </w:rPr>
        <w:t xml:space="preserve"> announced that </w:t>
      </w:r>
      <w:r w:rsidRPr="00B1506A">
        <w:rPr>
          <w:rFonts w:ascii="Helvetica" w:hAnsi="Helvetica"/>
        </w:rPr>
        <w:t>Dame Quentin Bryce would lead the committee implement</w:t>
      </w:r>
      <w:r>
        <w:rPr>
          <w:rFonts w:ascii="Helvetica" w:hAnsi="Helvetica"/>
        </w:rPr>
        <w:t>ing the recommendations</w:t>
      </w:r>
      <w:r w:rsidRPr="00B1506A">
        <w:rPr>
          <w:rFonts w:ascii="Helvetica" w:hAnsi="Helvetica"/>
        </w:rPr>
        <w:t>.</w:t>
      </w:r>
    </w:p>
    <w:p w14:paraId="2EABD365" w14:textId="77777777" w:rsidR="000D1D92" w:rsidRPr="00EF0205" w:rsidRDefault="000D1D92" w:rsidP="000D1D92">
      <w:pPr>
        <w:pStyle w:val="ListParagraph"/>
        <w:jc w:val="both"/>
        <w:rPr>
          <w:rFonts w:cs="Arial"/>
          <w:lang w:val="en"/>
        </w:rPr>
      </w:pPr>
    </w:p>
    <w:p w14:paraId="10D9A3D5" w14:textId="77777777" w:rsidR="000D1D92" w:rsidRDefault="000D1D92" w:rsidP="000D1D92">
      <w:pPr>
        <w:pStyle w:val="ListParagraph"/>
        <w:numPr>
          <w:ilvl w:val="0"/>
          <w:numId w:val="27"/>
        </w:numPr>
        <w:jc w:val="both"/>
        <w:rPr>
          <w:rFonts w:cs="Arial"/>
          <w:lang w:val="en"/>
        </w:rPr>
      </w:pPr>
      <w:r w:rsidRPr="00EF0205">
        <w:rPr>
          <w:rFonts w:cs="Arial"/>
          <w:lang w:val="en"/>
        </w:rPr>
        <w:t xml:space="preserve">The </w:t>
      </w:r>
      <w:r w:rsidRPr="00EF0205">
        <w:rPr>
          <w:rFonts w:cs="Arial"/>
          <w:b/>
          <w:lang w:val="en"/>
        </w:rPr>
        <w:t>Victorian Royal Commission into Family Violence</w:t>
      </w:r>
      <w:r w:rsidRPr="00EF0205">
        <w:rPr>
          <w:rFonts w:cs="Arial"/>
          <w:lang w:val="en"/>
        </w:rPr>
        <w:t xml:space="preserve"> was announced in February 2015 and is due to report by 29 February 2016. </w:t>
      </w:r>
    </w:p>
    <w:p w14:paraId="086EE991" w14:textId="77777777" w:rsidR="000D1D92" w:rsidRPr="00EF0205" w:rsidRDefault="000D1D92" w:rsidP="000D1D92">
      <w:pPr>
        <w:pStyle w:val="ListParagraph"/>
        <w:jc w:val="both"/>
        <w:rPr>
          <w:rFonts w:cs="Arial"/>
          <w:lang w:val="en"/>
        </w:rPr>
      </w:pPr>
    </w:p>
    <w:p w14:paraId="22030238" w14:textId="77777777" w:rsidR="000D1D92" w:rsidRPr="001A64B2" w:rsidRDefault="000D1D92" w:rsidP="000D1D92">
      <w:pPr>
        <w:pStyle w:val="ListParagraph"/>
        <w:numPr>
          <w:ilvl w:val="0"/>
          <w:numId w:val="27"/>
        </w:numPr>
        <w:jc w:val="both"/>
        <w:rPr>
          <w:rFonts w:cs="Arial"/>
          <w:lang w:val="en"/>
        </w:rPr>
      </w:pPr>
      <w:r w:rsidRPr="001A64B2">
        <w:rPr>
          <w:rFonts w:cs="Arial"/>
          <w:lang w:val="en"/>
        </w:rPr>
        <w:t xml:space="preserve">On 10 August 2015, the </w:t>
      </w:r>
      <w:r w:rsidRPr="001A64B2">
        <w:rPr>
          <w:rFonts w:cs="Arial"/>
          <w:b/>
          <w:lang w:val="en"/>
        </w:rPr>
        <w:t>NSW Government announced a review of the sentencing of domestic violence offenders</w:t>
      </w:r>
      <w:r w:rsidRPr="001A64B2">
        <w:rPr>
          <w:rFonts w:cs="Arial"/>
          <w:lang w:val="en"/>
        </w:rPr>
        <w:t xml:space="preserve">. The NSW Sentencing Council will analyse the sentences handed down for domestic violence offences and compare them to other states. It will also examine whether domestic violence offenders are more likely to re-offend than people convicted of other types of assault. The </w:t>
      </w:r>
      <w:r>
        <w:rPr>
          <w:rFonts w:cs="Arial"/>
          <w:lang w:val="en"/>
        </w:rPr>
        <w:t xml:space="preserve">NSW </w:t>
      </w:r>
      <w:r w:rsidRPr="001A64B2">
        <w:rPr>
          <w:rFonts w:cs="Arial"/>
          <w:lang w:val="en"/>
        </w:rPr>
        <w:t xml:space="preserve">Sentencing Council will report back to the </w:t>
      </w:r>
      <w:r>
        <w:rPr>
          <w:rFonts w:cs="Arial"/>
          <w:lang w:val="en"/>
        </w:rPr>
        <w:t>NSW</w:t>
      </w:r>
      <w:r w:rsidRPr="001A64B2">
        <w:rPr>
          <w:rFonts w:cs="Arial"/>
          <w:lang w:val="en"/>
        </w:rPr>
        <w:t xml:space="preserve"> Government by the end of 2015.</w:t>
      </w:r>
    </w:p>
    <w:p w14:paraId="6878EE11" w14:textId="77777777" w:rsidR="000D1D92" w:rsidRDefault="000D1D92" w:rsidP="000D1D92">
      <w:pPr>
        <w:spacing w:after="200"/>
        <w:jc w:val="both"/>
        <w:rPr>
          <w:rFonts w:cstheme="minorHAnsi"/>
        </w:rPr>
      </w:pPr>
      <w:r>
        <w:rPr>
          <w:rFonts w:cs="Arial"/>
        </w:rPr>
        <w:t xml:space="preserve">In April 2015, </w:t>
      </w:r>
      <w:r>
        <w:rPr>
          <w:rFonts w:cs="Arial"/>
          <w:b/>
        </w:rPr>
        <w:t xml:space="preserve">COAG </w:t>
      </w:r>
      <w:r w:rsidRPr="004068C7">
        <w:rPr>
          <w:rFonts w:cs="Arial"/>
          <w:b/>
        </w:rPr>
        <w:t>agreed to a national, cooperative effort to reduce family violence</w:t>
      </w:r>
      <w:r>
        <w:rPr>
          <w:rFonts w:cs="Arial"/>
        </w:rPr>
        <w:t xml:space="preserve"> and identified it as an issue of major public concern impacting on communities across Australia.</w:t>
      </w:r>
      <w:r>
        <w:rPr>
          <w:rStyle w:val="EndnoteReference"/>
          <w:rFonts w:cs="Arial"/>
        </w:rPr>
        <w:endnoteReference w:id="434"/>
      </w:r>
      <w:r>
        <w:rPr>
          <w:rFonts w:cs="Arial"/>
        </w:rPr>
        <w:t xml:space="preserve"> </w:t>
      </w:r>
      <w:r>
        <w:rPr>
          <w:rFonts w:cstheme="minorHAnsi"/>
        </w:rPr>
        <w:t>By the end of 2015, COAG has committed to:</w:t>
      </w:r>
    </w:p>
    <w:p w14:paraId="0251E636" w14:textId="77777777" w:rsidR="000D1D92" w:rsidRDefault="000D1D92" w:rsidP="000D1D92">
      <w:pPr>
        <w:pStyle w:val="ListParagraph"/>
        <w:numPr>
          <w:ilvl w:val="0"/>
          <w:numId w:val="26"/>
        </w:numPr>
        <w:spacing w:before="0" w:after="200"/>
        <w:ind w:left="714" w:hanging="357"/>
        <w:contextualSpacing w:val="0"/>
        <w:jc w:val="both"/>
        <w:rPr>
          <w:rFonts w:cstheme="minorHAnsi"/>
        </w:rPr>
      </w:pPr>
      <w:r>
        <w:rPr>
          <w:rFonts w:cstheme="minorHAnsi"/>
        </w:rPr>
        <w:t xml:space="preserve">Agreeing on </w:t>
      </w:r>
      <w:r w:rsidRPr="00F54319">
        <w:rPr>
          <w:rFonts w:cstheme="minorHAnsi"/>
        </w:rPr>
        <w:t xml:space="preserve">a national domestic violence order (DVO) scheme, where DVOs </w:t>
      </w:r>
      <w:r>
        <w:rPr>
          <w:rFonts w:cstheme="minorHAnsi"/>
        </w:rPr>
        <w:t>will be</w:t>
      </w:r>
      <w:r w:rsidRPr="00F54319">
        <w:rPr>
          <w:rFonts w:cstheme="minorHAnsi"/>
        </w:rPr>
        <w:t xml:space="preserve"> automatically recognised and enforce</w:t>
      </w:r>
      <w:r>
        <w:rPr>
          <w:rFonts w:cstheme="minorHAnsi"/>
        </w:rPr>
        <w:t>able</w:t>
      </w:r>
      <w:r w:rsidRPr="00F54319">
        <w:rPr>
          <w:rFonts w:cstheme="minorHAnsi"/>
        </w:rPr>
        <w:t xml:space="preserve"> in any state or territory of Australia</w:t>
      </w:r>
      <w:r>
        <w:rPr>
          <w:rFonts w:cstheme="minorHAnsi"/>
        </w:rPr>
        <w:t>.</w:t>
      </w:r>
    </w:p>
    <w:p w14:paraId="1AF9458A" w14:textId="77777777" w:rsidR="000D1D92" w:rsidRDefault="000D1D92" w:rsidP="000D1D92">
      <w:pPr>
        <w:pStyle w:val="ListParagraph"/>
        <w:numPr>
          <w:ilvl w:val="0"/>
          <w:numId w:val="26"/>
        </w:numPr>
        <w:spacing w:before="0" w:after="200"/>
        <w:ind w:left="714" w:hanging="357"/>
        <w:contextualSpacing w:val="0"/>
        <w:jc w:val="both"/>
        <w:rPr>
          <w:rFonts w:cstheme="minorHAnsi"/>
        </w:rPr>
      </w:pPr>
      <w:r>
        <w:rPr>
          <w:rFonts w:cstheme="minorHAnsi"/>
        </w:rPr>
        <w:t>Reporting on the progress made on the development of a national information system that will enable courts and police in different states and territories to share information on active DVOs. New South Wales, Queensland and Tasmania will trial the system.</w:t>
      </w:r>
    </w:p>
    <w:p w14:paraId="67ED8125" w14:textId="77777777" w:rsidR="000D1D92" w:rsidRPr="00BB4865" w:rsidRDefault="000D1D92" w:rsidP="000D1D92">
      <w:pPr>
        <w:pStyle w:val="ListParagraph"/>
        <w:numPr>
          <w:ilvl w:val="0"/>
          <w:numId w:val="26"/>
        </w:numPr>
        <w:spacing w:before="0" w:after="200"/>
        <w:ind w:left="714" w:hanging="357"/>
        <w:contextualSpacing w:val="0"/>
        <w:jc w:val="both"/>
        <w:rPr>
          <w:rFonts w:cstheme="minorHAnsi"/>
        </w:rPr>
      </w:pPr>
      <w:r>
        <w:rPr>
          <w:rFonts w:cstheme="minorHAnsi"/>
        </w:rPr>
        <w:t>C</w:t>
      </w:r>
      <w:r w:rsidRPr="00BB4865">
        <w:rPr>
          <w:rFonts w:cstheme="minorHAnsi"/>
        </w:rPr>
        <w:t>onsider</w:t>
      </w:r>
      <w:r>
        <w:rPr>
          <w:rFonts w:cstheme="minorHAnsi"/>
        </w:rPr>
        <w:t>ing</w:t>
      </w:r>
      <w:r w:rsidRPr="00BB4865">
        <w:rPr>
          <w:rFonts w:cstheme="minorHAnsi"/>
        </w:rPr>
        <w:t xml:space="preserve"> national standards to ensure perpetrators of violence against women are held to account at the same standard across Australia, for implementation in 2016</w:t>
      </w:r>
      <w:r>
        <w:rPr>
          <w:rFonts w:cstheme="minorHAnsi"/>
        </w:rPr>
        <w:t>.</w:t>
      </w:r>
    </w:p>
    <w:p w14:paraId="1D805A43" w14:textId="77777777" w:rsidR="000D1D92" w:rsidRDefault="000D1D92" w:rsidP="000D1D92">
      <w:pPr>
        <w:pStyle w:val="ListParagraph"/>
        <w:numPr>
          <w:ilvl w:val="0"/>
          <w:numId w:val="26"/>
        </w:numPr>
        <w:spacing w:before="0" w:after="200"/>
        <w:ind w:left="714" w:hanging="357"/>
        <w:contextualSpacing w:val="0"/>
        <w:jc w:val="both"/>
        <w:rPr>
          <w:rFonts w:cstheme="minorHAnsi"/>
        </w:rPr>
      </w:pPr>
      <w:r>
        <w:rPr>
          <w:rFonts w:cstheme="minorHAnsi"/>
        </w:rPr>
        <w:t>C</w:t>
      </w:r>
      <w:r w:rsidRPr="00385246">
        <w:rPr>
          <w:rFonts w:cstheme="minorHAnsi"/>
        </w:rPr>
        <w:t>onsider</w:t>
      </w:r>
      <w:r>
        <w:rPr>
          <w:rFonts w:cstheme="minorHAnsi"/>
        </w:rPr>
        <w:t>ing</w:t>
      </w:r>
      <w:r w:rsidRPr="00385246">
        <w:rPr>
          <w:rFonts w:cstheme="minorHAnsi"/>
        </w:rPr>
        <w:t xml:space="preserve"> strategies to tackle the</w:t>
      </w:r>
      <w:r w:rsidRPr="00385246" w:rsidDel="008628F1">
        <w:rPr>
          <w:rFonts w:cstheme="minorHAnsi"/>
        </w:rPr>
        <w:t xml:space="preserve"> </w:t>
      </w:r>
      <w:r w:rsidRPr="00385246">
        <w:rPr>
          <w:rFonts w:cstheme="minorHAnsi"/>
        </w:rPr>
        <w:t>increas</w:t>
      </w:r>
      <w:r>
        <w:rPr>
          <w:rFonts w:cstheme="minorHAnsi"/>
        </w:rPr>
        <w:t>ed</w:t>
      </w:r>
      <w:r w:rsidRPr="00385246">
        <w:rPr>
          <w:rFonts w:cstheme="minorHAnsi"/>
        </w:rPr>
        <w:t xml:space="preserve"> use</w:t>
      </w:r>
      <w:r>
        <w:rPr>
          <w:rFonts w:cstheme="minorHAnsi"/>
        </w:rPr>
        <w:t xml:space="preserve"> of technology</w:t>
      </w:r>
      <w:r w:rsidRPr="00385246">
        <w:rPr>
          <w:rFonts w:cstheme="minorHAnsi"/>
        </w:rPr>
        <w:t xml:space="preserve"> to facilitate abuse against women</w:t>
      </w:r>
      <w:r>
        <w:rPr>
          <w:rFonts w:cstheme="minorHAnsi"/>
        </w:rPr>
        <w:t>, and to ensure women have adequate legal protections against this form of abuse.</w:t>
      </w:r>
    </w:p>
    <w:p w14:paraId="60136C71" w14:textId="77777777" w:rsidR="000D1D92" w:rsidRDefault="000D1D92" w:rsidP="000D1D92">
      <w:pPr>
        <w:pStyle w:val="ListParagraph"/>
        <w:numPr>
          <w:ilvl w:val="0"/>
          <w:numId w:val="26"/>
        </w:numPr>
        <w:spacing w:before="0" w:after="200"/>
        <w:ind w:left="714" w:hanging="357"/>
        <w:contextualSpacing w:val="0"/>
        <w:jc w:val="both"/>
        <w:rPr>
          <w:rFonts w:cstheme="minorHAnsi"/>
        </w:rPr>
      </w:pPr>
      <w:r>
        <w:rPr>
          <w:rFonts w:cstheme="minorHAnsi"/>
        </w:rPr>
        <w:t>J</w:t>
      </w:r>
      <w:r w:rsidRPr="003F43D7">
        <w:rPr>
          <w:rFonts w:cstheme="minorHAnsi"/>
        </w:rPr>
        <w:t xml:space="preserve">ointly </w:t>
      </w:r>
      <w:r>
        <w:rPr>
          <w:rFonts w:cstheme="minorHAnsi"/>
        </w:rPr>
        <w:t>contributing</w:t>
      </w:r>
      <w:r w:rsidRPr="003F43D7">
        <w:rPr>
          <w:rFonts w:cstheme="minorHAnsi"/>
        </w:rPr>
        <w:t xml:space="preserve"> $30 million for a national campaign to reduce violence against women and their children and potentially for </w:t>
      </w:r>
      <w:r>
        <w:rPr>
          <w:rFonts w:cstheme="minorHAnsi"/>
        </w:rPr>
        <w:t>the associated increase of</w:t>
      </w:r>
      <w:r w:rsidRPr="003F43D7">
        <w:rPr>
          <w:rFonts w:cstheme="minorHAnsi"/>
        </w:rPr>
        <w:t xml:space="preserve"> services to support women seeking assistance. </w:t>
      </w:r>
      <w:r>
        <w:rPr>
          <w:rFonts w:cstheme="minorHAnsi"/>
        </w:rPr>
        <w:t xml:space="preserve">The campaign aims to be </w:t>
      </w:r>
      <w:r w:rsidRPr="00BB62F6">
        <w:rPr>
          <w:rFonts w:cstheme="minorHAnsi"/>
        </w:rPr>
        <w:t xml:space="preserve">based on research, with a focus on high-risk groups, including </w:t>
      </w:r>
      <w:r>
        <w:rPr>
          <w:rFonts w:cstheme="minorHAnsi"/>
        </w:rPr>
        <w:t>Aboriginal and Torres Strait Islander</w:t>
      </w:r>
      <w:r w:rsidRPr="00BB62F6">
        <w:rPr>
          <w:rFonts w:cstheme="minorHAnsi"/>
        </w:rPr>
        <w:t xml:space="preserve"> women. </w:t>
      </w:r>
    </w:p>
    <w:p w14:paraId="64341C6A" w14:textId="77777777" w:rsidR="000D1D92" w:rsidRDefault="000D1D92" w:rsidP="000D1D92">
      <w:pPr>
        <w:spacing w:before="0" w:after="200"/>
        <w:jc w:val="both"/>
        <w:rPr>
          <w:sz w:val="23"/>
          <w:szCs w:val="23"/>
        </w:rPr>
      </w:pPr>
      <w:r>
        <w:rPr>
          <w:rFonts w:cstheme="minorHAnsi"/>
        </w:rPr>
        <w:lastRenderedPageBreak/>
        <w:t xml:space="preserve">At the </w:t>
      </w:r>
      <w:r w:rsidRPr="00E6600A">
        <w:rPr>
          <w:rFonts w:cstheme="minorHAnsi"/>
          <w:b/>
        </w:rPr>
        <w:t>Sixth Education Council Meeting</w:t>
      </w:r>
      <w:r>
        <w:rPr>
          <w:rFonts w:cstheme="minorHAnsi"/>
        </w:rPr>
        <w:t xml:space="preserve"> in September 2015</w:t>
      </w:r>
      <w:r>
        <w:rPr>
          <w:sz w:val="23"/>
          <w:szCs w:val="23"/>
        </w:rPr>
        <w:t xml:space="preserve"> the request from COAG regarding initiatives to help reduce violence against women and children was discussed.</w:t>
      </w:r>
    </w:p>
    <w:p w14:paraId="3E3307E4" w14:textId="77777777" w:rsidR="000D1D92" w:rsidRDefault="000D1D92" w:rsidP="000D1D92">
      <w:pPr>
        <w:spacing w:before="0" w:after="200"/>
        <w:jc w:val="both"/>
        <w:rPr>
          <w:sz w:val="23"/>
          <w:szCs w:val="23"/>
        </w:rPr>
      </w:pPr>
      <w:r>
        <w:rPr>
          <w:sz w:val="23"/>
          <w:szCs w:val="23"/>
        </w:rPr>
        <w:t>Recognising the importance of this issue and the role that education can play in influencing the attitudes of young people to violence, Ministers requested that officials provide advice on linking learning areas of the Australian Curriculum to anti-violence programs, and the delivery of such programs to students at key stages of their schooling and development. Ministers will provide an update to COAG on this matter later in 2015.</w:t>
      </w:r>
      <w:r>
        <w:rPr>
          <w:rStyle w:val="EndnoteReference"/>
          <w:szCs w:val="23"/>
        </w:rPr>
        <w:endnoteReference w:id="435"/>
      </w:r>
    </w:p>
    <w:p w14:paraId="46C2998F" w14:textId="77777777" w:rsidR="000D1D92" w:rsidRDefault="000D1D92" w:rsidP="000D1D92">
      <w:pPr>
        <w:jc w:val="both"/>
        <w:rPr>
          <w:rFonts w:cs="Arial"/>
          <w:lang w:val="en"/>
        </w:rPr>
      </w:pPr>
      <w:r>
        <w:rPr>
          <w:rFonts w:cs="Arial"/>
          <w:lang w:val="en"/>
        </w:rPr>
        <w:t xml:space="preserve">Clearly there is significant work being undertaken in the area of family and domestic violence in Australia. </w:t>
      </w:r>
      <w:r w:rsidRPr="004068C7">
        <w:rPr>
          <w:rFonts w:cs="Arial"/>
          <w:b/>
          <w:lang w:val="en"/>
        </w:rPr>
        <w:t xml:space="preserve">My contribution </w:t>
      </w:r>
      <w:r w:rsidRPr="004E65CC">
        <w:rPr>
          <w:rFonts w:cs="Arial"/>
          <w:b/>
          <w:lang w:val="en"/>
        </w:rPr>
        <w:t>lies</w:t>
      </w:r>
      <w:r w:rsidRPr="004068C7">
        <w:rPr>
          <w:rFonts w:cs="Arial"/>
          <w:b/>
          <w:lang w:val="en"/>
        </w:rPr>
        <w:t xml:space="preserve"> in making </w:t>
      </w:r>
      <w:r>
        <w:rPr>
          <w:rFonts w:cs="Arial"/>
          <w:b/>
          <w:lang w:val="en"/>
        </w:rPr>
        <w:t xml:space="preserve">the unique experiences and needs of </w:t>
      </w:r>
      <w:r w:rsidRPr="004068C7">
        <w:rPr>
          <w:rFonts w:cs="Arial"/>
          <w:b/>
          <w:lang w:val="en"/>
        </w:rPr>
        <w:t xml:space="preserve">children </w:t>
      </w:r>
      <w:r>
        <w:rPr>
          <w:rFonts w:cs="Arial"/>
          <w:b/>
          <w:lang w:val="en"/>
        </w:rPr>
        <w:t>a critical focus</w:t>
      </w:r>
      <w:r>
        <w:rPr>
          <w:rFonts w:cs="Arial"/>
          <w:lang w:val="en"/>
        </w:rPr>
        <w:t>.</w:t>
      </w:r>
    </w:p>
    <w:p w14:paraId="3289D3B9" w14:textId="77777777" w:rsidR="000D1D92" w:rsidRDefault="000D1D92" w:rsidP="000D1D92">
      <w:pPr>
        <w:pStyle w:val="Heading2"/>
        <w:jc w:val="both"/>
      </w:pPr>
      <w:bookmarkStart w:id="155" w:name="_Toc430945567"/>
      <w:bookmarkStart w:id="156" w:name="_Toc430950900"/>
      <w:bookmarkStart w:id="157" w:name="_Toc432061258"/>
      <w:bookmarkStart w:id="158" w:name="_Toc432577323"/>
      <w:r w:rsidRPr="0049472D">
        <w:t xml:space="preserve">What </w:t>
      </w:r>
      <w:r>
        <w:t>did we know</w:t>
      </w:r>
      <w:r w:rsidRPr="0049472D">
        <w:t xml:space="preserve"> about children and family and domestic violence</w:t>
      </w:r>
      <w:bookmarkEnd w:id="155"/>
      <w:bookmarkEnd w:id="156"/>
      <w:r>
        <w:t xml:space="preserve"> before starting this examination?</w:t>
      </w:r>
      <w:bookmarkEnd w:id="157"/>
      <w:bookmarkEnd w:id="158"/>
    </w:p>
    <w:p w14:paraId="6C8C32B3" w14:textId="77777777" w:rsidR="000D1D92" w:rsidRDefault="000D1D92" w:rsidP="000D1D92">
      <w:pPr>
        <w:jc w:val="both"/>
        <w:rPr>
          <w:rFonts w:cs="Arial"/>
        </w:rPr>
      </w:pPr>
      <w:r w:rsidRPr="007A566F">
        <w:rPr>
          <w:rFonts w:cs="Arial"/>
        </w:rPr>
        <w:t>The impact of family and domestic violence on children generally has been identified as an emerging issue in research.</w:t>
      </w:r>
      <w:r w:rsidRPr="007A566F">
        <w:rPr>
          <w:rFonts w:cs="Arial"/>
          <w:sz w:val="20"/>
          <w:vertAlign w:val="superscript"/>
        </w:rPr>
        <w:endnoteReference w:id="436"/>
      </w:r>
    </w:p>
    <w:p w14:paraId="5981FCB4" w14:textId="77777777" w:rsidR="000D1D92" w:rsidRDefault="000D1D92" w:rsidP="000D1D92">
      <w:pPr>
        <w:jc w:val="both"/>
      </w:pPr>
      <w:r w:rsidRPr="00E82CBB">
        <w:t xml:space="preserve">The 2012 </w:t>
      </w:r>
      <w:r>
        <w:t>Personal Safety Survey (PSS) by the ABS</w:t>
      </w:r>
      <w:r w:rsidRPr="00E82CBB">
        <w:t xml:space="preserve"> estimates that 17% of women and 5% of men in Australia </w:t>
      </w:r>
      <w:r>
        <w:t xml:space="preserve">over 15 years of age have </w:t>
      </w:r>
      <w:r w:rsidRPr="00E82CBB">
        <w:t>experience</w:t>
      </w:r>
      <w:r>
        <w:t>d</w:t>
      </w:r>
      <w:r w:rsidRPr="00E82CBB">
        <w:t xml:space="preserve"> violence by a partner.</w:t>
      </w:r>
      <w:r w:rsidRPr="00E82CBB">
        <w:rPr>
          <w:rStyle w:val="EndnoteReference"/>
        </w:rPr>
        <w:endnoteReference w:id="437"/>
      </w:r>
      <w:r w:rsidRPr="00E82CBB">
        <w:t xml:space="preserve"> </w:t>
      </w:r>
      <w:r w:rsidRPr="004A1C6F">
        <w:rPr>
          <w:b/>
        </w:rPr>
        <w:t xml:space="preserve">The </w:t>
      </w:r>
      <w:r>
        <w:rPr>
          <w:b/>
        </w:rPr>
        <w:t>2012 PSS reveals</w:t>
      </w:r>
      <w:r w:rsidRPr="004A1C6F">
        <w:rPr>
          <w:b/>
        </w:rPr>
        <w:t xml:space="preserve"> that much of the partner violence reported by women and men is seen or heard by children in their care</w:t>
      </w:r>
      <w:r w:rsidRPr="00E82CBB">
        <w:t>.</w:t>
      </w:r>
      <w:r w:rsidRPr="00E82CBB">
        <w:rPr>
          <w:rStyle w:val="EndnoteReference"/>
        </w:rPr>
        <w:endnoteReference w:id="438"/>
      </w:r>
      <w:r>
        <w:t xml:space="preserve"> </w:t>
      </w:r>
    </w:p>
    <w:p w14:paraId="6AC87302" w14:textId="77777777" w:rsidR="000D1D92" w:rsidRDefault="000D1D92" w:rsidP="000D1D92">
      <w:pPr>
        <w:jc w:val="both"/>
        <w:rPr>
          <w:rFonts w:cs="Arial"/>
        </w:rPr>
      </w:pPr>
      <w:r>
        <w:t xml:space="preserve">The 2006 World Report on Violence against Children for the United Nations Secretary-General </w:t>
      </w:r>
      <w:r w:rsidRPr="007A566F">
        <w:rPr>
          <w:rFonts w:cs="Arial"/>
        </w:rPr>
        <w:t>found that violence against women in the home is often linked with violence against children.</w:t>
      </w:r>
      <w:r w:rsidRPr="007A566F">
        <w:rPr>
          <w:rStyle w:val="EndnoteReference"/>
          <w:rFonts w:cs="Arial"/>
        </w:rPr>
        <w:endnoteReference w:id="439"/>
      </w:r>
      <w:r>
        <w:rPr>
          <w:rFonts w:cs="Arial"/>
        </w:rPr>
        <w:t xml:space="preserve"> </w:t>
      </w:r>
    </w:p>
    <w:p w14:paraId="26F109F7" w14:textId="77777777" w:rsidR="000D1D92" w:rsidRDefault="000D1D92" w:rsidP="000D1D92">
      <w:pPr>
        <w:jc w:val="both"/>
        <w:rPr>
          <w:rFonts w:cs="Arial"/>
        </w:rPr>
      </w:pPr>
      <w:r>
        <w:rPr>
          <w:rFonts w:cs="Arial"/>
        </w:rPr>
        <w:t xml:space="preserve">Children are witnesses, bystanders and direct victims of violence in the home. The physical and emotional injuries children sustain are both immediate and far-reaching, and </w:t>
      </w:r>
      <w:r>
        <w:rPr>
          <w:rFonts w:cs="Arial"/>
          <w:b/>
        </w:rPr>
        <w:t>t</w:t>
      </w:r>
      <w:r w:rsidRPr="004A1C6F">
        <w:rPr>
          <w:rFonts w:cs="Arial"/>
          <w:b/>
        </w:rPr>
        <w:t>he experience of children witnessing or being exposed to family and domestic violence has been increasingly recognised as a form of child abuse</w:t>
      </w:r>
      <w:r>
        <w:rPr>
          <w:rFonts w:cs="Arial"/>
        </w:rPr>
        <w:t>.</w:t>
      </w:r>
      <w:r w:rsidRPr="00FB17B2">
        <w:rPr>
          <w:rFonts w:cs="Arial"/>
          <w:sz w:val="20"/>
          <w:vertAlign w:val="superscript"/>
        </w:rPr>
        <w:endnoteReference w:id="440"/>
      </w:r>
      <w:r w:rsidRPr="00BD24E1">
        <w:rPr>
          <w:rFonts w:cs="Arial"/>
        </w:rPr>
        <w:t xml:space="preserve"> </w:t>
      </w:r>
    </w:p>
    <w:p w14:paraId="0818147D" w14:textId="77777777" w:rsidR="000D1D92" w:rsidRDefault="000D1D92" w:rsidP="000D1D92">
      <w:pPr>
        <w:jc w:val="both"/>
        <w:rPr>
          <w:rFonts w:cs="Arial"/>
        </w:rPr>
      </w:pPr>
      <w:r w:rsidRPr="00E70B00">
        <w:rPr>
          <w:rFonts w:cs="Arial"/>
          <w:b/>
        </w:rPr>
        <w:t>Children living with family and domestic violence are also at an increased risk of experiencing emotional, physical and sexual abuse</w:t>
      </w:r>
      <w:r w:rsidRPr="00FB17B2">
        <w:rPr>
          <w:rFonts w:cs="Arial"/>
        </w:rPr>
        <w:t>.</w:t>
      </w:r>
      <w:r w:rsidRPr="00FB17B2">
        <w:rPr>
          <w:rFonts w:cs="Arial"/>
          <w:sz w:val="20"/>
          <w:vertAlign w:val="superscript"/>
        </w:rPr>
        <w:endnoteReference w:id="441"/>
      </w:r>
      <w:r>
        <w:rPr>
          <w:rFonts w:cs="Arial"/>
        </w:rPr>
        <w:t xml:space="preserve"> In Australia there is no national data on the proportion of child protection notifications that relate to family and domestic violence.</w:t>
      </w:r>
      <w:r>
        <w:rPr>
          <w:rStyle w:val="EndnoteReference"/>
          <w:rFonts w:cs="Arial"/>
        </w:rPr>
        <w:endnoteReference w:id="442"/>
      </w:r>
      <w:r>
        <w:rPr>
          <w:rFonts w:cs="Arial"/>
        </w:rPr>
        <w:t xml:space="preserve"> It is estimated, however, that family and domestic violence is present in 55% of physical abuses and 40% of sexual abuses against children.</w:t>
      </w:r>
      <w:r>
        <w:rPr>
          <w:rStyle w:val="EndnoteReference"/>
          <w:rFonts w:cs="Arial"/>
        </w:rPr>
        <w:endnoteReference w:id="443"/>
      </w:r>
      <w:r>
        <w:rPr>
          <w:rFonts w:cs="Arial"/>
        </w:rPr>
        <w:t xml:space="preserve"> </w:t>
      </w:r>
    </w:p>
    <w:p w14:paraId="1ED6A507" w14:textId="77777777" w:rsidR="000D1D92" w:rsidRDefault="000D1D92" w:rsidP="000D1D92">
      <w:pPr>
        <w:jc w:val="both"/>
        <w:rPr>
          <w:rFonts w:cs="Arial"/>
        </w:rPr>
      </w:pPr>
      <w:r>
        <w:rPr>
          <w:rFonts w:cs="Arial"/>
        </w:rPr>
        <w:t xml:space="preserve">During 2013-14, </w:t>
      </w:r>
      <w:r w:rsidRPr="00CF21AE">
        <w:rPr>
          <w:rFonts w:cs="Arial"/>
        </w:rPr>
        <w:t xml:space="preserve">40,844 </w:t>
      </w:r>
      <w:r>
        <w:rPr>
          <w:rFonts w:cs="Arial"/>
        </w:rPr>
        <w:t>children were the subjects of substantiated child protection notifications in Australia, with 40% for emotional abuse, 19% for physical abuse and 14% for sexual abuse.</w:t>
      </w:r>
      <w:r>
        <w:rPr>
          <w:rStyle w:val="EndnoteReference"/>
          <w:rFonts w:cs="Arial"/>
        </w:rPr>
        <w:endnoteReference w:id="444"/>
      </w:r>
      <w:r>
        <w:rPr>
          <w:rFonts w:cs="Arial"/>
        </w:rPr>
        <w:t xml:space="preserve"> </w:t>
      </w:r>
    </w:p>
    <w:p w14:paraId="2B85B810" w14:textId="77777777" w:rsidR="000D1D92" w:rsidRDefault="000D1D92" w:rsidP="000D1D92">
      <w:pPr>
        <w:jc w:val="both"/>
        <w:rPr>
          <w:rFonts w:cs="Arial"/>
        </w:rPr>
      </w:pPr>
      <w:r w:rsidRPr="00C21DB9">
        <w:rPr>
          <w:rFonts w:cs="Arial"/>
        </w:rPr>
        <w:t xml:space="preserve">Data made available by the Tasmanian Government has indicated </w:t>
      </w:r>
      <w:r>
        <w:rPr>
          <w:rFonts w:cs="Arial"/>
        </w:rPr>
        <w:t xml:space="preserve">that </w:t>
      </w:r>
      <w:r w:rsidRPr="00C21DB9">
        <w:rPr>
          <w:rFonts w:cs="Arial"/>
        </w:rPr>
        <w:t>from July 2014 to March 2015, 1</w:t>
      </w:r>
      <w:r>
        <w:rPr>
          <w:rFonts w:cs="Arial"/>
        </w:rPr>
        <w:t>,</w:t>
      </w:r>
      <w:r w:rsidRPr="00C21DB9">
        <w:rPr>
          <w:rFonts w:cs="Arial"/>
        </w:rPr>
        <w:t>036 children were present at family violence incidents where there was police intervention. For the same period, Tasmanian Police resp</w:t>
      </w:r>
      <w:r>
        <w:rPr>
          <w:rFonts w:cs="Arial"/>
        </w:rPr>
        <w:t>onded to 1,929 family violence incidents.</w:t>
      </w:r>
      <w:r>
        <w:rPr>
          <w:rStyle w:val="EndnoteReference"/>
          <w:rFonts w:cs="Arial"/>
        </w:rPr>
        <w:endnoteReference w:id="445"/>
      </w:r>
    </w:p>
    <w:p w14:paraId="43F31255" w14:textId="77777777" w:rsidR="000D1D92" w:rsidRDefault="000D1D92" w:rsidP="000D1D92">
      <w:pPr>
        <w:jc w:val="both"/>
        <w:rPr>
          <w:rFonts w:cs="Arial"/>
        </w:rPr>
      </w:pPr>
      <w:r>
        <w:rPr>
          <w:rFonts w:cs="Arial"/>
        </w:rPr>
        <w:lastRenderedPageBreak/>
        <w:t xml:space="preserve">The ABS Crime Victimisation </w:t>
      </w:r>
      <w:r w:rsidRPr="00475CB5">
        <w:rPr>
          <w:rFonts w:cs="Arial"/>
        </w:rPr>
        <w:t>publication</w:t>
      </w:r>
      <w:r>
        <w:rPr>
          <w:rFonts w:cs="Arial"/>
        </w:rPr>
        <w:t xml:space="preserve"> (</w:t>
      </w:r>
      <w:r w:rsidRPr="00475CB5">
        <w:rPr>
          <w:rFonts w:cs="Arial"/>
        </w:rPr>
        <w:t>2013-14</w:t>
      </w:r>
      <w:r>
        <w:rPr>
          <w:rFonts w:cs="Arial"/>
        </w:rPr>
        <w:t>)</w:t>
      </w:r>
      <w:r w:rsidRPr="00475CB5">
        <w:rPr>
          <w:rFonts w:cs="Arial"/>
        </w:rPr>
        <w:t xml:space="preserve"> shows that </w:t>
      </w:r>
      <w:r>
        <w:rPr>
          <w:rFonts w:cs="Arial"/>
        </w:rPr>
        <w:t xml:space="preserve">significant numbers of </w:t>
      </w:r>
      <w:r w:rsidRPr="00475CB5">
        <w:rPr>
          <w:rFonts w:cs="Arial"/>
        </w:rPr>
        <w:t>children and young</w:t>
      </w:r>
      <w:r>
        <w:rPr>
          <w:rFonts w:cs="Arial"/>
        </w:rPr>
        <w:t xml:space="preserve"> people are victims of physical assault. For example, young </w:t>
      </w:r>
      <w:r w:rsidRPr="00475CB5">
        <w:rPr>
          <w:rFonts w:cs="Arial"/>
        </w:rPr>
        <w:t>people aged 15</w:t>
      </w:r>
      <w:r>
        <w:rPr>
          <w:rFonts w:cs="Arial"/>
        </w:rPr>
        <w:t xml:space="preserve"> to </w:t>
      </w:r>
      <w:r w:rsidRPr="00475CB5">
        <w:rPr>
          <w:rFonts w:cs="Arial"/>
        </w:rPr>
        <w:t>19</w:t>
      </w:r>
      <w:r>
        <w:rPr>
          <w:rFonts w:cs="Arial"/>
        </w:rPr>
        <w:t xml:space="preserve"> years </w:t>
      </w:r>
      <w:r w:rsidRPr="00475CB5">
        <w:rPr>
          <w:rFonts w:cs="Arial"/>
        </w:rPr>
        <w:t>experienced the third highest physical assault victimisation rate (3%), after persons aged 20</w:t>
      </w:r>
      <w:r>
        <w:rPr>
          <w:rFonts w:cs="Arial"/>
        </w:rPr>
        <w:t xml:space="preserve"> to 2</w:t>
      </w:r>
      <w:r w:rsidRPr="00475CB5">
        <w:rPr>
          <w:rFonts w:cs="Arial"/>
        </w:rPr>
        <w:t>4</w:t>
      </w:r>
      <w:r>
        <w:rPr>
          <w:rFonts w:cs="Arial"/>
        </w:rPr>
        <w:t xml:space="preserve"> years</w:t>
      </w:r>
      <w:r w:rsidRPr="00475CB5">
        <w:rPr>
          <w:rFonts w:cs="Arial"/>
        </w:rPr>
        <w:t xml:space="preserve"> (4%) and persons aged 25</w:t>
      </w:r>
      <w:r>
        <w:rPr>
          <w:rFonts w:cs="Arial"/>
        </w:rPr>
        <w:t xml:space="preserve"> to </w:t>
      </w:r>
      <w:r w:rsidRPr="00475CB5">
        <w:rPr>
          <w:rFonts w:cs="Arial"/>
        </w:rPr>
        <w:t>29</w:t>
      </w:r>
      <w:r>
        <w:rPr>
          <w:rFonts w:cs="Arial"/>
        </w:rPr>
        <w:t xml:space="preserve"> years</w:t>
      </w:r>
      <w:r w:rsidRPr="00475CB5">
        <w:rPr>
          <w:rFonts w:cs="Arial"/>
        </w:rPr>
        <w:t xml:space="preserve"> (3.7%)</w:t>
      </w:r>
      <w:r>
        <w:rPr>
          <w:rFonts w:cs="Arial"/>
        </w:rPr>
        <w:t>.</w:t>
      </w:r>
      <w:r>
        <w:rPr>
          <w:rStyle w:val="EndnoteReference"/>
          <w:rFonts w:cs="Arial"/>
        </w:rPr>
        <w:endnoteReference w:id="446"/>
      </w:r>
      <w:r>
        <w:rPr>
          <w:rFonts w:cs="Arial"/>
        </w:rPr>
        <w:t xml:space="preserve"> Data from the year earlier (2012-13) showed that </w:t>
      </w:r>
      <w:r w:rsidRPr="00475CB5">
        <w:rPr>
          <w:rFonts w:cs="Arial"/>
        </w:rPr>
        <w:t>children and young people aged 15</w:t>
      </w:r>
      <w:r>
        <w:rPr>
          <w:rFonts w:cs="Arial"/>
        </w:rPr>
        <w:t xml:space="preserve"> to </w:t>
      </w:r>
      <w:r w:rsidRPr="00475CB5">
        <w:rPr>
          <w:rFonts w:cs="Arial"/>
        </w:rPr>
        <w:t>19</w:t>
      </w:r>
      <w:r>
        <w:rPr>
          <w:rFonts w:cs="Arial"/>
        </w:rPr>
        <w:t xml:space="preserve"> years</w:t>
      </w:r>
      <w:r w:rsidRPr="00475CB5">
        <w:rPr>
          <w:rFonts w:cs="Arial"/>
        </w:rPr>
        <w:t xml:space="preserve"> experience</w:t>
      </w:r>
      <w:r>
        <w:rPr>
          <w:rFonts w:cs="Arial"/>
        </w:rPr>
        <w:t>d</w:t>
      </w:r>
      <w:r w:rsidRPr="00475CB5">
        <w:rPr>
          <w:rFonts w:cs="Arial"/>
        </w:rPr>
        <w:t xml:space="preserve"> the highest physical assault victimisation rate (5.1%).</w:t>
      </w:r>
      <w:r>
        <w:rPr>
          <w:rStyle w:val="EndnoteReference"/>
          <w:rFonts w:cs="Arial"/>
        </w:rPr>
        <w:endnoteReference w:id="447"/>
      </w:r>
    </w:p>
    <w:p w14:paraId="5F131C85" w14:textId="77777777" w:rsidR="000D1D92" w:rsidRDefault="000D1D92" w:rsidP="000D1D92">
      <w:pPr>
        <w:jc w:val="both"/>
        <w:rPr>
          <w:rFonts w:cs="Arial"/>
        </w:rPr>
      </w:pPr>
      <w:r>
        <w:rPr>
          <w:rFonts w:cs="Arial"/>
        </w:rPr>
        <w:t>The Western Australian Police: Office of Assistant Commissioner Judicial Services has reported that a 2014 study of 100 Aboriginal children in custody showed that 81 of these children had experienced family violence and half of these children had either been witness to or a victim of child abuse/sexual offences.</w:t>
      </w:r>
      <w:r>
        <w:rPr>
          <w:rStyle w:val="EndnoteReference"/>
          <w:rFonts w:cs="Arial"/>
        </w:rPr>
        <w:endnoteReference w:id="448"/>
      </w:r>
    </w:p>
    <w:p w14:paraId="7B3A0BC1" w14:textId="77777777" w:rsidR="000D1D92" w:rsidRDefault="000D1D92" w:rsidP="000D1D92">
      <w:pPr>
        <w:jc w:val="both"/>
        <w:rPr>
          <w:rFonts w:cs="Arial"/>
        </w:rPr>
      </w:pPr>
      <w:r>
        <w:rPr>
          <w:rFonts w:cs="Arial"/>
        </w:rPr>
        <w:t>Homelessness is a common experience of children affected by family violence. Data from the Australian Institute of Health and Welfare shows that of the 254,001 clients who were assisted by specialist homelessness services in 2013-14, 59% were female, and more than a quarter (just under 70,000) were children. 16% were under ten years of age. 24% of these clients reported family and domestic violence as the main reason for seeking assistance.</w:t>
      </w:r>
      <w:r>
        <w:rPr>
          <w:rStyle w:val="EndnoteReference"/>
          <w:rFonts w:cs="Arial"/>
        </w:rPr>
        <w:endnoteReference w:id="449"/>
      </w:r>
    </w:p>
    <w:p w14:paraId="7CE1EB76" w14:textId="77777777" w:rsidR="000D1D92" w:rsidRDefault="000D1D92" w:rsidP="000D1D92">
      <w:pPr>
        <w:pStyle w:val="Heading3"/>
        <w:jc w:val="both"/>
      </w:pPr>
      <w:bookmarkStart w:id="159" w:name="_Toc432061259"/>
      <w:r w:rsidRPr="00FA2408">
        <w:t>Aboriginal and Torres Strait Islander children</w:t>
      </w:r>
      <w:bookmarkEnd w:id="159"/>
    </w:p>
    <w:p w14:paraId="021313EB" w14:textId="77777777" w:rsidR="000D1D92" w:rsidRPr="00BB2B2A" w:rsidRDefault="000D1D92" w:rsidP="000D1D92">
      <w:pPr>
        <w:jc w:val="both"/>
        <w:rPr>
          <w:rFonts w:cs="Arial"/>
          <w:color w:val="000000"/>
        </w:rPr>
      </w:pPr>
      <w:r w:rsidRPr="00C64214">
        <w:rPr>
          <w:rFonts w:cs="Arial"/>
          <w:color w:val="000000"/>
        </w:rPr>
        <w:t xml:space="preserve">Family and domestic violence disproportionately affects Aboriginal and Torres Strait Islander children. </w:t>
      </w:r>
      <w:r w:rsidRPr="00BB2B2A">
        <w:rPr>
          <w:rFonts w:cs="Arial"/>
        </w:rPr>
        <w:t xml:space="preserve">As far back as 2002, </w:t>
      </w:r>
      <w:r w:rsidRPr="00BB2B2A">
        <w:rPr>
          <w:rFonts w:cs="Arial"/>
          <w:i/>
        </w:rPr>
        <w:t>Putting the Picture Together</w:t>
      </w:r>
      <w:r w:rsidRPr="00BB2B2A">
        <w:rPr>
          <w:rFonts w:cs="Arial"/>
        </w:rPr>
        <w:t xml:space="preserve">, </w:t>
      </w:r>
      <w:r>
        <w:rPr>
          <w:rFonts w:cs="Arial"/>
        </w:rPr>
        <w:t xml:space="preserve">also </w:t>
      </w:r>
      <w:r w:rsidRPr="00BB2B2A">
        <w:rPr>
          <w:rFonts w:cs="Arial"/>
        </w:rPr>
        <w:t xml:space="preserve">known as the </w:t>
      </w:r>
      <w:r>
        <w:rPr>
          <w:rFonts w:cs="Arial"/>
        </w:rPr>
        <w:t>‘</w:t>
      </w:r>
      <w:r w:rsidRPr="00BB2B2A">
        <w:rPr>
          <w:rFonts w:cs="Arial"/>
        </w:rPr>
        <w:t>Gordon</w:t>
      </w:r>
      <w:r>
        <w:rPr>
          <w:rFonts w:cs="Arial"/>
        </w:rPr>
        <w:t xml:space="preserve"> Report’ stated</w:t>
      </w:r>
      <w:r w:rsidRPr="00BB2B2A">
        <w:rPr>
          <w:rFonts w:cs="Arial"/>
        </w:rPr>
        <w:t xml:space="preserve"> that: </w:t>
      </w:r>
    </w:p>
    <w:p w14:paraId="30EFD033" w14:textId="77777777" w:rsidR="000D1D92" w:rsidRPr="00154B2A" w:rsidRDefault="000D1D92" w:rsidP="000D1D92">
      <w:pPr>
        <w:pStyle w:val="Default"/>
        <w:ind w:left="720"/>
        <w:jc w:val="both"/>
        <w:rPr>
          <w:rFonts w:ascii="Arial" w:hAnsi="Arial" w:cs="Arial"/>
        </w:rPr>
      </w:pPr>
      <w:r w:rsidRPr="000F0C87">
        <w:rPr>
          <w:rFonts w:ascii="Arial" w:hAnsi="Arial" w:cs="Arial"/>
          <w:sz w:val="22"/>
          <w:szCs w:val="22"/>
        </w:rPr>
        <w:t>The true prevalence of Aboriginal family violence is unknown. What is known is that the violence is endemic and presents an extremely troubling picture of the situation in many Aboriginal communities</w:t>
      </w:r>
      <w:r w:rsidRPr="00154B2A">
        <w:rPr>
          <w:rFonts w:ascii="Arial" w:hAnsi="Arial" w:cs="Arial"/>
        </w:rPr>
        <w:t>.</w:t>
      </w:r>
      <w:r w:rsidRPr="00825E46">
        <w:rPr>
          <w:rStyle w:val="EndnoteReference"/>
          <w:rFonts w:cs="Arial"/>
          <w:szCs w:val="20"/>
        </w:rPr>
        <w:endnoteReference w:id="450"/>
      </w:r>
    </w:p>
    <w:p w14:paraId="7B130659" w14:textId="77777777" w:rsidR="000D1D92" w:rsidRDefault="000D1D92" w:rsidP="000D1D92">
      <w:pPr>
        <w:pStyle w:val="Default"/>
        <w:jc w:val="both"/>
        <w:rPr>
          <w:rFonts w:ascii="Arial" w:hAnsi="Arial" w:cs="Arial"/>
          <w:sz w:val="22"/>
          <w:szCs w:val="22"/>
        </w:rPr>
      </w:pPr>
    </w:p>
    <w:p w14:paraId="23E782AA" w14:textId="77777777" w:rsidR="000D1D92" w:rsidRDefault="000D1D92" w:rsidP="000D1D92">
      <w:pPr>
        <w:pStyle w:val="Default"/>
        <w:jc w:val="both"/>
        <w:rPr>
          <w:rFonts w:ascii="Arial" w:hAnsi="Arial" w:cs="Arial"/>
        </w:rPr>
      </w:pPr>
      <w:r>
        <w:rPr>
          <w:rFonts w:ascii="Arial" w:hAnsi="Arial" w:cs="Arial"/>
        </w:rPr>
        <w:t xml:space="preserve">Thirteen years later, the problem remains. </w:t>
      </w:r>
      <w:r w:rsidRPr="00F3588F">
        <w:rPr>
          <w:rFonts w:ascii="Arial" w:hAnsi="Arial" w:cs="Arial"/>
        </w:rPr>
        <w:t>Nationally</w:t>
      </w:r>
      <w:r>
        <w:rPr>
          <w:rFonts w:ascii="Arial" w:hAnsi="Arial" w:cs="Arial"/>
        </w:rPr>
        <w:t>,</w:t>
      </w:r>
      <w:r w:rsidRPr="00F3588F">
        <w:rPr>
          <w:rFonts w:ascii="Arial" w:hAnsi="Arial" w:cs="Arial"/>
        </w:rPr>
        <w:t xml:space="preserve"> in 2012-13</w:t>
      </w:r>
      <w:r w:rsidRPr="00F3588F">
        <w:rPr>
          <w:rFonts w:ascii="Arial" w:hAnsi="Arial" w:cs="Arial"/>
          <w:b/>
        </w:rPr>
        <w:t>,</w:t>
      </w:r>
      <w:r>
        <w:rPr>
          <w:rFonts w:ascii="Arial" w:hAnsi="Arial" w:cs="Arial"/>
          <w:b/>
        </w:rPr>
        <w:t xml:space="preserve"> </w:t>
      </w:r>
      <w:r w:rsidRPr="008342D4">
        <w:rPr>
          <w:rFonts w:ascii="Arial" w:hAnsi="Arial" w:cs="Arial"/>
        </w:rPr>
        <w:t>Aboriginal and Torres Strait Islander women</w:t>
      </w:r>
      <w:r w:rsidRPr="00F3588F">
        <w:rPr>
          <w:rFonts w:ascii="Arial" w:hAnsi="Arial" w:cs="Arial"/>
          <w:b/>
        </w:rPr>
        <w:t xml:space="preserve"> </w:t>
      </w:r>
      <w:r w:rsidRPr="00F3588F">
        <w:rPr>
          <w:rFonts w:ascii="Arial" w:hAnsi="Arial" w:cs="Arial"/>
        </w:rPr>
        <w:t>were 34.2 times more likely</w:t>
      </w:r>
      <w:r>
        <w:rPr>
          <w:rFonts w:ascii="Arial" w:hAnsi="Arial" w:cs="Arial"/>
        </w:rPr>
        <w:t xml:space="preserve"> and men 28.3 times more likely</w:t>
      </w:r>
      <w:r w:rsidRPr="00F3588F">
        <w:rPr>
          <w:rFonts w:ascii="Arial" w:hAnsi="Arial" w:cs="Arial"/>
        </w:rPr>
        <w:t xml:space="preserve"> to be hospitalised for non-fatal family violence-related assaults</w:t>
      </w:r>
      <w:r w:rsidRPr="00F3588F">
        <w:rPr>
          <w:rFonts w:ascii="Arial" w:hAnsi="Arial" w:cs="Arial"/>
          <w:b/>
        </w:rPr>
        <w:t xml:space="preserve"> </w:t>
      </w:r>
      <w:r w:rsidRPr="00F3588F">
        <w:rPr>
          <w:rFonts w:ascii="Arial" w:hAnsi="Arial" w:cs="Arial"/>
        </w:rPr>
        <w:t>than non-</w:t>
      </w:r>
      <w:r>
        <w:rPr>
          <w:rFonts w:ascii="Arial" w:hAnsi="Arial" w:cs="Arial"/>
        </w:rPr>
        <w:t>Indigenous females and males.</w:t>
      </w:r>
      <w:r w:rsidRPr="00825E46">
        <w:rPr>
          <w:rStyle w:val="EndnoteReference"/>
          <w:rFonts w:cs="Arial"/>
          <w:szCs w:val="20"/>
        </w:rPr>
        <w:endnoteReference w:id="451"/>
      </w:r>
    </w:p>
    <w:p w14:paraId="038C70D4" w14:textId="77777777" w:rsidR="000D1D92" w:rsidRDefault="000D1D92" w:rsidP="000D1D92">
      <w:pPr>
        <w:pStyle w:val="Default"/>
        <w:jc w:val="both"/>
        <w:rPr>
          <w:rFonts w:ascii="Arial" w:hAnsi="Arial" w:cs="Arial"/>
        </w:rPr>
      </w:pPr>
    </w:p>
    <w:p w14:paraId="3DD129EA" w14:textId="77777777" w:rsidR="000D1D92" w:rsidRDefault="000D1D92" w:rsidP="000D1D92">
      <w:pPr>
        <w:pStyle w:val="Default"/>
        <w:jc w:val="both"/>
        <w:rPr>
          <w:rFonts w:ascii="Arial" w:hAnsi="Arial" w:cs="Arial"/>
        </w:rPr>
      </w:pPr>
      <w:r>
        <w:rPr>
          <w:rFonts w:ascii="Arial" w:hAnsi="Arial" w:cs="Arial"/>
        </w:rPr>
        <w:t xml:space="preserve">In 2012-13, </w:t>
      </w:r>
      <w:r w:rsidRPr="00924799">
        <w:rPr>
          <w:rFonts w:ascii="Arial" w:hAnsi="Arial" w:cs="Arial"/>
        </w:rPr>
        <w:t>family</w:t>
      </w:r>
      <w:r>
        <w:rPr>
          <w:rFonts w:ascii="Arial" w:hAnsi="Arial" w:cs="Arial"/>
        </w:rPr>
        <w:t xml:space="preserve"> and domestic</w:t>
      </w:r>
      <w:r w:rsidRPr="00924799">
        <w:rPr>
          <w:rFonts w:ascii="Arial" w:hAnsi="Arial" w:cs="Arial"/>
        </w:rPr>
        <w:t xml:space="preserve"> violence was the second most common main reason both Aboriginal and Torres Strait Islander and </w:t>
      </w:r>
      <w:r>
        <w:rPr>
          <w:rFonts w:ascii="Arial" w:hAnsi="Arial" w:cs="Arial"/>
        </w:rPr>
        <w:t xml:space="preserve">non-Indigenous people sought </w:t>
      </w:r>
      <w:r w:rsidRPr="00924799">
        <w:rPr>
          <w:rFonts w:ascii="Arial" w:hAnsi="Arial" w:cs="Arial"/>
        </w:rPr>
        <w:t>Specialist Home</w:t>
      </w:r>
      <w:r>
        <w:rPr>
          <w:rFonts w:ascii="Arial" w:hAnsi="Arial" w:cs="Arial"/>
        </w:rPr>
        <w:t xml:space="preserve">lessness Services (24.0% and 22.4% </w:t>
      </w:r>
      <w:r w:rsidRPr="00924799">
        <w:rPr>
          <w:rFonts w:ascii="Arial" w:hAnsi="Arial" w:cs="Arial"/>
        </w:rPr>
        <w:t>respectively)</w:t>
      </w:r>
      <w:r>
        <w:rPr>
          <w:rFonts w:ascii="Arial" w:hAnsi="Arial" w:cs="Arial"/>
        </w:rPr>
        <w:t>, after accommodation difficulties (30.6% and 30.1% respectively).</w:t>
      </w:r>
      <w:r>
        <w:rPr>
          <w:rStyle w:val="EndnoteReference"/>
          <w:rFonts w:cs="Arial"/>
        </w:rPr>
        <w:endnoteReference w:id="452"/>
      </w:r>
      <w:r>
        <w:rPr>
          <w:rFonts w:ascii="Arial" w:hAnsi="Arial" w:cs="Arial"/>
        </w:rPr>
        <w:t xml:space="preserve"> The proportion where </w:t>
      </w:r>
      <w:r w:rsidRPr="004E3379">
        <w:rPr>
          <w:rFonts w:ascii="Arial" w:hAnsi="Arial" w:cs="Arial"/>
        </w:rPr>
        <w:t>family</w:t>
      </w:r>
      <w:r>
        <w:rPr>
          <w:rFonts w:ascii="Arial" w:hAnsi="Arial" w:cs="Arial"/>
        </w:rPr>
        <w:t xml:space="preserve"> and domestic</w:t>
      </w:r>
      <w:r w:rsidRPr="004E3379">
        <w:rPr>
          <w:rFonts w:ascii="Arial" w:hAnsi="Arial" w:cs="Arial"/>
        </w:rPr>
        <w:t xml:space="preserve"> violence was the main reason for seeking assistance increased as remoteness increased</w:t>
      </w:r>
      <w:r>
        <w:rPr>
          <w:rFonts w:ascii="Arial" w:hAnsi="Arial" w:cs="Arial"/>
        </w:rPr>
        <w:t>.</w:t>
      </w:r>
      <w:r>
        <w:rPr>
          <w:rStyle w:val="EndnoteReference"/>
          <w:rFonts w:cs="Arial"/>
        </w:rPr>
        <w:endnoteReference w:id="453"/>
      </w:r>
    </w:p>
    <w:p w14:paraId="1C41D8FE" w14:textId="77777777" w:rsidR="000D1D92" w:rsidRDefault="000D1D92" w:rsidP="000D1D92">
      <w:pPr>
        <w:pStyle w:val="Default"/>
        <w:jc w:val="both"/>
        <w:rPr>
          <w:rFonts w:ascii="Arial" w:hAnsi="Arial" w:cs="Arial"/>
        </w:rPr>
      </w:pPr>
    </w:p>
    <w:p w14:paraId="252E39BA" w14:textId="77777777" w:rsidR="000D1D92" w:rsidRDefault="000D1D92" w:rsidP="000D1D92">
      <w:pPr>
        <w:pStyle w:val="Default"/>
        <w:jc w:val="both"/>
        <w:rPr>
          <w:rFonts w:ascii="Arial" w:hAnsi="Arial" w:cs="Arial"/>
        </w:rPr>
      </w:pPr>
      <w:r w:rsidRPr="00234252">
        <w:rPr>
          <w:rFonts w:ascii="Arial" w:hAnsi="Arial" w:cs="Arial"/>
        </w:rPr>
        <w:t xml:space="preserve">Aboriginal and Torres Strait Islander children </w:t>
      </w:r>
      <w:r>
        <w:rPr>
          <w:rFonts w:ascii="Arial" w:hAnsi="Arial" w:cs="Arial"/>
        </w:rPr>
        <w:t xml:space="preserve">aged 0 to 17 years accompanying clients of </w:t>
      </w:r>
      <w:r w:rsidRPr="00924799">
        <w:rPr>
          <w:rFonts w:ascii="Arial" w:hAnsi="Arial" w:cs="Arial"/>
        </w:rPr>
        <w:t>Specialist Homelessness Services</w:t>
      </w:r>
      <w:r w:rsidRPr="00234252">
        <w:rPr>
          <w:rFonts w:ascii="Arial" w:hAnsi="Arial" w:cs="Arial"/>
        </w:rPr>
        <w:t xml:space="preserve"> </w:t>
      </w:r>
      <w:r>
        <w:rPr>
          <w:rFonts w:ascii="Arial" w:hAnsi="Arial" w:cs="Arial"/>
        </w:rPr>
        <w:t xml:space="preserve">who were </w:t>
      </w:r>
      <w:r w:rsidRPr="00234252">
        <w:rPr>
          <w:rFonts w:ascii="Arial" w:hAnsi="Arial" w:cs="Arial"/>
        </w:rPr>
        <w:t xml:space="preserve">escaping family </w:t>
      </w:r>
      <w:r>
        <w:rPr>
          <w:rFonts w:ascii="Arial" w:hAnsi="Arial" w:cs="Arial"/>
        </w:rPr>
        <w:t xml:space="preserve">and domestic violence attended a </w:t>
      </w:r>
      <w:r w:rsidRPr="00924799">
        <w:rPr>
          <w:rFonts w:ascii="Arial" w:hAnsi="Arial" w:cs="Arial"/>
        </w:rPr>
        <w:t>Specialist Homelessness Services</w:t>
      </w:r>
      <w:r>
        <w:rPr>
          <w:rFonts w:ascii="Arial" w:hAnsi="Arial" w:cs="Arial"/>
        </w:rPr>
        <w:t xml:space="preserve"> agency at a rate of 443 per 10,</w:t>
      </w:r>
      <w:r w:rsidRPr="00234252">
        <w:rPr>
          <w:rFonts w:ascii="Arial" w:hAnsi="Arial" w:cs="Arial"/>
        </w:rPr>
        <w:t>000 population, more than 30 times the rate for non</w:t>
      </w:r>
      <w:r>
        <w:rPr>
          <w:rFonts w:ascii="Arial" w:hAnsi="Arial" w:cs="Arial"/>
        </w:rPr>
        <w:t>-Indigenous children (14 per 10,</w:t>
      </w:r>
      <w:r w:rsidRPr="00234252">
        <w:rPr>
          <w:rFonts w:ascii="Arial" w:hAnsi="Arial" w:cs="Arial"/>
        </w:rPr>
        <w:t>000 population)</w:t>
      </w:r>
      <w:r>
        <w:rPr>
          <w:rFonts w:ascii="Arial" w:hAnsi="Arial" w:cs="Arial"/>
        </w:rPr>
        <w:t>.</w:t>
      </w:r>
      <w:r>
        <w:rPr>
          <w:rStyle w:val="EndnoteReference"/>
          <w:rFonts w:cs="Arial"/>
        </w:rPr>
        <w:endnoteReference w:id="454"/>
      </w:r>
    </w:p>
    <w:p w14:paraId="796969E9" w14:textId="77777777" w:rsidR="000D1D92" w:rsidRDefault="000D1D92" w:rsidP="000D1D92">
      <w:pPr>
        <w:pStyle w:val="Default"/>
        <w:jc w:val="both"/>
        <w:rPr>
          <w:rFonts w:ascii="Arial" w:hAnsi="Arial" w:cs="Arial"/>
        </w:rPr>
      </w:pPr>
    </w:p>
    <w:p w14:paraId="5C110B93" w14:textId="77777777" w:rsidR="000D1D92" w:rsidRPr="00CD41E2" w:rsidRDefault="000D1D92" w:rsidP="000D1D92">
      <w:pPr>
        <w:pStyle w:val="Default"/>
        <w:jc w:val="both"/>
        <w:rPr>
          <w:rFonts w:ascii="Arial" w:hAnsi="Arial" w:cs="Arial"/>
        </w:rPr>
      </w:pPr>
      <w:r w:rsidRPr="0063793A">
        <w:rPr>
          <w:rFonts w:ascii="Arial" w:hAnsi="Arial" w:cs="Arial"/>
        </w:rPr>
        <w:t>In 2012-13, the rate of female Aborigina</w:t>
      </w:r>
      <w:r>
        <w:rPr>
          <w:rFonts w:ascii="Arial" w:hAnsi="Arial" w:cs="Arial"/>
        </w:rPr>
        <w:t xml:space="preserve">l and Torres Strait Islander clients of </w:t>
      </w:r>
      <w:r w:rsidRPr="00924799">
        <w:rPr>
          <w:rFonts w:ascii="Arial" w:hAnsi="Arial" w:cs="Arial"/>
        </w:rPr>
        <w:t>Specialist Homelessness Services</w:t>
      </w:r>
      <w:r w:rsidRPr="0063793A">
        <w:rPr>
          <w:rFonts w:ascii="Arial" w:hAnsi="Arial" w:cs="Arial"/>
        </w:rPr>
        <w:t xml:space="preserve"> aged 10 years and over escaping family violence (359 cl</w:t>
      </w:r>
      <w:r>
        <w:rPr>
          <w:rFonts w:ascii="Arial" w:hAnsi="Arial" w:cs="Arial"/>
        </w:rPr>
        <w:t>ients per 10,</w:t>
      </w:r>
      <w:r w:rsidRPr="0063793A">
        <w:rPr>
          <w:rFonts w:ascii="Arial" w:hAnsi="Arial" w:cs="Arial"/>
        </w:rPr>
        <w:t>000 population) was 10 times the rate for female non-Indige</w:t>
      </w:r>
      <w:r>
        <w:rPr>
          <w:rFonts w:ascii="Arial" w:hAnsi="Arial" w:cs="Arial"/>
        </w:rPr>
        <w:t>nous clients (34 clients per 10,</w:t>
      </w:r>
      <w:r w:rsidRPr="0063793A">
        <w:rPr>
          <w:rFonts w:ascii="Arial" w:hAnsi="Arial" w:cs="Arial"/>
        </w:rPr>
        <w:t>000 population)</w:t>
      </w:r>
      <w:r>
        <w:rPr>
          <w:rFonts w:ascii="Arial" w:hAnsi="Arial" w:cs="Arial"/>
        </w:rPr>
        <w:t>.</w:t>
      </w:r>
      <w:r>
        <w:rPr>
          <w:rStyle w:val="EndnoteReference"/>
          <w:rFonts w:cs="Arial"/>
        </w:rPr>
        <w:endnoteReference w:id="455"/>
      </w:r>
      <w:r>
        <w:rPr>
          <w:rFonts w:ascii="Arial" w:hAnsi="Arial" w:cs="Arial"/>
        </w:rPr>
        <w:t xml:space="preserve"> </w:t>
      </w:r>
    </w:p>
    <w:p w14:paraId="14F5F107" w14:textId="77777777" w:rsidR="000D1D92" w:rsidRDefault="000D1D92" w:rsidP="000D1D92">
      <w:pPr>
        <w:spacing w:before="0" w:after="0"/>
        <w:jc w:val="both"/>
        <w:rPr>
          <w:rFonts w:cs="Arial"/>
          <w:color w:val="000000"/>
          <w:sz w:val="22"/>
          <w:szCs w:val="22"/>
        </w:rPr>
      </w:pPr>
    </w:p>
    <w:p w14:paraId="3A2C5F3A" w14:textId="77777777" w:rsidR="000D1D92" w:rsidRDefault="000D1D92" w:rsidP="000D1D92">
      <w:pPr>
        <w:spacing w:before="0" w:after="0"/>
        <w:jc w:val="both"/>
        <w:rPr>
          <w:rFonts w:eastAsia="Calibri" w:cs="Arial"/>
        </w:rPr>
      </w:pPr>
      <w:r w:rsidRPr="00BB2B2A">
        <w:rPr>
          <w:rFonts w:eastAsia="Calibri" w:cs="Arial"/>
        </w:rPr>
        <w:t xml:space="preserve">In 2013–14, Aboriginal and Torres Strait Islander children </w:t>
      </w:r>
      <w:r>
        <w:rPr>
          <w:rFonts w:eastAsia="Calibri" w:cs="Arial"/>
        </w:rPr>
        <w:t>were seven</w:t>
      </w:r>
      <w:r w:rsidRPr="00BB2B2A">
        <w:rPr>
          <w:rFonts w:eastAsia="Calibri" w:cs="Arial"/>
        </w:rPr>
        <w:t xml:space="preserve"> times as likely as non-Indigenous children and young people to be receiving child protection services (136.6 per 1,000 children compared with 19.0</w:t>
      </w:r>
      <w:r>
        <w:rPr>
          <w:rFonts w:eastAsia="Calibri" w:cs="Arial"/>
        </w:rPr>
        <w:t xml:space="preserve"> per 1,000</w:t>
      </w:r>
      <w:r w:rsidRPr="00BB2B2A">
        <w:rPr>
          <w:rFonts w:eastAsia="Calibri" w:cs="Arial"/>
        </w:rPr>
        <w:t xml:space="preserve"> for non-Indigenous children).</w:t>
      </w:r>
      <w:r w:rsidRPr="00381FCF">
        <w:rPr>
          <w:rStyle w:val="EndnoteReference"/>
          <w:rFonts w:eastAsia="Calibri" w:cs="Arial"/>
          <w:szCs w:val="20"/>
        </w:rPr>
        <w:endnoteReference w:id="456"/>
      </w:r>
      <w:r w:rsidRPr="00BB2B2A">
        <w:rPr>
          <w:rFonts w:eastAsia="Calibri" w:cs="Arial"/>
        </w:rPr>
        <w:t xml:space="preserve"> </w:t>
      </w:r>
    </w:p>
    <w:p w14:paraId="534E0B10" w14:textId="77777777" w:rsidR="000D1D92" w:rsidRDefault="000D1D92" w:rsidP="000D1D92">
      <w:pPr>
        <w:pStyle w:val="Heading3"/>
        <w:jc w:val="both"/>
      </w:pPr>
      <w:bookmarkStart w:id="160" w:name="_Toc432061260"/>
      <w:r>
        <w:t>Other vulnerable groups of children</w:t>
      </w:r>
      <w:bookmarkEnd w:id="160"/>
    </w:p>
    <w:p w14:paraId="740B3A3A" w14:textId="77777777" w:rsidR="000D1D92" w:rsidRDefault="000D1D92" w:rsidP="000D1D92">
      <w:pPr>
        <w:spacing w:before="0" w:after="0"/>
        <w:jc w:val="both"/>
        <w:rPr>
          <w:rFonts w:cs="Arial"/>
        </w:rPr>
      </w:pPr>
      <w:r w:rsidRPr="00BB2B2A">
        <w:rPr>
          <w:rFonts w:eastAsia="Calibri" w:cs="Arial"/>
        </w:rPr>
        <w:t>Other groups of children</w:t>
      </w:r>
      <w:r>
        <w:rPr>
          <w:rFonts w:eastAsia="Calibri" w:cs="Arial"/>
        </w:rPr>
        <w:t xml:space="preserve">, such as those from </w:t>
      </w:r>
      <w:r w:rsidRPr="008D18A6">
        <w:rPr>
          <w:rFonts w:eastAsia="Calibri" w:cs="Arial"/>
        </w:rPr>
        <w:t xml:space="preserve">culturally and linguistically diverse backgrounds, children with disability, </w:t>
      </w:r>
      <w:r w:rsidRPr="008D18A6">
        <w:rPr>
          <w:rFonts w:cs="Arial"/>
          <w:color w:val="000000"/>
        </w:rPr>
        <w:t xml:space="preserve">children who </w:t>
      </w:r>
      <w:r>
        <w:rPr>
          <w:rFonts w:cs="Arial"/>
          <w:color w:val="000000"/>
        </w:rPr>
        <w:t>are l</w:t>
      </w:r>
      <w:r w:rsidRPr="001F08BC">
        <w:rPr>
          <w:rFonts w:cs="Arial"/>
          <w:color w:val="000000"/>
        </w:rPr>
        <w:t xml:space="preserve">esbian, </w:t>
      </w:r>
      <w:r>
        <w:rPr>
          <w:rFonts w:cs="Arial"/>
          <w:color w:val="000000"/>
        </w:rPr>
        <w:t>g</w:t>
      </w:r>
      <w:r w:rsidRPr="001F08BC">
        <w:rPr>
          <w:rFonts w:cs="Arial"/>
          <w:color w:val="000000"/>
        </w:rPr>
        <w:t xml:space="preserve">ay, </w:t>
      </w:r>
      <w:r>
        <w:rPr>
          <w:rFonts w:cs="Arial"/>
          <w:color w:val="000000"/>
        </w:rPr>
        <w:t>b</w:t>
      </w:r>
      <w:r w:rsidRPr="001F08BC">
        <w:rPr>
          <w:rFonts w:cs="Arial"/>
          <w:color w:val="000000"/>
        </w:rPr>
        <w:t xml:space="preserve">isexual, </w:t>
      </w:r>
      <w:r>
        <w:rPr>
          <w:rFonts w:cs="Arial"/>
          <w:color w:val="000000"/>
        </w:rPr>
        <w:t>t</w:t>
      </w:r>
      <w:r w:rsidRPr="001F08BC">
        <w:rPr>
          <w:rFonts w:cs="Arial"/>
          <w:color w:val="000000"/>
        </w:rPr>
        <w:t xml:space="preserve">ransgender and </w:t>
      </w:r>
      <w:r>
        <w:rPr>
          <w:rFonts w:cs="Arial"/>
          <w:color w:val="000000"/>
        </w:rPr>
        <w:t>i</w:t>
      </w:r>
      <w:r w:rsidRPr="001F08BC">
        <w:rPr>
          <w:rFonts w:cs="Arial"/>
          <w:color w:val="000000"/>
        </w:rPr>
        <w:t>ntersex</w:t>
      </w:r>
      <w:r w:rsidRPr="008D18A6">
        <w:rPr>
          <w:rFonts w:cs="Arial"/>
          <w:color w:val="000000"/>
        </w:rPr>
        <w:t xml:space="preserve">, and </w:t>
      </w:r>
      <w:r w:rsidRPr="008D18A6">
        <w:rPr>
          <w:rFonts w:cs="Arial"/>
        </w:rPr>
        <w:t>children living in rural and remote areas of Australia</w:t>
      </w:r>
      <w:r w:rsidRPr="00E70B00">
        <w:rPr>
          <w:rFonts w:cs="Arial"/>
          <w:b/>
        </w:rPr>
        <w:t xml:space="preserve"> </w:t>
      </w:r>
      <w:r w:rsidRPr="00404193">
        <w:rPr>
          <w:rFonts w:eastAsia="Calibri" w:cs="Arial"/>
        </w:rPr>
        <w:t xml:space="preserve">may also be </w:t>
      </w:r>
      <w:r w:rsidRPr="00404193">
        <w:rPr>
          <w:rFonts w:cs="Arial"/>
        </w:rPr>
        <w:t>disproportionately represented</w:t>
      </w:r>
      <w:r>
        <w:rPr>
          <w:rFonts w:cs="Arial"/>
        </w:rPr>
        <w:t xml:space="preserve">. However, </w:t>
      </w:r>
      <w:r w:rsidRPr="00404193">
        <w:rPr>
          <w:rFonts w:cs="Arial"/>
        </w:rPr>
        <w:t>data sets for these children are either not collected or not publically available</w:t>
      </w:r>
      <w:r w:rsidRPr="00BB2B2A">
        <w:rPr>
          <w:rFonts w:cs="Arial"/>
        </w:rPr>
        <w:t>.</w:t>
      </w:r>
      <w:r>
        <w:rPr>
          <w:rFonts w:cs="Arial"/>
        </w:rPr>
        <w:t xml:space="preserve"> As pointed out by the Australian Institute of Family Studies:</w:t>
      </w:r>
    </w:p>
    <w:p w14:paraId="6DC5C5F8" w14:textId="77777777" w:rsidR="000D1D92" w:rsidRDefault="000D1D92" w:rsidP="000D1D92">
      <w:pPr>
        <w:spacing w:before="0" w:after="0"/>
        <w:jc w:val="both"/>
        <w:rPr>
          <w:rFonts w:cs="Arial"/>
        </w:rPr>
      </w:pPr>
    </w:p>
    <w:p w14:paraId="5748A185" w14:textId="77777777" w:rsidR="000D1D92" w:rsidRPr="00E06568" w:rsidRDefault="000D1D92" w:rsidP="000D1D92">
      <w:pPr>
        <w:spacing w:before="0" w:after="0"/>
        <w:ind w:left="720"/>
        <w:jc w:val="both"/>
        <w:rPr>
          <w:rFonts w:cs="Arial"/>
          <w:sz w:val="22"/>
          <w:szCs w:val="22"/>
        </w:rPr>
      </w:pPr>
      <w:r w:rsidRPr="00E06568">
        <w:rPr>
          <w:rFonts w:cs="Arial"/>
          <w:sz w:val="22"/>
          <w:szCs w:val="22"/>
        </w:rPr>
        <w:t>‘Lack of knowledge about the specific circumstances of these groups is particularly striking’.</w:t>
      </w:r>
      <w:r w:rsidRPr="00E06568">
        <w:rPr>
          <w:rStyle w:val="EndnoteReference"/>
          <w:rFonts w:cs="Arial"/>
          <w:sz w:val="22"/>
          <w:szCs w:val="22"/>
        </w:rPr>
        <w:endnoteReference w:id="457"/>
      </w:r>
    </w:p>
    <w:p w14:paraId="186950D9" w14:textId="77777777" w:rsidR="000D1D92" w:rsidRPr="00FA2408" w:rsidRDefault="000D1D92" w:rsidP="000D1D92">
      <w:pPr>
        <w:pStyle w:val="Heading3"/>
        <w:jc w:val="both"/>
      </w:pPr>
      <w:bookmarkStart w:id="161" w:name="_Toc432061261"/>
      <w:r w:rsidRPr="00FA2408">
        <w:t>Children as homicide victims of family and domestic violence</w:t>
      </w:r>
      <w:bookmarkEnd w:id="161"/>
    </w:p>
    <w:p w14:paraId="1B4F4D08" w14:textId="77777777" w:rsidR="000D1D92" w:rsidRDefault="000D1D92" w:rsidP="000D1D92">
      <w:pPr>
        <w:spacing w:before="0" w:after="0"/>
        <w:jc w:val="both"/>
        <w:rPr>
          <w:lang w:val="en"/>
        </w:rPr>
      </w:pPr>
      <w:r>
        <w:rPr>
          <w:lang w:val="en"/>
        </w:rPr>
        <w:t xml:space="preserve">The Australian Institute of Criminology (AIC) released a report earlier this year on characteristics of family and domestic homicides for the 10-year period 2002-2012. </w:t>
      </w:r>
    </w:p>
    <w:p w14:paraId="4C4AE839" w14:textId="77777777" w:rsidR="000D1D92" w:rsidRDefault="000D1D92" w:rsidP="000D1D92">
      <w:pPr>
        <w:spacing w:before="0" w:after="0"/>
        <w:jc w:val="both"/>
        <w:rPr>
          <w:lang w:val="en"/>
        </w:rPr>
      </w:pPr>
    </w:p>
    <w:p w14:paraId="70BBB503" w14:textId="77777777" w:rsidR="000D1D92" w:rsidRDefault="000D1D92" w:rsidP="000D1D92">
      <w:pPr>
        <w:spacing w:before="0" w:after="0"/>
        <w:jc w:val="both"/>
        <w:rPr>
          <w:lang w:val="en"/>
        </w:rPr>
      </w:pPr>
      <w:r>
        <w:rPr>
          <w:lang w:val="en"/>
        </w:rPr>
        <w:t xml:space="preserve">Its data showed that </w:t>
      </w:r>
      <w:r w:rsidRPr="00E70B00">
        <w:rPr>
          <w:b/>
          <w:lang w:val="en"/>
        </w:rPr>
        <w:t xml:space="preserve">children </w:t>
      </w:r>
      <w:r w:rsidRPr="00A07D9F">
        <w:rPr>
          <w:b/>
          <w:lang w:val="en"/>
        </w:rPr>
        <w:t>comprised the second most frequent group of victims</w:t>
      </w:r>
      <w:r>
        <w:rPr>
          <w:b/>
          <w:lang w:val="en"/>
        </w:rPr>
        <w:t xml:space="preserve"> </w:t>
      </w:r>
      <w:r w:rsidRPr="00A07D9F">
        <w:rPr>
          <w:b/>
          <w:lang w:val="en"/>
        </w:rPr>
        <w:t xml:space="preserve">of </w:t>
      </w:r>
      <w:r>
        <w:rPr>
          <w:b/>
          <w:lang w:val="en"/>
        </w:rPr>
        <w:t>family and domestic</w:t>
      </w:r>
      <w:r w:rsidRPr="00A07D9F">
        <w:rPr>
          <w:b/>
          <w:lang w:val="en"/>
        </w:rPr>
        <w:t xml:space="preserve"> homicides </w:t>
      </w:r>
      <w:r>
        <w:rPr>
          <w:lang w:val="en"/>
        </w:rPr>
        <w:t>(21%) after intimate partner homicides (56%).</w:t>
      </w:r>
      <w:r>
        <w:rPr>
          <w:rStyle w:val="EndnoteReference"/>
          <w:lang w:val="en"/>
        </w:rPr>
        <w:endnoteReference w:id="458"/>
      </w:r>
    </w:p>
    <w:p w14:paraId="6C1C19EA" w14:textId="77777777" w:rsidR="000D1D92" w:rsidRDefault="000D1D92" w:rsidP="000D1D92">
      <w:pPr>
        <w:spacing w:before="0" w:after="0"/>
        <w:jc w:val="both"/>
        <w:rPr>
          <w:lang w:val="en"/>
        </w:rPr>
      </w:pPr>
    </w:p>
    <w:p w14:paraId="0D1B2085" w14:textId="77777777" w:rsidR="000D1D92" w:rsidRDefault="000D1D92" w:rsidP="000D1D92">
      <w:pPr>
        <w:spacing w:before="0" w:after="0"/>
        <w:jc w:val="both"/>
        <w:rPr>
          <w:lang w:val="en"/>
        </w:rPr>
      </w:pPr>
      <w:r>
        <w:rPr>
          <w:lang w:val="en"/>
        </w:rPr>
        <w:t xml:space="preserve">Of the 238 filicide cases (homicides where the </w:t>
      </w:r>
      <w:r w:rsidRPr="006346C2">
        <w:rPr>
          <w:lang w:val="en"/>
        </w:rPr>
        <w:t>victim is the child of the offender</w:t>
      </w:r>
      <w:r>
        <w:rPr>
          <w:lang w:val="en"/>
        </w:rPr>
        <w:t xml:space="preserve">), 229 of these were children under 18 (96%). </w:t>
      </w:r>
    </w:p>
    <w:p w14:paraId="64BB4131" w14:textId="77777777" w:rsidR="000D1D92" w:rsidRDefault="000D1D92" w:rsidP="000D1D92">
      <w:pPr>
        <w:spacing w:before="0" w:after="0"/>
        <w:jc w:val="both"/>
        <w:rPr>
          <w:lang w:val="en"/>
        </w:rPr>
      </w:pPr>
    </w:p>
    <w:p w14:paraId="7EC0DB73" w14:textId="77777777" w:rsidR="000D1D92" w:rsidRDefault="000D1D92" w:rsidP="000D1D92">
      <w:pPr>
        <w:spacing w:before="0" w:after="0"/>
        <w:jc w:val="both"/>
        <w:rPr>
          <w:lang w:val="en"/>
        </w:rPr>
      </w:pPr>
      <w:r>
        <w:rPr>
          <w:lang w:val="en"/>
        </w:rPr>
        <w:t>51% of all filicide cases were attributed to children aged between 1 to 9 years, 32% for children under the age of one; 11% for children aged 10 to 14 years; and 2% for children aged 15 to 17 years.</w:t>
      </w:r>
    </w:p>
    <w:p w14:paraId="47AFC523" w14:textId="77777777" w:rsidR="000D1D92" w:rsidRDefault="000D1D92" w:rsidP="000D1D92">
      <w:pPr>
        <w:spacing w:before="0" w:after="0"/>
        <w:jc w:val="both"/>
        <w:rPr>
          <w:lang w:val="en"/>
        </w:rPr>
      </w:pPr>
    </w:p>
    <w:p w14:paraId="3D2A9B05" w14:textId="77777777" w:rsidR="000D1D92" w:rsidRDefault="000D1D92" w:rsidP="000D1D92">
      <w:pPr>
        <w:spacing w:before="0" w:after="0"/>
        <w:jc w:val="both"/>
        <w:rPr>
          <w:vertAlign w:val="superscript"/>
          <w:lang w:val="en"/>
        </w:rPr>
      </w:pPr>
      <w:r>
        <w:rPr>
          <w:lang w:val="en"/>
        </w:rPr>
        <w:t>In all age categories for children under 18 (under 1, 1-9, 10-14, 15-17) filicide was the most common form of family and domestic homicide, except for 15 to 17 year olds where intimate partner homicide was more common.</w:t>
      </w:r>
      <w:r w:rsidRPr="00F82D4C">
        <w:rPr>
          <w:sz w:val="20"/>
          <w:szCs w:val="20"/>
          <w:vertAlign w:val="superscript"/>
          <w:lang w:val="en"/>
        </w:rPr>
        <w:endnoteReference w:id="459"/>
      </w:r>
    </w:p>
    <w:p w14:paraId="2689D759" w14:textId="77777777" w:rsidR="000D1D92" w:rsidRDefault="000D1D92" w:rsidP="000D1D92">
      <w:pPr>
        <w:spacing w:before="0" w:after="0"/>
        <w:jc w:val="both"/>
        <w:rPr>
          <w:vertAlign w:val="superscript"/>
          <w:lang w:val="en"/>
        </w:rPr>
      </w:pPr>
    </w:p>
    <w:p w14:paraId="11174495" w14:textId="77777777" w:rsidR="000D1D92" w:rsidRDefault="000D1D92" w:rsidP="000D1D92">
      <w:pPr>
        <w:spacing w:before="0" w:after="0"/>
        <w:jc w:val="both"/>
        <w:rPr>
          <w:vertAlign w:val="superscript"/>
          <w:lang w:val="en"/>
        </w:rPr>
      </w:pPr>
      <w:r>
        <w:rPr>
          <w:lang w:val="en"/>
        </w:rPr>
        <w:t>Victims of filicide were slightly more likely to be male (56%) than female (44%).</w:t>
      </w:r>
      <w:r w:rsidRPr="00F82D4C">
        <w:rPr>
          <w:sz w:val="20"/>
          <w:szCs w:val="20"/>
          <w:vertAlign w:val="superscript"/>
          <w:lang w:val="en"/>
        </w:rPr>
        <w:endnoteReference w:id="460"/>
      </w:r>
    </w:p>
    <w:p w14:paraId="44AEB409" w14:textId="77777777" w:rsidR="000D1D92" w:rsidRDefault="000D1D92" w:rsidP="000D1D92">
      <w:pPr>
        <w:spacing w:before="0" w:after="0"/>
        <w:jc w:val="both"/>
      </w:pPr>
    </w:p>
    <w:p w14:paraId="7D3DA80A" w14:textId="77777777" w:rsidR="000D1D92" w:rsidRPr="00D8051A" w:rsidRDefault="000D1D92" w:rsidP="000D1D92">
      <w:pPr>
        <w:spacing w:before="0" w:after="0"/>
        <w:jc w:val="both"/>
      </w:pPr>
      <w:r>
        <w:t>The report also found that while m</w:t>
      </w:r>
      <w:r w:rsidRPr="00654278">
        <w:t>ales accounted for the majority of offenders in domestic/family</w:t>
      </w:r>
      <w:r>
        <w:t xml:space="preserve"> homicides, in cases of filicides, offenders were slightly more likely to be female </w:t>
      </w:r>
      <w:r w:rsidRPr="00654278">
        <w:t>(52%</w:t>
      </w:r>
      <w:r>
        <w:t>) than male (48%</w:t>
      </w:r>
      <w:r w:rsidRPr="00654278">
        <w:t>)</w:t>
      </w:r>
      <w:r>
        <w:t>.</w:t>
      </w:r>
      <w:r w:rsidRPr="00780FE5">
        <w:rPr>
          <w:vertAlign w:val="superscript"/>
          <w:lang w:val="en"/>
        </w:rPr>
        <w:endnoteReference w:id="461"/>
      </w:r>
      <w:r>
        <w:t xml:space="preserve"> Relatively little is known about the precipitating factors behind filicide for the different genders.</w:t>
      </w:r>
    </w:p>
    <w:p w14:paraId="4164819E" w14:textId="77777777" w:rsidR="000D1D92" w:rsidRPr="00780FE5" w:rsidRDefault="000D1D92" w:rsidP="000D1D92">
      <w:pPr>
        <w:spacing w:before="0" w:after="0"/>
        <w:jc w:val="both"/>
        <w:rPr>
          <w:lang w:val="en"/>
        </w:rPr>
      </w:pPr>
    </w:p>
    <w:p w14:paraId="47CD5926" w14:textId="77777777" w:rsidR="000D1D92" w:rsidRPr="00780FE5" w:rsidRDefault="000D1D92" w:rsidP="000D1D92">
      <w:pPr>
        <w:spacing w:before="0" w:after="0"/>
        <w:jc w:val="both"/>
        <w:rPr>
          <w:lang w:val="en"/>
        </w:rPr>
      </w:pPr>
      <w:r>
        <w:rPr>
          <w:lang w:val="en"/>
        </w:rPr>
        <w:t>In addition to this, the report</w:t>
      </w:r>
      <w:r w:rsidRPr="00780FE5">
        <w:rPr>
          <w:lang w:val="en"/>
        </w:rPr>
        <w:t xml:space="preserve"> shows that </w:t>
      </w:r>
      <w:r>
        <w:rPr>
          <w:lang w:val="en"/>
        </w:rPr>
        <w:t xml:space="preserve">85% </w:t>
      </w:r>
      <w:r w:rsidRPr="00780FE5">
        <w:rPr>
          <w:lang w:val="en"/>
        </w:rPr>
        <w:t xml:space="preserve">of the 27 intimate partner homicides which involved multiple victims, </w:t>
      </w:r>
      <w:r>
        <w:rPr>
          <w:lang w:val="en"/>
        </w:rPr>
        <w:t xml:space="preserve">also involved </w:t>
      </w:r>
      <w:r w:rsidRPr="00780FE5">
        <w:rPr>
          <w:lang w:val="en"/>
        </w:rPr>
        <w:t>the</w:t>
      </w:r>
      <w:r>
        <w:rPr>
          <w:lang w:val="en"/>
        </w:rPr>
        <w:t xml:space="preserve"> death of one or more children. </w:t>
      </w:r>
      <w:r w:rsidRPr="00780FE5">
        <w:rPr>
          <w:lang w:val="en"/>
        </w:rPr>
        <w:t xml:space="preserve">Of the 17 filicide incidents that involved one child and multiple offenders, </w:t>
      </w:r>
      <w:r>
        <w:rPr>
          <w:lang w:val="en"/>
        </w:rPr>
        <w:t xml:space="preserve">in all but one of the cases </w:t>
      </w:r>
      <w:r w:rsidRPr="00780FE5">
        <w:rPr>
          <w:lang w:val="en"/>
        </w:rPr>
        <w:t xml:space="preserve">both </w:t>
      </w:r>
      <w:r>
        <w:rPr>
          <w:lang w:val="en"/>
        </w:rPr>
        <w:t xml:space="preserve">offenders were the </w:t>
      </w:r>
      <w:r w:rsidRPr="00780FE5">
        <w:rPr>
          <w:lang w:val="en"/>
        </w:rPr>
        <w:t>parents of the child involved.</w:t>
      </w:r>
      <w:r w:rsidRPr="00780FE5">
        <w:rPr>
          <w:vertAlign w:val="superscript"/>
          <w:lang w:val="en"/>
        </w:rPr>
        <w:endnoteReference w:id="462"/>
      </w:r>
    </w:p>
    <w:p w14:paraId="2BE1DCF9" w14:textId="77777777" w:rsidR="000D1D92" w:rsidRPr="00780FE5" w:rsidRDefault="000D1D92" w:rsidP="000D1D92">
      <w:pPr>
        <w:spacing w:before="0" w:after="0"/>
        <w:jc w:val="both"/>
        <w:rPr>
          <w:lang w:val="en"/>
        </w:rPr>
      </w:pPr>
    </w:p>
    <w:p w14:paraId="12E711F4" w14:textId="77777777" w:rsidR="000D1D92" w:rsidRPr="00780FE5" w:rsidRDefault="000D1D92" w:rsidP="000D1D92">
      <w:pPr>
        <w:spacing w:before="0" w:after="0"/>
        <w:jc w:val="both"/>
        <w:rPr>
          <w:lang w:val="en"/>
        </w:rPr>
      </w:pPr>
      <w:r>
        <w:rPr>
          <w:lang w:val="en"/>
        </w:rPr>
        <w:lastRenderedPageBreak/>
        <w:t>The AIC</w:t>
      </w:r>
      <w:r w:rsidRPr="00780FE5">
        <w:rPr>
          <w:lang w:val="en"/>
        </w:rPr>
        <w:t xml:space="preserve"> report provides valuable information in terms of building an accurate picture about children under 18 years experiencing family and domestic violence which can be used to guide policy development and service provision. </w:t>
      </w:r>
    </w:p>
    <w:p w14:paraId="45A87AC8" w14:textId="77777777" w:rsidR="000D1D92" w:rsidRPr="00780FE5" w:rsidRDefault="000D1D92" w:rsidP="000D1D92">
      <w:pPr>
        <w:spacing w:before="0" w:after="0"/>
        <w:jc w:val="both"/>
        <w:rPr>
          <w:lang w:val="en"/>
        </w:rPr>
      </w:pPr>
    </w:p>
    <w:p w14:paraId="6B7B2CE3" w14:textId="77777777" w:rsidR="000D1D92" w:rsidRDefault="000D1D92" w:rsidP="000D1D92">
      <w:pPr>
        <w:spacing w:before="0" w:after="0"/>
        <w:jc w:val="both"/>
        <w:rPr>
          <w:lang w:val="en"/>
        </w:rPr>
      </w:pPr>
      <w:r>
        <w:rPr>
          <w:lang w:val="en"/>
        </w:rPr>
        <w:t>F</w:t>
      </w:r>
      <w:r w:rsidRPr="00780FE5">
        <w:rPr>
          <w:lang w:val="en"/>
        </w:rPr>
        <w:t>urther disaggregation of th</w:t>
      </w:r>
      <w:r>
        <w:rPr>
          <w:lang w:val="en"/>
        </w:rPr>
        <w:t>is data is highly desirable</w:t>
      </w:r>
      <w:r w:rsidRPr="00780FE5">
        <w:rPr>
          <w:lang w:val="en"/>
        </w:rPr>
        <w:t xml:space="preserve">. For example, </w:t>
      </w:r>
      <w:r>
        <w:rPr>
          <w:lang w:val="en"/>
        </w:rPr>
        <w:t>Aboriginal and Torres Strait Islander</w:t>
      </w:r>
      <w:r w:rsidRPr="00780FE5">
        <w:rPr>
          <w:lang w:val="en"/>
        </w:rPr>
        <w:t xml:space="preserve"> status, cultural background, disability, and geographical</w:t>
      </w:r>
      <w:r>
        <w:rPr>
          <w:lang w:val="en"/>
        </w:rPr>
        <w:t xml:space="preserve"> location.</w:t>
      </w:r>
    </w:p>
    <w:p w14:paraId="6F75DF52" w14:textId="77777777" w:rsidR="000D1D92" w:rsidRDefault="000D1D92" w:rsidP="000D1D92">
      <w:pPr>
        <w:pStyle w:val="Heading3"/>
        <w:jc w:val="both"/>
      </w:pPr>
      <w:bookmarkStart w:id="162" w:name="_Toc432061262"/>
      <w:r w:rsidRPr="00FA2408">
        <w:t>Intersection between family and domestic violence and the family law system</w:t>
      </w:r>
      <w:bookmarkEnd w:id="162"/>
    </w:p>
    <w:p w14:paraId="18054B7F" w14:textId="77777777" w:rsidR="000D1D92" w:rsidRDefault="000D1D92" w:rsidP="000D1D92">
      <w:pPr>
        <w:spacing w:before="0" w:after="0"/>
        <w:jc w:val="both"/>
        <w:rPr>
          <w:lang w:val="en"/>
        </w:rPr>
      </w:pPr>
      <w:r>
        <w:rPr>
          <w:lang w:val="en"/>
        </w:rPr>
        <w:t xml:space="preserve">Through representations made to me personally, media reporting and academic research papers, I was also aware of the interface between </w:t>
      </w:r>
      <w:r w:rsidRPr="007C146B">
        <w:rPr>
          <w:b/>
          <w:lang w:val="en"/>
        </w:rPr>
        <w:t>family and domestic violen</w:t>
      </w:r>
      <w:r>
        <w:rPr>
          <w:b/>
          <w:lang w:val="en"/>
        </w:rPr>
        <w:t>ce and the family law system</w:t>
      </w:r>
      <w:r>
        <w:rPr>
          <w:lang w:val="en"/>
        </w:rPr>
        <w:t>. The post-separation period, including children’s contact arrangements, were identified as periods of time where there was heightened risk of family and domestic violence.</w:t>
      </w:r>
    </w:p>
    <w:p w14:paraId="1E2E009C" w14:textId="77777777" w:rsidR="000D1D92" w:rsidRDefault="000D1D92" w:rsidP="000D1D92">
      <w:pPr>
        <w:pStyle w:val="Heading2"/>
        <w:jc w:val="both"/>
      </w:pPr>
      <w:bookmarkStart w:id="163" w:name="_Toc430945568"/>
      <w:bookmarkStart w:id="164" w:name="_Toc430950901"/>
      <w:bookmarkStart w:id="165" w:name="_Toc432061263"/>
      <w:bookmarkStart w:id="166" w:name="_Toc432577324"/>
      <w:r>
        <w:t>Why is family and domestic violence a child rights issue?</w:t>
      </w:r>
      <w:bookmarkEnd w:id="163"/>
      <w:bookmarkEnd w:id="164"/>
      <w:bookmarkEnd w:id="165"/>
      <w:bookmarkEnd w:id="166"/>
    </w:p>
    <w:p w14:paraId="65DA205C" w14:textId="77777777" w:rsidR="000D1D92" w:rsidRDefault="000D1D92" w:rsidP="000D1D92">
      <w:pPr>
        <w:spacing w:before="0" w:after="0"/>
        <w:jc w:val="both"/>
      </w:pPr>
      <w:r>
        <w:t>C</w:t>
      </w:r>
      <w:r w:rsidRPr="007A566F">
        <w:t>hildren’s exposure to family and domestic violence</w:t>
      </w:r>
      <w:r>
        <w:t xml:space="preserve"> has clearly been identified as a human rights issue.</w:t>
      </w:r>
      <w:r w:rsidRPr="007A566F">
        <w:rPr>
          <w:rStyle w:val="EndnoteReference"/>
          <w:rFonts w:cs="Arial"/>
        </w:rPr>
        <w:endnoteReference w:id="463"/>
      </w:r>
      <w:r>
        <w:t xml:space="preserve">  </w:t>
      </w:r>
    </w:p>
    <w:p w14:paraId="7C185265" w14:textId="77777777" w:rsidR="000D1D92" w:rsidRDefault="000D1D92" w:rsidP="000D1D92">
      <w:pPr>
        <w:spacing w:before="0" w:after="0"/>
        <w:jc w:val="both"/>
      </w:pPr>
    </w:p>
    <w:p w14:paraId="4C1DD8E3" w14:textId="77777777" w:rsidR="000D1D92" w:rsidRDefault="000D1D92" w:rsidP="000D1D92">
      <w:pPr>
        <w:spacing w:before="0" w:after="0"/>
        <w:jc w:val="both"/>
        <w:rPr>
          <w:rFonts w:cs="Arial"/>
        </w:rPr>
      </w:pPr>
      <w:r w:rsidRPr="002D2A64">
        <w:rPr>
          <w:rFonts w:cs="Arial"/>
        </w:rPr>
        <w:t>The</w:t>
      </w:r>
      <w:r w:rsidRPr="002D2A64">
        <w:rPr>
          <w:rFonts w:cs="Arial"/>
          <w:color w:val="FF0000"/>
        </w:rPr>
        <w:t xml:space="preserve"> </w:t>
      </w:r>
      <w:r w:rsidRPr="002D2A64">
        <w:rPr>
          <w:rFonts w:cs="Arial"/>
        </w:rPr>
        <w:t>United Nations Committee on the Rights of the Child</w:t>
      </w:r>
      <w:r>
        <w:rPr>
          <w:rFonts w:cs="Arial"/>
        </w:rPr>
        <w:t xml:space="preserve"> (UN Committee)</w:t>
      </w:r>
      <w:r w:rsidRPr="002D2A64">
        <w:rPr>
          <w:rFonts w:cs="Arial"/>
        </w:rPr>
        <w:t xml:space="preserve"> last reported on Australia’s implementation of children’s rights in 2012</w:t>
      </w:r>
      <w:r>
        <w:rPr>
          <w:rFonts w:cs="Arial"/>
        </w:rPr>
        <w:t xml:space="preserve">. At this time, </w:t>
      </w:r>
      <w:r w:rsidRPr="008C411F">
        <w:rPr>
          <w:rFonts w:cs="Arial"/>
          <w:b/>
        </w:rPr>
        <w:t>the UN Committee expressed grave concern at Australian children’s exposure to family and domestic violence, the high levels of violence against women and children, and the particular situation of Aboriginal and Torres Strait Islander women and children</w:t>
      </w:r>
      <w:r>
        <w:rPr>
          <w:rFonts w:cs="Arial"/>
        </w:rPr>
        <w:t>.</w:t>
      </w:r>
      <w:r w:rsidRPr="002D2A64">
        <w:rPr>
          <w:rStyle w:val="EndnoteReference"/>
          <w:rFonts w:cs="Arial"/>
          <w:sz w:val="24"/>
        </w:rPr>
        <w:endnoteReference w:id="464"/>
      </w:r>
      <w:r w:rsidRPr="002D2A64">
        <w:rPr>
          <w:rFonts w:cs="Arial"/>
        </w:rPr>
        <w:t xml:space="preserve"> </w:t>
      </w:r>
    </w:p>
    <w:p w14:paraId="30166165" w14:textId="77777777" w:rsidR="000D1D92" w:rsidRPr="002D2A64" w:rsidRDefault="000D1D92" w:rsidP="000D1D92">
      <w:pPr>
        <w:jc w:val="both"/>
        <w:rPr>
          <w:rFonts w:cs="Arial"/>
        </w:rPr>
      </w:pPr>
      <w:r>
        <w:rPr>
          <w:rFonts w:cs="Arial"/>
        </w:rPr>
        <w:t>Australia has taken on obligations under the United Nations Convention on the Rights of the Child (CRC) to prevent f</w:t>
      </w:r>
      <w:r>
        <w:t>amily and domestic violence as follows:</w:t>
      </w:r>
    </w:p>
    <w:p w14:paraId="65A32CDE" w14:textId="77777777" w:rsidR="000D1D92" w:rsidRPr="00293DFF" w:rsidRDefault="000D1D92" w:rsidP="000D1D92">
      <w:pPr>
        <w:ind w:left="2160" w:hanging="1800"/>
        <w:jc w:val="both"/>
      </w:pPr>
      <w:r w:rsidRPr="00293DFF">
        <w:rPr>
          <w:b/>
          <w:bCs/>
          <w:i/>
          <w:iCs/>
        </w:rPr>
        <w:t xml:space="preserve">Article 6(2) </w:t>
      </w:r>
      <w:r>
        <w:rPr>
          <w:b/>
          <w:bCs/>
          <w:i/>
          <w:iCs/>
        </w:rPr>
        <w:tab/>
      </w:r>
      <w:r w:rsidRPr="00293DFF">
        <w:t xml:space="preserve">States Parties shall ensure to the maximum extent possible the survival and development of the child. </w:t>
      </w:r>
    </w:p>
    <w:p w14:paraId="3FFD1DEF" w14:textId="77777777" w:rsidR="000D1D92" w:rsidRPr="00293DFF" w:rsidRDefault="000D1D92" w:rsidP="000D1D92">
      <w:pPr>
        <w:ind w:left="2160" w:hanging="1800"/>
        <w:jc w:val="both"/>
      </w:pPr>
      <w:r w:rsidRPr="00293DFF">
        <w:rPr>
          <w:b/>
          <w:bCs/>
          <w:i/>
          <w:iCs/>
        </w:rPr>
        <w:t xml:space="preserve">Article 19 </w:t>
      </w:r>
      <w:r>
        <w:rPr>
          <w:b/>
          <w:bCs/>
          <w:i/>
          <w:iCs/>
        </w:rPr>
        <w:tab/>
      </w:r>
      <w:r w:rsidRPr="00293DFF">
        <w:t xml:space="preserve">States Parties shall take all appropriate legislative, administrative, social and educational measures to protect the child from all forms of physical or mental violence, injury or abuse, neglect or negligent treatment, maltreatment or exploitation, including sexual abuse, while in the care of parent(s), legal guardian(s) or any other person who has the care of the child. </w:t>
      </w:r>
    </w:p>
    <w:p w14:paraId="6C723921" w14:textId="77777777" w:rsidR="000D1D92" w:rsidRDefault="000D1D92" w:rsidP="000D1D92">
      <w:pPr>
        <w:ind w:left="2160"/>
        <w:jc w:val="both"/>
      </w:pPr>
      <w:r w:rsidRPr="00293DFF">
        <w:t xml:space="preserve">Such protective measures should, as appropriate, include effective procedures for the establishment of social programmes to provide necessary support for the child and for those who have the care of the child, as well as for other forms of prevention and for identification, reporting, referral, investigation, treatment and follow-up of instances of child maltreatment </w:t>
      </w:r>
      <w:r w:rsidRPr="00293DFF">
        <w:lastRenderedPageBreak/>
        <w:t>described heretofore, and, as appropriate, for judicial involvement.</w:t>
      </w:r>
    </w:p>
    <w:p w14:paraId="7506A8FC" w14:textId="77777777" w:rsidR="000D1D92" w:rsidRPr="00B90698" w:rsidRDefault="000D1D92" w:rsidP="000D1D92">
      <w:pPr>
        <w:ind w:left="2160" w:hanging="1800"/>
        <w:jc w:val="both"/>
      </w:pPr>
      <w:r w:rsidRPr="00B90698">
        <w:rPr>
          <w:b/>
          <w:bCs/>
          <w:i/>
          <w:iCs/>
        </w:rPr>
        <w:t xml:space="preserve">Article 23(1) </w:t>
      </w:r>
      <w:r>
        <w:rPr>
          <w:b/>
          <w:bCs/>
          <w:i/>
          <w:iCs/>
        </w:rPr>
        <w:tab/>
      </w:r>
      <w:r w:rsidRPr="00B90698">
        <w:t>States Parties recognise that a mentally or physically disabled child should enjoy a full and decent life, in conditions</w:t>
      </w:r>
      <w:r>
        <w:t>,</w:t>
      </w:r>
      <w:r w:rsidRPr="00B90698">
        <w:t xml:space="preserve"> which ensure dignity, promote self-reliance and facilitate the child's active participation in the community. </w:t>
      </w:r>
    </w:p>
    <w:p w14:paraId="1B8DD172" w14:textId="77777777" w:rsidR="000D1D92" w:rsidRPr="00293DFF" w:rsidRDefault="000D1D92" w:rsidP="000D1D92">
      <w:pPr>
        <w:ind w:left="2160" w:hanging="1800"/>
        <w:jc w:val="both"/>
      </w:pPr>
      <w:r w:rsidRPr="00293DFF">
        <w:rPr>
          <w:b/>
          <w:bCs/>
          <w:i/>
          <w:iCs/>
        </w:rPr>
        <w:t xml:space="preserve">Article 24(1) </w:t>
      </w:r>
      <w:r>
        <w:rPr>
          <w:b/>
          <w:bCs/>
          <w:i/>
          <w:iCs/>
        </w:rPr>
        <w:tab/>
      </w:r>
      <w:r w:rsidRPr="00293DFF">
        <w:t>States Parties recognise the right of the child to the enjoyment of the highest attainable standard of health and to facilities for the treatment of illness and rehabilitation of health. States Parties shall strive to ensure that no child is deprived of his or her right of access</w:t>
      </w:r>
      <w:r>
        <w:t xml:space="preserve"> to such health care services. </w:t>
      </w:r>
      <w:r w:rsidRPr="00293DFF">
        <w:t xml:space="preserve"> </w:t>
      </w:r>
    </w:p>
    <w:p w14:paraId="2AA8CCAB" w14:textId="77777777" w:rsidR="000D1D92" w:rsidRPr="00B90698" w:rsidRDefault="000D1D92" w:rsidP="000D1D92">
      <w:pPr>
        <w:ind w:left="2160" w:hanging="1800"/>
        <w:jc w:val="both"/>
      </w:pPr>
      <w:r w:rsidRPr="00B90698">
        <w:rPr>
          <w:b/>
          <w:bCs/>
          <w:i/>
          <w:iCs/>
        </w:rPr>
        <w:t xml:space="preserve">Article 27(1) </w:t>
      </w:r>
      <w:r>
        <w:rPr>
          <w:b/>
          <w:bCs/>
          <w:i/>
          <w:iCs/>
        </w:rPr>
        <w:tab/>
      </w:r>
      <w:r w:rsidRPr="00B90698">
        <w:t xml:space="preserve">State Parties recognise the right of every child to a standard of living adequate for the child's physical, mental, spiritual, moral and social development. </w:t>
      </w:r>
    </w:p>
    <w:p w14:paraId="28C09630" w14:textId="77777777" w:rsidR="000D1D92" w:rsidRDefault="000D1D92" w:rsidP="000D1D92">
      <w:pPr>
        <w:ind w:left="2160" w:hanging="1800"/>
        <w:jc w:val="both"/>
      </w:pPr>
      <w:r w:rsidRPr="00D06EFC">
        <w:rPr>
          <w:b/>
          <w:bCs/>
          <w:i/>
        </w:rPr>
        <w:t>Article 39</w:t>
      </w:r>
      <w:r w:rsidRPr="00D06EFC">
        <w:rPr>
          <w:b/>
          <w:bCs/>
        </w:rPr>
        <w:t xml:space="preserve"> </w:t>
      </w:r>
      <w:r>
        <w:rPr>
          <w:b/>
          <w:bCs/>
        </w:rPr>
        <w:tab/>
      </w:r>
      <w:r w:rsidRPr="00D06EFC">
        <w:t>States Parties shall take all appropriate measures to promote physical and psychological recovery and social reintegration of a child victim of: any form of neglect, exploitation, or abuse; torture or any other form of cruel, inhuman or degrading treatment or punishment; or armed conflicts. Such recovery and reintegration shall take place in an environment, which fosters the health, self-respect and dignity of the child.</w:t>
      </w:r>
    </w:p>
    <w:p w14:paraId="7F4E6FA6" w14:textId="77777777" w:rsidR="000D1D92" w:rsidRDefault="000D1D92" w:rsidP="000D1D92">
      <w:pPr>
        <w:jc w:val="both"/>
      </w:pPr>
      <w:r>
        <w:t>The CRC requires Australia to use a child rights-based approach to address family and domestic violence</w:t>
      </w:r>
      <w:r>
        <w:rPr>
          <w:rStyle w:val="EndnoteReference"/>
        </w:rPr>
        <w:endnoteReference w:id="465"/>
      </w:r>
      <w:r>
        <w:t xml:space="preserve"> so that: </w:t>
      </w:r>
    </w:p>
    <w:p w14:paraId="7F1E26B1" w14:textId="77777777" w:rsidR="000D1D92" w:rsidRDefault="000D1D92" w:rsidP="000D1D92">
      <w:pPr>
        <w:pStyle w:val="ListParagraph"/>
        <w:numPr>
          <w:ilvl w:val="0"/>
          <w:numId w:val="86"/>
        </w:numPr>
        <w:jc w:val="both"/>
      </w:pPr>
      <w:r>
        <w:t>vulnerable and marginalised groups of children are protected</w:t>
      </w:r>
    </w:p>
    <w:p w14:paraId="42BF4A03" w14:textId="77777777" w:rsidR="000D1D92" w:rsidRDefault="000D1D92" w:rsidP="000D1D92">
      <w:pPr>
        <w:pStyle w:val="ListParagraph"/>
        <w:numPr>
          <w:ilvl w:val="0"/>
          <w:numId w:val="86"/>
        </w:numPr>
        <w:jc w:val="both"/>
      </w:pPr>
      <w:r>
        <w:t>the best interests of children are prioritised</w:t>
      </w:r>
    </w:p>
    <w:p w14:paraId="3F873CB7" w14:textId="77777777" w:rsidR="000D1D92" w:rsidRDefault="000D1D92" w:rsidP="000D1D92">
      <w:pPr>
        <w:pStyle w:val="ListParagraph"/>
        <w:numPr>
          <w:ilvl w:val="0"/>
          <w:numId w:val="86"/>
        </w:numPr>
        <w:jc w:val="both"/>
      </w:pPr>
      <w:r>
        <w:t xml:space="preserve">the views of children are respected, and </w:t>
      </w:r>
    </w:p>
    <w:p w14:paraId="42311A56" w14:textId="77777777" w:rsidR="000D1D92" w:rsidRDefault="000D1D92" w:rsidP="000D1D92">
      <w:pPr>
        <w:pStyle w:val="ListParagraph"/>
        <w:numPr>
          <w:ilvl w:val="0"/>
          <w:numId w:val="86"/>
        </w:numPr>
        <w:jc w:val="both"/>
      </w:pPr>
      <w:r>
        <w:t>measures consider the impact of family and domestic violence in terms of children’s development.</w:t>
      </w:r>
      <w:r>
        <w:rPr>
          <w:rStyle w:val="EndnoteReference"/>
        </w:rPr>
        <w:endnoteReference w:id="466"/>
      </w:r>
      <w:r>
        <w:t xml:space="preserve"> </w:t>
      </w:r>
    </w:p>
    <w:p w14:paraId="70CC379F" w14:textId="77777777" w:rsidR="000D1D92" w:rsidRDefault="000D1D92" w:rsidP="000D1D92">
      <w:pPr>
        <w:jc w:val="both"/>
      </w:pPr>
      <w:r>
        <w:t>The UN Committee calls for comprehensive and integrated protective measures to address family and domestic violence, including measures for prevention, identification, reporting, referral, investigation, treatment, follow-up, judicial involvement and effective procedures to make sure there is enforcement, quality, relevance, accessibility, impact and efficiency.</w:t>
      </w:r>
      <w:r>
        <w:rPr>
          <w:rStyle w:val="EndnoteReference"/>
        </w:rPr>
        <w:endnoteReference w:id="467"/>
      </w:r>
      <w:r w:rsidRPr="007C38E7">
        <w:t xml:space="preserve"> </w:t>
      </w:r>
    </w:p>
    <w:p w14:paraId="657EBB8E" w14:textId="77777777" w:rsidR="000D1D92" w:rsidRDefault="000D1D92" w:rsidP="000D1D92">
      <w:pPr>
        <w:jc w:val="both"/>
      </w:pPr>
      <w:r>
        <w:t>It also</w:t>
      </w:r>
      <w:r w:rsidRPr="00E82CBB">
        <w:t xml:space="preserve"> </w:t>
      </w:r>
      <w:r>
        <w:t>requires educational measures, which consistently promote positive, non-violent relationships to parents, carers, teachers and all others who work with children and families.</w:t>
      </w:r>
      <w:r w:rsidRPr="00347242">
        <w:rPr>
          <w:sz w:val="22"/>
          <w:vertAlign w:val="superscript"/>
        </w:rPr>
        <w:endnoteReference w:id="468"/>
      </w:r>
    </w:p>
    <w:p w14:paraId="49EE2CE6" w14:textId="77777777" w:rsidR="000D1D92" w:rsidRDefault="000D1D92" w:rsidP="000D1D92">
      <w:pPr>
        <w:pStyle w:val="Heading2"/>
        <w:jc w:val="both"/>
      </w:pPr>
      <w:bookmarkStart w:id="167" w:name="_Toc430945569"/>
      <w:bookmarkStart w:id="168" w:name="_Toc430950902"/>
      <w:bookmarkStart w:id="169" w:name="_Toc432061264"/>
      <w:bookmarkStart w:id="170" w:name="_Toc432577325"/>
      <w:r>
        <w:t xml:space="preserve">National </w:t>
      </w:r>
      <w:bookmarkEnd w:id="167"/>
      <w:bookmarkEnd w:id="168"/>
      <w:r>
        <w:t>examination into the impact of family and domestic violence on children</w:t>
      </w:r>
      <w:bookmarkEnd w:id="169"/>
      <w:bookmarkEnd w:id="170"/>
    </w:p>
    <w:p w14:paraId="513D4620" w14:textId="77777777" w:rsidR="000D1D92" w:rsidRDefault="000D1D92" w:rsidP="000D1D92">
      <w:pPr>
        <w:jc w:val="both"/>
      </w:pPr>
      <w:r>
        <w:t xml:space="preserve">During 2015 I conducted a national examination into the impact of family and domestic violence on children. This included a literature review, written submissions, </w:t>
      </w:r>
      <w:r>
        <w:lastRenderedPageBreak/>
        <w:t>roundtables, a webinar, data analysis, and engagement with children and young people through supported processes.</w:t>
      </w:r>
    </w:p>
    <w:tbl>
      <w:tblPr>
        <w:tblStyle w:val="TableGrid"/>
        <w:tblW w:w="0" w:type="auto"/>
        <w:shd w:val="clear" w:color="auto" w:fill="000000" w:themeFill="text1"/>
        <w:tblLook w:val="04A0" w:firstRow="1" w:lastRow="0" w:firstColumn="1" w:lastColumn="0" w:noHBand="0" w:noVBand="1"/>
      </w:tblPr>
      <w:tblGrid>
        <w:gridCol w:w="9060"/>
      </w:tblGrid>
      <w:tr w:rsidR="000D1D92" w:rsidRPr="007407A6" w14:paraId="4FC6C2C8" w14:textId="77777777" w:rsidTr="00684616">
        <w:trPr>
          <w:trHeight w:val="581"/>
        </w:trPr>
        <w:tc>
          <w:tcPr>
            <w:tcW w:w="9060" w:type="dxa"/>
            <w:shd w:val="clear" w:color="auto" w:fill="F2F2F2" w:themeFill="background1" w:themeFillShade="F2"/>
            <w:vAlign w:val="center"/>
          </w:tcPr>
          <w:p w14:paraId="36B819E9" w14:textId="77777777" w:rsidR="000D1D92" w:rsidRPr="007407A6" w:rsidRDefault="000D1D92" w:rsidP="00684616">
            <w:pPr>
              <w:spacing w:before="0" w:after="0"/>
              <w:rPr>
                <w:b/>
              </w:rPr>
            </w:pPr>
            <w:r>
              <w:rPr>
                <w:b/>
              </w:rPr>
              <w:t>Consultation overview</w:t>
            </w:r>
          </w:p>
        </w:tc>
      </w:tr>
      <w:tr w:rsidR="000D1D92" w14:paraId="5D6C0C05" w14:textId="77777777" w:rsidTr="00684616">
        <w:trPr>
          <w:trHeight w:val="1823"/>
        </w:trPr>
        <w:tc>
          <w:tcPr>
            <w:tcW w:w="9060" w:type="dxa"/>
            <w:shd w:val="clear" w:color="auto" w:fill="F2F2F2" w:themeFill="background1" w:themeFillShade="F2"/>
            <w:vAlign w:val="center"/>
          </w:tcPr>
          <w:p w14:paraId="172B42E8" w14:textId="77777777" w:rsidR="000D1D92" w:rsidRDefault="000D1D92" w:rsidP="000D1D92">
            <w:pPr>
              <w:pStyle w:val="ListParagraph"/>
              <w:numPr>
                <w:ilvl w:val="0"/>
                <w:numId w:val="88"/>
              </w:numPr>
              <w:spacing w:before="0" w:after="0"/>
              <w:jc w:val="both"/>
            </w:pPr>
            <w:r>
              <w:t>62 written submissions were received from individuals, government, private, and non-government organisations (see Appendix 5).</w:t>
            </w:r>
          </w:p>
          <w:p w14:paraId="71B2865C" w14:textId="77777777" w:rsidR="000D1D92" w:rsidRDefault="000D1D92" w:rsidP="000D1D92">
            <w:pPr>
              <w:pStyle w:val="ListParagraph"/>
              <w:numPr>
                <w:ilvl w:val="0"/>
                <w:numId w:val="88"/>
              </w:numPr>
              <w:spacing w:before="0" w:after="0"/>
              <w:jc w:val="both"/>
            </w:pPr>
            <w:r>
              <w:t>Eight roundtables were held with 147 people invited (see Appendix 6).</w:t>
            </w:r>
          </w:p>
          <w:p w14:paraId="68D96D95" w14:textId="77777777" w:rsidR="000D1D92" w:rsidRDefault="000D1D92" w:rsidP="000D1D92">
            <w:pPr>
              <w:pStyle w:val="ListParagraph"/>
              <w:numPr>
                <w:ilvl w:val="0"/>
                <w:numId w:val="88"/>
              </w:numPr>
              <w:spacing w:before="0" w:after="0"/>
              <w:jc w:val="both"/>
            </w:pPr>
            <w:r>
              <w:t>One webinar was hosted by 1800RESPECT with 153 participants.</w:t>
            </w:r>
          </w:p>
          <w:p w14:paraId="784DD833" w14:textId="77777777" w:rsidR="000D1D92" w:rsidRDefault="000D1D92" w:rsidP="000D1D92">
            <w:pPr>
              <w:pStyle w:val="ListParagraph"/>
              <w:numPr>
                <w:ilvl w:val="0"/>
                <w:numId w:val="88"/>
              </w:numPr>
              <w:spacing w:before="0" w:after="0"/>
              <w:jc w:val="both"/>
            </w:pPr>
            <w:r>
              <w:t>Seven individual consultations were held (see Appendix 7).</w:t>
            </w:r>
          </w:p>
        </w:tc>
      </w:tr>
    </w:tbl>
    <w:p w14:paraId="15160073" w14:textId="77777777" w:rsidR="000D1D92" w:rsidRPr="00A74E5E" w:rsidRDefault="000D1D92" w:rsidP="000D1D92">
      <w:pPr>
        <w:pStyle w:val="Heading3"/>
        <w:jc w:val="both"/>
      </w:pPr>
      <w:bookmarkStart w:id="171" w:name="_Toc430702110"/>
      <w:bookmarkStart w:id="172" w:name="_Toc432061265"/>
      <w:bookmarkStart w:id="173" w:name="_Toc400449918"/>
      <w:r>
        <w:t>W</w:t>
      </w:r>
      <w:r w:rsidRPr="00A74E5E">
        <w:t>ritten submissions</w:t>
      </w:r>
      <w:bookmarkEnd w:id="171"/>
      <w:bookmarkEnd w:id="172"/>
    </w:p>
    <w:p w14:paraId="081BED15" w14:textId="77777777" w:rsidR="000D1D92" w:rsidRDefault="000D1D92" w:rsidP="000D1D92">
      <w:pPr>
        <w:jc w:val="both"/>
      </w:pPr>
      <w:r>
        <w:t xml:space="preserve">I asked for written submissions from individual experts, government, private and non-government organisations on key issues. </w:t>
      </w:r>
    </w:p>
    <w:p w14:paraId="32630609" w14:textId="77777777" w:rsidR="000D1D92" w:rsidRDefault="000D1D92" w:rsidP="000D1D92">
      <w:pPr>
        <w:jc w:val="both"/>
      </w:pPr>
      <w:r>
        <w:t xml:space="preserve">When hearing about my examination, a number of organisations and individuals approached me about making submissions. These were all accepted. </w:t>
      </w:r>
    </w:p>
    <w:p w14:paraId="1BEB6515" w14:textId="77777777" w:rsidR="000D1D92" w:rsidRDefault="000D1D92" w:rsidP="000D1D92">
      <w:pPr>
        <w:jc w:val="both"/>
      </w:pPr>
      <w:r>
        <w:rPr>
          <w:rFonts w:cs="Arial"/>
        </w:rPr>
        <w:t xml:space="preserve">I used the results from the 2013 work undertaken by ABS, which aligned and distilled over 100 research and policy questions about family and domestic violence, as a foundation to identify </w:t>
      </w:r>
      <w:r w:rsidRPr="00D33642">
        <w:rPr>
          <w:rFonts w:cs="Arial"/>
          <w:b/>
        </w:rPr>
        <w:t>key areas of interest relating to how children are affected by family and domestic violence</w:t>
      </w:r>
      <w:r>
        <w:rPr>
          <w:rFonts w:cs="Arial"/>
        </w:rPr>
        <w:t>.</w:t>
      </w:r>
      <w:r>
        <w:rPr>
          <w:rStyle w:val="EndnoteReference"/>
          <w:rFonts w:cs="Arial"/>
        </w:rPr>
        <w:endnoteReference w:id="469"/>
      </w:r>
      <w:r>
        <w:t xml:space="preserve"> </w:t>
      </w:r>
    </w:p>
    <w:p w14:paraId="309199FE" w14:textId="77777777" w:rsidR="000D1D92" w:rsidRDefault="000D1D92" w:rsidP="000D1D92">
      <w:pPr>
        <w:jc w:val="both"/>
      </w:pPr>
      <w:r>
        <w:t xml:space="preserve">ABS completed this work as an initiative under the National Plan. I used it to guide the nature of submissions, and discussions at my roundtables and the webinar. </w:t>
      </w:r>
      <w:r w:rsidRPr="002A70CB">
        <w:rPr>
          <w:b/>
        </w:rPr>
        <w:t>The</w:t>
      </w:r>
      <w:r>
        <w:rPr>
          <w:b/>
        </w:rPr>
        <w:t>se</w:t>
      </w:r>
      <w:r w:rsidRPr="002A70CB">
        <w:rPr>
          <w:b/>
        </w:rPr>
        <w:t xml:space="preserve"> k</w:t>
      </w:r>
      <w:r w:rsidRPr="00D33642">
        <w:rPr>
          <w:b/>
        </w:rPr>
        <w:t>ey areas of interest</w:t>
      </w:r>
      <w:r>
        <w:t xml:space="preserve"> were: </w:t>
      </w:r>
    </w:p>
    <w:p w14:paraId="5CCD6410" w14:textId="77777777" w:rsidR="000D1D92" w:rsidRDefault="000D1D92" w:rsidP="000D1D92">
      <w:pPr>
        <w:pStyle w:val="ListParagraph"/>
        <w:numPr>
          <w:ilvl w:val="0"/>
          <w:numId w:val="28"/>
        </w:numPr>
        <w:jc w:val="both"/>
      </w:pPr>
      <w:r>
        <w:t>What are the definitional issues in relation to family and domestic violence affecting children?</w:t>
      </w:r>
    </w:p>
    <w:p w14:paraId="4E849BE5" w14:textId="77777777" w:rsidR="000D1D92" w:rsidRDefault="000D1D92" w:rsidP="000D1D92">
      <w:pPr>
        <w:pStyle w:val="ListParagraph"/>
        <w:numPr>
          <w:ilvl w:val="0"/>
          <w:numId w:val="28"/>
        </w:numPr>
        <w:jc w:val="both"/>
      </w:pPr>
      <w:r>
        <w:t>What do we know about the prevalence and incidence of family and domestic violence affecting children, including who is involved in family and domestic violence events?</w:t>
      </w:r>
    </w:p>
    <w:p w14:paraId="505D711D" w14:textId="77777777" w:rsidR="000D1D92" w:rsidRDefault="000D1D92" w:rsidP="000D1D92">
      <w:pPr>
        <w:pStyle w:val="ListParagraph"/>
        <w:numPr>
          <w:ilvl w:val="0"/>
          <w:numId w:val="28"/>
        </w:numPr>
        <w:jc w:val="both"/>
      </w:pPr>
      <w:r>
        <w:t>What are the impacts on children of family and domestic violence?</w:t>
      </w:r>
    </w:p>
    <w:p w14:paraId="2BC945F8" w14:textId="77777777" w:rsidR="000D1D92" w:rsidRDefault="000D1D92" w:rsidP="000D1D92">
      <w:pPr>
        <w:pStyle w:val="ListParagraph"/>
        <w:numPr>
          <w:ilvl w:val="0"/>
          <w:numId w:val="28"/>
        </w:numPr>
        <w:jc w:val="both"/>
      </w:pPr>
      <w:r>
        <w:t>What are the outcomes for children engaging with services, programs and support?</w:t>
      </w:r>
    </w:p>
    <w:p w14:paraId="638E0C2A" w14:textId="77777777" w:rsidR="000D1D92" w:rsidRDefault="000D1D92" w:rsidP="000D1D92">
      <w:pPr>
        <w:pStyle w:val="ListParagraph"/>
        <w:numPr>
          <w:ilvl w:val="0"/>
          <w:numId w:val="28"/>
        </w:numPr>
        <w:jc w:val="both"/>
      </w:pPr>
      <w:r>
        <w:t>What are the outcomes for children of public policy approaches and educational campaigns targeting family and domestic violence?</w:t>
      </w:r>
    </w:p>
    <w:p w14:paraId="5B7595A0" w14:textId="77777777" w:rsidR="000D1D92" w:rsidRDefault="000D1D92" w:rsidP="000D1D92">
      <w:pPr>
        <w:pStyle w:val="ListParagraph"/>
        <w:numPr>
          <w:ilvl w:val="0"/>
          <w:numId w:val="28"/>
        </w:numPr>
        <w:jc w:val="both"/>
      </w:pPr>
      <w:r>
        <w:t>What are the surveillance and data gaps/needs in relation to children affected by family and domestic violence?</w:t>
      </w:r>
    </w:p>
    <w:p w14:paraId="48FA0A52" w14:textId="77777777" w:rsidR="000D1D92" w:rsidRDefault="000D1D92" w:rsidP="000D1D92">
      <w:pPr>
        <w:jc w:val="both"/>
      </w:pPr>
      <w:r>
        <w:t xml:space="preserve">I </w:t>
      </w:r>
      <w:r w:rsidRPr="005C10A1">
        <w:t>received 62</w:t>
      </w:r>
      <w:r>
        <w:t xml:space="preserve"> written submissions, which are listed in Appendix 5. The submissions can be viewed online at </w:t>
      </w:r>
      <w:r w:rsidRPr="00110A9B">
        <w:t>https://www.humanrights.gov.au/publications/childrens-rights-report-2015.</w:t>
      </w:r>
      <w:r>
        <w:t xml:space="preserve"> </w:t>
      </w:r>
    </w:p>
    <w:p w14:paraId="3B6AB48C" w14:textId="77777777" w:rsidR="000D1D92" w:rsidRPr="00A74E5E" w:rsidRDefault="000D1D92" w:rsidP="000D1D92">
      <w:pPr>
        <w:pStyle w:val="Heading3"/>
        <w:jc w:val="both"/>
      </w:pPr>
      <w:bookmarkStart w:id="174" w:name="_Toc430702111"/>
      <w:bookmarkStart w:id="175" w:name="_Toc432061266"/>
      <w:r>
        <w:t xml:space="preserve">Roundtables, </w:t>
      </w:r>
      <w:r w:rsidRPr="00A74E5E">
        <w:t>individual consultations</w:t>
      </w:r>
      <w:r>
        <w:t xml:space="preserve"> and the 1800RESPECT webinar</w:t>
      </w:r>
      <w:bookmarkEnd w:id="174"/>
      <w:bookmarkEnd w:id="175"/>
    </w:p>
    <w:p w14:paraId="079D20A6" w14:textId="77777777" w:rsidR="000D1D92" w:rsidRDefault="000D1D92" w:rsidP="000D1D92">
      <w:pPr>
        <w:jc w:val="both"/>
      </w:pPr>
      <w:r>
        <w:t xml:space="preserve">During 2015 eight </w:t>
      </w:r>
      <w:r w:rsidRPr="00EE7E01">
        <w:rPr>
          <w:b/>
        </w:rPr>
        <w:t>roundtables</w:t>
      </w:r>
      <w:r w:rsidRPr="00B41021">
        <w:t xml:space="preserve"> </w:t>
      </w:r>
      <w:r>
        <w:t>were held with experts</w:t>
      </w:r>
      <w:r w:rsidRPr="00B41021">
        <w:t xml:space="preserve"> </w:t>
      </w:r>
      <w:r>
        <w:t xml:space="preserve">in family and domestic violence and child development </w:t>
      </w:r>
      <w:r w:rsidRPr="00B41021">
        <w:t>in all capital cities across Australi</w:t>
      </w:r>
      <w:r>
        <w:t xml:space="preserve">a. </w:t>
      </w:r>
    </w:p>
    <w:p w14:paraId="31FA4637" w14:textId="77777777" w:rsidR="000D1D92" w:rsidRDefault="000D1D92" w:rsidP="000D1D92">
      <w:pPr>
        <w:jc w:val="both"/>
      </w:pPr>
      <w:r>
        <w:lastRenderedPageBreak/>
        <w:t xml:space="preserve">The Perth roundtable focused specifically on Aboriginal and Torres Strait Islander children. The Aboriginal and Torres Strait Islander Social Justice Commissioner, Mr Mick Gooda, co-chaired this roundtable. </w:t>
      </w:r>
    </w:p>
    <w:p w14:paraId="69647183" w14:textId="77777777" w:rsidR="000D1D92" w:rsidRDefault="000D1D92" w:rsidP="000D1D92">
      <w:pPr>
        <w:jc w:val="both"/>
      </w:pPr>
      <w:r>
        <w:t xml:space="preserve">In order to stimulate discussion, up to two experts presented at each roundtable. Appendix 6 includes a list of the expert presenters and participants who attended the national roundtables. </w:t>
      </w:r>
    </w:p>
    <w:p w14:paraId="4D639E02" w14:textId="77777777" w:rsidR="000D1D92" w:rsidRPr="008D404D" w:rsidRDefault="000D1D92" w:rsidP="000D1D92">
      <w:pPr>
        <w:jc w:val="both"/>
      </w:pPr>
      <w:r>
        <w:t>Seven</w:t>
      </w:r>
      <w:r w:rsidRPr="005C10A1">
        <w:t xml:space="preserve"> consultations</w:t>
      </w:r>
      <w:r w:rsidRPr="008D404D">
        <w:t xml:space="preserve"> with </w:t>
      </w:r>
      <w:r w:rsidRPr="00EE7E01">
        <w:rPr>
          <w:b/>
        </w:rPr>
        <w:t>individuals</w:t>
      </w:r>
      <w:r>
        <w:t xml:space="preserve">, including with 2015 Australian of the Year, Rosie Batty, were held. </w:t>
      </w:r>
      <w:r w:rsidRPr="008D404D">
        <w:t xml:space="preserve">These are included in Appendix </w:t>
      </w:r>
      <w:r>
        <w:t>7</w:t>
      </w:r>
      <w:r w:rsidRPr="008D404D">
        <w:t>.</w:t>
      </w:r>
    </w:p>
    <w:p w14:paraId="01B19064" w14:textId="77777777" w:rsidR="000D1D92" w:rsidRPr="008D404D" w:rsidRDefault="000D1D92" w:rsidP="000D1D92">
      <w:pPr>
        <w:spacing w:before="0" w:after="0"/>
        <w:jc w:val="both"/>
        <w:rPr>
          <w:rFonts w:cs="Arial"/>
        </w:rPr>
      </w:pPr>
      <w:r w:rsidRPr="008D404D">
        <w:t>Ms Kristy McKe</w:t>
      </w:r>
      <w:r>
        <w:t xml:space="preserve">llar provided </w:t>
      </w:r>
      <w:r w:rsidRPr="008D404D">
        <w:t>a personal submission</w:t>
      </w:r>
      <w:r>
        <w:t xml:space="preserve"> and met with me. </w:t>
      </w:r>
      <w:r w:rsidRPr="008D404D">
        <w:t>Ms McKellar</w:t>
      </w:r>
      <w:r>
        <w:t xml:space="preserve"> courageously </w:t>
      </w:r>
      <w:r w:rsidRPr="008D404D">
        <w:t>shared</w:t>
      </w:r>
      <w:r>
        <w:t xml:space="preserve"> </w:t>
      </w:r>
      <w:r w:rsidRPr="008D404D">
        <w:t>her personal experience of family and domestic violence including how it impacted on her daughter.</w:t>
      </w:r>
    </w:p>
    <w:p w14:paraId="13FD01C1" w14:textId="77777777" w:rsidR="000D1D92" w:rsidRDefault="000D1D92" w:rsidP="000D1D92">
      <w:pPr>
        <w:jc w:val="both"/>
        <w:rPr>
          <w:rFonts w:cs="Arial"/>
        </w:rPr>
      </w:pPr>
      <w:r>
        <w:t xml:space="preserve">An </w:t>
      </w:r>
      <w:r w:rsidRPr="00EE7E01">
        <w:rPr>
          <w:b/>
        </w:rPr>
        <w:t xml:space="preserve">interactive webinar hosted by </w:t>
      </w:r>
      <w:r w:rsidRPr="00EE7E01">
        <w:rPr>
          <w:rFonts w:cs="Arial"/>
          <w:b/>
        </w:rPr>
        <w:t>1800RESPECT</w:t>
      </w:r>
      <w:r>
        <w:rPr>
          <w:rFonts w:cs="Arial"/>
        </w:rPr>
        <w:t xml:space="preserve"> was also conducted. </w:t>
      </w:r>
      <w:r w:rsidRPr="009B374D">
        <w:rPr>
          <w:rFonts w:cs="Arial"/>
        </w:rPr>
        <w:t>1800RESPECT hosts free, informative webinars for workers and professionals covering key issues on responding to sexual assault, domestic and family violence.</w:t>
      </w:r>
      <w:r>
        <w:rPr>
          <w:rFonts w:cs="Arial"/>
        </w:rPr>
        <w:t xml:space="preserve"> </w:t>
      </w:r>
    </w:p>
    <w:p w14:paraId="6C391025" w14:textId="77777777" w:rsidR="000D1D92" w:rsidRDefault="000D1D92" w:rsidP="000D1D92">
      <w:pPr>
        <w:jc w:val="both"/>
      </w:pPr>
      <w:r>
        <w:rPr>
          <w:rFonts w:cs="Arial"/>
        </w:rPr>
        <w:t>The webinar provided the</w:t>
      </w:r>
      <w:r w:rsidRPr="009B374D">
        <w:rPr>
          <w:rFonts w:cs="Arial"/>
        </w:rPr>
        <w:t xml:space="preserve"> unique opportunity </w:t>
      </w:r>
      <w:r>
        <w:rPr>
          <w:rFonts w:cs="Arial"/>
        </w:rPr>
        <w:t xml:space="preserve">for </w:t>
      </w:r>
      <w:r w:rsidRPr="00E84413">
        <w:rPr>
          <w:rFonts w:cs="Arial"/>
        </w:rPr>
        <w:t>153</w:t>
      </w:r>
      <w:r>
        <w:rPr>
          <w:rFonts w:cs="Arial"/>
        </w:rPr>
        <w:t xml:space="preserve"> workers and professionals to participate in my national consultation</w:t>
      </w:r>
      <w:r w:rsidRPr="008D5478">
        <w:t>.</w:t>
      </w:r>
      <w:r>
        <w:t xml:space="preserve"> </w:t>
      </w:r>
    </w:p>
    <w:p w14:paraId="642D53C6" w14:textId="77777777" w:rsidR="000D1D92" w:rsidRPr="004730A9" w:rsidRDefault="000D1D92" w:rsidP="000D1D92">
      <w:pPr>
        <w:pStyle w:val="Heading3"/>
        <w:jc w:val="both"/>
      </w:pPr>
      <w:bookmarkStart w:id="176" w:name="_Toc432061267"/>
      <w:bookmarkEnd w:id="173"/>
      <w:r>
        <w:t>Custom data requests from the Australian Bureau of Statistics (ABS)</w:t>
      </w:r>
      <w:bookmarkEnd w:id="176"/>
      <w:r>
        <w:t xml:space="preserve"> </w:t>
      </w:r>
    </w:p>
    <w:p w14:paraId="39F3C858" w14:textId="77777777" w:rsidR="000D1D92" w:rsidRDefault="000D1D92" w:rsidP="000D1D92">
      <w:pPr>
        <w:jc w:val="both"/>
      </w:pPr>
      <w:r w:rsidRPr="00243A50">
        <w:rPr>
          <w:b/>
        </w:rPr>
        <w:t xml:space="preserve">Appendix </w:t>
      </w:r>
      <w:r>
        <w:rPr>
          <w:b/>
        </w:rPr>
        <w:t>8</w:t>
      </w:r>
      <w:r w:rsidRPr="00243A50">
        <w:rPr>
          <w:b/>
        </w:rPr>
        <w:t xml:space="preserve"> presents the custom data based on the ABS Recorded Crime – Victims publication</w:t>
      </w:r>
      <w:r>
        <w:t xml:space="preserve">. </w:t>
      </w:r>
    </w:p>
    <w:p w14:paraId="5859A3A5" w14:textId="77777777" w:rsidR="000D1D92" w:rsidRDefault="000D1D92" w:rsidP="000D1D92">
      <w:pPr>
        <w:jc w:val="both"/>
      </w:pPr>
      <w:r>
        <w:t xml:space="preserve">This appendix presents data about </w:t>
      </w:r>
      <w:r w:rsidRPr="006F6C4D">
        <w:t>children aged 0 to 17 years who were victims of physical assault and sexual assault offences at a residential location that came to the attention of and were recorded by police during the four year period between 2010 and 2013.</w:t>
      </w:r>
    </w:p>
    <w:p w14:paraId="01E7DC51" w14:textId="77777777" w:rsidR="000D1D92" w:rsidRDefault="000D1D92" w:rsidP="000D1D92">
      <w:pPr>
        <w:jc w:val="both"/>
      </w:pPr>
      <w:r>
        <w:t>There are some important caveats to note about this data.</w:t>
      </w:r>
    </w:p>
    <w:p w14:paraId="36FBCE11" w14:textId="77777777" w:rsidR="000D1D92" w:rsidRDefault="000D1D92" w:rsidP="000D1D92">
      <w:pPr>
        <w:jc w:val="both"/>
      </w:pPr>
      <w:r>
        <w:t>The custom data about police</w:t>
      </w:r>
      <w:r w:rsidRPr="00337E2C">
        <w:t xml:space="preserve"> recorded child victims of physi</w:t>
      </w:r>
      <w:r>
        <w:t>cal assault and sexual assault</w:t>
      </w:r>
      <w:r w:rsidRPr="00337E2C">
        <w:t xml:space="preserve"> based on the ABS Recorded Crime – Victims publication does not include</w:t>
      </w:r>
      <w:r>
        <w:t xml:space="preserve"> aggregated national data about child victims of physical assault and sexual assault due to some jurisdictions not complying with the National Crime Recording Standard (NCRS)</w:t>
      </w:r>
      <w:r>
        <w:rPr>
          <w:rStyle w:val="EndnoteReference"/>
        </w:rPr>
        <w:endnoteReference w:id="470"/>
      </w:r>
      <w:r>
        <w:t xml:space="preserve"> and/or the data quality requirements for national reporting of Aboriginal and Torres Strait Islander status.</w:t>
      </w:r>
    </w:p>
    <w:p w14:paraId="751D3652" w14:textId="77777777" w:rsidR="000D1D92" w:rsidRDefault="000D1D92" w:rsidP="000D1D92">
      <w:pPr>
        <w:jc w:val="both"/>
        <w:rPr>
          <w:rFonts w:cs="Arial"/>
        </w:rPr>
      </w:pPr>
      <w:r w:rsidRPr="00337E2C">
        <w:rPr>
          <w:rFonts w:cs="Arial"/>
        </w:rPr>
        <w:t>As a result, police recorded assault data about child victims was provided to me only for those jurisdictions that are deemed to be in compliance with the national crime recording standard</w:t>
      </w:r>
      <w:r>
        <w:rPr>
          <w:rFonts w:cs="Arial"/>
        </w:rPr>
        <w:t>. T</w:t>
      </w:r>
      <w:r w:rsidRPr="00337E2C">
        <w:rPr>
          <w:rFonts w:cs="Arial"/>
        </w:rPr>
        <w:t xml:space="preserve">his currently includes New South Wales, Western Australia, South Australia, </w:t>
      </w:r>
      <w:r>
        <w:rPr>
          <w:rFonts w:cs="Arial"/>
        </w:rPr>
        <w:t>and</w:t>
      </w:r>
      <w:r w:rsidRPr="00337E2C">
        <w:rPr>
          <w:rFonts w:cs="Arial"/>
        </w:rPr>
        <w:t xml:space="preserve"> t</w:t>
      </w:r>
      <w:r>
        <w:rPr>
          <w:rFonts w:cs="Arial"/>
        </w:rPr>
        <w:t xml:space="preserve">he Australian Capital Territory. </w:t>
      </w:r>
    </w:p>
    <w:p w14:paraId="7CB9D7F4" w14:textId="77777777" w:rsidR="000D1D92" w:rsidRDefault="000D1D92" w:rsidP="000D1D92">
      <w:pPr>
        <w:jc w:val="both"/>
        <w:rPr>
          <w:rFonts w:cs="Arial"/>
        </w:rPr>
      </w:pPr>
      <w:r>
        <w:rPr>
          <w:rFonts w:cs="Arial"/>
        </w:rPr>
        <w:t>The</w:t>
      </w:r>
      <w:r w:rsidRPr="00337E2C">
        <w:rPr>
          <w:rFonts w:cs="Arial"/>
        </w:rPr>
        <w:t xml:space="preserve"> relationship of </w:t>
      </w:r>
      <w:r>
        <w:rPr>
          <w:rFonts w:cs="Arial"/>
        </w:rPr>
        <w:t>offender</w:t>
      </w:r>
      <w:r w:rsidRPr="00337E2C">
        <w:rPr>
          <w:rFonts w:cs="Arial"/>
        </w:rPr>
        <w:t xml:space="preserve"> to child victim data is not available for Western Australia, so it is not possible to provide Western Australian physical assault and sexual assault data broken down by family member </w:t>
      </w:r>
      <w:r>
        <w:rPr>
          <w:rFonts w:cs="Arial"/>
        </w:rPr>
        <w:t>offender</w:t>
      </w:r>
      <w:r w:rsidRPr="00337E2C">
        <w:rPr>
          <w:rFonts w:cs="Arial"/>
        </w:rPr>
        <w:t>.</w:t>
      </w:r>
    </w:p>
    <w:p w14:paraId="009EA8B3" w14:textId="77777777" w:rsidR="000D1D92" w:rsidRDefault="000D1D92" w:rsidP="000D1D92">
      <w:pPr>
        <w:spacing w:before="0" w:after="0"/>
        <w:jc w:val="both"/>
      </w:pPr>
      <w:r>
        <w:t xml:space="preserve">Aboriginal and Torres Strait Islander status data based on the ABS Recorded Crime – Victims publication could not be provided about child victims of physical assault in </w:t>
      </w:r>
      <w:r>
        <w:lastRenderedPageBreak/>
        <w:t>the Australian Capital Territory or child victims of sexual assault in Victoria, South Australia, Tasmania, the Northern Territory or the Australian Capital Territory.</w:t>
      </w:r>
    </w:p>
    <w:p w14:paraId="61BA94A5" w14:textId="77777777" w:rsidR="000D1D92" w:rsidRPr="00337E2C" w:rsidRDefault="000D1D92" w:rsidP="000D1D92">
      <w:pPr>
        <w:jc w:val="both"/>
        <w:rPr>
          <w:rFonts w:cs="Arial"/>
        </w:rPr>
      </w:pPr>
      <w:r w:rsidRPr="00337E2C">
        <w:rPr>
          <w:rFonts w:cs="Arial"/>
        </w:rPr>
        <w:t xml:space="preserve">The ABS recommends refraining from describing this data using the language of family and domestic violence. Whilst disaggregating this data by relationship to </w:t>
      </w:r>
      <w:r>
        <w:rPr>
          <w:rFonts w:cs="Arial"/>
        </w:rPr>
        <w:t>offender</w:t>
      </w:r>
      <w:r w:rsidRPr="00337E2C">
        <w:rPr>
          <w:rFonts w:cs="Arial"/>
        </w:rPr>
        <w:t xml:space="preserve"> and location can provide a proxy measure for family and domestic violence incidents, not all occurrences of family and domestic violence are necessarily being represented or captured in this data. </w:t>
      </w:r>
    </w:p>
    <w:p w14:paraId="4DE571EE" w14:textId="77777777" w:rsidR="000D1D92" w:rsidRPr="00337E2C" w:rsidRDefault="000D1D92" w:rsidP="000D1D92">
      <w:pPr>
        <w:jc w:val="both"/>
        <w:rPr>
          <w:rFonts w:cs="Arial"/>
        </w:rPr>
      </w:pPr>
      <w:r w:rsidRPr="00337E2C">
        <w:rPr>
          <w:rFonts w:cs="Arial"/>
        </w:rPr>
        <w:t xml:space="preserve">Descriptions of this data should be framed in terms of child victims of physical assault and sexual assault by a family member in a home location, rather than child victims of family and domestic violence. </w:t>
      </w:r>
    </w:p>
    <w:p w14:paraId="7650A3A8" w14:textId="77777777" w:rsidR="000D1D92" w:rsidRPr="00337E2C" w:rsidRDefault="000D1D92" w:rsidP="000D1D92">
      <w:pPr>
        <w:jc w:val="both"/>
        <w:rPr>
          <w:rFonts w:cs="Arial"/>
        </w:rPr>
      </w:pPr>
      <w:r w:rsidRPr="00337E2C">
        <w:rPr>
          <w:rFonts w:cs="Arial"/>
        </w:rPr>
        <w:t>I note that the ABS is currently working with police jurisdictions to develop and incorporate a family and domestic violence indicator into its recorded crime collections, which will make it possible to more clearly identify all incidents of violence that occur in a family and domestic context</w:t>
      </w:r>
      <w:r w:rsidRPr="00337E2C">
        <w:t>.</w:t>
      </w:r>
      <w:r w:rsidRPr="00337E2C">
        <w:rPr>
          <w:rStyle w:val="EndnoteReference"/>
          <w:sz w:val="24"/>
        </w:rPr>
        <w:endnoteReference w:id="471"/>
      </w:r>
    </w:p>
    <w:p w14:paraId="0EA348F7" w14:textId="77777777" w:rsidR="000D1D92" w:rsidRDefault="000D1D92" w:rsidP="000D1D92">
      <w:pPr>
        <w:jc w:val="both"/>
      </w:pPr>
      <w:r w:rsidRPr="00243A50">
        <w:rPr>
          <w:b/>
        </w:rPr>
        <w:t xml:space="preserve">Appendix </w:t>
      </w:r>
      <w:r>
        <w:rPr>
          <w:b/>
        </w:rPr>
        <w:t>9</w:t>
      </w:r>
      <w:r w:rsidRPr="00243A50">
        <w:rPr>
          <w:b/>
        </w:rPr>
        <w:t xml:space="preserve"> presents the custom data based on the ABS 2012 Personal Safety Survey</w:t>
      </w:r>
      <w:r>
        <w:t xml:space="preserve">. </w:t>
      </w:r>
    </w:p>
    <w:p w14:paraId="2932D29F" w14:textId="77777777" w:rsidR="000D1D92" w:rsidRDefault="000D1D92" w:rsidP="000D1D92">
      <w:pPr>
        <w:jc w:val="both"/>
      </w:pPr>
      <w:r>
        <w:t>This appendix presents prevalence estimates about children’s experience of physical abuse and sexual abuse before the age of 15 in Australia. The estimates in this appendix are based on survey data collected between February and December 2012 from Australian men and women aged 18 years and over who responded to survey questions about their experience of physical abuse and sexual abuse before the age of 15.</w:t>
      </w:r>
      <w:r>
        <w:rPr>
          <w:rStyle w:val="EndnoteReference"/>
        </w:rPr>
        <w:endnoteReference w:id="472"/>
      </w:r>
      <w:r>
        <w:t xml:space="preserve"> </w:t>
      </w:r>
    </w:p>
    <w:p w14:paraId="1DC6DBA8" w14:textId="77777777" w:rsidR="000D1D92" w:rsidRDefault="000D1D92" w:rsidP="000D1D92">
      <w:pPr>
        <w:jc w:val="both"/>
      </w:pPr>
      <w:r>
        <w:t xml:space="preserve">Much of this data has not been published before and provides valuable insights. </w:t>
      </w:r>
    </w:p>
    <w:p w14:paraId="70E570DA" w14:textId="77777777" w:rsidR="000D1D92" w:rsidRDefault="000D1D92" w:rsidP="000D1D92">
      <w:pPr>
        <w:spacing w:before="0" w:after="0"/>
        <w:jc w:val="both"/>
        <w:rPr>
          <w:rFonts w:cs="Arial"/>
        </w:rPr>
      </w:pPr>
      <w:r>
        <w:rPr>
          <w:rFonts w:cs="Arial"/>
        </w:rPr>
        <w:t xml:space="preserve">I also attempted to obtain custom data about children aged 15 to17 years based on the ABS </w:t>
      </w:r>
      <w:r w:rsidRPr="00FD24B1">
        <w:rPr>
          <w:rFonts w:cs="Arial"/>
        </w:rPr>
        <w:t>Crime Victimisation Survey</w:t>
      </w:r>
      <w:r>
        <w:rPr>
          <w:rFonts w:cs="Arial"/>
        </w:rPr>
        <w:t xml:space="preserve">. The ABS advised me that the data set </w:t>
      </w:r>
      <w:r w:rsidRPr="00FD24B1">
        <w:rPr>
          <w:rFonts w:cs="Arial"/>
        </w:rPr>
        <w:t xml:space="preserve">was not robust enough for output when broken down by relationship to </w:t>
      </w:r>
      <w:r>
        <w:rPr>
          <w:rFonts w:cs="Arial"/>
        </w:rPr>
        <w:t xml:space="preserve">family </w:t>
      </w:r>
      <w:r w:rsidRPr="00FD24B1">
        <w:rPr>
          <w:rFonts w:cs="Arial"/>
        </w:rPr>
        <w:t>perpetrator and locatio</w:t>
      </w:r>
      <w:r>
        <w:rPr>
          <w:rFonts w:cs="Arial"/>
        </w:rPr>
        <w:t>n and so was not provided to me. This is a clear opportunity for data improvement which could generate information about children experiencing violence.</w:t>
      </w:r>
    </w:p>
    <w:p w14:paraId="2D275D92" w14:textId="77777777" w:rsidR="000D1D92" w:rsidRDefault="000D1D92" w:rsidP="000D1D92">
      <w:pPr>
        <w:pStyle w:val="Heading3"/>
      </w:pPr>
      <w:bookmarkStart w:id="177" w:name="_Toc432061268"/>
      <w:r>
        <w:t xml:space="preserve">Research summaries provided by the </w:t>
      </w:r>
      <w:r w:rsidRPr="005E7E49">
        <w:t>National Centre for Longitudinal Data</w:t>
      </w:r>
      <w:bookmarkEnd w:id="177"/>
    </w:p>
    <w:p w14:paraId="5A3D85FA" w14:textId="77777777" w:rsidR="000D1D92" w:rsidRDefault="000D1D92" w:rsidP="000D1D92">
      <w:pPr>
        <w:jc w:val="both"/>
        <w:rPr>
          <w:lang w:val="en-US"/>
        </w:rPr>
      </w:pPr>
      <w:r w:rsidRPr="00E509EE">
        <w:t>B</w:t>
      </w:r>
      <w:r>
        <w:t>ot</w:t>
      </w:r>
      <w:r w:rsidRPr="00E509EE">
        <w:t xml:space="preserve">h </w:t>
      </w:r>
      <w:r w:rsidRPr="00E509EE">
        <w:rPr>
          <w:i/>
          <w:iCs/>
          <w:lang w:val="en-US"/>
        </w:rPr>
        <w:t>Growing Up in Australia:</w:t>
      </w:r>
      <w:r w:rsidRPr="00E509EE">
        <w:rPr>
          <w:lang w:val="en-US"/>
        </w:rPr>
        <w:t xml:space="preserve"> </w:t>
      </w:r>
      <w:r w:rsidRPr="00E509EE">
        <w:rPr>
          <w:i/>
          <w:lang w:val="en-US"/>
        </w:rPr>
        <w:t>The Longitudinal Study of Australian Children</w:t>
      </w:r>
      <w:r w:rsidRPr="00E509EE">
        <w:rPr>
          <w:lang w:val="en-US"/>
        </w:rPr>
        <w:t xml:space="preserve"> (LSAC) and </w:t>
      </w:r>
      <w:r w:rsidRPr="00E509EE">
        <w:rPr>
          <w:i/>
          <w:iCs/>
          <w:lang w:val="en-US"/>
        </w:rPr>
        <w:t>Footprints in Time</w:t>
      </w:r>
      <w:r w:rsidRPr="00E509EE">
        <w:rPr>
          <w:iCs/>
          <w:lang w:val="en-US"/>
        </w:rPr>
        <w:t>:</w:t>
      </w:r>
      <w:r w:rsidRPr="00E509EE">
        <w:rPr>
          <w:lang w:val="en-US"/>
        </w:rPr>
        <w:t xml:space="preserve"> </w:t>
      </w:r>
      <w:r w:rsidRPr="00E509EE">
        <w:rPr>
          <w:i/>
          <w:lang w:val="en-US"/>
        </w:rPr>
        <w:t>The Longitudinal Study of Indigenous Children</w:t>
      </w:r>
      <w:r w:rsidRPr="00E509EE">
        <w:rPr>
          <w:lang w:val="en-US"/>
        </w:rPr>
        <w:t xml:space="preserve"> (LSIC) include items (over the waves of each study) that relate to family and domestic violence.</w:t>
      </w:r>
      <w:r>
        <w:rPr>
          <w:lang w:val="en-US"/>
        </w:rPr>
        <w:t xml:space="preserve"> </w:t>
      </w:r>
    </w:p>
    <w:p w14:paraId="05499CCB" w14:textId="77777777" w:rsidR="000D1D92" w:rsidRDefault="000D1D92" w:rsidP="000D1D92">
      <w:pPr>
        <w:jc w:val="both"/>
        <w:rPr>
          <w:lang w:val="en-US"/>
        </w:rPr>
      </w:pPr>
      <w:r>
        <w:rPr>
          <w:lang w:val="en-US"/>
        </w:rPr>
        <w:t>Information captured by LSAC and LSIC about children’s experiences of violence in the home was not made available to me.</w:t>
      </w:r>
    </w:p>
    <w:p w14:paraId="7410CA78" w14:textId="77777777" w:rsidR="000D1D92" w:rsidRDefault="000D1D92" w:rsidP="000D1D92">
      <w:pPr>
        <w:jc w:val="both"/>
        <w:rPr>
          <w:lang w:val="en-US"/>
        </w:rPr>
      </w:pPr>
      <w:r>
        <w:rPr>
          <w:lang w:val="en-US"/>
        </w:rPr>
        <w:t xml:space="preserve">The National Centre for Longitudinal Data provided research summaries on partner violence for my statutory report. </w:t>
      </w:r>
    </w:p>
    <w:p w14:paraId="43345CAC" w14:textId="77777777" w:rsidR="000D1D92" w:rsidRPr="0045590A" w:rsidRDefault="000D1D92" w:rsidP="000D1D92">
      <w:pPr>
        <w:jc w:val="both"/>
        <w:rPr>
          <w:lang w:val="en-US"/>
        </w:rPr>
      </w:pPr>
      <w:r w:rsidRPr="0045590A">
        <w:rPr>
          <w:lang w:val="en-US"/>
        </w:rPr>
        <w:t xml:space="preserve">Results of the LSAC </w:t>
      </w:r>
      <w:r>
        <w:rPr>
          <w:lang w:val="en-US"/>
        </w:rPr>
        <w:t xml:space="preserve">and LSIC </w:t>
      </w:r>
      <w:r w:rsidRPr="0045590A">
        <w:rPr>
          <w:lang w:val="en-US"/>
        </w:rPr>
        <w:t>research summar</w:t>
      </w:r>
      <w:r>
        <w:rPr>
          <w:lang w:val="en-US"/>
        </w:rPr>
        <w:t xml:space="preserve">ies </w:t>
      </w:r>
      <w:r w:rsidRPr="0045590A">
        <w:rPr>
          <w:lang w:val="en-US"/>
        </w:rPr>
        <w:t xml:space="preserve">are provided in </w:t>
      </w:r>
      <w:r w:rsidRPr="00C32AB7">
        <w:rPr>
          <w:b/>
          <w:lang w:val="en-US"/>
        </w:rPr>
        <w:t>Appendix 10</w:t>
      </w:r>
      <w:r>
        <w:rPr>
          <w:lang w:val="en-US"/>
        </w:rPr>
        <w:t>.</w:t>
      </w:r>
    </w:p>
    <w:p w14:paraId="4AD40EB9" w14:textId="77777777" w:rsidR="000D1D92" w:rsidRPr="005E7E49" w:rsidRDefault="000D1D92" w:rsidP="000D1D92">
      <w:pPr>
        <w:pStyle w:val="Heading3"/>
        <w:jc w:val="both"/>
      </w:pPr>
      <w:bookmarkStart w:id="178" w:name="_Toc432061269"/>
      <w:r>
        <w:lastRenderedPageBreak/>
        <w:t>Accessing children’s experiences through BoysTown and Kids Helpline</w:t>
      </w:r>
      <w:bookmarkEnd w:id="178"/>
    </w:p>
    <w:p w14:paraId="444599B0" w14:textId="77777777" w:rsidR="000D1D92" w:rsidRDefault="000D1D92" w:rsidP="000D1D92">
      <w:pPr>
        <w:autoSpaceDE w:val="0"/>
        <w:autoSpaceDN w:val="0"/>
        <w:adjustRightInd w:val="0"/>
        <w:spacing w:before="0" w:after="0"/>
        <w:jc w:val="both"/>
        <w:rPr>
          <w:rFonts w:cs="Arial"/>
        </w:rPr>
      </w:pPr>
      <w:r w:rsidRPr="000E510E">
        <w:rPr>
          <w:rFonts w:cs="Arial"/>
        </w:rPr>
        <w:t>Hearing directly from children about their experiences is critical to my work.</w:t>
      </w:r>
      <w:r>
        <w:rPr>
          <w:rFonts w:cs="Arial"/>
        </w:rPr>
        <w:t xml:space="preserve"> However in terms of family and domestic violence, this presents two main dilemmas:</w:t>
      </w:r>
    </w:p>
    <w:p w14:paraId="3D25BD8B" w14:textId="77777777" w:rsidR="000D1D92" w:rsidRDefault="000D1D92" w:rsidP="000D1D92">
      <w:pPr>
        <w:autoSpaceDE w:val="0"/>
        <w:autoSpaceDN w:val="0"/>
        <w:adjustRightInd w:val="0"/>
        <w:spacing w:before="0" w:after="0"/>
        <w:jc w:val="both"/>
        <w:rPr>
          <w:rFonts w:cs="Arial"/>
        </w:rPr>
      </w:pPr>
    </w:p>
    <w:p w14:paraId="6BE557B5" w14:textId="77777777" w:rsidR="000D1D92" w:rsidRPr="0045590A" w:rsidRDefault="000D1D92" w:rsidP="000D1D92">
      <w:pPr>
        <w:autoSpaceDE w:val="0"/>
        <w:autoSpaceDN w:val="0"/>
        <w:adjustRightInd w:val="0"/>
        <w:spacing w:before="0" w:after="0"/>
        <w:ind w:left="720"/>
        <w:jc w:val="both"/>
        <w:rPr>
          <w:rFonts w:cs="Arial"/>
          <w:sz w:val="22"/>
          <w:szCs w:val="22"/>
        </w:rPr>
      </w:pPr>
      <w:r w:rsidRPr="0045590A">
        <w:rPr>
          <w:rFonts w:cs="Arial"/>
          <w:sz w:val="22"/>
          <w:szCs w:val="22"/>
        </w:rPr>
        <w:t>The dilemma of how to include children and young people’s perceptions of the effects of domestic violence, whilst respecting parents’ rights to consent to their children’s involvement in research. Further to this is the dilemma of asking children about their experiences of domestic violence and then not necessarily being able to provide immediate access to appropriate counselling and support.</w:t>
      </w:r>
      <w:r w:rsidRPr="0045590A">
        <w:rPr>
          <w:rStyle w:val="EndnoteReference"/>
          <w:rFonts w:cs="Arial"/>
          <w:sz w:val="22"/>
          <w:szCs w:val="22"/>
        </w:rPr>
        <w:endnoteReference w:id="473"/>
      </w:r>
    </w:p>
    <w:p w14:paraId="5862AF44" w14:textId="77777777" w:rsidR="000D1D92" w:rsidRDefault="000D1D92" w:rsidP="000D1D92">
      <w:pPr>
        <w:autoSpaceDE w:val="0"/>
        <w:autoSpaceDN w:val="0"/>
        <w:adjustRightInd w:val="0"/>
        <w:spacing w:before="0" w:after="0"/>
        <w:jc w:val="both"/>
        <w:rPr>
          <w:rFonts w:cs="Arial"/>
        </w:rPr>
      </w:pPr>
    </w:p>
    <w:p w14:paraId="5CEAAEED" w14:textId="77777777" w:rsidR="000D1D92" w:rsidRPr="000E510E" w:rsidRDefault="000D1D92" w:rsidP="000D1D92">
      <w:pPr>
        <w:autoSpaceDE w:val="0"/>
        <w:autoSpaceDN w:val="0"/>
        <w:adjustRightInd w:val="0"/>
        <w:spacing w:before="0" w:after="0"/>
        <w:jc w:val="both"/>
        <w:rPr>
          <w:rFonts w:cs="Arial"/>
        </w:rPr>
      </w:pPr>
      <w:r w:rsidRPr="000E510E">
        <w:rPr>
          <w:rFonts w:cs="Arial"/>
        </w:rPr>
        <w:t>In the case of this work, I wanted to hear from children in a way that was safe and supportive. I did not want to place those living in violent households at further risk of harm</w:t>
      </w:r>
      <w:r>
        <w:rPr>
          <w:rFonts w:cs="Arial"/>
        </w:rPr>
        <w:t xml:space="preserve"> or </w:t>
      </w:r>
      <w:r w:rsidRPr="000E510E">
        <w:rPr>
          <w:rFonts w:cs="Arial"/>
        </w:rPr>
        <w:t xml:space="preserve">risk </w:t>
      </w:r>
      <w:r>
        <w:rPr>
          <w:rFonts w:cs="Arial"/>
        </w:rPr>
        <w:t>their re-traumatisation.</w:t>
      </w:r>
    </w:p>
    <w:p w14:paraId="3245912A" w14:textId="77777777" w:rsidR="000D1D92" w:rsidRDefault="000D1D92" w:rsidP="000D1D92">
      <w:pPr>
        <w:jc w:val="both"/>
        <w:rPr>
          <w:rFonts w:cs="Arial"/>
        </w:rPr>
      </w:pPr>
      <w:r w:rsidRPr="000E510E">
        <w:rPr>
          <w:rFonts w:cs="Arial"/>
        </w:rPr>
        <w:t>Given this, I accessed the voices and stories of children through</w:t>
      </w:r>
      <w:r>
        <w:rPr>
          <w:rFonts w:cs="Arial"/>
        </w:rPr>
        <w:t xml:space="preserve"> BoysTown and the Kids Helpline. T</w:t>
      </w:r>
      <w:r w:rsidRPr="000E510E">
        <w:rPr>
          <w:rFonts w:cs="Arial"/>
        </w:rPr>
        <w:t>his was the safest, most confidential and sensitive way of hearing from them.</w:t>
      </w:r>
    </w:p>
    <w:p w14:paraId="31DED4A5" w14:textId="77777777" w:rsidR="000D1D92" w:rsidRDefault="000D1D92" w:rsidP="000D1D92">
      <w:pPr>
        <w:jc w:val="both"/>
      </w:pPr>
      <w:r w:rsidRPr="00DC2789">
        <w:rPr>
          <w:b/>
        </w:rPr>
        <w:t>BoysTown invited me to visit its safe house</w:t>
      </w:r>
      <w:r>
        <w:t>. This provided me with the opportunity to meet with their clients and speak directly with professional staff about the programs that they provide and to hear about the resourcing challenges that they face. While at the safe house, with the consent of the mothers and their children, I joined an informal play session. I thank all those involved for the privilege of this opportunity.</w:t>
      </w:r>
    </w:p>
    <w:p w14:paraId="4C90965B" w14:textId="77777777" w:rsidR="000D1D92" w:rsidRDefault="000D1D92" w:rsidP="000D1D92">
      <w:pPr>
        <w:jc w:val="both"/>
        <w:rPr>
          <w:rFonts w:cs="Arial"/>
          <w:b/>
        </w:rPr>
      </w:pPr>
      <w:r>
        <w:rPr>
          <w:rFonts w:cs="Arial"/>
        </w:rPr>
        <w:t xml:space="preserve">The </w:t>
      </w:r>
      <w:r w:rsidRPr="00A72DDA">
        <w:rPr>
          <w:rFonts w:cs="Arial"/>
        </w:rPr>
        <w:t>Kids Helpline is Australia’s only national 24/7</w:t>
      </w:r>
      <w:r>
        <w:rPr>
          <w:rFonts w:cs="Arial"/>
        </w:rPr>
        <w:t xml:space="preserve">, </w:t>
      </w:r>
      <w:r w:rsidRPr="00A72DDA">
        <w:rPr>
          <w:rFonts w:cs="Arial"/>
        </w:rPr>
        <w:t>confidential support and counselling service specifically for children and young peopl</w:t>
      </w:r>
      <w:r>
        <w:rPr>
          <w:rFonts w:cs="Arial"/>
        </w:rPr>
        <w:t xml:space="preserve">e aged 5 to </w:t>
      </w:r>
      <w:r w:rsidRPr="00A72DDA">
        <w:rPr>
          <w:rFonts w:cs="Arial"/>
        </w:rPr>
        <w:t xml:space="preserve">25 years. It offers counselling support via </w:t>
      </w:r>
      <w:r>
        <w:rPr>
          <w:rFonts w:cs="Arial"/>
        </w:rPr>
        <w:t>phone</w:t>
      </w:r>
      <w:r w:rsidRPr="00A72DDA">
        <w:rPr>
          <w:rFonts w:cs="Arial"/>
        </w:rPr>
        <w:t>, email and a real-time web platform.</w:t>
      </w:r>
      <w:r w:rsidRPr="00A72DDA">
        <w:rPr>
          <w:rFonts w:cs="Arial"/>
          <w:b/>
        </w:rPr>
        <w:t xml:space="preserve"> </w:t>
      </w:r>
    </w:p>
    <w:p w14:paraId="61E507C9" w14:textId="77777777" w:rsidR="000D1D92" w:rsidRDefault="000D1D92" w:rsidP="000D1D92">
      <w:pPr>
        <w:jc w:val="both"/>
      </w:pPr>
      <w:r w:rsidRPr="00DC2789">
        <w:rPr>
          <w:rFonts w:cs="Arial"/>
          <w:b/>
        </w:rPr>
        <w:t xml:space="preserve">The Kids Helpline </w:t>
      </w:r>
      <w:r w:rsidRPr="00DC2789">
        <w:rPr>
          <w:b/>
        </w:rPr>
        <w:t>supplied me with a detailed report of contacts received from c</w:t>
      </w:r>
      <w:r>
        <w:rPr>
          <w:b/>
        </w:rPr>
        <w:t xml:space="preserve">hildren and young people aged 5 to </w:t>
      </w:r>
      <w:r w:rsidRPr="00DC2789">
        <w:rPr>
          <w:b/>
        </w:rPr>
        <w:t>17 years</w:t>
      </w:r>
      <w:r>
        <w:t xml:space="preserve"> between January 2012 and December 2014, who</w:t>
      </w:r>
      <w:r w:rsidRPr="00FC0421">
        <w:t xml:space="preserve"> directly </w:t>
      </w:r>
      <w:r>
        <w:t xml:space="preserve">raised family or domestic violence as their main concern or as their second significant concern. </w:t>
      </w:r>
    </w:p>
    <w:p w14:paraId="2A6884FC" w14:textId="77777777" w:rsidR="000D1D92" w:rsidRDefault="000D1D92" w:rsidP="000D1D92">
      <w:pPr>
        <w:jc w:val="both"/>
      </w:pPr>
      <w:r>
        <w:t>A total of 120,408 contacts were received from children and young people aged 5 to</w:t>
      </w:r>
      <w:r w:rsidRPr="00FC0421">
        <w:t>17 years</w:t>
      </w:r>
      <w:r>
        <w:t>, of these 603 (0.5%) raised family and domestic violence as their main concern and a further 396 (0.3%) raised it as their second significant concern. I</w:t>
      </w:r>
      <w:r w:rsidRPr="006F6C80">
        <w:t xml:space="preserve">n 62% of contacts </w:t>
      </w:r>
      <w:r>
        <w:t xml:space="preserve">where family and domestic violence was </w:t>
      </w:r>
      <w:r w:rsidRPr="006F6C80">
        <w:t>raised as the main concern, no s</w:t>
      </w:r>
      <w:r>
        <w:t>econdary concern was recorded.</w:t>
      </w:r>
      <w:r>
        <w:rPr>
          <w:rStyle w:val="EndnoteReference"/>
        </w:rPr>
        <w:endnoteReference w:id="474"/>
      </w:r>
    </w:p>
    <w:p w14:paraId="06C27EA8" w14:textId="77777777" w:rsidR="000D1D92" w:rsidRDefault="000D1D92" w:rsidP="000D1D92">
      <w:pPr>
        <w:jc w:val="both"/>
      </w:pPr>
      <w:r>
        <w:t>These figures are based on the number of contacts and not individuals.</w:t>
      </w:r>
      <w:r>
        <w:rPr>
          <w:rStyle w:val="EndnoteReference"/>
        </w:rPr>
        <w:endnoteReference w:id="475"/>
      </w:r>
      <w:r>
        <w:t xml:space="preserve">  Between January 2012 and December 2014, there were </w:t>
      </w:r>
      <w:r>
        <w:rPr>
          <w:szCs w:val="20"/>
        </w:rPr>
        <w:t>999 contacts where family and domestic violence was raised as either the main or secondary concern.</w:t>
      </w:r>
      <w:r>
        <w:rPr>
          <w:rStyle w:val="EndnoteReference"/>
          <w:szCs w:val="20"/>
        </w:rPr>
        <w:endnoteReference w:id="476"/>
      </w:r>
    </w:p>
    <w:p w14:paraId="6E81B4F7" w14:textId="77777777" w:rsidR="000D1D92" w:rsidRDefault="000D1D92" w:rsidP="000D1D92">
      <w:pPr>
        <w:jc w:val="both"/>
        <w:rPr>
          <w:szCs w:val="20"/>
        </w:rPr>
      </w:pPr>
      <w:r>
        <w:rPr>
          <w:szCs w:val="20"/>
        </w:rPr>
        <w:t>Less than 1% of all contacts with the Kids Helpline involved concerns about family and domestic violence.</w:t>
      </w:r>
      <w:r>
        <w:rPr>
          <w:rStyle w:val="EndnoteReference"/>
          <w:szCs w:val="20"/>
        </w:rPr>
        <w:endnoteReference w:id="477"/>
      </w:r>
    </w:p>
    <w:p w14:paraId="010861F1" w14:textId="77777777" w:rsidR="000D1D92" w:rsidRDefault="000D1D92" w:rsidP="000D1D92">
      <w:pPr>
        <w:jc w:val="both"/>
        <w:rPr>
          <w:rFonts w:cs="Arial"/>
        </w:rPr>
      </w:pPr>
      <w:r>
        <w:t>The Kids Helpline data is not indicative of prevalence. It only represents those who are actively seeking help.</w:t>
      </w:r>
      <w:r w:rsidRPr="00EE7927">
        <w:t xml:space="preserve"> </w:t>
      </w:r>
      <w:r>
        <w:t>Many children and young people do not seek help. The Kids Helpline pointed out that a low number of contacts may mean that children and young people do not see the Kids Helpline as an appropriate source of help and may be seeking help elsewhere.</w:t>
      </w:r>
      <w:r w:rsidRPr="009E34DE">
        <w:rPr>
          <w:rStyle w:val="EndnoteReference"/>
          <w:rFonts w:cs="Arial"/>
        </w:rPr>
        <w:t xml:space="preserve"> </w:t>
      </w:r>
      <w:r>
        <w:rPr>
          <w:rStyle w:val="EndnoteReference"/>
          <w:rFonts w:cs="Arial"/>
        </w:rPr>
        <w:endnoteReference w:id="478"/>
      </w:r>
    </w:p>
    <w:p w14:paraId="39A217EB" w14:textId="77777777" w:rsidR="000D1D92" w:rsidRDefault="000D1D92" w:rsidP="000D1D92">
      <w:pPr>
        <w:jc w:val="both"/>
      </w:pPr>
      <w:r>
        <w:lastRenderedPageBreak/>
        <w:t>The Kids Helpline states that:</w:t>
      </w:r>
    </w:p>
    <w:p w14:paraId="1A7C6326" w14:textId="77777777" w:rsidR="000D1D92" w:rsidRPr="00CB7783" w:rsidRDefault="000D1D92" w:rsidP="000D1D92">
      <w:pPr>
        <w:ind w:left="720"/>
        <w:jc w:val="both"/>
      </w:pPr>
      <w:r>
        <w:t>These data sets are designed to give the child a voice; hence they provide a snapshot of information that children and young people chose to disclose to counsellors. The number of contacts coded as ‘exposure to family violence’ is a measure of how often young people raise this issue with the Helpline. It is not a measure of how often young people experience this issue, nor of how many young people experience this issue</w:t>
      </w:r>
      <w:r>
        <w:rPr>
          <w:rStyle w:val="EndnoteReference"/>
        </w:rPr>
        <w:endnoteReference w:id="479"/>
      </w:r>
      <w:r>
        <w:t xml:space="preserve">. </w:t>
      </w:r>
    </w:p>
    <w:p w14:paraId="30F46067" w14:textId="77777777" w:rsidR="000D1D92" w:rsidRDefault="000D1D92" w:rsidP="000D1D92">
      <w:pPr>
        <w:jc w:val="both"/>
      </w:pPr>
      <w:r>
        <w:t xml:space="preserve">Data provided in the Kids Helpline submission is based on the experiences and views of children and young people who are actively seeking help. </w:t>
      </w:r>
    </w:p>
    <w:p w14:paraId="2A2320B8" w14:textId="77777777" w:rsidR="000D1D92" w:rsidRDefault="000D1D92" w:rsidP="000D1D92">
      <w:pPr>
        <w:jc w:val="both"/>
      </w:pPr>
      <w:r w:rsidRPr="00D001EF">
        <w:rPr>
          <w:b/>
        </w:rPr>
        <w:t>Appendix 11</w:t>
      </w:r>
      <w:r w:rsidRPr="004C484E">
        <w:t xml:space="preserve"> presents the Kids Helpline data about children’s experiences of family and domestic violence.</w:t>
      </w:r>
    </w:p>
    <w:p w14:paraId="20AAE965" w14:textId="77777777" w:rsidR="000D1D92" w:rsidRDefault="000D1D92" w:rsidP="000D1D92">
      <w:pPr>
        <w:jc w:val="both"/>
      </w:pPr>
      <w:r w:rsidRPr="00F73AE5">
        <w:t xml:space="preserve">Page </w:t>
      </w:r>
      <w:r>
        <w:t>18</w:t>
      </w:r>
      <w:r w:rsidRPr="00F73AE5">
        <w:t xml:space="preserve"> contains a selection of the of the data I obtained from the ABS Recorded - Crime Victims publication, the ABS 2012 Personal Safety Survey, the National Centre for Longitudinal Data and the Kids Helpline.</w:t>
      </w:r>
    </w:p>
    <w:p w14:paraId="57C88428" w14:textId="77777777" w:rsidR="000D1D92" w:rsidRPr="004C484E" w:rsidRDefault="000D1D92" w:rsidP="000D1D92">
      <w:pPr>
        <w:jc w:val="both"/>
      </w:pPr>
    </w:p>
    <w:p w14:paraId="4282E2C6" w14:textId="77777777" w:rsidR="000D1D92" w:rsidRDefault="000D1D92" w:rsidP="000D1D92">
      <w:pPr>
        <w:jc w:val="both"/>
      </w:pPr>
    </w:p>
    <w:p w14:paraId="3242A384" w14:textId="77777777" w:rsidR="000D1D92" w:rsidRDefault="000D1D92" w:rsidP="000D1D92">
      <w:r>
        <w:br w:type="column"/>
      </w:r>
      <w:r w:rsidRPr="00B8405D">
        <w:rPr>
          <w:b/>
          <w:color w:val="FF0000"/>
        </w:rPr>
        <w:lastRenderedPageBreak/>
        <w:t>TO BE PRINTED ON ITS OWN PAGE</w:t>
      </w:r>
    </w:p>
    <w:tbl>
      <w:tblPr>
        <w:tblStyle w:val="TableGrid"/>
        <w:tblW w:w="0" w:type="auto"/>
        <w:shd w:val="clear" w:color="auto" w:fill="F2F2F2" w:themeFill="background1" w:themeFillShade="F2"/>
        <w:tblLook w:val="04A0" w:firstRow="1" w:lastRow="0" w:firstColumn="1" w:lastColumn="0" w:noHBand="0" w:noVBand="1"/>
      </w:tblPr>
      <w:tblGrid>
        <w:gridCol w:w="9286"/>
      </w:tblGrid>
      <w:tr w:rsidR="000D1D92" w14:paraId="61834787" w14:textId="77777777" w:rsidTr="00684616">
        <w:tc>
          <w:tcPr>
            <w:tcW w:w="9286" w:type="dxa"/>
            <w:shd w:val="clear" w:color="auto" w:fill="F2F2F2" w:themeFill="background1" w:themeFillShade="F2"/>
          </w:tcPr>
          <w:p w14:paraId="4187D3C6" w14:textId="77777777" w:rsidR="000D1D92" w:rsidRDefault="000D1D92" w:rsidP="00684616">
            <w:r>
              <w:t>Appendices 8 to 11 present the data I obtained from the ABS Recorded Crime – Victims publication, the ABS 2012 Personal Safety Survey, the National Centre for Longitudinal Data and the Kids Helpline. A selection of the data is presented below.</w:t>
            </w:r>
          </w:p>
          <w:p w14:paraId="12D41E16" w14:textId="77777777" w:rsidR="000D1D92" w:rsidRDefault="000D1D92" w:rsidP="00684616">
            <w:pPr>
              <w:jc w:val="both"/>
            </w:pPr>
            <w:r>
              <w:t xml:space="preserve">The data I obtained makes it clear that children’s experiences of family and domestic violence are widespread and serious. </w:t>
            </w:r>
          </w:p>
          <w:p w14:paraId="6E92EC95" w14:textId="77777777" w:rsidR="000D1D92" w:rsidRPr="00D40952" w:rsidRDefault="000D1D92" w:rsidP="00684616">
            <w:pPr>
              <w:jc w:val="both"/>
              <w:rPr>
                <w:b/>
              </w:rPr>
            </w:pPr>
            <w:r w:rsidRPr="00D40952">
              <w:rPr>
                <w:b/>
              </w:rPr>
              <w:t>ABS Recorded Crime – Victims data between 2010 and 2013 about the number of police recorded child victims of physical assault and sexual assault in a residential location aged 0 to 17 years</w:t>
            </w:r>
            <w:r w:rsidRPr="001940F4">
              <w:t>:</w:t>
            </w:r>
            <w:r w:rsidRPr="00D40952">
              <w:rPr>
                <w:rStyle w:val="EndnoteReference"/>
                <w:sz w:val="24"/>
              </w:rPr>
              <w:endnoteReference w:id="480"/>
            </w:r>
          </w:p>
          <w:p w14:paraId="158B11FC" w14:textId="77777777" w:rsidR="000D1D92" w:rsidRPr="00D40952" w:rsidRDefault="000D1D92" w:rsidP="000D1D92">
            <w:pPr>
              <w:pStyle w:val="ListParagraph"/>
              <w:numPr>
                <w:ilvl w:val="0"/>
                <w:numId w:val="89"/>
              </w:numPr>
              <w:jc w:val="both"/>
              <w:rPr>
                <w:b/>
              </w:rPr>
            </w:pPr>
            <w:r w:rsidRPr="00D40952">
              <w:t>There were 14,048 police recorded child victims of physical assault by a family member in New South Wales, South Australia, the Northern Territory and the Australian Capital Territory.</w:t>
            </w:r>
          </w:p>
          <w:p w14:paraId="133D9BC9" w14:textId="77777777" w:rsidR="000D1D92" w:rsidRPr="00D40952" w:rsidRDefault="000D1D92" w:rsidP="000D1D92">
            <w:pPr>
              <w:pStyle w:val="ListParagraph"/>
              <w:numPr>
                <w:ilvl w:val="0"/>
                <w:numId w:val="89"/>
              </w:numPr>
              <w:jc w:val="both"/>
              <w:rPr>
                <w:b/>
              </w:rPr>
            </w:pPr>
            <w:r w:rsidRPr="00D40952">
              <w:t>There were 12,073 police recorded child victims of sexual assault by a family member in New South Wales, Victoria, Queensland, South Australia, Tasmania, the Northern Territory and the Australian Capital Territory.</w:t>
            </w:r>
          </w:p>
          <w:p w14:paraId="3D8E1A14" w14:textId="77777777" w:rsidR="000D1D92" w:rsidRDefault="000D1D92" w:rsidP="00684616">
            <w:pPr>
              <w:jc w:val="both"/>
              <w:rPr>
                <w:b/>
              </w:rPr>
            </w:pPr>
            <w:r w:rsidRPr="00D40952">
              <w:rPr>
                <w:b/>
              </w:rPr>
              <w:t>ABS 2012 Personal Safety Survey estimated data about the number of adults who first experienced physical abuse and sexual abuse when they were aged 0 to 14 years</w:t>
            </w:r>
            <w:r>
              <w:t>:</w:t>
            </w:r>
            <w:r w:rsidRPr="00D40952">
              <w:rPr>
                <w:rStyle w:val="EndnoteReference"/>
                <w:sz w:val="24"/>
              </w:rPr>
              <w:endnoteReference w:id="481"/>
            </w:r>
          </w:p>
          <w:p w14:paraId="0F8B439D" w14:textId="77777777" w:rsidR="000D1D92" w:rsidRPr="00D40952" w:rsidRDefault="000D1D92" w:rsidP="000D1D92">
            <w:pPr>
              <w:pStyle w:val="ListParagraph"/>
              <w:numPr>
                <w:ilvl w:val="0"/>
                <w:numId w:val="90"/>
              </w:numPr>
              <w:ind w:left="720"/>
              <w:jc w:val="both"/>
              <w:rPr>
                <w:b/>
              </w:rPr>
            </w:pPr>
            <w:r w:rsidRPr="00BE2EA0">
              <w:t>It was estimated there were 839,400 adult women and 596,400 adult men who first experienced physical abuse by a family member as a child aged between 0 to 14 years.</w:t>
            </w:r>
          </w:p>
          <w:p w14:paraId="6CADA969" w14:textId="77777777" w:rsidR="000D1D92" w:rsidRPr="00D40952" w:rsidRDefault="000D1D92" w:rsidP="000D1D92">
            <w:pPr>
              <w:pStyle w:val="ListParagraph"/>
              <w:numPr>
                <w:ilvl w:val="0"/>
                <w:numId w:val="90"/>
              </w:numPr>
              <w:ind w:left="720"/>
              <w:jc w:val="both"/>
              <w:rPr>
                <w:b/>
              </w:rPr>
            </w:pPr>
            <w:r w:rsidRPr="00BE2EA0">
              <w:t>It was estimated there were 515,200 adult women and 97,800 adult men who first experienced sexual abuse by a family member as a child aged between 0 to 14 years.</w:t>
            </w:r>
          </w:p>
          <w:p w14:paraId="5D491701" w14:textId="77777777" w:rsidR="000D1D92" w:rsidRDefault="000D1D92" w:rsidP="00684616">
            <w:pPr>
              <w:jc w:val="both"/>
              <w:rPr>
                <w:b/>
              </w:rPr>
            </w:pPr>
            <w:r w:rsidRPr="00D40952">
              <w:rPr>
                <w:b/>
              </w:rPr>
              <w:t>National Centre for Longitudinal Data research summaries</w:t>
            </w:r>
            <w:r>
              <w:t>:</w:t>
            </w:r>
            <w:r w:rsidRPr="00D40952">
              <w:rPr>
                <w:rStyle w:val="EndnoteReference"/>
                <w:sz w:val="24"/>
              </w:rPr>
              <w:endnoteReference w:id="482"/>
            </w:r>
          </w:p>
          <w:p w14:paraId="580476ED" w14:textId="77777777" w:rsidR="000D1D92" w:rsidRPr="00D40952" w:rsidRDefault="000D1D92" w:rsidP="000D1D92">
            <w:pPr>
              <w:pStyle w:val="ListParagraph"/>
              <w:numPr>
                <w:ilvl w:val="0"/>
                <w:numId w:val="91"/>
              </w:numPr>
              <w:ind w:left="720"/>
              <w:jc w:val="both"/>
              <w:rPr>
                <w:b/>
              </w:rPr>
            </w:pPr>
            <w:r>
              <w:t>Approximately 6% of mothers participating in the Longitudinal Study of Australian Children reported that they had been afraid of their current partners.</w:t>
            </w:r>
          </w:p>
          <w:p w14:paraId="3E533BB6" w14:textId="77777777" w:rsidR="000D1D92" w:rsidRPr="00D40952" w:rsidRDefault="000D1D92" w:rsidP="000D1D92">
            <w:pPr>
              <w:pStyle w:val="ListParagraph"/>
              <w:numPr>
                <w:ilvl w:val="0"/>
                <w:numId w:val="91"/>
              </w:numPr>
              <w:ind w:left="720"/>
              <w:jc w:val="both"/>
              <w:rPr>
                <w:b/>
              </w:rPr>
            </w:pPr>
            <w:r>
              <w:t>Remoteness was the single biggest predictor of partner violence in the Longitudinal Study of Indigenous Children.</w:t>
            </w:r>
          </w:p>
          <w:p w14:paraId="1A269840" w14:textId="77777777" w:rsidR="000D1D92" w:rsidRPr="00D40952" w:rsidRDefault="000D1D92" w:rsidP="00684616">
            <w:pPr>
              <w:jc w:val="both"/>
              <w:rPr>
                <w:b/>
              </w:rPr>
            </w:pPr>
            <w:r w:rsidRPr="00D40952">
              <w:rPr>
                <w:b/>
              </w:rPr>
              <w:t>Kids Helpline data about the number of contacts received from children aged 5 to 17 years between January 2012 and December 2014 where family or domestic violence was raised as the main concern or as a second significant concern</w:t>
            </w:r>
            <w:r>
              <w:t>:</w:t>
            </w:r>
            <w:r w:rsidRPr="00D40952">
              <w:rPr>
                <w:rStyle w:val="EndnoteReference"/>
                <w:b/>
                <w:sz w:val="24"/>
              </w:rPr>
              <w:endnoteReference w:id="483"/>
            </w:r>
          </w:p>
          <w:p w14:paraId="55AB8EA3" w14:textId="77777777" w:rsidR="000D1D92" w:rsidRPr="00C00823" w:rsidRDefault="000D1D92" w:rsidP="000D1D92">
            <w:pPr>
              <w:pStyle w:val="ListParagraph"/>
              <w:numPr>
                <w:ilvl w:val="0"/>
                <w:numId w:val="92"/>
              </w:numPr>
              <w:ind w:left="720"/>
              <w:jc w:val="both"/>
              <w:rPr>
                <w:b/>
              </w:rPr>
            </w:pPr>
            <w:r>
              <w:t>Of the 999 contacts where the main or secondary concern raised was family or domestic violence, 34% were from children aged 10 to 13 years.</w:t>
            </w:r>
          </w:p>
          <w:p w14:paraId="318BF6AE" w14:textId="77777777" w:rsidR="000D1D92" w:rsidRDefault="000D1D92" w:rsidP="000D1D92">
            <w:pPr>
              <w:pStyle w:val="ListParagraph"/>
              <w:numPr>
                <w:ilvl w:val="0"/>
                <w:numId w:val="92"/>
              </w:numPr>
              <w:ind w:left="720"/>
              <w:jc w:val="both"/>
            </w:pPr>
            <w:r>
              <w:t>The largest proportion of the 999 contacts (40%) were in relation to exposure to violence between parents, or between a parent and a partner or ex-partner.</w:t>
            </w:r>
          </w:p>
        </w:tc>
      </w:tr>
    </w:tbl>
    <w:p w14:paraId="5518A238" w14:textId="15BB067C" w:rsidR="000D1D92" w:rsidRPr="00E34AFD" w:rsidRDefault="000D1D92" w:rsidP="001715AD">
      <w:r>
        <w:br w:type="column"/>
      </w:r>
      <w:r w:rsidRPr="00E34AFD">
        <w:rPr>
          <w:rFonts w:cs="Arial"/>
          <w:sz w:val="22"/>
          <w:szCs w:val="22"/>
        </w:rPr>
        <w:lastRenderedPageBreak/>
        <w:t xml:space="preserve">My </w:t>
      </w:r>
      <w:r w:rsidRPr="00E34AFD">
        <w:t xml:space="preserve">examination of the impact of family and domestic violence on children and young people aged between 0-17 years has been welcomed by a cross-section of government and non-government bodies as well as by academics and individuals. </w:t>
      </w:r>
    </w:p>
    <w:p w14:paraId="2D142153" w14:textId="77777777" w:rsidR="000D1D92" w:rsidRPr="004224DD" w:rsidRDefault="000D1D92" w:rsidP="000D1D92">
      <w:pPr>
        <w:jc w:val="both"/>
        <w:rPr>
          <w:b/>
          <w:sz w:val="22"/>
          <w:szCs w:val="22"/>
        </w:rPr>
      </w:pPr>
      <w:r w:rsidRPr="004224DD">
        <w:rPr>
          <w:b/>
          <w:sz w:val="22"/>
          <w:szCs w:val="22"/>
        </w:rPr>
        <w:t xml:space="preserve">Save the Children Australia </w:t>
      </w:r>
      <w:r w:rsidRPr="004224DD">
        <w:rPr>
          <w:sz w:val="22"/>
          <w:szCs w:val="22"/>
        </w:rPr>
        <w:t>thanks the National Children’s Commissioner for facilitating the DFV roundtable last week. It was wonderful to be part of an energetic discussion focused on the impact of DFV on children.</w:t>
      </w:r>
    </w:p>
    <w:p w14:paraId="784F44F7" w14:textId="77777777" w:rsidR="000D1D92" w:rsidRPr="004224DD" w:rsidRDefault="000D1D92" w:rsidP="000D1D92">
      <w:pPr>
        <w:autoSpaceDE w:val="0"/>
        <w:autoSpaceDN w:val="0"/>
        <w:adjustRightInd w:val="0"/>
        <w:spacing w:before="0" w:after="0"/>
        <w:suppressOverlap/>
        <w:jc w:val="both"/>
        <w:rPr>
          <w:rFonts w:cs="Arial"/>
          <w:b/>
          <w:sz w:val="22"/>
          <w:szCs w:val="22"/>
        </w:rPr>
      </w:pPr>
      <w:r w:rsidRPr="004224DD">
        <w:rPr>
          <w:rFonts w:cs="Arial"/>
          <w:b/>
          <w:sz w:val="22"/>
          <w:szCs w:val="22"/>
        </w:rPr>
        <w:t xml:space="preserve">Children with Disability Australia </w:t>
      </w:r>
      <w:r w:rsidRPr="004224DD">
        <w:rPr>
          <w:rFonts w:cs="Arial"/>
          <w:sz w:val="22"/>
          <w:szCs w:val="22"/>
        </w:rPr>
        <w:t xml:space="preserve">applauds the National Children’s Commissioner for her commitment to further investigation in this area. </w:t>
      </w:r>
    </w:p>
    <w:p w14:paraId="1415B371" w14:textId="77777777" w:rsidR="000D1D92" w:rsidRPr="004224DD" w:rsidRDefault="000D1D92" w:rsidP="000D1D92">
      <w:pPr>
        <w:jc w:val="both"/>
        <w:rPr>
          <w:sz w:val="22"/>
          <w:szCs w:val="22"/>
        </w:rPr>
      </w:pPr>
      <w:r w:rsidRPr="004224DD">
        <w:rPr>
          <w:b/>
          <w:sz w:val="22"/>
          <w:szCs w:val="22"/>
        </w:rPr>
        <w:t>The Western Australian Aboriginal Family Law Services</w:t>
      </w:r>
      <w:r w:rsidRPr="004224DD">
        <w:rPr>
          <w:sz w:val="22"/>
          <w:szCs w:val="22"/>
        </w:rPr>
        <w:t xml:space="preserve"> welcomes the opportunity to have input into the Australian Human Rights Commission on the Examination of Children Affected by Family and Domestic Violence.</w:t>
      </w:r>
    </w:p>
    <w:p w14:paraId="1F91A555" w14:textId="77777777" w:rsidR="000D1D92" w:rsidRPr="004224DD" w:rsidRDefault="000D1D92" w:rsidP="000D1D92">
      <w:pPr>
        <w:jc w:val="both"/>
        <w:rPr>
          <w:sz w:val="22"/>
          <w:szCs w:val="22"/>
          <w:lang w:val="en-US"/>
        </w:rPr>
      </w:pPr>
      <w:r w:rsidRPr="004224DD">
        <w:rPr>
          <w:b/>
          <w:sz w:val="22"/>
          <w:szCs w:val="22"/>
          <w:lang w:val="en-US"/>
        </w:rPr>
        <w:t xml:space="preserve">Australian Psychological Society </w:t>
      </w:r>
      <w:r w:rsidRPr="004224DD">
        <w:rPr>
          <w:sz w:val="22"/>
          <w:szCs w:val="22"/>
          <w:lang w:val="en-US"/>
        </w:rPr>
        <w:t>(APS) welcomes the opportunity to make a submission…The APS recognizes every child’s right to safety and wellbeing, and to live free from all forms of violence, and affirms that greater protection of children who are exposed to and witness family and domestic violence is required.</w:t>
      </w:r>
    </w:p>
    <w:p w14:paraId="318078F5" w14:textId="77777777" w:rsidR="000D1D92" w:rsidRPr="004224DD" w:rsidRDefault="000D1D92" w:rsidP="000D1D92">
      <w:pPr>
        <w:jc w:val="both"/>
        <w:rPr>
          <w:b/>
          <w:sz w:val="22"/>
          <w:szCs w:val="22"/>
        </w:rPr>
      </w:pPr>
      <w:r w:rsidRPr="004224DD">
        <w:rPr>
          <w:b/>
          <w:sz w:val="22"/>
          <w:szCs w:val="22"/>
        </w:rPr>
        <w:t xml:space="preserve">The Royal Australian &amp; New Zealand College of Psychiatrists </w:t>
      </w:r>
      <w:r w:rsidRPr="004224DD">
        <w:rPr>
          <w:sz w:val="22"/>
          <w:szCs w:val="22"/>
        </w:rPr>
        <w:t xml:space="preserve">(RANZCP) welcomes the opportunity to provide feedback into the Australian Human Rights Commission’s examination of children affected by domestic and family violence. As the national conversation on family violence grows it is essential that the voices of children are heard and their support needs met….The RANZCP commends the </w:t>
      </w:r>
      <w:r w:rsidRPr="004224DD">
        <w:rPr>
          <w:sz w:val="22"/>
          <w:szCs w:val="22"/>
          <w:lang w:val="en-US"/>
        </w:rPr>
        <w:t>Australian Human Rights Commission for ensuring that the experiences and needs of children &amp; young people are included in the growing national  conversation on family violence.</w:t>
      </w:r>
    </w:p>
    <w:p w14:paraId="28AD28FF" w14:textId="77777777" w:rsidR="000D1D92" w:rsidRPr="004224DD" w:rsidRDefault="000D1D92" w:rsidP="000D1D92">
      <w:pPr>
        <w:autoSpaceDE w:val="0"/>
        <w:autoSpaceDN w:val="0"/>
        <w:adjustRightInd w:val="0"/>
        <w:spacing w:before="0" w:after="0"/>
        <w:jc w:val="both"/>
        <w:rPr>
          <w:rFonts w:cs="Arial"/>
          <w:sz w:val="22"/>
          <w:szCs w:val="22"/>
          <w:lang w:val="en-US"/>
        </w:rPr>
      </w:pPr>
      <w:r w:rsidRPr="004224DD">
        <w:rPr>
          <w:rFonts w:cs="Arial"/>
          <w:b/>
          <w:sz w:val="22"/>
          <w:szCs w:val="22"/>
        </w:rPr>
        <w:t xml:space="preserve">North Australian Aboriginal Family Legal Service </w:t>
      </w:r>
      <w:r w:rsidRPr="004224DD">
        <w:rPr>
          <w:rFonts w:cs="Arial"/>
          <w:sz w:val="22"/>
          <w:szCs w:val="22"/>
        </w:rPr>
        <w:t>(NAAFLS)</w:t>
      </w:r>
      <w:r w:rsidRPr="004224DD">
        <w:rPr>
          <w:rFonts w:cs="Arial"/>
          <w:b/>
          <w:sz w:val="22"/>
          <w:szCs w:val="22"/>
        </w:rPr>
        <w:t xml:space="preserve"> </w:t>
      </w:r>
      <w:r w:rsidRPr="004224DD">
        <w:rPr>
          <w:rFonts w:cs="Arial"/>
          <w:sz w:val="22"/>
          <w:szCs w:val="22"/>
        </w:rPr>
        <w:t>welcomes this invitation to make a submission to the Australian Human Rights Commission to assist in its examination of how children are affected by family and domestic violence. NAAFLS recognises that family and domestic violence, is a significant issue-affecting children, particularly in Indigenous communities.</w:t>
      </w:r>
    </w:p>
    <w:p w14:paraId="160A77E3" w14:textId="77777777" w:rsidR="000D1D92" w:rsidRPr="004224DD" w:rsidRDefault="000D1D92" w:rsidP="000D1D92">
      <w:pPr>
        <w:jc w:val="both"/>
        <w:rPr>
          <w:sz w:val="22"/>
          <w:szCs w:val="22"/>
        </w:rPr>
      </w:pPr>
      <w:r w:rsidRPr="004224DD">
        <w:rPr>
          <w:b/>
          <w:sz w:val="22"/>
          <w:szCs w:val="22"/>
        </w:rPr>
        <w:t>National Aboriginal &amp; Torres Strait Islander Women’s Alliance</w:t>
      </w:r>
      <w:r w:rsidRPr="004224DD">
        <w:rPr>
          <w:sz w:val="22"/>
          <w:szCs w:val="22"/>
        </w:rPr>
        <w:t xml:space="preserve"> thanks the National Children’s Commissioner for the opportunity to provide our submission…we owe it to these children to find a better way of dealing domestic and family violence.</w:t>
      </w:r>
    </w:p>
    <w:p w14:paraId="2AA5EA40" w14:textId="77777777" w:rsidR="000D1D92" w:rsidRDefault="000D1D92" w:rsidP="000D1D92">
      <w:pPr>
        <w:jc w:val="both"/>
        <w:rPr>
          <w:rFonts w:cs="Arial"/>
          <w:sz w:val="22"/>
          <w:szCs w:val="22"/>
        </w:rPr>
      </w:pPr>
      <w:r w:rsidRPr="004224DD">
        <w:rPr>
          <w:b/>
          <w:sz w:val="22"/>
          <w:szCs w:val="22"/>
        </w:rPr>
        <w:t>The NSW Government</w:t>
      </w:r>
      <w:r w:rsidRPr="004224DD">
        <w:rPr>
          <w:sz w:val="22"/>
          <w:szCs w:val="22"/>
        </w:rPr>
        <w:t xml:space="preserve"> </w:t>
      </w:r>
      <w:r w:rsidRPr="004224DD">
        <w:rPr>
          <w:rFonts w:cs="Arial"/>
          <w:sz w:val="22"/>
          <w:szCs w:val="22"/>
        </w:rPr>
        <w:t>welcomes the opportunity to contribute to the Australian Human Rights Commission’s examination into children affected by domestic and family violence… The examination by the Australian Human Rights Commission is an opportunity to harness the momentum of recent media and policy attention on domestic and family violence to ensure that the safety of children remains a key focus of our responses. The NSW Government thanks the Australian Human Rights Commission for engaging in this important piece of work.</w:t>
      </w:r>
    </w:p>
    <w:p w14:paraId="3A18683A" w14:textId="77777777" w:rsidR="000D1D92" w:rsidRDefault="000D1D92" w:rsidP="000D1D92">
      <w:pPr>
        <w:jc w:val="both"/>
        <w:rPr>
          <w:rFonts w:cs="Arial"/>
          <w:sz w:val="22"/>
          <w:szCs w:val="22"/>
        </w:rPr>
      </w:pPr>
    </w:p>
    <w:p w14:paraId="55633DC7" w14:textId="77777777" w:rsidR="000D1D92" w:rsidRDefault="000D1D92" w:rsidP="000D1D92">
      <w:pPr>
        <w:jc w:val="both"/>
        <w:rPr>
          <w:rFonts w:cs="Arial"/>
          <w:sz w:val="22"/>
          <w:szCs w:val="22"/>
        </w:rPr>
      </w:pPr>
    </w:p>
    <w:p w14:paraId="5B45EAC9" w14:textId="77777777" w:rsidR="000D1D92" w:rsidRDefault="000D1D92" w:rsidP="000D1D92">
      <w:pPr>
        <w:jc w:val="both"/>
        <w:rPr>
          <w:rFonts w:cs="Arial"/>
          <w:sz w:val="22"/>
          <w:szCs w:val="22"/>
        </w:rPr>
      </w:pPr>
    </w:p>
    <w:p w14:paraId="244D05A6" w14:textId="77777777" w:rsidR="000D1D92" w:rsidRPr="00B44877" w:rsidRDefault="000D1D92" w:rsidP="000D1D92">
      <w:pPr>
        <w:pStyle w:val="Heading2"/>
        <w:jc w:val="both"/>
      </w:pPr>
      <w:bookmarkStart w:id="179" w:name="_Toc432061270"/>
      <w:bookmarkStart w:id="180" w:name="_Toc432577326"/>
      <w:r>
        <w:lastRenderedPageBreak/>
        <w:t>What did we find out about children’s experiences of family and domestic violence?</w:t>
      </w:r>
      <w:bookmarkEnd w:id="179"/>
      <w:bookmarkEnd w:id="180"/>
    </w:p>
    <w:p w14:paraId="39DE88F9" w14:textId="77777777" w:rsidR="000D1D92" w:rsidRDefault="000D1D92" w:rsidP="000D1D92">
      <w:pPr>
        <w:pStyle w:val="Heading3"/>
        <w:jc w:val="both"/>
      </w:pPr>
      <w:bookmarkStart w:id="181" w:name="_Toc432061271"/>
      <w:r w:rsidRPr="000E5008">
        <w:t>Definitional challenges in relation to children affected by family and domestic violence and how this impacts on the data that is collected about them</w:t>
      </w:r>
      <w:bookmarkEnd w:id="181"/>
    </w:p>
    <w:p w14:paraId="29397FDE" w14:textId="77777777" w:rsidR="000D1D92" w:rsidRDefault="000D1D92" w:rsidP="000D1D92">
      <w:pPr>
        <w:spacing w:before="0" w:after="0"/>
        <w:jc w:val="both"/>
        <w:rPr>
          <w:rFonts w:cs="Arial"/>
        </w:rPr>
      </w:pPr>
      <w:r>
        <w:rPr>
          <w:rFonts w:cs="Arial"/>
        </w:rPr>
        <w:t xml:space="preserve">Family and domestic violence is acknowledged as a national issue in Australia. However across the jurisdictions, there are no consistent definitions, legal frameworks or common methods used to identify it. Combined with this, different terms are used to describe the wide range of behaviours associated with it. </w:t>
      </w:r>
    </w:p>
    <w:p w14:paraId="1DEB1F19" w14:textId="77777777" w:rsidR="000D1D92" w:rsidRDefault="000D1D92" w:rsidP="000D1D92">
      <w:pPr>
        <w:spacing w:before="0" w:after="0"/>
        <w:jc w:val="both"/>
        <w:rPr>
          <w:rFonts w:cs="Arial"/>
        </w:rPr>
      </w:pPr>
    </w:p>
    <w:p w14:paraId="6014C571" w14:textId="77777777" w:rsidR="000D1D92" w:rsidRPr="00E1582E" w:rsidRDefault="000D1D92" w:rsidP="000D1D92">
      <w:pPr>
        <w:spacing w:before="0" w:after="0"/>
        <w:jc w:val="both"/>
        <w:rPr>
          <w:lang w:val="en"/>
        </w:rPr>
      </w:pPr>
      <w:r>
        <w:rPr>
          <w:lang w:val="en"/>
        </w:rPr>
        <w:t>State and Territory governments are responsible for law enforcement in relation to the policing and prosecuting of family and domestic violence.</w:t>
      </w:r>
      <w:r>
        <w:rPr>
          <w:rStyle w:val="EndnoteReference"/>
          <w:lang w:val="en"/>
        </w:rPr>
        <w:endnoteReference w:id="484"/>
      </w:r>
      <w:r>
        <w:rPr>
          <w:lang w:val="en"/>
        </w:rPr>
        <w:t xml:space="preserve"> Each respond within their own legislative and policy contexts, which vary in nature. </w:t>
      </w:r>
      <w:r w:rsidRPr="00A42346">
        <w:rPr>
          <w:lang w:val="en"/>
        </w:rPr>
        <w:t>Family law legislation requires the assessment of safety issues for women and their children in determining family law matters.</w:t>
      </w:r>
    </w:p>
    <w:p w14:paraId="17E76535" w14:textId="77777777" w:rsidR="000D1D92" w:rsidRDefault="000D1D92" w:rsidP="000D1D92">
      <w:pPr>
        <w:spacing w:before="0" w:after="0"/>
        <w:jc w:val="both"/>
        <w:rPr>
          <w:rFonts w:cs="Arial"/>
        </w:rPr>
      </w:pPr>
    </w:p>
    <w:p w14:paraId="23225DF9" w14:textId="77777777" w:rsidR="000D1D92" w:rsidRDefault="000D1D92" w:rsidP="000D1D92">
      <w:pPr>
        <w:spacing w:before="0" w:after="0"/>
        <w:jc w:val="both"/>
      </w:pPr>
      <w:r>
        <w:rPr>
          <w:rFonts w:cs="Arial"/>
        </w:rPr>
        <w:t xml:space="preserve">The </w:t>
      </w:r>
      <w:r w:rsidRPr="008D7D05">
        <w:rPr>
          <w:rFonts w:cs="Arial"/>
        </w:rPr>
        <w:t>2015</w:t>
      </w:r>
      <w:r>
        <w:rPr>
          <w:rFonts w:cs="Arial"/>
        </w:rPr>
        <w:t xml:space="preserve"> report by the </w:t>
      </w:r>
      <w:r>
        <w:t>Queensland Government</w:t>
      </w:r>
      <w:r w:rsidRPr="00BD3D8B">
        <w:rPr>
          <w:i/>
        </w:rPr>
        <w:t>, Not Now, Not Ever – Putting an End to Domestic and Family Violence in Queensland</w:t>
      </w:r>
      <w:r>
        <w:t>, pointed out that:</w:t>
      </w:r>
    </w:p>
    <w:p w14:paraId="787BEA60" w14:textId="77777777" w:rsidR="000D1D92" w:rsidRDefault="000D1D92" w:rsidP="000D1D92">
      <w:pPr>
        <w:spacing w:before="0" w:after="0"/>
        <w:jc w:val="both"/>
      </w:pPr>
    </w:p>
    <w:p w14:paraId="44DB6BAC" w14:textId="77777777" w:rsidR="000D1D92" w:rsidRDefault="000D1D92" w:rsidP="000D1D92">
      <w:pPr>
        <w:spacing w:before="0" w:after="0"/>
        <w:ind w:left="720"/>
        <w:jc w:val="both"/>
        <w:rPr>
          <w:rFonts w:cs="Arial"/>
        </w:rPr>
      </w:pPr>
      <w:r w:rsidRPr="000F0C87">
        <w:rPr>
          <w:rFonts w:cs="Arial"/>
          <w:sz w:val="22"/>
          <w:szCs w:val="22"/>
        </w:rPr>
        <w:t>Many different terms are used to define domestic and family violence. It has become a conceptual problem, which is exemplified by the</w:t>
      </w:r>
      <w:r>
        <w:rPr>
          <w:rFonts w:cs="Arial"/>
          <w:sz w:val="22"/>
          <w:szCs w:val="22"/>
        </w:rPr>
        <w:t xml:space="preserve"> different definitions in each j</w:t>
      </w:r>
      <w:r w:rsidRPr="000F0C87">
        <w:rPr>
          <w:rFonts w:cs="Arial"/>
          <w:sz w:val="22"/>
          <w:szCs w:val="22"/>
        </w:rPr>
        <w:t>urisdiction in Australia. Defining domestic and family violence has significant implications for how the criminal justice system, as well as the human services sector, and the broader community, recognise, understand, and respond to this issue</w:t>
      </w:r>
      <w:r w:rsidRPr="00EA66C1">
        <w:rPr>
          <w:rFonts w:cs="Arial"/>
        </w:rPr>
        <w:t>.</w:t>
      </w:r>
      <w:r w:rsidRPr="004A4792">
        <w:rPr>
          <w:rStyle w:val="EndnoteReference"/>
          <w:rFonts w:cs="Arial"/>
          <w:szCs w:val="20"/>
        </w:rPr>
        <w:endnoteReference w:id="485"/>
      </w:r>
      <w:r w:rsidRPr="004A4792">
        <w:rPr>
          <w:rFonts w:cs="Arial"/>
          <w:sz w:val="20"/>
          <w:szCs w:val="20"/>
        </w:rPr>
        <w:t xml:space="preserve"> </w:t>
      </w:r>
    </w:p>
    <w:p w14:paraId="30BE76A2" w14:textId="77777777" w:rsidR="000D1D92" w:rsidRDefault="000D1D92" w:rsidP="000D1D92">
      <w:pPr>
        <w:spacing w:before="0" w:after="0"/>
        <w:ind w:left="720"/>
        <w:jc w:val="both"/>
        <w:rPr>
          <w:rFonts w:cs="Arial"/>
        </w:rPr>
      </w:pPr>
    </w:p>
    <w:p w14:paraId="15D9F3D4" w14:textId="77777777" w:rsidR="000D1D92" w:rsidRDefault="000D1D92" w:rsidP="000D1D92">
      <w:pPr>
        <w:spacing w:before="0" w:after="0"/>
        <w:jc w:val="both"/>
        <w:rPr>
          <w:rFonts w:cs="Arial"/>
        </w:rPr>
      </w:pPr>
      <w:r>
        <w:rPr>
          <w:rFonts w:cs="Arial"/>
        </w:rPr>
        <w:t>The ABS further points out that:</w:t>
      </w:r>
    </w:p>
    <w:p w14:paraId="656BD0B9" w14:textId="77777777" w:rsidR="000D1D92" w:rsidRDefault="000D1D92" w:rsidP="000D1D92">
      <w:pPr>
        <w:spacing w:before="0" w:after="0"/>
        <w:jc w:val="both"/>
        <w:rPr>
          <w:rFonts w:cs="Arial"/>
        </w:rPr>
      </w:pPr>
    </w:p>
    <w:p w14:paraId="743338B3" w14:textId="77777777" w:rsidR="000D1D92" w:rsidRDefault="000D1D92" w:rsidP="000D1D92">
      <w:pPr>
        <w:spacing w:before="0" w:after="0"/>
        <w:ind w:left="720"/>
        <w:jc w:val="both"/>
        <w:rPr>
          <w:rFonts w:cs="Arial"/>
        </w:rPr>
      </w:pPr>
      <w:r w:rsidRPr="000F0C87">
        <w:rPr>
          <w:rFonts w:cs="Arial"/>
          <w:sz w:val="22"/>
          <w:szCs w:val="22"/>
        </w:rPr>
        <w:t>The multi-dimensional nature of family, domestic and sexual violence, and the development of legal and service responses to the problem over time, have led to a variety of definitions and a lack of comprehensive quality data to support effective evidence-based policy, services and responses for victims and perpetrators</w:t>
      </w:r>
      <w:r>
        <w:rPr>
          <w:rFonts w:cs="Arial"/>
        </w:rPr>
        <w:t>.</w:t>
      </w:r>
      <w:r w:rsidRPr="004A4792">
        <w:rPr>
          <w:rStyle w:val="EndnoteReference"/>
          <w:rFonts w:cs="Arial"/>
          <w:szCs w:val="20"/>
        </w:rPr>
        <w:endnoteReference w:id="486"/>
      </w:r>
    </w:p>
    <w:p w14:paraId="6C130FA7" w14:textId="77777777" w:rsidR="000D1D92" w:rsidRDefault="000D1D92" w:rsidP="000D1D92">
      <w:pPr>
        <w:jc w:val="both"/>
        <w:rPr>
          <w:rFonts w:cs="Arial"/>
        </w:rPr>
      </w:pPr>
      <w:r>
        <w:rPr>
          <w:rFonts w:cs="Arial"/>
        </w:rPr>
        <w:t xml:space="preserve">Participants at my roundtables and those who made written submissions used varying terms, including domestic violence, family violence, family and domestic violence and intimate partner violence. They also used different definitions. </w:t>
      </w:r>
    </w:p>
    <w:p w14:paraId="324C77C6" w14:textId="77777777" w:rsidR="000D1D92" w:rsidRPr="00F7766C" w:rsidRDefault="000D1D92" w:rsidP="000D1D92">
      <w:pPr>
        <w:jc w:val="both"/>
        <w:rPr>
          <w:rFonts w:cs="Arial"/>
          <w:b/>
        </w:rPr>
      </w:pPr>
      <w:r w:rsidRPr="00F7766C">
        <w:rPr>
          <w:rFonts w:cs="Arial"/>
          <w:b/>
        </w:rPr>
        <w:t xml:space="preserve">The use of varied terms, different definitions and the </w:t>
      </w:r>
      <w:r w:rsidRPr="00F7766C">
        <w:rPr>
          <w:b/>
        </w:rPr>
        <w:t>disparate</w:t>
      </w:r>
      <w:r w:rsidRPr="00F7766C">
        <w:rPr>
          <w:rFonts w:cs="Arial"/>
          <w:b/>
        </w:rPr>
        <w:t xml:space="preserve"> means of identifying family and domestic violence was raised as problematic in terms of establishing prevalence at the national level and challenging for those working in the field. </w:t>
      </w:r>
    </w:p>
    <w:p w14:paraId="3A9BB561" w14:textId="77777777" w:rsidR="000D1D92" w:rsidRDefault="000D1D92" w:rsidP="000D1D92">
      <w:pPr>
        <w:spacing w:before="0" w:after="0"/>
        <w:jc w:val="both"/>
        <w:rPr>
          <w:rFonts w:cs="Arial"/>
        </w:rPr>
      </w:pPr>
      <w:r>
        <w:rPr>
          <w:rFonts w:cs="Arial"/>
        </w:rPr>
        <w:t xml:space="preserve">The </w:t>
      </w:r>
      <w:r w:rsidRPr="00EA66C1">
        <w:rPr>
          <w:rFonts w:cs="Arial"/>
        </w:rPr>
        <w:t xml:space="preserve">submission </w:t>
      </w:r>
      <w:r>
        <w:rPr>
          <w:rFonts w:cs="Arial"/>
        </w:rPr>
        <w:t xml:space="preserve">made </w:t>
      </w:r>
      <w:r w:rsidRPr="00EA66C1">
        <w:rPr>
          <w:rFonts w:cs="Arial"/>
        </w:rPr>
        <w:t xml:space="preserve">by </w:t>
      </w:r>
      <w:r>
        <w:rPr>
          <w:rFonts w:cs="Arial"/>
        </w:rPr>
        <w:t xml:space="preserve">the </w:t>
      </w:r>
      <w:r w:rsidRPr="00EA66C1">
        <w:rPr>
          <w:rFonts w:cs="Arial"/>
        </w:rPr>
        <w:t>National Aboriginal an</w:t>
      </w:r>
      <w:r>
        <w:rPr>
          <w:rFonts w:cs="Arial"/>
        </w:rPr>
        <w:t>d Torres Strait Islander Legal Services (NATSILS) suggests that:</w:t>
      </w:r>
    </w:p>
    <w:p w14:paraId="028A2AE6" w14:textId="77777777" w:rsidR="000D1D92" w:rsidRDefault="000D1D92" w:rsidP="000D1D92">
      <w:pPr>
        <w:spacing w:before="0" w:after="0"/>
        <w:jc w:val="both"/>
        <w:rPr>
          <w:rFonts w:cs="Arial"/>
        </w:rPr>
      </w:pPr>
    </w:p>
    <w:p w14:paraId="099C792C" w14:textId="77777777" w:rsidR="000D1D92" w:rsidRDefault="000D1D92" w:rsidP="000D1D92">
      <w:pPr>
        <w:spacing w:before="0" w:after="0"/>
        <w:ind w:left="720"/>
        <w:jc w:val="both"/>
        <w:rPr>
          <w:rFonts w:cs="Arial"/>
        </w:rPr>
      </w:pPr>
      <w:r w:rsidRPr="000F0C87">
        <w:rPr>
          <w:rFonts w:cs="Arial"/>
          <w:sz w:val="22"/>
          <w:szCs w:val="22"/>
        </w:rPr>
        <w:t>In order to get a more accurate picture of the prevalence of family and domestic violence and its impact on children better data is required, which will need to be predicated on common understandings or definitions of family and domestic violence and related terms</w:t>
      </w:r>
      <w:r w:rsidRPr="000F0C87">
        <w:rPr>
          <w:rStyle w:val="EndnoteReference"/>
          <w:rFonts w:cs="Arial"/>
          <w:sz w:val="22"/>
          <w:szCs w:val="22"/>
        </w:rPr>
        <w:endnoteReference w:id="487"/>
      </w:r>
      <w:r w:rsidRPr="000F0C87">
        <w:rPr>
          <w:rFonts w:cs="Arial"/>
          <w:sz w:val="22"/>
          <w:szCs w:val="22"/>
        </w:rPr>
        <w:t xml:space="preserve">…Standardised national definitions for family and domestic </w:t>
      </w:r>
      <w:r w:rsidRPr="000F0C87">
        <w:rPr>
          <w:rFonts w:cs="Arial"/>
          <w:sz w:val="22"/>
          <w:szCs w:val="22"/>
        </w:rPr>
        <w:lastRenderedPageBreak/>
        <w:t>violence, and national standard definitions for the relevant variables, are needed for reporting on these issues</w:t>
      </w:r>
      <w:r>
        <w:rPr>
          <w:rFonts w:cs="Arial"/>
        </w:rPr>
        <w:t>.</w:t>
      </w:r>
      <w:r>
        <w:rPr>
          <w:rStyle w:val="EndnoteReference"/>
          <w:rFonts w:cs="Arial"/>
        </w:rPr>
        <w:endnoteReference w:id="488"/>
      </w:r>
    </w:p>
    <w:p w14:paraId="52E148A1" w14:textId="77777777" w:rsidR="000D1D92" w:rsidRDefault="000D1D92" w:rsidP="000D1D92">
      <w:pPr>
        <w:jc w:val="both"/>
        <w:rPr>
          <w:rFonts w:cs="Arial"/>
        </w:rPr>
      </w:pPr>
      <w:r>
        <w:rPr>
          <w:rFonts w:cs="Arial"/>
        </w:rPr>
        <w:t>The submission by Relationships Australia (NSW) advises that:</w:t>
      </w:r>
    </w:p>
    <w:p w14:paraId="27AC2970" w14:textId="77777777" w:rsidR="000D1D92" w:rsidRDefault="000D1D92" w:rsidP="000D1D92">
      <w:pPr>
        <w:ind w:left="720"/>
        <w:jc w:val="both"/>
        <w:rPr>
          <w:rFonts w:cs="Arial"/>
        </w:rPr>
      </w:pPr>
      <w:r w:rsidRPr="000F0C87">
        <w:rPr>
          <w:rFonts w:cs="Arial"/>
          <w:sz w:val="22"/>
          <w:szCs w:val="22"/>
        </w:rPr>
        <w:t>Definitional differences, or inconsistencies, tend to negatively affect the collaborative practice of professionals working across agencies and services. They also impact the client’s access to targeted programs</w:t>
      </w:r>
      <w:r w:rsidRPr="00B07A37">
        <w:rPr>
          <w:rFonts w:cs="Arial"/>
        </w:rPr>
        <w:t>.</w:t>
      </w:r>
      <w:r>
        <w:rPr>
          <w:rStyle w:val="EndnoteReference"/>
          <w:rFonts w:cs="Arial"/>
        </w:rPr>
        <w:endnoteReference w:id="489"/>
      </w:r>
      <w:r w:rsidRPr="00B07A37">
        <w:rPr>
          <w:rFonts w:cs="Arial"/>
        </w:rPr>
        <w:t xml:space="preserve"> </w:t>
      </w:r>
    </w:p>
    <w:p w14:paraId="12BE79E5" w14:textId="77777777" w:rsidR="000D1D92" w:rsidRDefault="000D1D92" w:rsidP="000D1D92">
      <w:pPr>
        <w:spacing w:before="0" w:after="0"/>
        <w:jc w:val="both"/>
      </w:pPr>
      <w:r w:rsidRPr="00930D66">
        <w:rPr>
          <w:b/>
        </w:rPr>
        <w:t>The lack of national demographic data about</w:t>
      </w:r>
      <w:r>
        <w:rPr>
          <w:b/>
        </w:rPr>
        <w:t xml:space="preserve"> certain groups of</w:t>
      </w:r>
      <w:r w:rsidRPr="00930D66">
        <w:rPr>
          <w:b/>
        </w:rPr>
        <w:t xml:space="preserve"> children affected by family and domestic violence was consistently raised</w:t>
      </w:r>
      <w:r>
        <w:t xml:space="preserve"> in written submissions and by roundtable participants.</w:t>
      </w:r>
    </w:p>
    <w:p w14:paraId="3056EF41" w14:textId="77777777" w:rsidR="000D1D92" w:rsidRDefault="000D1D92" w:rsidP="000D1D92">
      <w:pPr>
        <w:spacing w:before="0" w:after="0"/>
      </w:pPr>
    </w:p>
    <w:p w14:paraId="122558C6" w14:textId="77777777" w:rsidR="000D1D92" w:rsidRDefault="000D1D92" w:rsidP="000D1D92">
      <w:pPr>
        <w:spacing w:before="0" w:after="0"/>
        <w:jc w:val="both"/>
      </w:pPr>
      <w:r>
        <w:t>In its submission, Children with Disability Australia pointed out that:</w:t>
      </w:r>
    </w:p>
    <w:p w14:paraId="3DCB5455" w14:textId="77777777" w:rsidR="000D1D92" w:rsidRDefault="000D1D92" w:rsidP="000D1D92">
      <w:pPr>
        <w:spacing w:before="0" w:after="0"/>
        <w:ind w:left="720"/>
        <w:jc w:val="both"/>
      </w:pPr>
    </w:p>
    <w:p w14:paraId="3C6F27C2" w14:textId="77777777" w:rsidR="000D1D92" w:rsidRPr="005F0649" w:rsidRDefault="000D1D92" w:rsidP="000D1D92">
      <w:pPr>
        <w:spacing w:before="0" w:after="0"/>
        <w:ind w:left="720"/>
        <w:jc w:val="both"/>
        <w:rPr>
          <w:sz w:val="22"/>
          <w:szCs w:val="22"/>
        </w:rPr>
      </w:pPr>
      <w:r>
        <w:rPr>
          <w:sz w:val="22"/>
          <w:szCs w:val="22"/>
        </w:rPr>
        <w:t>There is a great p</w:t>
      </w:r>
      <w:r w:rsidRPr="005F0649">
        <w:rPr>
          <w:sz w:val="22"/>
          <w:szCs w:val="22"/>
        </w:rPr>
        <w:t>aucity in local data as to the prevalence and impact of family and domestic violence upon children with disability in Australia. International research indicates that children with disability are 3.4 times more likely to experience maltreatment than children without disability, however this data is not specific as to the location of the abuse (i</w:t>
      </w:r>
      <w:r>
        <w:rPr>
          <w:sz w:val="22"/>
          <w:szCs w:val="22"/>
        </w:rPr>
        <w:t>.</w:t>
      </w:r>
      <w:r w:rsidRPr="005F0649">
        <w:rPr>
          <w:sz w:val="22"/>
          <w:szCs w:val="22"/>
        </w:rPr>
        <w:t>e</w:t>
      </w:r>
      <w:r>
        <w:rPr>
          <w:sz w:val="22"/>
          <w:szCs w:val="22"/>
        </w:rPr>
        <w:t>.</w:t>
      </w:r>
      <w:r w:rsidRPr="005F0649">
        <w:rPr>
          <w:sz w:val="22"/>
          <w:szCs w:val="22"/>
        </w:rPr>
        <w:t>: in the family home or an institutional setting). Research to determine the number of children and young people with disability impacted by family and domestic violence in Australia is essential.</w:t>
      </w:r>
      <w:r w:rsidRPr="005F0649">
        <w:rPr>
          <w:rStyle w:val="EndnoteReference"/>
          <w:rFonts w:cs="Arial"/>
          <w:sz w:val="22"/>
          <w:szCs w:val="22"/>
        </w:rPr>
        <w:t xml:space="preserve"> </w:t>
      </w:r>
      <w:r w:rsidRPr="00AE40E4">
        <w:rPr>
          <w:rStyle w:val="EndnoteReference"/>
          <w:rFonts w:cs="Arial"/>
          <w:sz w:val="22"/>
          <w:szCs w:val="22"/>
        </w:rPr>
        <w:endnoteReference w:id="490"/>
      </w:r>
    </w:p>
    <w:p w14:paraId="0F550004" w14:textId="77777777" w:rsidR="000D1D92" w:rsidRPr="00296DFA" w:rsidRDefault="000D1D92" w:rsidP="000D1D92">
      <w:pPr>
        <w:jc w:val="both"/>
        <w:rPr>
          <w:szCs w:val="22"/>
        </w:rPr>
      </w:pPr>
      <w:r>
        <w:t xml:space="preserve">Mr </w:t>
      </w:r>
      <w:r w:rsidRPr="00872F87">
        <w:t>Andrew Jackomos</w:t>
      </w:r>
      <w:r>
        <w:t xml:space="preserve"> PSM</w:t>
      </w:r>
      <w:r w:rsidRPr="00872F87">
        <w:t xml:space="preserve">, </w:t>
      </w:r>
      <w:r>
        <w:t xml:space="preserve">the Victorian </w:t>
      </w:r>
      <w:r w:rsidRPr="00872F87">
        <w:t>Commissioner for Aboriginal Childre</w:t>
      </w:r>
      <w:r>
        <w:t>n and Young People</w:t>
      </w:r>
      <w:r>
        <w:rPr>
          <w:szCs w:val="22"/>
        </w:rPr>
        <w:t xml:space="preserve"> stated in his submission to me that</w:t>
      </w:r>
      <w:r w:rsidRPr="00296DFA">
        <w:rPr>
          <w:szCs w:val="22"/>
        </w:rPr>
        <w:t>:</w:t>
      </w:r>
    </w:p>
    <w:p w14:paraId="4AEE5851" w14:textId="77777777" w:rsidR="000D1D92" w:rsidRDefault="000D1D92" w:rsidP="000D1D92">
      <w:pPr>
        <w:ind w:left="720"/>
        <w:jc w:val="both"/>
      </w:pPr>
      <w:r w:rsidRPr="000D0035">
        <w:rPr>
          <w:sz w:val="22"/>
          <w:szCs w:val="22"/>
        </w:rPr>
        <w:t>Overrepresentation of Aboriginal children is known in homelessness, poor educational outcomes, health and mental health issues, school suspensions and expulsions and youth justice; however connecting these to family violence is generally anecdotal. We need to have better data and systems across portfolios that talk to each other to understand family violence impacts in a holistic way</w:t>
      </w:r>
      <w:r w:rsidRPr="00872F87">
        <w:t>.</w:t>
      </w:r>
      <w:r>
        <w:rPr>
          <w:rStyle w:val="EndnoteReference"/>
        </w:rPr>
        <w:endnoteReference w:id="491"/>
      </w:r>
    </w:p>
    <w:p w14:paraId="34BF047A" w14:textId="77777777" w:rsidR="000D1D92" w:rsidRDefault="000D1D92" w:rsidP="000D1D92">
      <w:pPr>
        <w:jc w:val="both"/>
        <w:rPr>
          <w:highlight w:val="yellow"/>
        </w:rPr>
      </w:pPr>
      <w:r>
        <w:t xml:space="preserve">The </w:t>
      </w:r>
      <w:r w:rsidRPr="008C7DF3">
        <w:t>National Aboriginal and Torres Strait Islander Women’s Alliance</w:t>
      </w:r>
      <w:r>
        <w:t xml:space="preserve"> told me that:</w:t>
      </w:r>
    </w:p>
    <w:p w14:paraId="1F1B8920" w14:textId="77777777" w:rsidR="000D1D92" w:rsidRDefault="000D1D92" w:rsidP="000D1D92">
      <w:pPr>
        <w:ind w:left="720"/>
        <w:jc w:val="both"/>
        <w:rPr>
          <w:highlight w:val="yellow"/>
        </w:rPr>
      </w:pPr>
      <w:r w:rsidRPr="008753BA">
        <w:rPr>
          <w:sz w:val="22"/>
          <w:szCs w:val="22"/>
        </w:rPr>
        <w:t>The data we collect must be disaggregated, and a matrix must be developed whereby we can be sure that the data we are collecting identifies key elements, similarities, gaps and strengths…A well-developed Matrix data collection will assist in identifying the impacts of Domestic/Family Violence on individual children thus identifying the gamut of resources and/or specialists that must be implemented to assist these children in reaching their full potential. Disaggregated data will also indicate the workforce and training required to address this issue. The data we have available to us at the moment at its best is piecemeal and already out-dated</w:t>
      </w:r>
      <w:r>
        <w:t>.</w:t>
      </w:r>
      <w:r>
        <w:rPr>
          <w:rStyle w:val="EndnoteReference"/>
        </w:rPr>
        <w:endnoteReference w:id="492"/>
      </w:r>
    </w:p>
    <w:p w14:paraId="7E684B11" w14:textId="77777777" w:rsidR="000D1D92" w:rsidRDefault="000D1D92" w:rsidP="000D1D92">
      <w:pPr>
        <w:jc w:val="both"/>
        <w:rPr>
          <w:highlight w:val="yellow"/>
        </w:rPr>
      </w:pPr>
      <w:r>
        <w:t xml:space="preserve">The Western Australia </w:t>
      </w:r>
      <w:r w:rsidRPr="00F170F0">
        <w:t>Aboriginal Family Law Services</w:t>
      </w:r>
      <w:r>
        <w:t xml:space="preserve"> argued that:</w:t>
      </w:r>
    </w:p>
    <w:p w14:paraId="0214BF18" w14:textId="77777777" w:rsidR="000D1D92" w:rsidRDefault="000D1D92" w:rsidP="000D1D92">
      <w:pPr>
        <w:ind w:left="720"/>
        <w:jc w:val="both"/>
        <w:rPr>
          <w:sz w:val="22"/>
          <w:szCs w:val="22"/>
        </w:rPr>
      </w:pPr>
      <w:r w:rsidRPr="008B48CE">
        <w:rPr>
          <w:sz w:val="22"/>
          <w:szCs w:val="22"/>
        </w:rPr>
        <w:t xml:space="preserve">Data related to the prevalence and impact of any policy related to Aboriginal people in Western Australia to date tends to be piecemeal and is not evidence based. This has resulted in unreliable data that does not clearly state the issues that impact Aboriginal communities… Aboriginality needs to be recorded by all services if we are to monitor, evaluate and improve policies and services to Aboriginal people. We currently understand there are some major government and non-government agencies who choose not to ask their clients for this information, as they believe that it may not be relevant to the service they deliver. While this may be the case on the face of it, if we do not understand the use of services – whether under or over use – by Aboriginal people we may not be providing the most appropriate or accessible services possible. </w:t>
      </w:r>
      <w:r w:rsidRPr="008B48CE">
        <w:rPr>
          <w:sz w:val="22"/>
          <w:szCs w:val="22"/>
        </w:rPr>
        <w:lastRenderedPageBreak/>
        <w:t>Therefore, data collection needs to be standardised and disaggregated in order for it to be of most use.</w:t>
      </w:r>
      <w:r>
        <w:rPr>
          <w:rStyle w:val="EndnoteReference"/>
          <w:szCs w:val="22"/>
        </w:rPr>
        <w:endnoteReference w:id="493"/>
      </w:r>
    </w:p>
    <w:p w14:paraId="70F3AF31" w14:textId="77777777" w:rsidR="000D1D92" w:rsidRDefault="000D1D92" w:rsidP="000D1D92">
      <w:pPr>
        <w:jc w:val="both"/>
      </w:pPr>
      <w:r>
        <w:t xml:space="preserve">The </w:t>
      </w:r>
      <w:r w:rsidRPr="00AE41C4">
        <w:t>National Aboriginal and Torres Strait Islander Services</w:t>
      </w:r>
      <w:r>
        <w:t xml:space="preserve"> informed me that:</w:t>
      </w:r>
    </w:p>
    <w:p w14:paraId="4F94E2D6" w14:textId="77777777" w:rsidR="000D1D92" w:rsidRDefault="000D1D92" w:rsidP="000D1D92">
      <w:pPr>
        <w:spacing w:before="0" w:after="0"/>
        <w:ind w:left="720"/>
        <w:jc w:val="both"/>
        <w:rPr>
          <w:sz w:val="22"/>
          <w:szCs w:val="22"/>
        </w:rPr>
      </w:pPr>
      <w:r w:rsidRPr="00FE544C">
        <w:rPr>
          <w:sz w:val="22"/>
          <w:szCs w:val="22"/>
        </w:rPr>
        <w:t>There is a vast divergence in the way that ethnicity of offenders and victims is recorded between states and territories. It is noted that a number of states’ and territories data in this regard is of insufficient quality to be included in national data. This makes obtaining an accurate national picture of how these issues relate to Aboriginal and Torres Strait Islander peoples as a distinct sub-set of the population difficult, and an accurate picture in these states impossible. In this respect, the data of Western Australia, Victoria, Tasmania and the Australian Capital Territory is heavily compromised or non-existent and therefore not included in data provided by the Australian Bureau of Statistics.</w:t>
      </w:r>
      <w:r>
        <w:rPr>
          <w:rStyle w:val="EndnoteReference"/>
          <w:szCs w:val="22"/>
        </w:rPr>
        <w:endnoteReference w:id="494"/>
      </w:r>
      <w:r w:rsidRPr="00FE544C">
        <w:rPr>
          <w:sz w:val="22"/>
          <w:szCs w:val="22"/>
        </w:rPr>
        <w:t xml:space="preserve"> </w:t>
      </w:r>
    </w:p>
    <w:p w14:paraId="1DCF1C36" w14:textId="77777777" w:rsidR="000D1D92" w:rsidRDefault="000D1D92" w:rsidP="000D1D92">
      <w:pPr>
        <w:spacing w:before="0" w:after="0"/>
        <w:ind w:left="720"/>
        <w:jc w:val="both"/>
        <w:rPr>
          <w:sz w:val="22"/>
          <w:szCs w:val="22"/>
        </w:rPr>
      </w:pPr>
    </w:p>
    <w:p w14:paraId="2D7A0FBF" w14:textId="77777777" w:rsidR="000D1D92" w:rsidRPr="00930D66" w:rsidRDefault="000D1D92" w:rsidP="000D1D92">
      <w:pPr>
        <w:spacing w:before="0" w:after="0"/>
        <w:jc w:val="both"/>
      </w:pPr>
      <w:r w:rsidRPr="00930D66">
        <w:t xml:space="preserve">The submission by the National LGBTI Health Alliance </w:t>
      </w:r>
      <w:r>
        <w:t xml:space="preserve">pointed out </w:t>
      </w:r>
      <w:r w:rsidRPr="00930D66">
        <w:t>that:</w:t>
      </w:r>
    </w:p>
    <w:p w14:paraId="3EBADAD8" w14:textId="77777777" w:rsidR="000D1D92" w:rsidRDefault="000D1D92" w:rsidP="000D1D92">
      <w:pPr>
        <w:spacing w:before="0" w:after="0"/>
        <w:jc w:val="both"/>
      </w:pPr>
    </w:p>
    <w:p w14:paraId="216A5CBF" w14:textId="77777777" w:rsidR="000D1D92" w:rsidRPr="00F16B66" w:rsidRDefault="000D1D92" w:rsidP="000D1D92">
      <w:pPr>
        <w:spacing w:before="0" w:after="0"/>
        <w:ind w:left="720"/>
        <w:jc w:val="both"/>
      </w:pPr>
      <w:r w:rsidRPr="00AE40E4">
        <w:rPr>
          <w:sz w:val="22"/>
          <w:szCs w:val="22"/>
        </w:rPr>
        <w:t>In Australia, we have limited to non-existent reliable, nationally representative data on the prevalence, incidence, and factors involved in family and interpersonal violence affecting LGBTI young people…’family and domestic violence’ events experienced by LGBTI young people typically involve additional people beyond parents, biological relatives, and those who cohabit with young people. Some of the many flaws that limit the utility of Australian data are the categorical exclusion of people with intersex characteristics and people of non-binary experience; the treatment of trans as an identity when many people of trans experience identify simply as girls/women or boys/men; the conflation of sexuality, genders, and bodies to item phrasing</w:t>
      </w:r>
      <w:r>
        <w:t>.</w:t>
      </w:r>
      <w:r>
        <w:rPr>
          <w:rStyle w:val="EndnoteReference"/>
        </w:rPr>
        <w:endnoteReference w:id="495"/>
      </w:r>
    </w:p>
    <w:p w14:paraId="0874E1C8" w14:textId="77777777" w:rsidR="000D1D92" w:rsidRDefault="000D1D92" w:rsidP="000D1D92">
      <w:pPr>
        <w:spacing w:before="0" w:after="0"/>
        <w:jc w:val="both"/>
      </w:pPr>
    </w:p>
    <w:p w14:paraId="070679B2" w14:textId="77777777" w:rsidR="000D1D92" w:rsidRDefault="000D1D92" w:rsidP="000D1D92">
      <w:pPr>
        <w:spacing w:before="0" w:after="0"/>
        <w:jc w:val="both"/>
        <w:rPr>
          <w:rFonts w:cs="Arial"/>
        </w:rPr>
      </w:pPr>
      <w:r>
        <w:rPr>
          <w:rFonts w:cs="Arial"/>
        </w:rPr>
        <w:t xml:space="preserve">The ABS, which has been tasked with developing a </w:t>
      </w:r>
      <w:r w:rsidRPr="00FB16BC">
        <w:rPr>
          <w:rFonts w:cs="Arial"/>
          <w:b/>
        </w:rPr>
        <w:t>national data collection and reporting framework</w:t>
      </w:r>
      <w:r>
        <w:rPr>
          <w:rFonts w:cs="Arial"/>
        </w:rPr>
        <w:t xml:space="preserve"> (</w:t>
      </w:r>
      <w:r>
        <w:t>DCRF)</w:t>
      </w:r>
      <w:r>
        <w:rPr>
          <w:rFonts w:cs="Arial"/>
        </w:rPr>
        <w:t xml:space="preserve"> as part of the Second Action Plan in the National Plan, suggests that:</w:t>
      </w:r>
    </w:p>
    <w:p w14:paraId="1E775272" w14:textId="77777777" w:rsidR="000D1D92" w:rsidRDefault="000D1D92" w:rsidP="000D1D92">
      <w:pPr>
        <w:spacing w:before="0" w:after="0"/>
        <w:jc w:val="both"/>
        <w:rPr>
          <w:rFonts w:cs="Arial"/>
        </w:rPr>
      </w:pPr>
    </w:p>
    <w:p w14:paraId="62A29C67" w14:textId="77777777" w:rsidR="000D1D92" w:rsidRPr="00A325ED" w:rsidRDefault="000D1D92" w:rsidP="000D1D92">
      <w:pPr>
        <w:spacing w:before="0" w:after="0"/>
        <w:ind w:left="720"/>
        <w:jc w:val="both"/>
        <w:rPr>
          <w:rFonts w:cs="Arial"/>
        </w:rPr>
      </w:pPr>
      <w:r w:rsidRPr="000F0C87">
        <w:rPr>
          <w:rFonts w:cs="Arial"/>
          <w:sz w:val="22"/>
          <w:szCs w:val="22"/>
        </w:rPr>
        <w:t>Behaviour-based definitions of family, domestic or sexual violence can be used to bridge the gap between objective and subjective definitions. They can also provide the basis for comparability by enabling definitions to be derived from behavioural descriptions, rather than legal definitions that can vary across states and territories</w:t>
      </w:r>
      <w:r>
        <w:rPr>
          <w:rFonts w:cs="Arial"/>
        </w:rPr>
        <w:t>.</w:t>
      </w:r>
      <w:r w:rsidRPr="00A325ED">
        <w:rPr>
          <w:rStyle w:val="EndnoteReference"/>
          <w:rFonts w:cs="Arial"/>
          <w:sz w:val="24"/>
        </w:rPr>
        <w:t xml:space="preserve"> </w:t>
      </w:r>
      <w:r w:rsidRPr="00100D3F">
        <w:rPr>
          <w:rStyle w:val="EndnoteReference"/>
          <w:rFonts w:cs="Arial"/>
          <w:sz w:val="22"/>
        </w:rPr>
        <w:endnoteReference w:id="496"/>
      </w:r>
    </w:p>
    <w:p w14:paraId="13571614" w14:textId="77777777" w:rsidR="000D1D92" w:rsidRDefault="000D1D92" w:rsidP="000D1D92">
      <w:pPr>
        <w:spacing w:before="0" w:after="0"/>
        <w:jc w:val="both"/>
        <w:rPr>
          <w:rFonts w:cs="Arial"/>
        </w:rPr>
      </w:pPr>
    </w:p>
    <w:p w14:paraId="0EF6BE02" w14:textId="77777777" w:rsidR="000D1D92" w:rsidRPr="002A1428" w:rsidRDefault="000D1D92" w:rsidP="000D1D92">
      <w:pPr>
        <w:spacing w:before="0" w:after="0"/>
        <w:jc w:val="both"/>
      </w:pPr>
      <w:r>
        <w:t>Mr William Milne, ABS Director of the National Centre for Crime and Justice Statistics predicts that:</w:t>
      </w:r>
    </w:p>
    <w:p w14:paraId="2AE403CE" w14:textId="77777777" w:rsidR="000D1D92" w:rsidRDefault="000D1D92" w:rsidP="000D1D92">
      <w:pPr>
        <w:spacing w:before="0" w:after="0"/>
        <w:jc w:val="both"/>
      </w:pPr>
    </w:p>
    <w:p w14:paraId="0872CEB4" w14:textId="77777777" w:rsidR="000D1D92" w:rsidRDefault="000D1D92" w:rsidP="000D1D92">
      <w:pPr>
        <w:spacing w:before="0" w:after="0"/>
        <w:ind w:left="720"/>
        <w:jc w:val="both"/>
        <w:rPr>
          <w:sz w:val="22"/>
          <w:szCs w:val="22"/>
        </w:rPr>
      </w:pPr>
      <w:r w:rsidRPr="000F0C87">
        <w:rPr>
          <w:sz w:val="22"/>
          <w:szCs w:val="22"/>
        </w:rPr>
        <w:t>When the national data collection and reporting framework is in place, researchers will be able to better identify common characteristics of family and domestic violence incidents…</w:t>
      </w:r>
    </w:p>
    <w:p w14:paraId="37709334" w14:textId="77777777" w:rsidR="000D1D92" w:rsidRDefault="000D1D92" w:rsidP="000D1D92">
      <w:pPr>
        <w:spacing w:before="0" w:after="0"/>
        <w:ind w:left="720"/>
        <w:jc w:val="both"/>
        <w:rPr>
          <w:sz w:val="22"/>
          <w:szCs w:val="22"/>
        </w:rPr>
      </w:pPr>
    </w:p>
    <w:p w14:paraId="74CBF420" w14:textId="77777777" w:rsidR="000D1D92" w:rsidRDefault="000D1D92" w:rsidP="000D1D92">
      <w:pPr>
        <w:spacing w:before="0" w:after="0"/>
        <w:ind w:left="720"/>
        <w:jc w:val="both"/>
      </w:pPr>
      <w:r w:rsidRPr="000F0C87">
        <w:rPr>
          <w:sz w:val="22"/>
          <w:szCs w:val="22"/>
        </w:rPr>
        <w:t>They'll be able to create demographic and economic profiles, see family relationships, the types of violence and frequency of events, as well as look at resulting outcomes such as court proceedings, need for medical treatment or use of services such as housing assistance or counselling at the local, jurisdictional and national levels</w:t>
      </w:r>
      <w:r>
        <w:t>.</w:t>
      </w:r>
      <w:r w:rsidRPr="003904AD">
        <w:rPr>
          <w:rStyle w:val="EndnoteReference"/>
        </w:rPr>
        <w:t xml:space="preserve"> </w:t>
      </w:r>
      <w:r>
        <w:rPr>
          <w:rStyle w:val="EndnoteReference"/>
        </w:rPr>
        <w:endnoteReference w:id="497"/>
      </w:r>
    </w:p>
    <w:p w14:paraId="4F615F58" w14:textId="77777777" w:rsidR="000D1D92" w:rsidRDefault="000D1D92" w:rsidP="000D1D92">
      <w:pPr>
        <w:spacing w:before="0" w:after="0"/>
        <w:jc w:val="both"/>
        <w:rPr>
          <w:rFonts w:cs="Arial"/>
        </w:rPr>
      </w:pPr>
    </w:p>
    <w:p w14:paraId="65938636" w14:textId="77777777" w:rsidR="000D1D92" w:rsidRDefault="000D1D92" w:rsidP="000D1D92">
      <w:pPr>
        <w:spacing w:before="0" w:after="0"/>
        <w:jc w:val="both"/>
        <w:rPr>
          <w:rFonts w:cs="Arial"/>
        </w:rPr>
      </w:pPr>
      <w:r>
        <w:rPr>
          <w:rFonts w:cs="Arial"/>
        </w:rPr>
        <w:t>ABS provides a foundation to support a common language which can be used to measure family, domestic and sexual violence. The purpose of a definition in this context is to assist in the collection of data.</w:t>
      </w:r>
      <w:r>
        <w:rPr>
          <w:rStyle w:val="EndnoteReference"/>
          <w:rFonts w:cs="Arial"/>
        </w:rPr>
        <w:endnoteReference w:id="498"/>
      </w:r>
      <w:r>
        <w:rPr>
          <w:rFonts w:cs="Arial"/>
        </w:rPr>
        <w:t xml:space="preserve"> </w:t>
      </w:r>
    </w:p>
    <w:p w14:paraId="6790BE40" w14:textId="77777777" w:rsidR="000D1D92" w:rsidRDefault="000D1D92" w:rsidP="000D1D92">
      <w:pPr>
        <w:spacing w:before="0" w:after="0"/>
        <w:jc w:val="both"/>
      </w:pPr>
    </w:p>
    <w:p w14:paraId="36DF8806" w14:textId="77777777" w:rsidR="000D1D92" w:rsidRDefault="000D1D92" w:rsidP="000D1D92">
      <w:pPr>
        <w:spacing w:before="0" w:after="0"/>
        <w:jc w:val="both"/>
      </w:pPr>
      <w:r>
        <w:rPr>
          <w:rFonts w:cs="Arial"/>
        </w:rPr>
        <w:lastRenderedPageBreak/>
        <w:t>The DCRF focuses on improving the quality and consistency of the inputs (data collection) in an effort to lay the basis for answering research and policy questions (reporting).</w:t>
      </w:r>
      <w:r>
        <w:rPr>
          <w:rStyle w:val="EndnoteReference"/>
          <w:rFonts w:cs="Arial"/>
        </w:rPr>
        <w:endnoteReference w:id="499"/>
      </w:r>
      <w:r>
        <w:rPr>
          <w:rFonts w:cs="Arial"/>
        </w:rPr>
        <w:t xml:space="preserve"> A diagram describing the DCRF is included on page 23.</w:t>
      </w:r>
    </w:p>
    <w:p w14:paraId="0D87843A" w14:textId="77777777" w:rsidR="000D1D92" w:rsidRDefault="000D1D92" w:rsidP="000D1D92">
      <w:pPr>
        <w:rPr>
          <w:b/>
        </w:rPr>
      </w:pPr>
      <w:r w:rsidRPr="00D13BD8">
        <w:rPr>
          <w:b/>
        </w:rPr>
        <w:t>Foundations for a National Data Collection and Reporting Framework (DCRF)</w:t>
      </w:r>
      <w:r w:rsidRPr="00D13BD8">
        <w:rPr>
          <w:rStyle w:val="EndnoteReference"/>
          <w:b/>
        </w:rPr>
        <w:endnoteReference w:id="500"/>
      </w:r>
    </w:p>
    <w:p w14:paraId="22E854E0" w14:textId="77777777" w:rsidR="000D1D92" w:rsidRPr="00D13BD8" w:rsidRDefault="000D1D92" w:rsidP="000D1D92">
      <w:pPr>
        <w:rPr>
          <w:b/>
        </w:rPr>
      </w:pPr>
      <w:r>
        <w:rPr>
          <w:b/>
          <w:noProof/>
        </w:rPr>
        <w:drawing>
          <wp:inline distT="0" distB="0" distL="0" distR="0" wp14:anchorId="1DFD2071" wp14:editId="12D2503E">
            <wp:extent cx="5759450" cy="3922395"/>
            <wp:effectExtent l="0" t="0" r="0" b="190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1F4DF0C.tmp"/>
                    <pic:cNvPicPr/>
                  </pic:nvPicPr>
                  <pic:blipFill>
                    <a:blip r:embed="rId41">
                      <a:extLst>
                        <a:ext uri="{28A0092B-C50C-407E-A947-70E740481C1C}">
                          <a14:useLocalDpi xmlns:a14="http://schemas.microsoft.com/office/drawing/2010/main" val="0"/>
                        </a:ext>
                      </a:extLst>
                    </a:blip>
                    <a:stretch>
                      <a:fillRect/>
                    </a:stretch>
                  </pic:blipFill>
                  <pic:spPr>
                    <a:xfrm>
                      <a:off x="0" y="0"/>
                      <a:ext cx="5759450" cy="3922395"/>
                    </a:xfrm>
                    <a:prstGeom prst="rect">
                      <a:avLst/>
                    </a:prstGeom>
                  </pic:spPr>
                </pic:pic>
              </a:graphicData>
            </a:graphic>
          </wp:inline>
        </w:drawing>
      </w:r>
    </w:p>
    <w:p w14:paraId="460CEADE" w14:textId="77777777" w:rsidR="000D1D92" w:rsidRDefault="000D1D92" w:rsidP="000D1D92">
      <w:pPr>
        <w:spacing w:before="0" w:after="0"/>
        <w:jc w:val="both"/>
      </w:pPr>
      <w:r>
        <w:t>The DCRF will capture information and data through three ‘information units’: person, event and transaction. This breakdown helps create an understanding of individual experiences of family, domestic and sexual violence, as well as a broader picture of trends and at risk groups that can be targeted for intervention and prevention measures.</w:t>
      </w:r>
    </w:p>
    <w:p w14:paraId="789B2A26" w14:textId="77777777" w:rsidR="000D1D92" w:rsidRDefault="000D1D92" w:rsidP="000D1D92">
      <w:pPr>
        <w:spacing w:before="0" w:after="0"/>
        <w:jc w:val="both"/>
      </w:pPr>
    </w:p>
    <w:p w14:paraId="73ACFC65" w14:textId="77777777" w:rsidR="000D1D92" w:rsidRDefault="000D1D92" w:rsidP="000D1D92">
      <w:pPr>
        <w:spacing w:before="0" w:after="0"/>
        <w:jc w:val="both"/>
      </w:pPr>
      <w:r>
        <w:t>The ‘person’ unit collects information about the individual experiencing the violence, for example; their age, sex, location, Indigenous status, CALD background, relationship, and economic status. This data will help create a greater understanding of who experiences or is exposed to family, domestic and sexual violence, the prevalence of it and common risk factors. It also allows for assessment of barriers that stand between individuals and their access to support services, such as language, finances, and proximity.</w:t>
      </w:r>
    </w:p>
    <w:p w14:paraId="4E5BB3FD" w14:textId="77777777" w:rsidR="000D1D92" w:rsidRDefault="000D1D92" w:rsidP="000D1D92">
      <w:pPr>
        <w:spacing w:before="0" w:after="0"/>
        <w:jc w:val="both"/>
      </w:pPr>
    </w:p>
    <w:p w14:paraId="2F14D025" w14:textId="77777777" w:rsidR="000D1D92" w:rsidRDefault="000D1D92" w:rsidP="000D1D92">
      <w:pPr>
        <w:spacing w:before="0" w:after="0"/>
        <w:jc w:val="both"/>
      </w:pPr>
      <w:r>
        <w:t>The ‘event’ unit provides information on how, when and where family, domestic and sexual violence occurs. It identifies the types of relationships and situations in which family, domestic and sexual violence is more likely to occur, assisting in improving the delivery and operations of support services. Understanding the environment where family, domestic and sexual violence occurs can also help to develop more accurate and targeted education and prevention initiatives.</w:t>
      </w:r>
    </w:p>
    <w:p w14:paraId="4C81F01C" w14:textId="77777777" w:rsidR="000D1D92" w:rsidRDefault="000D1D92" w:rsidP="000D1D92">
      <w:pPr>
        <w:spacing w:before="0" w:after="0"/>
        <w:jc w:val="both"/>
      </w:pPr>
    </w:p>
    <w:p w14:paraId="2FE545C1" w14:textId="77777777" w:rsidR="000D1D92" w:rsidRDefault="000D1D92" w:rsidP="000D1D92">
      <w:pPr>
        <w:spacing w:before="0" w:after="0"/>
        <w:jc w:val="both"/>
      </w:pPr>
      <w:r>
        <w:lastRenderedPageBreak/>
        <w:t>Finally, the ‘transaction’ unit comprises two sets of data – the types of services sought by individuals experiencing violence and the outcome of the interactions with the services. This data can help in assessing demand for services and those services which are best placed to deal with experiences of violence. Combined with the first two information units, it can also inform on the issues surrounding service delivery, such as the proximity of the individual to support services, including areas where there are insufficient services or resources to respond to the demand and needs of individuals experiencing violence.</w:t>
      </w:r>
    </w:p>
    <w:p w14:paraId="09B1BFF4" w14:textId="77777777" w:rsidR="000D1D92" w:rsidRDefault="000D1D92" w:rsidP="000D1D92">
      <w:pPr>
        <w:spacing w:before="0" w:after="0"/>
        <w:jc w:val="both"/>
        <w:rPr>
          <w:b/>
        </w:rPr>
      </w:pPr>
    </w:p>
    <w:p w14:paraId="031DA805" w14:textId="77777777" w:rsidR="000D1D92" w:rsidRDefault="000D1D92" w:rsidP="000D1D92">
      <w:pPr>
        <w:spacing w:before="0" w:after="0"/>
        <w:jc w:val="both"/>
      </w:pPr>
      <w:r>
        <w:t xml:space="preserve">This foundation work by ABS was developed in consultation with </w:t>
      </w:r>
      <w:r w:rsidRPr="005904B8">
        <w:t>researchers, frontline contacts such as state and territory justice agencies, and supporting organisations like hospitals and accommodation providers</w:t>
      </w:r>
      <w:r>
        <w:t>.</w:t>
      </w:r>
      <w:r>
        <w:rPr>
          <w:rStyle w:val="EndnoteReference"/>
        </w:rPr>
        <w:endnoteReference w:id="501"/>
      </w:r>
    </w:p>
    <w:p w14:paraId="23C37A05" w14:textId="77777777" w:rsidR="000D1D92" w:rsidRDefault="000D1D92" w:rsidP="000D1D92">
      <w:pPr>
        <w:spacing w:before="0" w:after="0"/>
        <w:jc w:val="both"/>
      </w:pPr>
    </w:p>
    <w:p w14:paraId="1D2CE01F" w14:textId="77777777" w:rsidR="000D1D92" w:rsidRDefault="000D1D92" w:rsidP="000D1D92">
      <w:pPr>
        <w:spacing w:before="0" w:after="0"/>
        <w:jc w:val="both"/>
      </w:pPr>
      <w:r>
        <w:t>The ABS asserts that:</w:t>
      </w:r>
    </w:p>
    <w:p w14:paraId="5D9EC89F" w14:textId="77777777" w:rsidR="000D1D92" w:rsidRDefault="000D1D92" w:rsidP="000D1D92">
      <w:pPr>
        <w:spacing w:before="0" w:after="0"/>
        <w:jc w:val="both"/>
      </w:pPr>
    </w:p>
    <w:p w14:paraId="2F8360EB" w14:textId="77777777" w:rsidR="000D1D92" w:rsidRDefault="000D1D92" w:rsidP="000D1D92">
      <w:pPr>
        <w:spacing w:before="0" w:after="0"/>
        <w:ind w:left="720"/>
        <w:jc w:val="both"/>
      </w:pPr>
      <w:r w:rsidRPr="00590835">
        <w:rPr>
          <w:sz w:val="22"/>
          <w:szCs w:val="22"/>
        </w:rPr>
        <w:t>Adoption of the key data items outlined in the DCRF will provide the foundations for the creation of strong reporting frameworks, at the local, jurisdictional and national levels</w:t>
      </w:r>
      <w:r>
        <w:t>.</w:t>
      </w:r>
      <w:r>
        <w:rPr>
          <w:rStyle w:val="EndnoteReference"/>
          <w:b/>
        </w:rPr>
        <w:endnoteReference w:id="502"/>
      </w:r>
    </w:p>
    <w:p w14:paraId="5E29D316" w14:textId="77777777" w:rsidR="000D1D92" w:rsidRDefault="000D1D92" w:rsidP="000D1D92">
      <w:pPr>
        <w:spacing w:before="0" w:after="0"/>
        <w:jc w:val="both"/>
      </w:pPr>
    </w:p>
    <w:p w14:paraId="0593EA48" w14:textId="77777777" w:rsidR="000D1D92" w:rsidRDefault="000D1D92" w:rsidP="000D1D92">
      <w:pPr>
        <w:spacing w:before="0" w:after="0"/>
        <w:jc w:val="both"/>
        <w:rPr>
          <w:b/>
        </w:rPr>
      </w:pPr>
      <w:r>
        <w:t>The challenge now is for all those working across the jurisdictions to adopt the foundations of the ABS National Data Collection and Reporting Framework.</w:t>
      </w:r>
      <w:r>
        <w:rPr>
          <w:b/>
        </w:rPr>
        <w:t xml:space="preserve"> </w:t>
      </w:r>
    </w:p>
    <w:p w14:paraId="168F863B" w14:textId="77777777" w:rsidR="000D1D92" w:rsidRDefault="000D1D92" w:rsidP="000D1D92">
      <w:pPr>
        <w:spacing w:before="0" w:after="0"/>
        <w:jc w:val="both"/>
      </w:pPr>
    </w:p>
    <w:p w14:paraId="1B1D3025" w14:textId="77777777" w:rsidR="000D1D92" w:rsidRDefault="000D1D92" w:rsidP="000D1D92">
      <w:pPr>
        <w:spacing w:before="0" w:after="0"/>
        <w:jc w:val="both"/>
      </w:pPr>
      <w:r>
        <w:t>The ABS is currently working with agencies and jurisdictions towards adopting the foundations of its framework.</w:t>
      </w:r>
      <w:r>
        <w:rPr>
          <w:rStyle w:val="EndnoteReference"/>
        </w:rPr>
        <w:endnoteReference w:id="503"/>
      </w:r>
      <w:r>
        <w:t xml:space="preserve"> </w:t>
      </w:r>
    </w:p>
    <w:p w14:paraId="49CCC372" w14:textId="77777777" w:rsidR="000D1D92" w:rsidRDefault="000D1D92" w:rsidP="000D1D92">
      <w:pPr>
        <w:spacing w:before="0" w:after="0"/>
        <w:jc w:val="both"/>
      </w:pPr>
    </w:p>
    <w:p w14:paraId="4F72DB9B" w14:textId="77777777" w:rsidR="000D1D92" w:rsidRDefault="000D1D92" w:rsidP="000D1D92">
      <w:pPr>
        <w:spacing w:before="0" w:after="0"/>
        <w:jc w:val="both"/>
      </w:pPr>
      <w:r>
        <w:t>COAG has endorsed having the ABS National Data Collection and Reporting Framework operational by 2022 under the National Plan to Reduce Violence against Women and their Children.</w:t>
      </w:r>
      <w:r w:rsidRPr="00BD56A7">
        <w:rPr>
          <w:rStyle w:val="EndnoteReference"/>
        </w:rPr>
        <w:t xml:space="preserve"> </w:t>
      </w:r>
      <w:r>
        <w:rPr>
          <w:rStyle w:val="EndnoteReference"/>
        </w:rPr>
        <w:endnoteReference w:id="504"/>
      </w:r>
    </w:p>
    <w:p w14:paraId="045FB86E" w14:textId="77777777" w:rsidR="000D1D92" w:rsidRDefault="000D1D92" w:rsidP="000D1D92">
      <w:pPr>
        <w:spacing w:before="0" w:after="0"/>
        <w:jc w:val="both"/>
      </w:pPr>
    </w:p>
    <w:tbl>
      <w:tblPr>
        <w:tblStyle w:val="TableGrid"/>
        <w:tblW w:w="0" w:type="auto"/>
        <w:shd w:val="clear" w:color="auto" w:fill="F2F2F2" w:themeFill="background1" w:themeFillShade="F2"/>
        <w:tblLook w:val="04A0" w:firstRow="1" w:lastRow="0" w:firstColumn="1" w:lastColumn="0" w:noHBand="0" w:noVBand="1"/>
      </w:tblPr>
      <w:tblGrid>
        <w:gridCol w:w="9286"/>
      </w:tblGrid>
      <w:tr w:rsidR="000D1D92" w14:paraId="637C02D2" w14:textId="77777777" w:rsidTr="00684616">
        <w:tc>
          <w:tcPr>
            <w:tcW w:w="9286" w:type="dxa"/>
            <w:shd w:val="clear" w:color="auto" w:fill="F2F2F2" w:themeFill="background1" w:themeFillShade="F2"/>
          </w:tcPr>
          <w:p w14:paraId="673315BF" w14:textId="77777777" w:rsidR="000D1D92" w:rsidRDefault="000D1D92" w:rsidP="00684616">
            <w:pPr>
              <w:spacing w:before="0" w:after="0"/>
              <w:jc w:val="both"/>
              <w:rPr>
                <w:b/>
              </w:rPr>
            </w:pPr>
          </w:p>
          <w:p w14:paraId="2DD62CA9" w14:textId="77777777" w:rsidR="000D1D92" w:rsidRDefault="000D1D92" w:rsidP="00684616">
            <w:pPr>
              <w:spacing w:before="0" w:after="0"/>
              <w:jc w:val="both"/>
              <w:rPr>
                <w:b/>
              </w:rPr>
            </w:pPr>
            <w:r>
              <w:rPr>
                <w:b/>
              </w:rPr>
              <w:t>Recommendation 3:</w:t>
            </w:r>
          </w:p>
          <w:p w14:paraId="0C7C14EE" w14:textId="77777777" w:rsidR="000D1D92" w:rsidRDefault="000D1D92" w:rsidP="00684616">
            <w:pPr>
              <w:spacing w:before="0" w:after="0"/>
              <w:jc w:val="both"/>
              <w:rPr>
                <w:b/>
              </w:rPr>
            </w:pPr>
          </w:p>
          <w:p w14:paraId="0F3BB785" w14:textId="77777777" w:rsidR="000D1D92" w:rsidRDefault="000D1D92" w:rsidP="00684616">
            <w:pPr>
              <w:spacing w:before="0" w:after="0"/>
              <w:jc w:val="both"/>
              <w:rPr>
                <w:b/>
              </w:rPr>
            </w:pPr>
            <w:r>
              <w:rPr>
                <w:b/>
              </w:rPr>
              <w:t xml:space="preserve">The Annual Progress Reports of the National Plan to Reduce Violence against Women and their Children should detail how all jurisdictions are working towards implementing the Australian </w:t>
            </w:r>
            <w:r w:rsidRPr="0095244B">
              <w:rPr>
                <w:b/>
              </w:rPr>
              <w:t>Bureau of Statistics National Data Collection and Reporting Framework.</w:t>
            </w:r>
          </w:p>
          <w:p w14:paraId="00FC209E" w14:textId="77777777" w:rsidR="000D1D92" w:rsidRDefault="000D1D92" w:rsidP="00684616">
            <w:pPr>
              <w:spacing w:before="0" w:after="0"/>
              <w:jc w:val="both"/>
            </w:pPr>
          </w:p>
        </w:tc>
      </w:tr>
    </w:tbl>
    <w:p w14:paraId="27851FB0" w14:textId="77777777" w:rsidR="000D1D92" w:rsidRDefault="000D1D92" w:rsidP="000D1D92">
      <w:pPr>
        <w:spacing w:before="0" w:after="0"/>
        <w:jc w:val="both"/>
      </w:pPr>
    </w:p>
    <w:p w14:paraId="391D695F" w14:textId="77777777" w:rsidR="000D1D92" w:rsidRDefault="000D1D92" w:rsidP="000D1D92">
      <w:pPr>
        <w:spacing w:before="0" w:after="0"/>
        <w:jc w:val="both"/>
      </w:pPr>
      <w:r>
        <w:t xml:space="preserve">While I strongly support the work of the ABS, it is imperative that the DCRF and its users record a child’s experience </w:t>
      </w:r>
      <w:r w:rsidRPr="002A403B">
        <w:t>of family and domestic violence as a separate entry in the Australian Bureau of Statistics National Data Collection and Reporting Framework, and not just part of an adult entry.</w:t>
      </w:r>
    </w:p>
    <w:p w14:paraId="38603176" w14:textId="77777777" w:rsidR="000D1D92" w:rsidRDefault="000D1D92" w:rsidP="000D1D92">
      <w:pPr>
        <w:spacing w:before="0" w:after="0"/>
        <w:jc w:val="both"/>
      </w:pPr>
    </w:p>
    <w:p w14:paraId="5D564E70" w14:textId="77777777" w:rsidR="000D1D92" w:rsidRDefault="000D1D92" w:rsidP="000D1D92">
      <w:pPr>
        <w:spacing w:before="0" w:after="0"/>
        <w:jc w:val="both"/>
      </w:pPr>
      <w:r>
        <w:t>The need to separately record data about children’s experiences of family and domestic violence was raised by the NSW Government in its submission:</w:t>
      </w:r>
    </w:p>
    <w:p w14:paraId="530BFEF8" w14:textId="77777777" w:rsidR="000D1D92" w:rsidRDefault="000D1D92" w:rsidP="000D1D92">
      <w:pPr>
        <w:spacing w:before="0" w:after="0"/>
        <w:jc w:val="both"/>
      </w:pPr>
    </w:p>
    <w:p w14:paraId="0E415999" w14:textId="77777777" w:rsidR="000D1D92" w:rsidRPr="00AE40E4" w:rsidRDefault="000D1D92" w:rsidP="000D1D92">
      <w:pPr>
        <w:spacing w:before="0" w:after="0"/>
        <w:ind w:left="720"/>
        <w:jc w:val="both"/>
        <w:rPr>
          <w:rFonts w:cs="Arial"/>
          <w:sz w:val="22"/>
          <w:szCs w:val="22"/>
          <w:lang w:val="en-US"/>
        </w:rPr>
      </w:pPr>
      <w:r w:rsidRPr="00AE40E4">
        <w:rPr>
          <w:rFonts w:cs="Arial"/>
          <w:sz w:val="22"/>
          <w:szCs w:val="22"/>
          <w:lang w:val="en-US"/>
        </w:rPr>
        <w:t>Given the extent of the impact of domestic and family violence on children, it is important that they are considered victims in their own right so that policy and operations are reflective.</w:t>
      </w:r>
      <w:r w:rsidRPr="00AE40E4">
        <w:rPr>
          <w:rStyle w:val="EndnoteReference"/>
          <w:rFonts w:cs="Arial"/>
          <w:sz w:val="22"/>
          <w:szCs w:val="22"/>
          <w:lang w:val="en-US"/>
        </w:rPr>
        <w:endnoteReference w:id="505"/>
      </w:r>
    </w:p>
    <w:p w14:paraId="7C16EC77" w14:textId="77777777" w:rsidR="000D1D92" w:rsidRPr="00AE40E4" w:rsidRDefault="000D1D92" w:rsidP="000D1D92">
      <w:pPr>
        <w:spacing w:before="0" w:after="0"/>
        <w:ind w:left="360"/>
        <w:jc w:val="both"/>
        <w:rPr>
          <w:rFonts w:cs="Arial"/>
          <w:sz w:val="22"/>
          <w:szCs w:val="22"/>
          <w:lang w:val="en-US"/>
        </w:rPr>
      </w:pPr>
    </w:p>
    <w:p w14:paraId="167A7FAD" w14:textId="77777777" w:rsidR="000D1D92" w:rsidRDefault="000D1D92" w:rsidP="000D1D92">
      <w:pPr>
        <w:spacing w:before="0" w:after="0"/>
        <w:ind w:left="720"/>
        <w:jc w:val="both"/>
        <w:rPr>
          <w:rFonts w:cs="Arial"/>
        </w:rPr>
      </w:pPr>
      <w:r w:rsidRPr="00AE40E4">
        <w:rPr>
          <w:rFonts w:cs="Arial"/>
          <w:sz w:val="22"/>
          <w:szCs w:val="22"/>
        </w:rPr>
        <w:t xml:space="preserve">Improvements are needed in how domestic and family violence is identified and flagged in relevant data sets across the areas of child protection, health, housing, and </w:t>
      </w:r>
      <w:r w:rsidRPr="00AE40E4">
        <w:rPr>
          <w:rFonts w:cs="Arial"/>
          <w:sz w:val="22"/>
          <w:szCs w:val="22"/>
        </w:rPr>
        <w:lastRenderedPageBreak/>
        <w:t>police and justice systems. This is a particular challenge in terms of capturing information about children affected by violence, as they are often not recorded as a victim or the recipient of services or service referrals. Better and wider flagging of domestic and family violence at a program level across the service system (for example, as a vulnerability where children and families are accessing or affected by services) would build our understanding of how children are affected by domestic and family violence</w:t>
      </w:r>
      <w:r w:rsidRPr="002F7093">
        <w:rPr>
          <w:rFonts w:cs="Arial"/>
        </w:rPr>
        <w:t>.</w:t>
      </w:r>
      <w:r>
        <w:rPr>
          <w:rStyle w:val="EndnoteReference"/>
          <w:rFonts w:cs="Arial"/>
        </w:rPr>
        <w:endnoteReference w:id="506"/>
      </w:r>
    </w:p>
    <w:p w14:paraId="7480DFCB" w14:textId="77777777" w:rsidR="000D1D92" w:rsidRDefault="000D1D92" w:rsidP="000D1D92">
      <w:pPr>
        <w:spacing w:before="0" w:after="0"/>
        <w:jc w:val="both"/>
      </w:pPr>
    </w:p>
    <w:p w14:paraId="0F1667AF" w14:textId="77777777" w:rsidR="000D1D92" w:rsidRDefault="000D1D92" w:rsidP="000D1D92">
      <w:pPr>
        <w:spacing w:before="0" w:after="0"/>
        <w:jc w:val="both"/>
        <w:rPr>
          <w:rFonts w:cs="Arial"/>
        </w:rPr>
      </w:pPr>
      <w:r>
        <w:rPr>
          <w:rFonts w:cs="Arial"/>
        </w:rPr>
        <w:t>The submission by the NSW Advocate for Children and Young People reinforces this point:</w:t>
      </w:r>
    </w:p>
    <w:p w14:paraId="69945EA4" w14:textId="77777777" w:rsidR="000D1D92" w:rsidRDefault="000D1D92" w:rsidP="000D1D92">
      <w:pPr>
        <w:spacing w:before="0" w:after="0"/>
        <w:jc w:val="both"/>
        <w:rPr>
          <w:rFonts w:cs="Arial"/>
        </w:rPr>
      </w:pPr>
    </w:p>
    <w:p w14:paraId="7BFFB103" w14:textId="77777777" w:rsidR="000D1D92" w:rsidRDefault="000D1D92" w:rsidP="000D1D92">
      <w:pPr>
        <w:spacing w:before="0" w:after="0"/>
        <w:ind w:left="720"/>
        <w:jc w:val="both"/>
        <w:rPr>
          <w:rFonts w:cs="Arial"/>
        </w:rPr>
      </w:pPr>
      <w:r w:rsidRPr="00AE40E4">
        <w:rPr>
          <w:rFonts w:cs="Arial"/>
          <w:sz w:val="22"/>
          <w:szCs w:val="22"/>
        </w:rPr>
        <w:t>It may be helpful to consider children’s experience of violence in the home in its own right and not only as it relates to witnessing or being part of domestic and family violence/ intimate partner violence experienced by adults in the home</w:t>
      </w:r>
      <w:r>
        <w:rPr>
          <w:rFonts w:cs="Arial"/>
        </w:rPr>
        <w:t>.</w:t>
      </w:r>
      <w:r>
        <w:rPr>
          <w:rStyle w:val="EndnoteReference"/>
          <w:rFonts w:cs="Arial"/>
        </w:rPr>
        <w:endnoteReference w:id="507"/>
      </w:r>
      <w:r>
        <w:rPr>
          <w:rFonts w:cs="Arial"/>
        </w:rPr>
        <w:t xml:space="preserve"> </w:t>
      </w:r>
    </w:p>
    <w:p w14:paraId="1B36AE76" w14:textId="77777777" w:rsidR="000D1D92" w:rsidRDefault="000D1D92" w:rsidP="000D1D92">
      <w:pPr>
        <w:spacing w:before="0" w:after="0"/>
        <w:ind w:left="720"/>
        <w:jc w:val="both"/>
        <w:rPr>
          <w:rFonts w:cs="Arial"/>
        </w:rPr>
      </w:pPr>
    </w:p>
    <w:p w14:paraId="1BCFADC6" w14:textId="77777777" w:rsidR="000D1D92" w:rsidRPr="008C76DD" w:rsidRDefault="000D1D92" w:rsidP="000D1D92">
      <w:pPr>
        <w:autoSpaceDE w:val="0"/>
        <w:autoSpaceDN w:val="0"/>
        <w:adjustRightInd w:val="0"/>
        <w:spacing w:before="0" w:after="0"/>
        <w:jc w:val="both"/>
        <w:rPr>
          <w:rFonts w:cs="Arial"/>
        </w:rPr>
      </w:pPr>
      <w:r w:rsidRPr="008C76DD">
        <w:rPr>
          <w:rFonts w:cs="Arial"/>
        </w:rPr>
        <w:t>Aca</w:t>
      </w:r>
      <w:r>
        <w:rPr>
          <w:rFonts w:cs="Arial"/>
        </w:rPr>
        <w:t>demic, Nick</w:t>
      </w:r>
      <w:r w:rsidRPr="008C76DD">
        <w:rPr>
          <w:rFonts w:cs="Arial"/>
        </w:rPr>
        <w:t>y Stanley</w:t>
      </w:r>
      <w:r>
        <w:rPr>
          <w:rFonts w:cs="Arial"/>
        </w:rPr>
        <w:t>,</w:t>
      </w:r>
      <w:r w:rsidRPr="008C76DD">
        <w:rPr>
          <w:rFonts w:cs="Arial"/>
        </w:rPr>
        <w:t xml:space="preserve"> </w:t>
      </w:r>
      <w:r>
        <w:rPr>
          <w:rFonts w:cs="Arial"/>
        </w:rPr>
        <w:t>maintains that</w:t>
      </w:r>
      <w:r w:rsidRPr="008C76DD">
        <w:rPr>
          <w:rFonts w:cs="Arial"/>
        </w:rPr>
        <w:t>:</w:t>
      </w:r>
    </w:p>
    <w:p w14:paraId="094A54A8" w14:textId="77777777" w:rsidR="000D1D92" w:rsidRPr="008C76DD" w:rsidRDefault="000D1D92" w:rsidP="000D1D92">
      <w:pPr>
        <w:autoSpaceDE w:val="0"/>
        <w:autoSpaceDN w:val="0"/>
        <w:adjustRightInd w:val="0"/>
        <w:spacing w:before="0" w:after="0"/>
        <w:jc w:val="both"/>
        <w:rPr>
          <w:rFonts w:cs="Arial"/>
        </w:rPr>
      </w:pPr>
    </w:p>
    <w:p w14:paraId="039E6EB4" w14:textId="77777777" w:rsidR="000D1D92" w:rsidRDefault="000D1D92" w:rsidP="000D1D92">
      <w:pPr>
        <w:autoSpaceDE w:val="0"/>
        <w:autoSpaceDN w:val="0"/>
        <w:adjustRightInd w:val="0"/>
        <w:spacing w:before="0" w:after="0"/>
        <w:ind w:left="720"/>
        <w:jc w:val="both"/>
        <w:rPr>
          <w:rFonts w:cs="Arial"/>
        </w:rPr>
      </w:pPr>
      <w:r w:rsidRPr="00AE40E4">
        <w:rPr>
          <w:rFonts w:cs="Arial"/>
          <w:sz w:val="22"/>
          <w:szCs w:val="22"/>
        </w:rPr>
        <w:t>Children’s involvement in domestic violence is intimate and central rather than peripheral</w:t>
      </w:r>
      <w:r w:rsidRPr="008C76DD">
        <w:rPr>
          <w:rFonts w:cs="Arial"/>
        </w:rPr>
        <w:t>.</w:t>
      </w:r>
      <w:r>
        <w:rPr>
          <w:rStyle w:val="EndnoteReference"/>
          <w:rFonts w:cs="Arial"/>
        </w:rPr>
        <w:endnoteReference w:id="508"/>
      </w:r>
    </w:p>
    <w:p w14:paraId="70098F4F" w14:textId="77777777" w:rsidR="000D1D92" w:rsidRDefault="000D1D92" w:rsidP="000D1D92">
      <w:pPr>
        <w:spacing w:before="0" w:after="0"/>
        <w:jc w:val="both"/>
        <w:rPr>
          <w:rFonts w:cs="Arial"/>
        </w:rPr>
      </w:pPr>
    </w:p>
    <w:p w14:paraId="39CBB213" w14:textId="77777777" w:rsidR="000D1D92" w:rsidRDefault="000D1D92" w:rsidP="000D1D92">
      <w:pPr>
        <w:spacing w:before="0" w:after="0"/>
        <w:jc w:val="both"/>
        <w:rPr>
          <w:rFonts w:cs="Arial"/>
        </w:rPr>
      </w:pPr>
      <w:r>
        <w:rPr>
          <w:rFonts w:cs="Arial"/>
        </w:rPr>
        <w:t xml:space="preserve">The submission by the </w:t>
      </w:r>
      <w:r w:rsidRPr="00FC4B2C">
        <w:rPr>
          <w:rFonts w:cs="Arial"/>
        </w:rPr>
        <w:t xml:space="preserve">Melbourne Research Alliance to End Violence </w:t>
      </w:r>
      <w:r>
        <w:rPr>
          <w:rFonts w:cs="Arial"/>
        </w:rPr>
        <w:t>a</w:t>
      </w:r>
      <w:r w:rsidRPr="00FC4B2C">
        <w:rPr>
          <w:rFonts w:cs="Arial"/>
        </w:rPr>
        <w:t>gainst Women and their Children</w:t>
      </w:r>
      <w:r>
        <w:rPr>
          <w:rFonts w:cs="Arial"/>
        </w:rPr>
        <w:t xml:space="preserve"> argues:</w:t>
      </w:r>
    </w:p>
    <w:p w14:paraId="567B5DCA" w14:textId="77777777" w:rsidR="000D1D92" w:rsidRDefault="000D1D92" w:rsidP="000D1D92">
      <w:pPr>
        <w:spacing w:before="0" w:after="0"/>
        <w:jc w:val="both"/>
        <w:rPr>
          <w:rFonts w:cs="Arial"/>
        </w:rPr>
      </w:pPr>
    </w:p>
    <w:p w14:paraId="55C9F4E2" w14:textId="77777777" w:rsidR="000D1D92" w:rsidRDefault="000D1D92" w:rsidP="000D1D92">
      <w:pPr>
        <w:spacing w:before="0" w:after="0"/>
        <w:ind w:left="720"/>
        <w:jc w:val="both"/>
        <w:rPr>
          <w:rFonts w:cs="Arial"/>
        </w:rPr>
      </w:pPr>
      <w:r w:rsidRPr="007C25F4">
        <w:rPr>
          <w:sz w:val="22"/>
          <w:szCs w:val="22"/>
        </w:rPr>
        <w:t>The issues for children living with DFV are critical but frequently marginalised in our current response</w:t>
      </w:r>
      <w:r w:rsidRPr="00A519F4">
        <w:t>.</w:t>
      </w:r>
      <w:r w:rsidRPr="007C281C">
        <w:rPr>
          <w:rStyle w:val="EndnoteReference"/>
          <w:rFonts w:cs="Arial"/>
        </w:rPr>
        <w:t xml:space="preserve"> </w:t>
      </w:r>
      <w:r>
        <w:rPr>
          <w:rStyle w:val="EndnoteReference"/>
          <w:rFonts w:cs="Arial"/>
        </w:rPr>
        <w:endnoteReference w:id="509"/>
      </w:r>
    </w:p>
    <w:p w14:paraId="3FC46E86" w14:textId="77777777" w:rsidR="000D1D92" w:rsidRDefault="000D1D92" w:rsidP="000D1D92">
      <w:pPr>
        <w:spacing w:before="0" w:after="0"/>
        <w:jc w:val="both"/>
        <w:rPr>
          <w:rFonts w:cs="Arial"/>
        </w:rPr>
      </w:pPr>
    </w:p>
    <w:p w14:paraId="6DD0DE26" w14:textId="77777777" w:rsidR="000D1D92" w:rsidRPr="00163CCE" w:rsidRDefault="000D1D92" w:rsidP="000D1D92">
      <w:pPr>
        <w:spacing w:before="0" w:after="0"/>
        <w:jc w:val="both"/>
      </w:pPr>
      <w:r w:rsidRPr="00163CCE">
        <w:t>During the course of my examination, I met with Ms Kristy McKellar. Ms McKellar shared with me her personal experience of family and domestic violence including how it impacted on her daughter.</w:t>
      </w:r>
    </w:p>
    <w:p w14:paraId="00E73EFC" w14:textId="77777777" w:rsidR="000D1D92" w:rsidRDefault="000D1D92" w:rsidP="000D1D92">
      <w:pPr>
        <w:spacing w:before="0" w:after="0"/>
        <w:jc w:val="both"/>
        <w:rPr>
          <w:sz w:val="22"/>
          <w:szCs w:val="22"/>
        </w:rPr>
      </w:pPr>
    </w:p>
    <w:tbl>
      <w:tblPr>
        <w:tblStyle w:val="TableGrid"/>
        <w:tblW w:w="0" w:type="auto"/>
        <w:shd w:val="clear" w:color="auto" w:fill="F2F2F2" w:themeFill="background1" w:themeFillShade="F2"/>
        <w:tblLook w:val="04A0" w:firstRow="1" w:lastRow="0" w:firstColumn="1" w:lastColumn="0" w:noHBand="0" w:noVBand="1"/>
      </w:tblPr>
      <w:tblGrid>
        <w:gridCol w:w="9286"/>
      </w:tblGrid>
      <w:tr w:rsidR="000D1D92" w:rsidRPr="00605DD9" w14:paraId="52E91F1D" w14:textId="77777777" w:rsidTr="00684616">
        <w:tc>
          <w:tcPr>
            <w:tcW w:w="9286" w:type="dxa"/>
            <w:shd w:val="clear" w:color="auto" w:fill="F2F2F2" w:themeFill="background1" w:themeFillShade="F2"/>
          </w:tcPr>
          <w:p w14:paraId="426801AB" w14:textId="77777777" w:rsidR="000D1D92" w:rsidRDefault="000D1D92" w:rsidP="00684616">
            <w:pPr>
              <w:spacing w:before="0" w:after="0"/>
              <w:jc w:val="both"/>
              <w:rPr>
                <w:b/>
              </w:rPr>
            </w:pPr>
          </w:p>
          <w:p w14:paraId="2B14D8D6" w14:textId="77777777" w:rsidR="000D1D92" w:rsidRPr="00605DD9" w:rsidRDefault="000D1D92" w:rsidP="00684616">
            <w:pPr>
              <w:spacing w:before="0" w:after="0"/>
              <w:jc w:val="both"/>
              <w:rPr>
                <w:b/>
              </w:rPr>
            </w:pPr>
            <w:r w:rsidRPr="00605DD9">
              <w:rPr>
                <w:b/>
              </w:rPr>
              <w:t>Extract from Ms McKellar’s written submission</w:t>
            </w:r>
            <w:r w:rsidRPr="00605DD9">
              <w:rPr>
                <w:rStyle w:val="EndnoteReference"/>
                <w:b/>
                <w:sz w:val="24"/>
              </w:rPr>
              <w:endnoteReference w:id="510"/>
            </w:r>
          </w:p>
          <w:p w14:paraId="59CF5545" w14:textId="77777777" w:rsidR="000D1D92" w:rsidRPr="00605DD9" w:rsidRDefault="000D1D92" w:rsidP="00684616">
            <w:pPr>
              <w:spacing w:before="0" w:after="0"/>
              <w:jc w:val="both"/>
            </w:pPr>
          </w:p>
          <w:p w14:paraId="02071582" w14:textId="77777777" w:rsidR="000D1D92" w:rsidRPr="00605DD9" w:rsidRDefault="000D1D92" w:rsidP="00684616">
            <w:pPr>
              <w:spacing w:before="0" w:after="0"/>
              <w:jc w:val="both"/>
            </w:pPr>
            <w:r w:rsidRPr="00605DD9">
              <w:t>We must remain dedicated and advocate for children exposed to family violence, ensuring their experiences are validated and that they are acknowledged to be victims of these violent crimes, even if they are not at a developmental age to articulate their experiences</w:t>
            </w:r>
          </w:p>
          <w:p w14:paraId="64D0BCBE" w14:textId="77777777" w:rsidR="000D1D92" w:rsidRPr="00605DD9" w:rsidRDefault="000D1D92" w:rsidP="00684616">
            <w:pPr>
              <w:spacing w:before="0" w:after="0"/>
              <w:jc w:val="both"/>
            </w:pPr>
          </w:p>
          <w:p w14:paraId="36E5BEC9" w14:textId="77777777" w:rsidR="000D1D92" w:rsidRDefault="000D1D92" w:rsidP="00684616">
            <w:pPr>
              <w:spacing w:before="0" w:after="0"/>
              <w:jc w:val="both"/>
            </w:pPr>
            <w:r w:rsidRPr="00605DD9">
              <w:t>Initially I was the only one deemed as a primary victim of the crime. The system failed to view or recognise my daughter and her suffering. It took one year of fighting for her rights and being her voice for the Victims of Crime Assistance Tribunal to acknowledge that she too was also a primary victim of the crime and the tribunal then officially deemed her as so.</w:t>
            </w:r>
          </w:p>
          <w:p w14:paraId="26D4F5DE" w14:textId="77777777" w:rsidR="000D1D92" w:rsidRPr="00605DD9" w:rsidRDefault="000D1D92" w:rsidP="00684616">
            <w:pPr>
              <w:spacing w:before="0" w:after="0"/>
              <w:jc w:val="both"/>
            </w:pPr>
          </w:p>
        </w:tc>
      </w:tr>
    </w:tbl>
    <w:p w14:paraId="545B70BA" w14:textId="77777777" w:rsidR="000D1D92" w:rsidRDefault="000D1D92" w:rsidP="000D1D92">
      <w:pPr>
        <w:spacing w:before="0" w:after="0"/>
        <w:jc w:val="both"/>
        <w:rPr>
          <w:rFonts w:cs="Arial"/>
        </w:rPr>
      </w:pPr>
    </w:p>
    <w:p w14:paraId="53007D90" w14:textId="77777777" w:rsidR="000D1D92" w:rsidRDefault="000D1D92" w:rsidP="000D1D92">
      <w:pPr>
        <w:spacing w:before="0" w:after="0"/>
        <w:jc w:val="both"/>
      </w:pPr>
      <w:r>
        <w:t>If the DCRF</w:t>
      </w:r>
      <w:r w:rsidRPr="0015025C">
        <w:t xml:space="preserve"> </w:t>
      </w:r>
      <w:r>
        <w:t>is to be inclusive of children, some changes to the proposed guidelines will be required. For example, the data item ‘educational attainment’ where people self-report their highest level of educational attainment should include categories such as ‘currently participating in early childhood education’, ‘currently participating in primary school education’ and ‘currently participating in secondary school education’ as part of its choice list.</w:t>
      </w:r>
    </w:p>
    <w:p w14:paraId="54DDF007" w14:textId="77777777" w:rsidR="000D1D92" w:rsidRDefault="000D1D92" w:rsidP="000D1D92">
      <w:pPr>
        <w:spacing w:before="0" w:after="0"/>
        <w:jc w:val="both"/>
      </w:pPr>
    </w:p>
    <w:tbl>
      <w:tblPr>
        <w:tblStyle w:val="TableGrid"/>
        <w:tblW w:w="0" w:type="auto"/>
        <w:shd w:val="clear" w:color="auto" w:fill="F2F2F2" w:themeFill="background1" w:themeFillShade="F2"/>
        <w:tblLook w:val="04A0" w:firstRow="1" w:lastRow="0" w:firstColumn="1" w:lastColumn="0" w:noHBand="0" w:noVBand="1"/>
      </w:tblPr>
      <w:tblGrid>
        <w:gridCol w:w="9286"/>
      </w:tblGrid>
      <w:tr w:rsidR="000D1D92" w14:paraId="3EB5EAAE" w14:textId="77777777" w:rsidTr="00684616">
        <w:tc>
          <w:tcPr>
            <w:tcW w:w="9286" w:type="dxa"/>
            <w:shd w:val="clear" w:color="auto" w:fill="F2F2F2" w:themeFill="background1" w:themeFillShade="F2"/>
          </w:tcPr>
          <w:p w14:paraId="614E19E7" w14:textId="77777777" w:rsidR="000D1D92" w:rsidRDefault="000D1D92" w:rsidP="00684616">
            <w:pPr>
              <w:jc w:val="both"/>
              <w:rPr>
                <w:rFonts w:cs="Arial"/>
                <w:b/>
              </w:rPr>
            </w:pPr>
            <w:r>
              <w:rPr>
                <w:rFonts w:cs="Arial"/>
                <w:b/>
              </w:rPr>
              <w:lastRenderedPageBreak/>
              <w:t>Recommendation 4:</w:t>
            </w:r>
          </w:p>
          <w:p w14:paraId="0C449933" w14:textId="77777777" w:rsidR="000D1D92" w:rsidRDefault="000D1D92" w:rsidP="00684616">
            <w:pPr>
              <w:jc w:val="both"/>
              <w:rPr>
                <w:rFonts w:cs="Arial"/>
                <w:b/>
              </w:rPr>
            </w:pPr>
            <w:r>
              <w:rPr>
                <w:rFonts w:cs="Arial"/>
                <w:b/>
              </w:rPr>
              <w:t xml:space="preserve">Data about a child’s experience as a victim of family and domestic violence should be recorded as a separate entry in the </w:t>
            </w:r>
            <w:r w:rsidRPr="0095244B">
              <w:rPr>
                <w:rFonts w:cs="Arial"/>
                <w:b/>
              </w:rPr>
              <w:t>Australian Bureau of Statistics National Data Collection and Reporting Framework</w:t>
            </w:r>
            <w:r>
              <w:rPr>
                <w:rFonts w:cs="Arial"/>
                <w:b/>
              </w:rPr>
              <w:t>, and not just part of an adult entry.</w:t>
            </w:r>
          </w:p>
        </w:tc>
      </w:tr>
    </w:tbl>
    <w:p w14:paraId="63F8F50B" w14:textId="77777777" w:rsidR="000D1D92" w:rsidRDefault="000D1D92" w:rsidP="000D1D92">
      <w:pPr>
        <w:autoSpaceDE w:val="0"/>
        <w:autoSpaceDN w:val="0"/>
        <w:adjustRightInd w:val="0"/>
        <w:spacing w:before="0" w:after="0"/>
        <w:ind w:left="360"/>
        <w:jc w:val="both"/>
        <w:rPr>
          <w:rFonts w:cs="Arial"/>
        </w:rPr>
      </w:pPr>
    </w:p>
    <w:p w14:paraId="60DD8D0C" w14:textId="77777777" w:rsidR="000D1D92" w:rsidRDefault="000D1D92" w:rsidP="000D1D92">
      <w:pPr>
        <w:spacing w:before="0" w:after="0"/>
        <w:jc w:val="both"/>
      </w:pPr>
      <w:r>
        <w:t xml:space="preserve">It is also important to recognise that the </w:t>
      </w:r>
      <w:r w:rsidRPr="00F818D5">
        <w:t>ABS currently excludes LGBTI status</w:t>
      </w:r>
      <w:r>
        <w:t xml:space="preserve"> in the DCRF</w:t>
      </w:r>
      <w:r w:rsidRPr="00F818D5">
        <w:t xml:space="preserve"> on the basis that there is no current agreed standard for measurement.</w:t>
      </w:r>
      <w:r w:rsidRPr="00F818D5">
        <w:rPr>
          <w:rStyle w:val="EndnoteReference"/>
        </w:rPr>
        <w:endnoteReference w:id="511"/>
      </w:r>
      <w:r>
        <w:t xml:space="preserve"> The ABS acknowledges this identification as a priority.</w:t>
      </w:r>
      <w:r w:rsidRPr="00EC3AC7">
        <w:rPr>
          <w:rStyle w:val="EndnoteReference"/>
          <w:b/>
        </w:rPr>
        <w:t xml:space="preserve"> </w:t>
      </w:r>
      <w:r>
        <w:rPr>
          <w:rStyle w:val="EndnoteReference"/>
          <w:b/>
        </w:rPr>
        <w:endnoteReference w:id="512"/>
      </w:r>
      <w:r>
        <w:t xml:space="preserve"> </w:t>
      </w:r>
    </w:p>
    <w:p w14:paraId="2E78EE56" w14:textId="77777777" w:rsidR="000D1D92" w:rsidRDefault="000D1D92" w:rsidP="000D1D92">
      <w:pPr>
        <w:spacing w:before="0" w:after="0"/>
        <w:jc w:val="both"/>
      </w:pPr>
    </w:p>
    <w:tbl>
      <w:tblPr>
        <w:tblStyle w:val="TableGrid"/>
        <w:tblW w:w="0" w:type="auto"/>
        <w:tblInd w:w="-5" w:type="dxa"/>
        <w:shd w:val="clear" w:color="auto" w:fill="F2F2F2" w:themeFill="background1" w:themeFillShade="F2"/>
        <w:tblLook w:val="04A0" w:firstRow="1" w:lastRow="0" w:firstColumn="1" w:lastColumn="0" w:noHBand="0" w:noVBand="1"/>
      </w:tblPr>
      <w:tblGrid>
        <w:gridCol w:w="9065"/>
      </w:tblGrid>
      <w:tr w:rsidR="000D1D92" w14:paraId="262533A2" w14:textId="77777777" w:rsidTr="00684616">
        <w:tc>
          <w:tcPr>
            <w:tcW w:w="9065" w:type="dxa"/>
            <w:shd w:val="clear" w:color="auto" w:fill="F2F2F2" w:themeFill="background1" w:themeFillShade="F2"/>
          </w:tcPr>
          <w:p w14:paraId="705C1F13" w14:textId="77777777" w:rsidR="000D1D92" w:rsidRDefault="000D1D92" w:rsidP="00684616">
            <w:pPr>
              <w:spacing w:before="0" w:after="0"/>
              <w:jc w:val="both"/>
              <w:rPr>
                <w:b/>
              </w:rPr>
            </w:pPr>
          </w:p>
          <w:p w14:paraId="192100D5" w14:textId="77777777" w:rsidR="000D1D92" w:rsidRDefault="000D1D92" w:rsidP="00684616">
            <w:pPr>
              <w:spacing w:before="0" w:after="0"/>
              <w:jc w:val="both"/>
              <w:rPr>
                <w:b/>
              </w:rPr>
            </w:pPr>
            <w:r>
              <w:rPr>
                <w:b/>
              </w:rPr>
              <w:t>Recommendation 5:</w:t>
            </w:r>
          </w:p>
          <w:p w14:paraId="2229B8A2" w14:textId="77777777" w:rsidR="000D1D92" w:rsidRDefault="000D1D92" w:rsidP="00684616">
            <w:pPr>
              <w:spacing w:before="0" w:after="0"/>
              <w:jc w:val="both"/>
              <w:rPr>
                <w:b/>
              </w:rPr>
            </w:pPr>
          </w:p>
          <w:p w14:paraId="359CDCBE" w14:textId="77777777" w:rsidR="000D1D92" w:rsidRDefault="000D1D92" w:rsidP="00684616">
            <w:pPr>
              <w:spacing w:before="0" w:after="0"/>
              <w:jc w:val="both"/>
              <w:rPr>
                <w:b/>
              </w:rPr>
            </w:pPr>
            <w:r>
              <w:rPr>
                <w:b/>
              </w:rPr>
              <w:t xml:space="preserve">Data about lesbian, gay, bisexual, transgender and intersex status should be recorded in the </w:t>
            </w:r>
            <w:r w:rsidRPr="0095244B">
              <w:rPr>
                <w:rFonts w:cs="Arial"/>
                <w:b/>
              </w:rPr>
              <w:t>Australian Bureau of Statistics National Data Co</w:t>
            </w:r>
            <w:r>
              <w:rPr>
                <w:rFonts w:cs="Arial"/>
                <w:b/>
              </w:rPr>
              <w:t>llection and Reporting Framework.</w:t>
            </w:r>
          </w:p>
          <w:p w14:paraId="5DCD4036" w14:textId="77777777" w:rsidR="000D1D92" w:rsidRDefault="000D1D92" w:rsidP="00684616">
            <w:pPr>
              <w:spacing w:before="0" w:after="0"/>
              <w:jc w:val="both"/>
            </w:pPr>
          </w:p>
        </w:tc>
      </w:tr>
    </w:tbl>
    <w:p w14:paraId="7C3A836C" w14:textId="77777777" w:rsidR="000D1D92" w:rsidRDefault="000D1D92" w:rsidP="000D1D92">
      <w:pPr>
        <w:spacing w:before="0" w:after="0"/>
        <w:jc w:val="both"/>
      </w:pPr>
    </w:p>
    <w:p w14:paraId="6BD0C190" w14:textId="77777777" w:rsidR="000D1D92" w:rsidRDefault="000D1D92" w:rsidP="000D1D92">
      <w:pPr>
        <w:spacing w:before="0" w:after="0"/>
        <w:jc w:val="both"/>
      </w:pPr>
      <w:r>
        <w:t xml:space="preserve">I also note that </w:t>
      </w:r>
      <w:r w:rsidRPr="006F2CBA">
        <w:t>the</w:t>
      </w:r>
      <w:r>
        <w:rPr>
          <w:b/>
        </w:rPr>
        <w:t xml:space="preserve"> ABS 2012 Personal Safety Survey does not provide prevalence estimates of physical abuse and sexual abuse experienced by vulnerable groups of children</w:t>
      </w:r>
      <w:r>
        <w:t xml:space="preserve">, including </w:t>
      </w:r>
      <w:r w:rsidRPr="00842167">
        <w:t>Aboriginal and Torres Strait Islander children, children living with disabilities, children from culturally and linguistically diverse backgrounds</w:t>
      </w:r>
      <w:r>
        <w:t>,</w:t>
      </w:r>
      <w:r w:rsidRPr="00842167">
        <w:t xml:space="preserve"> </w:t>
      </w:r>
      <w:r>
        <w:t>asylum seeking or refugee children, children with a past or current involvement with child protection services, children living in regional, rural and remote areas,</w:t>
      </w:r>
      <w:r w:rsidRPr="00842167">
        <w:t xml:space="preserve"> and lesbian, gay, bisexual, transgender and intersex children.</w:t>
      </w:r>
    </w:p>
    <w:p w14:paraId="429EB0EA" w14:textId="77777777" w:rsidR="000D1D92" w:rsidRDefault="000D1D92" w:rsidP="000D1D92">
      <w:pPr>
        <w:spacing w:before="0" w:after="0"/>
        <w:jc w:val="both"/>
      </w:pPr>
    </w:p>
    <w:p w14:paraId="5CF5E7BC" w14:textId="77777777" w:rsidR="000D1D92" w:rsidRDefault="000D1D92" w:rsidP="000D1D92">
      <w:pPr>
        <w:spacing w:before="0" w:after="0"/>
        <w:jc w:val="both"/>
        <w:rPr>
          <w:rFonts w:cs="Arial"/>
          <w:bCs/>
        </w:rPr>
      </w:pPr>
      <w:r>
        <w:t>The Senate Finance and Public</w:t>
      </w:r>
      <w:r w:rsidRPr="00A62146">
        <w:rPr>
          <w:rFonts w:cs="Arial"/>
          <w:bCs/>
        </w:rPr>
        <w:t xml:space="preserve"> </w:t>
      </w:r>
      <w:r>
        <w:rPr>
          <w:rFonts w:cs="Arial"/>
          <w:bCs/>
        </w:rPr>
        <w:t>Administration References Committee released its report about domestic violence in Australia mid-way through my national examination.</w:t>
      </w:r>
      <w:r>
        <w:rPr>
          <w:rStyle w:val="EndnoteReference"/>
          <w:rFonts w:cs="Arial"/>
          <w:bCs/>
          <w:szCs w:val="22"/>
        </w:rPr>
        <w:endnoteReference w:id="513"/>
      </w:r>
    </w:p>
    <w:p w14:paraId="60C7F242" w14:textId="77777777" w:rsidR="000D1D92" w:rsidRDefault="000D1D92" w:rsidP="000D1D92">
      <w:pPr>
        <w:spacing w:before="0" w:after="0"/>
        <w:jc w:val="both"/>
        <w:rPr>
          <w:rFonts w:cs="Arial"/>
          <w:bCs/>
        </w:rPr>
      </w:pPr>
    </w:p>
    <w:p w14:paraId="71A5BB72" w14:textId="77777777" w:rsidR="000D1D92" w:rsidRDefault="000D1D92" w:rsidP="000D1D92">
      <w:pPr>
        <w:spacing w:before="0" w:after="0"/>
        <w:jc w:val="both"/>
        <w:rPr>
          <w:rFonts w:cs="Arial"/>
          <w:bCs/>
        </w:rPr>
      </w:pPr>
      <w:r>
        <w:rPr>
          <w:rFonts w:cs="Arial"/>
          <w:bCs/>
        </w:rPr>
        <w:t>The Senate Committee’s report specifically recommended that vulnerable groups be included in the next ABS Public Safety Survey:</w:t>
      </w:r>
    </w:p>
    <w:p w14:paraId="7E14ECB6" w14:textId="77777777" w:rsidR="000D1D92" w:rsidRPr="0066368D" w:rsidRDefault="000D1D92" w:rsidP="000D1D92">
      <w:pPr>
        <w:autoSpaceDE w:val="0"/>
        <w:autoSpaceDN w:val="0"/>
        <w:adjustRightInd w:val="0"/>
        <w:spacing w:before="0" w:after="0"/>
        <w:jc w:val="both"/>
        <w:rPr>
          <w:rFonts w:cs="Arial"/>
          <w:bCs/>
        </w:rPr>
      </w:pPr>
    </w:p>
    <w:p w14:paraId="03C9FC54" w14:textId="77777777" w:rsidR="000D1D92" w:rsidRDefault="000D1D92" w:rsidP="000D1D92">
      <w:pPr>
        <w:autoSpaceDE w:val="0"/>
        <w:autoSpaceDN w:val="0"/>
        <w:adjustRightInd w:val="0"/>
        <w:spacing w:before="0" w:after="0"/>
        <w:ind w:left="720"/>
        <w:jc w:val="both"/>
        <w:rPr>
          <w:rFonts w:cs="Arial"/>
          <w:bCs/>
          <w:sz w:val="22"/>
          <w:szCs w:val="22"/>
        </w:rPr>
      </w:pPr>
      <w:r w:rsidRPr="0066368D">
        <w:rPr>
          <w:rFonts w:cs="Arial"/>
          <w:bCs/>
          <w:sz w:val="22"/>
          <w:szCs w:val="22"/>
        </w:rPr>
        <w:t>The Australian Bureau of Statistics, along with Commonwealth, state and territory bodies involved in the development of the Personal Safety Survey consider the concerns raised during this inquiry about the adequacy of sampling sizes of particular subgroups within the community, such as women with a disability, women from culturally and linguistically diverse backgrounds, immigrant and refugee women, and Indigenous communities and endeavour to address these issues prior to the conduct of the next PSS.</w:t>
      </w:r>
      <w:r>
        <w:rPr>
          <w:rStyle w:val="EndnoteReference"/>
          <w:rFonts w:cs="Arial"/>
          <w:bCs/>
          <w:szCs w:val="22"/>
        </w:rPr>
        <w:endnoteReference w:id="514"/>
      </w:r>
    </w:p>
    <w:p w14:paraId="76E1DFE1" w14:textId="77777777" w:rsidR="000D1D92" w:rsidRDefault="000D1D92" w:rsidP="000D1D92">
      <w:pPr>
        <w:spacing w:before="0" w:after="0"/>
        <w:jc w:val="both"/>
      </w:pPr>
    </w:p>
    <w:tbl>
      <w:tblPr>
        <w:tblStyle w:val="TableGrid"/>
        <w:tblW w:w="0" w:type="auto"/>
        <w:shd w:val="clear" w:color="auto" w:fill="F2F2F2" w:themeFill="background1" w:themeFillShade="F2"/>
        <w:tblLook w:val="04A0" w:firstRow="1" w:lastRow="0" w:firstColumn="1" w:lastColumn="0" w:noHBand="0" w:noVBand="1"/>
      </w:tblPr>
      <w:tblGrid>
        <w:gridCol w:w="9286"/>
      </w:tblGrid>
      <w:tr w:rsidR="000D1D92" w14:paraId="5EAA112D" w14:textId="77777777" w:rsidTr="00684616">
        <w:tc>
          <w:tcPr>
            <w:tcW w:w="9286" w:type="dxa"/>
            <w:shd w:val="clear" w:color="auto" w:fill="F2F2F2" w:themeFill="background1" w:themeFillShade="F2"/>
          </w:tcPr>
          <w:p w14:paraId="5256B1E0" w14:textId="77777777" w:rsidR="000D1D92" w:rsidRDefault="000D1D92" w:rsidP="00684616">
            <w:pPr>
              <w:spacing w:before="0" w:after="0"/>
              <w:jc w:val="both"/>
              <w:rPr>
                <w:b/>
              </w:rPr>
            </w:pPr>
          </w:p>
          <w:p w14:paraId="62F2B105" w14:textId="77777777" w:rsidR="000D1D92" w:rsidRDefault="000D1D92" w:rsidP="00684616">
            <w:pPr>
              <w:spacing w:before="0" w:after="0"/>
              <w:jc w:val="both"/>
              <w:rPr>
                <w:b/>
              </w:rPr>
            </w:pPr>
            <w:r>
              <w:rPr>
                <w:b/>
              </w:rPr>
              <w:t>Recommendation 6:</w:t>
            </w:r>
          </w:p>
          <w:p w14:paraId="137DF412" w14:textId="77777777" w:rsidR="000D1D92" w:rsidRDefault="000D1D92" w:rsidP="00684616">
            <w:pPr>
              <w:spacing w:before="0" w:after="0"/>
              <w:jc w:val="both"/>
              <w:rPr>
                <w:b/>
              </w:rPr>
            </w:pPr>
          </w:p>
          <w:p w14:paraId="6209158D" w14:textId="77777777" w:rsidR="000D1D92" w:rsidRDefault="000D1D92" w:rsidP="00684616">
            <w:pPr>
              <w:spacing w:before="0" w:after="0"/>
              <w:jc w:val="both"/>
              <w:rPr>
                <w:b/>
              </w:rPr>
            </w:pPr>
            <w:r>
              <w:rPr>
                <w:b/>
              </w:rPr>
              <w:t>The A</w:t>
            </w:r>
            <w:r w:rsidRPr="0095244B">
              <w:rPr>
                <w:b/>
              </w:rPr>
              <w:t xml:space="preserve">nnual </w:t>
            </w:r>
            <w:r>
              <w:rPr>
                <w:b/>
              </w:rPr>
              <w:t xml:space="preserve">Progress Reports of the </w:t>
            </w:r>
            <w:r w:rsidRPr="0095244B">
              <w:rPr>
                <w:b/>
              </w:rPr>
              <w:t xml:space="preserve">National Plan to Reduce Violence </w:t>
            </w:r>
            <w:r>
              <w:rPr>
                <w:b/>
              </w:rPr>
              <w:t>a</w:t>
            </w:r>
            <w:r w:rsidRPr="0095244B">
              <w:rPr>
                <w:b/>
              </w:rPr>
              <w:t>gainst Women and their Children</w:t>
            </w:r>
            <w:r>
              <w:rPr>
                <w:b/>
              </w:rPr>
              <w:t xml:space="preserve"> should detail how the Australian Bureau of Statistics Personal Safety Survey is working towards </w:t>
            </w:r>
            <w:r w:rsidRPr="0095244B">
              <w:rPr>
                <w:b/>
              </w:rPr>
              <w:t>surveying adequate sampling sizes across vulnerable groups.</w:t>
            </w:r>
          </w:p>
          <w:p w14:paraId="118CB936" w14:textId="77777777" w:rsidR="000D1D92" w:rsidRDefault="000D1D92" w:rsidP="00684616">
            <w:pPr>
              <w:spacing w:before="0" w:after="0"/>
              <w:jc w:val="both"/>
            </w:pPr>
          </w:p>
        </w:tc>
      </w:tr>
    </w:tbl>
    <w:p w14:paraId="3D61CCE8" w14:textId="77777777" w:rsidR="000D1D92" w:rsidRDefault="000D1D92" w:rsidP="000D1D92">
      <w:pPr>
        <w:spacing w:before="0" w:after="0"/>
        <w:jc w:val="both"/>
      </w:pPr>
    </w:p>
    <w:p w14:paraId="6BFEA6C9" w14:textId="77777777" w:rsidR="000D1D92" w:rsidRDefault="000D1D92" w:rsidP="000D1D92">
      <w:pPr>
        <w:spacing w:before="0" w:after="0"/>
        <w:jc w:val="both"/>
      </w:pPr>
    </w:p>
    <w:tbl>
      <w:tblPr>
        <w:tblStyle w:val="TableGrid"/>
        <w:tblW w:w="0" w:type="auto"/>
        <w:shd w:val="clear" w:color="auto" w:fill="000000" w:themeFill="text1"/>
        <w:tblLook w:val="04A0" w:firstRow="1" w:lastRow="0" w:firstColumn="1" w:lastColumn="0" w:noHBand="0" w:noVBand="1"/>
      </w:tblPr>
      <w:tblGrid>
        <w:gridCol w:w="9060"/>
      </w:tblGrid>
      <w:tr w:rsidR="000D1D92" w:rsidRPr="007407A6" w14:paraId="58680A71" w14:textId="77777777" w:rsidTr="00684616">
        <w:trPr>
          <w:trHeight w:val="1294"/>
        </w:trPr>
        <w:tc>
          <w:tcPr>
            <w:tcW w:w="9060" w:type="dxa"/>
            <w:shd w:val="clear" w:color="auto" w:fill="F2F2F2" w:themeFill="background1" w:themeFillShade="F2"/>
            <w:vAlign w:val="center"/>
          </w:tcPr>
          <w:p w14:paraId="23516A4D" w14:textId="77777777" w:rsidR="000D1D92" w:rsidRDefault="000D1D92" w:rsidP="00684616">
            <w:pPr>
              <w:spacing w:before="0" w:after="0"/>
              <w:rPr>
                <w:b/>
              </w:rPr>
            </w:pPr>
          </w:p>
          <w:p w14:paraId="0567DA6D" w14:textId="77777777" w:rsidR="000D1D92" w:rsidRDefault="000D1D92" w:rsidP="00684616">
            <w:pPr>
              <w:spacing w:before="0" w:after="0"/>
              <w:rPr>
                <w:b/>
              </w:rPr>
            </w:pPr>
            <w:r>
              <w:rPr>
                <w:b/>
              </w:rPr>
              <w:t>Summary</w:t>
            </w:r>
          </w:p>
          <w:p w14:paraId="7C3341E3" w14:textId="77777777" w:rsidR="000D1D92" w:rsidRPr="007407A6" w:rsidRDefault="000D1D92" w:rsidP="00684616">
            <w:pPr>
              <w:spacing w:before="0" w:after="0"/>
              <w:jc w:val="both"/>
              <w:rPr>
                <w:b/>
              </w:rPr>
            </w:pPr>
          </w:p>
          <w:p w14:paraId="5573ADCE" w14:textId="77777777" w:rsidR="000D1D92" w:rsidRDefault="000D1D92" w:rsidP="00684616">
            <w:pPr>
              <w:spacing w:before="0" w:after="0"/>
              <w:jc w:val="both"/>
              <w:rPr>
                <w:b/>
              </w:rPr>
            </w:pPr>
            <w:r w:rsidRPr="007407A6">
              <w:rPr>
                <w:b/>
              </w:rPr>
              <w:t>Definitional challenges in relation to children affected by family and domestic violence and how this impacts on the data that is collected about them</w:t>
            </w:r>
          </w:p>
          <w:p w14:paraId="51DF99EB" w14:textId="77777777" w:rsidR="000D1D92" w:rsidRDefault="000D1D92" w:rsidP="00684616">
            <w:pPr>
              <w:spacing w:before="0" w:after="0"/>
              <w:jc w:val="both"/>
              <w:rPr>
                <w:b/>
              </w:rPr>
            </w:pPr>
          </w:p>
          <w:p w14:paraId="0A209D4C" w14:textId="77777777" w:rsidR="000D1D92" w:rsidRDefault="000D1D92" w:rsidP="00684616">
            <w:pPr>
              <w:spacing w:before="0" w:after="0"/>
              <w:jc w:val="both"/>
            </w:pPr>
            <w:r>
              <w:t>A key challenge in addressing family and domestic violence and its impact on children and young people is the lack of consistent terms and definitions used across the state and territory jurisdictions.</w:t>
            </w:r>
          </w:p>
          <w:p w14:paraId="203F26AE" w14:textId="77777777" w:rsidR="000D1D92" w:rsidRDefault="000D1D92" w:rsidP="00684616">
            <w:pPr>
              <w:spacing w:before="0" w:after="0"/>
              <w:jc w:val="both"/>
            </w:pPr>
          </w:p>
          <w:p w14:paraId="31BBB249" w14:textId="77777777" w:rsidR="000D1D92" w:rsidRDefault="000D1D92" w:rsidP="00684616">
            <w:pPr>
              <w:spacing w:before="0" w:after="0"/>
              <w:jc w:val="both"/>
            </w:pPr>
            <w:r>
              <w:t>Under the National Plan to Reduce Violence against Women and their Children, work is being done by the ABS to implement a national data collection and reporting framework (DCRF). This framework uses behaviour-based definitions of family, domestic or sexual violence to capture cohesive national data about family and domestic violence.</w:t>
            </w:r>
          </w:p>
          <w:p w14:paraId="08B36288" w14:textId="77777777" w:rsidR="000D1D92" w:rsidRDefault="000D1D92" w:rsidP="00684616">
            <w:pPr>
              <w:spacing w:before="0" w:after="0"/>
              <w:jc w:val="both"/>
            </w:pPr>
          </w:p>
          <w:p w14:paraId="64D79DDF" w14:textId="77777777" w:rsidR="000D1D92" w:rsidRDefault="000D1D92" w:rsidP="00684616">
            <w:pPr>
              <w:spacing w:before="0" w:after="0"/>
              <w:jc w:val="both"/>
            </w:pPr>
            <w:r>
              <w:t>Invariably, the definitional issues are complex and while the approach of the ABS in terms of the potential of behaviour-based definitions offers promise, much work remains to be done to achieve behaviour-based definitions that are fully inclusive of children.</w:t>
            </w:r>
          </w:p>
          <w:p w14:paraId="3ED06321" w14:textId="77777777" w:rsidR="000D1D92" w:rsidRDefault="000D1D92" w:rsidP="00684616">
            <w:pPr>
              <w:spacing w:before="0" w:after="0"/>
              <w:jc w:val="both"/>
            </w:pPr>
          </w:p>
          <w:p w14:paraId="5B77D123" w14:textId="77777777" w:rsidR="000D1D92" w:rsidRDefault="000D1D92" w:rsidP="00684616">
            <w:pPr>
              <w:spacing w:before="0" w:after="0"/>
              <w:jc w:val="both"/>
            </w:pPr>
            <w:r>
              <w:t>As a nation, we must be able to consistently identify those children affected by family and domestic violence. Where children are identified, more information must be recorded and collected to inform our evidence-base.</w:t>
            </w:r>
          </w:p>
          <w:p w14:paraId="1E9F17FD" w14:textId="77777777" w:rsidR="000D1D92" w:rsidRPr="007407A6" w:rsidRDefault="000D1D92" w:rsidP="00684616">
            <w:pPr>
              <w:spacing w:before="0" w:after="0"/>
              <w:jc w:val="both"/>
              <w:rPr>
                <w:b/>
              </w:rPr>
            </w:pPr>
          </w:p>
        </w:tc>
      </w:tr>
    </w:tbl>
    <w:p w14:paraId="2A658079" w14:textId="77777777" w:rsidR="000D1D92" w:rsidRPr="005244AF" w:rsidRDefault="000D1D92" w:rsidP="000D1D92">
      <w:pPr>
        <w:pStyle w:val="Heading3"/>
        <w:jc w:val="both"/>
      </w:pPr>
      <w:bookmarkStart w:id="182" w:name="_Toc430702116"/>
      <w:bookmarkStart w:id="183" w:name="_Toc432061272"/>
      <w:r w:rsidRPr="005244AF">
        <w:t>How do children experience family and domestic violence?</w:t>
      </w:r>
      <w:bookmarkEnd w:id="182"/>
      <w:bookmarkEnd w:id="183"/>
    </w:p>
    <w:p w14:paraId="12FE5942" w14:textId="77777777" w:rsidR="000D1D92" w:rsidRDefault="000D1D92" w:rsidP="000D1D92">
      <w:pPr>
        <w:autoSpaceDE w:val="0"/>
        <w:autoSpaceDN w:val="0"/>
        <w:adjustRightInd w:val="0"/>
        <w:spacing w:before="0" w:after="0"/>
        <w:jc w:val="both"/>
        <w:rPr>
          <w:rFonts w:cs="Arial"/>
        </w:rPr>
      </w:pPr>
      <w:r>
        <w:rPr>
          <w:rFonts w:cs="Arial"/>
        </w:rPr>
        <w:t>Children’s experiences of family and domestic violence are typically described as ‘</w:t>
      </w:r>
      <w:r w:rsidRPr="00EA66C1">
        <w:rPr>
          <w:rFonts w:cs="Arial"/>
        </w:rPr>
        <w:t>witnessing</w:t>
      </w:r>
      <w:r>
        <w:rPr>
          <w:rFonts w:cs="Arial"/>
        </w:rPr>
        <w:t xml:space="preserve"> violence’</w:t>
      </w:r>
      <w:r w:rsidRPr="00EA66C1">
        <w:rPr>
          <w:rFonts w:cs="Arial"/>
        </w:rPr>
        <w:t xml:space="preserve">, </w:t>
      </w:r>
      <w:r>
        <w:rPr>
          <w:rFonts w:cs="Arial"/>
        </w:rPr>
        <w:t>‘being exposed to violence’</w:t>
      </w:r>
      <w:r w:rsidRPr="00EA66C1">
        <w:rPr>
          <w:rFonts w:cs="Arial"/>
        </w:rPr>
        <w:t xml:space="preserve">, </w:t>
      </w:r>
      <w:r>
        <w:rPr>
          <w:rFonts w:cs="Arial"/>
        </w:rPr>
        <w:t xml:space="preserve">and ‘being </w:t>
      </w:r>
      <w:r w:rsidRPr="00EA66C1">
        <w:rPr>
          <w:rFonts w:cs="Arial"/>
        </w:rPr>
        <w:t>direct</w:t>
      </w:r>
      <w:r>
        <w:rPr>
          <w:rFonts w:cs="Arial"/>
        </w:rPr>
        <w:t>ly</w:t>
      </w:r>
      <w:r w:rsidRPr="00EA66C1">
        <w:rPr>
          <w:rFonts w:cs="Arial"/>
        </w:rPr>
        <w:t xml:space="preserve"> abuse</w:t>
      </w:r>
      <w:r>
        <w:rPr>
          <w:rFonts w:cs="Arial"/>
        </w:rPr>
        <w:t>d in the context of family and domestic violence’.</w:t>
      </w:r>
      <w:r w:rsidRPr="00187CF0">
        <w:rPr>
          <w:rStyle w:val="EndnoteReference"/>
          <w:rFonts w:cs="Arial"/>
          <w:szCs w:val="20"/>
        </w:rPr>
        <w:endnoteReference w:id="515"/>
      </w:r>
      <w:r w:rsidRPr="00EA66C1">
        <w:rPr>
          <w:rFonts w:cs="Arial"/>
        </w:rPr>
        <w:t xml:space="preserve"> </w:t>
      </w:r>
    </w:p>
    <w:p w14:paraId="42B2EE67" w14:textId="77777777" w:rsidR="000D1D92" w:rsidRDefault="000D1D92" w:rsidP="000D1D92">
      <w:pPr>
        <w:autoSpaceDE w:val="0"/>
        <w:autoSpaceDN w:val="0"/>
        <w:adjustRightInd w:val="0"/>
        <w:spacing w:before="0" w:after="0"/>
        <w:jc w:val="both"/>
        <w:rPr>
          <w:rFonts w:cs="Arial"/>
        </w:rPr>
      </w:pPr>
    </w:p>
    <w:p w14:paraId="6570AC73" w14:textId="77777777" w:rsidR="000D1D92" w:rsidRDefault="000D1D92" w:rsidP="000D1D92">
      <w:pPr>
        <w:autoSpaceDE w:val="0"/>
        <w:autoSpaceDN w:val="0"/>
        <w:adjustRightInd w:val="0"/>
        <w:spacing w:before="0" w:after="0"/>
        <w:jc w:val="both"/>
        <w:rPr>
          <w:rFonts w:cs="Arial"/>
        </w:rPr>
      </w:pPr>
      <w:r>
        <w:rPr>
          <w:rFonts w:cs="Arial"/>
        </w:rPr>
        <w:t xml:space="preserve">The experiences of children </w:t>
      </w:r>
      <w:r w:rsidRPr="00933E37">
        <w:rPr>
          <w:rFonts w:cs="Arial"/>
          <w:b/>
        </w:rPr>
        <w:t>witnessing violence</w:t>
      </w:r>
      <w:r>
        <w:rPr>
          <w:rFonts w:cs="Arial"/>
        </w:rPr>
        <w:t xml:space="preserve"> are said to include:</w:t>
      </w:r>
    </w:p>
    <w:p w14:paraId="2E94991C" w14:textId="77777777" w:rsidR="000D1D92" w:rsidRDefault="000D1D92" w:rsidP="000D1D92">
      <w:pPr>
        <w:autoSpaceDE w:val="0"/>
        <w:autoSpaceDN w:val="0"/>
        <w:adjustRightInd w:val="0"/>
        <w:spacing w:before="0" w:after="0"/>
        <w:jc w:val="both"/>
        <w:rPr>
          <w:rFonts w:cs="Arial"/>
        </w:rPr>
      </w:pPr>
    </w:p>
    <w:p w14:paraId="15C29F24" w14:textId="77777777" w:rsidR="000D1D92" w:rsidRPr="00500240" w:rsidRDefault="000D1D92" w:rsidP="000D1D92">
      <w:pPr>
        <w:autoSpaceDE w:val="0"/>
        <w:autoSpaceDN w:val="0"/>
        <w:adjustRightInd w:val="0"/>
        <w:spacing w:before="0" w:after="0"/>
        <w:ind w:left="720"/>
        <w:jc w:val="both"/>
        <w:rPr>
          <w:rFonts w:cs="Arial"/>
          <w:sz w:val="22"/>
          <w:szCs w:val="22"/>
        </w:rPr>
      </w:pPr>
      <w:r>
        <w:rPr>
          <w:rFonts w:cs="Arial"/>
          <w:sz w:val="22"/>
          <w:szCs w:val="22"/>
        </w:rPr>
        <w:t>• h</w:t>
      </w:r>
      <w:r w:rsidRPr="00500240">
        <w:rPr>
          <w:rFonts w:cs="Arial"/>
          <w:sz w:val="22"/>
          <w:szCs w:val="22"/>
        </w:rPr>
        <w:t>earing the violence</w:t>
      </w:r>
    </w:p>
    <w:p w14:paraId="665FE4FE" w14:textId="77777777" w:rsidR="000D1D92" w:rsidRPr="00500240" w:rsidRDefault="000D1D92" w:rsidP="000D1D92">
      <w:pPr>
        <w:autoSpaceDE w:val="0"/>
        <w:autoSpaceDN w:val="0"/>
        <w:adjustRightInd w:val="0"/>
        <w:spacing w:before="0" w:after="0"/>
        <w:ind w:left="720"/>
        <w:jc w:val="both"/>
        <w:rPr>
          <w:rFonts w:cs="Arial"/>
          <w:sz w:val="22"/>
          <w:szCs w:val="22"/>
        </w:rPr>
      </w:pPr>
      <w:r>
        <w:rPr>
          <w:rFonts w:cs="Arial"/>
          <w:sz w:val="22"/>
          <w:szCs w:val="22"/>
        </w:rPr>
        <w:t>• b</w:t>
      </w:r>
      <w:r w:rsidRPr="00500240">
        <w:rPr>
          <w:rFonts w:cs="Arial"/>
          <w:sz w:val="22"/>
          <w:szCs w:val="22"/>
        </w:rPr>
        <w:t>eing used as a physical weapon</w:t>
      </w:r>
    </w:p>
    <w:p w14:paraId="07E0D7F7" w14:textId="77777777" w:rsidR="000D1D92" w:rsidRPr="00500240" w:rsidRDefault="000D1D92" w:rsidP="000D1D92">
      <w:pPr>
        <w:autoSpaceDE w:val="0"/>
        <w:autoSpaceDN w:val="0"/>
        <w:adjustRightInd w:val="0"/>
        <w:spacing w:before="0" w:after="0"/>
        <w:ind w:left="720"/>
        <w:jc w:val="both"/>
        <w:rPr>
          <w:rFonts w:cs="Arial"/>
          <w:sz w:val="22"/>
          <w:szCs w:val="22"/>
        </w:rPr>
      </w:pPr>
      <w:r>
        <w:rPr>
          <w:rFonts w:cs="Arial"/>
          <w:sz w:val="22"/>
          <w:szCs w:val="22"/>
        </w:rPr>
        <w:t>• b</w:t>
      </w:r>
      <w:r w:rsidRPr="00500240">
        <w:rPr>
          <w:rFonts w:cs="Arial"/>
          <w:sz w:val="22"/>
          <w:szCs w:val="22"/>
        </w:rPr>
        <w:t>eing forced to watch or participate in assaults</w:t>
      </w:r>
    </w:p>
    <w:p w14:paraId="57C9E397" w14:textId="77777777" w:rsidR="000D1D92" w:rsidRPr="00500240" w:rsidRDefault="000D1D92" w:rsidP="000D1D92">
      <w:pPr>
        <w:autoSpaceDE w:val="0"/>
        <w:autoSpaceDN w:val="0"/>
        <w:adjustRightInd w:val="0"/>
        <w:spacing w:before="0" w:after="0"/>
        <w:ind w:left="720"/>
        <w:jc w:val="both"/>
        <w:rPr>
          <w:rFonts w:cs="Arial"/>
          <w:sz w:val="22"/>
          <w:szCs w:val="22"/>
        </w:rPr>
      </w:pPr>
      <w:r>
        <w:rPr>
          <w:rFonts w:cs="Arial"/>
          <w:sz w:val="22"/>
          <w:szCs w:val="22"/>
        </w:rPr>
        <w:t>• b</w:t>
      </w:r>
      <w:r w:rsidRPr="00500240">
        <w:rPr>
          <w:rFonts w:cs="Arial"/>
          <w:sz w:val="22"/>
          <w:szCs w:val="22"/>
        </w:rPr>
        <w:t>eing forced to spy on a parent</w:t>
      </w:r>
    </w:p>
    <w:p w14:paraId="772CEEEB" w14:textId="77777777" w:rsidR="000D1D92" w:rsidRPr="00500240" w:rsidRDefault="000D1D92" w:rsidP="000D1D92">
      <w:pPr>
        <w:autoSpaceDE w:val="0"/>
        <w:autoSpaceDN w:val="0"/>
        <w:adjustRightInd w:val="0"/>
        <w:spacing w:before="0" w:after="0"/>
        <w:ind w:left="720"/>
        <w:jc w:val="both"/>
        <w:rPr>
          <w:rFonts w:cs="Arial"/>
          <w:sz w:val="22"/>
          <w:szCs w:val="22"/>
        </w:rPr>
      </w:pPr>
      <w:r>
        <w:rPr>
          <w:rFonts w:cs="Arial"/>
          <w:sz w:val="22"/>
          <w:szCs w:val="22"/>
        </w:rPr>
        <w:t>• b</w:t>
      </w:r>
      <w:r w:rsidRPr="00500240">
        <w:rPr>
          <w:rFonts w:cs="Arial"/>
          <w:sz w:val="22"/>
          <w:szCs w:val="22"/>
        </w:rPr>
        <w:t xml:space="preserve">eing informed that they are to blame for </w:t>
      </w:r>
      <w:r>
        <w:rPr>
          <w:rFonts w:cs="Arial"/>
          <w:sz w:val="22"/>
          <w:szCs w:val="22"/>
        </w:rPr>
        <w:t xml:space="preserve">the violence because of their </w:t>
      </w:r>
      <w:r w:rsidRPr="00500240">
        <w:rPr>
          <w:rFonts w:cs="Arial"/>
          <w:sz w:val="22"/>
          <w:szCs w:val="22"/>
        </w:rPr>
        <w:t>behaviour</w:t>
      </w:r>
    </w:p>
    <w:p w14:paraId="11D6B020" w14:textId="77777777" w:rsidR="000D1D92" w:rsidRPr="00500240" w:rsidRDefault="000D1D92" w:rsidP="000D1D92">
      <w:pPr>
        <w:autoSpaceDE w:val="0"/>
        <w:autoSpaceDN w:val="0"/>
        <w:adjustRightInd w:val="0"/>
        <w:spacing w:before="0" w:after="0"/>
        <w:ind w:left="720"/>
        <w:jc w:val="both"/>
        <w:rPr>
          <w:rFonts w:cs="Arial"/>
          <w:sz w:val="22"/>
          <w:szCs w:val="22"/>
        </w:rPr>
      </w:pPr>
      <w:r>
        <w:rPr>
          <w:rFonts w:cs="Arial"/>
          <w:sz w:val="22"/>
          <w:szCs w:val="22"/>
        </w:rPr>
        <w:t>• b</w:t>
      </w:r>
      <w:r w:rsidRPr="00500240">
        <w:rPr>
          <w:rFonts w:cs="Arial"/>
          <w:sz w:val="22"/>
          <w:szCs w:val="22"/>
        </w:rPr>
        <w:t>eing used as a hostage</w:t>
      </w:r>
    </w:p>
    <w:p w14:paraId="742F6DC0" w14:textId="77777777" w:rsidR="000D1D92" w:rsidRPr="00500240" w:rsidRDefault="000D1D92" w:rsidP="000D1D92">
      <w:pPr>
        <w:autoSpaceDE w:val="0"/>
        <w:autoSpaceDN w:val="0"/>
        <w:adjustRightInd w:val="0"/>
        <w:spacing w:before="0" w:after="0"/>
        <w:ind w:left="720"/>
        <w:jc w:val="both"/>
        <w:rPr>
          <w:rFonts w:cs="Arial"/>
          <w:sz w:val="22"/>
          <w:szCs w:val="22"/>
        </w:rPr>
      </w:pPr>
      <w:r>
        <w:rPr>
          <w:rFonts w:cs="Arial"/>
          <w:sz w:val="22"/>
          <w:szCs w:val="22"/>
        </w:rPr>
        <w:t>• d</w:t>
      </w:r>
      <w:r w:rsidRPr="00500240">
        <w:rPr>
          <w:rFonts w:cs="Arial"/>
          <w:sz w:val="22"/>
          <w:szCs w:val="22"/>
        </w:rPr>
        <w:t>efending a parent against the violence</w:t>
      </w:r>
    </w:p>
    <w:p w14:paraId="5A924C72" w14:textId="77777777" w:rsidR="000D1D92" w:rsidRPr="00EA66C1" w:rsidRDefault="000D1D92" w:rsidP="000D1D92">
      <w:pPr>
        <w:autoSpaceDE w:val="0"/>
        <w:autoSpaceDN w:val="0"/>
        <w:adjustRightInd w:val="0"/>
        <w:spacing w:before="0" w:after="0"/>
        <w:ind w:left="720"/>
        <w:jc w:val="both"/>
        <w:rPr>
          <w:rFonts w:cs="Arial"/>
        </w:rPr>
      </w:pPr>
      <w:r>
        <w:rPr>
          <w:rFonts w:cs="Arial"/>
          <w:sz w:val="22"/>
          <w:szCs w:val="22"/>
        </w:rPr>
        <w:t>• in</w:t>
      </w:r>
      <w:r w:rsidRPr="00500240">
        <w:rPr>
          <w:rFonts w:cs="Arial"/>
          <w:sz w:val="22"/>
          <w:szCs w:val="22"/>
        </w:rPr>
        <w:t>tervening to stop the violence</w:t>
      </w:r>
      <w:r w:rsidRPr="00EA66C1">
        <w:rPr>
          <w:rFonts w:cs="Arial"/>
        </w:rPr>
        <w:t>.</w:t>
      </w:r>
      <w:r w:rsidRPr="00EA66C1">
        <w:rPr>
          <w:rStyle w:val="EndnoteReference"/>
          <w:rFonts w:cs="Arial"/>
          <w:sz w:val="24"/>
        </w:rPr>
        <w:endnoteReference w:id="516"/>
      </w:r>
    </w:p>
    <w:p w14:paraId="398B8842" w14:textId="77777777" w:rsidR="000D1D92" w:rsidRDefault="000D1D92" w:rsidP="000D1D92">
      <w:pPr>
        <w:autoSpaceDE w:val="0"/>
        <w:autoSpaceDN w:val="0"/>
        <w:adjustRightInd w:val="0"/>
        <w:spacing w:before="0" w:after="0"/>
        <w:jc w:val="both"/>
        <w:rPr>
          <w:rFonts w:cs="Arial"/>
        </w:rPr>
      </w:pPr>
    </w:p>
    <w:p w14:paraId="38F71375" w14:textId="77777777" w:rsidR="000D1D92" w:rsidRDefault="000D1D92" w:rsidP="000D1D92">
      <w:pPr>
        <w:autoSpaceDE w:val="0"/>
        <w:autoSpaceDN w:val="0"/>
        <w:adjustRightInd w:val="0"/>
        <w:spacing w:before="0" w:after="0"/>
        <w:jc w:val="both"/>
        <w:rPr>
          <w:rFonts w:cs="Arial"/>
        </w:rPr>
      </w:pPr>
      <w:r>
        <w:rPr>
          <w:rFonts w:cs="Arial"/>
        </w:rPr>
        <w:t xml:space="preserve">The experiences of children </w:t>
      </w:r>
      <w:r w:rsidRPr="00933E37">
        <w:rPr>
          <w:rFonts w:cs="Arial"/>
          <w:b/>
        </w:rPr>
        <w:t>exposed to violence</w:t>
      </w:r>
      <w:r>
        <w:rPr>
          <w:rFonts w:cs="Arial"/>
          <w:b/>
        </w:rPr>
        <w:t xml:space="preserve"> </w:t>
      </w:r>
      <w:r>
        <w:rPr>
          <w:rFonts w:cs="Arial"/>
        </w:rPr>
        <w:t>are described as:</w:t>
      </w:r>
    </w:p>
    <w:p w14:paraId="79B25447" w14:textId="77777777" w:rsidR="000D1D92" w:rsidRDefault="000D1D92" w:rsidP="000D1D92">
      <w:pPr>
        <w:autoSpaceDE w:val="0"/>
        <w:autoSpaceDN w:val="0"/>
        <w:adjustRightInd w:val="0"/>
        <w:spacing w:before="0" w:after="0"/>
        <w:jc w:val="both"/>
        <w:rPr>
          <w:rFonts w:cs="Arial"/>
        </w:rPr>
      </w:pPr>
    </w:p>
    <w:p w14:paraId="495833C2" w14:textId="77777777" w:rsidR="000D1D92" w:rsidRPr="00500240" w:rsidRDefault="000D1D92" w:rsidP="000D1D92">
      <w:pPr>
        <w:autoSpaceDE w:val="0"/>
        <w:autoSpaceDN w:val="0"/>
        <w:adjustRightInd w:val="0"/>
        <w:spacing w:before="0" w:after="0"/>
        <w:ind w:left="720"/>
        <w:jc w:val="both"/>
        <w:rPr>
          <w:rFonts w:cs="Arial"/>
          <w:sz w:val="22"/>
          <w:szCs w:val="22"/>
        </w:rPr>
      </w:pPr>
      <w:r>
        <w:rPr>
          <w:rFonts w:cs="Arial"/>
          <w:sz w:val="22"/>
          <w:szCs w:val="22"/>
        </w:rPr>
        <w:t>• h</w:t>
      </w:r>
      <w:r w:rsidRPr="00500240">
        <w:rPr>
          <w:rFonts w:cs="Arial"/>
          <w:sz w:val="22"/>
          <w:szCs w:val="22"/>
        </w:rPr>
        <w:t>aving to telephone for emergency assistance</w:t>
      </w:r>
    </w:p>
    <w:p w14:paraId="57C67F01" w14:textId="77777777" w:rsidR="000D1D92" w:rsidRPr="00500240" w:rsidRDefault="000D1D92" w:rsidP="000D1D92">
      <w:pPr>
        <w:autoSpaceDE w:val="0"/>
        <w:autoSpaceDN w:val="0"/>
        <w:adjustRightInd w:val="0"/>
        <w:spacing w:before="0" w:after="0"/>
        <w:ind w:left="720"/>
        <w:jc w:val="both"/>
        <w:rPr>
          <w:rFonts w:cs="Arial"/>
          <w:sz w:val="22"/>
          <w:szCs w:val="22"/>
        </w:rPr>
      </w:pPr>
      <w:r>
        <w:rPr>
          <w:rFonts w:cs="Arial"/>
          <w:sz w:val="22"/>
          <w:szCs w:val="22"/>
        </w:rPr>
        <w:t>• s</w:t>
      </w:r>
      <w:r w:rsidRPr="00500240">
        <w:rPr>
          <w:rFonts w:cs="Arial"/>
          <w:sz w:val="22"/>
          <w:szCs w:val="22"/>
        </w:rPr>
        <w:t>eeing a parent’s injuries after the violence and having to assist in ‘patching up’ a</w:t>
      </w:r>
      <w:r>
        <w:rPr>
          <w:rFonts w:cs="Arial"/>
          <w:sz w:val="22"/>
          <w:szCs w:val="22"/>
        </w:rPr>
        <w:t xml:space="preserve">  </w:t>
      </w:r>
      <w:r w:rsidRPr="00500240">
        <w:rPr>
          <w:rFonts w:cs="Arial"/>
          <w:sz w:val="22"/>
          <w:szCs w:val="22"/>
        </w:rPr>
        <w:t>parent</w:t>
      </w:r>
    </w:p>
    <w:p w14:paraId="750327EB" w14:textId="77777777" w:rsidR="000D1D92" w:rsidRPr="00500240" w:rsidRDefault="000D1D92" w:rsidP="000D1D92">
      <w:pPr>
        <w:autoSpaceDE w:val="0"/>
        <w:autoSpaceDN w:val="0"/>
        <w:adjustRightInd w:val="0"/>
        <w:spacing w:before="0" w:after="0"/>
        <w:ind w:left="720"/>
        <w:jc w:val="both"/>
        <w:rPr>
          <w:rFonts w:cs="Arial"/>
          <w:sz w:val="22"/>
          <w:szCs w:val="22"/>
        </w:rPr>
      </w:pPr>
      <w:r>
        <w:rPr>
          <w:rFonts w:cs="Arial"/>
          <w:sz w:val="22"/>
          <w:szCs w:val="22"/>
        </w:rPr>
        <w:t>• h</w:t>
      </w:r>
      <w:r w:rsidRPr="00500240">
        <w:rPr>
          <w:rFonts w:cs="Arial"/>
          <w:sz w:val="22"/>
          <w:szCs w:val="22"/>
        </w:rPr>
        <w:t>aving their own inju</w:t>
      </w:r>
      <w:r>
        <w:rPr>
          <w:rFonts w:cs="Arial"/>
          <w:sz w:val="22"/>
          <w:szCs w:val="22"/>
        </w:rPr>
        <w:t>ries and/or trauma to cope with</w:t>
      </w:r>
    </w:p>
    <w:p w14:paraId="151F6B6B" w14:textId="77777777" w:rsidR="000D1D92" w:rsidRPr="00500240" w:rsidRDefault="000D1D92" w:rsidP="000D1D92">
      <w:pPr>
        <w:autoSpaceDE w:val="0"/>
        <w:autoSpaceDN w:val="0"/>
        <w:adjustRightInd w:val="0"/>
        <w:spacing w:before="0" w:after="0"/>
        <w:ind w:left="720"/>
        <w:jc w:val="both"/>
        <w:rPr>
          <w:rFonts w:cs="Arial"/>
          <w:sz w:val="22"/>
          <w:szCs w:val="22"/>
        </w:rPr>
      </w:pPr>
      <w:r>
        <w:rPr>
          <w:rFonts w:cs="Arial"/>
          <w:sz w:val="22"/>
          <w:szCs w:val="22"/>
        </w:rPr>
        <w:t>• d</w:t>
      </w:r>
      <w:r w:rsidRPr="00500240">
        <w:rPr>
          <w:rFonts w:cs="Arial"/>
          <w:sz w:val="22"/>
          <w:szCs w:val="22"/>
        </w:rPr>
        <w:t>ealing with a parent who alternates between violence and a caring rol</w:t>
      </w:r>
      <w:r>
        <w:rPr>
          <w:rFonts w:cs="Arial"/>
          <w:sz w:val="22"/>
          <w:szCs w:val="22"/>
        </w:rPr>
        <w:t>e</w:t>
      </w:r>
    </w:p>
    <w:p w14:paraId="7168A3E3" w14:textId="77777777" w:rsidR="000D1D92" w:rsidRPr="00500240" w:rsidRDefault="000D1D92" w:rsidP="000D1D92">
      <w:pPr>
        <w:autoSpaceDE w:val="0"/>
        <w:autoSpaceDN w:val="0"/>
        <w:adjustRightInd w:val="0"/>
        <w:spacing w:before="0" w:after="0"/>
        <w:ind w:left="720"/>
        <w:jc w:val="both"/>
        <w:rPr>
          <w:rFonts w:cs="Arial"/>
          <w:sz w:val="22"/>
          <w:szCs w:val="22"/>
        </w:rPr>
      </w:pPr>
      <w:r>
        <w:rPr>
          <w:rFonts w:cs="Arial"/>
          <w:sz w:val="22"/>
          <w:szCs w:val="22"/>
        </w:rPr>
        <w:lastRenderedPageBreak/>
        <w:t>• s</w:t>
      </w:r>
      <w:r w:rsidRPr="00500240">
        <w:rPr>
          <w:rFonts w:cs="Arial"/>
          <w:sz w:val="22"/>
          <w:szCs w:val="22"/>
        </w:rPr>
        <w:t>eeing the parents being arrested</w:t>
      </w:r>
    </w:p>
    <w:p w14:paraId="56642842" w14:textId="77777777" w:rsidR="000D1D92" w:rsidRDefault="000D1D92" w:rsidP="000D1D92">
      <w:pPr>
        <w:autoSpaceDE w:val="0"/>
        <w:autoSpaceDN w:val="0"/>
        <w:adjustRightInd w:val="0"/>
        <w:spacing w:before="0" w:after="0"/>
        <w:ind w:left="720"/>
        <w:jc w:val="both"/>
        <w:rPr>
          <w:rFonts w:cs="Arial"/>
          <w:sz w:val="22"/>
          <w:szCs w:val="22"/>
        </w:rPr>
      </w:pPr>
      <w:r>
        <w:rPr>
          <w:rFonts w:cs="Arial"/>
          <w:sz w:val="22"/>
          <w:szCs w:val="22"/>
        </w:rPr>
        <w:t>• h</w:t>
      </w:r>
      <w:r w:rsidRPr="00500240">
        <w:rPr>
          <w:rFonts w:cs="Arial"/>
          <w:sz w:val="22"/>
          <w:szCs w:val="22"/>
        </w:rPr>
        <w:t xml:space="preserve">aving to leave home with a parent and/or dislocation from family, friends and </w:t>
      </w:r>
    </w:p>
    <w:p w14:paraId="5B696249" w14:textId="77777777" w:rsidR="000D1D92" w:rsidRPr="00EA66C1" w:rsidRDefault="000D1D92" w:rsidP="000D1D92">
      <w:pPr>
        <w:autoSpaceDE w:val="0"/>
        <w:autoSpaceDN w:val="0"/>
        <w:adjustRightInd w:val="0"/>
        <w:spacing w:before="0" w:after="0"/>
        <w:ind w:left="720"/>
        <w:jc w:val="both"/>
        <w:rPr>
          <w:rFonts w:cs="Arial"/>
        </w:rPr>
      </w:pPr>
      <w:r>
        <w:rPr>
          <w:rFonts w:cs="Arial"/>
          <w:sz w:val="22"/>
          <w:szCs w:val="22"/>
        </w:rPr>
        <w:t xml:space="preserve">  </w:t>
      </w:r>
      <w:r w:rsidRPr="00500240">
        <w:rPr>
          <w:rFonts w:cs="Arial"/>
          <w:sz w:val="22"/>
          <w:szCs w:val="22"/>
        </w:rPr>
        <w:t>school</w:t>
      </w:r>
      <w:r w:rsidRPr="00BA0294">
        <w:rPr>
          <w:rFonts w:cs="Arial"/>
        </w:rPr>
        <w:t>.</w:t>
      </w:r>
      <w:r>
        <w:rPr>
          <w:rStyle w:val="EndnoteReference"/>
          <w:rFonts w:cs="Arial"/>
        </w:rPr>
        <w:endnoteReference w:id="517"/>
      </w:r>
    </w:p>
    <w:p w14:paraId="74EC8373" w14:textId="77777777" w:rsidR="000D1D92" w:rsidRDefault="000D1D92" w:rsidP="000D1D92">
      <w:pPr>
        <w:autoSpaceDE w:val="0"/>
        <w:autoSpaceDN w:val="0"/>
        <w:adjustRightInd w:val="0"/>
        <w:spacing w:before="0" w:after="0"/>
        <w:jc w:val="both"/>
        <w:rPr>
          <w:rFonts w:cs="Arial"/>
        </w:rPr>
      </w:pPr>
    </w:p>
    <w:p w14:paraId="307BD96D" w14:textId="77777777" w:rsidR="000D1D92" w:rsidRDefault="000D1D92" w:rsidP="000D1D92">
      <w:pPr>
        <w:autoSpaceDE w:val="0"/>
        <w:autoSpaceDN w:val="0"/>
        <w:adjustRightInd w:val="0"/>
        <w:spacing w:before="0" w:after="0"/>
        <w:jc w:val="both"/>
        <w:rPr>
          <w:rFonts w:cs="Arial"/>
          <w:sz w:val="20"/>
          <w:szCs w:val="20"/>
        </w:rPr>
      </w:pPr>
      <w:r>
        <w:rPr>
          <w:rFonts w:cs="Arial"/>
        </w:rPr>
        <w:t xml:space="preserve">Many participants at my roundtables and numerous submissions argued that differentiating between </w:t>
      </w:r>
      <w:r w:rsidRPr="00EA66C1">
        <w:rPr>
          <w:rFonts w:cs="Arial"/>
        </w:rPr>
        <w:t>witnessing</w:t>
      </w:r>
      <w:r>
        <w:rPr>
          <w:rFonts w:cs="Arial"/>
        </w:rPr>
        <w:t xml:space="preserve"> violence</w:t>
      </w:r>
      <w:r w:rsidRPr="00EA66C1">
        <w:rPr>
          <w:rFonts w:cs="Arial"/>
        </w:rPr>
        <w:t xml:space="preserve">, </w:t>
      </w:r>
      <w:r>
        <w:rPr>
          <w:rFonts w:cs="Arial"/>
        </w:rPr>
        <w:t>being exposed to violence</w:t>
      </w:r>
      <w:r w:rsidRPr="00EA66C1">
        <w:rPr>
          <w:rFonts w:cs="Arial"/>
        </w:rPr>
        <w:t xml:space="preserve">, </w:t>
      </w:r>
      <w:r>
        <w:rPr>
          <w:rFonts w:cs="Arial"/>
        </w:rPr>
        <w:t xml:space="preserve">and/or being </w:t>
      </w:r>
      <w:r w:rsidRPr="00EA66C1">
        <w:rPr>
          <w:rFonts w:cs="Arial"/>
        </w:rPr>
        <w:t>direct</w:t>
      </w:r>
      <w:r>
        <w:rPr>
          <w:rFonts w:cs="Arial"/>
        </w:rPr>
        <w:t>ly</w:t>
      </w:r>
      <w:r w:rsidRPr="00EA66C1">
        <w:rPr>
          <w:rFonts w:cs="Arial"/>
        </w:rPr>
        <w:t xml:space="preserve"> abuse</w:t>
      </w:r>
      <w:r>
        <w:rPr>
          <w:rFonts w:cs="Arial"/>
        </w:rPr>
        <w:t>d in the context of family and domestic violence is not helpful.</w:t>
      </w:r>
      <w:r w:rsidRPr="00E21EB1">
        <w:rPr>
          <w:rStyle w:val="EndnoteReference"/>
          <w:rFonts w:cs="Arial"/>
          <w:szCs w:val="20"/>
        </w:rPr>
        <w:endnoteReference w:id="518"/>
      </w:r>
      <w:r w:rsidRPr="00E21EB1">
        <w:rPr>
          <w:rFonts w:cs="Arial"/>
          <w:sz w:val="20"/>
          <w:szCs w:val="20"/>
        </w:rPr>
        <w:t xml:space="preserve"> </w:t>
      </w:r>
    </w:p>
    <w:p w14:paraId="1A50EDD0" w14:textId="77777777" w:rsidR="000D1D92" w:rsidRDefault="000D1D92" w:rsidP="000D1D92">
      <w:pPr>
        <w:autoSpaceDE w:val="0"/>
        <w:autoSpaceDN w:val="0"/>
        <w:adjustRightInd w:val="0"/>
        <w:spacing w:before="0" w:after="0"/>
        <w:jc w:val="both"/>
        <w:rPr>
          <w:rFonts w:cs="Arial"/>
          <w:sz w:val="20"/>
          <w:szCs w:val="20"/>
        </w:rPr>
      </w:pPr>
    </w:p>
    <w:p w14:paraId="2DBFF56B" w14:textId="77777777" w:rsidR="000D1D92" w:rsidRDefault="000D1D92" w:rsidP="000D1D92">
      <w:pPr>
        <w:autoSpaceDE w:val="0"/>
        <w:autoSpaceDN w:val="0"/>
        <w:adjustRightInd w:val="0"/>
        <w:spacing w:before="0" w:after="0"/>
        <w:jc w:val="both"/>
        <w:rPr>
          <w:rFonts w:cs="Arial"/>
        </w:rPr>
      </w:pPr>
      <w:r>
        <w:rPr>
          <w:rFonts w:cs="Arial"/>
        </w:rPr>
        <w:t>The negative outcomes for children, as a consequence of their witnessing and exposure to family and domestic violence, is increasingly being considered as abuse and reportable to child protection authorities.</w:t>
      </w:r>
      <w:r w:rsidRPr="00443D06">
        <w:rPr>
          <w:rStyle w:val="EndnoteReference"/>
          <w:rFonts w:cs="Arial"/>
          <w:szCs w:val="20"/>
        </w:rPr>
        <w:endnoteReference w:id="519"/>
      </w:r>
      <w:r>
        <w:rPr>
          <w:rFonts w:cs="Arial"/>
        </w:rPr>
        <w:t xml:space="preserve"> </w:t>
      </w:r>
      <w:r>
        <w:rPr>
          <w:rStyle w:val="EndnoteReference"/>
          <w:rFonts w:cs="Arial"/>
        </w:rPr>
        <w:endnoteReference w:id="520"/>
      </w:r>
      <w:r>
        <w:rPr>
          <w:rFonts w:cs="Arial"/>
        </w:rPr>
        <w:t xml:space="preserve"> </w:t>
      </w:r>
    </w:p>
    <w:p w14:paraId="3836CDD5" w14:textId="77777777" w:rsidR="000D1D92" w:rsidRDefault="000D1D92" w:rsidP="000D1D92">
      <w:pPr>
        <w:autoSpaceDE w:val="0"/>
        <w:autoSpaceDN w:val="0"/>
        <w:adjustRightInd w:val="0"/>
        <w:spacing w:before="0" w:after="0"/>
        <w:jc w:val="both"/>
        <w:rPr>
          <w:rFonts w:cs="Arial"/>
        </w:rPr>
      </w:pPr>
    </w:p>
    <w:p w14:paraId="2983348E" w14:textId="77777777" w:rsidR="000D1D92" w:rsidRDefault="000D1D92" w:rsidP="000D1D92">
      <w:pPr>
        <w:autoSpaceDE w:val="0"/>
        <w:autoSpaceDN w:val="0"/>
        <w:adjustRightInd w:val="0"/>
        <w:spacing w:before="0" w:after="0"/>
        <w:jc w:val="both"/>
        <w:rPr>
          <w:rFonts w:cs="Arial"/>
        </w:rPr>
      </w:pPr>
      <w:r>
        <w:rPr>
          <w:rFonts w:cs="Arial"/>
        </w:rPr>
        <w:t>The submission made by the Royal Australian and New Zealand College of Psychiatrists maintains that:</w:t>
      </w:r>
    </w:p>
    <w:p w14:paraId="2983ECB3" w14:textId="77777777" w:rsidR="000D1D92" w:rsidRDefault="000D1D92" w:rsidP="000D1D92">
      <w:pPr>
        <w:autoSpaceDE w:val="0"/>
        <w:autoSpaceDN w:val="0"/>
        <w:adjustRightInd w:val="0"/>
        <w:spacing w:before="0" w:after="0"/>
        <w:jc w:val="both"/>
        <w:rPr>
          <w:rFonts w:cs="Arial"/>
        </w:rPr>
      </w:pPr>
    </w:p>
    <w:p w14:paraId="451C62F2" w14:textId="77777777" w:rsidR="000D1D92" w:rsidRDefault="000D1D92" w:rsidP="000D1D92">
      <w:pPr>
        <w:autoSpaceDE w:val="0"/>
        <w:autoSpaceDN w:val="0"/>
        <w:adjustRightInd w:val="0"/>
        <w:spacing w:before="0" w:after="0"/>
        <w:ind w:left="720"/>
        <w:jc w:val="both"/>
        <w:rPr>
          <w:rFonts w:cs="Arial"/>
          <w:szCs w:val="20"/>
        </w:rPr>
      </w:pPr>
      <w:r w:rsidRPr="00AE40E4">
        <w:rPr>
          <w:rFonts w:cs="Arial"/>
          <w:sz w:val="22"/>
          <w:szCs w:val="22"/>
        </w:rPr>
        <w:t>Even when the child does not directly witness family violence, maternal stress and the overall environment of fear is known to have deleterious impacts on the child’s mental health, with 80-90% of children estimated to suffer from vicarious trauma even if they do not witness the incident directly</w:t>
      </w:r>
      <w:r>
        <w:rPr>
          <w:rFonts w:cs="Arial"/>
        </w:rPr>
        <w:t>.</w:t>
      </w:r>
      <w:r w:rsidRPr="00835006">
        <w:rPr>
          <w:rStyle w:val="EndnoteReference"/>
          <w:rFonts w:cs="Arial"/>
          <w:szCs w:val="20"/>
        </w:rPr>
        <w:t xml:space="preserve"> </w:t>
      </w:r>
      <w:r w:rsidRPr="00E21EB1">
        <w:rPr>
          <w:rStyle w:val="EndnoteReference"/>
          <w:rFonts w:cs="Arial"/>
          <w:szCs w:val="20"/>
        </w:rPr>
        <w:endnoteReference w:id="521"/>
      </w:r>
    </w:p>
    <w:p w14:paraId="6D0CC889" w14:textId="77777777" w:rsidR="000D1D92" w:rsidRDefault="000D1D92" w:rsidP="000D1D92">
      <w:pPr>
        <w:autoSpaceDE w:val="0"/>
        <w:autoSpaceDN w:val="0"/>
        <w:adjustRightInd w:val="0"/>
        <w:spacing w:before="0" w:after="0"/>
        <w:ind w:left="720"/>
        <w:jc w:val="both"/>
        <w:rPr>
          <w:rFonts w:cs="Arial"/>
          <w:szCs w:val="20"/>
        </w:rPr>
      </w:pPr>
    </w:p>
    <w:p w14:paraId="1E761BD2" w14:textId="77777777" w:rsidR="000D1D92" w:rsidRDefault="000D1D92" w:rsidP="000D1D92">
      <w:pPr>
        <w:autoSpaceDE w:val="0"/>
        <w:autoSpaceDN w:val="0"/>
        <w:adjustRightInd w:val="0"/>
        <w:spacing w:before="0" w:after="0"/>
        <w:jc w:val="both"/>
        <w:rPr>
          <w:rFonts w:cs="Arial"/>
          <w:szCs w:val="20"/>
        </w:rPr>
      </w:pPr>
      <w:r>
        <w:rPr>
          <w:rFonts w:cs="Arial"/>
          <w:szCs w:val="20"/>
        </w:rPr>
        <w:t>Relationships Australia makes the point in its submission that:</w:t>
      </w:r>
    </w:p>
    <w:p w14:paraId="3415F812" w14:textId="77777777" w:rsidR="000D1D92" w:rsidRDefault="000D1D92" w:rsidP="000D1D92">
      <w:pPr>
        <w:autoSpaceDE w:val="0"/>
        <w:autoSpaceDN w:val="0"/>
        <w:adjustRightInd w:val="0"/>
        <w:spacing w:before="0" w:after="0"/>
        <w:jc w:val="both"/>
        <w:rPr>
          <w:rFonts w:cs="Arial"/>
          <w:szCs w:val="20"/>
        </w:rPr>
      </w:pPr>
    </w:p>
    <w:p w14:paraId="49DA8788" w14:textId="77777777" w:rsidR="000D1D92" w:rsidRPr="007155F3" w:rsidRDefault="000D1D92" w:rsidP="000D1D92">
      <w:pPr>
        <w:autoSpaceDE w:val="0"/>
        <w:autoSpaceDN w:val="0"/>
        <w:adjustRightInd w:val="0"/>
        <w:spacing w:before="0" w:after="0"/>
        <w:ind w:left="720"/>
        <w:jc w:val="both"/>
        <w:rPr>
          <w:rFonts w:cs="Arial"/>
          <w:szCs w:val="20"/>
        </w:rPr>
      </w:pPr>
      <w:r w:rsidRPr="00AE40E4">
        <w:rPr>
          <w:rFonts w:cs="Arial"/>
          <w:sz w:val="22"/>
          <w:szCs w:val="22"/>
        </w:rPr>
        <w:t>The term ‘witness’ and ‘exposed to’ also has the effect of minimising the child’s experience</w:t>
      </w:r>
      <w:r>
        <w:rPr>
          <w:rFonts w:cs="Arial"/>
          <w:szCs w:val="20"/>
        </w:rPr>
        <w:t>.</w:t>
      </w:r>
      <w:r>
        <w:rPr>
          <w:rStyle w:val="EndnoteReference"/>
          <w:rFonts w:cs="Arial"/>
          <w:szCs w:val="20"/>
        </w:rPr>
        <w:endnoteReference w:id="522"/>
      </w:r>
    </w:p>
    <w:p w14:paraId="5F8E40B3" w14:textId="77777777" w:rsidR="000D1D92" w:rsidRDefault="000D1D92" w:rsidP="000D1D92">
      <w:pPr>
        <w:autoSpaceDE w:val="0"/>
        <w:autoSpaceDN w:val="0"/>
        <w:adjustRightInd w:val="0"/>
        <w:spacing w:before="0" w:after="0"/>
        <w:jc w:val="both"/>
        <w:rPr>
          <w:rFonts w:cs="Arial"/>
        </w:rPr>
      </w:pPr>
    </w:p>
    <w:p w14:paraId="6F54FA20" w14:textId="77777777" w:rsidR="000D1D92" w:rsidRDefault="000D1D92" w:rsidP="000D1D92">
      <w:pPr>
        <w:autoSpaceDE w:val="0"/>
        <w:autoSpaceDN w:val="0"/>
        <w:adjustRightInd w:val="0"/>
        <w:spacing w:before="0" w:after="0"/>
        <w:jc w:val="both"/>
        <w:rPr>
          <w:rStyle w:val="EndnoteReference"/>
          <w:rFonts w:cs="Arial"/>
          <w:szCs w:val="20"/>
        </w:rPr>
      </w:pPr>
      <w:r>
        <w:rPr>
          <w:rFonts w:cs="Arial"/>
        </w:rPr>
        <w:t xml:space="preserve">Combined with this, research is progressively showing </w:t>
      </w:r>
      <w:r w:rsidRPr="00096F9C">
        <w:rPr>
          <w:rFonts w:cs="Arial"/>
          <w:b/>
        </w:rPr>
        <w:t>a co-occurrence of exposure to family and domestic violence with the direct abuse of children</w:t>
      </w:r>
      <w:r>
        <w:rPr>
          <w:rFonts w:cs="Arial"/>
        </w:rPr>
        <w:t>.</w:t>
      </w:r>
      <w:r w:rsidRPr="00334DAC">
        <w:rPr>
          <w:rStyle w:val="EndnoteReference"/>
          <w:rFonts w:cs="Arial"/>
          <w:szCs w:val="20"/>
        </w:rPr>
        <w:t xml:space="preserve"> </w:t>
      </w:r>
      <w:r w:rsidRPr="00334DAC">
        <w:rPr>
          <w:rStyle w:val="EndnoteReference"/>
          <w:rFonts w:cs="Arial"/>
          <w:szCs w:val="20"/>
        </w:rPr>
        <w:endnoteReference w:id="523"/>
      </w:r>
      <w:r>
        <w:rPr>
          <w:rFonts w:cs="Arial"/>
          <w:szCs w:val="20"/>
        </w:rPr>
        <w:t xml:space="preserve"> It is argued that:</w:t>
      </w:r>
    </w:p>
    <w:p w14:paraId="2A0C9B6E" w14:textId="77777777" w:rsidR="000D1D92" w:rsidRDefault="000D1D92" w:rsidP="000D1D92">
      <w:pPr>
        <w:autoSpaceDE w:val="0"/>
        <w:autoSpaceDN w:val="0"/>
        <w:adjustRightInd w:val="0"/>
        <w:spacing w:before="0" w:after="0"/>
        <w:jc w:val="both"/>
        <w:rPr>
          <w:rStyle w:val="EndnoteReference"/>
          <w:rFonts w:cs="Arial"/>
          <w:szCs w:val="20"/>
        </w:rPr>
      </w:pPr>
    </w:p>
    <w:p w14:paraId="40B3A3E7" w14:textId="77777777" w:rsidR="000D1D92" w:rsidRDefault="000D1D92" w:rsidP="000D1D92">
      <w:pPr>
        <w:autoSpaceDE w:val="0"/>
        <w:autoSpaceDN w:val="0"/>
        <w:adjustRightInd w:val="0"/>
        <w:spacing w:before="0" w:after="0"/>
        <w:ind w:left="720"/>
        <w:jc w:val="both"/>
        <w:rPr>
          <w:rFonts w:cs="Arial"/>
        </w:rPr>
      </w:pPr>
      <w:r w:rsidRPr="00AE40E4">
        <w:rPr>
          <w:rFonts w:cs="Arial"/>
          <w:sz w:val="22"/>
          <w:szCs w:val="22"/>
        </w:rPr>
        <w:t>Distinguishing children who suffer abuse in the home from those who are ‘only’ exposed to domestic violence presents a considerable methodological and conceptual challenge, as these two phenomena are rarely discrete</w:t>
      </w:r>
      <w:r>
        <w:rPr>
          <w:rFonts w:cs="Arial"/>
        </w:rPr>
        <w:t>.</w:t>
      </w:r>
      <w:r>
        <w:rPr>
          <w:rStyle w:val="EndnoteReference"/>
          <w:rFonts w:cs="Arial"/>
        </w:rPr>
        <w:endnoteReference w:id="524"/>
      </w:r>
      <w:r w:rsidRPr="006D73D5">
        <w:rPr>
          <w:rFonts w:cs="Arial"/>
        </w:rPr>
        <w:t xml:space="preserve"> </w:t>
      </w:r>
    </w:p>
    <w:p w14:paraId="46A39FB2" w14:textId="77777777" w:rsidR="000D1D92" w:rsidRDefault="000D1D92" w:rsidP="000D1D92">
      <w:pPr>
        <w:autoSpaceDE w:val="0"/>
        <w:autoSpaceDN w:val="0"/>
        <w:adjustRightInd w:val="0"/>
        <w:spacing w:before="0" w:after="0"/>
        <w:jc w:val="both"/>
        <w:rPr>
          <w:rFonts w:cs="Arial"/>
        </w:rPr>
      </w:pPr>
    </w:p>
    <w:p w14:paraId="0E325425" w14:textId="77777777" w:rsidR="000D1D92" w:rsidRDefault="000D1D92" w:rsidP="000D1D92">
      <w:pPr>
        <w:autoSpaceDE w:val="0"/>
        <w:autoSpaceDN w:val="0"/>
        <w:adjustRightInd w:val="0"/>
        <w:spacing w:before="0" w:after="0"/>
        <w:jc w:val="both"/>
        <w:rPr>
          <w:rFonts w:cs="Arial"/>
        </w:rPr>
      </w:pPr>
      <w:r>
        <w:rPr>
          <w:rFonts w:cs="Arial"/>
        </w:rPr>
        <w:t>In terms of its prevalence, research by Richards asserts that:</w:t>
      </w:r>
    </w:p>
    <w:p w14:paraId="3BD2D92C" w14:textId="77777777" w:rsidR="000D1D92" w:rsidRDefault="000D1D92" w:rsidP="000D1D92">
      <w:pPr>
        <w:autoSpaceDE w:val="0"/>
        <w:autoSpaceDN w:val="0"/>
        <w:adjustRightInd w:val="0"/>
        <w:spacing w:before="0" w:after="0"/>
        <w:jc w:val="both"/>
        <w:rPr>
          <w:rFonts w:cs="Arial"/>
        </w:rPr>
      </w:pPr>
    </w:p>
    <w:p w14:paraId="22E23CA3" w14:textId="77777777" w:rsidR="000D1D92" w:rsidRDefault="000D1D92" w:rsidP="000D1D92">
      <w:pPr>
        <w:autoSpaceDE w:val="0"/>
        <w:autoSpaceDN w:val="0"/>
        <w:adjustRightInd w:val="0"/>
        <w:spacing w:before="0" w:after="0"/>
        <w:ind w:left="720"/>
        <w:jc w:val="both"/>
        <w:rPr>
          <w:rFonts w:cs="Arial"/>
        </w:rPr>
      </w:pPr>
      <w:r w:rsidRPr="00AE40E4">
        <w:rPr>
          <w:rFonts w:cs="Arial"/>
          <w:sz w:val="22"/>
          <w:szCs w:val="22"/>
        </w:rPr>
        <w:t xml:space="preserve">The rate of co-occurrence of Australian children experiencing </w:t>
      </w:r>
      <w:r w:rsidRPr="00AE40E4">
        <w:rPr>
          <w:rFonts w:cs="Arial"/>
          <w:i/>
          <w:iCs/>
          <w:sz w:val="22"/>
          <w:szCs w:val="22"/>
        </w:rPr>
        <w:t xml:space="preserve">physical </w:t>
      </w:r>
      <w:r w:rsidRPr="00AE40E4">
        <w:rPr>
          <w:rFonts w:cs="Arial"/>
          <w:sz w:val="22"/>
          <w:szCs w:val="22"/>
        </w:rPr>
        <w:t xml:space="preserve">abuse and being exposed to domestic violence, and experiencing </w:t>
      </w:r>
      <w:r w:rsidRPr="00AE40E4">
        <w:rPr>
          <w:rFonts w:cs="Arial"/>
          <w:i/>
          <w:iCs/>
          <w:sz w:val="22"/>
          <w:szCs w:val="22"/>
        </w:rPr>
        <w:t xml:space="preserve">sexual </w:t>
      </w:r>
      <w:r w:rsidRPr="00AE40E4">
        <w:rPr>
          <w:rFonts w:cs="Arial"/>
          <w:sz w:val="22"/>
          <w:szCs w:val="22"/>
        </w:rPr>
        <w:t>abuse and being exposed to domestic violence have been estimated at 55</w:t>
      </w:r>
      <w:r>
        <w:rPr>
          <w:rFonts w:cs="Arial"/>
          <w:sz w:val="22"/>
          <w:szCs w:val="22"/>
        </w:rPr>
        <w:t>%</w:t>
      </w:r>
      <w:r w:rsidRPr="00AE40E4">
        <w:rPr>
          <w:rFonts w:cs="Arial"/>
          <w:sz w:val="22"/>
          <w:szCs w:val="22"/>
        </w:rPr>
        <w:t xml:space="preserve"> and 40</w:t>
      </w:r>
      <w:r>
        <w:rPr>
          <w:rFonts w:cs="Arial"/>
          <w:sz w:val="22"/>
          <w:szCs w:val="22"/>
        </w:rPr>
        <w:t>%</w:t>
      </w:r>
      <w:r w:rsidRPr="00AE40E4">
        <w:rPr>
          <w:rFonts w:cs="Arial"/>
          <w:sz w:val="22"/>
          <w:szCs w:val="22"/>
        </w:rPr>
        <w:t xml:space="preserve"> respectively</w:t>
      </w:r>
      <w:r w:rsidRPr="00EA66C1">
        <w:rPr>
          <w:rFonts w:cs="Arial"/>
        </w:rPr>
        <w:t>.</w:t>
      </w:r>
      <w:r w:rsidRPr="00334DAC">
        <w:rPr>
          <w:rStyle w:val="EndnoteReference"/>
          <w:rFonts w:cs="Arial"/>
          <w:szCs w:val="20"/>
        </w:rPr>
        <w:endnoteReference w:id="525"/>
      </w:r>
    </w:p>
    <w:p w14:paraId="5C3CEFE9" w14:textId="77777777" w:rsidR="000D1D92" w:rsidRDefault="000D1D92" w:rsidP="000D1D92">
      <w:pPr>
        <w:autoSpaceDE w:val="0"/>
        <w:autoSpaceDN w:val="0"/>
        <w:adjustRightInd w:val="0"/>
        <w:spacing w:before="0" w:after="0"/>
        <w:jc w:val="both"/>
        <w:rPr>
          <w:rFonts w:cs="Arial"/>
        </w:rPr>
      </w:pPr>
    </w:p>
    <w:p w14:paraId="28CCAE6A" w14:textId="77777777" w:rsidR="000D1D92" w:rsidRPr="008F138E" w:rsidRDefault="000D1D92" w:rsidP="000D1D92">
      <w:pPr>
        <w:autoSpaceDE w:val="0"/>
        <w:autoSpaceDN w:val="0"/>
        <w:adjustRightInd w:val="0"/>
        <w:spacing w:before="0" w:after="0"/>
        <w:ind w:left="720" w:hanging="720"/>
        <w:jc w:val="both"/>
        <w:rPr>
          <w:rFonts w:cs="Arial"/>
          <w:b/>
        </w:rPr>
      </w:pPr>
      <w:r>
        <w:rPr>
          <w:rFonts w:cs="Arial"/>
          <w:b/>
        </w:rPr>
        <w:t>T</w:t>
      </w:r>
      <w:r w:rsidRPr="008F138E">
        <w:rPr>
          <w:rFonts w:cs="Arial"/>
          <w:b/>
        </w:rPr>
        <w:t xml:space="preserve">he intersection between family and domestic violence and child protection </w:t>
      </w:r>
    </w:p>
    <w:p w14:paraId="4F4BDA25" w14:textId="77777777" w:rsidR="000D1D92" w:rsidRPr="008F138E" w:rsidRDefault="000D1D92" w:rsidP="000D1D92">
      <w:pPr>
        <w:autoSpaceDE w:val="0"/>
        <w:autoSpaceDN w:val="0"/>
        <w:adjustRightInd w:val="0"/>
        <w:spacing w:before="0" w:after="0"/>
        <w:jc w:val="both"/>
        <w:rPr>
          <w:rFonts w:cs="Arial"/>
        </w:rPr>
      </w:pPr>
    </w:p>
    <w:p w14:paraId="2BFC9BC7" w14:textId="77777777" w:rsidR="000D1D92" w:rsidRDefault="000D1D92" w:rsidP="000D1D92">
      <w:pPr>
        <w:autoSpaceDE w:val="0"/>
        <w:autoSpaceDN w:val="0"/>
        <w:adjustRightInd w:val="0"/>
        <w:spacing w:before="0" w:after="0"/>
        <w:jc w:val="both"/>
        <w:rPr>
          <w:rFonts w:cs="Arial"/>
        </w:rPr>
      </w:pPr>
      <w:r w:rsidRPr="008F138E">
        <w:rPr>
          <w:rFonts w:cs="Arial"/>
        </w:rPr>
        <w:t xml:space="preserve">Family and domestic violence poses a significant challenge to state and territory child protection systems. Many submissions noted that child protection services are not </w:t>
      </w:r>
      <w:r>
        <w:rPr>
          <w:rFonts w:cs="Arial"/>
        </w:rPr>
        <w:t xml:space="preserve">well </w:t>
      </w:r>
      <w:r w:rsidRPr="008F138E">
        <w:rPr>
          <w:rFonts w:cs="Arial"/>
        </w:rPr>
        <w:t>equipped to deal with the scale of this problem and have not been designed to accommodate the complexities arising from the co-existence of an adult and child victim.</w:t>
      </w:r>
    </w:p>
    <w:p w14:paraId="14F0EF12" w14:textId="77777777" w:rsidR="000D1D92" w:rsidRDefault="000D1D92" w:rsidP="000D1D92">
      <w:pPr>
        <w:autoSpaceDE w:val="0"/>
        <w:autoSpaceDN w:val="0"/>
        <w:adjustRightInd w:val="0"/>
        <w:spacing w:before="0" w:after="0"/>
        <w:jc w:val="both"/>
        <w:rPr>
          <w:rFonts w:cs="Arial"/>
        </w:rPr>
      </w:pPr>
    </w:p>
    <w:p w14:paraId="7A104DD7" w14:textId="77777777" w:rsidR="000D1D92" w:rsidRDefault="000D1D92" w:rsidP="000D1D92">
      <w:pPr>
        <w:autoSpaceDE w:val="0"/>
        <w:autoSpaceDN w:val="0"/>
        <w:adjustRightInd w:val="0"/>
        <w:spacing w:before="0" w:after="0"/>
        <w:jc w:val="both"/>
        <w:rPr>
          <w:rFonts w:cs="Arial"/>
        </w:rPr>
      </w:pPr>
      <w:r>
        <w:rPr>
          <w:rFonts w:cs="Arial"/>
        </w:rPr>
        <w:t xml:space="preserve">The submission by the </w:t>
      </w:r>
      <w:r w:rsidRPr="00FC4B2C">
        <w:rPr>
          <w:rFonts w:cs="Arial"/>
        </w:rPr>
        <w:t>Melbourne Research Alliance to End Violence Against Women and their Children</w:t>
      </w:r>
      <w:r>
        <w:rPr>
          <w:rFonts w:cs="Arial"/>
        </w:rPr>
        <w:t xml:space="preserve"> suggests that:</w:t>
      </w:r>
    </w:p>
    <w:p w14:paraId="5E873C2C" w14:textId="77777777" w:rsidR="000D1D92" w:rsidRDefault="000D1D92" w:rsidP="000D1D92">
      <w:pPr>
        <w:autoSpaceDE w:val="0"/>
        <w:autoSpaceDN w:val="0"/>
        <w:adjustRightInd w:val="0"/>
        <w:spacing w:before="0" w:after="0"/>
        <w:jc w:val="both"/>
        <w:rPr>
          <w:rFonts w:cs="Arial"/>
        </w:rPr>
      </w:pPr>
    </w:p>
    <w:p w14:paraId="051C429F" w14:textId="77777777" w:rsidR="000D1D92" w:rsidRDefault="000D1D92" w:rsidP="000D1D92">
      <w:pPr>
        <w:autoSpaceDE w:val="0"/>
        <w:autoSpaceDN w:val="0"/>
        <w:adjustRightInd w:val="0"/>
        <w:spacing w:before="0" w:after="0"/>
        <w:ind w:left="720"/>
        <w:jc w:val="both"/>
        <w:rPr>
          <w:rFonts w:cs="Arial"/>
        </w:rPr>
      </w:pPr>
      <w:r w:rsidRPr="00AE40E4">
        <w:rPr>
          <w:rFonts w:cs="Arial"/>
          <w:sz w:val="22"/>
          <w:szCs w:val="22"/>
        </w:rPr>
        <w:lastRenderedPageBreak/>
        <w:t xml:space="preserve">While some children undoubtedly are at risk of significant harm and require a referral to child protection, there are problems routing </w:t>
      </w:r>
      <w:r w:rsidRPr="00AE40E4">
        <w:rPr>
          <w:rFonts w:cs="Arial"/>
          <w:i/>
          <w:sz w:val="22"/>
          <w:szCs w:val="22"/>
        </w:rPr>
        <w:t>all</w:t>
      </w:r>
      <w:r w:rsidRPr="00AE40E4">
        <w:rPr>
          <w:rFonts w:cs="Arial"/>
          <w:sz w:val="22"/>
          <w:szCs w:val="22"/>
        </w:rPr>
        <w:t xml:space="preserve"> affected children through this pathway</w:t>
      </w:r>
      <w:r>
        <w:rPr>
          <w:rFonts w:cs="Arial"/>
        </w:rPr>
        <w:t>.</w:t>
      </w:r>
      <w:r>
        <w:rPr>
          <w:rStyle w:val="EndnoteReference"/>
          <w:rFonts w:cs="Arial"/>
        </w:rPr>
        <w:endnoteReference w:id="526"/>
      </w:r>
    </w:p>
    <w:p w14:paraId="2834910D" w14:textId="77777777" w:rsidR="000D1D92" w:rsidRDefault="000D1D92" w:rsidP="000D1D92">
      <w:pPr>
        <w:autoSpaceDE w:val="0"/>
        <w:autoSpaceDN w:val="0"/>
        <w:adjustRightInd w:val="0"/>
        <w:spacing w:before="0" w:after="0"/>
        <w:jc w:val="both"/>
        <w:rPr>
          <w:rFonts w:cs="Arial"/>
        </w:rPr>
      </w:pPr>
    </w:p>
    <w:p w14:paraId="03AD578C" w14:textId="77777777" w:rsidR="000D1D92" w:rsidRDefault="000D1D92" w:rsidP="000D1D92">
      <w:pPr>
        <w:autoSpaceDE w:val="0"/>
        <w:autoSpaceDN w:val="0"/>
        <w:adjustRightInd w:val="0"/>
        <w:spacing w:before="0" w:after="0"/>
        <w:jc w:val="both"/>
        <w:rPr>
          <w:rFonts w:cs="Arial"/>
        </w:rPr>
      </w:pPr>
      <w:r>
        <w:rPr>
          <w:rFonts w:cs="Arial"/>
        </w:rPr>
        <w:t xml:space="preserve">Academic, </w:t>
      </w:r>
      <w:r w:rsidRPr="00206B3E">
        <w:rPr>
          <w:rFonts w:cs="Arial"/>
        </w:rPr>
        <w:t>Professor Cathy Humphries</w:t>
      </w:r>
      <w:r>
        <w:rPr>
          <w:rFonts w:cs="Arial"/>
        </w:rPr>
        <w:t xml:space="preserve"> from the University of Melbourne asserts that statutory child protection systems across Australia are not capable of managing the influx of referrals of all children affected by family and domestic violence. </w:t>
      </w:r>
    </w:p>
    <w:p w14:paraId="2C0455B3" w14:textId="77777777" w:rsidR="000D1D92" w:rsidRDefault="000D1D92" w:rsidP="000D1D92">
      <w:pPr>
        <w:autoSpaceDE w:val="0"/>
        <w:autoSpaceDN w:val="0"/>
        <w:adjustRightInd w:val="0"/>
        <w:spacing w:before="0" w:after="0"/>
        <w:jc w:val="both"/>
        <w:rPr>
          <w:rFonts w:cs="Arial"/>
        </w:rPr>
      </w:pPr>
    </w:p>
    <w:p w14:paraId="3D588493" w14:textId="77777777" w:rsidR="000D1D92" w:rsidRDefault="000D1D92" w:rsidP="000D1D92">
      <w:pPr>
        <w:autoSpaceDE w:val="0"/>
        <w:autoSpaceDN w:val="0"/>
        <w:adjustRightInd w:val="0"/>
        <w:spacing w:before="0" w:after="0"/>
        <w:jc w:val="both"/>
        <w:rPr>
          <w:rFonts w:cs="Arial"/>
        </w:rPr>
      </w:pPr>
      <w:r>
        <w:rPr>
          <w:rFonts w:cs="Arial"/>
        </w:rPr>
        <w:t>She maintains that where family and domestic violence cases are referred to child protection systems, many children do not receive a service.</w:t>
      </w:r>
      <w:r>
        <w:rPr>
          <w:rStyle w:val="EndnoteReference"/>
          <w:rFonts w:cs="Arial"/>
        </w:rPr>
        <w:endnoteReference w:id="527"/>
      </w:r>
    </w:p>
    <w:p w14:paraId="07E2DF5C" w14:textId="77777777" w:rsidR="000D1D92" w:rsidRDefault="000D1D92" w:rsidP="000D1D92">
      <w:pPr>
        <w:autoSpaceDE w:val="0"/>
        <w:autoSpaceDN w:val="0"/>
        <w:adjustRightInd w:val="0"/>
        <w:spacing w:before="0" w:after="0"/>
        <w:jc w:val="both"/>
        <w:rPr>
          <w:rFonts w:cs="Arial"/>
        </w:rPr>
      </w:pPr>
    </w:p>
    <w:p w14:paraId="259F8BBD" w14:textId="77777777" w:rsidR="000D1D92" w:rsidRDefault="000D1D92" w:rsidP="000D1D92">
      <w:pPr>
        <w:autoSpaceDE w:val="0"/>
        <w:autoSpaceDN w:val="0"/>
        <w:adjustRightInd w:val="0"/>
        <w:spacing w:before="0" w:after="0"/>
        <w:jc w:val="both"/>
        <w:rPr>
          <w:rFonts w:cs="Arial"/>
        </w:rPr>
      </w:pPr>
      <w:r>
        <w:rPr>
          <w:rFonts w:cs="Arial"/>
        </w:rPr>
        <w:t>Her examples of this include the L17 Triage Project conducted in Melbourne between November 2012 and November 2013 where of 1,960 police referrals to child protection, only 13.9% resulted in a child protection investigation.</w:t>
      </w:r>
      <w:r>
        <w:rPr>
          <w:rStyle w:val="EndnoteReference"/>
          <w:rFonts w:cs="Arial"/>
        </w:rPr>
        <w:endnoteReference w:id="528"/>
      </w:r>
      <w:r>
        <w:rPr>
          <w:rFonts w:cs="Arial"/>
        </w:rPr>
        <w:t xml:space="preserve"> </w:t>
      </w:r>
    </w:p>
    <w:p w14:paraId="74C097CA" w14:textId="77777777" w:rsidR="000D1D92" w:rsidRDefault="000D1D92" w:rsidP="000D1D92">
      <w:pPr>
        <w:autoSpaceDE w:val="0"/>
        <w:autoSpaceDN w:val="0"/>
        <w:adjustRightInd w:val="0"/>
        <w:spacing w:before="0" w:after="0"/>
        <w:jc w:val="both"/>
        <w:rPr>
          <w:rFonts w:cs="Arial"/>
        </w:rPr>
      </w:pPr>
    </w:p>
    <w:p w14:paraId="1B8C2130" w14:textId="77777777" w:rsidR="000D1D92" w:rsidRDefault="000D1D92" w:rsidP="000D1D92">
      <w:pPr>
        <w:autoSpaceDE w:val="0"/>
        <w:autoSpaceDN w:val="0"/>
        <w:adjustRightInd w:val="0"/>
        <w:spacing w:before="0" w:after="0"/>
        <w:jc w:val="both"/>
        <w:rPr>
          <w:rFonts w:cs="Arial"/>
        </w:rPr>
      </w:pPr>
      <w:r>
        <w:rPr>
          <w:rFonts w:cs="Arial"/>
        </w:rPr>
        <w:t xml:space="preserve">Similarly in 2008, the NSW </w:t>
      </w:r>
      <w:r w:rsidRPr="00392399">
        <w:rPr>
          <w:rFonts w:cs="Arial"/>
        </w:rPr>
        <w:t>Special Commission of Inquiry</w:t>
      </w:r>
      <w:r>
        <w:rPr>
          <w:rFonts w:cs="Arial"/>
        </w:rPr>
        <w:t xml:space="preserve"> into Child Protection Services reported that of the 76,000 reports where domestic violence was the primary reason for reporting, only 5,000 (6.5%) of these cases were substantiated and even these substantiated cases were not necessarily provided with assistance.</w:t>
      </w:r>
      <w:r>
        <w:rPr>
          <w:rStyle w:val="EndnoteReference"/>
          <w:rFonts w:cs="Arial"/>
        </w:rPr>
        <w:endnoteReference w:id="529"/>
      </w:r>
      <w:r>
        <w:rPr>
          <w:rFonts w:cs="Arial"/>
        </w:rPr>
        <w:t xml:space="preserve"> </w:t>
      </w:r>
    </w:p>
    <w:p w14:paraId="69E1EB34" w14:textId="77777777" w:rsidR="000D1D92" w:rsidRDefault="000D1D92" w:rsidP="000D1D92">
      <w:pPr>
        <w:autoSpaceDE w:val="0"/>
        <w:autoSpaceDN w:val="0"/>
        <w:adjustRightInd w:val="0"/>
        <w:spacing w:before="0" w:after="0"/>
        <w:jc w:val="both"/>
        <w:rPr>
          <w:rFonts w:cs="Arial"/>
        </w:rPr>
      </w:pPr>
    </w:p>
    <w:p w14:paraId="1B090FA5" w14:textId="77777777" w:rsidR="000D1D92" w:rsidRDefault="000D1D92" w:rsidP="000D1D92">
      <w:pPr>
        <w:autoSpaceDE w:val="0"/>
        <w:autoSpaceDN w:val="0"/>
        <w:adjustRightInd w:val="0"/>
        <w:spacing w:before="0" w:after="0"/>
        <w:jc w:val="both"/>
        <w:rPr>
          <w:rFonts w:cs="Arial"/>
        </w:rPr>
      </w:pPr>
      <w:r>
        <w:t>Australian researchers Bromfield, Arney, and Higgins</w:t>
      </w:r>
      <w:r>
        <w:rPr>
          <w:rFonts w:cs="Arial"/>
        </w:rPr>
        <w:t xml:space="preserve"> warn that: </w:t>
      </w:r>
    </w:p>
    <w:p w14:paraId="45A9FA0B" w14:textId="77777777" w:rsidR="000D1D92" w:rsidRDefault="000D1D92" w:rsidP="000D1D92">
      <w:pPr>
        <w:autoSpaceDE w:val="0"/>
        <w:autoSpaceDN w:val="0"/>
        <w:adjustRightInd w:val="0"/>
        <w:spacing w:before="0" w:after="0"/>
        <w:jc w:val="both"/>
        <w:rPr>
          <w:rFonts w:cs="Arial"/>
        </w:rPr>
      </w:pPr>
    </w:p>
    <w:p w14:paraId="24EA4E51" w14:textId="77777777" w:rsidR="000D1D92" w:rsidRPr="00392399" w:rsidRDefault="000D1D92" w:rsidP="000D1D92">
      <w:pPr>
        <w:autoSpaceDE w:val="0"/>
        <w:autoSpaceDN w:val="0"/>
        <w:adjustRightInd w:val="0"/>
        <w:spacing w:before="0" w:after="0"/>
        <w:ind w:left="720"/>
        <w:jc w:val="both"/>
        <w:rPr>
          <w:rFonts w:cs="Arial"/>
        </w:rPr>
      </w:pPr>
      <w:r w:rsidRPr="00AE40E4">
        <w:rPr>
          <w:rFonts w:cs="Arial"/>
          <w:sz w:val="22"/>
          <w:szCs w:val="22"/>
        </w:rPr>
        <w:t>Child protection services have increased their scope of responsibility without conducting a critical appraisal of whether a residual response system continues to be the best fit to address the size and nature of the problem</w:t>
      </w:r>
      <w:r w:rsidRPr="00FB55AB">
        <w:rPr>
          <w:rFonts w:cs="Arial"/>
        </w:rPr>
        <w:t>.</w:t>
      </w:r>
      <w:r>
        <w:rPr>
          <w:rStyle w:val="EndnoteReference"/>
          <w:rFonts w:cs="Arial"/>
        </w:rPr>
        <w:endnoteReference w:id="530"/>
      </w:r>
    </w:p>
    <w:p w14:paraId="4BCB367E" w14:textId="77777777" w:rsidR="000D1D92" w:rsidRDefault="000D1D92" w:rsidP="000D1D92">
      <w:pPr>
        <w:autoSpaceDE w:val="0"/>
        <w:autoSpaceDN w:val="0"/>
        <w:adjustRightInd w:val="0"/>
        <w:spacing w:before="0" w:after="0"/>
        <w:jc w:val="both"/>
        <w:rPr>
          <w:rFonts w:cs="Arial"/>
        </w:rPr>
      </w:pPr>
    </w:p>
    <w:p w14:paraId="4DF65B09" w14:textId="77777777" w:rsidR="000D1D92" w:rsidRDefault="000D1D92" w:rsidP="000D1D92">
      <w:pPr>
        <w:autoSpaceDE w:val="0"/>
        <w:autoSpaceDN w:val="0"/>
        <w:adjustRightInd w:val="0"/>
        <w:spacing w:before="0" w:after="0"/>
        <w:jc w:val="both"/>
        <w:rPr>
          <w:rFonts w:cs="Arial"/>
        </w:rPr>
      </w:pPr>
      <w:r>
        <w:t xml:space="preserve">The submission from </w:t>
      </w:r>
      <w:r w:rsidRPr="000B7DB6">
        <w:t>No To Violence Male Family Violence Prevention Association</w:t>
      </w:r>
      <w:r>
        <w:t xml:space="preserve"> told me that:</w:t>
      </w:r>
    </w:p>
    <w:p w14:paraId="7F0F4B3F" w14:textId="77777777" w:rsidR="000D1D92" w:rsidRDefault="000D1D92" w:rsidP="000D1D92">
      <w:pPr>
        <w:autoSpaceDE w:val="0"/>
        <w:autoSpaceDN w:val="0"/>
        <w:adjustRightInd w:val="0"/>
        <w:spacing w:before="0" w:after="0"/>
        <w:ind w:left="720"/>
        <w:jc w:val="both"/>
        <w:rPr>
          <w:rFonts w:cs="Arial"/>
          <w:shd w:val="clear" w:color="auto" w:fill="FFFFFF" w:themeFill="background1"/>
        </w:rPr>
      </w:pPr>
      <w:r w:rsidRPr="0078299D">
        <w:rPr>
          <w:sz w:val="22"/>
          <w:szCs w:val="22"/>
        </w:rPr>
        <w:t>Child protection systems are extremely ill-equipped to deal with the problem in a comprehensive, holistic, family-centred manner. The systems weren’t designed with this problem in mind and continue to be flummoxed around how to truly respond in a child-centred manner</w:t>
      </w:r>
      <w:r>
        <w:t>.</w:t>
      </w:r>
      <w:r>
        <w:rPr>
          <w:rStyle w:val="EndnoteReference"/>
        </w:rPr>
        <w:endnoteReference w:id="531"/>
      </w:r>
    </w:p>
    <w:p w14:paraId="08C6AE12" w14:textId="77777777" w:rsidR="000D1D92" w:rsidRDefault="000D1D92" w:rsidP="000D1D92">
      <w:pPr>
        <w:autoSpaceDE w:val="0"/>
        <w:autoSpaceDN w:val="0"/>
        <w:adjustRightInd w:val="0"/>
        <w:spacing w:before="0" w:after="0"/>
        <w:jc w:val="both"/>
        <w:rPr>
          <w:rFonts w:cs="Arial"/>
          <w:shd w:val="clear" w:color="auto" w:fill="FFFFFF" w:themeFill="background1"/>
        </w:rPr>
      </w:pPr>
    </w:p>
    <w:p w14:paraId="49109785" w14:textId="77777777" w:rsidR="000D1D92" w:rsidRDefault="000D1D92" w:rsidP="000D1D92">
      <w:pPr>
        <w:autoSpaceDE w:val="0"/>
        <w:autoSpaceDN w:val="0"/>
        <w:adjustRightInd w:val="0"/>
        <w:spacing w:before="0" w:after="0"/>
        <w:jc w:val="both"/>
        <w:rPr>
          <w:rFonts w:cs="Arial"/>
        </w:rPr>
      </w:pPr>
      <w:r w:rsidRPr="00206B3E">
        <w:rPr>
          <w:rFonts w:cs="Arial"/>
          <w:shd w:val="clear" w:color="auto" w:fill="FFFFFF" w:themeFill="background1"/>
        </w:rPr>
        <w:t>Professor Cathy Humphries</w:t>
      </w:r>
      <w:r>
        <w:rPr>
          <w:rFonts w:cs="Arial"/>
        </w:rPr>
        <w:t xml:space="preserve"> argues that:</w:t>
      </w:r>
    </w:p>
    <w:p w14:paraId="1C919EE3" w14:textId="77777777" w:rsidR="000D1D92" w:rsidRDefault="000D1D92" w:rsidP="000D1D92">
      <w:pPr>
        <w:autoSpaceDE w:val="0"/>
        <w:autoSpaceDN w:val="0"/>
        <w:adjustRightInd w:val="0"/>
        <w:spacing w:before="0" w:after="0"/>
        <w:jc w:val="both"/>
        <w:rPr>
          <w:rFonts w:cs="Arial"/>
        </w:rPr>
      </w:pPr>
    </w:p>
    <w:p w14:paraId="19892E94" w14:textId="77777777" w:rsidR="000D1D92" w:rsidRDefault="000D1D92" w:rsidP="000D1D92">
      <w:pPr>
        <w:autoSpaceDE w:val="0"/>
        <w:autoSpaceDN w:val="0"/>
        <w:adjustRightInd w:val="0"/>
        <w:spacing w:before="0" w:after="0"/>
        <w:ind w:left="720"/>
        <w:jc w:val="both"/>
        <w:rPr>
          <w:rFonts w:cs="Arial"/>
        </w:rPr>
      </w:pPr>
      <w:r w:rsidRPr="00AE40E4">
        <w:rPr>
          <w:rFonts w:cs="Arial"/>
          <w:sz w:val="22"/>
          <w:szCs w:val="22"/>
        </w:rPr>
        <w:t>‘Grafting’ domestic violence onto the extant child protection system can push an already vulnerable situation towards system failure…issues specific to domestic violence need to be addressed if a more effective intervention is to occur for children affected by domestic violence</w:t>
      </w:r>
      <w:r>
        <w:rPr>
          <w:rFonts w:cs="Arial"/>
        </w:rPr>
        <w:t>.</w:t>
      </w:r>
      <w:r>
        <w:rPr>
          <w:rStyle w:val="EndnoteReference"/>
          <w:rFonts w:cs="Arial"/>
        </w:rPr>
        <w:endnoteReference w:id="532"/>
      </w:r>
    </w:p>
    <w:p w14:paraId="3ECC9B83" w14:textId="77777777" w:rsidR="000D1D92" w:rsidRPr="00837B44" w:rsidRDefault="000D1D92" w:rsidP="000D1D92">
      <w:pPr>
        <w:autoSpaceDE w:val="0"/>
        <w:autoSpaceDN w:val="0"/>
        <w:adjustRightInd w:val="0"/>
        <w:spacing w:before="0" w:after="0"/>
        <w:jc w:val="both"/>
        <w:rPr>
          <w:rFonts w:cs="Arial"/>
        </w:rPr>
      </w:pPr>
    </w:p>
    <w:p w14:paraId="4A76CFD3" w14:textId="77777777" w:rsidR="000D1D92" w:rsidRDefault="000D1D92" w:rsidP="000D1D92">
      <w:pPr>
        <w:autoSpaceDE w:val="0"/>
        <w:autoSpaceDN w:val="0"/>
        <w:adjustRightInd w:val="0"/>
        <w:spacing w:before="0" w:after="0"/>
        <w:jc w:val="both"/>
        <w:rPr>
          <w:rFonts w:cs="Arial"/>
        </w:rPr>
      </w:pPr>
      <w:r>
        <w:rPr>
          <w:rFonts w:cs="Arial"/>
        </w:rPr>
        <w:t xml:space="preserve">The submission by the </w:t>
      </w:r>
      <w:r>
        <w:t xml:space="preserve">National Aboriginal and Torres Strait Islander Legal Services </w:t>
      </w:r>
      <w:r>
        <w:rPr>
          <w:rFonts w:cs="Arial"/>
        </w:rPr>
        <w:t xml:space="preserve">points out that: </w:t>
      </w:r>
    </w:p>
    <w:p w14:paraId="4B0FA652" w14:textId="77777777" w:rsidR="000D1D92" w:rsidRDefault="000D1D92" w:rsidP="000D1D92">
      <w:pPr>
        <w:autoSpaceDE w:val="0"/>
        <w:autoSpaceDN w:val="0"/>
        <w:adjustRightInd w:val="0"/>
        <w:spacing w:before="0" w:after="0"/>
        <w:jc w:val="both"/>
        <w:rPr>
          <w:rFonts w:cs="Arial"/>
        </w:rPr>
      </w:pPr>
    </w:p>
    <w:p w14:paraId="326C7B5F" w14:textId="77777777" w:rsidR="000D1D92" w:rsidRDefault="000D1D92" w:rsidP="000D1D92">
      <w:pPr>
        <w:autoSpaceDE w:val="0"/>
        <w:autoSpaceDN w:val="0"/>
        <w:adjustRightInd w:val="0"/>
        <w:spacing w:before="0" w:after="0"/>
        <w:ind w:left="720"/>
        <w:jc w:val="both"/>
        <w:rPr>
          <w:rFonts w:cs="Arial"/>
        </w:rPr>
      </w:pPr>
      <w:r w:rsidRPr="00AE40E4">
        <w:rPr>
          <w:rFonts w:cs="Arial"/>
          <w:sz w:val="22"/>
          <w:szCs w:val="22"/>
        </w:rPr>
        <w:t>The interaction between child protection interventions and family and domestic violence is extremely complex because of the risk to both the child and the non-abusive parent/carer</w:t>
      </w:r>
      <w:r>
        <w:rPr>
          <w:rFonts w:cs="Arial"/>
        </w:rPr>
        <w:t>.</w:t>
      </w:r>
      <w:r>
        <w:rPr>
          <w:rStyle w:val="EndnoteReference"/>
          <w:rFonts w:cs="Arial"/>
        </w:rPr>
        <w:endnoteReference w:id="533"/>
      </w:r>
    </w:p>
    <w:p w14:paraId="06C5AE5A" w14:textId="77777777" w:rsidR="000D1D92" w:rsidRDefault="000D1D92" w:rsidP="000D1D92">
      <w:pPr>
        <w:autoSpaceDE w:val="0"/>
        <w:autoSpaceDN w:val="0"/>
        <w:adjustRightInd w:val="0"/>
        <w:spacing w:before="0" w:after="0"/>
        <w:ind w:left="720"/>
        <w:jc w:val="both"/>
        <w:rPr>
          <w:rFonts w:cs="Arial"/>
        </w:rPr>
      </w:pPr>
    </w:p>
    <w:p w14:paraId="68BE6711" w14:textId="77777777" w:rsidR="000D1D92" w:rsidRDefault="000D1D92" w:rsidP="000D1D92">
      <w:pPr>
        <w:autoSpaceDE w:val="0"/>
        <w:autoSpaceDN w:val="0"/>
        <w:adjustRightInd w:val="0"/>
        <w:spacing w:before="0" w:after="0"/>
        <w:jc w:val="both"/>
      </w:pPr>
      <w:r>
        <w:t xml:space="preserve">One of the fundamental issues in family and domestic violence is the co-existence of the adult victim and the child victim. </w:t>
      </w:r>
    </w:p>
    <w:p w14:paraId="6B84F61A" w14:textId="77777777" w:rsidR="000D1D92" w:rsidRDefault="000D1D92" w:rsidP="000D1D92">
      <w:pPr>
        <w:autoSpaceDE w:val="0"/>
        <w:autoSpaceDN w:val="0"/>
        <w:adjustRightInd w:val="0"/>
        <w:spacing w:before="0" w:after="0"/>
        <w:jc w:val="both"/>
      </w:pPr>
    </w:p>
    <w:p w14:paraId="66E2381B" w14:textId="77777777" w:rsidR="000D1D92" w:rsidRDefault="000D1D92" w:rsidP="000D1D92">
      <w:pPr>
        <w:autoSpaceDE w:val="0"/>
        <w:autoSpaceDN w:val="0"/>
        <w:adjustRightInd w:val="0"/>
        <w:spacing w:before="0" w:after="0"/>
        <w:jc w:val="both"/>
        <w:rPr>
          <w:szCs w:val="22"/>
        </w:rPr>
      </w:pPr>
      <w:r>
        <w:rPr>
          <w:szCs w:val="22"/>
        </w:rPr>
        <w:lastRenderedPageBreak/>
        <w:t xml:space="preserve">Within the context of child protection, mothers can often be assessed as non-protective of their children if they do not leave the perpetrator and this can result in children being removed and placed in out-of-home care. </w:t>
      </w:r>
    </w:p>
    <w:p w14:paraId="0F8F5CF9" w14:textId="77777777" w:rsidR="000D1D92" w:rsidRDefault="000D1D92" w:rsidP="000D1D92">
      <w:pPr>
        <w:autoSpaceDE w:val="0"/>
        <w:autoSpaceDN w:val="0"/>
        <w:adjustRightInd w:val="0"/>
        <w:spacing w:before="0" w:after="0"/>
        <w:jc w:val="both"/>
        <w:rPr>
          <w:szCs w:val="22"/>
        </w:rPr>
      </w:pPr>
    </w:p>
    <w:p w14:paraId="09EE64EC" w14:textId="77777777" w:rsidR="000D1D92" w:rsidRDefault="000D1D92" w:rsidP="000D1D92">
      <w:pPr>
        <w:autoSpaceDE w:val="0"/>
        <w:autoSpaceDN w:val="0"/>
        <w:adjustRightInd w:val="0"/>
        <w:spacing w:before="0" w:after="0"/>
        <w:jc w:val="both"/>
        <w:rPr>
          <w:szCs w:val="22"/>
        </w:rPr>
      </w:pPr>
      <w:r>
        <w:rPr>
          <w:szCs w:val="22"/>
        </w:rPr>
        <w:t xml:space="preserve">The fear of this happening can also be a significant barrier to women with children seeking help. This particularly affects Aboriginal and Torres Strait Islander women. </w:t>
      </w:r>
    </w:p>
    <w:p w14:paraId="19A26882" w14:textId="77777777" w:rsidR="000D1D92" w:rsidRDefault="000D1D92" w:rsidP="000D1D92">
      <w:pPr>
        <w:autoSpaceDE w:val="0"/>
        <w:autoSpaceDN w:val="0"/>
        <w:adjustRightInd w:val="0"/>
        <w:spacing w:before="0" w:after="0"/>
        <w:jc w:val="both"/>
        <w:rPr>
          <w:szCs w:val="22"/>
        </w:rPr>
      </w:pPr>
    </w:p>
    <w:p w14:paraId="0690149A" w14:textId="77777777" w:rsidR="000D1D92" w:rsidRPr="00837B44" w:rsidRDefault="000D1D92" w:rsidP="000D1D92">
      <w:pPr>
        <w:spacing w:before="0" w:after="0"/>
        <w:jc w:val="both"/>
      </w:pPr>
      <w:r>
        <w:t xml:space="preserve">The </w:t>
      </w:r>
      <w:r w:rsidRPr="00837B44">
        <w:t xml:space="preserve">Australian Psychological Society </w:t>
      </w:r>
      <w:r>
        <w:t>told me that:</w:t>
      </w:r>
    </w:p>
    <w:p w14:paraId="60731576" w14:textId="77777777" w:rsidR="000D1D92" w:rsidRDefault="000D1D92" w:rsidP="000D1D92">
      <w:pPr>
        <w:spacing w:before="0" w:after="0"/>
        <w:jc w:val="both"/>
      </w:pPr>
    </w:p>
    <w:p w14:paraId="3A0B2E94" w14:textId="77777777" w:rsidR="000D1D92" w:rsidRDefault="000D1D92" w:rsidP="000D1D92">
      <w:pPr>
        <w:spacing w:before="0" w:after="0"/>
        <w:ind w:left="720"/>
        <w:jc w:val="both"/>
      </w:pPr>
      <w:r w:rsidRPr="00AE40E4">
        <w:rPr>
          <w:sz w:val="22"/>
          <w:szCs w:val="22"/>
        </w:rPr>
        <w:t>While in some situations there is a clear case for referral to child protection for children directly harmed by family violence, developing policy or legislative responses which mandate referral for all children who experience or witness violence is unlikely to be in the best interests of the child, or the child and protective parent relationship</w:t>
      </w:r>
      <w:r>
        <w:t>.</w:t>
      </w:r>
      <w:r>
        <w:rPr>
          <w:rStyle w:val="EndnoteReference"/>
        </w:rPr>
        <w:endnoteReference w:id="534"/>
      </w:r>
    </w:p>
    <w:p w14:paraId="5A06AE05" w14:textId="77777777" w:rsidR="000D1D92" w:rsidRDefault="000D1D92" w:rsidP="000D1D92">
      <w:pPr>
        <w:autoSpaceDE w:val="0"/>
        <w:autoSpaceDN w:val="0"/>
        <w:adjustRightInd w:val="0"/>
        <w:spacing w:before="0" w:after="0"/>
        <w:jc w:val="both"/>
        <w:rPr>
          <w:rFonts w:cs="Arial"/>
        </w:rPr>
      </w:pPr>
    </w:p>
    <w:p w14:paraId="4D4ECFE1" w14:textId="77777777" w:rsidR="000D1D92" w:rsidRDefault="000D1D92" w:rsidP="000D1D92">
      <w:pPr>
        <w:autoSpaceDE w:val="0"/>
        <w:autoSpaceDN w:val="0"/>
        <w:adjustRightInd w:val="0"/>
        <w:spacing w:before="0" w:after="0"/>
        <w:jc w:val="both"/>
        <w:rPr>
          <w:rFonts w:cs="Arial"/>
        </w:rPr>
      </w:pPr>
      <w:r>
        <w:rPr>
          <w:rFonts w:cs="Arial"/>
        </w:rPr>
        <w:t xml:space="preserve">At my roundtables and in submissions, I was told that differential response approaches had been adopted in many Australian jurisdictions. </w:t>
      </w:r>
    </w:p>
    <w:p w14:paraId="6389D150" w14:textId="77777777" w:rsidR="000D1D92" w:rsidRDefault="000D1D92" w:rsidP="000D1D92">
      <w:pPr>
        <w:autoSpaceDE w:val="0"/>
        <w:autoSpaceDN w:val="0"/>
        <w:adjustRightInd w:val="0"/>
        <w:spacing w:before="0" w:after="0"/>
        <w:jc w:val="both"/>
        <w:rPr>
          <w:rFonts w:cs="Arial"/>
        </w:rPr>
      </w:pPr>
    </w:p>
    <w:p w14:paraId="392FDD74" w14:textId="77777777" w:rsidR="000D1D92" w:rsidRDefault="000D1D92" w:rsidP="000D1D92">
      <w:pPr>
        <w:autoSpaceDE w:val="0"/>
        <w:autoSpaceDN w:val="0"/>
        <w:adjustRightInd w:val="0"/>
        <w:spacing w:before="0" w:after="0"/>
        <w:jc w:val="both"/>
        <w:rPr>
          <w:rFonts w:cs="Arial"/>
        </w:rPr>
      </w:pPr>
      <w:r>
        <w:rPr>
          <w:rFonts w:cs="Arial"/>
        </w:rPr>
        <w:t>This type of approach uses assessment tools to gauge risk of harm to children and identify low and high-risk families.</w:t>
      </w:r>
      <w:r>
        <w:rPr>
          <w:rStyle w:val="EndnoteReference"/>
          <w:rFonts w:cs="Arial"/>
        </w:rPr>
        <w:endnoteReference w:id="535"/>
      </w:r>
      <w:r>
        <w:rPr>
          <w:rFonts w:cs="Arial"/>
        </w:rPr>
        <w:t xml:space="preserve"> In cases where f</w:t>
      </w:r>
      <w:r w:rsidRPr="009E1176">
        <w:rPr>
          <w:rFonts w:cs="Arial"/>
        </w:rPr>
        <w:t xml:space="preserve">amily and domestic violence </w:t>
      </w:r>
      <w:r>
        <w:rPr>
          <w:rFonts w:cs="Arial"/>
        </w:rPr>
        <w:t>is assessed as low risk and does not require a response from child protection authorities, referrals are made to non-government and community sector organisations.</w:t>
      </w:r>
      <w:r>
        <w:rPr>
          <w:rStyle w:val="EndnoteReference"/>
          <w:rFonts w:cs="Arial"/>
        </w:rPr>
        <w:endnoteReference w:id="536"/>
      </w:r>
      <w:r>
        <w:rPr>
          <w:rFonts w:cs="Arial"/>
        </w:rPr>
        <w:t xml:space="preserve"> </w:t>
      </w:r>
    </w:p>
    <w:p w14:paraId="7C4F7A7D" w14:textId="77777777" w:rsidR="000D1D92" w:rsidRDefault="000D1D92" w:rsidP="000D1D92">
      <w:pPr>
        <w:autoSpaceDE w:val="0"/>
        <w:autoSpaceDN w:val="0"/>
        <w:adjustRightInd w:val="0"/>
        <w:spacing w:before="0" w:after="0"/>
        <w:jc w:val="both"/>
        <w:rPr>
          <w:rFonts w:cs="Arial"/>
        </w:rPr>
      </w:pPr>
    </w:p>
    <w:p w14:paraId="101AF4F7" w14:textId="77777777" w:rsidR="000D1D92" w:rsidRDefault="000D1D92" w:rsidP="000D1D92">
      <w:pPr>
        <w:autoSpaceDE w:val="0"/>
        <w:autoSpaceDN w:val="0"/>
        <w:adjustRightInd w:val="0"/>
        <w:spacing w:before="0" w:after="0"/>
        <w:jc w:val="both"/>
      </w:pPr>
      <w:r>
        <w:t xml:space="preserve">Bromfield, Arney, and Higgins suggest that while the Australian strategy of adopting differential response approaches to </w:t>
      </w:r>
      <w:r w:rsidRPr="007D430B">
        <w:t>better respond to families</w:t>
      </w:r>
      <w:r>
        <w:t xml:space="preserve"> has been a </w:t>
      </w:r>
      <w:r w:rsidRPr="007172D5">
        <w:t>pragmatic and sensible addition to child protection services</w:t>
      </w:r>
      <w:r>
        <w:t>, a more proactive method towards implementing a comprehensive public health model is required.</w:t>
      </w:r>
      <w:r>
        <w:rPr>
          <w:rStyle w:val="EndnoteReference"/>
        </w:rPr>
        <w:endnoteReference w:id="537"/>
      </w:r>
      <w:r>
        <w:t xml:space="preserve"> </w:t>
      </w:r>
    </w:p>
    <w:p w14:paraId="75345C67" w14:textId="77777777" w:rsidR="000D1D92" w:rsidRDefault="000D1D92" w:rsidP="000D1D92">
      <w:pPr>
        <w:autoSpaceDE w:val="0"/>
        <w:autoSpaceDN w:val="0"/>
        <w:adjustRightInd w:val="0"/>
        <w:spacing w:before="0" w:after="0"/>
        <w:jc w:val="both"/>
      </w:pPr>
    </w:p>
    <w:p w14:paraId="74C9CFDB" w14:textId="77777777" w:rsidR="000D1D92" w:rsidRDefault="000D1D92" w:rsidP="000D1D92">
      <w:pPr>
        <w:autoSpaceDE w:val="0"/>
        <w:autoSpaceDN w:val="0"/>
        <w:adjustRightInd w:val="0"/>
        <w:spacing w:before="0" w:after="0"/>
        <w:jc w:val="both"/>
        <w:rPr>
          <w:rFonts w:cs="Arial"/>
        </w:rPr>
      </w:pPr>
      <w:r>
        <w:t xml:space="preserve">Public policy approaches and educational campaigns targeting family and domestic violence are </w:t>
      </w:r>
      <w:r>
        <w:rPr>
          <w:rFonts w:cs="Arial"/>
        </w:rPr>
        <w:t xml:space="preserve">discussed further below (see </w:t>
      </w:r>
      <w:r w:rsidRPr="00D9283E">
        <w:rPr>
          <w:rFonts w:cs="Arial"/>
        </w:rPr>
        <w:t>section 4.5.5</w:t>
      </w:r>
      <w:r>
        <w:rPr>
          <w:rFonts w:cs="Arial"/>
        </w:rPr>
        <w:t>).</w:t>
      </w:r>
    </w:p>
    <w:p w14:paraId="7D37E8E2" w14:textId="77777777" w:rsidR="000D1D92" w:rsidRDefault="000D1D92" w:rsidP="000D1D92">
      <w:pPr>
        <w:autoSpaceDE w:val="0"/>
        <w:autoSpaceDN w:val="0"/>
        <w:adjustRightInd w:val="0"/>
        <w:spacing w:before="0" w:after="0"/>
        <w:jc w:val="both"/>
        <w:rPr>
          <w:rFonts w:cs="Arial"/>
        </w:rPr>
      </w:pPr>
    </w:p>
    <w:p w14:paraId="64EE2EB2" w14:textId="77777777" w:rsidR="000D1D92" w:rsidRDefault="000D1D92" w:rsidP="000D1D92">
      <w:pPr>
        <w:autoSpaceDE w:val="0"/>
        <w:autoSpaceDN w:val="0"/>
        <w:adjustRightInd w:val="0"/>
        <w:spacing w:before="0" w:after="0"/>
        <w:jc w:val="both"/>
        <w:rPr>
          <w:rFonts w:cs="Arial"/>
        </w:rPr>
      </w:pPr>
      <w:r>
        <w:rPr>
          <w:rFonts w:cs="Arial"/>
        </w:rPr>
        <w:t>Research on differential response approaches conducted in Canada suggests that difficulties can emerge where community-based services do not have adequate funding for preventative services and intervention programs, and are not able to appropriately respond.</w:t>
      </w:r>
      <w:r>
        <w:rPr>
          <w:rStyle w:val="EndnoteReference"/>
          <w:rFonts w:cs="Arial"/>
        </w:rPr>
        <w:endnoteReference w:id="538"/>
      </w:r>
      <w:r>
        <w:rPr>
          <w:rFonts w:cs="Arial"/>
        </w:rPr>
        <w:t xml:space="preserve"> </w:t>
      </w:r>
    </w:p>
    <w:p w14:paraId="2082419A" w14:textId="77777777" w:rsidR="000D1D92" w:rsidRDefault="000D1D92" w:rsidP="000D1D92">
      <w:pPr>
        <w:autoSpaceDE w:val="0"/>
        <w:autoSpaceDN w:val="0"/>
        <w:adjustRightInd w:val="0"/>
        <w:spacing w:before="0" w:after="0"/>
        <w:jc w:val="both"/>
        <w:rPr>
          <w:rFonts w:cs="Arial"/>
        </w:rPr>
      </w:pPr>
    </w:p>
    <w:p w14:paraId="401B69BE" w14:textId="77777777" w:rsidR="000D1D92" w:rsidRDefault="000D1D92" w:rsidP="000D1D92">
      <w:pPr>
        <w:autoSpaceDE w:val="0"/>
        <w:autoSpaceDN w:val="0"/>
        <w:adjustRightInd w:val="0"/>
        <w:spacing w:before="0" w:after="0"/>
        <w:jc w:val="both"/>
        <w:rPr>
          <w:rFonts w:cs="Arial"/>
        </w:rPr>
      </w:pPr>
      <w:r>
        <w:rPr>
          <w:rFonts w:cs="Arial"/>
        </w:rPr>
        <w:t xml:space="preserve">The submission made by </w:t>
      </w:r>
      <w:r w:rsidRPr="005216FA">
        <w:rPr>
          <w:rFonts w:cs="Arial"/>
        </w:rPr>
        <w:t>Melbourne Research Alliance to End Violence Against Women and their Children</w:t>
      </w:r>
      <w:r>
        <w:rPr>
          <w:rFonts w:cs="Arial"/>
        </w:rPr>
        <w:t xml:space="preserve"> emphasises the need for increased funding to make sure that those children diverted from child protection receive support services; and that workers in women’s services and family support services are trained to intervene with both sets of victims.</w:t>
      </w:r>
      <w:r>
        <w:rPr>
          <w:rStyle w:val="EndnoteReference"/>
          <w:rFonts w:cs="Arial"/>
        </w:rPr>
        <w:endnoteReference w:id="539"/>
      </w:r>
    </w:p>
    <w:p w14:paraId="76B46BB9" w14:textId="77777777" w:rsidR="000D1D92" w:rsidRDefault="000D1D92" w:rsidP="000D1D92">
      <w:pPr>
        <w:autoSpaceDE w:val="0"/>
        <w:autoSpaceDN w:val="0"/>
        <w:adjustRightInd w:val="0"/>
        <w:spacing w:before="0" w:after="0"/>
        <w:jc w:val="both"/>
        <w:rPr>
          <w:rFonts w:cs="Arial"/>
        </w:rPr>
      </w:pPr>
    </w:p>
    <w:tbl>
      <w:tblPr>
        <w:tblStyle w:val="TableGrid"/>
        <w:tblW w:w="0" w:type="auto"/>
        <w:shd w:val="clear" w:color="auto" w:fill="000000" w:themeFill="text1"/>
        <w:tblLook w:val="04A0" w:firstRow="1" w:lastRow="0" w:firstColumn="1" w:lastColumn="0" w:noHBand="0" w:noVBand="1"/>
      </w:tblPr>
      <w:tblGrid>
        <w:gridCol w:w="9060"/>
      </w:tblGrid>
      <w:tr w:rsidR="000D1D92" w:rsidRPr="007407A6" w14:paraId="4D8100F2" w14:textId="77777777" w:rsidTr="00684616">
        <w:trPr>
          <w:trHeight w:val="1006"/>
        </w:trPr>
        <w:tc>
          <w:tcPr>
            <w:tcW w:w="9060" w:type="dxa"/>
            <w:shd w:val="clear" w:color="auto" w:fill="F2F2F2" w:themeFill="background1" w:themeFillShade="F2"/>
            <w:vAlign w:val="center"/>
          </w:tcPr>
          <w:p w14:paraId="02957FE9" w14:textId="77777777" w:rsidR="000D1D92" w:rsidRDefault="000D1D92" w:rsidP="00684616">
            <w:pPr>
              <w:spacing w:before="0" w:after="0"/>
              <w:rPr>
                <w:b/>
              </w:rPr>
            </w:pPr>
          </w:p>
          <w:p w14:paraId="3C58D01B" w14:textId="77777777" w:rsidR="000D1D92" w:rsidRDefault="000D1D92" w:rsidP="00684616">
            <w:pPr>
              <w:spacing w:before="0" w:after="0"/>
              <w:rPr>
                <w:b/>
              </w:rPr>
            </w:pPr>
            <w:r>
              <w:rPr>
                <w:b/>
              </w:rPr>
              <w:t>Summary</w:t>
            </w:r>
          </w:p>
          <w:p w14:paraId="36347A12" w14:textId="77777777" w:rsidR="000D1D92" w:rsidRDefault="000D1D92" w:rsidP="00684616">
            <w:pPr>
              <w:spacing w:before="0" w:after="0"/>
              <w:rPr>
                <w:b/>
              </w:rPr>
            </w:pPr>
          </w:p>
          <w:p w14:paraId="163BE25A" w14:textId="77777777" w:rsidR="000D1D92" w:rsidRDefault="000D1D92" w:rsidP="00684616">
            <w:pPr>
              <w:spacing w:before="0" w:after="0"/>
              <w:rPr>
                <w:b/>
              </w:rPr>
            </w:pPr>
            <w:r w:rsidRPr="00A34F00">
              <w:rPr>
                <w:b/>
              </w:rPr>
              <w:t>How do children experience family and domestic violence?</w:t>
            </w:r>
          </w:p>
          <w:p w14:paraId="12675A0F" w14:textId="77777777" w:rsidR="000D1D92" w:rsidRDefault="000D1D92" w:rsidP="00684616">
            <w:pPr>
              <w:spacing w:before="0" w:after="0"/>
              <w:rPr>
                <w:b/>
              </w:rPr>
            </w:pPr>
          </w:p>
          <w:p w14:paraId="21F6B03E" w14:textId="77777777" w:rsidR="000D1D92" w:rsidRPr="00A34F00" w:rsidRDefault="000D1D92" w:rsidP="00684616">
            <w:pPr>
              <w:spacing w:before="0" w:after="0"/>
              <w:jc w:val="both"/>
              <w:rPr>
                <w:b/>
              </w:rPr>
            </w:pPr>
            <w:r w:rsidRPr="00A34F00">
              <w:t xml:space="preserve">Children’s experiences of family and domestic violence are typically described as ‘witnessing violence’, ‘being exposed to violence’, and ‘being directly abused in the context of family and domestic violence’. These three categories have traditionally </w:t>
            </w:r>
            <w:r w:rsidRPr="00A34F00">
              <w:lastRenderedPageBreak/>
              <w:t>been treated as separate entities</w:t>
            </w:r>
            <w:r w:rsidRPr="00A34F00">
              <w:rPr>
                <w:b/>
              </w:rPr>
              <w:t xml:space="preserve">. </w:t>
            </w:r>
          </w:p>
          <w:p w14:paraId="0FD3F63F" w14:textId="77777777" w:rsidR="000D1D92" w:rsidRPr="00A34F00" w:rsidRDefault="000D1D92" w:rsidP="00684616">
            <w:pPr>
              <w:spacing w:before="0" w:after="0"/>
              <w:jc w:val="both"/>
              <w:rPr>
                <w:b/>
              </w:rPr>
            </w:pPr>
          </w:p>
          <w:p w14:paraId="519A7972" w14:textId="77777777" w:rsidR="000D1D92" w:rsidRPr="00A34F00" w:rsidRDefault="000D1D92" w:rsidP="00684616">
            <w:pPr>
              <w:spacing w:before="0" w:after="0"/>
              <w:jc w:val="both"/>
            </w:pPr>
            <w:r w:rsidRPr="00A34F00">
              <w:t>Witnessing and exposure to family and domestic violence are increasingly being recognised as forms</w:t>
            </w:r>
            <w:r>
              <w:t xml:space="preserve"> of abuse that can be reported</w:t>
            </w:r>
            <w:r w:rsidRPr="00A34F00">
              <w:t xml:space="preserve"> to child protection authorities.</w:t>
            </w:r>
          </w:p>
          <w:p w14:paraId="2E31EAD9" w14:textId="77777777" w:rsidR="000D1D92" w:rsidRPr="00A34F00" w:rsidRDefault="000D1D92" w:rsidP="00684616">
            <w:pPr>
              <w:spacing w:before="0" w:after="0"/>
              <w:jc w:val="both"/>
              <w:rPr>
                <w:b/>
              </w:rPr>
            </w:pPr>
          </w:p>
          <w:p w14:paraId="4C0B57E7" w14:textId="77777777" w:rsidR="000D1D92" w:rsidRDefault="000D1D92" w:rsidP="00684616">
            <w:pPr>
              <w:spacing w:before="0" w:after="0"/>
            </w:pPr>
            <w:r w:rsidRPr="00A34F00">
              <w:t xml:space="preserve">It is clear that statutory child protection systems across Australia are not well equipped to manage the large numbers of children affected by family and domestic violence. </w:t>
            </w:r>
          </w:p>
          <w:p w14:paraId="6A382749" w14:textId="77777777" w:rsidR="000D1D92" w:rsidRDefault="000D1D92" w:rsidP="00684616">
            <w:pPr>
              <w:spacing w:before="0" w:after="0"/>
            </w:pPr>
          </w:p>
          <w:p w14:paraId="07480AB8" w14:textId="77777777" w:rsidR="000D1D92" w:rsidRDefault="000D1D92" w:rsidP="00684616">
            <w:pPr>
              <w:spacing w:before="0" w:after="0"/>
            </w:pPr>
            <w:r w:rsidRPr="00A34F00">
              <w:t>In particular, child protection systems have not been designed to consider the co-existence of an adult victim and child victims, leading to an absence of cohesive family-centred approaches.</w:t>
            </w:r>
          </w:p>
          <w:p w14:paraId="71CFD73C" w14:textId="77777777" w:rsidR="000D1D92" w:rsidRPr="007407A6" w:rsidRDefault="000D1D92" w:rsidP="00684616">
            <w:pPr>
              <w:spacing w:before="0" w:after="0"/>
              <w:rPr>
                <w:b/>
              </w:rPr>
            </w:pPr>
          </w:p>
        </w:tc>
      </w:tr>
    </w:tbl>
    <w:p w14:paraId="690E3055" w14:textId="77777777" w:rsidR="000D1D92" w:rsidRPr="00A712DE" w:rsidRDefault="000D1D92" w:rsidP="000D1D92">
      <w:pPr>
        <w:pStyle w:val="Heading3"/>
        <w:jc w:val="both"/>
      </w:pPr>
      <w:bookmarkStart w:id="184" w:name="_Toc430702117"/>
      <w:bookmarkStart w:id="185" w:name="_Toc432061273"/>
      <w:r w:rsidRPr="00A712DE">
        <w:lastRenderedPageBreak/>
        <w:t>What is the impact of family and domestic violence on children?</w:t>
      </w:r>
      <w:bookmarkEnd w:id="184"/>
      <w:bookmarkEnd w:id="185"/>
    </w:p>
    <w:p w14:paraId="606126B6" w14:textId="77777777" w:rsidR="000D1D92" w:rsidRDefault="000D1D92" w:rsidP="000D1D92">
      <w:pPr>
        <w:autoSpaceDE w:val="0"/>
        <w:autoSpaceDN w:val="0"/>
        <w:adjustRightInd w:val="0"/>
        <w:spacing w:before="0" w:after="0"/>
        <w:jc w:val="both"/>
      </w:pPr>
      <w:r>
        <w:t>There is general agreement about the ways in which family and domestic violence manifests itself in children. These include:</w:t>
      </w:r>
    </w:p>
    <w:p w14:paraId="0A16FB4C" w14:textId="77777777" w:rsidR="000D1D92" w:rsidRPr="002D1EAE" w:rsidRDefault="000D1D92" w:rsidP="000D1D92">
      <w:pPr>
        <w:autoSpaceDE w:val="0"/>
        <w:autoSpaceDN w:val="0"/>
        <w:adjustRightInd w:val="0"/>
        <w:spacing w:before="0" w:after="0"/>
        <w:jc w:val="both"/>
      </w:pPr>
    </w:p>
    <w:p w14:paraId="2EB34AA8" w14:textId="77777777" w:rsidR="000D1D92" w:rsidRDefault="000D1D92" w:rsidP="000D1D92">
      <w:pPr>
        <w:pStyle w:val="ListParagraph"/>
        <w:numPr>
          <w:ilvl w:val="0"/>
          <w:numId w:val="35"/>
        </w:numPr>
        <w:autoSpaceDE w:val="0"/>
        <w:autoSpaceDN w:val="0"/>
        <w:adjustRightInd w:val="0"/>
        <w:spacing w:before="0" w:after="0"/>
        <w:jc w:val="both"/>
        <w:rPr>
          <w:rFonts w:cs="Arial"/>
        </w:rPr>
      </w:pPr>
      <w:r>
        <w:rPr>
          <w:rFonts w:cs="Arial"/>
        </w:rPr>
        <w:t>m</w:t>
      </w:r>
      <w:r w:rsidRPr="00077521">
        <w:rPr>
          <w:rFonts w:cs="Arial"/>
        </w:rPr>
        <w:t>ood problems including depression</w:t>
      </w:r>
    </w:p>
    <w:p w14:paraId="2F43E3C7" w14:textId="77777777" w:rsidR="000D1D92" w:rsidRDefault="000D1D92" w:rsidP="000D1D92">
      <w:pPr>
        <w:pStyle w:val="ListParagraph"/>
        <w:numPr>
          <w:ilvl w:val="0"/>
          <w:numId w:val="35"/>
        </w:numPr>
        <w:autoSpaceDE w:val="0"/>
        <w:autoSpaceDN w:val="0"/>
        <w:adjustRightInd w:val="0"/>
        <w:spacing w:before="0" w:after="0"/>
        <w:jc w:val="both"/>
        <w:rPr>
          <w:rFonts w:cs="Arial"/>
        </w:rPr>
      </w:pPr>
      <w:r>
        <w:rPr>
          <w:rFonts w:cs="Arial"/>
        </w:rPr>
        <w:t>a</w:t>
      </w:r>
      <w:r w:rsidRPr="00077521">
        <w:rPr>
          <w:rFonts w:cs="Arial"/>
        </w:rPr>
        <w:t>nxiety</w:t>
      </w:r>
    </w:p>
    <w:p w14:paraId="5A860D7A" w14:textId="77777777" w:rsidR="000D1D92" w:rsidRDefault="000D1D92" w:rsidP="000D1D92">
      <w:pPr>
        <w:pStyle w:val="ListParagraph"/>
        <w:numPr>
          <w:ilvl w:val="0"/>
          <w:numId w:val="35"/>
        </w:numPr>
        <w:autoSpaceDE w:val="0"/>
        <w:autoSpaceDN w:val="0"/>
        <w:adjustRightInd w:val="0"/>
        <w:spacing w:before="0" w:after="0"/>
        <w:jc w:val="both"/>
        <w:rPr>
          <w:rFonts w:cs="Arial"/>
        </w:rPr>
      </w:pPr>
      <w:r>
        <w:rPr>
          <w:rFonts w:cs="Arial"/>
        </w:rPr>
        <w:t>t</w:t>
      </w:r>
      <w:r w:rsidRPr="00077521">
        <w:rPr>
          <w:rFonts w:cs="Arial"/>
        </w:rPr>
        <w:t>rauma symptoms</w:t>
      </w:r>
    </w:p>
    <w:p w14:paraId="63BFE666" w14:textId="77777777" w:rsidR="000D1D92" w:rsidRDefault="000D1D92" w:rsidP="000D1D92">
      <w:pPr>
        <w:pStyle w:val="ListParagraph"/>
        <w:numPr>
          <w:ilvl w:val="0"/>
          <w:numId w:val="35"/>
        </w:numPr>
        <w:autoSpaceDE w:val="0"/>
        <w:autoSpaceDN w:val="0"/>
        <w:adjustRightInd w:val="0"/>
        <w:spacing w:before="0" w:after="0"/>
        <w:jc w:val="both"/>
        <w:rPr>
          <w:rFonts w:cs="Arial"/>
        </w:rPr>
      </w:pPr>
      <w:r>
        <w:rPr>
          <w:rFonts w:cs="Arial"/>
        </w:rPr>
        <w:t>i</w:t>
      </w:r>
      <w:r w:rsidRPr="00077521">
        <w:rPr>
          <w:rFonts w:cs="Arial"/>
        </w:rPr>
        <w:t>ncreased aggression</w:t>
      </w:r>
    </w:p>
    <w:p w14:paraId="53F6B22B" w14:textId="77777777" w:rsidR="000D1D92" w:rsidRDefault="000D1D92" w:rsidP="000D1D92">
      <w:pPr>
        <w:pStyle w:val="ListParagraph"/>
        <w:numPr>
          <w:ilvl w:val="0"/>
          <w:numId w:val="35"/>
        </w:numPr>
        <w:autoSpaceDE w:val="0"/>
        <w:autoSpaceDN w:val="0"/>
        <w:adjustRightInd w:val="0"/>
        <w:spacing w:before="0" w:after="0"/>
        <w:jc w:val="both"/>
        <w:rPr>
          <w:rFonts w:cs="Arial"/>
        </w:rPr>
      </w:pPr>
      <w:r>
        <w:rPr>
          <w:rFonts w:cs="Arial"/>
        </w:rPr>
        <w:t>a</w:t>
      </w:r>
      <w:r w:rsidRPr="00077521">
        <w:rPr>
          <w:rFonts w:cs="Arial"/>
        </w:rPr>
        <w:t>ntisocial behaviour</w:t>
      </w:r>
    </w:p>
    <w:p w14:paraId="3A1DF0AA" w14:textId="77777777" w:rsidR="000D1D92" w:rsidRDefault="000D1D92" w:rsidP="000D1D92">
      <w:pPr>
        <w:pStyle w:val="ListParagraph"/>
        <w:numPr>
          <w:ilvl w:val="0"/>
          <w:numId w:val="35"/>
        </w:numPr>
        <w:autoSpaceDE w:val="0"/>
        <w:autoSpaceDN w:val="0"/>
        <w:adjustRightInd w:val="0"/>
        <w:spacing w:before="0" w:after="0"/>
        <w:jc w:val="both"/>
        <w:rPr>
          <w:rFonts w:cs="Arial"/>
        </w:rPr>
      </w:pPr>
      <w:r>
        <w:rPr>
          <w:rFonts w:cs="Arial"/>
        </w:rPr>
        <w:t>l</w:t>
      </w:r>
      <w:r w:rsidRPr="00077521">
        <w:rPr>
          <w:rFonts w:cs="Arial"/>
        </w:rPr>
        <w:t>ower social competence</w:t>
      </w:r>
    </w:p>
    <w:p w14:paraId="29A689D1" w14:textId="77777777" w:rsidR="000D1D92" w:rsidRDefault="000D1D92" w:rsidP="000D1D92">
      <w:pPr>
        <w:pStyle w:val="ListParagraph"/>
        <w:numPr>
          <w:ilvl w:val="0"/>
          <w:numId w:val="35"/>
        </w:numPr>
        <w:autoSpaceDE w:val="0"/>
        <w:autoSpaceDN w:val="0"/>
        <w:adjustRightInd w:val="0"/>
        <w:spacing w:before="0" w:after="0"/>
        <w:jc w:val="both"/>
        <w:rPr>
          <w:rFonts w:cs="Arial"/>
        </w:rPr>
      </w:pPr>
      <w:r>
        <w:rPr>
          <w:rFonts w:cs="Arial"/>
        </w:rPr>
        <w:t>t</w:t>
      </w:r>
      <w:r w:rsidRPr="00077521">
        <w:rPr>
          <w:rFonts w:cs="Arial"/>
        </w:rPr>
        <w:t>emperament problems</w:t>
      </w:r>
    </w:p>
    <w:p w14:paraId="7501EB84" w14:textId="77777777" w:rsidR="000D1D92" w:rsidRDefault="000D1D92" w:rsidP="000D1D92">
      <w:pPr>
        <w:pStyle w:val="ListParagraph"/>
        <w:numPr>
          <w:ilvl w:val="0"/>
          <w:numId w:val="35"/>
        </w:numPr>
        <w:autoSpaceDE w:val="0"/>
        <w:autoSpaceDN w:val="0"/>
        <w:adjustRightInd w:val="0"/>
        <w:spacing w:before="0" w:after="0"/>
        <w:jc w:val="both"/>
        <w:rPr>
          <w:rFonts w:cs="Arial"/>
        </w:rPr>
      </w:pPr>
      <w:r>
        <w:rPr>
          <w:rFonts w:cs="Arial"/>
        </w:rPr>
        <w:t>l</w:t>
      </w:r>
      <w:r w:rsidRPr="00077521">
        <w:rPr>
          <w:rFonts w:cs="Arial"/>
        </w:rPr>
        <w:t>ow self-esteem</w:t>
      </w:r>
    </w:p>
    <w:p w14:paraId="65B529ED" w14:textId="77777777" w:rsidR="000D1D92" w:rsidRDefault="000D1D92" w:rsidP="000D1D92">
      <w:pPr>
        <w:pStyle w:val="ListParagraph"/>
        <w:numPr>
          <w:ilvl w:val="0"/>
          <w:numId w:val="35"/>
        </w:numPr>
        <w:autoSpaceDE w:val="0"/>
        <w:autoSpaceDN w:val="0"/>
        <w:adjustRightInd w:val="0"/>
        <w:spacing w:before="0" w:after="0"/>
        <w:jc w:val="both"/>
        <w:rPr>
          <w:rFonts w:cs="Arial"/>
        </w:rPr>
      </w:pPr>
      <w:r>
        <w:rPr>
          <w:rFonts w:cs="Arial"/>
        </w:rPr>
        <w:t>t</w:t>
      </w:r>
      <w:r w:rsidRPr="00077521">
        <w:rPr>
          <w:rFonts w:cs="Arial"/>
        </w:rPr>
        <w:t>he presence of pervasive fear</w:t>
      </w:r>
    </w:p>
    <w:p w14:paraId="7216566A" w14:textId="77777777" w:rsidR="000D1D92" w:rsidRDefault="000D1D92" w:rsidP="000D1D92">
      <w:pPr>
        <w:pStyle w:val="ListParagraph"/>
        <w:numPr>
          <w:ilvl w:val="0"/>
          <w:numId w:val="35"/>
        </w:numPr>
        <w:autoSpaceDE w:val="0"/>
        <w:autoSpaceDN w:val="0"/>
        <w:adjustRightInd w:val="0"/>
        <w:spacing w:before="0" w:after="0"/>
        <w:jc w:val="both"/>
        <w:rPr>
          <w:rFonts w:cs="Arial"/>
        </w:rPr>
      </w:pPr>
      <w:r>
        <w:rPr>
          <w:rFonts w:cs="Arial"/>
        </w:rPr>
        <w:t>l</w:t>
      </w:r>
      <w:r w:rsidRPr="00077521">
        <w:rPr>
          <w:rFonts w:cs="Arial"/>
        </w:rPr>
        <w:t>oneliness</w:t>
      </w:r>
    </w:p>
    <w:p w14:paraId="5DFE213C" w14:textId="77777777" w:rsidR="000D1D92" w:rsidRDefault="000D1D92" w:rsidP="000D1D92">
      <w:pPr>
        <w:pStyle w:val="ListParagraph"/>
        <w:numPr>
          <w:ilvl w:val="0"/>
          <w:numId w:val="35"/>
        </w:numPr>
        <w:autoSpaceDE w:val="0"/>
        <w:autoSpaceDN w:val="0"/>
        <w:adjustRightInd w:val="0"/>
        <w:spacing w:before="0" w:after="0"/>
        <w:jc w:val="both"/>
        <w:rPr>
          <w:rFonts w:cs="Arial"/>
        </w:rPr>
      </w:pPr>
      <w:r>
        <w:rPr>
          <w:rFonts w:cs="Arial"/>
        </w:rPr>
        <w:t>s</w:t>
      </w:r>
      <w:r w:rsidRPr="00077521">
        <w:rPr>
          <w:rFonts w:cs="Arial"/>
        </w:rPr>
        <w:t>chool difficulties</w:t>
      </w:r>
    </w:p>
    <w:p w14:paraId="794DD708" w14:textId="77777777" w:rsidR="000D1D92" w:rsidRDefault="000D1D92" w:rsidP="000D1D92">
      <w:pPr>
        <w:pStyle w:val="ListParagraph"/>
        <w:numPr>
          <w:ilvl w:val="0"/>
          <w:numId w:val="35"/>
        </w:numPr>
        <w:autoSpaceDE w:val="0"/>
        <w:autoSpaceDN w:val="0"/>
        <w:adjustRightInd w:val="0"/>
        <w:spacing w:before="0" w:after="0"/>
        <w:jc w:val="both"/>
        <w:rPr>
          <w:rFonts w:cs="Arial"/>
        </w:rPr>
      </w:pPr>
      <w:r>
        <w:rPr>
          <w:rFonts w:cs="Arial"/>
        </w:rPr>
        <w:t>p</w:t>
      </w:r>
      <w:r w:rsidRPr="00077521">
        <w:rPr>
          <w:rFonts w:cs="Arial"/>
        </w:rPr>
        <w:t>eer conflict</w:t>
      </w:r>
    </w:p>
    <w:p w14:paraId="3A3F3EC0" w14:textId="77777777" w:rsidR="000D1D92" w:rsidRDefault="000D1D92" w:rsidP="000D1D92">
      <w:pPr>
        <w:pStyle w:val="ListParagraph"/>
        <w:numPr>
          <w:ilvl w:val="0"/>
          <w:numId w:val="35"/>
        </w:numPr>
        <w:autoSpaceDE w:val="0"/>
        <w:autoSpaceDN w:val="0"/>
        <w:adjustRightInd w:val="0"/>
        <w:spacing w:before="0" w:after="0"/>
        <w:jc w:val="both"/>
        <w:rPr>
          <w:rFonts w:cs="Arial"/>
        </w:rPr>
      </w:pPr>
      <w:r>
        <w:rPr>
          <w:rFonts w:cs="Arial"/>
        </w:rPr>
        <w:t>i</w:t>
      </w:r>
      <w:r w:rsidRPr="00077521">
        <w:rPr>
          <w:rFonts w:cs="Arial"/>
        </w:rPr>
        <w:t>mpaired cognitive functioning, and</w:t>
      </w:r>
    </w:p>
    <w:p w14:paraId="27571482" w14:textId="77777777" w:rsidR="000D1D92" w:rsidRDefault="000D1D92" w:rsidP="000D1D92">
      <w:pPr>
        <w:pStyle w:val="ListParagraph"/>
        <w:numPr>
          <w:ilvl w:val="0"/>
          <w:numId w:val="35"/>
        </w:numPr>
        <w:autoSpaceDE w:val="0"/>
        <w:autoSpaceDN w:val="0"/>
        <w:adjustRightInd w:val="0"/>
        <w:spacing w:before="0" w:after="0"/>
        <w:jc w:val="both"/>
        <w:rPr>
          <w:rFonts w:cs="Arial"/>
        </w:rPr>
      </w:pPr>
      <w:r>
        <w:rPr>
          <w:rFonts w:cs="Arial"/>
        </w:rPr>
        <w:t>i</w:t>
      </w:r>
      <w:r w:rsidRPr="00077521">
        <w:rPr>
          <w:rFonts w:cs="Arial"/>
        </w:rPr>
        <w:t>ncreased likelihood of substance abuse.</w:t>
      </w:r>
      <w:r>
        <w:rPr>
          <w:rStyle w:val="EndnoteReference"/>
          <w:rFonts w:cs="Arial"/>
        </w:rPr>
        <w:endnoteReference w:id="540"/>
      </w:r>
    </w:p>
    <w:p w14:paraId="52BA8103" w14:textId="77777777" w:rsidR="000D1D92" w:rsidRDefault="000D1D92" w:rsidP="000D1D92">
      <w:pPr>
        <w:autoSpaceDE w:val="0"/>
        <w:autoSpaceDN w:val="0"/>
        <w:adjustRightInd w:val="0"/>
        <w:spacing w:before="0" w:after="0"/>
        <w:jc w:val="both"/>
        <w:rPr>
          <w:rFonts w:cs="Arial"/>
        </w:rPr>
      </w:pPr>
    </w:p>
    <w:p w14:paraId="57F43C5C" w14:textId="77777777" w:rsidR="000D1D92" w:rsidRDefault="000D1D92" w:rsidP="000D1D92">
      <w:pPr>
        <w:autoSpaceDE w:val="0"/>
        <w:autoSpaceDN w:val="0"/>
        <w:adjustRightInd w:val="0"/>
        <w:spacing w:before="0" w:after="0"/>
        <w:jc w:val="both"/>
        <w:rPr>
          <w:rFonts w:cs="Arial"/>
        </w:rPr>
      </w:pPr>
      <w:r>
        <w:rPr>
          <w:rFonts w:cs="Arial"/>
        </w:rPr>
        <w:t>The Kids Helpline provided me with the thoughts and feelings of children through an examination of its case notes. These comprise:</w:t>
      </w:r>
    </w:p>
    <w:p w14:paraId="4FBC8151" w14:textId="77777777" w:rsidR="000D1D92" w:rsidRDefault="000D1D92" w:rsidP="000D1D92">
      <w:pPr>
        <w:autoSpaceDE w:val="0"/>
        <w:autoSpaceDN w:val="0"/>
        <w:adjustRightInd w:val="0"/>
        <w:spacing w:before="0" w:after="0"/>
        <w:jc w:val="both"/>
        <w:rPr>
          <w:rFonts w:cs="Arial"/>
        </w:rPr>
      </w:pPr>
    </w:p>
    <w:p w14:paraId="0DB9EFD9" w14:textId="77777777" w:rsidR="000D1D92" w:rsidRDefault="000D1D92" w:rsidP="000D1D92">
      <w:pPr>
        <w:pStyle w:val="ListParagraph"/>
        <w:numPr>
          <w:ilvl w:val="0"/>
          <w:numId w:val="37"/>
        </w:numPr>
        <w:spacing w:before="0" w:after="0"/>
        <w:contextualSpacing w:val="0"/>
        <w:jc w:val="both"/>
      </w:pPr>
      <w:r>
        <w:t>fear for their own safety, the safety of their sibling(s), and for the safety of the victim of abuse</w:t>
      </w:r>
    </w:p>
    <w:p w14:paraId="31330F21" w14:textId="77777777" w:rsidR="000D1D92" w:rsidRDefault="000D1D92" w:rsidP="000D1D92">
      <w:pPr>
        <w:pStyle w:val="ListParagraph"/>
        <w:numPr>
          <w:ilvl w:val="0"/>
          <w:numId w:val="37"/>
        </w:numPr>
        <w:spacing w:before="0" w:after="0"/>
        <w:contextualSpacing w:val="0"/>
        <w:jc w:val="both"/>
      </w:pPr>
      <w:r>
        <w:t>anxiety</w:t>
      </w:r>
    </w:p>
    <w:p w14:paraId="0ED840C7" w14:textId="77777777" w:rsidR="000D1D92" w:rsidRDefault="000D1D92" w:rsidP="000D1D92">
      <w:pPr>
        <w:pStyle w:val="ListParagraph"/>
        <w:numPr>
          <w:ilvl w:val="0"/>
          <w:numId w:val="37"/>
        </w:numPr>
        <w:spacing w:before="0" w:after="0"/>
        <w:contextualSpacing w:val="0"/>
        <w:jc w:val="both"/>
      </w:pPr>
      <w:r>
        <w:t>isolation and loneliness</w:t>
      </w:r>
    </w:p>
    <w:p w14:paraId="1939D954" w14:textId="77777777" w:rsidR="000D1D92" w:rsidRDefault="000D1D92" w:rsidP="000D1D92">
      <w:pPr>
        <w:pStyle w:val="ListParagraph"/>
        <w:numPr>
          <w:ilvl w:val="0"/>
          <w:numId w:val="37"/>
        </w:numPr>
        <w:spacing w:before="0" w:after="0"/>
        <w:contextualSpacing w:val="0"/>
        <w:jc w:val="both"/>
      </w:pPr>
      <w:r>
        <w:t>anger towards both the perpetrator and the victim</w:t>
      </w:r>
    </w:p>
    <w:p w14:paraId="5B53267C" w14:textId="77777777" w:rsidR="000D1D92" w:rsidRDefault="000D1D92" w:rsidP="000D1D92">
      <w:pPr>
        <w:pStyle w:val="ListParagraph"/>
        <w:numPr>
          <w:ilvl w:val="0"/>
          <w:numId w:val="37"/>
        </w:numPr>
        <w:spacing w:before="0" w:after="0"/>
        <w:contextualSpacing w:val="0"/>
        <w:jc w:val="both"/>
      </w:pPr>
      <w:r>
        <w:t>sympathy for the victim, and sometimes the perpetrator</w:t>
      </w:r>
    </w:p>
    <w:p w14:paraId="1FF83B04" w14:textId="77777777" w:rsidR="000D1D92" w:rsidRDefault="000D1D92" w:rsidP="000D1D92">
      <w:pPr>
        <w:pStyle w:val="ListParagraph"/>
        <w:numPr>
          <w:ilvl w:val="0"/>
          <w:numId w:val="37"/>
        </w:numPr>
        <w:spacing w:before="0" w:after="0"/>
        <w:contextualSpacing w:val="0"/>
        <w:jc w:val="both"/>
      </w:pPr>
      <w:r>
        <w:t>confused feelings towards the perpetrator (e.g., both anger and love for a violent father)</w:t>
      </w:r>
    </w:p>
    <w:p w14:paraId="10FCC55F" w14:textId="77777777" w:rsidR="000D1D92" w:rsidRDefault="000D1D92" w:rsidP="000D1D92">
      <w:pPr>
        <w:pStyle w:val="ListParagraph"/>
        <w:numPr>
          <w:ilvl w:val="0"/>
          <w:numId w:val="37"/>
        </w:numPr>
        <w:spacing w:before="0" w:after="0"/>
        <w:contextualSpacing w:val="0"/>
        <w:jc w:val="both"/>
      </w:pPr>
      <w:r>
        <w:t>guilt over having ‘bad thoughts’ about the perpetrator (e.g., wishing he would die)</w:t>
      </w:r>
    </w:p>
    <w:p w14:paraId="4C2C9AD6" w14:textId="77777777" w:rsidR="000D1D92" w:rsidRDefault="000D1D92" w:rsidP="000D1D92">
      <w:pPr>
        <w:pStyle w:val="ListParagraph"/>
        <w:numPr>
          <w:ilvl w:val="0"/>
          <w:numId w:val="37"/>
        </w:numPr>
        <w:spacing w:before="0" w:after="0"/>
        <w:contextualSpacing w:val="0"/>
        <w:jc w:val="both"/>
      </w:pPr>
      <w:r>
        <w:t>feelings of responsibility to protect the family or take action to stop the violence.</w:t>
      </w:r>
      <w:r>
        <w:rPr>
          <w:rStyle w:val="EndnoteReference"/>
        </w:rPr>
        <w:endnoteReference w:id="541"/>
      </w:r>
    </w:p>
    <w:p w14:paraId="663CEEF6" w14:textId="77777777" w:rsidR="000D1D92" w:rsidRPr="00016F7E" w:rsidRDefault="000D1D92" w:rsidP="000D1D92">
      <w:pPr>
        <w:jc w:val="both"/>
      </w:pPr>
      <w:r w:rsidRPr="00016F7E">
        <w:lastRenderedPageBreak/>
        <w:t>Little research</w:t>
      </w:r>
      <w:r>
        <w:t xml:space="preserve"> into family and domestic violence, however, </w:t>
      </w:r>
      <w:r w:rsidRPr="00016F7E">
        <w:t>has involved the participation of children. As ac</w:t>
      </w:r>
      <w:r>
        <w:t>ademic, Nicky Stanley advises</w:t>
      </w:r>
      <w:r w:rsidRPr="00016F7E">
        <w:t>:</w:t>
      </w:r>
    </w:p>
    <w:p w14:paraId="4AA850CC" w14:textId="77777777" w:rsidR="000D1D92" w:rsidRPr="00016F7E" w:rsidRDefault="000D1D92" w:rsidP="000D1D92">
      <w:pPr>
        <w:autoSpaceDE w:val="0"/>
        <w:autoSpaceDN w:val="0"/>
        <w:adjustRightInd w:val="0"/>
        <w:spacing w:before="0" w:after="0"/>
        <w:ind w:left="720"/>
        <w:jc w:val="both"/>
        <w:rPr>
          <w:rFonts w:cs="Arial"/>
        </w:rPr>
      </w:pPr>
      <w:r w:rsidRPr="00016F7E">
        <w:rPr>
          <w:rFonts w:cs="Arial"/>
        </w:rPr>
        <w:t>Research that captures childre</w:t>
      </w:r>
      <w:r>
        <w:rPr>
          <w:rFonts w:cs="Arial"/>
        </w:rPr>
        <w:t>n’s perspectives is…</w:t>
      </w:r>
      <w:r w:rsidRPr="00016F7E">
        <w:rPr>
          <w:rFonts w:cs="Arial"/>
        </w:rPr>
        <w:t>limited.</w:t>
      </w:r>
      <w:r w:rsidRPr="00016F7E">
        <w:rPr>
          <w:rStyle w:val="EndnoteReference"/>
          <w:rFonts w:cs="Arial"/>
        </w:rPr>
        <w:endnoteReference w:id="542"/>
      </w:r>
      <w:r>
        <w:rPr>
          <w:rFonts w:cs="Arial"/>
        </w:rPr>
        <w:t>…</w:t>
      </w:r>
      <w:r w:rsidRPr="00016F7E">
        <w:rPr>
          <w:rFonts w:cs="Arial"/>
        </w:rPr>
        <w:t xml:space="preserve">Research with children and young people could usefully explore the extent to which they perceive themselves to be implicated in domestic violence and how this perception affects them. </w:t>
      </w:r>
      <w:r w:rsidRPr="00016F7E">
        <w:rPr>
          <w:rStyle w:val="EndnoteReference"/>
          <w:rFonts w:cs="Arial"/>
        </w:rPr>
        <w:endnoteReference w:id="543"/>
      </w:r>
    </w:p>
    <w:p w14:paraId="36307E7F" w14:textId="77777777" w:rsidR="000D1D92" w:rsidRPr="00016F7E" w:rsidRDefault="000D1D92" w:rsidP="000D1D92">
      <w:pPr>
        <w:autoSpaceDE w:val="0"/>
        <w:autoSpaceDN w:val="0"/>
        <w:adjustRightInd w:val="0"/>
        <w:spacing w:before="0" w:after="0"/>
        <w:ind w:left="720"/>
        <w:jc w:val="both"/>
        <w:rPr>
          <w:rFonts w:cs="Arial"/>
        </w:rPr>
      </w:pPr>
    </w:p>
    <w:p w14:paraId="7D71A68C" w14:textId="77777777" w:rsidR="000D1D92" w:rsidRPr="00C111CC" w:rsidRDefault="000D1D92" w:rsidP="000D1D92">
      <w:pPr>
        <w:autoSpaceDE w:val="0"/>
        <w:autoSpaceDN w:val="0"/>
        <w:adjustRightInd w:val="0"/>
        <w:spacing w:before="0" w:after="0"/>
        <w:jc w:val="both"/>
        <w:rPr>
          <w:rFonts w:cs="Arial"/>
        </w:rPr>
      </w:pPr>
      <w:r w:rsidRPr="00016F7E">
        <w:rPr>
          <w:rFonts w:cs="Arial"/>
        </w:rPr>
        <w:t>The submission by Families Australia advocates for research that allows the vo</w:t>
      </w:r>
      <w:r>
        <w:rPr>
          <w:rFonts w:cs="Arial"/>
        </w:rPr>
        <w:t>ices of children and young people</w:t>
      </w:r>
      <w:r w:rsidRPr="00016F7E">
        <w:rPr>
          <w:rFonts w:cs="Arial"/>
        </w:rPr>
        <w:t xml:space="preserve"> to be heard in relation to their experience of family and domestic violence and interventions.</w:t>
      </w:r>
      <w:r w:rsidRPr="00016F7E">
        <w:rPr>
          <w:rStyle w:val="EndnoteReference"/>
          <w:rFonts w:cs="Arial"/>
        </w:rPr>
        <w:endnoteReference w:id="544"/>
      </w:r>
    </w:p>
    <w:p w14:paraId="0C0F55F4" w14:textId="77777777" w:rsidR="000D1D92" w:rsidRDefault="000D1D92" w:rsidP="000D1D92">
      <w:pPr>
        <w:spacing w:before="0" w:after="0"/>
        <w:jc w:val="both"/>
      </w:pPr>
    </w:p>
    <w:p w14:paraId="43612651" w14:textId="77777777" w:rsidR="000D1D92" w:rsidRDefault="000D1D92" w:rsidP="000D1D92">
      <w:pPr>
        <w:autoSpaceDE w:val="0"/>
        <w:autoSpaceDN w:val="0"/>
        <w:adjustRightInd w:val="0"/>
        <w:spacing w:before="0" w:after="0"/>
        <w:jc w:val="both"/>
        <w:rPr>
          <w:rFonts w:cs="Arial"/>
        </w:rPr>
      </w:pPr>
      <w:r>
        <w:rPr>
          <w:rFonts w:cs="Arial"/>
        </w:rPr>
        <w:t xml:space="preserve">Research also suggests that </w:t>
      </w:r>
      <w:r w:rsidRPr="008743F3">
        <w:rPr>
          <w:rFonts w:cs="Arial"/>
          <w:b/>
        </w:rPr>
        <w:t>the effects of family and domestic violence may manifest differently depending on the developmental stages of the children</w:t>
      </w:r>
      <w:r w:rsidRPr="0003072E">
        <w:rPr>
          <w:rFonts w:cs="Arial"/>
        </w:rPr>
        <w:t>.</w:t>
      </w:r>
      <w:r>
        <w:rPr>
          <w:rStyle w:val="EndnoteReference"/>
          <w:rFonts w:cs="Arial"/>
        </w:rPr>
        <w:endnoteReference w:id="545"/>
      </w:r>
      <w:r>
        <w:rPr>
          <w:rFonts w:cs="Arial"/>
        </w:rPr>
        <w:t xml:space="preserve"> </w:t>
      </w:r>
    </w:p>
    <w:p w14:paraId="0107BF81" w14:textId="77777777" w:rsidR="000D1D92" w:rsidRDefault="000D1D92" w:rsidP="000D1D92">
      <w:pPr>
        <w:autoSpaceDE w:val="0"/>
        <w:autoSpaceDN w:val="0"/>
        <w:adjustRightInd w:val="0"/>
        <w:spacing w:before="0" w:after="0"/>
        <w:jc w:val="both"/>
        <w:rPr>
          <w:rFonts w:cs="Arial"/>
        </w:rPr>
      </w:pPr>
    </w:p>
    <w:p w14:paraId="214A75AE" w14:textId="77777777" w:rsidR="000D1D92" w:rsidRPr="008743F3" w:rsidRDefault="000D1D92" w:rsidP="000D1D92">
      <w:pPr>
        <w:autoSpaceDE w:val="0"/>
        <w:autoSpaceDN w:val="0"/>
        <w:adjustRightInd w:val="0"/>
        <w:spacing w:before="0" w:after="0"/>
        <w:jc w:val="both"/>
        <w:rPr>
          <w:rFonts w:cs="Arial"/>
        </w:rPr>
      </w:pPr>
      <w:r>
        <w:rPr>
          <w:rFonts w:cs="Arial"/>
        </w:rPr>
        <w:t>This was particularly reinforced to me in submissions made by the NSW Government</w:t>
      </w:r>
      <w:r w:rsidRPr="00AE40E4">
        <w:rPr>
          <w:rStyle w:val="EndnoteReference"/>
          <w:rFonts w:cs="Arial"/>
          <w:sz w:val="22"/>
          <w:szCs w:val="22"/>
          <w:lang w:val="en-US"/>
        </w:rPr>
        <w:endnoteReference w:id="546"/>
      </w:r>
      <w:r>
        <w:rPr>
          <w:rFonts w:cs="Arial"/>
        </w:rPr>
        <w:t>, the Australian Psychological Society</w:t>
      </w:r>
      <w:r>
        <w:rPr>
          <w:rStyle w:val="EndnoteReference"/>
        </w:rPr>
        <w:endnoteReference w:id="547"/>
      </w:r>
      <w:r>
        <w:rPr>
          <w:rFonts w:cs="Arial"/>
        </w:rPr>
        <w:t xml:space="preserve"> and the Royal Australian and New Zealand College of Psychiatrists</w:t>
      </w:r>
      <w:r w:rsidRPr="00E21EB1">
        <w:rPr>
          <w:rStyle w:val="EndnoteReference"/>
          <w:rFonts w:cs="Arial"/>
          <w:szCs w:val="20"/>
        </w:rPr>
        <w:endnoteReference w:id="548"/>
      </w:r>
      <w:r>
        <w:rPr>
          <w:rFonts w:cs="Arial"/>
        </w:rPr>
        <w:t xml:space="preserve">. Suggested effects at the different developmental stages are: </w:t>
      </w:r>
    </w:p>
    <w:p w14:paraId="4091686F" w14:textId="77777777" w:rsidR="000D1D92" w:rsidRDefault="000D1D92" w:rsidP="000D1D92">
      <w:pPr>
        <w:autoSpaceDE w:val="0"/>
        <w:autoSpaceDN w:val="0"/>
        <w:adjustRightInd w:val="0"/>
        <w:spacing w:before="0" w:after="0"/>
        <w:jc w:val="both"/>
        <w:rPr>
          <w:rFonts w:cs="Arial"/>
          <w:b/>
        </w:rPr>
      </w:pPr>
    </w:p>
    <w:p w14:paraId="25602F99" w14:textId="77777777" w:rsidR="000D1D92" w:rsidRPr="00EA246B" w:rsidRDefault="000D1D92" w:rsidP="000D1D92">
      <w:pPr>
        <w:autoSpaceDE w:val="0"/>
        <w:autoSpaceDN w:val="0"/>
        <w:adjustRightInd w:val="0"/>
        <w:spacing w:before="0" w:after="0"/>
        <w:jc w:val="both"/>
        <w:rPr>
          <w:rFonts w:cs="Arial"/>
          <w:b/>
        </w:rPr>
      </w:pPr>
      <w:r>
        <w:rPr>
          <w:rFonts w:cs="Arial"/>
          <w:b/>
        </w:rPr>
        <w:t>Infants and toddlers</w:t>
      </w:r>
      <w:r>
        <w:rPr>
          <w:rStyle w:val="EndnoteReference"/>
          <w:rFonts w:cs="Arial"/>
        </w:rPr>
        <w:endnoteReference w:id="549"/>
      </w:r>
      <w:r>
        <w:rPr>
          <w:rFonts w:cs="Arial"/>
          <w:b/>
        </w:rPr>
        <w:t xml:space="preserve"> </w:t>
      </w:r>
      <w:r>
        <w:rPr>
          <w:rStyle w:val="EndnoteReference"/>
          <w:rFonts w:cs="Arial"/>
        </w:rPr>
        <w:endnoteReference w:id="550"/>
      </w:r>
    </w:p>
    <w:p w14:paraId="760EC477" w14:textId="77777777" w:rsidR="000D1D92" w:rsidRDefault="000D1D92" w:rsidP="000D1D92">
      <w:pPr>
        <w:pStyle w:val="ListParagraph"/>
        <w:numPr>
          <w:ilvl w:val="0"/>
          <w:numId w:val="30"/>
        </w:numPr>
        <w:autoSpaceDE w:val="0"/>
        <w:autoSpaceDN w:val="0"/>
        <w:adjustRightInd w:val="0"/>
        <w:spacing w:before="0" w:after="0"/>
        <w:jc w:val="both"/>
        <w:rPr>
          <w:rFonts w:cs="Arial"/>
        </w:rPr>
      </w:pPr>
      <w:r>
        <w:rPr>
          <w:rFonts w:cs="Arial"/>
        </w:rPr>
        <w:t>d</w:t>
      </w:r>
      <w:r w:rsidRPr="002E1456">
        <w:rPr>
          <w:rFonts w:cs="Arial"/>
        </w:rPr>
        <w:t>elayed language</w:t>
      </w:r>
    </w:p>
    <w:p w14:paraId="2F93F8CD" w14:textId="77777777" w:rsidR="000D1D92" w:rsidRDefault="000D1D92" w:rsidP="000D1D92">
      <w:pPr>
        <w:pStyle w:val="ListParagraph"/>
        <w:numPr>
          <w:ilvl w:val="0"/>
          <w:numId w:val="30"/>
        </w:numPr>
        <w:autoSpaceDE w:val="0"/>
        <w:autoSpaceDN w:val="0"/>
        <w:adjustRightInd w:val="0"/>
        <w:spacing w:before="0" w:after="0"/>
        <w:jc w:val="both"/>
        <w:rPr>
          <w:rFonts w:cs="Arial"/>
        </w:rPr>
      </w:pPr>
      <w:r>
        <w:rPr>
          <w:rFonts w:cs="Arial"/>
        </w:rPr>
        <w:t>delayed toilet-training</w:t>
      </w:r>
    </w:p>
    <w:p w14:paraId="5ABC95C8" w14:textId="77777777" w:rsidR="000D1D92" w:rsidRDefault="000D1D92" w:rsidP="000D1D92">
      <w:pPr>
        <w:pStyle w:val="ListParagraph"/>
        <w:numPr>
          <w:ilvl w:val="0"/>
          <w:numId w:val="30"/>
        </w:numPr>
        <w:autoSpaceDE w:val="0"/>
        <w:autoSpaceDN w:val="0"/>
        <w:adjustRightInd w:val="0"/>
        <w:spacing w:before="0" w:after="0"/>
        <w:jc w:val="both"/>
        <w:rPr>
          <w:rFonts w:cs="Arial"/>
        </w:rPr>
      </w:pPr>
      <w:r>
        <w:rPr>
          <w:rFonts w:cs="Arial"/>
        </w:rPr>
        <w:t>s</w:t>
      </w:r>
      <w:r w:rsidRPr="002E1456">
        <w:rPr>
          <w:rFonts w:cs="Arial"/>
        </w:rPr>
        <w:t>leep dis</w:t>
      </w:r>
      <w:r>
        <w:rPr>
          <w:rFonts w:cs="Arial"/>
        </w:rPr>
        <w:t>turbance</w:t>
      </w:r>
    </w:p>
    <w:p w14:paraId="0FCAF42C" w14:textId="77777777" w:rsidR="000D1D92" w:rsidRDefault="000D1D92" w:rsidP="000D1D92">
      <w:pPr>
        <w:pStyle w:val="ListParagraph"/>
        <w:numPr>
          <w:ilvl w:val="0"/>
          <w:numId w:val="30"/>
        </w:numPr>
        <w:autoSpaceDE w:val="0"/>
        <w:autoSpaceDN w:val="0"/>
        <w:adjustRightInd w:val="0"/>
        <w:spacing w:before="0" w:after="0"/>
        <w:jc w:val="both"/>
        <w:rPr>
          <w:rFonts w:cs="Arial"/>
        </w:rPr>
      </w:pPr>
      <w:r>
        <w:rPr>
          <w:rFonts w:cs="Arial"/>
        </w:rPr>
        <w:t>e</w:t>
      </w:r>
      <w:r w:rsidRPr="002E1456">
        <w:rPr>
          <w:rFonts w:cs="Arial"/>
        </w:rPr>
        <w:t>motional distress and a fear of being left alone</w:t>
      </w:r>
    </w:p>
    <w:p w14:paraId="7805FFA4" w14:textId="77777777" w:rsidR="000D1D92" w:rsidRPr="00524549" w:rsidRDefault="000D1D92" w:rsidP="000D1D92">
      <w:pPr>
        <w:pStyle w:val="ListParagraph"/>
        <w:numPr>
          <w:ilvl w:val="0"/>
          <w:numId w:val="30"/>
        </w:numPr>
        <w:autoSpaceDE w:val="0"/>
        <w:autoSpaceDN w:val="0"/>
        <w:adjustRightInd w:val="0"/>
        <w:spacing w:before="0" w:after="0"/>
        <w:jc w:val="both"/>
        <w:rPr>
          <w:rFonts w:cs="Arial"/>
        </w:rPr>
      </w:pPr>
      <w:r>
        <w:rPr>
          <w:rFonts w:cs="Arial"/>
        </w:rPr>
        <w:t>disrupted attachment.</w:t>
      </w:r>
    </w:p>
    <w:p w14:paraId="192D379B" w14:textId="77777777" w:rsidR="000D1D92" w:rsidRDefault="000D1D92" w:rsidP="000D1D92">
      <w:pPr>
        <w:autoSpaceDE w:val="0"/>
        <w:autoSpaceDN w:val="0"/>
        <w:adjustRightInd w:val="0"/>
        <w:spacing w:before="0" w:after="0"/>
        <w:jc w:val="both"/>
        <w:rPr>
          <w:rFonts w:cs="Arial"/>
        </w:rPr>
      </w:pPr>
    </w:p>
    <w:p w14:paraId="76BB070D" w14:textId="77777777" w:rsidR="000D1D92" w:rsidRPr="00EA246B" w:rsidRDefault="000D1D92" w:rsidP="000D1D92">
      <w:pPr>
        <w:autoSpaceDE w:val="0"/>
        <w:autoSpaceDN w:val="0"/>
        <w:adjustRightInd w:val="0"/>
        <w:spacing w:before="0" w:after="0"/>
        <w:jc w:val="both"/>
        <w:rPr>
          <w:rFonts w:cs="Arial"/>
          <w:b/>
        </w:rPr>
      </w:pPr>
      <w:r w:rsidRPr="00EA246B">
        <w:rPr>
          <w:rFonts w:cs="Arial"/>
          <w:b/>
        </w:rPr>
        <w:t>Pre-school children</w:t>
      </w:r>
      <w:r>
        <w:rPr>
          <w:rStyle w:val="EndnoteReference"/>
          <w:rFonts w:cs="Arial"/>
        </w:rPr>
        <w:endnoteReference w:id="551"/>
      </w:r>
    </w:p>
    <w:p w14:paraId="000A8473" w14:textId="77777777" w:rsidR="000D1D92" w:rsidRDefault="000D1D92" w:rsidP="000D1D92">
      <w:pPr>
        <w:pStyle w:val="ListParagraph"/>
        <w:numPr>
          <w:ilvl w:val="0"/>
          <w:numId w:val="31"/>
        </w:numPr>
        <w:autoSpaceDE w:val="0"/>
        <w:autoSpaceDN w:val="0"/>
        <w:adjustRightInd w:val="0"/>
        <w:spacing w:before="0" w:after="0"/>
        <w:jc w:val="both"/>
        <w:rPr>
          <w:rFonts w:cs="Arial"/>
        </w:rPr>
      </w:pPr>
      <w:r>
        <w:rPr>
          <w:rFonts w:cs="Arial"/>
        </w:rPr>
        <w:t>aggressive behaviour</w:t>
      </w:r>
      <w:r w:rsidRPr="002E1456">
        <w:rPr>
          <w:rFonts w:cs="Arial"/>
        </w:rPr>
        <w:t xml:space="preserve"> </w:t>
      </w:r>
    </w:p>
    <w:p w14:paraId="2E87D3AB" w14:textId="77777777" w:rsidR="000D1D92" w:rsidRDefault="000D1D92" w:rsidP="000D1D92">
      <w:pPr>
        <w:pStyle w:val="ListParagraph"/>
        <w:numPr>
          <w:ilvl w:val="0"/>
          <w:numId w:val="31"/>
        </w:numPr>
        <w:autoSpaceDE w:val="0"/>
        <w:autoSpaceDN w:val="0"/>
        <w:adjustRightInd w:val="0"/>
        <w:spacing w:before="0" w:after="0"/>
        <w:jc w:val="both"/>
        <w:rPr>
          <w:rFonts w:cs="Arial"/>
        </w:rPr>
      </w:pPr>
      <w:r>
        <w:rPr>
          <w:rFonts w:cs="Arial"/>
        </w:rPr>
        <w:t>temper tantrums</w:t>
      </w:r>
    </w:p>
    <w:p w14:paraId="2BD02130" w14:textId="77777777" w:rsidR="000D1D92" w:rsidRDefault="000D1D92" w:rsidP="000D1D92">
      <w:pPr>
        <w:pStyle w:val="ListParagraph"/>
        <w:numPr>
          <w:ilvl w:val="0"/>
          <w:numId w:val="31"/>
        </w:numPr>
        <w:autoSpaceDE w:val="0"/>
        <w:autoSpaceDN w:val="0"/>
        <w:adjustRightInd w:val="0"/>
        <w:spacing w:before="0" w:after="0"/>
        <w:jc w:val="both"/>
        <w:rPr>
          <w:rFonts w:cs="Arial"/>
        </w:rPr>
      </w:pPr>
      <w:r>
        <w:rPr>
          <w:rFonts w:cs="Arial"/>
        </w:rPr>
        <w:t>s</w:t>
      </w:r>
      <w:r w:rsidRPr="002E1456">
        <w:rPr>
          <w:rFonts w:cs="Arial"/>
        </w:rPr>
        <w:t>leep</w:t>
      </w:r>
      <w:r>
        <w:rPr>
          <w:rFonts w:cs="Arial"/>
        </w:rPr>
        <w:t xml:space="preserve"> disturbance</w:t>
      </w:r>
    </w:p>
    <w:p w14:paraId="6A95FC49" w14:textId="77777777" w:rsidR="000D1D92" w:rsidRDefault="000D1D92" w:rsidP="000D1D92">
      <w:pPr>
        <w:pStyle w:val="ListParagraph"/>
        <w:numPr>
          <w:ilvl w:val="0"/>
          <w:numId w:val="31"/>
        </w:numPr>
        <w:autoSpaceDE w:val="0"/>
        <w:autoSpaceDN w:val="0"/>
        <w:adjustRightInd w:val="0"/>
        <w:spacing w:before="0" w:after="0"/>
        <w:jc w:val="both"/>
        <w:rPr>
          <w:rFonts w:cs="Arial"/>
        </w:rPr>
      </w:pPr>
      <w:r>
        <w:rPr>
          <w:rFonts w:cs="Arial"/>
        </w:rPr>
        <w:t>anxiety</w:t>
      </w:r>
    </w:p>
    <w:p w14:paraId="16FC7229" w14:textId="77777777" w:rsidR="000D1D92" w:rsidRDefault="000D1D92" w:rsidP="000D1D92">
      <w:pPr>
        <w:pStyle w:val="ListParagraph"/>
        <w:numPr>
          <w:ilvl w:val="0"/>
          <w:numId w:val="31"/>
        </w:numPr>
        <w:autoSpaceDE w:val="0"/>
        <w:autoSpaceDN w:val="0"/>
        <w:adjustRightInd w:val="0"/>
        <w:spacing w:before="0" w:after="0"/>
        <w:jc w:val="both"/>
        <w:rPr>
          <w:rFonts w:cs="Arial"/>
        </w:rPr>
      </w:pPr>
      <w:r>
        <w:rPr>
          <w:rFonts w:cs="Arial"/>
        </w:rPr>
        <w:t>d</w:t>
      </w:r>
      <w:r w:rsidRPr="00EA246B">
        <w:rPr>
          <w:rFonts w:cs="Arial"/>
        </w:rPr>
        <w:t>espondency</w:t>
      </w:r>
    </w:p>
    <w:p w14:paraId="6DB4491D" w14:textId="77777777" w:rsidR="000D1D92" w:rsidRDefault="000D1D92" w:rsidP="000D1D92">
      <w:pPr>
        <w:pStyle w:val="ListParagraph"/>
        <w:numPr>
          <w:ilvl w:val="0"/>
          <w:numId w:val="31"/>
        </w:numPr>
        <w:autoSpaceDE w:val="0"/>
        <w:autoSpaceDN w:val="0"/>
        <w:adjustRightInd w:val="0"/>
        <w:spacing w:before="0" w:after="0"/>
        <w:jc w:val="both"/>
        <w:rPr>
          <w:rFonts w:cs="Arial"/>
        </w:rPr>
      </w:pPr>
      <w:r>
        <w:rPr>
          <w:rFonts w:cs="Arial"/>
        </w:rPr>
        <w:t>p</w:t>
      </w:r>
      <w:r w:rsidRPr="00EA246B">
        <w:rPr>
          <w:rFonts w:cs="Arial"/>
        </w:rPr>
        <w:t>oorer verbal abilities</w:t>
      </w:r>
      <w:r>
        <w:rPr>
          <w:rFonts w:cs="Arial"/>
        </w:rPr>
        <w:t>.</w:t>
      </w:r>
    </w:p>
    <w:p w14:paraId="3865BC8C" w14:textId="77777777" w:rsidR="000D1D92" w:rsidRDefault="000D1D92" w:rsidP="000D1D92">
      <w:pPr>
        <w:autoSpaceDE w:val="0"/>
        <w:autoSpaceDN w:val="0"/>
        <w:adjustRightInd w:val="0"/>
        <w:spacing w:before="0" w:after="0"/>
        <w:jc w:val="both"/>
        <w:rPr>
          <w:rFonts w:cs="Arial"/>
        </w:rPr>
      </w:pPr>
    </w:p>
    <w:p w14:paraId="31FF06A0" w14:textId="77777777" w:rsidR="000D1D92" w:rsidRPr="006F47E4" w:rsidRDefault="000D1D92" w:rsidP="000D1D92">
      <w:pPr>
        <w:autoSpaceDE w:val="0"/>
        <w:autoSpaceDN w:val="0"/>
        <w:adjustRightInd w:val="0"/>
        <w:spacing w:before="0" w:after="0"/>
        <w:jc w:val="both"/>
        <w:rPr>
          <w:rFonts w:cs="Arial"/>
          <w:b/>
        </w:rPr>
      </w:pPr>
      <w:r w:rsidRPr="00B24A5F">
        <w:rPr>
          <w:rFonts w:cs="Arial"/>
          <w:b/>
        </w:rPr>
        <w:t>School-age</w:t>
      </w:r>
      <w:r>
        <w:rPr>
          <w:rFonts w:cs="Arial"/>
          <w:b/>
        </w:rPr>
        <w:t>d</w:t>
      </w:r>
      <w:r w:rsidRPr="00B24A5F">
        <w:rPr>
          <w:rFonts w:cs="Arial"/>
          <w:b/>
        </w:rPr>
        <w:t xml:space="preserve"> children</w:t>
      </w:r>
      <w:r>
        <w:rPr>
          <w:rStyle w:val="EndnoteReference"/>
          <w:rFonts w:cs="Arial"/>
        </w:rPr>
        <w:endnoteReference w:id="552"/>
      </w:r>
    </w:p>
    <w:p w14:paraId="1FADF1B5" w14:textId="77777777" w:rsidR="000D1D92" w:rsidRDefault="000D1D92" w:rsidP="000D1D92">
      <w:pPr>
        <w:pStyle w:val="ListParagraph"/>
        <w:numPr>
          <w:ilvl w:val="0"/>
          <w:numId w:val="32"/>
        </w:numPr>
        <w:autoSpaceDE w:val="0"/>
        <w:autoSpaceDN w:val="0"/>
        <w:adjustRightInd w:val="0"/>
        <w:spacing w:before="0" w:after="0"/>
        <w:jc w:val="both"/>
        <w:rPr>
          <w:rFonts w:cs="Arial"/>
        </w:rPr>
      </w:pPr>
      <w:r>
        <w:rPr>
          <w:rFonts w:cs="Arial"/>
        </w:rPr>
        <w:t>c</w:t>
      </w:r>
      <w:r w:rsidRPr="00B24A5F">
        <w:rPr>
          <w:rFonts w:cs="Arial"/>
        </w:rPr>
        <w:t>onduct disorders</w:t>
      </w:r>
    </w:p>
    <w:p w14:paraId="6F1E6E77" w14:textId="77777777" w:rsidR="000D1D92" w:rsidRDefault="000D1D92" w:rsidP="000D1D92">
      <w:pPr>
        <w:pStyle w:val="ListParagraph"/>
        <w:numPr>
          <w:ilvl w:val="0"/>
          <w:numId w:val="32"/>
        </w:numPr>
        <w:autoSpaceDE w:val="0"/>
        <w:autoSpaceDN w:val="0"/>
        <w:adjustRightInd w:val="0"/>
        <w:spacing w:before="0" w:after="0"/>
        <w:jc w:val="both"/>
        <w:rPr>
          <w:rFonts w:cs="Arial"/>
        </w:rPr>
      </w:pPr>
      <w:r>
        <w:rPr>
          <w:rFonts w:cs="Arial"/>
        </w:rPr>
        <w:t>q</w:t>
      </w:r>
      <w:r w:rsidRPr="00B24A5F">
        <w:rPr>
          <w:rFonts w:cs="Arial"/>
        </w:rPr>
        <w:t>uiet and withdrawn or loud and aggressive</w:t>
      </w:r>
      <w:r>
        <w:rPr>
          <w:rFonts w:cs="Arial"/>
        </w:rPr>
        <w:t>.</w:t>
      </w:r>
    </w:p>
    <w:p w14:paraId="7D80B088" w14:textId="77777777" w:rsidR="000D1D92" w:rsidRDefault="000D1D92" w:rsidP="000D1D92">
      <w:pPr>
        <w:pStyle w:val="ListParagraph"/>
        <w:autoSpaceDE w:val="0"/>
        <w:autoSpaceDN w:val="0"/>
        <w:adjustRightInd w:val="0"/>
        <w:spacing w:before="0" w:after="0"/>
        <w:ind w:left="0"/>
        <w:jc w:val="both"/>
        <w:rPr>
          <w:rFonts w:cs="Arial"/>
        </w:rPr>
      </w:pPr>
    </w:p>
    <w:p w14:paraId="4D01416C" w14:textId="77777777" w:rsidR="000D1D92" w:rsidRDefault="000D1D92" w:rsidP="000D1D92">
      <w:pPr>
        <w:autoSpaceDE w:val="0"/>
        <w:autoSpaceDN w:val="0"/>
        <w:adjustRightInd w:val="0"/>
        <w:spacing w:before="0" w:after="0"/>
        <w:jc w:val="both"/>
        <w:rPr>
          <w:rFonts w:cs="Arial"/>
          <w:b/>
        </w:rPr>
      </w:pPr>
      <w:r w:rsidRPr="000C7D67">
        <w:rPr>
          <w:rFonts w:cs="Arial"/>
          <w:b/>
        </w:rPr>
        <w:t>Adolescence</w:t>
      </w:r>
      <w:r>
        <w:rPr>
          <w:rStyle w:val="EndnoteReference"/>
          <w:rFonts w:cs="Arial"/>
        </w:rPr>
        <w:endnoteReference w:id="553"/>
      </w:r>
    </w:p>
    <w:p w14:paraId="4437BB5A" w14:textId="77777777" w:rsidR="000D1D92" w:rsidRDefault="000D1D92" w:rsidP="000D1D92">
      <w:pPr>
        <w:pStyle w:val="ListParagraph"/>
        <w:numPr>
          <w:ilvl w:val="0"/>
          <w:numId w:val="33"/>
        </w:numPr>
        <w:autoSpaceDE w:val="0"/>
        <w:autoSpaceDN w:val="0"/>
        <w:adjustRightInd w:val="0"/>
        <w:spacing w:before="0" w:after="0"/>
        <w:jc w:val="both"/>
        <w:rPr>
          <w:rFonts w:cs="Arial"/>
        </w:rPr>
      </w:pPr>
      <w:r>
        <w:rPr>
          <w:rFonts w:cs="Arial"/>
        </w:rPr>
        <w:t>m</w:t>
      </w:r>
      <w:r w:rsidRPr="000C62CF">
        <w:rPr>
          <w:rFonts w:cs="Arial"/>
        </w:rPr>
        <w:t xml:space="preserve">ental health diagnosis </w:t>
      </w:r>
    </w:p>
    <w:p w14:paraId="291B53D9" w14:textId="77777777" w:rsidR="000D1D92" w:rsidRDefault="000D1D92" w:rsidP="000D1D92">
      <w:pPr>
        <w:pStyle w:val="ListParagraph"/>
        <w:numPr>
          <w:ilvl w:val="0"/>
          <w:numId w:val="33"/>
        </w:numPr>
        <w:autoSpaceDE w:val="0"/>
        <w:autoSpaceDN w:val="0"/>
        <w:adjustRightInd w:val="0"/>
        <w:spacing w:before="0" w:after="0"/>
        <w:jc w:val="both"/>
        <w:rPr>
          <w:rFonts w:cs="Arial"/>
        </w:rPr>
      </w:pPr>
      <w:r>
        <w:rPr>
          <w:rFonts w:cs="Arial"/>
        </w:rPr>
        <w:t>d</w:t>
      </w:r>
      <w:r w:rsidRPr="000C62CF">
        <w:rPr>
          <w:rFonts w:cs="Arial"/>
        </w:rPr>
        <w:t>elinquency</w:t>
      </w:r>
    </w:p>
    <w:p w14:paraId="186C71BE" w14:textId="77777777" w:rsidR="000D1D92" w:rsidRDefault="000D1D92" w:rsidP="000D1D92">
      <w:pPr>
        <w:pStyle w:val="ListParagraph"/>
        <w:numPr>
          <w:ilvl w:val="0"/>
          <w:numId w:val="33"/>
        </w:numPr>
        <w:autoSpaceDE w:val="0"/>
        <w:autoSpaceDN w:val="0"/>
        <w:adjustRightInd w:val="0"/>
        <w:spacing w:before="0" w:after="0"/>
        <w:jc w:val="both"/>
        <w:rPr>
          <w:rFonts w:cs="Arial"/>
        </w:rPr>
      </w:pPr>
      <w:r>
        <w:rPr>
          <w:rFonts w:cs="Arial"/>
        </w:rPr>
        <w:t>anger to peers or parent</w:t>
      </w:r>
    </w:p>
    <w:p w14:paraId="13544B8F" w14:textId="77777777" w:rsidR="000D1D92" w:rsidRDefault="000D1D92" w:rsidP="000D1D92">
      <w:pPr>
        <w:pStyle w:val="ListParagraph"/>
        <w:numPr>
          <w:ilvl w:val="0"/>
          <w:numId w:val="33"/>
        </w:numPr>
        <w:autoSpaceDE w:val="0"/>
        <w:autoSpaceDN w:val="0"/>
        <w:adjustRightInd w:val="0"/>
        <w:spacing w:before="0" w:after="0"/>
        <w:jc w:val="both"/>
        <w:rPr>
          <w:rFonts w:cs="Arial"/>
        </w:rPr>
      </w:pPr>
      <w:r>
        <w:rPr>
          <w:rFonts w:cs="Arial"/>
        </w:rPr>
        <w:t>depression</w:t>
      </w:r>
    </w:p>
    <w:p w14:paraId="23E37602" w14:textId="77777777" w:rsidR="000D1D92" w:rsidRDefault="000D1D92" w:rsidP="000D1D92">
      <w:pPr>
        <w:pStyle w:val="ListParagraph"/>
        <w:numPr>
          <w:ilvl w:val="0"/>
          <w:numId w:val="33"/>
        </w:numPr>
        <w:autoSpaceDE w:val="0"/>
        <w:autoSpaceDN w:val="0"/>
        <w:adjustRightInd w:val="0"/>
        <w:spacing w:before="0" w:after="0"/>
        <w:jc w:val="both"/>
        <w:rPr>
          <w:rFonts w:cs="Arial"/>
        </w:rPr>
      </w:pPr>
      <w:r>
        <w:rPr>
          <w:rFonts w:cs="Arial"/>
        </w:rPr>
        <w:t>fear,</w:t>
      </w:r>
      <w:r w:rsidRPr="000C62CF">
        <w:rPr>
          <w:rFonts w:cs="Arial"/>
        </w:rPr>
        <w:t xml:space="preserve"> sadness and loneliness, including</w:t>
      </w:r>
      <w:r>
        <w:rPr>
          <w:rFonts w:cs="Arial"/>
        </w:rPr>
        <w:t xml:space="preserve"> </w:t>
      </w:r>
      <w:r w:rsidRPr="000C62CF">
        <w:rPr>
          <w:rFonts w:cs="Arial"/>
        </w:rPr>
        <w:t>suicidal feelings</w:t>
      </w:r>
      <w:r>
        <w:rPr>
          <w:rFonts w:cs="Arial"/>
        </w:rPr>
        <w:t>.</w:t>
      </w:r>
    </w:p>
    <w:p w14:paraId="6832E206" w14:textId="77777777" w:rsidR="000D1D92" w:rsidRDefault="000D1D92" w:rsidP="000D1D92">
      <w:pPr>
        <w:autoSpaceDE w:val="0"/>
        <w:autoSpaceDN w:val="0"/>
        <w:adjustRightInd w:val="0"/>
        <w:spacing w:before="0" w:after="0"/>
        <w:jc w:val="both"/>
        <w:rPr>
          <w:rFonts w:cs="Arial"/>
        </w:rPr>
      </w:pPr>
    </w:p>
    <w:p w14:paraId="0315DBF9" w14:textId="77777777" w:rsidR="000D1D92" w:rsidRDefault="000D1D92" w:rsidP="000D1D92">
      <w:pPr>
        <w:autoSpaceDE w:val="0"/>
        <w:autoSpaceDN w:val="0"/>
        <w:adjustRightInd w:val="0"/>
        <w:spacing w:before="0" w:after="0"/>
        <w:jc w:val="both"/>
        <w:rPr>
          <w:rFonts w:cs="Arial"/>
        </w:rPr>
      </w:pPr>
      <w:r w:rsidRPr="00FF0731">
        <w:rPr>
          <w:rFonts w:cs="Arial"/>
        </w:rPr>
        <w:t>Clearly there is</w:t>
      </w:r>
      <w:r>
        <w:rPr>
          <w:rFonts w:cs="Arial"/>
        </w:rPr>
        <w:t xml:space="preserve"> growing</w:t>
      </w:r>
      <w:r w:rsidRPr="00FF0731">
        <w:rPr>
          <w:rFonts w:cs="Arial"/>
        </w:rPr>
        <w:t xml:space="preserve"> </w:t>
      </w:r>
      <w:r>
        <w:rPr>
          <w:rFonts w:cs="Arial"/>
        </w:rPr>
        <w:t>understanding</w:t>
      </w:r>
      <w:r w:rsidRPr="00FF0731">
        <w:rPr>
          <w:rFonts w:cs="Arial"/>
        </w:rPr>
        <w:t xml:space="preserve"> about how family and domestic violence manifest</w:t>
      </w:r>
      <w:r>
        <w:rPr>
          <w:rFonts w:cs="Arial"/>
        </w:rPr>
        <w:t>s</w:t>
      </w:r>
      <w:r w:rsidRPr="00FF0731">
        <w:rPr>
          <w:rFonts w:cs="Arial"/>
        </w:rPr>
        <w:t xml:space="preserve"> itself in children. </w:t>
      </w:r>
    </w:p>
    <w:p w14:paraId="78A4801F" w14:textId="77777777" w:rsidR="000D1D92" w:rsidRDefault="000D1D92" w:rsidP="000D1D92">
      <w:pPr>
        <w:autoSpaceDE w:val="0"/>
        <w:autoSpaceDN w:val="0"/>
        <w:adjustRightInd w:val="0"/>
        <w:spacing w:before="0" w:after="0"/>
        <w:jc w:val="both"/>
        <w:rPr>
          <w:rFonts w:cs="Arial"/>
        </w:rPr>
      </w:pPr>
    </w:p>
    <w:p w14:paraId="59D42CF5" w14:textId="77777777" w:rsidR="000D1D92" w:rsidRPr="008C76DD" w:rsidRDefault="000D1D92" w:rsidP="000D1D92">
      <w:pPr>
        <w:autoSpaceDE w:val="0"/>
        <w:autoSpaceDN w:val="0"/>
        <w:adjustRightInd w:val="0"/>
        <w:spacing w:before="0" w:after="0"/>
        <w:jc w:val="both"/>
        <w:rPr>
          <w:rFonts w:cs="Arial"/>
        </w:rPr>
      </w:pPr>
      <w:r w:rsidRPr="00FF0731">
        <w:rPr>
          <w:rFonts w:cs="Arial"/>
        </w:rPr>
        <w:t>However as academic, Nicky St</w:t>
      </w:r>
      <w:r>
        <w:rPr>
          <w:rFonts w:cs="Arial"/>
        </w:rPr>
        <w:t>anley explains</w:t>
      </w:r>
      <w:r w:rsidRPr="00FF0731">
        <w:rPr>
          <w:rFonts w:cs="Arial"/>
        </w:rPr>
        <w:t>:</w:t>
      </w:r>
    </w:p>
    <w:p w14:paraId="3BCDA1F9" w14:textId="77777777" w:rsidR="000D1D92" w:rsidRDefault="000D1D92" w:rsidP="000D1D92">
      <w:pPr>
        <w:autoSpaceDE w:val="0"/>
        <w:autoSpaceDN w:val="0"/>
        <w:adjustRightInd w:val="0"/>
        <w:spacing w:before="0" w:after="0"/>
        <w:jc w:val="both"/>
        <w:rPr>
          <w:rFonts w:cs="Arial"/>
        </w:rPr>
      </w:pPr>
    </w:p>
    <w:p w14:paraId="5ACBA7AB" w14:textId="77777777" w:rsidR="000D1D92" w:rsidRDefault="000D1D92" w:rsidP="000D1D92">
      <w:pPr>
        <w:autoSpaceDE w:val="0"/>
        <w:autoSpaceDN w:val="0"/>
        <w:adjustRightInd w:val="0"/>
        <w:spacing w:before="0" w:after="0"/>
        <w:ind w:left="720"/>
        <w:jc w:val="both"/>
        <w:rPr>
          <w:rFonts w:cs="Arial"/>
        </w:rPr>
      </w:pPr>
      <w:r w:rsidRPr="00FF63AF">
        <w:rPr>
          <w:rFonts w:cs="Arial"/>
          <w:sz w:val="22"/>
          <w:szCs w:val="22"/>
        </w:rPr>
        <w:t>The impact of domestic violence on children is not straightforward</w:t>
      </w:r>
      <w:r>
        <w:rPr>
          <w:rFonts w:cs="Arial"/>
        </w:rPr>
        <w:t>.</w:t>
      </w:r>
      <w:r>
        <w:rPr>
          <w:rStyle w:val="EndnoteReference"/>
          <w:rFonts w:cs="Arial"/>
        </w:rPr>
        <w:endnoteReference w:id="554"/>
      </w:r>
    </w:p>
    <w:p w14:paraId="51EC3FA2" w14:textId="77777777" w:rsidR="000D1D92" w:rsidRDefault="000D1D92" w:rsidP="000D1D92">
      <w:pPr>
        <w:autoSpaceDE w:val="0"/>
        <w:autoSpaceDN w:val="0"/>
        <w:adjustRightInd w:val="0"/>
        <w:spacing w:before="0" w:after="0"/>
        <w:jc w:val="both"/>
        <w:rPr>
          <w:rFonts w:cs="Arial"/>
        </w:rPr>
      </w:pPr>
    </w:p>
    <w:p w14:paraId="6F5214FF" w14:textId="77777777" w:rsidR="000D1D92" w:rsidRDefault="000D1D92" w:rsidP="000D1D92">
      <w:pPr>
        <w:autoSpaceDE w:val="0"/>
        <w:autoSpaceDN w:val="0"/>
        <w:adjustRightInd w:val="0"/>
        <w:spacing w:before="0" w:after="0"/>
        <w:jc w:val="both"/>
        <w:rPr>
          <w:rFonts w:cs="Arial"/>
        </w:rPr>
      </w:pPr>
      <w:r>
        <w:rPr>
          <w:rFonts w:cs="Arial"/>
        </w:rPr>
        <w:t>Family and domestic violence is multi-dimensional with many variables simultaneously interacting.</w:t>
      </w:r>
      <w:r>
        <w:rPr>
          <w:rStyle w:val="EndnoteReference"/>
          <w:rFonts w:cs="Arial"/>
        </w:rPr>
        <w:endnoteReference w:id="555"/>
      </w:r>
      <w:r>
        <w:rPr>
          <w:rFonts w:cs="Arial"/>
        </w:rPr>
        <w:t xml:space="preserve"> </w:t>
      </w:r>
    </w:p>
    <w:p w14:paraId="3AFC7119" w14:textId="77777777" w:rsidR="000D1D92" w:rsidRDefault="000D1D92" w:rsidP="000D1D92">
      <w:pPr>
        <w:autoSpaceDE w:val="0"/>
        <w:autoSpaceDN w:val="0"/>
        <w:adjustRightInd w:val="0"/>
        <w:spacing w:before="0" w:after="0"/>
        <w:jc w:val="both"/>
        <w:rPr>
          <w:rFonts w:cs="Arial"/>
          <w:b/>
        </w:rPr>
      </w:pPr>
    </w:p>
    <w:p w14:paraId="018BACAB" w14:textId="77777777" w:rsidR="000D1D92" w:rsidRDefault="000D1D92" w:rsidP="000D1D92">
      <w:pPr>
        <w:autoSpaceDE w:val="0"/>
        <w:autoSpaceDN w:val="0"/>
        <w:adjustRightInd w:val="0"/>
        <w:spacing w:before="0" w:after="0"/>
        <w:jc w:val="both"/>
        <w:rPr>
          <w:rFonts w:cs="Arial"/>
        </w:rPr>
      </w:pPr>
      <w:r w:rsidRPr="00B51FF8">
        <w:rPr>
          <w:rFonts w:cs="Arial"/>
          <w:b/>
        </w:rPr>
        <w:t>Variables influencing the impact of family and domestic violence</w:t>
      </w:r>
      <w:r>
        <w:rPr>
          <w:rFonts w:cs="Arial"/>
        </w:rPr>
        <w:t xml:space="preserve"> include: </w:t>
      </w:r>
    </w:p>
    <w:p w14:paraId="666BD4C4" w14:textId="77777777" w:rsidR="000D1D92" w:rsidRDefault="000D1D92" w:rsidP="000D1D92">
      <w:pPr>
        <w:autoSpaceDE w:val="0"/>
        <w:autoSpaceDN w:val="0"/>
        <w:adjustRightInd w:val="0"/>
        <w:spacing w:before="0" w:after="0"/>
        <w:jc w:val="both"/>
        <w:rPr>
          <w:rFonts w:cs="Arial"/>
        </w:rPr>
      </w:pPr>
    </w:p>
    <w:p w14:paraId="51CE4955" w14:textId="77777777" w:rsidR="000D1D92" w:rsidRDefault="000D1D92" w:rsidP="000D1D92">
      <w:pPr>
        <w:pStyle w:val="ListParagraph"/>
        <w:numPr>
          <w:ilvl w:val="0"/>
          <w:numId w:val="34"/>
        </w:numPr>
        <w:autoSpaceDE w:val="0"/>
        <w:autoSpaceDN w:val="0"/>
        <w:adjustRightInd w:val="0"/>
        <w:spacing w:before="0" w:after="0"/>
        <w:jc w:val="both"/>
        <w:rPr>
          <w:rFonts w:cs="Arial"/>
        </w:rPr>
      </w:pPr>
      <w:r w:rsidRPr="00AE40E4">
        <w:rPr>
          <w:rFonts w:cs="Arial"/>
          <w:sz w:val="22"/>
          <w:szCs w:val="22"/>
        </w:rPr>
        <w:t>The severity and extent of children’s exposure to family and domestic violence.</w:t>
      </w:r>
      <w:r w:rsidRPr="00AE40E4">
        <w:rPr>
          <w:rStyle w:val="EndnoteReference"/>
          <w:rFonts w:cs="Arial"/>
          <w:sz w:val="22"/>
          <w:szCs w:val="22"/>
        </w:rPr>
        <w:endnoteReference w:id="556"/>
      </w:r>
      <w:r w:rsidRPr="00AE40E4">
        <w:rPr>
          <w:rFonts w:cs="Arial"/>
          <w:sz w:val="22"/>
          <w:szCs w:val="22"/>
        </w:rPr>
        <w:t xml:space="preserve"> Exposure to an isolated incident is clearly a different experience from regular exposure.</w:t>
      </w:r>
      <w:r w:rsidRPr="00AE40E4">
        <w:rPr>
          <w:rStyle w:val="EndnoteReference"/>
          <w:rFonts w:cs="Arial"/>
          <w:sz w:val="22"/>
          <w:szCs w:val="22"/>
        </w:rPr>
        <w:endnoteReference w:id="557"/>
      </w:r>
      <w:r w:rsidRPr="00AE40E4">
        <w:rPr>
          <w:rFonts w:cs="Arial"/>
          <w:sz w:val="22"/>
          <w:szCs w:val="22"/>
        </w:rPr>
        <w:t xml:space="preserve"> Cumulative exposure over time produces profoundly serious problems which can be resistant to change.</w:t>
      </w:r>
      <w:r w:rsidRPr="006324D3">
        <w:rPr>
          <w:rStyle w:val="EndnoteReference"/>
          <w:rFonts w:cs="Arial"/>
        </w:rPr>
        <w:t xml:space="preserve"> </w:t>
      </w:r>
      <w:r>
        <w:rPr>
          <w:rStyle w:val="EndnoteReference"/>
          <w:rFonts w:cs="Arial"/>
        </w:rPr>
        <w:endnoteReference w:id="558"/>
      </w:r>
    </w:p>
    <w:p w14:paraId="71E016EB" w14:textId="77777777" w:rsidR="000D1D92" w:rsidRPr="007F4F82" w:rsidRDefault="000D1D92" w:rsidP="000D1D92">
      <w:pPr>
        <w:pStyle w:val="ListParagraph"/>
        <w:autoSpaceDE w:val="0"/>
        <w:autoSpaceDN w:val="0"/>
        <w:adjustRightInd w:val="0"/>
        <w:spacing w:before="0" w:after="0"/>
        <w:jc w:val="both"/>
        <w:rPr>
          <w:rFonts w:cs="Arial"/>
        </w:rPr>
      </w:pPr>
    </w:p>
    <w:p w14:paraId="3CDC3BCB" w14:textId="77777777" w:rsidR="000D1D92" w:rsidRDefault="000D1D92" w:rsidP="000D1D92">
      <w:pPr>
        <w:pStyle w:val="ListParagraph"/>
        <w:numPr>
          <w:ilvl w:val="0"/>
          <w:numId w:val="34"/>
        </w:numPr>
        <w:autoSpaceDE w:val="0"/>
        <w:autoSpaceDN w:val="0"/>
        <w:adjustRightInd w:val="0"/>
        <w:spacing w:before="0" w:after="0"/>
        <w:jc w:val="both"/>
        <w:rPr>
          <w:rFonts w:cs="Arial"/>
        </w:rPr>
      </w:pPr>
      <w:r w:rsidRPr="00AE40E4">
        <w:rPr>
          <w:rFonts w:cs="Arial"/>
          <w:sz w:val="22"/>
          <w:szCs w:val="22"/>
        </w:rPr>
        <w:t>Family and domestic violence often occurs in contexts of other disadvantage and interacts with other family problems to harm children’s health and wellbeing. It is difficult for both practitioners and researchers to disentangle the dynamics and effects of family and domestic violence on children and young people from other family problems</w:t>
      </w:r>
      <w:r w:rsidRPr="006324D3">
        <w:rPr>
          <w:rFonts w:cs="Arial"/>
        </w:rPr>
        <w:t>.</w:t>
      </w:r>
      <w:r>
        <w:rPr>
          <w:rStyle w:val="EndnoteReference"/>
          <w:rFonts w:cs="Arial"/>
        </w:rPr>
        <w:endnoteReference w:id="559"/>
      </w:r>
      <w:r>
        <w:rPr>
          <w:rFonts w:cs="Arial"/>
        </w:rPr>
        <w:t xml:space="preserve"> </w:t>
      </w:r>
    </w:p>
    <w:p w14:paraId="67EEAF7D" w14:textId="77777777" w:rsidR="000D1D92" w:rsidRPr="00635FA9" w:rsidRDefault="000D1D92" w:rsidP="000D1D92">
      <w:pPr>
        <w:autoSpaceDE w:val="0"/>
        <w:autoSpaceDN w:val="0"/>
        <w:adjustRightInd w:val="0"/>
        <w:spacing w:before="0" w:after="0"/>
        <w:jc w:val="both"/>
        <w:rPr>
          <w:rFonts w:cs="Arial"/>
        </w:rPr>
      </w:pPr>
    </w:p>
    <w:p w14:paraId="4ACF38F5" w14:textId="77777777" w:rsidR="000D1D92" w:rsidRDefault="000D1D92" w:rsidP="000D1D92">
      <w:pPr>
        <w:autoSpaceDE w:val="0"/>
        <w:autoSpaceDN w:val="0"/>
        <w:adjustRightInd w:val="0"/>
        <w:spacing w:before="0" w:after="0"/>
        <w:jc w:val="both"/>
      </w:pPr>
      <w:r>
        <w:rPr>
          <w:rFonts w:cs="Arial"/>
        </w:rPr>
        <w:t xml:space="preserve">The joint submission made to me by the </w:t>
      </w:r>
      <w:r>
        <w:t>Australian Institute of Family Studies (AIFS) and Australia’s National Research Organisation for Women’s Safety Ltd (ANROWS) reinforced this:</w:t>
      </w:r>
    </w:p>
    <w:p w14:paraId="0AC8F416" w14:textId="77777777" w:rsidR="000D1D92" w:rsidRDefault="000D1D92" w:rsidP="000D1D92">
      <w:pPr>
        <w:autoSpaceDE w:val="0"/>
        <w:autoSpaceDN w:val="0"/>
        <w:adjustRightInd w:val="0"/>
        <w:spacing w:before="0" w:after="0"/>
        <w:jc w:val="both"/>
      </w:pPr>
    </w:p>
    <w:p w14:paraId="5A48A4BE" w14:textId="77777777" w:rsidR="000D1D92" w:rsidRDefault="000D1D92" w:rsidP="000D1D92">
      <w:pPr>
        <w:autoSpaceDE w:val="0"/>
        <w:autoSpaceDN w:val="0"/>
        <w:adjustRightInd w:val="0"/>
        <w:spacing w:before="0" w:after="0"/>
        <w:ind w:left="720"/>
        <w:jc w:val="both"/>
        <w:rPr>
          <w:rFonts w:cs="Arial"/>
        </w:rPr>
      </w:pPr>
      <w:r w:rsidRPr="00E14C64">
        <w:rPr>
          <w:rFonts w:cs="Arial"/>
          <w:sz w:val="22"/>
          <w:szCs w:val="22"/>
        </w:rPr>
        <w:t>Family violence occurs across a spectrum of severity but there is a dearth of evidence on the implications of this for children</w:t>
      </w:r>
      <w:r w:rsidRPr="00027CF1">
        <w:rPr>
          <w:rFonts w:cs="Arial"/>
        </w:rPr>
        <w:t>.</w:t>
      </w:r>
      <w:r w:rsidRPr="002D7F0C">
        <w:rPr>
          <w:rStyle w:val="EndnoteReference"/>
          <w:rFonts w:cs="Arial"/>
        </w:rPr>
        <w:t xml:space="preserve"> </w:t>
      </w:r>
      <w:r>
        <w:rPr>
          <w:rStyle w:val="EndnoteReference"/>
          <w:rFonts w:cs="Arial"/>
        </w:rPr>
        <w:endnoteReference w:id="560"/>
      </w:r>
    </w:p>
    <w:p w14:paraId="2FE4E211" w14:textId="77777777" w:rsidR="000D1D92" w:rsidRDefault="000D1D92" w:rsidP="000D1D92">
      <w:pPr>
        <w:autoSpaceDE w:val="0"/>
        <w:autoSpaceDN w:val="0"/>
        <w:adjustRightInd w:val="0"/>
        <w:spacing w:before="0" w:after="0"/>
        <w:jc w:val="both"/>
        <w:rPr>
          <w:rFonts w:cs="Arial"/>
        </w:rPr>
      </w:pPr>
    </w:p>
    <w:p w14:paraId="7AC1863B" w14:textId="77777777" w:rsidR="000D1D92" w:rsidRPr="00635FA9" w:rsidRDefault="000D1D92" w:rsidP="000D1D92">
      <w:pPr>
        <w:autoSpaceDE w:val="0"/>
        <w:autoSpaceDN w:val="0"/>
        <w:adjustRightInd w:val="0"/>
        <w:spacing w:before="0" w:after="0"/>
        <w:ind w:left="720"/>
        <w:jc w:val="both"/>
        <w:rPr>
          <w:rFonts w:cs="Arial"/>
        </w:rPr>
      </w:pPr>
      <w:r w:rsidRPr="00AE40E4">
        <w:rPr>
          <w:rFonts w:cs="Arial"/>
          <w:sz w:val="22"/>
          <w:szCs w:val="22"/>
        </w:rPr>
        <w:t>DFV often occurs alongside a host of other risk factors, such as parental substance abuse, poverty, family dysfunction, other forms of child abuse and neglect, mental ill-health, and social isolation…It is consequently difficult to separate the effects of these factors from the effects of exposure to DFV</w:t>
      </w:r>
      <w:r w:rsidRPr="00635FA9">
        <w:rPr>
          <w:rFonts w:cs="Arial"/>
        </w:rPr>
        <w:t>.</w:t>
      </w:r>
      <w:r>
        <w:rPr>
          <w:rStyle w:val="EndnoteReference"/>
          <w:rFonts w:cs="Arial"/>
        </w:rPr>
        <w:endnoteReference w:id="561"/>
      </w:r>
      <w:r w:rsidRPr="00635FA9">
        <w:rPr>
          <w:rFonts w:cs="Arial"/>
        </w:rPr>
        <w:t xml:space="preserve"> </w:t>
      </w:r>
    </w:p>
    <w:p w14:paraId="6D478063" w14:textId="77777777" w:rsidR="000D1D92" w:rsidRDefault="000D1D92" w:rsidP="000D1D92">
      <w:pPr>
        <w:autoSpaceDE w:val="0"/>
        <w:autoSpaceDN w:val="0"/>
        <w:adjustRightInd w:val="0"/>
        <w:spacing w:before="0" w:after="0"/>
        <w:jc w:val="both"/>
        <w:rPr>
          <w:rFonts w:cs="Arial"/>
        </w:rPr>
      </w:pPr>
    </w:p>
    <w:p w14:paraId="6B155903" w14:textId="77777777" w:rsidR="000D1D92" w:rsidRDefault="000D1D92" w:rsidP="000D1D92">
      <w:pPr>
        <w:autoSpaceDE w:val="0"/>
        <w:autoSpaceDN w:val="0"/>
        <w:adjustRightInd w:val="0"/>
        <w:spacing w:before="0" w:after="0"/>
        <w:jc w:val="both"/>
        <w:rPr>
          <w:rFonts w:cs="Arial"/>
        </w:rPr>
      </w:pPr>
      <w:r>
        <w:rPr>
          <w:rFonts w:cs="Arial"/>
        </w:rPr>
        <w:t>The Kids Helpline stated that:</w:t>
      </w:r>
    </w:p>
    <w:p w14:paraId="2D04BC74" w14:textId="77777777" w:rsidR="000D1D92" w:rsidRPr="004B2F1C" w:rsidRDefault="000D1D92" w:rsidP="000D1D92">
      <w:pPr>
        <w:autoSpaceDE w:val="0"/>
        <w:autoSpaceDN w:val="0"/>
        <w:adjustRightInd w:val="0"/>
        <w:spacing w:before="0" w:after="0"/>
        <w:jc w:val="both"/>
        <w:rPr>
          <w:rFonts w:cs="Arial"/>
        </w:rPr>
      </w:pPr>
    </w:p>
    <w:p w14:paraId="29BE8B6E" w14:textId="77777777" w:rsidR="000D1D92" w:rsidRDefault="000D1D92" w:rsidP="000D1D92">
      <w:pPr>
        <w:autoSpaceDE w:val="0"/>
        <w:autoSpaceDN w:val="0"/>
        <w:adjustRightInd w:val="0"/>
        <w:spacing w:before="0" w:after="0"/>
        <w:ind w:left="720"/>
        <w:jc w:val="both"/>
        <w:rPr>
          <w:rFonts w:cs="Arial"/>
        </w:rPr>
      </w:pPr>
      <w:r w:rsidRPr="00AE40E4">
        <w:rPr>
          <w:rFonts w:cs="Arial"/>
          <w:sz w:val="22"/>
          <w:szCs w:val="22"/>
        </w:rPr>
        <w:t>Children living in families experiencing domestic violence typically experience multiple disadvantages and other forms of adversity (e.g., low socio-economic status, parental unemployment, low parental education, parental alcohol and substance abuse, child abuse), making it difficult to isolate the effects of exposure to [family and domestic violence].</w:t>
      </w:r>
      <w:r>
        <w:rPr>
          <w:rStyle w:val="EndnoteReference"/>
          <w:rFonts w:cs="Arial"/>
        </w:rPr>
        <w:endnoteReference w:id="562"/>
      </w:r>
    </w:p>
    <w:p w14:paraId="0DF7B3E9" w14:textId="77777777" w:rsidR="000D1D92" w:rsidRDefault="000D1D92" w:rsidP="000D1D92">
      <w:pPr>
        <w:autoSpaceDE w:val="0"/>
        <w:autoSpaceDN w:val="0"/>
        <w:adjustRightInd w:val="0"/>
        <w:spacing w:before="0" w:after="0"/>
        <w:jc w:val="both"/>
        <w:rPr>
          <w:rFonts w:cs="Arial"/>
        </w:rPr>
      </w:pPr>
    </w:p>
    <w:p w14:paraId="72BDA6EA" w14:textId="77777777" w:rsidR="000D1D92" w:rsidRDefault="000D1D92" w:rsidP="000D1D92">
      <w:pPr>
        <w:autoSpaceDE w:val="0"/>
        <w:autoSpaceDN w:val="0"/>
        <w:adjustRightInd w:val="0"/>
        <w:spacing w:before="0" w:after="0"/>
        <w:jc w:val="both"/>
        <w:rPr>
          <w:rFonts w:cs="Arial"/>
        </w:rPr>
      </w:pPr>
      <w:r>
        <w:rPr>
          <w:rFonts w:cs="Arial"/>
        </w:rPr>
        <w:t>Family and domestic violence can also occur in families who do not have these characteristics.</w:t>
      </w:r>
    </w:p>
    <w:p w14:paraId="70B964D4" w14:textId="77777777" w:rsidR="000D1D92" w:rsidRDefault="000D1D92" w:rsidP="000D1D92">
      <w:pPr>
        <w:autoSpaceDE w:val="0"/>
        <w:autoSpaceDN w:val="0"/>
        <w:adjustRightInd w:val="0"/>
        <w:spacing w:before="0" w:after="0"/>
        <w:jc w:val="both"/>
        <w:rPr>
          <w:rFonts w:cs="Arial"/>
        </w:rPr>
      </w:pPr>
    </w:p>
    <w:p w14:paraId="135E02BE" w14:textId="77777777" w:rsidR="000D1D92" w:rsidRDefault="000D1D92" w:rsidP="000D1D92">
      <w:pPr>
        <w:autoSpaceDE w:val="0"/>
        <w:autoSpaceDN w:val="0"/>
        <w:adjustRightInd w:val="0"/>
        <w:spacing w:before="0" w:after="0"/>
        <w:jc w:val="both"/>
        <w:rPr>
          <w:rFonts w:cs="Arial"/>
        </w:rPr>
      </w:pPr>
      <w:r>
        <w:rPr>
          <w:rFonts w:cs="Arial"/>
        </w:rPr>
        <w:t xml:space="preserve">During my roundtables and in submissions, </w:t>
      </w:r>
      <w:r w:rsidRPr="00042A1E">
        <w:rPr>
          <w:rFonts w:cs="Arial"/>
          <w:b/>
        </w:rPr>
        <w:t>certain groups of children were identified as being particularly vulnerable</w:t>
      </w:r>
      <w:r>
        <w:rPr>
          <w:rFonts w:cs="Arial"/>
        </w:rPr>
        <w:t>.</w:t>
      </w:r>
    </w:p>
    <w:p w14:paraId="189BF1E4" w14:textId="77777777" w:rsidR="000D1D92" w:rsidRDefault="000D1D92" w:rsidP="000D1D92">
      <w:pPr>
        <w:autoSpaceDE w:val="0"/>
        <w:autoSpaceDN w:val="0"/>
        <w:adjustRightInd w:val="0"/>
        <w:spacing w:before="0" w:after="0"/>
        <w:jc w:val="both"/>
        <w:rPr>
          <w:rFonts w:cs="Arial"/>
        </w:rPr>
      </w:pPr>
    </w:p>
    <w:p w14:paraId="319B7A84" w14:textId="77777777" w:rsidR="000D1D92" w:rsidRPr="00F64D6E" w:rsidRDefault="000D1D92" w:rsidP="000D1D92">
      <w:pPr>
        <w:autoSpaceDE w:val="0"/>
        <w:autoSpaceDN w:val="0"/>
        <w:adjustRightInd w:val="0"/>
        <w:spacing w:before="0" w:after="0"/>
        <w:jc w:val="both"/>
        <w:rPr>
          <w:rFonts w:cs="Arial"/>
        </w:rPr>
      </w:pPr>
      <w:r w:rsidRPr="00F64D6E">
        <w:rPr>
          <w:rFonts w:cs="Arial"/>
        </w:rPr>
        <w:t>The submission by the National Aboriginal &amp; Torres Strait Islander Women’s Alliance pointed out:</w:t>
      </w:r>
    </w:p>
    <w:p w14:paraId="34B7E6C1" w14:textId="77777777" w:rsidR="000D1D92" w:rsidRPr="00040887" w:rsidRDefault="000D1D92" w:rsidP="000D1D92">
      <w:pPr>
        <w:autoSpaceDE w:val="0"/>
        <w:autoSpaceDN w:val="0"/>
        <w:adjustRightInd w:val="0"/>
        <w:spacing w:before="0" w:after="0"/>
        <w:jc w:val="both"/>
        <w:rPr>
          <w:rFonts w:cs="Arial"/>
        </w:rPr>
      </w:pPr>
    </w:p>
    <w:p w14:paraId="0E1C5AED" w14:textId="77777777" w:rsidR="000D1D92" w:rsidRPr="00040887" w:rsidRDefault="000D1D92" w:rsidP="000D1D92">
      <w:pPr>
        <w:autoSpaceDE w:val="0"/>
        <w:autoSpaceDN w:val="0"/>
        <w:adjustRightInd w:val="0"/>
        <w:spacing w:before="0" w:after="0"/>
        <w:ind w:left="720"/>
        <w:jc w:val="both"/>
        <w:rPr>
          <w:rFonts w:cs="Arial"/>
          <w:sz w:val="22"/>
          <w:szCs w:val="22"/>
        </w:rPr>
      </w:pPr>
      <w:r w:rsidRPr="00040887">
        <w:rPr>
          <w:rFonts w:cs="Arial"/>
          <w:sz w:val="22"/>
          <w:szCs w:val="22"/>
        </w:rPr>
        <w:t xml:space="preserve">The nature, history and context of family violence in </w:t>
      </w:r>
      <w:r w:rsidRPr="00040887">
        <w:rPr>
          <w:rFonts w:cs="Arial"/>
          <w:b/>
          <w:sz w:val="22"/>
          <w:szCs w:val="22"/>
        </w:rPr>
        <w:t>Aboriginal and Torres Strait Islander communities</w:t>
      </w:r>
      <w:r w:rsidRPr="00040887">
        <w:rPr>
          <w:rFonts w:cs="Arial"/>
          <w:sz w:val="22"/>
          <w:szCs w:val="22"/>
        </w:rPr>
        <w:t xml:space="preserve"> is different to domestic violence experienced in mainstream communities and populations. Aboriginal and Torres Strait Islander people continue to suffer the intergenerational effects of past welfare practices including the forced removal of their children and dislocation from their communities, country and culture, </w:t>
      </w:r>
      <w:r w:rsidRPr="00040887">
        <w:rPr>
          <w:rFonts w:cs="Arial"/>
          <w:sz w:val="22"/>
          <w:szCs w:val="22"/>
        </w:rPr>
        <w:lastRenderedPageBreak/>
        <w:t>as well as experiencing higher levels of poverty and social disadvantage compared to other Australians. The combined effects of past practices and current disadvantages present extreme challenges to families.</w:t>
      </w:r>
      <w:r w:rsidRPr="00040887">
        <w:rPr>
          <w:rStyle w:val="EndnoteReference"/>
          <w:rFonts w:cs="Arial"/>
          <w:sz w:val="22"/>
          <w:szCs w:val="22"/>
        </w:rPr>
        <w:endnoteReference w:id="563"/>
      </w:r>
    </w:p>
    <w:p w14:paraId="70D8DD48" w14:textId="77777777" w:rsidR="000D1D92" w:rsidRDefault="000D1D92" w:rsidP="000D1D92">
      <w:pPr>
        <w:autoSpaceDE w:val="0"/>
        <w:autoSpaceDN w:val="0"/>
        <w:adjustRightInd w:val="0"/>
        <w:spacing w:before="0" w:after="0"/>
        <w:jc w:val="both"/>
        <w:rPr>
          <w:rFonts w:cs="Arial"/>
        </w:rPr>
      </w:pPr>
    </w:p>
    <w:p w14:paraId="4AAE1349" w14:textId="77777777" w:rsidR="000D1D92" w:rsidRPr="00F64D6E" w:rsidRDefault="000D1D92" w:rsidP="000D1D92">
      <w:pPr>
        <w:autoSpaceDE w:val="0"/>
        <w:autoSpaceDN w:val="0"/>
        <w:adjustRightInd w:val="0"/>
        <w:spacing w:before="0" w:after="0"/>
        <w:jc w:val="both"/>
        <w:rPr>
          <w:rFonts w:cs="Arial"/>
        </w:rPr>
      </w:pPr>
      <w:r w:rsidRPr="00F64D6E">
        <w:rPr>
          <w:rFonts w:cs="Arial"/>
        </w:rPr>
        <w:t>The Western Australian Aborig</w:t>
      </w:r>
      <w:r>
        <w:rPr>
          <w:rFonts w:cs="Arial"/>
        </w:rPr>
        <w:t>inal Family Law Services advised me</w:t>
      </w:r>
      <w:r w:rsidRPr="00F64D6E">
        <w:rPr>
          <w:rFonts w:cs="Arial"/>
        </w:rPr>
        <w:t>:</w:t>
      </w:r>
    </w:p>
    <w:p w14:paraId="1326A260" w14:textId="77777777" w:rsidR="000D1D92" w:rsidRPr="00040887" w:rsidRDefault="000D1D92" w:rsidP="000D1D92">
      <w:pPr>
        <w:autoSpaceDE w:val="0"/>
        <w:autoSpaceDN w:val="0"/>
        <w:adjustRightInd w:val="0"/>
        <w:spacing w:before="0" w:after="0"/>
        <w:jc w:val="both"/>
        <w:rPr>
          <w:rFonts w:cs="Arial"/>
        </w:rPr>
      </w:pPr>
    </w:p>
    <w:p w14:paraId="4C3001F5" w14:textId="77777777" w:rsidR="000D1D92" w:rsidRPr="00040887" w:rsidRDefault="000D1D92" w:rsidP="000D1D92">
      <w:pPr>
        <w:autoSpaceDE w:val="0"/>
        <w:autoSpaceDN w:val="0"/>
        <w:adjustRightInd w:val="0"/>
        <w:spacing w:before="0" w:after="0"/>
        <w:ind w:left="720"/>
        <w:jc w:val="both"/>
        <w:rPr>
          <w:rFonts w:cs="Arial"/>
        </w:rPr>
      </w:pPr>
      <w:r w:rsidRPr="00040887">
        <w:rPr>
          <w:sz w:val="22"/>
          <w:szCs w:val="22"/>
        </w:rPr>
        <w:t xml:space="preserve">For </w:t>
      </w:r>
      <w:r w:rsidRPr="00040887">
        <w:rPr>
          <w:b/>
          <w:sz w:val="22"/>
          <w:szCs w:val="22"/>
        </w:rPr>
        <w:t>Aboriginal</w:t>
      </w:r>
      <w:r w:rsidRPr="00040887">
        <w:rPr>
          <w:sz w:val="22"/>
          <w:szCs w:val="22"/>
        </w:rPr>
        <w:t xml:space="preserve"> communities the prevalence and impact of family and domestic violence is understood in terms of loss of connection to family, culture and self. The development of a sense of belonging and self may be severely compromised when raised out of one’s own family. The circumstances of the removal, the quantity and quality of ongoing contact with parents and the ability to adapt to the new living situation will impact on the child’s development. The child’s ability to meet developmental milestones will be challenged and almost certainly impaired by the trauma of the removal and any consequent placement shift – as well as from the predisposing circumstances of abuse and trauma.</w:t>
      </w:r>
      <w:r w:rsidRPr="00040887">
        <w:rPr>
          <w:rStyle w:val="EndnoteReference"/>
          <w:szCs w:val="22"/>
        </w:rPr>
        <w:endnoteReference w:id="564"/>
      </w:r>
    </w:p>
    <w:p w14:paraId="68C7FFF9" w14:textId="77777777" w:rsidR="000D1D92" w:rsidRPr="00040887" w:rsidRDefault="000D1D92" w:rsidP="000D1D92">
      <w:pPr>
        <w:autoSpaceDE w:val="0"/>
        <w:autoSpaceDN w:val="0"/>
        <w:adjustRightInd w:val="0"/>
        <w:spacing w:before="0" w:after="0"/>
        <w:jc w:val="both"/>
        <w:rPr>
          <w:rFonts w:cs="Arial"/>
        </w:rPr>
      </w:pPr>
    </w:p>
    <w:p w14:paraId="5BB3E9D8" w14:textId="77777777" w:rsidR="000D1D92" w:rsidRPr="006F3C3D" w:rsidRDefault="000D1D92" w:rsidP="000D1D92">
      <w:pPr>
        <w:autoSpaceDE w:val="0"/>
        <w:autoSpaceDN w:val="0"/>
        <w:adjustRightInd w:val="0"/>
        <w:spacing w:before="0" w:after="0"/>
        <w:jc w:val="both"/>
        <w:rPr>
          <w:rFonts w:cs="Arial"/>
        </w:rPr>
      </w:pPr>
      <w:r w:rsidRPr="006F3C3D">
        <w:rPr>
          <w:rFonts w:cs="Arial"/>
        </w:rPr>
        <w:t>The submission by InTouch, the Multicultural Centre against Family Violence in Victoria indicated that:</w:t>
      </w:r>
    </w:p>
    <w:p w14:paraId="201EDD03" w14:textId="77777777" w:rsidR="000D1D92" w:rsidRPr="00040887" w:rsidRDefault="000D1D92" w:rsidP="000D1D92">
      <w:pPr>
        <w:autoSpaceDE w:val="0"/>
        <w:autoSpaceDN w:val="0"/>
        <w:adjustRightInd w:val="0"/>
        <w:spacing w:before="0" w:after="0"/>
        <w:jc w:val="both"/>
        <w:rPr>
          <w:rFonts w:cs="Arial"/>
        </w:rPr>
      </w:pPr>
    </w:p>
    <w:p w14:paraId="5B1171E3" w14:textId="77777777" w:rsidR="000D1D92" w:rsidRPr="00040887" w:rsidRDefault="000D1D92" w:rsidP="000D1D92">
      <w:pPr>
        <w:autoSpaceDE w:val="0"/>
        <w:autoSpaceDN w:val="0"/>
        <w:adjustRightInd w:val="0"/>
        <w:spacing w:before="0" w:after="0"/>
        <w:ind w:left="720"/>
        <w:jc w:val="both"/>
        <w:rPr>
          <w:rFonts w:cs="Arial"/>
          <w:sz w:val="22"/>
          <w:szCs w:val="22"/>
        </w:rPr>
      </w:pPr>
      <w:r w:rsidRPr="00040887">
        <w:rPr>
          <w:rFonts w:cs="Arial"/>
          <w:b/>
          <w:sz w:val="22"/>
          <w:szCs w:val="22"/>
        </w:rPr>
        <w:t>C</w:t>
      </w:r>
      <w:r>
        <w:rPr>
          <w:rFonts w:cs="Arial"/>
          <w:b/>
          <w:sz w:val="22"/>
          <w:szCs w:val="22"/>
        </w:rPr>
        <w:t xml:space="preserve">ulturally and linguistically diverse </w:t>
      </w:r>
      <w:r w:rsidRPr="00040887">
        <w:rPr>
          <w:rFonts w:cs="Arial"/>
          <w:sz w:val="22"/>
          <w:szCs w:val="22"/>
        </w:rPr>
        <w:t xml:space="preserve">children may experience the additional impact of being displaced from other countries, spending time in refugee camps, witness torture and trauma, unsafe travel to Australia and/or loss of extended family and community networks. CALD children may have additional pressures to learn at school while acquiring a second language and navigating new social rules. They may also experience discrimination and racism in the wider community. </w:t>
      </w:r>
    </w:p>
    <w:p w14:paraId="474AFB57" w14:textId="77777777" w:rsidR="000D1D92" w:rsidRPr="00040887" w:rsidRDefault="000D1D92" w:rsidP="000D1D92">
      <w:pPr>
        <w:autoSpaceDE w:val="0"/>
        <w:autoSpaceDN w:val="0"/>
        <w:adjustRightInd w:val="0"/>
        <w:spacing w:before="0" w:after="0"/>
        <w:ind w:left="720"/>
        <w:jc w:val="both"/>
        <w:rPr>
          <w:rFonts w:cs="Arial"/>
          <w:sz w:val="22"/>
          <w:szCs w:val="22"/>
        </w:rPr>
      </w:pPr>
    </w:p>
    <w:p w14:paraId="22990556" w14:textId="77777777" w:rsidR="000D1D92" w:rsidRPr="00040887" w:rsidRDefault="000D1D92" w:rsidP="000D1D92">
      <w:pPr>
        <w:autoSpaceDE w:val="0"/>
        <w:autoSpaceDN w:val="0"/>
        <w:adjustRightInd w:val="0"/>
        <w:spacing w:before="0" w:after="0"/>
        <w:ind w:left="720"/>
        <w:jc w:val="both"/>
        <w:rPr>
          <w:rFonts w:cs="Arial"/>
          <w:sz w:val="22"/>
          <w:szCs w:val="22"/>
        </w:rPr>
      </w:pPr>
      <w:r w:rsidRPr="00040887">
        <w:rPr>
          <w:rFonts w:cs="Arial"/>
          <w:sz w:val="22"/>
          <w:szCs w:val="22"/>
        </w:rPr>
        <w:t>The intersection for CALD children of pre-existing loss and grief, adjustment disorders, displacement and post-traumatic stress and the additional trauma of family violence is critical.</w:t>
      </w:r>
      <w:r w:rsidRPr="00040887">
        <w:rPr>
          <w:rStyle w:val="EndnoteReference"/>
          <w:rFonts w:cs="Arial"/>
          <w:sz w:val="22"/>
          <w:szCs w:val="22"/>
        </w:rPr>
        <w:endnoteReference w:id="565"/>
      </w:r>
    </w:p>
    <w:p w14:paraId="636E67B7" w14:textId="77777777" w:rsidR="000D1D92" w:rsidRPr="00040887" w:rsidRDefault="000D1D92" w:rsidP="000D1D92">
      <w:pPr>
        <w:autoSpaceDE w:val="0"/>
        <w:autoSpaceDN w:val="0"/>
        <w:adjustRightInd w:val="0"/>
        <w:spacing w:before="0" w:after="0"/>
        <w:jc w:val="both"/>
        <w:rPr>
          <w:rFonts w:cs="Arial"/>
        </w:rPr>
      </w:pPr>
    </w:p>
    <w:p w14:paraId="1D8DCF85" w14:textId="77777777" w:rsidR="000D1D92" w:rsidRPr="006F3C3D" w:rsidRDefault="000D1D92" w:rsidP="000D1D92">
      <w:pPr>
        <w:autoSpaceDE w:val="0"/>
        <w:autoSpaceDN w:val="0"/>
        <w:adjustRightInd w:val="0"/>
        <w:spacing w:before="0" w:after="0"/>
        <w:jc w:val="both"/>
        <w:rPr>
          <w:rFonts w:cs="Arial"/>
        </w:rPr>
      </w:pPr>
      <w:r w:rsidRPr="006F3C3D">
        <w:rPr>
          <w:rFonts w:cs="Arial"/>
        </w:rPr>
        <w:t>Childre</w:t>
      </w:r>
      <w:r>
        <w:rPr>
          <w:rFonts w:cs="Arial"/>
        </w:rPr>
        <w:t>n with Disability Australia informed</w:t>
      </w:r>
      <w:r w:rsidRPr="006F3C3D">
        <w:rPr>
          <w:rFonts w:cs="Arial"/>
        </w:rPr>
        <w:t xml:space="preserve"> me that:</w:t>
      </w:r>
    </w:p>
    <w:p w14:paraId="645ED457" w14:textId="77777777" w:rsidR="000D1D92" w:rsidRPr="00040887" w:rsidRDefault="000D1D92" w:rsidP="000D1D92">
      <w:pPr>
        <w:autoSpaceDE w:val="0"/>
        <w:autoSpaceDN w:val="0"/>
        <w:adjustRightInd w:val="0"/>
        <w:spacing w:before="0" w:after="0"/>
        <w:jc w:val="both"/>
        <w:rPr>
          <w:rFonts w:cs="Arial"/>
        </w:rPr>
      </w:pPr>
    </w:p>
    <w:p w14:paraId="25050232" w14:textId="77777777" w:rsidR="000D1D92" w:rsidRPr="009A2827" w:rsidRDefault="000D1D92" w:rsidP="000D1D92">
      <w:pPr>
        <w:autoSpaceDE w:val="0"/>
        <w:autoSpaceDN w:val="0"/>
        <w:adjustRightInd w:val="0"/>
        <w:spacing w:before="0" w:after="0"/>
        <w:ind w:left="720"/>
        <w:jc w:val="both"/>
        <w:rPr>
          <w:rFonts w:cs="Arial"/>
          <w:sz w:val="22"/>
          <w:szCs w:val="22"/>
        </w:rPr>
      </w:pPr>
      <w:r w:rsidRPr="00040887">
        <w:rPr>
          <w:rFonts w:cs="Arial"/>
          <w:sz w:val="22"/>
          <w:szCs w:val="22"/>
        </w:rPr>
        <w:t xml:space="preserve">In the case of </w:t>
      </w:r>
      <w:r w:rsidRPr="00040887">
        <w:rPr>
          <w:rFonts w:cs="Arial"/>
          <w:b/>
          <w:sz w:val="22"/>
          <w:szCs w:val="22"/>
        </w:rPr>
        <w:t>children with disability</w:t>
      </w:r>
      <w:r w:rsidRPr="00040887">
        <w:rPr>
          <w:rFonts w:cs="Arial"/>
          <w:sz w:val="22"/>
          <w:szCs w:val="22"/>
        </w:rPr>
        <w:t>, changes in behaviour have an increased tendency to be pathologised as attributable to the child’s disability, rather than a demonstration of distress. This can reduce a child’s access to the appropriate support options to protect from further harm and support from trauma.</w:t>
      </w:r>
      <w:r w:rsidRPr="00040887">
        <w:rPr>
          <w:rStyle w:val="EndnoteReference"/>
          <w:rFonts w:cs="Arial"/>
          <w:sz w:val="22"/>
          <w:szCs w:val="22"/>
        </w:rPr>
        <w:endnoteReference w:id="566"/>
      </w:r>
    </w:p>
    <w:p w14:paraId="4C3203EB" w14:textId="77777777" w:rsidR="000D1D92" w:rsidRDefault="000D1D92" w:rsidP="000D1D92">
      <w:pPr>
        <w:autoSpaceDE w:val="0"/>
        <w:autoSpaceDN w:val="0"/>
        <w:adjustRightInd w:val="0"/>
        <w:spacing w:before="0" w:after="0"/>
        <w:jc w:val="both"/>
        <w:rPr>
          <w:rFonts w:cs="Arial"/>
          <w:b/>
        </w:rPr>
      </w:pPr>
    </w:p>
    <w:p w14:paraId="35CD1A59" w14:textId="77777777" w:rsidR="000D1D92" w:rsidRPr="002C439C" w:rsidRDefault="000D1D92" w:rsidP="000D1D92">
      <w:pPr>
        <w:autoSpaceDE w:val="0"/>
        <w:autoSpaceDN w:val="0"/>
        <w:adjustRightInd w:val="0"/>
        <w:spacing w:before="0" w:after="0"/>
        <w:jc w:val="both"/>
        <w:rPr>
          <w:rFonts w:cs="Arial"/>
          <w:b/>
        </w:rPr>
      </w:pPr>
      <w:r w:rsidRPr="00E66949">
        <w:rPr>
          <w:rFonts w:cs="Arial"/>
          <w:b/>
        </w:rPr>
        <w:t xml:space="preserve">Many participants at my roundtables and in submissions also raised </w:t>
      </w:r>
      <w:r>
        <w:rPr>
          <w:rFonts w:cs="Arial"/>
          <w:b/>
        </w:rPr>
        <w:t xml:space="preserve">the importance of </w:t>
      </w:r>
      <w:r w:rsidRPr="00E66949">
        <w:rPr>
          <w:rFonts w:cs="Arial"/>
          <w:b/>
        </w:rPr>
        <w:t>understanding resilience and protective factors</w:t>
      </w:r>
      <w:r>
        <w:rPr>
          <w:rFonts w:cs="Arial"/>
        </w:rPr>
        <w:t>.</w:t>
      </w:r>
    </w:p>
    <w:p w14:paraId="1878A938" w14:textId="77777777" w:rsidR="000D1D92" w:rsidRDefault="000D1D92" w:rsidP="000D1D92">
      <w:pPr>
        <w:autoSpaceDE w:val="0"/>
        <w:autoSpaceDN w:val="0"/>
        <w:adjustRightInd w:val="0"/>
        <w:spacing w:before="0" w:after="0"/>
        <w:jc w:val="both"/>
        <w:rPr>
          <w:rFonts w:cs="Arial"/>
        </w:rPr>
      </w:pPr>
    </w:p>
    <w:p w14:paraId="6800777F" w14:textId="77777777" w:rsidR="000D1D92" w:rsidRDefault="000D1D92" w:rsidP="000D1D92">
      <w:pPr>
        <w:autoSpaceDE w:val="0"/>
        <w:autoSpaceDN w:val="0"/>
        <w:adjustRightInd w:val="0"/>
        <w:spacing w:before="0" w:after="0"/>
        <w:jc w:val="both"/>
        <w:rPr>
          <w:rFonts w:cs="Arial"/>
        </w:rPr>
      </w:pPr>
      <w:r>
        <w:rPr>
          <w:rFonts w:cs="Arial"/>
        </w:rPr>
        <w:t>T</w:t>
      </w:r>
      <w:r w:rsidRPr="00A35388">
        <w:rPr>
          <w:rFonts w:cs="Arial"/>
        </w:rPr>
        <w:t>he Australian Psychological Society told me that:</w:t>
      </w:r>
    </w:p>
    <w:p w14:paraId="74F53F24" w14:textId="77777777" w:rsidR="000D1D92" w:rsidRDefault="000D1D92" w:rsidP="000D1D92">
      <w:pPr>
        <w:autoSpaceDE w:val="0"/>
        <w:autoSpaceDN w:val="0"/>
        <w:adjustRightInd w:val="0"/>
        <w:spacing w:before="0" w:after="0"/>
        <w:jc w:val="both"/>
        <w:rPr>
          <w:sz w:val="22"/>
          <w:szCs w:val="22"/>
        </w:rPr>
      </w:pPr>
    </w:p>
    <w:p w14:paraId="7F843984" w14:textId="77777777" w:rsidR="000D1D92" w:rsidRPr="00A35388" w:rsidRDefault="000D1D92" w:rsidP="000D1D92">
      <w:pPr>
        <w:autoSpaceDE w:val="0"/>
        <w:autoSpaceDN w:val="0"/>
        <w:adjustRightInd w:val="0"/>
        <w:spacing w:before="0" w:after="0"/>
        <w:ind w:left="720"/>
        <w:jc w:val="both"/>
        <w:rPr>
          <w:rFonts w:cs="Arial"/>
        </w:rPr>
      </w:pPr>
      <w:r w:rsidRPr="007453CC">
        <w:rPr>
          <w:sz w:val="22"/>
          <w:szCs w:val="22"/>
        </w:rPr>
        <w:t>Not all children are equally affected by the violence they witness or live with, with some at serious risk of harm, even death, others are not as impacted due to specific protective factors</w:t>
      </w:r>
      <w:r>
        <w:t>.</w:t>
      </w:r>
      <w:r>
        <w:rPr>
          <w:rStyle w:val="EndnoteReference"/>
        </w:rPr>
        <w:endnoteReference w:id="567"/>
      </w:r>
    </w:p>
    <w:p w14:paraId="0E9F7D75" w14:textId="77777777" w:rsidR="000D1D92" w:rsidRDefault="000D1D92" w:rsidP="000D1D92">
      <w:pPr>
        <w:autoSpaceDE w:val="0"/>
        <w:autoSpaceDN w:val="0"/>
        <w:adjustRightInd w:val="0"/>
        <w:spacing w:before="0" w:after="0"/>
        <w:jc w:val="both"/>
        <w:rPr>
          <w:rFonts w:cs="Arial"/>
        </w:rPr>
      </w:pPr>
    </w:p>
    <w:p w14:paraId="179CB8C3" w14:textId="77777777" w:rsidR="000D1D92" w:rsidRPr="00D66CF1" w:rsidRDefault="000D1D92" w:rsidP="000D1D92">
      <w:pPr>
        <w:autoSpaceDE w:val="0"/>
        <w:autoSpaceDN w:val="0"/>
        <w:adjustRightInd w:val="0"/>
        <w:spacing w:before="0" w:after="0"/>
        <w:jc w:val="both"/>
        <w:rPr>
          <w:rFonts w:cs="Arial"/>
        </w:rPr>
      </w:pPr>
      <w:r>
        <w:rPr>
          <w:rFonts w:cs="Arial"/>
        </w:rPr>
        <w:t xml:space="preserve">The submission made by the </w:t>
      </w:r>
      <w:r>
        <w:t>Australian Institute of Family Studies (AIFS) and Australia’s National Research Organisation for Women’s Safety Ltd (ANROWS) pointed out that:</w:t>
      </w:r>
    </w:p>
    <w:p w14:paraId="7268E0B6" w14:textId="77777777" w:rsidR="000D1D92" w:rsidRDefault="000D1D92" w:rsidP="000D1D92">
      <w:pPr>
        <w:autoSpaceDE w:val="0"/>
        <w:autoSpaceDN w:val="0"/>
        <w:adjustRightInd w:val="0"/>
        <w:spacing w:before="0" w:after="0"/>
        <w:jc w:val="both"/>
        <w:rPr>
          <w:rFonts w:cs="Arial"/>
        </w:rPr>
      </w:pPr>
    </w:p>
    <w:p w14:paraId="3C819815" w14:textId="77777777" w:rsidR="000D1D92" w:rsidRDefault="000D1D92" w:rsidP="000D1D92">
      <w:pPr>
        <w:autoSpaceDE w:val="0"/>
        <w:autoSpaceDN w:val="0"/>
        <w:adjustRightInd w:val="0"/>
        <w:spacing w:before="0" w:after="0"/>
        <w:ind w:left="720"/>
        <w:jc w:val="both"/>
        <w:rPr>
          <w:rFonts w:cs="Arial"/>
        </w:rPr>
      </w:pPr>
      <w:r w:rsidRPr="007453CC">
        <w:rPr>
          <w:rFonts w:cs="Arial"/>
          <w:sz w:val="22"/>
          <w:szCs w:val="22"/>
        </w:rPr>
        <w:t xml:space="preserve">There are considerable divergences in outcomes and impacts in different populations of children…and resilience in children is not well understood. The literature suggests that there are several factors that may mitigate children’s exposure to violence, including the extent of children’s peer and social support; their relationship with </w:t>
      </w:r>
      <w:r>
        <w:rPr>
          <w:rFonts w:cs="Arial"/>
          <w:sz w:val="22"/>
          <w:szCs w:val="22"/>
        </w:rPr>
        <w:t xml:space="preserve">their </w:t>
      </w:r>
      <w:r w:rsidRPr="007453CC">
        <w:rPr>
          <w:rFonts w:cs="Arial"/>
          <w:sz w:val="22"/>
          <w:szCs w:val="22"/>
        </w:rPr>
        <w:lastRenderedPageBreak/>
        <w:t>mother or other primary caregiver; whether the violence was ongoing or short-term; age of child when the DFV occurred; and whether children received an adequate response/treatment following the DFV</w:t>
      </w:r>
      <w:r>
        <w:rPr>
          <w:rFonts w:cs="Arial"/>
        </w:rPr>
        <w:t>.</w:t>
      </w:r>
      <w:r>
        <w:rPr>
          <w:rStyle w:val="EndnoteReference"/>
          <w:rFonts w:cs="Arial"/>
        </w:rPr>
        <w:endnoteReference w:id="568"/>
      </w:r>
    </w:p>
    <w:p w14:paraId="52B4421B" w14:textId="77777777" w:rsidR="000D1D92" w:rsidRDefault="000D1D92" w:rsidP="000D1D92">
      <w:pPr>
        <w:autoSpaceDE w:val="0"/>
        <w:autoSpaceDN w:val="0"/>
        <w:adjustRightInd w:val="0"/>
        <w:spacing w:before="0" w:after="0"/>
        <w:ind w:left="720"/>
        <w:jc w:val="both"/>
        <w:rPr>
          <w:rFonts w:cs="Arial"/>
        </w:rPr>
      </w:pPr>
    </w:p>
    <w:p w14:paraId="6858F5E6" w14:textId="77777777" w:rsidR="000D1D92" w:rsidRDefault="000D1D92" w:rsidP="000D1D92">
      <w:pPr>
        <w:autoSpaceDE w:val="0"/>
        <w:autoSpaceDN w:val="0"/>
        <w:adjustRightInd w:val="0"/>
        <w:spacing w:before="0" w:after="0"/>
        <w:jc w:val="both"/>
        <w:rPr>
          <w:rFonts w:cs="Arial"/>
        </w:rPr>
      </w:pPr>
      <w:r>
        <w:rPr>
          <w:rFonts w:cs="Arial"/>
        </w:rPr>
        <w:t>Fehlberg, Kaspiew, Millbank, Kelly and Behrens supported this</w:t>
      </w:r>
      <w:r w:rsidRPr="00BF4311">
        <w:rPr>
          <w:rFonts w:cs="Arial"/>
          <w:sz w:val="22"/>
          <w:szCs w:val="22"/>
        </w:rPr>
        <w:t>:</w:t>
      </w:r>
    </w:p>
    <w:p w14:paraId="37DE6E91" w14:textId="77777777" w:rsidR="000D1D92" w:rsidRDefault="000D1D92" w:rsidP="000D1D92">
      <w:pPr>
        <w:autoSpaceDE w:val="0"/>
        <w:autoSpaceDN w:val="0"/>
        <w:adjustRightInd w:val="0"/>
        <w:spacing w:before="0" w:after="0"/>
        <w:ind w:left="720"/>
        <w:jc w:val="both"/>
        <w:rPr>
          <w:rFonts w:cs="Arial"/>
        </w:rPr>
      </w:pPr>
    </w:p>
    <w:p w14:paraId="6B448DBC" w14:textId="77777777" w:rsidR="000D1D92" w:rsidRPr="00162A9C" w:rsidRDefault="000D1D92" w:rsidP="000D1D92">
      <w:pPr>
        <w:autoSpaceDE w:val="0"/>
        <w:autoSpaceDN w:val="0"/>
        <w:adjustRightInd w:val="0"/>
        <w:spacing w:before="0" w:after="0"/>
        <w:ind w:left="720"/>
        <w:jc w:val="both"/>
        <w:rPr>
          <w:sz w:val="22"/>
          <w:szCs w:val="22"/>
          <w:lang w:val="en-US"/>
        </w:rPr>
      </w:pPr>
      <w:r>
        <w:rPr>
          <w:sz w:val="22"/>
          <w:szCs w:val="22"/>
          <w:lang w:val="en-US"/>
        </w:rPr>
        <w:t>N</w:t>
      </w:r>
      <w:r w:rsidRPr="00162A9C">
        <w:rPr>
          <w:sz w:val="22"/>
          <w:szCs w:val="22"/>
          <w:lang w:val="en-US"/>
        </w:rPr>
        <w:t>egative impacts are not uniform or inevitable. Some research suggests a degree of resilience, or ability to recover, among some groups of children; however, the factors that support resilience and recovery are not well understood. Factors such as age, temperament and wider family—including the quality of relationships between the child and non-violent family members—play a role.</w:t>
      </w:r>
      <w:r>
        <w:rPr>
          <w:rStyle w:val="EndnoteReference"/>
          <w:szCs w:val="22"/>
          <w:lang w:val="en-US"/>
        </w:rPr>
        <w:endnoteReference w:id="569"/>
      </w:r>
    </w:p>
    <w:p w14:paraId="3FFE5610" w14:textId="77777777" w:rsidR="000D1D92" w:rsidRDefault="000D1D92" w:rsidP="000D1D92">
      <w:pPr>
        <w:autoSpaceDE w:val="0"/>
        <w:autoSpaceDN w:val="0"/>
        <w:adjustRightInd w:val="0"/>
        <w:spacing w:before="0" w:after="0"/>
        <w:ind w:left="720"/>
        <w:jc w:val="both"/>
        <w:rPr>
          <w:rFonts w:cs="Arial"/>
        </w:rPr>
      </w:pPr>
    </w:p>
    <w:p w14:paraId="1B388BE4" w14:textId="77777777" w:rsidR="000D1D92" w:rsidRDefault="000D1D92" w:rsidP="000D1D92">
      <w:pPr>
        <w:autoSpaceDE w:val="0"/>
        <w:autoSpaceDN w:val="0"/>
        <w:adjustRightInd w:val="0"/>
        <w:spacing w:before="0" w:after="0"/>
        <w:jc w:val="both"/>
        <w:rPr>
          <w:rFonts w:cs="Arial"/>
        </w:rPr>
      </w:pPr>
      <w:r>
        <w:t xml:space="preserve">The submission by the </w:t>
      </w:r>
      <w:r w:rsidRPr="0082462D">
        <w:t xml:space="preserve">Royal Australian and New Zealand College of Psychiatrists </w:t>
      </w:r>
      <w:r>
        <w:t>recommended to me that:</w:t>
      </w:r>
    </w:p>
    <w:p w14:paraId="635B68C4" w14:textId="77777777" w:rsidR="000D1D92" w:rsidRDefault="000D1D92" w:rsidP="000D1D92">
      <w:pPr>
        <w:autoSpaceDE w:val="0"/>
        <w:autoSpaceDN w:val="0"/>
        <w:adjustRightInd w:val="0"/>
        <w:spacing w:before="0" w:after="0"/>
        <w:jc w:val="both"/>
        <w:rPr>
          <w:rFonts w:cs="Arial"/>
        </w:rPr>
      </w:pPr>
    </w:p>
    <w:p w14:paraId="44CF1739" w14:textId="77777777" w:rsidR="000D1D92" w:rsidRPr="003A70C5" w:rsidRDefault="000D1D92" w:rsidP="000D1D92">
      <w:pPr>
        <w:autoSpaceDE w:val="0"/>
        <w:autoSpaceDN w:val="0"/>
        <w:adjustRightInd w:val="0"/>
        <w:spacing w:before="0" w:after="0"/>
        <w:ind w:left="720"/>
        <w:jc w:val="both"/>
        <w:rPr>
          <w:rFonts w:cs="Arial"/>
          <w:sz w:val="22"/>
          <w:szCs w:val="22"/>
        </w:rPr>
      </w:pPr>
      <w:r w:rsidRPr="003A70C5">
        <w:rPr>
          <w:sz w:val="22"/>
          <w:szCs w:val="22"/>
          <w:lang w:val="en-US"/>
        </w:rPr>
        <w:t>Resilience should be investigated in those children exposed to family violence as a potential source of evidence to inform health promotion and child protection initiatives.</w:t>
      </w:r>
      <w:r>
        <w:rPr>
          <w:rStyle w:val="EndnoteReference"/>
          <w:szCs w:val="22"/>
          <w:lang w:val="en-US"/>
        </w:rPr>
        <w:endnoteReference w:id="570"/>
      </w:r>
    </w:p>
    <w:p w14:paraId="57BAAE63" w14:textId="77777777" w:rsidR="000D1D92" w:rsidRDefault="000D1D92" w:rsidP="000D1D92">
      <w:pPr>
        <w:autoSpaceDE w:val="0"/>
        <w:autoSpaceDN w:val="0"/>
        <w:adjustRightInd w:val="0"/>
        <w:spacing w:before="0" w:after="0"/>
        <w:jc w:val="both"/>
        <w:rPr>
          <w:rFonts w:cs="Arial"/>
        </w:rPr>
      </w:pPr>
    </w:p>
    <w:p w14:paraId="2FC0ED26" w14:textId="77777777" w:rsidR="000D1D92" w:rsidRDefault="000D1D92" w:rsidP="000D1D92">
      <w:pPr>
        <w:autoSpaceDE w:val="0"/>
        <w:autoSpaceDN w:val="0"/>
        <w:adjustRightInd w:val="0"/>
        <w:spacing w:before="0" w:after="0"/>
        <w:jc w:val="both"/>
        <w:rPr>
          <w:rFonts w:cs="Arial"/>
        </w:rPr>
      </w:pPr>
      <w:r>
        <w:rPr>
          <w:rFonts w:cs="Arial"/>
        </w:rPr>
        <w:t xml:space="preserve">The joint submission by the Australian Institute of Family Studies (AIFS) and Australia’s National Research Organisation for </w:t>
      </w:r>
      <w:r>
        <w:t xml:space="preserve">Women’s Safety Ltd (ANROWS) </w:t>
      </w:r>
      <w:r>
        <w:rPr>
          <w:rFonts w:cs="Arial"/>
        </w:rPr>
        <w:t>reinforced this</w:t>
      </w:r>
      <w:r>
        <w:t>:</w:t>
      </w:r>
    </w:p>
    <w:p w14:paraId="175694D6" w14:textId="77777777" w:rsidR="000D1D92" w:rsidRDefault="000D1D92" w:rsidP="000D1D92">
      <w:pPr>
        <w:autoSpaceDE w:val="0"/>
        <w:autoSpaceDN w:val="0"/>
        <w:adjustRightInd w:val="0"/>
        <w:spacing w:before="0" w:after="0"/>
        <w:jc w:val="both"/>
        <w:rPr>
          <w:rFonts w:cs="Arial"/>
        </w:rPr>
      </w:pPr>
    </w:p>
    <w:p w14:paraId="6F989AE6" w14:textId="77777777" w:rsidR="000D1D92" w:rsidRDefault="000D1D92" w:rsidP="000D1D92">
      <w:pPr>
        <w:pStyle w:val="ListParagraph"/>
        <w:spacing w:before="0" w:after="0"/>
        <w:jc w:val="both"/>
        <w:rPr>
          <w:sz w:val="22"/>
          <w:szCs w:val="22"/>
          <w:lang w:val="en-US"/>
        </w:rPr>
      </w:pPr>
      <w:r w:rsidRPr="00AA45EA">
        <w:rPr>
          <w:sz w:val="22"/>
          <w:szCs w:val="22"/>
          <w:lang w:val="en-US"/>
        </w:rPr>
        <w:t>From a resilience perspective, there is a need for more research that examines the variability in impact and sheds light on the factors and interventions that mitigate negative effects and support recovery.</w:t>
      </w:r>
      <w:r>
        <w:rPr>
          <w:rStyle w:val="EndnoteReference"/>
          <w:szCs w:val="22"/>
          <w:lang w:val="en-US"/>
        </w:rPr>
        <w:endnoteReference w:id="571"/>
      </w:r>
    </w:p>
    <w:p w14:paraId="4C7B5C7F" w14:textId="77777777" w:rsidR="000D1D92" w:rsidRDefault="000D1D92" w:rsidP="000D1D92">
      <w:pPr>
        <w:pStyle w:val="ListParagraph"/>
        <w:spacing w:before="0" w:after="0"/>
        <w:ind w:left="0"/>
        <w:jc w:val="both"/>
        <w:rPr>
          <w:sz w:val="22"/>
          <w:szCs w:val="22"/>
          <w:lang w:val="en-US"/>
        </w:rPr>
      </w:pPr>
    </w:p>
    <w:p w14:paraId="33984031" w14:textId="77777777" w:rsidR="000D1D92" w:rsidRDefault="000D1D92" w:rsidP="000D1D92">
      <w:pPr>
        <w:pStyle w:val="ListParagraph"/>
        <w:spacing w:before="0" w:after="0"/>
        <w:ind w:left="0"/>
        <w:jc w:val="both"/>
        <w:rPr>
          <w:sz w:val="22"/>
          <w:szCs w:val="22"/>
          <w:lang w:val="en-US"/>
        </w:rPr>
      </w:pPr>
      <w:r>
        <w:t xml:space="preserve">The submission by the </w:t>
      </w:r>
      <w:r w:rsidRPr="005B2A9B">
        <w:t>Northern Territory Department of Children and Families</w:t>
      </w:r>
      <w:r>
        <w:t xml:space="preserve"> argued that:</w:t>
      </w:r>
    </w:p>
    <w:p w14:paraId="72E35949" w14:textId="77777777" w:rsidR="000D1D92" w:rsidRPr="005A4983" w:rsidRDefault="000D1D92" w:rsidP="000D1D92">
      <w:pPr>
        <w:pStyle w:val="ListParagraph"/>
        <w:spacing w:before="0" w:after="0"/>
        <w:ind w:left="0"/>
        <w:jc w:val="both"/>
        <w:rPr>
          <w:sz w:val="22"/>
          <w:szCs w:val="22"/>
          <w:lang w:val="en-US"/>
        </w:rPr>
      </w:pPr>
    </w:p>
    <w:p w14:paraId="16E53C49" w14:textId="77777777" w:rsidR="000D1D92" w:rsidRPr="00D819E1" w:rsidRDefault="000D1D92" w:rsidP="000D1D92">
      <w:pPr>
        <w:pStyle w:val="ListParagraph"/>
        <w:spacing w:before="0" w:after="0"/>
        <w:jc w:val="both"/>
        <w:rPr>
          <w:sz w:val="22"/>
          <w:szCs w:val="22"/>
          <w:lang w:val="en-US"/>
        </w:rPr>
      </w:pPr>
      <w:r w:rsidRPr="005A4983">
        <w:rPr>
          <w:sz w:val="22"/>
          <w:szCs w:val="22"/>
          <w:lang w:val="en-US"/>
        </w:rPr>
        <w:t>While Department of Children and Families’ practitioners see many negative impacts of family and domestic violence on children, it is possible that interventions may ultimately be more effective if they can be informed by a stronger evidence base about factors related to children’s resilience.</w:t>
      </w:r>
      <w:r>
        <w:rPr>
          <w:rStyle w:val="EndnoteReference"/>
          <w:lang w:val="en-US"/>
        </w:rPr>
        <w:endnoteReference w:id="572"/>
      </w:r>
    </w:p>
    <w:p w14:paraId="73466C3F" w14:textId="77777777" w:rsidR="000D1D92" w:rsidRDefault="000D1D92" w:rsidP="000D1D92">
      <w:pPr>
        <w:autoSpaceDE w:val="0"/>
        <w:autoSpaceDN w:val="0"/>
        <w:adjustRightInd w:val="0"/>
        <w:spacing w:before="0" w:after="0"/>
        <w:jc w:val="both"/>
        <w:rPr>
          <w:rFonts w:cs="Arial"/>
        </w:rPr>
      </w:pPr>
    </w:p>
    <w:p w14:paraId="6FB3A1C6" w14:textId="77777777" w:rsidR="000D1D92" w:rsidRDefault="000D1D92" w:rsidP="000D1D92">
      <w:pPr>
        <w:autoSpaceDE w:val="0"/>
        <w:autoSpaceDN w:val="0"/>
        <w:adjustRightInd w:val="0"/>
        <w:spacing w:before="0" w:after="0"/>
        <w:jc w:val="both"/>
        <w:rPr>
          <w:rFonts w:cs="Arial"/>
        </w:rPr>
      </w:pPr>
      <w:r>
        <w:rPr>
          <w:rFonts w:cs="Arial"/>
        </w:rPr>
        <w:t>Academic Nicky Stanley asserts that:</w:t>
      </w:r>
    </w:p>
    <w:p w14:paraId="5952108E" w14:textId="77777777" w:rsidR="000D1D92" w:rsidRDefault="000D1D92" w:rsidP="000D1D92">
      <w:pPr>
        <w:autoSpaceDE w:val="0"/>
        <w:autoSpaceDN w:val="0"/>
        <w:adjustRightInd w:val="0"/>
        <w:spacing w:before="0" w:after="0"/>
        <w:jc w:val="both"/>
        <w:rPr>
          <w:rFonts w:cs="Arial"/>
        </w:rPr>
      </w:pPr>
    </w:p>
    <w:p w14:paraId="3C51F985" w14:textId="77777777" w:rsidR="000D1D92" w:rsidRDefault="000D1D92" w:rsidP="000D1D92">
      <w:pPr>
        <w:autoSpaceDE w:val="0"/>
        <w:autoSpaceDN w:val="0"/>
        <w:adjustRightInd w:val="0"/>
        <w:spacing w:before="0" w:after="0"/>
        <w:ind w:left="720"/>
        <w:jc w:val="both"/>
        <w:rPr>
          <w:rFonts w:cs="Arial"/>
        </w:rPr>
      </w:pPr>
      <w:r w:rsidRPr="00A17AB8">
        <w:rPr>
          <w:rFonts w:cs="Arial"/>
          <w:sz w:val="22"/>
          <w:szCs w:val="22"/>
        </w:rPr>
        <w:t>Exposure to domestic violence does not invariably result in substantial harm to children’s health or development. Understanding which factors make for resilience and distinguish those children who will not experience adverse effects is key to targeting resources effectively…Perhaps because resilient children are less likely to come to the attention of services, research has tended to focus on identifying and exploring risk factors for children’s exposure to domestic violence. Less is therefore known about what makes for resilience that is specific to children’s experiences of domestic violence</w:t>
      </w:r>
      <w:r w:rsidRPr="00EF7FF6">
        <w:rPr>
          <w:rFonts w:cs="Arial"/>
        </w:rPr>
        <w:t>.</w:t>
      </w:r>
      <w:r>
        <w:rPr>
          <w:rStyle w:val="EndnoteReference"/>
          <w:rFonts w:cs="Arial"/>
        </w:rPr>
        <w:endnoteReference w:id="573"/>
      </w:r>
    </w:p>
    <w:p w14:paraId="2FDE264E" w14:textId="77777777" w:rsidR="000D1D92" w:rsidRDefault="000D1D92" w:rsidP="000D1D92">
      <w:pPr>
        <w:autoSpaceDE w:val="0"/>
        <w:autoSpaceDN w:val="0"/>
        <w:adjustRightInd w:val="0"/>
        <w:spacing w:before="0" w:after="0"/>
        <w:jc w:val="both"/>
        <w:rPr>
          <w:rFonts w:cs="Arial"/>
        </w:rPr>
      </w:pPr>
    </w:p>
    <w:p w14:paraId="787040A5" w14:textId="77777777" w:rsidR="000D1D92" w:rsidRDefault="000D1D92" w:rsidP="000D1D92">
      <w:pPr>
        <w:autoSpaceDE w:val="0"/>
        <w:autoSpaceDN w:val="0"/>
        <w:adjustRightInd w:val="0"/>
        <w:spacing w:before="0" w:after="0"/>
        <w:jc w:val="both"/>
        <w:rPr>
          <w:rFonts w:cs="Arial"/>
        </w:rPr>
      </w:pPr>
      <w:r>
        <w:rPr>
          <w:rFonts w:cs="Arial"/>
        </w:rPr>
        <w:t xml:space="preserve">In this context, I have sought out Australian research, which may be able to contribute towards the differentiating factors inherent in resilience. </w:t>
      </w:r>
    </w:p>
    <w:p w14:paraId="056CF0A2" w14:textId="77777777" w:rsidR="000D1D92" w:rsidRDefault="000D1D92" w:rsidP="000D1D92">
      <w:pPr>
        <w:autoSpaceDE w:val="0"/>
        <w:autoSpaceDN w:val="0"/>
        <w:adjustRightInd w:val="0"/>
        <w:spacing w:before="0" w:after="0"/>
        <w:jc w:val="both"/>
        <w:rPr>
          <w:rFonts w:cs="Arial"/>
        </w:rPr>
      </w:pPr>
    </w:p>
    <w:p w14:paraId="3F581F8A" w14:textId="77777777" w:rsidR="000D1D92" w:rsidRDefault="000D1D92" w:rsidP="000D1D92">
      <w:pPr>
        <w:autoSpaceDE w:val="0"/>
        <w:autoSpaceDN w:val="0"/>
        <w:adjustRightInd w:val="0"/>
        <w:spacing w:before="0" w:after="0"/>
        <w:jc w:val="both"/>
        <w:rPr>
          <w:rFonts w:cs="Arial"/>
        </w:rPr>
      </w:pPr>
      <w:r>
        <w:rPr>
          <w:rFonts w:cs="Arial"/>
        </w:rPr>
        <w:t xml:space="preserve">Two ongoing longitudinal studies that have the potential to answer some of our questions include the data linkage study currently being conducted in the Northern Territory and the Australian Longitudinal Study on Women’s Health. </w:t>
      </w:r>
    </w:p>
    <w:p w14:paraId="32BEBCD0" w14:textId="77777777" w:rsidR="000D1D92" w:rsidRDefault="000D1D92" w:rsidP="000D1D92">
      <w:pPr>
        <w:autoSpaceDE w:val="0"/>
        <w:autoSpaceDN w:val="0"/>
        <w:adjustRightInd w:val="0"/>
        <w:spacing w:before="0" w:after="0"/>
        <w:jc w:val="both"/>
        <w:rPr>
          <w:rFonts w:cs="Arial"/>
        </w:rPr>
      </w:pPr>
    </w:p>
    <w:p w14:paraId="5A5E3C92" w14:textId="77777777" w:rsidR="000D1D92" w:rsidRDefault="000D1D92" w:rsidP="000D1D92">
      <w:pPr>
        <w:autoSpaceDE w:val="0"/>
        <w:autoSpaceDN w:val="0"/>
        <w:adjustRightInd w:val="0"/>
        <w:spacing w:before="0" w:after="0"/>
        <w:jc w:val="both"/>
        <w:rPr>
          <w:rFonts w:cs="Arial"/>
        </w:rPr>
      </w:pPr>
      <w:r>
        <w:rPr>
          <w:rFonts w:cs="Arial"/>
        </w:rPr>
        <w:lastRenderedPageBreak/>
        <w:t>Two of the principal researchers on these studies have provided descriptions of their work for my report. These are provided on the following pages. Some of the findings of these studies will be publically available in 2016.</w:t>
      </w:r>
    </w:p>
    <w:p w14:paraId="6C46920A" w14:textId="77777777" w:rsidR="000D1D92" w:rsidRDefault="000D1D92" w:rsidP="000D1D92">
      <w:pPr>
        <w:autoSpaceDE w:val="0"/>
        <w:autoSpaceDN w:val="0"/>
        <w:adjustRightInd w:val="0"/>
        <w:spacing w:before="0" w:after="0"/>
        <w:jc w:val="both"/>
        <w:rPr>
          <w:rFonts w:cs="Arial"/>
        </w:rPr>
      </w:pPr>
    </w:p>
    <w:p w14:paraId="6A5D8423" w14:textId="7A61CBB6" w:rsidR="000D1D92" w:rsidRDefault="000D1D92" w:rsidP="000D1D92">
      <w:pPr>
        <w:autoSpaceDE w:val="0"/>
        <w:autoSpaceDN w:val="0"/>
        <w:adjustRightInd w:val="0"/>
        <w:spacing w:before="0" w:after="0"/>
        <w:jc w:val="both"/>
        <w:rPr>
          <w:b/>
          <w:color w:val="FF0000"/>
        </w:rPr>
      </w:pPr>
      <w:r>
        <w:rPr>
          <w:b/>
          <w:color w:val="FF0000"/>
        </w:rPr>
        <w:br w:type="column"/>
      </w:r>
    </w:p>
    <w:p w14:paraId="20A33252" w14:textId="77777777" w:rsidR="000D1D92" w:rsidRPr="004F0907" w:rsidRDefault="000D1D92" w:rsidP="000D1D92">
      <w:pPr>
        <w:pBdr>
          <w:top w:val="single" w:sz="4" w:space="1" w:color="auto"/>
          <w:left w:val="single" w:sz="4" w:space="4" w:color="auto"/>
          <w:bottom w:val="single" w:sz="4" w:space="1" w:color="auto"/>
          <w:right w:val="single" w:sz="4" w:space="4" w:color="auto"/>
        </w:pBdr>
        <w:jc w:val="both"/>
        <w:rPr>
          <w:b/>
          <w:sz w:val="22"/>
          <w:szCs w:val="22"/>
        </w:rPr>
      </w:pPr>
      <w:r>
        <w:rPr>
          <w:rFonts w:cs="Arial"/>
          <w:b/>
          <w:sz w:val="22"/>
          <w:szCs w:val="22"/>
        </w:rPr>
        <w:t>I</w:t>
      </w:r>
      <w:r w:rsidRPr="004F0907">
        <w:rPr>
          <w:b/>
          <w:sz w:val="22"/>
          <w:szCs w:val="22"/>
        </w:rPr>
        <w:t>mproving the developmental outcomes of Northern Territory children</w:t>
      </w:r>
    </w:p>
    <w:p w14:paraId="2FCE3414" w14:textId="77777777" w:rsidR="000D1D92" w:rsidRPr="004F0907" w:rsidRDefault="000D1D92" w:rsidP="000D1D92">
      <w:pPr>
        <w:pBdr>
          <w:top w:val="single" w:sz="4" w:space="1" w:color="auto"/>
          <w:left w:val="single" w:sz="4" w:space="4" w:color="auto"/>
          <w:bottom w:val="single" w:sz="4" w:space="1" w:color="auto"/>
          <w:right w:val="single" w:sz="4" w:space="4" w:color="auto"/>
        </w:pBdr>
        <w:jc w:val="both"/>
        <w:rPr>
          <w:sz w:val="22"/>
          <w:szCs w:val="22"/>
        </w:rPr>
      </w:pPr>
      <w:r w:rsidRPr="004F0907">
        <w:rPr>
          <w:sz w:val="22"/>
          <w:szCs w:val="22"/>
        </w:rPr>
        <w:t xml:space="preserve">This research partnership aims to advance scientific, policy and community understanding of the main drivers of developmental disadvantage in the Northern Territory (NT). </w:t>
      </w:r>
    </w:p>
    <w:p w14:paraId="14B0B743" w14:textId="77777777" w:rsidR="000D1D92" w:rsidRPr="004F0907" w:rsidRDefault="000D1D92" w:rsidP="000D1D92">
      <w:pPr>
        <w:pBdr>
          <w:top w:val="single" w:sz="4" w:space="1" w:color="auto"/>
          <w:left w:val="single" w:sz="4" w:space="4" w:color="auto"/>
          <w:bottom w:val="single" w:sz="4" w:space="1" w:color="auto"/>
          <w:right w:val="single" w:sz="4" w:space="4" w:color="auto"/>
        </w:pBdr>
        <w:jc w:val="both"/>
        <w:rPr>
          <w:sz w:val="22"/>
          <w:szCs w:val="22"/>
        </w:rPr>
      </w:pPr>
      <w:r w:rsidRPr="004F0907">
        <w:rPr>
          <w:sz w:val="22"/>
          <w:szCs w:val="22"/>
        </w:rPr>
        <w:t xml:space="preserve">It is combining data usually retained separately by health, education, child protection, police and justice agencies. This will enable more integrated service planning and evaluation of the impact of initiatives aimed at reducing gaps between Indigenous and other children’s health, education and other life outcomes. </w:t>
      </w:r>
    </w:p>
    <w:p w14:paraId="5A735091" w14:textId="77777777" w:rsidR="000D1D92" w:rsidRPr="004F0907" w:rsidRDefault="000D1D92" w:rsidP="000D1D92">
      <w:pPr>
        <w:pBdr>
          <w:top w:val="single" w:sz="4" w:space="1" w:color="auto"/>
          <w:left w:val="single" w:sz="4" w:space="4" w:color="auto"/>
          <w:bottom w:val="single" w:sz="4" w:space="1" w:color="auto"/>
          <w:right w:val="single" w:sz="4" w:space="4" w:color="auto"/>
        </w:pBdr>
        <w:jc w:val="both"/>
        <w:rPr>
          <w:sz w:val="22"/>
          <w:szCs w:val="22"/>
        </w:rPr>
      </w:pPr>
      <w:r w:rsidRPr="004F0907">
        <w:rPr>
          <w:sz w:val="22"/>
          <w:szCs w:val="22"/>
        </w:rPr>
        <w:t>Record-linkage will combine data on over 60,000 NT children. These data will also be linked with community-level data enabling longitudinal analyses not previously possible to investigate how early life health status and local socio-demographic factors are jointly related to four developmental outcomes of key policy concern:</w:t>
      </w:r>
    </w:p>
    <w:p w14:paraId="14E6B29B" w14:textId="77777777" w:rsidR="000D1D92" w:rsidRPr="004F0907" w:rsidRDefault="000D1D92" w:rsidP="000D1D92">
      <w:pPr>
        <w:numPr>
          <w:ilvl w:val="0"/>
          <w:numId w:val="36"/>
        </w:numPr>
        <w:pBdr>
          <w:top w:val="single" w:sz="4" w:space="1" w:color="auto"/>
          <w:left w:val="single" w:sz="4" w:space="4" w:color="auto"/>
          <w:bottom w:val="single" w:sz="4" w:space="1" w:color="auto"/>
          <w:right w:val="single" w:sz="4" w:space="4" w:color="auto"/>
        </w:pBdr>
        <w:spacing w:before="0" w:after="200" w:line="276" w:lineRule="auto"/>
        <w:ind w:left="426" w:hanging="426"/>
        <w:contextualSpacing/>
        <w:jc w:val="both"/>
        <w:rPr>
          <w:sz w:val="22"/>
          <w:szCs w:val="22"/>
        </w:rPr>
      </w:pPr>
      <w:r w:rsidRPr="004F0907">
        <w:rPr>
          <w:sz w:val="22"/>
          <w:szCs w:val="22"/>
        </w:rPr>
        <w:t>Early childhood development and readiness for school learning (AEDC).</w:t>
      </w:r>
    </w:p>
    <w:p w14:paraId="715E954F" w14:textId="77777777" w:rsidR="000D1D92" w:rsidRPr="004F0907" w:rsidRDefault="000D1D92" w:rsidP="000D1D92">
      <w:pPr>
        <w:numPr>
          <w:ilvl w:val="0"/>
          <w:numId w:val="36"/>
        </w:numPr>
        <w:pBdr>
          <w:top w:val="single" w:sz="4" w:space="1" w:color="auto"/>
          <w:left w:val="single" w:sz="4" w:space="4" w:color="auto"/>
          <w:bottom w:val="single" w:sz="4" w:space="1" w:color="auto"/>
          <w:right w:val="single" w:sz="4" w:space="4" w:color="auto"/>
        </w:pBdr>
        <w:spacing w:before="0" w:after="200" w:line="276" w:lineRule="auto"/>
        <w:ind w:left="426" w:hanging="426"/>
        <w:contextualSpacing/>
        <w:jc w:val="both"/>
        <w:rPr>
          <w:sz w:val="22"/>
          <w:szCs w:val="22"/>
        </w:rPr>
      </w:pPr>
      <w:r w:rsidRPr="004F0907">
        <w:rPr>
          <w:sz w:val="22"/>
          <w:szCs w:val="22"/>
        </w:rPr>
        <w:t>School attendance, literacy and numeracy at ages 8, 10, 12 &amp; 14 years (NAPLAN)</w:t>
      </w:r>
    </w:p>
    <w:p w14:paraId="5492EFF5" w14:textId="77777777" w:rsidR="000D1D92" w:rsidRPr="004F0907" w:rsidRDefault="000D1D92" w:rsidP="000D1D92">
      <w:pPr>
        <w:numPr>
          <w:ilvl w:val="0"/>
          <w:numId w:val="36"/>
        </w:numPr>
        <w:pBdr>
          <w:top w:val="single" w:sz="4" w:space="1" w:color="auto"/>
          <w:left w:val="single" w:sz="4" w:space="4" w:color="auto"/>
          <w:bottom w:val="single" w:sz="4" w:space="1" w:color="auto"/>
          <w:right w:val="single" w:sz="4" w:space="4" w:color="auto"/>
        </w:pBdr>
        <w:spacing w:before="0" w:after="200" w:line="276" w:lineRule="auto"/>
        <w:ind w:left="426" w:hanging="426"/>
        <w:contextualSpacing/>
        <w:jc w:val="both"/>
        <w:rPr>
          <w:sz w:val="22"/>
          <w:szCs w:val="22"/>
        </w:rPr>
      </w:pPr>
      <w:r w:rsidRPr="004F0907">
        <w:rPr>
          <w:sz w:val="22"/>
          <w:szCs w:val="22"/>
        </w:rPr>
        <w:t>Children’s involvement with the child protection system</w:t>
      </w:r>
    </w:p>
    <w:p w14:paraId="240C7860" w14:textId="77777777" w:rsidR="000D1D92" w:rsidRPr="004F0907" w:rsidRDefault="000D1D92" w:rsidP="000D1D92">
      <w:pPr>
        <w:numPr>
          <w:ilvl w:val="0"/>
          <w:numId w:val="36"/>
        </w:numPr>
        <w:pBdr>
          <w:top w:val="single" w:sz="4" w:space="1" w:color="auto"/>
          <w:left w:val="single" w:sz="4" w:space="4" w:color="auto"/>
          <w:bottom w:val="single" w:sz="4" w:space="1" w:color="auto"/>
          <w:right w:val="single" w:sz="4" w:space="4" w:color="auto"/>
        </w:pBdr>
        <w:spacing w:before="0" w:line="276" w:lineRule="auto"/>
        <w:ind w:left="426" w:hanging="426"/>
        <w:contextualSpacing/>
        <w:jc w:val="both"/>
        <w:rPr>
          <w:sz w:val="22"/>
          <w:szCs w:val="22"/>
        </w:rPr>
      </w:pPr>
      <w:r w:rsidRPr="004F0907">
        <w:rPr>
          <w:sz w:val="22"/>
          <w:szCs w:val="22"/>
        </w:rPr>
        <w:t>Youth involvement with the juvenile justice system.</w:t>
      </w:r>
    </w:p>
    <w:p w14:paraId="0D72C3B5" w14:textId="77777777" w:rsidR="000D1D92" w:rsidRPr="004F0907" w:rsidRDefault="000D1D92" w:rsidP="000D1D92">
      <w:pPr>
        <w:pBdr>
          <w:top w:val="single" w:sz="4" w:space="1" w:color="auto"/>
          <w:left w:val="single" w:sz="4" w:space="4" w:color="auto"/>
          <w:bottom w:val="single" w:sz="4" w:space="1" w:color="auto"/>
          <w:right w:val="single" w:sz="4" w:space="4" w:color="auto"/>
        </w:pBdr>
        <w:spacing w:before="0" w:line="276" w:lineRule="auto"/>
        <w:contextualSpacing/>
        <w:jc w:val="both"/>
        <w:rPr>
          <w:sz w:val="22"/>
          <w:szCs w:val="22"/>
        </w:rPr>
      </w:pPr>
    </w:p>
    <w:p w14:paraId="06CABF83" w14:textId="77777777" w:rsidR="000D1D92" w:rsidRPr="004F0907" w:rsidRDefault="000D1D92" w:rsidP="000D1D92">
      <w:pPr>
        <w:pBdr>
          <w:top w:val="single" w:sz="4" w:space="1" w:color="auto"/>
          <w:left w:val="single" w:sz="4" w:space="4" w:color="auto"/>
          <w:bottom w:val="single" w:sz="4" w:space="1" w:color="auto"/>
          <w:right w:val="single" w:sz="4" w:space="4" w:color="auto"/>
        </w:pBdr>
        <w:spacing w:before="120"/>
        <w:jc w:val="both"/>
        <w:rPr>
          <w:sz w:val="22"/>
          <w:szCs w:val="22"/>
        </w:rPr>
      </w:pPr>
      <w:r w:rsidRPr="004F0907">
        <w:rPr>
          <w:sz w:val="22"/>
          <w:szCs w:val="22"/>
        </w:rPr>
        <w:t>The police data include information on all individuals involved in investigated incidents: perpetrators, victims and witnesses. This will enable the study of children’s exposure to violence as a risk factor of later adverse outcomes, such as juvenile offending behaviour.</w:t>
      </w:r>
    </w:p>
    <w:p w14:paraId="2B21C661" w14:textId="77777777" w:rsidR="000D1D92" w:rsidRPr="004F0907" w:rsidRDefault="000D1D92" w:rsidP="000D1D92">
      <w:pPr>
        <w:pBdr>
          <w:top w:val="single" w:sz="4" w:space="1" w:color="auto"/>
          <w:left w:val="single" w:sz="4" w:space="4" w:color="auto"/>
          <w:bottom w:val="single" w:sz="4" w:space="1" w:color="auto"/>
          <w:right w:val="single" w:sz="4" w:space="4" w:color="auto"/>
        </w:pBdr>
        <w:spacing w:before="120"/>
        <w:jc w:val="both"/>
        <w:rPr>
          <w:sz w:val="22"/>
          <w:szCs w:val="22"/>
        </w:rPr>
      </w:pPr>
      <w:r w:rsidRPr="004F0907">
        <w:rPr>
          <w:sz w:val="22"/>
          <w:szCs w:val="22"/>
        </w:rPr>
        <w:t xml:space="preserve">Economic modelling of the costs of outcomes 1–4 and the cost-benefit of evidence-based preventative interventions are also being undertaken. </w:t>
      </w:r>
    </w:p>
    <w:p w14:paraId="49C43D25" w14:textId="77777777" w:rsidR="000D1D92" w:rsidRPr="004F0907" w:rsidRDefault="000D1D92" w:rsidP="000D1D92">
      <w:pPr>
        <w:pBdr>
          <w:top w:val="single" w:sz="4" w:space="1" w:color="auto"/>
          <w:left w:val="single" w:sz="4" w:space="4" w:color="auto"/>
          <w:bottom w:val="single" w:sz="4" w:space="1" w:color="auto"/>
          <w:right w:val="single" w:sz="4" w:space="4" w:color="auto"/>
        </w:pBdr>
        <w:jc w:val="both"/>
        <w:rPr>
          <w:sz w:val="22"/>
          <w:szCs w:val="22"/>
        </w:rPr>
      </w:pPr>
      <w:r w:rsidRPr="004F0907">
        <w:rPr>
          <w:sz w:val="22"/>
          <w:szCs w:val="22"/>
        </w:rPr>
        <w:t>Findings will be widely disseminated through a) publication of separate research monographs on issues 1-4 above; b) research-to-practice stakeholder workshops and community forums; c) scientific journals publications &amp; conference presentations.</w:t>
      </w:r>
    </w:p>
    <w:p w14:paraId="086AA058" w14:textId="77777777" w:rsidR="000D1D92" w:rsidRDefault="000D1D92" w:rsidP="000D1D92">
      <w:pPr>
        <w:pBdr>
          <w:top w:val="single" w:sz="4" w:space="1" w:color="auto"/>
          <w:left w:val="single" w:sz="4" w:space="4" w:color="auto"/>
          <w:bottom w:val="single" w:sz="4" w:space="1" w:color="auto"/>
          <w:right w:val="single" w:sz="4" w:space="4" w:color="auto"/>
        </w:pBdr>
        <w:jc w:val="both"/>
        <w:rPr>
          <w:noProof/>
          <w:sz w:val="22"/>
          <w:szCs w:val="22"/>
        </w:rPr>
      </w:pPr>
      <w:r w:rsidRPr="004F0907">
        <w:rPr>
          <w:sz w:val="22"/>
          <w:szCs w:val="22"/>
        </w:rPr>
        <w:t>The project partners are Menzies School of Health Research (Centre for Child Development and Education),</w:t>
      </w:r>
      <w:r w:rsidRPr="004F0907">
        <w:rPr>
          <w:b/>
          <w:sz w:val="22"/>
          <w:szCs w:val="22"/>
        </w:rPr>
        <w:t xml:space="preserve"> </w:t>
      </w:r>
      <w:r w:rsidRPr="004F0907">
        <w:rPr>
          <w:sz w:val="22"/>
          <w:szCs w:val="22"/>
        </w:rPr>
        <w:t>Aboriginal Medical Services Alliance of the Northern Territory (AMSANT) and the NT Departments of Education, Health and Children &amp; Families</w:t>
      </w:r>
      <w:r w:rsidRPr="004F0907">
        <w:rPr>
          <w:noProof/>
          <w:sz w:val="22"/>
          <w:szCs w:val="22"/>
        </w:rPr>
        <w:t>.</w:t>
      </w:r>
      <w:r>
        <w:rPr>
          <w:noProof/>
          <w:sz w:val="22"/>
          <w:szCs w:val="22"/>
        </w:rPr>
        <w:t xml:space="preserve"> This project is funded up to 2017.</w:t>
      </w:r>
    </w:p>
    <w:p w14:paraId="7D95F2A8" w14:textId="77777777" w:rsidR="000D1D92" w:rsidRDefault="000D1D92" w:rsidP="000D1D92">
      <w:pPr>
        <w:pBdr>
          <w:top w:val="single" w:sz="4" w:space="1" w:color="auto"/>
          <w:left w:val="single" w:sz="4" w:space="4" w:color="auto"/>
          <w:bottom w:val="single" w:sz="4" w:space="1" w:color="auto"/>
          <w:right w:val="single" w:sz="4" w:space="4" w:color="auto"/>
        </w:pBdr>
        <w:jc w:val="both"/>
        <w:rPr>
          <w:sz w:val="22"/>
          <w:szCs w:val="22"/>
        </w:rPr>
      </w:pPr>
      <w:r w:rsidRPr="00B977D2">
        <w:rPr>
          <w:sz w:val="22"/>
          <w:szCs w:val="22"/>
        </w:rPr>
        <w:t>National Health and Medical Research Council Partnership Project #109149</w:t>
      </w:r>
      <w:r>
        <w:rPr>
          <w:sz w:val="22"/>
          <w:szCs w:val="22"/>
        </w:rPr>
        <w:t>.</w:t>
      </w:r>
      <w:r w:rsidRPr="00B977D2">
        <w:rPr>
          <w:sz w:val="22"/>
          <w:szCs w:val="22"/>
        </w:rPr>
        <w:t>1</w:t>
      </w:r>
    </w:p>
    <w:p w14:paraId="7C8B1B0D" w14:textId="77777777" w:rsidR="000D1D92" w:rsidRPr="00F40FBD" w:rsidRDefault="000D1D92" w:rsidP="000D1D92">
      <w:pPr>
        <w:pBdr>
          <w:top w:val="single" w:sz="4" w:space="1" w:color="auto"/>
          <w:left w:val="single" w:sz="4" w:space="4" w:color="auto"/>
          <w:bottom w:val="single" w:sz="4" w:space="1" w:color="auto"/>
          <w:right w:val="single" w:sz="4" w:space="4" w:color="auto"/>
        </w:pBdr>
        <w:jc w:val="both"/>
        <w:rPr>
          <w:b/>
          <w:sz w:val="22"/>
          <w:szCs w:val="22"/>
        </w:rPr>
      </w:pPr>
      <w:r w:rsidRPr="00280EC7">
        <w:rPr>
          <w:rFonts w:cs="Arial"/>
          <w:b/>
          <w:sz w:val="22"/>
          <w:szCs w:val="22"/>
        </w:rPr>
        <w:t xml:space="preserve">Statement </w:t>
      </w:r>
      <w:r>
        <w:rPr>
          <w:rFonts w:cs="Arial"/>
          <w:b/>
          <w:sz w:val="22"/>
          <w:szCs w:val="22"/>
        </w:rPr>
        <w:t>by</w:t>
      </w:r>
      <w:r w:rsidRPr="00280EC7">
        <w:rPr>
          <w:rFonts w:cs="Arial"/>
          <w:b/>
          <w:sz w:val="22"/>
          <w:szCs w:val="22"/>
        </w:rPr>
        <w:t xml:space="preserve"> Doctor John McKenzie</w:t>
      </w:r>
      <w:r>
        <w:rPr>
          <w:rFonts w:cs="Arial"/>
          <w:b/>
          <w:sz w:val="22"/>
          <w:szCs w:val="22"/>
        </w:rPr>
        <w:t xml:space="preserve"> about longitudinal research by the Menzies School of Health Research on i</w:t>
      </w:r>
      <w:r w:rsidRPr="004F0907">
        <w:rPr>
          <w:b/>
          <w:sz w:val="22"/>
          <w:szCs w:val="22"/>
        </w:rPr>
        <w:t>mproving the developmental outcomes of Northern Territory children: a data linkage study to inform policy and practice in health, family services and education</w:t>
      </w:r>
      <w:r>
        <w:rPr>
          <w:b/>
          <w:sz w:val="22"/>
          <w:szCs w:val="22"/>
        </w:rPr>
        <w:t>.</w:t>
      </w:r>
    </w:p>
    <w:p w14:paraId="7F99C405" w14:textId="77777777" w:rsidR="000D1D92" w:rsidRDefault="000D1D92" w:rsidP="000D1D92">
      <w:pPr>
        <w:autoSpaceDE w:val="0"/>
        <w:autoSpaceDN w:val="0"/>
        <w:adjustRightInd w:val="0"/>
        <w:spacing w:before="0" w:after="0"/>
        <w:jc w:val="both"/>
        <w:rPr>
          <w:b/>
          <w:color w:val="FF0000"/>
        </w:rPr>
      </w:pPr>
    </w:p>
    <w:p w14:paraId="4901EF39" w14:textId="77777777" w:rsidR="000D1D92" w:rsidRDefault="000D1D92" w:rsidP="000D1D92">
      <w:pPr>
        <w:autoSpaceDE w:val="0"/>
        <w:autoSpaceDN w:val="0"/>
        <w:adjustRightInd w:val="0"/>
        <w:spacing w:before="0" w:after="0"/>
        <w:jc w:val="both"/>
        <w:rPr>
          <w:b/>
          <w:color w:val="FF0000"/>
        </w:rPr>
      </w:pPr>
      <w:r>
        <w:rPr>
          <w:b/>
          <w:color w:val="FF0000"/>
        </w:rPr>
        <w:br/>
      </w:r>
    </w:p>
    <w:p w14:paraId="6A433DD6" w14:textId="77777777" w:rsidR="000D1D92" w:rsidRDefault="000D1D92" w:rsidP="000D1D92">
      <w:pPr>
        <w:spacing w:before="0" w:after="0"/>
        <w:rPr>
          <w:b/>
          <w:color w:val="FF0000"/>
        </w:rPr>
      </w:pPr>
      <w:r>
        <w:rPr>
          <w:b/>
          <w:color w:val="FF0000"/>
        </w:rPr>
        <w:br w:type="page"/>
      </w:r>
    </w:p>
    <w:p w14:paraId="412C449D" w14:textId="77777777" w:rsidR="000D1D92" w:rsidRDefault="000D1D92" w:rsidP="000D1D92">
      <w:pPr>
        <w:pBdr>
          <w:top w:val="single" w:sz="4" w:space="1" w:color="auto"/>
          <w:left w:val="single" w:sz="4" w:space="1" w:color="auto"/>
          <w:bottom w:val="single" w:sz="4" w:space="1" w:color="auto"/>
          <w:right w:val="single" w:sz="4" w:space="1" w:color="auto"/>
        </w:pBdr>
        <w:jc w:val="both"/>
        <w:rPr>
          <w:rFonts w:cs="Arial"/>
          <w:sz w:val="22"/>
          <w:szCs w:val="22"/>
        </w:rPr>
      </w:pPr>
      <w:r w:rsidRPr="00574B46">
        <w:rPr>
          <w:rFonts w:cs="Arial"/>
          <w:b/>
          <w:sz w:val="22"/>
          <w:szCs w:val="22"/>
        </w:rPr>
        <w:lastRenderedPageBreak/>
        <w:t>The Australian Longitudinal Study on Women’s Health</w:t>
      </w:r>
      <w:r w:rsidRPr="00E73B5F">
        <w:rPr>
          <w:rFonts w:cs="Arial"/>
          <w:sz w:val="22"/>
          <w:szCs w:val="22"/>
        </w:rPr>
        <w:t xml:space="preserve"> (ALSWH) offers a rich source of data concerned with women’s wellbeing across the life</w:t>
      </w:r>
      <w:r>
        <w:rPr>
          <w:rFonts w:cs="Arial"/>
          <w:sz w:val="22"/>
          <w:szCs w:val="22"/>
        </w:rPr>
        <w:t xml:space="preserve"> </w:t>
      </w:r>
      <w:r w:rsidRPr="00E73B5F">
        <w:rPr>
          <w:rFonts w:cs="Arial"/>
          <w:sz w:val="22"/>
          <w:szCs w:val="22"/>
        </w:rPr>
        <w:t>course. ALSWH was first funded in 1995</w:t>
      </w:r>
      <w:r>
        <w:rPr>
          <w:rFonts w:cs="Arial"/>
          <w:sz w:val="22"/>
          <w:szCs w:val="22"/>
        </w:rPr>
        <w:t>.</w:t>
      </w:r>
      <w:r w:rsidRPr="00E73B5F">
        <w:rPr>
          <w:rFonts w:cs="Arial"/>
          <w:sz w:val="22"/>
          <w:szCs w:val="22"/>
        </w:rPr>
        <w:t xml:space="preserve"> </w:t>
      </w:r>
      <w:r>
        <w:rPr>
          <w:rFonts w:cs="Arial"/>
          <w:sz w:val="22"/>
          <w:szCs w:val="22"/>
        </w:rPr>
        <w:t xml:space="preserve">It </w:t>
      </w:r>
      <w:r w:rsidRPr="00E73B5F">
        <w:rPr>
          <w:rFonts w:cs="Arial"/>
          <w:sz w:val="22"/>
          <w:szCs w:val="22"/>
        </w:rPr>
        <w:t xml:space="preserve">began as a mailed longitudinal survey of over 40,000 women in three cohorts who were aged 18-23 (born 1973-78), 45-50 (born 1946-51) and 70-75 (born 1921-26) when data were first collected in 1996. In 2012-13, over 17,000 women aged 18-23 (born 1989-95) were recruited to form a new cohort. </w:t>
      </w:r>
    </w:p>
    <w:p w14:paraId="5A51025E" w14:textId="77777777" w:rsidR="000D1D92" w:rsidRDefault="000D1D92" w:rsidP="000D1D92">
      <w:pPr>
        <w:pBdr>
          <w:top w:val="single" w:sz="4" w:space="1" w:color="auto"/>
          <w:left w:val="single" w:sz="4" w:space="1" w:color="auto"/>
          <w:bottom w:val="single" w:sz="4" w:space="1" w:color="auto"/>
          <w:right w:val="single" w:sz="4" w:space="1" w:color="auto"/>
        </w:pBdr>
        <w:jc w:val="both"/>
        <w:rPr>
          <w:rFonts w:cs="Arial"/>
          <w:sz w:val="22"/>
          <w:szCs w:val="22"/>
        </w:rPr>
      </w:pPr>
      <w:r w:rsidRPr="00E73B5F">
        <w:rPr>
          <w:rFonts w:cs="Arial"/>
          <w:sz w:val="22"/>
          <w:szCs w:val="22"/>
        </w:rPr>
        <w:t xml:space="preserve">Participants complete regular surveys that collect qualitative and quantitative information on physical and mental health, health behaviour, health service use, and psychosocial aspects of health such as demographics and life experiences. ALSWH survey data are routinely linked to administrative datasets, including the State-Based Cancer Registry (NSW, QLD, WA, SA, ACT and VIC), Perinatal (NSW, QLD, WA, SA and ACT) and Admitted Patients datasets (NSW, QLD, WA, SA and ACT), and Medicare (Medicare Benefits Schedule, Pharmaceutical Benefits Scheme) and Aged Care datasets. </w:t>
      </w:r>
    </w:p>
    <w:p w14:paraId="70D4A6FD" w14:textId="77777777" w:rsidR="000D1D92" w:rsidRDefault="000D1D92" w:rsidP="000D1D92">
      <w:pPr>
        <w:pBdr>
          <w:top w:val="single" w:sz="4" w:space="1" w:color="auto"/>
          <w:left w:val="single" w:sz="4" w:space="1" w:color="auto"/>
          <w:bottom w:val="single" w:sz="4" w:space="1" w:color="auto"/>
          <w:right w:val="single" w:sz="4" w:space="1" w:color="auto"/>
        </w:pBdr>
        <w:jc w:val="both"/>
        <w:rPr>
          <w:rFonts w:cs="Arial"/>
          <w:sz w:val="22"/>
          <w:szCs w:val="22"/>
        </w:rPr>
      </w:pPr>
      <w:r w:rsidRPr="00E73B5F">
        <w:rPr>
          <w:rFonts w:cs="Arial"/>
          <w:sz w:val="22"/>
          <w:szCs w:val="22"/>
        </w:rPr>
        <w:t>Data collection for the third survey of the 1989-95 cohort and the seventh survey of 1973-78 cohort are underway.</w:t>
      </w:r>
      <w:r>
        <w:rPr>
          <w:rFonts w:cs="Arial"/>
          <w:sz w:val="22"/>
          <w:szCs w:val="22"/>
        </w:rPr>
        <w:t xml:space="preserve"> </w:t>
      </w:r>
      <w:r w:rsidRPr="0031006E">
        <w:rPr>
          <w:rFonts w:cs="Arial"/>
          <w:sz w:val="22"/>
          <w:szCs w:val="22"/>
        </w:rPr>
        <w:t xml:space="preserve">In 2015, data concerned with women’s experiences of adversity in childhood, including the witnessing of domestic violence, is being collected. </w:t>
      </w:r>
      <w:r w:rsidRPr="00E73B5F">
        <w:rPr>
          <w:rFonts w:cs="Arial"/>
          <w:sz w:val="22"/>
          <w:szCs w:val="22"/>
        </w:rPr>
        <w:t xml:space="preserve">The eighth survey for the 1946-51 cohort and the fourth survey for the 1989-95 cohort will be pilot tested in 2015 and rolled out in 2016. </w:t>
      </w:r>
    </w:p>
    <w:p w14:paraId="291725C2" w14:textId="77777777" w:rsidR="000D1D92" w:rsidRDefault="000D1D92" w:rsidP="000D1D92">
      <w:pPr>
        <w:pBdr>
          <w:top w:val="single" w:sz="4" w:space="1" w:color="auto"/>
          <w:left w:val="single" w:sz="4" w:space="1" w:color="auto"/>
          <w:bottom w:val="single" w:sz="4" w:space="1" w:color="auto"/>
          <w:right w:val="single" w:sz="4" w:space="1" w:color="auto"/>
        </w:pBdr>
        <w:spacing w:before="0"/>
        <w:jc w:val="both"/>
        <w:rPr>
          <w:rFonts w:cs="Arial"/>
          <w:sz w:val="22"/>
          <w:szCs w:val="22"/>
        </w:rPr>
      </w:pPr>
      <w:r w:rsidRPr="00194490">
        <w:rPr>
          <w:rFonts w:cs="Arial"/>
          <w:sz w:val="22"/>
          <w:szCs w:val="22"/>
        </w:rPr>
        <w:t xml:space="preserve">The </w:t>
      </w:r>
      <w:r w:rsidRPr="00811BA5">
        <w:rPr>
          <w:rFonts w:cs="Arial"/>
          <w:b/>
          <w:sz w:val="22"/>
          <w:szCs w:val="22"/>
        </w:rPr>
        <w:t>Mothers and their Children’s Health (MatCH)</w:t>
      </w:r>
      <w:r w:rsidRPr="00194490">
        <w:rPr>
          <w:rFonts w:cs="Arial"/>
          <w:sz w:val="22"/>
          <w:szCs w:val="22"/>
        </w:rPr>
        <w:t xml:space="preserve"> project is a sub-study, which is currently recruiting the children of the women in the Australian Longitudinal Study on Women’s Health 1973-78 cohort.</w:t>
      </w:r>
      <w:r>
        <w:rPr>
          <w:rFonts w:cs="Arial"/>
          <w:sz w:val="22"/>
          <w:szCs w:val="22"/>
        </w:rPr>
        <w:t xml:space="preserve"> It</w:t>
      </w:r>
      <w:r w:rsidRPr="00194490">
        <w:rPr>
          <w:rFonts w:cs="Arial"/>
          <w:sz w:val="22"/>
          <w:szCs w:val="22"/>
        </w:rPr>
        <w:t xml:space="preserve"> </w:t>
      </w:r>
      <w:r w:rsidRPr="00E73B5F">
        <w:rPr>
          <w:rFonts w:cs="Arial"/>
          <w:sz w:val="22"/>
          <w:szCs w:val="22"/>
        </w:rPr>
        <w:t xml:space="preserve">is collecting data from </w:t>
      </w:r>
      <w:r w:rsidRPr="00E73B5F">
        <w:rPr>
          <w:rFonts w:cs="Arial"/>
          <w:b/>
          <w:sz w:val="22"/>
          <w:szCs w:val="22"/>
        </w:rPr>
        <w:t xml:space="preserve">the male and female children </w:t>
      </w:r>
      <w:r w:rsidRPr="00191ED3">
        <w:rPr>
          <w:rFonts w:cs="Arial"/>
          <w:sz w:val="22"/>
          <w:szCs w:val="22"/>
        </w:rPr>
        <w:t>of the women participating in the survey.</w:t>
      </w:r>
      <w:r>
        <w:rPr>
          <w:rFonts w:cs="Arial"/>
          <w:sz w:val="22"/>
          <w:szCs w:val="22"/>
        </w:rPr>
        <w:t xml:space="preserve"> This</w:t>
      </w:r>
      <w:r w:rsidRPr="00E73B5F">
        <w:rPr>
          <w:rFonts w:cs="Arial"/>
          <w:sz w:val="22"/>
          <w:szCs w:val="22"/>
        </w:rPr>
        <w:t xml:space="preserve"> include</w:t>
      </w:r>
      <w:r>
        <w:rPr>
          <w:rFonts w:cs="Arial"/>
          <w:sz w:val="22"/>
          <w:szCs w:val="22"/>
        </w:rPr>
        <w:t>s</w:t>
      </w:r>
      <w:r w:rsidRPr="00E73B5F">
        <w:rPr>
          <w:rFonts w:cs="Arial"/>
          <w:sz w:val="22"/>
          <w:szCs w:val="22"/>
        </w:rPr>
        <w:t xml:space="preserve"> measures of the health and social wellbeing of children, as well as different aspects of parenting. The project will investigate the relationship between the mothers’ health history and the family environment to the children’s health and social outcomes, and health service utilisation. The children’s data will be linked to their mother’s data, as well as administrative datasets for early child development and educational outcomes, such as the National Assessment Program – Literacy and Numeracy (NAPLAN). </w:t>
      </w:r>
    </w:p>
    <w:p w14:paraId="7810420A" w14:textId="77777777" w:rsidR="000D1D92" w:rsidRDefault="000D1D92" w:rsidP="000D1D92">
      <w:pPr>
        <w:pBdr>
          <w:top w:val="single" w:sz="4" w:space="1" w:color="auto"/>
          <w:left w:val="single" w:sz="4" w:space="1" w:color="auto"/>
          <w:bottom w:val="single" w:sz="4" w:space="1" w:color="auto"/>
          <w:right w:val="single" w:sz="4" w:space="1" w:color="auto"/>
        </w:pBdr>
        <w:jc w:val="both"/>
        <w:rPr>
          <w:rFonts w:cs="Arial"/>
          <w:sz w:val="22"/>
          <w:szCs w:val="22"/>
        </w:rPr>
      </w:pPr>
      <w:r w:rsidRPr="00E73B5F">
        <w:rPr>
          <w:rFonts w:cs="Arial"/>
          <w:sz w:val="22"/>
          <w:szCs w:val="22"/>
        </w:rPr>
        <w:t>To</w:t>
      </w:r>
      <w:r>
        <w:rPr>
          <w:rFonts w:cs="Arial"/>
          <w:sz w:val="22"/>
          <w:szCs w:val="22"/>
        </w:rPr>
        <w:t>gether</w:t>
      </w:r>
      <w:r>
        <w:rPr>
          <w:rStyle w:val="EndnoteReference"/>
          <w:rFonts w:cs="Arial"/>
          <w:szCs w:val="22"/>
        </w:rPr>
        <w:endnoteReference w:id="574"/>
      </w:r>
      <w:r>
        <w:rPr>
          <w:rFonts w:cs="Arial"/>
          <w:sz w:val="22"/>
          <w:szCs w:val="22"/>
        </w:rPr>
        <w:t xml:space="preserve"> </w:t>
      </w:r>
      <w:r w:rsidRPr="00E73B5F">
        <w:rPr>
          <w:rFonts w:cs="Arial"/>
          <w:sz w:val="22"/>
          <w:szCs w:val="22"/>
        </w:rPr>
        <w:t>ALSWH and MatCH data will offer the opportunity to conduct powerful analyses to measure the impacts of adversity in childhood across the life</w:t>
      </w:r>
      <w:r>
        <w:rPr>
          <w:rFonts w:cs="Arial"/>
          <w:sz w:val="22"/>
          <w:szCs w:val="22"/>
        </w:rPr>
        <w:t xml:space="preserve"> </w:t>
      </w:r>
      <w:r w:rsidRPr="00E73B5F">
        <w:rPr>
          <w:rFonts w:cs="Arial"/>
          <w:sz w:val="22"/>
          <w:szCs w:val="22"/>
        </w:rPr>
        <w:t>course and inter</w:t>
      </w:r>
      <w:r>
        <w:rPr>
          <w:rFonts w:cs="Arial"/>
          <w:sz w:val="22"/>
          <w:szCs w:val="22"/>
        </w:rPr>
        <w:t>-</w:t>
      </w:r>
      <w:r w:rsidRPr="00E73B5F">
        <w:rPr>
          <w:rFonts w:cs="Arial"/>
          <w:sz w:val="22"/>
          <w:szCs w:val="22"/>
        </w:rPr>
        <w:t xml:space="preserve">generationally, and to identify and evaluate factors that might mitigate these impacts. </w:t>
      </w:r>
    </w:p>
    <w:p w14:paraId="22C26D2D" w14:textId="77777777" w:rsidR="000D1D92" w:rsidRDefault="000D1D92" w:rsidP="000D1D92">
      <w:pPr>
        <w:pBdr>
          <w:top w:val="single" w:sz="4" w:space="1" w:color="auto"/>
          <w:left w:val="single" w:sz="4" w:space="1" w:color="auto"/>
          <w:bottom w:val="single" w:sz="4" w:space="1" w:color="auto"/>
          <w:right w:val="single" w:sz="4" w:space="1" w:color="auto"/>
        </w:pBdr>
        <w:jc w:val="both"/>
        <w:rPr>
          <w:rFonts w:cs="Arial"/>
          <w:sz w:val="22"/>
          <w:szCs w:val="22"/>
        </w:rPr>
      </w:pPr>
      <w:r w:rsidRPr="00B12CB2">
        <w:rPr>
          <w:rFonts w:cs="Arial"/>
          <w:sz w:val="22"/>
          <w:szCs w:val="22"/>
        </w:rPr>
        <w:t>Data from the 2015 surveys of the 1989-95 and 1973-78 cohorts will be available in 2016. Data from the MatCH survey is expected to be available towards the end of 2016. These datasets will enable examination of the impact of childhood adversity, including witnessing domest</w:t>
      </w:r>
      <w:r>
        <w:rPr>
          <w:rFonts w:cs="Arial"/>
          <w:sz w:val="22"/>
          <w:szCs w:val="22"/>
        </w:rPr>
        <w:t>ic violence, on factors such as l</w:t>
      </w:r>
      <w:r w:rsidRPr="00181B8B">
        <w:rPr>
          <w:rFonts w:cs="Arial"/>
          <w:sz w:val="22"/>
          <w:szCs w:val="22"/>
        </w:rPr>
        <w:t>ater experiences of abuse (e</w:t>
      </w:r>
      <w:r>
        <w:rPr>
          <w:rFonts w:cs="Arial"/>
          <w:sz w:val="22"/>
          <w:szCs w:val="22"/>
        </w:rPr>
        <w:t>.</w:t>
      </w:r>
      <w:r w:rsidRPr="00181B8B">
        <w:rPr>
          <w:rFonts w:cs="Arial"/>
          <w:sz w:val="22"/>
          <w:szCs w:val="22"/>
        </w:rPr>
        <w:t>g</w:t>
      </w:r>
      <w:r>
        <w:rPr>
          <w:rFonts w:cs="Arial"/>
          <w:sz w:val="22"/>
          <w:szCs w:val="22"/>
        </w:rPr>
        <w:t>.</w:t>
      </w:r>
      <w:r w:rsidRPr="00181B8B">
        <w:rPr>
          <w:rFonts w:cs="Arial"/>
          <w:sz w:val="22"/>
          <w:szCs w:val="22"/>
        </w:rPr>
        <w:t xml:space="preserve"> bullying, domestic violence)</w:t>
      </w:r>
      <w:r>
        <w:rPr>
          <w:rFonts w:cs="Arial"/>
          <w:sz w:val="22"/>
          <w:szCs w:val="22"/>
        </w:rPr>
        <w:t>; p</w:t>
      </w:r>
      <w:r w:rsidRPr="00181B8B">
        <w:rPr>
          <w:rFonts w:cs="Arial"/>
          <w:sz w:val="22"/>
          <w:szCs w:val="22"/>
        </w:rPr>
        <w:t>hysical health, including diagnosed conditions, symptoms, bodily pain</w:t>
      </w:r>
      <w:r>
        <w:rPr>
          <w:rFonts w:cs="Arial"/>
          <w:sz w:val="22"/>
          <w:szCs w:val="22"/>
        </w:rPr>
        <w:t>; h</w:t>
      </w:r>
      <w:r w:rsidRPr="00181B8B">
        <w:rPr>
          <w:rFonts w:cs="Arial"/>
          <w:sz w:val="22"/>
          <w:szCs w:val="22"/>
        </w:rPr>
        <w:t>ealth service use including consultations, Medicare funded/subsidised services, medication use, hospitalisations</w:t>
      </w:r>
      <w:r>
        <w:rPr>
          <w:rFonts w:cs="Arial"/>
          <w:sz w:val="22"/>
          <w:szCs w:val="22"/>
        </w:rPr>
        <w:t>; m</w:t>
      </w:r>
      <w:r w:rsidRPr="00181B8B">
        <w:rPr>
          <w:rFonts w:cs="Arial"/>
          <w:sz w:val="22"/>
          <w:szCs w:val="22"/>
        </w:rPr>
        <w:t>ental health, in</w:t>
      </w:r>
      <w:r>
        <w:rPr>
          <w:rFonts w:cs="Arial"/>
          <w:sz w:val="22"/>
          <w:szCs w:val="22"/>
        </w:rPr>
        <w:t>cluding suicidal ideation, self-</w:t>
      </w:r>
      <w:r w:rsidRPr="00181B8B">
        <w:rPr>
          <w:rFonts w:cs="Arial"/>
          <w:sz w:val="22"/>
          <w:szCs w:val="22"/>
        </w:rPr>
        <w:t>harm, depression, anxiety</w:t>
      </w:r>
      <w:r>
        <w:rPr>
          <w:rFonts w:cs="Arial"/>
          <w:sz w:val="22"/>
          <w:szCs w:val="22"/>
        </w:rPr>
        <w:t>; p</w:t>
      </w:r>
      <w:r w:rsidRPr="00181B8B">
        <w:rPr>
          <w:rFonts w:cs="Arial"/>
          <w:sz w:val="22"/>
          <w:szCs w:val="22"/>
        </w:rPr>
        <w:t>regnancy experiences and outcomes, including parenting style</w:t>
      </w:r>
      <w:r>
        <w:rPr>
          <w:rFonts w:cs="Arial"/>
          <w:sz w:val="22"/>
          <w:szCs w:val="22"/>
        </w:rPr>
        <w:t>; f</w:t>
      </w:r>
      <w:r w:rsidRPr="00181B8B">
        <w:rPr>
          <w:rFonts w:cs="Arial"/>
          <w:sz w:val="22"/>
          <w:szCs w:val="22"/>
        </w:rPr>
        <w:t>low on effects to the next generation</w:t>
      </w:r>
      <w:r>
        <w:rPr>
          <w:rFonts w:cs="Arial"/>
          <w:sz w:val="22"/>
          <w:szCs w:val="22"/>
        </w:rPr>
        <w:t>.</w:t>
      </w:r>
    </w:p>
    <w:p w14:paraId="17E30E6C" w14:textId="77777777" w:rsidR="000D1D92" w:rsidRDefault="000D1D92" w:rsidP="000D1D92">
      <w:pPr>
        <w:pBdr>
          <w:top w:val="single" w:sz="4" w:space="1" w:color="auto"/>
          <w:left w:val="single" w:sz="4" w:space="1" w:color="auto"/>
          <w:bottom w:val="single" w:sz="4" w:space="1" w:color="auto"/>
          <w:right w:val="single" w:sz="4" w:space="1" w:color="auto"/>
        </w:pBdr>
        <w:jc w:val="both"/>
        <w:rPr>
          <w:rFonts w:cs="Arial"/>
          <w:sz w:val="22"/>
          <w:szCs w:val="22"/>
        </w:rPr>
      </w:pPr>
      <w:r w:rsidRPr="00F6245B">
        <w:rPr>
          <w:rFonts w:cs="Arial"/>
          <w:sz w:val="22"/>
          <w:szCs w:val="22"/>
        </w:rPr>
        <w:t>ALSWH and MatCH are conducted collaboratively by staff and investigators based at the University of Newcastle and the University of Queensland. ALSWH is funded by the Australian Government Departme</w:t>
      </w:r>
      <w:r>
        <w:rPr>
          <w:rFonts w:cs="Arial"/>
          <w:sz w:val="22"/>
          <w:szCs w:val="22"/>
        </w:rPr>
        <w:t>nt of Health until 30 June 2016</w:t>
      </w:r>
      <w:r w:rsidRPr="00F6245B">
        <w:rPr>
          <w:rFonts w:cs="Arial"/>
          <w:sz w:val="22"/>
          <w:szCs w:val="22"/>
        </w:rPr>
        <w:t xml:space="preserve"> and MatCH is funded by a National Health and Medical Research Cou</w:t>
      </w:r>
      <w:r>
        <w:rPr>
          <w:rFonts w:cs="Arial"/>
          <w:sz w:val="22"/>
          <w:szCs w:val="22"/>
        </w:rPr>
        <w:t>ncil project grant (2014-2017).</w:t>
      </w:r>
    </w:p>
    <w:p w14:paraId="7CAD0C1D" w14:textId="77777777" w:rsidR="000D1D92" w:rsidRDefault="000D1D92" w:rsidP="000D1D92">
      <w:pPr>
        <w:pBdr>
          <w:top w:val="single" w:sz="4" w:space="1" w:color="auto"/>
          <w:left w:val="single" w:sz="4" w:space="1" w:color="auto"/>
          <w:bottom w:val="single" w:sz="4" w:space="1" w:color="auto"/>
          <w:right w:val="single" w:sz="4" w:space="1" w:color="auto"/>
        </w:pBdr>
        <w:jc w:val="both"/>
        <w:rPr>
          <w:rFonts w:cs="Arial"/>
          <w:sz w:val="22"/>
          <w:szCs w:val="22"/>
        </w:rPr>
      </w:pPr>
      <w:r>
        <w:rPr>
          <w:rFonts w:cs="Arial"/>
          <w:b/>
          <w:sz w:val="22"/>
          <w:szCs w:val="22"/>
        </w:rPr>
        <w:t>Statement from Associate Professor Deborah Loxton and Natalie Townsend</w:t>
      </w:r>
    </w:p>
    <w:p w14:paraId="15B6AE4C" w14:textId="77777777" w:rsidR="000D1D92" w:rsidRDefault="000D1D92" w:rsidP="000D1D92">
      <w:pPr>
        <w:spacing w:before="0" w:after="0"/>
        <w:jc w:val="both"/>
        <w:rPr>
          <w:rFonts w:cs="Segoe UI"/>
        </w:rPr>
      </w:pPr>
    </w:p>
    <w:p w14:paraId="1C495388" w14:textId="77777777" w:rsidR="000D1D92" w:rsidRDefault="000D1D92" w:rsidP="000D1D92">
      <w:pPr>
        <w:spacing w:before="0" w:after="0"/>
        <w:jc w:val="both"/>
        <w:rPr>
          <w:rFonts w:cs="Segoe UI"/>
        </w:rPr>
      </w:pPr>
      <w:r>
        <w:rPr>
          <w:rFonts w:cs="Segoe UI"/>
        </w:rPr>
        <w:t xml:space="preserve">Data in the ALSWH and MatCH projects </w:t>
      </w:r>
      <w:r w:rsidRPr="006E7A4A">
        <w:rPr>
          <w:rFonts w:cs="Segoe UI"/>
        </w:rPr>
        <w:t xml:space="preserve">offer the opportunity </w:t>
      </w:r>
      <w:r>
        <w:rPr>
          <w:rFonts w:cs="Segoe UI"/>
        </w:rPr>
        <w:t>to analyse and</w:t>
      </w:r>
      <w:r w:rsidRPr="006E7A4A">
        <w:rPr>
          <w:rFonts w:cs="Segoe UI"/>
        </w:rPr>
        <w:t xml:space="preserve"> measure the impacts of adversity in childhood across the life course and inter-generationally, and to identify and evaluate factors that might mitigate these impacts.</w:t>
      </w:r>
      <w:r>
        <w:rPr>
          <w:rFonts w:cs="Segoe UI"/>
        </w:rPr>
        <w:t xml:space="preserve"> </w:t>
      </w:r>
    </w:p>
    <w:p w14:paraId="44164B8B" w14:textId="77777777" w:rsidR="000D1D92" w:rsidRDefault="000D1D92" w:rsidP="000D1D92">
      <w:pPr>
        <w:spacing w:before="0" w:after="0"/>
        <w:jc w:val="both"/>
        <w:rPr>
          <w:rFonts w:cs="Segoe UI"/>
        </w:rPr>
      </w:pPr>
    </w:p>
    <w:p w14:paraId="265CE3BF" w14:textId="77777777" w:rsidR="000D1D92" w:rsidRDefault="000D1D92" w:rsidP="000D1D92">
      <w:pPr>
        <w:spacing w:before="0" w:after="0"/>
        <w:jc w:val="both"/>
        <w:rPr>
          <w:rFonts w:cs="Segoe UI"/>
        </w:rPr>
      </w:pPr>
      <w:r>
        <w:rPr>
          <w:rFonts w:cs="Segoe UI"/>
        </w:rPr>
        <w:t>For example, w</w:t>
      </w:r>
      <w:r w:rsidRPr="008F1E63">
        <w:rPr>
          <w:rFonts w:cs="Segoe UI"/>
        </w:rPr>
        <w:t xml:space="preserve">omen in the 1973-78 cohort who experienced adversity during childhood can be tracked to see how those experiences impacted </w:t>
      </w:r>
      <w:r>
        <w:rPr>
          <w:rFonts w:cs="Segoe UI"/>
        </w:rPr>
        <w:t xml:space="preserve">on </w:t>
      </w:r>
      <w:r w:rsidRPr="008F1E63">
        <w:rPr>
          <w:rFonts w:cs="Segoe UI"/>
        </w:rPr>
        <w:t>their subsequent lives (e</w:t>
      </w:r>
      <w:r>
        <w:rPr>
          <w:rFonts w:cs="Segoe UI"/>
        </w:rPr>
        <w:t>.</w:t>
      </w:r>
      <w:r w:rsidRPr="008F1E63">
        <w:rPr>
          <w:rFonts w:cs="Segoe UI"/>
        </w:rPr>
        <w:t>g</w:t>
      </w:r>
      <w:r>
        <w:rPr>
          <w:rFonts w:cs="Segoe UI"/>
        </w:rPr>
        <w:t>. education; domestic violence;</w:t>
      </w:r>
      <w:r w:rsidRPr="008F1E63">
        <w:rPr>
          <w:rFonts w:cs="Segoe UI"/>
        </w:rPr>
        <w:t xml:space="preserve"> health service</w:t>
      </w:r>
      <w:r>
        <w:rPr>
          <w:rFonts w:cs="Segoe UI"/>
        </w:rPr>
        <w:t xml:space="preserve"> use;</w:t>
      </w:r>
      <w:r w:rsidRPr="008F1E63">
        <w:rPr>
          <w:rFonts w:cs="Segoe UI"/>
        </w:rPr>
        <w:t xml:space="preserve"> physical and mental health) including influen</w:t>
      </w:r>
      <w:r>
        <w:rPr>
          <w:rFonts w:cs="Segoe UI"/>
        </w:rPr>
        <w:t>ces on pregnancy, breastfeeding</w:t>
      </w:r>
      <w:r w:rsidRPr="008F1E63">
        <w:rPr>
          <w:rFonts w:cs="Segoe UI"/>
        </w:rPr>
        <w:t xml:space="preserve"> and parenting style. </w:t>
      </w:r>
      <w:r>
        <w:rPr>
          <w:rFonts w:cs="Segoe UI"/>
        </w:rPr>
        <w:t>It will also be possible to examine t</w:t>
      </w:r>
      <w:r w:rsidRPr="008F1E63">
        <w:rPr>
          <w:rFonts w:cs="Segoe UI"/>
        </w:rPr>
        <w:t>he impact on their children’s outcomes (e</w:t>
      </w:r>
      <w:r>
        <w:rPr>
          <w:rFonts w:cs="Segoe UI"/>
        </w:rPr>
        <w:t>.</w:t>
      </w:r>
      <w:r w:rsidRPr="008F1E63">
        <w:rPr>
          <w:rFonts w:cs="Segoe UI"/>
        </w:rPr>
        <w:t>g</w:t>
      </w:r>
      <w:r>
        <w:rPr>
          <w:rFonts w:cs="Segoe UI"/>
        </w:rPr>
        <w:t>. social functioning; bullying;</w:t>
      </w:r>
      <w:r w:rsidRPr="008F1E63">
        <w:rPr>
          <w:rFonts w:cs="Segoe UI"/>
        </w:rPr>
        <w:t xml:space="preserve"> </w:t>
      </w:r>
      <w:r>
        <w:rPr>
          <w:rFonts w:cs="Segoe UI"/>
        </w:rPr>
        <w:t>health behaviour)</w:t>
      </w:r>
      <w:r w:rsidRPr="008F1E63">
        <w:rPr>
          <w:rFonts w:cs="Segoe UI"/>
        </w:rPr>
        <w:t xml:space="preserve">. </w:t>
      </w:r>
      <w:r>
        <w:rPr>
          <w:rFonts w:cs="Segoe UI"/>
        </w:rPr>
        <w:t>The data provided by the male and female children will offer insights which have not previously been available in Australia, and possibly internationally.</w:t>
      </w:r>
    </w:p>
    <w:p w14:paraId="5499DE78" w14:textId="77777777" w:rsidR="000D1D92" w:rsidRDefault="000D1D92" w:rsidP="000D1D92">
      <w:pPr>
        <w:spacing w:before="0" w:after="0"/>
        <w:jc w:val="both"/>
        <w:rPr>
          <w:rFonts w:cs="Segoe UI"/>
        </w:rPr>
      </w:pPr>
    </w:p>
    <w:p w14:paraId="2DF87165" w14:textId="77777777" w:rsidR="000D1D92" w:rsidRDefault="000D1D92" w:rsidP="000D1D92">
      <w:pPr>
        <w:spacing w:before="0" w:after="0"/>
        <w:jc w:val="both"/>
        <w:rPr>
          <w:rFonts w:cs="Segoe UI"/>
        </w:rPr>
      </w:pPr>
      <w:r w:rsidRPr="008F1E63">
        <w:rPr>
          <w:rFonts w:cs="Segoe UI"/>
        </w:rPr>
        <w:t>It will be very important to continue to follow these women and their children to better understand how experiencing adversity during childhood influences health and wellbeing across the life course and into the next generation.</w:t>
      </w:r>
    </w:p>
    <w:p w14:paraId="2F22F454" w14:textId="77777777" w:rsidR="000D1D92" w:rsidRDefault="000D1D92" w:rsidP="000D1D92">
      <w:pPr>
        <w:spacing w:before="0" w:after="0"/>
      </w:pPr>
    </w:p>
    <w:tbl>
      <w:tblPr>
        <w:tblStyle w:val="TableGrid"/>
        <w:tblW w:w="0" w:type="auto"/>
        <w:shd w:val="clear" w:color="auto" w:fill="F2F2F2" w:themeFill="background1" w:themeFillShade="F2"/>
        <w:tblLook w:val="04A0" w:firstRow="1" w:lastRow="0" w:firstColumn="1" w:lastColumn="0" w:noHBand="0" w:noVBand="1"/>
      </w:tblPr>
      <w:tblGrid>
        <w:gridCol w:w="9286"/>
      </w:tblGrid>
      <w:tr w:rsidR="000D1D92" w14:paraId="084DAB3A" w14:textId="77777777" w:rsidTr="00684616">
        <w:tc>
          <w:tcPr>
            <w:tcW w:w="9286" w:type="dxa"/>
            <w:shd w:val="clear" w:color="auto" w:fill="F2F2F2" w:themeFill="background1" w:themeFillShade="F2"/>
          </w:tcPr>
          <w:p w14:paraId="6B03FCAD" w14:textId="77777777" w:rsidR="000D1D92" w:rsidRDefault="000D1D92" w:rsidP="00684616">
            <w:pPr>
              <w:spacing w:before="0" w:after="0"/>
              <w:jc w:val="both"/>
              <w:rPr>
                <w:b/>
              </w:rPr>
            </w:pPr>
          </w:p>
          <w:p w14:paraId="1301619A" w14:textId="77777777" w:rsidR="000D1D92" w:rsidRDefault="000D1D92" w:rsidP="00684616">
            <w:pPr>
              <w:spacing w:before="0" w:after="0"/>
              <w:jc w:val="both"/>
              <w:rPr>
                <w:b/>
              </w:rPr>
            </w:pPr>
            <w:r w:rsidRPr="00A34F00">
              <w:rPr>
                <w:b/>
              </w:rPr>
              <w:t xml:space="preserve">Recommendation </w:t>
            </w:r>
            <w:r>
              <w:rPr>
                <w:b/>
              </w:rPr>
              <w:t>7</w:t>
            </w:r>
            <w:r w:rsidRPr="00A34F00">
              <w:rPr>
                <w:b/>
              </w:rPr>
              <w:t xml:space="preserve">: </w:t>
            </w:r>
          </w:p>
          <w:p w14:paraId="370A0206" w14:textId="77777777" w:rsidR="000D1D92" w:rsidRDefault="000D1D92" w:rsidP="00684616">
            <w:pPr>
              <w:spacing w:before="0" w:after="0"/>
              <w:jc w:val="both"/>
              <w:rPr>
                <w:b/>
              </w:rPr>
            </w:pPr>
          </w:p>
          <w:p w14:paraId="15FC790C" w14:textId="77777777" w:rsidR="000D1D92" w:rsidRDefault="000D1D92" w:rsidP="00684616">
            <w:pPr>
              <w:spacing w:before="0" w:after="0"/>
              <w:jc w:val="both"/>
              <w:rPr>
                <w:b/>
              </w:rPr>
            </w:pPr>
            <w:r>
              <w:rPr>
                <w:b/>
              </w:rPr>
              <w:t>S</w:t>
            </w:r>
            <w:r w:rsidRPr="0095244B">
              <w:rPr>
                <w:b/>
              </w:rPr>
              <w:t>upport for the Australian Longitudinal Study on Women’s Health (ALSWH) project by the Australian Government Department of Health is extended after 30 June 2016 and support for the Mothers and their Children’s Health (MatCH) project by the Australian Government Department of Health is also extended after its National Health and Medical Research Council grant expires in 2017.</w:t>
            </w:r>
          </w:p>
          <w:p w14:paraId="11BC852C" w14:textId="77777777" w:rsidR="000D1D92" w:rsidRDefault="000D1D92" w:rsidP="00684616">
            <w:pPr>
              <w:spacing w:before="0" w:after="0"/>
              <w:jc w:val="both"/>
            </w:pPr>
          </w:p>
        </w:tc>
      </w:tr>
    </w:tbl>
    <w:p w14:paraId="26AE7310" w14:textId="77777777" w:rsidR="000D1D92" w:rsidRDefault="000D1D92" w:rsidP="000D1D92">
      <w:pPr>
        <w:spacing w:before="0" w:after="0"/>
      </w:pPr>
    </w:p>
    <w:tbl>
      <w:tblPr>
        <w:tblStyle w:val="TableGrid"/>
        <w:tblW w:w="0" w:type="auto"/>
        <w:shd w:val="clear" w:color="auto" w:fill="F2F2F2" w:themeFill="background1" w:themeFillShade="F2"/>
        <w:tblLook w:val="04A0" w:firstRow="1" w:lastRow="0" w:firstColumn="1" w:lastColumn="0" w:noHBand="0" w:noVBand="1"/>
      </w:tblPr>
      <w:tblGrid>
        <w:gridCol w:w="9286"/>
      </w:tblGrid>
      <w:tr w:rsidR="000D1D92" w14:paraId="5FA67EEF" w14:textId="77777777" w:rsidTr="00684616">
        <w:tc>
          <w:tcPr>
            <w:tcW w:w="9286" w:type="dxa"/>
            <w:shd w:val="clear" w:color="auto" w:fill="F2F2F2" w:themeFill="background1" w:themeFillShade="F2"/>
          </w:tcPr>
          <w:p w14:paraId="0D80FFFC" w14:textId="77777777" w:rsidR="000D1D92" w:rsidRDefault="000D1D92" w:rsidP="00684616">
            <w:pPr>
              <w:spacing w:before="0" w:after="0"/>
              <w:jc w:val="both"/>
              <w:rPr>
                <w:b/>
              </w:rPr>
            </w:pPr>
          </w:p>
          <w:p w14:paraId="28E931DA" w14:textId="77777777" w:rsidR="000D1D92" w:rsidRDefault="000D1D92" w:rsidP="00684616">
            <w:pPr>
              <w:spacing w:before="0" w:after="0"/>
              <w:jc w:val="both"/>
              <w:rPr>
                <w:b/>
              </w:rPr>
            </w:pPr>
            <w:r w:rsidRPr="00B80226">
              <w:rPr>
                <w:b/>
              </w:rPr>
              <w:t xml:space="preserve">Recommendation </w:t>
            </w:r>
            <w:r>
              <w:rPr>
                <w:b/>
              </w:rPr>
              <w:t>8</w:t>
            </w:r>
            <w:r w:rsidRPr="00B80226">
              <w:rPr>
                <w:b/>
              </w:rPr>
              <w:t xml:space="preserve">: </w:t>
            </w:r>
          </w:p>
          <w:p w14:paraId="152A40BB" w14:textId="77777777" w:rsidR="000D1D92" w:rsidRDefault="000D1D92" w:rsidP="00684616">
            <w:pPr>
              <w:spacing w:before="0" w:after="0"/>
              <w:jc w:val="both"/>
              <w:rPr>
                <w:b/>
              </w:rPr>
            </w:pPr>
          </w:p>
          <w:p w14:paraId="1101F2D2" w14:textId="77777777" w:rsidR="000D1D92" w:rsidRDefault="000D1D92" w:rsidP="00684616">
            <w:pPr>
              <w:spacing w:before="0" w:after="0"/>
              <w:jc w:val="both"/>
              <w:rPr>
                <w:b/>
              </w:rPr>
            </w:pPr>
            <w:r>
              <w:rPr>
                <w:b/>
              </w:rPr>
              <w:t>Support for the ‘</w:t>
            </w:r>
            <w:r w:rsidRPr="0095244B">
              <w:rPr>
                <w:b/>
              </w:rPr>
              <w:t>Improving the developmental outcomes of Northern Territory children: a data linkage study to inform policy and practice in health, family services and education</w:t>
            </w:r>
            <w:r>
              <w:rPr>
                <w:b/>
              </w:rPr>
              <w:t>’</w:t>
            </w:r>
            <w:r w:rsidRPr="0095244B">
              <w:rPr>
                <w:b/>
              </w:rPr>
              <w:t xml:space="preserve"> currently being conducted in the Northern Territory by Men</w:t>
            </w:r>
            <w:r>
              <w:rPr>
                <w:b/>
              </w:rPr>
              <w:t>zies School of Health Research is provided by</w:t>
            </w:r>
            <w:r w:rsidRPr="0095244B">
              <w:rPr>
                <w:b/>
              </w:rPr>
              <w:t xml:space="preserve"> the Australian Government Department of Social Services after its National Health and Medical Research Council grant expires in 2017.</w:t>
            </w:r>
          </w:p>
          <w:p w14:paraId="12CD0E33" w14:textId="77777777" w:rsidR="000D1D92" w:rsidRDefault="000D1D92" w:rsidP="00684616">
            <w:pPr>
              <w:spacing w:before="0" w:after="0"/>
              <w:jc w:val="both"/>
            </w:pPr>
          </w:p>
        </w:tc>
      </w:tr>
    </w:tbl>
    <w:p w14:paraId="116090D0" w14:textId="77777777" w:rsidR="000D1D92" w:rsidRDefault="000D1D92" w:rsidP="000D1D92">
      <w:pPr>
        <w:autoSpaceDE w:val="0"/>
        <w:autoSpaceDN w:val="0"/>
        <w:adjustRightInd w:val="0"/>
        <w:spacing w:before="0" w:after="0"/>
        <w:jc w:val="both"/>
        <w:rPr>
          <w:rFonts w:cs="Arial"/>
        </w:rPr>
      </w:pPr>
    </w:p>
    <w:tbl>
      <w:tblPr>
        <w:tblStyle w:val="TableGrid"/>
        <w:tblW w:w="0" w:type="auto"/>
        <w:shd w:val="clear" w:color="auto" w:fill="000000" w:themeFill="text1"/>
        <w:tblLook w:val="04A0" w:firstRow="1" w:lastRow="0" w:firstColumn="1" w:lastColumn="0" w:noHBand="0" w:noVBand="1"/>
      </w:tblPr>
      <w:tblGrid>
        <w:gridCol w:w="9060"/>
      </w:tblGrid>
      <w:tr w:rsidR="000D1D92" w:rsidRPr="007407A6" w14:paraId="592FF07A" w14:textId="77777777" w:rsidTr="00684616">
        <w:trPr>
          <w:trHeight w:val="1006"/>
        </w:trPr>
        <w:tc>
          <w:tcPr>
            <w:tcW w:w="9060" w:type="dxa"/>
            <w:shd w:val="clear" w:color="auto" w:fill="F2F2F2" w:themeFill="background1" w:themeFillShade="F2"/>
            <w:vAlign w:val="center"/>
          </w:tcPr>
          <w:p w14:paraId="40A023F3" w14:textId="77777777" w:rsidR="000D1D92" w:rsidRDefault="000D1D92" w:rsidP="00684616">
            <w:pPr>
              <w:spacing w:before="0" w:after="0"/>
              <w:rPr>
                <w:b/>
              </w:rPr>
            </w:pPr>
          </w:p>
          <w:p w14:paraId="5A8FF772" w14:textId="77777777" w:rsidR="000D1D92" w:rsidRDefault="000D1D92" w:rsidP="00684616">
            <w:pPr>
              <w:spacing w:before="0" w:after="0"/>
              <w:rPr>
                <w:b/>
              </w:rPr>
            </w:pPr>
            <w:r>
              <w:rPr>
                <w:b/>
              </w:rPr>
              <w:t>Summary</w:t>
            </w:r>
          </w:p>
          <w:p w14:paraId="6014A5E8" w14:textId="77777777" w:rsidR="000D1D92" w:rsidRDefault="000D1D92" w:rsidP="00684616">
            <w:pPr>
              <w:spacing w:before="0" w:after="0"/>
              <w:rPr>
                <w:b/>
              </w:rPr>
            </w:pPr>
          </w:p>
          <w:p w14:paraId="132D98CA" w14:textId="77777777" w:rsidR="000D1D92" w:rsidRDefault="000D1D92" w:rsidP="00684616">
            <w:pPr>
              <w:spacing w:before="0" w:after="0"/>
              <w:rPr>
                <w:b/>
              </w:rPr>
            </w:pPr>
            <w:r w:rsidRPr="00B80226">
              <w:rPr>
                <w:b/>
              </w:rPr>
              <w:t>What is the impact of family and domestic violence on children?</w:t>
            </w:r>
          </w:p>
          <w:p w14:paraId="574B3940" w14:textId="77777777" w:rsidR="000D1D92" w:rsidRDefault="000D1D92" w:rsidP="00684616">
            <w:pPr>
              <w:spacing w:before="0" w:after="0"/>
              <w:rPr>
                <w:b/>
              </w:rPr>
            </w:pPr>
          </w:p>
          <w:p w14:paraId="7BE02B1B" w14:textId="77777777" w:rsidR="000D1D92" w:rsidRPr="00B80226" w:rsidRDefault="000D1D92" w:rsidP="00684616">
            <w:pPr>
              <w:spacing w:before="0" w:after="0"/>
              <w:jc w:val="both"/>
            </w:pPr>
            <w:r w:rsidRPr="00B80226">
              <w:t xml:space="preserve">While negative outcomes are well recognised and documented, factors that mitigate the impacts of family and domestic violence and promote resilience are less well understood. </w:t>
            </w:r>
          </w:p>
          <w:p w14:paraId="61E2A95C" w14:textId="77777777" w:rsidR="000D1D92" w:rsidRPr="00B80226" w:rsidRDefault="000D1D92" w:rsidP="00684616">
            <w:pPr>
              <w:spacing w:before="0" w:after="0"/>
              <w:jc w:val="both"/>
            </w:pPr>
          </w:p>
          <w:p w14:paraId="4F8826AE" w14:textId="77777777" w:rsidR="000D1D92" w:rsidRPr="00B80226" w:rsidRDefault="000D1D92" w:rsidP="00684616">
            <w:pPr>
              <w:spacing w:before="0" w:after="0"/>
              <w:jc w:val="both"/>
            </w:pPr>
            <w:r w:rsidRPr="00B80226">
              <w:t xml:space="preserve">Differences in outcomes and impacts for children in different populations highlight the need for more in-depth research on the factors and interventions that enhance children’s resilience and ability to cope with experiences of family and domestic violence. </w:t>
            </w:r>
          </w:p>
          <w:p w14:paraId="3540CF82" w14:textId="77777777" w:rsidR="000D1D92" w:rsidRPr="00B80226" w:rsidRDefault="000D1D92" w:rsidP="00684616">
            <w:pPr>
              <w:spacing w:before="0" w:after="0"/>
              <w:jc w:val="both"/>
            </w:pPr>
          </w:p>
          <w:p w14:paraId="12657017" w14:textId="77777777" w:rsidR="000D1D92" w:rsidRPr="00B80226" w:rsidRDefault="000D1D92" w:rsidP="00684616">
            <w:pPr>
              <w:spacing w:before="0" w:after="0"/>
              <w:jc w:val="both"/>
            </w:pPr>
            <w:r w:rsidRPr="00B80226">
              <w:t xml:space="preserve">Efforts to understand children’s experiences are complicated by the difficulties of isolating the impacts of family and domestic violence from other detrimental </w:t>
            </w:r>
            <w:r w:rsidRPr="00B80226">
              <w:lastRenderedPageBreak/>
              <w:t xml:space="preserve">environmental factors, such as poverty, parental substance abuse, family dysfunction and mental ill-health. </w:t>
            </w:r>
          </w:p>
          <w:p w14:paraId="5889EF3B" w14:textId="77777777" w:rsidR="000D1D92" w:rsidRPr="00B80226" w:rsidRDefault="000D1D92" w:rsidP="00684616">
            <w:pPr>
              <w:spacing w:before="0" w:after="0"/>
              <w:jc w:val="both"/>
            </w:pPr>
          </w:p>
          <w:p w14:paraId="3EAB9236" w14:textId="77777777" w:rsidR="000D1D92" w:rsidRPr="00B80226" w:rsidRDefault="000D1D92" w:rsidP="00684616">
            <w:pPr>
              <w:spacing w:before="0" w:after="0"/>
              <w:jc w:val="both"/>
            </w:pPr>
            <w:r w:rsidRPr="00B80226">
              <w:t>The impact of family and domestic violence on some groups of children is further compounded by experiences of discrimination and marginalisation. In this context, groups of children and young people who are particularly vulnerable include Aboriginal and Torres Strait Islander children, children with disability, children from culturally and linguistically diverse ba</w:t>
            </w:r>
            <w:r>
              <w:t>ckgrounds and children who are l</w:t>
            </w:r>
            <w:r w:rsidRPr="00B80226">
              <w:t>esb</w:t>
            </w:r>
            <w:r>
              <w:t>ian, gay, bisexual, transgender and i</w:t>
            </w:r>
            <w:r w:rsidRPr="00B80226">
              <w:t>ntersex</w:t>
            </w:r>
            <w:r>
              <w:t>.</w:t>
            </w:r>
          </w:p>
          <w:p w14:paraId="5714EB0C" w14:textId="77777777" w:rsidR="000D1D92" w:rsidRPr="00B80226" w:rsidRDefault="000D1D92" w:rsidP="00684616">
            <w:pPr>
              <w:spacing w:before="0" w:after="0"/>
              <w:jc w:val="both"/>
            </w:pPr>
          </w:p>
          <w:p w14:paraId="588A057F" w14:textId="77777777" w:rsidR="000D1D92" w:rsidRDefault="000D1D92" w:rsidP="00684616">
            <w:pPr>
              <w:spacing w:before="0" w:after="0"/>
            </w:pPr>
            <w:r w:rsidRPr="00B80226">
              <w:t>It has also been observed that the effects of family and domestic violence manifest differently depending on the developmental stages of the children.</w:t>
            </w:r>
          </w:p>
          <w:p w14:paraId="4201C6AF" w14:textId="77777777" w:rsidR="000D1D92" w:rsidRPr="007407A6" w:rsidRDefault="000D1D92" w:rsidP="00684616">
            <w:pPr>
              <w:spacing w:before="0" w:after="0"/>
              <w:rPr>
                <w:b/>
              </w:rPr>
            </w:pPr>
          </w:p>
        </w:tc>
      </w:tr>
    </w:tbl>
    <w:p w14:paraId="1F296E69" w14:textId="77777777" w:rsidR="000D1D92" w:rsidRDefault="000D1D92" w:rsidP="000D1D92">
      <w:pPr>
        <w:pStyle w:val="Heading3"/>
        <w:jc w:val="both"/>
      </w:pPr>
      <w:bookmarkStart w:id="186" w:name="_Toc430702118"/>
      <w:bookmarkStart w:id="187" w:name="_Toc432061274"/>
      <w:r w:rsidRPr="0052270C">
        <w:lastRenderedPageBreak/>
        <w:t>What services, programs and support</w:t>
      </w:r>
      <w:r>
        <w:t>s currently exist for children experiencing family and domestic violence</w:t>
      </w:r>
      <w:r w:rsidRPr="0052270C">
        <w:t>?</w:t>
      </w:r>
      <w:bookmarkEnd w:id="186"/>
      <w:bookmarkEnd w:id="187"/>
    </w:p>
    <w:p w14:paraId="137D6FD0" w14:textId="77777777" w:rsidR="000D1D92" w:rsidRDefault="000D1D92" w:rsidP="000D1D92">
      <w:pPr>
        <w:jc w:val="both"/>
      </w:pPr>
      <w:r>
        <w:t xml:space="preserve">Participants at the roundtables and also in written submissions described services and programs used to support children experiencing family and domestic violence. These included: </w:t>
      </w:r>
    </w:p>
    <w:p w14:paraId="4E3744D8" w14:textId="77777777" w:rsidR="000D1D92" w:rsidRDefault="000D1D92" w:rsidP="000D1D92">
      <w:pPr>
        <w:pStyle w:val="ListParagraph"/>
        <w:numPr>
          <w:ilvl w:val="0"/>
          <w:numId w:val="73"/>
        </w:numPr>
        <w:jc w:val="both"/>
      </w:pPr>
      <w:r>
        <w:t xml:space="preserve">services helping children and their protective parent to be physically safe </w:t>
      </w:r>
    </w:p>
    <w:p w14:paraId="3958FAD8" w14:textId="77777777" w:rsidR="000D1D92" w:rsidRDefault="000D1D92" w:rsidP="000D1D92">
      <w:pPr>
        <w:pStyle w:val="ListParagraph"/>
        <w:numPr>
          <w:ilvl w:val="0"/>
          <w:numId w:val="73"/>
        </w:numPr>
        <w:jc w:val="both"/>
      </w:pPr>
      <w:r>
        <w:t>therapeutic services assisting children to manage the trauma associated with family and domestic violence; including programs that focus on the reparation of parent-child relationships</w:t>
      </w:r>
    </w:p>
    <w:p w14:paraId="259C0B49" w14:textId="77777777" w:rsidR="000D1D92" w:rsidRPr="00145BB7" w:rsidRDefault="000D1D92" w:rsidP="000D1D92">
      <w:pPr>
        <w:pStyle w:val="ListParagraph"/>
        <w:numPr>
          <w:ilvl w:val="0"/>
          <w:numId w:val="73"/>
        </w:numPr>
        <w:jc w:val="both"/>
      </w:pPr>
      <w:r>
        <w:t>p</w:t>
      </w:r>
      <w:r w:rsidRPr="00354AA1">
        <w:t>erpetrator interventions</w:t>
      </w:r>
      <w:r>
        <w:t xml:space="preserve"> for behaviour change.</w:t>
      </w:r>
    </w:p>
    <w:p w14:paraId="6E69A8B0" w14:textId="77777777" w:rsidR="000D1D92" w:rsidRDefault="000D1D92" w:rsidP="000D1D92">
      <w:pPr>
        <w:pStyle w:val="Heading4"/>
        <w:jc w:val="both"/>
      </w:pPr>
      <w:r>
        <w:t xml:space="preserve">Services helping </w:t>
      </w:r>
      <w:r w:rsidRPr="00057A0E">
        <w:t>children and their protective parent to be physically safe</w:t>
      </w:r>
    </w:p>
    <w:p w14:paraId="6679587A" w14:textId="77777777" w:rsidR="000D1D92" w:rsidRDefault="000D1D92" w:rsidP="000D1D92">
      <w:pPr>
        <w:autoSpaceDE w:val="0"/>
        <w:autoSpaceDN w:val="0"/>
        <w:adjustRightInd w:val="0"/>
        <w:spacing w:before="0" w:after="0"/>
        <w:jc w:val="both"/>
        <w:rPr>
          <w:rFonts w:cs="Arial"/>
        </w:rPr>
      </w:pPr>
      <w:r>
        <w:rPr>
          <w:rFonts w:cs="Arial"/>
        </w:rPr>
        <w:t>The need to improve and expand housing options available to children and their mothers escaping family and domestic violence was raised throughout my examination.</w:t>
      </w:r>
      <w:r>
        <w:rPr>
          <w:rStyle w:val="EndnoteReference"/>
          <w:rFonts w:cs="Arial"/>
        </w:rPr>
        <w:endnoteReference w:id="575"/>
      </w:r>
      <w:r>
        <w:rPr>
          <w:rFonts w:cs="Arial"/>
        </w:rPr>
        <w:t xml:space="preserve"> </w:t>
      </w:r>
    </w:p>
    <w:p w14:paraId="584439EE" w14:textId="77777777" w:rsidR="000D1D92" w:rsidRDefault="000D1D92" w:rsidP="000D1D92">
      <w:pPr>
        <w:autoSpaceDE w:val="0"/>
        <w:autoSpaceDN w:val="0"/>
        <w:adjustRightInd w:val="0"/>
        <w:spacing w:before="0" w:after="0"/>
        <w:jc w:val="both"/>
        <w:rPr>
          <w:rFonts w:cs="Arial"/>
        </w:rPr>
      </w:pPr>
    </w:p>
    <w:p w14:paraId="4C6F31BB" w14:textId="77777777" w:rsidR="000D1D92" w:rsidRDefault="000D1D92" w:rsidP="000D1D92">
      <w:pPr>
        <w:autoSpaceDE w:val="0"/>
        <w:autoSpaceDN w:val="0"/>
        <w:adjustRightInd w:val="0"/>
        <w:spacing w:before="0" w:after="0"/>
        <w:jc w:val="both"/>
        <w:rPr>
          <w:rFonts w:cs="Arial"/>
        </w:rPr>
      </w:pPr>
      <w:r>
        <w:rPr>
          <w:rFonts w:cs="Arial"/>
        </w:rPr>
        <w:t>As stated in the submission made by the Australian Psychological Society, there is:</w:t>
      </w:r>
    </w:p>
    <w:p w14:paraId="60D3BDB4" w14:textId="77777777" w:rsidR="000D1D92" w:rsidRDefault="000D1D92" w:rsidP="000D1D92">
      <w:pPr>
        <w:autoSpaceDE w:val="0"/>
        <w:autoSpaceDN w:val="0"/>
        <w:adjustRightInd w:val="0"/>
        <w:spacing w:before="0" w:after="0"/>
        <w:jc w:val="both"/>
        <w:rPr>
          <w:rFonts w:cs="Arial"/>
        </w:rPr>
      </w:pPr>
    </w:p>
    <w:p w14:paraId="36219C60" w14:textId="77777777" w:rsidR="000D1D92" w:rsidRPr="00A8391F" w:rsidRDefault="000D1D92" w:rsidP="000D1D92">
      <w:pPr>
        <w:autoSpaceDE w:val="0"/>
        <w:autoSpaceDN w:val="0"/>
        <w:adjustRightInd w:val="0"/>
        <w:spacing w:before="0" w:after="0"/>
        <w:ind w:left="720"/>
        <w:jc w:val="both"/>
        <w:rPr>
          <w:rFonts w:cs="Arial"/>
          <w:sz w:val="22"/>
          <w:szCs w:val="22"/>
        </w:rPr>
      </w:pPr>
      <w:r>
        <w:rPr>
          <w:rFonts w:cs="Arial"/>
          <w:sz w:val="22"/>
          <w:szCs w:val="22"/>
        </w:rPr>
        <w:t>A l</w:t>
      </w:r>
      <w:r w:rsidRPr="00A8391F">
        <w:rPr>
          <w:rFonts w:cs="Arial"/>
          <w:sz w:val="22"/>
          <w:szCs w:val="22"/>
        </w:rPr>
        <w:t>ack of alternatives for women wishing to exit an unsafe relationship with their children. There is a serious and chronic shortage of affordable housing, and women exiting such relationships are typically under 40 and have dependent children; this reduces the capacity to access paid work or private rental. Refuge housing is a last resort and more women than not are turned away due to shortages.</w:t>
      </w:r>
      <w:r w:rsidRPr="00A8391F">
        <w:rPr>
          <w:rStyle w:val="EndnoteReference"/>
          <w:rFonts w:cs="Arial"/>
          <w:sz w:val="22"/>
          <w:szCs w:val="22"/>
        </w:rPr>
        <w:endnoteReference w:id="576"/>
      </w:r>
    </w:p>
    <w:p w14:paraId="4278DDA0" w14:textId="77777777" w:rsidR="000D1D92" w:rsidRDefault="000D1D92" w:rsidP="000D1D92">
      <w:pPr>
        <w:autoSpaceDE w:val="0"/>
        <w:autoSpaceDN w:val="0"/>
        <w:adjustRightInd w:val="0"/>
        <w:spacing w:before="0" w:after="0"/>
        <w:jc w:val="both"/>
        <w:rPr>
          <w:rFonts w:cs="Arial"/>
        </w:rPr>
      </w:pPr>
    </w:p>
    <w:p w14:paraId="31DB194B" w14:textId="77777777" w:rsidR="000D1D92" w:rsidRDefault="000D1D92" w:rsidP="000D1D92">
      <w:pPr>
        <w:autoSpaceDE w:val="0"/>
        <w:autoSpaceDN w:val="0"/>
        <w:adjustRightInd w:val="0"/>
        <w:spacing w:before="0" w:after="0"/>
        <w:jc w:val="both"/>
        <w:rPr>
          <w:rFonts w:cs="Arial"/>
        </w:rPr>
      </w:pPr>
      <w:r>
        <w:rPr>
          <w:rFonts w:cs="Arial"/>
        </w:rPr>
        <w:t>Families Australia highlighted some of the issues children and their mothers can face when attempting to escape violence:</w:t>
      </w:r>
    </w:p>
    <w:p w14:paraId="3D6627BD" w14:textId="77777777" w:rsidR="000D1D92" w:rsidRDefault="000D1D92" w:rsidP="000D1D92">
      <w:pPr>
        <w:autoSpaceDE w:val="0"/>
        <w:autoSpaceDN w:val="0"/>
        <w:adjustRightInd w:val="0"/>
        <w:spacing w:before="0" w:after="0"/>
        <w:jc w:val="both"/>
        <w:rPr>
          <w:rFonts w:cs="Arial"/>
        </w:rPr>
      </w:pPr>
    </w:p>
    <w:p w14:paraId="130F612B" w14:textId="77777777" w:rsidR="000D1D92" w:rsidRPr="00202039" w:rsidRDefault="000D1D92" w:rsidP="000D1D92">
      <w:pPr>
        <w:autoSpaceDE w:val="0"/>
        <w:autoSpaceDN w:val="0"/>
        <w:adjustRightInd w:val="0"/>
        <w:spacing w:before="0" w:after="0"/>
        <w:ind w:left="720"/>
        <w:jc w:val="both"/>
        <w:rPr>
          <w:rFonts w:cs="Arial"/>
          <w:sz w:val="22"/>
          <w:szCs w:val="22"/>
        </w:rPr>
      </w:pPr>
      <w:r>
        <w:rPr>
          <w:rFonts w:cs="Arial"/>
          <w:sz w:val="22"/>
          <w:szCs w:val="22"/>
        </w:rPr>
        <w:t>T</w:t>
      </w:r>
      <w:r w:rsidRPr="00202039">
        <w:rPr>
          <w:rFonts w:cs="Arial"/>
          <w:sz w:val="22"/>
          <w:szCs w:val="22"/>
        </w:rPr>
        <w:t>he involvement of police, a traumatic move to a refuge or to relatives, and the subsequent dislocation from family, friends and education. Many women’s refuges do not accept boys over the age of 15</w:t>
      </w:r>
      <w:r>
        <w:rPr>
          <w:rFonts w:cs="Arial"/>
          <w:sz w:val="22"/>
          <w:szCs w:val="22"/>
        </w:rPr>
        <w:t>.</w:t>
      </w:r>
      <w:r>
        <w:rPr>
          <w:rStyle w:val="EndnoteReference"/>
          <w:rFonts w:cs="Arial"/>
          <w:szCs w:val="22"/>
        </w:rPr>
        <w:endnoteReference w:id="577"/>
      </w:r>
    </w:p>
    <w:p w14:paraId="500F6A7D" w14:textId="77777777" w:rsidR="000D1D92" w:rsidRDefault="000D1D92" w:rsidP="000D1D92">
      <w:pPr>
        <w:autoSpaceDE w:val="0"/>
        <w:autoSpaceDN w:val="0"/>
        <w:adjustRightInd w:val="0"/>
        <w:spacing w:before="0" w:after="0"/>
        <w:jc w:val="both"/>
        <w:rPr>
          <w:rFonts w:cs="Arial"/>
        </w:rPr>
      </w:pPr>
    </w:p>
    <w:p w14:paraId="7A751C44" w14:textId="77777777" w:rsidR="000D1D92" w:rsidRDefault="000D1D92" w:rsidP="000D1D92">
      <w:pPr>
        <w:autoSpaceDE w:val="0"/>
        <w:autoSpaceDN w:val="0"/>
        <w:adjustRightInd w:val="0"/>
        <w:spacing w:before="0" w:after="0"/>
        <w:jc w:val="both"/>
        <w:rPr>
          <w:rFonts w:cs="Arial"/>
        </w:rPr>
      </w:pPr>
      <w:r>
        <w:rPr>
          <w:rFonts w:cs="Arial"/>
        </w:rPr>
        <w:t xml:space="preserve">Aboriginal Family Law Services also pointed out that: </w:t>
      </w:r>
    </w:p>
    <w:p w14:paraId="79CA5B41" w14:textId="77777777" w:rsidR="000D1D92" w:rsidRDefault="000D1D92" w:rsidP="000D1D92">
      <w:pPr>
        <w:autoSpaceDE w:val="0"/>
        <w:autoSpaceDN w:val="0"/>
        <w:adjustRightInd w:val="0"/>
        <w:spacing w:before="0" w:after="0"/>
        <w:jc w:val="both"/>
        <w:rPr>
          <w:rFonts w:cs="Arial"/>
        </w:rPr>
      </w:pPr>
    </w:p>
    <w:p w14:paraId="631BC4DF" w14:textId="77777777" w:rsidR="000D1D92" w:rsidRDefault="000D1D92" w:rsidP="000D1D92">
      <w:pPr>
        <w:autoSpaceDE w:val="0"/>
        <w:autoSpaceDN w:val="0"/>
        <w:adjustRightInd w:val="0"/>
        <w:spacing w:before="0" w:after="0"/>
        <w:ind w:left="720"/>
        <w:jc w:val="both"/>
        <w:rPr>
          <w:rFonts w:cs="Arial"/>
          <w:sz w:val="22"/>
          <w:szCs w:val="22"/>
        </w:rPr>
      </w:pPr>
      <w:r w:rsidRPr="00202039">
        <w:rPr>
          <w:rFonts w:cs="Arial"/>
          <w:sz w:val="22"/>
          <w:szCs w:val="22"/>
        </w:rPr>
        <w:lastRenderedPageBreak/>
        <w:t>While a woman may approach a legal service for assistance with a restraining order against her violent partner, her immediate physical safety may depend on whether the local women’s refuge has a bed available, will agree to accommodate her teenage son, or will accept her in her intoxicated state – and this all assumes the community she lives in has a refuge or safe place she can stay.</w:t>
      </w:r>
      <w:r>
        <w:rPr>
          <w:rStyle w:val="EndnoteReference"/>
          <w:rFonts w:cs="Arial"/>
          <w:szCs w:val="22"/>
        </w:rPr>
        <w:endnoteReference w:id="578"/>
      </w:r>
    </w:p>
    <w:p w14:paraId="3B5C8D62" w14:textId="77777777" w:rsidR="000D1D92" w:rsidRDefault="000D1D92" w:rsidP="000D1D92">
      <w:pPr>
        <w:autoSpaceDE w:val="0"/>
        <w:autoSpaceDN w:val="0"/>
        <w:adjustRightInd w:val="0"/>
        <w:spacing w:before="0" w:after="0"/>
        <w:jc w:val="both"/>
        <w:rPr>
          <w:rFonts w:cs="Arial"/>
        </w:rPr>
      </w:pPr>
    </w:p>
    <w:p w14:paraId="68A8B16E" w14:textId="77777777" w:rsidR="000D1D92" w:rsidRPr="00027437" w:rsidRDefault="000D1D92" w:rsidP="000D1D92">
      <w:pPr>
        <w:autoSpaceDE w:val="0"/>
        <w:autoSpaceDN w:val="0"/>
        <w:adjustRightInd w:val="0"/>
        <w:spacing w:before="0" w:after="0"/>
        <w:jc w:val="both"/>
        <w:rPr>
          <w:rFonts w:cs="Arial"/>
        </w:rPr>
      </w:pPr>
      <w:r w:rsidRPr="00027437">
        <w:rPr>
          <w:rFonts w:cs="Arial"/>
        </w:rPr>
        <w:t xml:space="preserve">Berry Street </w:t>
      </w:r>
      <w:r>
        <w:rPr>
          <w:rFonts w:cs="Arial"/>
        </w:rPr>
        <w:t xml:space="preserve">also </w:t>
      </w:r>
      <w:r w:rsidRPr="00027437">
        <w:rPr>
          <w:rFonts w:cs="Arial"/>
        </w:rPr>
        <w:t>raised issues of limited access and restrictive entry criteria to refuge accommodation as a concern:</w:t>
      </w:r>
    </w:p>
    <w:p w14:paraId="2AABB815" w14:textId="77777777" w:rsidR="000D1D92" w:rsidRPr="00027437" w:rsidRDefault="000D1D92" w:rsidP="000D1D92">
      <w:pPr>
        <w:autoSpaceDE w:val="0"/>
        <w:autoSpaceDN w:val="0"/>
        <w:adjustRightInd w:val="0"/>
        <w:spacing w:before="0" w:after="0"/>
        <w:jc w:val="both"/>
        <w:rPr>
          <w:rFonts w:cs="Arial"/>
        </w:rPr>
      </w:pPr>
    </w:p>
    <w:p w14:paraId="18C1BF6B" w14:textId="77777777" w:rsidR="000D1D92" w:rsidRDefault="000D1D92" w:rsidP="000D1D92">
      <w:pPr>
        <w:spacing w:before="0" w:after="0"/>
        <w:ind w:left="720"/>
        <w:jc w:val="both"/>
        <w:rPr>
          <w:sz w:val="22"/>
          <w:szCs w:val="22"/>
        </w:rPr>
      </w:pPr>
      <w:r>
        <w:rPr>
          <w:sz w:val="22"/>
          <w:szCs w:val="22"/>
        </w:rPr>
        <w:t xml:space="preserve">For many women and children, refuge accommodation is a supported and safe alternative to remaining at home or with family or friends; however, due to the scarcity of beds, the access criterion has become increasingly narrow. Sometimes women who are at extreme risk, are rendered ineligible, because the most recent incident of violence was more than a week ago. </w:t>
      </w:r>
    </w:p>
    <w:p w14:paraId="5BD931C7" w14:textId="77777777" w:rsidR="000D1D92" w:rsidRDefault="000D1D92" w:rsidP="000D1D92">
      <w:pPr>
        <w:spacing w:before="0" w:after="0"/>
        <w:jc w:val="both"/>
        <w:rPr>
          <w:sz w:val="22"/>
          <w:szCs w:val="22"/>
        </w:rPr>
      </w:pPr>
    </w:p>
    <w:p w14:paraId="36578B31" w14:textId="77777777" w:rsidR="000D1D92" w:rsidRDefault="000D1D92" w:rsidP="000D1D92">
      <w:pPr>
        <w:spacing w:before="0" w:after="0"/>
        <w:ind w:left="720"/>
        <w:jc w:val="both"/>
        <w:rPr>
          <w:sz w:val="22"/>
          <w:szCs w:val="22"/>
        </w:rPr>
      </w:pPr>
      <w:r>
        <w:rPr>
          <w:sz w:val="22"/>
          <w:szCs w:val="22"/>
        </w:rPr>
        <w:t>The criteria can prevent the use of preventative placement, for example, when a person who has used violence is about to be released from remand or jail. Scarcity of beds can result in women with disabilities or mental health issues or mothers with older sons being unable to access refuge due to insufficient vacancies in tailored models that can adequately support them.</w:t>
      </w:r>
      <w:r>
        <w:rPr>
          <w:rStyle w:val="EndnoteReference"/>
          <w:szCs w:val="22"/>
        </w:rPr>
        <w:endnoteReference w:id="579"/>
      </w:r>
    </w:p>
    <w:p w14:paraId="57839FDB" w14:textId="77777777" w:rsidR="000D1D92" w:rsidRDefault="000D1D92" w:rsidP="000D1D92">
      <w:pPr>
        <w:autoSpaceDE w:val="0"/>
        <w:autoSpaceDN w:val="0"/>
        <w:adjustRightInd w:val="0"/>
        <w:spacing w:before="0" w:after="0"/>
        <w:jc w:val="both"/>
        <w:rPr>
          <w:rFonts w:cs="Arial"/>
        </w:rPr>
      </w:pPr>
    </w:p>
    <w:p w14:paraId="6F987237" w14:textId="77777777" w:rsidR="000D1D92" w:rsidRDefault="000D1D92" w:rsidP="000D1D92">
      <w:pPr>
        <w:autoSpaceDE w:val="0"/>
        <w:autoSpaceDN w:val="0"/>
        <w:adjustRightInd w:val="0"/>
        <w:spacing w:before="0" w:after="0"/>
        <w:jc w:val="both"/>
        <w:rPr>
          <w:rFonts w:cs="Arial"/>
        </w:rPr>
      </w:pPr>
      <w:r>
        <w:rPr>
          <w:rFonts w:cs="Arial"/>
        </w:rPr>
        <w:t>The Western Australian Government raised in its submission the benefits of the ‘cluster model’ refuge which:</w:t>
      </w:r>
    </w:p>
    <w:p w14:paraId="4662AA21" w14:textId="77777777" w:rsidR="000D1D92" w:rsidRDefault="000D1D92" w:rsidP="000D1D92">
      <w:pPr>
        <w:autoSpaceDE w:val="0"/>
        <w:autoSpaceDN w:val="0"/>
        <w:adjustRightInd w:val="0"/>
        <w:spacing w:before="0" w:after="0"/>
        <w:jc w:val="both"/>
        <w:rPr>
          <w:rFonts w:cs="Arial"/>
        </w:rPr>
      </w:pPr>
      <w:r>
        <w:rPr>
          <w:rFonts w:cs="Arial"/>
        </w:rPr>
        <w:tab/>
      </w:r>
    </w:p>
    <w:p w14:paraId="5225A175" w14:textId="77777777" w:rsidR="000D1D92" w:rsidRPr="00F11B5B" w:rsidRDefault="000D1D92" w:rsidP="000D1D92">
      <w:pPr>
        <w:autoSpaceDE w:val="0"/>
        <w:autoSpaceDN w:val="0"/>
        <w:adjustRightInd w:val="0"/>
        <w:spacing w:before="0" w:after="0"/>
        <w:ind w:left="720"/>
        <w:jc w:val="both"/>
        <w:rPr>
          <w:rFonts w:cs="Arial"/>
          <w:sz w:val="22"/>
          <w:szCs w:val="22"/>
        </w:rPr>
      </w:pPr>
      <w:r w:rsidRPr="00F11B5B">
        <w:rPr>
          <w:rFonts w:cs="Arial"/>
          <w:sz w:val="22"/>
          <w:szCs w:val="22"/>
        </w:rPr>
        <w:t>enables larger families to be accommodated, including women with older boys and provides more privacy and independence to women and children.</w:t>
      </w:r>
      <w:r w:rsidRPr="00F11B5B">
        <w:rPr>
          <w:rStyle w:val="EndnoteReference"/>
          <w:rFonts w:cs="Arial"/>
          <w:sz w:val="22"/>
          <w:szCs w:val="22"/>
        </w:rPr>
        <w:endnoteReference w:id="580"/>
      </w:r>
    </w:p>
    <w:p w14:paraId="08AFEDCF" w14:textId="77777777" w:rsidR="000D1D92" w:rsidRDefault="000D1D92" w:rsidP="000D1D92">
      <w:pPr>
        <w:autoSpaceDE w:val="0"/>
        <w:autoSpaceDN w:val="0"/>
        <w:adjustRightInd w:val="0"/>
        <w:spacing w:before="0" w:after="0"/>
        <w:jc w:val="both"/>
        <w:rPr>
          <w:rFonts w:cs="Arial"/>
        </w:rPr>
      </w:pPr>
    </w:p>
    <w:p w14:paraId="6042CBAE" w14:textId="77777777" w:rsidR="000D1D92" w:rsidRDefault="000D1D92" w:rsidP="000D1D92">
      <w:pPr>
        <w:autoSpaceDE w:val="0"/>
        <w:autoSpaceDN w:val="0"/>
        <w:adjustRightInd w:val="0"/>
        <w:spacing w:before="0" w:after="0"/>
        <w:jc w:val="both"/>
        <w:rPr>
          <w:rFonts w:cs="Arial"/>
        </w:rPr>
      </w:pPr>
      <w:r>
        <w:rPr>
          <w:rFonts w:cs="Arial"/>
        </w:rPr>
        <w:t>During my consultations, I visited a cluster model refuge and observed the benefits inherent in this model.</w:t>
      </w:r>
    </w:p>
    <w:p w14:paraId="7D8CB5DD" w14:textId="77777777" w:rsidR="000D1D92" w:rsidRDefault="000D1D92" w:rsidP="000D1D92">
      <w:pPr>
        <w:autoSpaceDE w:val="0"/>
        <w:autoSpaceDN w:val="0"/>
        <w:adjustRightInd w:val="0"/>
        <w:spacing w:before="0" w:after="0"/>
        <w:jc w:val="both"/>
        <w:rPr>
          <w:rFonts w:cs="Arial"/>
        </w:rPr>
      </w:pPr>
    </w:p>
    <w:p w14:paraId="1A29CF75" w14:textId="77777777" w:rsidR="000D1D92" w:rsidRDefault="000D1D92" w:rsidP="000D1D92">
      <w:pPr>
        <w:autoSpaceDE w:val="0"/>
        <w:autoSpaceDN w:val="0"/>
        <w:adjustRightInd w:val="0"/>
        <w:spacing w:before="0" w:after="0"/>
        <w:jc w:val="both"/>
        <w:rPr>
          <w:rFonts w:cs="Arial"/>
        </w:rPr>
      </w:pPr>
      <w:r>
        <w:rPr>
          <w:rFonts w:cs="Arial"/>
        </w:rPr>
        <w:t>Berry Street indicated to me that it has supported women and children who have been in transitional housing for extended periods of time. In some cases, these mothers and their children have waited months and years for a permanent placement.</w:t>
      </w:r>
      <w:r>
        <w:rPr>
          <w:rStyle w:val="EndnoteReference"/>
          <w:rFonts w:cs="Arial"/>
        </w:rPr>
        <w:endnoteReference w:id="581"/>
      </w:r>
      <w:r>
        <w:rPr>
          <w:rFonts w:cs="Arial"/>
        </w:rPr>
        <w:t xml:space="preserve"> </w:t>
      </w:r>
    </w:p>
    <w:p w14:paraId="51086BD5" w14:textId="77777777" w:rsidR="000D1D92" w:rsidRDefault="000D1D92" w:rsidP="000D1D92">
      <w:pPr>
        <w:autoSpaceDE w:val="0"/>
        <w:autoSpaceDN w:val="0"/>
        <w:adjustRightInd w:val="0"/>
        <w:spacing w:before="0" w:after="0"/>
        <w:jc w:val="both"/>
        <w:rPr>
          <w:rFonts w:cs="Arial"/>
        </w:rPr>
      </w:pPr>
    </w:p>
    <w:p w14:paraId="4B1DAA49" w14:textId="77777777" w:rsidR="000D1D92" w:rsidRDefault="000D1D92" w:rsidP="000D1D92">
      <w:pPr>
        <w:autoSpaceDE w:val="0"/>
        <w:autoSpaceDN w:val="0"/>
        <w:adjustRightInd w:val="0"/>
        <w:spacing w:before="0" w:after="0"/>
        <w:jc w:val="both"/>
        <w:rPr>
          <w:rFonts w:cs="Arial"/>
        </w:rPr>
      </w:pPr>
      <w:r>
        <w:rPr>
          <w:rFonts w:cs="Arial"/>
        </w:rPr>
        <w:t xml:space="preserve">Berry Street promotes the federal initiative, </w:t>
      </w:r>
      <w:r w:rsidRPr="00832E72">
        <w:rPr>
          <w:rFonts w:cs="Arial"/>
          <w:i/>
        </w:rPr>
        <w:t>A Place to Call Home</w:t>
      </w:r>
      <w:r>
        <w:rPr>
          <w:rFonts w:cs="Arial"/>
        </w:rPr>
        <w:t>, as an example of an effective brokerage program to help families recover from violence and enable their transitional housing to become their permanent home.</w:t>
      </w:r>
      <w:r>
        <w:rPr>
          <w:rStyle w:val="EndnoteReference"/>
          <w:rFonts w:cs="Arial"/>
        </w:rPr>
        <w:endnoteReference w:id="582"/>
      </w:r>
      <w:r>
        <w:rPr>
          <w:rFonts w:cs="Arial"/>
        </w:rPr>
        <w:t xml:space="preserve"> </w:t>
      </w:r>
    </w:p>
    <w:p w14:paraId="4C1A9F8A" w14:textId="77777777" w:rsidR="000D1D92" w:rsidRDefault="000D1D92" w:rsidP="000D1D92">
      <w:pPr>
        <w:jc w:val="both"/>
      </w:pPr>
      <w:r>
        <w:rPr>
          <w:rFonts w:cs="Arial"/>
        </w:rPr>
        <w:t xml:space="preserve">Providing </w:t>
      </w:r>
      <w:r>
        <w:t>accommodation services that help children and their protective parent to be physically safe at home, both in the short and the longer term, must be prioritised.</w:t>
      </w:r>
    </w:p>
    <w:p w14:paraId="346755FD" w14:textId="77777777" w:rsidR="000D1D92" w:rsidRDefault="000D1D92" w:rsidP="000D1D92">
      <w:pPr>
        <w:jc w:val="both"/>
      </w:pPr>
      <w:r>
        <w:t xml:space="preserve">The Senate Committee’s recent report on family and domestic violence recognised that the longer-term housing needs of children and their mothers must be addressed, and recommended that: </w:t>
      </w:r>
    </w:p>
    <w:p w14:paraId="7B5A911D" w14:textId="77777777" w:rsidR="000D1D92" w:rsidRPr="003B7164" w:rsidRDefault="000D1D92" w:rsidP="000D1D92">
      <w:pPr>
        <w:ind w:left="720"/>
        <w:jc w:val="both"/>
      </w:pPr>
      <w:r>
        <w:rPr>
          <w:sz w:val="22"/>
          <w:szCs w:val="22"/>
        </w:rPr>
        <w:t>… the Commonwealth Government take a lead role in the provision of affordable housing solutions in Australia to meet long-term needs for those made homeless by domestic and family violence and in order to address the backlog of victims who cannot access affordable housing which stakeholders have identified during the inquiry.</w:t>
      </w:r>
      <w:r>
        <w:rPr>
          <w:rStyle w:val="EndnoteReference"/>
          <w:szCs w:val="22"/>
        </w:rPr>
        <w:endnoteReference w:id="583"/>
      </w:r>
    </w:p>
    <w:p w14:paraId="5C7E0D4E" w14:textId="77777777" w:rsidR="000D1D92" w:rsidRDefault="000D1D92" w:rsidP="000D1D92">
      <w:pPr>
        <w:pStyle w:val="Heading4"/>
        <w:jc w:val="both"/>
      </w:pPr>
      <w:r>
        <w:lastRenderedPageBreak/>
        <w:t xml:space="preserve"> Therapeutic services assisting children to manage the trauma associated with family and domestic violence; including programs that focus on reparation of parent-child relationships</w:t>
      </w:r>
    </w:p>
    <w:p w14:paraId="6AD14845" w14:textId="77777777" w:rsidR="000D1D92" w:rsidRDefault="000D1D92" w:rsidP="000D1D92">
      <w:pPr>
        <w:jc w:val="both"/>
      </w:pPr>
      <w:r>
        <w:t>T</w:t>
      </w:r>
      <w:r w:rsidRPr="005C495C">
        <w:t xml:space="preserve">herapeutic interventions targeted at children who experience </w:t>
      </w:r>
      <w:r>
        <w:t>f</w:t>
      </w:r>
      <w:r w:rsidRPr="005C495C">
        <w:t>amily</w:t>
      </w:r>
      <w:r>
        <w:t xml:space="preserve"> and domestic </w:t>
      </w:r>
      <w:r w:rsidRPr="005C495C">
        <w:t xml:space="preserve">violence </w:t>
      </w:r>
      <w:r>
        <w:t>are widely recognised as</w:t>
      </w:r>
      <w:r w:rsidRPr="005C495C">
        <w:t xml:space="preserve"> </w:t>
      </w:r>
      <w:r>
        <w:t>positively influencing outcomes for them.</w:t>
      </w:r>
    </w:p>
    <w:p w14:paraId="79CE5E39" w14:textId="77777777" w:rsidR="000D1D92" w:rsidRDefault="000D1D92" w:rsidP="000D1D92">
      <w:pPr>
        <w:jc w:val="both"/>
      </w:pPr>
      <w:r>
        <w:t>Participants at my roundtables and written submissions raised issues about the affordability, accessibility and availability of therapeutic services for children. The Dawn House Women’s Refuge in the Northern Territory, for example, stated that:</w:t>
      </w:r>
    </w:p>
    <w:p w14:paraId="7D01A4EB" w14:textId="77777777" w:rsidR="000D1D92" w:rsidRDefault="000D1D92" w:rsidP="000D1D92">
      <w:pPr>
        <w:ind w:left="720"/>
        <w:jc w:val="both"/>
        <w:rPr>
          <w:sz w:val="22"/>
          <w:szCs w:val="22"/>
        </w:rPr>
      </w:pPr>
      <w:r w:rsidRPr="00A20CBC">
        <w:rPr>
          <w:sz w:val="22"/>
          <w:szCs w:val="22"/>
        </w:rPr>
        <w:t>A significant barrier to service accessibility for children affected by DV&amp;FV tends to be the relatively complicated and protracted process for accessing affordable services that cover a child’s holistic needs</w:t>
      </w:r>
      <w:r>
        <w:rPr>
          <w:sz w:val="22"/>
          <w:szCs w:val="22"/>
        </w:rPr>
        <w:t>.</w:t>
      </w:r>
      <w:r>
        <w:rPr>
          <w:rStyle w:val="EndnoteReference"/>
          <w:szCs w:val="22"/>
        </w:rPr>
        <w:endnoteReference w:id="584"/>
      </w:r>
    </w:p>
    <w:p w14:paraId="4320C115" w14:textId="77777777" w:rsidR="000D1D92" w:rsidRDefault="000D1D92" w:rsidP="000D1D92">
      <w:pPr>
        <w:ind w:left="720"/>
        <w:jc w:val="both"/>
        <w:rPr>
          <w:sz w:val="22"/>
          <w:szCs w:val="22"/>
        </w:rPr>
      </w:pPr>
      <w:r w:rsidRPr="00A20CBC">
        <w:rPr>
          <w:sz w:val="22"/>
          <w:szCs w:val="22"/>
        </w:rPr>
        <w:t>A child with psychological, behavioural or developmental issues may require a multitude of specialist intervention, including: general practitioners for referrals, occupational therapy, speech pathologists, special education services and school intervention, complex paediatric assessments and diagnosis, child development services, medications, play therapists, counsellors or psychologists, recreational services, disability support services, respite and child care. Many services work in silos and have varying wait list times.</w:t>
      </w:r>
      <w:r>
        <w:rPr>
          <w:rStyle w:val="EndnoteReference"/>
          <w:szCs w:val="22"/>
        </w:rPr>
        <w:endnoteReference w:id="585"/>
      </w:r>
    </w:p>
    <w:p w14:paraId="5A9C2A41" w14:textId="77777777" w:rsidR="000D1D92" w:rsidRDefault="000D1D92" w:rsidP="000D1D92">
      <w:pPr>
        <w:jc w:val="both"/>
      </w:pPr>
      <w:r>
        <w:t>The submission made by the New South Wales Government raised the need for family and domestic violence services to operate from a trauma-informed framework.</w:t>
      </w:r>
      <w:r>
        <w:rPr>
          <w:rStyle w:val="EndnoteReference"/>
        </w:rPr>
        <w:endnoteReference w:id="586"/>
      </w:r>
    </w:p>
    <w:p w14:paraId="340DE178" w14:textId="77777777" w:rsidR="000D1D92" w:rsidRDefault="000D1D92" w:rsidP="000D1D92">
      <w:pPr>
        <w:autoSpaceDE w:val="0"/>
        <w:autoSpaceDN w:val="0"/>
        <w:adjustRightInd w:val="0"/>
        <w:spacing w:before="0" w:after="0"/>
        <w:jc w:val="both"/>
        <w:rPr>
          <w:rFonts w:cs="Arial"/>
        </w:rPr>
      </w:pPr>
      <w:r w:rsidRPr="001715AD">
        <w:rPr>
          <w:rFonts w:cs="Arial"/>
        </w:rPr>
        <w:t>The submission made by Berry Street reinforced the need for:</w:t>
      </w:r>
    </w:p>
    <w:p w14:paraId="138F9AFA" w14:textId="77777777" w:rsidR="000D1D92" w:rsidRDefault="000D1D92" w:rsidP="000D1D92">
      <w:pPr>
        <w:autoSpaceDE w:val="0"/>
        <w:autoSpaceDN w:val="0"/>
        <w:adjustRightInd w:val="0"/>
        <w:spacing w:before="0" w:after="0"/>
        <w:jc w:val="both"/>
        <w:rPr>
          <w:rFonts w:cs="Arial"/>
        </w:rPr>
      </w:pPr>
    </w:p>
    <w:p w14:paraId="07392F42" w14:textId="77777777" w:rsidR="000D1D92" w:rsidRPr="00482666" w:rsidRDefault="000D1D92" w:rsidP="000D1D92">
      <w:pPr>
        <w:autoSpaceDE w:val="0"/>
        <w:autoSpaceDN w:val="0"/>
        <w:adjustRightInd w:val="0"/>
        <w:spacing w:before="0" w:after="0"/>
        <w:ind w:left="720"/>
        <w:jc w:val="both"/>
        <w:rPr>
          <w:rFonts w:cs="Arial"/>
          <w:sz w:val="22"/>
          <w:szCs w:val="22"/>
        </w:rPr>
      </w:pPr>
      <w:r>
        <w:rPr>
          <w:rFonts w:cs="Arial"/>
          <w:sz w:val="22"/>
          <w:szCs w:val="22"/>
        </w:rPr>
        <w:t>Therapeutic options to aid children’s recovery from any traumatic impact of family violence</w:t>
      </w:r>
      <w:r>
        <w:rPr>
          <w:rStyle w:val="EndnoteReference"/>
          <w:rFonts w:cs="Arial"/>
          <w:szCs w:val="22"/>
        </w:rPr>
        <w:endnoteReference w:id="587"/>
      </w:r>
      <w:r>
        <w:rPr>
          <w:rFonts w:cs="Arial"/>
          <w:sz w:val="22"/>
          <w:szCs w:val="22"/>
        </w:rPr>
        <w:t>…clinical interventions targeting children living in families where there is pregnancy, high risk incidents and post-separation violence are lacking.</w:t>
      </w:r>
      <w:r>
        <w:rPr>
          <w:rStyle w:val="EndnoteReference"/>
          <w:rFonts w:cs="Arial"/>
          <w:szCs w:val="22"/>
        </w:rPr>
        <w:endnoteReference w:id="588"/>
      </w:r>
    </w:p>
    <w:p w14:paraId="37D6A090" w14:textId="77777777" w:rsidR="000D1D92" w:rsidRDefault="000D1D92" w:rsidP="000D1D92">
      <w:pPr>
        <w:jc w:val="both"/>
      </w:pPr>
      <w:r w:rsidRPr="00C370E4">
        <w:t>Ms Emma Giers</w:t>
      </w:r>
      <w:r>
        <w:t xml:space="preserve">chick, a mother of a child with disability, also pointed out to me that: </w:t>
      </w:r>
    </w:p>
    <w:p w14:paraId="3FDA86E2" w14:textId="77777777" w:rsidR="000D1D92" w:rsidRDefault="000D1D92" w:rsidP="000D1D92">
      <w:pPr>
        <w:ind w:left="720"/>
        <w:jc w:val="both"/>
        <w:rPr>
          <w:sz w:val="22"/>
          <w:szCs w:val="22"/>
        </w:rPr>
      </w:pPr>
      <w:r w:rsidRPr="00C370E4">
        <w:rPr>
          <w:sz w:val="22"/>
          <w:szCs w:val="22"/>
        </w:rPr>
        <w:t xml:space="preserve">It has often taken a long time to establish a suitable support network for a child with therapists, medical services and educational supports. There are often long waiting lists for such services. </w:t>
      </w:r>
    </w:p>
    <w:p w14:paraId="3D756C63" w14:textId="77777777" w:rsidR="000D1D92" w:rsidRDefault="000D1D92" w:rsidP="000D1D92">
      <w:pPr>
        <w:ind w:left="720"/>
        <w:jc w:val="both"/>
        <w:rPr>
          <w:sz w:val="22"/>
          <w:szCs w:val="22"/>
        </w:rPr>
      </w:pPr>
      <w:r w:rsidRPr="00C370E4">
        <w:rPr>
          <w:sz w:val="22"/>
          <w:szCs w:val="22"/>
        </w:rPr>
        <w:t>This is a consideration a mother has to make about relocating. It isn’t as easy as just going to a refuge and finding a new therapist.</w:t>
      </w:r>
      <w:r>
        <w:rPr>
          <w:rStyle w:val="EndnoteReference"/>
          <w:szCs w:val="22"/>
        </w:rPr>
        <w:endnoteReference w:id="589"/>
      </w:r>
    </w:p>
    <w:p w14:paraId="5CCBD519" w14:textId="77777777" w:rsidR="000D1D92" w:rsidRDefault="000D1D92" w:rsidP="000D1D92">
      <w:pPr>
        <w:autoSpaceDE w:val="0"/>
        <w:autoSpaceDN w:val="0"/>
        <w:adjustRightInd w:val="0"/>
        <w:spacing w:before="0" w:after="0"/>
        <w:jc w:val="both"/>
        <w:rPr>
          <w:rFonts w:cs="Arial"/>
        </w:rPr>
      </w:pPr>
      <w:r>
        <w:rPr>
          <w:rFonts w:cs="Arial"/>
        </w:rPr>
        <w:t>The NSW Government submission to my examination highlighted some of the factors impeding children’s engagement with services; including:</w:t>
      </w:r>
    </w:p>
    <w:p w14:paraId="12BB16B2" w14:textId="77777777" w:rsidR="000D1D92" w:rsidRDefault="000D1D92" w:rsidP="000D1D92">
      <w:pPr>
        <w:autoSpaceDE w:val="0"/>
        <w:autoSpaceDN w:val="0"/>
        <w:adjustRightInd w:val="0"/>
        <w:spacing w:before="0" w:after="0"/>
        <w:jc w:val="both"/>
        <w:rPr>
          <w:rFonts w:cs="Arial"/>
        </w:rPr>
      </w:pPr>
    </w:p>
    <w:p w14:paraId="2E6272BF" w14:textId="77777777" w:rsidR="000D1D92" w:rsidRPr="00EC7BCA" w:rsidRDefault="000D1D92" w:rsidP="000D1D92">
      <w:pPr>
        <w:pStyle w:val="ListParagraph"/>
        <w:numPr>
          <w:ilvl w:val="0"/>
          <w:numId w:val="29"/>
        </w:numPr>
        <w:autoSpaceDE w:val="0"/>
        <w:autoSpaceDN w:val="0"/>
        <w:adjustRightInd w:val="0"/>
        <w:spacing w:before="0" w:after="0"/>
        <w:jc w:val="both"/>
        <w:rPr>
          <w:rFonts w:cs="Arial"/>
          <w:sz w:val="22"/>
          <w:szCs w:val="22"/>
        </w:rPr>
      </w:pPr>
      <w:r w:rsidRPr="00EC7BCA">
        <w:rPr>
          <w:rFonts w:cs="Arial"/>
          <w:sz w:val="22"/>
          <w:szCs w:val="22"/>
        </w:rPr>
        <w:t>Location: access to services vary with children in metropolitan areas more likely to have better access than those in rural and remote areas</w:t>
      </w:r>
    </w:p>
    <w:p w14:paraId="11D8D930" w14:textId="77777777" w:rsidR="000D1D92" w:rsidRPr="00EC7BCA" w:rsidRDefault="000D1D92" w:rsidP="000D1D92">
      <w:pPr>
        <w:pStyle w:val="ListParagraph"/>
        <w:numPr>
          <w:ilvl w:val="0"/>
          <w:numId w:val="29"/>
        </w:numPr>
        <w:autoSpaceDE w:val="0"/>
        <w:autoSpaceDN w:val="0"/>
        <w:adjustRightInd w:val="0"/>
        <w:spacing w:before="0" w:after="0"/>
        <w:jc w:val="both"/>
        <w:rPr>
          <w:rFonts w:cs="Arial"/>
          <w:sz w:val="22"/>
          <w:szCs w:val="22"/>
        </w:rPr>
      </w:pPr>
      <w:r w:rsidRPr="00EC7BCA">
        <w:rPr>
          <w:rFonts w:cs="Arial"/>
          <w:sz w:val="22"/>
          <w:szCs w:val="22"/>
        </w:rPr>
        <w:t>Ethnicity: difficulties in accessing culturally appropriate services for Indigenous children and those from migrant and refugee backgrounds</w:t>
      </w:r>
    </w:p>
    <w:p w14:paraId="4710CB12" w14:textId="77777777" w:rsidR="000D1D92" w:rsidRPr="00EC7BCA" w:rsidRDefault="000D1D92" w:rsidP="000D1D92">
      <w:pPr>
        <w:pStyle w:val="ListParagraph"/>
        <w:numPr>
          <w:ilvl w:val="0"/>
          <w:numId w:val="29"/>
        </w:numPr>
        <w:autoSpaceDE w:val="0"/>
        <w:autoSpaceDN w:val="0"/>
        <w:adjustRightInd w:val="0"/>
        <w:spacing w:before="0" w:after="0"/>
        <w:jc w:val="both"/>
        <w:rPr>
          <w:rFonts w:cs="Arial"/>
          <w:sz w:val="22"/>
          <w:szCs w:val="22"/>
        </w:rPr>
      </w:pPr>
      <w:r w:rsidRPr="00EC7BCA">
        <w:rPr>
          <w:rFonts w:cs="Arial"/>
          <w:sz w:val="22"/>
          <w:szCs w:val="22"/>
        </w:rPr>
        <w:t>Socio-economic status where the costs of services can restrict ongoing access</w:t>
      </w:r>
    </w:p>
    <w:p w14:paraId="6A4B5A10" w14:textId="77777777" w:rsidR="000D1D92" w:rsidRDefault="000D1D92" w:rsidP="000D1D92">
      <w:pPr>
        <w:pStyle w:val="ListParagraph"/>
        <w:numPr>
          <w:ilvl w:val="0"/>
          <w:numId w:val="29"/>
        </w:numPr>
        <w:autoSpaceDE w:val="0"/>
        <w:autoSpaceDN w:val="0"/>
        <w:adjustRightInd w:val="0"/>
        <w:spacing w:before="0" w:after="0"/>
        <w:jc w:val="both"/>
        <w:rPr>
          <w:rFonts w:cs="Arial"/>
          <w:sz w:val="22"/>
          <w:szCs w:val="22"/>
        </w:rPr>
      </w:pPr>
      <w:r w:rsidRPr="00EC7BCA">
        <w:rPr>
          <w:rFonts w:cs="Arial"/>
          <w:sz w:val="22"/>
          <w:szCs w:val="22"/>
        </w:rPr>
        <w:t>Social isolation</w:t>
      </w:r>
    </w:p>
    <w:p w14:paraId="67CB008F" w14:textId="77777777" w:rsidR="000D1D92" w:rsidRPr="00B2626E" w:rsidRDefault="000D1D92" w:rsidP="000D1D92">
      <w:pPr>
        <w:pStyle w:val="ListParagraph"/>
        <w:numPr>
          <w:ilvl w:val="0"/>
          <w:numId w:val="29"/>
        </w:numPr>
        <w:autoSpaceDE w:val="0"/>
        <w:autoSpaceDN w:val="0"/>
        <w:adjustRightInd w:val="0"/>
        <w:spacing w:before="0" w:after="0"/>
        <w:jc w:val="both"/>
        <w:rPr>
          <w:rFonts w:cs="Arial"/>
          <w:sz w:val="22"/>
          <w:szCs w:val="22"/>
        </w:rPr>
      </w:pPr>
      <w:r w:rsidRPr="004F0023">
        <w:rPr>
          <w:sz w:val="22"/>
          <w:szCs w:val="22"/>
        </w:rPr>
        <w:t>Lack of integrated service models for mothers and their children which obstructs their access</w:t>
      </w:r>
      <w:r>
        <w:t>.</w:t>
      </w:r>
      <w:r>
        <w:rPr>
          <w:rStyle w:val="EndnoteReference"/>
          <w:rFonts w:cs="Arial"/>
        </w:rPr>
        <w:endnoteReference w:id="590"/>
      </w:r>
    </w:p>
    <w:p w14:paraId="71E16B9A" w14:textId="77777777" w:rsidR="000D1D92" w:rsidRDefault="000D1D92" w:rsidP="000D1D92">
      <w:pPr>
        <w:autoSpaceDE w:val="0"/>
        <w:autoSpaceDN w:val="0"/>
        <w:adjustRightInd w:val="0"/>
        <w:spacing w:before="0" w:after="0"/>
        <w:jc w:val="both"/>
        <w:rPr>
          <w:rFonts w:cs="Arial"/>
        </w:rPr>
      </w:pPr>
    </w:p>
    <w:p w14:paraId="6FE9E43C" w14:textId="77777777" w:rsidR="000D1D92" w:rsidRDefault="000D1D92" w:rsidP="000D1D92">
      <w:pPr>
        <w:autoSpaceDE w:val="0"/>
        <w:autoSpaceDN w:val="0"/>
        <w:adjustRightInd w:val="0"/>
        <w:spacing w:before="0" w:after="0"/>
        <w:jc w:val="both"/>
        <w:rPr>
          <w:rFonts w:cs="Arial"/>
        </w:rPr>
      </w:pPr>
      <w:r>
        <w:rPr>
          <w:rFonts w:cs="Arial"/>
        </w:rPr>
        <w:lastRenderedPageBreak/>
        <w:t>In terms of t</w:t>
      </w:r>
      <w:r w:rsidRPr="00E573E1">
        <w:rPr>
          <w:rFonts w:cs="Arial"/>
        </w:rPr>
        <w:t xml:space="preserve">herapeutic </w:t>
      </w:r>
      <w:r>
        <w:rPr>
          <w:rFonts w:cs="Arial"/>
        </w:rPr>
        <w:t xml:space="preserve">interventions, </w:t>
      </w:r>
      <w:r w:rsidRPr="00504BCB">
        <w:rPr>
          <w:rFonts w:cs="Arial"/>
          <w:b/>
        </w:rPr>
        <w:t>the importance of a supportive relationship for the child</w:t>
      </w:r>
      <w:r>
        <w:rPr>
          <w:rFonts w:cs="Arial"/>
        </w:rPr>
        <w:t xml:space="preserve"> was consistently raised. Mostly, but not solely, this related to the </w:t>
      </w:r>
      <w:r w:rsidRPr="00504BCB">
        <w:rPr>
          <w:rFonts w:cs="Arial"/>
          <w:b/>
        </w:rPr>
        <w:t>mother/child relationship</w:t>
      </w:r>
      <w:r>
        <w:rPr>
          <w:rFonts w:cs="Arial"/>
        </w:rPr>
        <w:t>.</w:t>
      </w:r>
      <w:r>
        <w:rPr>
          <w:rStyle w:val="EndnoteReference"/>
          <w:rFonts w:cs="Arial"/>
        </w:rPr>
        <w:endnoteReference w:id="591"/>
      </w:r>
    </w:p>
    <w:p w14:paraId="7AE5C436" w14:textId="77777777" w:rsidR="000D1D92" w:rsidRDefault="000D1D92" w:rsidP="000D1D92">
      <w:pPr>
        <w:autoSpaceDE w:val="0"/>
        <w:autoSpaceDN w:val="0"/>
        <w:adjustRightInd w:val="0"/>
        <w:spacing w:before="0" w:after="0"/>
        <w:jc w:val="both"/>
        <w:rPr>
          <w:rFonts w:cs="Arial"/>
        </w:rPr>
      </w:pPr>
    </w:p>
    <w:p w14:paraId="5BA5338B" w14:textId="77777777" w:rsidR="000D1D92" w:rsidRDefault="000D1D92" w:rsidP="000D1D92">
      <w:pPr>
        <w:autoSpaceDE w:val="0"/>
        <w:autoSpaceDN w:val="0"/>
        <w:adjustRightInd w:val="0"/>
        <w:spacing w:before="0" w:after="0"/>
        <w:jc w:val="both"/>
        <w:rPr>
          <w:rFonts w:cs="Arial"/>
        </w:rPr>
      </w:pPr>
      <w:r>
        <w:rPr>
          <w:rFonts w:cs="Arial"/>
        </w:rPr>
        <w:t>Relationships Australia told me:</w:t>
      </w:r>
    </w:p>
    <w:p w14:paraId="6BB732EF" w14:textId="77777777" w:rsidR="000D1D92" w:rsidRDefault="000D1D92" w:rsidP="000D1D92">
      <w:pPr>
        <w:autoSpaceDE w:val="0"/>
        <w:autoSpaceDN w:val="0"/>
        <w:adjustRightInd w:val="0"/>
        <w:spacing w:before="0" w:after="0"/>
        <w:jc w:val="both"/>
        <w:rPr>
          <w:rFonts w:cs="Arial"/>
        </w:rPr>
      </w:pPr>
    </w:p>
    <w:p w14:paraId="6E29FA0D" w14:textId="77777777" w:rsidR="000D1D92" w:rsidRPr="001B1AF7" w:rsidRDefault="000D1D92" w:rsidP="000D1D92">
      <w:pPr>
        <w:spacing w:before="0" w:after="0"/>
        <w:ind w:left="720"/>
        <w:jc w:val="both"/>
        <w:rPr>
          <w:sz w:val="22"/>
          <w:szCs w:val="22"/>
          <w:lang w:val="en-US"/>
        </w:rPr>
      </w:pPr>
      <w:r w:rsidRPr="001B1AF7">
        <w:rPr>
          <w:sz w:val="22"/>
          <w:szCs w:val="22"/>
          <w:lang w:val="en-US"/>
        </w:rPr>
        <w:t xml:space="preserve">It is extremely challenging for a child to feel safe in an environment where they are aware that their mother or care-giver may be in danger. Family violence has a significant impact on </w:t>
      </w:r>
      <w:r w:rsidRPr="00710BAB">
        <w:rPr>
          <w:sz w:val="22"/>
          <w:szCs w:val="22"/>
          <w:lang w:val="en-US"/>
        </w:rPr>
        <w:t>the mother/child relationship,</w:t>
      </w:r>
      <w:r w:rsidRPr="001B1AF7">
        <w:rPr>
          <w:sz w:val="22"/>
          <w:szCs w:val="22"/>
          <w:lang w:val="en-US"/>
        </w:rPr>
        <w:t xml:space="preserve"> which in turn can affect a child’s physical, emotional and intellectual development.</w:t>
      </w:r>
      <w:r>
        <w:rPr>
          <w:rStyle w:val="EndnoteReference"/>
          <w:szCs w:val="22"/>
          <w:lang w:val="en-US"/>
        </w:rPr>
        <w:endnoteReference w:id="592"/>
      </w:r>
    </w:p>
    <w:p w14:paraId="5B6AAF0B" w14:textId="77777777" w:rsidR="000D1D92" w:rsidRPr="00710BAB" w:rsidRDefault="000D1D92" w:rsidP="000D1D92">
      <w:pPr>
        <w:autoSpaceDE w:val="0"/>
        <w:autoSpaceDN w:val="0"/>
        <w:adjustRightInd w:val="0"/>
        <w:spacing w:before="0" w:after="0"/>
        <w:jc w:val="both"/>
        <w:rPr>
          <w:rFonts w:cs="Arial"/>
        </w:rPr>
      </w:pPr>
    </w:p>
    <w:p w14:paraId="26CA2F9C" w14:textId="77777777" w:rsidR="000D1D92" w:rsidRPr="00710BAB" w:rsidRDefault="000D1D92" w:rsidP="000D1D92">
      <w:pPr>
        <w:autoSpaceDE w:val="0"/>
        <w:autoSpaceDN w:val="0"/>
        <w:adjustRightInd w:val="0"/>
        <w:spacing w:before="0" w:after="0"/>
        <w:jc w:val="both"/>
        <w:rPr>
          <w:rFonts w:cs="Arial"/>
        </w:rPr>
      </w:pPr>
      <w:r w:rsidRPr="00710BAB">
        <w:rPr>
          <w:rFonts w:cs="Arial"/>
        </w:rPr>
        <w:t>The Kids Helpline emphasised to me that:</w:t>
      </w:r>
    </w:p>
    <w:p w14:paraId="35913BC1" w14:textId="77777777" w:rsidR="000D1D92" w:rsidRPr="00710BAB" w:rsidRDefault="000D1D92" w:rsidP="000D1D92">
      <w:pPr>
        <w:autoSpaceDE w:val="0"/>
        <w:autoSpaceDN w:val="0"/>
        <w:adjustRightInd w:val="0"/>
        <w:spacing w:before="0" w:after="0"/>
        <w:jc w:val="both"/>
        <w:rPr>
          <w:rFonts w:cs="Arial"/>
        </w:rPr>
      </w:pPr>
    </w:p>
    <w:p w14:paraId="1FAE2AEA" w14:textId="77777777" w:rsidR="000D1D92" w:rsidRPr="00DE4C38" w:rsidRDefault="000D1D92" w:rsidP="000D1D92">
      <w:pPr>
        <w:autoSpaceDE w:val="0"/>
        <w:autoSpaceDN w:val="0"/>
        <w:adjustRightInd w:val="0"/>
        <w:spacing w:before="0" w:after="0"/>
        <w:ind w:left="720"/>
        <w:jc w:val="both"/>
        <w:rPr>
          <w:rFonts w:cs="Arial"/>
          <w:sz w:val="22"/>
          <w:szCs w:val="22"/>
          <w:highlight w:val="yellow"/>
        </w:rPr>
      </w:pPr>
      <w:r w:rsidRPr="00710BAB">
        <w:rPr>
          <w:sz w:val="22"/>
          <w:szCs w:val="22"/>
        </w:rPr>
        <w:t>The quality of the mother-child attachment relationship is</w:t>
      </w:r>
      <w:r w:rsidRPr="0099208B">
        <w:rPr>
          <w:sz w:val="22"/>
          <w:szCs w:val="22"/>
        </w:rPr>
        <w:t xml:space="preserve"> compromised in situations of DFV. Both exposure to trauma and poor quality attachment relationships have serious long term negative impacts on children’s social, emotional and cognitive functioning, including difficulties with emotional self-regulation, impulse control, learning delays, low self-esteem, and difficulty understanding, trusting, and relating to others.</w:t>
      </w:r>
      <w:r>
        <w:rPr>
          <w:rStyle w:val="EndnoteReference"/>
          <w:szCs w:val="22"/>
        </w:rPr>
        <w:endnoteReference w:id="593"/>
      </w:r>
    </w:p>
    <w:p w14:paraId="77B117A4" w14:textId="77777777" w:rsidR="000D1D92" w:rsidRDefault="000D1D92" w:rsidP="000D1D92">
      <w:pPr>
        <w:autoSpaceDE w:val="0"/>
        <w:autoSpaceDN w:val="0"/>
        <w:adjustRightInd w:val="0"/>
        <w:spacing w:before="0" w:after="0"/>
        <w:ind w:left="720"/>
        <w:jc w:val="both"/>
        <w:rPr>
          <w:rFonts w:cs="Arial"/>
        </w:rPr>
      </w:pPr>
    </w:p>
    <w:p w14:paraId="5FE4D71A" w14:textId="77777777" w:rsidR="000D1D92" w:rsidRDefault="000D1D92" w:rsidP="000D1D92">
      <w:pPr>
        <w:autoSpaceDE w:val="0"/>
        <w:autoSpaceDN w:val="0"/>
        <w:adjustRightInd w:val="0"/>
        <w:spacing w:before="0" w:after="0"/>
        <w:jc w:val="both"/>
        <w:rPr>
          <w:rFonts w:cs="Arial"/>
        </w:rPr>
      </w:pPr>
      <w:r w:rsidRPr="00BF4311">
        <w:rPr>
          <w:rFonts w:cs="Arial"/>
        </w:rPr>
        <w:t>The submission by Melbourne Research Alliance to End Violence Against Women and their Children highlighted that</w:t>
      </w:r>
      <w:r>
        <w:rPr>
          <w:rFonts w:cs="Arial"/>
        </w:rPr>
        <w:t>:</w:t>
      </w:r>
    </w:p>
    <w:p w14:paraId="691CE945" w14:textId="77777777" w:rsidR="000D1D92" w:rsidRDefault="000D1D92" w:rsidP="000D1D92">
      <w:pPr>
        <w:autoSpaceDE w:val="0"/>
        <w:autoSpaceDN w:val="0"/>
        <w:adjustRightInd w:val="0"/>
        <w:spacing w:before="0" w:after="0"/>
        <w:jc w:val="both"/>
        <w:rPr>
          <w:rFonts w:cs="Arial"/>
        </w:rPr>
      </w:pPr>
    </w:p>
    <w:p w14:paraId="152DDA54" w14:textId="77777777" w:rsidR="000D1D92" w:rsidRDefault="000D1D92" w:rsidP="000D1D92">
      <w:pPr>
        <w:pStyle w:val="ListParagraph"/>
        <w:spacing w:before="0" w:after="0"/>
        <w:jc w:val="both"/>
        <w:rPr>
          <w:sz w:val="22"/>
          <w:szCs w:val="22"/>
        </w:rPr>
      </w:pPr>
      <w:r w:rsidRPr="00867D20">
        <w:rPr>
          <w:sz w:val="22"/>
          <w:szCs w:val="22"/>
        </w:rPr>
        <w:t xml:space="preserve">Strengthening the mother-child relationship in the aftermath of family violence is a key point of intervention. A significant aspect of family violence is the systematic attack on the mother-child relationship as one of the major tactics of abuse. </w:t>
      </w:r>
    </w:p>
    <w:p w14:paraId="1B1D8F53" w14:textId="77777777" w:rsidR="000D1D92" w:rsidRDefault="000D1D92" w:rsidP="000D1D92">
      <w:pPr>
        <w:pStyle w:val="ListParagraph"/>
        <w:spacing w:before="0" w:after="0"/>
        <w:jc w:val="both"/>
        <w:rPr>
          <w:sz w:val="22"/>
          <w:szCs w:val="22"/>
        </w:rPr>
      </w:pPr>
    </w:p>
    <w:p w14:paraId="58102F94" w14:textId="77777777" w:rsidR="000D1D92" w:rsidRDefault="000D1D92" w:rsidP="000D1D92">
      <w:pPr>
        <w:pStyle w:val="ListParagraph"/>
        <w:spacing w:before="0" w:after="0"/>
        <w:jc w:val="both"/>
        <w:rPr>
          <w:sz w:val="22"/>
          <w:szCs w:val="22"/>
        </w:rPr>
      </w:pPr>
      <w:r w:rsidRPr="00867D20">
        <w:rPr>
          <w:sz w:val="22"/>
          <w:szCs w:val="22"/>
        </w:rPr>
        <w:t xml:space="preserve">This may be a direct attack – coercing children to insult their mothers, undermining the woman’s mothering through criticism and actions which make it difficult for her to parent, ensuring that women are ‘punished’ for spending time with children particularly if it takes attention away from the man’s needs. </w:t>
      </w:r>
    </w:p>
    <w:p w14:paraId="7FFE2517" w14:textId="77777777" w:rsidR="000D1D92" w:rsidRDefault="000D1D92" w:rsidP="000D1D92">
      <w:pPr>
        <w:pStyle w:val="ListParagraph"/>
        <w:spacing w:before="0" w:after="0"/>
        <w:jc w:val="both"/>
        <w:rPr>
          <w:sz w:val="22"/>
          <w:szCs w:val="22"/>
        </w:rPr>
      </w:pPr>
    </w:p>
    <w:p w14:paraId="53E1EBE0" w14:textId="77777777" w:rsidR="000D1D92" w:rsidRDefault="000D1D92" w:rsidP="000D1D92">
      <w:pPr>
        <w:pStyle w:val="ListParagraph"/>
        <w:spacing w:before="0" w:after="0"/>
        <w:jc w:val="both"/>
        <w:rPr>
          <w:sz w:val="22"/>
          <w:szCs w:val="22"/>
        </w:rPr>
      </w:pPr>
      <w:r w:rsidRPr="00867D20">
        <w:rPr>
          <w:sz w:val="22"/>
          <w:szCs w:val="22"/>
        </w:rPr>
        <w:t xml:space="preserve">It also can be an indirect attack which disables the mother physically or emotionally so that she is unable to parent appropriately. </w:t>
      </w:r>
    </w:p>
    <w:p w14:paraId="1D22C86B" w14:textId="77777777" w:rsidR="000D1D92" w:rsidRDefault="000D1D92" w:rsidP="000D1D92">
      <w:pPr>
        <w:pStyle w:val="ListParagraph"/>
        <w:spacing w:before="0" w:after="0"/>
        <w:jc w:val="both"/>
        <w:rPr>
          <w:sz w:val="22"/>
          <w:szCs w:val="22"/>
        </w:rPr>
      </w:pPr>
    </w:p>
    <w:p w14:paraId="5A6F74C1" w14:textId="77777777" w:rsidR="000D1D92" w:rsidRPr="00867D20" w:rsidRDefault="000D1D92" w:rsidP="000D1D92">
      <w:pPr>
        <w:pStyle w:val="ListParagraph"/>
        <w:spacing w:before="0" w:after="0"/>
        <w:jc w:val="both"/>
        <w:rPr>
          <w:sz w:val="22"/>
          <w:szCs w:val="22"/>
        </w:rPr>
      </w:pPr>
      <w:r w:rsidRPr="00867D20">
        <w:rPr>
          <w:sz w:val="22"/>
          <w:szCs w:val="22"/>
        </w:rPr>
        <w:t>Interventions which work to actively strengthen the mother-child relationship in the aftermath of abuse are still in the early stages of development, although</w:t>
      </w:r>
      <w:r>
        <w:rPr>
          <w:sz w:val="22"/>
          <w:szCs w:val="22"/>
        </w:rPr>
        <w:t xml:space="preserve"> it is an area gaining traction.</w:t>
      </w:r>
    </w:p>
    <w:p w14:paraId="00DEFFB0" w14:textId="77777777" w:rsidR="000D1D92" w:rsidRPr="00867D20" w:rsidRDefault="000D1D92" w:rsidP="000D1D92">
      <w:pPr>
        <w:spacing w:before="0" w:after="0"/>
        <w:jc w:val="both"/>
        <w:rPr>
          <w:sz w:val="22"/>
          <w:szCs w:val="22"/>
        </w:rPr>
      </w:pPr>
    </w:p>
    <w:p w14:paraId="0603A1D0" w14:textId="77777777" w:rsidR="000D1D92" w:rsidRDefault="000D1D92" w:rsidP="000D1D92">
      <w:pPr>
        <w:pStyle w:val="ListParagraph"/>
        <w:spacing w:before="0" w:after="0"/>
        <w:jc w:val="both"/>
        <w:rPr>
          <w:sz w:val="22"/>
          <w:szCs w:val="22"/>
        </w:rPr>
      </w:pPr>
      <w:r w:rsidRPr="00867D20">
        <w:rPr>
          <w:sz w:val="22"/>
          <w:szCs w:val="22"/>
        </w:rPr>
        <w:t>Evidence is emerging that the most effective intervention response in the post-crisis period for both women and children is for them to work together, either in parallel children’s and women’s groups</w:t>
      </w:r>
      <w:r>
        <w:rPr>
          <w:sz w:val="22"/>
          <w:szCs w:val="22"/>
        </w:rPr>
        <w:t>…</w:t>
      </w:r>
      <w:r w:rsidRPr="00867D20">
        <w:rPr>
          <w:sz w:val="22"/>
          <w:szCs w:val="22"/>
        </w:rPr>
        <w:t xml:space="preserve"> and joint mother-child rather than individual counselling</w:t>
      </w:r>
      <w:r>
        <w:rPr>
          <w:sz w:val="22"/>
          <w:szCs w:val="22"/>
        </w:rPr>
        <w:t>.</w:t>
      </w:r>
      <w:r>
        <w:rPr>
          <w:rStyle w:val="EndnoteReference"/>
          <w:szCs w:val="22"/>
        </w:rPr>
        <w:endnoteReference w:id="594"/>
      </w:r>
    </w:p>
    <w:p w14:paraId="546355BF" w14:textId="77777777" w:rsidR="000D1D92" w:rsidRDefault="000D1D92" w:rsidP="000D1D92">
      <w:pPr>
        <w:autoSpaceDE w:val="0"/>
        <w:autoSpaceDN w:val="0"/>
        <w:adjustRightInd w:val="0"/>
        <w:spacing w:before="0" w:after="0"/>
        <w:jc w:val="both"/>
        <w:rPr>
          <w:rFonts w:cs="Arial"/>
        </w:rPr>
      </w:pPr>
    </w:p>
    <w:p w14:paraId="01DD53AB" w14:textId="77777777" w:rsidR="000D1D92" w:rsidRDefault="000D1D92" w:rsidP="000D1D92">
      <w:pPr>
        <w:autoSpaceDE w:val="0"/>
        <w:autoSpaceDN w:val="0"/>
        <w:adjustRightInd w:val="0"/>
        <w:spacing w:before="0" w:after="0"/>
        <w:jc w:val="both"/>
        <w:rPr>
          <w:rFonts w:cs="Arial"/>
        </w:rPr>
      </w:pPr>
      <w:r>
        <w:rPr>
          <w:rFonts w:cs="Arial"/>
        </w:rPr>
        <w:t>The submission provided by Relationships Australia informed me that:</w:t>
      </w:r>
    </w:p>
    <w:p w14:paraId="22DF8217" w14:textId="77777777" w:rsidR="000D1D92" w:rsidRDefault="000D1D92" w:rsidP="000D1D92">
      <w:pPr>
        <w:autoSpaceDE w:val="0"/>
        <w:autoSpaceDN w:val="0"/>
        <w:adjustRightInd w:val="0"/>
        <w:spacing w:before="0" w:after="0"/>
        <w:jc w:val="both"/>
        <w:rPr>
          <w:rFonts w:cs="Arial"/>
        </w:rPr>
      </w:pPr>
    </w:p>
    <w:p w14:paraId="738E8452" w14:textId="77777777" w:rsidR="000D1D92" w:rsidRDefault="000D1D92" w:rsidP="000D1D92">
      <w:pPr>
        <w:autoSpaceDE w:val="0"/>
        <w:autoSpaceDN w:val="0"/>
        <w:adjustRightInd w:val="0"/>
        <w:spacing w:before="0" w:after="0"/>
        <w:ind w:left="720"/>
        <w:jc w:val="both"/>
        <w:rPr>
          <w:sz w:val="22"/>
          <w:szCs w:val="22"/>
          <w:lang w:val="en-US"/>
        </w:rPr>
      </w:pPr>
      <w:r w:rsidRPr="00404477">
        <w:rPr>
          <w:sz w:val="22"/>
          <w:szCs w:val="22"/>
          <w:lang w:val="en-US"/>
        </w:rPr>
        <w:t>Child development and parenting research in the domestic violence context strongly cautions on the disadvantages of counselling and advocacy services working separately with mothers and children and that positive outcomes for mother and child can be achieved by working with them together to restore and repair the mother/child relationship that has been disrupted by the father’s abuse, denigration of the mother and control over the mother- child relationship. Keeping mother and child domestic violence services separate in fact replicates the separation and distancing and divisive effect of the father</w:t>
      </w:r>
      <w:r>
        <w:rPr>
          <w:sz w:val="22"/>
          <w:szCs w:val="22"/>
          <w:lang w:val="en-US"/>
        </w:rPr>
        <w:t>’s abuse to the family.</w:t>
      </w:r>
      <w:r>
        <w:rPr>
          <w:rStyle w:val="EndnoteReference"/>
          <w:szCs w:val="22"/>
          <w:lang w:val="en-US"/>
        </w:rPr>
        <w:endnoteReference w:id="595"/>
      </w:r>
    </w:p>
    <w:p w14:paraId="3D773813" w14:textId="77777777" w:rsidR="000D1D92" w:rsidRDefault="000D1D92" w:rsidP="000D1D92">
      <w:pPr>
        <w:autoSpaceDE w:val="0"/>
        <w:autoSpaceDN w:val="0"/>
        <w:adjustRightInd w:val="0"/>
        <w:spacing w:before="0" w:after="0"/>
        <w:ind w:left="720"/>
        <w:jc w:val="both"/>
        <w:rPr>
          <w:sz w:val="22"/>
          <w:szCs w:val="22"/>
          <w:lang w:val="en-US"/>
        </w:rPr>
      </w:pPr>
    </w:p>
    <w:p w14:paraId="21AEF52A" w14:textId="77777777" w:rsidR="000D1D92" w:rsidRDefault="000D1D92" w:rsidP="000D1D92">
      <w:pPr>
        <w:autoSpaceDE w:val="0"/>
        <w:autoSpaceDN w:val="0"/>
        <w:adjustRightInd w:val="0"/>
        <w:spacing w:before="0" w:after="0"/>
        <w:jc w:val="both"/>
        <w:rPr>
          <w:lang w:val="en-US"/>
        </w:rPr>
      </w:pPr>
      <w:r>
        <w:t>The Judith Lumley Centre at</w:t>
      </w:r>
      <w:r w:rsidRPr="00191F43">
        <w:t xml:space="preserve"> La Trobe University</w:t>
      </w:r>
      <w:r w:rsidRPr="0059692B">
        <w:rPr>
          <w:lang w:val="en-US"/>
        </w:rPr>
        <w:t xml:space="preserve"> </w:t>
      </w:r>
      <w:r>
        <w:rPr>
          <w:lang w:val="en-US"/>
        </w:rPr>
        <w:t>stressed to me that:</w:t>
      </w:r>
    </w:p>
    <w:p w14:paraId="500011F1" w14:textId="77777777" w:rsidR="000D1D92" w:rsidRDefault="000D1D92" w:rsidP="000D1D92">
      <w:pPr>
        <w:autoSpaceDE w:val="0"/>
        <w:autoSpaceDN w:val="0"/>
        <w:adjustRightInd w:val="0"/>
        <w:spacing w:before="0" w:after="0"/>
        <w:jc w:val="both"/>
        <w:rPr>
          <w:lang w:val="en-US"/>
        </w:rPr>
      </w:pPr>
    </w:p>
    <w:p w14:paraId="2DBD218B" w14:textId="77777777" w:rsidR="000D1D92" w:rsidRDefault="000D1D92" w:rsidP="000D1D92">
      <w:pPr>
        <w:autoSpaceDE w:val="0"/>
        <w:autoSpaceDN w:val="0"/>
        <w:adjustRightInd w:val="0"/>
        <w:spacing w:before="0" w:after="0"/>
        <w:ind w:left="720"/>
        <w:jc w:val="both"/>
        <w:rPr>
          <w:sz w:val="22"/>
          <w:szCs w:val="22"/>
          <w:lang w:val="en-US"/>
        </w:rPr>
      </w:pPr>
      <w:r w:rsidRPr="005C125E">
        <w:rPr>
          <w:sz w:val="22"/>
          <w:szCs w:val="22"/>
          <w:lang w:val="en-US"/>
        </w:rPr>
        <w:t>Silo operations where women are offered assistance through FDV services that offer a woman centred approach differ from child protection services that are child centred. Feminist researchers argue for interventions to help heal the mother-child relationship rather than offer separate</w:t>
      </w:r>
      <w:r>
        <w:rPr>
          <w:sz w:val="22"/>
          <w:szCs w:val="22"/>
          <w:lang w:val="en-US"/>
        </w:rPr>
        <w:t xml:space="preserve"> child and parent therapies</w:t>
      </w:r>
      <w:r w:rsidRPr="005C125E">
        <w:rPr>
          <w:sz w:val="22"/>
          <w:szCs w:val="22"/>
          <w:lang w:val="en-US"/>
        </w:rPr>
        <w:t xml:space="preserve">. The World Health Organisation now recommends children who have been subjected to intimate partner violence undergo both individual and group psychotherapeutic treatment </w:t>
      </w:r>
      <w:r>
        <w:rPr>
          <w:sz w:val="22"/>
          <w:szCs w:val="22"/>
          <w:lang w:val="en-US"/>
        </w:rPr>
        <w:t>sessions with their mothers</w:t>
      </w:r>
      <w:r w:rsidRPr="005C125E">
        <w:rPr>
          <w:sz w:val="22"/>
          <w:szCs w:val="22"/>
          <w:lang w:val="en-US"/>
        </w:rPr>
        <w:t>. Unfortunately, previous group work (in Melbourne) with mothers and children has not been sustained due to la</w:t>
      </w:r>
      <w:r>
        <w:rPr>
          <w:sz w:val="22"/>
          <w:szCs w:val="22"/>
          <w:lang w:val="en-US"/>
        </w:rPr>
        <w:t>ck of funding</w:t>
      </w:r>
      <w:r w:rsidRPr="005C125E">
        <w:rPr>
          <w:sz w:val="22"/>
          <w:szCs w:val="22"/>
          <w:lang w:val="en-US"/>
        </w:rPr>
        <w:t xml:space="preserve">. More research and intervention work is needed to support the mother-child </w:t>
      </w:r>
      <w:r>
        <w:rPr>
          <w:sz w:val="22"/>
          <w:szCs w:val="22"/>
          <w:lang w:val="en-US"/>
        </w:rPr>
        <w:t>bond in the aftermath of FDV.</w:t>
      </w:r>
      <w:r>
        <w:rPr>
          <w:rStyle w:val="EndnoteReference"/>
          <w:szCs w:val="22"/>
          <w:lang w:val="en-US"/>
        </w:rPr>
        <w:endnoteReference w:id="596"/>
      </w:r>
    </w:p>
    <w:p w14:paraId="4BBCA6EA" w14:textId="77777777" w:rsidR="000D1D92" w:rsidRDefault="000D1D92" w:rsidP="000D1D92">
      <w:pPr>
        <w:autoSpaceDE w:val="0"/>
        <w:autoSpaceDN w:val="0"/>
        <w:adjustRightInd w:val="0"/>
        <w:spacing w:before="0" w:after="0"/>
        <w:jc w:val="both"/>
        <w:rPr>
          <w:sz w:val="22"/>
          <w:szCs w:val="22"/>
          <w:lang w:val="en-US"/>
        </w:rPr>
      </w:pPr>
    </w:p>
    <w:p w14:paraId="1F5C3B8C" w14:textId="77777777" w:rsidR="000D1D92" w:rsidRDefault="000D1D92" w:rsidP="000D1D92">
      <w:pPr>
        <w:autoSpaceDE w:val="0"/>
        <w:autoSpaceDN w:val="0"/>
        <w:adjustRightInd w:val="0"/>
        <w:spacing w:before="0" w:after="0"/>
        <w:jc w:val="both"/>
        <w:rPr>
          <w:sz w:val="22"/>
          <w:szCs w:val="22"/>
          <w:lang w:val="en-US"/>
        </w:rPr>
      </w:pPr>
      <w:r>
        <w:t>The submission made by Dawn House Women’s Refuge in</w:t>
      </w:r>
      <w:r w:rsidRPr="00314E61">
        <w:t xml:space="preserve"> Northern Territory</w:t>
      </w:r>
      <w:r>
        <w:t xml:space="preserve"> reinforced this to me:</w:t>
      </w:r>
    </w:p>
    <w:p w14:paraId="306529D9" w14:textId="77777777" w:rsidR="000D1D92" w:rsidRDefault="000D1D92" w:rsidP="000D1D92">
      <w:pPr>
        <w:autoSpaceDE w:val="0"/>
        <w:autoSpaceDN w:val="0"/>
        <w:adjustRightInd w:val="0"/>
        <w:spacing w:before="0" w:after="0"/>
        <w:ind w:left="720"/>
        <w:jc w:val="both"/>
        <w:rPr>
          <w:sz w:val="22"/>
          <w:szCs w:val="22"/>
          <w:lang w:val="en-US"/>
        </w:rPr>
      </w:pPr>
    </w:p>
    <w:p w14:paraId="34034851" w14:textId="77777777" w:rsidR="000D1D92" w:rsidRDefault="000D1D92" w:rsidP="000D1D92">
      <w:pPr>
        <w:pStyle w:val="ListParagraph"/>
        <w:spacing w:before="0" w:after="0"/>
        <w:jc w:val="both"/>
        <w:rPr>
          <w:sz w:val="22"/>
          <w:szCs w:val="22"/>
          <w:lang w:val="en-US"/>
        </w:rPr>
      </w:pPr>
      <w:r w:rsidRPr="00946DA4">
        <w:rPr>
          <w:sz w:val="22"/>
          <w:szCs w:val="22"/>
          <w:lang w:val="en-US"/>
        </w:rPr>
        <w:t>We find there are limited therapeutic services that can work with women and children on attachment and relationship strengthening. The same sentiment applies to sibling attachment relationships</w:t>
      </w:r>
      <w:r>
        <w:rPr>
          <w:sz w:val="22"/>
          <w:szCs w:val="22"/>
          <w:lang w:val="en-US"/>
        </w:rPr>
        <w:t>,</w:t>
      </w:r>
      <w:r w:rsidRPr="00946DA4">
        <w:rPr>
          <w:sz w:val="22"/>
          <w:szCs w:val="22"/>
          <w:lang w:val="en-US"/>
        </w:rPr>
        <w:t xml:space="preserve"> which are often also negatively affected. Services tend to be targeting at individual needs, without engaging the entire family system. Women may also see this type of service as low down on the priority scale with so many other competing needs.</w:t>
      </w:r>
      <w:r>
        <w:rPr>
          <w:rStyle w:val="EndnoteReference"/>
          <w:szCs w:val="22"/>
          <w:lang w:val="en-US"/>
        </w:rPr>
        <w:endnoteReference w:id="597"/>
      </w:r>
    </w:p>
    <w:p w14:paraId="7CFA2722" w14:textId="77777777" w:rsidR="000D1D92" w:rsidRDefault="000D1D92" w:rsidP="000D1D92">
      <w:pPr>
        <w:pStyle w:val="ListParagraph"/>
        <w:spacing w:before="0" w:after="0"/>
        <w:ind w:left="0"/>
        <w:jc w:val="both"/>
        <w:rPr>
          <w:sz w:val="22"/>
          <w:szCs w:val="22"/>
          <w:lang w:val="en-US"/>
        </w:rPr>
      </w:pPr>
    </w:p>
    <w:p w14:paraId="23BC5025" w14:textId="77777777" w:rsidR="000D1D92" w:rsidRDefault="000D1D92" w:rsidP="000D1D92">
      <w:pPr>
        <w:pStyle w:val="ListParagraph"/>
        <w:spacing w:before="0" w:after="0"/>
        <w:ind w:left="0"/>
        <w:jc w:val="both"/>
      </w:pPr>
      <w:r>
        <w:t>The Public Health Association of Australia suggested to me that:</w:t>
      </w:r>
    </w:p>
    <w:p w14:paraId="0A5B5A9C" w14:textId="77777777" w:rsidR="000D1D92" w:rsidRDefault="000D1D92" w:rsidP="000D1D92">
      <w:pPr>
        <w:pStyle w:val="ListParagraph"/>
        <w:spacing w:before="0" w:after="0"/>
        <w:ind w:left="0"/>
        <w:jc w:val="both"/>
        <w:rPr>
          <w:sz w:val="22"/>
          <w:szCs w:val="22"/>
          <w:lang w:val="en-US"/>
        </w:rPr>
      </w:pPr>
    </w:p>
    <w:p w14:paraId="6DAFCADE" w14:textId="77777777" w:rsidR="000D1D92" w:rsidRPr="003E074C" w:rsidRDefault="000D1D92" w:rsidP="000D1D92">
      <w:pPr>
        <w:autoSpaceDE w:val="0"/>
        <w:autoSpaceDN w:val="0"/>
        <w:adjustRightInd w:val="0"/>
        <w:spacing w:before="0" w:after="30"/>
        <w:ind w:left="720"/>
        <w:jc w:val="both"/>
        <w:rPr>
          <w:rFonts w:cs="Arial"/>
          <w:color w:val="000000"/>
          <w:sz w:val="22"/>
          <w:szCs w:val="22"/>
        </w:rPr>
      </w:pPr>
      <w:r w:rsidRPr="004A0251">
        <w:rPr>
          <w:rFonts w:cs="Arial"/>
          <w:color w:val="000000"/>
          <w:sz w:val="22"/>
          <w:szCs w:val="22"/>
        </w:rPr>
        <w:t xml:space="preserve">Based on the evidence to date, supporting and strengthening relationships between the protective parent or protective caregiver/s may be helpful. Reducing the impact of FDV on the protective parent may also increase their capacity to parent and also </w:t>
      </w:r>
      <w:r w:rsidRPr="003E074C">
        <w:rPr>
          <w:rFonts w:cs="Arial"/>
          <w:color w:val="000000"/>
          <w:sz w:val="22"/>
          <w:szCs w:val="22"/>
        </w:rPr>
        <w:t>reduce the likelihood of the protective parent engaging in risk-taking behaviour such as alcohol and drug misuse.</w:t>
      </w:r>
      <w:r w:rsidRPr="003E074C">
        <w:rPr>
          <w:rStyle w:val="EndnoteReference"/>
          <w:rFonts w:cs="Arial"/>
          <w:color w:val="000000"/>
        </w:rPr>
        <w:t xml:space="preserve"> </w:t>
      </w:r>
      <w:r w:rsidRPr="003E074C">
        <w:rPr>
          <w:rStyle w:val="EndnoteReference"/>
          <w:rFonts w:cs="Arial"/>
          <w:color w:val="000000"/>
        </w:rPr>
        <w:endnoteReference w:id="598"/>
      </w:r>
      <w:r w:rsidRPr="003E074C">
        <w:rPr>
          <w:rFonts w:cs="Arial"/>
          <w:color w:val="000000"/>
          <w:sz w:val="22"/>
          <w:szCs w:val="22"/>
        </w:rPr>
        <w:t xml:space="preserve"> </w:t>
      </w:r>
    </w:p>
    <w:p w14:paraId="0C068955" w14:textId="77777777" w:rsidR="000D1D92" w:rsidRPr="003E074C" w:rsidRDefault="000D1D92" w:rsidP="000D1D92">
      <w:pPr>
        <w:autoSpaceDE w:val="0"/>
        <w:autoSpaceDN w:val="0"/>
        <w:adjustRightInd w:val="0"/>
        <w:spacing w:before="0" w:after="0"/>
        <w:jc w:val="both"/>
        <w:rPr>
          <w:rFonts w:cs="Arial"/>
        </w:rPr>
      </w:pPr>
    </w:p>
    <w:p w14:paraId="71CF3DE5" w14:textId="77777777" w:rsidR="000D1D92" w:rsidRDefault="000D1D92" w:rsidP="000D1D92">
      <w:pPr>
        <w:autoSpaceDE w:val="0"/>
        <w:autoSpaceDN w:val="0"/>
        <w:adjustRightInd w:val="0"/>
        <w:spacing w:before="0" w:after="0"/>
        <w:jc w:val="both"/>
        <w:rPr>
          <w:rFonts w:cs="Arial"/>
        </w:rPr>
      </w:pPr>
      <w:r>
        <w:rPr>
          <w:rFonts w:cs="Arial"/>
        </w:rPr>
        <w:t>BoysTown uses the Expressive Therapies Program,</w:t>
      </w:r>
      <w:r w:rsidRPr="003E074C">
        <w:rPr>
          <w:rFonts w:cs="Arial"/>
        </w:rPr>
        <w:t xml:space="preserve"> a trauma and attachment informed program of creative arts and play therapy</w:t>
      </w:r>
      <w:r>
        <w:rPr>
          <w:rFonts w:cs="Arial"/>
        </w:rPr>
        <w:t xml:space="preserve">. It </w:t>
      </w:r>
      <w:r w:rsidRPr="003E074C">
        <w:rPr>
          <w:rFonts w:cs="Arial"/>
        </w:rPr>
        <w:t xml:space="preserve">provides one-on-one support to children and their </w:t>
      </w:r>
      <w:r>
        <w:rPr>
          <w:rFonts w:cs="Arial"/>
        </w:rPr>
        <w:t xml:space="preserve">protective </w:t>
      </w:r>
      <w:r w:rsidRPr="003E074C">
        <w:rPr>
          <w:rFonts w:cs="Arial"/>
        </w:rPr>
        <w:t>parent to facilitate children’s social-emotional wellbeing and competence, behavioural adjustment, attachment relationship with the parent, and self-esteem.</w:t>
      </w:r>
    </w:p>
    <w:p w14:paraId="368666FD" w14:textId="77777777" w:rsidR="000D1D92" w:rsidRDefault="000D1D92" w:rsidP="000D1D92">
      <w:pPr>
        <w:autoSpaceDE w:val="0"/>
        <w:autoSpaceDN w:val="0"/>
        <w:adjustRightInd w:val="0"/>
        <w:spacing w:before="0" w:after="0"/>
        <w:jc w:val="both"/>
        <w:rPr>
          <w:rFonts w:cs="Arial"/>
        </w:rPr>
      </w:pPr>
    </w:p>
    <w:p w14:paraId="5D29C7DB" w14:textId="77777777" w:rsidR="000D1D92" w:rsidRDefault="000D1D92" w:rsidP="000D1D92">
      <w:pPr>
        <w:autoSpaceDE w:val="0"/>
        <w:autoSpaceDN w:val="0"/>
        <w:adjustRightInd w:val="0"/>
        <w:spacing w:before="0" w:after="0"/>
        <w:jc w:val="both"/>
        <w:rPr>
          <w:rFonts w:cs="Arial"/>
        </w:rPr>
      </w:pPr>
      <w:r>
        <w:rPr>
          <w:rFonts w:cs="Arial"/>
        </w:rPr>
        <w:t>The Expressive Therapies Program was evaluated by BoysTown in 2015. Fifty-six children were assessed at entry to the refuge using the Child Behaviour Checklist, which provides a measure of internalising and externalising behaviours.</w:t>
      </w:r>
    </w:p>
    <w:p w14:paraId="26E5157F" w14:textId="77777777" w:rsidR="000D1D92" w:rsidRDefault="000D1D92" w:rsidP="000D1D92">
      <w:pPr>
        <w:autoSpaceDE w:val="0"/>
        <w:autoSpaceDN w:val="0"/>
        <w:adjustRightInd w:val="0"/>
        <w:spacing w:before="0" w:after="0"/>
        <w:jc w:val="both"/>
        <w:rPr>
          <w:rFonts w:cs="Arial"/>
        </w:rPr>
      </w:pPr>
    </w:p>
    <w:p w14:paraId="3D76630F" w14:textId="77777777" w:rsidR="000D1D92" w:rsidRDefault="000D1D92" w:rsidP="000D1D92">
      <w:pPr>
        <w:autoSpaceDE w:val="0"/>
        <w:autoSpaceDN w:val="0"/>
        <w:adjustRightInd w:val="0"/>
        <w:spacing w:before="0" w:after="0"/>
        <w:jc w:val="both"/>
        <w:rPr>
          <w:rFonts w:cs="Arial"/>
        </w:rPr>
      </w:pPr>
      <w:r>
        <w:rPr>
          <w:rFonts w:cs="Arial"/>
        </w:rPr>
        <w:t xml:space="preserve">On entry, over 60% of the children who completed the program fell into the clinical range for problem behaviours. At exit from the program, their parent reported significant improvement, with the number of children in the clinical range dropping to 23%. </w:t>
      </w:r>
    </w:p>
    <w:p w14:paraId="01C2F997" w14:textId="77777777" w:rsidR="000D1D92" w:rsidRDefault="000D1D92" w:rsidP="000D1D92">
      <w:pPr>
        <w:autoSpaceDE w:val="0"/>
        <w:autoSpaceDN w:val="0"/>
        <w:adjustRightInd w:val="0"/>
        <w:spacing w:before="0" w:after="0"/>
        <w:jc w:val="both"/>
        <w:rPr>
          <w:rFonts w:cs="Arial"/>
        </w:rPr>
      </w:pPr>
    </w:p>
    <w:p w14:paraId="2FEDBFBE" w14:textId="77777777" w:rsidR="000D1D92" w:rsidRDefault="000D1D92" w:rsidP="000D1D92">
      <w:pPr>
        <w:autoSpaceDE w:val="0"/>
        <w:autoSpaceDN w:val="0"/>
        <w:adjustRightInd w:val="0"/>
        <w:spacing w:before="0" w:after="0"/>
        <w:jc w:val="both"/>
        <w:rPr>
          <w:rFonts w:cs="Arial"/>
        </w:rPr>
      </w:pPr>
      <w:r>
        <w:rPr>
          <w:rFonts w:cs="Arial"/>
        </w:rPr>
        <w:t>BoysTown acknowledges that it cannot directly link the children’s improvement with the Expressive Therapies Program given that it did not have a control group to compare with. However, q</w:t>
      </w:r>
      <w:r w:rsidRPr="00413960">
        <w:rPr>
          <w:rFonts w:cs="Arial"/>
        </w:rPr>
        <w:t>ualitative insights</w:t>
      </w:r>
      <w:r>
        <w:rPr>
          <w:rFonts w:cs="Arial"/>
        </w:rPr>
        <w:t xml:space="preserve"> from</w:t>
      </w:r>
      <w:r w:rsidRPr="00413960">
        <w:rPr>
          <w:rFonts w:cs="Arial"/>
        </w:rPr>
        <w:t xml:space="preserve"> </w:t>
      </w:r>
      <w:r>
        <w:rPr>
          <w:rFonts w:cs="Arial"/>
        </w:rPr>
        <w:t>parents and therapists suggest</w:t>
      </w:r>
      <w:r w:rsidRPr="00413960">
        <w:rPr>
          <w:rFonts w:cs="Arial"/>
        </w:rPr>
        <w:t xml:space="preserve"> connections between specific elements of </w:t>
      </w:r>
      <w:r>
        <w:rPr>
          <w:rFonts w:cs="Arial"/>
        </w:rPr>
        <w:t xml:space="preserve">the </w:t>
      </w:r>
      <w:r w:rsidRPr="00413960">
        <w:rPr>
          <w:rFonts w:cs="Arial"/>
        </w:rPr>
        <w:t>Expressive Therapies</w:t>
      </w:r>
      <w:r>
        <w:rPr>
          <w:rFonts w:cs="Arial"/>
        </w:rPr>
        <w:t xml:space="preserve"> Program</w:t>
      </w:r>
      <w:r w:rsidRPr="00413960">
        <w:rPr>
          <w:rFonts w:cs="Arial"/>
        </w:rPr>
        <w:t xml:space="preserve"> and changes in</w:t>
      </w:r>
      <w:r>
        <w:rPr>
          <w:rFonts w:cs="Arial"/>
        </w:rPr>
        <w:t xml:space="preserve"> the</w:t>
      </w:r>
      <w:r w:rsidRPr="00413960">
        <w:rPr>
          <w:rFonts w:cs="Arial"/>
        </w:rPr>
        <w:t xml:space="preserve"> chil</w:t>
      </w:r>
      <w:r>
        <w:rPr>
          <w:rFonts w:cs="Arial"/>
        </w:rPr>
        <w:t>dren’s behaviour and well</w:t>
      </w:r>
      <w:r w:rsidRPr="00413960">
        <w:rPr>
          <w:rFonts w:cs="Arial"/>
        </w:rPr>
        <w:t>being.</w:t>
      </w:r>
      <w:r w:rsidRPr="00413960">
        <w:rPr>
          <w:rStyle w:val="EndnoteReference"/>
          <w:rFonts w:cs="Arial"/>
          <w:sz w:val="24"/>
        </w:rPr>
        <w:endnoteReference w:id="599"/>
      </w:r>
    </w:p>
    <w:p w14:paraId="4EE1A41B" w14:textId="77777777" w:rsidR="000D1D92" w:rsidRDefault="000D1D92" w:rsidP="000D1D92">
      <w:pPr>
        <w:autoSpaceDE w:val="0"/>
        <w:autoSpaceDN w:val="0"/>
        <w:adjustRightInd w:val="0"/>
        <w:spacing w:before="0" w:after="0"/>
        <w:jc w:val="both"/>
        <w:rPr>
          <w:rFonts w:cs="Arial"/>
        </w:rPr>
      </w:pPr>
    </w:p>
    <w:p w14:paraId="4161869C" w14:textId="77777777" w:rsidR="000D1D92" w:rsidRDefault="000D1D92" w:rsidP="000D1D92">
      <w:pPr>
        <w:autoSpaceDE w:val="0"/>
        <w:autoSpaceDN w:val="0"/>
        <w:adjustRightInd w:val="0"/>
        <w:spacing w:before="0" w:after="0"/>
        <w:jc w:val="both"/>
        <w:rPr>
          <w:rFonts w:cs="Arial"/>
        </w:rPr>
      </w:pPr>
      <w:r>
        <w:rPr>
          <w:rFonts w:cs="Arial"/>
        </w:rPr>
        <w:lastRenderedPageBreak/>
        <w:t>Ms Wendy Bunston, PhD candidate and Associate Lecturer at La Trobe University, submitted a summary of evaluations relating to four infant/child and parent interventions to address family and domestic violence. Ms Bunston provided evaluation summaries about The Peek-a-Boo Club, Dads on Board, Parents Accepting Responsibility Kids are Safe, and Building Up Bonds (BuBs) On Board.</w:t>
      </w:r>
      <w:r>
        <w:rPr>
          <w:rStyle w:val="EndnoteReference"/>
          <w:rFonts w:cs="Arial"/>
        </w:rPr>
        <w:endnoteReference w:id="600"/>
      </w:r>
      <w:r>
        <w:rPr>
          <w:rFonts w:cs="Arial"/>
        </w:rPr>
        <w:t xml:space="preserve"> </w:t>
      </w:r>
    </w:p>
    <w:p w14:paraId="5575F09A" w14:textId="77777777" w:rsidR="000D1D92" w:rsidRDefault="000D1D92" w:rsidP="000D1D92">
      <w:pPr>
        <w:autoSpaceDE w:val="0"/>
        <w:autoSpaceDN w:val="0"/>
        <w:adjustRightInd w:val="0"/>
        <w:spacing w:before="0" w:after="0"/>
        <w:jc w:val="both"/>
        <w:rPr>
          <w:rFonts w:cs="Arial"/>
        </w:rPr>
      </w:pPr>
    </w:p>
    <w:p w14:paraId="289C2D4C" w14:textId="77777777" w:rsidR="000D1D92" w:rsidRDefault="000D1D92" w:rsidP="000D1D92">
      <w:pPr>
        <w:autoSpaceDE w:val="0"/>
        <w:autoSpaceDN w:val="0"/>
        <w:adjustRightInd w:val="0"/>
        <w:spacing w:before="0" w:after="0"/>
        <w:jc w:val="both"/>
        <w:rPr>
          <w:rFonts w:cs="Arial"/>
        </w:rPr>
      </w:pPr>
      <w:r>
        <w:rPr>
          <w:rFonts w:cs="Arial"/>
        </w:rPr>
        <w:t xml:space="preserve">Ms Bunston reported there were some positive indicators in a number of these programs in terms of child-wellbeing and functioning, and parent/child relationships. </w:t>
      </w:r>
    </w:p>
    <w:p w14:paraId="0A827EED" w14:textId="77777777" w:rsidR="000D1D92" w:rsidRDefault="000D1D92" w:rsidP="000D1D92">
      <w:pPr>
        <w:autoSpaceDE w:val="0"/>
        <w:autoSpaceDN w:val="0"/>
        <w:adjustRightInd w:val="0"/>
        <w:spacing w:before="0" w:after="0"/>
        <w:jc w:val="both"/>
        <w:rPr>
          <w:rFonts w:cs="Arial"/>
        </w:rPr>
      </w:pPr>
    </w:p>
    <w:p w14:paraId="4B4BF40F" w14:textId="77777777" w:rsidR="000D1D92" w:rsidRDefault="000D1D92" w:rsidP="000D1D92">
      <w:pPr>
        <w:autoSpaceDE w:val="0"/>
        <w:autoSpaceDN w:val="0"/>
        <w:adjustRightInd w:val="0"/>
        <w:spacing w:before="0" w:after="0"/>
        <w:jc w:val="both"/>
        <w:rPr>
          <w:rFonts w:cs="Arial"/>
        </w:rPr>
      </w:pPr>
      <w:r>
        <w:rPr>
          <w:rFonts w:cs="Arial"/>
        </w:rPr>
        <w:t>Again, the small sample sizes and lack of control groups prevent definitive conclusions about efficacy.</w:t>
      </w:r>
      <w:r>
        <w:rPr>
          <w:rStyle w:val="EndnoteReference"/>
          <w:rFonts w:cs="Arial"/>
        </w:rPr>
        <w:endnoteReference w:id="601"/>
      </w:r>
    </w:p>
    <w:p w14:paraId="3BDEB280" w14:textId="77777777" w:rsidR="000D1D92" w:rsidRDefault="000D1D92" w:rsidP="000D1D92">
      <w:pPr>
        <w:jc w:val="both"/>
      </w:pPr>
      <w:r>
        <w:t xml:space="preserve">While programs and services to support children affected by family and domestic violence were raised throughout my examination, </w:t>
      </w:r>
      <w:r w:rsidRPr="00594893">
        <w:t>relatively little information</w:t>
      </w:r>
      <w:r>
        <w:t xml:space="preserve"> is </w:t>
      </w:r>
      <w:r w:rsidRPr="00594893">
        <w:t>available about the extent of children’s access to such services</w:t>
      </w:r>
      <w:r>
        <w:t xml:space="preserve"> or</w:t>
      </w:r>
      <w:r w:rsidRPr="00594893">
        <w:t xml:space="preserve"> evidence of actual outcomes for children</w:t>
      </w:r>
      <w:r>
        <w:t>.</w:t>
      </w:r>
    </w:p>
    <w:p w14:paraId="6972A42D" w14:textId="77777777" w:rsidR="000D1D92" w:rsidRDefault="000D1D92" w:rsidP="000D1D92">
      <w:pPr>
        <w:jc w:val="both"/>
      </w:pPr>
      <w:r>
        <w:t>A recent review of family violence prevention, early intervention and response services found that in Australia there is limited evidence for the efficacy of programs for children aged 0 to 8 years.</w:t>
      </w:r>
      <w:r>
        <w:rPr>
          <w:rStyle w:val="EndnoteReference"/>
        </w:rPr>
        <w:endnoteReference w:id="602"/>
      </w:r>
    </w:p>
    <w:p w14:paraId="6E113DB8" w14:textId="77777777" w:rsidR="000D1D92" w:rsidRDefault="000D1D92" w:rsidP="000D1D92">
      <w:pPr>
        <w:autoSpaceDE w:val="0"/>
        <w:autoSpaceDN w:val="0"/>
        <w:adjustRightInd w:val="0"/>
        <w:spacing w:before="0" w:after="0"/>
        <w:jc w:val="both"/>
        <w:rPr>
          <w:rFonts w:cs="Arial"/>
        </w:rPr>
      </w:pPr>
      <w:r>
        <w:t>Work by Bromfield, Arney, and Higgins indicated that:</w:t>
      </w:r>
    </w:p>
    <w:p w14:paraId="2679A0D9" w14:textId="77777777" w:rsidR="000D1D92" w:rsidRDefault="000D1D92" w:rsidP="000D1D92">
      <w:pPr>
        <w:autoSpaceDE w:val="0"/>
        <w:autoSpaceDN w:val="0"/>
        <w:adjustRightInd w:val="0"/>
        <w:spacing w:before="0" w:after="0"/>
        <w:jc w:val="both"/>
        <w:rPr>
          <w:rFonts w:cs="Arial"/>
        </w:rPr>
      </w:pPr>
    </w:p>
    <w:p w14:paraId="231C78FB" w14:textId="77777777" w:rsidR="000D1D92" w:rsidRDefault="000D1D92" w:rsidP="000D1D92">
      <w:pPr>
        <w:autoSpaceDE w:val="0"/>
        <w:autoSpaceDN w:val="0"/>
        <w:adjustRightInd w:val="0"/>
        <w:spacing w:before="0" w:after="0"/>
        <w:ind w:left="720"/>
        <w:jc w:val="both"/>
        <w:rPr>
          <w:rFonts w:cs="Arial"/>
        </w:rPr>
      </w:pPr>
      <w:r w:rsidRPr="00A17AB8">
        <w:rPr>
          <w:rFonts w:cs="Arial"/>
          <w:sz w:val="22"/>
          <w:szCs w:val="22"/>
        </w:rPr>
        <w:t>In Australia, there is a significant gap between “what we know and what we do”, with many family support services being funded without a clear practice or program model and without being underpinned by an evidence base</w:t>
      </w:r>
      <w:r w:rsidRPr="0027678C">
        <w:rPr>
          <w:rFonts w:cs="Arial"/>
        </w:rPr>
        <w:t>.</w:t>
      </w:r>
      <w:r>
        <w:rPr>
          <w:rStyle w:val="EndnoteReference"/>
          <w:rFonts w:cs="Arial"/>
        </w:rPr>
        <w:endnoteReference w:id="603"/>
      </w:r>
    </w:p>
    <w:p w14:paraId="1659E7FD" w14:textId="77777777" w:rsidR="000D1D92" w:rsidRDefault="000D1D92" w:rsidP="000D1D92">
      <w:pPr>
        <w:autoSpaceDE w:val="0"/>
        <w:autoSpaceDN w:val="0"/>
        <w:adjustRightInd w:val="0"/>
        <w:spacing w:before="0" w:after="0"/>
        <w:jc w:val="both"/>
        <w:rPr>
          <w:rFonts w:cs="Arial"/>
        </w:rPr>
      </w:pPr>
    </w:p>
    <w:p w14:paraId="12258E3C" w14:textId="77777777" w:rsidR="000D1D92" w:rsidRDefault="000D1D92" w:rsidP="000D1D92">
      <w:pPr>
        <w:autoSpaceDE w:val="0"/>
        <w:autoSpaceDN w:val="0"/>
        <w:adjustRightInd w:val="0"/>
        <w:spacing w:before="0" w:after="0"/>
        <w:jc w:val="both"/>
        <w:rPr>
          <w:rFonts w:cs="Arial"/>
        </w:rPr>
      </w:pPr>
      <w:r>
        <w:rPr>
          <w:rFonts w:cs="Arial"/>
        </w:rPr>
        <w:t xml:space="preserve">The implications of this are very serious in terms of making sure that interventions are adding value to children’s lives. </w:t>
      </w:r>
    </w:p>
    <w:p w14:paraId="45CE458D" w14:textId="77777777" w:rsidR="000D1D92" w:rsidRDefault="000D1D92" w:rsidP="000D1D92">
      <w:pPr>
        <w:autoSpaceDE w:val="0"/>
        <w:autoSpaceDN w:val="0"/>
        <w:adjustRightInd w:val="0"/>
        <w:spacing w:before="0" w:after="0"/>
        <w:jc w:val="both"/>
        <w:rPr>
          <w:rFonts w:cs="Arial"/>
        </w:rPr>
      </w:pPr>
    </w:p>
    <w:p w14:paraId="154EFD14" w14:textId="77777777" w:rsidR="000D1D92" w:rsidRDefault="000D1D92" w:rsidP="000D1D92">
      <w:pPr>
        <w:autoSpaceDE w:val="0"/>
        <w:autoSpaceDN w:val="0"/>
        <w:adjustRightInd w:val="0"/>
        <w:spacing w:before="0" w:after="0"/>
        <w:jc w:val="both"/>
      </w:pPr>
      <w:r>
        <w:rPr>
          <w:rFonts w:cs="Arial"/>
        </w:rPr>
        <w:t xml:space="preserve">As the joint submission made by the </w:t>
      </w:r>
      <w:r>
        <w:t>Australian Institute of Family Studies (AIFS) and Australia’s National Research Organisation for Women’s Safety Ltd (ANROWS) noted that:</w:t>
      </w:r>
    </w:p>
    <w:p w14:paraId="124FAD5A" w14:textId="77777777" w:rsidR="000D1D92" w:rsidRPr="00D66CF1" w:rsidRDefault="000D1D92" w:rsidP="000D1D92">
      <w:pPr>
        <w:autoSpaceDE w:val="0"/>
        <w:autoSpaceDN w:val="0"/>
        <w:adjustRightInd w:val="0"/>
        <w:spacing w:before="0" w:after="0"/>
        <w:jc w:val="both"/>
        <w:rPr>
          <w:rFonts w:cs="Arial"/>
        </w:rPr>
      </w:pPr>
    </w:p>
    <w:p w14:paraId="15BA1B4E" w14:textId="77777777" w:rsidR="000D1D92" w:rsidRPr="00B2626E" w:rsidRDefault="000D1D92" w:rsidP="000D1D92">
      <w:pPr>
        <w:autoSpaceDE w:val="0"/>
        <w:autoSpaceDN w:val="0"/>
        <w:adjustRightInd w:val="0"/>
        <w:spacing w:before="0" w:after="0"/>
        <w:ind w:left="720"/>
        <w:jc w:val="both"/>
        <w:rPr>
          <w:rFonts w:cs="Arial"/>
          <w:sz w:val="22"/>
          <w:szCs w:val="22"/>
        </w:rPr>
      </w:pPr>
      <w:r w:rsidRPr="00A17AB8">
        <w:rPr>
          <w:rFonts w:cs="Arial"/>
          <w:sz w:val="22"/>
          <w:szCs w:val="22"/>
        </w:rPr>
        <w:t>Overall, there is a lack of evidence about the outcomes for children affected by DFV who engage with services, programs and support. This is largely due to a lack of rigorous evaluation of DFV services. DFV services often lack the resources to undertake or participate in evaluation. There is, however, a significant amount of high quality practice knowledge within the sector about the best approaches to take with children affected by DFV.</w:t>
      </w:r>
      <w:r w:rsidRPr="00A17AB8">
        <w:rPr>
          <w:rStyle w:val="EndnoteReference"/>
          <w:rFonts w:cs="Arial"/>
          <w:sz w:val="22"/>
          <w:szCs w:val="22"/>
        </w:rPr>
        <w:endnoteReference w:id="604"/>
      </w:r>
    </w:p>
    <w:p w14:paraId="1FB64F5D" w14:textId="77777777" w:rsidR="000D1D92" w:rsidRDefault="000D1D92" w:rsidP="000D1D92">
      <w:pPr>
        <w:autoSpaceDE w:val="0"/>
        <w:autoSpaceDN w:val="0"/>
        <w:adjustRightInd w:val="0"/>
        <w:spacing w:before="0" w:after="0"/>
        <w:jc w:val="both"/>
        <w:rPr>
          <w:rFonts w:cs="Arial"/>
        </w:rPr>
      </w:pPr>
    </w:p>
    <w:p w14:paraId="300F55F6" w14:textId="77777777" w:rsidR="000D1D92" w:rsidRDefault="000D1D92" w:rsidP="000D1D92">
      <w:pPr>
        <w:autoSpaceDE w:val="0"/>
        <w:autoSpaceDN w:val="0"/>
        <w:adjustRightInd w:val="0"/>
        <w:spacing w:before="0" w:after="0"/>
        <w:jc w:val="both"/>
        <w:rPr>
          <w:rFonts w:cs="Arial"/>
        </w:rPr>
      </w:pPr>
      <w:r>
        <w:rPr>
          <w:rFonts w:cs="Arial"/>
        </w:rPr>
        <w:t>Academic, Nicky Stanley points out that:</w:t>
      </w:r>
    </w:p>
    <w:p w14:paraId="57619A87" w14:textId="77777777" w:rsidR="000D1D92" w:rsidRDefault="000D1D92" w:rsidP="000D1D92">
      <w:pPr>
        <w:autoSpaceDE w:val="0"/>
        <w:autoSpaceDN w:val="0"/>
        <w:adjustRightInd w:val="0"/>
        <w:spacing w:before="0" w:after="0"/>
        <w:ind w:left="720"/>
        <w:jc w:val="both"/>
      </w:pPr>
    </w:p>
    <w:p w14:paraId="567216EA" w14:textId="77777777" w:rsidR="000D1D92" w:rsidRDefault="000D1D92" w:rsidP="000D1D92">
      <w:pPr>
        <w:autoSpaceDE w:val="0"/>
        <w:autoSpaceDN w:val="0"/>
        <w:adjustRightInd w:val="0"/>
        <w:spacing w:before="0" w:after="0"/>
        <w:ind w:left="720"/>
        <w:jc w:val="both"/>
        <w:rPr>
          <w:rFonts w:cs="Arial"/>
          <w:sz w:val="22"/>
          <w:szCs w:val="22"/>
        </w:rPr>
      </w:pPr>
      <w:r w:rsidRPr="00A17AB8">
        <w:rPr>
          <w:rFonts w:cs="Arial"/>
          <w:sz w:val="22"/>
          <w:szCs w:val="22"/>
        </w:rPr>
        <w:t xml:space="preserve">While the accumulating body of evidence concerning the harmful effects of domestic violence on children’s emotional well-being and development has been widely disseminated, there is much less knowledge and understanding of how children can be protected from those effects or which interventions are most successful in ending domestic violence. </w:t>
      </w:r>
    </w:p>
    <w:p w14:paraId="71E60218" w14:textId="77777777" w:rsidR="000D1D92" w:rsidRDefault="000D1D92" w:rsidP="000D1D92">
      <w:pPr>
        <w:autoSpaceDE w:val="0"/>
        <w:autoSpaceDN w:val="0"/>
        <w:adjustRightInd w:val="0"/>
        <w:spacing w:before="0" w:after="0"/>
        <w:ind w:left="720"/>
        <w:jc w:val="both"/>
        <w:rPr>
          <w:rFonts w:cs="Arial"/>
          <w:sz w:val="22"/>
          <w:szCs w:val="22"/>
        </w:rPr>
      </w:pPr>
    </w:p>
    <w:p w14:paraId="1FEB52EC" w14:textId="77777777" w:rsidR="000D1D92" w:rsidRDefault="000D1D92" w:rsidP="000D1D92">
      <w:pPr>
        <w:autoSpaceDE w:val="0"/>
        <w:autoSpaceDN w:val="0"/>
        <w:adjustRightInd w:val="0"/>
        <w:spacing w:before="0" w:after="0"/>
        <w:ind w:left="720"/>
        <w:jc w:val="both"/>
        <w:rPr>
          <w:rFonts w:cs="Arial"/>
        </w:rPr>
      </w:pPr>
      <w:r w:rsidRPr="00A17AB8">
        <w:rPr>
          <w:rFonts w:cs="Arial"/>
          <w:sz w:val="22"/>
          <w:szCs w:val="22"/>
        </w:rPr>
        <w:t>It is increasingly recognised that interventions that only target the victim or even those aimed at mothers and children may ‘miss the mark’ by omitting to engage with fathers who are the perpetrators of the most severe and frequent forms of domestic violence.</w:t>
      </w:r>
      <w:r w:rsidRPr="00A17AB8">
        <w:rPr>
          <w:rStyle w:val="EndnoteReference"/>
          <w:rFonts w:cs="Arial"/>
          <w:sz w:val="22"/>
          <w:szCs w:val="22"/>
        </w:rPr>
        <w:endnoteReference w:id="605"/>
      </w:r>
      <w:r w:rsidRPr="00A17AB8">
        <w:rPr>
          <w:rFonts w:cs="Arial"/>
          <w:sz w:val="22"/>
          <w:szCs w:val="22"/>
        </w:rPr>
        <w:t xml:space="preserve">…interventions aimed at protecting children from domestic violence </w:t>
      </w:r>
      <w:r w:rsidRPr="00A17AB8">
        <w:rPr>
          <w:rFonts w:cs="Arial"/>
          <w:sz w:val="22"/>
          <w:szCs w:val="22"/>
        </w:rPr>
        <w:lastRenderedPageBreak/>
        <w:t>should focus on promoting mother-child attachments. Other supportive adults, such as grandparents, aunts or older siblings, can also offer supportive relationships that convey continuity, security and a sense of being loved</w:t>
      </w:r>
      <w:r w:rsidRPr="00EF7FF6">
        <w:rPr>
          <w:rFonts w:cs="Arial"/>
        </w:rPr>
        <w:t>.</w:t>
      </w:r>
      <w:r>
        <w:rPr>
          <w:rStyle w:val="EndnoteReference"/>
          <w:rFonts w:cs="Arial"/>
        </w:rPr>
        <w:endnoteReference w:id="606"/>
      </w:r>
    </w:p>
    <w:p w14:paraId="21D8F97C" w14:textId="77777777" w:rsidR="000D1D92" w:rsidRPr="00BB0405" w:rsidRDefault="000D1D92" w:rsidP="000D1D92">
      <w:pPr>
        <w:pStyle w:val="Heading4"/>
      </w:pPr>
      <w:r>
        <w:t>P</w:t>
      </w:r>
      <w:r w:rsidRPr="00354AA1">
        <w:t>erpetrator intervention</w:t>
      </w:r>
      <w:r>
        <w:t>s for behaviour change</w:t>
      </w:r>
    </w:p>
    <w:p w14:paraId="1BE7C40B" w14:textId="77777777" w:rsidR="000D1D92" w:rsidRDefault="000D1D92" w:rsidP="000D1D92">
      <w:pPr>
        <w:autoSpaceDE w:val="0"/>
        <w:autoSpaceDN w:val="0"/>
        <w:adjustRightInd w:val="0"/>
        <w:spacing w:before="0" w:after="0"/>
        <w:jc w:val="both"/>
        <w:rPr>
          <w:rFonts w:cs="Arial"/>
        </w:rPr>
      </w:pPr>
      <w:r>
        <w:rPr>
          <w:rFonts w:cs="Arial"/>
        </w:rPr>
        <w:t>In the main, men who use family and domestic violence ‘remain a strong presence in the lives of their children’.</w:t>
      </w:r>
      <w:r>
        <w:rPr>
          <w:rStyle w:val="EndnoteReference"/>
          <w:rFonts w:cs="Arial"/>
        </w:rPr>
        <w:endnoteReference w:id="607"/>
      </w:r>
    </w:p>
    <w:p w14:paraId="2558A41A" w14:textId="77777777" w:rsidR="000D1D92" w:rsidRDefault="000D1D92" w:rsidP="000D1D92">
      <w:pPr>
        <w:autoSpaceDE w:val="0"/>
        <w:autoSpaceDN w:val="0"/>
        <w:adjustRightInd w:val="0"/>
        <w:spacing w:before="0" w:after="0"/>
        <w:jc w:val="both"/>
        <w:rPr>
          <w:rFonts w:cs="Arial"/>
        </w:rPr>
      </w:pPr>
    </w:p>
    <w:p w14:paraId="549C4592" w14:textId="77777777" w:rsidR="000D1D92" w:rsidRDefault="000D1D92" w:rsidP="000D1D92">
      <w:pPr>
        <w:autoSpaceDE w:val="0"/>
        <w:autoSpaceDN w:val="0"/>
        <w:adjustRightInd w:val="0"/>
        <w:spacing w:before="0" w:after="0"/>
        <w:jc w:val="both"/>
        <w:rPr>
          <w:rFonts w:cs="Arial"/>
        </w:rPr>
      </w:pPr>
      <w:r>
        <w:rPr>
          <w:rFonts w:cs="Arial"/>
        </w:rPr>
        <w:t xml:space="preserve">Given this reality, the role of perpetrator interventions to create opportunities for behaviour change was raised in a number of submissions and also at my roundtables. For example, Relationships Australia noted in its submission: </w:t>
      </w:r>
    </w:p>
    <w:p w14:paraId="0A25E0DD" w14:textId="77777777" w:rsidR="000D1D92" w:rsidRDefault="000D1D92" w:rsidP="000D1D92">
      <w:pPr>
        <w:autoSpaceDE w:val="0"/>
        <w:autoSpaceDN w:val="0"/>
        <w:adjustRightInd w:val="0"/>
        <w:spacing w:before="0" w:after="0"/>
        <w:jc w:val="both"/>
        <w:rPr>
          <w:rFonts w:cs="Arial"/>
        </w:rPr>
      </w:pPr>
    </w:p>
    <w:p w14:paraId="6A302432" w14:textId="77777777" w:rsidR="000D1D92" w:rsidRPr="00101E5A" w:rsidRDefault="000D1D92" w:rsidP="000D1D92">
      <w:pPr>
        <w:autoSpaceDE w:val="0"/>
        <w:autoSpaceDN w:val="0"/>
        <w:adjustRightInd w:val="0"/>
        <w:spacing w:before="0" w:after="0"/>
        <w:ind w:left="720"/>
        <w:jc w:val="both"/>
        <w:rPr>
          <w:rFonts w:cs="Arial"/>
          <w:sz w:val="22"/>
          <w:szCs w:val="22"/>
        </w:rPr>
      </w:pPr>
      <w:r w:rsidRPr="00101E5A">
        <w:rPr>
          <w:rFonts w:cs="Arial"/>
          <w:sz w:val="22"/>
          <w:szCs w:val="22"/>
        </w:rPr>
        <w:t>Research suggests that timely interventions can create opportunities for behaviour change. This includes fathers’ desires to maintain and improve relationships with their children which can be a significant leverage point through which the impact of their violent behaviour can be realised and confronted.</w:t>
      </w:r>
      <w:r>
        <w:rPr>
          <w:rStyle w:val="EndnoteReference"/>
          <w:rFonts w:cs="Arial"/>
          <w:szCs w:val="22"/>
        </w:rPr>
        <w:endnoteReference w:id="608"/>
      </w:r>
    </w:p>
    <w:p w14:paraId="53E98EEB" w14:textId="77777777" w:rsidR="000D1D92" w:rsidRDefault="000D1D92" w:rsidP="000D1D92">
      <w:pPr>
        <w:autoSpaceDE w:val="0"/>
        <w:autoSpaceDN w:val="0"/>
        <w:adjustRightInd w:val="0"/>
        <w:spacing w:before="0" w:after="0"/>
        <w:jc w:val="both"/>
        <w:rPr>
          <w:rFonts w:cs="Arial"/>
        </w:rPr>
      </w:pPr>
    </w:p>
    <w:p w14:paraId="421CB7C5" w14:textId="77777777" w:rsidR="000D1D92" w:rsidRDefault="000D1D92" w:rsidP="000D1D92">
      <w:pPr>
        <w:autoSpaceDE w:val="0"/>
        <w:autoSpaceDN w:val="0"/>
        <w:adjustRightInd w:val="0"/>
        <w:spacing w:before="0" w:after="0"/>
        <w:jc w:val="both"/>
        <w:rPr>
          <w:rFonts w:cs="Arial"/>
        </w:rPr>
      </w:pPr>
      <w:r>
        <w:rPr>
          <w:rFonts w:cs="Arial"/>
        </w:rPr>
        <w:t>The Melbourne Alliance to End Violence Against Women and their Children argued that:</w:t>
      </w:r>
    </w:p>
    <w:p w14:paraId="62C2D7B5" w14:textId="77777777" w:rsidR="000D1D92" w:rsidRDefault="000D1D92" w:rsidP="000D1D92">
      <w:pPr>
        <w:autoSpaceDE w:val="0"/>
        <w:autoSpaceDN w:val="0"/>
        <w:adjustRightInd w:val="0"/>
        <w:spacing w:before="0" w:after="0"/>
        <w:jc w:val="both"/>
        <w:rPr>
          <w:rFonts w:cs="Arial"/>
        </w:rPr>
      </w:pPr>
    </w:p>
    <w:p w14:paraId="67DA1E1B" w14:textId="77777777" w:rsidR="000D1D92" w:rsidRPr="005717A3" w:rsidRDefault="000D1D92" w:rsidP="000D1D92">
      <w:pPr>
        <w:autoSpaceDE w:val="0"/>
        <w:autoSpaceDN w:val="0"/>
        <w:adjustRightInd w:val="0"/>
        <w:spacing w:before="0" w:after="0"/>
        <w:ind w:left="720"/>
        <w:jc w:val="both"/>
        <w:rPr>
          <w:rFonts w:cs="Arial"/>
          <w:sz w:val="22"/>
          <w:szCs w:val="22"/>
        </w:rPr>
      </w:pPr>
      <w:r w:rsidRPr="005717A3">
        <w:rPr>
          <w:rFonts w:cs="Arial"/>
          <w:sz w:val="22"/>
          <w:szCs w:val="22"/>
        </w:rPr>
        <w:t>primary prevention strategies which support respectful and equal relationships between men and women and their children are central to family violence intervention. We recognise that this work is of primary importance and foundational to an effective response to family violence.</w:t>
      </w:r>
      <w:r w:rsidRPr="005717A3">
        <w:rPr>
          <w:rStyle w:val="EndnoteReference"/>
          <w:rFonts w:cs="Arial"/>
          <w:sz w:val="22"/>
          <w:szCs w:val="22"/>
        </w:rPr>
        <w:endnoteReference w:id="609"/>
      </w:r>
    </w:p>
    <w:p w14:paraId="35C1EC78" w14:textId="77777777" w:rsidR="000D1D92" w:rsidRDefault="000D1D92" w:rsidP="000D1D92">
      <w:pPr>
        <w:autoSpaceDE w:val="0"/>
        <w:autoSpaceDN w:val="0"/>
        <w:adjustRightInd w:val="0"/>
        <w:spacing w:before="0" w:after="0"/>
        <w:jc w:val="both"/>
        <w:rPr>
          <w:rFonts w:cs="Arial"/>
        </w:rPr>
      </w:pPr>
    </w:p>
    <w:p w14:paraId="6B997854" w14:textId="77777777" w:rsidR="000D1D92" w:rsidRDefault="000D1D92" w:rsidP="000D1D92">
      <w:pPr>
        <w:autoSpaceDE w:val="0"/>
        <w:autoSpaceDN w:val="0"/>
        <w:adjustRightInd w:val="0"/>
        <w:spacing w:before="0" w:after="0"/>
        <w:jc w:val="both"/>
        <w:rPr>
          <w:rFonts w:cs="Arial"/>
        </w:rPr>
      </w:pPr>
      <w:r>
        <w:rPr>
          <w:rFonts w:cs="Arial"/>
        </w:rPr>
        <w:t xml:space="preserve">An example of a men’s behaviour change program was described by Relationships Australia New South Wales in its submission to me: </w:t>
      </w:r>
    </w:p>
    <w:p w14:paraId="79AA2C51" w14:textId="77777777" w:rsidR="000D1D92" w:rsidRDefault="000D1D92" w:rsidP="000D1D92">
      <w:pPr>
        <w:autoSpaceDE w:val="0"/>
        <w:autoSpaceDN w:val="0"/>
        <w:adjustRightInd w:val="0"/>
        <w:spacing w:before="0" w:after="0"/>
        <w:jc w:val="both"/>
        <w:rPr>
          <w:rFonts w:cs="Arial"/>
        </w:rPr>
      </w:pPr>
    </w:p>
    <w:p w14:paraId="10731EBB" w14:textId="77777777" w:rsidR="000D1D92" w:rsidRPr="00D729B7" w:rsidRDefault="000D1D92" w:rsidP="000D1D92">
      <w:pPr>
        <w:autoSpaceDE w:val="0"/>
        <w:autoSpaceDN w:val="0"/>
        <w:adjustRightInd w:val="0"/>
        <w:spacing w:before="0" w:after="0"/>
        <w:ind w:left="720"/>
        <w:jc w:val="both"/>
        <w:rPr>
          <w:rFonts w:cs="Arial"/>
          <w:sz w:val="22"/>
          <w:szCs w:val="22"/>
        </w:rPr>
      </w:pPr>
      <w:r w:rsidRPr="00D729B7">
        <w:rPr>
          <w:rFonts w:cs="Arial"/>
          <w:sz w:val="22"/>
          <w:szCs w:val="22"/>
        </w:rPr>
        <w:t xml:space="preserve">Taking Responsibility, a Men’s Behaviour Change Program, [developed] over the past twenty years… is one of the leading programs in this state, with robust referral pathways in place via judges and magistrates, police professionals, family law professionals, and clinical service providers. </w:t>
      </w:r>
    </w:p>
    <w:p w14:paraId="2B6EB6CA" w14:textId="77777777" w:rsidR="000D1D92" w:rsidRPr="00D729B7" w:rsidRDefault="000D1D92" w:rsidP="000D1D92">
      <w:pPr>
        <w:autoSpaceDE w:val="0"/>
        <w:autoSpaceDN w:val="0"/>
        <w:adjustRightInd w:val="0"/>
        <w:spacing w:before="0" w:after="0"/>
        <w:ind w:left="720"/>
        <w:jc w:val="both"/>
        <w:rPr>
          <w:rFonts w:cs="Arial"/>
          <w:sz w:val="22"/>
          <w:szCs w:val="22"/>
        </w:rPr>
      </w:pPr>
    </w:p>
    <w:p w14:paraId="51672877" w14:textId="77777777" w:rsidR="000D1D92" w:rsidRPr="00D729B7" w:rsidRDefault="000D1D92" w:rsidP="000D1D92">
      <w:pPr>
        <w:autoSpaceDE w:val="0"/>
        <w:autoSpaceDN w:val="0"/>
        <w:adjustRightInd w:val="0"/>
        <w:spacing w:before="0" w:after="0"/>
        <w:ind w:left="720"/>
        <w:jc w:val="both"/>
        <w:rPr>
          <w:rFonts w:cs="Arial"/>
          <w:sz w:val="22"/>
          <w:szCs w:val="22"/>
        </w:rPr>
      </w:pPr>
      <w:r w:rsidRPr="00D729B7">
        <w:rPr>
          <w:rFonts w:cs="Arial"/>
          <w:sz w:val="22"/>
          <w:szCs w:val="22"/>
        </w:rPr>
        <w:t>Significantly, a large proportion of our clients self-direct to this program, and our clients are therefore made up of both voluntary and mandated clients. The program is guided by nearly ten years of research based evaluations, and this activity has helped us develop the clinical objectives and expertise for our Family Safety Programs.</w:t>
      </w:r>
      <w:r w:rsidRPr="00D729B7">
        <w:rPr>
          <w:rStyle w:val="EndnoteReference"/>
          <w:rFonts w:cs="Arial"/>
          <w:sz w:val="22"/>
          <w:szCs w:val="22"/>
        </w:rPr>
        <w:endnoteReference w:id="610"/>
      </w:r>
    </w:p>
    <w:p w14:paraId="7D884933" w14:textId="77777777" w:rsidR="000D1D92" w:rsidRDefault="000D1D92" w:rsidP="000D1D92">
      <w:pPr>
        <w:autoSpaceDE w:val="0"/>
        <w:autoSpaceDN w:val="0"/>
        <w:adjustRightInd w:val="0"/>
        <w:spacing w:before="0" w:after="0"/>
        <w:jc w:val="both"/>
        <w:rPr>
          <w:rFonts w:cs="Arial"/>
        </w:rPr>
      </w:pPr>
    </w:p>
    <w:p w14:paraId="706D1FE9" w14:textId="77777777" w:rsidR="000D1D92" w:rsidRDefault="000D1D92" w:rsidP="000D1D92">
      <w:pPr>
        <w:autoSpaceDE w:val="0"/>
        <w:autoSpaceDN w:val="0"/>
        <w:adjustRightInd w:val="0"/>
        <w:spacing w:before="0" w:after="0"/>
        <w:jc w:val="both"/>
        <w:rPr>
          <w:rFonts w:cs="Arial"/>
        </w:rPr>
      </w:pPr>
      <w:r>
        <w:rPr>
          <w:rFonts w:cs="Arial"/>
        </w:rPr>
        <w:t>Relationships Australia New South Wales further indicated that its research about men’s behaviour change programs shows that:</w:t>
      </w:r>
    </w:p>
    <w:p w14:paraId="256E2D8D" w14:textId="77777777" w:rsidR="000D1D92" w:rsidRDefault="000D1D92" w:rsidP="000D1D92">
      <w:pPr>
        <w:autoSpaceDE w:val="0"/>
        <w:autoSpaceDN w:val="0"/>
        <w:adjustRightInd w:val="0"/>
        <w:spacing w:before="0" w:after="0"/>
        <w:jc w:val="both"/>
        <w:rPr>
          <w:rFonts w:cs="Arial"/>
        </w:rPr>
      </w:pPr>
    </w:p>
    <w:p w14:paraId="0ED63019" w14:textId="77777777" w:rsidR="000D1D92" w:rsidRPr="00EE5553" w:rsidRDefault="000D1D92" w:rsidP="000D1D92">
      <w:pPr>
        <w:autoSpaceDE w:val="0"/>
        <w:autoSpaceDN w:val="0"/>
        <w:adjustRightInd w:val="0"/>
        <w:spacing w:before="0" w:after="0"/>
        <w:ind w:left="720"/>
        <w:jc w:val="both"/>
        <w:rPr>
          <w:rFonts w:cs="Arial"/>
          <w:sz w:val="22"/>
          <w:szCs w:val="22"/>
        </w:rPr>
      </w:pPr>
      <w:r>
        <w:rPr>
          <w:rFonts w:cs="Arial"/>
          <w:sz w:val="22"/>
          <w:szCs w:val="22"/>
        </w:rPr>
        <w:t xml:space="preserve">… </w:t>
      </w:r>
      <w:r w:rsidRPr="00EE5553">
        <w:rPr>
          <w:rFonts w:cs="Arial"/>
          <w:sz w:val="22"/>
          <w:szCs w:val="22"/>
        </w:rPr>
        <w:t>the most personally meaningful changes the men had made, and those that they were most proud of, related to improved relationships with their children…The engagement of men in behaviour change programs</w:t>
      </w:r>
      <w:r>
        <w:rPr>
          <w:rFonts w:cs="Arial"/>
          <w:sz w:val="22"/>
          <w:szCs w:val="22"/>
        </w:rPr>
        <w:t xml:space="preserve"> therefore </w:t>
      </w:r>
      <w:r w:rsidRPr="00EE5553">
        <w:rPr>
          <w:rFonts w:cs="Arial"/>
          <w:sz w:val="22"/>
          <w:szCs w:val="22"/>
        </w:rPr>
        <w:t>appears to have flow on benefits for their children, not only in terms of improved father child relationships, but also the motivation to continually invest in these relationships and maintain positive interactions</w:t>
      </w:r>
      <w:r>
        <w:rPr>
          <w:rFonts w:cs="Arial"/>
          <w:sz w:val="22"/>
          <w:szCs w:val="22"/>
        </w:rPr>
        <w:t>.</w:t>
      </w:r>
      <w:r>
        <w:rPr>
          <w:rStyle w:val="EndnoteReference"/>
          <w:rFonts w:cs="Arial"/>
          <w:szCs w:val="22"/>
        </w:rPr>
        <w:endnoteReference w:id="611"/>
      </w:r>
    </w:p>
    <w:p w14:paraId="49FFF98F" w14:textId="77777777" w:rsidR="000D1D92" w:rsidRDefault="000D1D92" w:rsidP="000D1D92">
      <w:pPr>
        <w:autoSpaceDE w:val="0"/>
        <w:autoSpaceDN w:val="0"/>
        <w:adjustRightInd w:val="0"/>
        <w:spacing w:before="0" w:after="0"/>
        <w:jc w:val="both"/>
        <w:rPr>
          <w:rFonts w:cs="Arial"/>
        </w:rPr>
      </w:pPr>
    </w:p>
    <w:p w14:paraId="7C15D1EA" w14:textId="77777777" w:rsidR="000D1D92" w:rsidRDefault="000D1D92" w:rsidP="000D1D92">
      <w:pPr>
        <w:autoSpaceDE w:val="0"/>
        <w:autoSpaceDN w:val="0"/>
        <w:adjustRightInd w:val="0"/>
        <w:spacing w:before="0" w:after="0"/>
        <w:jc w:val="both"/>
        <w:rPr>
          <w:rFonts w:cs="Arial"/>
        </w:rPr>
      </w:pPr>
      <w:r>
        <w:rPr>
          <w:rFonts w:cs="Arial"/>
        </w:rPr>
        <w:t>The submission by the North Australian Aboriginal Family Legal Service recommended that attendance at accredited behaviour change programs be court mandated for perpetrators.</w:t>
      </w:r>
      <w:r>
        <w:rPr>
          <w:rStyle w:val="EndnoteReference"/>
          <w:rFonts w:cs="Arial"/>
          <w:szCs w:val="22"/>
        </w:rPr>
        <w:endnoteReference w:id="612"/>
      </w:r>
    </w:p>
    <w:p w14:paraId="6C22FE95" w14:textId="77777777" w:rsidR="000D1D92" w:rsidRDefault="000D1D92" w:rsidP="000D1D92">
      <w:pPr>
        <w:autoSpaceDE w:val="0"/>
        <w:autoSpaceDN w:val="0"/>
        <w:adjustRightInd w:val="0"/>
        <w:spacing w:before="0" w:after="0"/>
        <w:jc w:val="both"/>
        <w:rPr>
          <w:rFonts w:cs="Arial"/>
        </w:rPr>
      </w:pPr>
    </w:p>
    <w:p w14:paraId="158D8EA5" w14:textId="77777777" w:rsidR="000D1D92" w:rsidRDefault="000D1D92" w:rsidP="000D1D92">
      <w:pPr>
        <w:autoSpaceDE w:val="0"/>
        <w:autoSpaceDN w:val="0"/>
        <w:adjustRightInd w:val="0"/>
        <w:spacing w:before="0" w:after="0"/>
        <w:jc w:val="both"/>
        <w:rPr>
          <w:rFonts w:cs="Arial"/>
        </w:rPr>
      </w:pPr>
      <w:r>
        <w:rPr>
          <w:rFonts w:cs="Arial"/>
        </w:rPr>
        <w:lastRenderedPageBreak/>
        <w:t>Court mandated parenting and male behaviour change programs were also supported by the Australian Association of Social Workers (AASW) in its submission to me.</w:t>
      </w:r>
      <w:r>
        <w:rPr>
          <w:rStyle w:val="EndnoteReference"/>
          <w:rFonts w:cs="Arial"/>
        </w:rPr>
        <w:endnoteReference w:id="613"/>
      </w:r>
      <w:r>
        <w:rPr>
          <w:rFonts w:cs="Arial"/>
        </w:rPr>
        <w:t xml:space="preserve"> </w:t>
      </w:r>
    </w:p>
    <w:p w14:paraId="72A614CC" w14:textId="77777777" w:rsidR="000D1D92" w:rsidRDefault="000D1D92" w:rsidP="000D1D92">
      <w:pPr>
        <w:autoSpaceDE w:val="0"/>
        <w:autoSpaceDN w:val="0"/>
        <w:adjustRightInd w:val="0"/>
        <w:spacing w:before="0" w:after="0"/>
        <w:jc w:val="both"/>
        <w:rPr>
          <w:rFonts w:cs="Arial"/>
        </w:rPr>
      </w:pPr>
    </w:p>
    <w:p w14:paraId="6878D38A" w14:textId="77777777" w:rsidR="000D1D92" w:rsidRDefault="000D1D92" w:rsidP="000D1D92">
      <w:pPr>
        <w:autoSpaceDE w:val="0"/>
        <w:autoSpaceDN w:val="0"/>
        <w:adjustRightInd w:val="0"/>
        <w:spacing w:before="0" w:after="0"/>
        <w:jc w:val="both"/>
        <w:rPr>
          <w:rFonts w:cs="Arial"/>
        </w:rPr>
      </w:pPr>
      <w:r>
        <w:rPr>
          <w:rFonts w:cs="Arial"/>
        </w:rPr>
        <w:t xml:space="preserve">Additionally, the AASW submission referred to a study of violent men’s perceptions of themselves as fathers, which: </w:t>
      </w:r>
    </w:p>
    <w:p w14:paraId="7E5831AA" w14:textId="77777777" w:rsidR="000D1D92" w:rsidRDefault="000D1D92" w:rsidP="000D1D92">
      <w:pPr>
        <w:autoSpaceDE w:val="0"/>
        <w:autoSpaceDN w:val="0"/>
        <w:adjustRightInd w:val="0"/>
        <w:spacing w:before="0" w:after="0"/>
        <w:jc w:val="both"/>
        <w:rPr>
          <w:rFonts w:cs="Arial"/>
        </w:rPr>
      </w:pPr>
    </w:p>
    <w:p w14:paraId="1876537A" w14:textId="77777777" w:rsidR="000D1D92" w:rsidRDefault="000D1D92" w:rsidP="000D1D92">
      <w:pPr>
        <w:autoSpaceDE w:val="0"/>
        <w:autoSpaceDN w:val="0"/>
        <w:adjustRightInd w:val="0"/>
        <w:spacing w:before="0" w:after="0"/>
        <w:ind w:left="720"/>
        <w:jc w:val="both"/>
        <w:rPr>
          <w:rFonts w:cs="Arial"/>
          <w:sz w:val="22"/>
          <w:szCs w:val="22"/>
        </w:rPr>
      </w:pPr>
      <w:r>
        <w:rPr>
          <w:rFonts w:cs="Arial"/>
          <w:sz w:val="22"/>
          <w:szCs w:val="22"/>
        </w:rPr>
        <w:t xml:space="preserve">… </w:t>
      </w:r>
      <w:r w:rsidRPr="009D0FCE">
        <w:rPr>
          <w:rFonts w:cs="Arial"/>
          <w:sz w:val="22"/>
          <w:szCs w:val="22"/>
        </w:rPr>
        <w:t xml:space="preserve">uncovered a disturbing picture of what these men understood as good fathering. </w:t>
      </w:r>
    </w:p>
    <w:p w14:paraId="0E6D2798" w14:textId="77777777" w:rsidR="000D1D92" w:rsidRDefault="000D1D92" w:rsidP="000D1D92">
      <w:pPr>
        <w:autoSpaceDE w:val="0"/>
        <w:autoSpaceDN w:val="0"/>
        <w:adjustRightInd w:val="0"/>
        <w:spacing w:before="0" w:after="0"/>
        <w:ind w:left="720"/>
        <w:jc w:val="both"/>
        <w:rPr>
          <w:rFonts w:cs="Arial"/>
          <w:sz w:val="22"/>
          <w:szCs w:val="22"/>
        </w:rPr>
      </w:pPr>
    </w:p>
    <w:p w14:paraId="0C94B582" w14:textId="77777777" w:rsidR="000D1D92" w:rsidRDefault="000D1D92" w:rsidP="000D1D92">
      <w:pPr>
        <w:autoSpaceDE w:val="0"/>
        <w:autoSpaceDN w:val="0"/>
        <w:adjustRightInd w:val="0"/>
        <w:spacing w:before="0" w:after="0"/>
        <w:ind w:left="720"/>
        <w:jc w:val="both"/>
        <w:rPr>
          <w:rFonts w:cs="Arial"/>
          <w:sz w:val="22"/>
          <w:szCs w:val="22"/>
        </w:rPr>
      </w:pPr>
      <w:r w:rsidRPr="009D0FCE">
        <w:rPr>
          <w:rFonts w:cs="Arial"/>
          <w:sz w:val="22"/>
          <w:szCs w:val="22"/>
        </w:rPr>
        <w:t xml:space="preserve">A number of violent men who were involved in men’s behaviour change programs were interviewed. The study found that they continued to blame their partners for their violence. These men did not display any insight into their behaviour nor the impact it may have had on the partner or the children. Instead they were self-absorbed and felt a sense of entitlement. </w:t>
      </w:r>
    </w:p>
    <w:p w14:paraId="4003F40C" w14:textId="77777777" w:rsidR="000D1D92" w:rsidRDefault="000D1D92" w:rsidP="000D1D92">
      <w:pPr>
        <w:autoSpaceDE w:val="0"/>
        <w:autoSpaceDN w:val="0"/>
        <w:adjustRightInd w:val="0"/>
        <w:spacing w:before="0" w:after="0"/>
        <w:ind w:left="720"/>
        <w:jc w:val="both"/>
        <w:rPr>
          <w:rFonts w:cs="Arial"/>
          <w:sz w:val="22"/>
          <w:szCs w:val="22"/>
        </w:rPr>
      </w:pPr>
    </w:p>
    <w:p w14:paraId="72B6568F" w14:textId="77777777" w:rsidR="000D1D92" w:rsidRPr="009D0FCE" w:rsidRDefault="000D1D92" w:rsidP="000D1D92">
      <w:pPr>
        <w:autoSpaceDE w:val="0"/>
        <w:autoSpaceDN w:val="0"/>
        <w:adjustRightInd w:val="0"/>
        <w:spacing w:before="0" w:after="0"/>
        <w:ind w:left="720"/>
        <w:jc w:val="both"/>
        <w:rPr>
          <w:rFonts w:cs="Arial"/>
          <w:sz w:val="22"/>
          <w:szCs w:val="22"/>
        </w:rPr>
      </w:pPr>
      <w:r w:rsidRPr="009D0FCE">
        <w:rPr>
          <w:rFonts w:cs="Arial"/>
          <w:sz w:val="22"/>
          <w:szCs w:val="22"/>
        </w:rPr>
        <w:t>All but one of the fathers believed they had been and were good fathers to their children while at the same time minimising the impact of their own violence. Their perception of themselves as good fathers was directly related to their ability to economically provide for the children and did not relate to support, nurture or care.</w:t>
      </w:r>
      <w:r>
        <w:rPr>
          <w:rStyle w:val="EndnoteReference"/>
          <w:rFonts w:cs="Arial"/>
          <w:szCs w:val="22"/>
        </w:rPr>
        <w:endnoteReference w:id="614"/>
      </w:r>
    </w:p>
    <w:p w14:paraId="5823A2DC" w14:textId="77777777" w:rsidR="000D1D92" w:rsidRDefault="000D1D92" w:rsidP="000D1D92">
      <w:pPr>
        <w:autoSpaceDE w:val="0"/>
        <w:autoSpaceDN w:val="0"/>
        <w:adjustRightInd w:val="0"/>
        <w:spacing w:before="0" w:after="0"/>
        <w:jc w:val="both"/>
        <w:rPr>
          <w:rFonts w:cs="Arial"/>
        </w:rPr>
      </w:pPr>
    </w:p>
    <w:p w14:paraId="6A2BB5F3" w14:textId="77777777" w:rsidR="000D1D92" w:rsidRDefault="000D1D92" w:rsidP="000D1D92">
      <w:pPr>
        <w:autoSpaceDE w:val="0"/>
        <w:autoSpaceDN w:val="0"/>
        <w:adjustRightInd w:val="0"/>
        <w:spacing w:before="0" w:after="0"/>
        <w:jc w:val="both"/>
        <w:rPr>
          <w:rFonts w:cs="Arial"/>
        </w:rPr>
      </w:pPr>
      <w:r>
        <w:rPr>
          <w:rFonts w:cs="Arial"/>
        </w:rPr>
        <w:t>In its submission to me, the Government of Western Australia referred to research currently underway to ‘investigate how and under what circumstances fathers who use violence are parenting and what the key fathering issues are that need to be addressed within these programs’.</w:t>
      </w:r>
      <w:r>
        <w:rPr>
          <w:rStyle w:val="EndnoteReference"/>
          <w:rFonts w:cs="Arial"/>
        </w:rPr>
        <w:endnoteReference w:id="615"/>
      </w:r>
    </w:p>
    <w:p w14:paraId="29F017ED" w14:textId="77777777" w:rsidR="000D1D92" w:rsidRDefault="000D1D92" w:rsidP="000D1D92">
      <w:pPr>
        <w:autoSpaceDE w:val="0"/>
        <w:autoSpaceDN w:val="0"/>
        <w:adjustRightInd w:val="0"/>
        <w:spacing w:before="0" w:after="0"/>
        <w:jc w:val="both"/>
        <w:rPr>
          <w:rFonts w:cs="Arial"/>
        </w:rPr>
      </w:pPr>
    </w:p>
    <w:p w14:paraId="7AD2A11B" w14:textId="77777777" w:rsidR="000D1D92" w:rsidRDefault="000D1D92" w:rsidP="000D1D92">
      <w:pPr>
        <w:autoSpaceDE w:val="0"/>
        <w:autoSpaceDN w:val="0"/>
        <w:adjustRightInd w:val="0"/>
        <w:spacing w:before="0" w:after="0"/>
        <w:jc w:val="both"/>
        <w:rPr>
          <w:rFonts w:cs="Arial"/>
        </w:rPr>
      </w:pPr>
      <w:r>
        <w:rPr>
          <w:rFonts w:cs="Arial"/>
        </w:rPr>
        <w:t>This research is being conducted by the Universities of Western Australia, Melbourne and South Australia, with approximately 30 industry partners, and is funded until 2016. I look forward to reading the findings from this important work.</w:t>
      </w:r>
      <w:r>
        <w:rPr>
          <w:rStyle w:val="EndnoteReference"/>
          <w:rFonts w:cs="Arial"/>
        </w:rPr>
        <w:endnoteReference w:id="616"/>
      </w:r>
    </w:p>
    <w:p w14:paraId="7D7B89FB" w14:textId="77777777" w:rsidR="000D1D92" w:rsidRDefault="000D1D92" w:rsidP="000D1D92">
      <w:pPr>
        <w:autoSpaceDE w:val="0"/>
        <w:autoSpaceDN w:val="0"/>
        <w:adjustRightInd w:val="0"/>
        <w:spacing w:before="0" w:after="0"/>
        <w:jc w:val="both"/>
        <w:rPr>
          <w:rFonts w:cs="Arial"/>
        </w:rPr>
      </w:pPr>
    </w:p>
    <w:tbl>
      <w:tblPr>
        <w:tblStyle w:val="TableGrid"/>
        <w:tblW w:w="0" w:type="auto"/>
        <w:shd w:val="clear" w:color="auto" w:fill="000000" w:themeFill="text1"/>
        <w:tblLook w:val="04A0" w:firstRow="1" w:lastRow="0" w:firstColumn="1" w:lastColumn="0" w:noHBand="0" w:noVBand="1"/>
      </w:tblPr>
      <w:tblGrid>
        <w:gridCol w:w="9060"/>
      </w:tblGrid>
      <w:tr w:rsidR="000D1D92" w:rsidRPr="007407A6" w14:paraId="7D152BEE" w14:textId="77777777" w:rsidTr="00684616">
        <w:trPr>
          <w:trHeight w:val="1006"/>
        </w:trPr>
        <w:tc>
          <w:tcPr>
            <w:tcW w:w="9060" w:type="dxa"/>
            <w:shd w:val="clear" w:color="auto" w:fill="F2F2F2" w:themeFill="background1" w:themeFillShade="F2"/>
            <w:vAlign w:val="center"/>
          </w:tcPr>
          <w:p w14:paraId="07696816" w14:textId="77777777" w:rsidR="000D1D92" w:rsidRDefault="000D1D92" w:rsidP="00684616">
            <w:pPr>
              <w:spacing w:before="0" w:after="0"/>
              <w:rPr>
                <w:b/>
              </w:rPr>
            </w:pPr>
          </w:p>
          <w:p w14:paraId="71CAB7E1" w14:textId="77777777" w:rsidR="000D1D92" w:rsidRDefault="000D1D92" w:rsidP="00684616">
            <w:pPr>
              <w:spacing w:before="0" w:after="0"/>
              <w:rPr>
                <w:b/>
              </w:rPr>
            </w:pPr>
            <w:r>
              <w:rPr>
                <w:b/>
              </w:rPr>
              <w:t>Summary</w:t>
            </w:r>
          </w:p>
          <w:p w14:paraId="08FD332B" w14:textId="77777777" w:rsidR="000D1D92" w:rsidRDefault="000D1D92" w:rsidP="00684616">
            <w:pPr>
              <w:spacing w:before="0" w:after="0"/>
              <w:rPr>
                <w:b/>
              </w:rPr>
            </w:pPr>
          </w:p>
          <w:p w14:paraId="74A0B8FB" w14:textId="77777777" w:rsidR="000D1D92" w:rsidRDefault="000D1D92" w:rsidP="00684616">
            <w:pPr>
              <w:spacing w:before="0" w:after="0"/>
              <w:jc w:val="both"/>
              <w:rPr>
                <w:b/>
              </w:rPr>
            </w:pPr>
            <w:r w:rsidRPr="00B80226">
              <w:rPr>
                <w:b/>
              </w:rPr>
              <w:t>What services, programs and support currently exist for children experiencing family and domestic violence?</w:t>
            </w:r>
          </w:p>
          <w:p w14:paraId="54E57682" w14:textId="77777777" w:rsidR="000D1D92" w:rsidRDefault="000D1D92" w:rsidP="00684616">
            <w:pPr>
              <w:spacing w:before="0" w:after="0"/>
              <w:rPr>
                <w:b/>
              </w:rPr>
            </w:pPr>
          </w:p>
          <w:p w14:paraId="020046DA" w14:textId="77777777" w:rsidR="000D1D92" w:rsidRPr="00B80226" w:rsidRDefault="000D1D92" w:rsidP="00684616">
            <w:pPr>
              <w:spacing w:before="0" w:after="0"/>
              <w:jc w:val="both"/>
            </w:pPr>
            <w:r w:rsidRPr="00B80226">
              <w:t>While there appears to be a number of promising initiatives to support children affected by family and domestic violence, limited information exists about the extent that these are made available to or accessed by children, or of the outcomes for children who utilise such services.</w:t>
            </w:r>
          </w:p>
          <w:p w14:paraId="5FAAC2B4" w14:textId="77777777" w:rsidR="000D1D92" w:rsidRPr="00B80226" w:rsidRDefault="000D1D92" w:rsidP="00684616">
            <w:pPr>
              <w:spacing w:before="0" w:after="0"/>
              <w:jc w:val="both"/>
            </w:pPr>
          </w:p>
          <w:p w14:paraId="34FC655C" w14:textId="77777777" w:rsidR="000D1D92" w:rsidRPr="00B80226" w:rsidRDefault="000D1D92" w:rsidP="00684616">
            <w:pPr>
              <w:spacing w:before="0" w:after="0"/>
              <w:jc w:val="both"/>
            </w:pPr>
            <w:r w:rsidRPr="00B80226">
              <w:t>In the main, children are supported in the context of the needs of the parent escaping family and domestic violence, rather than in response to their specific therapeutic needs.</w:t>
            </w:r>
          </w:p>
          <w:p w14:paraId="51C94F77" w14:textId="77777777" w:rsidR="000D1D92" w:rsidRPr="00B80226" w:rsidRDefault="000D1D92" w:rsidP="00684616">
            <w:pPr>
              <w:spacing w:before="0" w:after="0"/>
              <w:jc w:val="both"/>
            </w:pPr>
          </w:p>
          <w:p w14:paraId="32FA684A" w14:textId="77777777" w:rsidR="000D1D92" w:rsidRPr="00B80226" w:rsidRDefault="000D1D92" w:rsidP="00684616">
            <w:pPr>
              <w:spacing w:before="0" w:after="0"/>
              <w:jc w:val="both"/>
            </w:pPr>
            <w:r w:rsidRPr="00B80226">
              <w:t>Evidence is emerging that suggests strategies to engage men as fathers may motivate behaviour change and prevent further acts of violence.</w:t>
            </w:r>
            <w:r w:rsidRPr="00B80226">
              <w:rPr>
                <w:vertAlign w:val="superscript"/>
              </w:rPr>
              <w:endnoteReference w:id="617"/>
            </w:r>
          </w:p>
          <w:p w14:paraId="4B7FB37A" w14:textId="77777777" w:rsidR="000D1D92" w:rsidRPr="007407A6" w:rsidRDefault="000D1D92" w:rsidP="00684616">
            <w:pPr>
              <w:spacing w:before="0" w:after="0"/>
              <w:rPr>
                <w:b/>
              </w:rPr>
            </w:pPr>
          </w:p>
        </w:tc>
      </w:tr>
    </w:tbl>
    <w:p w14:paraId="304336C8" w14:textId="77777777" w:rsidR="000D1D92" w:rsidRDefault="000D1D92" w:rsidP="000D1D92">
      <w:pPr>
        <w:pStyle w:val="Heading3"/>
        <w:jc w:val="both"/>
      </w:pPr>
      <w:bookmarkStart w:id="188" w:name="_Toc430702119"/>
      <w:bookmarkStart w:id="189" w:name="_Toc432061275"/>
      <w:r w:rsidRPr="00D95135">
        <w:lastRenderedPageBreak/>
        <w:t xml:space="preserve">What </w:t>
      </w:r>
      <w:r>
        <w:t xml:space="preserve">are the current </w:t>
      </w:r>
      <w:r w:rsidRPr="00D95135">
        <w:t xml:space="preserve">public policy approaches and educational campaigns targeting </w:t>
      </w:r>
      <w:r>
        <w:t xml:space="preserve">children’s experiences of </w:t>
      </w:r>
      <w:r w:rsidRPr="00D95135">
        <w:t>family and domestic violence?</w:t>
      </w:r>
      <w:bookmarkEnd w:id="188"/>
      <w:bookmarkEnd w:id="189"/>
    </w:p>
    <w:p w14:paraId="1D997119" w14:textId="77777777" w:rsidR="000D1D92" w:rsidRDefault="000D1D92" w:rsidP="000D1D92">
      <w:pPr>
        <w:autoSpaceDE w:val="0"/>
        <w:autoSpaceDN w:val="0"/>
        <w:adjustRightInd w:val="0"/>
        <w:spacing w:before="0" w:after="0"/>
        <w:jc w:val="both"/>
      </w:pPr>
      <w:r>
        <w:t>Both the National Framework for Protecting Australia’s Children and the National Plan to Reduce Violence against Women and their Children aim to adopt a public health approach.</w:t>
      </w:r>
    </w:p>
    <w:p w14:paraId="229488C7" w14:textId="77777777" w:rsidR="000D1D92" w:rsidRDefault="000D1D92" w:rsidP="000D1D92">
      <w:pPr>
        <w:autoSpaceDE w:val="0"/>
        <w:autoSpaceDN w:val="0"/>
        <w:adjustRightInd w:val="0"/>
        <w:spacing w:before="0" w:after="0"/>
        <w:jc w:val="both"/>
      </w:pPr>
    </w:p>
    <w:p w14:paraId="374FF2B7" w14:textId="77777777" w:rsidR="000D1D92" w:rsidRDefault="000D1D92" w:rsidP="000D1D92">
      <w:pPr>
        <w:autoSpaceDE w:val="0"/>
        <w:autoSpaceDN w:val="0"/>
        <w:adjustRightInd w:val="0"/>
        <w:spacing w:before="0" w:after="0"/>
        <w:jc w:val="both"/>
      </w:pPr>
      <w:r>
        <w:t xml:space="preserve">The Public Health Association of Australia outlined the importance of a public health approach in relation to family and domestic violence: </w:t>
      </w:r>
    </w:p>
    <w:p w14:paraId="111F27B5" w14:textId="77777777" w:rsidR="000D1D92" w:rsidRDefault="000D1D92" w:rsidP="000D1D92">
      <w:pPr>
        <w:autoSpaceDE w:val="0"/>
        <w:autoSpaceDN w:val="0"/>
        <w:adjustRightInd w:val="0"/>
        <w:spacing w:before="0" w:after="0"/>
        <w:jc w:val="both"/>
      </w:pPr>
    </w:p>
    <w:p w14:paraId="7342FA55" w14:textId="77777777" w:rsidR="000D1D92" w:rsidRDefault="000D1D92" w:rsidP="000D1D92">
      <w:pPr>
        <w:autoSpaceDE w:val="0"/>
        <w:autoSpaceDN w:val="0"/>
        <w:adjustRightInd w:val="0"/>
        <w:spacing w:before="0" w:after="0"/>
        <w:ind w:left="720"/>
        <w:jc w:val="both"/>
        <w:rPr>
          <w:sz w:val="22"/>
          <w:szCs w:val="22"/>
        </w:rPr>
      </w:pPr>
      <w:r w:rsidRPr="00A17AB8">
        <w:rPr>
          <w:sz w:val="22"/>
          <w:szCs w:val="22"/>
        </w:rPr>
        <w:t xml:space="preserve">A public health approach to reducing violence against women and children would mean preventing violence in the first place. A public health approach includes primary prevention (before any violence has occurred), secondary prevention (support and services for at-risk populations) and tertiary prevention (support to reduce effects of violence and prevent recurrence). </w:t>
      </w:r>
    </w:p>
    <w:p w14:paraId="6B8A75D4" w14:textId="77777777" w:rsidR="000D1D92" w:rsidRDefault="000D1D92" w:rsidP="000D1D92">
      <w:pPr>
        <w:autoSpaceDE w:val="0"/>
        <w:autoSpaceDN w:val="0"/>
        <w:adjustRightInd w:val="0"/>
        <w:spacing w:before="0" w:after="0"/>
        <w:ind w:left="720"/>
        <w:jc w:val="both"/>
        <w:rPr>
          <w:sz w:val="22"/>
          <w:szCs w:val="22"/>
        </w:rPr>
      </w:pPr>
    </w:p>
    <w:p w14:paraId="39D73609" w14:textId="77777777" w:rsidR="000D1D92" w:rsidRPr="00A17AB8" w:rsidRDefault="000D1D92" w:rsidP="000D1D92">
      <w:pPr>
        <w:autoSpaceDE w:val="0"/>
        <w:autoSpaceDN w:val="0"/>
        <w:adjustRightInd w:val="0"/>
        <w:spacing w:before="0" w:after="0"/>
        <w:ind w:left="720"/>
        <w:jc w:val="both"/>
        <w:rPr>
          <w:sz w:val="22"/>
          <w:szCs w:val="22"/>
        </w:rPr>
      </w:pPr>
      <w:r w:rsidRPr="00A17AB8">
        <w:rPr>
          <w:sz w:val="22"/>
          <w:szCs w:val="22"/>
        </w:rPr>
        <w:t>The ideal is primary prevention, which aims to bring about a cultural shift toward gender equality, changing cultural norms toward non-acceptance of violence against women and redistributing resources to promote access to services for all. Public health education campaigns may be useful, but other public health approaches that lead to structural change are needed to support attitudinal change.</w:t>
      </w:r>
    </w:p>
    <w:p w14:paraId="1040C007" w14:textId="77777777" w:rsidR="000D1D92" w:rsidRDefault="000D1D92" w:rsidP="000D1D92">
      <w:pPr>
        <w:autoSpaceDE w:val="0"/>
        <w:autoSpaceDN w:val="0"/>
        <w:adjustRightInd w:val="0"/>
        <w:spacing w:before="0" w:after="0"/>
        <w:jc w:val="both"/>
      </w:pPr>
    </w:p>
    <w:p w14:paraId="1F138E55" w14:textId="77777777" w:rsidR="000D1D92" w:rsidRDefault="000D1D92" w:rsidP="000D1D92">
      <w:pPr>
        <w:autoSpaceDE w:val="0"/>
        <w:autoSpaceDN w:val="0"/>
        <w:adjustRightInd w:val="0"/>
        <w:spacing w:before="0" w:after="0"/>
        <w:jc w:val="both"/>
      </w:pPr>
      <w:r>
        <w:t xml:space="preserve">Arguably, the needs of children affected by family and domestic violence have been somewhat </w:t>
      </w:r>
      <w:r w:rsidRPr="00CC36A5">
        <w:t>incidental</w:t>
      </w:r>
      <w:r>
        <w:t xml:space="preserve"> or peripheral to the public policy approach to family and domestic violence, and increasingly folded into child protection responses.</w:t>
      </w:r>
    </w:p>
    <w:p w14:paraId="4C4818C9" w14:textId="77777777" w:rsidR="000D1D92" w:rsidRPr="00D95135" w:rsidRDefault="000D1D92" w:rsidP="000D1D92">
      <w:pPr>
        <w:autoSpaceDE w:val="0"/>
        <w:autoSpaceDN w:val="0"/>
        <w:adjustRightInd w:val="0"/>
        <w:spacing w:before="0" w:after="0"/>
        <w:ind w:left="720" w:hanging="720"/>
        <w:jc w:val="both"/>
        <w:rPr>
          <w:b/>
        </w:rPr>
      </w:pPr>
    </w:p>
    <w:p w14:paraId="04EBC2EC" w14:textId="77777777" w:rsidR="000D1D92" w:rsidRDefault="000D1D92" w:rsidP="000D1D92">
      <w:pPr>
        <w:autoSpaceDE w:val="0"/>
        <w:autoSpaceDN w:val="0"/>
        <w:adjustRightInd w:val="0"/>
        <w:spacing w:before="0" w:after="0"/>
        <w:jc w:val="both"/>
      </w:pPr>
      <w:r>
        <w:t>As researchers, Bromfield, Arney, and Higgins argue:</w:t>
      </w:r>
    </w:p>
    <w:p w14:paraId="63A17A6D" w14:textId="77777777" w:rsidR="000D1D92" w:rsidRDefault="000D1D92" w:rsidP="000D1D92">
      <w:pPr>
        <w:autoSpaceDE w:val="0"/>
        <w:autoSpaceDN w:val="0"/>
        <w:adjustRightInd w:val="0"/>
        <w:spacing w:before="0" w:after="0"/>
        <w:jc w:val="both"/>
      </w:pPr>
    </w:p>
    <w:p w14:paraId="44E28542" w14:textId="77777777" w:rsidR="000D1D92" w:rsidRDefault="000D1D92" w:rsidP="000D1D92">
      <w:pPr>
        <w:autoSpaceDE w:val="0"/>
        <w:autoSpaceDN w:val="0"/>
        <w:adjustRightInd w:val="0"/>
        <w:spacing w:before="0" w:after="0"/>
        <w:ind w:left="720"/>
        <w:jc w:val="both"/>
        <w:rPr>
          <w:rFonts w:cs="Arial"/>
        </w:rPr>
      </w:pPr>
      <w:r w:rsidRPr="00A17AB8">
        <w:rPr>
          <w:rFonts w:cs="Arial"/>
          <w:sz w:val="22"/>
          <w:szCs w:val="22"/>
        </w:rPr>
        <w:t>The degree to which the rhetoric of Australia’s public health approach to child protection actually equates with a public health model is debatable. Its apparent failure is a function of the limited forms in which a public health approach has been applied to child protection rather than the public health approach per se…The key elements of a public health approach need to be re-examined as it pertains to child welfare reform in Australia, and missing elements need to be systematically implemented to complement existing reforms</w:t>
      </w:r>
      <w:r>
        <w:rPr>
          <w:rFonts w:cs="Arial"/>
          <w:sz w:val="22"/>
          <w:szCs w:val="22"/>
        </w:rPr>
        <w:t>.</w:t>
      </w:r>
      <w:r>
        <w:rPr>
          <w:rStyle w:val="EndnoteReference"/>
          <w:rFonts w:cs="Arial"/>
        </w:rPr>
        <w:endnoteReference w:id="618"/>
      </w:r>
    </w:p>
    <w:p w14:paraId="411F10C4" w14:textId="77777777" w:rsidR="000D1D92" w:rsidRDefault="000D1D92" w:rsidP="000D1D92">
      <w:pPr>
        <w:autoSpaceDE w:val="0"/>
        <w:autoSpaceDN w:val="0"/>
        <w:adjustRightInd w:val="0"/>
        <w:spacing w:before="0" w:after="0"/>
        <w:jc w:val="both"/>
      </w:pPr>
    </w:p>
    <w:p w14:paraId="5FD2F63C" w14:textId="77777777" w:rsidR="000D1D92" w:rsidRDefault="000D1D92" w:rsidP="000D1D92">
      <w:pPr>
        <w:autoSpaceDE w:val="0"/>
        <w:autoSpaceDN w:val="0"/>
        <w:adjustRightInd w:val="0"/>
        <w:spacing w:before="0" w:after="0"/>
        <w:jc w:val="both"/>
      </w:pPr>
      <w:r>
        <w:t>It is my view that children’s experiences of family and domestic violence must be understood in their own right and not just as part of an adult situation.</w:t>
      </w:r>
    </w:p>
    <w:p w14:paraId="3B3D3D21" w14:textId="77777777" w:rsidR="000D1D92" w:rsidRDefault="000D1D92" w:rsidP="000D1D92">
      <w:pPr>
        <w:spacing w:before="0" w:after="0"/>
        <w:jc w:val="both"/>
        <w:rPr>
          <w:rFonts w:cs="Arial"/>
        </w:rPr>
      </w:pPr>
    </w:p>
    <w:p w14:paraId="375EF2F4" w14:textId="77777777" w:rsidR="000D1D92" w:rsidRDefault="000D1D92" w:rsidP="000D1D92">
      <w:pPr>
        <w:autoSpaceDE w:val="0"/>
        <w:autoSpaceDN w:val="0"/>
        <w:adjustRightInd w:val="0"/>
        <w:spacing w:before="0" w:after="0"/>
        <w:jc w:val="both"/>
      </w:pPr>
      <w:r>
        <w:t>Save the Children commented on the need for public policy approaches to adopt a greater focus on primary prevention to improve outcomes for children, for example, through education, awareness raising activities and the promotion of equality in our society:</w:t>
      </w:r>
    </w:p>
    <w:p w14:paraId="509B5DEC" w14:textId="77777777" w:rsidR="000D1D92" w:rsidRDefault="000D1D92" w:rsidP="000D1D92">
      <w:pPr>
        <w:autoSpaceDE w:val="0"/>
        <w:autoSpaceDN w:val="0"/>
        <w:adjustRightInd w:val="0"/>
        <w:spacing w:before="0" w:after="0"/>
        <w:jc w:val="both"/>
      </w:pPr>
    </w:p>
    <w:p w14:paraId="736EF40F" w14:textId="77777777" w:rsidR="000D1D92" w:rsidRPr="00BC6ECF" w:rsidRDefault="000D1D92" w:rsidP="000D1D92">
      <w:pPr>
        <w:autoSpaceDE w:val="0"/>
        <w:autoSpaceDN w:val="0"/>
        <w:adjustRightInd w:val="0"/>
        <w:spacing w:before="0" w:after="0"/>
        <w:ind w:left="720"/>
        <w:jc w:val="both"/>
        <w:rPr>
          <w:sz w:val="22"/>
          <w:szCs w:val="22"/>
        </w:rPr>
      </w:pPr>
      <w:r w:rsidRPr="00BC6ECF">
        <w:rPr>
          <w:sz w:val="22"/>
          <w:szCs w:val="22"/>
        </w:rPr>
        <w:t>…there is no one-size-fits-all solution to issues of family violence. There are many complex issues, including why women may not leave a violent relationship.</w:t>
      </w:r>
    </w:p>
    <w:p w14:paraId="0295CEAD" w14:textId="77777777" w:rsidR="000D1D92" w:rsidRPr="00BC6ECF" w:rsidRDefault="000D1D92" w:rsidP="000D1D92">
      <w:pPr>
        <w:autoSpaceDE w:val="0"/>
        <w:autoSpaceDN w:val="0"/>
        <w:adjustRightInd w:val="0"/>
        <w:spacing w:before="0" w:after="0"/>
        <w:ind w:left="720"/>
        <w:jc w:val="both"/>
        <w:rPr>
          <w:sz w:val="22"/>
          <w:szCs w:val="22"/>
        </w:rPr>
      </w:pPr>
    </w:p>
    <w:p w14:paraId="482673A0" w14:textId="77777777" w:rsidR="000D1D92" w:rsidRPr="00BC6ECF" w:rsidRDefault="000D1D92" w:rsidP="000D1D92">
      <w:pPr>
        <w:autoSpaceDE w:val="0"/>
        <w:autoSpaceDN w:val="0"/>
        <w:adjustRightInd w:val="0"/>
        <w:spacing w:before="0" w:after="0"/>
        <w:ind w:left="720"/>
        <w:jc w:val="both"/>
        <w:rPr>
          <w:sz w:val="22"/>
          <w:szCs w:val="22"/>
        </w:rPr>
      </w:pPr>
      <w:r w:rsidRPr="00BC6ECF">
        <w:rPr>
          <w:sz w:val="22"/>
          <w:szCs w:val="22"/>
        </w:rPr>
        <w:t>Unless we start taking a primary prevention approach to eliminating family violence in our community, the work of Save the Children and many other organisations to support women and their children will remain reactive not preventative.</w:t>
      </w:r>
      <w:r w:rsidRPr="00BC6ECF">
        <w:rPr>
          <w:rStyle w:val="EndnoteReference"/>
          <w:sz w:val="22"/>
          <w:szCs w:val="22"/>
        </w:rPr>
        <w:endnoteReference w:id="619"/>
      </w:r>
    </w:p>
    <w:p w14:paraId="062EA47C" w14:textId="77777777" w:rsidR="000D1D92" w:rsidRDefault="000D1D92" w:rsidP="000D1D92">
      <w:pPr>
        <w:autoSpaceDE w:val="0"/>
        <w:autoSpaceDN w:val="0"/>
        <w:adjustRightInd w:val="0"/>
        <w:spacing w:before="0" w:after="0"/>
        <w:jc w:val="both"/>
      </w:pPr>
    </w:p>
    <w:p w14:paraId="4668EDFB" w14:textId="77777777" w:rsidR="000D1D92" w:rsidRDefault="000D1D92" w:rsidP="000D1D92">
      <w:pPr>
        <w:autoSpaceDE w:val="0"/>
        <w:autoSpaceDN w:val="0"/>
        <w:adjustRightInd w:val="0"/>
        <w:spacing w:before="0" w:after="0"/>
        <w:jc w:val="both"/>
      </w:pPr>
      <w:r>
        <w:t>Relationships Australia stated in its submission that:</w:t>
      </w:r>
    </w:p>
    <w:p w14:paraId="427E9438" w14:textId="77777777" w:rsidR="000D1D92" w:rsidRDefault="000D1D92" w:rsidP="000D1D92">
      <w:pPr>
        <w:autoSpaceDE w:val="0"/>
        <w:autoSpaceDN w:val="0"/>
        <w:adjustRightInd w:val="0"/>
        <w:spacing w:before="0" w:after="0"/>
        <w:jc w:val="both"/>
      </w:pPr>
    </w:p>
    <w:p w14:paraId="0D09009D" w14:textId="77777777" w:rsidR="000D1D92" w:rsidRDefault="000D1D92" w:rsidP="000D1D92">
      <w:pPr>
        <w:autoSpaceDE w:val="0"/>
        <w:autoSpaceDN w:val="0"/>
        <w:adjustRightInd w:val="0"/>
        <w:spacing w:before="0" w:after="0"/>
        <w:ind w:left="720"/>
        <w:jc w:val="both"/>
        <w:rPr>
          <w:sz w:val="22"/>
          <w:szCs w:val="22"/>
        </w:rPr>
      </w:pPr>
      <w:r w:rsidRPr="00EE1F80">
        <w:rPr>
          <w:sz w:val="22"/>
          <w:szCs w:val="22"/>
        </w:rPr>
        <w:t>Public policy approaches should be clear about the behaviours they are aspiring to change and the outcomes they are seeking to achieve. For example, general public awareness campaigns that feature women successfully leaving violent relationships may place victims still living in these relationships in greater danger, especially when delivered without links to appropriate support services.</w:t>
      </w:r>
      <w:r w:rsidRPr="00EE1F80">
        <w:rPr>
          <w:rStyle w:val="EndnoteReference"/>
          <w:sz w:val="22"/>
          <w:szCs w:val="22"/>
        </w:rPr>
        <w:endnoteReference w:id="620"/>
      </w:r>
    </w:p>
    <w:p w14:paraId="2D693977" w14:textId="77777777" w:rsidR="000D1D92" w:rsidRDefault="000D1D92" w:rsidP="000D1D92">
      <w:pPr>
        <w:jc w:val="both"/>
      </w:pPr>
      <w:r>
        <w:t>Berry Street emphasised the need for a public health approach to family and domestic violence:</w:t>
      </w:r>
    </w:p>
    <w:p w14:paraId="38CE4713" w14:textId="77777777" w:rsidR="000D1D92" w:rsidRDefault="000D1D92" w:rsidP="000D1D92">
      <w:pPr>
        <w:ind w:left="720"/>
        <w:jc w:val="both"/>
        <w:rPr>
          <w:sz w:val="22"/>
          <w:szCs w:val="22"/>
        </w:rPr>
      </w:pPr>
      <w:r w:rsidRPr="00B37725">
        <w:rPr>
          <w:sz w:val="22"/>
          <w:szCs w:val="22"/>
        </w:rPr>
        <w:t>The response to family violence in</w:t>
      </w:r>
      <w:r>
        <w:rPr>
          <w:sz w:val="22"/>
          <w:szCs w:val="22"/>
        </w:rPr>
        <w:t xml:space="preserve"> the</w:t>
      </w:r>
      <w:r w:rsidRPr="00B37725">
        <w:rPr>
          <w:sz w:val="22"/>
          <w:szCs w:val="22"/>
        </w:rPr>
        <w:t xml:space="preserve"> public health model of prevention includes a sustained and balanced primary, secondary and tertiary response with significant and sufficient investment at each point of this continuum.</w:t>
      </w:r>
      <w:r>
        <w:rPr>
          <w:rStyle w:val="EndnoteReference"/>
          <w:szCs w:val="22"/>
        </w:rPr>
        <w:endnoteReference w:id="621"/>
      </w:r>
      <w:r>
        <w:rPr>
          <w:sz w:val="22"/>
          <w:szCs w:val="22"/>
        </w:rPr>
        <w:t xml:space="preserve"> </w:t>
      </w:r>
    </w:p>
    <w:p w14:paraId="5C896A42" w14:textId="77777777" w:rsidR="000D1D92" w:rsidRDefault="000D1D92" w:rsidP="000D1D92">
      <w:pPr>
        <w:jc w:val="both"/>
      </w:pPr>
      <w:r>
        <w:t>The submission made by the NSW Government told me that:</w:t>
      </w:r>
    </w:p>
    <w:p w14:paraId="1EBE5553" w14:textId="77777777" w:rsidR="000D1D92" w:rsidRDefault="000D1D92" w:rsidP="000D1D92">
      <w:pPr>
        <w:autoSpaceDE w:val="0"/>
        <w:autoSpaceDN w:val="0"/>
        <w:adjustRightInd w:val="0"/>
        <w:spacing w:before="0" w:after="0"/>
        <w:ind w:left="720"/>
        <w:jc w:val="both"/>
        <w:rPr>
          <w:sz w:val="22"/>
          <w:szCs w:val="22"/>
        </w:rPr>
      </w:pPr>
      <w:r w:rsidRPr="00D606F2">
        <w:rPr>
          <w:sz w:val="22"/>
          <w:szCs w:val="22"/>
        </w:rPr>
        <w:t xml:space="preserve">Given the intergenerational transference of domestic and family violence, successful outcomes for children are affected by the availability of co-occurring primary, secondary and tertiary prevention strategies. Early identification and response to children is critical in order to protect and prevent further violence. </w:t>
      </w:r>
    </w:p>
    <w:p w14:paraId="06DC017C" w14:textId="77777777" w:rsidR="000D1D92" w:rsidRDefault="000D1D92" w:rsidP="000D1D92">
      <w:pPr>
        <w:autoSpaceDE w:val="0"/>
        <w:autoSpaceDN w:val="0"/>
        <w:adjustRightInd w:val="0"/>
        <w:spacing w:before="0" w:after="0"/>
        <w:ind w:left="720"/>
        <w:jc w:val="both"/>
        <w:rPr>
          <w:sz w:val="22"/>
          <w:szCs w:val="22"/>
        </w:rPr>
      </w:pPr>
    </w:p>
    <w:p w14:paraId="4131AB98" w14:textId="77777777" w:rsidR="000D1D92" w:rsidRPr="00BD0D8B" w:rsidRDefault="000D1D92" w:rsidP="000D1D92">
      <w:pPr>
        <w:autoSpaceDE w:val="0"/>
        <w:autoSpaceDN w:val="0"/>
        <w:adjustRightInd w:val="0"/>
        <w:spacing w:before="0" w:after="0"/>
        <w:ind w:left="720"/>
        <w:jc w:val="both"/>
        <w:rPr>
          <w:sz w:val="22"/>
          <w:szCs w:val="22"/>
        </w:rPr>
      </w:pPr>
      <w:r w:rsidRPr="00D606F2">
        <w:rPr>
          <w:sz w:val="22"/>
          <w:szCs w:val="22"/>
        </w:rPr>
        <w:t>A service system which is invested in all three types of prevention is most likely to succeed in addressing the immediate needs of children and influencing their future relati</w:t>
      </w:r>
      <w:r>
        <w:rPr>
          <w:sz w:val="22"/>
          <w:szCs w:val="22"/>
        </w:rPr>
        <w:t>onship choices and behaviours.</w:t>
      </w:r>
      <w:r w:rsidRPr="00D606F2">
        <w:rPr>
          <w:rStyle w:val="Heading3Char"/>
          <w:rFonts w:cs="Arial"/>
          <w:sz w:val="22"/>
          <w:szCs w:val="22"/>
          <w:lang w:val="en-US"/>
        </w:rPr>
        <w:t xml:space="preserve"> </w:t>
      </w:r>
      <w:r w:rsidRPr="00AE40E4">
        <w:rPr>
          <w:rStyle w:val="EndnoteReference"/>
          <w:rFonts w:cs="Arial"/>
          <w:sz w:val="22"/>
          <w:szCs w:val="22"/>
          <w:lang w:val="en-US"/>
        </w:rPr>
        <w:endnoteReference w:id="622"/>
      </w:r>
    </w:p>
    <w:p w14:paraId="2990ACE1" w14:textId="77777777" w:rsidR="000D1D92" w:rsidRDefault="000D1D92" w:rsidP="000D1D92">
      <w:pPr>
        <w:spacing w:before="0" w:after="0"/>
        <w:jc w:val="both"/>
      </w:pPr>
    </w:p>
    <w:p w14:paraId="2E44F23B" w14:textId="77777777" w:rsidR="000D1D92" w:rsidRPr="0071481B" w:rsidRDefault="000D1D92" w:rsidP="000D1D92">
      <w:pPr>
        <w:spacing w:before="0" w:after="0"/>
        <w:jc w:val="both"/>
      </w:pPr>
      <w:r w:rsidRPr="0071481B">
        <w:t xml:space="preserve">The joint submission by the Australian Institute of Family Studies </w:t>
      </w:r>
      <w:r>
        <w:t xml:space="preserve">(AIFS) </w:t>
      </w:r>
      <w:r w:rsidRPr="0071481B">
        <w:t xml:space="preserve">and Australia’s National Research Organisation for Women’s Safety </w:t>
      </w:r>
      <w:r>
        <w:t xml:space="preserve">(ANROWS) </w:t>
      </w:r>
      <w:r w:rsidRPr="0071481B">
        <w:t>emphasised the need for:</w:t>
      </w:r>
    </w:p>
    <w:p w14:paraId="260D87A5" w14:textId="77777777" w:rsidR="000D1D92" w:rsidRDefault="000D1D92" w:rsidP="000D1D92">
      <w:pPr>
        <w:spacing w:before="0" w:after="0"/>
        <w:jc w:val="both"/>
        <w:rPr>
          <w:sz w:val="22"/>
          <w:szCs w:val="22"/>
        </w:rPr>
      </w:pPr>
    </w:p>
    <w:p w14:paraId="70197FFB" w14:textId="77777777" w:rsidR="000D1D92" w:rsidRDefault="000D1D92" w:rsidP="000D1D92">
      <w:pPr>
        <w:spacing w:before="0" w:after="0"/>
        <w:ind w:left="720"/>
        <w:jc w:val="both"/>
        <w:rPr>
          <w:sz w:val="22"/>
          <w:szCs w:val="22"/>
        </w:rPr>
      </w:pPr>
      <w:r>
        <w:rPr>
          <w:sz w:val="22"/>
          <w:szCs w:val="22"/>
        </w:rPr>
        <w:t>A comprehensive and coherent policy framework to support understanding and practice of [family and domestic violence] responses, prevention and early intervention for children affected.</w:t>
      </w:r>
      <w:r>
        <w:rPr>
          <w:rStyle w:val="EndnoteReference"/>
          <w:szCs w:val="22"/>
        </w:rPr>
        <w:endnoteReference w:id="623"/>
      </w:r>
      <w:r>
        <w:rPr>
          <w:sz w:val="22"/>
          <w:szCs w:val="22"/>
        </w:rPr>
        <w:t xml:space="preserve"> </w:t>
      </w:r>
    </w:p>
    <w:p w14:paraId="1D4FC57C" w14:textId="77777777" w:rsidR="000D1D92" w:rsidRDefault="000D1D92" w:rsidP="000D1D92">
      <w:pPr>
        <w:pStyle w:val="ListParagraph"/>
        <w:spacing w:before="0" w:after="0"/>
        <w:jc w:val="both"/>
        <w:rPr>
          <w:sz w:val="22"/>
          <w:szCs w:val="22"/>
        </w:rPr>
      </w:pPr>
    </w:p>
    <w:p w14:paraId="1857DEEC" w14:textId="77777777" w:rsidR="000D1D92" w:rsidRDefault="000D1D92" w:rsidP="000D1D92">
      <w:pPr>
        <w:autoSpaceDE w:val="0"/>
        <w:autoSpaceDN w:val="0"/>
        <w:adjustRightInd w:val="0"/>
        <w:spacing w:before="0" w:after="0"/>
        <w:jc w:val="both"/>
      </w:pPr>
      <w:r>
        <w:t xml:space="preserve">AIFS and ANROWS also stated in their joint submission that: </w:t>
      </w:r>
    </w:p>
    <w:p w14:paraId="7E0FB209" w14:textId="77777777" w:rsidR="000D1D92" w:rsidRDefault="000D1D92" w:rsidP="000D1D92">
      <w:pPr>
        <w:autoSpaceDE w:val="0"/>
        <w:autoSpaceDN w:val="0"/>
        <w:adjustRightInd w:val="0"/>
        <w:spacing w:before="0" w:after="0"/>
        <w:jc w:val="both"/>
      </w:pPr>
    </w:p>
    <w:p w14:paraId="3B2E0D37" w14:textId="77777777" w:rsidR="000D1D92" w:rsidRDefault="000D1D92" w:rsidP="000D1D92">
      <w:pPr>
        <w:autoSpaceDE w:val="0"/>
        <w:autoSpaceDN w:val="0"/>
        <w:adjustRightInd w:val="0"/>
        <w:spacing w:before="0" w:after="0"/>
        <w:ind w:left="720"/>
        <w:jc w:val="both"/>
        <w:rPr>
          <w:sz w:val="22"/>
          <w:szCs w:val="22"/>
        </w:rPr>
      </w:pPr>
      <w:r w:rsidRPr="007F1237">
        <w:rPr>
          <w:sz w:val="22"/>
          <w:szCs w:val="22"/>
        </w:rPr>
        <w:t>Throughout Australia, there are differing levels of integration of approaches to the issue of DFV and related service provision</w:t>
      </w:r>
      <w:r>
        <w:rPr>
          <w:sz w:val="22"/>
          <w:szCs w:val="22"/>
        </w:rPr>
        <w:t>…</w:t>
      </w:r>
      <w:r w:rsidRPr="007F1237">
        <w:rPr>
          <w:sz w:val="22"/>
          <w:szCs w:val="22"/>
        </w:rPr>
        <w:t xml:space="preserve"> </w:t>
      </w:r>
    </w:p>
    <w:p w14:paraId="70BDB9E4" w14:textId="77777777" w:rsidR="000D1D92" w:rsidRDefault="000D1D92" w:rsidP="000D1D92">
      <w:pPr>
        <w:autoSpaceDE w:val="0"/>
        <w:autoSpaceDN w:val="0"/>
        <w:adjustRightInd w:val="0"/>
        <w:spacing w:before="0" w:after="0"/>
        <w:jc w:val="both"/>
        <w:rPr>
          <w:sz w:val="22"/>
          <w:szCs w:val="22"/>
        </w:rPr>
      </w:pPr>
    </w:p>
    <w:p w14:paraId="39914189" w14:textId="77777777" w:rsidR="000D1D92" w:rsidRDefault="000D1D92" w:rsidP="000D1D92">
      <w:pPr>
        <w:autoSpaceDE w:val="0"/>
        <w:autoSpaceDN w:val="0"/>
        <w:adjustRightInd w:val="0"/>
        <w:spacing w:before="0" w:after="0"/>
        <w:ind w:left="720"/>
        <w:jc w:val="both"/>
        <w:rPr>
          <w:sz w:val="22"/>
          <w:szCs w:val="22"/>
        </w:rPr>
      </w:pPr>
      <w:r w:rsidRPr="007F1237">
        <w:rPr>
          <w:sz w:val="22"/>
          <w:szCs w:val="22"/>
        </w:rPr>
        <w:t xml:space="preserve">The DFV Children Report suggests a significant need for better integration of services for children, including better communication and integration between family violence services and other systems, including the child protection system, the state-based justice system, family support systems such as those that deliver maternal and child health services, and the education system. </w:t>
      </w:r>
    </w:p>
    <w:p w14:paraId="148BF937" w14:textId="77777777" w:rsidR="000D1D92" w:rsidRDefault="000D1D92" w:rsidP="000D1D92">
      <w:pPr>
        <w:autoSpaceDE w:val="0"/>
        <w:autoSpaceDN w:val="0"/>
        <w:adjustRightInd w:val="0"/>
        <w:spacing w:before="0" w:after="0"/>
        <w:ind w:left="720"/>
        <w:jc w:val="both"/>
        <w:rPr>
          <w:sz w:val="22"/>
          <w:szCs w:val="22"/>
        </w:rPr>
      </w:pPr>
    </w:p>
    <w:p w14:paraId="58E481A7" w14:textId="77777777" w:rsidR="000D1D92" w:rsidRDefault="000D1D92" w:rsidP="000D1D92">
      <w:pPr>
        <w:autoSpaceDE w:val="0"/>
        <w:autoSpaceDN w:val="0"/>
        <w:adjustRightInd w:val="0"/>
        <w:spacing w:before="0" w:after="0"/>
        <w:ind w:left="720"/>
        <w:jc w:val="both"/>
      </w:pPr>
      <w:r w:rsidRPr="007F1237">
        <w:rPr>
          <w:sz w:val="22"/>
          <w:szCs w:val="22"/>
        </w:rPr>
        <w:t>A clear and coherent policy framework is needed at state and federal levels to support understanding and practice of DFV responses, prevention and early intervention to better enable discrete service sectors to work towards common goals and ensure children’s needs are met across the various sectors</w:t>
      </w:r>
      <w:r>
        <w:rPr>
          <w:sz w:val="22"/>
          <w:szCs w:val="22"/>
        </w:rPr>
        <w:t>.</w:t>
      </w:r>
      <w:r>
        <w:rPr>
          <w:rStyle w:val="EndnoteReference"/>
          <w:szCs w:val="22"/>
        </w:rPr>
        <w:endnoteReference w:id="624"/>
      </w:r>
    </w:p>
    <w:p w14:paraId="514ED93B" w14:textId="77777777" w:rsidR="000D1D92" w:rsidRDefault="000D1D92" w:rsidP="000D1D92">
      <w:pPr>
        <w:autoSpaceDE w:val="0"/>
        <w:autoSpaceDN w:val="0"/>
        <w:adjustRightInd w:val="0"/>
        <w:spacing w:before="0" w:after="0"/>
        <w:jc w:val="both"/>
        <w:rPr>
          <w:b/>
        </w:rPr>
      </w:pPr>
    </w:p>
    <w:tbl>
      <w:tblPr>
        <w:tblStyle w:val="TableGrid"/>
        <w:tblW w:w="0" w:type="auto"/>
        <w:shd w:val="clear" w:color="auto" w:fill="F2F2F2" w:themeFill="background1" w:themeFillShade="F2"/>
        <w:tblLook w:val="04A0" w:firstRow="1" w:lastRow="0" w:firstColumn="1" w:lastColumn="0" w:noHBand="0" w:noVBand="1"/>
      </w:tblPr>
      <w:tblGrid>
        <w:gridCol w:w="9060"/>
      </w:tblGrid>
      <w:tr w:rsidR="000D1D92" w14:paraId="7F366A29" w14:textId="77777777" w:rsidTr="00684616">
        <w:tc>
          <w:tcPr>
            <w:tcW w:w="9060" w:type="dxa"/>
            <w:shd w:val="clear" w:color="auto" w:fill="F2F2F2" w:themeFill="background1" w:themeFillShade="F2"/>
          </w:tcPr>
          <w:p w14:paraId="58F0860C" w14:textId="77777777" w:rsidR="000D1D92" w:rsidRDefault="000D1D92" w:rsidP="00684616">
            <w:pPr>
              <w:jc w:val="both"/>
              <w:rPr>
                <w:b/>
              </w:rPr>
            </w:pPr>
            <w:r>
              <w:rPr>
                <w:b/>
              </w:rPr>
              <w:t xml:space="preserve">Recommendation 9: </w:t>
            </w:r>
          </w:p>
          <w:p w14:paraId="1E535D7E" w14:textId="77777777" w:rsidR="000D1D92" w:rsidRPr="007B24AB" w:rsidRDefault="000D1D92" w:rsidP="00684616">
            <w:pPr>
              <w:jc w:val="both"/>
              <w:rPr>
                <w:b/>
              </w:rPr>
            </w:pPr>
            <w:r>
              <w:rPr>
                <w:b/>
              </w:rPr>
              <w:t xml:space="preserve">The Council of Australian Governments </w:t>
            </w:r>
            <w:r w:rsidRPr="00B42C86">
              <w:rPr>
                <w:b/>
              </w:rPr>
              <w:t xml:space="preserve">prioritise the development of a </w:t>
            </w:r>
            <w:r>
              <w:rPr>
                <w:b/>
              </w:rPr>
              <w:t xml:space="preserve">child-focused </w:t>
            </w:r>
            <w:r w:rsidRPr="00B42C86">
              <w:rPr>
                <w:b/>
              </w:rPr>
              <w:t xml:space="preserve">policy framework for responses </w:t>
            </w:r>
            <w:r>
              <w:rPr>
                <w:b/>
              </w:rPr>
              <w:t>to family and domestic violence.</w:t>
            </w:r>
          </w:p>
        </w:tc>
      </w:tr>
    </w:tbl>
    <w:p w14:paraId="65939A5B" w14:textId="77777777" w:rsidR="000D1D92" w:rsidRDefault="000D1D92" w:rsidP="000D1D92">
      <w:pPr>
        <w:pStyle w:val="Heading4"/>
      </w:pPr>
      <w:r w:rsidRPr="00E12111">
        <w:lastRenderedPageBreak/>
        <w:t xml:space="preserve">Educational </w:t>
      </w:r>
      <w:r>
        <w:t xml:space="preserve">policies and </w:t>
      </w:r>
      <w:r w:rsidRPr="00E12111">
        <w:t>campaigns</w:t>
      </w:r>
    </w:p>
    <w:p w14:paraId="6A9591D0" w14:textId="77777777" w:rsidR="000D1D92" w:rsidRDefault="000D1D92" w:rsidP="000D1D92">
      <w:pPr>
        <w:autoSpaceDE w:val="0"/>
        <w:autoSpaceDN w:val="0"/>
        <w:adjustRightInd w:val="0"/>
        <w:spacing w:after="200"/>
        <w:jc w:val="both"/>
      </w:pPr>
      <w:r>
        <w:t>In April 2015, COAG agreed to a national campaign for reducing violence against women and their children. In July 2015, COAG agreed that the national campaign would focus on:</w:t>
      </w:r>
    </w:p>
    <w:p w14:paraId="0707C2F7" w14:textId="77777777" w:rsidR="000D1D92" w:rsidRDefault="000D1D92" w:rsidP="000D1D92">
      <w:pPr>
        <w:autoSpaceDE w:val="0"/>
        <w:autoSpaceDN w:val="0"/>
        <w:adjustRightInd w:val="0"/>
        <w:spacing w:after="200"/>
        <w:ind w:left="720"/>
        <w:jc w:val="both"/>
        <w:rPr>
          <w:sz w:val="22"/>
          <w:szCs w:val="22"/>
        </w:rPr>
      </w:pPr>
      <w:r w:rsidRPr="00E34409">
        <w:rPr>
          <w:sz w:val="22"/>
          <w:szCs w:val="22"/>
        </w:rPr>
        <w:t>galvanising the community to change the attitudes of young people to violence. This campaign focus responds to worrying data on young people’s attitudes. Currently, for example</w:t>
      </w:r>
      <w:r>
        <w:rPr>
          <w:sz w:val="22"/>
          <w:szCs w:val="22"/>
        </w:rPr>
        <w:t>, one in four young men believe</w:t>
      </w:r>
      <w:r w:rsidRPr="00E34409">
        <w:rPr>
          <w:sz w:val="22"/>
          <w:szCs w:val="22"/>
        </w:rPr>
        <w:t xml:space="preserve"> that controlling and violent behaviour is a sign of male strength</w:t>
      </w:r>
      <w:r>
        <w:rPr>
          <w:sz w:val="22"/>
          <w:szCs w:val="22"/>
        </w:rPr>
        <w:t>…</w:t>
      </w:r>
    </w:p>
    <w:p w14:paraId="4FCF2E82" w14:textId="77777777" w:rsidR="000D1D92" w:rsidRDefault="000D1D92" w:rsidP="000D1D92">
      <w:pPr>
        <w:autoSpaceDE w:val="0"/>
        <w:autoSpaceDN w:val="0"/>
        <w:adjustRightInd w:val="0"/>
        <w:spacing w:after="200"/>
        <w:ind w:left="720"/>
        <w:jc w:val="both"/>
        <w:rPr>
          <w:rFonts w:cs="Arial"/>
        </w:rPr>
      </w:pPr>
      <w:r w:rsidRPr="00EB0227">
        <w:rPr>
          <w:sz w:val="22"/>
          <w:szCs w:val="22"/>
        </w:rPr>
        <w:t>COAG agreed to hear expert advice at its next meeting on the campaign messaging and how to target it. The campaign will be tailored to address the circumstances in each state and territory.</w:t>
      </w:r>
      <w:r w:rsidRPr="00EB0227">
        <w:rPr>
          <w:rStyle w:val="EndnoteReference"/>
          <w:rFonts w:cs="Arial"/>
        </w:rPr>
        <w:t xml:space="preserve"> </w:t>
      </w:r>
      <w:r>
        <w:rPr>
          <w:rStyle w:val="EndnoteReference"/>
          <w:rFonts w:cs="Arial"/>
        </w:rPr>
        <w:endnoteReference w:id="625"/>
      </w:r>
    </w:p>
    <w:p w14:paraId="5A381495" w14:textId="77777777" w:rsidR="000D1D92" w:rsidRDefault="000D1D92" w:rsidP="000D1D92">
      <w:pPr>
        <w:spacing w:before="0" w:after="0"/>
        <w:jc w:val="both"/>
      </w:pPr>
      <w:r>
        <w:t xml:space="preserve">Earlier in the year, when first announcing the new national campaign, Senator the Hon Michaelia Cash reinforced the need for attitudinal change within the community by </w:t>
      </w:r>
      <w:r w:rsidRPr="00E00661">
        <w:t>emphasising that violence is a crime regardless of whether there is a ‘domestic’ or ‘family’ in front of it. She stated: ‘violence is violence. It’s a crime. Full stop’</w:t>
      </w:r>
      <w:r>
        <w:t>.</w:t>
      </w:r>
      <w:r>
        <w:rPr>
          <w:rStyle w:val="EndnoteReference"/>
        </w:rPr>
        <w:endnoteReference w:id="626"/>
      </w:r>
      <w:r>
        <w:t xml:space="preserve"> </w:t>
      </w:r>
    </w:p>
    <w:p w14:paraId="347A6C6D" w14:textId="77777777" w:rsidR="000D1D92" w:rsidRDefault="000D1D92" w:rsidP="000D1D92">
      <w:pPr>
        <w:spacing w:before="0" w:after="0"/>
      </w:pPr>
    </w:p>
    <w:p w14:paraId="579E5256" w14:textId="77777777" w:rsidR="000D1D92" w:rsidRDefault="000D1D92" w:rsidP="000D1D92">
      <w:pPr>
        <w:pStyle w:val="Default"/>
        <w:jc w:val="both"/>
        <w:rPr>
          <w:rFonts w:ascii="Arial" w:hAnsi="Arial" w:cs="Arial"/>
        </w:rPr>
      </w:pPr>
      <w:r>
        <w:rPr>
          <w:rFonts w:ascii="Arial" w:hAnsi="Arial" w:cs="Arial"/>
        </w:rPr>
        <w:t>My examination has therefore provided a timely opportunity to canvas the views of experts about the nature and value of educational campaigns and their potential role as part of a broader public health approach to family and domestic violence.</w:t>
      </w:r>
    </w:p>
    <w:p w14:paraId="6FC984AE" w14:textId="77777777" w:rsidR="000D1D92" w:rsidRDefault="000D1D92" w:rsidP="000D1D92">
      <w:pPr>
        <w:pStyle w:val="Default"/>
        <w:jc w:val="both"/>
        <w:rPr>
          <w:rFonts w:ascii="Arial" w:hAnsi="Arial" w:cs="Arial"/>
        </w:rPr>
      </w:pPr>
    </w:p>
    <w:p w14:paraId="20F40671" w14:textId="77777777" w:rsidR="000D1D92" w:rsidRDefault="000D1D92" w:rsidP="000D1D92">
      <w:pPr>
        <w:spacing w:before="0" w:after="0"/>
      </w:pPr>
      <w:r>
        <w:t>I will continue to engage with Senator Cash and the Australian Government about the outcomes of the national campaign, including for children.</w:t>
      </w:r>
    </w:p>
    <w:p w14:paraId="4CA7E103" w14:textId="77777777" w:rsidR="000D1D92" w:rsidRDefault="000D1D92" w:rsidP="000D1D92">
      <w:pPr>
        <w:spacing w:before="0" w:after="0"/>
      </w:pPr>
    </w:p>
    <w:p w14:paraId="5F700043" w14:textId="77777777" w:rsidR="000D1D92" w:rsidRDefault="000D1D92" w:rsidP="000D1D92">
      <w:pPr>
        <w:spacing w:before="0" w:after="0"/>
        <w:jc w:val="both"/>
        <w:rPr>
          <w:rFonts w:cs="Arial"/>
        </w:rPr>
      </w:pPr>
      <w:r w:rsidRPr="008D111E">
        <w:rPr>
          <w:rFonts w:cs="Arial"/>
        </w:rPr>
        <w:t>The Australian Association of Social Workers suggested that public policy approaches will ‘fail’ children affected by family and domestic violence if they do not ‘lead to wide attitudinal and behavioural change in society’.</w:t>
      </w:r>
      <w:r w:rsidRPr="008D111E">
        <w:rPr>
          <w:rStyle w:val="EndnoteReference"/>
          <w:rFonts w:cs="Arial"/>
          <w:sz w:val="24"/>
        </w:rPr>
        <w:endnoteReference w:id="627"/>
      </w:r>
    </w:p>
    <w:p w14:paraId="66C6F1D0" w14:textId="77777777" w:rsidR="000D1D92" w:rsidRDefault="000D1D92" w:rsidP="000D1D92">
      <w:pPr>
        <w:spacing w:before="0" w:after="0"/>
      </w:pPr>
    </w:p>
    <w:p w14:paraId="7937B2D8" w14:textId="77777777" w:rsidR="000D1D92" w:rsidRDefault="000D1D92" w:rsidP="000D1D92">
      <w:pPr>
        <w:spacing w:before="0" w:after="0"/>
        <w:jc w:val="both"/>
      </w:pPr>
      <w:r>
        <w:t>The need to lift community understanding is evidenced by recent research commissioned by OurWatch in 2015 which confirms a significant number of young people continue to hold views that accept or tolerate violence. This survey of 3000 young people aged between 12 and 24 shows, for example, that one in four young men believe that controlling and violent behaviours are signs of male strength</w:t>
      </w:r>
      <w:r>
        <w:rPr>
          <w:sz w:val="28"/>
        </w:rPr>
        <w:t>,</w:t>
      </w:r>
      <w:r w:rsidRPr="00114222">
        <w:t xml:space="preserve"> and</w:t>
      </w:r>
      <w:r>
        <w:t xml:space="preserve"> one in four young people do not think it is serious if a guy, who is normally gentle, sometimes slaps his girlfriend when he is drunk and they are arguing.</w:t>
      </w:r>
      <w:r>
        <w:rPr>
          <w:rStyle w:val="EndnoteReference"/>
          <w:rFonts w:cs="Arial"/>
        </w:rPr>
        <w:endnoteReference w:id="628"/>
      </w:r>
    </w:p>
    <w:p w14:paraId="68D4F317" w14:textId="77777777" w:rsidR="000D1D92" w:rsidRDefault="000D1D92" w:rsidP="000D1D92">
      <w:pPr>
        <w:spacing w:before="0" w:after="0"/>
        <w:jc w:val="both"/>
      </w:pPr>
    </w:p>
    <w:p w14:paraId="4C7EA57A" w14:textId="77777777" w:rsidR="000D1D92" w:rsidRDefault="000D1D92" w:rsidP="000D1D92">
      <w:pPr>
        <w:autoSpaceDE w:val="0"/>
        <w:autoSpaceDN w:val="0"/>
        <w:adjustRightInd w:val="0"/>
        <w:spacing w:before="0" w:after="0"/>
        <w:jc w:val="both"/>
      </w:pPr>
      <w:r>
        <w:t xml:space="preserve">A report released by VicHealth in September 2015 also found that young Australians aged between 16 and 24 had a higher level of attitudinal support for violence against women than those aged 35-64, as well as: </w:t>
      </w:r>
    </w:p>
    <w:p w14:paraId="319F1748" w14:textId="77777777" w:rsidR="000D1D92" w:rsidRDefault="000D1D92" w:rsidP="000D1D92">
      <w:pPr>
        <w:autoSpaceDE w:val="0"/>
        <w:autoSpaceDN w:val="0"/>
        <w:adjustRightInd w:val="0"/>
        <w:spacing w:before="0" w:after="0"/>
        <w:ind w:left="720"/>
        <w:jc w:val="both"/>
        <w:rPr>
          <w:sz w:val="22"/>
          <w:szCs w:val="22"/>
        </w:rPr>
      </w:pPr>
    </w:p>
    <w:p w14:paraId="3F4CF674" w14:textId="77777777" w:rsidR="000D1D92" w:rsidRDefault="000D1D92" w:rsidP="000D1D92">
      <w:pPr>
        <w:autoSpaceDE w:val="0"/>
        <w:autoSpaceDN w:val="0"/>
        <w:adjustRightInd w:val="0"/>
        <w:spacing w:before="0" w:after="0"/>
        <w:ind w:left="720"/>
        <w:jc w:val="both"/>
        <w:rPr>
          <w:sz w:val="22"/>
          <w:szCs w:val="22"/>
        </w:rPr>
      </w:pPr>
      <w:r>
        <w:rPr>
          <w:sz w:val="22"/>
          <w:szCs w:val="22"/>
        </w:rPr>
        <w:t>…a</w:t>
      </w:r>
      <w:r w:rsidRPr="002130AD">
        <w:rPr>
          <w:sz w:val="22"/>
          <w:szCs w:val="22"/>
        </w:rPr>
        <w:t xml:space="preserve"> lower level of understanding that violence is more than physical violence and forced sex, and are less likely to support gender equality in relationships</w:t>
      </w:r>
      <w:r>
        <w:rPr>
          <w:sz w:val="22"/>
          <w:szCs w:val="22"/>
        </w:rPr>
        <w:t>.</w:t>
      </w:r>
      <w:r>
        <w:rPr>
          <w:rStyle w:val="EndnoteReference"/>
          <w:szCs w:val="22"/>
        </w:rPr>
        <w:endnoteReference w:id="629"/>
      </w:r>
    </w:p>
    <w:p w14:paraId="06979D0E" w14:textId="77777777" w:rsidR="000D1D92" w:rsidRDefault="000D1D92" w:rsidP="000D1D92">
      <w:pPr>
        <w:autoSpaceDE w:val="0"/>
        <w:autoSpaceDN w:val="0"/>
        <w:adjustRightInd w:val="0"/>
        <w:spacing w:before="0" w:after="0"/>
        <w:ind w:left="720"/>
        <w:jc w:val="both"/>
        <w:rPr>
          <w:sz w:val="22"/>
          <w:szCs w:val="22"/>
        </w:rPr>
      </w:pPr>
    </w:p>
    <w:p w14:paraId="0170DE8F" w14:textId="77777777" w:rsidR="000D1D92" w:rsidRDefault="000D1D92" w:rsidP="000D1D92">
      <w:pPr>
        <w:pStyle w:val="Default"/>
        <w:jc w:val="both"/>
        <w:rPr>
          <w:rFonts w:ascii="Arial" w:hAnsi="Arial" w:cs="Arial"/>
        </w:rPr>
      </w:pPr>
      <w:r w:rsidRPr="00825C50">
        <w:rPr>
          <w:rFonts w:ascii="Arial" w:hAnsi="Arial" w:cs="Arial"/>
        </w:rPr>
        <w:t>Relationships Australia</w:t>
      </w:r>
      <w:r>
        <w:rPr>
          <w:rFonts w:ascii="Arial" w:hAnsi="Arial" w:cs="Arial"/>
        </w:rPr>
        <w:t xml:space="preserve"> highlighted some of the difficulties with achieving and monitoring positive outcomes from educational campaigns, stating that it is:</w:t>
      </w:r>
    </w:p>
    <w:p w14:paraId="6216B777" w14:textId="77777777" w:rsidR="000D1D92" w:rsidRDefault="000D1D92" w:rsidP="000D1D92">
      <w:pPr>
        <w:pStyle w:val="ListParagraph"/>
        <w:spacing w:before="0" w:after="0"/>
        <w:jc w:val="both"/>
        <w:rPr>
          <w:sz w:val="22"/>
          <w:szCs w:val="22"/>
        </w:rPr>
      </w:pPr>
    </w:p>
    <w:p w14:paraId="1C892DD2" w14:textId="77777777" w:rsidR="000D1D92" w:rsidRPr="00825C50" w:rsidRDefault="000D1D92" w:rsidP="000D1D92">
      <w:pPr>
        <w:pStyle w:val="ListParagraph"/>
        <w:spacing w:before="0" w:after="0"/>
        <w:jc w:val="both"/>
        <w:rPr>
          <w:sz w:val="22"/>
          <w:szCs w:val="22"/>
        </w:rPr>
      </w:pPr>
      <w:r>
        <w:rPr>
          <w:sz w:val="22"/>
          <w:szCs w:val="22"/>
        </w:rPr>
        <w:t>…</w:t>
      </w:r>
      <w:r w:rsidRPr="00825C50">
        <w:rPr>
          <w:sz w:val="22"/>
          <w:szCs w:val="22"/>
        </w:rPr>
        <w:t>challenging to ascertain whether any positive outcomes are specifically related to educational campaigns at school or increased community awareness through the current featuring of domestic violence in the media.</w:t>
      </w:r>
    </w:p>
    <w:p w14:paraId="55AF8B35" w14:textId="77777777" w:rsidR="000D1D92" w:rsidRPr="00825C50" w:rsidRDefault="000D1D92" w:rsidP="000D1D92">
      <w:pPr>
        <w:spacing w:before="0" w:after="0"/>
        <w:jc w:val="both"/>
        <w:rPr>
          <w:sz w:val="22"/>
          <w:szCs w:val="22"/>
        </w:rPr>
      </w:pPr>
    </w:p>
    <w:p w14:paraId="4A7C59C1" w14:textId="77777777" w:rsidR="000D1D92" w:rsidRDefault="000D1D92" w:rsidP="000D1D92">
      <w:pPr>
        <w:pStyle w:val="ListParagraph"/>
        <w:spacing w:before="0" w:after="0"/>
        <w:jc w:val="both"/>
        <w:rPr>
          <w:sz w:val="22"/>
          <w:szCs w:val="22"/>
        </w:rPr>
      </w:pPr>
      <w:r w:rsidRPr="00825C50">
        <w:rPr>
          <w:sz w:val="22"/>
          <w:szCs w:val="22"/>
        </w:rPr>
        <w:lastRenderedPageBreak/>
        <w:t>Similarly, these difficulties in assessing impact of education programs exist at the community level. Funding rarely includes a component for evaluation, and service delivery experts do not have the resources or skills to conduct rigorous evaluation and research and this has resulted in an incomplete evidence base on which to inform future campaigns.</w:t>
      </w:r>
      <w:r>
        <w:rPr>
          <w:rStyle w:val="EndnoteReference"/>
          <w:szCs w:val="22"/>
        </w:rPr>
        <w:endnoteReference w:id="630"/>
      </w:r>
    </w:p>
    <w:p w14:paraId="1F8C115D" w14:textId="77777777" w:rsidR="000D1D92" w:rsidRDefault="000D1D92" w:rsidP="000D1D92">
      <w:pPr>
        <w:spacing w:before="0" w:after="0"/>
        <w:jc w:val="both"/>
      </w:pPr>
    </w:p>
    <w:p w14:paraId="5B82E4DD" w14:textId="77777777" w:rsidR="000D1D92" w:rsidRDefault="000D1D92" w:rsidP="000D1D92">
      <w:pPr>
        <w:spacing w:before="0" w:after="0"/>
        <w:jc w:val="both"/>
      </w:pPr>
      <w:r>
        <w:t xml:space="preserve">Participants at my roundtables and written submissions warned against a one-size fits all approach to public education campaigns about family and domestic violence. The need to target approaches to certain community groups was consistently raised, for example, Aboriginal and Torres Strait Islander children and families, culturally and linguistically diverse children and families and those who are LGBTI.  </w:t>
      </w:r>
    </w:p>
    <w:p w14:paraId="4792E872" w14:textId="77777777" w:rsidR="000D1D92" w:rsidRDefault="000D1D92" w:rsidP="000D1D92">
      <w:pPr>
        <w:spacing w:before="0" w:after="0"/>
      </w:pPr>
    </w:p>
    <w:p w14:paraId="69EC4869" w14:textId="77777777" w:rsidR="000D1D92" w:rsidRDefault="000D1D92" w:rsidP="000D1D92">
      <w:pPr>
        <w:spacing w:before="0" w:after="0"/>
        <w:jc w:val="both"/>
      </w:pPr>
      <w:r>
        <w:t>The Menzies School of Health Research provided information about social marketing campaigns and community approaches to promoting the safety of children in the Northern Territory:</w:t>
      </w:r>
    </w:p>
    <w:p w14:paraId="28A2CCAC" w14:textId="77777777" w:rsidR="000D1D92" w:rsidRPr="00E00D04" w:rsidRDefault="000D1D92" w:rsidP="000D1D92">
      <w:pPr>
        <w:spacing w:before="0" w:after="0"/>
        <w:rPr>
          <w:sz w:val="22"/>
          <w:szCs w:val="22"/>
        </w:rPr>
      </w:pPr>
    </w:p>
    <w:p w14:paraId="0892A4E0" w14:textId="77777777" w:rsidR="000D1D92" w:rsidRDefault="000D1D92" w:rsidP="000D1D92">
      <w:pPr>
        <w:autoSpaceDE w:val="0"/>
        <w:autoSpaceDN w:val="0"/>
        <w:adjustRightInd w:val="0"/>
        <w:spacing w:before="0" w:after="0"/>
        <w:ind w:left="720"/>
        <w:jc w:val="both"/>
        <w:rPr>
          <w:sz w:val="22"/>
          <w:szCs w:val="22"/>
        </w:rPr>
      </w:pPr>
      <w:r w:rsidRPr="00E00D04">
        <w:rPr>
          <w:sz w:val="22"/>
          <w:szCs w:val="22"/>
        </w:rPr>
        <w:t>Families, communities and practitioners require more information about what constitutes child abuse and neglect, its impact and how it can be prevented. Due to the over-representation of Abor</w:t>
      </w:r>
      <w:r>
        <w:rPr>
          <w:sz w:val="22"/>
          <w:szCs w:val="22"/>
        </w:rPr>
        <w:t>iginal children in the NT statutor</w:t>
      </w:r>
      <w:r w:rsidRPr="00E00D04">
        <w:rPr>
          <w:sz w:val="22"/>
          <w:szCs w:val="22"/>
        </w:rPr>
        <w:t>y child protection system it is imperative that community educati</w:t>
      </w:r>
      <w:r>
        <w:rPr>
          <w:sz w:val="22"/>
          <w:szCs w:val="22"/>
        </w:rPr>
        <w:t>on strategies resonate with Abor</w:t>
      </w:r>
      <w:r w:rsidRPr="00E00D04">
        <w:rPr>
          <w:sz w:val="22"/>
          <w:szCs w:val="22"/>
        </w:rPr>
        <w:t>iginal families and communities.</w:t>
      </w:r>
      <w:r w:rsidRPr="00E00D04">
        <w:rPr>
          <w:rStyle w:val="EndnoteReference"/>
          <w:sz w:val="22"/>
          <w:szCs w:val="22"/>
        </w:rPr>
        <w:endnoteReference w:id="631"/>
      </w:r>
    </w:p>
    <w:p w14:paraId="7CCBD64D" w14:textId="77777777" w:rsidR="000D1D92" w:rsidRDefault="000D1D92" w:rsidP="000D1D92">
      <w:pPr>
        <w:autoSpaceDE w:val="0"/>
        <w:autoSpaceDN w:val="0"/>
        <w:adjustRightInd w:val="0"/>
        <w:spacing w:before="0" w:after="0"/>
        <w:ind w:left="720"/>
        <w:jc w:val="both"/>
      </w:pPr>
    </w:p>
    <w:p w14:paraId="32E93944" w14:textId="77777777" w:rsidR="000D1D92" w:rsidRDefault="000D1D92" w:rsidP="000D1D92">
      <w:pPr>
        <w:autoSpaceDE w:val="0"/>
        <w:autoSpaceDN w:val="0"/>
        <w:adjustRightInd w:val="0"/>
        <w:spacing w:before="0" w:after="0"/>
        <w:jc w:val="both"/>
      </w:pPr>
      <w:r>
        <w:t>T</w:t>
      </w:r>
      <w:r w:rsidRPr="0049786F">
        <w:t xml:space="preserve">he Aboriginal Family Law Services (WA) </w:t>
      </w:r>
      <w:r>
        <w:t xml:space="preserve">also </w:t>
      </w:r>
      <w:r w:rsidRPr="0049786F">
        <w:t>identified</w:t>
      </w:r>
      <w:r>
        <w:t xml:space="preserve"> the need for targeted campaigns:</w:t>
      </w:r>
    </w:p>
    <w:p w14:paraId="3846B1C2" w14:textId="77777777" w:rsidR="000D1D92" w:rsidRDefault="000D1D92" w:rsidP="000D1D92">
      <w:pPr>
        <w:autoSpaceDE w:val="0"/>
        <w:autoSpaceDN w:val="0"/>
        <w:adjustRightInd w:val="0"/>
        <w:spacing w:before="0" w:after="0"/>
        <w:jc w:val="both"/>
      </w:pPr>
    </w:p>
    <w:p w14:paraId="0B1E20F8" w14:textId="77777777" w:rsidR="000D1D92" w:rsidRDefault="000D1D92" w:rsidP="000D1D92">
      <w:pPr>
        <w:autoSpaceDE w:val="0"/>
        <w:autoSpaceDN w:val="0"/>
        <w:adjustRightInd w:val="0"/>
        <w:spacing w:before="0" w:after="0"/>
        <w:ind w:left="720"/>
        <w:jc w:val="both"/>
      </w:pPr>
      <w:r>
        <w:rPr>
          <w:sz w:val="22"/>
          <w:szCs w:val="22"/>
        </w:rPr>
        <w:t>…</w:t>
      </w:r>
      <w:r w:rsidRPr="00A17AB8">
        <w:rPr>
          <w:sz w:val="22"/>
          <w:szCs w:val="22"/>
        </w:rPr>
        <w:t>focussing on the impact of family and domestic violence on Aboriginal men, women and children. We realised the gap in existing campaigns which focused on gender issues, were mainstream in their approach and may not have had the reach that an Indigenous specific campaign could achieve</w:t>
      </w:r>
      <w:r w:rsidRPr="0049786F">
        <w:t>.</w:t>
      </w:r>
      <w:r>
        <w:rPr>
          <w:rStyle w:val="EndnoteReference"/>
        </w:rPr>
        <w:endnoteReference w:id="632"/>
      </w:r>
    </w:p>
    <w:p w14:paraId="1DE37422" w14:textId="77777777" w:rsidR="000D1D92" w:rsidRDefault="000D1D92" w:rsidP="000D1D92">
      <w:pPr>
        <w:spacing w:before="0" w:after="0"/>
      </w:pPr>
      <w:r w:rsidRPr="000A6B2C">
        <w:t xml:space="preserve"> </w:t>
      </w:r>
    </w:p>
    <w:p w14:paraId="39EAEC02" w14:textId="77777777" w:rsidR="000D1D92" w:rsidRDefault="000D1D92" w:rsidP="000D1D92">
      <w:pPr>
        <w:spacing w:before="0" w:after="0"/>
        <w:jc w:val="both"/>
      </w:pPr>
      <w:r>
        <w:t>The National LGBTI Alliance also reinforced the need for nuanced approaches targeting groups with different experiences and needs:</w:t>
      </w:r>
    </w:p>
    <w:p w14:paraId="046CD049" w14:textId="77777777" w:rsidR="000D1D92" w:rsidRDefault="000D1D92" w:rsidP="000D1D92">
      <w:pPr>
        <w:spacing w:before="0" w:after="0"/>
      </w:pPr>
      <w:r>
        <w:t xml:space="preserve"> </w:t>
      </w:r>
    </w:p>
    <w:p w14:paraId="5D7F45E7" w14:textId="77777777" w:rsidR="000D1D92" w:rsidRDefault="000D1D92" w:rsidP="000D1D92">
      <w:pPr>
        <w:spacing w:before="0" w:after="0"/>
        <w:ind w:left="720"/>
        <w:rPr>
          <w:sz w:val="22"/>
          <w:szCs w:val="22"/>
        </w:rPr>
      </w:pPr>
      <w:r w:rsidRPr="00F969CA">
        <w:rPr>
          <w:sz w:val="22"/>
          <w:szCs w:val="22"/>
        </w:rPr>
        <w:t>Our respondents identified multiple adverse outcomes of public policy approaches and educational campaigns that claim to address family and domestic violence without addressing the needs of LGBTI young people.</w:t>
      </w:r>
      <w:r>
        <w:rPr>
          <w:sz w:val="22"/>
          <w:szCs w:val="22"/>
        </w:rPr>
        <w:t xml:space="preserve"> Similarly, </w:t>
      </w:r>
      <w:r w:rsidRPr="00F969CA">
        <w:rPr>
          <w:sz w:val="22"/>
          <w:szCs w:val="22"/>
        </w:rPr>
        <w:t>many respondents felt that LGBTI specific resources did not consistently or adequately address the family and domestic violence needs of LGBTI young people.</w:t>
      </w:r>
      <w:r>
        <w:rPr>
          <w:rStyle w:val="EndnoteReference"/>
          <w:szCs w:val="22"/>
        </w:rPr>
        <w:endnoteReference w:id="633"/>
      </w:r>
    </w:p>
    <w:p w14:paraId="76A99066" w14:textId="77777777" w:rsidR="000D1D92" w:rsidRDefault="000D1D92" w:rsidP="000D1D92">
      <w:pPr>
        <w:autoSpaceDE w:val="0"/>
        <w:autoSpaceDN w:val="0"/>
        <w:adjustRightInd w:val="0"/>
        <w:spacing w:before="0" w:after="0"/>
        <w:jc w:val="both"/>
        <w:rPr>
          <w:rFonts w:cs="Arial"/>
        </w:rPr>
      </w:pPr>
    </w:p>
    <w:p w14:paraId="62157EF5" w14:textId="77777777" w:rsidR="000D1D92" w:rsidRDefault="000D1D92" w:rsidP="000D1D92">
      <w:pPr>
        <w:autoSpaceDE w:val="0"/>
        <w:autoSpaceDN w:val="0"/>
        <w:adjustRightInd w:val="0"/>
        <w:spacing w:before="0" w:after="0"/>
        <w:jc w:val="both"/>
        <w:rPr>
          <w:rFonts w:cs="Arial"/>
        </w:rPr>
      </w:pPr>
      <w:r w:rsidRPr="005D622F">
        <w:rPr>
          <w:rFonts w:cs="Arial"/>
        </w:rPr>
        <w:t xml:space="preserve">The submission from the NSW Government highlighted the key elements of </w:t>
      </w:r>
      <w:r>
        <w:rPr>
          <w:rFonts w:cs="Arial"/>
        </w:rPr>
        <w:t xml:space="preserve">its effective child protection and parenting education practices for newly arrived migrant and refugee communities: </w:t>
      </w:r>
    </w:p>
    <w:p w14:paraId="6DB4580A" w14:textId="77777777" w:rsidR="000D1D92" w:rsidRDefault="000D1D92" w:rsidP="000D1D92">
      <w:pPr>
        <w:autoSpaceDE w:val="0"/>
        <w:autoSpaceDN w:val="0"/>
        <w:adjustRightInd w:val="0"/>
        <w:spacing w:before="0" w:after="0"/>
        <w:jc w:val="both"/>
        <w:rPr>
          <w:rFonts w:cs="Arial"/>
        </w:rPr>
      </w:pPr>
    </w:p>
    <w:p w14:paraId="3AA26C12" w14:textId="77777777" w:rsidR="000D1D92" w:rsidRPr="00EB050A" w:rsidRDefault="000D1D92" w:rsidP="000D1D92">
      <w:pPr>
        <w:pStyle w:val="ListParagraph"/>
        <w:numPr>
          <w:ilvl w:val="0"/>
          <w:numId w:val="75"/>
        </w:numPr>
        <w:autoSpaceDE w:val="0"/>
        <w:autoSpaceDN w:val="0"/>
        <w:adjustRightInd w:val="0"/>
        <w:spacing w:before="0" w:after="0"/>
        <w:jc w:val="both"/>
        <w:rPr>
          <w:rFonts w:cs="Arial"/>
          <w:sz w:val="22"/>
          <w:szCs w:val="22"/>
        </w:rPr>
      </w:pPr>
      <w:r w:rsidRPr="00EB050A">
        <w:rPr>
          <w:rFonts w:cs="Arial"/>
          <w:sz w:val="22"/>
          <w:szCs w:val="22"/>
        </w:rPr>
        <w:t xml:space="preserve">grassroots, including engagement with key community members. An example of a successful program is the </w:t>
      </w:r>
      <w:r>
        <w:rPr>
          <w:rFonts w:cs="Arial"/>
          <w:sz w:val="22"/>
          <w:szCs w:val="22"/>
        </w:rPr>
        <w:t>n</w:t>
      </w:r>
      <w:r w:rsidRPr="00EB050A">
        <w:rPr>
          <w:rFonts w:cs="Arial"/>
          <w:sz w:val="22"/>
          <w:szCs w:val="22"/>
        </w:rPr>
        <w:t>ationally recognised We All Say No project funded by FACS</w:t>
      </w:r>
    </w:p>
    <w:p w14:paraId="0418D2DF" w14:textId="77777777" w:rsidR="000D1D92" w:rsidRPr="00EB050A" w:rsidRDefault="000D1D92" w:rsidP="000D1D92">
      <w:pPr>
        <w:pStyle w:val="ListParagraph"/>
        <w:numPr>
          <w:ilvl w:val="0"/>
          <w:numId w:val="75"/>
        </w:numPr>
        <w:autoSpaceDE w:val="0"/>
        <w:autoSpaceDN w:val="0"/>
        <w:adjustRightInd w:val="0"/>
        <w:spacing w:before="0" w:after="0"/>
        <w:jc w:val="both"/>
        <w:rPr>
          <w:rFonts w:cs="Arial"/>
          <w:sz w:val="22"/>
          <w:szCs w:val="22"/>
        </w:rPr>
      </w:pPr>
      <w:r w:rsidRPr="00EB050A">
        <w:rPr>
          <w:rFonts w:cs="Arial"/>
          <w:sz w:val="22"/>
          <w:szCs w:val="22"/>
        </w:rPr>
        <w:t>use of experienced casework practitioners or experts who have knowledge of an area such as child protection in partnership with workers who are well connected with the target community and culture</w:t>
      </w:r>
    </w:p>
    <w:p w14:paraId="475E70CE" w14:textId="77777777" w:rsidR="000D1D92" w:rsidRPr="00EB050A" w:rsidRDefault="000D1D92" w:rsidP="000D1D92">
      <w:pPr>
        <w:pStyle w:val="ListParagraph"/>
        <w:numPr>
          <w:ilvl w:val="0"/>
          <w:numId w:val="75"/>
        </w:numPr>
        <w:autoSpaceDE w:val="0"/>
        <w:autoSpaceDN w:val="0"/>
        <w:adjustRightInd w:val="0"/>
        <w:spacing w:before="0" w:after="0"/>
        <w:jc w:val="both"/>
        <w:rPr>
          <w:rFonts w:cs="Arial"/>
          <w:sz w:val="22"/>
          <w:szCs w:val="22"/>
        </w:rPr>
      </w:pPr>
      <w:r w:rsidRPr="00EB050A">
        <w:rPr>
          <w:rFonts w:cs="Arial"/>
          <w:sz w:val="22"/>
          <w:szCs w:val="22"/>
        </w:rPr>
        <w:t>training and use of bilingual community educators to deliver information.</w:t>
      </w:r>
      <w:r>
        <w:rPr>
          <w:rStyle w:val="EndnoteReference"/>
          <w:rFonts w:cs="Arial"/>
          <w:szCs w:val="22"/>
        </w:rPr>
        <w:endnoteReference w:id="634"/>
      </w:r>
    </w:p>
    <w:p w14:paraId="0D1A66BB" w14:textId="77777777" w:rsidR="000D1D92" w:rsidRDefault="000D1D92" w:rsidP="000D1D92">
      <w:pPr>
        <w:autoSpaceDE w:val="0"/>
        <w:autoSpaceDN w:val="0"/>
        <w:adjustRightInd w:val="0"/>
        <w:spacing w:before="0" w:after="0"/>
        <w:jc w:val="both"/>
        <w:rPr>
          <w:rFonts w:cs="Arial"/>
        </w:rPr>
      </w:pPr>
    </w:p>
    <w:p w14:paraId="48E3C9E2" w14:textId="77777777" w:rsidR="000D1D92" w:rsidRPr="00B02D8E" w:rsidRDefault="000D1D92" w:rsidP="000D1D92">
      <w:pPr>
        <w:autoSpaceDE w:val="0"/>
        <w:autoSpaceDN w:val="0"/>
        <w:adjustRightInd w:val="0"/>
        <w:spacing w:before="0" w:after="0"/>
        <w:jc w:val="both"/>
        <w:rPr>
          <w:rFonts w:cs="Arial"/>
          <w:bCs/>
        </w:rPr>
      </w:pPr>
      <w:r w:rsidRPr="00B02D8E">
        <w:rPr>
          <w:rFonts w:cs="Arial"/>
          <w:lang w:val="en"/>
        </w:rPr>
        <w:t xml:space="preserve">The </w:t>
      </w:r>
      <w:r>
        <w:rPr>
          <w:rFonts w:cs="Arial"/>
          <w:lang w:val="en"/>
        </w:rPr>
        <w:t>I</w:t>
      </w:r>
      <w:r w:rsidRPr="00B02D8E">
        <w:rPr>
          <w:rFonts w:cs="Arial"/>
          <w:lang w:val="en"/>
        </w:rPr>
        <w:t xml:space="preserve">nterim </w:t>
      </w:r>
      <w:r>
        <w:rPr>
          <w:rFonts w:cs="Arial"/>
          <w:lang w:val="en"/>
        </w:rPr>
        <w:t>R</w:t>
      </w:r>
      <w:r w:rsidRPr="00B02D8E">
        <w:rPr>
          <w:rFonts w:cs="Arial"/>
          <w:lang w:val="en"/>
        </w:rPr>
        <w:t>eport on domestic violence in Australia prepared by the Finance and Public Administration References</w:t>
      </w:r>
      <w:r>
        <w:rPr>
          <w:rFonts w:cs="Arial"/>
          <w:lang w:val="en"/>
        </w:rPr>
        <w:t xml:space="preserve"> Senate</w:t>
      </w:r>
      <w:r w:rsidRPr="00B02D8E">
        <w:rPr>
          <w:rFonts w:cs="Arial"/>
          <w:lang w:val="en"/>
        </w:rPr>
        <w:t xml:space="preserve"> Committee re</w:t>
      </w:r>
      <w:r>
        <w:rPr>
          <w:rFonts w:cs="Arial"/>
          <w:lang w:val="en"/>
        </w:rPr>
        <w:t xml:space="preserve">leased in March 2015 </w:t>
      </w:r>
      <w:r>
        <w:rPr>
          <w:rFonts w:cs="Arial"/>
          <w:lang w:val="en"/>
        </w:rPr>
        <w:lastRenderedPageBreak/>
        <w:t xml:space="preserve">included a recommendation supporting </w:t>
      </w:r>
      <w:r w:rsidRPr="00B02D8E">
        <w:rPr>
          <w:rFonts w:cs="Arial"/>
          <w:bCs/>
        </w:rPr>
        <w:t>the inclusion of respectful relationships education in the national curriculum.</w:t>
      </w:r>
      <w:r w:rsidRPr="00B02D8E">
        <w:rPr>
          <w:rFonts w:cs="Arial"/>
          <w:bCs/>
          <w:sz w:val="20"/>
          <w:vertAlign w:val="superscript"/>
        </w:rPr>
        <w:t xml:space="preserve"> </w:t>
      </w:r>
      <w:r w:rsidRPr="00B02D8E">
        <w:rPr>
          <w:rFonts w:cs="Arial"/>
          <w:bCs/>
          <w:sz w:val="20"/>
          <w:vertAlign w:val="superscript"/>
        </w:rPr>
        <w:endnoteReference w:id="635"/>
      </w:r>
    </w:p>
    <w:p w14:paraId="65C4B48C" w14:textId="77777777" w:rsidR="000D1D92" w:rsidRPr="00B02D8E" w:rsidRDefault="000D1D92" w:rsidP="000D1D92">
      <w:pPr>
        <w:autoSpaceDE w:val="0"/>
        <w:autoSpaceDN w:val="0"/>
        <w:adjustRightInd w:val="0"/>
        <w:spacing w:before="0" w:after="0"/>
        <w:jc w:val="both"/>
        <w:rPr>
          <w:rFonts w:cs="Arial"/>
          <w:bCs/>
        </w:rPr>
      </w:pPr>
    </w:p>
    <w:p w14:paraId="464F49B5" w14:textId="77777777" w:rsidR="000D1D92" w:rsidRPr="00B02D8E" w:rsidRDefault="000D1D92" w:rsidP="000D1D92">
      <w:pPr>
        <w:autoSpaceDE w:val="0"/>
        <w:autoSpaceDN w:val="0"/>
        <w:adjustRightInd w:val="0"/>
        <w:spacing w:before="0" w:after="0"/>
        <w:jc w:val="both"/>
        <w:rPr>
          <w:rFonts w:cs="Arial"/>
          <w:bCs/>
        </w:rPr>
      </w:pPr>
      <w:r w:rsidRPr="00B02D8E">
        <w:rPr>
          <w:rFonts w:cs="Arial"/>
          <w:bCs/>
        </w:rPr>
        <w:t>The</w:t>
      </w:r>
      <w:r>
        <w:rPr>
          <w:rFonts w:cs="Arial"/>
          <w:bCs/>
        </w:rPr>
        <w:t xml:space="preserve"> Senate Committee’s F</w:t>
      </w:r>
      <w:r w:rsidRPr="00B02D8E">
        <w:rPr>
          <w:rFonts w:cs="Arial"/>
          <w:bCs/>
        </w:rPr>
        <w:t xml:space="preserve">inal </w:t>
      </w:r>
      <w:r>
        <w:rPr>
          <w:rFonts w:cs="Arial"/>
          <w:bCs/>
        </w:rPr>
        <w:t>R</w:t>
      </w:r>
      <w:r w:rsidRPr="00B02D8E">
        <w:rPr>
          <w:rFonts w:cs="Arial"/>
          <w:bCs/>
        </w:rPr>
        <w:t xml:space="preserve">eport released in August 2015 </w:t>
      </w:r>
      <w:r>
        <w:rPr>
          <w:rFonts w:cs="Arial"/>
          <w:bCs/>
        </w:rPr>
        <w:t>recommended that</w:t>
      </w:r>
      <w:r w:rsidRPr="00B02D8E">
        <w:rPr>
          <w:rFonts w:cs="Arial"/>
          <w:bCs/>
        </w:rPr>
        <w:t>:</w:t>
      </w:r>
    </w:p>
    <w:p w14:paraId="6ACB7F57" w14:textId="77777777" w:rsidR="000D1D92" w:rsidRPr="00B02D8E" w:rsidRDefault="000D1D92" w:rsidP="000D1D92">
      <w:pPr>
        <w:autoSpaceDE w:val="0"/>
        <w:autoSpaceDN w:val="0"/>
        <w:adjustRightInd w:val="0"/>
        <w:spacing w:before="0" w:after="0"/>
        <w:jc w:val="both"/>
        <w:rPr>
          <w:rFonts w:cs="Arial"/>
          <w:bCs/>
        </w:rPr>
      </w:pPr>
    </w:p>
    <w:p w14:paraId="1BE11D9A" w14:textId="77777777" w:rsidR="000D1D92" w:rsidRPr="00B02D8E" w:rsidRDefault="000D1D92" w:rsidP="000D1D92">
      <w:pPr>
        <w:autoSpaceDE w:val="0"/>
        <w:autoSpaceDN w:val="0"/>
        <w:adjustRightInd w:val="0"/>
        <w:spacing w:before="0" w:after="0"/>
        <w:ind w:left="720"/>
        <w:jc w:val="both"/>
        <w:rPr>
          <w:rFonts w:cs="Arial"/>
          <w:bCs/>
        </w:rPr>
      </w:pPr>
      <w:r>
        <w:rPr>
          <w:rFonts w:cs="Arial"/>
          <w:bCs/>
        </w:rPr>
        <w:t>T</w:t>
      </w:r>
      <w:r w:rsidRPr="00B02D8E">
        <w:rPr>
          <w:rFonts w:cs="Arial"/>
          <w:bCs/>
        </w:rPr>
        <w:t>he Commonwealth Government consider focusing on work that reinforces the value of school based education across all age groups on respectful relationships and responses to domestic and family violence.</w:t>
      </w:r>
      <w:r w:rsidRPr="00B02D8E">
        <w:rPr>
          <w:rFonts w:cs="Arial"/>
          <w:bCs/>
          <w:sz w:val="20"/>
          <w:vertAlign w:val="superscript"/>
        </w:rPr>
        <w:endnoteReference w:id="636"/>
      </w:r>
    </w:p>
    <w:p w14:paraId="26394D20" w14:textId="77777777" w:rsidR="000D1D92" w:rsidRDefault="000D1D92" w:rsidP="000D1D92">
      <w:pPr>
        <w:autoSpaceDE w:val="0"/>
        <w:autoSpaceDN w:val="0"/>
        <w:adjustRightInd w:val="0"/>
        <w:spacing w:before="0" w:after="0"/>
        <w:jc w:val="both"/>
        <w:rPr>
          <w:rFonts w:cs="Arial"/>
        </w:rPr>
      </w:pPr>
    </w:p>
    <w:p w14:paraId="7F509698" w14:textId="77777777" w:rsidR="000D1D92" w:rsidRPr="00B02D8E" w:rsidRDefault="000D1D92" w:rsidP="000D1D92">
      <w:pPr>
        <w:autoSpaceDE w:val="0"/>
        <w:autoSpaceDN w:val="0"/>
        <w:adjustRightInd w:val="0"/>
        <w:spacing w:before="0" w:after="0"/>
        <w:jc w:val="both"/>
        <w:rPr>
          <w:rFonts w:cs="Arial"/>
        </w:rPr>
      </w:pPr>
      <w:r w:rsidRPr="00B02D8E">
        <w:rPr>
          <w:rFonts w:cs="Arial"/>
        </w:rPr>
        <w:t xml:space="preserve">The Australian Institute of Family Studies (AIFS) and Australia’s National Research Organisation for Women’s Safety Ltd. (ANROWS) state in their </w:t>
      </w:r>
      <w:r>
        <w:rPr>
          <w:rFonts w:cs="Arial"/>
        </w:rPr>
        <w:t xml:space="preserve">joint </w:t>
      </w:r>
      <w:r w:rsidRPr="00B02D8E">
        <w:rPr>
          <w:rFonts w:cs="Arial"/>
        </w:rPr>
        <w:t>submission:</w:t>
      </w:r>
    </w:p>
    <w:p w14:paraId="51AE3A7B" w14:textId="77777777" w:rsidR="000D1D92" w:rsidRPr="00B02D8E" w:rsidRDefault="000D1D92" w:rsidP="000D1D92">
      <w:pPr>
        <w:autoSpaceDE w:val="0"/>
        <w:autoSpaceDN w:val="0"/>
        <w:adjustRightInd w:val="0"/>
        <w:spacing w:before="0" w:after="0"/>
        <w:jc w:val="both"/>
        <w:rPr>
          <w:rFonts w:cs="Arial"/>
        </w:rPr>
      </w:pPr>
    </w:p>
    <w:p w14:paraId="240664DD" w14:textId="77777777" w:rsidR="000D1D92" w:rsidRDefault="000D1D92" w:rsidP="000D1D92">
      <w:pPr>
        <w:autoSpaceDE w:val="0"/>
        <w:autoSpaceDN w:val="0"/>
        <w:adjustRightInd w:val="0"/>
        <w:spacing w:before="0" w:after="0"/>
        <w:ind w:left="720"/>
        <w:jc w:val="both"/>
        <w:rPr>
          <w:rFonts w:cs="Arial"/>
        </w:rPr>
      </w:pPr>
      <w:r w:rsidRPr="00B02D8E">
        <w:rPr>
          <w:rFonts w:cs="Arial"/>
          <w:sz w:val="22"/>
          <w:szCs w:val="22"/>
        </w:rPr>
        <w:t>Most school-based prevention programs are delivered in secondary schools. There is little evidence about effective practice with younger children; however, there is a strong argument for primary prevention to begin in pre- and primary school levels given that attitudes towards gender and violence may already be ingrained by the time children reach secondary school age</w:t>
      </w:r>
      <w:r w:rsidRPr="00B02D8E">
        <w:rPr>
          <w:rFonts w:cs="Arial"/>
        </w:rPr>
        <w:t>.</w:t>
      </w:r>
      <w:r w:rsidRPr="00B02D8E">
        <w:rPr>
          <w:rFonts w:cs="Arial"/>
          <w:vertAlign w:val="superscript"/>
        </w:rPr>
        <w:endnoteReference w:id="637"/>
      </w:r>
    </w:p>
    <w:p w14:paraId="24584682" w14:textId="77777777" w:rsidR="000D1D92" w:rsidRDefault="000D1D92" w:rsidP="000D1D92">
      <w:pPr>
        <w:autoSpaceDE w:val="0"/>
        <w:autoSpaceDN w:val="0"/>
        <w:adjustRightInd w:val="0"/>
        <w:spacing w:before="0" w:after="0"/>
        <w:ind w:left="720"/>
        <w:jc w:val="both"/>
        <w:rPr>
          <w:rFonts w:cs="Arial"/>
        </w:rPr>
      </w:pPr>
    </w:p>
    <w:p w14:paraId="6995A2FE" w14:textId="77777777" w:rsidR="000D1D92" w:rsidRDefault="000D1D92" w:rsidP="000D1D92">
      <w:pPr>
        <w:autoSpaceDE w:val="0"/>
        <w:autoSpaceDN w:val="0"/>
        <w:adjustRightInd w:val="0"/>
        <w:spacing w:before="0" w:after="0"/>
        <w:jc w:val="both"/>
      </w:pPr>
      <w:r>
        <w:t>In its submission to me, the NSW Government also noted the lack of evidence about effective education campaigns for younger children:</w:t>
      </w:r>
    </w:p>
    <w:p w14:paraId="2C9AEC33" w14:textId="77777777" w:rsidR="000D1D92" w:rsidRDefault="000D1D92" w:rsidP="000D1D92">
      <w:pPr>
        <w:autoSpaceDE w:val="0"/>
        <w:autoSpaceDN w:val="0"/>
        <w:adjustRightInd w:val="0"/>
        <w:spacing w:before="0" w:after="0"/>
        <w:jc w:val="both"/>
        <w:rPr>
          <w:b/>
        </w:rPr>
      </w:pPr>
      <w:r>
        <w:rPr>
          <w:b/>
        </w:rPr>
        <w:t xml:space="preserve"> </w:t>
      </w:r>
    </w:p>
    <w:p w14:paraId="4E643904" w14:textId="77777777" w:rsidR="000D1D92" w:rsidRPr="005D622F" w:rsidRDefault="000D1D92" w:rsidP="000D1D92">
      <w:pPr>
        <w:autoSpaceDE w:val="0"/>
        <w:autoSpaceDN w:val="0"/>
        <w:adjustRightInd w:val="0"/>
        <w:spacing w:before="0" w:after="0"/>
        <w:ind w:left="720"/>
        <w:jc w:val="both"/>
        <w:rPr>
          <w:sz w:val="22"/>
          <w:szCs w:val="22"/>
        </w:rPr>
      </w:pPr>
      <w:r w:rsidRPr="005D622F">
        <w:rPr>
          <w:sz w:val="22"/>
          <w:szCs w:val="22"/>
        </w:rPr>
        <w:t>The rationale for primary prevention work with children, including education campaigns, is premised on t</w:t>
      </w:r>
      <w:r>
        <w:rPr>
          <w:sz w:val="22"/>
          <w:szCs w:val="22"/>
        </w:rPr>
        <w:t>he theory that attitudes to gen</w:t>
      </w:r>
      <w:r w:rsidRPr="005D622F">
        <w:rPr>
          <w:sz w:val="22"/>
          <w:szCs w:val="22"/>
        </w:rPr>
        <w:t>der equality and violence are formed in ea</w:t>
      </w:r>
      <w:r>
        <w:rPr>
          <w:sz w:val="22"/>
          <w:szCs w:val="22"/>
        </w:rPr>
        <w:t>r</w:t>
      </w:r>
      <w:r w:rsidRPr="005D622F">
        <w:rPr>
          <w:sz w:val="22"/>
          <w:szCs w:val="22"/>
        </w:rPr>
        <w:t>ly childhood. However, there is relatively</w:t>
      </w:r>
      <w:r>
        <w:rPr>
          <w:sz w:val="22"/>
          <w:szCs w:val="22"/>
        </w:rPr>
        <w:t xml:space="preserve"> little evidence for the efficac</w:t>
      </w:r>
      <w:r w:rsidRPr="005D622F">
        <w:rPr>
          <w:sz w:val="22"/>
          <w:szCs w:val="22"/>
        </w:rPr>
        <w:t>y of primary prevention prog</w:t>
      </w:r>
      <w:r>
        <w:rPr>
          <w:sz w:val="22"/>
          <w:szCs w:val="22"/>
        </w:rPr>
        <w:t>rams for children, as most eval</w:t>
      </w:r>
      <w:r w:rsidRPr="005D622F">
        <w:rPr>
          <w:sz w:val="22"/>
          <w:szCs w:val="22"/>
        </w:rPr>
        <w:t>uated programs are delivered to secondary school students.</w:t>
      </w:r>
      <w:r>
        <w:rPr>
          <w:rStyle w:val="EndnoteReference"/>
          <w:szCs w:val="22"/>
        </w:rPr>
        <w:endnoteReference w:id="638"/>
      </w:r>
    </w:p>
    <w:p w14:paraId="75EC3C25" w14:textId="77777777" w:rsidR="000D1D92" w:rsidRPr="00B02D8E" w:rsidRDefault="000D1D92" w:rsidP="000D1D92">
      <w:pPr>
        <w:autoSpaceDE w:val="0"/>
        <w:autoSpaceDN w:val="0"/>
        <w:adjustRightInd w:val="0"/>
        <w:spacing w:before="0" w:after="0"/>
        <w:ind w:left="720"/>
        <w:jc w:val="both"/>
        <w:rPr>
          <w:sz w:val="22"/>
          <w:szCs w:val="22"/>
        </w:rPr>
      </w:pPr>
    </w:p>
    <w:p w14:paraId="02CC54A7" w14:textId="77777777" w:rsidR="000D1D92" w:rsidRDefault="000D1D92" w:rsidP="000D1D92">
      <w:pPr>
        <w:spacing w:before="0" w:after="0"/>
        <w:jc w:val="both"/>
      </w:pPr>
      <w:r>
        <w:t>Submissions referred to a range of existing programs that promote healthy relationships to school-aged children.</w:t>
      </w:r>
    </w:p>
    <w:p w14:paraId="73D82BDC" w14:textId="77777777" w:rsidR="000D1D92" w:rsidRDefault="000D1D92" w:rsidP="000D1D92">
      <w:pPr>
        <w:spacing w:before="0" w:after="0"/>
        <w:jc w:val="both"/>
      </w:pPr>
    </w:p>
    <w:p w14:paraId="471782AC" w14:textId="77777777" w:rsidR="000D1D92" w:rsidRDefault="000D1D92" w:rsidP="000D1D92">
      <w:pPr>
        <w:spacing w:before="0" w:after="0"/>
        <w:jc w:val="both"/>
      </w:pPr>
      <w:r>
        <w:t xml:space="preserve">The National Association for the Prevention of Child Abuse and Neglect (NAPCAN), for example, runs LOVEBiTES, which is a school based family and domestic violence and sexual assault prevention program for 15 to 17 year olds. Respectful Relationships, also run by NAPCAN, offers programs for preschool, primary school and high school. </w:t>
      </w:r>
    </w:p>
    <w:p w14:paraId="6BFCD2AE" w14:textId="77777777" w:rsidR="000D1D92" w:rsidRDefault="000D1D92" w:rsidP="000D1D92">
      <w:pPr>
        <w:spacing w:before="0" w:after="0"/>
      </w:pPr>
    </w:p>
    <w:p w14:paraId="5D2B4104" w14:textId="77777777" w:rsidR="000D1D92" w:rsidRDefault="000D1D92" w:rsidP="000D1D92">
      <w:pPr>
        <w:spacing w:before="0" w:after="0"/>
        <w:jc w:val="both"/>
      </w:pPr>
      <w:r>
        <w:t>The submission from the North Australian Aboriginal Family Legal Service is supportive of programs like LOVEBiTES:</w:t>
      </w:r>
    </w:p>
    <w:p w14:paraId="5F6A0E31" w14:textId="77777777" w:rsidR="000D1D92" w:rsidRDefault="000D1D92" w:rsidP="000D1D92">
      <w:pPr>
        <w:spacing w:before="0" w:after="0"/>
      </w:pPr>
    </w:p>
    <w:p w14:paraId="02AF628B" w14:textId="77777777" w:rsidR="000D1D92" w:rsidRPr="00294A68" w:rsidRDefault="000D1D92" w:rsidP="000D1D92">
      <w:pPr>
        <w:spacing w:before="0" w:after="0"/>
        <w:ind w:left="720"/>
        <w:jc w:val="both"/>
        <w:rPr>
          <w:sz w:val="22"/>
          <w:szCs w:val="22"/>
        </w:rPr>
      </w:pPr>
      <w:r w:rsidRPr="00294A68">
        <w:rPr>
          <w:sz w:val="22"/>
          <w:szCs w:val="22"/>
        </w:rPr>
        <w:t>A more integrated program, such as the Love B</w:t>
      </w:r>
      <w:r>
        <w:rPr>
          <w:sz w:val="22"/>
          <w:szCs w:val="22"/>
        </w:rPr>
        <w:t>i</w:t>
      </w:r>
      <w:r w:rsidRPr="00294A68">
        <w:rPr>
          <w:sz w:val="22"/>
          <w:szCs w:val="22"/>
        </w:rPr>
        <w:t>tes program offered by N</w:t>
      </w:r>
      <w:r>
        <w:rPr>
          <w:sz w:val="22"/>
          <w:szCs w:val="22"/>
        </w:rPr>
        <w:t>A</w:t>
      </w:r>
      <w:r w:rsidRPr="00294A68">
        <w:rPr>
          <w:sz w:val="22"/>
          <w:szCs w:val="22"/>
        </w:rPr>
        <w:t xml:space="preserve">PCAN is recommended </w:t>
      </w:r>
      <w:r>
        <w:rPr>
          <w:sz w:val="22"/>
          <w:szCs w:val="22"/>
        </w:rPr>
        <w:t>for delivery in schools throughout the Norther</w:t>
      </w:r>
      <w:r w:rsidRPr="00294A68">
        <w:rPr>
          <w:sz w:val="22"/>
          <w:szCs w:val="22"/>
        </w:rPr>
        <w:t>n Territory. Ideally, respectful relation</w:t>
      </w:r>
      <w:r>
        <w:rPr>
          <w:sz w:val="22"/>
          <w:szCs w:val="22"/>
        </w:rPr>
        <w:t xml:space="preserve">ships programs should commence </w:t>
      </w:r>
      <w:r w:rsidRPr="00294A68">
        <w:rPr>
          <w:sz w:val="22"/>
          <w:szCs w:val="22"/>
        </w:rPr>
        <w:t>as early as possible in pr</w:t>
      </w:r>
      <w:r>
        <w:rPr>
          <w:sz w:val="22"/>
          <w:szCs w:val="22"/>
        </w:rPr>
        <w:t>i</w:t>
      </w:r>
      <w:r w:rsidRPr="00294A68">
        <w:rPr>
          <w:sz w:val="22"/>
          <w:szCs w:val="22"/>
        </w:rPr>
        <w:t xml:space="preserve">mary school and progress in an age appropriate manner throughout </w:t>
      </w:r>
      <w:r>
        <w:rPr>
          <w:sz w:val="22"/>
          <w:szCs w:val="22"/>
        </w:rPr>
        <w:t>each chi</w:t>
      </w:r>
      <w:r w:rsidRPr="00294A68">
        <w:rPr>
          <w:sz w:val="22"/>
          <w:szCs w:val="22"/>
        </w:rPr>
        <w:t>ld’s schooling years.</w:t>
      </w:r>
      <w:r>
        <w:rPr>
          <w:rStyle w:val="EndnoteReference"/>
          <w:szCs w:val="22"/>
        </w:rPr>
        <w:endnoteReference w:id="639"/>
      </w:r>
    </w:p>
    <w:p w14:paraId="1D6421D3" w14:textId="77777777" w:rsidR="000D1D92" w:rsidRPr="00D762F9" w:rsidRDefault="000D1D92" w:rsidP="000D1D92">
      <w:pPr>
        <w:spacing w:before="0" w:after="0"/>
      </w:pPr>
    </w:p>
    <w:p w14:paraId="25725F64" w14:textId="77777777" w:rsidR="000D1D92" w:rsidRDefault="000D1D92" w:rsidP="000D1D92">
      <w:pPr>
        <w:spacing w:before="0" w:after="0"/>
      </w:pPr>
      <w:r w:rsidRPr="00D762F9">
        <w:t>An evaluation of the LOVEBiTES program (among Year 10 students) and Respectful Relationships program (among Year 7 students) reported ‘uneven findings’</w:t>
      </w:r>
      <w:r>
        <w:t xml:space="preserve"> based on the 135 survey responses collected from students</w:t>
      </w:r>
      <w:r w:rsidRPr="00D762F9">
        <w:t xml:space="preserve"> and suggested that the program</w:t>
      </w:r>
      <w:r>
        <w:t>s</w:t>
      </w:r>
      <w:r w:rsidRPr="00D762F9">
        <w:t xml:space="preserve"> are ‘more effective in changing students’ attitudes in some domains than in others’.</w:t>
      </w:r>
      <w:r>
        <w:rPr>
          <w:rStyle w:val="EndnoteReference"/>
          <w:szCs w:val="22"/>
        </w:rPr>
        <w:endnoteReference w:id="640"/>
      </w:r>
      <w:r w:rsidRPr="00C5234B">
        <w:rPr>
          <w:sz w:val="22"/>
          <w:szCs w:val="22"/>
        </w:rPr>
        <w:t xml:space="preserve"> </w:t>
      </w:r>
      <w:r w:rsidRPr="00D762F9">
        <w:t xml:space="preserve"> </w:t>
      </w:r>
    </w:p>
    <w:p w14:paraId="2FC2519A" w14:textId="77777777" w:rsidR="000D1D92" w:rsidRDefault="000D1D92" w:rsidP="000D1D92">
      <w:pPr>
        <w:spacing w:before="0" w:after="0"/>
      </w:pPr>
    </w:p>
    <w:p w14:paraId="4CC1455B" w14:textId="77777777" w:rsidR="000D1D92" w:rsidRDefault="000D1D92" w:rsidP="000D1D92">
      <w:pPr>
        <w:spacing w:before="0" w:after="0"/>
      </w:pPr>
      <w:r w:rsidRPr="00D762F9">
        <w:t>The evaluation reported, for example, that:</w:t>
      </w:r>
    </w:p>
    <w:p w14:paraId="2D8E87AE" w14:textId="77777777" w:rsidR="000D1D92" w:rsidRPr="00C5234B" w:rsidRDefault="000D1D92" w:rsidP="000D1D92">
      <w:pPr>
        <w:spacing w:before="0" w:after="0"/>
        <w:rPr>
          <w:sz w:val="22"/>
          <w:szCs w:val="22"/>
        </w:rPr>
      </w:pPr>
    </w:p>
    <w:p w14:paraId="4FF7ECF6" w14:textId="77777777" w:rsidR="000D1D92" w:rsidRDefault="000D1D92" w:rsidP="000D1D92">
      <w:pPr>
        <w:spacing w:before="0" w:after="0"/>
        <w:ind w:left="720"/>
        <w:jc w:val="both"/>
        <w:rPr>
          <w:sz w:val="22"/>
          <w:szCs w:val="22"/>
        </w:rPr>
      </w:pPr>
      <w:r w:rsidRPr="00C5234B">
        <w:rPr>
          <w:sz w:val="22"/>
          <w:szCs w:val="22"/>
        </w:rPr>
        <w:lastRenderedPageBreak/>
        <w:t xml:space="preserve">The LOVEBiTES and Respectful Relationships programs had a significant and positive impact on students’ attitudes towards domestic violence, attitudes towards gender relations, and skills in having respectful relationships. Students who participated in the two violence prevention programs showed significant improvements in their attitudes and skills in these areas. </w:t>
      </w:r>
    </w:p>
    <w:p w14:paraId="754A6F88" w14:textId="77777777" w:rsidR="000D1D92" w:rsidRDefault="000D1D92" w:rsidP="000D1D92">
      <w:pPr>
        <w:spacing w:before="0" w:after="0"/>
        <w:ind w:left="720"/>
        <w:jc w:val="both"/>
        <w:rPr>
          <w:sz w:val="22"/>
          <w:szCs w:val="22"/>
        </w:rPr>
      </w:pPr>
    </w:p>
    <w:p w14:paraId="43A5B043" w14:textId="77777777" w:rsidR="000D1D92" w:rsidRPr="00C5234B" w:rsidRDefault="000D1D92" w:rsidP="000D1D92">
      <w:pPr>
        <w:spacing w:before="0" w:after="0"/>
        <w:ind w:left="720"/>
        <w:jc w:val="both"/>
        <w:rPr>
          <w:sz w:val="22"/>
          <w:szCs w:val="22"/>
        </w:rPr>
      </w:pPr>
      <w:r w:rsidRPr="00C5234B">
        <w:rPr>
          <w:sz w:val="22"/>
          <w:szCs w:val="22"/>
        </w:rPr>
        <w:t>On the other hand, the programs had little or no impact on Year 7 or Year 10 students’ attitudes towards aggression and alternatives to aggression, no impact on Year 10 female students’ attitudes towards dating violence and a mixed impact on males’ attitudes, a mixed impact on Year 10 students’ perceptions of various abusive or coercive behaviours as violence, and a negative impact on Year 7 female students’ attitudes towards bullying.</w:t>
      </w:r>
      <w:r>
        <w:rPr>
          <w:rStyle w:val="EndnoteReference"/>
          <w:szCs w:val="22"/>
        </w:rPr>
        <w:endnoteReference w:id="641"/>
      </w:r>
      <w:r w:rsidRPr="00C5234B">
        <w:rPr>
          <w:sz w:val="22"/>
          <w:szCs w:val="22"/>
        </w:rPr>
        <w:t xml:space="preserve"> </w:t>
      </w:r>
    </w:p>
    <w:p w14:paraId="4667DDEB" w14:textId="77777777" w:rsidR="000D1D92" w:rsidRDefault="000D1D92" w:rsidP="000D1D92">
      <w:pPr>
        <w:autoSpaceDE w:val="0"/>
        <w:autoSpaceDN w:val="0"/>
        <w:adjustRightInd w:val="0"/>
        <w:spacing w:before="0" w:after="0"/>
        <w:ind w:left="720"/>
        <w:jc w:val="both"/>
        <w:rPr>
          <w:sz w:val="22"/>
          <w:szCs w:val="22"/>
        </w:rPr>
      </w:pPr>
    </w:p>
    <w:p w14:paraId="19B96993" w14:textId="77777777" w:rsidR="000D1D92" w:rsidRDefault="000D1D92" w:rsidP="000D1D92">
      <w:pPr>
        <w:autoSpaceDE w:val="0"/>
        <w:autoSpaceDN w:val="0"/>
        <w:adjustRightInd w:val="0"/>
        <w:spacing w:before="0" w:after="0"/>
        <w:jc w:val="both"/>
        <w:rPr>
          <w:rFonts w:cs="Arial"/>
        </w:rPr>
      </w:pPr>
      <w:r>
        <w:rPr>
          <w:rFonts w:cs="Arial"/>
        </w:rPr>
        <w:t>I welcome the joint-announcement by the Prime Minister, Senator Cash, Rosie Batty and Ken Lay on 24 September 2015 that respectful relationships programs will be rolled out in schools across Australia from Kindergarten to Year 10 no later than 2017.</w:t>
      </w:r>
      <w:r>
        <w:rPr>
          <w:rStyle w:val="EndnoteReference"/>
          <w:rFonts w:cs="Arial"/>
        </w:rPr>
        <w:endnoteReference w:id="642"/>
      </w:r>
    </w:p>
    <w:p w14:paraId="7913E0C6" w14:textId="77777777" w:rsidR="000D1D92" w:rsidRDefault="000D1D92" w:rsidP="000D1D92">
      <w:pPr>
        <w:autoSpaceDE w:val="0"/>
        <w:autoSpaceDN w:val="0"/>
        <w:adjustRightInd w:val="0"/>
        <w:spacing w:before="0" w:after="0"/>
        <w:jc w:val="both"/>
        <w:rPr>
          <w:rFonts w:cs="Arial"/>
        </w:rPr>
      </w:pPr>
    </w:p>
    <w:p w14:paraId="0AA30ADD" w14:textId="77777777" w:rsidR="000D1D92" w:rsidRDefault="000D1D92" w:rsidP="000D1D92">
      <w:pPr>
        <w:autoSpaceDE w:val="0"/>
        <w:autoSpaceDN w:val="0"/>
        <w:adjustRightInd w:val="0"/>
        <w:spacing w:before="0" w:after="0"/>
        <w:jc w:val="both"/>
        <w:rPr>
          <w:rFonts w:cs="Arial"/>
        </w:rPr>
      </w:pPr>
      <w:r>
        <w:rPr>
          <w:rFonts w:cs="Arial"/>
        </w:rPr>
        <w:t xml:space="preserve">I am pleased that respectful relationships programs will commence as early as Kindergarten and continue through to secondary schooling. </w:t>
      </w:r>
    </w:p>
    <w:p w14:paraId="2BE46860" w14:textId="77777777" w:rsidR="000D1D92" w:rsidRDefault="000D1D92" w:rsidP="000D1D92">
      <w:pPr>
        <w:autoSpaceDE w:val="0"/>
        <w:autoSpaceDN w:val="0"/>
        <w:adjustRightInd w:val="0"/>
        <w:spacing w:before="0" w:after="0"/>
        <w:jc w:val="both"/>
        <w:rPr>
          <w:rFonts w:cs="Arial"/>
        </w:rPr>
      </w:pPr>
    </w:p>
    <w:p w14:paraId="7484E52B" w14:textId="77777777" w:rsidR="000D1D92" w:rsidRDefault="000D1D92" w:rsidP="000D1D92">
      <w:pPr>
        <w:autoSpaceDE w:val="0"/>
        <w:autoSpaceDN w:val="0"/>
        <w:adjustRightInd w:val="0"/>
        <w:spacing w:before="0" w:after="0"/>
        <w:jc w:val="both"/>
      </w:pPr>
      <w:r>
        <w:t>School-based educational programs alone, however,</w:t>
      </w:r>
      <w:r w:rsidRPr="00294A68">
        <w:t xml:space="preserve"> cannot address attitudinal change</w:t>
      </w:r>
      <w:r>
        <w:t>. C</w:t>
      </w:r>
      <w:r w:rsidRPr="00294A68">
        <w:t>ertain groups</w:t>
      </w:r>
      <w:r>
        <w:t xml:space="preserve"> of children and their families</w:t>
      </w:r>
      <w:r w:rsidRPr="00294A68">
        <w:t xml:space="preserve"> will </w:t>
      </w:r>
      <w:r>
        <w:t xml:space="preserve">require </w:t>
      </w:r>
      <w:r w:rsidRPr="00294A68">
        <w:t>targeted comm</w:t>
      </w:r>
      <w:r>
        <w:t xml:space="preserve">unity-led and community based initiatives to effect </w:t>
      </w:r>
      <w:r w:rsidRPr="00294A68">
        <w:t>change in attitudes and behaviours.</w:t>
      </w:r>
      <w:r>
        <w:t xml:space="preserve"> </w:t>
      </w:r>
    </w:p>
    <w:p w14:paraId="2958889A" w14:textId="77777777" w:rsidR="000D1D92" w:rsidRDefault="000D1D92" w:rsidP="000D1D92">
      <w:pPr>
        <w:autoSpaceDE w:val="0"/>
        <w:autoSpaceDN w:val="0"/>
        <w:adjustRightInd w:val="0"/>
        <w:spacing w:before="0" w:after="0"/>
        <w:jc w:val="both"/>
      </w:pPr>
    </w:p>
    <w:p w14:paraId="447D37AA" w14:textId="77777777" w:rsidR="000D1D92" w:rsidRDefault="000D1D92" w:rsidP="000D1D92">
      <w:pPr>
        <w:autoSpaceDE w:val="0"/>
        <w:autoSpaceDN w:val="0"/>
        <w:adjustRightInd w:val="0"/>
        <w:spacing w:before="0" w:after="0"/>
        <w:jc w:val="both"/>
      </w:pPr>
      <w:r>
        <w:t>P</w:t>
      </w:r>
      <w:r w:rsidRPr="00294A68">
        <w:t>rograms to influence the values and behaviour</w:t>
      </w:r>
      <w:r>
        <w:t>s</w:t>
      </w:r>
      <w:r w:rsidRPr="00294A68">
        <w:t xml:space="preserve"> of children should </w:t>
      </w:r>
      <w:r>
        <w:t>directly involve children</w:t>
      </w:r>
      <w:r w:rsidRPr="00294A68">
        <w:t xml:space="preserve"> in their design</w:t>
      </w:r>
      <w:r>
        <w:t>, delivery and evaluation, and be grounded in a child rights framework that promotes dignity and respect.</w:t>
      </w:r>
    </w:p>
    <w:p w14:paraId="12CD45AF" w14:textId="77777777" w:rsidR="000D1D92" w:rsidRDefault="000D1D92" w:rsidP="000D1D92">
      <w:pPr>
        <w:autoSpaceDE w:val="0"/>
        <w:autoSpaceDN w:val="0"/>
        <w:adjustRightInd w:val="0"/>
        <w:spacing w:before="0" w:after="0"/>
        <w:jc w:val="both"/>
      </w:pPr>
    </w:p>
    <w:tbl>
      <w:tblPr>
        <w:tblStyle w:val="TableGrid"/>
        <w:tblW w:w="0" w:type="auto"/>
        <w:shd w:val="clear" w:color="auto" w:fill="000000" w:themeFill="text1"/>
        <w:tblLook w:val="04A0" w:firstRow="1" w:lastRow="0" w:firstColumn="1" w:lastColumn="0" w:noHBand="0" w:noVBand="1"/>
      </w:tblPr>
      <w:tblGrid>
        <w:gridCol w:w="9060"/>
      </w:tblGrid>
      <w:tr w:rsidR="000D1D92" w:rsidRPr="007407A6" w14:paraId="5257F7F3" w14:textId="77777777" w:rsidTr="00684616">
        <w:trPr>
          <w:trHeight w:val="1006"/>
        </w:trPr>
        <w:tc>
          <w:tcPr>
            <w:tcW w:w="9060" w:type="dxa"/>
            <w:shd w:val="clear" w:color="auto" w:fill="F2F2F2" w:themeFill="background1" w:themeFillShade="F2"/>
            <w:vAlign w:val="center"/>
          </w:tcPr>
          <w:p w14:paraId="67F704A4" w14:textId="77777777" w:rsidR="000D1D92" w:rsidRDefault="000D1D92" w:rsidP="00684616">
            <w:pPr>
              <w:spacing w:before="0" w:after="0"/>
              <w:rPr>
                <w:b/>
              </w:rPr>
            </w:pPr>
          </w:p>
          <w:p w14:paraId="0A79FF04" w14:textId="77777777" w:rsidR="000D1D92" w:rsidRDefault="000D1D92" w:rsidP="00684616">
            <w:pPr>
              <w:spacing w:before="0" w:after="0"/>
              <w:rPr>
                <w:b/>
              </w:rPr>
            </w:pPr>
            <w:r>
              <w:rPr>
                <w:b/>
              </w:rPr>
              <w:t>Summary</w:t>
            </w:r>
          </w:p>
          <w:p w14:paraId="05390477" w14:textId="77777777" w:rsidR="000D1D92" w:rsidRDefault="000D1D92" w:rsidP="00684616">
            <w:pPr>
              <w:spacing w:before="0" w:after="0"/>
              <w:rPr>
                <w:b/>
              </w:rPr>
            </w:pPr>
          </w:p>
          <w:p w14:paraId="776CEBB2" w14:textId="77777777" w:rsidR="000D1D92" w:rsidRDefault="000D1D92" w:rsidP="00684616">
            <w:pPr>
              <w:spacing w:before="0" w:after="0"/>
              <w:rPr>
                <w:b/>
              </w:rPr>
            </w:pPr>
            <w:r w:rsidRPr="00B80226">
              <w:rPr>
                <w:b/>
              </w:rPr>
              <w:t>What are the current public policy approaches and educational campaigns targeting children’s experiences of family and domestic violence?</w:t>
            </w:r>
          </w:p>
          <w:p w14:paraId="289AFAC9" w14:textId="77777777" w:rsidR="000D1D92" w:rsidRDefault="000D1D92" w:rsidP="00684616">
            <w:pPr>
              <w:spacing w:before="0" w:after="0"/>
              <w:rPr>
                <w:b/>
              </w:rPr>
            </w:pPr>
          </w:p>
          <w:p w14:paraId="5C93B2E1" w14:textId="77777777" w:rsidR="000D1D92" w:rsidRPr="00830F85" w:rsidRDefault="000D1D92" w:rsidP="00684616">
            <w:pPr>
              <w:spacing w:before="0" w:after="0"/>
              <w:jc w:val="both"/>
            </w:pPr>
            <w:r w:rsidRPr="00830F85">
              <w:t>Overall there is no coherent public policy approach to children affected by family and domestic violence. This results in uncoordinated and poorly directed responses</w:t>
            </w:r>
            <w:r>
              <w:t xml:space="preserve"> to children who experience family and domestic violence</w:t>
            </w:r>
            <w:r w:rsidRPr="00830F85">
              <w:t>.</w:t>
            </w:r>
          </w:p>
          <w:p w14:paraId="294254FB" w14:textId="77777777" w:rsidR="000D1D92" w:rsidRPr="00830F85" w:rsidRDefault="000D1D92" w:rsidP="00684616">
            <w:pPr>
              <w:spacing w:before="0" w:after="0"/>
              <w:jc w:val="both"/>
            </w:pPr>
          </w:p>
          <w:p w14:paraId="70C2E298" w14:textId="77777777" w:rsidR="000D1D92" w:rsidRPr="00830F85" w:rsidRDefault="000D1D92" w:rsidP="00684616">
            <w:pPr>
              <w:spacing w:before="0" w:after="0"/>
              <w:jc w:val="both"/>
            </w:pPr>
            <w:r w:rsidRPr="00830F85">
              <w:t>Children’s experiences of family and domestic violence must be understood in their own right and not just as part of an adult situation.</w:t>
            </w:r>
          </w:p>
          <w:p w14:paraId="7F7BD102" w14:textId="77777777" w:rsidR="000D1D92" w:rsidRPr="00830F85" w:rsidRDefault="000D1D92" w:rsidP="00684616">
            <w:pPr>
              <w:spacing w:before="0" w:after="0"/>
              <w:jc w:val="both"/>
            </w:pPr>
          </w:p>
          <w:p w14:paraId="4C0E3A3A" w14:textId="77777777" w:rsidR="000D1D92" w:rsidRPr="00830F85" w:rsidRDefault="000D1D92" w:rsidP="00684616">
            <w:pPr>
              <w:spacing w:before="0" w:after="0"/>
              <w:jc w:val="both"/>
            </w:pPr>
            <w:r w:rsidRPr="00830F85">
              <w:t>Most school-based prevention programs are delivered in secondary schools. There is little evidence about effective practice with younger children.</w:t>
            </w:r>
          </w:p>
          <w:p w14:paraId="58DCB0B0" w14:textId="77777777" w:rsidR="000D1D92" w:rsidRPr="00830F85" w:rsidRDefault="000D1D92" w:rsidP="00684616">
            <w:pPr>
              <w:spacing w:before="0" w:after="0"/>
              <w:jc w:val="both"/>
            </w:pPr>
          </w:p>
          <w:p w14:paraId="2573462D" w14:textId="77777777" w:rsidR="000D1D92" w:rsidRPr="007848D1" w:rsidRDefault="000D1D92" w:rsidP="00684616">
            <w:pPr>
              <w:spacing w:before="0" w:after="0"/>
              <w:jc w:val="both"/>
            </w:pPr>
            <w:r w:rsidRPr="00830F85">
              <w:t>Children and young people should be directly involved in the development and evaluation of programs designed to achieve attitudinal and behavioural change.</w:t>
            </w:r>
          </w:p>
        </w:tc>
      </w:tr>
    </w:tbl>
    <w:p w14:paraId="13D009AF" w14:textId="77777777" w:rsidR="000D1D92" w:rsidRDefault="000D1D92" w:rsidP="000D1D92">
      <w:pPr>
        <w:pStyle w:val="Heading3"/>
        <w:jc w:val="both"/>
      </w:pPr>
      <w:bookmarkStart w:id="190" w:name="_Toc430702120"/>
      <w:bookmarkStart w:id="191" w:name="_Toc432061276"/>
      <w:r>
        <w:lastRenderedPageBreak/>
        <w:t>Children affected by family and domestic violence who are involved with the family law system</w:t>
      </w:r>
      <w:bookmarkEnd w:id="190"/>
      <w:bookmarkEnd w:id="191"/>
    </w:p>
    <w:p w14:paraId="2F104156" w14:textId="77777777" w:rsidR="000D1D92" w:rsidRDefault="000D1D92" w:rsidP="000D1D92">
      <w:pPr>
        <w:spacing w:before="0" w:after="0"/>
        <w:jc w:val="both"/>
      </w:pPr>
      <w:r>
        <w:t xml:space="preserve">Since beginning my term as National Children’s Commissioner in March 2013, the issue of family and domestic violence in the context of the family law system has been raised with me by children, by adults on behalf of children, and by adults reflecting on their childhood experiences. </w:t>
      </w:r>
    </w:p>
    <w:p w14:paraId="1DA75404" w14:textId="77777777" w:rsidR="000D1D92" w:rsidRPr="00115131" w:rsidRDefault="000D1D92" w:rsidP="000D1D92">
      <w:pPr>
        <w:autoSpaceDE w:val="0"/>
        <w:autoSpaceDN w:val="0"/>
        <w:adjustRightInd w:val="0"/>
        <w:spacing w:before="0" w:after="0"/>
        <w:jc w:val="both"/>
        <w:rPr>
          <w:sz w:val="22"/>
          <w:szCs w:val="22"/>
        </w:rPr>
      </w:pPr>
    </w:p>
    <w:p w14:paraId="374ED3C7" w14:textId="77777777" w:rsidR="000D1D92" w:rsidRDefault="000D1D92" w:rsidP="000D1D92">
      <w:pPr>
        <w:spacing w:before="0" w:after="0"/>
        <w:jc w:val="both"/>
      </w:pPr>
      <w:r>
        <w:t>Concerns about family and domestic violence in relation to the family court system were raised in 18 submissions provided to my current examination.</w:t>
      </w:r>
    </w:p>
    <w:p w14:paraId="661F4737" w14:textId="77777777" w:rsidR="000D1D92" w:rsidRDefault="000D1D92" w:rsidP="000D1D92">
      <w:pPr>
        <w:spacing w:before="0" w:after="0"/>
        <w:jc w:val="both"/>
      </w:pPr>
    </w:p>
    <w:p w14:paraId="58FC0596" w14:textId="77777777" w:rsidR="000D1D92" w:rsidRDefault="000D1D92" w:rsidP="000D1D92">
      <w:pPr>
        <w:spacing w:before="0" w:after="0"/>
        <w:jc w:val="both"/>
      </w:pPr>
      <w:r>
        <w:t xml:space="preserve">Expert participants at each of my eight roundtables raised similar concerns. </w:t>
      </w:r>
    </w:p>
    <w:p w14:paraId="576F27F4" w14:textId="77777777" w:rsidR="000D1D92" w:rsidRDefault="000D1D92" w:rsidP="000D1D92">
      <w:pPr>
        <w:spacing w:before="0" w:after="0"/>
        <w:jc w:val="both"/>
      </w:pPr>
    </w:p>
    <w:p w14:paraId="5E5C9B06" w14:textId="77777777" w:rsidR="000D1D92" w:rsidRDefault="000D1D92" w:rsidP="000D1D92">
      <w:pPr>
        <w:spacing w:before="0" w:after="0"/>
        <w:jc w:val="both"/>
      </w:pPr>
      <w:r>
        <w:t xml:space="preserve">The types of concerns raised in my examination included: a lack of understanding and inappropriate responses to family and domestic violence by those working in the family law system; </w:t>
      </w:r>
      <w:r>
        <w:rPr>
          <w:rStyle w:val="EndnoteReference"/>
        </w:rPr>
        <w:endnoteReference w:id="643"/>
      </w:r>
      <w:r>
        <w:t xml:space="preserve"> </w:t>
      </w:r>
      <w:r>
        <w:rPr>
          <w:rStyle w:val="EndnoteReference"/>
        </w:rPr>
        <w:endnoteReference w:id="644"/>
      </w:r>
      <w:r>
        <w:t xml:space="preserve"> </w:t>
      </w:r>
      <w:r>
        <w:rPr>
          <w:rStyle w:val="EndnoteReference"/>
        </w:rPr>
        <w:endnoteReference w:id="645"/>
      </w:r>
      <w:r>
        <w:t xml:space="preserve"> a conflict between the right of parental contact and the rights and best interests of the child and their non-violent parent; </w:t>
      </w:r>
      <w:r>
        <w:rPr>
          <w:rStyle w:val="EndnoteReference"/>
        </w:rPr>
        <w:endnoteReference w:id="646"/>
      </w:r>
      <w:r>
        <w:t xml:space="preserve"> </w:t>
      </w:r>
      <w:r>
        <w:rPr>
          <w:rStyle w:val="EndnoteReference"/>
        </w:rPr>
        <w:endnoteReference w:id="647"/>
      </w:r>
      <w:r>
        <w:t xml:space="preserve"> court decisions which do not yet fully reflect the amendments to the Family Law Act in 2012; </w:t>
      </w:r>
      <w:r>
        <w:rPr>
          <w:rStyle w:val="EndnoteReference"/>
        </w:rPr>
        <w:endnoteReference w:id="648"/>
      </w:r>
      <w:r>
        <w:t xml:space="preserve"> and the inappropriate use of mediation for these families. </w:t>
      </w:r>
      <w:r>
        <w:rPr>
          <w:rStyle w:val="EndnoteReference"/>
        </w:rPr>
        <w:endnoteReference w:id="649"/>
      </w:r>
      <w:r>
        <w:t xml:space="preserve"> </w:t>
      </w:r>
      <w:r>
        <w:rPr>
          <w:rStyle w:val="EndnoteReference"/>
        </w:rPr>
        <w:endnoteReference w:id="650"/>
      </w:r>
      <w:r>
        <w:t xml:space="preserve"> </w:t>
      </w:r>
    </w:p>
    <w:p w14:paraId="21B417CA" w14:textId="77777777" w:rsidR="000D1D92" w:rsidRDefault="000D1D92" w:rsidP="000D1D92">
      <w:pPr>
        <w:spacing w:before="0" w:after="0"/>
        <w:jc w:val="both"/>
      </w:pPr>
    </w:p>
    <w:p w14:paraId="1501555C" w14:textId="77777777" w:rsidR="000D1D92" w:rsidRDefault="000D1D92" w:rsidP="000D1D92">
      <w:pPr>
        <w:spacing w:before="0" w:after="0"/>
        <w:jc w:val="both"/>
      </w:pPr>
      <w:r>
        <w:t>Also highlighted was the manipulation of court decisions by some perpetrators of family and domestic violence as a means to continue to control and inflict abuse and violence on their ex-partner which invariably impacts on their children, often for prolonged periods.</w:t>
      </w:r>
      <w:r>
        <w:rPr>
          <w:rStyle w:val="EndnoteReference"/>
        </w:rPr>
        <w:endnoteReference w:id="651"/>
      </w:r>
    </w:p>
    <w:p w14:paraId="6F346E01" w14:textId="77777777" w:rsidR="000D1D92" w:rsidRDefault="000D1D92" w:rsidP="000D1D92">
      <w:pPr>
        <w:spacing w:before="0" w:after="0"/>
        <w:jc w:val="both"/>
        <w:rPr>
          <w:rFonts w:cs="Arial"/>
        </w:rPr>
      </w:pPr>
    </w:p>
    <w:p w14:paraId="496D166C" w14:textId="77777777" w:rsidR="000D1D92" w:rsidRPr="00E038AC" w:rsidRDefault="000D1D92" w:rsidP="000D1D92">
      <w:pPr>
        <w:spacing w:before="0" w:after="0"/>
        <w:jc w:val="both"/>
        <w:rPr>
          <w:rFonts w:cs="Arial"/>
        </w:rPr>
      </w:pPr>
      <w:r w:rsidRPr="00E038AC">
        <w:rPr>
          <w:rFonts w:cs="Arial"/>
        </w:rPr>
        <w:t>Post-separation violence in families was identified as a serious problem.</w:t>
      </w:r>
      <w:r w:rsidRPr="00E038AC">
        <w:rPr>
          <w:rStyle w:val="EndnoteReference"/>
          <w:rFonts w:cs="Arial"/>
        </w:rPr>
        <w:endnoteReference w:id="652"/>
      </w:r>
      <w:r w:rsidRPr="00E038AC">
        <w:rPr>
          <w:rFonts w:cs="Arial"/>
        </w:rPr>
        <w:t xml:space="preserve"> </w:t>
      </w:r>
      <w:r w:rsidRPr="00E038AC">
        <w:rPr>
          <w:rStyle w:val="EndnoteReference"/>
          <w:rFonts w:cs="Arial"/>
        </w:rPr>
        <w:endnoteReference w:id="653"/>
      </w:r>
      <w:r w:rsidRPr="00E038AC">
        <w:rPr>
          <w:rFonts w:cs="Arial"/>
        </w:rPr>
        <w:t xml:space="preserve"> </w:t>
      </w:r>
      <w:r w:rsidRPr="00E038AC">
        <w:rPr>
          <w:rStyle w:val="EndnoteReference"/>
          <w:rFonts w:cs="Arial"/>
        </w:rPr>
        <w:endnoteReference w:id="654"/>
      </w:r>
      <w:r w:rsidRPr="00E038AC">
        <w:rPr>
          <w:rFonts w:cs="Arial"/>
        </w:rPr>
        <w:t xml:space="preserve"> </w:t>
      </w:r>
      <w:r w:rsidRPr="00E038AC">
        <w:rPr>
          <w:rStyle w:val="EndnoteReference"/>
          <w:rFonts w:cs="Arial"/>
        </w:rPr>
        <w:endnoteReference w:id="655"/>
      </w:r>
      <w:r w:rsidRPr="00E038AC">
        <w:rPr>
          <w:rFonts w:cs="Arial"/>
        </w:rPr>
        <w:t xml:space="preserve"> </w:t>
      </w:r>
      <w:r w:rsidRPr="00E038AC">
        <w:rPr>
          <w:rStyle w:val="EndnoteReference"/>
          <w:rFonts w:cs="Arial"/>
        </w:rPr>
        <w:endnoteReference w:id="656"/>
      </w:r>
      <w:r w:rsidRPr="00E038AC">
        <w:rPr>
          <w:rFonts w:cs="Arial"/>
        </w:rPr>
        <w:t xml:space="preserve"> </w:t>
      </w:r>
    </w:p>
    <w:p w14:paraId="79020306" w14:textId="77777777" w:rsidR="000D1D92" w:rsidRPr="00DD1562" w:rsidRDefault="000D1D92" w:rsidP="000D1D92">
      <w:pPr>
        <w:spacing w:before="0" w:after="0"/>
        <w:jc w:val="both"/>
      </w:pPr>
      <w:r w:rsidRPr="00E038AC">
        <w:rPr>
          <w:rFonts w:cs="Arial"/>
        </w:rPr>
        <w:t>The submission by Melbourne Research Alliance to End Violence Against Women and their Children suggested that:</w:t>
      </w:r>
      <w:r>
        <w:rPr>
          <w:rFonts w:cs="Arial"/>
        </w:rPr>
        <w:t xml:space="preserve"> </w:t>
      </w:r>
    </w:p>
    <w:p w14:paraId="5D3AFC8E" w14:textId="77777777" w:rsidR="000D1D92" w:rsidRDefault="000D1D92" w:rsidP="000D1D92">
      <w:pPr>
        <w:spacing w:before="0" w:after="0"/>
        <w:jc w:val="both"/>
        <w:rPr>
          <w:rFonts w:cs="Arial"/>
        </w:rPr>
      </w:pPr>
    </w:p>
    <w:p w14:paraId="3AF7CBB2" w14:textId="77777777" w:rsidR="000D1D92" w:rsidRPr="00EB41AE" w:rsidRDefault="000D1D92" w:rsidP="000D1D92">
      <w:pPr>
        <w:spacing w:before="0" w:after="0"/>
        <w:ind w:left="720"/>
        <w:jc w:val="both"/>
        <w:rPr>
          <w:sz w:val="22"/>
          <w:szCs w:val="22"/>
        </w:rPr>
      </w:pPr>
      <w:r w:rsidRPr="006A3191">
        <w:rPr>
          <w:sz w:val="22"/>
          <w:szCs w:val="22"/>
        </w:rPr>
        <w:t>The pathway to children’s safety through separation is currently marred by the Family Law response which is frequently unresponsive to the on-going dangers and threats to the well-being of children who are continuing to live with post-separation violence.</w:t>
      </w:r>
      <w:r w:rsidRPr="006A3191">
        <w:rPr>
          <w:rStyle w:val="EndnoteReference"/>
          <w:sz w:val="22"/>
          <w:szCs w:val="22"/>
        </w:rPr>
        <w:endnoteReference w:id="657"/>
      </w:r>
    </w:p>
    <w:p w14:paraId="4F4E4C05" w14:textId="77777777" w:rsidR="000D1D92" w:rsidRDefault="000D1D92" w:rsidP="000D1D92">
      <w:pPr>
        <w:spacing w:before="0" w:after="0"/>
        <w:jc w:val="both"/>
      </w:pPr>
    </w:p>
    <w:p w14:paraId="09C74C4A" w14:textId="77777777" w:rsidR="000D1D92" w:rsidRDefault="000D1D92" w:rsidP="000D1D92">
      <w:pPr>
        <w:spacing w:before="0" w:after="0"/>
        <w:jc w:val="both"/>
      </w:pPr>
      <w:r>
        <w:t>The submission by the NSW Government stated:</w:t>
      </w:r>
    </w:p>
    <w:p w14:paraId="3DC658A6" w14:textId="77777777" w:rsidR="000D1D92" w:rsidRPr="00462319" w:rsidRDefault="000D1D92" w:rsidP="000D1D92">
      <w:pPr>
        <w:ind w:left="720"/>
        <w:jc w:val="both"/>
        <w:rPr>
          <w:rFonts w:cs="Arial"/>
          <w:sz w:val="22"/>
          <w:szCs w:val="22"/>
        </w:rPr>
      </w:pPr>
      <w:r w:rsidRPr="0032232D">
        <w:rPr>
          <w:rFonts w:cs="Arial"/>
          <w:sz w:val="22"/>
          <w:szCs w:val="22"/>
        </w:rPr>
        <w:t xml:space="preserve">In </w:t>
      </w:r>
      <w:r>
        <w:rPr>
          <w:rFonts w:cs="Arial"/>
          <w:sz w:val="22"/>
          <w:szCs w:val="22"/>
        </w:rPr>
        <w:t>abusive</w:t>
      </w:r>
      <w:r w:rsidRPr="0032232D">
        <w:rPr>
          <w:rFonts w:cs="Arial"/>
          <w:sz w:val="22"/>
          <w:szCs w:val="22"/>
        </w:rPr>
        <w:t xml:space="preserve"> relationships, domestic</w:t>
      </w:r>
      <w:r>
        <w:rPr>
          <w:rFonts w:cs="Arial"/>
          <w:sz w:val="22"/>
          <w:szCs w:val="22"/>
        </w:rPr>
        <w:t xml:space="preserve"> and family</w:t>
      </w:r>
      <w:r w:rsidRPr="0032232D">
        <w:rPr>
          <w:rFonts w:cs="Arial"/>
          <w:sz w:val="22"/>
          <w:szCs w:val="22"/>
        </w:rPr>
        <w:t xml:space="preserve"> violence does not end with separation and in fact can escalate to lethal violence. Children may be subjected to increased exposure to domestic</w:t>
      </w:r>
      <w:r>
        <w:rPr>
          <w:rFonts w:cs="Arial"/>
          <w:sz w:val="22"/>
          <w:szCs w:val="22"/>
        </w:rPr>
        <w:t xml:space="preserve"> and family</w:t>
      </w:r>
      <w:r w:rsidRPr="0032232D">
        <w:rPr>
          <w:rFonts w:cs="Arial"/>
          <w:sz w:val="22"/>
          <w:szCs w:val="22"/>
        </w:rPr>
        <w:t xml:space="preserve"> violence after separation, since this may be the only context in which the violent partner has access to his victim. As such, it is vital that the family law system identifies and responds appropriately to domestic</w:t>
      </w:r>
      <w:r>
        <w:rPr>
          <w:rFonts w:cs="Arial"/>
          <w:sz w:val="22"/>
          <w:szCs w:val="22"/>
        </w:rPr>
        <w:t xml:space="preserve"> and family</w:t>
      </w:r>
      <w:r w:rsidRPr="0032232D">
        <w:rPr>
          <w:rFonts w:cs="Arial"/>
          <w:sz w:val="22"/>
          <w:szCs w:val="22"/>
        </w:rPr>
        <w:t xml:space="preserve"> violence to ensure the safety and wellbeing of women and children.</w:t>
      </w:r>
      <w:r w:rsidRPr="000D6A74">
        <w:rPr>
          <w:rStyle w:val="EndnoteReference"/>
          <w:rFonts w:cs="Arial"/>
        </w:rPr>
        <w:t xml:space="preserve"> </w:t>
      </w:r>
      <w:r>
        <w:rPr>
          <w:rStyle w:val="EndnoteReference"/>
          <w:rFonts w:cs="Arial"/>
        </w:rPr>
        <w:endnoteReference w:id="658"/>
      </w:r>
    </w:p>
    <w:p w14:paraId="7D43A0C2" w14:textId="77777777" w:rsidR="000D1D92" w:rsidRPr="006B3F72" w:rsidRDefault="000D1D92" w:rsidP="000D1D92">
      <w:pPr>
        <w:spacing w:before="0" w:after="0"/>
        <w:jc w:val="both"/>
      </w:pPr>
      <w:r w:rsidRPr="006B3F72">
        <w:t xml:space="preserve">The </w:t>
      </w:r>
      <w:r>
        <w:t xml:space="preserve">submission made by the </w:t>
      </w:r>
      <w:r w:rsidRPr="006B3F72">
        <w:t xml:space="preserve">Australian Association of Social Workers </w:t>
      </w:r>
      <w:r>
        <w:t>cautioned me that</w:t>
      </w:r>
      <w:r w:rsidRPr="006B3F72">
        <w:t>:</w:t>
      </w:r>
    </w:p>
    <w:p w14:paraId="267B251E" w14:textId="77777777" w:rsidR="000D1D92" w:rsidRDefault="000D1D92" w:rsidP="000D1D92">
      <w:pPr>
        <w:spacing w:before="0" w:after="0"/>
        <w:ind w:left="720"/>
        <w:jc w:val="both"/>
        <w:rPr>
          <w:sz w:val="22"/>
          <w:szCs w:val="22"/>
        </w:rPr>
      </w:pPr>
    </w:p>
    <w:p w14:paraId="5D4BC670" w14:textId="77777777" w:rsidR="000D1D92" w:rsidRPr="007F5C4B" w:rsidRDefault="000D1D92" w:rsidP="000D1D92">
      <w:pPr>
        <w:spacing w:before="0" w:after="0"/>
        <w:ind w:left="720"/>
        <w:jc w:val="both"/>
        <w:rPr>
          <w:sz w:val="22"/>
          <w:szCs w:val="22"/>
        </w:rPr>
      </w:pPr>
      <w:r w:rsidRPr="00607F67">
        <w:rPr>
          <w:sz w:val="22"/>
          <w:szCs w:val="22"/>
        </w:rPr>
        <w:t>Care should be taken when there are high levels of threats and violence to limit the contact between the violent parent and any children</w:t>
      </w:r>
      <w:r w:rsidRPr="003E639A">
        <w:rPr>
          <w:sz w:val="22"/>
          <w:szCs w:val="22"/>
        </w:rPr>
        <w:t>.</w:t>
      </w:r>
      <w:r>
        <w:rPr>
          <w:rStyle w:val="EndnoteReference"/>
          <w:szCs w:val="20"/>
        </w:rPr>
        <w:endnoteReference w:id="659"/>
      </w:r>
    </w:p>
    <w:p w14:paraId="3F08AF06" w14:textId="77777777" w:rsidR="000D1D92" w:rsidRDefault="000D1D92" w:rsidP="000D1D92">
      <w:pPr>
        <w:autoSpaceDE w:val="0"/>
        <w:autoSpaceDN w:val="0"/>
        <w:adjustRightInd w:val="0"/>
        <w:spacing w:before="0" w:after="0"/>
        <w:jc w:val="both"/>
      </w:pPr>
    </w:p>
    <w:p w14:paraId="4B2F4814" w14:textId="77777777" w:rsidR="000D1D92" w:rsidRDefault="000D1D92" w:rsidP="000D1D92">
      <w:pPr>
        <w:autoSpaceDE w:val="0"/>
        <w:autoSpaceDN w:val="0"/>
        <w:adjustRightInd w:val="0"/>
        <w:spacing w:before="0" w:after="0"/>
        <w:jc w:val="both"/>
      </w:pPr>
      <w:r w:rsidRPr="00E471EE">
        <w:t xml:space="preserve">During my </w:t>
      </w:r>
      <w:r>
        <w:t>consultations</w:t>
      </w:r>
      <w:r w:rsidRPr="00E471EE">
        <w:t>, I met with Ms Kristy McKellar. Ms McKellar shared with me her personal experience</w:t>
      </w:r>
      <w:r>
        <w:t>s with the family court system.</w:t>
      </w:r>
    </w:p>
    <w:p w14:paraId="6FED0B5E" w14:textId="77777777" w:rsidR="000D1D92" w:rsidRDefault="000D1D92" w:rsidP="000D1D92">
      <w:pPr>
        <w:autoSpaceDE w:val="0"/>
        <w:autoSpaceDN w:val="0"/>
        <w:adjustRightInd w:val="0"/>
        <w:spacing w:before="0" w:after="0"/>
        <w:jc w:val="both"/>
      </w:pPr>
    </w:p>
    <w:tbl>
      <w:tblPr>
        <w:tblStyle w:val="TableGrid"/>
        <w:tblW w:w="0" w:type="auto"/>
        <w:shd w:val="clear" w:color="auto" w:fill="F2F2F2" w:themeFill="background1" w:themeFillShade="F2"/>
        <w:tblLook w:val="04A0" w:firstRow="1" w:lastRow="0" w:firstColumn="1" w:lastColumn="0" w:noHBand="0" w:noVBand="1"/>
      </w:tblPr>
      <w:tblGrid>
        <w:gridCol w:w="9286"/>
      </w:tblGrid>
      <w:tr w:rsidR="000D1D92" w:rsidRPr="00605DD9" w14:paraId="67ADC111" w14:textId="77777777" w:rsidTr="00684616">
        <w:tc>
          <w:tcPr>
            <w:tcW w:w="9286" w:type="dxa"/>
            <w:shd w:val="clear" w:color="auto" w:fill="F2F2F2" w:themeFill="background1" w:themeFillShade="F2"/>
          </w:tcPr>
          <w:p w14:paraId="73DA08C3" w14:textId="77777777" w:rsidR="000D1D92" w:rsidRDefault="000D1D92" w:rsidP="00684616">
            <w:pPr>
              <w:spacing w:before="0" w:after="0"/>
              <w:jc w:val="both"/>
              <w:rPr>
                <w:b/>
              </w:rPr>
            </w:pPr>
          </w:p>
          <w:p w14:paraId="0E8F052C" w14:textId="77777777" w:rsidR="000D1D92" w:rsidRPr="00830F85" w:rsidRDefault="000D1D92" w:rsidP="00684616">
            <w:pPr>
              <w:spacing w:before="0" w:after="0"/>
              <w:jc w:val="both"/>
              <w:rPr>
                <w:b/>
              </w:rPr>
            </w:pPr>
            <w:r w:rsidRPr="00830F85">
              <w:rPr>
                <w:b/>
              </w:rPr>
              <w:lastRenderedPageBreak/>
              <w:t>Extract from Ms McKellar’s written submission</w:t>
            </w:r>
            <w:r w:rsidRPr="00830F85">
              <w:rPr>
                <w:b/>
                <w:vertAlign w:val="superscript"/>
              </w:rPr>
              <w:endnoteReference w:id="660"/>
            </w:r>
          </w:p>
          <w:p w14:paraId="1FC624DB" w14:textId="77777777" w:rsidR="000D1D92" w:rsidRPr="00605DD9" w:rsidRDefault="000D1D92" w:rsidP="00684616">
            <w:pPr>
              <w:spacing w:before="0" w:after="0"/>
              <w:jc w:val="both"/>
            </w:pPr>
          </w:p>
          <w:p w14:paraId="0F809E0F" w14:textId="77777777" w:rsidR="000D1D92" w:rsidRPr="00830F85" w:rsidRDefault="000D1D92" w:rsidP="00684616">
            <w:pPr>
              <w:spacing w:before="0" w:after="0"/>
              <w:jc w:val="both"/>
            </w:pPr>
            <w:r w:rsidRPr="00830F85">
              <w:t xml:space="preserve">On the final assault the perpetrator raised a glass vase lid above my daughter whilst she lay in her cot, gesturing to throw it at us, I stood with my arms outstretched across the cot as I was shaking knowing that if he was to throw it at us, it would hit me and hopefully I could protect </w:t>
            </w:r>
            <w:r>
              <w:t xml:space="preserve">the </w:t>
            </w:r>
            <w:r w:rsidRPr="00830F85">
              <w:t>majority of the impact for my daughter. Further on the final assault he threw a book at the wall next to my daughter’s cot, this book landed in her cot hitting her feet.</w:t>
            </w:r>
          </w:p>
          <w:p w14:paraId="543C5747" w14:textId="77777777" w:rsidR="000D1D92" w:rsidRPr="00830F85" w:rsidRDefault="000D1D92" w:rsidP="00684616">
            <w:pPr>
              <w:spacing w:before="0" w:after="0"/>
              <w:jc w:val="both"/>
            </w:pPr>
          </w:p>
          <w:p w14:paraId="06A33E5D" w14:textId="527FE6CF" w:rsidR="000D1D92" w:rsidRPr="00830F85" w:rsidRDefault="000D1D92" w:rsidP="00684616">
            <w:pPr>
              <w:spacing w:before="0" w:after="0"/>
              <w:jc w:val="both"/>
            </w:pPr>
            <w:r w:rsidRPr="00830F85">
              <w:t>After the final assault I was too terrified to apply for an intervention order, the police actioned a complaint and warrant intervention order on behalf of myself and my daughter for one year in 2012 and then I obtained a 5 year intervention order for both my daughter and I</w:t>
            </w:r>
            <w:r>
              <w:t>, as the perpetrator was found</w:t>
            </w:r>
            <w:r w:rsidRPr="00830F85">
              <w:t xml:space="preserve"> guilty of contravening this family violence intervention order on six occasions.</w:t>
            </w:r>
          </w:p>
          <w:p w14:paraId="3F9C3BC5" w14:textId="0AF0C9F1" w:rsidR="000D1D92" w:rsidRPr="00605DD9" w:rsidRDefault="000D1D92" w:rsidP="00684616">
            <w:pPr>
              <w:spacing w:before="0" w:after="0"/>
              <w:jc w:val="both"/>
            </w:pPr>
          </w:p>
        </w:tc>
      </w:tr>
    </w:tbl>
    <w:p w14:paraId="0FD4947A" w14:textId="77777777" w:rsidR="000D1D92" w:rsidRPr="00395F87" w:rsidRDefault="000D1D92" w:rsidP="000D1D92">
      <w:pPr>
        <w:pStyle w:val="Heading4"/>
      </w:pPr>
      <w:r w:rsidRPr="00395F87">
        <w:lastRenderedPageBreak/>
        <w:t>Family Violence Amendments</w:t>
      </w:r>
      <w:r>
        <w:t xml:space="preserve"> in 2012</w:t>
      </w:r>
    </w:p>
    <w:p w14:paraId="6950C3FD" w14:textId="77777777" w:rsidR="000D1D92" w:rsidRDefault="000D1D92" w:rsidP="000D1D92">
      <w:pPr>
        <w:autoSpaceDE w:val="0"/>
        <w:autoSpaceDN w:val="0"/>
        <w:adjustRightInd w:val="0"/>
        <w:spacing w:before="0" w:after="0"/>
        <w:jc w:val="both"/>
      </w:pPr>
      <w:r>
        <w:t xml:space="preserve">The </w:t>
      </w:r>
      <w:r w:rsidRPr="00106572">
        <w:rPr>
          <w:i/>
        </w:rPr>
        <w:t>Family Law Legislation Amendment (Family Violence and Other Measures) Act</w:t>
      </w:r>
      <w:r w:rsidRPr="00106572">
        <w:t xml:space="preserve"> </w:t>
      </w:r>
      <w:r>
        <w:t xml:space="preserve">was passed by the Senate on 24 November 2011 and the amendments came into effect on 7 June 2012. </w:t>
      </w:r>
    </w:p>
    <w:p w14:paraId="5A7BBF8A" w14:textId="77777777" w:rsidR="000D1D92" w:rsidRDefault="000D1D92" w:rsidP="000D1D92">
      <w:pPr>
        <w:autoSpaceDE w:val="0"/>
        <w:autoSpaceDN w:val="0"/>
        <w:adjustRightInd w:val="0"/>
        <w:spacing w:before="0" w:after="0"/>
        <w:jc w:val="both"/>
      </w:pPr>
    </w:p>
    <w:p w14:paraId="586FE9EC" w14:textId="77777777" w:rsidR="000D1D92" w:rsidRPr="007B732B" w:rsidRDefault="000D1D92" w:rsidP="000D1D92">
      <w:pPr>
        <w:autoSpaceDE w:val="0"/>
        <w:autoSpaceDN w:val="0"/>
        <w:adjustRightInd w:val="0"/>
        <w:spacing w:before="0" w:after="0"/>
        <w:jc w:val="both"/>
      </w:pPr>
      <w:r>
        <w:t xml:space="preserve">The amendments, which commenced on 7 June 2012, apply to proceedings issued on or after that date. Where proceedings commenced prior to 7 June 2012, the majority of amendments do not apply. </w:t>
      </w:r>
    </w:p>
    <w:p w14:paraId="586DE5F0" w14:textId="77777777" w:rsidR="000D1D92" w:rsidRDefault="000D1D92" w:rsidP="000D1D92">
      <w:pPr>
        <w:autoSpaceDE w:val="0"/>
        <w:autoSpaceDN w:val="0"/>
        <w:adjustRightInd w:val="0"/>
        <w:spacing w:before="0" w:after="0"/>
        <w:jc w:val="both"/>
      </w:pPr>
    </w:p>
    <w:p w14:paraId="0B1B14E9" w14:textId="77777777" w:rsidR="000D1D92" w:rsidRDefault="000D1D92" w:rsidP="000D1D92">
      <w:pPr>
        <w:autoSpaceDE w:val="0"/>
        <w:autoSpaceDN w:val="0"/>
        <w:adjustRightInd w:val="0"/>
        <w:spacing w:before="0" w:after="0"/>
        <w:jc w:val="both"/>
      </w:pPr>
      <w:r>
        <w:t>The 2012 amendments included:</w:t>
      </w:r>
    </w:p>
    <w:p w14:paraId="28FDF7A0" w14:textId="77777777" w:rsidR="000D1D92" w:rsidRDefault="000D1D92" w:rsidP="000D1D92">
      <w:pPr>
        <w:autoSpaceDE w:val="0"/>
        <w:autoSpaceDN w:val="0"/>
        <w:adjustRightInd w:val="0"/>
        <w:spacing w:before="0" w:after="0"/>
        <w:jc w:val="both"/>
      </w:pPr>
    </w:p>
    <w:p w14:paraId="32118BD1" w14:textId="77777777" w:rsidR="000D1D92" w:rsidRDefault="000D1D92" w:rsidP="000D1D92">
      <w:pPr>
        <w:pStyle w:val="ListParagraph"/>
        <w:numPr>
          <w:ilvl w:val="0"/>
          <w:numId w:val="39"/>
        </w:numPr>
        <w:autoSpaceDE w:val="0"/>
        <w:autoSpaceDN w:val="0"/>
        <w:adjustRightInd w:val="0"/>
        <w:spacing w:before="0" w:after="0"/>
        <w:jc w:val="both"/>
      </w:pPr>
      <w:r>
        <w:t xml:space="preserve">a </w:t>
      </w:r>
      <w:r w:rsidRPr="00430663">
        <w:t xml:space="preserve">broader </w:t>
      </w:r>
      <w:r>
        <w:t>definition of family violence (section 4AB)</w:t>
      </w:r>
    </w:p>
    <w:p w14:paraId="662DB0D5" w14:textId="77777777" w:rsidR="000D1D92" w:rsidRDefault="000D1D92" w:rsidP="000D1D92">
      <w:pPr>
        <w:pStyle w:val="ListParagraph"/>
        <w:numPr>
          <w:ilvl w:val="0"/>
          <w:numId w:val="39"/>
        </w:numPr>
        <w:autoSpaceDE w:val="0"/>
        <w:autoSpaceDN w:val="0"/>
        <w:adjustRightInd w:val="0"/>
        <w:spacing w:before="0" w:after="0"/>
        <w:jc w:val="both"/>
      </w:pPr>
      <w:r>
        <w:t>a broader definition of abuse (section 4(1))</w:t>
      </w:r>
    </w:p>
    <w:p w14:paraId="01E5C867" w14:textId="77777777" w:rsidR="000D1D92" w:rsidRPr="007D44DE" w:rsidRDefault="000D1D92" w:rsidP="000D1D92">
      <w:pPr>
        <w:pStyle w:val="ListParagraph"/>
        <w:numPr>
          <w:ilvl w:val="0"/>
          <w:numId w:val="39"/>
        </w:numPr>
        <w:autoSpaceDE w:val="0"/>
        <w:autoSpaceDN w:val="0"/>
        <w:adjustRightInd w:val="0"/>
        <w:spacing w:before="0" w:after="0"/>
        <w:jc w:val="both"/>
      </w:pPr>
      <w:r w:rsidRPr="007D44DE">
        <w:t>giving greater weight to child safety (section 60CC2A)</w:t>
      </w:r>
    </w:p>
    <w:p w14:paraId="6745D5E8" w14:textId="77777777" w:rsidR="000D1D92" w:rsidRPr="007D44DE" w:rsidRDefault="000D1D92" w:rsidP="000D1D92">
      <w:pPr>
        <w:pStyle w:val="ListParagraph"/>
        <w:numPr>
          <w:ilvl w:val="0"/>
          <w:numId w:val="39"/>
        </w:numPr>
        <w:autoSpaceDE w:val="0"/>
        <w:autoSpaceDN w:val="0"/>
        <w:adjustRightInd w:val="0"/>
        <w:spacing w:before="0" w:after="0"/>
        <w:jc w:val="both"/>
      </w:pPr>
      <w:r w:rsidRPr="0015756F">
        <w:t xml:space="preserve">requiring the court to actively ask each party about family violence </w:t>
      </w:r>
      <w:r w:rsidRPr="007D44DE">
        <w:t>(section 69ZQ(1)(aa))</w:t>
      </w:r>
    </w:p>
    <w:p w14:paraId="7D2C11DA" w14:textId="77777777" w:rsidR="000D1D92" w:rsidRPr="007D44DE" w:rsidRDefault="000D1D92" w:rsidP="000D1D92">
      <w:pPr>
        <w:pStyle w:val="ListParagraph"/>
        <w:numPr>
          <w:ilvl w:val="0"/>
          <w:numId w:val="39"/>
        </w:numPr>
        <w:autoSpaceDE w:val="0"/>
        <w:autoSpaceDN w:val="0"/>
        <w:adjustRightInd w:val="0"/>
        <w:spacing w:before="0" w:after="0"/>
        <w:jc w:val="both"/>
      </w:pPr>
      <w:r w:rsidRPr="00B44336">
        <w:t>empowering courts to arrange for children to see a family consultant</w:t>
      </w:r>
      <w:r>
        <w:t xml:space="preserve"> </w:t>
      </w:r>
      <w:r w:rsidRPr="007D44DE">
        <w:t>(section 11F(1)</w:t>
      </w:r>
      <w:r>
        <w:t>)</w:t>
      </w:r>
    </w:p>
    <w:p w14:paraId="1EB5D09C" w14:textId="77777777" w:rsidR="000D1D92" w:rsidRDefault="000D1D92" w:rsidP="000D1D92">
      <w:pPr>
        <w:pStyle w:val="ListParagraph"/>
        <w:numPr>
          <w:ilvl w:val="0"/>
          <w:numId w:val="39"/>
        </w:numPr>
        <w:autoSpaceDE w:val="0"/>
        <w:autoSpaceDN w:val="0"/>
        <w:adjustRightInd w:val="0"/>
        <w:spacing w:before="0" w:after="0"/>
        <w:jc w:val="both"/>
      </w:pPr>
      <w:r w:rsidRPr="00C364E9">
        <w:t>removing ‘friendly parent’ provision</w:t>
      </w:r>
      <w:r>
        <w:t xml:space="preserve"> (repealed section </w:t>
      </w:r>
      <w:r w:rsidRPr="00D91C85">
        <w:t>60CC(3)(c), (4) &amp; (4A)</w:t>
      </w:r>
      <w:r>
        <w:t>)</w:t>
      </w:r>
    </w:p>
    <w:p w14:paraId="4010A040" w14:textId="77777777" w:rsidR="000D1D92" w:rsidRDefault="000D1D92" w:rsidP="000D1D92">
      <w:pPr>
        <w:pStyle w:val="ListParagraph"/>
        <w:numPr>
          <w:ilvl w:val="0"/>
          <w:numId w:val="39"/>
        </w:numPr>
        <w:autoSpaceDE w:val="0"/>
        <w:autoSpaceDN w:val="0"/>
        <w:adjustRightInd w:val="0"/>
        <w:spacing w:before="0" w:after="0"/>
        <w:jc w:val="both"/>
      </w:pPr>
      <w:r>
        <w:t>new consideration of parental involvement (section 60CC(3)(c) and (ca))</w:t>
      </w:r>
    </w:p>
    <w:p w14:paraId="58E09E33" w14:textId="77777777" w:rsidR="000D1D92" w:rsidRDefault="000D1D92" w:rsidP="000D1D92">
      <w:pPr>
        <w:pStyle w:val="ListParagraph"/>
        <w:numPr>
          <w:ilvl w:val="0"/>
          <w:numId w:val="39"/>
        </w:numPr>
        <w:autoSpaceDE w:val="0"/>
        <w:autoSpaceDN w:val="0"/>
        <w:adjustRightInd w:val="0"/>
        <w:spacing w:before="0" w:after="0"/>
        <w:jc w:val="both"/>
      </w:pPr>
      <w:r>
        <w:t>broader scope of family violence orders (</w:t>
      </w:r>
      <w:r w:rsidRPr="00C364E9">
        <w:t>s</w:t>
      </w:r>
      <w:r>
        <w:t xml:space="preserve">ection </w:t>
      </w:r>
      <w:r w:rsidRPr="00C364E9">
        <w:t>60CC(3)(k)</w:t>
      </w:r>
      <w:r>
        <w:t>)</w:t>
      </w:r>
    </w:p>
    <w:p w14:paraId="3C21FA65" w14:textId="77777777" w:rsidR="000D1D92" w:rsidRDefault="000D1D92" w:rsidP="000D1D92">
      <w:pPr>
        <w:pStyle w:val="ListParagraph"/>
        <w:numPr>
          <w:ilvl w:val="0"/>
          <w:numId w:val="39"/>
        </w:numPr>
        <w:autoSpaceDE w:val="0"/>
        <w:autoSpaceDN w:val="0"/>
        <w:adjustRightInd w:val="0"/>
        <w:spacing w:before="0" w:after="0"/>
        <w:jc w:val="both"/>
      </w:pPr>
      <w:r>
        <w:t>new advisors applications (section 60D)</w:t>
      </w:r>
    </w:p>
    <w:p w14:paraId="7E8FD5CC" w14:textId="77777777" w:rsidR="000D1D92" w:rsidRDefault="000D1D92" w:rsidP="000D1D92">
      <w:pPr>
        <w:pStyle w:val="ListParagraph"/>
        <w:numPr>
          <w:ilvl w:val="0"/>
          <w:numId w:val="39"/>
        </w:numPr>
        <w:autoSpaceDE w:val="0"/>
        <w:autoSpaceDN w:val="0"/>
        <w:adjustRightInd w:val="0"/>
        <w:spacing w:before="0" w:after="0"/>
        <w:jc w:val="both"/>
      </w:pPr>
      <w:r>
        <w:t xml:space="preserve">disclosure of family violence (repeal of section 60K and adding of sections </w:t>
      </w:r>
      <w:r w:rsidRPr="00244628">
        <w:t>67ZBA &amp; 67ZBB</w:t>
      </w:r>
      <w:r>
        <w:t>)</w:t>
      </w:r>
    </w:p>
    <w:p w14:paraId="6F09DC88" w14:textId="77777777" w:rsidR="000D1D92" w:rsidRDefault="000D1D92" w:rsidP="000D1D92">
      <w:pPr>
        <w:pStyle w:val="ListParagraph"/>
        <w:numPr>
          <w:ilvl w:val="0"/>
          <w:numId w:val="39"/>
        </w:numPr>
        <w:autoSpaceDE w:val="0"/>
        <w:autoSpaceDN w:val="0"/>
        <w:adjustRightInd w:val="0"/>
        <w:spacing w:before="0" w:after="0"/>
        <w:jc w:val="both"/>
      </w:pPr>
      <w:r>
        <w:t>n</w:t>
      </w:r>
      <w:r w:rsidRPr="00244628">
        <w:t>ew requirement to disclose child protection matters</w:t>
      </w:r>
      <w:r>
        <w:t xml:space="preserve"> (</w:t>
      </w:r>
      <w:r w:rsidRPr="00244628">
        <w:t>s</w:t>
      </w:r>
      <w:r>
        <w:t xml:space="preserve">ection 60CH &amp; section </w:t>
      </w:r>
      <w:r w:rsidRPr="00244628">
        <w:t>60CI</w:t>
      </w:r>
      <w:r>
        <w:t>)</w:t>
      </w:r>
    </w:p>
    <w:p w14:paraId="685E3D1F" w14:textId="77777777" w:rsidR="000D1D92" w:rsidRDefault="000D1D92" w:rsidP="000D1D92">
      <w:pPr>
        <w:pStyle w:val="ListParagraph"/>
        <w:numPr>
          <w:ilvl w:val="0"/>
          <w:numId w:val="39"/>
        </w:numPr>
        <w:autoSpaceDE w:val="0"/>
        <w:autoSpaceDN w:val="0"/>
        <w:adjustRightInd w:val="0"/>
        <w:spacing w:before="0" w:after="0"/>
        <w:jc w:val="both"/>
      </w:pPr>
      <w:r>
        <w:t>r</w:t>
      </w:r>
      <w:r w:rsidRPr="0021404B">
        <w:t>emoval of mandatory cost orders</w:t>
      </w:r>
      <w:r>
        <w:t xml:space="preserve"> (repeal of section </w:t>
      </w:r>
      <w:r w:rsidRPr="0021404B">
        <w:t>117AB</w:t>
      </w:r>
      <w:r>
        <w:t>)</w:t>
      </w:r>
    </w:p>
    <w:p w14:paraId="025BC7E0" w14:textId="77777777" w:rsidR="000D1D92" w:rsidRDefault="000D1D92" w:rsidP="000D1D92">
      <w:pPr>
        <w:pStyle w:val="ListParagraph"/>
        <w:numPr>
          <w:ilvl w:val="0"/>
          <w:numId w:val="39"/>
        </w:numPr>
        <w:autoSpaceDE w:val="0"/>
        <w:autoSpaceDN w:val="0"/>
        <w:adjustRightInd w:val="0"/>
        <w:spacing w:before="0" w:after="0"/>
        <w:jc w:val="both"/>
      </w:pPr>
      <w:r>
        <w:t>i</w:t>
      </w:r>
      <w:r w:rsidRPr="0021404B">
        <w:t>mmunity from costs order for state, territory or commonwealth child protection authorities</w:t>
      </w:r>
      <w:r>
        <w:t xml:space="preserve"> (section </w:t>
      </w:r>
      <w:r w:rsidRPr="0021404B">
        <w:t>117</w:t>
      </w:r>
      <w:r>
        <w:t>)</w:t>
      </w:r>
    </w:p>
    <w:p w14:paraId="160F8849" w14:textId="77777777" w:rsidR="000D1D92" w:rsidRDefault="000D1D92" w:rsidP="000D1D92">
      <w:pPr>
        <w:pStyle w:val="ListParagraph"/>
        <w:numPr>
          <w:ilvl w:val="0"/>
          <w:numId w:val="39"/>
        </w:numPr>
        <w:autoSpaceDE w:val="0"/>
        <w:autoSpaceDN w:val="0"/>
        <w:adjustRightInd w:val="0"/>
        <w:spacing w:before="0" w:after="0"/>
        <w:jc w:val="both"/>
      </w:pPr>
      <w:r>
        <w:t>g</w:t>
      </w:r>
      <w:r w:rsidRPr="00244628">
        <w:t>iving effect to the Convention on the Rights of the Child</w:t>
      </w:r>
      <w:r>
        <w:t xml:space="preserve"> (section 60B).</w:t>
      </w:r>
    </w:p>
    <w:p w14:paraId="6CEC1CEE" w14:textId="77777777" w:rsidR="000D1D92" w:rsidRDefault="000D1D92" w:rsidP="000D1D92">
      <w:pPr>
        <w:autoSpaceDE w:val="0"/>
        <w:autoSpaceDN w:val="0"/>
        <w:adjustRightInd w:val="0"/>
        <w:spacing w:before="0" w:after="0"/>
        <w:jc w:val="both"/>
      </w:pPr>
    </w:p>
    <w:p w14:paraId="391EC116" w14:textId="77777777" w:rsidR="000D1D92" w:rsidRDefault="000D1D92" w:rsidP="000D1D92">
      <w:pPr>
        <w:autoSpaceDE w:val="0"/>
        <w:autoSpaceDN w:val="0"/>
        <w:adjustRightInd w:val="0"/>
        <w:spacing w:before="0" w:after="0"/>
        <w:jc w:val="both"/>
        <w:rPr>
          <w:rFonts w:cs="Arial"/>
        </w:rPr>
      </w:pPr>
      <w:r>
        <w:t xml:space="preserve">In the context of the 2012 amendments, </w:t>
      </w:r>
      <w:r>
        <w:rPr>
          <w:rFonts w:cs="Arial"/>
        </w:rPr>
        <w:t xml:space="preserve">Fehlberg, Kaspiew, Millbank, Kelly and </w:t>
      </w:r>
      <w:r w:rsidRPr="00BF4311">
        <w:rPr>
          <w:rFonts w:cs="Arial"/>
        </w:rPr>
        <w:t>Behrens</w:t>
      </w:r>
      <w:r>
        <w:rPr>
          <w:rFonts w:cs="Arial"/>
        </w:rPr>
        <w:t xml:space="preserve"> note that:</w:t>
      </w:r>
    </w:p>
    <w:p w14:paraId="6BE22EC0" w14:textId="77777777" w:rsidR="000D1D92" w:rsidRPr="004C0F9B" w:rsidRDefault="000D1D92" w:rsidP="000D1D92">
      <w:pPr>
        <w:autoSpaceDE w:val="0"/>
        <w:autoSpaceDN w:val="0"/>
        <w:adjustRightInd w:val="0"/>
        <w:spacing w:before="0" w:after="0"/>
        <w:jc w:val="both"/>
      </w:pPr>
    </w:p>
    <w:p w14:paraId="5F2859B5" w14:textId="77777777" w:rsidR="000D1D92" w:rsidRDefault="000D1D92" w:rsidP="000D1D92">
      <w:pPr>
        <w:autoSpaceDE w:val="0"/>
        <w:autoSpaceDN w:val="0"/>
        <w:adjustRightInd w:val="0"/>
        <w:spacing w:before="0" w:after="0"/>
        <w:ind w:left="720"/>
        <w:jc w:val="both"/>
        <w:rPr>
          <w:sz w:val="22"/>
          <w:szCs w:val="22"/>
        </w:rPr>
      </w:pPr>
      <w:r w:rsidRPr="004C0F9B">
        <w:rPr>
          <w:sz w:val="22"/>
          <w:szCs w:val="22"/>
        </w:rPr>
        <w:t>It remains to be seen how this recognition of the exposure of children to family violence will play out in practice.</w:t>
      </w:r>
      <w:r w:rsidRPr="004C0F9B">
        <w:rPr>
          <w:rStyle w:val="EndnoteReference"/>
          <w:szCs w:val="22"/>
        </w:rPr>
        <w:endnoteReference w:id="661"/>
      </w:r>
    </w:p>
    <w:p w14:paraId="2A066C91" w14:textId="77777777" w:rsidR="000D1D92" w:rsidRDefault="000D1D92" w:rsidP="000D1D92">
      <w:pPr>
        <w:autoSpaceDE w:val="0"/>
        <w:autoSpaceDN w:val="0"/>
        <w:adjustRightInd w:val="0"/>
        <w:spacing w:before="0" w:after="0"/>
        <w:jc w:val="both"/>
        <w:rPr>
          <w:rFonts w:cs="Arial"/>
        </w:rPr>
      </w:pPr>
    </w:p>
    <w:p w14:paraId="537FBB29" w14:textId="77777777" w:rsidR="000D1D92" w:rsidRDefault="000D1D92" w:rsidP="000D1D92">
      <w:pPr>
        <w:autoSpaceDE w:val="0"/>
        <w:autoSpaceDN w:val="0"/>
        <w:adjustRightInd w:val="0"/>
        <w:spacing w:before="0" w:after="0"/>
        <w:jc w:val="both"/>
        <w:rPr>
          <w:rFonts w:cs="Arial"/>
        </w:rPr>
      </w:pPr>
      <w:r>
        <w:rPr>
          <w:rFonts w:cs="Arial"/>
        </w:rPr>
        <w:t>Recently, the Australian Institute of Family Studies (AIFS) completed a project evaluating the 2012 Family Violence Amendments.</w:t>
      </w:r>
      <w:r w:rsidRPr="007F5252">
        <w:t xml:space="preserve"> </w:t>
      </w:r>
      <w:r w:rsidRPr="007F5252">
        <w:rPr>
          <w:rFonts w:cs="Arial"/>
        </w:rPr>
        <w:t>The project has three parts:</w:t>
      </w:r>
    </w:p>
    <w:p w14:paraId="663BEE7B" w14:textId="77777777" w:rsidR="000D1D92" w:rsidRPr="007F5252" w:rsidRDefault="000D1D92" w:rsidP="000D1D92">
      <w:pPr>
        <w:autoSpaceDE w:val="0"/>
        <w:autoSpaceDN w:val="0"/>
        <w:adjustRightInd w:val="0"/>
        <w:spacing w:before="0" w:after="0"/>
        <w:jc w:val="both"/>
        <w:rPr>
          <w:rFonts w:cs="Arial"/>
        </w:rPr>
      </w:pPr>
    </w:p>
    <w:p w14:paraId="2438D5AD" w14:textId="77777777" w:rsidR="000D1D92" w:rsidRDefault="000D1D92" w:rsidP="000D1D92">
      <w:pPr>
        <w:pStyle w:val="ListParagraph"/>
        <w:numPr>
          <w:ilvl w:val="0"/>
          <w:numId w:val="40"/>
        </w:numPr>
        <w:autoSpaceDE w:val="0"/>
        <w:autoSpaceDN w:val="0"/>
        <w:adjustRightInd w:val="0"/>
        <w:spacing w:before="0" w:after="0"/>
        <w:jc w:val="both"/>
        <w:rPr>
          <w:rFonts w:cs="Arial"/>
        </w:rPr>
      </w:pPr>
      <w:r w:rsidRPr="007F5252">
        <w:rPr>
          <w:rFonts w:cs="Arial"/>
        </w:rPr>
        <w:t>Responding to Family Violence - A survey of family law practices and expe</w:t>
      </w:r>
      <w:r>
        <w:rPr>
          <w:rFonts w:cs="Arial"/>
        </w:rPr>
        <w:t>riences, which primarily involve</w:t>
      </w:r>
      <w:r w:rsidRPr="007F5252">
        <w:rPr>
          <w:rFonts w:cs="Arial"/>
        </w:rPr>
        <w:t xml:space="preserve"> online surveys of professional practices and perspectives</w:t>
      </w:r>
    </w:p>
    <w:p w14:paraId="336A2464" w14:textId="77777777" w:rsidR="000D1D92" w:rsidRDefault="000D1D92" w:rsidP="000D1D92">
      <w:pPr>
        <w:pStyle w:val="ListParagraph"/>
        <w:autoSpaceDE w:val="0"/>
        <w:autoSpaceDN w:val="0"/>
        <w:adjustRightInd w:val="0"/>
        <w:spacing w:before="0" w:after="0"/>
        <w:jc w:val="both"/>
        <w:rPr>
          <w:rFonts w:cs="Arial"/>
        </w:rPr>
      </w:pPr>
    </w:p>
    <w:p w14:paraId="0A02E24E" w14:textId="77777777" w:rsidR="000D1D92" w:rsidRDefault="000D1D92" w:rsidP="000D1D92">
      <w:pPr>
        <w:pStyle w:val="ListParagraph"/>
        <w:numPr>
          <w:ilvl w:val="0"/>
          <w:numId w:val="40"/>
        </w:numPr>
        <w:autoSpaceDE w:val="0"/>
        <w:autoSpaceDN w:val="0"/>
        <w:adjustRightInd w:val="0"/>
        <w:spacing w:before="0" w:after="0"/>
        <w:jc w:val="both"/>
        <w:rPr>
          <w:rFonts w:cs="Arial"/>
        </w:rPr>
      </w:pPr>
      <w:r>
        <w:rPr>
          <w:rFonts w:cs="Arial"/>
        </w:rPr>
        <w:t xml:space="preserve">A </w:t>
      </w:r>
      <w:r w:rsidRPr="007F5252">
        <w:rPr>
          <w:rFonts w:cs="Arial"/>
        </w:rPr>
        <w:t>Survey of Recently Separated Parents 2014</w:t>
      </w:r>
      <w:r>
        <w:rPr>
          <w:rFonts w:cs="Arial"/>
        </w:rPr>
        <w:t>,</w:t>
      </w:r>
      <w:r w:rsidRPr="007F5252">
        <w:rPr>
          <w:rFonts w:cs="Arial"/>
        </w:rPr>
        <w:t xml:space="preserve"> based on a large-scale survey of parents’ experiences and perspectives</w:t>
      </w:r>
    </w:p>
    <w:p w14:paraId="2BB072E0" w14:textId="77777777" w:rsidR="000D1D92" w:rsidRPr="007F5252" w:rsidRDefault="000D1D92" w:rsidP="000D1D92">
      <w:pPr>
        <w:pStyle w:val="ListParagraph"/>
        <w:jc w:val="both"/>
        <w:rPr>
          <w:rFonts w:cs="Arial"/>
        </w:rPr>
      </w:pPr>
    </w:p>
    <w:p w14:paraId="2B33B91E" w14:textId="77777777" w:rsidR="000D1D92" w:rsidRPr="007F5252" w:rsidRDefault="000D1D92" w:rsidP="000D1D92">
      <w:pPr>
        <w:pStyle w:val="ListParagraph"/>
        <w:numPr>
          <w:ilvl w:val="0"/>
          <w:numId w:val="40"/>
        </w:numPr>
        <w:autoSpaceDE w:val="0"/>
        <w:autoSpaceDN w:val="0"/>
        <w:adjustRightInd w:val="0"/>
        <w:spacing w:before="0" w:after="0"/>
        <w:jc w:val="both"/>
        <w:rPr>
          <w:rFonts w:cs="Arial"/>
        </w:rPr>
      </w:pPr>
      <w:r>
        <w:rPr>
          <w:rFonts w:cs="Arial"/>
        </w:rPr>
        <w:t xml:space="preserve">A </w:t>
      </w:r>
      <w:r w:rsidRPr="007F5252">
        <w:rPr>
          <w:rFonts w:cs="Arial"/>
        </w:rPr>
        <w:t>Court Outcomes Project involving:</w:t>
      </w:r>
    </w:p>
    <w:p w14:paraId="7A518125" w14:textId="77777777" w:rsidR="000D1D92" w:rsidRDefault="000D1D92" w:rsidP="000D1D92">
      <w:pPr>
        <w:pStyle w:val="ListParagraph"/>
        <w:numPr>
          <w:ilvl w:val="1"/>
          <w:numId w:val="40"/>
        </w:numPr>
        <w:autoSpaceDE w:val="0"/>
        <w:autoSpaceDN w:val="0"/>
        <w:adjustRightInd w:val="0"/>
        <w:spacing w:before="0" w:after="0"/>
        <w:jc w:val="both"/>
        <w:rPr>
          <w:rFonts w:cs="Arial"/>
        </w:rPr>
      </w:pPr>
      <w:r w:rsidRPr="007F5252">
        <w:rPr>
          <w:rFonts w:cs="Arial"/>
        </w:rPr>
        <w:t>a quantitative analysis of patterns in orders for parental responsibility and time made in the Family Court of Australia (FCoA), the Federal Circuit Court of Australia (FCCoA) and the Family Co</w:t>
      </w:r>
      <w:r>
        <w:rPr>
          <w:rFonts w:cs="Arial"/>
        </w:rPr>
        <w:t>urt of Western Australia (FCoWA)</w:t>
      </w:r>
    </w:p>
    <w:p w14:paraId="23D47310" w14:textId="77777777" w:rsidR="000D1D92" w:rsidRDefault="000D1D92" w:rsidP="000D1D92">
      <w:pPr>
        <w:pStyle w:val="ListParagraph"/>
        <w:numPr>
          <w:ilvl w:val="1"/>
          <w:numId w:val="40"/>
        </w:numPr>
        <w:autoSpaceDE w:val="0"/>
        <w:autoSpaceDN w:val="0"/>
        <w:adjustRightInd w:val="0"/>
        <w:spacing w:before="0" w:after="0"/>
        <w:jc w:val="both"/>
        <w:rPr>
          <w:rFonts w:cs="Arial"/>
        </w:rPr>
      </w:pPr>
      <w:r>
        <w:rPr>
          <w:rFonts w:cs="Arial"/>
        </w:rPr>
        <w:t xml:space="preserve">a national </w:t>
      </w:r>
      <w:r w:rsidRPr="007F5252">
        <w:rPr>
          <w:rFonts w:cs="Arial"/>
        </w:rPr>
        <w:t>analysis of court filings data provided by the FCoA, the FCCoA and the FCoWA</w:t>
      </w:r>
    </w:p>
    <w:p w14:paraId="284EE1CA" w14:textId="77777777" w:rsidR="000D1D92" w:rsidRDefault="000D1D92" w:rsidP="000D1D92">
      <w:pPr>
        <w:pStyle w:val="ListParagraph"/>
        <w:numPr>
          <w:ilvl w:val="1"/>
          <w:numId w:val="40"/>
        </w:numPr>
        <w:autoSpaceDE w:val="0"/>
        <w:autoSpaceDN w:val="0"/>
        <w:adjustRightInd w:val="0"/>
        <w:spacing w:before="0" w:after="0"/>
        <w:jc w:val="both"/>
        <w:rPr>
          <w:rFonts w:cs="Arial"/>
        </w:rPr>
      </w:pPr>
      <w:r w:rsidRPr="007F5252">
        <w:rPr>
          <w:rFonts w:cs="Arial"/>
        </w:rPr>
        <w:t>an analysis of published judgments</w:t>
      </w:r>
      <w:r>
        <w:rPr>
          <w:rFonts w:cs="Arial"/>
        </w:rPr>
        <w:t>.</w:t>
      </w:r>
    </w:p>
    <w:p w14:paraId="7538C5F7" w14:textId="77777777" w:rsidR="000D1D92" w:rsidRDefault="000D1D92" w:rsidP="000D1D92">
      <w:pPr>
        <w:autoSpaceDE w:val="0"/>
        <w:autoSpaceDN w:val="0"/>
        <w:adjustRightInd w:val="0"/>
        <w:spacing w:before="0" w:after="0"/>
        <w:jc w:val="both"/>
        <w:rPr>
          <w:rFonts w:cs="Arial"/>
        </w:rPr>
      </w:pPr>
    </w:p>
    <w:p w14:paraId="6A54E510" w14:textId="77777777" w:rsidR="006F6917" w:rsidRDefault="000D1D92" w:rsidP="000D1D92">
      <w:pPr>
        <w:autoSpaceDE w:val="0"/>
        <w:autoSpaceDN w:val="0"/>
        <w:adjustRightInd w:val="0"/>
        <w:spacing w:before="0" w:after="0"/>
        <w:jc w:val="both"/>
        <w:rPr>
          <w:rFonts w:cs="Arial"/>
        </w:rPr>
      </w:pPr>
      <w:r>
        <w:rPr>
          <w:rFonts w:cs="Arial"/>
        </w:rPr>
        <w:t>A report on the results of this project was provided to the Commonwealth Attorney General at the beginning of August 2015.</w:t>
      </w:r>
    </w:p>
    <w:p w14:paraId="3DB0440E" w14:textId="77777777" w:rsidR="006F6917" w:rsidRDefault="006F6917" w:rsidP="000D1D92">
      <w:pPr>
        <w:autoSpaceDE w:val="0"/>
        <w:autoSpaceDN w:val="0"/>
        <w:adjustRightInd w:val="0"/>
        <w:spacing w:before="0" w:after="0"/>
        <w:jc w:val="both"/>
        <w:rPr>
          <w:rFonts w:cs="Arial"/>
        </w:rPr>
      </w:pPr>
    </w:p>
    <w:p w14:paraId="254BAF12" w14:textId="60F15ABF" w:rsidR="00795CDB" w:rsidRDefault="006F6917" w:rsidP="000D1D92">
      <w:pPr>
        <w:autoSpaceDE w:val="0"/>
        <w:autoSpaceDN w:val="0"/>
        <w:adjustRightInd w:val="0"/>
        <w:spacing w:before="0" w:after="0"/>
        <w:jc w:val="both"/>
        <w:rPr>
          <w:rFonts w:cs="Arial"/>
        </w:rPr>
      </w:pPr>
      <w:r>
        <w:rPr>
          <w:rFonts w:cs="Arial"/>
        </w:rPr>
        <w:t xml:space="preserve">The AIFS </w:t>
      </w:r>
      <w:r w:rsidR="00795CDB">
        <w:rPr>
          <w:rFonts w:cs="Arial"/>
        </w:rPr>
        <w:t xml:space="preserve">evaluation </w:t>
      </w:r>
      <w:r>
        <w:rPr>
          <w:rFonts w:cs="Arial"/>
        </w:rPr>
        <w:t>report was publicly released on 12 October 2015</w:t>
      </w:r>
      <w:r w:rsidR="001A5BDA">
        <w:rPr>
          <w:rFonts w:cs="Arial"/>
        </w:rPr>
        <w:t xml:space="preserve">, two days before </w:t>
      </w:r>
      <w:r w:rsidR="00795CDB">
        <w:rPr>
          <w:rFonts w:cs="Arial"/>
        </w:rPr>
        <w:t>I transmitted</w:t>
      </w:r>
      <w:r w:rsidR="001A5BDA">
        <w:rPr>
          <w:rFonts w:cs="Arial"/>
        </w:rPr>
        <w:t xml:space="preserve"> m</w:t>
      </w:r>
      <w:r w:rsidR="00795CDB">
        <w:rPr>
          <w:rFonts w:cs="Arial"/>
        </w:rPr>
        <w:t xml:space="preserve">y report to the Attorney-General. </w:t>
      </w:r>
    </w:p>
    <w:p w14:paraId="77B5A315" w14:textId="77777777" w:rsidR="00795CDB" w:rsidRDefault="00795CDB" w:rsidP="000D1D92">
      <w:pPr>
        <w:autoSpaceDE w:val="0"/>
        <w:autoSpaceDN w:val="0"/>
        <w:adjustRightInd w:val="0"/>
        <w:spacing w:before="0" w:after="0"/>
        <w:jc w:val="both"/>
        <w:rPr>
          <w:rFonts w:cs="Arial"/>
        </w:rPr>
      </w:pPr>
    </w:p>
    <w:p w14:paraId="63B57198" w14:textId="0D4F36B5" w:rsidR="00795CDB" w:rsidRDefault="00795CDB" w:rsidP="00795CDB">
      <w:pPr>
        <w:autoSpaceDE w:val="0"/>
        <w:autoSpaceDN w:val="0"/>
        <w:adjustRightInd w:val="0"/>
        <w:spacing w:before="0" w:after="0"/>
        <w:jc w:val="both"/>
        <w:rPr>
          <w:rFonts w:cs="Arial"/>
        </w:rPr>
      </w:pPr>
      <w:r>
        <w:rPr>
          <w:rFonts w:cs="Arial"/>
        </w:rPr>
        <w:t>AIFS acknowledges that its evaluation occurred two years after the family law reforms were implemented and notes that ‘this is a comparatively short period of time for change to unfold’.</w:t>
      </w:r>
      <w:r>
        <w:rPr>
          <w:rStyle w:val="EndnoteReference"/>
          <w:rFonts w:cs="Arial"/>
          <w:szCs w:val="22"/>
        </w:rPr>
        <w:endnoteReference w:id="662"/>
      </w:r>
    </w:p>
    <w:p w14:paraId="2DDBF98D" w14:textId="77777777" w:rsidR="00795CDB" w:rsidRDefault="00795CDB" w:rsidP="00795CDB">
      <w:pPr>
        <w:autoSpaceDE w:val="0"/>
        <w:autoSpaceDN w:val="0"/>
        <w:adjustRightInd w:val="0"/>
        <w:spacing w:before="0" w:after="0"/>
        <w:jc w:val="both"/>
        <w:rPr>
          <w:rFonts w:cs="Arial"/>
        </w:rPr>
      </w:pPr>
    </w:p>
    <w:p w14:paraId="6FFEE248" w14:textId="627AF125" w:rsidR="006F6917" w:rsidRDefault="00795CDB" w:rsidP="000D1D92">
      <w:pPr>
        <w:autoSpaceDE w:val="0"/>
        <w:autoSpaceDN w:val="0"/>
        <w:adjustRightInd w:val="0"/>
        <w:spacing w:before="0" w:after="0"/>
        <w:jc w:val="both"/>
        <w:rPr>
          <w:rFonts w:cs="Arial"/>
        </w:rPr>
      </w:pPr>
      <w:r>
        <w:rPr>
          <w:rFonts w:cs="Arial"/>
        </w:rPr>
        <w:t xml:space="preserve">The AIFS report </w:t>
      </w:r>
      <w:r w:rsidR="006F6917">
        <w:rPr>
          <w:rFonts w:cs="Arial"/>
        </w:rPr>
        <w:t xml:space="preserve">concluded that: </w:t>
      </w:r>
    </w:p>
    <w:p w14:paraId="358C058C" w14:textId="77777777" w:rsidR="006F6917" w:rsidRDefault="006F6917" w:rsidP="000D1D92">
      <w:pPr>
        <w:autoSpaceDE w:val="0"/>
        <w:autoSpaceDN w:val="0"/>
        <w:adjustRightInd w:val="0"/>
        <w:spacing w:before="0" w:after="0"/>
        <w:jc w:val="both"/>
        <w:rPr>
          <w:rFonts w:cs="Arial"/>
        </w:rPr>
      </w:pPr>
    </w:p>
    <w:p w14:paraId="1E0F8ECB" w14:textId="2182004B" w:rsidR="000D1D92" w:rsidRDefault="006F6917" w:rsidP="006F6917">
      <w:pPr>
        <w:autoSpaceDE w:val="0"/>
        <w:autoSpaceDN w:val="0"/>
        <w:adjustRightInd w:val="0"/>
        <w:spacing w:before="0" w:after="0"/>
        <w:ind w:left="720"/>
        <w:jc w:val="both"/>
        <w:rPr>
          <w:rFonts w:cs="Arial"/>
          <w:sz w:val="22"/>
          <w:szCs w:val="22"/>
        </w:rPr>
      </w:pPr>
      <w:r w:rsidRPr="006F6917">
        <w:rPr>
          <w:rFonts w:cs="Arial"/>
          <w:sz w:val="22"/>
          <w:szCs w:val="22"/>
        </w:rPr>
        <w:t>Practice continues to evolve and it is likely that greater effects of the reforms will unfold over time.</w:t>
      </w:r>
      <w:r w:rsidR="001A5BDA">
        <w:rPr>
          <w:rStyle w:val="EndnoteReference"/>
          <w:rFonts w:cs="Arial"/>
          <w:szCs w:val="22"/>
        </w:rPr>
        <w:endnoteReference w:id="663"/>
      </w:r>
    </w:p>
    <w:p w14:paraId="4876B626" w14:textId="77777777" w:rsidR="001A5BDA" w:rsidRDefault="001A5BDA" w:rsidP="006F6917">
      <w:pPr>
        <w:autoSpaceDE w:val="0"/>
        <w:autoSpaceDN w:val="0"/>
        <w:adjustRightInd w:val="0"/>
        <w:spacing w:before="0" w:after="0"/>
        <w:ind w:left="720"/>
        <w:jc w:val="both"/>
        <w:rPr>
          <w:rFonts w:cs="Arial"/>
          <w:sz w:val="22"/>
          <w:szCs w:val="22"/>
        </w:rPr>
      </w:pPr>
    </w:p>
    <w:p w14:paraId="0D36A18E" w14:textId="131AC91D" w:rsidR="001A5BDA" w:rsidRPr="006F6917" w:rsidRDefault="001A5BDA" w:rsidP="001A5BDA">
      <w:pPr>
        <w:autoSpaceDE w:val="0"/>
        <w:autoSpaceDN w:val="0"/>
        <w:adjustRightInd w:val="0"/>
        <w:spacing w:before="0" w:after="0"/>
        <w:jc w:val="both"/>
        <w:rPr>
          <w:rFonts w:cs="Arial"/>
          <w:sz w:val="22"/>
          <w:szCs w:val="22"/>
        </w:rPr>
      </w:pPr>
      <w:r>
        <w:rPr>
          <w:rFonts w:cs="Arial"/>
        </w:rPr>
        <w:t>I look forward to reading the report in full, especially the issues it raises in relation to children’s safety and the family law system.</w:t>
      </w:r>
    </w:p>
    <w:p w14:paraId="6DA79588" w14:textId="77777777" w:rsidR="000D1D92" w:rsidRPr="00395F87" w:rsidRDefault="000D1D92" w:rsidP="000D1D92">
      <w:pPr>
        <w:pStyle w:val="Heading4"/>
      </w:pPr>
      <w:r w:rsidRPr="00395F87">
        <w:t>The Magellan Program</w:t>
      </w:r>
    </w:p>
    <w:p w14:paraId="512062C3" w14:textId="77777777" w:rsidR="000D1D92" w:rsidRDefault="000D1D92" w:rsidP="000D1D92">
      <w:pPr>
        <w:spacing w:before="0" w:after="0"/>
        <w:jc w:val="both"/>
        <w:rPr>
          <w:rFonts w:cs="Arial"/>
        </w:rPr>
      </w:pPr>
      <w:r>
        <w:t xml:space="preserve">Another issue brought to my attention </w:t>
      </w:r>
      <w:r w:rsidRPr="004D73B8">
        <w:t>is</w:t>
      </w:r>
      <w:r>
        <w:rPr>
          <w:sz w:val="22"/>
          <w:szCs w:val="22"/>
        </w:rPr>
        <w:t xml:space="preserve"> </w:t>
      </w:r>
      <w:r>
        <w:t xml:space="preserve">the operation of the </w:t>
      </w:r>
      <w:r>
        <w:rPr>
          <w:rFonts w:cs="Arial"/>
        </w:rPr>
        <w:t>Magellan Program</w:t>
      </w:r>
      <w:r>
        <w:rPr>
          <w:rStyle w:val="EndnoteReference"/>
          <w:rFonts w:cs="Arial"/>
        </w:rPr>
        <w:endnoteReference w:id="664"/>
      </w:r>
      <w:r>
        <w:rPr>
          <w:rFonts w:cs="Arial"/>
        </w:rPr>
        <w:t xml:space="preserve"> in the Family Court of Australia.</w:t>
      </w:r>
      <w:r w:rsidRPr="000B5A9C">
        <w:rPr>
          <w:rStyle w:val="EndnoteReference"/>
          <w:sz w:val="22"/>
          <w:szCs w:val="22"/>
        </w:rPr>
        <w:t xml:space="preserve"> </w:t>
      </w:r>
      <w:r w:rsidRPr="00940D62">
        <w:rPr>
          <w:rStyle w:val="EndnoteReference"/>
          <w:sz w:val="22"/>
          <w:szCs w:val="22"/>
        </w:rPr>
        <w:endnoteReference w:id="665"/>
      </w:r>
      <w:r w:rsidRPr="00940D62">
        <w:rPr>
          <w:sz w:val="22"/>
          <w:szCs w:val="22"/>
        </w:rPr>
        <w:t xml:space="preserve"> </w:t>
      </w:r>
      <w:r>
        <w:rPr>
          <w:rFonts w:cs="Arial"/>
        </w:rPr>
        <w:t>At present this program includes children who have experienced ‘serious physical abuse or sexual abuse’ only. The Family Court of Australia’s Annual Report 2013-2014 states that:</w:t>
      </w:r>
    </w:p>
    <w:p w14:paraId="6279C375" w14:textId="77777777" w:rsidR="000D1D92" w:rsidRDefault="000D1D92" w:rsidP="000D1D92">
      <w:pPr>
        <w:spacing w:before="0" w:after="0"/>
        <w:jc w:val="both"/>
        <w:rPr>
          <w:rFonts w:cs="Arial"/>
        </w:rPr>
      </w:pPr>
    </w:p>
    <w:p w14:paraId="744C3991" w14:textId="77777777" w:rsidR="000D1D92" w:rsidRDefault="000D1D92" w:rsidP="000D1D92">
      <w:pPr>
        <w:spacing w:before="0" w:after="0"/>
        <w:ind w:left="720"/>
        <w:jc w:val="both"/>
        <w:rPr>
          <w:sz w:val="22"/>
          <w:szCs w:val="22"/>
        </w:rPr>
      </w:pPr>
      <w:r w:rsidRPr="00EF5C2D">
        <w:rPr>
          <w:sz w:val="22"/>
          <w:szCs w:val="22"/>
        </w:rPr>
        <w:t xml:space="preserve">Magellan cases involve allegations of serious physical abuse or sexual abuse of a child and undergo special case management. When a Magellan case is identified, it is managed by a small team consisting of a judge, a registrar and a family consultant. </w:t>
      </w:r>
      <w:r w:rsidRPr="00EF5C2D">
        <w:rPr>
          <w:sz w:val="22"/>
          <w:szCs w:val="22"/>
        </w:rPr>
        <w:lastRenderedPageBreak/>
        <w:t>Magellan case management relies on collaborative and highly coordinated processes and procedures. A crucial aspect is strong interagency coordination, in particular with state and territory child protection agencies. This ensures that problems are dealt with efficiently and that high-quality information is shared. An independent children’s lawyer is appointed in every Magellan case, for which legal aid is uncapped</w:t>
      </w:r>
      <w:r>
        <w:rPr>
          <w:sz w:val="22"/>
          <w:szCs w:val="22"/>
        </w:rPr>
        <w:t xml:space="preserve">… </w:t>
      </w:r>
      <w:r w:rsidRPr="00990428">
        <w:rPr>
          <w:sz w:val="22"/>
          <w:szCs w:val="22"/>
        </w:rPr>
        <w:t>not all notices will necessarily result in the case being classified as a Magellan matter. The Court assesses and determines from the issues raised the matters that are managed under the Magellan program.</w:t>
      </w:r>
      <w:r>
        <w:rPr>
          <w:rStyle w:val="EndnoteReference"/>
          <w:szCs w:val="22"/>
        </w:rPr>
        <w:endnoteReference w:id="666"/>
      </w:r>
    </w:p>
    <w:p w14:paraId="2B495641" w14:textId="77777777" w:rsidR="000D1D92" w:rsidRDefault="000D1D92" w:rsidP="000D1D92">
      <w:pPr>
        <w:autoSpaceDE w:val="0"/>
        <w:autoSpaceDN w:val="0"/>
        <w:adjustRightInd w:val="0"/>
        <w:spacing w:before="0" w:after="0"/>
        <w:jc w:val="both"/>
        <w:rPr>
          <w:rFonts w:cs="Arial"/>
        </w:rPr>
      </w:pPr>
    </w:p>
    <w:p w14:paraId="377EC8B7" w14:textId="77777777" w:rsidR="000D1D92" w:rsidRDefault="000D1D92" w:rsidP="000D1D92">
      <w:pPr>
        <w:autoSpaceDE w:val="0"/>
        <w:autoSpaceDN w:val="0"/>
        <w:adjustRightInd w:val="0"/>
        <w:spacing w:before="0" w:after="0"/>
        <w:jc w:val="both"/>
        <w:rPr>
          <w:rFonts w:cs="Arial"/>
        </w:rPr>
      </w:pPr>
      <w:r>
        <w:rPr>
          <w:rFonts w:cs="Arial"/>
        </w:rPr>
        <w:t xml:space="preserve">Given the known impact of all types of family and domestic violence on children, and the complexity of cases that now present to the Family Court of Australia and the Federal Circuit Court of Australia, consideration should be given to expanding the </w:t>
      </w:r>
      <w:r w:rsidRPr="001B7BBD">
        <w:rPr>
          <w:rFonts w:cs="Arial"/>
        </w:rPr>
        <w:t xml:space="preserve">Magellan program </w:t>
      </w:r>
      <w:r>
        <w:rPr>
          <w:rFonts w:cs="Arial"/>
        </w:rPr>
        <w:t>to incorporate the broader definitions of family violence and abuse as reflected in the 2012 amendments.</w:t>
      </w:r>
    </w:p>
    <w:p w14:paraId="15E6EACD" w14:textId="77777777" w:rsidR="000D1D92" w:rsidRDefault="000D1D92" w:rsidP="000D1D92">
      <w:pPr>
        <w:autoSpaceDE w:val="0"/>
        <w:autoSpaceDN w:val="0"/>
        <w:adjustRightInd w:val="0"/>
        <w:spacing w:before="0" w:after="0"/>
        <w:jc w:val="both"/>
        <w:rPr>
          <w:rFonts w:cs="Arial"/>
        </w:rPr>
      </w:pPr>
    </w:p>
    <w:p w14:paraId="56CA778A" w14:textId="77777777" w:rsidR="000D1D92" w:rsidRDefault="000D1D92" w:rsidP="000D1D92">
      <w:pPr>
        <w:autoSpaceDE w:val="0"/>
        <w:autoSpaceDN w:val="0"/>
        <w:adjustRightInd w:val="0"/>
        <w:spacing w:before="0" w:after="0"/>
        <w:jc w:val="both"/>
        <w:rPr>
          <w:rFonts w:cs="Arial"/>
        </w:rPr>
      </w:pPr>
      <w:r>
        <w:rPr>
          <w:rFonts w:cs="Arial"/>
        </w:rPr>
        <w:t>This approach is supported by Professor Easteal and Dimian Grey who argue that:</w:t>
      </w:r>
    </w:p>
    <w:p w14:paraId="3058C466" w14:textId="77777777" w:rsidR="000D1D92" w:rsidRDefault="000D1D92" w:rsidP="000D1D92">
      <w:pPr>
        <w:autoSpaceDE w:val="0"/>
        <w:autoSpaceDN w:val="0"/>
        <w:adjustRightInd w:val="0"/>
        <w:spacing w:before="0" w:after="0"/>
        <w:ind w:left="720"/>
        <w:jc w:val="both"/>
        <w:rPr>
          <w:rFonts w:cs="Arial"/>
        </w:rPr>
      </w:pPr>
    </w:p>
    <w:p w14:paraId="587339AC" w14:textId="77777777" w:rsidR="000D1D92" w:rsidRDefault="000D1D92" w:rsidP="000D1D92">
      <w:pPr>
        <w:autoSpaceDE w:val="0"/>
        <w:autoSpaceDN w:val="0"/>
        <w:adjustRightInd w:val="0"/>
        <w:spacing w:before="0" w:after="0"/>
        <w:ind w:left="720"/>
        <w:jc w:val="both"/>
        <w:rPr>
          <w:rFonts w:cs="Arial"/>
        </w:rPr>
      </w:pPr>
      <w:r w:rsidRPr="00F32D2D">
        <w:rPr>
          <w:rFonts w:cs="Arial"/>
          <w:sz w:val="22"/>
          <w:szCs w:val="22"/>
        </w:rPr>
        <w:t>Exposure to family violence, or its after effects, does not seem to be attributed the same level of potential harm to children as direct abuse, especially sexual interference with a child…</w:t>
      </w:r>
      <w:r w:rsidRPr="00F32D2D">
        <w:rPr>
          <w:sz w:val="22"/>
          <w:szCs w:val="22"/>
        </w:rPr>
        <w:t xml:space="preserve"> </w:t>
      </w:r>
      <w:r w:rsidRPr="00F32D2D">
        <w:rPr>
          <w:rFonts w:cs="Arial"/>
          <w:sz w:val="22"/>
          <w:szCs w:val="22"/>
        </w:rPr>
        <w:t>This is despite research clearly showing that exposure to family violence is extremely harmful to children and that family violence is correlated with a heightened risk of child abuse</w:t>
      </w:r>
      <w:r w:rsidRPr="00DF0C25">
        <w:rPr>
          <w:rStyle w:val="EndnoteReference"/>
          <w:sz w:val="22"/>
          <w:szCs w:val="22"/>
        </w:rPr>
        <w:t xml:space="preserve"> </w:t>
      </w:r>
      <w:r w:rsidRPr="00940D62">
        <w:rPr>
          <w:rStyle w:val="EndnoteReference"/>
          <w:sz w:val="22"/>
          <w:szCs w:val="22"/>
        </w:rPr>
        <w:endnoteReference w:id="667"/>
      </w:r>
      <w:r>
        <w:rPr>
          <w:sz w:val="22"/>
          <w:szCs w:val="22"/>
        </w:rPr>
        <w:t>…</w:t>
      </w:r>
      <w:r w:rsidRPr="00F32D2D">
        <w:rPr>
          <w:rFonts w:cs="Arial"/>
        </w:rPr>
        <w:t xml:space="preserve"> </w:t>
      </w:r>
      <w:r w:rsidRPr="00F32D2D">
        <w:rPr>
          <w:rFonts w:cs="Arial"/>
          <w:sz w:val="22"/>
          <w:szCs w:val="22"/>
        </w:rPr>
        <w:t>The Magellan program should be expanded to include family violence matters in which the harms of exposure are an issue. A uniform integrated response would better ensure that informed investigation of individual cases would take place, translating into more in-depth and uniform child welfare expert evidence to better inform judicial perceptions of risk of harm.</w:t>
      </w:r>
      <w:r w:rsidRPr="00F32D2D">
        <w:rPr>
          <w:rStyle w:val="EndnoteReference"/>
          <w:sz w:val="22"/>
          <w:szCs w:val="22"/>
        </w:rPr>
        <w:t xml:space="preserve"> </w:t>
      </w:r>
      <w:r w:rsidRPr="00940D62">
        <w:rPr>
          <w:rStyle w:val="EndnoteReference"/>
          <w:sz w:val="22"/>
          <w:szCs w:val="22"/>
        </w:rPr>
        <w:endnoteReference w:id="668"/>
      </w:r>
    </w:p>
    <w:p w14:paraId="5778534D" w14:textId="77777777" w:rsidR="000D1D92" w:rsidRDefault="000D1D92" w:rsidP="000D1D92">
      <w:pPr>
        <w:autoSpaceDE w:val="0"/>
        <w:autoSpaceDN w:val="0"/>
        <w:adjustRightInd w:val="0"/>
        <w:spacing w:before="0" w:after="0"/>
        <w:jc w:val="both"/>
        <w:rPr>
          <w:rFonts w:cs="Arial"/>
        </w:rPr>
      </w:pPr>
    </w:p>
    <w:p w14:paraId="3E208651" w14:textId="77777777" w:rsidR="000D1D92" w:rsidRDefault="000D1D92" w:rsidP="000D1D92">
      <w:pPr>
        <w:autoSpaceDE w:val="0"/>
        <w:autoSpaceDN w:val="0"/>
        <w:adjustRightInd w:val="0"/>
        <w:spacing w:before="0" w:after="0"/>
        <w:jc w:val="both"/>
        <w:rPr>
          <w:rFonts w:cs="Arial"/>
        </w:rPr>
      </w:pPr>
      <w:r>
        <w:rPr>
          <w:rFonts w:cs="Arial"/>
        </w:rPr>
        <w:t>While I understand that amending the criteria for access to the Magellan program has resource implications for child protection agencies and the family law system, it also has the capacity to promote and protect the wellbeing of significantly more children affected by family violence.</w:t>
      </w:r>
    </w:p>
    <w:p w14:paraId="00CDA700" w14:textId="77777777" w:rsidR="000D1D92" w:rsidRDefault="000D1D92" w:rsidP="000D1D92">
      <w:pPr>
        <w:autoSpaceDE w:val="0"/>
        <w:autoSpaceDN w:val="0"/>
        <w:adjustRightInd w:val="0"/>
        <w:spacing w:before="0" w:after="0"/>
        <w:jc w:val="both"/>
        <w:rPr>
          <w:rFonts w:cs="Arial"/>
        </w:rPr>
      </w:pPr>
    </w:p>
    <w:tbl>
      <w:tblPr>
        <w:tblStyle w:val="TableGrid"/>
        <w:tblW w:w="0" w:type="auto"/>
        <w:shd w:val="clear" w:color="auto" w:fill="F2F2F2" w:themeFill="background1" w:themeFillShade="F2"/>
        <w:tblLook w:val="04A0" w:firstRow="1" w:lastRow="0" w:firstColumn="1" w:lastColumn="0" w:noHBand="0" w:noVBand="1"/>
      </w:tblPr>
      <w:tblGrid>
        <w:gridCol w:w="9286"/>
      </w:tblGrid>
      <w:tr w:rsidR="000D1D92" w14:paraId="4DA45932" w14:textId="77777777" w:rsidTr="00684616">
        <w:tc>
          <w:tcPr>
            <w:tcW w:w="9286" w:type="dxa"/>
            <w:shd w:val="clear" w:color="auto" w:fill="F2F2F2" w:themeFill="background1" w:themeFillShade="F2"/>
          </w:tcPr>
          <w:p w14:paraId="6C8C48BF" w14:textId="77777777" w:rsidR="000D1D92" w:rsidRDefault="000D1D92" w:rsidP="00684616">
            <w:pPr>
              <w:spacing w:before="0" w:after="0"/>
              <w:jc w:val="both"/>
              <w:rPr>
                <w:b/>
              </w:rPr>
            </w:pPr>
          </w:p>
          <w:p w14:paraId="5CCFA57F" w14:textId="77777777" w:rsidR="000D1D92" w:rsidRDefault="000D1D92" w:rsidP="00684616">
            <w:pPr>
              <w:spacing w:before="0" w:after="0"/>
              <w:jc w:val="both"/>
              <w:rPr>
                <w:b/>
              </w:rPr>
            </w:pPr>
            <w:r w:rsidRPr="00830F85">
              <w:rPr>
                <w:b/>
              </w:rPr>
              <w:t xml:space="preserve">Recommendation </w:t>
            </w:r>
            <w:r>
              <w:rPr>
                <w:b/>
              </w:rPr>
              <w:t>10</w:t>
            </w:r>
            <w:r w:rsidRPr="00830F85">
              <w:rPr>
                <w:b/>
              </w:rPr>
              <w:t xml:space="preserve">: </w:t>
            </w:r>
          </w:p>
          <w:p w14:paraId="250CE3E9" w14:textId="77777777" w:rsidR="000D1D92" w:rsidRDefault="000D1D92" w:rsidP="00684616">
            <w:pPr>
              <w:spacing w:before="0" w:after="0"/>
              <w:jc w:val="both"/>
              <w:rPr>
                <w:b/>
              </w:rPr>
            </w:pPr>
          </w:p>
          <w:p w14:paraId="7A903543" w14:textId="77777777" w:rsidR="000D1D92" w:rsidRDefault="000D1D92" w:rsidP="00684616">
            <w:pPr>
              <w:spacing w:before="0" w:after="0"/>
              <w:jc w:val="both"/>
              <w:rPr>
                <w:b/>
              </w:rPr>
            </w:pPr>
            <w:r>
              <w:rPr>
                <w:b/>
              </w:rPr>
              <w:t xml:space="preserve">A </w:t>
            </w:r>
            <w:r w:rsidRPr="00830F85">
              <w:rPr>
                <w:b/>
              </w:rPr>
              <w:t xml:space="preserve">review of the criteria for entry into the Magellan program </w:t>
            </w:r>
            <w:r>
              <w:rPr>
                <w:b/>
              </w:rPr>
              <w:t xml:space="preserve">should </w:t>
            </w:r>
            <w:r w:rsidRPr="00830F85">
              <w:rPr>
                <w:b/>
              </w:rPr>
              <w:t>be undertaken by the Family Court of Australia or another appropriate entity</w:t>
            </w:r>
            <w:r>
              <w:rPr>
                <w:b/>
              </w:rPr>
              <w:t>.</w:t>
            </w:r>
          </w:p>
          <w:p w14:paraId="09584075" w14:textId="77777777" w:rsidR="000D1D92" w:rsidRDefault="000D1D92" w:rsidP="00684616">
            <w:pPr>
              <w:spacing w:before="0" w:after="0"/>
              <w:jc w:val="both"/>
              <w:rPr>
                <w:b/>
              </w:rPr>
            </w:pPr>
          </w:p>
          <w:p w14:paraId="19AD7863" w14:textId="77777777" w:rsidR="000D1D92" w:rsidRDefault="000D1D92" w:rsidP="00684616">
            <w:pPr>
              <w:spacing w:before="0" w:after="0"/>
              <w:jc w:val="both"/>
              <w:rPr>
                <w:b/>
              </w:rPr>
            </w:pPr>
            <w:r>
              <w:rPr>
                <w:b/>
              </w:rPr>
              <w:t>Regard</w:t>
            </w:r>
            <w:r w:rsidRPr="00830F85">
              <w:rPr>
                <w:b/>
              </w:rPr>
              <w:t xml:space="preserve"> </w:t>
            </w:r>
            <w:r>
              <w:rPr>
                <w:b/>
              </w:rPr>
              <w:t>should be</w:t>
            </w:r>
            <w:r w:rsidRPr="00830F85">
              <w:rPr>
                <w:b/>
              </w:rPr>
              <w:t xml:space="preserve"> given to the findings and recommendations of the Victorian Royal Commission into Family Violence and also the Family Law Council </w:t>
            </w:r>
            <w:r>
              <w:rPr>
                <w:b/>
              </w:rPr>
              <w:t>Inquiry into</w:t>
            </w:r>
            <w:r w:rsidRPr="00830F85">
              <w:rPr>
                <w:b/>
              </w:rPr>
              <w:t xml:space="preserve"> families with complex needs and the intersection of the family law and child protection systems.</w:t>
            </w:r>
          </w:p>
          <w:p w14:paraId="2EF02410" w14:textId="77777777" w:rsidR="000D1D92" w:rsidRDefault="000D1D92" w:rsidP="00684616">
            <w:pPr>
              <w:spacing w:before="0" w:after="0"/>
              <w:jc w:val="both"/>
            </w:pPr>
          </w:p>
        </w:tc>
      </w:tr>
    </w:tbl>
    <w:p w14:paraId="34FEB5C5" w14:textId="77777777" w:rsidR="000D1D92" w:rsidRPr="00DD4518" w:rsidRDefault="000D1D92" w:rsidP="000D1D92">
      <w:pPr>
        <w:pStyle w:val="Heading4"/>
      </w:pPr>
      <w:r>
        <w:t>The work of the Family Law Council</w:t>
      </w:r>
    </w:p>
    <w:p w14:paraId="2A9021E8" w14:textId="77777777" w:rsidR="000D1D92" w:rsidRDefault="000D1D92" w:rsidP="000D1D92">
      <w:pPr>
        <w:spacing w:before="0" w:after="0"/>
        <w:jc w:val="both"/>
      </w:pPr>
      <w:r>
        <w:t xml:space="preserve">Currently, the Family Law Council is preparing a report on families with complex needs and the intersection of the family law and child protection systems. An interim report was released by the Commonwealth Attorney General on 21 August 2015, with the final report due by 30 June 2016. </w:t>
      </w:r>
    </w:p>
    <w:p w14:paraId="767184DD" w14:textId="77777777" w:rsidR="000D1D92" w:rsidRDefault="000D1D92" w:rsidP="000D1D92">
      <w:pPr>
        <w:spacing w:before="0" w:after="0"/>
        <w:jc w:val="both"/>
      </w:pPr>
    </w:p>
    <w:p w14:paraId="7C030C57" w14:textId="77777777" w:rsidR="000D1D92" w:rsidRDefault="000D1D92" w:rsidP="000D1D92">
      <w:pPr>
        <w:spacing w:before="0" w:after="0"/>
        <w:jc w:val="both"/>
      </w:pPr>
      <w:r>
        <w:lastRenderedPageBreak/>
        <w:t>In its Interim Report, the Family Law Council, through its review of research data and submissions, found that two aspects of the current legal system impede the protection of children. These are:</w:t>
      </w:r>
    </w:p>
    <w:p w14:paraId="1BFD61C4" w14:textId="77777777" w:rsidR="000D1D92" w:rsidRDefault="000D1D92" w:rsidP="000D1D92">
      <w:pPr>
        <w:spacing w:before="0" w:after="0"/>
        <w:jc w:val="both"/>
      </w:pPr>
    </w:p>
    <w:p w14:paraId="629C4EEE" w14:textId="77777777" w:rsidR="000D1D92" w:rsidRDefault="000D1D92" w:rsidP="000D1D92">
      <w:pPr>
        <w:pStyle w:val="ListParagraph"/>
        <w:numPr>
          <w:ilvl w:val="0"/>
          <w:numId w:val="38"/>
        </w:numPr>
        <w:spacing w:before="0" w:after="0"/>
        <w:jc w:val="both"/>
      </w:pPr>
      <w:r>
        <w:t>the increasingly public law nature of the parenting order work of the family courts, which were designed to deal with private law matters; and</w:t>
      </w:r>
    </w:p>
    <w:p w14:paraId="218CD92E" w14:textId="77777777" w:rsidR="000D1D92" w:rsidRDefault="000D1D92" w:rsidP="000D1D92">
      <w:pPr>
        <w:pStyle w:val="ListParagraph"/>
        <w:spacing w:before="0" w:after="0"/>
        <w:ind w:left="1080"/>
        <w:jc w:val="both"/>
      </w:pPr>
    </w:p>
    <w:p w14:paraId="33746F96" w14:textId="77777777" w:rsidR="000D1D92" w:rsidRDefault="000D1D92" w:rsidP="000D1D92">
      <w:pPr>
        <w:pStyle w:val="ListParagraph"/>
        <w:numPr>
          <w:ilvl w:val="0"/>
          <w:numId w:val="38"/>
        </w:numPr>
        <w:spacing w:before="0" w:after="0"/>
        <w:jc w:val="both"/>
      </w:pPr>
      <w:r>
        <w:t xml:space="preserve">the separation of courts and systems dealing with parenting orders, child </w:t>
      </w:r>
    </w:p>
    <w:p w14:paraId="14E997F9" w14:textId="77777777" w:rsidR="000D1D92" w:rsidRDefault="000D1D92" w:rsidP="000D1D92">
      <w:pPr>
        <w:spacing w:before="0" w:after="0"/>
        <w:ind w:left="360" w:firstLine="720"/>
        <w:jc w:val="both"/>
      </w:pPr>
      <w:r>
        <w:t>protection and family violence matters.</w:t>
      </w:r>
      <w:r>
        <w:rPr>
          <w:rStyle w:val="EndnoteReference"/>
        </w:rPr>
        <w:endnoteReference w:id="669"/>
      </w:r>
    </w:p>
    <w:p w14:paraId="6077F410" w14:textId="77777777" w:rsidR="000D1D92" w:rsidRDefault="000D1D92" w:rsidP="000D1D92">
      <w:pPr>
        <w:spacing w:before="0" w:after="0"/>
        <w:jc w:val="both"/>
      </w:pPr>
    </w:p>
    <w:p w14:paraId="74DAE406" w14:textId="77777777" w:rsidR="000D1D92" w:rsidRPr="0063389E" w:rsidRDefault="000D1D92" w:rsidP="000D1D92">
      <w:pPr>
        <w:spacing w:before="0" w:after="0"/>
        <w:jc w:val="both"/>
      </w:pPr>
      <w:r w:rsidRPr="0063389E">
        <w:t>Specifically, the Interim Report</w:t>
      </w:r>
      <w:r>
        <w:t xml:space="preserve"> noted that:</w:t>
      </w:r>
    </w:p>
    <w:p w14:paraId="0C6AAEB2" w14:textId="77777777" w:rsidR="000D1D92" w:rsidRDefault="000D1D92" w:rsidP="000D1D92">
      <w:pPr>
        <w:spacing w:before="0" w:after="0"/>
        <w:jc w:val="both"/>
      </w:pPr>
    </w:p>
    <w:p w14:paraId="73BCA785" w14:textId="77777777" w:rsidR="000D1D92" w:rsidRPr="00E471EE" w:rsidRDefault="000D1D92" w:rsidP="000D1D92">
      <w:pPr>
        <w:spacing w:before="0" w:after="0"/>
        <w:ind w:left="720"/>
        <w:jc w:val="both"/>
        <w:rPr>
          <w:sz w:val="22"/>
        </w:rPr>
      </w:pPr>
      <w:r w:rsidRPr="00E471EE">
        <w:rPr>
          <w:sz w:val="22"/>
        </w:rPr>
        <w:t>The family courts have no capacity to compel a child protection department to intervene in a family law case or to investigate the family court’s concerns, and the family law system has no independent investigative body akin to a child protection department that can provide the courts with a forensic assessment of child risk issues. These limitations mean that the risk of harm to children in family law cases is managed by judicial officers within a framework designed for ‘private’ disputes about the child’s care time with each parent, rather than a child protection framework. Although the family courts are not strictly bound by the proposals of the parties, there will rarely be an option available to a judicial officer beyond making a parenting order in favour of the ‘least detrimental’ of the proposals presented to the court.</w:t>
      </w:r>
      <w:r w:rsidRPr="00E471EE">
        <w:rPr>
          <w:rStyle w:val="EndnoteReference"/>
          <w:sz w:val="18"/>
        </w:rPr>
        <w:endnoteReference w:id="670"/>
      </w:r>
    </w:p>
    <w:p w14:paraId="277396C0" w14:textId="77777777" w:rsidR="000D1D92" w:rsidRDefault="000D1D92" w:rsidP="000D1D92">
      <w:pPr>
        <w:spacing w:before="0" w:after="0"/>
        <w:jc w:val="both"/>
      </w:pPr>
    </w:p>
    <w:p w14:paraId="186AF9ED" w14:textId="77777777" w:rsidR="000D1D92" w:rsidRDefault="000D1D92" w:rsidP="000D1D92">
      <w:pPr>
        <w:spacing w:before="0" w:after="0"/>
        <w:jc w:val="both"/>
      </w:pPr>
      <w:r>
        <w:t xml:space="preserve">The Interim Report focuses on the </w:t>
      </w:r>
      <w:r w:rsidRPr="00411B7F">
        <w:t>prospect of having a streamlined, coherent and integrated approach to improve the overall safety of families and in particular children, while involved in the family law, child protection and</w:t>
      </w:r>
      <w:r>
        <w:t xml:space="preserve"> family violence jurisdictions.</w:t>
      </w:r>
    </w:p>
    <w:p w14:paraId="5B02B916" w14:textId="77777777" w:rsidR="000D1D92" w:rsidRDefault="000D1D92" w:rsidP="000D1D92">
      <w:pPr>
        <w:spacing w:before="0" w:after="0"/>
        <w:jc w:val="both"/>
      </w:pPr>
    </w:p>
    <w:p w14:paraId="12835F7B" w14:textId="77777777" w:rsidR="000D1D92" w:rsidRDefault="000D1D92" w:rsidP="000D1D92">
      <w:pPr>
        <w:spacing w:before="0" w:after="0"/>
        <w:jc w:val="both"/>
      </w:pPr>
      <w:r>
        <w:t>The Family Law Council made six recommendations in its Interim Report</w:t>
      </w:r>
      <w:r w:rsidRPr="00411B7F">
        <w:t xml:space="preserve"> to the Attorney-General</w:t>
      </w:r>
      <w:r>
        <w:t>. The Family Law Council indicates that t</w:t>
      </w:r>
      <w:r w:rsidRPr="005F2871">
        <w:t xml:space="preserve">hese </w:t>
      </w:r>
      <w:r>
        <w:t xml:space="preserve">issues </w:t>
      </w:r>
      <w:r w:rsidRPr="005F2871">
        <w:t xml:space="preserve">will be </w:t>
      </w:r>
      <w:r>
        <w:t>further considered</w:t>
      </w:r>
      <w:r w:rsidRPr="005F2871">
        <w:t xml:space="preserve"> </w:t>
      </w:r>
      <w:r>
        <w:t xml:space="preserve">and addressed </w:t>
      </w:r>
      <w:r w:rsidRPr="005F2871">
        <w:t>in</w:t>
      </w:r>
      <w:r>
        <w:t xml:space="preserve"> its final report.</w:t>
      </w:r>
      <w:r>
        <w:rPr>
          <w:rStyle w:val="EndnoteReference"/>
        </w:rPr>
        <w:endnoteReference w:id="671"/>
      </w:r>
      <w:r>
        <w:t xml:space="preserve"> </w:t>
      </w:r>
    </w:p>
    <w:p w14:paraId="54F2A708" w14:textId="77777777" w:rsidR="000D1D92" w:rsidRDefault="000D1D92" w:rsidP="000D1D92">
      <w:pPr>
        <w:spacing w:before="0" w:after="0"/>
        <w:jc w:val="both"/>
      </w:pPr>
    </w:p>
    <w:p w14:paraId="7BFEC454" w14:textId="77777777" w:rsidR="000D1D92" w:rsidRDefault="000D1D92" w:rsidP="000D1D92">
      <w:pPr>
        <w:spacing w:before="0" w:after="0"/>
        <w:jc w:val="both"/>
      </w:pPr>
      <w:r>
        <w:t>The Interim Report by the Family Law Council states that its recommendations:</w:t>
      </w:r>
    </w:p>
    <w:p w14:paraId="77BED654" w14:textId="77777777" w:rsidR="000D1D92" w:rsidRDefault="000D1D92" w:rsidP="000D1D92">
      <w:pPr>
        <w:spacing w:before="0" w:after="0"/>
        <w:jc w:val="both"/>
      </w:pPr>
    </w:p>
    <w:p w14:paraId="6F31529E" w14:textId="77777777" w:rsidR="000D1D92" w:rsidRPr="00E471EE" w:rsidRDefault="000D1D92" w:rsidP="000D1D92">
      <w:pPr>
        <w:spacing w:before="0" w:after="0"/>
        <w:ind w:left="720"/>
        <w:jc w:val="both"/>
        <w:rPr>
          <w:sz w:val="22"/>
        </w:rPr>
      </w:pPr>
      <w:r w:rsidRPr="00E471EE">
        <w:rPr>
          <w:sz w:val="22"/>
        </w:rPr>
        <w:t xml:space="preserve">Represent the first step in a larger program of reform to address the wider systemic issues. In particular, </w:t>
      </w:r>
      <w:r>
        <w:rPr>
          <w:sz w:val="22"/>
        </w:rPr>
        <w:t xml:space="preserve">the </w:t>
      </w:r>
      <w:r w:rsidRPr="00E471EE">
        <w:rPr>
          <w:sz w:val="22"/>
        </w:rPr>
        <w:t>Council’s recommendations are designed to build on the stated priorities of the National Framework for Protecting Australia’s Children 2009-2020 and the National Plan to Reduce Violence against Women and their Children 2010-2022.</w:t>
      </w:r>
      <w:r w:rsidRPr="00E471EE">
        <w:rPr>
          <w:rStyle w:val="EndnoteReference"/>
          <w:sz w:val="18"/>
        </w:rPr>
        <w:endnoteReference w:id="672"/>
      </w:r>
    </w:p>
    <w:p w14:paraId="523B6C36" w14:textId="77777777" w:rsidR="000D1D92" w:rsidRDefault="000D1D92" w:rsidP="000D1D92">
      <w:pPr>
        <w:spacing w:before="0" w:after="0"/>
        <w:jc w:val="both"/>
      </w:pPr>
    </w:p>
    <w:p w14:paraId="4CB33459" w14:textId="77777777" w:rsidR="000D1D92" w:rsidRDefault="000D1D92" w:rsidP="000D1D92">
      <w:pPr>
        <w:spacing w:before="0" w:after="0"/>
        <w:jc w:val="both"/>
      </w:pPr>
      <w:r>
        <w:t xml:space="preserve">The intent of the Family Law Council to be inclusive of the existing work of the </w:t>
      </w:r>
      <w:r w:rsidRPr="00FD44ED">
        <w:t>National Framework for Protecting Australia’s Children 2009-2020 and the National Plan to Reduce Violence against Women and their Children 2010-2022</w:t>
      </w:r>
      <w:r>
        <w:t xml:space="preserve"> is very welcome. </w:t>
      </w:r>
    </w:p>
    <w:p w14:paraId="11EC2748" w14:textId="77777777" w:rsidR="000D1D92" w:rsidRDefault="000D1D92" w:rsidP="000D1D92">
      <w:pPr>
        <w:spacing w:before="0" w:after="0"/>
        <w:jc w:val="both"/>
      </w:pPr>
    </w:p>
    <w:p w14:paraId="2BABACAE" w14:textId="77777777" w:rsidR="000D1D92" w:rsidRDefault="000D1D92" w:rsidP="000D1D92">
      <w:pPr>
        <w:spacing w:before="0" w:after="0"/>
        <w:jc w:val="both"/>
      </w:pPr>
      <w:r>
        <w:t>As a member of the National Forum for</w:t>
      </w:r>
      <w:r w:rsidRPr="006B7515">
        <w:t xml:space="preserve"> Protecting Australia’s Children</w:t>
      </w:r>
      <w:r>
        <w:t xml:space="preserve">, I look forward to engaging with the Family Law Council as it progresses towards its final report and recommendations. </w:t>
      </w:r>
    </w:p>
    <w:p w14:paraId="740C5989" w14:textId="77777777" w:rsidR="000D1D92" w:rsidRDefault="000D1D92" w:rsidP="000D1D92">
      <w:pPr>
        <w:autoSpaceDE w:val="0"/>
        <w:autoSpaceDN w:val="0"/>
        <w:adjustRightInd w:val="0"/>
        <w:spacing w:before="0" w:after="0"/>
        <w:jc w:val="both"/>
      </w:pPr>
    </w:p>
    <w:p w14:paraId="18D3E42B" w14:textId="77777777" w:rsidR="000D1D92" w:rsidRDefault="000D1D92" w:rsidP="000D1D92">
      <w:pPr>
        <w:autoSpaceDE w:val="0"/>
        <w:autoSpaceDN w:val="0"/>
        <w:adjustRightInd w:val="0"/>
        <w:spacing w:before="0" w:after="0"/>
        <w:jc w:val="both"/>
      </w:pPr>
      <w:r>
        <w:t xml:space="preserve">I also advocate that the Family Law Council directly consults with children as part of its work. Hearing the views of those most affected by the decisions that the courts make is fundamental to any program of reform. </w:t>
      </w:r>
    </w:p>
    <w:p w14:paraId="13E501CB" w14:textId="77777777" w:rsidR="000D1D92" w:rsidRPr="00DD4518" w:rsidRDefault="000D1D92" w:rsidP="000D1D92">
      <w:pPr>
        <w:pStyle w:val="Heading4"/>
      </w:pPr>
      <w:r w:rsidRPr="00DD4518">
        <w:rPr>
          <w:lang w:val="en"/>
        </w:rPr>
        <w:lastRenderedPageBreak/>
        <w:t>The joint Family Court/Federal Circuit Court Children's Committee</w:t>
      </w:r>
      <w:r w:rsidRPr="00DD4518">
        <w:rPr>
          <w:rFonts w:ascii="Helvetica Neue" w:hAnsi="Helvetica Neue"/>
          <w:sz w:val="21"/>
          <w:szCs w:val="21"/>
          <w:lang w:val="en"/>
        </w:rPr>
        <w:t xml:space="preserve"> </w:t>
      </w:r>
    </w:p>
    <w:p w14:paraId="65993E4B" w14:textId="77777777" w:rsidR="000D1D92" w:rsidRDefault="000D1D92" w:rsidP="000D1D92">
      <w:pPr>
        <w:spacing w:before="0" w:after="0"/>
        <w:jc w:val="both"/>
      </w:pPr>
      <w:r>
        <w:t>In 2012, the Chief Justice of the Family Court and the Chief Judge of the Federal Circuit Court established a joint Children’s Committee to:</w:t>
      </w:r>
    </w:p>
    <w:p w14:paraId="42F7BD9B" w14:textId="77777777" w:rsidR="000D1D92" w:rsidRPr="000B6C34" w:rsidRDefault="000D1D92" w:rsidP="000D1D92">
      <w:pPr>
        <w:spacing w:before="0" w:after="0"/>
        <w:ind w:left="1440"/>
        <w:jc w:val="both"/>
        <w:rPr>
          <w:sz w:val="22"/>
          <w:szCs w:val="22"/>
        </w:rPr>
      </w:pPr>
    </w:p>
    <w:p w14:paraId="3531AE8A" w14:textId="77777777" w:rsidR="000D1D92" w:rsidRPr="000B6C34" w:rsidRDefault="000D1D92" w:rsidP="000D1D92">
      <w:pPr>
        <w:spacing w:before="0" w:after="0"/>
        <w:ind w:left="1440"/>
        <w:jc w:val="both"/>
        <w:rPr>
          <w:sz w:val="22"/>
          <w:szCs w:val="22"/>
        </w:rPr>
      </w:pPr>
      <w:r>
        <w:rPr>
          <w:rFonts w:cs="Trade Gothic LT Std Light"/>
          <w:color w:val="000000"/>
          <w:sz w:val="22"/>
          <w:szCs w:val="22"/>
        </w:rPr>
        <w:t>explore what…</w:t>
      </w:r>
      <w:r w:rsidRPr="000B6C34">
        <w:rPr>
          <w:rFonts w:cs="Trade Gothic LT Std Light"/>
          <w:color w:val="000000"/>
          <w:sz w:val="22"/>
          <w:szCs w:val="22"/>
        </w:rPr>
        <w:t>work needs to be undertaken with respect to the involvement of children in parenting cases and how the courts might ascertain whether children feel their voices have been heard in proceedings that addressed their living arrangements.</w:t>
      </w:r>
      <w:r>
        <w:rPr>
          <w:rStyle w:val="EndnoteReference"/>
        </w:rPr>
        <w:endnoteReference w:id="673"/>
      </w:r>
      <w:r>
        <w:t xml:space="preserve"> </w:t>
      </w:r>
    </w:p>
    <w:p w14:paraId="4E01A5B2" w14:textId="77777777" w:rsidR="000D1D92" w:rsidRDefault="000D1D92" w:rsidP="000D1D92">
      <w:pPr>
        <w:spacing w:before="0" w:after="0"/>
        <w:jc w:val="both"/>
      </w:pPr>
    </w:p>
    <w:p w14:paraId="303E7508" w14:textId="77777777" w:rsidR="000D1D92" w:rsidRDefault="000D1D92" w:rsidP="000D1D92">
      <w:pPr>
        <w:spacing w:before="0" w:after="0"/>
        <w:jc w:val="both"/>
      </w:pPr>
      <w:r>
        <w:t xml:space="preserve">According to the Chief Justice of the Family Court, one of the factors leading to the establishment of the </w:t>
      </w:r>
      <w:r w:rsidRPr="007D4A0C">
        <w:t xml:space="preserve">Family Court/Federal Circuit Court Children's Committee </w:t>
      </w:r>
      <w:r>
        <w:t xml:space="preserve">was the need </w:t>
      </w:r>
      <w:r w:rsidRPr="002D736E">
        <w:t>to explore the issue of whether the voice of the child was being appropriately heard in parenting cases</w:t>
      </w:r>
      <w:r>
        <w:t>.</w:t>
      </w:r>
      <w:r>
        <w:rPr>
          <w:rStyle w:val="EndnoteReference"/>
        </w:rPr>
        <w:endnoteReference w:id="674"/>
      </w:r>
      <w:r>
        <w:t xml:space="preserve"> </w:t>
      </w:r>
    </w:p>
    <w:p w14:paraId="671C85CD" w14:textId="77777777" w:rsidR="000D1D92" w:rsidRDefault="000D1D92" w:rsidP="000D1D92">
      <w:pPr>
        <w:spacing w:before="0" w:after="0"/>
        <w:jc w:val="both"/>
      </w:pPr>
    </w:p>
    <w:p w14:paraId="4C45F7C4" w14:textId="77777777" w:rsidR="000D1D92" w:rsidRDefault="000D1D92" w:rsidP="000D1D92">
      <w:pPr>
        <w:spacing w:before="0" w:after="0"/>
        <w:jc w:val="both"/>
      </w:pPr>
      <w:r>
        <w:t>In 2012, t</w:t>
      </w:r>
      <w:r w:rsidRPr="00370CC1">
        <w:t xml:space="preserve">he joint Family Court/Federal Circuit Court Children's Committee </w:t>
      </w:r>
      <w:r>
        <w:t>asked the ACT Children and Young People Commissioner to undertake a consultation with children and young people about their participation in court proceedings.</w:t>
      </w:r>
      <w:r>
        <w:rPr>
          <w:rStyle w:val="EndnoteReference"/>
        </w:rPr>
        <w:endnoteReference w:id="675"/>
      </w:r>
      <w:r>
        <w:t xml:space="preserve"> </w:t>
      </w:r>
    </w:p>
    <w:p w14:paraId="333F026E" w14:textId="77777777" w:rsidR="000D1D92" w:rsidRDefault="000D1D92" w:rsidP="000D1D92">
      <w:pPr>
        <w:spacing w:before="0" w:after="0"/>
        <w:jc w:val="both"/>
      </w:pPr>
    </w:p>
    <w:p w14:paraId="134D02D7" w14:textId="77777777" w:rsidR="000D1D92" w:rsidRDefault="000D1D92" w:rsidP="000D1D92">
      <w:pPr>
        <w:spacing w:before="0" w:after="0"/>
        <w:jc w:val="both"/>
      </w:pPr>
      <w:r>
        <w:t xml:space="preserve">The consultation involved 15 children aged between 11 and 13 years. </w:t>
      </w:r>
      <w:r w:rsidRPr="00A87ECD">
        <w:t xml:space="preserve">13 of </w:t>
      </w:r>
      <w:r>
        <w:t>15 children, in a show of hands,</w:t>
      </w:r>
      <w:r w:rsidRPr="00A87ECD">
        <w:t xml:space="preserve"> felt that children and young people should have a say in Family Court matters.</w:t>
      </w:r>
      <w:r>
        <w:t xml:space="preserve"> The ACT Children and Young People Commissioner recommended that further consultations should occur with larger numbers of children and young people.</w:t>
      </w:r>
      <w:r w:rsidRPr="00A87ECD">
        <w:t xml:space="preserve"> </w:t>
      </w:r>
    </w:p>
    <w:p w14:paraId="0C72B385" w14:textId="77777777" w:rsidR="000D1D92" w:rsidRDefault="000D1D92" w:rsidP="000D1D92">
      <w:pPr>
        <w:spacing w:before="0" w:after="0"/>
        <w:jc w:val="both"/>
      </w:pPr>
    </w:p>
    <w:p w14:paraId="275DBEBF" w14:textId="77777777" w:rsidR="000D1D92" w:rsidRDefault="000D1D92" w:rsidP="000D1D92">
      <w:pPr>
        <w:spacing w:before="0" w:after="0"/>
        <w:jc w:val="both"/>
      </w:pPr>
      <w:r>
        <w:t xml:space="preserve">The </w:t>
      </w:r>
      <w:r w:rsidRPr="007D4A0C">
        <w:t xml:space="preserve">joint Family Court/Federal Circuit Court Children's Committee </w:t>
      </w:r>
      <w:r>
        <w:t>has indicated that it would like to engage with me in my role as National Children’s Commissioner in order to advance its objectives.</w:t>
      </w:r>
      <w:r>
        <w:rPr>
          <w:rStyle w:val="EndnoteReference"/>
        </w:rPr>
        <w:endnoteReference w:id="676"/>
      </w:r>
      <w:r>
        <w:t xml:space="preserve"> </w:t>
      </w:r>
    </w:p>
    <w:p w14:paraId="526B7F86" w14:textId="77777777" w:rsidR="000D1D92" w:rsidRDefault="000D1D92" w:rsidP="000D1D92">
      <w:pPr>
        <w:spacing w:before="0" w:after="0"/>
        <w:jc w:val="both"/>
      </w:pPr>
    </w:p>
    <w:p w14:paraId="0108253B" w14:textId="77777777" w:rsidR="000D1D92" w:rsidRDefault="000D1D92" w:rsidP="000D1D92">
      <w:pPr>
        <w:spacing w:before="0" w:after="0"/>
        <w:jc w:val="both"/>
      </w:pPr>
      <w:r>
        <w:t xml:space="preserve">Given my statutory responsibility to promote the human rights of all children in Australia, and the representations that have been made to me about children’s safety and involvement in the family law system, particularly throughout my examination of family and domestic violence, I am pleased to offer my assistance to the Joint Children’s Committee. </w:t>
      </w:r>
    </w:p>
    <w:p w14:paraId="3088EAFA" w14:textId="77777777" w:rsidR="000D1D92" w:rsidRDefault="000D1D92" w:rsidP="000D1D92">
      <w:pPr>
        <w:autoSpaceDE w:val="0"/>
        <w:autoSpaceDN w:val="0"/>
        <w:adjustRightInd w:val="0"/>
        <w:spacing w:before="0" w:after="0"/>
        <w:jc w:val="both"/>
        <w:rPr>
          <w:rFonts w:cs="Arial"/>
        </w:rPr>
      </w:pPr>
    </w:p>
    <w:p w14:paraId="0FAB488C" w14:textId="77777777" w:rsidR="000D1D92" w:rsidRDefault="000D1D92" w:rsidP="000D1D92">
      <w:pPr>
        <w:autoSpaceDE w:val="0"/>
        <w:autoSpaceDN w:val="0"/>
        <w:adjustRightInd w:val="0"/>
        <w:spacing w:before="0" w:after="0"/>
        <w:jc w:val="both"/>
        <w:rPr>
          <w:rFonts w:cs="Arial"/>
          <w:lang w:val="en"/>
        </w:rPr>
      </w:pPr>
      <w:r>
        <w:rPr>
          <w:rFonts w:cs="Arial"/>
        </w:rPr>
        <w:t>I am aware of the</w:t>
      </w:r>
      <w:r w:rsidRPr="009A325D">
        <w:rPr>
          <w:rFonts w:cs="Arial"/>
        </w:rPr>
        <w:t xml:space="preserve"> Family Violence Plan 2014–16 </w:t>
      </w:r>
      <w:r>
        <w:rPr>
          <w:rFonts w:cs="Arial"/>
        </w:rPr>
        <w:t>which is being implemented in the</w:t>
      </w:r>
      <w:r w:rsidRPr="009A325D">
        <w:rPr>
          <w:rFonts w:cs="Arial"/>
        </w:rPr>
        <w:t xml:space="preserve"> Family Court </w:t>
      </w:r>
      <w:r>
        <w:rPr>
          <w:rFonts w:cs="Arial"/>
        </w:rPr>
        <w:t xml:space="preserve">of Australia </w:t>
      </w:r>
      <w:r w:rsidRPr="009A325D">
        <w:rPr>
          <w:rFonts w:cs="Arial"/>
        </w:rPr>
        <w:t>and the Feder</w:t>
      </w:r>
      <w:r>
        <w:rPr>
          <w:rFonts w:cs="Arial"/>
        </w:rPr>
        <w:t>al Circuit Court.</w:t>
      </w:r>
      <w:r>
        <w:rPr>
          <w:rStyle w:val="EndnoteReference"/>
          <w:rFonts w:cs="Arial"/>
        </w:rPr>
        <w:endnoteReference w:id="677"/>
      </w:r>
      <w:r>
        <w:rPr>
          <w:rFonts w:cs="Arial"/>
        </w:rPr>
        <w:t xml:space="preserve"> </w:t>
      </w:r>
      <w:r w:rsidRPr="00C16F4B">
        <w:rPr>
          <w:rFonts w:cs="Arial"/>
        </w:rPr>
        <w:t xml:space="preserve">The updated </w:t>
      </w:r>
      <w:r w:rsidRPr="00186AEE">
        <w:rPr>
          <w:rFonts w:cs="Arial"/>
          <w:i/>
          <w:lang w:val="en"/>
        </w:rPr>
        <w:t>Family Violence Best Practice Principles</w:t>
      </w:r>
      <w:r w:rsidRPr="00C16F4B">
        <w:rPr>
          <w:rFonts w:cs="Arial"/>
          <w:lang w:val="en"/>
        </w:rPr>
        <w:t xml:space="preserve"> used in both courts provides soun</w:t>
      </w:r>
      <w:r>
        <w:rPr>
          <w:rFonts w:cs="Arial"/>
          <w:lang w:val="en"/>
        </w:rPr>
        <w:t>d guidance to judicial officers.</w:t>
      </w:r>
    </w:p>
    <w:p w14:paraId="390AEC07" w14:textId="77777777" w:rsidR="000D1D92" w:rsidRDefault="000D1D92" w:rsidP="000D1D92">
      <w:pPr>
        <w:autoSpaceDE w:val="0"/>
        <w:autoSpaceDN w:val="0"/>
        <w:adjustRightInd w:val="0"/>
        <w:spacing w:before="0" w:after="0"/>
        <w:jc w:val="both"/>
        <w:rPr>
          <w:rFonts w:cs="Arial"/>
          <w:lang w:val="en"/>
        </w:rPr>
      </w:pPr>
    </w:p>
    <w:p w14:paraId="730D9D79" w14:textId="77777777" w:rsidR="000D1D92" w:rsidRDefault="000D1D92" w:rsidP="000D1D92">
      <w:pPr>
        <w:autoSpaceDE w:val="0"/>
        <w:autoSpaceDN w:val="0"/>
        <w:adjustRightInd w:val="0"/>
        <w:spacing w:before="0" w:after="0"/>
        <w:jc w:val="both"/>
        <w:rPr>
          <w:rFonts w:cs="Arial"/>
        </w:rPr>
      </w:pPr>
      <w:r>
        <w:rPr>
          <w:rFonts w:cs="Arial"/>
          <w:lang w:val="en"/>
        </w:rPr>
        <w:t xml:space="preserve">I </w:t>
      </w:r>
      <w:r>
        <w:rPr>
          <w:rFonts w:cs="Arial"/>
        </w:rPr>
        <w:t xml:space="preserve">acknowledge the commitment of both courts </w:t>
      </w:r>
      <w:r w:rsidRPr="009A325D">
        <w:rPr>
          <w:rFonts w:cs="Arial"/>
        </w:rPr>
        <w:t xml:space="preserve">to </w:t>
      </w:r>
      <w:r>
        <w:rPr>
          <w:rFonts w:cs="Arial"/>
        </w:rPr>
        <w:t>children’s safety and wellbeing, and t</w:t>
      </w:r>
      <w:r w:rsidRPr="009A325D">
        <w:rPr>
          <w:rFonts w:cs="Arial"/>
        </w:rPr>
        <w:t>he early identification and management of matters where violence, or the risk of violence, is alleged</w:t>
      </w:r>
      <w:r>
        <w:rPr>
          <w:rFonts w:cs="Arial"/>
        </w:rPr>
        <w:t>.</w:t>
      </w:r>
    </w:p>
    <w:p w14:paraId="6C5F13B4" w14:textId="77777777" w:rsidR="000D1D92" w:rsidRDefault="000D1D92" w:rsidP="000D1D92">
      <w:pPr>
        <w:autoSpaceDE w:val="0"/>
        <w:autoSpaceDN w:val="0"/>
        <w:adjustRightInd w:val="0"/>
        <w:spacing w:before="0" w:after="0"/>
        <w:jc w:val="both"/>
        <w:rPr>
          <w:rFonts w:cs="Arial"/>
        </w:rPr>
      </w:pPr>
    </w:p>
    <w:tbl>
      <w:tblPr>
        <w:tblStyle w:val="TableGrid"/>
        <w:tblW w:w="0" w:type="auto"/>
        <w:shd w:val="clear" w:color="auto" w:fill="000000" w:themeFill="text1"/>
        <w:tblLook w:val="04A0" w:firstRow="1" w:lastRow="0" w:firstColumn="1" w:lastColumn="0" w:noHBand="0" w:noVBand="1"/>
      </w:tblPr>
      <w:tblGrid>
        <w:gridCol w:w="9060"/>
      </w:tblGrid>
      <w:tr w:rsidR="000D1D92" w:rsidRPr="007407A6" w14:paraId="28A3D26B" w14:textId="77777777" w:rsidTr="00684616">
        <w:trPr>
          <w:trHeight w:val="1006"/>
        </w:trPr>
        <w:tc>
          <w:tcPr>
            <w:tcW w:w="9060" w:type="dxa"/>
            <w:shd w:val="clear" w:color="auto" w:fill="F2F2F2" w:themeFill="background1" w:themeFillShade="F2"/>
            <w:vAlign w:val="center"/>
          </w:tcPr>
          <w:p w14:paraId="1683DE33" w14:textId="77777777" w:rsidR="000D1D92" w:rsidRDefault="000D1D92" w:rsidP="00684616">
            <w:pPr>
              <w:spacing w:before="0" w:after="0"/>
              <w:rPr>
                <w:b/>
              </w:rPr>
            </w:pPr>
          </w:p>
          <w:p w14:paraId="5BEFFD1A" w14:textId="77777777" w:rsidR="000D1D92" w:rsidRDefault="000D1D92" w:rsidP="00684616">
            <w:pPr>
              <w:spacing w:before="0" w:after="0"/>
              <w:rPr>
                <w:b/>
              </w:rPr>
            </w:pPr>
            <w:r>
              <w:rPr>
                <w:b/>
              </w:rPr>
              <w:t>Summary</w:t>
            </w:r>
          </w:p>
          <w:p w14:paraId="20CDBF97" w14:textId="77777777" w:rsidR="000D1D92" w:rsidRDefault="000D1D92" w:rsidP="00684616">
            <w:pPr>
              <w:spacing w:before="0" w:after="0"/>
              <w:rPr>
                <w:b/>
              </w:rPr>
            </w:pPr>
          </w:p>
          <w:p w14:paraId="103BC1F9" w14:textId="77777777" w:rsidR="000D1D92" w:rsidRDefault="000D1D92" w:rsidP="00684616">
            <w:pPr>
              <w:spacing w:before="0" w:after="0"/>
              <w:rPr>
                <w:b/>
              </w:rPr>
            </w:pPr>
            <w:r w:rsidRPr="00830F85">
              <w:rPr>
                <w:b/>
              </w:rPr>
              <w:t>Children affected by family and domestic violence who are involved with the family law system</w:t>
            </w:r>
          </w:p>
          <w:p w14:paraId="5F8D372F" w14:textId="77777777" w:rsidR="000D1D92" w:rsidRDefault="000D1D92" w:rsidP="00684616">
            <w:pPr>
              <w:spacing w:before="0" w:after="0"/>
              <w:rPr>
                <w:b/>
              </w:rPr>
            </w:pPr>
            <w:r w:rsidRPr="00830F85">
              <w:rPr>
                <w:b/>
              </w:rPr>
              <w:t xml:space="preserve"> </w:t>
            </w:r>
          </w:p>
          <w:p w14:paraId="478AFC16" w14:textId="77777777" w:rsidR="000D1D92" w:rsidRPr="00830F85" w:rsidRDefault="000D1D92" w:rsidP="00684616">
            <w:pPr>
              <w:spacing w:before="0" w:after="0"/>
              <w:jc w:val="both"/>
            </w:pPr>
            <w:r w:rsidRPr="00830F85">
              <w:t>The issue of family and domestic violence in the context of the family law system was consistently raised throughout my examination.</w:t>
            </w:r>
          </w:p>
          <w:p w14:paraId="39F5B50E" w14:textId="77777777" w:rsidR="000D1D92" w:rsidRPr="00830F85" w:rsidRDefault="000D1D92" w:rsidP="00684616">
            <w:pPr>
              <w:spacing w:before="0" w:after="0"/>
              <w:jc w:val="both"/>
            </w:pPr>
          </w:p>
          <w:p w14:paraId="222FA47E" w14:textId="77777777" w:rsidR="000D1D92" w:rsidRPr="00830F85" w:rsidRDefault="000D1D92" w:rsidP="00684616">
            <w:pPr>
              <w:spacing w:before="0" w:after="0"/>
              <w:jc w:val="both"/>
            </w:pPr>
            <w:r w:rsidRPr="00830F85">
              <w:t xml:space="preserve">Key concerns about the family law system </w:t>
            </w:r>
            <w:r>
              <w:t>were</w:t>
            </w:r>
            <w:r w:rsidRPr="00830F85">
              <w:t>:</w:t>
            </w:r>
          </w:p>
          <w:p w14:paraId="18C6376A" w14:textId="77777777" w:rsidR="000D1D92" w:rsidRPr="00830F85" w:rsidRDefault="000D1D92" w:rsidP="00684616">
            <w:pPr>
              <w:spacing w:before="0" w:after="0"/>
              <w:jc w:val="both"/>
            </w:pPr>
          </w:p>
          <w:p w14:paraId="0748957C" w14:textId="77777777" w:rsidR="000D1D92" w:rsidRPr="00830F85" w:rsidRDefault="000D1D92" w:rsidP="000D1D92">
            <w:pPr>
              <w:numPr>
                <w:ilvl w:val="0"/>
                <w:numId w:val="41"/>
              </w:numPr>
              <w:spacing w:before="0" w:after="0"/>
              <w:jc w:val="both"/>
            </w:pPr>
            <w:r w:rsidRPr="00830F85">
              <w:t>lack of understanding and inappropriate responses to family and domestic violence by those w</w:t>
            </w:r>
            <w:r>
              <w:t>orking in the family law system</w:t>
            </w:r>
          </w:p>
          <w:p w14:paraId="069B5D77" w14:textId="77777777" w:rsidR="000D1D92" w:rsidRPr="00830F85" w:rsidRDefault="000D1D92" w:rsidP="000D1D92">
            <w:pPr>
              <w:numPr>
                <w:ilvl w:val="0"/>
                <w:numId w:val="41"/>
              </w:numPr>
              <w:spacing w:before="0" w:after="0"/>
              <w:jc w:val="both"/>
            </w:pPr>
            <w:r w:rsidRPr="00830F85">
              <w:t xml:space="preserve">a conflict between the right of parental contact and the rights </w:t>
            </w:r>
            <w:r>
              <w:t>and best interests of the child</w:t>
            </w:r>
          </w:p>
          <w:p w14:paraId="115D402D" w14:textId="77777777" w:rsidR="000D1D92" w:rsidRPr="00830F85" w:rsidRDefault="000D1D92" w:rsidP="000D1D92">
            <w:pPr>
              <w:numPr>
                <w:ilvl w:val="0"/>
                <w:numId w:val="41"/>
              </w:numPr>
              <w:spacing w:before="0" w:after="0"/>
              <w:jc w:val="both"/>
            </w:pPr>
            <w:r w:rsidRPr="00830F85">
              <w:t>court decisions which do not yet fully reflect the amendment</w:t>
            </w:r>
            <w:r>
              <w:t>s to the Family Law Act in 2012</w:t>
            </w:r>
          </w:p>
          <w:p w14:paraId="4173BCB0" w14:textId="77777777" w:rsidR="000D1D92" w:rsidRPr="00830F85" w:rsidRDefault="000D1D92" w:rsidP="000D1D92">
            <w:pPr>
              <w:numPr>
                <w:ilvl w:val="0"/>
                <w:numId w:val="41"/>
              </w:numPr>
              <w:spacing w:before="0" w:after="0"/>
              <w:jc w:val="both"/>
            </w:pPr>
            <w:r w:rsidRPr="00830F85">
              <w:t>the inappropriate use of mediation for some families.</w:t>
            </w:r>
          </w:p>
          <w:p w14:paraId="101A8A93" w14:textId="77777777" w:rsidR="000D1D92" w:rsidRPr="00830F85" w:rsidRDefault="000D1D92" w:rsidP="00684616">
            <w:pPr>
              <w:spacing w:before="0" w:after="0"/>
              <w:jc w:val="both"/>
            </w:pPr>
          </w:p>
          <w:p w14:paraId="6542ECB0" w14:textId="77777777" w:rsidR="000D1D92" w:rsidRPr="00830F85" w:rsidRDefault="000D1D92" w:rsidP="00684616">
            <w:pPr>
              <w:spacing w:before="0" w:after="0"/>
              <w:jc w:val="both"/>
            </w:pPr>
            <w:r w:rsidRPr="00830F85">
              <w:t xml:space="preserve">In this context, the Australian Institute of Family Studies recently completed a project evaluating the 2012 amendments to the Family Law Act, which included greater consideration of children’s exposure to family violence. This evaluation examines how these changes have effected court decisions and outcomes for families. </w:t>
            </w:r>
          </w:p>
          <w:p w14:paraId="537EFA1F" w14:textId="77777777" w:rsidR="000D1D92" w:rsidRPr="00830F85" w:rsidRDefault="000D1D92" w:rsidP="00684616">
            <w:pPr>
              <w:spacing w:before="0" w:after="0"/>
              <w:jc w:val="both"/>
            </w:pPr>
          </w:p>
          <w:p w14:paraId="494E5D77" w14:textId="77777777" w:rsidR="000D1D92" w:rsidRPr="00830F85" w:rsidRDefault="000D1D92" w:rsidP="00684616">
            <w:pPr>
              <w:spacing w:before="0" w:after="0"/>
              <w:jc w:val="both"/>
            </w:pPr>
            <w:r w:rsidRPr="00830F85">
              <w:t>Similarly, the Family Law Council, an independent advisory body which provides family law policy advice to the federal Attorney-</w:t>
            </w:r>
            <w:r>
              <w:t>General, is undertaking a review of</w:t>
            </w:r>
            <w:r w:rsidRPr="00830F85">
              <w:t xml:space="preserve"> the intersection of family law and child protection systems, and ways of improving assistance to families with complex needs.</w:t>
            </w:r>
          </w:p>
          <w:p w14:paraId="5E646EC7" w14:textId="77777777" w:rsidR="000D1D92" w:rsidRPr="00830F85" w:rsidRDefault="000D1D92" w:rsidP="00684616">
            <w:pPr>
              <w:spacing w:before="0" w:after="0"/>
              <w:jc w:val="both"/>
            </w:pPr>
          </w:p>
          <w:p w14:paraId="4DFAAC3F" w14:textId="77777777" w:rsidR="000D1D92" w:rsidRPr="00830F85" w:rsidRDefault="000D1D92" w:rsidP="00684616">
            <w:pPr>
              <w:spacing w:before="0" w:after="0"/>
              <w:jc w:val="both"/>
            </w:pPr>
            <w:r w:rsidRPr="00830F85">
              <w:t xml:space="preserve">I look forward to the public release of these reports and their recommendations on how to improve the overall safety of children and their families. </w:t>
            </w:r>
          </w:p>
          <w:p w14:paraId="24AED291" w14:textId="77777777" w:rsidR="000D1D92" w:rsidRPr="00830F85" w:rsidRDefault="000D1D92" w:rsidP="00684616">
            <w:pPr>
              <w:spacing w:before="0" w:after="0"/>
              <w:jc w:val="both"/>
            </w:pPr>
          </w:p>
          <w:p w14:paraId="61D0CACF" w14:textId="77777777" w:rsidR="000D1D92" w:rsidRPr="00830F85" w:rsidRDefault="000D1D92" w:rsidP="00684616">
            <w:pPr>
              <w:spacing w:before="0" w:after="0"/>
              <w:jc w:val="both"/>
            </w:pPr>
            <w:r w:rsidRPr="00830F85">
              <w:t>Another issue brought to my attention is the Magellan Program, which operates in the Family Court of Australia. Magellan cas</w:t>
            </w:r>
            <w:r>
              <w:t xml:space="preserve">es are those where a child has </w:t>
            </w:r>
            <w:r w:rsidRPr="00830F85">
              <w:t>experienced ‘serious physical abuse or sexual abuse’ and undergo special case management.</w:t>
            </w:r>
          </w:p>
          <w:p w14:paraId="220141A4" w14:textId="77777777" w:rsidR="000D1D92" w:rsidRPr="00830F85" w:rsidRDefault="000D1D92" w:rsidP="00684616">
            <w:pPr>
              <w:spacing w:before="0" w:after="0"/>
              <w:jc w:val="both"/>
            </w:pPr>
          </w:p>
          <w:p w14:paraId="253FED46" w14:textId="77777777" w:rsidR="000D1D92" w:rsidRPr="00830F85" w:rsidRDefault="000D1D92" w:rsidP="00684616">
            <w:pPr>
              <w:spacing w:before="0" w:after="0"/>
              <w:jc w:val="both"/>
            </w:pPr>
            <w:r w:rsidRPr="00830F85">
              <w:t>Given the known impact of all types of family and domestic violence on children, and the complexity of cases that now present to the Family Court</w:t>
            </w:r>
            <w:r>
              <w:t xml:space="preserve"> and the Federal Circuit Court</w:t>
            </w:r>
            <w:r w:rsidRPr="00830F85">
              <w:t>, consideration should be given to expanding the Magellan program to incorporate the broader definitions of family violence and abuse as reflected in the 2012 amendments.</w:t>
            </w:r>
          </w:p>
          <w:p w14:paraId="207E4EDA" w14:textId="77777777" w:rsidR="000D1D92" w:rsidRPr="007407A6" w:rsidRDefault="000D1D92" w:rsidP="00684616">
            <w:pPr>
              <w:spacing w:before="0" w:after="0"/>
              <w:rPr>
                <w:b/>
              </w:rPr>
            </w:pPr>
          </w:p>
        </w:tc>
      </w:tr>
    </w:tbl>
    <w:p w14:paraId="2FCC28D1" w14:textId="77777777" w:rsidR="000D1D92" w:rsidRPr="008C045D" w:rsidRDefault="000D1D92" w:rsidP="000D1D92">
      <w:pPr>
        <w:pStyle w:val="Heading2"/>
      </w:pPr>
      <w:bookmarkStart w:id="192" w:name="_Toc430702126"/>
      <w:bookmarkStart w:id="193" w:name="_Toc430945572"/>
      <w:bookmarkStart w:id="194" w:name="_Toc430950905"/>
      <w:bookmarkStart w:id="195" w:name="_Toc432061277"/>
      <w:bookmarkStart w:id="196" w:name="_Toc432577327"/>
      <w:r>
        <w:lastRenderedPageBreak/>
        <w:t>Key issues arising out of my examination</w:t>
      </w:r>
      <w:bookmarkEnd w:id="192"/>
      <w:bookmarkEnd w:id="193"/>
      <w:bookmarkEnd w:id="194"/>
      <w:bookmarkEnd w:id="195"/>
      <w:bookmarkEnd w:id="196"/>
    </w:p>
    <w:p w14:paraId="46469A84" w14:textId="77777777" w:rsidR="000D1D92" w:rsidRDefault="000D1D92" w:rsidP="000D1D92">
      <w:pPr>
        <w:jc w:val="both"/>
      </w:pPr>
      <w:r>
        <w:t>The aim of my national examination and my report is to make children an important</w:t>
      </w:r>
      <w:r w:rsidRPr="00EA1B84">
        <w:t xml:space="preserve"> focus</w:t>
      </w:r>
      <w:r>
        <w:t xml:space="preserve"> in the current conversation about family and domestic violence</w:t>
      </w:r>
      <w:r w:rsidRPr="00EA1B84">
        <w:t>.</w:t>
      </w:r>
    </w:p>
    <w:p w14:paraId="1DA28376" w14:textId="77777777" w:rsidR="000D1D92" w:rsidRDefault="000D1D92" w:rsidP="000D1D92">
      <w:pPr>
        <w:jc w:val="both"/>
      </w:pPr>
      <w:r>
        <w:t>Despite the lack of helpful national data about the prevalence and impacts of family and domestic violence on children aged 0 to 17 years, a number of issues emerged from my consultation.</w:t>
      </w:r>
    </w:p>
    <w:p w14:paraId="7E9A009C" w14:textId="77777777" w:rsidR="000D1D92" w:rsidRPr="00125610" w:rsidRDefault="000D1D92" w:rsidP="000D1D92">
      <w:pPr>
        <w:pStyle w:val="Heading3"/>
        <w:jc w:val="both"/>
      </w:pPr>
      <w:bookmarkStart w:id="197" w:name="_Toc430702127"/>
      <w:bookmarkStart w:id="198" w:name="_Toc432061278"/>
      <w:r w:rsidRPr="00125610">
        <w:lastRenderedPageBreak/>
        <w:t>National and disaggregated data about children affected by family and domestic violence is not readily available</w:t>
      </w:r>
      <w:bookmarkEnd w:id="197"/>
      <w:bookmarkEnd w:id="198"/>
      <w:r>
        <w:t xml:space="preserve"> </w:t>
      </w:r>
    </w:p>
    <w:p w14:paraId="75164A18" w14:textId="77777777" w:rsidR="000D1D92" w:rsidRDefault="000D1D92" w:rsidP="000D1D92">
      <w:pPr>
        <w:spacing w:before="0" w:after="0"/>
        <w:jc w:val="both"/>
      </w:pPr>
      <w:r>
        <w:t>The lack of reliable national data about children affected by family and domestic violence was raised throughout my consultation.</w:t>
      </w:r>
    </w:p>
    <w:p w14:paraId="73256A6F" w14:textId="77777777" w:rsidR="000D1D92" w:rsidRDefault="000D1D92" w:rsidP="000D1D92">
      <w:pPr>
        <w:jc w:val="both"/>
      </w:pPr>
      <w:r>
        <w:t xml:space="preserve">The data gaps undermine our ability to understand the full impact of family and domestic violence on our most vulnerable children. It is very difficult to build a national picture about children impacted by family and domestic violence. </w:t>
      </w:r>
    </w:p>
    <w:p w14:paraId="7D711DEE" w14:textId="77777777" w:rsidR="000D1D92" w:rsidRDefault="000D1D92" w:rsidP="000D1D92">
      <w:pPr>
        <w:jc w:val="both"/>
      </w:pPr>
      <w:r>
        <w:t>Ensuring Australia has adequate data holdings to monitor child wellbeing is critical and forms part of our obligations under the Convention on the Rights of the Child. Without this we cannot understand the extent or nature of the impact of family and domestic violence on children, nor identify the most effective ways to address it.</w:t>
      </w:r>
    </w:p>
    <w:p w14:paraId="77962C2B" w14:textId="77777777" w:rsidR="000D1D92" w:rsidRDefault="000D1D92" w:rsidP="000D1D92">
      <w:pPr>
        <w:spacing w:before="0" w:after="0"/>
        <w:jc w:val="both"/>
      </w:pPr>
      <w:r>
        <w:t>T</w:t>
      </w:r>
      <w:r w:rsidRPr="00BF4223">
        <w:t xml:space="preserve">he adoption of the ABS </w:t>
      </w:r>
      <w:r>
        <w:rPr>
          <w:rFonts w:cs="Arial"/>
        </w:rPr>
        <w:t>N</w:t>
      </w:r>
      <w:r w:rsidRPr="00384E6E">
        <w:rPr>
          <w:rFonts w:cs="Arial"/>
        </w:rPr>
        <w:t xml:space="preserve">ational </w:t>
      </w:r>
      <w:r>
        <w:rPr>
          <w:rFonts w:cs="Arial"/>
        </w:rPr>
        <w:t>D</w:t>
      </w:r>
      <w:r w:rsidRPr="00384E6E">
        <w:rPr>
          <w:rFonts w:cs="Arial"/>
        </w:rPr>
        <w:t xml:space="preserve">ata </w:t>
      </w:r>
      <w:r>
        <w:rPr>
          <w:rFonts w:cs="Arial"/>
        </w:rPr>
        <w:t>C</w:t>
      </w:r>
      <w:r w:rsidRPr="00384E6E">
        <w:rPr>
          <w:rFonts w:cs="Arial"/>
        </w:rPr>
        <w:t xml:space="preserve">ollection and </w:t>
      </w:r>
      <w:r>
        <w:rPr>
          <w:rFonts w:cs="Arial"/>
        </w:rPr>
        <w:t>R</w:t>
      </w:r>
      <w:r w:rsidRPr="00384E6E">
        <w:rPr>
          <w:rFonts w:cs="Arial"/>
        </w:rPr>
        <w:t xml:space="preserve">eporting </w:t>
      </w:r>
      <w:r>
        <w:rPr>
          <w:rFonts w:cs="Arial"/>
        </w:rPr>
        <w:t>F</w:t>
      </w:r>
      <w:r w:rsidRPr="00384E6E">
        <w:rPr>
          <w:rFonts w:cs="Arial"/>
        </w:rPr>
        <w:t xml:space="preserve">ramework across all jurisdictions </w:t>
      </w:r>
      <w:r>
        <w:rPr>
          <w:rFonts w:cs="Arial"/>
        </w:rPr>
        <w:t>is critical to address the current gaps in understanding about the prevalence and incidence of family and domestic violence.</w:t>
      </w:r>
    </w:p>
    <w:p w14:paraId="57295F70" w14:textId="77777777" w:rsidR="000D1D92" w:rsidRDefault="000D1D92" w:rsidP="000D1D92">
      <w:pPr>
        <w:spacing w:before="0" w:after="0"/>
        <w:jc w:val="both"/>
      </w:pPr>
    </w:p>
    <w:p w14:paraId="693F223A" w14:textId="77777777" w:rsidR="000D1D92" w:rsidRDefault="000D1D92" w:rsidP="000D1D92">
      <w:pPr>
        <w:spacing w:before="0" w:after="0"/>
        <w:jc w:val="both"/>
      </w:pPr>
      <w:r>
        <w:t>I urge all agencies and jurisdictions to work with the ABS towards adopting the foundations of its framework.</w:t>
      </w:r>
      <w:r>
        <w:rPr>
          <w:rStyle w:val="EndnoteReference"/>
        </w:rPr>
        <w:endnoteReference w:id="678"/>
      </w:r>
    </w:p>
    <w:p w14:paraId="36110368" w14:textId="77777777" w:rsidR="000D1D92" w:rsidRPr="00FC04F8" w:rsidRDefault="000D1D92" w:rsidP="000D1D92">
      <w:pPr>
        <w:pStyle w:val="Heading4"/>
      </w:pPr>
      <w:r w:rsidRPr="00FC04F8">
        <w:t>Limited breakdown on the age of child victims</w:t>
      </w:r>
    </w:p>
    <w:p w14:paraId="45BC7BAE" w14:textId="77777777" w:rsidR="000D1D92" w:rsidRDefault="000D1D92" w:rsidP="000D1D92">
      <w:pPr>
        <w:spacing w:before="0" w:after="0"/>
        <w:jc w:val="both"/>
      </w:pPr>
      <w:r>
        <w:t>The custom data provided to me based on the ABS Recorded Crime – Victims publication about child victims of physical assault and sexual assault could not be disaggregated beyond the age groupings of 0 to 9 years, 10 to 14 years and 15 to 17 years.</w:t>
      </w:r>
      <w:r>
        <w:rPr>
          <w:rStyle w:val="EndnoteReference"/>
        </w:rPr>
        <w:endnoteReference w:id="679"/>
      </w:r>
      <w:r>
        <w:t xml:space="preserve"> The limitation is because police data received by ABS is coded in terms of the three groupings, rather than in a single year format.</w:t>
      </w:r>
      <w:r>
        <w:rPr>
          <w:rStyle w:val="EndnoteReference"/>
        </w:rPr>
        <w:endnoteReference w:id="680"/>
      </w:r>
      <w:r>
        <w:t xml:space="preserve"> </w:t>
      </w:r>
    </w:p>
    <w:p w14:paraId="6AE1A650" w14:textId="77777777" w:rsidR="000D1D92" w:rsidRDefault="000D1D92" w:rsidP="000D1D92">
      <w:pPr>
        <w:jc w:val="both"/>
      </w:pPr>
      <w:r>
        <w:t>The current age groupings about child victims of physical assault and sexual assault are too broad to be particularly helpful. For example, the developmental stages of children under 2 years of age and children aged 7 years are very different, yet they are included in the one age group.</w:t>
      </w:r>
    </w:p>
    <w:p w14:paraId="6DB63EAD" w14:textId="77777777" w:rsidR="000D1D92" w:rsidRDefault="000D1D92" w:rsidP="000D1D92">
      <w:pPr>
        <w:spacing w:before="0" w:after="0"/>
        <w:jc w:val="both"/>
      </w:pPr>
      <w:r>
        <w:t>I am encouraged that, for the n</w:t>
      </w:r>
      <w:r w:rsidRPr="00346BBA">
        <w:t xml:space="preserve">ext cycle of </w:t>
      </w:r>
      <w:r>
        <w:t>data collection, ABS</w:t>
      </w:r>
      <w:r w:rsidRPr="00346BBA">
        <w:t xml:space="preserve"> will be requesting that police jurisdictions provide</w:t>
      </w:r>
      <w:r>
        <w:t xml:space="preserve"> information on the </w:t>
      </w:r>
      <w:r w:rsidRPr="00346BBA">
        <w:t>date</w:t>
      </w:r>
      <w:r>
        <w:t>s</w:t>
      </w:r>
      <w:r w:rsidRPr="00346BBA">
        <w:t xml:space="preserve"> of birth</w:t>
      </w:r>
      <w:r>
        <w:t xml:space="preserve"> of victims.</w:t>
      </w:r>
      <w:r w:rsidRPr="00346BBA">
        <w:t xml:space="preserve"> </w:t>
      </w:r>
      <w:r>
        <w:t>I</w:t>
      </w:r>
      <w:r w:rsidRPr="00346BBA">
        <w:t xml:space="preserve">t will be possible to derive the </w:t>
      </w:r>
      <w:r>
        <w:t>exact age of victims in future releases of the Recorded Crime – Victims publication.</w:t>
      </w:r>
    </w:p>
    <w:p w14:paraId="038F572E" w14:textId="77777777" w:rsidR="000D1D92" w:rsidRDefault="000D1D92" w:rsidP="000D1D92">
      <w:pPr>
        <w:jc w:val="both"/>
      </w:pPr>
      <w:r>
        <w:t xml:space="preserve">The custom experiences of childhood abuse data provided to me by ABS based on its 2012 Personal Safety Survey was disaggregated by four age groups (0 to 4 years, 4 to 9 years, 10 to 11 years and 12 to 14 years). The ABS was not able to provide data about people’s experiences of childhood abuse between the age of 15 and 17 years because the 2012 Personal Safety Survey only collected information from respondents about experiences of abuse before the age of 15. Experiences of childhood abuse between the ages of 15 and 17 was not collected in the survey. </w:t>
      </w:r>
    </w:p>
    <w:tbl>
      <w:tblPr>
        <w:tblStyle w:val="TableGrid"/>
        <w:tblW w:w="0" w:type="auto"/>
        <w:shd w:val="clear" w:color="auto" w:fill="F2F2F2" w:themeFill="background1" w:themeFillShade="F2"/>
        <w:tblLook w:val="04A0" w:firstRow="1" w:lastRow="0" w:firstColumn="1" w:lastColumn="0" w:noHBand="0" w:noVBand="1"/>
      </w:tblPr>
      <w:tblGrid>
        <w:gridCol w:w="9286"/>
      </w:tblGrid>
      <w:tr w:rsidR="000D1D92" w14:paraId="0CF58152" w14:textId="77777777" w:rsidTr="00684616">
        <w:tc>
          <w:tcPr>
            <w:tcW w:w="9286" w:type="dxa"/>
            <w:shd w:val="clear" w:color="auto" w:fill="F2F2F2" w:themeFill="background1" w:themeFillShade="F2"/>
          </w:tcPr>
          <w:p w14:paraId="2D103B95" w14:textId="77777777" w:rsidR="000D1D92" w:rsidRDefault="000D1D92" w:rsidP="00684616">
            <w:pPr>
              <w:jc w:val="both"/>
              <w:rPr>
                <w:b/>
              </w:rPr>
            </w:pPr>
            <w:r>
              <w:rPr>
                <w:b/>
              </w:rPr>
              <w:t xml:space="preserve">Recommendation 11: </w:t>
            </w:r>
          </w:p>
          <w:p w14:paraId="62CA7B9F" w14:textId="77777777" w:rsidR="000D1D92" w:rsidRDefault="000D1D92" w:rsidP="00684616">
            <w:pPr>
              <w:jc w:val="both"/>
            </w:pPr>
            <w:r>
              <w:rPr>
                <w:b/>
              </w:rPr>
              <w:t xml:space="preserve">The Australian Bureau of Statistics Personal Safety Survey should </w:t>
            </w:r>
            <w:r w:rsidRPr="0095244B">
              <w:rPr>
                <w:b/>
              </w:rPr>
              <w:t xml:space="preserve">extend its </w:t>
            </w:r>
            <w:r w:rsidRPr="0095244B">
              <w:rPr>
                <w:b/>
              </w:rPr>
              <w:lastRenderedPageBreak/>
              <w:t>collection of information from men and women aged 18 years and over about their experience</w:t>
            </w:r>
            <w:r>
              <w:rPr>
                <w:b/>
              </w:rPr>
              <w:t>s</w:t>
            </w:r>
            <w:r w:rsidRPr="0095244B">
              <w:rPr>
                <w:b/>
              </w:rPr>
              <w:t xml:space="preserve"> of </w:t>
            </w:r>
            <w:r>
              <w:rPr>
                <w:b/>
              </w:rPr>
              <w:t>abuse</w:t>
            </w:r>
            <w:r w:rsidRPr="0095244B">
              <w:rPr>
                <w:b/>
              </w:rPr>
              <w:t xml:space="preserve"> from the ages of </w:t>
            </w:r>
            <w:r>
              <w:rPr>
                <w:b/>
              </w:rPr>
              <w:t xml:space="preserve">0-15 </w:t>
            </w:r>
            <w:r w:rsidRPr="0095244B">
              <w:rPr>
                <w:b/>
              </w:rPr>
              <w:t>years to the ages of 0</w:t>
            </w:r>
            <w:r>
              <w:rPr>
                <w:b/>
              </w:rPr>
              <w:t xml:space="preserve">-17 </w:t>
            </w:r>
            <w:r w:rsidRPr="0095244B">
              <w:rPr>
                <w:b/>
              </w:rPr>
              <w:t>years.</w:t>
            </w:r>
          </w:p>
        </w:tc>
      </w:tr>
    </w:tbl>
    <w:p w14:paraId="416ED23F" w14:textId="77777777" w:rsidR="000D1D92" w:rsidRPr="00FC04F8" w:rsidRDefault="000D1D92" w:rsidP="000D1D92">
      <w:pPr>
        <w:pStyle w:val="Heading4"/>
      </w:pPr>
      <w:r w:rsidRPr="00FC04F8">
        <w:lastRenderedPageBreak/>
        <w:t xml:space="preserve">Limited data about offenders </w:t>
      </w:r>
    </w:p>
    <w:p w14:paraId="5384A236" w14:textId="77777777" w:rsidR="000D1D92" w:rsidRDefault="000D1D92" w:rsidP="000D1D92">
      <w:pPr>
        <w:jc w:val="both"/>
      </w:pPr>
      <w:r>
        <w:t>The custom data about offender types provided to me by ABS based on its Recorded Crime – Victims publication cannot be used in any aggregated or comparative way due to discrepancies in definitions and ways the data is recorded in different jurisdictions.</w:t>
      </w:r>
    </w:p>
    <w:p w14:paraId="224FDDF7" w14:textId="77777777" w:rsidR="000D1D92" w:rsidRDefault="000D1D92" w:rsidP="000D1D92">
      <w:pPr>
        <w:jc w:val="both"/>
      </w:pPr>
      <w:r>
        <w:t>For example, there are inconsistencies in the coding of current and former boyfriends and girlfriends as offenders:</w:t>
      </w:r>
    </w:p>
    <w:p w14:paraId="6D03193B" w14:textId="77777777" w:rsidR="000D1D92" w:rsidRDefault="000D1D92" w:rsidP="000D1D92">
      <w:pPr>
        <w:ind w:firstLine="360"/>
        <w:jc w:val="both"/>
      </w:pPr>
      <w:r>
        <w:t>Boyfriend/girlfriend:</w:t>
      </w:r>
    </w:p>
    <w:p w14:paraId="2AEBD7BC" w14:textId="77777777" w:rsidR="000D1D92" w:rsidRDefault="000D1D92" w:rsidP="000D1D92">
      <w:pPr>
        <w:pStyle w:val="ListParagraph"/>
        <w:numPr>
          <w:ilvl w:val="0"/>
          <w:numId w:val="47"/>
        </w:numPr>
        <w:jc w:val="both"/>
      </w:pPr>
      <w:r>
        <w:t xml:space="preserve">for New South Wales, Victoria, Queensland, South Australia and Tasmania, boyfriend and girlfriend are coded to ‘boyfriend/girlfriend’ </w:t>
      </w:r>
    </w:p>
    <w:p w14:paraId="34BFFEF8" w14:textId="77777777" w:rsidR="000D1D92" w:rsidRDefault="000D1D92" w:rsidP="000D1D92">
      <w:pPr>
        <w:pStyle w:val="ListParagraph"/>
        <w:numPr>
          <w:ilvl w:val="0"/>
          <w:numId w:val="47"/>
        </w:numPr>
        <w:jc w:val="both"/>
      </w:pPr>
      <w:r>
        <w:t>for the Northern Territory, some boyfriends and girlfriends may be included in 'Other non-family member not elsewhere classified' or in 'Partner'</w:t>
      </w:r>
    </w:p>
    <w:p w14:paraId="44A5485C" w14:textId="77777777" w:rsidR="000D1D92" w:rsidRDefault="000D1D92" w:rsidP="000D1D92">
      <w:pPr>
        <w:pStyle w:val="ListParagraph"/>
        <w:numPr>
          <w:ilvl w:val="0"/>
          <w:numId w:val="47"/>
        </w:numPr>
        <w:jc w:val="both"/>
      </w:pPr>
      <w:r>
        <w:t>for the Australian Capital Territory, boyfriend and girlfriend are coded to 'Partner'</w:t>
      </w:r>
    </w:p>
    <w:p w14:paraId="13D5CA37" w14:textId="77777777" w:rsidR="000D1D92" w:rsidRDefault="000D1D92" w:rsidP="000D1D92">
      <w:pPr>
        <w:ind w:firstLine="360"/>
        <w:jc w:val="both"/>
      </w:pPr>
      <w:r>
        <w:t>Ex-boyfriend/ex-girlfriend:</w:t>
      </w:r>
    </w:p>
    <w:p w14:paraId="0BBB5CD3" w14:textId="77777777" w:rsidR="000D1D92" w:rsidRDefault="000D1D92" w:rsidP="000D1D92">
      <w:pPr>
        <w:pStyle w:val="ListParagraph"/>
        <w:numPr>
          <w:ilvl w:val="0"/>
          <w:numId w:val="48"/>
        </w:numPr>
        <w:jc w:val="both"/>
      </w:pPr>
      <w:r>
        <w:t>for Queensland, Victoria, South Australia and Tasmania ex-boyfriends and ex-girlfriends are coded to ‘ex-boyfriend/ex-girlfriend’</w:t>
      </w:r>
    </w:p>
    <w:p w14:paraId="2DE4D103" w14:textId="77777777" w:rsidR="000D1D92" w:rsidRDefault="000D1D92" w:rsidP="000D1D92">
      <w:pPr>
        <w:pStyle w:val="ListParagraph"/>
        <w:numPr>
          <w:ilvl w:val="0"/>
          <w:numId w:val="48"/>
        </w:numPr>
        <w:jc w:val="both"/>
      </w:pPr>
      <w:r>
        <w:t>for New South Wales, ex-boyfriends and ex-girlfriends are coded to 'Boyfriend/girlfriend'</w:t>
      </w:r>
    </w:p>
    <w:p w14:paraId="3E332912" w14:textId="77777777" w:rsidR="000D1D92" w:rsidRDefault="000D1D92" w:rsidP="000D1D92">
      <w:pPr>
        <w:pStyle w:val="ListParagraph"/>
        <w:numPr>
          <w:ilvl w:val="0"/>
          <w:numId w:val="48"/>
        </w:numPr>
        <w:jc w:val="both"/>
      </w:pPr>
      <w:r>
        <w:t>for the Northern Territory and the Australian Capital Territory, ex-boyfriends and ex-girlfriends are coded to ‘Ex-partner’.</w:t>
      </w:r>
      <w:r>
        <w:rPr>
          <w:rStyle w:val="EndnoteReference"/>
        </w:rPr>
        <w:endnoteReference w:id="681"/>
      </w:r>
    </w:p>
    <w:p w14:paraId="4BBB6E3B" w14:textId="77777777" w:rsidR="000D1D92" w:rsidRDefault="000D1D92" w:rsidP="000D1D92">
      <w:pPr>
        <w:jc w:val="both"/>
      </w:pPr>
      <w:r>
        <w:t>I anticipate these present inconsistencies may be resolved when the ABS National Data Collection and Reporting Framework is adopted by all jurisdictions.</w:t>
      </w:r>
    </w:p>
    <w:p w14:paraId="7080AD57" w14:textId="77777777" w:rsidR="000D1D92" w:rsidRDefault="000D1D92" w:rsidP="000D1D92">
      <w:pPr>
        <w:jc w:val="both"/>
      </w:pPr>
      <w:r>
        <w:t>In the meantime, gaining national consistency in the coding of all offender relationships to child victims should be prioritised. Accurate data about types of offenders will assist in the development and evaluation of prevention initiatives to reduce the number of child victims of physical and sexual assault.</w:t>
      </w:r>
    </w:p>
    <w:tbl>
      <w:tblPr>
        <w:tblStyle w:val="TableGrid"/>
        <w:tblW w:w="0" w:type="auto"/>
        <w:shd w:val="clear" w:color="auto" w:fill="F2F2F2" w:themeFill="background1" w:themeFillShade="F2"/>
        <w:tblLook w:val="04A0" w:firstRow="1" w:lastRow="0" w:firstColumn="1" w:lastColumn="0" w:noHBand="0" w:noVBand="1"/>
      </w:tblPr>
      <w:tblGrid>
        <w:gridCol w:w="9060"/>
      </w:tblGrid>
      <w:tr w:rsidR="000D1D92" w14:paraId="3D397043" w14:textId="77777777" w:rsidTr="00684616">
        <w:tc>
          <w:tcPr>
            <w:tcW w:w="9060" w:type="dxa"/>
            <w:shd w:val="clear" w:color="auto" w:fill="F2F2F2" w:themeFill="background1" w:themeFillShade="F2"/>
          </w:tcPr>
          <w:p w14:paraId="1386CFA1" w14:textId="77777777" w:rsidR="000D1D92" w:rsidRDefault="000D1D92" w:rsidP="00684616">
            <w:pPr>
              <w:jc w:val="both"/>
              <w:rPr>
                <w:b/>
              </w:rPr>
            </w:pPr>
            <w:r>
              <w:rPr>
                <w:b/>
              </w:rPr>
              <w:t xml:space="preserve">Recommendation 12: </w:t>
            </w:r>
          </w:p>
          <w:p w14:paraId="35D8120E" w14:textId="77777777" w:rsidR="000D1D92" w:rsidRDefault="000D1D92" w:rsidP="00684616">
            <w:pPr>
              <w:jc w:val="both"/>
            </w:pPr>
            <w:r>
              <w:rPr>
                <w:b/>
              </w:rPr>
              <w:t>T</w:t>
            </w:r>
            <w:r w:rsidRPr="0095244B">
              <w:rPr>
                <w:b/>
              </w:rPr>
              <w:t>he Australian Bureau of Statistics prioritise working with state and territory jurisdictions to achieve national consistency in the coding of offender relationships to child victims.</w:t>
            </w:r>
          </w:p>
        </w:tc>
      </w:tr>
    </w:tbl>
    <w:p w14:paraId="5F9497A0" w14:textId="77777777" w:rsidR="000D1D92" w:rsidRPr="008C045D" w:rsidRDefault="000D1D92" w:rsidP="000D1D92">
      <w:pPr>
        <w:pStyle w:val="Heading3"/>
        <w:jc w:val="both"/>
      </w:pPr>
      <w:bookmarkStart w:id="199" w:name="_Toc430702128"/>
      <w:bookmarkStart w:id="200" w:name="_Toc432061279"/>
      <w:r w:rsidRPr="008C045D">
        <w:lastRenderedPageBreak/>
        <w:t>The need for early intervention</w:t>
      </w:r>
      <w:bookmarkEnd w:id="199"/>
      <w:bookmarkEnd w:id="200"/>
      <w:r w:rsidRPr="008C045D">
        <w:t xml:space="preserve"> </w:t>
      </w:r>
    </w:p>
    <w:p w14:paraId="6289B46F" w14:textId="77777777" w:rsidR="000D1D92" w:rsidRDefault="000D1D92" w:rsidP="000D1D92">
      <w:pPr>
        <w:jc w:val="both"/>
      </w:pPr>
      <w:r w:rsidRPr="005163D2">
        <w:t xml:space="preserve">Consistently I was told that early intervention </w:t>
      </w:r>
      <w:r>
        <w:t>must be a priority for children affected by</w:t>
      </w:r>
      <w:r w:rsidRPr="005163D2">
        <w:t xml:space="preserve"> family and domestic violence.</w:t>
      </w:r>
      <w:r w:rsidRPr="00D319B1">
        <w:t xml:space="preserve"> </w:t>
      </w:r>
    </w:p>
    <w:p w14:paraId="57DBE1F6" w14:textId="77777777" w:rsidR="000D1D92" w:rsidRDefault="000D1D92" w:rsidP="000D1D92">
      <w:pPr>
        <w:jc w:val="both"/>
      </w:pPr>
      <w:r>
        <w:t>The need for early intervention was reinforced by the data provided by the ABS and Kids Helpline, which showed that children in the younger age groups were predominately victims of violence.</w:t>
      </w:r>
    </w:p>
    <w:p w14:paraId="297879D4" w14:textId="77777777" w:rsidR="000D1D92" w:rsidRDefault="000D1D92" w:rsidP="000D1D92">
      <w:pPr>
        <w:jc w:val="both"/>
        <w:rPr>
          <w:rFonts w:cs="Arial"/>
        </w:rPr>
      </w:pPr>
      <w:r>
        <w:rPr>
          <w:rFonts w:cs="Arial"/>
        </w:rPr>
        <w:t xml:space="preserve">The custom data I obtained from the ABS, based on its Recorded Crime – Victims publication, about police recorded child victims of physical assault and sexual assault in a residential location shows that </w:t>
      </w:r>
      <w:r w:rsidRPr="002666B9">
        <w:rPr>
          <w:rFonts w:cs="Arial"/>
          <w:b/>
        </w:rPr>
        <w:t>male and female children aged 0 to 9 years</w:t>
      </w:r>
      <w:r>
        <w:rPr>
          <w:rFonts w:cs="Arial"/>
        </w:rPr>
        <w:t xml:space="preserve"> accounted for a significant proportion of child victims who </w:t>
      </w:r>
      <w:r>
        <w:rPr>
          <w:rFonts w:cs="Arial"/>
          <w:b/>
        </w:rPr>
        <w:t>reported the offender was their parent</w:t>
      </w:r>
      <w:r>
        <w:rPr>
          <w:rFonts w:cs="Arial"/>
        </w:rPr>
        <w:t xml:space="preserve">. </w:t>
      </w:r>
    </w:p>
    <w:p w14:paraId="0DE67D3B" w14:textId="77777777" w:rsidR="000D1D92" w:rsidRDefault="000D1D92" w:rsidP="000D1D92">
      <w:pPr>
        <w:jc w:val="both"/>
        <w:rPr>
          <w:rFonts w:cs="Arial"/>
        </w:rPr>
      </w:pPr>
      <w:r>
        <w:rPr>
          <w:rFonts w:cs="Arial"/>
        </w:rPr>
        <w:t>Based on the custom report provided to me by ABS, I was able to compare the proportion of both Indigenous and non-Indigenous child victims of physical assault and sexual assault by parents in the state of New South Wales only:</w:t>
      </w:r>
    </w:p>
    <w:p w14:paraId="5E5EF149" w14:textId="77777777" w:rsidR="000D1D92" w:rsidRDefault="000D1D92" w:rsidP="000D1D92">
      <w:pPr>
        <w:jc w:val="both"/>
        <w:rPr>
          <w:rFonts w:cs="Arial"/>
        </w:rPr>
      </w:pPr>
      <w:r w:rsidRPr="00B209FC">
        <w:rPr>
          <w:noProof/>
          <w:highlight w:val="yellow"/>
        </w:rPr>
        <w:drawing>
          <wp:inline distT="0" distB="0" distL="0" distR="0" wp14:anchorId="295D1D70" wp14:editId="743F0D07">
            <wp:extent cx="5759450" cy="3455670"/>
            <wp:effectExtent l="0" t="0" r="12700" b="11430"/>
            <wp:docPr id="201" name="Chart 201"/>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14:paraId="7B5B67D7" w14:textId="77777777" w:rsidR="000D1D92" w:rsidRDefault="000D1D92" w:rsidP="000D1D92">
      <w:pPr>
        <w:jc w:val="both"/>
      </w:pPr>
      <w:r w:rsidRPr="006D7B18">
        <w:t>The</w:t>
      </w:r>
      <w:r>
        <w:t xml:space="preserve"> custom ABS 2012 Personal Safety Survey </w:t>
      </w:r>
      <w:r w:rsidRPr="006D7B18">
        <w:t>data</w:t>
      </w:r>
      <w:r>
        <w:t xml:space="preserve"> about children who first experienced physical abuse and sexual abuse before the age of 15</w:t>
      </w:r>
      <w:r w:rsidRPr="006D7B18">
        <w:t xml:space="preserve"> also </w:t>
      </w:r>
      <w:r>
        <w:t xml:space="preserve">shows the vulnerability of young children, for example: </w:t>
      </w:r>
    </w:p>
    <w:p w14:paraId="7CAB99A3" w14:textId="77777777" w:rsidR="000D1D92" w:rsidRDefault="000D1D92" w:rsidP="000D1D92">
      <w:pPr>
        <w:ind w:left="720"/>
        <w:jc w:val="both"/>
      </w:pPr>
      <w:r w:rsidRPr="00D91F0C">
        <w:t xml:space="preserve">Of the 504,900 </w:t>
      </w:r>
      <w:r w:rsidRPr="00DD3A54">
        <w:rPr>
          <w:b/>
        </w:rPr>
        <w:t>male children</w:t>
      </w:r>
      <w:r w:rsidRPr="00D91F0C">
        <w:t xml:space="preserve"> aged 0 to 14 years whose first incident of </w:t>
      </w:r>
      <w:r w:rsidRPr="00DD3A54">
        <w:rPr>
          <w:b/>
        </w:rPr>
        <w:t>physical abuse was perpetrated by a parent</w:t>
      </w:r>
      <w:r w:rsidRPr="00D91F0C">
        <w:t>, 302,000 (59.8%) were aged between 4 and 9 years when the incident occurred</w:t>
      </w:r>
      <w:r>
        <w:t xml:space="preserve">. </w:t>
      </w:r>
    </w:p>
    <w:p w14:paraId="5E321034" w14:textId="77777777" w:rsidR="000D1D92" w:rsidRDefault="000D1D92" w:rsidP="000D1D92">
      <w:pPr>
        <w:ind w:left="720"/>
        <w:jc w:val="both"/>
      </w:pPr>
      <w:r w:rsidRPr="00F25844">
        <w:t xml:space="preserve">Of the 431,900 </w:t>
      </w:r>
      <w:r w:rsidRPr="00DD3A54">
        <w:rPr>
          <w:b/>
        </w:rPr>
        <w:t>female children</w:t>
      </w:r>
      <w:r w:rsidRPr="00F25844">
        <w:t xml:space="preserve"> aged 0 to 14 years whose first incident of </w:t>
      </w:r>
      <w:r w:rsidRPr="00DD3A54">
        <w:rPr>
          <w:b/>
        </w:rPr>
        <w:t>physical abuse was perpetrated by their father</w:t>
      </w:r>
      <w:r w:rsidRPr="00F25844">
        <w:t>, 246,900 (57.16%) were aged between 4 and 9 years when the incident occurred.</w:t>
      </w:r>
    </w:p>
    <w:p w14:paraId="41A47CD2" w14:textId="77777777" w:rsidR="000D1D92" w:rsidRDefault="000D1D92" w:rsidP="000D1D92">
      <w:pPr>
        <w:ind w:left="720"/>
        <w:jc w:val="both"/>
      </w:pPr>
      <w:r w:rsidRPr="00F25844">
        <w:lastRenderedPageBreak/>
        <w:t xml:space="preserve">Of the 150,700 </w:t>
      </w:r>
      <w:r w:rsidRPr="00DD3A54">
        <w:rPr>
          <w:b/>
        </w:rPr>
        <w:t>female children</w:t>
      </w:r>
      <w:r w:rsidRPr="00F25844">
        <w:t xml:space="preserve"> aged 0 to 14 years whose first incident of </w:t>
      </w:r>
      <w:r w:rsidRPr="00DD3A54">
        <w:rPr>
          <w:b/>
        </w:rPr>
        <w:t>sexual abuse was perpetrated by their father/stepfather</w:t>
      </w:r>
      <w:r w:rsidRPr="00F25844">
        <w:t>, 62,700 (41.6%) were aged between 4 and 9 years when the incident occurred.</w:t>
      </w:r>
    </w:p>
    <w:p w14:paraId="5E556DA3" w14:textId="77777777" w:rsidR="000D1D92" w:rsidRDefault="000D1D92" w:rsidP="000D1D92">
      <w:pPr>
        <w:ind w:left="720"/>
        <w:jc w:val="both"/>
      </w:pPr>
      <w:r>
        <w:t xml:space="preserve">Of the </w:t>
      </w:r>
      <w:r w:rsidRPr="00F25844">
        <w:t xml:space="preserve">296,000 </w:t>
      </w:r>
      <w:r w:rsidRPr="00DD3A54">
        <w:rPr>
          <w:b/>
        </w:rPr>
        <w:t>female children</w:t>
      </w:r>
      <w:r w:rsidRPr="00F25844">
        <w:t xml:space="preserve"> aged 0 to 14 years whose first incident of </w:t>
      </w:r>
      <w:r w:rsidRPr="00DD3A54">
        <w:rPr>
          <w:b/>
        </w:rPr>
        <w:t>sexual abuse was perpetrated by some other male relative or in-law</w:t>
      </w:r>
      <w:r w:rsidRPr="00F25844">
        <w:t xml:space="preserve">, 162,000 (54.72%) were aged between 4 and 9 years when the incident </w:t>
      </w:r>
      <w:r>
        <w:t xml:space="preserve"> </w:t>
      </w:r>
      <w:r w:rsidRPr="00F25844">
        <w:t>occurred.</w:t>
      </w:r>
    </w:p>
    <w:p w14:paraId="0E5BEEE5" w14:textId="77777777" w:rsidR="000D1D92" w:rsidRDefault="000D1D92" w:rsidP="000D1D92">
      <w:pPr>
        <w:jc w:val="both"/>
      </w:pPr>
      <w:r>
        <w:t>With respect to the Kids Helpline, when comparing its family and domestic violence contacts with the demographic characteristics of all contacts to the Kids Helpline, there was a higher rate of contact about family and domestic violence by children aged 5 to 11 years.</w:t>
      </w:r>
    </w:p>
    <w:p w14:paraId="77E87126" w14:textId="77777777" w:rsidR="000D1D92" w:rsidRDefault="000D1D92" w:rsidP="000D1D92">
      <w:pPr>
        <w:jc w:val="both"/>
        <w:rPr>
          <w:szCs w:val="20"/>
        </w:rPr>
      </w:pPr>
      <w:r>
        <w:t xml:space="preserve">Having said this, it should be noted that </w:t>
      </w:r>
      <w:r>
        <w:rPr>
          <w:szCs w:val="20"/>
        </w:rPr>
        <w:t>less than 1% of all contacts with the Kids Helpline involved concerns about family and domestic violence.</w:t>
      </w:r>
      <w:r>
        <w:rPr>
          <w:rStyle w:val="EndnoteReference"/>
          <w:szCs w:val="20"/>
        </w:rPr>
        <w:endnoteReference w:id="682"/>
      </w:r>
      <w:r>
        <w:rPr>
          <w:szCs w:val="20"/>
        </w:rPr>
        <w:t xml:space="preserve"> As the Kids Helpline submission stated:</w:t>
      </w:r>
    </w:p>
    <w:p w14:paraId="2B49B438" w14:textId="77777777" w:rsidR="000D1D92" w:rsidRPr="001A18F2" w:rsidRDefault="000D1D92" w:rsidP="000D1D92">
      <w:pPr>
        <w:ind w:left="720"/>
        <w:jc w:val="both"/>
        <w:rPr>
          <w:sz w:val="22"/>
          <w:szCs w:val="22"/>
        </w:rPr>
      </w:pPr>
      <w:r w:rsidRPr="009A09FD">
        <w:rPr>
          <w:sz w:val="22"/>
          <w:szCs w:val="22"/>
        </w:rPr>
        <w:t>It may be that children do not see Kids Helpline as an appropriate source of support for this situation, that they are seeking support elsewhere, or that they are not seeking support at all.</w:t>
      </w:r>
      <w:r w:rsidRPr="00624393">
        <w:rPr>
          <w:rStyle w:val="EndnoteReference"/>
          <w:szCs w:val="20"/>
        </w:rPr>
        <w:t xml:space="preserve"> </w:t>
      </w:r>
      <w:r>
        <w:rPr>
          <w:rStyle w:val="EndnoteReference"/>
          <w:szCs w:val="20"/>
        </w:rPr>
        <w:endnoteReference w:id="683"/>
      </w:r>
    </w:p>
    <w:p w14:paraId="45939419" w14:textId="77777777" w:rsidR="000D1D92" w:rsidRPr="00B55385" w:rsidRDefault="000D1D92" w:rsidP="000D1D92">
      <w:pPr>
        <w:jc w:val="both"/>
        <w:rPr>
          <w:rFonts w:cs="Arial"/>
        </w:rPr>
      </w:pPr>
      <w:r>
        <w:rPr>
          <w:rFonts w:cs="Arial"/>
        </w:rPr>
        <w:t>Research</w:t>
      </w:r>
      <w:r>
        <w:rPr>
          <w:rStyle w:val="EndnoteReference"/>
          <w:rFonts w:cs="Arial"/>
        </w:rPr>
        <w:endnoteReference w:id="684"/>
      </w:r>
      <w:r>
        <w:rPr>
          <w:rFonts w:cs="Arial"/>
        </w:rPr>
        <w:t xml:space="preserve"> into neuroscience has shown that:</w:t>
      </w:r>
    </w:p>
    <w:p w14:paraId="49A54F0F" w14:textId="77777777" w:rsidR="000D1D92" w:rsidRDefault="000D1D92" w:rsidP="000D1D92">
      <w:pPr>
        <w:ind w:left="720"/>
        <w:jc w:val="both"/>
        <w:rPr>
          <w:rFonts w:cs="Arial"/>
          <w:sz w:val="22"/>
          <w:szCs w:val="22"/>
        </w:rPr>
      </w:pPr>
      <w:r w:rsidRPr="00AE40E4">
        <w:rPr>
          <w:rFonts w:cs="Arial"/>
          <w:sz w:val="22"/>
          <w:szCs w:val="22"/>
        </w:rPr>
        <w:t>Early experiences influence the developing brain. From the prenatal period through the first years of life, the brain undergoes its most rapid development, and early experiences determine whether its architecture is sturdy or fragile. During early sensitive periods of development, the brain’s circuitry is most open to the influence of external experiences, for better or for worse.</w:t>
      </w:r>
      <w:r w:rsidRPr="00AE40E4">
        <w:rPr>
          <w:rStyle w:val="EndnoteReference"/>
          <w:rFonts w:cs="Arial"/>
          <w:sz w:val="22"/>
          <w:szCs w:val="22"/>
        </w:rPr>
        <w:endnoteReference w:id="685"/>
      </w:r>
    </w:p>
    <w:p w14:paraId="65D6D354" w14:textId="77777777" w:rsidR="000D1D92" w:rsidRDefault="000D1D92" w:rsidP="000D1D92">
      <w:pPr>
        <w:jc w:val="both"/>
        <w:rPr>
          <w:rFonts w:cs="Arial"/>
        </w:rPr>
      </w:pPr>
      <w:r>
        <w:rPr>
          <w:rFonts w:cs="Arial"/>
        </w:rPr>
        <w:t xml:space="preserve">Ms McKellar shared </w:t>
      </w:r>
      <w:r w:rsidRPr="00A712DE">
        <w:rPr>
          <w:rFonts w:cs="Arial"/>
        </w:rPr>
        <w:t xml:space="preserve">her experience of family and domestic violence including how it </w:t>
      </w:r>
      <w:r>
        <w:rPr>
          <w:rFonts w:cs="Arial"/>
        </w:rPr>
        <w:t>escalated</w:t>
      </w:r>
      <w:r w:rsidRPr="00A712DE">
        <w:rPr>
          <w:rFonts w:cs="Arial"/>
        </w:rPr>
        <w:t xml:space="preserve"> during her pregnancy and how it impacted on her daughter</w:t>
      </w:r>
      <w:r>
        <w:rPr>
          <w:rFonts w:cs="Arial"/>
        </w:rPr>
        <w:t xml:space="preserve"> in the early years</w:t>
      </w:r>
      <w:r w:rsidRPr="00A712DE">
        <w:rPr>
          <w:rFonts w:cs="Arial"/>
        </w:rPr>
        <w:t>.</w:t>
      </w:r>
    </w:p>
    <w:tbl>
      <w:tblPr>
        <w:tblStyle w:val="TableGrid"/>
        <w:tblW w:w="0" w:type="auto"/>
        <w:shd w:val="clear" w:color="auto" w:fill="F2F2F2" w:themeFill="background1" w:themeFillShade="F2"/>
        <w:tblLook w:val="04A0" w:firstRow="1" w:lastRow="0" w:firstColumn="1" w:lastColumn="0" w:noHBand="0" w:noVBand="1"/>
      </w:tblPr>
      <w:tblGrid>
        <w:gridCol w:w="9286"/>
      </w:tblGrid>
      <w:tr w:rsidR="000D1D92" w:rsidRPr="00605DD9" w14:paraId="1FAD8C04" w14:textId="77777777" w:rsidTr="00684616">
        <w:tc>
          <w:tcPr>
            <w:tcW w:w="9286" w:type="dxa"/>
            <w:shd w:val="clear" w:color="auto" w:fill="F2F2F2" w:themeFill="background1" w:themeFillShade="F2"/>
          </w:tcPr>
          <w:p w14:paraId="7D763865" w14:textId="77777777" w:rsidR="000D1D92" w:rsidRDefault="000D1D92" w:rsidP="00684616">
            <w:pPr>
              <w:spacing w:before="0" w:after="0"/>
              <w:jc w:val="both"/>
              <w:rPr>
                <w:b/>
              </w:rPr>
            </w:pPr>
          </w:p>
          <w:p w14:paraId="3B5E76B3" w14:textId="77777777" w:rsidR="000D1D92" w:rsidRPr="00830F85" w:rsidRDefault="000D1D92" w:rsidP="00684616">
            <w:pPr>
              <w:spacing w:before="0" w:after="0"/>
              <w:jc w:val="both"/>
              <w:rPr>
                <w:b/>
              </w:rPr>
            </w:pPr>
            <w:r w:rsidRPr="00830F85">
              <w:rPr>
                <w:b/>
              </w:rPr>
              <w:t>Extract from Ms McKellar’s written submission</w:t>
            </w:r>
            <w:r w:rsidRPr="00DD3A54">
              <w:rPr>
                <w:vertAlign w:val="superscript"/>
              </w:rPr>
              <w:endnoteReference w:id="686"/>
            </w:r>
          </w:p>
          <w:p w14:paraId="31FC7C2E" w14:textId="77777777" w:rsidR="000D1D92" w:rsidRPr="00830F85" w:rsidRDefault="000D1D92" w:rsidP="00684616">
            <w:pPr>
              <w:spacing w:before="0" w:after="0"/>
              <w:jc w:val="both"/>
              <w:rPr>
                <w:b/>
              </w:rPr>
            </w:pPr>
          </w:p>
          <w:p w14:paraId="3E34D1AB" w14:textId="77777777" w:rsidR="000D1D92" w:rsidRPr="00830F85" w:rsidRDefault="000D1D92" w:rsidP="00684616">
            <w:pPr>
              <w:spacing w:before="0" w:after="0"/>
              <w:jc w:val="both"/>
            </w:pPr>
            <w:r w:rsidRPr="00830F85">
              <w:t xml:space="preserve">Obligation sits with all of us to understand and prioritise the relationship between early life experiences and cognitive, social, emotional, and physical health and the consequences of chronic exposure to violence for the unborn child and in early childhood. </w:t>
            </w:r>
          </w:p>
          <w:p w14:paraId="0B5C689D" w14:textId="77777777" w:rsidR="000D1D92" w:rsidRPr="00830F85" w:rsidRDefault="000D1D92" w:rsidP="00684616">
            <w:pPr>
              <w:spacing w:before="0" w:after="0"/>
              <w:jc w:val="both"/>
            </w:pPr>
          </w:p>
          <w:p w14:paraId="7325FA31" w14:textId="77777777" w:rsidR="000D1D92" w:rsidRPr="00830F85" w:rsidRDefault="000D1D92" w:rsidP="00684616">
            <w:pPr>
              <w:spacing w:before="0" w:after="0"/>
              <w:jc w:val="both"/>
            </w:pPr>
            <w:r w:rsidRPr="00830F85">
              <w:t>My daughter’s brain development was heavily focussed on strengthening its strategies for survival in her hostile world, which disrupted her attachment and compromised her right to feel safe, calm, protected and nurtured.</w:t>
            </w:r>
          </w:p>
          <w:p w14:paraId="12FC1B9F" w14:textId="77777777" w:rsidR="000D1D92" w:rsidRPr="00830F85" w:rsidRDefault="000D1D92" w:rsidP="00684616">
            <w:pPr>
              <w:spacing w:before="0" w:after="0"/>
              <w:jc w:val="both"/>
            </w:pPr>
          </w:p>
          <w:p w14:paraId="6CBC52F0" w14:textId="77777777" w:rsidR="000D1D92" w:rsidRPr="00830F85" w:rsidRDefault="000D1D92" w:rsidP="00684616">
            <w:pPr>
              <w:spacing w:before="0" w:after="0"/>
              <w:jc w:val="both"/>
            </w:pPr>
            <w:r w:rsidRPr="00830F85">
              <w:t>The family violence my daughter suffered resulted in her developing hypervigilance, feeling highly sensitive, overreacting to triggers and nonverbal cues that other children would find non-threatening.</w:t>
            </w:r>
          </w:p>
          <w:p w14:paraId="0FC6B987" w14:textId="77777777" w:rsidR="000D1D92" w:rsidRPr="00830F85" w:rsidRDefault="000D1D92" w:rsidP="00684616">
            <w:pPr>
              <w:spacing w:before="0" w:after="0"/>
              <w:jc w:val="both"/>
            </w:pPr>
          </w:p>
          <w:p w14:paraId="55C818BA" w14:textId="77777777" w:rsidR="000D1D92" w:rsidRPr="00830F85" w:rsidRDefault="000D1D92" w:rsidP="00684616">
            <w:pPr>
              <w:spacing w:before="0" w:after="0"/>
              <w:jc w:val="both"/>
            </w:pPr>
            <w:r w:rsidRPr="00830F85">
              <w:t xml:space="preserve">I had to prioritise my daughter's early intervention and recovery, whilst acknowledging and addressing my own recovery, to ensure I could support and nurture her in reducing the negative physical, cognitive, emotional, and social growth </w:t>
            </w:r>
            <w:r w:rsidRPr="00830F85">
              <w:lastRenderedPageBreak/>
              <w:t>impacts from her early exposure to family violence.</w:t>
            </w:r>
          </w:p>
          <w:p w14:paraId="7869899C" w14:textId="77777777" w:rsidR="000D1D92" w:rsidRPr="00830F85" w:rsidRDefault="000D1D92" w:rsidP="00684616">
            <w:pPr>
              <w:spacing w:before="0" w:after="0"/>
              <w:jc w:val="both"/>
            </w:pPr>
          </w:p>
          <w:p w14:paraId="03D1110C" w14:textId="77777777" w:rsidR="000D1D92" w:rsidRDefault="000D1D92" w:rsidP="00684616">
            <w:pPr>
              <w:spacing w:before="0" w:after="0"/>
              <w:jc w:val="both"/>
            </w:pPr>
            <w:r w:rsidRPr="00830F85">
              <w:t>I hope to assist in providing a wider appreciation of the devastating impact of family violence on the unborn and developing child, influencing decisions that will create a safer, more predictable and enriching world for children.</w:t>
            </w:r>
          </w:p>
          <w:p w14:paraId="0687B814" w14:textId="77777777" w:rsidR="000D1D92" w:rsidRPr="00605DD9" w:rsidRDefault="000D1D92" w:rsidP="00684616">
            <w:pPr>
              <w:spacing w:before="0" w:after="0"/>
              <w:jc w:val="both"/>
            </w:pPr>
          </w:p>
        </w:tc>
      </w:tr>
    </w:tbl>
    <w:p w14:paraId="5FE14A7F" w14:textId="77777777" w:rsidR="000D1D92" w:rsidRDefault="000D1D92" w:rsidP="000D1D92">
      <w:pPr>
        <w:autoSpaceDE w:val="0"/>
        <w:autoSpaceDN w:val="0"/>
        <w:adjustRightInd w:val="0"/>
        <w:spacing w:before="0" w:after="0"/>
        <w:jc w:val="both"/>
        <w:rPr>
          <w:rFonts w:cs="Arial"/>
          <w:b/>
        </w:rPr>
      </w:pPr>
    </w:p>
    <w:p w14:paraId="60F3CA31" w14:textId="77777777" w:rsidR="000D1D92" w:rsidRPr="005466EA" w:rsidRDefault="000D1D92" w:rsidP="000D1D92">
      <w:pPr>
        <w:autoSpaceDE w:val="0"/>
        <w:autoSpaceDN w:val="0"/>
        <w:adjustRightInd w:val="0"/>
        <w:spacing w:before="0" w:after="0"/>
        <w:jc w:val="both"/>
        <w:rPr>
          <w:rFonts w:cs="Arial"/>
          <w:b/>
        </w:rPr>
      </w:pPr>
      <w:r w:rsidRPr="005466EA">
        <w:rPr>
          <w:rFonts w:cs="Arial"/>
          <w:b/>
        </w:rPr>
        <w:t>Information on family and domestic violence in pregnancy was identified as a key information gap in the National Maternity Data Development Project.</w:t>
      </w:r>
      <w:r w:rsidRPr="00DD3A54">
        <w:rPr>
          <w:rStyle w:val="EndnoteReference"/>
          <w:rFonts w:cs="Arial"/>
        </w:rPr>
        <w:endnoteReference w:id="687"/>
      </w:r>
      <w:r w:rsidRPr="005466EA">
        <w:rPr>
          <w:rFonts w:cs="Arial"/>
          <w:b/>
        </w:rPr>
        <w:t xml:space="preserve"> </w:t>
      </w:r>
    </w:p>
    <w:p w14:paraId="03A0B4C3" w14:textId="77777777" w:rsidR="000D1D92" w:rsidRDefault="000D1D92" w:rsidP="000D1D92">
      <w:pPr>
        <w:autoSpaceDE w:val="0"/>
        <w:autoSpaceDN w:val="0"/>
        <w:adjustRightInd w:val="0"/>
        <w:spacing w:before="0" w:after="0"/>
        <w:jc w:val="both"/>
        <w:rPr>
          <w:rFonts w:cs="Arial"/>
        </w:rPr>
      </w:pPr>
    </w:p>
    <w:p w14:paraId="47435316" w14:textId="77777777" w:rsidR="000D1D92" w:rsidRDefault="000D1D92" w:rsidP="000D1D92">
      <w:pPr>
        <w:autoSpaceDE w:val="0"/>
        <w:autoSpaceDN w:val="0"/>
        <w:adjustRightInd w:val="0"/>
        <w:spacing w:before="0" w:after="0"/>
        <w:jc w:val="both"/>
        <w:rPr>
          <w:rFonts w:cs="Arial"/>
        </w:rPr>
      </w:pPr>
      <w:r>
        <w:rPr>
          <w:rFonts w:cs="Arial"/>
        </w:rPr>
        <w:t>N</w:t>
      </w:r>
      <w:r w:rsidRPr="00080966">
        <w:rPr>
          <w:rFonts w:cs="Arial"/>
        </w:rPr>
        <w:t xml:space="preserve">o jurisdiction </w:t>
      </w:r>
      <w:r>
        <w:rPr>
          <w:rFonts w:cs="Arial"/>
        </w:rPr>
        <w:t xml:space="preserve">collects information on family and domestic violence as part of its </w:t>
      </w:r>
      <w:r w:rsidRPr="002F6F70">
        <w:rPr>
          <w:rFonts w:cs="Arial"/>
        </w:rPr>
        <w:t>Perinatal Data Collection</w:t>
      </w:r>
      <w:r>
        <w:rPr>
          <w:rFonts w:cs="Arial"/>
        </w:rPr>
        <w:t xml:space="preserve">. Currently, some </w:t>
      </w:r>
      <w:r w:rsidRPr="00080966">
        <w:rPr>
          <w:rFonts w:cs="Arial"/>
        </w:rPr>
        <w:t xml:space="preserve">jurisdictions </w:t>
      </w:r>
      <w:r>
        <w:rPr>
          <w:rFonts w:cs="Arial"/>
        </w:rPr>
        <w:t>do routinely screen women for family and domestic violence</w:t>
      </w:r>
      <w:r w:rsidRPr="00080966">
        <w:rPr>
          <w:rFonts w:cs="Arial"/>
        </w:rPr>
        <w:t xml:space="preserve"> in pre</w:t>
      </w:r>
      <w:r>
        <w:rPr>
          <w:rFonts w:cs="Arial"/>
        </w:rPr>
        <w:t xml:space="preserve">gnancy while others screen on a </w:t>
      </w:r>
      <w:r w:rsidRPr="00080966">
        <w:rPr>
          <w:rFonts w:cs="Arial"/>
        </w:rPr>
        <w:t>case-by-case basis.</w:t>
      </w:r>
      <w:r>
        <w:rPr>
          <w:rStyle w:val="EndnoteReference"/>
          <w:rFonts w:cs="Arial"/>
        </w:rPr>
        <w:endnoteReference w:id="688"/>
      </w:r>
    </w:p>
    <w:p w14:paraId="7CD7604F" w14:textId="77777777" w:rsidR="000D1D92" w:rsidRDefault="000D1D92" w:rsidP="000D1D92">
      <w:pPr>
        <w:jc w:val="both"/>
      </w:pPr>
      <w:r>
        <w:rPr>
          <w:rFonts w:cs="Arial"/>
        </w:rPr>
        <w:t xml:space="preserve">A participant at my Perth Roundtable, Ms </w:t>
      </w:r>
      <w:r w:rsidRPr="007212A7">
        <w:rPr>
          <w:rFonts w:cs="Arial"/>
        </w:rPr>
        <w:t>Sharon Cooke</w:t>
      </w:r>
      <w:r>
        <w:rPr>
          <w:rFonts w:cs="Arial"/>
        </w:rPr>
        <w:t xml:space="preserve">, </w:t>
      </w:r>
      <w:r>
        <w:t>Australian Association for Infant Mental Health West Australian Branch indicated that:</w:t>
      </w:r>
    </w:p>
    <w:p w14:paraId="6D96B76C" w14:textId="77777777" w:rsidR="000D1D92" w:rsidRDefault="000D1D92" w:rsidP="000D1D92">
      <w:pPr>
        <w:autoSpaceDE w:val="0"/>
        <w:autoSpaceDN w:val="0"/>
        <w:adjustRightInd w:val="0"/>
        <w:spacing w:before="0" w:after="0"/>
        <w:ind w:left="720"/>
        <w:jc w:val="both"/>
        <w:rPr>
          <w:sz w:val="22"/>
          <w:szCs w:val="22"/>
        </w:rPr>
      </w:pPr>
      <w:r w:rsidRPr="00AE40E4">
        <w:rPr>
          <w:sz w:val="22"/>
          <w:szCs w:val="22"/>
        </w:rPr>
        <w:t>In the last 30 years we have seen a marked erosion in quality coordinated continuous care of families from pregnancy to school-age…It’s a critical window of time that can most significantly impact the trajectory of an individual’s life – maximising brain development, regulating their stress response (HPA axis) and creating psychological, social/emotional and physical wellbeing…Recent breakthroughs in how we understand brain development and epigenetics point towards early intervention as the best long-term outcome for all.</w:t>
      </w:r>
      <w:r w:rsidRPr="00AE40E4">
        <w:rPr>
          <w:rStyle w:val="EndnoteReference"/>
          <w:sz w:val="22"/>
          <w:szCs w:val="22"/>
        </w:rPr>
        <w:endnoteReference w:id="689"/>
      </w:r>
    </w:p>
    <w:p w14:paraId="4A07ACD6" w14:textId="77777777" w:rsidR="000D1D92" w:rsidRDefault="000D1D92" w:rsidP="000D1D92">
      <w:pPr>
        <w:autoSpaceDE w:val="0"/>
        <w:autoSpaceDN w:val="0"/>
        <w:adjustRightInd w:val="0"/>
        <w:spacing w:before="0" w:after="0"/>
        <w:jc w:val="both"/>
        <w:rPr>
          <w:rFonts w:cs="Arial"/>
        </w:rPr>
      </w:pPr>
    </w:p>
    <w:p w14:paraId="237E584C" w14:textId="77777777" w:rsidR="000D1D92" w:rsidRDefault="000D1D92" w:rsidP="000D1D92">
      <w:pPr>
        <w:autoSpaceDE w:val="0"/>
        <w:autoSpaceDN w:val="0"/>
        <w:adjustRightInd w:val="0"/>
        <w:spacing w:before="0" w:after="0"/>
        <w:jc w:val="both"/>
        <w:rPr>
          <w:rFonts w:cs="Arial"/>
        </w:rPr>
      </w:pPr>
      <w:r>
        <w:rPr>
          <w:rFonts w:cs="Arial"/>
        </w:rPr>
        <w:t>The Royal Australian and New Zealand College of Psychiatrists pointed out that:</w:t>
      </w:r>
    </w:p>
    <w:p w14:paraId="410E2B2F" w14:textId="77777777" w:rsidR="000D1D92" w:rsidRDefault="000D1D92" w:rsidP="000D1D92">
      <w:pPr>
        <w:autoSpaceDE w:val="0"/>
        <w:autoSpaceDN w:val="0"/>
        <w:adjustRightInd w:val="0"/>
        <w:spacing w:before="0" w:after="0"/>
        <w:ind w:left="720"/>
        <w:jc w:val="both"/>
        <w:rPr>
          <w:rFonts w:cs="Arial"/>
        </w:rPr>
      </w:pPr>
    </w:p>
    <w:p w14:paraId="579B802A" w14:textId="77777777" w:rsidR="000D1D92" w:rsidRDefault="000D1D92" w:rsidP="000D1D92">
      <w:pPr>
        <w:autoSpaceDE w:val="0"/>
        <w:autoSpaceDN w:val="0"/>
        <w:adjustRightInd w:val="0"/>
        <w:spacing w:before="0" w:after="0"/>
        <w:ind w:left="720"/>
        <w:jc w:val="both"/>
        <w:rPr>
          <w:rStyle w:val="EndnoteReference"/>
          <w:sz w:val="18"/>
          <w:szCs w:val="22"/>
          <w:lang w:val="en-US"/>
        </w:rPr>
      </w:pPr>
      <w:r w:rsidRPr="00296DFA">
        <w:rPr>
          <w:rFonts w:cs="Arial"/>
          <w:sz w:val="22"/>
        </w:rPr>
        <w:t>Pregnancy is a time of heightened risk for mother and child. Doctors must ensure they screen women for family violence and be familiar with appropriate responses.</w:t>
      </w:r>
      <w:r w:rsidRPr="00296DFA">
        <w:rPr>
          <w:rStyle w:val="EndnoteReference"/>
          <w:sz w:val="18"/>
          <w:szCs w:val="22"/>
          <w:lang w:val="en-US"/>
        </w:rPr>
        <w:t xml:space="preserve"> </w:t>
      </w:r>
      <w:r w:rsidRPr="00296DFA">
        <w:rPr>
          <w:rStyle w:val="EndnoteReference"/>
          <w:sz w:val="18"/>
          <w:szCs w:val="22"/>
          <w:lang w:val="en-US"/>
        </w:rPr>
        <w:endnoteReference w:id="690"/>
      </w:r>
    </w:p>
    <w:p w14:paraId="0390C026" w14:textId="77777777" w:rsidR="000D1D92" w:rsidRDefault="000D1D92" w:rsidP="000D1D92">
      <w:pPr>
        <w:autoSpaceDE w:val="0"/>
        <w:autoSpaceDN w:val="0"/>
        <w:adjustRightInd w:val="0"/>
        <w:spacing w:before="0" w:after="0"/>
        <w:jc w:val="both"/>
        <w:rPr>
          <w:rFonts w:cs="Arial"/>
        </w:rPr>
      </w:pPr>
    </w:p>
    <w:p w14:paraId="63283311" w14:textId="77777777" w:rsidR="000D1D92" w:rsidRDefault="000D1D92" w:rsidP="000D1D92">
      <w:pPr>
        <w:autoSpaceDE w:val="0"/>
        <w:autoSpaceDN w:val="0"/>
        <w:adjustRightInd w:val="0"/>
        <w:spacing w:before="0" w:after="0"/>
        <w:jc w:val="both"/>
        <w:rPr>
          <w:rFonts w:cs="Arial"/>
        </w:rPr>
      </w:pPr>
      <w:r>
        <w:rPr>
          <w:rFonts w:cs="Arial"/>
        </w:rPr>
        <w:t xml:space="preserve">I am very encouraged by the 2015 </w:t>
      </w:r>
      <w:r w:rsidRPr="00272D6F">
        <w:rPr>
          <w:rFonts w:cs="Arial"/>
        </w:rPr>
        <w:t>Australian Institute of Health and We</w:t>
      </w:r>
      <w:r>
        <w:rPr>
          <w:rFonts w:cs="Arial"/>
        </w:rPr>
        <w:t xml:space="preserve">lfare’s report on </w:t>
      </w:r>
      <w:r w:rsidRPr="00B56853">
        <w:rPr>
          <w:rFonts w:cs="Arial"/>
          <w:i/>
        </w:rPr>
        <w:t>Screening for domestic violence during pregnancy - Options for future reporting in the National Perinatal Data Collection</w:t>
      </w:r>
      <w:r>
        <w:rPr>
          <w:rFonts w:cs="Arial"/>
        </w:rPr>
        <w:t>.</w:t>
      </w:r>
      <w:r>
        <w:rPr>
          <w:rStyle w:val="EndnoteReference"/>
          <w:rFonts w:cs="Arial"/>
        </w:rPr>
        <w:endnoteReference w:id="691"/>
      </w:r>
      <w:r>
        <w:rPr>
          <w:rFonts w:cs="Arial"/>
        </w:rPr>
        <w:t xml:space="preserve"> </w:t>
      </w:r>
    </w:p>
    <w:p w14:paraId="183BF509" w14:textId="77777777" w:rsidR="000D1D92" w:rsidRDefault="000D1D92" w:rsidP="000D1D92">
      <w:pPr>
        <w:autoSpaceDE w:val="0"/>
        <w:autoSpaceDN w:val="0"/>
        <w:adjustRightInd w:val="0"/>
        <w:spacing w:before="0" w:after="0"/>
        <w:jc w:val="both"/>
        <w:rPr>
          <w:rFonts w:cs="Arial"/>
        </w:rPr>
      </w:pPr>
    </w:p>
    <w:p w14:paraId="4F341649" w14:textId="77777777" w:rsidR="000D1D92" w:rsidRDefault="000D1D92" w:rsidP="000D1D92">
      <w:pPr>
        <w:autoSpaceDE w:val="0"/>
        <w:autoSpaceDN w:val="0"/>
        <w:adjustRightInd w:val="0"/>
        <w:spacing w:before="0" w:after="0"/>
        <w:jc w:val="both"/>
        <w:rPr>
          <w:rFonts w:cs="Arial"/>
        </w:rPr>
      </w:pPr>
      <w:r>
        <w:rPr>
          <w:rFonts w:cs="Arial"/>
        </w:rPr>
        <w:t>The</w:t>
      </w:r>
      <w:r w:rsidRPr="00272D6F">
        <w:rPr>
          <w:rFonts w:cs="Arial"/>
        </w:rPr>
        <w:t xml:space="preserve"> report discusses barrier</w:t>
      </w:r>
      <w:r>
        <w:rPr>
          <w:rFonts w:cs="Arial"/>
        </w:rPr>
        <w:t xml:space="preserve">s to, and opportunities for, the </w:t>
      </w:r>
      <w:r w:rsidRPr="00272D6F">
        <w:rPr>
          <w:rFonts w:cs="Arial"/>
        </w:rPr>
        <w:t>collection of data on screeni</w:t>
      </w:r>
      <w:r>
        <w:rPr>
          <w:rFonts w:cs="Arial"/>
        </w:rPr>
        <w:t xml:space="preserve">ng for family and domestic violence during </w:t>
      </w:r>
      <w:r w:rsidRPr="00272D6F">
        <w:rPr>
          <w:rFonts w:cs="Arial"/>
        </w:rPr>
        <w:t>pregnancy.</w:t>
      </w:r>
      <w:r>
        <w:rPr>
          <w:rFonts w:cs="Arial"/>
        </w:rPr>
        <w:t xml:space="preserve"> The report proposes options for data collection through the </w:t>
      </w:r>
      <w:r w:rsidRPr="00272D6F">
        <w:rPr>
          <w:rFonts w:cs="Arial"/>
        </w:rPr>
        <w:t>National Perinatal Data Collection</w:t>
      </w:r>
      <w:r>
        <w:rPr>
          <w:rFonts w:cs="Arial"/>
        </w:rPr>
        <w:t>.</w:t>
      </w:r>
    </w:p>
    <w:p w14:paraId="1C47DB51" w14:textId="77777777" w:rsidR="000D1D92" w:rsidRDefault="000D1D92" w:rsidP="000D1D92">
      <w:pPr>
        <w:jc w:val="both"/>
        <w:rPr>
          <w:rFonts w:cs="Arial"/>
        </w:rPr>
      </w:pPr>
      <w:r w:rsidRPr="00A712DE">
        <w:rPr>
          <w:rFonts w:cs="Arial"/>
        </w:rPr>
        <w:t xml:space="preserve">A mother of a child with disability who experienced family and domestic violence during pregnancy and after giving birth provided me with a submission from </w:t>
      </w:r>
      <w:r>
        <w:rPr>
          <w:rFonts w:cs="Arial"/>
        </w:rPr>
        <w:t>which I have taken this extract.</w:t>
      </w:r>
    </w:p>
    <w:tbl>
      <w:tblPr>
        <w:tblStyle w:val="TableGrid"/>
        <w:tblW w:w="0" w:type="auto"/>
        <w:shd w:val="clear" w:color="auto" w:fill="F2F2F2" w:themeFill="background1" w:themeFillShade="F2"/>
        <w:tblLook w:val="04A0" w:firstRow="1" w:lastRow="0" w:firstColumn="1" w:lastColumn="0" w:noHBand="0" w:noVBand="1"/>
      </w:tblPr>
      <w:tblGrid>
        <w:gridCol w:w="9286"/>
      </w:tblGrid>
      <w:tr w:rsidR="000D1D92" w:rsidRPr="00605DD9" w14:paraId="4CEE4062" w14:textId="77777777" w:rsidTr="00684616">
        <w:tc>
          <w:tcPr>
            <w:tcW w:w="9286" w:type="dxa"/>
            <w:shd w:val="clear" w:color="auto" w:fill="F2F2F2" w:themeFill="background1" w:themeFillShade="F2"/>
          </w:tcPr>
          <w:p w14:paraId="0BB58261" w14:textId="77777777" w:rsidR="000D1D92" w:rsidRDefault="000D1D92" w:rsidP="00684616">
            <w:pPr>
              <w:spacing w:before="0" w:after="0"/>
              <w:jc w:val="both"/>
              <w:rPr>
                <w:b/>
              </w:rPr>
            </w:pPr>
          </w:p>
          <w:p w14:paraId="4D576F72" w14:textId="77777777" w:rsidR="000D1D92" w:rsidRDefault="000D1D92" w:rsidP="00684616">
            <w:pPr>
              <w:spacing w:before="0" w:after="0"/>
              <w:jc w:val="both"/>
              <w:rPr>
                <w:b/>
              </w:rPr>
            </w:pPr>
            <w:r w:rsidRPr="00830F85">
              <w:rPr>
                <w:b/>
              </w:rPr>
              <w:t>Extract from Ms Emma Gierschick’s written submission</w:t>
            </w:r>
            <w:r w:rsidRPr="00830F85">
              <w:rPr>
                <w:b/>
                <w:vertAlign w:val="superscript"/>
              </w:rPr>
              <w:endnoteReference w:id="692"/>
            </w:r>
          </w:p>
          <w:p w14:paraId="2E5B48B3" w14:textId="77777777" w:rsidR="000D1D92" w:rsidRPr="00830F85" w:rsidRDefault="000D1D92" w:rsidP="00684616">
            <w:pPr>
              <w:spacing w:before="0" w:after="0"/>
              <w:jc w:val="both"/>
              <w:rPr>
                <w:b/>
              </w:rPr>
            </w:pPr>
          </w:p>
          <w:p w14:paraId="7F00BE29" w14:textId="77777777" w:rsidR="000D1D92" w:rsidRDefault="000D1D92" w:rsidP="00684616">
            <w:pPr>
              <w:spacing w:before="0" w:after="0"/>
              <w:jc w:val="both"/>
            </w:pPr>
            <w:r w:rsidRPr="00830F85">
              <w:t xml:space="preserve">I have absolutely NO photos of </w:t>
            </w:r>
            <w:r w:rsidRPr="00537FD4">
              <w:rPr>
                <w:highlight w:val="black"/>
              </w:rPr>
              <w:t>-----</w:t>
            </w:r>
            <w:r w:rsidRPr="00830F85">
              <w:t xml:space="preserve"> smiling at all in the first 20 months of her life – and just thought I had an unanimated quiet withdrawn child who would look startled with big wide eyes most of the time – who didn’t smile. She rarely cried, but also didn’t engage much and certainly never laughed or giggled with happiness or joy. It was only upon leaving that I discovered what a giggly, energetic bundle of mess, noise and mischief I have who is always very ‘busy’ and loves dancing, singing and </w:t>
            </w:r>
            <w:r w:rsidRPr="00830F85">
              <w:lastRenderedPageBreak/>
              <w:t>laughing. She wakes with a smile on her face now or a giggle.</w:t>
            </w:r>
          </w:p>
          <w:p w14:paraId="5A8C2181" w14:textId="77777777" w:rsidR="000D1D92" w:rsidRPr="00830F85" w:rsidRDefault="000D1D92" w:rsidP="00684616">
            <w:pPr>
              <w:spacing w:before="0" w:after="0"/>
              <w:jc w:val="both"/>
            </w:pPr>
          </w:p>
        </w:tc>
      </w:tr>
    </w:tbl>
    <w:p w14:paraId="6B28C65E" w14:textId="77777777" w:rsidR="000D1D92" w:rsidRDefault="000D1D92" w:rsidP="000D1D92">
      <w:pPr>
        <w:autoSpaceDE w:val="0"/>
        <w:autoSpaceDN w:val="0"/>
        <w:adjustRightInd w:val="0"/>
        <w:spacing w:before="0" w:after="0"/>
        <w:jc w:val="both"/>
        <w:rPr>
          <w:rFonts w:cs="Arial"/>
        </w:rPr>
      </w:pPr>
    </w:p>
    <w:p w14:paraId="164EEB07" w14:textId="77777777" w:rsidR="000D1D92" w:rsidRDefault="000D1D92" w:rsidP="000D1D92">
      <w:pPr>
        <w:autoSpaceDE w:val="0"/>
        <w:autoSpaceDN w:val="0"/>
        <w:adjustRightInd w:val="0"/>
        <w:spacing w:before="0" w:after="0"/>
        <w:jc w:val="both"/>
        <w:rPr>
          <w:rFonts w:cs="Arial"/>
        </w:rPr>
      </w:pPr>
      <w:r>
        <w:rPr>
          <w:rFonts w:cs="Arial"/>
        </w:rPr>
        <w:t>Future screening will enable women experiencing family and domestic violence to have an increased chance of receiving support. I will monitor progress for the screening of family and domestic violence during pregnancy.</w:t>
      </w:r>
    </w:p>
    <w:p w14:paraId="6C9B2E27" w14:textId="77777777" w:rsidR="000D1D92" w:rsidRDefault="000D1D92" w:rsidP="000D1D92">
      <w:pPr>
        <w:autoSpaceDE w:val="0"/>
        <w:autoSpaceDN w:val="0"/>
        <w:adjustRightInd w:val="0"/>
        <w:spacing w:before="0" w:after="0"/>
        <w:jc w:val="both"/>
        <w:rPr>
          <w:rFonts w:cs="Arial"/>
        </w:rPr>
      </w:pPr>
    </w:p>
    <w:tbl>
      <w:tblPr>
        <w:tblStyle w:val="TableGrid"/>
        <w:tblW w:w="0" w:type="auto"/>
        <w:shd w:val="clear" w:color="auto" w:fill="F2F2F2" w:themeFill="background1" w:themeFillShade="F2"/>
        <w:tblLook w:val="04A0" w:firstRow="1" w:lastRow="0" w:firstColumn="1" w:lastColumn="0" w:noHBand="0" w:noVBand="1"/>
      </w:tblPr>
      <w:tblGrid>
        <w:gridCol w:w="9060"/>
      </w:tblGrid>
      <w:tr w:rsidR="000D1D92" w14:paraId="0CC707A9" w14:textId="77777777" w:rsidTr="00684616">
        <w:tc>
          <w:tcPr>
            <w:tcW w:w="9060" w:type="dxa"/>
            <w:shd w:val="clear" w:color="auto" w:fill="F2F2F2" w:themeFill="background1" w:themeFillShade="F2"/>
          </w:tcPr>
          <w:p w14:paraId="18467A5E" w14:textId="77777777" w:rsidR="000D1D92" w:rsidRDefault="000D1D92" w:rsidP="00684616">
            <w:pPr>
              <w:jc w:val="both"/>
              <w:rPr>
                <w:b/>
              </w:rPr>
            </w:pPr>
            <w:r>
              <w:rPr>
                <w:b/>
              </w:rPr>
              <w:t xml:space="preserve">Recommendation 13: </w:t>
            </w:r>
          </w:p>
          <w:p w14:paraId="62D126B6" w14:textId="77777777" w:rsidR="000D1D92" w:rsidRDefault="000D1D92" w:rsidP="00684616">
            <w:pPr>
              <w:jc w:val="both"/>
            </w:pPr>
            <w:r>
              <w:rPr>
                <w:b/>
              </w:rPr>
              <w:t>O</w:t>
            </w:r>
            <w:r w:rsidRPr="0095244B">
              <w:rPr>
                <w:b/>
              </w:rPr>
              <w:t>ptions for data collection on screening for family and domestic violence during pregnancy through the National Perinatal Data Collection are progressed by the Australian Institute of Health and Welfare.</w:t>
            </w:r>
          </w:p>
        </w:tc>
      </w:tr>
    </w:tbl>
    <w:p w14:paraId="4A7D9551" w14:textId="77777777" w:rsidR="000D1D92" w:rsidRDefault="000D1D92" w:rsidP="000D1D92">
      <w:pPr>
        <w:autoSpaceDE w:val="0"/>
        <w:autoSpaceDN w:val="0"/>
        <w:adjustRightInd w:val="0"/>
        <w:spacing w:before="0" w:after="0"/>
        <w:jc w:val="both"/>
        <w:rPr>
          <w:rFonts w:cs="Arial"/>
        </w:rPr>
      </w:pPr>
    </w:p>
    <w:p w14:paraId="4ED623BC" w14:textId="77777777" w:rsidR="000D1D92" w:rsidRDefault="000D1D92" w:rsidP="000D1D92">
      <w:pPr>
        <w:autoSpaceDE w:val="0"/>
        <w:autoSpaceDN w:val="0"/>
        <w:adjustRightInd w:val="0"/>
        <w:spacing w:before="0" w:after="0"/>
        <w:jc w:val="both"/>
        <w:rPr>
          <w:rFonts w:cs="Arial"/>
        </w:rPr>
      </w:pPr>
      <w:r>
        <w:rPr>
          <w:rFonts w:cs="Arial"/>
        </w:rPr>
        <w:t>Participants a</w:t>
      </w:r>
      <w:r w:rsidRPr="00F44FD6">
        <w:rPr>
          <w:rFonts w:cs="Arial"/>
        </w:rPr>
        <w:t>t a</w:t>
      </w:r>
      <w:r>
        <w:rPr>
          <w:rFonts w:cs="Arial"/>
        </w:rPr>
        <w:t xml:space="preserve"> number of my roundtables and numerous submissions</w:t>
      </w:r>
      <w:r>
        <w:rPr>
          <w:rStyle w:val="EndnoteReference"/>
          <w:rFonts w:cs="Arial"/>
        </w:rPr>
        <w:endnoteReference w:id="693"/>
      </w:r>
      <w:r>
        <w:rPr>
          <w:rFonts w:cs="Arial"/>
        </w:rPr>
        <w:t xml:space="preserve"> reinforced the importance of the </w:t>
      </w:r>
      <w:r w:rsidRPr="00DC72AD">
        <w:rPr>
          <w:rFonts w:cs="Arial"/>
        </w:rPr>
        <w:t>first 1000 days between conception</w:t>
      </w:r>
      <w:r>
        <w:rPr>
          <w:rFonts w:cs="Arial"/>
        </w:rPr>
        <w:t xml:space="preserve"> and two years of age,</w:t>
      </w:r>
      <w:r w:rsidRPr="00120F41">
        <w:rPr>
          <w:rFonts w:cs="Arial"/>
        </w:rPr>
        <w:t xml:space="preserve"> </w:t>
      </w:r>
      <w:r>
        <w:rPr>
          <w:rFonts w:cs="Arial"/>
        </w:rPr>
        <w:t>and the value of investing in the early years.</w:t>
      </w:r>
    </w:p>
    <w:p w14:paraId="0825BEF0" w14:textId="77777777" w:rsidR="000D1D92" w:rsidRDefault="000D1D92" w:rsidP="000D1D92">
      <w:pPr>
        <w:autoSpaceDE w:val="0"/>
        <w:autoSpaceDN w:val="0"/>
        <w:adjustRightInd w:val="0"/>
        <w:spacing w:before="0" w:after="0"/>
        <w:jc w:val="both"/>
        <w:rPr>
          <w:rFonts w:cs="Arial"/>
        </w:rPr>
      </w:pPr>
    </w:p>
    <w:p w14:paraId="2B1AB649" w14:textId="77777777" w:rsidR="000D1D92" w:rsidRPr="00DF6A1B" w:rsidRDefault="000D1D92" w:rsidP="000D1D92">
      <w:pPr>
        <w:spacing w:before="0" w:after="0"/>
        <w:jc w:val="both"/>
      </w:pPr>
      <w:r w:rsidRPr="00DF6A1B">
        <w:t xml:space="preserve">Experiences of family and domestic violence </w:t>
      </w:r>
      <w:r>
        <w:t>have been linked to detrimental consequences for</w:t>
      </w:r>
      <w:r w:rsidRPr="00DF6A1B">
        <w:t xml:space="preserve"> </w:t>
      </w:r>
      <w:r>
        <w:t xml:space="preserve">brain </w:t>
      </w:r>
      <w:r w:rsidRPr="00DF6A1B">
        <w:t>development of children</w:t>
      </w:r>
      <w:r>
        <w:t xml:space="preserve"> </w:t>
      </w:r>
      <w:r w:rsidRPr="00DF6A1B">
        <w:t xml:space="preserve">during pregnancy and early childhood. </w:t>
      </w:r>
    </w:p>
    <w:p w14:paraId="3ACFD1BB" w14:textId="77777777" w:rsidR="000D1D92" w:rsidRDefault="000D1D92" w:rsidP="000D1D92">
      <w:pPr>
        <w:autoSpaceDE w:val="0"/>
        <w:autoSpaceDN w:val="0"/>
        <w:adjustRightInd w:val="0"/>
        <w:spacing w:before="0" w:after="0"/>
        <w:jc w:val="both"/>
      </w:pPr>
    </w:p>
    <w:p w14:paraId="51ADCA26" w14:textId="77777777" w:rsidR="000D1D92" w:rsidRPr="005001AC" w:rsidRDefault="000D1D92" w:rsidP="000D1D92">
      <w:pPr>
        <w:autoSpaceDE w:val="0"/>
        <w:autoSpaceDN w:val="0"/>
        <w:adjustRightInd w:val="0"/>
        <w:spacing w:before="0" w:after="0"/>
        <w:jc w:val="both"/>
        <w:rPr>
          <w:rFonts w:cs="Arial"/>
        </w:rPr>
      </w:pPr>
      <w:r>
        <w:t>Families</w:t>
      </w:r>
      <w:r w:rsidRPr="0051084E">
        <w:t xml:space="preserve"> Australia</w:t>
      </w:r>
      <w:r>
        <w:t xml:space="preserve"> emphasised that:</w:t>
      </w:r>
    </w:p>
    <w:p w14:paraId="1330FE22" w14:textId="77777777" w:rsidR="000D1D92" w:rsidRDefault="000D1D92" w:rsidP="000D1D92">
      <w:pPr>
        <w:pStyle w:val="ListParagraph"/>
        <w:spacing w:before="0" w:after="0"/>
        <w:ind w:left="0"/>
        <w:jc w:val="both"/>
      </w:pPr>
    </w:p>
    <w:p w14:paraId="59920829" w14:textId="77777777" w:rsidR="000D1D92" w:rsidRPr="009C1BDA" w:rsidRDefault="000D1D92" w:rsidP="000D1D92">
      <w:pPr>
        <w:pStyle w:val="ListParagraph"/>
        <w:spacing w:before="0" w:after="0"/>
        <w:jc w:val="both"/>
      </w:pPr>
      <w:r w:rsidRPr="00683F05">
        <w:rPr>
          <w:sz w:val="22"/>
          <w:szCs w:val="22"/>
        </w:rPr>
        <w:t>In order to reduce the negative impact on children, who experience family and domestic violence, to improve their life outcomes, and to break the intergenerational cycle of violence, it is vital that comprehensive support be available as early as possible, and on a long-term basis if necessary</w:t>
      </w:r>
      <w:r w:rsidRPr="00636F8D">
        <w:t>.</w:t>
      </w:r>
      <w:r>
        <w:rPr>
          <w:rStyle w:val="EndnoteReference"/>
        </w:rPr>
        <w:endnoteReference w:id="694"/>
      </w:r>
    </w:p>
    <w:p w14:paraId="524FF45F" w14:textId="77777777" w:rsidR="000D1D92" w:rsidRPr="00FC4343" w:rsidRDefault="000D1D92" w:rsidP="000D1D92">
      <w:pPr>
        <w:jc w:val="both"/>
      </w:pPr>
      <w:r>
        <w:t>T</w:t>
      </w:r>
      <w:r w:rsidRPr="00FC4343">
        <w:t xml:space="preserve">he submission from the Australian Association for Infant Mental Health West Australian Branch </w:t>
      </w:r>
      <w:r>
        <w:t>reinforced this:</w:t>
      </w:r>
    </w:p>
    <w:p w14:paraId="605EB46E" w14:textId="77777777" w:rsidR="000D1D92" w:rsidRPr="00970E7F" w:rsidRDefault="000D1D92" w:rsidP="000D1D92">
      <w:pPr>
        <w:ind w:left="720"/>
        <w:jc w:val="both"/>
        <w:rPr>
          <w:sz w:val="22"/>
          <w:szCs w:val="22"/>
        </w:rPr>
      </w:pPr>
      <w:r>
        <w:rPr>
          <w:sz w:val="22"/>
          <w:szCs w:val="22"/>
        </w:rPr>
        <w:t xml:space="preserve">For infants and young </w:t>
      </w:r>
      <w:r w:rsidRPr="00FC4343">
        <w:rPr>
          <w:sz w:val="22"/>
          <w:szCs w:val="22"/>
        </w:rPr>
        <w:t>children who experience developmental trauma</w:t>
      </w:r>
      <w:r>
        <w:rPr>
          <w:sz w:val="22"/>
          <w:szCs w:val="22"/>
        </w:rPr>
        <w:t>,</w:t>
      </w:r>
      <w:r w:rsidRPr="00FC4343">
        <w:rPr>
          <w:sz w:val="22"/>
          <w:szCs w:val="22"/>
        </w:rPr>
        <w:t xml:space="preserve"> prevention and e</w:t>
      </w:r>
      <w:r>
        <w:rPr>
          <w:sz w:val="22"/>
          <w:szCs w:val="22"/>
        </w:rPr>
        <w:t xml:space="preserve">arly intervention is of crucial </w:t>
      </w:r>
      <w:r w:rsidRPr="00FC4343">
        <w:rPr>
          <w:sz w:val="22"/>
          <w:szCs w:val="22"/>
        </w:rPr>
        <w:t>importan</w:t>
      </w:r>
      <w:r>
        <w:rPr>
          <w:sz w:val="22"/>
          <w:szCs w:val="22"/>
        </w:rPr>
        <w:t>ce given the immediate and long-</w:t>
      </w:r>
      <w:r w:rsidRPr="00FC4343">
        <w:rPr>
          <w:sz w:val="22"/>
          <w:szCs w:val="22"/>
        </w:rPr>
        <w:t>term impact on developm</w:t>
      </w:r>
      <w:r>
        <w:rPr>
          <w:sz w:val="22"/>
          <w:szCs w:val="22"/>
        </w:rPr>
        <w:t xml:space="preserve">ent and the compelling evidence </w:t>
      </w:r>
      <w:r w:rsidRPr="00FC4343">
        <w:rPr>
          <w:sz w:val="22"/>
          <w:szCs w:val="22"/>
        </w:rPr>
        <w:t>for the impact of intervening early.</w:t>
      </w:r>
      <w:r>
        <w:rPr>
          <w:rStyle w:val="EndnoteReference"/>
          <w:szCs w:val="22"/>
        </w:rPr>
        <w:endnoteReference w:id="695"/>
      </w:r>
    </w:p>
    <w:p w14:paraId="2C3CCA96" w14:textId="77777777" w:rsidR="000D1D92" w:rsidRDefault="000D1D92" w:rsidP="000D1D92">
      <w:pPr>
        <w:jc w:val="both"/>
        <w:rPr>
          <w:rFonts w:cs="Arial"/>
          <w:sz w:val="22"/>
          <w:szCs w:val="22"/>
        </w:rPr>
      </w:pPr>
      <w:r>
        <w:rPr>
          <w:rFonts w:cs="Arial"/>
        </w:rPr>
        <w:t xml:space="preserve">Researchers, Fehlberg, Kaspiew, Millbank, Kelly and </w:t>
      </w:r>
      <w:r w:rsidRPr="0052615C">
        <w:rPr>
          <w:rFonts w:cs="Arial"/>
        </w:rPr>
        <w:t xml:space="preserve">Behrens </w:t>
      </w:r>
      <w:r>
        <w:rPr>
          <w:rFonts w:cs="Arial"/>
        </w:rPr>
        <w:t>point out that</w:t>
      </w:r>
      <w:r w:rsidRPr="0052615C">
        <w:rPr>
          <w:rFonts w:cs="Arial"/>
        </w:rPr>
        <w:t>:</w:t>
      </w:r>
    </w:p>
    <w:p w14:paraId="3334A22D" w14:textId="77777777" w:rsidR="000D1D92" w:rsidRDefault="000D1D92" w:rsidP="000D1D92">
      <w:pPr>
        <w:ind w:left="360"/>
        <w:jc w:val="both"/>
        <w:rPr>
          <w:szCs w:val="22"/>
          <w:lang w:val="en-US"/>
        </w:rPr>
      </w:pPr>
      <w:r>
        <w:rPr>
          <w:rFonts w:cs="Arial"/>
          <w:sz w:val="22"/>
          <w:szCs w:val="22"/>
        </w:rPr>
        <w:t>…</w:t>
      </w:r>
      <w:r w:rsidRPr="00580E46">
        <w:rPr>
          <w:rFonts w:cs="Arial"/>
          <w:sz w:val="22"/>
          <w:szCs w:val="22"/>
        </w:rPr>
        <w:t xml:space="preserve"> a growing field of neurodeve</w:t>
      </w:r>
      <w:r>
        <w:rPr>
          <w:rFonts w:cs="Arial"/>
          <w:sz w:val="22"/>
          <w:szCs w:val="22"/>
        </w:rPr>
        <w:t xml:space="preserve">lopmental research show[s] that </w:t>
      </w:r>
      <w:r w:rsidRPr="00580E46">
        <w:rPr>
          <w:rFonts w:cs="Arial"/>
          <w:sz w:val="22"/>
          <w:szCs w:val="22"/>
        </w:rPr>
        <w:t xml:space="preserve">exposure to family violence may have permanent effects on </w:t>
      </w:r>
      <w:r>
        <w:rPr>
          <w:rFonts w:cs="Arial"/>
          <w:sz w:val="22"/>
          <w:szCs w:val="22"/>
        </w:rPr>
        <w:t xml:space="preserve">the development of the brain in </w:t>
      </w:r>
      <w:r w:rsidRPr="00580E46">
        <w:rPr>
          <w:rFonts w:cs="Arial"/>
          <w:sz w:val="22"/>
          <w:szCs w:val="22"/>
        </w:rPr>
        <w:t>young children, especially in the absence of therapeutic intervention.</w:t>
      </w:r>
      <w:r w:rsidRPr="00CC5259">
        <w:rPr>
          <w:rStyle w:val="EndnoteReference"/>
          <w:szCs w:val="22"/>
          <w:lang w:val="en-US"/>
        </w:rPr>
        <w:t xml:space="preserve"> </w:t>
      </w:r>
      <w:r>
        <w:rPr>
          <w:rStyle w:val="EndnoteReference"/>
          <w:szCs w:val="22"/>
          <w:lang w:val="en-US"/>
        </w:rPr>
        <w:endnoteReference w:id="696"/>
      </w:r>
    </w:p>
    <w:p w14:paraId="053E6F58" w14:textId="77777777" w:rsidR="000D1D92" w:rsidRDefault="000D1D92" w:rsidP="000D1D92">
      <w:pPr>
        <w:jc w:val="both"/>
        <w:rPr>
          <w:rFonts w:cs="Arial"/>
        </w:rPr>
      </w:pPr>
      <w:r>
        <w:rPr>
          <w:rFonts w:cs="Arial"/>
        </w:rPr>
        <w:t xml:space="preserve">The </w:t>
      </w:r>
      <w:r w:rsidRPr="00D9283E">
        <w:rPr>
          <w:rFonts w:cs="Arial"/>
        </w:rPr>
        <w:t xml:space="preserve">National </w:t>
      </w:r>
      <w:r>
        <w:rPr>
          <w:rFonts w:cs="Arial"/>
        </w:rPr>
        <w:t>Framework</w:t>
      </w:r>
      <w:r w:rsidRPr="00D9283E">
        <w:rPr>
          <w:rFonts w:cs="Arial"/>
        </w:rPr>
        <w:t xml:space="preserve"> for Protecting Australia’s Children</w:t>
      </w:r>
      <w:r>
        <w:rPr>
          <w:rFonts w:cs="Arial"/>
        </w:rPr>
        <w:t xml:space="preserve"> is committed</w:t>
      </w:r>
      <w:r w:rsidRPr="00681935">
        <w:rPr>
          <w:rFonts w:cs="Arial"/>
        </w:rPr>
        <w:t xml:space="preserve"> to early intervention</w:t>
      </w:r>
      <w:r>
        <w:rPr>
          <w:rFonts w:cs="Arial"/>
        </w:rPr>
        <w:t>. Its</w:t>
      </w:r>
      <w:r w:rsidRPr="00681935">
        <w:rPr>
          <w:rFonts w:cs="Arial"/>
        </w:rPr>
        <w:t xml:space="preserve"> Third Action Plan will be incorporating a First 1000 Days Strategy,</w:t>
      </w:r>
      <w:r>
        <w:rPr>
          <w:rFonts w:cs="Arial"/>
        </w:rPr>
        <w:t xml:space="preserve"> which is </w:t>
      </w:r>
      <w:r w:rsidRPr="00681935">
        <w:rPr>
          <w:rFonts w:cs="Arial"/>
        </w:rPr>
        <w:t>supporte</w:t>
      </w:r>
      <w:r>
        <w:rPr>
          <w:rFonts w:cs="Arial"/>
        </w:rPr>
        <w:t>d by all states and territories in Australia.</w:t>
      </w:r>
    </w:p>
    <w:p w14:paraId="47423206" w14:textId="77777777" w:rsidR="000D1D92" w:rsidRDefault="000D1D92" w:rsidP="000D1D92">
      <w:pPr>
        <w:jc w:val="both"/>
        <w:rPr>
          <w:rFonts w:cs="Arial"/>
        </w:rPr>
      </w:pPr>
      <w:r>
        <w:rPr>
          <w:rFonts w:cs="Arial"/>
        </w:rPr>
        <w:t xml:space="preserve">The focus on the early period of child development will hopefully drive </w:t>
      </w:r>
      <w:r w:rsidRPr="002F3441">
        <w:rPr>
          <w:rFonts w:cs="Arial"/>
        </w:rPr>
        <w:t>improved awareness and understanding of</w:t>
      </w:r>
      <w:r>
        <w:rPr>
          <w:rFonts w:cs="Arial"/>
        </w:rPr>
        <w:t xml:space="preserve"> its importance and t</w:t>
      </w:r>
      <w:r w:rsidRPr="002F3441">
        <w:rPr>
          <w:rFonts w:cs="Arial"/>
        </w:rPr>
        <w:t>he crit</w:t>
      </w:r>
      <w:r>
        <w:rPr>
          <w:rFonts w:cs="Arial"/>
        </w:rPr>
        <w:t>ical role of parenting.</w:t>
      </w:r>
    </w:p>
    <w:p w14:paraId="5185ECB7" w14:textId="77777777" w:rsidR="000D1D92" w:rsidRPr="005163D2" w:rsidRDefault="000D1D92" w:rsidP="000D1D92">
      <w:pPr>
        <w:jc w:val="both"/>
        <w:rPr>
          <w:rFonts w:cs="Arial"/>
        </w:rPr>
      </w:pPr>
      <w:r>
        <w:rPr>
          <w:rFonts w:cs="Arial"/>
        </w:rPr>
        <w:lastRenderedPageBreak/>
        <w:t>As a member of the National Forum for the National Framework and its Third Action Plan, I will continue to advocate for laws, policies and programs that prioritise investment in the early years and early intervention initiatives for children.</w:t>
      </w:r>
    </w:p>
    <w:p w14:paraId="19D70ED6" w14:textId="77777777" w:rsidR="000D1D92" w:rsidRPr="00514629" w:rsidRDefault="000D1D92" w:rsidP="000D1D92">
      <w:pPr>
        <w:pStyle w:val="Heading3"/>
        <w:jc w:val="both"/>
      </w:pPr>
      <w:bookmarkStart w:id="201" w:name="_Toc430702129"/>
      <w:bookmarkStart w:id="202" w:name="_Toc432061280"/>
      <w:r w:rsidRPr="00514629">
        <w:t>Aboriginal and Torres Strait Islander children are over represented</w:t>
      </w:r>
      <w:bookmarkEnd w:id="201"/>
      <w:bookmarkEnd w:id="202"/>
    </w:p>
    <w:p w14:paraId="6A60DFDC" w14:textId="77777777" w:rsidR="000D1D92" w:rsidRDefault="000D1D92" w:rsidP="000D1D92">
      <w:pPr>
        <w:jc w:val="both"/>
        <w:rPr>
          <w:rFonts w:cs="Arial"/>
        </w:rPr>
      </w:pPr>
      <w:r>
        <w:rPr>
          <w:rFonts w:cs="Arial"/>
        </w:rPr>
        <w:t>The over-representation of Aboriginal and Torres Strait Islander children in the context of family and domestic was raised in written submissions, at all of my roundtables and in many of the individual consultations I conducted.</w:t>
      </w:r>
    </w:p>
    <w:p w14:paraId="2178FD00" w14:textId="77777777" w:rsidR="000D1D92" w:rsidRDefault="000D1D92" w:rsidP="000D1D92">
      <w:pPr>
        <w:jc w:val="both"/>
        <w:rPr>
          <w:rFonts w:cs="Arial"/>
        </w:rPr>
      </w:pPr>
      <w:r>
        <w:rPr>
          <w:rFonts w:cs="Arial"/>
        </w:rPr>
        <w:t>The custom data I obtained from ABS based on its Recorded Crime – Victims publication about police recorded child victims of physical assault and sexual assault in a residential location shows that Aboriginal and Torres Strait Islander children are overrepresented as child victims.</w:t>
      </w:r>
    </w:p>
    <w:p w14:paraId="398EA910" w14:textId="77777777" w:rsidR="000D1D92" w:rsidRDefault="000D1D92" w:rsidP="000D1D92">
      <w:pPr>
        <w:jc w:val="both"/>
        <w:rPr>
          <w:rFonts w:cs="Arial"/>
        </w:rPr>
      </w:pPr>
      <w:r>
        <w:rPr>
          <w:rFonts w:cs="Arial"/>
        </w:rPr>
        <w:t>The physical assault and sexual assault data about child victims provided to me by ABS based on its Recorded Crime – Victims publication is likely to be an underestimate of the actual number of victims. The ABS data only includes offences that come to the attention of police.</w:t>
      </w:r>
      <w:r>
        <w:rPr>
          <w:rStyle w:val="EndnoteReference"/>
          <w:rFonts w:cs="Arial"/>
        </w:rPr>
        <w:endnoteReference w:id="697"/>
      </w:r>
    </w:p>
    <w:p w14:paraId="30F8B044" w14:textId="77777777" w:rsidR="000D1D92" w:rsidRDefault="000D1D92" w:rsidP="000D1D92">
      <w:pPr>
        <w:jc w:val="both"/>
        <w:rPr>
          <w:rFonts w:cs="Arial"/>
        </w:rPr>
      </w:pPr>
      <w:r>
        <w:rPr>
          <w:noProof/>
        </w:rPr>
        <w:drawing>
          <wp:inline distT="0" distB="0" distL="0" distR="0" wp14:anchorId="31E3C05A" wp14:editId="09570B73">
            <wp:extent cx="5759450" cy="3430270"/>
            <wp:effectExtent l="0" t="0" r="12700" b="17780"/>
            <wp:docPr id="202" name="Chart 202"/>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14:paraId="4F8EF84B" w14:textId="77777777" w:rsidR="000D1D92" w:rsidRDefault="000D1D92" w:rsidP="000D1D92">
      <w:pPr>
        <w:jc w:val="both"/>
      </w:pPr>
      <w:r>
        <w:t>In Victoria, the Taskforce 1000 initiative is examining the circumstances facing Aboriginal and Torres Strait Islander children in out-of-home care.</w:t>
      </w:r>
      <w:r>
        <w:rPr>
          <w:rStyle w:val="EndnoteReference"/>
          <w:iCs/>
          <w:szCs w:val="22"/>
        </w:rPr>
        <w:endnoteReference w:id="698"/>
      </w:r>
      <w:r>
        <w:t xml:space="preserve"> Victorian </w:t>
      </w:r>
      <w:r w:rsidRPr="00872F87">
        <w:t>Commissioner for Aboriginal Childre</w:t>
      </w:r>
      <w:r>
        <w:t>n and Young People and Co-Chair of</w:t>
      </w:r>
      <w:r w:rsidRPr="003D6E60">
        <w:t xml:space="preserve"> </w:t>
      </w:r>
      <w:r>
        <w:t xml:space="preserve">the </w:t>
      </w:r>
      <w:r w:rsidRPr="003D6E60">
        <w:t>Taskforce 1000 Steering Committee</w:t>
      </w:r>
      <w:r>
        <w:t>, Mr Andrew Jackomos</w:t>
      </w:r>
      <w:r w:rsidRPr="00872F87">
        <w:t>,</w:t>
      </w:r>
      <w:r>
        <w:t xml:space="preserve"> told me that:</w:t>
      </w:r>
    </w:p>
    <w:p w14:paraId="3AD83C0C" w14:textId="77777777" w:rsidR="000D1D92" w:rsidRDefault="000D1D92" w:rsidP="000D1D92">
      <w:pPr>
        <w:ind w:left="720"/>
        <w:jc w:val="both"/>
        <w:rPr>
          <w:sz w:val="22"/>
          <w:szCs w:val="22"/>
        </w:rPr>
      </w:pPr>
      <w:r w:rsidRPr="00AD31BB">
        <w:rPr>
          <w:sz w:val="22"/>
          <w:szCs w:val="22"/>
        </w:rPr>
        <w:t>After reviewing and discussing over 400 (out of</w:t>
      </w:r>
      <w:r>
        <w:rPr>
          <w:sz w:val="22"/>
          <w:szCs w:val="22"/>
        </w:rPr>
        <w:t xml:space="preserve"> </w:t>
      </w:r>
      <w:r w:rsidRPr="00AD31BB">
        <w:rPr>
          <w:sz w:val="22"/>
          <w:szCs w:val="22"/>
        </w:rPr>
        <w:t>approximately 1300) Aboriginal children in out of home care; the primary driver</w:t>
      </w:r>
      <w:r>
        <w:rPr>
          <w:sz w:val="22"/>
          <w:szCs w:val="22"/>
        </w:rPr>
        <w:t xml:space="preserve"> </w:t>
      </w:r>
      <w:r w:rsidRPr="00AD31BB">
        <w:rPr>
          <w:sz w:val="22"/>
          <w:szCs w:val="22"/>
        </w:rPr>
        <w:t>into child protection for Aboriginal children is Family Violence, and it is often</w:t>
      </w:r>
      <w:r>
        <w:rPr>
          <w:sz w:val="22"/>
          <w:szCs w:val="22"/>
        </w:rPr>
        <w:t xml:space="preserve"> </w:t>
      </w:r>
      <w:r w:rsidRPr="00AD31BB">
        <w:rPr>
          <w:sz w:val="22"/>
          <w:szCs w:val="22"/>
        </w:rPr>
        <w:t>accompanied with alcohol and drug misuse. This has been in approximately 85%</w:t>
      </w:r>
      <w:r>
        <w:rPr>
          <w:sz w:val="22"/>
          <w:szCs w:val="22"/>
        </w:rPr>
        <w:t xml:space="preserve"> </w:t>
      </w:r>
      <w:r w:rsidRPr="00AD31BB">
        <w:rPr>
          <w:sz w:val="22"/>
          <w:szCs w:val="22"/>
        </w:rPr>
        <w:t>of cases. Specific data collected in the T1000 is the responsibility of DHHS and</w:t>
      </w:r>
      <w:r>
        <w:rPr>
          <w:sz w:val="22"/>
          <w:szCs w:val="22"/>
        </w:rPr>
        <w:t xml:space="preserve"> </w:t>
      </w:r>
      <w:r w:rsidRPr="00AD31BB">
        <w:rPr>
          <w:sz w:val="22"/>
          <w:szCs w:val="22"/>
        </w:rPr>
        <w:t>has not been published.</w:t>
      </w:r>
      <w:r w:rsidRPr="00BE1C0B">
        <w:rPr>
          <w:rStyle w:val="EndnoteReference"/>
        </w:rPr>
        <w:t xml:space="preserve"> </w:t>
      </w:r>
      <w:r>
        <w:rPr>
          <w:rStyle w:val="EndnoteReference"/>
        </w:rPr>
        <w:endnoteReference w:id="699"/>
      </w:r>
    </w:p>
    <w:p w14:paraId="14847A4B" w14:textId="77777777" w:rsidR="000D1D92" w:rsidRDefault="000D1D92" w:rsidP="000D1D92">
      <w:pPr>
        <w:jc w:val="both"/>
      </w:pPr>
      <w:r>
        <w:lastRenderedPageBreak/>
        <w:t>The need for a spectrum of primary, secondary and tertiary interventions to overcome the disadvantages faced by Aboriginal and Torres Strait Islander children and families was raised in my national examination.</w:t>
      </w:r>
    </w:p>
    <w:p w14:paraId="3954523C" w14:textId="77777777" w:rsidR="000D1D92" w:rsidRDefault="000D1D92" w:rsidP="000D1D92">
      <w:pPr>
        <w:autoSpaceDE w:val="0"/>
        <w:autoSpaceDN w:val="0"/>
        <w:adjustRightInd w:val="0"/>
        <w:spacing w:before="0" w:after="0"/>
        <w:jc w:val="both"/>
        <w:rPr>
          <w:rFonts w:cs="Arial"/>
        </w:rPr>
      </w:pPr>
      <w:r>
        <w:rPr>
          <w:rFonts w:cs="Arial"/>
        </w:rPr>
        <w:t>The Third Action Plan of the National Framework for Protecting Australia’s Children has a cross-cutting strategy to focus on Aboriginal and Torres Strait Islander children and families.</w:t>
      </w:r>
    </w:p>
    <w:p w14:paraId="72E38A1B" w14:textId="77777777" w:rsidR="000D1D92" w:rsidRDefault="000D1D92" w:rsidP="000D1D92">
      <w:pPr>
        <w:autoSpaceDE w:val="0"/>
        <w:autoSpaceDN w:val="0"/>
        <w:adjustRightInd w:val="0"/>
        <w:spacing w:before="0" w:after="0"/>
        <w:jc w:val="both"/>
        <w:rPr>
          <w:rFonts w:cs="Arial"/>
        </w:rPr>
      </w:pPr>
    </w:p>
    <w:p w14:paraId="1E36247F" w14:textId="77777777" w:rsidR="000D1D92" w:rsidRDefault="000D1D92" w:rsidP="000D1D92">
      <w:pPr>
        <w:autoSpaceDE w:val="0"/>
        <w:autoSpaceDN w:val="0"/>
        <w:adjustRightInd w:val="0"/>
        <w:spacing w:before="0" w:after="0"/>
        <w:jc w:val="both"/>
        <w:rPr>
          <w:rFonts w:cs="Arial"/>
        </w:rPr>
      </w:pPr>
      <w:r>
        <w:rPr>
          <w:rFonts w:cs="Arial"/>
        </w:rPr>
        <w:t xml:space="preserve">The Third Action Plan’s focus on early intervention will seek to address the needs of </w:t>
      </w:r>
      <w:r w:rsidRPr="00EE5BDF">
        <w:rPr>
          <w:rFonts w:cs="Arial"/>
        </w:rPr>
        <w:t xml:space="preserve">Aboriginal and Torres Strait Islander children and families dealing with </w:t>
      </w:r>
      <w:r>
        <w:rPr>
          <w:rFonts w:cs="Arial"/>
        </w:rPr>
        <w:t>complex</w:t>
      </w:r>
      <w:r w:rsidRPr="00EE5BDF">
        <w:rPr>
          <w:rFonts w:cs="Arial"/>
        </w:rPr>
        <w:t xml:space="preserve"> issues</w:t>
      </w:r>
      <w:r>
        <w:rPr>
          <w:rFonts w:cs="Arial"/>
        </w:rPr>
        <w:t>,</w:t>
      </w:r>
      <w:r w:rsidRPr="00EE5BDF">
        <w:rPr>
          <w:rFonts w:cs="Arial"/>
        </w:rPr>
        <w:t xml:space="preserve"> including family and domestic violence.</w:t>
      </w:r>
    </w:p>
    <w:p w14:paraId="1E22EB30" w14:textId="77777777" w:rsidR="000D1D92" w:rsidRDefault="000D1D92" w:rsidP="000D1D92">
      <w:pPr>
        <w:autoSpaceDE w:val="0"/>
        <w:autoSpaceDN w:val="0"/>
        <w:adjustRightInd w:val="0"/>
        <w:spacing w:before="0" w:after="0"/>
        <w:jc w:val="both"/>
        <w:rPr>
          <w:rFonts w:cs="Arial"/>
        </w:rPr>
      </w:pPr>
    </w:p>
    <w:p w14:paraId="3CA55C1E" w14:textId="77777777" w:rsidR="000D1D92" w:rsidRDefault="000D1D92" w:rsidP="000D1D92">
      <w:pPr>
        <w:autoSpaceDE w:val="0"/>
        <w:autoSpaceDN w:val="0"/>
        <w:adjustRightInd w:val="0"/>
        <w:spacing w:before="0" w:after="0"/>
        <w:jc w:val="both"/>
        <w:rPr>
          <w:rFonts w:cs="Arial"/>
        </w:rPr>
      </w:pPr>
      <w:r>
        <w:rPr>
          <w:rFonts w:cs="Arial"/>
        </w:rPr>
        <w:t>It is intended that a</w:t>
      </w:r>
      <w:r w:rsidRPr="00EE5BDF">
        <w:rPr>
          <w:rFonts w:cs="Arial"/>
        </w:rPr>
        <w:t xml:space="preserve"> new Aboriginal and Torres Strait Islander working group</w:t>
      </w:r>
      <w:r>
        <w:rPr>
          <w:rFonts w:cs="Arial"/>
        </w:rPr>
        <w:t xml:space="preserve"> </w:t>
      </w:r>
      <w:r w:rsidRPr="00EE5BDF">
        <w:rPr>
          <w:rFonts w:cs="Arial"/>
        </w:rPr>
        <w:t xml:space="preserve">will be established </w:t>
      </w:r>
      <w:r>
        <w:rPr>
          <w:rFonts w:cs="Arial"/>
        </w:rPr>
        <w:t>to support the implementation of the Third Action Plan</w:t>
      </w:r>
      <w:r w:rsidRPr="00EE5BDF">
        <w:rPr>
          <w:rFonts w:cs="Arial"/>
        </w:rPr>
        <w:t xml:space="preserve"> and report on progress and outcomes</w:t>
      </w:r>
      <w:r>
        <w:rPr>
          <w:rFonts w:cs="Arial"/>
        </w:rPr>
        <w:t>.</w:t>
      </w:r>
    </w:p>
    <w:p w14:paraId="2ECBAFE9" w14:textId="77777777" w:rsidR="000D1D92" w:rsidRDefault="000D1D92" w:rsidP="000D1D92">
      <w:pPr>
        <w:autoSpaceDE w:val="0"/>
        <w:autoSpaceDN w:val="0"/>
        <w:adjustRightInd w:val="0"/>
        <w:spacing w:before="0" w:after="0"/>
        <w:jc w:val="both"/>
        <w:rPr>
          <w:rFonts w:cs="Arial"/>
        </w:rPr>
      </w:pPr>
    </w:p>
    <w:p w14:paraId="57283C49" w14:textId="77777777" w:rsidR="000D1D92" w:rsidRDefault="000D1D92" w:rsidP="000D1D92">
      <w:pPr>
        <w:autoSpaceDE w:val="0"/>
        <w:autoSpaceDN w:val="0"/>
        <w:adjustRightInd w:val="0"/>
        <w:spacing w:before="0" w:after="0"/>
        <w:jc w:val="both"/>
        <w:rPr>
          <w:rFonts w:cs="Arial"/>
        </w:rPr>
      </w:pPr>
      <w:r>
        <w:rPr>
          <w:rFonts w:cs="Arial"/>
        </w:rPr>
        <w:t>While the Third Action Plan will have a cross-cutting strategy to address the needs of Aboriginal and Torres Strait Islander children, and a focus on early intervention, the Indigenous Health Equity Unit at the University of Melbourne has established a Scientific Committee to progress a research agenda on the impact of a First 1000 Days approach.</w:t>
      </w:r>
      <w:r>
        <w:rPr>
          <w:rStyle w:val="EndnoteReference"/>
          <w:lang w:val="en"/>
        </w:rPr>
        <w:endnoteReference w:id="700"/>
      </w:r>
      <w:r>
        <w:rPr>
          <w:rFonts w:cs="Arial"/>
        </w:rPr>
        <w:t xml:space="preserve"> </w:t>
      </w:r>
    </w:p>
    <w:p w14:paraId="3D9D90AA" w14:textId="77777777" w:rsidR="000D1D92" w:rsidRDefault="000D1D92" w:rsidP="000D1D92">
      <w:pPr>
        <w:jc w:val="both"/>
        <w:rPr>
          <w:rFonts w:cs="Arial"/>
        </w:rPr>
      </w:pPr>
      <w:r>
        <w:rPr>
          <w:lang w:val="en"/>
        </w:rPr>
        <w:t xml:space="preserve">The research agenda for the First 1000 Days approach is coordinated by Professor Kerry Arabena, Chair of Indigenous Health from the University of Melbourne’s School of Population and Global Health. Professor Arabena is also the </w:t>
      </w:r>
      <w:r w:rsidRPr="00C92F80">
        <w:rPr>
          <w:lang w:val="en"/>
        </w:rPr>
        <w:t>Director of the Onemda VicHealth Koori Health Unit</w:t>
      </w:r>
      <w:r>
        <w:rPr>
          <w:rFonts w:cs="Arial"/>
        </w:rPr>
        <w:t>.</w:t>
      </w:r>
    </w:p>
    <w:p w14:paraId="60C3A2EC" w14:textId="77777777" w:rsidR="000D1D92" w:rsidRDefault="000D1D92" w:rsidP="000D1D92">
      <w:pPr>
        <w:jc w:val="both"/>
        <w:rPr>
          <w:rFonts w:cs="Arial"/>
        </w:rPr>
      </w:pPr>
      <w:r>
        <w:rPr>
          <w:lang w:val="en"/>
        </w:rPr>
        <w:t>Professor Kerry Arabena</w:t>
      </w:r>
      <w:r w:rsidRPr="007B21D3">
        <w:rPr>
          <w:rFonts w:cs="Arial"/>
        </w:rPr>
        <w:t xml:space="preserve"> </w:t>
      </w:r>
      <w:r>
        <w:rPr>
          <w:rFonts w:cs="Arial"/>
        </w:rPr>
        <w:t xml:space="preserve">has provided me with a description of the work underway, as it relates to family and domestic violence. </w:t>
      </w:r>
    </w:p>
    <w:p w14:paraId="4C4E176B" w14:textId="77777777" w:rsidR="000D1D92" w:rsidRDefault="000D1D92" w:rsidP="000D1D92">
      <w:pPr>
        <w:autoSpaceDE w:val="0"/>
        <w:autoSpaceDN w:val="0"/>
        <w:adjustRightInd w:val="0"/>
        <w:spacing w:before="0" w:after="0"/>
        <w:jc w:val="both"/>
        <w:rPr>
          <w:rFonts w:cs="Arial"/>
        </w:rPr>
      </w:pPr>
      <w:r>
        <w:rPr>
          <w:rFonts w:cs="Arial"/>
        </w:rPr>
        <w:t>Professor Arabena’s statement can be found on page 68.</w:t>
      </w:r>
    </w:p>
    <w:p w14:paraId="6AE53BFC" w14:textId="77777777" w:rsidR="000D1D92" w:rsidRDefault="000D1D92" w:rsidP="000D1D92">
      <w:pPr>
        <w:autoSpaceDE w:val="0"/>
        <w:autoSpaceDN w:val="0"/>
        <w:adjustRightInd w:val="0"/>
        <w:spacing w:before="0" w:after="0"/>
        <w:jc w:val="both"/>
        <w:rPr>
          <w:rFonts w:cs="Arial"/>
        </w:rPr>
      </w:pPr>
    </w:p>
    <w:p w14:paraId="773B23C3" w14:textId="77777777" w:rsidR="000D1D92" w:rsidRDefault="000D1D92" w:rsidP="000D1D92">
      <w:pPr>
        <w:autoSpaceDE w:val="0"/>
        <w:autoSpaceDN w:val="0"/>
        <w:adjustRightInd w:val="0"/>
        <w:spacing w:before="0" w:after="0"/>
        <w:jc w:val="both"/>
        <w:rPr>
          <w:b/>
        </w:rPr>
      </w:pPr>
      <w:r>
        <w:t>Professor Arabena believes that ‘a radical change is required in how we think about and enhance the early outcomes for Aboriginal and Torres Strait Islander children in Australia’.</w:t>
      </w:r>
    </w:p>
    <w:p w14:paraId="32D7DB5D" w14:textId="77777777" w:rsidR="000D1D92" w:rsidRDefault="000D1D92" w:rsidP="000D1D92">
      <w:pPr>
        <w:autoSpaceDE w:val="0"/>
        <w:autoSpaceDN w:val="0"/>
        <w:adjustRightInd w:val="0"/>
        <w:spacing w:before="0" w:after="0"/>
        <w:jc w:val="both"/>
        <w:rPr>
          <w:b/>
        </w:rPr>
      </w:pPr>
    </w:p>
    <w:p w14:paraId="1E074B70" w14:textId="77777777" w:rsidR="000D1D92" w:rsidRPr="00C96561" w:rsidRDefault="000D1D92" w:rsidP="000D1D92">
      <w:pPr>
        <w:autoSpaceDE w:val="0"/>
        <w:autoSpaceDN w:val="0"/>
        <w:adjustRightInd w:val="0"/>
        <w:spacing w:before="0" w:after="0"/>
        <w:jc w:val="both"/>
      </w:pPr>
      <w:r>
        <w:t>It is crucial that our interventions achieve sustained change by investing in the early years, rather than the default position of intervention at the point of crisis.</w:t>
      </w:r>
    </w:p>
    <w:p w14:paraId="18E5DA90" w14:textId="77777777" w:rsidR="000D1D92" w:rsidRDefault="000D1D92" w:rsidP="000D1D92">
      <w:pPr>
        <w:jc w:val="both"/>
      </w:pPr>
      <w:r>
        <w:rPr>
          <w:rFonts w:cs="Arial"/>
        </w:rPr>
        <w:t>The current funding for Professor Arabena’s project is from the Onemda VicHealth Koori Health Unit, which will cease on 30 June 2016.</w:t>
      </w:r>
    </w:p>
    <w:tbl>
      <w:tblPr>
        <w:tblStyle w:val="TableGrid"/>
        <w:tblW w:w="0" w:type="auto"/>
        <w:shd w:val="clear" w:color="auto" w:fill="F2F2F2" w:themeFill="background1" w:themeFillShade="F2"/>
        <w:tblLook w:val="04A0" w:firstRow="1" w:lastRow="0" w:firstColumn="1" w:lastColumn="0" w:noHBand="0" w:noVBand="1"/>
      </w:tblPr>
      <w:tblGrid>
        <w:gridCol w:w="9060"/>
      </w:tblGrid>
      <w:tr w:rsidR="000D1D92" w14:paraId="6E67F861" w14:textId="77777777" w:rsidTr="00684616">
        <w:tc>
          <w:tcPr>
            <w:tcW w:w="9060" w:type="dxa"/>
            <w:shd w:val="clear" w:color="auto" w:fill="F2F2F2" w:themeFill="background1" w:themeFillShade="F2"/>
          </w:tcPr>
          <w:p w14:paraId="44FE75BE" w14:textId="77777777" w:rsidR="000D1D92" w:rsidRDefault="000D1D92" w:rsidP="00684616">
            <w:pPr>
              <w:jc w:val="both"/>
              <w:rPr>
                <w:b/>
              </w:rPr>
            </w:pPr>
            <w:r>
              <w:rPr>
                <w:b/>
              </w:rPr>
              <w:t xml:space="preserve">Recommendation 14: </w:t>
            </w:r>
          </w:p>
          <w:p w14:paraId="70F7D309" w14:textId="77777777" w:rsidR="000D1D92" w:rsidRDefault="000D1D92" w:rsidP="00684616">
            <w:pPr>
              <w:jc w:val="both"/>
            </w:pPr>
            <w:r>
              <w:rPr>
                <w:b/>
              </w:rPr>
              <w:t>T</w:t>
            </w:r>
            <w:r w:rsidRPr="006E1730">
              <w:rPr>
                <w:b/>
              </w:rPr>
              <w:t>he Australian Government Department of Social Services support the work of Professor Arabena and the Indigenous Health Equity Unit at the University of Melbourne to progress the early intervention research agenda under the First 1000 Days initiative.</w:t>
            </w:r>
          </w:p>
        </w:tc>
      </w:tr>
    </w:tbl>
    <w:p w14:paraId="7F6B74A1" w14:textId="547D8E94" w:rsidR="000D1D92" w:rsidRDefault="000D1D92" w:rsidP="001715AD">
      <w:pPr>
        <w:jc w:val="both"/>
        <w:rPr>
          <w:b/>
          <w:color w:val="FF0000"/>
        </w:rPr>
      </w:pPr>
      <w:r>
        <w:rPr>
          <w:rFonts w:cs="Arial"/>
        </w:rPr>
        <w:br w:type="column"/>
      </w:r>
    </w:p>
    <w:tbl>
      <w:tblPr>
        <w:tblStyle w:val="TableGrid"/>
        <w:tblW w:w="0" w:type="auto"/>
        <w:shd w:val="clear" w:color="auto" w:fill="F2F2F2" w:themeFill="background1" w:themeFillShade="F2"/>
        <w:tblLook w:val="04A0" w:firstRow="1" w:lastRow="0" w:firstColumn="1" w:lastColumn="0" w:noHBand="0" w:noVBand="1"/>
      </w:tblPr>
      <w:tblGrid>
        <w:gridCol w:w="9286"/>
      </w:tblGrid>
      <w:tr w:rsidR="000D1D92" w:rsidRPr="00E235C9" w14:paraId="71B387DA" w14:textId="77777777" w:rsidTr="00684616">
        <w:tc>
          <w:tcPr>
            <w:tcW w:w="9286" w:type="dxa"/>
            <w:shd w:val="clear" w:color="auto" w:fill="F2F2F2" w:themeFill="background1" w:themeFillShade="F2"/>
          </w:tcPr>
          <w:p w14:paraId="586639D3" w14:textId="77777777" w:rsidR="000D1D92" w:rsidRPr="00E235C9" w:rsidRDefault="000D1D92" w:rsidP="00684616">
            <w:pPr>
              <w:spacing w:before="0" w:after="0"/>
              <w:jc w:val="both"/>
              <w:rPr>
                <w:b/>
                <w:sz w:val="22"/>
                <w:szCs w:val="22"/>
              </w:rPr>
            </w:pPr>
            <w:r w:rsidRPr="00E235C9">
              <w:rPr>
                <w:b/>
                <w:sz w:val="22"/>
                <w:szCs w:val="22"/>
              </w:rPr>
              <w:t>Statement from Professor Kerry Arabena and the importance of the First 1000 Days</w:t>
            </w:r>
          </w:p>
          <w:p w14:paraId="64C53EDF" w14:textId="77777777" w:rsidR="000D1D92" w:rsidRPr="00E235C9" w:rsidRDefault="000D1D92" w:rsidP="00684616">
            <w:pPr>
              <w:spacing w:before="0" w:after="0"/>
              <w:jc w:val="both"/>
              <w:rPr>
                <w:b/>
                <w:sz w:val="22"/>
                <w:szCs w:val="22"/>
              </w:rPr>
            </w:pPr>
          </w:p>
          <w:p w14:paraId="7E09EE70" w14:textId="77777777" w:rsidR="000D1D92" w:rsidRPr="00E235C9" w:rsidRDefault="000D1D92" w:rsidP="00684616">
            <w:pPr>
              <w:spacing w:before="0" w:after="0"/>
              <w:jc w:val="both"/>
              <w:rPr>
                <w:sz w:val="22"/>
                <w:szCs w:val="22"/>
              </w:rPr>
            </w:pPr>
            <w:r w:rsidRPr="00E235C9">
              <w:rPr>
                <w:sz w:val="22"/>
                <w:szCs w:val="22"/>
              </w:rPr>
              <w:t>A radical change is required in how we think about and enhance the early outcomes for Aboriginal and Torres Strait Islander children in Australia. Too many children and young people do not have the start in life they need. As our understanding of developmental science improves, it becomes clearer and clearer that adverse events in a child’s life lead to structural changes in brain development that have life-long and societal ramifications. We now also know these ramifications are intergenerational. Not intervening will affect not only this generation of children, but also the next. Those who suffer adverse childhood events achieve less educationally, earn less and have worse health outcomes – all of which makes it more likely that the cycle of harm is perpetuated in the following generation.</w:t>
            </w:r>
          </w:p>
          <w:p w14:paraId="5E0D4170" w14:textId="77777777" w:rsidR="000D1D92" w:rsidRPr="00E235C9" w:rsidRDefault="000D1D92" w:rsidP="00684616">
            <w:pPr>
              <w:spacing w:before="0" w:after="0"/>
              <w:jc w:val="both"/>
              <w:rPr>
                <w:sz w:val="22"/>
                <w:szCs w:val="22"/>
              </w:rPr>
            </w:pPr>
          </w:p>
          <w:p w14:paraId="3D943E2E" w14:textId="77777777" w:rsidR="000D1D92" w:rsidRPr="00E235C9" w:rsidRDefault="000D1D92" w:rsidP="00684616">
            <w:pPr>
              <w:spacing w:before="0" w:after="0"/>
              <w:jc w:val="both"/>
              <w:rPr>
                <w:sz w:val="22"/>
                <w:szCs w:val="22"/>
              </w:rPr>
            </w:pPr>
            <w:r w:rsidRPr="00E235C9">
              <w:rPr>
                <w:sz w:val="22"/>
                <w:szCs w:val="22"/>
              </w:rPr>
              <w:t>The First 1000 Days Scientific Symposium was a call to consider the implementation of new interventions founded in rigorous science, and to consider the cultural protective factors needed to support mothers, fathers and their children in the ‘critical window of opportunity’ from conception to the age of two. International research shows that early intervention programs during pregnancy and in the early months and years of a child’s life have tremendous positive impacts on health later in life. The physiological, educational and emotional environment of the child in this ‘First 1000 Days’ has been shown to exert a profound impact on long-term developmental and life trajectories.</w:t>
            </w:r>
          </w:p>
          <w:p w14:paraId="7B22320A" w14:textId="77777777" w:rsidR="000D1D92" w:rsidRPr="00E235C9" w:rsidRDefault="000D1D92" w:rsidP="00684616">
            <w:pPr>
              <w:spacing w:before="0" w:after="0"/>
              <w:jc w:val="both"/>
              <w:rPr>
                <w:sz w:val="22"/>
                <w:szCs w:val="22"/>
              </w:rPr>
            </w:pPr>
          </w:p>
          <w:p w14:paraId="69E6A6D6" w14:textId="77777777" w:rsidR="000D1D92" w:rsidRPr="00E235C9" w:rsidRDefault="000D1D92" w:rsidP="00684616">
            <w:pPr>
              <w:spacing w:before="0" w:after="0"/>
              <w:jc w:val="both"/>
              <w:rPr>
                <w:sz w:val="22"/>
                <w:szCs w:val="22"/>
              </w:rPr>
            </w:pPr>
            <w:r w:rsidRPr="00E235C9">
              <w:rPr>
                <w:sz w:val="22"/>
                <w:szCs w:val="22"/>
              </w:rPr>
              <w:t>The Symposium considered how to develop and apply high-quality evidence to the issue of childhood vulnerability in Aboriginal and Torres Strait Islander populations that is grounded both in the neuroscience of early brain development and in the complex effects of social and community environments on children’s development.</w:t>
            </w:r>
          </w:p>
          <w:p w14:paraId="509B4DA9" w14:textId="77777777" w:rsidR="000D1D92" w:rsidRPr="00E235C9" w:rsidRDefault="000D1D92" w:rsidP="00684616">
            <w:pPr>
              <w:spacing w:before="0" w:after="0"/>
              <w:jc w:val="both"/>
              <w:rPr>
                <w:sz w:val="22"/>
                <w:szCs w:val="22"/>
              </w:rPr>
            </w:pPr>
          </w:p>
          <w:p w14:paraId="70FF3824" w14:textId="77777777" w:rsidR="000D1D92" w:rsidRPr="00E235C9" w:rsidRDefault="000D1D92" w:rsidP="00684616">
            <w:pPr>
              <w:spacing w:before="0" w:after="0"/>
              <w:jc w:val="both"/>
              <w:rPr>
                <w:sz w:val="22"/>
                <w:szCs w:val="22"/>
              </w:rPr>
            </w:pPr>
            <w:r w:rsidRPr="00E235C9">
              <w:rPr>
                <w:sz w:val="22"/>
                <w:szCs w:val="22"/>
              </w:rPr>
              <w:t xml:space="preserve">Addressing family violence was identified as one of many possible research themes for the First 1000 Days approach. </w:t>
            </w:r>
          </w:p>
          <w:p w14:paraId="0A199E90" w14:textId="77777777" w:rsidR="000D1D92" w:rsidRPr="00E235C9" w:rsidRDefault="000D1D92" w:rsidP="00684616">
            <w:pPr>
              <w:spacing w:before="0" w:after="0"/>
              <w:jc w:val="both"/>
              <w:rPr>
                <w:sz w:val="22"/>
                <w:szCs w:val="22"/>
              </w:rPr>
            </w:pPr>
          </w:p>
          <w:p w14:paraId="13E4B9EE" w14:textId="77777777" w:rsidR="000D1D92" w:rsidRPr="00E235C9" w:rsidRDefault="000D1D92" w:rsidP="00684616">
            <w:pPr>
              <w:spacing w:before="0" w:after="0"/>
              <w:jc w:val="both"/>
              <w:rPr>
                <w:sz w:val="22"/>
                <w:szCs w:val="22"/>
              </w:rPr>
            </w:pPr>
            <w:r w:rsidRPr="00E235C9">
              <w:rPr>
                <w:sz w:val="22"/>
                <w:szCs w:val="22"/>
              </w:rPr>
              <w:t xml:space="preserve">Research into family violence and violence interventions has direct implications for child protection and child deaths. There is a need to find out what works in family violence interventions, and to use an approach that recognises the spectrum of violence and addresses both physical and emotional violence. For example, empowerment is inversely related to levels of violence, but empowerment does not change negative attitudes to women. </w:t>
            </w:r>
          </w:p>
          <w:p w14:paraId="48BD9B1B" w14:textId="77777777" w:rsidR="000D1D92" w:rsidRPr="00E235C9" w:rsidRDefault="000D1D92" w:rsidP="00684616">
            <w:pPr>
              <w:spacing w:before="0" w:after="0"/>
              <w:jc w:val="both"/>
              <w:rPr>
                <w:sz w:val="22"/>
                <w:szCs w:val="22"/>
              </w:rPr>
            </w:pPr>
          </w:p>
          <w:p w14:paraId="2CF424C4" w14:textId="77777777" w:rsidR="000D1D92" w:rsidRPr="00E235C9" w:rsidRDefault="000D1D92" w:rsidP="00684616">
            <w:pPr>
              <w:spacing w:before="0" w:after="0"/>
              <w:jc w:val="both"/>
              <w:rPr>
                <w:sz w:val="22"/>
                <w:szCs w:val="22"/>
              </w:rPr>
            </w:pPr>
            <w:r w:rsidRPr="00E235C9">
              <w:rPr>
                <w:sz w:val="22"/>
                <w:szCs w:val="22"/>
              </w:rPr>
              <w:t>An in-depth investigation into communities’ needs and goals is required along with a scoping of what people are already doing in Aboriginal and Torres Strait Islander communities. Such an approach would enable a project to be tailored to the geographic area in which it is being implemented and address the community’s needs and goals. This project could be integrated with, but not limited to, drug and alcohol services and housing services specific to the area in which it is being implemented in partnership with industry organisations and communities.</w:t>
            </w:r>
          </w:p>
          <w:p w14:paraId="2D333165" w14:textId="77777777" w:rsidR="000D1D92" w:rsidRPr="00E235C9" w:rsidRDefault="000D1D92" w:rsidP="00684616">
            <w:pPr>
              <w:spacing w:before="0" w:after="0"/>
              <w:jc w:val="both"/>
              <w:rPr>
                <w:sz w:val="22"/>
                <w:szCs w:val="22"/>
              </w:rPr>
            </w:pPr>
          </w:p>
          <w:p w14:paraId="1FFAC064" w14:textId="77777777" w:rsidR="000D1D92" w:rsidRPr="00E235C9" w:rsidRDefault="000D1D92" w:rsidP="00684616">
            <w:pPr>
              <w:spacing w:before="0" w:after="0"/>
              <w:jc w:val="both"/>
              <w:rPr>
                <w:sz w:val="22"/>
                <w:szCs w:val="22"/>
              </w:rPr>
            </w:pPr>
            <w:r w:rsidRPr="00E235C9">
              <w:rPr>
                <w:sz w:val="22"/>
                <w:szCs w:val="22"/>
              </w:rPr>
              <w:t>To assess barriers and current knowledge on family violence and violence interventions, a thorough literature review is required to identify gaps in this area, previous successful interventions and different models. Community consultation is needed to ensure that the community has input on their needs and goals, which are then included and embedded in the interventions. There could be an application of the same model in different contexts or with a different focus that is tailored to specific geographic areas.</w:t>
            </w:r>
          </w:p>
        </w:tc>
      </w:tr>
    </w:tbl>
    <w:p w14:paraId="0F6FB9FF" w14:textId="77777777" w:rsidR="000D1D92" w:rsidRDefault="000D1D92" w:rsidP="000D1D92">
      <w:pPr>
        <w:autoSpaceDE w:val="0"/>
        <w:autoSpaceDN w:val="0"/>
        <w:adjustRightInd w:val="0"/>
        <w:spacing w:before="0" w:after="0"/>
        <w:jc w:val="both"/>
      </w:pPr>
    </w:p>
    <w:p w14:paraId="4C3F3298" w14:textId="77777777" w:rsidR="000D1D92" w:rsidRPr="000A1B34" w:rsidRDefault="000D1D92" w:rsidP="000D1D92">
      <w:pPr>
        <w:pStyle w:val="Heading3"/>
        <w:jc w:val="both"/>
      </w:pPr>
      <w:bookmarkStart w:id="203" w:name="_Toc430702130"/>
      <w:bookmarkStart w:id="204" w:name="_Toc432061281"/>
      <w:r w:rsidRPr="000A1B34">
        <w:lastRenderedPageBreak/>
        <w:t>Sibling violence</w:t>
      </w:r>
      <w:bookmarkEnd w:id="203"/>
      <w:bookmarkEnd w:id="204"/>
    </w:p>
    <w:p w14:paraId="2F84CB95" w14:textId="77777777" w:rsidR="000D1D92" w:rsidRDefault="000D1D92" w:rsidP="000D1D92">
      <w:pPr>
        <w:jc w:val="both"/>
        <w:rPr>
          <w:rFonts w:cs="Arial"/>
        </w:rPr>
      </w:pPr>
      <w:r>
        <w:rPr>
          <w:rFonts w:cs="Arial"/>
        </w:rPr>
        <w:t>The custom data I obtained from ABS based on its Recorded Crime – Victims publication about police recorded child victims of physical assault and sexual assault in a residential location shows siblings accounted for a sizable proportion of offenders.</w:t>
      </w:r>
    </w:p>
    <w:p w14:paraId="1482EF38" w14:textId="77777777" w:rsidR="000D1D92" w:rsidRDefault="000D1D92" w:rsidP="000D1D92">
      <w:pPr>
        <w:jc w:val="both"/>
        <w:rPr>
          <w:rFonts w:cs="Arial"/>
        </w:rPr>
      </w:pPr>
      <w:r>
        <w:rPr>
          <w:noProof/>
        </w:rPr>
        <w:drawing>
          <wp:inline distT="0" distB="0" distL="0" distR="0" wp14:anchorId="6B5EEA94" wp14:editId="335A2BA0">
            <wp:extent cx="5759450" cy="3455670"/>
            <wp:effectExtent l="0" t="0" r="12700" b="11430"/>
            <wp:docPr id="203" name="Chart 203"/>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14:paraId="7E1FF3E2" w14:textId="77777777" w:rsidR="000D1D92" w:rsidRDefault="000D1D92" w:rsidP="000D1D92">
      <w:pPr>
        <w:jc w:val="both"/>
        <w:rPr>
          <w:rFonts w:cs="Arial"/>
        </w:rPr>
      </w:pPr>
      <w:r>
        <w:rPr>
          <w:rFonts w:cs="Arial"/>
        </w:rPr>
        <w:t xml:space="preserve">The extent of sibling violence against children aged 0 to 17 years is not known at the national level. Preliminary research suggests that </w:t>
      </w:r>
      <w:r w:rsidRPr="005466EA">
        <w:rPr>
          <w:rFonts w:cs="Arial"/>
          <w:b/>
        </w:rPr>
        <w:t>disclosure</w:t>
      </w:r>
      <w:r>
        <w:rPr>
          <w:rFonts w:cs="Arial"/>
        </w:rPr>
        <w:t xml:space="preserve"> of sibling sexual abuse is rare: </w:t>
      </w:r>
    </w:p>
    <w:p w14:paraId="2ADC1C50" w14:textId="77777777" w:rsidR="000D1D92" w:rsidRPr="00753927" w:rsidRDefault="000D1D92" w:rsidP="000D1D92">
      <w:pPr>
        <w:ind w:left="360"/>
        <w:jc w:val="both"/>
        <w:rPr>
          <w:rFonts w:cs="Arial"/>
          <w:sz w:val="22"/>
          <w:szCs w:val="22"/>
        </w:rPr>
      </w:pPr>
      <w:r w:rsidRPr="00753927">
        <w:rPr>
          <w:rFonts w:cs="Arial"/>
          <w:sz w:val="22"/>
          <w:szCs w:val="22"/>
        </w:rPr>
        <w:t>The small number of qualitative studies into disclosure in cases of sibling sexual abuse consistently shows that disclosure is extremely rare, especially during or soon after the abuse had occurred.</w:t>
      </w:r>
      <w:r>
        <w:rPr>
          <w:rStyle w:val="EndnoteReference"/>
          <w:rFonts w:cs="Arial"/>
          <w:szCs w:val="22"/>
        </w:rPr>
        <w:endnoteReference w:id="701"/>
      </w:r>
    </w:p>
    <w:p w14:paraId="5937029A" w14:textId="77777777" w:rsidR="000D1D92" w:rsidRPr="009609EE" w:rsidRDefault="000D1D92" w:rsidP="000D1D92">
      <w:pPr>
        <w:jc w:val="both"/>
        <w:rPr>
          <w:rFonts w:cs="Arial"/>
        </w:rPr>
      </w:pPr>
      <w:r w:rsidRPr="00903AC2">
        <w:rPr>
          <w:rFonts w:cs="Arial"/>
        </w:rPr>
        <w:t>Sibling violence was identified as an emerging concern by participants at some of my roundtables</w:t>
      </w:r>
      <w:r>
        <w:rPr>
          <w:rFonts w:cs="Arial"/>
        </w:rPr>
        <w:t xml:space="preserve"> and in some of the written submissions. </w:t>
      </w:r>
      <w:r w:rsidRPr="00903AC2">
        <w:rPr>
          <w:rFonts w:cs="Arial"/>
        </w:rPr>
        <w:t>The Kids</w:t>
      </w:r>
      <w:r>
        <w:rPr>
          <w:rFonts w:cs="Arial"/>
        </w:rPr>
        <w:t xml:space="preserve"> </w:t>
      </w:r>
      <w:r w:rsidRPr="00903AC2">
        <w:rPr>
          <w:rFonts w:cs="Arial"/>
        </w:rPr>
        <w:t>Helpline</w:t>
      </w:r>
      <w:r>
        <w:rPr>
          <w:rFonts w:cs="Arial"/>
        </w:rPr>
        <w:t>, for example,</w:t>
      </w:r>
      <w:r w:rsidRPr="00903AC2">
        <w:rPr>
          <w:rFonts w:cs="Arial"/>
        </w:rPr>
        <w:t xml:space="preserve"> pointed out that:</w:t>
      </w:r>
    </w:p>
    <w:p w14:paraId="2E6BAA1C" w14:textId="77777777" w:rsidR="000D1D92" w:rsidRDefault="000D1D92" w:rsidP="000D1D92">
      <w:pPr>
        <w:ind w:left="360"/>
        <w:jc w:val="both"/>
        <w:rPr>
          <w:szCs w:val="22"/>
        </w:rPr>
      </w:pPr>
      <w:r w:rsidRPr="00EB31B9">
        <w:rPr>
          <w:rFonts w:cs="Arial"/>
          <w:sz w:val="22"/>
          <w:szCs w:val="22"/>
        </w:rPr>
        <w:t>Nearly 14% of DFV</w:t>
      </w:r>
      <w:r w:rsidRPr="009609EE">
        <w:rPr>
          <w:rFonts w:cs="Arial"/>
          <w:sz w:val="22"/>
          <w:szCs w:val="22"/>
        </w:rPr>
        <w:t xml:space="preserve"> contacts to Kids Helpline involved violence by siblings, and many children reported that their parents were either unwilling or unable to address the issue. It is our view that this form of family violence is under researched. There would be considerable value in undertaking research in regard to this issue to better inform the development and implementation of preventative strategies.</w:t>
      </w:r>
      <w:r w:rsidRPr="009609EE">
        <w:rPr>
          <w:rStyle w:val="EndnoteReference"/>
          <w:szCs w:val="22"/>
        </w:rPr>
        <w:t xml:space="preserve"> </w:t>
      </w:r>
      <w:r w:rsidRPr="009609EE">
        <w:rPr>
          <w:rStyle w:val="EndnoteReference"/>
          <w:szCs w:val="22"/>
        </w:rPr>
        <w:endnoteReference w:id="702"/>
      </w:r>
    </w:p>
    <w:p w14:paraId="7369B7AE" w14:textId="77777777" w:rsidR="000D1D92" w:rsidRDefault="000D1D92" w:rsidP="000D1D92">
      <w:pPr>
        <w:jc w:val="both"/>
        <w:rPr>
          <w:szCs w:val="22"/>
        </w:rPr>
      </w:pPr>
      <w:r w:rsidRPr="005466EA">
        <w:rPr>
          <w:b/>
          <w:szCs w:val="22"/>
        </w:rPr>
        <w:t>The need for greater research about sibling violence</w:t>
      </w:r>
      <w:r>
        <w:rPr>
          <w:szCs w:val="22"/>
        </w:rPr>
        <w:t xml:space="preserve"> was reinforced in the submission made by </w:t>
      </w:r>
      <w:r w:rsidRPr="00447042">
        <w:t>Australian Psychological Society</w:t>
      </w:r>
      <w:r>
        <w:t>:</w:t>
      </w:r>
    </w:p>
    <w:p w14:paraId="39B8814D" w14:textId="77777777" w:rsidR="000D1D92" w:rsidRDefault="000D1D92" w:rsidP="000D1D92">
      <w:pPr>
        <w:ind w:left="360"/>
        <w:jc w:val="both"/>
        <w:rPr>
          <w:sz w:val="22"/>
          <w:szCs w:val="22"/>
        </w:rPr>
      </w:pPr>
      <w:r w:rsidRPr="009457BF">
        <w:rPr>
          <w:sz w:val="22"/>
          <w:szCs w:val="22"/>
        </w:rPr>
        <w:t xml:space="preserve">Another area that is often overlooked is the impact on children of their </w:t>
      </w:r>
      <w:r w:rsidRPr="00DD4518">
        <w:rPr>
          <w:sz w:val="22"/>
          <w:szCs w:val="22"/>
        </w:rPr>
        <w:t>siblings</w:t>
      </w:r>
      <w:r w:rsidRPr="009457BF">
        <w:rPr>
          <w:sz w:val="22"/>
          <w:szCs w:val="22"/>
        </w:rPr>
        <w:t xml:space="preserve"> who may be violent towa</w:t>
      </w:r>
      <w:r>
        <w:rPr>
          <w:sz w:val="22"/>
          <w:szCs w:val="22"/>
        </w:rPr>
        <w:t>rds one or both parents or stepparents</w:t>
      </w:r>
      <w:r w:rsidRPr="009457BF">
        <w:rPr>
          <w:sz w:val="22"/>
          <w:szCs w:val="22"/>
        </w:rPr>
        <w:t xml:space="preserve">. The complex aetiology of such violence is embedded in family violence research, with power differentials operating often during the younger years of the violent adolescents, and the change with growth and </w:t>
      </w:r>
      <w:r w:rsidRPr="009457BF">
        <w:rPr>
          <w:sz w:val="22"/>
          <w:szCs w:val="22"/>
        </w:rPr>
        <w:lastRenderedPageBreak/>
        <w:t>impulse control evident, even with the filicide data</w:t>
      </w:r>
      <w:r>
        <w:rPr>
          <w:sz w:val="22"/>
          <w:szCs w:val="22"/>
        </w:rPr>
        <w:t>…</w:t>
      </w:r>
      <w:r w:rsidRPr="009457BF">
        <w:rPr>
          <w:sz w:val="22"/>
          <w:szCs w:val="22"/>
        </w:rPr>
        <w:t>This area of violence towards parents and younger siblings is an emerging area of research that needs attention.</w:t>
      </w:r>
      <w:r>
        <w:rPr>
          <w:rStyle w:val="EndnoteReference"/>
          <w:szCs w:val="22"/>
        </w:rPr>
        <w:endnoteReference w:id="703"/>
      </w:r>
    </w:p>
    <w:p w14:paraId="764540CF" w14:textId="77777777" w:rsidR="000D1D92" w:rsidRDefault="000D1D92" w:rsidP="000D1D92">
      <w:pPr>
        <w:jc w:val="both"/>
      </w:pPr>
      <w:r>
        <w:t>The Kids Helpline provided this case study of one contact to highlight the reality of sibling violence:</w:t>
      </w:r>
    </w:p>
    <w:tbl>
      <w:tblPr>
        <w:tblStyle w:val="TableGrid"/>
        <w:tblW w:w="0" w:type="auto"/>
        <w:shd w:val="clear" w:color="auto" w:fill="F2F2F2" w:themeFill="background1" w:themeFillShade="F2"/>
        <w:tblLook w:val="04A0" w:firstRow="1" w:lastRow="0" w:firstColumn="1" w:lastColumn="0" w:noHBand="0" w:noVBand="1"/>
      </w:tblPr>
      <w:tblGrid>
        <w:gridCol w:w="9060"/>
      </w:tblGrid>
      <w:tr w:rsidR="000D1D92" w14:paraId="6B9FBF67" w14:textId="77777777" w:rsidTr="00684616">
        <w:tc>
          <w:tcPr>
            <w:tcW w:w="9060" w:type="dxa"/>
            <w:shd w:val="clear" w:color="auto" w:fill="F2F2F2" w:themeFill="background1" w:themeFillShade="F2"/>
          </w:tcPr>
          <w:p w14:paraId="59D43D3C" w14:textId="77777777" w:rsidR="000D1D92" w:rsidRPr="00096E0A" w:rsidRDefault="000D1D92" w:rsidP="00684616">
            <w:pPr>
              <w:jc w:val="both"/>
              <w:rPr>
                <w:b/>
              </w:rPr>
            </w:pPr>
            <w:r w:rsidRPr="00096E0A">
              <w:rPr>
                <w:b/>
              </w:rPr>
              <w:t>Extract from the BoysTown / Kids Helpline submission</w:t>
            </w:r>
          </w:p>
          <w:p w14:paraId="3E3E0056" w14:textId="77777777" w:rsidR="000D1D92" w:rsidRDefault="000D1D92" w:rsidP="00684616">
            <w:pPr>
              <w:jc w:val="both"/>
            </w:pPr>
            <w:r w:rsidRPr="00096E0A">
              <w:t>I'm 15 and live in a small country town in Australia. I have recently been abused by my older brother. He was throwing me across rooms, slamming me into walls, punching me in the face and threatening me with knives. After that I started self-harming and I lost all my friends except my best friend. I had told my best friend, family and even the police and nothing is still done about it. He comes up every month for about 2 weeks. That whole 2 weeks, I have to, either leave the house and stay at a friends’, or stay locked in my room.</w:t>
            </w:r>
            <w:r w:rsidRPr="00096E0A">
              <w:rPr>
                <w:vertAlign w:val="superscript"/>
              </w:rPr>
              <w:endnoteReference w:id="704"/>
            </w:r>
          </w:p>
        </w:tc>
      </w:tr>
    </w:tbl>
    <w:p w14:paraId="6A7EBC4A" w14:textId="77777777" w:rsidR="000D1D92" w:rsidRPr="00A02F56" w:rsidRDefault="000D1D92" w:rsidP="000D1D92">
      <w:pPr>
        <w:spacing w:before="0" w:after="0"/>
      </w:pPr>
    </w:p>
    <w:p w14:paraId="1B0A560D" w14:textId="77777777" w:rsidR="000D1D92" w:rsidRDefault="000D1D92" w:rsidP="000D1D92">
      <w:pPr>
        <w:spacing w:before="0" w:after="0"/>
        <w:jc w:val="both"/>
      </w:pPr>
      <w:r>
        <w:t>Sibling violence is an area that requires further investigation. The Australian National Research Organisation for Women’s Safety (ANROWS) has identified sibling sexual abuse as an area where there is a research gap.</w:t>
      </w:r>
      <w:r>
        <w:rPr>
          <w:rStyle w:val="EndnoteReference"/>
        </w:rPr>
        <w:endnoteReference w:id="705"/>
      </w:r>
      <w:r>
        <w:t xml:space="preserve"> </w:t>
      </w:r>
    </w:p>
    <w:p w14:paraId="7693EB2A" w14:textId="77777777" w:rsidR="000D1D92" w:rsidRDefault="000D1D92" w:rsidP="000D1D92">
      <w:pPr>
        <w:spacing w:before="0" w:after="0"/>
        <w:jc w:val="both"/>
        <w:rPr>
          <w:b/>
        </w:rPr>
      </w:pPr>
    </w:p>
    <w:tbl>
      <w:tblPr>
        <w:tblStyle w:val="TableGrid"/>
        <w:tblW w:w="0" w:type="auto"/>
        <w:shd w:val="clear" w:color="auto" w:fill="F2F2F2" w:themeFill="background1" w:themeFillShade="F2"/>
        <w:tblLook w:val="04A0" w:firstRow="1" w:lastRow="0" w:firstColumn="1" w:lastColumn="0" w:noHBand="0" w:noVBand="1"/>
      </w:tblPr>
      <w:tblGrid>
        <w:gridCol w:w="9060"/>
      </w:tblGrid>
      <w:tr w:rsidR="000D1D92" w14:paraId="5E1D8B53" w14:textId="77777777" w:rsidTr="00684616">
        <w:tc>
          <w:tcPr>
            <w:tcW w:w="9060" w:type="dxa"/>
            <w:shd w:val="clear" w:color="auto" w:fill="F2F2F2" w:themeFill="background1" w:themeFillShade="F2"/>
          </w:tcPr>
          <w:p w14:paraId="23B19E2D" w14:textId="77777777" w:rsidR="000D1D92" w:rsidRPr="00096E0A" w:rsidRDefault="000D1D92" w:rsidP="00684616">
            <w:pPr>
              <w:jc w:val="both"/>
              <w:rPr>
                <w:b/>
              </w:rPr>
            </w:pPr>
            <w:r>
              <w:rPr>
                <w:b/>
              </w:rPr>
              <w:t>Recommendation 15:</w:t>
            </w:r>
          </w:p>
          <w:p w14:paraId="700DD7D2" w14:textId="77777777" w:rsidR="000D1D92" w:rsidRDefault="000D1D92" w:rsidP="00684616">
            <w:pPr>
              <w:jc w:val="both"/>
            </w:pPr>
            <w:r>
              <w:rPr>
                <w:b/>
              </w:rPr>
              <w:t>T</w:t>
            </w:r>
            <w:r w:rsidRPr="006E1730">
              <w:rPr>
                <w:b/>
              </w:rPr>
              <w:t>he next</w:t>
            </w:r>
            <w:r>
              <w:rPr>
                <w:b/>
              </w:rPr>
              <w:t xml:space="preserve"> ANROWS (Australia’s National Research Organisation for Women’s Safety) </w:t>
            </w:r>
            <w:r w:rsidRPr="006E1730">
              <w:rPr>
                <w:b/>
              </w:rPr>
              <w:t>Research Program</w:t>
            </w:r>
            <w:r>
              <w:rPr>
                <w:b/>
              </w:rPr>
              <w:t xml:space="preserve"> should</w:t>
            </w:r>
            <w:r w:rsidRPr="006E1730">
              <w:rPr>
                <w:b/>
              </w:rPr>
              <w:t xml:space="preserve"> include research into sibling violence.</w:t>
            </w:r>
          </w:p>
        </w:tc>
      </w:tr>
    </w:tbl>
    <w:p w14:paraId="2E76C8B1" w14:textId="77777777" w:rsidR="000D1D92" w:rsidRPr="008C045D" w:rsidRDefault="000D1D92" w:rsidP="000D1D92">
      <w:pPr>
        <w:pStyle w:val="Heading3"/>
        <w:jc w:val="both"/>
      </w:pPr>
      <w:bookmarkStart w:id="205" w:name="_Toc430702131"/>
      <w:bookmarkStart w:id="206" w:name="_Toc432061282"/>
      <w:r w:rsidRPr="000A1B34">
        <w:t>Female children aged 15</w:t>
      </w:r>
      <w:r>
        <w:t xml:space="preserve"> to </w:t>
      </w:r>
      <w:r w:rsidRPr="000A1B34">
        <w:t xml:space="preserve">17 years subjected to physical assault </w:t>
      </w:r>
      <w:r w:rsidRPr="008C045D">
        <w:t>and sexual assault by their partners</w:t>
      </w:r>
      <w:bookmarkEnd w:id="205"/>
      <w:bookmarkEnd w:id="206"/>
    </w:p>
    <w:p w14:paraId="1DFE0A77" w14:textId="77777777" w:rsidR="000D1D92" w:rsidRDefault="000D1D92" w:rsidP="000D1D92">
      <w:pPr>
        <w:spacing w:before="0" w:after="0"/>
        <w:jc w:val="both"/>
        <w:rPr>
          <w:rFonts w:cs="Arial"/>
        </w:rPr>
      </w:pPr>
      <w:r>
        <w:rPr>
          <w:rFonts w:cs="Arial"/>
        </w:rPr>
        <w:t>The custom data I obtained from ABS based on its Recorded Crime – Victims publication about police recorded child victims of physical assault and sexual assault in a residential location shows that female children aged 15 to 17 years accounted for a significant proportion of child victims who reported the offender was their partner.</w:t>
      </w:r>
    </w:p>
    <w:p w14:paraId="35E43ABE" w14:textId="77777777" w:rsidR="000D1D92" w:rsidRDefault="000D1D92" w:rsidP="000D1D92">
      <w:pPr>
        <w:jc w:val="both"/>
        <w:rPr>
          <w:rFonts w:cs="Arial"/>
        </w:rPr>
      </w:pPr>
      <w:r>
        <w:rPr>
          <w:rFonts w:cs="Arial"/>
        </w:rPr>
        <w:t>Based on the custom data provided to me by ABS, I was able to compare the proportion of both Indigenous and non-Indigenous female child victims aged 15 to 17 of physical assault and sexual assault by partners in the state of New South Wales only:</w:t>
      </w:r>
    </w:p>
    <w:p w14:paraId="0FAE57C1" w14:textId="77777777" w:rsidR="000D1D92" w:rsidRDefault="000D1D92" w:rsidP="000D1D92">
      <w:pPr>
        <w:jc w:val="both"/>
        <w:rPr>
          <w:rFonts w:cs="Arial"/>
        </w:rPr>
      </w:pPr>
      <w:r>
        <w:rPr>
          <w:noProof/>
        </w:rPr>
        <w:lastRenderedPageBreak/>
        <w:drawing>
          <wp:inline distT="0" distB="0" distL="0" distR="0" wp14:anchorId="25485658" wp14:editId="632530CE">
            <wp:extent cx="5870713" cy="3522428"/>
            <wp:effectExtent l="0" t="0" r="15875" b="1905"/>
            <wp:docPr id="204" name="Chart 204"/>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14:paraId="2E693A97" w14:textId="77777777" w:rsidR="000D1D92" w:rsidRDefault="000D1D92" w:rsidP="000D1D92">
      <w:pPr>
        <w:jc w:val="both"/>
      </w:pPr>
      <w:r>
        <w:t>The custom report provided to me by ABS based on its 2012 Personal Safety Survey did not provide physical abuse or sexual abuse prevalence estimates for children aged 15 to 17 years.</w:t>
      </w:r>
    </w:p>
    <w:p w14:paraId="15F98488" w14:textId="77777777" w:rsidR="000D1D92" w:rsidRDefault="000D1D92" w:rsidP="000D1D92">
      <w:pPr>
        <w:jc w:val="both"/>
      </w:pPr>
      <w:r>
        <w:t>Evidence I gathered through my roundtables and written submissions also indicated that an increasing number of female children aged 15 to 17 years are experiencing and seeking help for violence perpetrated by their partners.</w:t>
      </w:r>
    </w:p>
    <w:p w14:paraId="205E086F" w14:textId="77777777" w:rsidR="000D1D92" w:rsidRDefault="000D1D92" w:rsidP="000D1D92">
      <w:pPr>
        <w:pStyle w:val="ListParagraph"/>
        <w:ind w:left="0"/>
        <w:jc w:val="both"/>
      </w:pPr>
      <w:r>
        <w:t xml:space="preserve">The </w:t>
      </w:r>
      <w:r w:rsidRPr="001618F8">
        <w:t>Northern Territory Department of Children and Families</w:t>
      </w:r>
      <w:r>
        <w:t xml:space="preserve"> pointed out in its submission to me that:</w:t>
      </w:r>
    </w:p>
    <w:p w14:paraId="5276588C" w14:textId="77777777" w:rsidR="000D1D92" w:rsidRDefault="000D1D92" w:rsidP="000D1D92">
      <w:pPr>
        <w:pStyle w:val="ListParagraph"/>
        <w:autoSpaceDE w:val="0"/>
        <w:autoSpaceDN w:val="0"/>
        <w:adjustRightInd w:val="0"/>
        <w:spacing w:before="0" w:after="0"/>
        <w:jc w:val="both"/>
        <w:rPr>
          <w:rFonts w:cs="Arial"/>
          <w:sz w:val="22"/>
          <w:szCs w:val="22"/>
        </w:rPr>
      </w:pPr>
    </w:p>
    <w:p w14:paraId="212FE4FA" w14:textId="77777777" w:rsidR="000D1D92" w:rsidRPr="00A57CC6" w:rsidRDefault="000D1D92" w:rsidP="000D1D92">
      <w:pPr>
        <w:pStyle w:val="ListParagraph"/>
        <w:autoSpaceDE w:val="0"/>
        <w:autoSpaceDN w:val="0"/>
        <w:adjustRightInd w:val="0"/>
        <w:spacing w:before="0" w:after="0"/>
        <w:jc w:val="both"/>
        <w:rPr>
          <w:sz w:val="22"/>
          <w:szCs w:val="22"/>
        </w:rPr>
      </w:pPr>
      <w:r w:rsidRPr="00DD4518">
        <w:rPr>
          <w:rFonts w:cs="Arial"/>
          <w:sz w:val="22"/>
          <w:szCs w:val="22"/>
        </w:rPr>
        <w:t xml:space="preserve">Frontline practitioners have observed a growing cohort of young people experiencing violence within their relationships. Typically, they are teenage girls partnered </w:t>
      </w:r>
      <w:r>
        <w:rPr>
          <w:rFonts w:cs="Arial"/>
          <w:sz w:val="22"/>
          <w:szCs w:val="22"/>
        </w:rPr>
        <w:t>with</w:t>
      </w:r>
      <w:r w:rsidRPr="00DD4518">
        <w:rPr>
          <w:rFonts w:cs="Arial"/>
          <w:sz w:val="22"/>
          <w:szCs w:val="22"/>
        </w:rPr>
        <w:t xml:space="preserve"> teenage boys or young men, and include cases where the teenage girl is still technically a child and already has children of her own. The girls and their children may be the subject of child protection interventions.</w:t>
      </w:r>
      <w:r>
        <w:rPr>
          <w:rFonts w:cs="Arial"/>
          <w:sz w:val="22"/>
          <w:szCs w:val="22"/>
        </w:rPr>
        <w:t xml:space="preserve"> </w:t>
      </w:r>
      <w:r w:rsidRPr="00DD4518">
        <w:rPr>
          <w:rFonts w:cs="Arial"/>
          <w:sz w:val="22"/>
          <w:szCs w:val="22"/>
        </w:rPr>
        <w:t>They may be ‘self-placing’, removing themselves from a child protection placement and relocating to another place of their own choosing, typically with their boyfriend and/or his family, which both reflects and reinforces inter-generational trauma related to family and domestic violence</w:t>
      </w:r>
      <w:r w:rsidRPr="00A57CC6">
        <w:rPr>
          <w:rFonts w:cs="Arial"/>
        </w:rPr>
        <w:t>.</w:t>
      </w:r>
      <w:r>
        <w:rPr>
          <w:rStyle w:val="EndnoteReference"/>
          <w:rFonts w:cs="Arial"/>
        </w:rPr>
        <w:endnoteReference w:id="706"/>
      </w:r>
    </w:p>
    <w:p w14:paraId="457016CC" w14:textId="77777777" w:rsidR="000D1D92" w:rsidRDefault="000D1D92" w:rsidP="000D1D92">
      <w:pPr>
        <w:pStyle w:val="ListParagraph"/>
        <w:jc w:val="both"/>
        <w:rPr>
          <w:b/>
        </w:rPr>
      </w:pPr>
    </w:p>
    <w:p w14:paraId="782770FD" w14:textId="77777777" w:rsidR="000D1D92" w:rsidRDefault="000D1D92" w:rsidP="000D1D92">
      <w:pPr>
        <w:pStyle w:val="ListParagraph"/>
        <w:ind w:left="0"/>
        <w:jc w:val="both"/>
        <w:rPr>
          <w:b/>
        </w:rPr>
      </w:pPr>
      <w:r>
        <w:t xml:space="preserve">In its submission, </w:t>
      </w:r>
      <w:r w:rsidRPr="008029D3">
        <w:t>Relationships Australia</w:t>
      </w:r>
      <w:r>
        <w:t xml:space="preserve"> also raised the issue of emerging service gaps for this vulnerable group:</w:t>
      </w:r>
    </w:p>
    <w:p w14:paraId="1C2694CC" w14:textId="77777777" w:rsidR="000D1D92" w:rsidRDefault="000D1D92" w:rsidP="000D1D92">
      <w:pPr>
        <w:pStyle w:val="ListParagraph"/>
        <w:jc w:val="both"/>
        <w:rPr>
          <w:b/>
        </w:rPr>
      </w:pPr>
    </w:p>
    <w:p w14:paraId="0F270564" w14:textId="77777777" w:rsidR="000D1D92" w:rsidRPr="00131AE9" w:rsidRDefault="000D1D92" w:rsidP="000D1D92">
      <w:pPr>
        <w:pStyle w:val="ListParagraph"/>
        <w:jc w:val="both"/>
        <w:rPr>
          <w:b/>
          <w:sz w:val="22"/>
          <w:szCs w:val="22"/>
        </w:rPr>
      </w:pPr>
      <w:r>
        <w:rPr>
          <w:sz w:val="22"/>
          <w:szCs w:val="22"/>
        </w:rPr>
        <w:t>W</w:t>
      </w:r>
      <w:r w:rsidRPr="00061283">
        <w:rPr>
          <w:sz w:val="22"/>
          <w:szCs w:val="22"/>
        </w:rPr>
        <w:t>e are seeing a trend of an increasing number of children aged 15-17 years who are seeking support through our domestic violence programs. Older adolescent males are either mandated or voluntarily seeking support to stop using abuse in their relationships with women. Older adolescent women are seeking support as the victim of domestic violence from relationships with young men at school and in the community. At present we do not have sufficient resources to tailor additional services for this age group.</w:t>
      </w:r>
      <w:r>
        <w:rPr>
          <w:rStyle w:val="EndnoteReference"/>
          <w:szCs w:val="22"/>
        </w:rPr>
        <w:endnoteReference w:id="707"/>
      </w:r>
    </w:p>
    <w:p w14:paraId="67069867" w14:textId="77777777" w:rsidR="000D1D92" w:rsidRDefault="000D1D92" w:rsidP="000D1D92">
      <w:pPr>
        <w:spacing w:before="0" w:after="0"/>
        <w:jc w:val="both"/>
      </w:pPr>
      <w:r>
        <w:lastRenderedPageBreak/>
        <w:t xml:space="preserve">It is important that we take </w:t>
      </w:r>
      <w:r w:rsidRPr="004400E0">
        <w:t>steps</w:t>
      </w:r>
      <w:r>
        <w:t xml:space="preserve"> to better meet the needs of and understand at the national level the situation of female children aged 15 to 17 years who are experiencing violence by their partners.</w:t>
      </w:r>
    </w:p>
    <w:p w14:paraId="0311A7C6" w14:textId="77777777" w:rsidR="000D1D92" w:rsidRDefault="000D1D92" w:rsidP="000D1D92">
      <w:pPr>
        <w:spacing w:before="0" w:after="0"/>
        <w:jc w:val="both"/>
      </w:pPr>
    </w:p>
    <w:tbl>
      <w:tblPr>
        <w:tblStyle w:val="TableGrid"/>
        <w:tblW w:w="0" w:type="auto"/>
        <w:shd w:val="clear" w:color="auto" w:fill="F2F2F2" w:themeFill="background1" w:themeFillShade="F2"/>
        <w:tblLook w:val="04A0" w:firstRow="1" w:lastRow="0" w:firstColumn="1" w:lastColumn="0" w:noHBand="0" w:noVBand="1"/>
      </w:tblPr>
      <w:tblGrid>
        <w:gridCol w:w="9060"/>
      </w:tblGrid>
      <w:tr w:rsidR="000D1D92" w14:paraId="531F711D" w14:textId="77777777" w:rsidTr="00684616">
        <w:tc>
          <w:tcPr>
            <w:tcW w:w="9060" w:type="dxa"/>
            <w:shd w:val="clear" w:color="auto" w:fill="F2F2F2" w:themeFill="background1" w:themeFillShade="F2"/>
          </w:tcPr>
          <w:p w14:paraId="575E102C" w14:textId="77777777" w:rsidR="000D1D92" w:rsidRPr="00096E0A" w:rsidRDefault="000D1D92" w:rsidP="00684616">
            <w:pPr>
              <w:jc w:val="both"/>
              <w:rPr>
                <w:b/>
              </w:rPr>
            </w:pPr>
            <w:r>
              <w:rPr>
                <w:b/>
              </w:rPr>
              <w:t>Recommendation 16:</w:t>
            </w:r>
          </w:p>
          <w:p w14:paraId="4E9F5F7F" w14:textId="77777777" w:rsidR="000D1D92" w:rsidRDefault="000D1D92" w:rsidP="00684616">
            <w:pPr>
              <w:jc w:val="both"/>
            </w:pPr>
            <w:r>
              <w:rPr>
                <w:b/>
              </w:rPr>
              <w:t>T</w:t>
            </w:r>
            <w:r w:rsidRPr="006E1730">
              <w:rPr>
                <w:b/>
              </w:rPr>
              <w:t>he next</w:t>
            </w:r>
            <w:r>
              <w:rPr>
                <w:b/>
              </w:rPr>
              <w:t xml:space="preserve"> ANROWS (Australia’s National Research Organisation for Women’s Safety) </w:t>
            </w:r>
            <w:r w:rsidRPr="006E1730">
              <w:rPr>
                <w:b/>
              </w:rPr>
              <w:t>Research Program</w:t>
            </w:r>
            <w:r>
              <w:rPr>
                <w:b/>
              </w:rPr>
              <w:t xml:space="preserve"> should</w:t>
            </w:r>
            <w:r w:rsidRPr="006E1730">
              <w:rPr>
                <w:b/>
              </w:rPr>
              <w:t xml:space="preserve"> include research into female children aged 15 to 17 years affected by family and domestic violence.</w:t>
            </w:r>
          </w:p>
        </w:tc>
      </w:tr>
    </w:tbl>
    <w:p w14:paraId="7843478A" w14:textId="77777777" w:rsidR="000D1D92" w:rsidRDefault="000D1D92" w:rsidP="000D1D92">
      <w:pPr>
        <w:spacing w:before="0" w:after="0"/>
        <w:jc w:val="both"/>
      </w:pPr>
    </w:p>
    <w:p w14:paraId="481C6973" w14:textId="77777777" w:rsidR="000D1D92" w:rsidRDefault="000D1D92" w:rsidP="000D1D92">
      <w:pPr>
        <w:autoSpaceDE w:val="0"/>
        <w:autoSpaceDN w:val="0"/>
        <w:adjustRightInd w:val="0"/>
        <w:spacing w:before="0" w:after="0"/>
        <w:jc w:val="both"/>
      </w:pPr>
      <w:r>
        <w:rPr>
          <w:rFonts w:cs="Arial"/>
        </w:rPr>
        <w:t>The Australian Institute of Family Studies and ANROWS brought to my attention the fact that</w:t>
      </w:r>
      <w:r>
        <w:t>:</w:t>
      </w:r>
    </w:p>
    <w:p w14:paraId="05064569" w14:textId="77777777" w:rsidR="000D1D92" w:rsidRDefault="000D1D92" w:rsidP="000D1D92">
      <w:pPr>
        <w:spacing w:before="0" w:after="0"/>
        <w:jc w:val="both"/>
        <w:rPr>
          <w:rFonts w:cs="Segoe UI"/>
        </w:rPr>
      </w:pPr>
    </w:p>
    <w:p w14:paraId="5CA17E72" w14:textId="77777777" w:rsidR="000D1D92" w:rsidRDefault="000D1D92" w:rsidP="000D1D92">
      <w:pPr>
        <w:autoSpaceDE w:val="0"/>
        <w:autoSpaceDN w:val="0"/>
        <w:adjustRightInd w:val="0"/>
        <w:spacing w:before="0" w:after="0"/>
        <w:ind w:left="720"/>
        <w:jc w:val="both"/>
        <w:rPr>
          <w:rFonts w:cs="Arial"/>
          <w:sz w:val="22"/>
          <w:szCs w:val="22"/>
        </w:rPr>
      </w:pPr>
      <w:r>
        <w:rPr>
          <w:rFonts w:cs="Arial"/>
          <w:sz w:val="22"/>
          <w:szCs w:val="22"/>
        </w:rPr>
        <w:t>… T</w:t>
      </w:r>
      <w:r w:rsidRPr="001A0AB2">
        <w:rPr>
          <w:rFonts w:cs="Arial"/>
          <w:sz w:val="22"/>
          <w:szCs w:val="22"/>
        </w:rPr>
        <w:t>he current commitment of funding for ANROWS expires six years before the end of the National Plan.</w:t>
      </w:r>
      <w:r>
        <w:rPr>
          <w:rFonts w:cs="Arial"/>
          <w:sz w:val="22"/>
          <w:szCs w:val="22"/>
        </w:rPr>
        <w:t xml:space="preserve"> </w:t>
      </w:r>
      <w:r w:rsidRPr="001A0AB2">
        <w:rPr>
          <w:rFonts w:cs="Arial"/>
          <w:sz w:val="22"/>
          <w:szCs w:val="22"/>
        </w:rPr>
        <w:t xml:space="preserve">A longer term funding commitment (at least to the end of the National Plan in 2022) is necessary to enable ANROWS to fulfil its potential, including providing support for longer term research projects, which are crucial in understanding, for example, the effects of perpetrator intervention programs. </w:t>
      </w:r>
    </w:p>
    <w:p w14:paraId="3A7CC92F" w14:textId="77777777" w:rsidR="000D1D92" w:rsidRDefault="000D1D92" w:rsidP="000D1D92">
      <w:pPr>
        <w:autoSpaceDE w:val="0"/>
        <w:autoSpaceDN w:val="0"/>
        <w:adjustRightInd w:val="0"/>
        <w:spacing w:before="0" w:after="0"/>
        <w:ind w:left="720"/>
        <w:jc w:val="both"/>
        <w:rPr>
          <w:rFonts w:cs="Arial"/>
          <w:sz w:val="22"/>
          <w:szCs w:val="22"/>
        </w:rPr>
      </w:pPr>
    </w:p>
    <w:p w14:paraId="603EEDE2" w14:textId="77777777" w:rsidR="000D1D92" w:rsidRPr="001A0AB2" w:rsidRDefault="000D1D92" w:rsidP="000D1D92">
      <w:pPr>
        <w:autoSpaceDE w:val="0"/>
        <w:autoSpaceDN w:val="0"/>
        <w:adjustRightInd w:val="0"/>
        <w:spacing w:before="0" w:after="0"/>
        <w:ind w:left="720"/>
        <w:jc w:val="both"/>
        <w:rPr>
          <w:rFonts w:cs="Arial"/>
          <w:sz w:val="22"/>
          <w:szCs w:val="22"/>
        </w:rPr>
      </w:pPr>
      <w:r w:rsidRPr="001A0AB2">
        <w:rPr>
          <w:rFonts w:cs="Arial"/>
          <w:sz w:val="22"/>
          <w:szCs w:val="22"/>
        </w:rPr>
        <w:t>To illustrate this point, the open grants applications process conducted by ANROWS for its Research Program 2014–2016 resulted in 50 applications for research projects to address current gaps in the evidence base, with a total value of approximately $15 million; however, ANROWS has been able to fund a Research Program valued at $3.5 million.</w:t>
      </w:r>
      <w:r w:rsidRPr="001A0AB2">
        <w:rPr>
          <w:rStyle w:val="EndnoteReference"/>
          <w:rFonts w:cs="Arial"/>
        </w:rPr>
        <w:t xml:space="preserve"> </w:t>
      </w:r>
      <w:r w:rsidRPr="001A0AB2">
        <w:rPr>
          <w:rStyle w:val="EndnoteReference"/>
          <w:rFonts w:cs="Arial"/>
        </w:rPr>
        <w:endnoteReference w:id="708"/>
      </w:r>
    </w:p>
    <w:p w14:paraId="6938E0D3" w14:textId="77777777" w:rsidR="000D1D92" w:rsidRDefault="000D1D92" w:rsidP="000D1D92">
      <w:pPr>
        <w:spacing w:before="0" w:after="0"/>
        <w:jc w:val="both"/>
      </w:pPr>
    </w:p>
    <w:p w14:paraId="4615E3CE" w14:textId="77777777" w:rsidR="000D1D92" w:rsidRDefault="000D1D92" w:rsidP="000D1D92">
      <w:pPr>
        <w:spacing w:before="0" w:after="0"/>
        <w:jc w:val="both"/>
      </w:pPr>
      <w:r>
        <w:t>I encourage the Australian Government to commit to funding ANROWS to at least the end of the National Plan to Reduce Violence against Women and their Children in 2022.</w:t>
      </w:r>
    </w:p>
    <w:p w14:paraId="50D137EB" w14:textId="77777777" w:rsidR="000D1D92" w:rsidRDefault="000D1D92" w:rsidP="000D1D92">
      <w:pPr>
        <w:spacing w:before="0" w:after="0"/>
        <w:jc w:val="both"/>
      </w:pPr>
    </w:p>
    <w:tbl>
      <w:tblPr>
        <w:tblStyle w:val="TableGrid"/>
        <w:tblW w:w="0" w:type="auto"/>
        <w:shd w:val="clear" w:color="auto" w:fill="000000" w:themeFill="text1"/>
        <w:tblLook w:val="04A0" w:firstRow="1" w:lastRow="0" w:firstColumn="1" w:lastColumn="0" w:noHBand="0" w:noVBand="1"/>
      </w:tblPr>
      <w:tblGrid>
        <w:gridCol w:w="9060"/>
      </w:tblGrid>
      <w:tr w:rsidR="000D1D92" w14:paraId="69605523" w14:textId="77777777" w:rsidTr="00684616">
        <w:trPr>
          <w:trHeight w:val="4717"/>
        </w:trPr>
        <w:tc>
          <w:tcPr>
            <w:tcW w:w="9060" w:type="dxa"/>
            <w:shd w:val="clear" w:color="auto" w:fill="F2F2F2" w:themeFill="background1" w:themeFillShade="F2"/>
            <w:vAlign w:val="center"/>
          </w:tcPr>
          <w:p w14:paraId="055B034C" w14:textId="77777777" w:rsidR="000D1D92" w:rsidRDefault="000D1D92" w:rsidP="00684616">
            <w:pPr>
              <w:spacing w:before="0" w:after="0"/>
              <w:rPr>
                <w:b/>
              </w:rPr>
            </w:pPr>
          </w:p>
          <w:p w14:paraId="0F9A34AF" w14:textId="77777777" w:rsidR="000D1D92" w:rsidRDefault="000D1D92" w:rsidP="00684616">
            <w:pPr>
              <w:spacing w:before="0" w:after="0"/>
              <w:rPr>
                <w:b/>
              </w:rPr>
            </w:pPr>
            <w:r>
              <w:rPr>
                <w:b/>
              </w:rPr>
              <w:t>Summary</w:t>
            </w:r>
          </w:p>
          <w:p w14:paraId="29E3C849" w14:textId="77777777" w:rsidR="000D1D92" w:rsidRPr="007407A6" w:rsidRDefault="000D1D92" w:rsidP="00684616">
            <w:pPr>
              <w:spacing w:before="0" w:after="0"/>
              <w:rPr>
                <w:b/>
              </w:rPr>
            </w:pPr>
          </w:p>
          <w:p w14:paraId="22876087" w14:textId="77777777" w:rsidR="000D1D92" w:rsidRDefault="000D1D92" w:rsidP="00684616">
            <w:pPr>
              <w:spacing w:before="0" w:after="0"/>
              <w:jc w:val="both"/>
            </w:pPr>
            <w:r w:rsidRPr="00DF6A1B">
              <w:rPr>
                <w:b/>
              </w:rPr>
              <w:t>Key issues – the impact of family and domestic violence on children</w:t>
            </w:r>
            <w:r>
              <w:t xml:space="preserve"> </w:t>
            </w:r>
          </w:p>
          <w:p w14:paraId="3E8EE3E0" w14:textId="77777777" w:rsidR="000D1D92" w:rsidRDefault="000D1D92" w:rsidP="00684616">
            <w:pPr>
              <w:spacing w:before="0" w:after="0"/>
              <w:jc w:val="both"/>
            </w:pPr>
          </w:p>
          <w:p w14:paraId="0AC8D122" w14:textId="77777777" w:rsidR="000D1D92" w:rsidRDefault="000D1D92" w:rsidP="00684616">
            <w:pPr>
              <w:spacing w:before="0" w:after="0"/>
              <w:jc w:val="both"/>
            </w:pPr>
            <w:r>
              <w:t>A</w:t>
            </w:r>
            <w:r w:rsidRPr="00DF6A1B">
              <w:t xml:space="preserve"> number of </w:t>
            </w:r>
            <w:r>
              <w:t>key issues</w:t>
            </w:r>
            <w:r w:rsidRPr="00DF6A1B">
              <w:t xml:space="preserve"> emerged </w:t>
            </w:r>
            <w:r>
              <w:t xml:space="preserve">from my </w:t>
            </w:r>
            <w:r w:rsidRPr="001933CE">
              <w:t>national examination:</w:t>
            </w:r>
          </w:p>
          <w:p w14:paraId="550BC723" w14:textId="77777777" w:rsidR="000D1D92" w:rsidRDefault="000D1D92" w:rsidP="000D1D92">
            <w:pPr>
              <w:pStyle w:val="ListParagraph"/>
              <w:numPr>
                <w:ilvl w:val="0"/>
                <w:numId w:val="87"/>
              </w:numPr>
              <w:jc w:val="both"/>
            </w:pPr>
            <w:r w:rsidRPr="00DF6A1B">
              <w:t>National and disaggregated data about children affected by family and domestic violence is</w:t>
            </w:r>
            <w:r>
              <w:t xml:space="preserve"> not readily available, including l</w:t>
            </w:r>
            <w:r w:rsidRPr="00DF6A1B">
              <w:t>imited breakdown on the age of child victims</w:t>
            </w:r>
            <w:r>
              <w:t xml:space="preserve"> and l</w:t>
            </w:r>
            <w:r w:rsidRPr="00DF6A1B">
              <w:t>imited data about offenders and perpetrators</w:t>
            </w:r>
            <w:r>
              <w:t>.</w:t>
            </w:r>
          </w:p>
          <w:p w14:paraId="3FE375FD" w14:textId="77777777" w:rsidR="000D1D92" w:rsidRPr="00DF6A1B" w:rsidRDefault="000D1D92" w:rsidP="00684616">
            <w:pPr>
              <w:pStyle w:val="ListParagraph"/>
              <w:jc w:val="both"/>
            </w:pPr>
          </w:p>
          <w:p w14:paraId="14323072" w14:textId="77777777" w:rsidR="000D1D92" w:rsidRDefault="000D1D92" w:rsidP="000D1D92">
            <w:pPr>
              <w:pStyle w:val="ListParagraph"/>
              <w:numPr>
                <w:ilvl w:val="0"/>
                <w:numId w:val="87"/>
              </w:numPr>
              <w:jc w:val="both"/>
            </w:pPr>
            <w:r>
              <w:t>There is a need for early intervention, especially in the first 1,000 days between conception and the age of two years and a need for better information on family and domestic violence in pregnancy.</w:t>
            </w:r>
          </w:p>
          <w:p w14:paraId="64794E78" w14:textId="77777777" w:rsidR="000D1D92" w:rsidRDefault="000D1D92" w:rsidP="00684616">
            <w:pPr>
              <w:pStyle w:val="ListParagraph"/>
              <w:jc w:val="both"/>
            </w:pPr>
          </w:p>
          <w:p w14:paraId="1CC42F42" w14:textId="77777777" w:rsidR="000D1D92" w:rsidRDefault="000D1D92" w:rsidP="000D1D92">
            <w:pPr>
              <w:pStyle w:val="ListParagraph"/>
              <w:numPr>
                <w:ilvl w:val="0"/>
                <w:numId w:val="87"/>
              </w:numPr>
              <w:jc w:val="both"/>
            </w:pPr>
            <w:r>
              <w:t>Aboriginal and Torres Strait Islander children and families in the context of family and domestic violence are over represented.</w:t>
            </w:r>
          </w:p>
          <w:p w14:paraId="2D55AC67" w14:textId="77777777" w:rsidR="000D1D92" w:rsidRDefault="000D1D92" w:rsidP="00684616">
            <w:pPr>
              <w:pStyle w:val="ListParagraph"/>
              <w:jc w:val="both"/>
            </w:pPr>
          </w:p>
          <w:p w14:paraId="4AC3B273" w14:textId="77777777" w:rsidR="000D1D92" w:rsidRDefault="000D1D92" w:rsidP="000D1D92">
            <w:pPr>
              <w:pStyle w:val="ListParagraph"/>
              <w:numPr>
                <w:ilvl w:val="0"/>
                <w:numId w:val="87"/>
              </w:numPr>
              <w:spacing w:before="0" w:after="0"/>
              <w:jc w:val="both"/>
            </w:pPr>
            <w:r>
              <w:t>There is a need for targeted research into sibling violence, and family and domestic violence experienced by female children aged 15 to 17 years.</w:t>
            </w:r>
          </w:p>
          <w:p w14:paraId="50A1C71C" w14:textId="77777777" w:rsidR="000D1D92" w:rsidRDefault="000D1D92" w:rsidP="00684616">
            <w:pPr>
              <w:spacing w:before="0" w:after="0"/>
              <w:jc w:val="both"/>
            </w:pPr>
          </w:p>
        </w:tc>
      </w:tr>
    </w:tbl>
    <w:p w14:paraId="2FAF02FF" w14:textId="77777777" w:rsidR="000D1D92" w:rsidRPr="00416DC0" w:rsidRDefault="000D1D92" w:rsidP="000D1D92">
      <w:pPr>
        <w:pStyle w:val="Heading2"/>
        <w:jc w:val="both"/>
      </w:pPr>
      <w:bookmarkStart w:id="207" w:name="_Toc430702133"/>
      <w:bookmarkStart w:id="208" w:name="_Toc430945574"/>
      <w:bookmarkStart w:id="209" w:name="_Toc430950907"/>
      <w:bookmarkStart w:id="210" w:name="_Toc432061283"/>
      <w:bookmarkStart w:id="211" w:name="_Toc432577328"/>
      <w:r>
        <w:lastRenderedPageBreak/>
        <w:t>Conclusion</w:t>
      </w:r>
      <w:bookmarkEnd w:id="207"/>
      <w:bookmarkEnd w:id="208"/>
      <w:bookmarkEnd w:id="209"/>
      <w:bookmarkEnd w:id="210"/>
      <w:bookmarkEnd w:id="211"/>
    </w:p>
    <w:p w14:paraId="6812BDF6" w14:textId="77777777" w:rsidR="000D1D92" w:rsidRDefault="000D1D92" w:rsidP="000D1D92">
      <w:pPr>
        <w:jc w:val="both"/>
      </w:pPr>
      <w:r>
        <w:t>On 28 September 2015, the Victorian State Coroner, Judge Ian Gray, delivered written findings into the death of Luke Batty and made 29 recommendations.</w:t>
      </w:r>
    </w:p>
    <w:p w14:paraId="320E7197" w14:textId="77777777" w:rsidR="000D1D92" w:rsidRDefault="000D1D92" w:rsidP="000D1D92">
      <w:pPr>
        <w:jc w:val="both"/>
      </w:pPr>
      <w:r>
        <w:t>28 of the recommendations were directed to the State of Victoria and its agencies. Each state and territory jurisdiction in Australia, however, has the potential to review its own laws and policies and make lasting improvements based on the findings from Luke Batty’s death.</w:t>
      </w:r>
    </w:p>
    <w:p w14:paraId="6F2884EB" w14:textId="77777777" w:rsidR="000D1D92" w:rsidRDefault="000D1D92" w:rsidP="000D1D92">
      <w:pPr>
        <w:jc w:val="both"/>
      </w:pPr>
      <w:r>
        <w:t xml:space="preserve">Clearly much remains to be done to make sure </w:t>
      </w:r>
      <w:r w:rsidRPr="00543F12">
        <w:t>that children aged 0 to 17 years can live free from family and domestic violence.</w:t>
      </w:r>
    </w:p>
    <w:p w14:paraId="00802E20" w14:textId="77777777" w:rsidR="000D1D92" w:rsidRDefault="000D1D92" w:rsidP="000D1D92">
      <w:pPr>
        <w:jc w:val="both"/>
      </w:pPr>
      <w:r>
        <w:t>While the evidence-base about the harmful effects of family and domestic violence on children’s wellbeing is growing, much less is known about the variability in impact and the effectiveness of interventions.</w:t>
      </w:r>
      <w:r>
        <w:rPr>
          <w:rStyle w:val="EndnoteReference"/>
          <w:szCs w:val="22"/>
          <w:lang w:val="en-US"/>
        </w:rPr>
        <w:endnoteReference w:id="709"/>
      </w:r>
    </w:p>
    <w:p w14:paraId="507633C0" w14:textId="77777777" w:rsidR="000D1D92" w:rsidRDefault="000D1D92" w:rsidP="000D1D92">
      <w:pPr>
        <w:jc w:val="both"/>
      </w:pPr>
      <w:r>
        <w:t>T</w:t>
      </w:r>
      <w:r w:rsidRPr="00266814">
        <w:t xml:space="preserve">he definitional </w:t>
      </w:r>
      <w:r>
        <w:t>and data issues are complex. A</w:t>
      </w:r>
      <w:r w:rsidRPr="00266814">
        <w:t>s a nation,</w:t>
      </w:r>
      <w:r>
        <w:t xml:space="preserve"> however,</w:t>
      </w:r>
      <w:r w:rsidRPr="00266814">
        <w:t xml:space="preserve"> we must be able to consistently identify those children affected by family and domestic violence. Where children are identified, more information must be recorded and co</w:t>
      </w:r>
      <w:r>
        <w:t xml:space="preserve">llected. </w:t>
      </w:r>
    </w:p>
    <w:p w14:paraId="61AC3A72" w14:textId="77777777" w:rsidR="000D1D92" w:rsidRDefault="000D1D92" w:rsidP="000D1D92">
      <w:pPr>
        <w:jc w:val="both"/>
      </w:pPr>
      <w:r>
        <w:t xml:space="preserve">Comprehensive data about children is required to improve our understanding about the prevalence and impact of family and domestic violence on children at the national level. As a first step, the </w:t>
      </w:r>
      <w:r w:rsidRPr="0095184C">
        <w:t>ABS National Data Collection and Reporting Framework</w:t>
      </w:r>
      <w:r>
        <w:t xml:space="preserve"> should be used by all jurisdictions.</w:t>
      </w:r>
    </w:p>
    <w:p w14:paraId="274B09B9" w14:textId="77777777" w:rsidR="000D1D92" w:rsidRDefault="000D1D92" w:rsidP="000D1D92">
      <w:pPr>
        <w:spacing w:before="0" w:after="0"/>
        <w:jc w:val="both"/>
        <w:rPr>
          <w:rFonts w:cs="Arial"/>
        </w:rPr>
      </w:pPr>
      <w:r>
        <w:rPr>
          <w:rFonts w:cs="Arial"/>
        </w:rPr>
        <w:t>I welcome the</w:t>
      </w:r>
      <w:r w:rsidRPr="00E04A53">
        <w:rPr>
          <w:rFonts w:cs="Arial"/>
        </w:rPr>
        <w:t xml:space="preserve"> recent policy and research initiatives </w:t>
      </w:r>
      <w:r>
        <w:rPr>
          <w:rFonts w:cs="Arial"/>
        </w:rPr>
        <w:t xml:space="preserve">which </w:t>
      </w:r>
      <w:r w:rsidRPr="00E04A53">
        <w:rPr>
          <w:rFonts w:cs="Arial"/>
        </w:rPr>
        <w:t>aim to promote greater understanding</w:t>
      </w:r>
      <w:r>
        <w:rPr>
          <w:rFonts w:cs="Arial"/>
        </w:rPr>
        <w:t>. For example, the i</w:t>
      </w:r>
      <w:r w:rsidRPr="00E04A53">
        <w:rPr>
          <w:rFonts w:cs="Arial"/>
        </w:rPr>
        <w:t xml:space="preserve">mportance of the </w:t>
      </w:r>
      <w:r>
        <w:rPr>
          <w:rFonts w:cs="Arial"/>
        </w:rPr>
        <w:t>F</w:t>
      </w:r>
      <w:r w:rsidRPr="00E04A53">
        <w:rPr>
          <w:rFonts w:cs="Arial"/>
        </w:rPr>
        <w:t xml:space="preserve">irst 1000 </w:t>
      </w:r>
      <w:r>
        <w:rPr>
          <w:rFonts w:cs="Arial"/>
        </w:rPr>
        <w:t>D</w:t>
      </w:r>
      <w:r w:rsidRPr="00E04A53">
        <w:rPr>
          <w:rFonts w:cs="Arial"/>
        </w:rPr>
        <w:t>ays</w:t>
      </w:r>
      <w:r>
        <w:rPr>
          <w:rFonts w:cs="Arial"/>
        </w:rPr>
        <w:t xml:space="preserve"> initiative and its focus on investing in the critical period of child development between conception and the age of two. </w:t>
      </w:r>
    </w:p>
    <w:p w14:paraId="04C0BDAD" w14:textId="77777777" w:rsidR="000D1D92" w:rsidRDefault="000D1D92" w:rsidP="000D1D92">
      <w:pPr>
        <w:spacing w:before="0" w:after="0"/>
        <w:jc w:val="both"/>
        <w:rPr>
          <w:rFonts w:cs="Arial"/>
        </w:rPr>
      </w:pPr>
    </w:p>
    <w:p w14:paraId="7139438D" w14:textId="77777777" w:rsidR="000D1D92" w:rsidRDefault="000D1D92" w:rsidP="000D1D92">
      <w:pPr>
        <w:spacing w:before="0" w:after="0"/>
        <w:jc w:val="both"/>
        <w:rPr>
          <w:rFonts w:cs="Arial"/>
        </w:rPr>
      </w:pPr>
      <w:r>
        <w:rPr>
          <w:rFonts w:cs="Arial"/>
        </w:rPr>
        <w:t>I also welcome the Council of Australian Governments agreement to fund a national campaign to reduce violence against women and their children. I strongly encourage the direct participation of children and young people in the campaign’s development. It is critical that the campaign be tailored to address the circumstances and diverse population groups in each state and territory.</w:t>
      </w:r>
    </w:p>
    <w:p w14:paraId="3CE170C8" w14:textId="77777777" w:rsidR="000D1D92" w:rsidRDefault="000D1D92" w:rsidP="000D1D92">
      <w:pPr>
        <w:jc w:val="both"/>
        <w:rPr>
          <w:rFonts w:cs="Arial"/>
        </w:rPr>
      </w:pPr>
      <w:r>
        <w:rPr>
          <w:rFonts w:cs="Arial"/>
        </w:rPr>
        <w:t>I hope that by conducting this examination I have contributed to making the experiences of children an explicit focus in the broader national discussion currently underway.</w:t>
      </w:r>
    </w:p>
    <w:p w14:paraId="2FB08C89" w14:textId="77777777" w:rsidR="000D1D92" w:rsidRDefault="000D1D92" w:rsidP="000D1D92">
      <w:pPr>
        <w:jc w:val="both"/>
      </w:pPr>
      <w:r>
        <w:t>I look forward to reporting on the progress of my recommendations in my next statutory report to federal parliament about the human rights of children in Australia.</w:t>
      </w:r>
    </w:p>
    <w:p w14:paraId="230C427B" w14:textId="77777777" w:rsidR="000D1D92" w:rsidRDefault="000D1D92" w:rsidP="000D1D92">
      <w:pPr>
        <w:pStyle w:val="Heading2"/>
      </w:pPr>
      <w:bookmarkStart w:id="212" w:name="_Toc432061284"/>
      <w:bookmarkStart w:id="213" w:name="_Toc432577329"/>
      <w:r>
        <w:t>Acknowledgments</w:t>
      </w:r>
      <w:bookmarkEnd w:id="212"/>
      <w:bookmarkEnd w:id="213"/>
    </w:p>
    <w:p w14:paraId="285F32F0" w14:textId="77777777" w:rsidR="000D1D92" w:rsidRDefault="000D1D92" w:rsidP="000D1D92">
      <w:pPr>
        <w:spacing w:before="0" w:after="0"/>
        <w:jc w:val="both"/>
        <w:rPr>
          <w:rFonts w:cs="Arial"/>
        </w:rPr>
      </w:pPr>
      <w:r>
        <w:rPr>
          <w:rFonts w:cs="Arial"/>
        </w:rPr>
        <w:t xml:space="preserve">I sincerely thank the following people and organisations for their support and contribution to my examination: </w:t>
      </w:r>
    </w:p>
    <w:p w14:paraId="6731FB40" w14:textId="77777777" w:rsidR="000D1D92" w:rsidRDefault="000D1D92" w:rsidP="000D1D92">
      <w:pPr>
        <w:spacing w:before="0" w:after="0"/>
        <w:jc w:val="both"/>
        <w:rPr>
          <w:rFonts w:cs="Arial"/>
        </w:rPr>
      </w:pPr>
    </w:p>
    <w:p w14:paraId="0380ACD5" w14:textId="77777777" w:rsidR="000D1D92" w:rsidRDefault="000D1D92" w:rsidP="000D1D92">
      <w:pPr>
        <w:pStyle w:val="ListParagraph"/>
        <w:numPr>
          <w:ilvl w:val="0"/>
          <w:numId w:val="93"/>
        </w:numPr>
        <w:spacing w:before="0" w:after="0"/>
        <w:jc w:val="both"/>
      </w:pPr>
      <w:r>
        <w:t>Aboriginal and Torres Strait Islander Social Justice Commissioner, Mr Mick Gooda.</w:t>
      </w:r>
    </w:p>
    <w:p w14:paraId="7A730E0A" w14:textId="77777777" w:rsidR="000D1D92" w:rsidRDefault="000D1D92" w:rsidP="000D1D92">
      <w:pPr>
        <w:pStyle w:val="ListParagraph"/>
        <w:numPr>
          <w:ilvl w:val="0"/>
          <w:numId w:val="93"/>
        </w:numPr>
        <w:spacing w:before="0" w:after="0"/>
        <w:jc w:val="both"/>
        <w:rPr>
          <w:rFonts w:cs="Arial"/>
        </w:rPr>
      </w:pPr>
      <w:r>
        <w:rPr>
          <w:rFonts w:cs="Arial"/>
        </w:rPr>
        <w:lastRenderedPageBreak/>
        <w:t>T</w:t>
      </w:r>
      <w:r w:rsidRPr="00315E22">
        <w:rPr>
          <w:rFonts w:cs="Arial"/>
        </w:rPr>
        <w:t>he staff of the Australian Bureau of Statistics</w:t>
      </w:r>
      <w:r>
        <w:rPr>
          <w:rFonts w:cs="Arial"/>
        </w:rPr>
        <w:t>.</w:t>
      </w:r>
    </w:p>
    <w:p w14:paraId="2AEE8B59" w14:textId="77777777" w:rsidR="000D1D92" w:rsidRDefault="000D1D92" w:rsidP="000D1D92">
      <w:pPr>
        <w:pStyle w:val="ListParagraph"/>
        <w:numPr>
          <w:ilvl w:val="0"/>
          <w:numId w:val="93"/>
        </w:numPr>
        <w:spacing w:before="0" w:after="0"/>
        <w:jc w:val="both"/>
      </w:pPr>
      <w:r>
        <w:t>Ms Tracy Adams, Chief Executive Officer of BoysTown and Kids Helpline, and Mr John Dalgleish, Manager of Strategy and Research.</w:t>
      </w:r>
    </w:p>
    <w:p w14:paraId="1C649699" w14:textId="77777777" w:rsidR="000D1D92" w:rsidRDefault="000D1D92" w:rsidP="000D1D92">
      <w:pPr>
        <w:pStyle w:val="ListParagraph"/>
        <w:numPr>
          <w:ilvl w:val="0"/>
          <w:numId w:val="93"/>
        </w:numPr>
        <w:spacing w:before="0" w:after="0"/>
        <w:jc w:val="both"/>
      </w:pPr>
      <w:r>
        <w:t>Ms Rosie Batty for meeting with me as part of my examination.</w:t>
      </w:r>
    </w:p>
    <w:p w14:paraId="59F22713" w14:textId="77777777" w:rsidR="000D1D92" w:rsidRPr="00AA4B1F" w:rsidRDefault="000D1D92" w:rsidP="000D1D92">
      <w:pPr>
        <w:pStyle w:val="ListParagraph"/>
        <w:numPr>
          <w:ilvl w:val="0"/>
          <w:numId w:val="93"/>
        </w:numPr>
        <w:spacing w:before="0" w:after="0"/>
        <w:jc w:val="both"/>
        <w:rPr>
          <w:rFonts w:cs="Arial"/>
        </w:rPr>
      </w:pPr>
      <w:r w:rsidRPr="008D404D">
        <w:t>Ms Kristy McKellar for meeting with me and for also providing a personal submission to my examination.</w:t>
      </w:r>
    </w:p>
    <w:p w14:paraId="39D1E649" w14:textId="77777777" w:rsidR="000D1D92" w:rsidRPr="00D3157A" w:rsidRDefault="000D1D92" w:rsidP="000D1D92">
      <w:pPr>
        <w:pStyle w:val="ListParagraph"/>
        <w:numPr>
          <w:ilvl w:val="0"/>
          <w:numId w:val="93"/>
        </w:numPr>
        <w:spacing w:before="0" w:after="0"/>
        <w:jc w:val="both"/>
        <w:rPr>
          <w:rFonts w:cs="Arial"/>
        </w:rPr>
      </w:pPr>
      <w:r w:rsidRPr="00AA4B1F">
        <w:rPr>
          <w:lang w:val="en"/>
        </w:rPr>
        <w:t>Professor Kerry Arabena for providing me</w:t>
      </w:r>
      <w:r>
        <w:rPr>
          <w:lang w:val="en"/>
        </w:rPr>
        <w:t xml:space="preserve"> with information about her First 1000 Days research program.</w:t>
      </w:r>
    </w:p>
    <w:p w14:paraId="447C44F4" w14:textId="77777777" w:rsidR="000D1D92" w:rsidRDefault="000D1D92" w:rsidP="000D1D92">
      <w:pPr>
        <w:pStyle w:val="ListParagraph"/>
        <w:numPr>
          <w:ilvl w:val="0"/>
          <w:numId w:val="93"/>
        </w:numPr>
        <w:spacing w:before="0" w:after="0"/>
        <w:jc w:val="both"/>
        <w:rPr>
          <w:rFonts w:cs="Arial"/>
        </w:rPr>
      </w:pPr>
      <w:r w:rsidRPr="00D3157A">
        <w:rPr>
          <w:rFonts w:cs="Arial"/>
        </w:rPr>
        <w:t>Doctor John McKenzie</w:t>
      </w:r>
      <w:r>
        <w:rPr>
          <w:rFonts w:cs="Arial"/>
        </w:rPr>
        <w:t xml:space="preserve"> for providing me with information about the </w:t>
      </w:r>
      <w:r w:rsidRPr="0028390F">
        <w:rPr>
          <w:rFonts w:cs="Arial"/>
        </w:rPr>
        <w:t>longitudinal research by the Menzies School of Health Research on improving the developmental outcomes of Northern Territory children: a data linkage study to inform policy and practice in health, family services and education</w:t>
      </w:r>
      <w:r>
        <w:rPr>
          <w:rFonts w:cs="Arial"/>
        </w:rPr>
        <w:t>.</w:t>
      </w:r>
    </w:p>
    <w:p w14:paraId="6E6E1496" w14:textId="77777777" w:rsidR="000D1D92" w:rsidRPr="0028390F" w:rsidRDefault="000D1D92" w:rsidP="000D1D92">
      <w:pPr>
        <w:pStyle w:val="ListParagraph"/>
        <w:numPr>
          <w:ilvl w:val="0"/>
          <w:numId w:val="93"/>
        </w:numPr>
        <w:spacing w:before="0" w:after="0"/>
        <w:jc w:val="both"/>
        <w:rPr>
          <w:rFonts w:cs="Arial"/>
        </w:rPr>
      </w:pPr>
      <w:r w:rsidRPr="0028390F">
        <w:rPr>
          <w:rFonts w:cs="Arial"/>
        </w:rPr>
        <w:t>Associate Professor Deborah Loxton and Natalie Townsend for providing me with information on Australian Longitudinal Study on Women’s Health (ALSWH) and the Mothers and their Children’s Health (MatCH) project</w:t>
      </w:r>
      <w:r>
        <w:rPr>
          <w:rFonts w:cs="Arial"/>
        </w:rPr>
        <w:t>.</w:t>
      </w:r>
      <w:r w:rsidRPr="0028390F">
        <w:rPr>
          <w:rFonts w:cs="Arial"/>
        </w:rPr>
        <w:t xml:space="preserve"> </w:t>
      </w:r>
    </w:p>
    <w:p w14:paraId="1018B76E" w14:textId="77777777" w:rsidR="000D1D92" w:rsidRDefault="000D1D92" w:rsidP="000D1D92">
      <w:pPr>
        <w:pStyle w:val="ListParagraph"/>
        <w:numPr>
          <w:ilvl w:val="0"/>
          <w:numId w:val="93"/>
        </w:numPr>
        <w:spacing w:before="0" w:after="0"/>
        <w:jc w:val="both"/>
      </w:pPr>
      <w:r>
        <w:t>Everyone who took the time to make a written submission (see Appendix 5).</w:t>
      </w:r>
    </w:p>
    <w:p w14:paraId="1F41B108" w14:textId="77777777" w:rsidR="000D1D92" w:rsidRPr="00B72132" w:rsidRDefault="000D1D92" w:rsidP="000D1D92">
      <w:pPr>
        <w:pStyle w:val="ListParagraph"/>
        <w:numPr>
          <w:ilvl w:val="0"/>
          <w:numId w:val="93"/>
        </w:numPr>
        <w:spacing w:before="0" w:after="0"/>
        <w:jc w:val="both"/>
        <w:rPr>
          <w:rFonts w:cs="Arial"/>
        </w:rPr>
      </w:pPr>
      <w:r>
        <w:t>Those who presented at the roundtables in order to stimulate discussion and all participants (see Appendix 6).</w:t>
      </w:r>
    </w:p>
    <w:p w14:paraId="363150FB" w14:textId="77777777" w:rsidR="000D1D92" w:rsidRDefault="000D1D92" w:rsidP="000D1D92">
      <w:pPr>
        <w:pStyle w:val="ListParagraph"/>
        <w:numPr>
          <w:ilvl w:val="0"/>
          <w:numId w:val="93"/>
        </w:numPr>
        <w:spacing w:before="0" w:after="0"/>
        <w:jc w:val="both"/>
      </w:pPr>
      <w:r>
        <w:t>Those State and Territory Children’s Commissioners/Guardians who participated in my roundtables and those who made written submissions.</w:t>
      </w:r>
    </w:p>
    <w:p w14:paraId="1CFC7531" w14:textId="77777777" w:rsidR="000D1D92" w:rsidRDefault="000D1D92" w:rsidP="000D1D92">
      <w:pPr>
        <w:pStyle w:val="ListParagraph"/>
        <w:numPr>
          <w:ilvl w:val="0"/>
          <w:numId w:val="93"/>
        </w:numPr>
        <w:spacing w:before="0" w:after="0"/>
        <w:jc w:val="both"/>
        <w:rPr>
          <w:rFonts w:cs="Arial"/>
        </w:rPr>
      </w:pPr>
      <w:r>
        <w:rPr>
          <w:rFonts w:cs="Arial"/>
        </w:rPr>
        <w:t>T</w:t>
      </w:r>
      <w:r w:rsidRPr="00315E22">
        <w:rPr>
          <w:rFonts w:cs="Arial"/>
        </w:rPr>
        <w:t>he staff at 1800RESPECT for their support</w:t>
      </w:r>
      <w:r>
        <w:rPr>
          <w:rFonts w:cs="Arial"/>
        </w:rPr>
        <w:t xml:space="preserve"> in arranging the webinar consultation.</w:t>
      </w:r>
    </w:p>
    <w:p w14:paraId="1C28A1A2" w14:textId="77777777" w:rsidR="000D1D92" w:rsidRPr="00315E22" w:rsidRDefault="000D1D92" w:rsidP="000D1D92">
      <w:pPr>
        <w:pStyle w:val="ListParagraph"/>
        <w:numPr>
          <w:ilvl w:val="0"/>
          <w:numId w:val="93"/>
        </w:numPr>
        <w:spacing w:before="0" w:after="0"/>
        <w:jc w:val="both"/>
        <w:rPr>
          <w:rFonts w:cs="Arial"/>
        </w:rPr>
      </w:pPr>
      <w:r w:rsidRPr="003D5269">
        <w:t xml:space="preserve">The </w:t>
      </w:r>
      <w:r>
        <w:t xml:space="preserve">federal </w:t>
      </w:r>
      <w:r w:rsidRPr="003D5269">
        <w:t>Department of Social Services</w:t>
      </w:r>
      <w:r>
        <w:t xml:space="preserve"> who</w:t>
      </w:r>
      <w:r w:rsidRPr="003D5269">
        <w:t xml:space="preserve"> hosted my roundtables in Canberra, Adelaide, </w:t>
      </w:r>
      <w:r>
        <w:t>and Perth.</w:t>
      </w:r>
    </w:p>
    <w:p w14:paraId="5DCD8C9B" w14:textId="77777777" w:rsidR="000D1D92" w:rsidRPr="00315E22" w:rsidRDefault="000D1D92" w:rsidP="000D1D92">
      <w:pPr>
        <w:pStyle w:val="ListParagraph"/>
        <w:numPr>
          <w:ilvl w:val="0"/>
          <w:numId w:val="93"/>
        </w:numPr>
        <w:spacing w:before="0" w:after="0"/>
        <w:jc w:val="both"/>
        <w:rPr>
          <w:rFonts w:cs="Arial"/>
        </w:rPr>
      </w:pPr>
      <w:r>
        <w:t>The Tasmanian Department of Premier and Cabinet who hosted my roundtable in Hobart.</w:t>
      </w:r>
    </w:p>
    <w:p w14:paraId="3197FE76" w14:textId="77777777" w:rsidR="000D1D92" w:rsidRPr="00315E22" w:rsidRDefault="000D1D92" w:rsidP="000D1D92">
      <w:pPr>
        <w:pStyle w:val="ListParagraph"/>
        <w:numPr>
          <w:ilvl w:val="0"/>
          <w:numId w:val="93"/>
        </w:numPr>
        <w:spacing w:before="0" w:after="0"/>
        <w:jc w:val="both"/>
      </w:pPr>
      <w:r w:rsidRPr="00927F4C">
        <w:t xml:space="preserve">Colin Biggers &amp; Paisley </w:t>
      </w:r>
      <w:r>
        <w:t>for hosting my roundtables in Sydney, Melbourne and Brisbane, and for transcribing the discussions that took place.</w:t>
      </w:r>
      <w:r w:rsidRPr="00315E22">
        <w:rPr>
          <w:lang w:val="en-US"/>
        </w:rPr>
        <w:t xml:space="preserve"> </w:t>
      </w:r>
    </w:p>
    <w:p w14:paraId="2F09BAC7" w14:textId="77777777" w:rsidR="000D1D92" w:rsidRPr="00D3157A" w:rsidRDefault="000D1D92" w:rsidP="000D1D92">
      <w:pPr>
        <w:pStyle w:val="ListParagraph"/>
        <w:numPr>
          <w:ilvl w:val="0"/>
          <w:numId w:val="93"/>
        </w:numPr>
        <w:spacing w:before="0" w:after="0"/>
        <w:jc w:val="both"/>
        <w:rPr>
          <w:rFonts w:cs="Arial"/>
        </w:rPr>
      </w:pPr>
      <w:r w:rsidRPr="00315E22">
        <w:rPr>
          <w:lang w:val="en-US"/>
        </w:rPr>
        <w:t>Doctor Helen Rogers and those working on LSAC and LSIC at the National Centre for Longitudinal Data for providing their research summaries for my report.</w:t>
      </w:r>
    </w:p>
    <w:p w14:paraId="234F29D4" w14:textId="77777777" w:rsidR="000D1D92" w:rsidRDefault="000D1D92" w:rsidP="000D1D92">
      <w:pPr>
        <w:spacing w:before="0" w:after="0"/>
        <w:jc w:val="both"/>
        <w:rPr>
          <w:rFonts w:cs="Arial"/>
        </w:rPr>
      </w:pPr>
    </w:p>
    <w:p w14:paraId="2F047312" w14:textId="77777777" w:rsidR="000D1D92" w:rsidRPr="00D3157A" w:rsidRDefault="000D1D92" w:rsidP="000D1D92">
      <w:pPr>
        <w:spacing w:before="0" w:after="0"/>
        <w:jc w:val="both"/>
        <w:rPr>
          <w:rFonts w:cs="Arial"/>
        </w:rPr>
      </w:pPr>
    </w:p>
    <w:p w14:paraId="58BF5733" w14:textId="77777777" w:rsidR="000D1D92" w:rsidRDefault="000D1D92" w:rsidP="000D1D92">
      <w:pPr>
        <w:pStyle w:val="Heading2"/>
        <w:jc w:val="both"/>
      </w:pPr>
      <w:r>
        <w:br w:type="column"/>
      </w:r>
      <w:bookmarkStart w:id="214" w:name="_Toc432061285"/>
      <w:bookmarkStart w:id="215" w:name="_Toc432577330"/>
      <w:r>
        <w:lastRenderedPageBreak/>
        <w:t>Recommendations</w:t>
      </w:r>
      <w:bookmarkEnd w:id="214"/>
      <w:bookmarkEnd w:id="215"/>
    </w:p>
    <w:tbl>
      <w:tblPr>
        <w:tblStyle w:val="TableGrid"/>
        <w:tblW w:w="0" w:type="auto"/>
        <w:tblLook w:val="04A0" w:firstRow="1" w:lastRow="0" w:firstColumn="1" w:lastColumn="0" w:noHBand="0" w:noVBand="1"/>
      </w:tblPr>
      <w:tblGrid>
        <w:gridCol w:w="9060"/>
      </w:tblGrid>
      <w:tr w:rsidR="000D1D92" w:rsidRPr="007774A1" w14:paraId="15BE4FB6" w14:textId="77777777" w:rsidTr="00684616">
        <w:trPr>
          <w:trHeight w:val="415"/>
        </w:trPr>
        <w:tc>
          <w:tcPr>
            <w:tcW w:w="9060" w:type="dxa"/>
            <w:tcBorders>
              <w:top w:val="nil"/>
              <w:left w:val="nil"/>
              <w:bottom w:val="dotted" w:sz="4" w:space="0" w:color="auto"/>
              <w:right w:val="nil"/>
            </w:tcBorders>
            <w:vAlign w:val="center"/>
          </w:tcPr>
          <w:p w14:paraId="78349ED5" w14:textId="77777777" w:rsidR="000D1D92" w:rsidRPr="007774A1" w:rsidRDefault="000D1D92" w:rsidP="00684616">
            <w:pPr>
              <w:spacing w:before="0" w:after="0"/>
              <w:jc w:val="both"/>
              <w:rPr>
                <w:sz w:val="21"/>
                <w:szCs w:val="21"/>
              </w:rPr>
            </w:pPr>
            <w:r w:rsidRPr="007774A1">
              <w:rPr>
                <w:b/>
                <w:sz w:val="21"/>
                <w:szCs w:val="21"/>
              </w:rPr>
              <w:t xml:space="preserve">Recommendation </w:t>
            </w:r>
            <w:r>
              <w:rPr>
                <w:b/>
                <w:sz w:val="21"/>
                <w:szCs w:val="21"/>
              </w:rPr>
              <w:t>3</w:t>
            </w:r>
            <w:r w:rsidRPr="007774A1">
              <w:rPr>
                <w:b/>
                <w:sz w:val="21"/>
                <w:szCs w:val="21"/>
              </w:rPr>
              <w:t>:</w:t>
            </w:r>
            <w:r w:rsidRPr="007774A1">
              <w:rPr>
                <w:sz w:val="21"/>
                <w:szCs w:val="21"/>
              </w:rPr>
              <w:t xml:space="preserve"> </w:t>
            </w:r>
            <w:r w:rsidRPr="007537EB">
              <w:rPr>
                <w:sz w:val="21"/>
                <w:szCs w:val="21"/>
              </w:rPr>
              <w:t xml:space="preserve">The Annual Progress Reports of the National Plan to Reduce Violence </w:t>
            </w:r>
            <w:r>
              <w:rPr>
                <w:sz w:val="21"/>
                <w:szCs w:val="21"/>
              </w:rPr>
              <w:t>a</w:t>
            </w:r>
            <w:r w:rsidRPr="007537EB">
              <w:rPr>
                <w:sz w:val="21"/>
                <w:szCs w:val="21"/>
              </w:rPr>
              <w:t>gainst Women and their Children should detail how all jurisdictions are working towards implementing the Australian Bureau of Statistics National Data Collection and Reporting Framework.</w:t>
            </w:r>
          </w:p>
        </w:tc>
      </w:tr>
      <w:tr w:rsidR="000D1D92" w:rsidRPr="007774A1" w14:paraId="6CCE0456" w14:textId="77777777" w:rsidTr="00684616">
        <w:trPr>
          <w:trHeight w:val="306"/>
        </w:trPr>
        <w:tc>
          <w:tcPr>
            <w:tcW w:w="9060" w:type="dxa"/>
            <w:tcBorders>
              <w:top w:val="nil"/>
              <w:left w:val="nil"/>
              <w:bottom w:val="dotted" w:sz="4" w:space="0" w:color="auto"/>
              <w:right w:val="nil"/>
            </w:tcBorders>
            <w:vAlign w:val="center"/>
          </w:tcPr>
          <w:p w14:paraId="4104B62F" w14:textId="77777777" w:rsidR="000D1D92" w:rsidRPr="007774A1" w:rsidRDefault="000D1D92" w:rsidP="00684616">
            <w:pPr>
              <w:spacing w:before="0" w:after="0"/>
              <w:jc w:val="both"/>
              <w:rPr>
                <w:sz w:val="21"/>
                <w:szCs w:val="21"/>
              </w:rPr>
            </w:pPr>
            <w:r w:rsidRPr="007774A1">
              <w:rPr>
                <w:b/>
                <w:sz w:val="21"/>
                <w:szCs w:val="21"/>
              </w:rPr>
              <w:t xml:space="preserve">Recommendation </w:t>
            </w:r>
            <w:r>
              <w:rPr>
                <w:b/>
                <w:sz w:val="21"/>
                <w:szCs w:val="21"/>
              </w:rPr>
              <w:t>4</w:t>
            </w:r>
            <w:r w:rsidRPr="007774A1">
              <w:rPr>
                <w:b/>
                <w:sz w:val="21"/>
                <w:szCs w:val="21"/>
              </w:rPr>
              <w:t>:</w:t>
            </w:r>
            <w:r w:rsidRPr="007774A1">
              <w:rPr>
                <w:sz w:val="21"/>
                <w:szCs w:val="21"/>
              </w:rPr>
              <w:t xml:space="preserve"> </w:t>
            </w:r>
            <w:r w:rsidRPr="007537EB">
              <w:rPr>
                <w:sz w:val="21"/>
                <w:szCs w:val="21"/>
              </w:rPr>
              <w:t>Data about a child’s experience as a victim of family and domestic violence should be recorded as a separate entry in the Australian Bureau of Statistics National Data Collection and Reporting Framework, and not just part of an adult entry.</w:t>
            </w:r>
          </w:p>
        </w:tc>
      </w:tr>
      <w:tr w:rsidR="000D1D92" w:rsidRPr="007774A1" w14:paraId="498B7499" w14:textId="77777777" w:rsidTr="00684616">
        <w:trPr>
          <w:trHeight w:val="259"/>
        </w:trPr>
        <w:tc>
          <w:tcPr>
            <w:tcW w:w="9060" w:type="dxa"/>
            <w:tcBorders>
              <w:top w:val="nil"/>
              <w:left w:val="nil"/>
              <w:bottom w:val="dotted" w:sz="4" w:space="0" w:color="auto"/>
              <w:right w:val="nil"/>
            </w:tcBorders>
            <w:vAlign w:val="center"/>
          </w:tcPr>
          <w:p w14:paraId="36893A39" w14:textId="77777777" w:rsidR="000D1D92" w:rsidRPr="007774A1" w:rsidRDefault="000D1D92" w:rsidP="00684616">
            <w:pPr>
              <w:spacing w:before="0" w:after="0"/>
              <w:jc w:val="both"/>
              <w:rPr>
                <w:sz w:val="21"/>
                <w:szCs w:val="21"/>
              </w:rPr>
            </w:pPr>
            <w:bookmarkStart w:id="216" w:name="_Toc430702122"/>
            <w:r w:rsidRPr="007774A1">
              <w:rPr>
                <w:b/>
                <w:sz w:val="21"/>
                <w:szCs w:val="21"/>
              </w:rPr>
              <w:t xml:space="preserve">Recommendation </w:t>
            </w:r>
            <w:r>
              <w:rPr>
                <w:b/>
                <w:sz w:val="21"/>
                <w:szCs w:val="21"/>
              </w:rPr>
              <w:t>5</w:t>
            </w:r>
            <w:r w:rsidRPr="007774A1">
              <w:rPr>
                <w:b/>
                <w:sz w:val="21"/>
                <w:szCs w:val="21"/>
              </w:rPr>
              <w:t>:</w:t>
            </w:r>
            <w:r w:rsidRPr="007774A1">
              <w:rPr>
                <w:sz w:val="21"/>
                <w:szCs w:val="21"/>
              </w:rPr>
              <w:t xml:space="preserve"> </w:t>
            </w:r>
            <w:r w:rsidRPr="007537EB">
              <w:rPr>
                <w:sz w:val="21"/>
                <w:szCs w:val="21"/>
              </w:rPr>
              <w:t>Data about lesbian, gay, bisexual, transgender and intersex status should be recorded in the Australian Bureau of Statistics National Data Collection and Reporting Framework.</w:t>
            </w:r>
          </w:p>
        </w:tc>
      </w:tr>
      <w:tr w:rsidR="000D1D92" w:rsidRPr="007774A1" w14:paraId="06273BA4" w14:textId="77777777" w:rsidTr="00684616">
        <w:trPr>
          <w:trHeight w:val="99"/>
        </w:trPr>
        <w:tc>
          <w:tcPr>
            <w:tcW w:w="9060" w:type="dxa"/>
            <w:tcBorders>
              <w:top w:val="nil"/>
              <w:left w:val="nil"/>
              <w:bottom w:val="dotted" w:sz="4" w:space="0" w:color="auto"/>
              <w:right w:val="nil"/>
            </w:tcBorders>
            <w:vAlign w:val="center"/>
          </w:tcPr>
          <w:p w14:paraId="0604EDE6" w14:textId="77777777" w:rsidR="000D1D92" w:rsidRPr="007774A1" w:rsidRDefault="000D1D92" w:rsidP="00684616">
            <w:pPr>
              <w:spacing w:before="0" w:after="0"/>
              <w:jc w:val="both"/>
              <w:rPr>
                <w:sz w:val="21"/>
                <w:szCs w:val="21"/>
              </w:rPr>
            </w:pPr>
            <w:r w:rsidRPr="007774A1">
              <w:rPr>
                <w:b/>
                <w:sz w:val="21"/>
                <w:szCs w:val="21"/>
              </w:rPr>
              <w:t xml:space="preserve">Recommendation </w:t>
            </w:r>
            <w:r>
              <w:rPr>
                <w:b/>
                <w:sz w:val="21"/>
                <w:szCs w:val="21"/>
              </w:rPr>
              <w:t>6</w:t>
            </w:r>
            <w:r w:rsidRPr="007774A1">
              <w:rPr>
                <w:b/>
                <w:sz w:val="21"/>
                <w:szCs w:val="21"/>
              </w:rPr>
              <w:t>:</w:t>
            </w:r>
            <w:r w:rsidRPr="007774A1">
              <w:rPr>
                <w:sz w:val="21"/>
                <w:szCs w:val="21"/>
              </w:rPr>
              <w:t xml:space="preserve"> </w:t>
            </w:r>
            <w:r w:rsidRPr="007537EB">
              <w:rPr>
                <w:sz w:val="21"/>
                <w:szCs w:val="21"/>
              </w:rPr>
              <w:t xml:space="preserve">The Annual Progress Reports of the National Plan to Reduce Violence </w:t>
            </w:r>
            <w:r>
              <w:rPr>
                <w:sz w:val="21"/>
                <w:szCs w:val="21"/>
              </w:rPr>
              <w:t>a</w:t>
            </w:r>
            <w:r w:rsidRPr="007537EB">
              <w:rPr>
                <w:sz w:val="21"/>
                <w:szCs w:val="21"/>
              </w:rPr>
              <w:t>gainst Women and their Children should detail how the Australian Bureau of Statistics Personal Safety Survey is working towards surveying adequate sampling sizes across vulnerable groups.</w:t>
            </w:r>
          </w:p>
        </w:tc>
      </w:tr>
      <w:tr w:rsidR="000D1D92" w:rsidRPr="007774A1" w14:paraId="530C8B66" w14:textId="77777777" w:rsidTr="00684616">
        <w:trPr>
          <w:trHeight w:val="507"/>
        </w:trPr>
        <w:tc>
          <w:tcPr>
            <w:tcW w:w="9060" w:type="dxa"/>
            <w:tcBorders>
              <w:top w:val="nil"/>
              <w:left w:val="nil"/>
              <w:bottom w:val="dotted" w:sz="4" w:space="0" w:color="auto"/>
              <w:right w:val="nil"/>
            </w:tcBorders>
            <w:vAlign w:val="center"/>
          </w:tcPr>
          <w:p w14:paraId="2A27C710" w14:textId="77777777" w:rsidR="000D1D92" w:rsidRPr="007774A1" w:rsidRDefault="000D1D92" w:rsidP="00684616">
            <w:pPr>
              <w:spacing w:before="0" w:after="0"/>
              <w:jc w:val="both"/>
              <w:rPr>
                <w:sz w:val="21"/>
                <w:szCs w:val="21"/>
              </w:rPr>
            </w:pPr>
            <w:r w:rsidRPr="007774A1">
              <w:rPr>
                <w:b/>
                <w:sz w:val="21"/>
                <w:szCs w:val="21"/>
              </w:rPr>
              <w:t xml:space="preserve">Recommendation </w:t>
            </w:r>
            <w:r>
              <w:rPr>
                <w:b/>
                <w:sz w:val="21"/>
                <w:szCs w:val="21"/>
              </w:rPr>
              <w:t>7</w:t>
            </w:r>
            <w:r w:rsidRPr="007774A1">
              <w:rPr>
                <w:b/>
                <w:sz w:val="21"/>
                <w:szCs w:val="21"/>
              </w:rPr>
              <w:t>:</w:t>
            </w:r>
            <w:r w:rsidRPr="007774A1">
              <w:rPr>
                <w:sz w:val="21"/>
                <w:szCs w:val="21"/>
              </w:rPr>
              <w:t xml:space="preserve"> </w:t>
            </w:r>
            <w:r w:rsidRPr="007537EB">
              <w:rPr>
                <w:sz w:val="21"/>
                <w:szCs w:val="21"/>
              </w:rPr>
              <w:t>Support for the Australian Longitudinal Study on Women’s Health (ALSWH) project by the Australian Government Department of Health is extended after 30 June 2016 and support for the Mothers and their Children’s Health (MatCH) project by the Australian Government Department of Health is also extended after its National Health and Medical Research Council grant expires in 2017.</w:t>
            </w:r>
          </w:p>
        </w:tc>
      </w:tr>
      <w:tr w:rsidR="000D1D92" w:rsidRPr="007774A1" w14:paraId="5163D7E7" w14:textId="77777777" w:rsidTr="00684616">
        <w:trPr>
          <w:trHeight w:val="567"/>
        </w:trPr>
        <w:tc>
          <w:tcPr>
            <w:tcW w:w="9060" w:type="dxa"/>
            <w:tcBorders>
              <w:top w:val="nil"/>
              <w:left w:val="nil"/>
              <w:bottom w:val="dotted" w:sz="4" w:space="0" w:color="auto"/>
              <w:right w:val="nil"/>
            </w:tcBorders>
            <w:vAlign w:val="center"/>
          </w:tcPr>
          <w:p w14:paraId="234CB90C" w14:textId="77777777" w:rsidR="000D1D92" w:rsidRPr="007774A1" w:rsidRDefault="000D1D92" w:rsidP="00684616">
            <w:pPr>
              <w:spacing w:before="0" w:after="0"/>
              <w:jc w:val="both"/>
              <w:rPr>
                <w:sz w:val="21"/>
                <w:szCs w:val="21"/>
              </w:rPr>
            </w:pPr>
            <w:r w:rsidRPr="007774A1">
              <w:rPr>
                <w:b/>
                <w:sz w:val="21"/>
                <w:szCs w:val="21"/>
              </w:rPr>
              <w:t xml:space="preserve">Recommendation </w:t>
            </w:r>
            <w:r>
              <w:rPr>
                <w:b/>
                <w:sz w:val="21"/>
                <w:szCs w:val="21"/>
              </w:rPr>
              <w:t>8</w:t>
            </w:r>
            <w:r w:rsidRPr="007774A1">
              <w:rPr>
                <w:b/>
                <w:sz w:val="21"/>
                <w:szCs w:val="21"/>
              </w:rPr>
              <w:t>:</w:t>
            </w:r>
            <w:r w:rsidRPr="007774A1">
              <w:rPr>
                <w:sz w:val="21"/>
                <w:szCs w:val="21"/>
              </w:rPr>
              <w:t xml:space="preserve"> </w:t>
            </w:r>
            <w:r w:rsidRPr="00165EE3">
              <w:rPr>
                <w:sz w:val="21"/>
                <w:szCs w:val="21"/>
              </w:rPr>
              <w:t>Support for the ‘Improving the developmental outcomes of Northern Territory children: a data linkage study to inform policy and practice in health, family services and education’ currently being conducted in the Northern Territory by Menzies School of Health Research is provided by the Australian Government Department of Social Services after its National Health and Medical Research Council grant expires in 2017.</w:t>
            </w:r>
          </w:p>
        </w:tc>
      </w:tr>
      <w:tr w:rsidR="000D1D92" w:rsidRPr="007774A1" w14:paraId="0C031BBB" w14:textId="77777777" w:rsidTr="00684616">
        <w:trPr>
          <w:trHeight w:val="85"/>
        </w:trPr>
        <w:tc>
          <w:tcPr>
            <w:tcW w:w="9060" w:type="dxa"/>
            <w:tcBorders>
              <w:top w:val="nil"/>
              <w:left w:val="nil"/>
              <w:bottom w:val="dotted" w:sz="4" w:space="0" w:color="auto"/>
              <w:right w:val="nil"/>
            </w:tcBorders>
            <w:vAlign w:val="center"/>
          </w:tcPr>
          <w:p w14:paraId="7E5E8AE3" w14:textId="77777777" w:rsidR="000D1D92" w:rsidRPr="006977DC" w:rsidRDefault="000D1D92" w:rsidP="00684616">
            <w:pPr>
              <w:spacing w:before="0" w:after="0"/>
              <w:jc w:val="both"/>
              <w:rPr>
                <w:sz w:val="21"/>
                <w:szCs w:val="21"/>
              </w:rPr>
            </w:pPr>
            <w:r w:rsidRPr="006977DC">
              <w:rPr>
                <w:b/>
                <w:sz w:val="21"/>
                <w:szCs w:val="21"/>
              </w:rPr>
              <w:t xml:space="preserve">Recommendation </w:t>
            </w:r>
            <w:r>
              <w:rPr>
                <w:b/>
                <w:sz w:val="21"/>
                <w:szCs w:val="21"/>
              </w:rPr>
              <w:t>9</w:t>
            </w:r>
            <w:r w:rsidRPr="006977DC">
              <w:rPr>
                <w:b/>
                <w:sz w:val="21"/>
                <w:szCs w:val="21"/>
              </w:rPr>
              <w:t>:</w:t>
            </w:r>
            <w:r w:rsidRPr="006977DC">
              <w:rPr>
                <w:sz w:val="21"/>
                <w:szCs w:val="21"/>
              </w:rPr>
              <w:t xml:space="preserve"> </w:t>
            </w:r>
            <w:r w:rsidRPr="007537EB">
              <w:rPr>
                <w:sz w:val="21"/>
                <w:szCs w:val="21"/>
              </w:rPr>
              <w:t>The Council of Australian Governments prioritise the development of a</w:t>
            </w:r>
            <w:r>
              <w:rPr>
                <w:sz w:val="21"/>
                <w:szCs w:val="21"/>
              </w:rPr>
              <w:t xml:space="preserve"> child-focused</w:t>
            </w:r>
            <w:r w:rsidRPr="007537EB">
              <w:rPr>
                <w:sz w:val="21"/>
                <w:szCs w:val="21"/>
              </w:rPr>
              <w:t xml:space="preserve"> policy framework for responses to family and domestic violence.</w:t>
            </w:r>
          </w:p>
        </w:tc>
      </w:tr>
      <w:tr w:rsidR="000D1D92" w:rsidRPr="007774A1" w14:paraId="21E729A3" w14:textId="77777777" w:rsidTr="00684616">
        <w:trPr>
          <w:trHeight w:val="407"/>
        </w:trPr>
        <w:tc>
          <w:tcPr>
            <w:tcW w:w="9060" w:type="dxa"/>
            <w:tcBorders>
              <w:top w:val="nil"/>
              <w:left w:val="nil"/>
              <w:bottom w:val="dotted" w:sz="4" w:space="0" w:color="auto"/>
              <w:right w:val="nil"/>
            </w:tcBorders>
            <w:vAlign w:val="center"/>
          </w:tcPr>
          <w:p w14:paraId="6E4B92BF" w14:textId="77777777" w:rsidR="000D1D92" w:rsidRPr="007537EB" w:rsidRDefault="000D1D92" w:rsidP="00684616">
            <w:pPr>
              <w:spacing w:before="0" w:after="0"/>
              <w:jc w:val="both"/>
              <w:rPr>
                <w:sz w:val="21"/>
                <w:szCs w:val="21"/>
              </w:rPr>
            </w:pPr>
            <w:r w:rsidRPr="007774A1">
              <w:rPr>
                <w:b/>
                <w:sz w:val="21"/>
                <w:szCs w:val="21"/>
              </w:rPr>
              <w:t xml:space="preserve">Recommendation </w:t>
            </w:r>
            <w:r>
              <w:rPr>
                <w:b/>
                <w:sz w:val="21"/>
                <w:szCs w:val="21"/>
              </w:rPr>
              <w:t>10</w:t>
            </w:r>
            <w:r w:rsidRPr="007774A1">
              <w:rPr>
                <w:b/>
                <w:sz w:val="21"/>
                <w:szCs w:val="21"/>
              </w:rPr>
              <w:t>:</w:t>
            </w:r>
            <w:r w:rsidRPr="007774A1">
              <w:rPr>
                <w:sz w:val="21"/>
                <w:szCs w:val="21"/>
              </w:rPr>
              <w:t xml:space="preserve"> </w:t>
            </w:r>
            <w:r w:rsidRPr="007537EB">
              <w:rPr>
                <w:sz w:val="21"/>
                <w:szCs w:val="21"/>
              </w:rPr>
              <w:t>A review of the criteria for entry into the Magellan program should be undertaken by the Family Court of Australia or another appropriate entity.</w:t>
            </w:r>
          </w:p>
          <w:p w14:paraId="6449A3F8" w14:textId="77777777" w:rsidR="000D1D92" w:rsidRPr="007537EB" w:rsidRDefault="000D1D92" w:rsidP="00684616">
            <w:pPr>
              <w:spacing w:before="0" w:after="0"/>
              <w:jc w:val="both"/>
              <w:rPr>
                <w:sz w:val="21"/>
                <w:szCs w:val="21"/>
              </w:rPr>
            </w:pPr>
          </w:p>
          <w:p w14:paraId="78244139" w14:textId="77777777" w:rsidR="000D1D92" w:rsidRPr="00B42C86" w:rsidRDefault="000D1D92" w:rsidP="00684616">
            <w:pPr>
              <w:spacing w:before="0" w:after="0"/>
              <w:jc w:val="both"/>
              <w:rPr>
                <w:sz w:val="22"/>
                <w:szCs w:val="22"/>
              </w:rPr>
            </w:pPr>
            <w:r w:rsidRPr="007537EB">
              <w:rPr>
                <w:sz w:val="21"/>
                <w:szCs w:val="21"/>
              </w:rPr>
              <w:t>Regard should be given to the findings and recommendations of the Victorian Royal Commission into Family Violence and also the Family Law Council Inquiry into families with complex needs and the intersection of the family law and child protection systems.</w:t>
            </w:r>
          </w:p>
        </w:tc>
      </w:tr>
      <w:tr w:rsidR="000D1D92" w:rsidRPr="007774A1" w14:paraId="58FA2B0A" w14:textId="77777777" w:rsidTr="00684616">
        <w:trPr>
          <w:trHeight w:val="357"/>
        </w:trPr>
        <w:tc>
          <w:tcPr>
            <w:tcW w:w="9060" w:type="dxa"/>
            <w:tcBorders>
              <w:top w:val="nil"/>
              <w:left w:val="nil"/>
              <w:bottom w:val="dotted" w:sz="4" w:space="0" w:color="auto"/>
              <w:right w:val="nil"/>
            </w:tcBorders>
            <w:vAlign w:val="center"/>
          </w:tcPr>
          <w:p w14:paraId="3C35047E" w14:textId="77777777" w:rsidR="000D1D92" w:rsidRPr="007774A1" w:rsidRDefault="000D1D92" w:rsidP="00684616">
            <w:pPr>
              <w:spacing w:before="0" w:after="0"/>
              <w:jc w:val="both"/>
              <w:rPr>
                <w:sz w:val="21"/>
                <w:szCs w:val="21"/>
              </w:rPr>
            </w:pPr>
            <w:r w:rsidRPr="007774A1">
              <w:rPr>
                <w:b/>
                <w:sz w:val="21"/>
                <w:szCs w:val="21"/>
              </w:rPr>
              <w:t xml:space="preserve">Recommendation </w:t>
            </w:r>
            <w:r>
              <w:rPr>
                <w:b/>
                <w:sz w:val="21"/>
                <w:szCs w:val="21"/>
              </w:rPr>
              <w:t>11</w:t>
            </w:r>
            <w:r w:rsidRPr="007774A1">
              <w:rPr>
                <w:b/>
                <w:sz w:val="21"/>
                <w:szCs w:val="21"/>
              </w:rPr>
              <w:t>:</w:t>
            </w:r>
            <w:r w:rsidRPr="007774A1">
              <w:rPr>
                <w:sz w:val="21"/>
                <w:szCs w:val="21"/>
              </w:rPr>
              <w:t xml:space="preserve"> </w:t>
            </w:r>
            <w:r w:rsidRPr="00660AD6">
              <w:rPr>
                <w:sz w:val="21"/>
                <w:szCs w:val="21"/>
              </w:rPr>
              <w:t>The Australian Bureau of Statistics Personal Safety Survey should extend its collection of information from men and women aged 18 years and over about their experiences of abuse from the ages of 0-15 years to the ages of 0-17 years.</w:t>
            </w:r>
          </w:p>
        </w:tc>
      </w:tr>
      <w:tr w:rsidR="000D1D92" w:rsidRPr="007774A1" w14:paraId="37C69CD0" w14:textId="77777777" w:rsidTr="00684616">
        <w:trPr>
          <w:trHeight w:val="85"/>
        </w:trPr>
        <w:tc>
          <w:tcPr>
            <w:tcW w:w="9060" w:type="dxa"/>
            <w:tcBorders>
              <w:top w:val="nil"/>
              <w:left w:val="nil"/>
              <w:bottom w:val="dotted" w:sz="4" w:space="0" w:color="auto"/>
              <w:right w:val="nil"/>
            </w:tcBorders>
            <w:vAlign w:val="center"/>
          </w:tcPr>
          <w:p w14:paraId="10521399" w14:textId="77777777" w:rsidR="000D1D92" w:rsidRPr="007774A1" w:rsidRDefault="000D1D92" w:rsidP="00684616">
            <w:pPr>
              <w:spacing w:before="0" w:after="0"/>
              <w:jc w:val="both"/>
              <w:rPr>
                <w:sz w:val="21"/>
                <w:szCs w:val="21"/>
              </w:rPr>
            </w:pPr>
            <w:r w:rsidRPr="007774A1">
              <w:rPr>
                <w:b/>
                <w:sz w:val="21"/>
                <w:szCs w:val="21"/>
              </w:rPr>
              <w:t xml:space="preserve">Recommendation </w:t>
            </w:r>
            <w:r>
              <w:rPr>
                <w:b/>
                <w:sz w:val="21"/>
                <w:szCs w:val="21"/>
              </w:rPr>
              <w:t>12</w:t>
            </w:r>
            <w:r w:rsidRPr="007774A1">
              <w:rPr>
                <w:b/>
                <w:sz w:val="21"/>
                <w:szCs w:val="21"/>
              </w:rPr>
              <w:t>:</w:t>
            </w:r>
            <w:r w:rsidRPr="007774A1">
              <w:rPr>
                <w:sz w:val="21"/>
                <w:szCs w:val="21"/>
              </w:rPr>
              <w:t xml:space="preserve"> </w:t>
            </w:r>
            <w:r w:rsidRPr="007537EB">
              <w:rPr>
                <w:sz w:val="21"/>
                <w:szCs w:val="21"/>
              </w:rPr>
              <w:t>The Australian Bureau of Statistics prioritise working with state and territory jurisdictions to achieve national consistency in the coding of offender relationships to child victims.</w:t>
            </w:r>
          </w:p>
        </w:tc>
      </w:tr>
      <w:tr w:rsidR="000D1D92" w:rsidRPr="007774A1" w14:paraId="538A075D" w14:textId="77777777" w:rsidTr="00684616">
        <w:trPr>
          <w:trHeight w:val="85"/>
        </w:trPr>
        <w:tc>
          <w:tcPr>
            <w:tcW w:w="9060" w:type="dxa"/>
            <w:tcBorders>
              <w:top w:val="nil"/>
              <w:left w:val="nil"/>
              <w:bottom w:val="dotted" w:sz="4" w:space="0" w:color="auto"/>
              <w:right w:val="nil"/>
            </w:tcBorders>
            <w:vAlign w:val="center"/>
          </w:tcPr>
          <w:p w14:paraId="597AB54C" w14:textId="77777777" w:rsidR="000D1D92" w:rsidRPr="007774A1" w:rsidRDefault="000D1D92" w:rsidP="00684616">
            <w:pPr>
              <w:spacing w:before="0" w:after="0"/>
              <w:jc w:val="both"/>
              <w:rPr>
                <w:b/>
                <w:sz w:val="21"/>
                <w:szCs w:val="21"/>
              </w:rPr>
            </w:pPr>
            <w:r w:rsidRPr="007774A1">
              <w:rPr>
                <w:b/>
                <w:sz w:val="21"/>
                <w:szCs w:val="21"/>
              </w:rPr>
              <w:t xml:space="preserve">Recommendation </w:t>
            </w:r>
            <w:r>
              <w:rPr>
                <w:b/>
                <w:sz w:val="21"/>
                <w:szCs w:val="21"/>
              </w:rPr>
              <w:t>13</w:t>
            </w:r>
            <w:r w:rsidRPr="007774A1">
              <w:rPr>
                <w:b/>
                <w:sz w:val="21"/>
                <w:szCs w:val="21"/>
              </w:rPr>
              <w:t>:</w:t>
            </w:r>
            <w:r w:rsidRPr="007774A1">
              <w:rPr>
                <w:sz w:val="21"/>
                <w:szCs w:val="21"/>
              </w:rPr>
              <w:t xml:space="preserve"> </w:t>
            </w:r>
            <w:r w:rsidRPr="007537EB">
              <w:rPr>
                <w:sz w:val="21"/>
                <w:szCs w:val="21"/>
              </w:rPr>
              <w:t>Options for data collection on screening for family and domestic violence during pregnancy through the National Perinatal Data Collection are progressed by the Australian Institute of Health and Welfare.</w:t>
            </w:r>
          </w:p>
        </w:tc>
      </w:tr>
      <w:tr w:rsidR="000D1D92" w:rsidRPr="007774A1" w14:paraId="27907528" w14:textId="77777777" w:rsidTr="00684616">
        <w:trPr>
          <w:trHeight w:val="85"/>
        </w:trPr>
        <w:tc>
          <w:tcPr>
            <w:tcW w:w="9060" w:type="dxa"/>
            <w:tcBorders>
              <w:top w:val="nil"/>
              <w:left w:val="nil"/>
              <w:bottom w:val="dotted" w:sz="4" w:space="0" w:color="auto"/>
              <w:right w:val="nil"/>
            </w:tcBorders>
            <w:vAlign w:val="center"/>
          </w:tcPr>
          <w:p w14:paraId="7149640F" w14:textId="77777777" w:rsidR="000D1D92" w:rsidRPr="007774A1" w:rsidRDefault="000D1D92" w:rsidP="00684616">
            <w:pPr>
              <w:spacing w:before="0" w:after="0"/>
              <w:jc w:val="both"/>
              <w:rPr>
                <w:sz w:val="21"/>
                <w:szCs w:val="21"/>
              </w:rPr>
            </w:pPr>
            <w:r w:rsidRPr="007774A1">
              <w:rPr>
                <w:b/>
                <w:sz w:val="21"/>
                <w:szCs w:val="21"/>
              </w:rPr>
              <w:t>Recommendation 1</w:t>
            </w:r>
            <w:r>
              <w:rPr>
                <w:b/>
                <w:sz w:val="21"/>
                <w:szCs w:val="21"/>
              </w:rPr>
              <w:t>4</w:t>
            </w:r>
            <w:r w:rsidRPr="007774A1">
              <w:rPr>
                <w:b/>
                <w:sz w:val="21"/>
                <w:szCs w:val="21"/>
              </w:rPr>
              <w:t>:</w:t>
            </w:r>
            <w:r w:rsidRPr="007774A1">
              <w:rPr>
                <w:sz w:val="21"/>
                <w:szCs w:val="21"/>
              </w:rPr>
              <w:t xml:space="preserve"> </w:t>
            </w:r>
            <w:r w:rsidRPr="007537EB">
              <w:rPr>
                <w:sz w:val="21"/>
                <w:szCs w:val="21"/>
              </w:rPr>
              <w:t>The Australian Government Department of Social Services support the work of Professor Arabena and the Indigenous Health Equity Unit at the University of Melbourne to progress the early intervention research agenda under the First 1000 Days initiative.</w:t>
            </w:r>
          </w:p>
        </w:tc>
      </w:tr>
      <w:tr w:rsidR="000D1D92" w:rsidRPr="007774A1" w14:paraId="3E016C7F" w14:textId="77777777" w:rsidTr="00684616">
        <w:trPr>
          <w:trHeight w:val="85"/>
        </w:trPr>
        <w:tc>
          <w:tcPr>
            <w:tcW w:w="9060" w:type="dxa"/>
            <w:tcBorders>
              <w:top w:val="nil"/>
              <w:left w:val="nil"/>
              <w:bottom w:val="dotted" w:sz="4" w:space="0" w:color="auto"/>
              <w:right w:val="nil"/>
            </w:tcBorders>
            <w:vAlign w:val="center"/>
          </w:tcPr>
          <w:p w14:paraId="6BEB53F9" w14:textId="77777777" w:rsidR="000D1D92" w:rsidRPr="007774A1" w:rsidRDefault="000D1D92" w:rsidP="00684616">
            <w:pPr>
              <w:spacing w:before="0" w:after="0"/>
              <w:jc w:val="both"/>
              <w:rPr>
                <w:b/>
                <w:sz w:val="21"/>
                <w:szCs w:val="21"/>
              </w:rPr>
            </w:pPr>
            <w:r w:rsidRPr="007774A1">
              <w:rPr>
                <w:b/>
                <w:sz w:val="21"/>
                <w:szCs w:val="21"/>
              </w:rPr>
              <w:t>Recommendation 1</w:t>
            </w:r>
            <w:r>
              <w:rPr>
                <w:b/>
                <w:sz w:val="21"/>
                <w:szCs w:val="21"/>
              </w:rPr>
              <w:t>5</w:t>
            </w:r>
            <w:r w:rsidRPr="007774A1">
              <w:rPr>
                <w:b/>
                <w:sz w:val="21"/>
                <w:szCs w:val="21"/>
              </w:rPr>
              <w:t>:</w:t>
            </w:r>
            <w:r w:rsidRPr="007774A1">
              <w:rPr>
                <w:sz w:val="21"/>
                <w:szCs w:val="21"/>
              </w:rPr>
              <w:t xml:space="preserve"> </w:t>
            </w:r>
            <w:r w:rsidRPr="005A47D7">
              <w:rPr>
                <w:sz w:val="21"/>
                <w:szCs w:val="21"/>
              </w:rPr>
              <w:t>The next ANROWS (Australia’s National Research Organisation for Women’s Safety) Research Program should include research into sibling violence.</w:t>
            </w:r>
          </w:p>
        </w:tc>
      </w:tr>
      <w:tr w:rsidR="000D1D92" w:rsidRPr="007774A1" w14:paraId="7F746398" w14:textId="77777777" w:rsidTr="00684616">
        <w:trPr>
          <w:trHeight w:val="85"/>
        </w:trPr>
        <w:tc>
          <w:tcPr>
            <w:tcW w:w="9060" w:type="dxa"/>
            <w:tcBorders>
              <w:top w:val="nil"/>
              <w:left w:val="nil"/>
              <w:bottom w:val="dotted" w:sz="4" w:space="0" w:color="auto"/>
              <w:right w:val="nil"/>
            </w:tcBorders>
            <w:vAlign w:val="center"/>
          </w:tcPr>
          <w:p w14:paraId="57AC137C" w14:textId="77777777" w:rsidR="000D1D92" w:rsidRPr="007774A1" w:rsidRDefault="000D1D92" w:rsidP="00684616">
            <w:pPr>
              <w:spacing w:before="0" w:after="0"/>
              <w:jc w:val="both"/>
              <w:rPr>
                <w:b/>
                <w:sz w:val="21"/>
                <w:szCs w:val="21"/>
              </w:rPr>
            </w:pPr>
            <w:r w:rsidRPr="007774A1">
              <w:rPr>
                <w:b/>
                <w:sz w:val="21"/>
                <w:szCs w:val="21"/>
              </w:rPr>
              <w:t>Recommendation 1</w:t>
            </w:r>
            <w:r>
              <w:rPr>
                <w:b/>
                <w:sz w:val="21"/>
                <w:szCs w:val="21"/>
              </w:rPr>
              <w:t>6</w:t>
            </w:r>
            <w:r w:rsidRPr="007774A1">
              <w:rPr>
                <w:b/>
                <w:sz w:val="21"/>
                <w:szCs w:val="21"/>
              </w:rPr>
              <w:t>:</w:t>
            </w:r>
            <w:r w:rsidRPr="007774A1">
              <w:rPr>
                <w:sz w:val="21"/>
                <w:szCs w:val="21"/>
              </w:rPr>
              <w:t xml:space="preserve"> </w:t>
            </w:r>
            <w:r w:rsidRPr="005A47D7">
              <w:rPr>
                <w:sz w:val="21"/>
                <w:szCs w:val="21"/>
              </w:rPr>
              <w:t>The next ANROWS (Australia’s National Research Organisation for Women’s Safety) Research Program should include research into female children aged 15 to 17 years affected by family and domestic violence.</w:t>
            </w:r>
          </w:p>
        </w:tc>
      </w:tr>
      <w:bookmarkEnd w:id="216"/>
    </w:tbl>
    <w:p w14:paraId="2F1DBF79" w14:textId="77777777" w:rsidR="000D1D92" w:rsidRDefault="000D1D92" w:rsidP="000D1D92">
      <w:pPr>
        <w:autoSpaceDE w:val="0"/>
        <w:autoSpaceDN w:val="0"/>
        <w:adjustRightInd w:val="0"/>
        <w:spacing w:before="0" w:after="0"/>
        <w:jc w:val="both"/>
      </w:pPr>
    </w:p>
    <w:p w14:paraId="2A133660" w14:textId="3E19C86F" w:rsidR="000D1D92" w:rsidRDefault="000D1D92" w:rsidP="009F70AB">
      <w:pPr>
        <w:jc w:val="both"/>
      </w:pPr>
    </w:p>
    <w:p w14:paraId="3AC0B199" w14:textId="77777777" w:rsidR="000D1D92" w:rsidRDefault="000D1D92" w:rsidP="009F70AB">
      <w:pPr>
        <w:jc w:val="both"/>
        <w:sectPr w:rsidR="000D1D92" w:rsidSect="001715AD">
          <w:endnotePr>
            <w:numFmt w:val="decimal"/>
          </w:endnotePr>
          <w:pgSz w:w="11906" w:h="16838" w:code="9"/>
          <w:pgMar w:top="1134" w:right="1418" w:bottom="1134" w:left="1418" w:header="709" w:footer="709" w:gutter="0"/>
          <w:cols w:space="708"/>
          <w:docGrid w:linePitch="360"/>
        </w:sectPr>
      </w:pPr>
    </w:p>
    <w:p w14:paraId="6BCA520B" w14:textId="08BFE67A" w:rsidR="009F099B" w:rsidRDefault="009F099B" w:rsidP="009F099B">
      <w:pPr>
        <w:pStyle w:val="Heading1"/>
        <w:numPr>
          <w:ilvl w:val="0"/>
          <w:numId w:val="0"/>
        </w:numPr>
        <w:ind w:left="2155" w:hanging="2155"/>
      </w:pPr>
      <w:bookmarkStart w:id="217" w:name="_Toc432577331"/>
      <w:r>
        <w:lastRenderedPageBreak/>
        <w:t>Appendices</w:t>
      </w:r>
      <w:bookmarkEnd w:id="217"/>
    </w:p>
    <w:p w14:paraId="1ADFBDB4" w14:textId="0E4524DC" w:rsidR="00CB7B43" w:rsidRDefault="0073631C" w:rsidP="0073631C">
      <w:pPr>
        <w:pStyle w:val="Heading2"/>
        <w:numPr>
          <w:ilvl w:val="0"/>
          <w:numId w:val="0"/>
        </w:numPr>
        <w:ind w:left="851" w:hanging="851"/>
      </w:pPr>
      <w:bookmarkStart w:id="218" w:name="_Toc432577332"/>
      <w:r>
        <w:t>Ap</w:t>
      </w:r>
      <w:r w:rsidRPr="0073631C">
        <w:t>pendix 1: Speaking engagements</w:t>
      </w:r>
      <w:bookmarkEnd w:id="218"/>
    </w:p>
    <w:tbl>
      <w:tblPr>
        <w:tblStyle w:val="TableGrid"/>
        <w:tblW w:w="0" w:type="auto"/>
        <w:tblLook w:val="04A0" w:firstRow="1" w:lastRow="0" w:firstColumn="1" w:lastColumn="0" w:noHBand="0" w:noVBand="1"/>
      </w:tblPr>
      <w:tblGrid>
        <w:gridCol w:w="1242"/>
        <w:gridCol w:w="5954"/>
        <w:gridCol w:w="2090"/>
      </w:tblGrid>
      <w:tr w:rsidR="0073631C" w:rsidRPr="00764534" w14:paraId="6DF9B234" w14:textId="77777777" w:rsidTr="00275C03">
        <w:tc>
          <w:tcPr>
            <w:tcW w:w="1242" w:type="dxa"/>
          </w:tcPr>
          <w:p w14:paraId="469F118C" w14:textId="77777777" w:rsidR="0073631C" w:rsidRPr="00764534" w:rsidRDefault="0073631C" w:rsidP="00275C03">
            <w:pPr>
              <w:rPr>
                <w:b/>
              </w:rPr>
            </w:pPr>
            <w:r w:rsidRPr="00764534">
              <w:rPr>
                <w:b/>
              </w:rPr>
              <w:t>Date</w:t>
            </w:r>
          </w:p>
        </w:tc>
        <w:tc>
          <w:tcPr>
            <w:tcW w:w="5954" w:type="dxa"/>
          </w:tcPr>
          <w:p w14:paraId="5F70EF57" w14:textId="77777777" w:rsidR="0073631C" w:rsidRPr="00764534" w:rsidRDefault="0073631C" w:rsidP="00275C03">
            <w:pPr>
              <w:rPr>
                <w:b/>
              </w:rPr>
            </w:pPr>
            <w:r w:rsidRPr="00764534">
              <w:rPr>
                <w:b/>
              </w:rPr>
              <w:t>Engagement</w:t>
            </w:r>
          </w:p>
        </w:tc>
        <w:tc>
          <w:tcPr>
            <w:tcW w:w="2090" w:type="dxa"/>
          </w:tcPr>
          <w:p w14:paraId="0A9AC163" w14:textId="77777777" w:rsidR="0073631C" w:rsidRPr="00764534" w:rsidRDefault="0073631C" w:rsidP="00275C03">
            <w:pPr>
              <w:rPr>
                <w:b/>
              </w:rPr>
            </w:pPr>
            <w:r w:rsidRPr="00764534">
              <w:rPr>
                <w:b/>
              </w:rPr>
              <w:t>Location</w:t>
            </w:r>
          </w:p>
        </w:tc>
      </w:tr>
      <w:tr w:rsidR="0073631C" w:rsidRPr="00764534" w14:paraId="1DD91E50" w14:textId="77777777" w:rsidTr="00275C03">
        <w:tc>
          <w:tcPr>
            <w:tcW w:w="1242" w:type="dxa"/>
          </w:tcPr>
          <w:p w14:paraId="3F877720" w14:textId="77777777" w:rsidR="0073631C" w:rsidRPr="00DD783A" w:rsidRDefault="0073631C" w:rsidP="00275C03">
            <w:pPr>
              <w:rPr>
                <w:highlight w:val="magenta"/>
              </w:rPr>
            </w:pPr>
            <w:r w:rsidRPr="001A4717">
              <w:t>07.07.14</w:t>
            </w:r>
          </w:p>
        </w:tc>
        <w:tc>
          <w:tcPr>
            <w:tcW w:w="5954" w:type="dxa"/>
          </w:tcPr>
          <w:p w14:paraId="4AF1E542" w14:textId="77777777" w:rsidR="0073631C" w:rsidRPr="007C1057" w:rsidRDefault="0073631C" w:rsidP="00275C03">
            <w:r w:rsidRPr="001A4717">
              <w:t>53rd Annual UN Youth Australia Nation</w:t>
            </w:r>
            <w:r>
              <w:t>al Conference - Opening Address</w:t>
            </w:r>
          </w:p>
        </w:tc>
        <w:tc>
          <w:tcPr>
            <w:tcW w:w="2090" w:type="dxa"/>
          </w:tcPr>
          <w:p w14:paraId="3CF4FEA0" w14:textId="77777777" w:rsidR="0073631C" w:rsidRDefault="0073631C" w:rsidP="00275C03">
            <w:r>
              <w:t>Canberra, ACT</w:t>
            </w:r>
          </w:p>
        </w:tc>
      </w:tr>
      <w:tr w:rsidR="0073631C" w:rsidRPr="00764534" w14:paraId="32778B3F" w14:textId="77777777" w:rsidTr="00275C03">
        <w:tc>
          <w:tcPr>
            <w:tcW w:w="1242" w:type="dxa"/>
          </w:tcPr>
          <w:p w14:paraId="2D6CA2E7" w14:textId="77777777" w:rsidR="0073631C" w:rsidRPr="00764534" w:rsidRDefault="0073631C" w:rsidP="00275C03">
            <w:r>
              <w:t>15.07.14</w:t>
            </w:r>
          </w:p>
        </w:tc>
        <w:tc>
          <w:tcPr>
            <w:tcW w:w="5954" w:type="dxa"/>
          </w:tcPr>
          <w:p w14:paraId="3BB24877" w14:textId="77777777" w:rsidR="0073631C" w:rsidRPr="00B83ABA" w:rsidRDefault="0073631C" w:rsidP="00275C03">
            <w:r w:rsidRPr="00B83ABA">
              <w:t xml:space="preserve">National Summit on ‘Behaviour in Australian Schools: Current Trends and Possibilities’ </w:t>
            </w:r>
          </w:p>
          <w:p w14:paraId="4192E12F" w14:textId="77777777" w:rsidR="0073631C" w:rsidRPr="00764534" w:rsidRDefault="0073631C" w:rsidP="00275C03"/>
        </w:tc>
        <w:tc>
          <w:tcPr>
            <w:tcW w:w="2090" w:type="dxa"/>
          </w:tcPr>
          <w:p w14:paraId="3AD5ADC1" w14:textId="77777777" w:rsidR="0073631C" w:rsidRPr="00764534" w:rsidRDefault="0073631C" w:rsidP="00275C03">
            <w:r>
              <w:t>Adelaide, SA</w:t>
            </w:r>
          </w:p>
        </w:tc>
      </w:tr>
      <w:tr w:rsidR="0073631C" w:rsidRPr="00764534" w14:paraId="5E33FDDB" w14:textId="77777777" w:rsidTr="00275C03">
        <w:tc>
          <w:tcPr>
            <w:tcW w:w="1242" w:type="dxa"/>
          </w:tcPr>
          <w:p w14:paraId="2F25CA54" w14:textId="77777777" w:rsidR="0073631C" w:rsidRPr="00764534" w:rsidRDefault="0073631C" w:rsidP="00275C03">
            <w:r>
              <w:t>23.07.14</w:t>
            </w:r>
          </w:p>
        </w:tc>
        <w:tc>
          <w:tcPr>
            <w:tcW w:w="5954" w:type="dxa"/>
          </w:tcPr>
          <w:p w14:paraId="57CFB535" w14:textId="77777777" w:rsidR="0073631C" w:rsidRPr="00764534" w:rsidRDefault="0073631C" w:rsidP="00275C03">
            <w:r w:rsidRPr="00021C16">
              <w:t>Association of Women Educators</w:t>
            </w:r>
            <w:r>
              <w:t xml:space="preserve"> Annual Dinner</w:t>
            </w:r>
          </w:p>
        </w:tc>
        <w:tc>
          <w:tcPr>
            <w:tcW w:w="2090" w:type="dxa"/>
          </w:tcPr>
          <w:p w14:paraId="5667910A" w14:textId="77777777" w:rsidR="0073631C" w:rsidRPr="00764534" w:rsidRDefault="0073631C" w:rsidP="00275C03">
            <w:r>
              <w:t>Brisbane, QLD</w:t>
            </w:r>
          </w:p>
        </w:tc>
      </w:tr>
      <w:tr w:rsidR="0073631C" w:rsidRPr="00764534" w14:paraId="60C7870C" w14:textId="77777777" w:rsidTr="00275C03">
        <w:tc>
          <w:tcPr>
            <w:tcW w:w="1242" w:type="dxa"/>
          </w:tcPr>
          <w:p w14:paraId="0B9E9081" w14:textId="77777777" w:rsidR="0073631C" w:rsidRPr="00764534" w:rsidRDefault="0073631C" w:rsidP="00275C03">
            <w:r>
              <w:t>25.07.14</w:t>
            </w:r>
          </w:p>
        </w:tc>
        <w:tc>
          <w:tcPr>
            <w:tcW w:w="5954" w:type="dxa"/>
          </w:tcPr>
          <w:p w14:paraId="5D1A6573" w14:textId="77777777" w:rsidR="0073631C" w:rsidRPr="00764534" w:rsidRDefault="0073631C" w:rsidP="00275C03">
            <w:r w:rsidRPr="00021C16">
              <w:t>Generation Next 2014: The Mental Health and Wellbeing of Young People</w:t>
            </w:r>
          </w:p>
        </w:tc>
        <w:tc>
          <w:tcPr>
            <w:tcW w:w="2090" w:type="dxa"/>
          </w:tcPr>
          <w:p w14:paraId="58B2DCA5" w14:textId="77777777" w:rsidR="0073631C" w:rsidRPr="00764534" w:rsidRDefault="0073631C" w:rsidP="00275C03">
            <w:r>
              <w:t>Gold Coast, QLD</w:t>
            </w:r>
          </w:p>
        </w:tc>
      </w:tr>
      <w:tr w:rsidR="0073631C" w:rsidRPr="00764534" w14:paraId="078EB3C7" w14:textId="77777777" w:rsidTr="00275C03">
        <w:tc>
          <w:tcPr>
            <w:tcW w:w="1242" w:type="dxa"/>
          </w:tcPr>
          <w:p w14:paraId="6194C0C8" w14:textId="77777777" w:rsidR="0073631C" w:rsidRPr="00764534" w:rsidRDefault="0073631C" w:rsidP="00275C03">
            <w:r w:rsidRPr="001A4717">
              <w:t>08.08.14</w:t>
            </w:r>
          </w:p>
        </w:tc>
        <w:tc>
          <w:tcPr>
            <w:tcW w:w="5954" w:type="dxa"/>
          </w:tcPr>
          <w:p w14:paraId="22B4A84D" w14:textId="77777777" w:rsidR="0073631C" w:rsidRPr="00764534" w:rsidRDefault="0073631C" w:rsidP="00275C03">
            <w:r w:rsidRPr="001A4717">
              <w:rPr>
                <w:i/>
              </w:rPr>
              <w:t>Children as Citizens</w:t>
            </w:r>
            <w:r w:rsidRPr="00B03632">
              <w:t xml:space="preserve"> Book Launch</w:t>
            </w:r>
          </w:p>
        </w:tc>
        <w:tc>
          <w:tcPr>
            <w:tcW w:w="2090" w:type="dxa"/>
          </w:tcPr>
          <w:p w14:paraId="07A95E2E" w14:textId="77777777" w:rsidR="0073631C" w:rsidRPr="00764534" w:rsidRDefault="0073631C" w:rsidP="00275C03">
            <w:r>
              <w:t>Adelaide, SA</w:t>
            </w:r>
          </w:p>
        </w:tc>
      </w:tr>
      <w:tr w:rsidR="0073631C" w:rsidRPr="00764534" w14:paraId="7F0DF397" w14:textId="77777777" w:rsidTr="00275C03">
        <w:tc>
          <w:tcPr>
            <w:tcW w:w="1242" w:type="dxa"/>
          </w:tcPr>
          <w:p w14:paraId="08937B17" w14:textId="77777777" w:rsidR="0073631C" w:rsidRPr="00764534" w:rsidRDefault="0073631C" w:rsidP="00275C03">
            <w:r>
              <w:t>20.08.14</w:t>
            </w:r>
          </w:p>
        </w:tc>
        <w:tc>
          <w:tcPr>
            <w:tcW w:w="5954" w:type="dxa"/>
          </w:tcPr>
          <w:p w14:paraId="1CE5D1C3" w14:textId="77777777" w:rsidR="0073631C" w:rsidRPr="00764534" w:rsidRDefault="0073631C" w:rsidP="00275C03">
            <w:r w:rsidRPr="00DD783A">
              <w:t>Association</w:t>
            </w:r>
            <w:r w:rsidRPr="00645AEF">
              <w:t xml:space="preserve"> of Children’s Welfare Agencies </w:t>
            </w:r>
            <w:r>
              <w:t>2014 Conference.</w:t>
            </w:r>
            <w:r w:rsidRPr="00B03632">
              <w:t xml:space="preserve"> Children in a changing world: Challenges for families and communities.</w:t>
            </w:r>
          </w:p>
        </w:tc>
        <w:tc>
          <w:tcPr>
            <w:tcW w:w="2090" w:type="dxa"/>
          </w:tcPr>
          <w:p w14:paraId="37ACE65B" w14:textId="77777777" w:rsidR="0073631C" w:rsidRPr="00764534" w:rsidRDefault="0073631C" w:rsidP="00275C03">
            <w:r>
              <w:t>Sydney, NSW</w:t>
            </w:r>
          </w:p>
        </w:tc>
      </w:tr>
      <w:tr w:rsidR="0073631C" w:rsidRPr="00764534" w14:paraId="41CE849B" w14:textId="77777777" w:rsidTr="00275C03">
        <w:tc>
          <w:tcPr>
            <w:tcW w:w="1242" w:type="dxa"/>
          </w:tcPr>
          <w:p w14:paraId="5546F372" w14:textId="77777777" w:rsidR="0073631C" w:rsidRPr="00764534" w:rsidRDefault="0073631C" w:rsidP="00275C03">
            <w:r>
              <w:t>05.09.14</w:t>
            </w:r>
          </w:p>
        </w:tc>
        <w:tc>
          <w:tcPr>
            <w:tcW w:w="5954" w:type="dxa"/>
          </w:tcPr>
          <w:p w14:paraId="1DF6458A" w14:textId="77777777" w:rsidR="0073631C" w:rsidRPr="00764534" w:rsidRDefault="0073631C" w:rsidP="00275C03">
            <w:r>
              <w:t>T</w:t>
            </w:r>
            <w:r w:rsidRPr="001A706D">
              <w:t xml:space="preserve">he </w:t>
            </w:r>
            <w:r>
              <w:t xml:space="preserve">National </w:t>
            </w:r>
            <w:r w:rsidRPr="001A706D">
              <w:t>Children’s Law Awards</w:t>
            </w:r>
            <w:r>
              <w:t xml:space="preserve"> 2014</w:t>
            </w:r>
          </w:p>
        </w:tc>
        <w:tc>
          <w:tcPr>
            <w:tcW w:w="2090" w:type="dxa"/>
          </w:tcPr>
          <w:p w14:paraId="0BD692E8" w14:textId="77777777" w:rsidR="0073631C" w:rsidRPr="00764534" w:rsidRDefault="0073631C" w:rsidP="00275C03">
            <w:r>
              <w:t>Sydney, NSW</w:t>
            </w:r>
          </w:p>
        </w:tc>
      </w:tr>
      <w:tr w:rsidR="0073631C" w:rsidRPr="00764534" w14:paraId="35414441" w14:textId="77777777" w:rsidTr="00275C03">
        <w:tc>
          <w:tcPr>
            <w:tcW w:w="1242" w:type="dxa"/>
          </w:tcPr>
          <w:p w14:paraId="2AC1FC3C" w14:textId="77777777" w:rsidR="0073631C" w:rsidRPr="00764534" w:rsidRDefault="0073631C" w:rsidP="00275C03">
            <w:r>
              <w:t>0</w:t>
            </w:r>
            <w:r w:rsidRPr="00DD783A">
              <w:t>7.09.14</w:t>
            </w:r>
          </w:p>
        </w:tc>
        <w:tc>
          <w:tcPr>
            <w:tcW w:w="5954" w:type="dxa"/>
          </w:tcPr>
          <w:p w14:paraId="6EF66009" w14:textId="77777777" w:rsidR="0073631C" w:rsidRPr="00764534" w:rsidRDefault="0073631C" w:rsidP="00275C03">
            <w:r w:rsidRPr="001A706D">
              <w:t>Early Childhood Australia National Conference</w:t>
            </w:r>
          </w:p>
        </w:tc>
        <w:tc>
          <w:tcPr>
            <w:tcW w:w="2090" w:type="dxa"/>
          </w:tcPr>
          <w:p w14:paraId="7CCF3C17" w14:textId="77777777" w:rsidR="0073631C" w:rsidRPr="00764534" w:rsidRDefault="0073631C" w:rsidP="00275C03">
            <w:r>
              <w:t>Melbourne, VIC</w:t>
            </w:r>
          </w:p>
        </w:tc>
      </w:tr>
      <w:tr w:rsidR="0073631C" w:rsidRPr="00764534" w14:paraId="57302AB0" w14:textId="77777777" w:rsidTr="00275C03">
        <w:tc>
          <w:tcPr>
            <w:tcW w:w="1242" w:type="dxa"/>
          </w:tcPr>
          <w:p w14:paraId="23E43BDF" w14:textId="77777777" w:rsidR="0073631C" w:rsidRPr="00764534" w:rsidRDefault="0073631C" w:rsidP="00275C03">
            <w:r>
              <w:t>09.09.14</w:t>
            </w:r>
          </w:p>
        </w:tc>
        <w:tc>
          <w:tcPr>
            <w:tcW w:w="5954" w:type="dxa"/>
          </w:tcPr>
          <w:p w14:paraId="05D98DB7" w14:textId="487099A7" w:rsidR="0073631C" w:rsidRPr="00764534" w:rsidRDefault="0073631C" w:rsidP="00907EDE">
            <w:r w:rsidRPr="00A1657E">
              <w:t xml:space="preserve">NAPCAN National </w:t>
            </w:r>
            <w:r w:rsidR="00907EDE">
              <w:t>Child Protection</w:t>
            </w:r>
            <w:r w:rsidRPr="00A1657E">
              <w:t xml:space="preserve"> Week breakfast event</w:t>
            </w:r>
          </w:p>
        </w:tc>
        <w:tc>
          <w:tcPr>
            <w:tcW w:w="2090" w:type="dxa"/>
          </w:tcPr>
          <w:p w14:paraId="061E65B3" w14:textId="77777777" w:rsidR="0073631C" w:rsidRPr="00764534" w:rsidRDefault="0073631C" w:rsidP="00275C03">
            <w:r>
              <w:t>Darwin, NT</w:t>
            </w:r>
          </w:p>
        </w:tc>
      </w:tr>
      <w:tr w:rsidR="0073631C" w:rsidRPr="00764534" w14:paraId="103C69A9" w14:textId="77777777" w:rsidTr="00275C03">
        <w:tc>
          <w:tcPr>
            <w:tcW w:w="1242" w:type="dxa"/>
          </w:tcPr>
          <w:p w14:paraId="6DE297A6" w14:textId="77777777" w:rsidR="0073631C" w:rsidRPr="001A4717" w:rsidRDefault="0073631C" w:rsidP="00275C03">
            <w:r w:rsidRPr="001A4717">
              <w:t>11.09.14</w:t>
            </w:r>
          </w:p>
        </w:tc>
        <w:tc>
          <w:tcPr>
            <w:tcW w:w="5954" w:type="dxa"/>
          </w:tcPr>
          <w:p w14:paraId="28E0A2DB" w14:textId="77777777" w:rsidR="0073631C" w:rsidRPr="001A4717" w:rsidRDefault="0073631C" w:rsidP="00275C03">
            <w:r w:rsidRPr="001A4717">
              <w:t xml:space="preserve">National Child Protection Week – Gala Dinner   </w:t>
            </w:r>
          </w:p>
        </w:tc>
        <w:tc>
          <w:tcPr>
            <w:tcW w:w="2090" w:type="dxa"/>
          </w:tcPr>
          <w:p w14:paraId="4CD48699" w14:textId="77777777" w:rsidR="0073631C" w:rsidRDefault="0073631C" w:rsidP="00275C03">
            <w:r>
              <w:t>Alice Springs, NT</w:t>
            </w:r>
          </w:p>
        </w:tc>
      </w:tr>
      <w:tr w:rsidR="0073631C" w:rsidRPr="00764534" w14:paraId="27CA8AF0" w14:textId="77777777" w:rsidTr="00275C03">
        <w:tc>
          <w:tcPr>
            <w:tcW w:w="1242" w:type="dxa"/>
          </w:tcPr>
          <w:p w14:paraId="78AE3635" w14:textId="77777777" w:rsidR="0073631C" w:rsidRPr="00764534" w:rsidRDefault="0073631C" w:rsidP="00275C03">
            <w:r w:rsidRPr="001A4717">
              <w:t>23.09.14</w:t>
            </w:r>
          </w:p>
        </w:tc>
        <w:tc>
          <w:tcPr>
            <w:tcW w:w="5954" w:type="dxa"/>
          </w:tcPr>
          <w:p w14:paraId="4E6289D6" w14:textId="77777777" w:rsidR="0073631C" w:rsidRPr="00764534" w:rsidRDefault="0073631C" w:rsidP="00275C03">
            <w:r w:rsidRPr="00A1657E">
              <w:t>U</w:t>
            </w:r>
            <w:r>
              <w:t xml:space="preserve">nited </w:t>
            </w:r>
            <w:r w:rsidRPr="00A1657E">
              <w:t>N</w:t>
            </w:r>
            <w:r>
              <w:t xml:space="preserve">ations </w:t>
            </w:r>
            <w:r w:rsidRPr="00A1657E">
              <w:t>A</w:t>
            </w:r>
            <w:r>
              <w:t xml:space="preserve">ssociation of </w:t>
            </w:r>
            <w:r w:rsidRPr="00A1657E">
              <w:t>A</w:t>
            </w:r>
            <w:r>
              <w:t>ustralia:</w:t>
            </w:r>
            <w:r w:rsidRPr="00A1657E">
              <w:t xml:space="preserve"> Young Professionals panel event</w:t>
            </w:r>
          </w:p>
        </w:tc>
        <w:tc>
          <w:tcPr>
            <w:tcW w:w="2090" w:type="dxa"/>
          </w:tcPr>
          <w:p w14:paraId="354EB6E0" w14:textId="77777777" w:rsidR="0073631C" w:rsidRPr="00764534" w:rsidRDefault="0073631C" w:rsidP="00275C03">
            <w:r>
              <w:t xml:space="preserve">Sydney, NSW </w:t>
            </w:r>
          </w:p>
        </w:tc>
      </w:tr>
      <w:tr w:rsidR="0073631C" w:rsidRPr="00764534" w14:paraId="1CB6CF2A" w14:textId="77777777" w:rsidTr="00275C03">
        <w:tc>
          <w:tcPr>
            <w:tcW w:w="1242" w:type="dxa"/>
          </w:tcPr>
          <w:p w14:paraId="2040F1AE" w14:textId="77777777" w:rsidR="0073631C" w:rsidRPr="00764534" w:rsidRDefault="0073631C" w:rsidP="00275C03">
            <w:r>
              <w:t>08.10.14</w:t>
            </w:r>
          </w:p>
        </w:tc>
        <w:tc>
          <w:tcPr>
            <w:tcW w:w="5954" w:type="dxa"/>
          </w:tcPr>
          <w:p w14:paraId="7684678A" w14:textId="77777777" w:rsidR="0073631C" w:rsidRPr="00764534" w:rsidRDefault="0073631C" w:rsidP="00275C03">
            <w:r w:rsidRPr="00A349F5">
              <w:t>16th National Family Law Conference</w:t>
            </w:r>
            <w:r>
              <w:t xml:space="preserve"> </w:t>
            </w:r>
          </w:p>
        </w:tc>
        <w:tc>
          <w:tcPr>
            <w:tcW w:w="2090" w:type="dxa"/>
          </w:tcPr>
          <w:p w14:paraId="50851656" w14:textId="77777777" w:rsidR="0073631C" w:rsidRPr="00764534" w:rsidRDefault="0073631C" w:rsidP="00275C03">
            <w:r>
              <w:t>Sydney, NSW</w:t>
            </w:r>
          </w:p>
        </w:tc>
      </w:tr>
      <w:tr w:rsidR="0073631C" w:rsidRPr="00764534" w14:paraId="6C49F4BB" w14:textId="77777777" w:rsidTr="00275C03">
        <w:tc>
          <w:tcPr>
            <w:tcW w:w="1242" w:type="dxa"/>
          </w:tcPr>
          <w:p w14:paraId="2C3643A5" w14:textId="77777777" w:rsidR="0073631C" w:rsidRPr="00764534" w:rsidRDefault="0073631C" w:rsidP="00275C03">
            <w:r>
              <w:lastRenderedPageBreak/>
              <w:t>09.10.14</w:t>
            </w:r>
          </w:p>
        </w:tc>
        <w:tc>
          <w:tcPr>
            <w:tcW w:w="5954" w:type="dxa"/>
          </w:tcPr>
          <w:p w14:paraId="38CDCC10" w14:textId="77777777" w:rsidR="0073631C" w:rsidRPr="00764534" w:rsidRDefault="0073631C" w:rsidP="00275C03">
            <w:r>
              <w:t xml:space="preserve">Headspace </w:t>
            </w:r>
            <w:r w:rsidRPr="006E02C0">
              <w:t>Board of Directors Meeting</w:t>
            </w:r>
          </w:p>
        </w:tc>
        <w:tc>
          <w:tcPr>
            <w:tcW w:w="2090" w:type="dxa"/>
          </w:tcPr>
          <w:p w14:paraId="4A1A415A" w14:textId="77777777" w:rsidR="0073631C" w:rsidRPr="00764534" w:rsidRDefault="0073631C" w:rsidP="00275C03">
            <w:r>
              <w:t>Sydney, NSW</w:t>
            </w:r>
          </w:p>
        </w:tc>
      </w:tr>
      <w:tr w:rsidR="0073631C" w:rsidRPr="00764534" w14:paraId="1DED6A1B" w14:textId="77777777" w:rsidTr="00275C03">
        <w:tc>
          <w:tcPr>
            <w:tcW w:w="1242" w:type="dxa"/>
          </w:tcPr>
          <w:p w14:paraId="6C3E9E5F" w14:textId="77777777" w:rsidR="0073631C" w:rsidRDefault="0073631C" w:rsidP="00275C03">
            <w:r>
              <w:t>16.10.14</w:t>
            </w:r>
          </w:p>
        </w:tc>
        <w:tc>
          <w:tcPr>
            <w:tcW w:w="5954" w:type="dxa"/>
          </w:tcPr>
          <w:p w14:paraId="394E86D7" w14:textId="1A3FF6B3" w:rsidR="0073631C" w:rsidRDefault="0073631C" w:rsidP="00B33908">
            <w:r w:rsidRPr="00F55FD7">
              <w:t>Newington College Preparatory School - Parents &amp; Friends’ Association</w:t>
            </w:r>
            <w:r>
              <w:t>: Annual General meeting</w:t>
            </w:r>
          </w:p>
        </w:tc>
        <w:tc>
          <w:tcPr>
            <w:tcW w:w="2090" w:type="dxa"/>
          </w:tcPr>
          <w:p w14:paraId="1497C857" w14:textId="77777777" w:rsidR="0073631C" w:rsidRDefault="0073631C" w:rsidP="00275C03">
            <w:r>
              <w:t>Sydney, NSW</w:t>
            </w:r>
          </w:p>
        </w:tc>
      </w:tr>
      <w:tr w:rsidR="0073631C" w:rsidRPr="00764534" w14:paraId="7407A590" w14:textId="77777777" w:rsidTr="00275C03">
        <w:tc>
          <w:tcPr>
            <w:tcW w:w="1242" w:type="dxa"/>
          </w:tcPr>
          <w:p w14:paraId="380C3FA3" w14:textId="77777777" w:rsidR="0073631C" w:rsidRPr="001A4717" w:rsidRDefault="0073631C" w:rsidP="00275C03">
            <w:r w:rsidRPr="001A4717">
              <w:t>17.10.14</w:t>
            </w:r>
          </w:p>
        </w:tc>
        <w:tc>
          <w:tcPr>
            <w:tcW w:w="5954" w:type="dxa"/>
          </w:tcPr>
          <w:p w14:paraId="48F22209" w14:textId="22E7F0CB" w:rsidR="0073631C" w:rsidRPr="001A4717" w:rsidRDefault="0073631C" w:rsidP="00B33908">
            <w:r w:rsidRPr="001A4717">
              <w:t>Official Launch of Children’s Week</w:t>
            </w:r>
          </w:p>
        </w:tc>
        <w:tc>
          <w:tcPr>
            <w:tcW w:w="2090" w:type="dxa"/>
          </w:tcPr>
          <w:p w14:paraId="0C109A99" w14:textId="77777777" w:rsidR="0073631C" w:rsidRDefault="0073631C" w:rsidP="00275C03">
            <w:r>
              <w:t>Adelaide, SA</w:t>
            </w:r>
          </w:p>
        </w:tc>
      </w:tr>
      <w:tr w:rsidR="0073631C" w:rsidRPr="00764534" w14:paraId="0B849CFB" w14:textId="77777777" w:rsidTr="00275C03">
        <w:tc>
          <w:tcPr>
            <w:tcW w:w="1242" w:type="dxa"/>
          </w:tcPr>
          <w:p w14:paraId="6467782D" w14:textId="77777777" w:rsidR="0073631C" w:rsidRPr="004D4DE5" w:rsidRDefault="0073631C" w:rsidP="00275C03">
            <w:r w:rsidRPr="004D4DE5">
              <w:t>20.10.14</w:t>
            </w:r>
          </w:p>
        </w:tc>
        <w:tc>
          <w:tcPr>
            <w:tcW w:w="5954" w:type="dxa"/>
          </w:tcPr>
          <w:p w14:paraId="707A41B8" w14:textId="77777777" w:rsidR="0073631C" w:rsidRPr="004D4DE5" w:rsidRDefault="0073631C" w:rsidP="00275C03">
            <w:r w:rsidRPr="004D4DE5">
              <w:t>National Children's Week Council Showcase event</w:t>
            </w:r>
          </w:p>
        </w:tc>
        <w:tc>
          <w:tcPr>
            <w:tcW w:w="2090" w:type="dxa"/>
          </w:tcPr>
          <w:p w14:paraId="1D3814D9" w14:textId="77777777" w:rsidR="0073631C" w:rsidRPr="004D4DE5" w:rsidRDefault="0073631C" w:rsidP="00275C03">
            <w:r w:rsidRPr="004D4DE5">
              <w:t>Canberra, ACT</w:t>
            </w:r>
          </w:p>
        </w:tc>
      </w:tr>
      <w:tr w:rsidR="0073631C" w:rsidRPr="00764534" w14:paraId="38D340F3" w14:textId="77777777" w:rsidTr="00275C03">
        <w:tc>
          <w:tcPr>
            <w:tcW w:w="1242" w:type="dxa"/>
          </w:tcPr>
          <w:p w14:paraId="7986FBFB" w14:textId="77777777" w:rsidR="0073631C" w:rsidRPr="00764534" w:rsidRDefault="0073631C" w:rsidP="00275C03">
            <w:r>
              <w:t>21.10.14</w:t>
            </w:r>
          </w:p>
        </w:tc>
        <w:tc>
          <w:tcPr>
            <w:tcW w:w="5954" w:type="dxa"/>
          </w:tcPr>
          <w:p w14:paraId="4A7DD23B" w14:textId="77777777" w:rsidR="0073631C" w:rsidRPr="00764534" w:rsidRDefault="0073631C" w:rsidP="00275C03">
            <w:r w:rsidRPr="001028FE">
              <w:t>2014 National Kidsafe Day</w:t>
            </w:r>
          </w:p>
        </w:tc>
        <w:tc>
          <w:tcPr>
            <w:tcW w:w="2090" w:type="dxa"/>
          </w:tcPr>
          <w:p w14:paraId="57F6F9A0" w14:textId="77777777" w:rsidR="0073631C" w:rsidRPr="00764534" w:rsidRDefault="0073631C" w:rsidP="00275C03">
            <w:r>
              <w:t>Sydney, NSW</w:t>
            </w:r>
          </w:p>
        </w:tc>
      </w:tr>
      <w:tr w:rsidR="0073631C" w:rsidRPr="00764534" w14:paraId="04543CDF" w14:textId="77777777" w:rsidTr="00275C03">
        <w:tc>
          <w:tcPr>
            <w:tcW w:w="1242" w:type="dxa"/>
          </w:tcPr>
          <w:p w14:paraId="1B6F6B3E" w14:textId="77777777" w:rsidR="0073631C" w:rsidRPr="00764534" w:rsidRDefault="0073631C" w:rsidP="00275C03">
            <w:r>
              <w:t>24.10.14</w:t>
            </w:r>
          </w:p>
        </w:tc>
        <w:tc>
          <w:tcPr>
            <w:tcW w:w="5954" w:type="dxa"/>
          </w:tcPr>
          <w:p w14:paraId="1C71EF82" w14:textId="31CBFA2E" w:rsidR="0073631C" w:rsidRPr="00764534" w:rsidRDefault="0077207A" w:rsidP="0077207A">
            <w:r>
              <w:t xml:space="preserve">Multicultural Youth Advocacy Network: </w:t>
            </w:r>
            <w:r w:rsidR="0073631C">
              <w:t>FUSE – N</w:t>
            </w:r>
            <w:r w:rsidR="0073631C" w:rsidRPr="00EC0403">
              <w:t xml:space="preserve">ational </w:t>
            </w:r>
            <w:r w:rsidR="0073631C">
              <w:t>Multicultural Youth S</w:t>
            </w:r>
            <w:r w:rsidR="0073631C" w:rsidRPr="00EC0403">
              <w:t>ummit</w:t>
            </w:r>
          </w:p>
        </w:tc>
        <w:tc>
          <w:tcPr>
            <w:tcW w:w="2090" w:type="dxa"/>
          </w:tcPr>
          <w:p w14:paraId="59FE1ABA" w14:textId="77777777" w:rsidR="0073631C" w:rsidRPr="00764534" w:rsidRDefault="0073631C" w:rsidP="00275C03">
            <w:r>
              <w:t>Sydney, NSW</w:t>
            </w:r>
          </w:p>
        </w:tc>
      </w:tr>
      <w:tr w:rsidR="0073631C" w:rsidRPr="00764534" w14:paraId="08870366" w14:textId="77777777" w:rsidTr="00275C03">
        <w:tc>
          <w:tcPr>
            <w:tcW w:w="1242" w:type="dxa"/>
          </w:tcPr>
          <w:p w14:paraId="2EAFEEAF" w14:textId="77777777" w:rsidR="0073631C" w:rsidRPr="00764534" w:rsidRDefault="0073631C" w:rsidP="00275C03">
            <w:r>
              <w:t>03.11.14</w:t>
            </w:r>
          </w:p>
        </w:tc>
        <w:tc>
          <w:tcPr>
            <w:tcW w:w="5954" w:type="dxa"/>
          </w:tcPr>
          <w:p w14:paraId="2E6487D7" w14:textId="77777777" w:rsidR="0073631C" w:rsidRPr="00EC0403" w:rsidRDefault="0073631C" w:rsidP="00275C03">
            <w:r w:rsidRPr="00EC0403">
              <w:rPr>
                <w:bCs/>
              </w:rPr>
              <w:t>Australian Youth Representative to the United Nations</w:t>
            </w:r>
            <w:r>
              <w:rPr>
                <w:bCs/>
              </w:rPr>
              <w:t xml:space="preserve"> Report Back L</w:t>
            </w:r>
            <w:r w:rsidRPr="00EC0403">
              <w:rPr>
                <w:bCs/>
              </w:rPr>
              <w:t>ecture</w:t>
            </w:r>
          </w:p>
        </w:tc>
        <w:tc>
          <w:tcPr>
            <w:tcW w:w="2090" w:type="dxa"/>
          </w:tcPr>
          <w:p w14:paraId="61BC1BE5" w14:textId="77777777" w:rsidR="0073631C" w:rsidRPr="00764534" w:rsidRDefault="0073631C" w:rsidP="00275C03">
            <w:r>
              <w:t>Sydney, NSW</w:t>
            </w:r>
          </w:p>
        </w:tc>
      </w:tr>
      <w:tr w:rsidR="0073631C" w:rsidRPr="00764534" w14:paraId="26A8D05B" w14:textId="77777777" w:rsidTr="00275C03">
        <w:tc>
          <w:tcPr>
            <w:tcW w:w="1242" w:type="dxa"/>
          </w:tcPr>
          <w:p w14:paraId="3E9A266A" w14:textId="77777777" w:rsidR="0073631C" w:rsidRPr="00764534" w:rsidRDefault="0073631C" w:rsidP="00275C03">
            <w:r>
              <w:t>06.11.14</w:t>
            </w:r>
          </w:p>
        </w:tc>
        <w:tc>
          <w:tcPr>
            <w:tcW w:w="5954" w:type="dxa"/>
          </w:tcPr>
          <w:p w14:paraId="3AC0797D" w14:textId="20DA27E6" w:rsidR="0073631C" w:rsidRPr="00764534" w:rsidRDefault="006E7973" w:rsidP="00275C03">
            <w:r>
              <w:t xml:space="preserve">FRSA </w:t>
            </w:r>
            <w:r w:rsidR="0073631C" w:rsidRPr="00EC0403">
              <w:t>Wellbeing of Children, Families and Communities – Futu</w:t>
            </w:r>
            <w:r w:rsidR="0073631C">
              <w:t>re Policy, Program and Practice</w:t>
            </w:r>
            <w:r>
              <w:t xml:space="preserve"> Conference</w:t>
            </w:r>
          </w:p>
        </w:tc>
        <w:tc>
          <w:tcPr>
            <w:tcW w:w="2090" w:type="dxa"/>
          </w:tcPr>
          <w:p w14:paraId="0501871B" w14:textId="77777777" w:rsidR="0073631C" w:rsidRPr="00764534" w:rsidRDefault="0073631C" w:rsidP="00275C03">
            <w:r>
              <w:t>Adelaide, SA</w:t>
            </w:r>
          </w:p>
        </w:tc>
      </w:tr>
      <w:tr w:rsidR="0073631C" w:rsidRPr="00764534" w14:paraId="7808F82E" w14:textId="77777777" w:rsidTr="00275C03">
        <w:tc>
          <w:tcPr>
            <w:tcW w:w="1242" w:type="dxa"/>
          </w:tcPr>
          <w:p w14:paraId="354DF9B8" w14:textId="77777777" w:rsidR="0073631C" w:rsidRPr="00764534" w:rsidRDefault="0073631C" w:rsidP="00275C03">
            <w:r>
              <w:t>19.11.14</w:t>
            </w:r>
          </w:p>
        </w:tc>
        <w:tc>
          <w:tcPr>
            <w:tcW w:w="5954" w:type="dxa"/>
          </w:tcPr>
          <w:p w14:paraId="0B71C656" w14:textId="325CE656" w:rsidR="0073631C" w:rsidRPr="00764534" w:rsidRDefault="0073631C" w:rsidP="00267D4E">
            <w:r w:rsidRPr="00A60368">
              <w:t>Early Childhood Association Victorian Branch</w:t>
            </w:r>
            <w:r>
              <w:t xml:space="preserve">, </w:t>
            </w:r>
            <w:r w:rsidRPr="00A60368">
              <w:t>Annual General Meeting</w:t>
            </w:r>
          </w:p>
        </w:tc>
        <w:tc>
          <w:tcPr>
            <w:tcW w:w="2090" w:type="dxa"/>
          </w:tcPr>
          <w:p w14:paraId="26D29774" w14:textId="77777777" w:rsidR="0073631C" w:rsidRPr="00764534" w:rsidRDefault="0073631C" w:rsidP="00275C03">
            <w:r>
              <w:t>Melbourne, VIC</w:t>
            </w:r>
          </w:p>
        </w:tc>
      </w:tr>
      <w:tr w:rsidR="0073631C" w:rsidRPr="00764534" w14:paraId="76EBB3D9" w14:textId="77777777" w:rsidTr="00275C03">
        <w:tc>
          <w:tcPr>
            <w:tcW w:w="1242" w:type="dxa"/>
          </w:tcPr>
          <w:p w14:paraId="0B260203" w14:textId="77777777" w:rsidR="0073631C" w:rsidRPr="00764534" w:rsidRDefault="0073631C" w:rsidP="00275C03">
            <w:r>
              <w:t>25.11.14</w:t>
            </w:r>
          </w:p>
        </w:tc>
        <w:tc>
          <w:tcPr>
            <w:tcW w:w="5954" w:type="dxa"/>
          </w:tcPr>
          <w:p w14:paraId="4C27E5F6" w14:textId="4E83BFED" w:rsidR="0073631C" w:rsidRPr="00764534" w:rsidRDefault="0073631C" w:rsidP="00267D4E">
            <w:r w:rsidRPr="00A60368">
              <w:t>Ethnic Child Care, Family and Comm</w:t>
            </w:r>
            <w:r>
              <w:t>unity Services Co-operative</w:t>
            </w:r>
            <w:r w:rsidR="00C04F73">
              <w:t>,</w:t>
            </w:r>
            <w:r>
              <w:t xml:space="preserve"> </w:t>
            </w:r>
            <w:r w:rsidRPr="00A60368">
              <w:t>3</w:t>
            </w:r>
            <w:r w:rsidR="00267D4E">
              <w:t xml:space="preserve">5th </w:t>
            </w:r>
            <w:r>
              <w:t>Anniversary and Annual General Meeting</w:t>
            </w:r>
          </w:p>
        </w:tc>
        <w:tc>
          <w:tcPr>
            <w:tcW w:w="2090" w:type="dxa"/>
          </w:tcPr>
          <w:p w14:paraId="31ADE30A" w14:textId="77777777" w:rsidR="0073631C" w:rsidRPr="00764534" w:rsidRDefault="0073631C" w:rsidP="00275C03">
            <w:r>
              <w:t>Sydney, NSW</w:t>
            </w:r>
          </w:p>
        </w:tc>
      </w:tr>
      <w:tr w:rsidR="0073631C" w:rsidRPr="00764534" w14:paraId="5758D187" w14:textId="77777777" w:rsidTr="00275C03">
        <w:tc>
          <w:tcPr>
            <w:tcW w:w="1242" w:type="dxa"/>
          </w:tcPr>
          <w:p w14:paraId="4B5F7508" w14:textId="77777777" w:rsidR="0073631C" w:rsidRPr="00764534" w:rsidRDefault="0073631C" w:rsidP="00275C03">
            <w:r>
              <w:t>28.11.14</w:t>
            </w:r>
          </w:p>
        </w:tc>
        <w:tc>
          <w:tcPr>
            <w:tcW w:w="5954" w:type="dxa"/>
          </w:tcPr>
          <w:p w14:paraId="28198EA5" w14:textId="3546A7E9" w:rsidR="0073631C" w:rsidRPr="00764534" w:rsidRDefault="0073631C" w:rsidP="00267D4E">
            <w:r w:rsidRPr="003F36F2">
              <w:t>Australian Injury Prevention Network</w:t>
            </w:r>
            <w:r w:rsidR="00267D4E">
              <w:t xml:space="preserve"> -</w:t>
            </w:r>
            <w:r>
              <w:t xml:space="preserve"> </w:t>
            </w:r>
            <w:r w:rsidRPr="00A60368">
              <w:t>Injury Prevention in Aboriginal and Torres Strait Islander People: Prevention Across the Lifespan</w:t>
            </w:r>
          </w:p>
        </w:tc>
        <w:tc>
          <w:tcPr>
            <w:tcW w:w="2090" w:type="dxa"/>
          </w:tcPr>
          <w:p w14:paraId="77822881" w14:textId="77777777" w:rsidR="0073631C" w:rsidRPr="00764534" w:rsidRDefault="0073631C" w:rsidP="00275C03">
            <w:r>
              <w:t>Sydney, NSW</w:t>
            </w:r>
          </w:p>
        </w:tc>
      </w:tr>
      <w:tr w:rsidR="0073631C" w:rsidRPr="00764534" w14:paraId="79FD6207" w14:textId="77777777" w:rsidTr="00275C03">
        <w:tc>
          <w:tcPr>
            <w:tcW w:w="1242" w:type="dxa"/>
          </w:tcPr>
          <w:p w14:paraId="056AFAD8" w14:textId="284785E1" w:rsidR="0073631C" w:rsidRDefault="00267D4E" w:rsidP="00275C03">
            <w:r>
              <w:t>11.02.1</w:t>
            </w:r>
            <w:r w:rsidR="0073631C" w:rsidRPr="00F76D89">
              <w:t>5</w:t>
            </w:r>
          </w:p>
        </w:tc>
        <w:tc>
          <w:tcPr>
            <w:tcW w:w="5954" w:type="dxa"/>
          </w:tcPr>
          <w:p w14:paraId="7425D8ED" w14:textId="07AAD5F7" w:rsidR="0073631C" w:rsidRPr="00A20E68" w:rsidRDefault="0073631C" w:rsidP="00267D4E">
            <w:pPr>
              <w:rPr>
                <w:i/>
                <w:iCs/>
                <w:lang w:val="en-US"/>
              </w:rPr>
            </w:pPr>
            <w:r w:rsidRPr="00A20E68">
              <w:rPr>
                <w:lang w:val="en-US"/>
              </w:rPr>
              <w:t>APS Human Rights Network</w:t>
            </w:r>
            <w:r w:rsidR="00267D4E">
              <w:rPr>
                <w:lang w:val="en-US"/>
              </w:rPr>
              <w:t xml:space="preserve"> </w:t>
            </w:r>
            <w:r>
              <w:rPr>
                <w:lang w:val="en-US"/>
              </w:rPr>
              <w:t xml:space="preserve">: </w:t>
            </w:r>
            <w:r w:rsidRPr="00A20E68">
              <w:rPr>
                <w:iCs/>
                <w:lang w:val="en-US"/>
              </w:rPr>
              <w:t>How the public service can champion child rights</w:t>
            </w:r>
          </w:p>
        </w:tc>
        <w:tc>
          <w:tcPr>
            <w:tcW w:w="2090" w:type="dxa"/>
          </w:tcPr>
          <w:p w14:paraId="6AFFFF98" w14:textId="77777777" w:rsidR="0073631C" w:rsidRDefault="0073631C" w:rsidP="00275C03">
            <w:r>
              <w:t>Sydney, NSW</w:t>
            </w:r>
          </w:p>
        </w:tc>
      </w:tr>
      <w:tr w:rsidR="0073631C" w:rsidRPr="00764534" w14:paraId="5CBE25C9" w14:textId="77777777" w:rsidTr="00275C03">
        <w:tc>
          <w:tcPr>
            <w:tcW w:w="1242" w:type="dxa"/>
          </w:tcPr>
          <w:p w14:paraId="08A69178" w14:textId="77777777" w:rsidR="0073631C" w:rsidRPr="00764534" w:rsidRDefault="0073631C" w:rsidP="00275C03">
            <w:r>
              <w:t>25.02.15</w:t>
            </w:r>
          </w:p>
        </w:tc>
        <w:tc>
          <w:tcPr>
            <w:tcW w:w="5954" w:type="dxa"/>
          </w:tcPr>
          <w:p w14:paraId="792763DC" w14:textId="77777777" w:rsidR="0073631C" w:rsidRPr="00764534" w:rsidRDefault="0073631C" w:rsidP="00275C03">
            <w:r w:rsidRPr="004D4DE5">
              <w:rPr>
                <w:rFonts w:cs="Arial"/>
              </w:rPr>
              <w:t>Complaint Handlers’ Information Sharing and Liaison (CHISaL) Seminar</w:t>
            </w:r>
            <w:r>
              <w:t xml:space="preserve">: </w:t>
            </w:r>
            <w:r w:rsidRPr="0086306F">
              <w:t>Children and</w:t>
            </w:r>
            <w:r>
              <w:t xml:space="preserve"> Young People as Complainants </w:t>
            </w:r>
          </w:p>
        </w:tc>
        <w:tc>
          <w:tcPr>
            <w:tcW w:w="2090" w:type="dxa"/>
          </w:tcPr>
          <w:p w14:paraId="772EE2C2" w14:textId="77777777" w:rsidR="0073631C" w:rsidRPr="00764534" w:rsidRDefault="0073631C" w:rsidP="00275C03">
            <w:r>
              <w:t>Sydney, NSW</w:t>
            </w:r>
          </w:p>
        </w:tc>
      </w:tr>
      <w:tr w:rsidR="0073631C" w:rsidRPr="00764534" w14:paraId="39CFB502" w14:textId="77777777" w:rsidTr="00275C03">
        <w:tc>
          <w:tcPr>
            <w:tcW w:w="1242" w:type="dxa"/>
          </w:tcPr>
          <w:p w14:paraId="05BC6CDC" w14:textId="77777777" w:rsidR="0073631C" w:rsidRPr="00764534" w:rsidRDefault="0073631C" w:rsidP="00275C03">
            <w:r>
              <w:lastRenderedPageBreak/>
              <w:t>02.03.15</w:t>
            </w:r>
          </w:p>
        </w:tc>
        <w:tc>
          <w:tcPr>
            <w:tcW w:w="5954" w:type="dxa"/>
          </w:tcPr>
          <w:p w14:paraId="28A8E96C" w14:textId="6A533563" w:rsidR="0073631C" w:rsidRPr="00764534" w:rsidRDefault="0073631C" w:rsidP="00275C03">
            <w:r w:rsidRPr="0086306F">
              <w:t>Coalition Backbench Legal Affairs Committee</w:t>
            </w:r>
            <w:r>
              <w:t>: presentation on</w:t>
            </w:r>
            <w:r w:rsidR="007469A7">
              <w:t xml:space="preserve"> the</w:t>
            </w:r>
            <w:r>
              <w:t xml:space="preserve"> Family Law System</w:t>
            </w:r>
          </w:p>
        </w:tc>
        <w:tc>
          <w:tcPr>
            <w:tcW w:w="2090" w:type="dxa"/>
          </w:tcPr>
          <w:p w14:paraId="730FA23B" w14:textId="77777777" w:rsidR="0073631C" w:rsidRPr="00764534" w:rsidRDefault="0073631C" w:rsidP="00275C03">
            <w:r>
              <w:t>Canberra, ACT</w:t>
            </w:r>
          </w:p>
        </w:tc>
      </w:tr>
      <w:tr w:rsidR="0073631C" w:rsidRPr="00764534" w14:paraId="5B88851E" w14:textId="77777777" w:rsidTr="00275C03">
        <w:tc>
          <w:tcPr>
            <w:tcW w:w="1242" w:type="dxa"/>
          </w:tcPr>
          <w:p w14:paraId="705FE610" w14:textId="77777777" w:rsidR="0073631C" w:rsidRPr="00764534" w:rsidRDefault="0073631C" w:rsidP="00275C03">
            <w:r>
              <w:t>05.03.15</w:t>
            </w:r>
          </w:p>
        </w:tc>
        <w:tc>
          <w:tcPr>
            <w:tcW w:w="5954" w:type="dxa"/>
          </w:tcPr>
          <w:p w14:paraId="2A09F9F0" w14:textId="77777777" w:rsidR="0073631C" w:rsidRPr="00764534" w:rsidRDefault="0073631C" w:rsidP="00275C03">
            <w:r w:rsidRPr="0086306F">
              <w:t>Bathurst Child and Family Network</w:t>
            </w:r>
            <w:r>
              <w:t>:</w:t>
            </w:r>
            <w:r w:rsidRPr="0086306F">
              <w:rPr>
                <w:sz w:val="23"/>
                <w:szCs w:val="23"/>
              </w:rPr>
              <w:t xml:space="preserve"> </w:t>
            </w:r>
            <w:r w:rsidRPr="0086306F">
              <w:t>Big Banter – our children</w:t>
            </w:r>
            <w:r>
              <w:t>,</w:t>
            </w:r>
            <w:r w:rsidRPr="0086306F">
              <w:t xml:space="preserve"> their future</w:t>
            </w:r>
          </w:p>
        </w:tc>
        <w:tc>
          <w:tcPr>
            <w:tcW w:w="2090" w:type="dxa"/>
          </w:tcPr>
          <w:p w14:paraId="5BC6250F" w14:textId="77777777" w:rsidR="0073631C" w:rsidRPr="00764534" w:rsidRDefault="0073631C" w:rsidP="00275C03">
            <w:r>
              <w:t>Bathurst, NSW</w:t>
            </w:r>
          </w:p>
        </w:tc>
      </w:tr>
      <w:tr w:rsidR="0073631C" w:rsidRPr="00764534" w14:paraId="5F56EEA6" w14:textId="77777777" w:rsidTr="00275C03">
        <w:tc>
          <w:tcPr>
            <w:tcW w:w="1242" w:type="dxa"/>
          </w:tcPr>
          <w:p w14:paraId="1F67B37B" w14:textId="77777777" w:rsidR="0073631C" w:rsidRPr="00764534" w:rsidRDefault="0073631C" w:rsidP="00275C03">
            <w:r>
              <w:t>21.03.15</w:t>
            </w:r>
          </w:p>
        </w:tc>
        <w:tc>
          <w:tcPr>
            <w:tcW w:w="5954" w:type="dxa"/>
          </w:tcPr>
          <w:p w14:paraId="685D3884" w14:textId="77777777" w:rsidR="0073631C" w:rsidRPr="00764534" w:rsidRDefault="0073631C" w:rsidP="00275C03">
            <w:r w:rsidRPr="00FB214C">
              <w:t>YMCA 2015 National Children’s Services Conference</w:t>
            </w:r>
          </w:p>
        </w:tc>
        <w:tc>
          <w:tcPr>
            <w:tcW w:w="2090" w:type="dxa"/>
          </w:tcPr>
          <w:p w14:paraId="5B4E210E" w14:textId="77777777" w:rsidR="0073631C" w:rsidRPr="00764534" w:rsidRDefault="0073631C" w:rsidP="00275C03">
            <w:r>
              <w:t>Melbourne, VIC</w:t>
            </w:r>
          </w:p>
        </w:tc>
      </w:tr>
      <w:tr w:rsidR="0073631C" w:rsidRPr="00764534" w14:paraId="2C483CEA" w14:textId="77777777" w:rsidTr="00275C03">
        <w:tc>
          <w:tcPr>
            <w:tcW w:w="1242" w:type="dxa"/>
          </w:tcPr>
          <w:p w14:paraId="250E4AF8" w14:textId="77777777" w:rsidR="0073631C" w:rsidRPr="007469A7" w:rsidRDefault="0073631C" w:rsidP="00275C03">
            <w:r w:rsidRPr="007469A7">
              <w:t>27.03.15</w:t>
            </w:r>
          </w:p>
        </w:tc>
        <w:tc>
          <w:tcPr>
            <w:tcW w:w="5954" w:type="dxa"/>
          </w:tcPr>
          <w:p w14:paraId="305EDED1" w14:textId="4E2F43A5" w:rsidR="0073631C" w:rsidRPr="007469A7" w:rsidRDefault="0073631C" w:rsidP="007469A7">
            <w:r w:rsidRPr="007469A7">
              <w:t xml:space="preserve">Australian and New Zealand Child Death Review and Prevention Group Annual Meeting (Manager </w:t>
            </w:r>
            <w:r w:rsidR="007469A7" w:rsidRPr="007469A7">
              <w:t xml:space="preserve">of the </w:t>
            </w:r>
            <w:r w:rsidRPr="007469A7">
              <w:t xml:space="preserve">Monitoring and </w:t>
            </w:r>
            <w:r w:rsidR="007469A7" w:rsidRPr="007469A7">
              <w:t xml:space="preserve">Reporting Team </w:t>
            </w:r>
            <w:r w:rsidRPr="007469A7">
              <w:t>at Australian Human Rights Commission attended on behalf of the Commissioner)</w:t>
            </w:r>
          </w:p>
        </w:tc>
        <w:tc>
          <w:tcPr>
            <w:tcW w:w="2090" w:type="dxa"/>
          </w:tcPr>
          <w:p w14:paraId="4296BFC8" w14:textId="77777777" w:rsidR="0073631C" w:rsidRDefault="0073631C" w:rsidP="00275C03">
            <w:r w:rsidRPr="007469A7">
              <w:t>Melbourne, VIC</w:t>
            </w:r>
          </w:p>
        </w:tc>
      </w:tr>
      <w:tr w:rsidR="0073631C" w:rsidRPr="00764534" w14:paraId="3C615DFD" w14:textId="77777777" w:rsidTr="00275C03">
        <w:tc>
          <w:tcPr>
            <w:tcW w:w="1242" w:type="dxa"/>
          </w:tcPr>
          <w:p w14:paraId="6A55AE01" w14:textId="77777777" w:rsidR="0073631C" w:rsidRPr="00764534" w:rsidRDefault="0073631C" w:rsidP="00275C03">
            <w:r>
              <w:t>31.03.15</w:t>
            </w:r>
          </w:p>
        </w:tc>
        <w:tc>
          <w:tcPr>
            <w:tcW w:w="5954" w:type="dxa"/>
          </w:tcPr>
          <w:p w14:paraId="740143C3" w14:textId="77777777" w:rsidR="0073631C" w:rsidRPr="00764534" w:rsidRDefault="0073631C" w:rsidP="00275C03">
            <w:r w:rsidRPr="00B60C98">
              <w:t>Early Childhood Australia</w:t>
            </w:r>
            <w:r>
              <w:t>: Statement of Intent Launch</w:t>
            </w:r>
          </w:p>
        </w:tc>
        <w:tc>
          <w:tcPr>
            <w:tcW w:w="2090" w:type="dxa"/>
          </w:tcPr>
          <w:p w14:paraId="6F918327" w14:textId="77777777" w:rsidR="0073631C" w:rsidRPr="00764534" w:rsidRDefault="0073631C" w:rsidP="00275C03">
            <w:r>
              <w:t>Brisbane, QLD</w:t>
            </w:r>
          </w:p>
        </w:tc>
      </w:tr>
      <w:tr w:rsidR="0073631C" w:rsidRPr="00764534" w14:paraId="249E5698" w14:textId="77777777" w:rsidTr="00275C03">
        <w:tc>
          <w:tcPr>
            <w:tcW w:w="1242" w:type="dxa"/>
          </w:tcPr>
          <w:p w14:paraId="7E5F7F42" w14:textId="77777777" w:rsidR="0073631C" w:rsidRPr="00764534" w:rsidRDefault="0073631C" w:rsidP="00275C03">
            <w:r>
              <w:t>15.04.15</w:t>
            </w:r>
          </w:p>
        </w:tc>
        <w:tc>
          <w:tcPr>
            <w:tcW w:w="5954" w:type="dxa"/>
          </w:tcPr>
          <w:p w14:paraId="30A20AB4" w14:textId="77777777" w:rsidR="0073631C" w:rsidRPr="00764534" w:rsidRDefault="0073631C" w:rsidP="00275C03">
            <w:r>
              <w:t>Save the Children Australia. Speak out for Change: Youth Voices on Youth Issues Summit</w:t>
            </w:r>
          </w:p>
        </w:tc>
        <w:tc>
          <w:tcPr>
            <w:tcW w:w="2090" w:type="dxa"/>
          </w:tcPr>
          <w:p w14:paraId="53815B74" w14:textId="77777777" w:rsidR="0073631C" w:rsidRPr="00764534" w:rsidRDefault="0073631C" w:rsidP="00275C03">
            <w:r>
              <w:t>Perth, WA</w:t>
            </w:r>
          </w:p>
        </w:tc>
      </w:tr>
      <w:tr w:rsidR="0073631C" w:rsidRPr="00764534" w14:paraId="1DFCE8D0" w14:textId="77777777" w:rsidTr="00275C03">
        <w:tc>
          <w:tcPr>
            <w:tcW w:w="1242" w:type="dxa"/>
          </w:tcPr>
          <w:p w14:paraId="696CDCCF" w14:textId="77777777" w:rsidR="0073631C" w:rsidRPr="00764534" w:rsidRDefault="0073631C" w:rsidP="00275C03">
            <w:r>
              <w:t>20.04.15</w:t>
            </w:r>
          </w:p>
        </w:tc>
        <w:tc>
          <w:tcPr>
            <w:tcW w:w="5954" w:type="dxa"/>
          </w:tcPr>
          <w:p w14:paraId="105FD801" w14:textId="77777777" w:rsidR="0073631C" w:rsidRPr="00764534" w:rsidRDefault="0073631C" w:rsidP="00275C03">
            <w:r>
              <w:t>Kids Helpline: Insight Report Launch</w:t>
            </w:r>
          </w:p>
        </w:tc>
        <w:tc>
          <w:tcPr>
            <w:tcW w:w="2090" w:type="dxa"/>
          </w:tcPr>
          <w:p w14:paraId="47EE59EE" w14:textId="77777777" w:rsidR="0073631C" w:rsidRPr="00764534" w:rsidRDefault="0073631C" w:rsidP="00275C03">
            <w:r>
              <w:t>Sydney, NSW</w:t>
            </w:r>
          </w:p>
        </w:tc>
      </w:tr>
      <w:tr w:rsidR="0073631C" w:rsidRPr="00764534" w14:paraId="3B5DD6F2" w14:textId="77777777" w:rsidTr="00275C03">
        <w:tc>
          <w:tcPr>
            <w:tcW w:w="1242" w:type="dxa"/>
          </w:tcPr>
          <w:p w14:paraId="0A7C35E1" w14:textId="77777777" w:rsidR="0073631C" w:rsidRPr="00764534" w:rsidRDefault="0073631C" w:rsidP="00275C03">
            <w:r>
              <w:t>01.05.15</w:t>
            </w:r>
          </w:p>
        </w:tc>
        <w:tc>
          <w:tcPr>
            <w:tcW w:w="5954" w:type="dxa"/>
          </w:tcPr>
          <w:p w14:paraId="5A2BA2B2" w14:textId="77777777" w:rsidR="0073631C" w:rsidRPr="00764534" w:rsidRDefault="0073631C" w:rsidP="00275C03">
            <w:r w:rsidRPr="00883ADB">
              <w:t>Bui</w:t>
            </w:r>
            <w:r>
              <w:t xml:space="preserve">lding Bridges Conference 2015: </w:t>
            </w:r>
            <w:r w:rsidRPr="00883ADB">
              <w:t>Resilience, Risk Taking and Responsibility – The shared responsibilities in supporting calculated, thoughtful r</w:t>
            </w:r>
            <w:r>
              <w:t>isk-taking to foster resilience</w:t>
            </w:r>
          </w:p>
        </w:tc>
        <w:tc>
          <w:tcPr>
            <w:tcW w:w="2090" w:type="dxa"/>
          </w:tcPr>
          <w:p w14:paraId="570D7C13" w14:textId="77777777" w:rsidR="0073631C" w:rsidRPr="00764534" w:rsidRDefault="0073631C" w:rsidP="00275C03">
            <w:r>
              <w:t>Wodonga, VIC</w:t>
            </w:r>
          </w:p>
        </w:tc>
      </w:tr>
      <w:tr w:rsidR="0073631C" w:rsidRPr="00764534" w14:paraId="334B3600" w14:textId="77777777" w:rsidTr="00275C03">
        <w:tc>
          <w:tcPr>
            <w:tcW w:w="1242" w:type="dxa"/>
          </w:tcPr>
          <w:p w14:paraId="1A0BC6ED" w14:textId="77777777" w:rsidR="0073631C" w:rsidRPr="00764534" w:rsidRDefault="0073631C" w:rsidP="00275C03">
            <w:r>
              <w:t>15.05.15</w:t>
            </w:r>
          </w:p>
        </w:tc>
        <w:tc>
          <w:tcPr>
            <w:tcW w:w="5954" w:type="dxa"/>
          </w:tcPr>
          <w:p w14:paraId="50DB30BD" w14:textId="77777777" w:rsidR="0073631C" w:rsidRPr="00764534" w:rsidRDefault="0073631C" w:rsidP="00275C03">
            <w:r w:rsidRPr="00FE78A8">
              <w:t>Grandparents Victoria and Kinship Carers Victoria</w:t>
            </w:r>
            <w:r>
              <w:t xml:space="preserve">: </w:t>
            </w:r>
            <w:r w:rsidRPr="00FE78A8">
              <w:t>Celebrating Grandparents as kinship carers</w:t>
            </w:r>
          </w:p>
        </w:tc>
        <w:tc>
          <w:tcPr>
            <w:tcW w:w="2090" w:type="dxa"/>
          </w:tcPr>
          <w:p w14:paraId="03E996CF" w14:textId="77777777" w:rsidR="0073631C" w:rsidRPr="00764534" w:rsidRDefault="0073631C" w:rsidP="00275C03">
            <w:r>
              <w:t>Melbourne, VIC</w:t>
            </w:r>
          </w:p>
        </w:tc>
      </w:tr>
      <w:tr w:rsidR="0073631C" w:rsidRPr="00764534" w14:paraId="6C33FAB0" w14:textId="77777777" w:rsidTr="00275C03">
        <w:tc>
          <w:tcPr>
            <w:tcW w:w="1242" w:type="dxa"/>
          </w:tcPr>
          <w:p w14:paraId="67637DAE" w14:textId="77777777" w:rsidR="0073631C" w:rsidRPr="00764534" w:rsidRDefault="0073631C" w:rsidP="00275C03">
            <w:r>
              <w:t>18.05.15</w:t>
            </w:r>
          </w:p>
        </w:tc>
        <w:tc>
          <w:tcPr>
            <w:tcW w:w="5954" w:type="dxa"/>
          </w:tcPr>
          <w:p w14:paraId="6ED97AB0" w14:textId="12E42250" w:rsidR="0073631C" w:rsidRPr="00764534" w:rsidRDefault="0077207A" w:rsidP="00275C03">
            <w:r>
              <w:t xml:space="preserve">Families Australia: </w:t>
            </w:r>
            <w:r w:rsidR="0073631C" w:rsidRPr="00FE78A8">
              <w:t>Child Aware Approaches Conference 2015</w:t>
            </w:r>
          </w:p>
        </w:tc>
        <w:tc>
          <w:tcPr>
            <w:tcW w:w="2090" w:type="dxa"/>
          </w:tcPr>
          <w:p w14:paraId="2844A328" w14:textId="77777777" w:rsidR="0073631C" w:rsidRPr="00764534" w:rsidRDefault="0073631C" w:rsidP="00275C03">
            <w:r>
              <w:t>Melbourne, VIC</w:t>
            </w:r>
          </w:p>
        </w:tc>
      </w:tr>
      <w:tr w:rsidR="0073631C" w:rsidRPr="00764534" w14:paraId="2388B632" w14:textId="77777777" w:rsidTr="00275C03">
        <w:tc>
          <w:tcPr>
            <w:tcW w:w="1242" w:type="dxa"/>
          </w:tcPr>
          <w:p w14:paraId="212524E1" w14:textId="77777777" w:rsidR="0073631C" w:rsidRDefault="0073631C" w:rsidP="00275C03">
            <w:r>
              <w:t>23.05.15</w:t>
            </w:r>
          </w:p>
        </w:tc>
        <w:tc>
          <w:tcPr>
            <w:tcW w:w="5954" w:type="dxa"/>
          </w:tcPr>
          <w:p w14:paraId="290497CB" w14:textId="77777777" w:rsidR="0073631C" w:rsidRPr="00FE78A8" w:rsidRDefault="0073631C" w:rsidP="00275C03">
            <w:r w:rsidRPr="00FE78A8">
              <w:t>Network of Community Activities</w:t>
            </w:r>
            <w:r>
              <w:t xml:space="preserve">: </w:t>
            </w:r>
            <w:r w:rsidRPr="00FE78A8">
              <w:t>Enriching Childhood Conference</w:t>
            </w:r>
            <w:r>
              <w:t xml:space="preserve"> 2015</w:t>
            </w:r>
          </w:p>
        </w:tc>
        <w:tc>
          <w:tcPr>
            <w:tcW w:w="2090" w:type="dxa"/>
          </w:tcPr>
          <w:p w14:paraId="3040083C" w14:textId="77777777" w:rsidR="0073631C" w:rsidRDefault="0073631C" w:rsidP="00275C03">
            <w:r>
              <w:t>Sydney, NSW</w:t>
            </w:r>
          </w:p>
        </w:tc>
      </w:tr>
      <w:tr w:rsidR="0073631C" w:rsidRPr="00764534" w14:paraId="72C95747" w14:textId="77777777" w:rsidTr="00275C03">
        <w:tc>
          <w:tcPr>
            <w:tcW w:w="1242" w:type="dxa"/>
          </w:tcPr>
          <w:p w14:paraId="4EC2722E" w14:textId="77777777" w:rsidR="0073631C" w:rsidRDefault="0073631C" w:rsidP="00275C03">
            <w:r>
              <w:t>29.05.15</w:t>
            </w:r>
          </w:p>
        </w:tc>
        <w:tc>
          <w:tcPr>
            <w:tcW w:w="5954" w:type="dxa"/>
          </w:tcPr>
          <w:p w14:paraId="14A33CA2" w14:textId="77777777" w:rsidR="0073631C" w:rsidRPr="00FE78A8" w:rsidRDefault="0073631C" w:rsidP="00275C03">
            <w:r w:rsidRPr="00FE78A8">
              <w:t>Settlement Services International</w:t>
            </w:r>
            <w:r>
              <w:t xml:space="preserve">: </w:t>
            </w:r>
            <w:r w:rsidRPr="002D0A2B">
              <w:rPr>
                <w:iCs/>
              </w:rPr>
              <w:t>Caring for Children</w:t>
            </w:r>
            <w:r>
              <w:rPr>
                <w:iCs/>
              </w:rPr>
              <w:t xml:space="preserve"> booklet launch</w:t>
            </w:r>
          </w:p>
        </w:tc>
        <w:tc>
          <w:tcPr>
            <w:tcW w:w="2090" w:type="dxa"/>
          </w:tcPr>
          <w:p w14:paraId="5559D83C" w14:textId="77777777" w:rsidR="0073631C" w:rsidRDefault="0073631C" w:rsidP="00275C03">
            <w:r>
              <w:t>Sydney, NSW</w:t>
            </w:r>
          </w:p>
        </w:tc>
      </w:tr>
    </w:tbl>
    <w:p w14:paraId="5AFEBAEA" w14:textId="015A9C15" w:rsidR="0073631C" w:rsidRDefault="0073631C" w:rsidP="0073631C">
      <w:pPr>
        <w:pStyle w:val="Heading2"/>
        <w:numPr>
          <w:ilvl w:val="0"/>
          <w:numId w:val="0"/>
        </w:numPr>
        <w:ind w:left="851" w:hanging="851"/>
      </w:pPr>
      <w:bookmarkStart w:id="219" w:name="_Toc432577333"/>
      <w:r>
        <w:lastRenderedPageBreak/>
        <w:t xml:space="preserve">Appendix 2: Face to face meetings and </w:t>
      </w:r>
      <w:r w:rsidRPr="0073631C">
        <w:t>teleconferences about issues affecting children and young people</w:t>
      </w:r>
      <w:bookmarkEnd w:id="219"/>
    </w:p>
    <w:tbl>
      <w:tblPr>
        <w:tblStyle w:val="TableGrid"/>
        <w:tblW w:w="0" w:type="auto"/>
        <w:tblLook w:val="04A0" w:firstRow="1" w:lastRow="0" w:firstColumn="1" w:lastColumn="0" w:noHBand="0" w:noVBand="1"/>
      </w:tblPr>
      <w:tblGrid>
        <w:gridCol w:w="1242"/>
        <w:gridCol w:w="5954"/>
        <w:gridCol w:w="2090"/>
      </w:tblGrid>
      <w:tr w:rsidR="00275C03" w:rsidRPr="0037585C" w14:paraId="7EB8D75D" w14:textId="77777777" w:rsidTr="00275C03">
        <w:tc>
          <w:tcPr>
            <w:tcW w:w="1242" w:type="dxa"/>
          </w:tcPr>
          <w:p w14:paraId="1FEF43D5" w14:textId="77777777" w:rsidR="00275C03" w:rsidRPr="0037585C" w:rsidRDefault="00275C03" w:rsidP="00275C03">
            <w:pPr>
              <w:rPr>
                <w:b/>
              </w:rPr>
            </w:pPr>
            <w:r w:rsidRPr="0037585C">
              <w:rPr>
                <w:b/>
              </w:rPr>
              <w:t>Date</w:t>
            </w:r>
          </w:p>
        </w:tc>
        <w:tc>
          <w:tcPr>
            <w:tcW w:w="5954" w:type="dxa"/>
          </w:tcPr>
          <w:p w14:paraId="390A0CC9" w14:textId="77777777" w:rsidR="00275C03" w:rsidRPr="0037585C" w:rsidRDefault="00275C03" w:rsidP="00275C03">
            <w:pPr>
              <w:rPr>
                <w:b/>
              </w:rPr>
            </w:pPr>
            <w:r w:rsidRPr="0037585C">
              <w:rPr>
                <w:b/>
              </w:rPr>
              <w:t>Meeting</w:t>
            </w:r>
          </w:p>
        </w:tc>
        <w:tc>
          <w:tcPr>
            <w:tcW w:w="2090" w:type="dxa"/>
          </w:tcPr>
          <w:p w14:paraId="51993CA8" w14:textId="77777777" w:rsidR="00275C03" w:rsidRPr="0037585C" w:rsidRDefault="00275C03" w:rsidP="00275C03">
            <w:pPr>
              <w:rPr>
                <w:b/>
              </w:rPr>
            </w:pPr>
            <w:r w:rsidRPr="0037585C">
              <w:rPr>
                <w:b/>
              </w:rPr>
              <w:t>Location</w:t>
            </w:r>
          </w:p>
        </w:tc>
      </w:tr>
      <w:tr w:rsidR="00275C03" w:rsidRPr="0037585C" w14:paraId="0FAF7DAE" w14:textId="77777777" w:rsidTr="00275C03">
        <w:tc>
          <w:tcPr>
            <w:tcW w:w="1242" w:type="dxa"/>
          </w:tcPr>
          <w:p w14:paraId="142AFEED" w14:textId="77777777" w:rsidR="00275C03" w:rsidRPr="0037585C" w:rsidRDefault="00275C03" w:rsidP="00275C03">
            <w:r w:rsidRPr="0037585C">
              <w:t>01.07.14</w:t>
            </w:r>
          </w:p>
        </w:tc>
        <w:tc>
          <w:tcPr>
            <w:tcW w:w="5954" w:type="dxa"/>
          </w:tcPr>
          <w:p w14:paraId="5082928D" w14:textId="77777777" w:rsidR="00275C03" w:rsidRPr="0037585C" w:rsidRDefault="00275C03" w:rsidP="00275C03">
            <w:r w:rsidRPr="0037585C">
              <w:t>Organisation Intersex International Australia</w:t>
            </w:r>
          </w:p>
        </w:tc>
        <w:tc>
          <w:tcPr>
            <w:tcW w:w="2090" w:type="dxa"/>
          </w:tcPr>
          <w:p w14:paraId="3C3D1DDD" w14:textId="77777777" w:rsidR="00275C03" w:rsidRPr="0037585C" w:rsidRDefault="00275C03" w:rsidP="00275C03">
            <w:r w:rsidRPr="0037585C">
              <w:t>AHRC, NSW</w:t>
            </w:r>
          </w:p>
        </w:tc>
      </w:tr>
      <w:tr w:rsidR="00275C03" w:rsidRPr="0037585C" w14:paraId="0EA9E6DA" w14:textId="77777777" w:rsidTr="00275C03">
        <w:tc>
          <w:tcPr>
            <w:tcW w:w="1242" w:type="dxa"/>
          </w:tcPr>
          <w:p w14:paraId="5A75403F" w14:textId="77777777" w:rsidR="00275C03" w:rsidRPr="0037585C" w:rsidRDefault="00275C03" w:rsidP="00275C03">
            <w:pPr>
              <w:rPr>
                <w:highlight w:val="magenta"/>
              </w:rPr>
            </w:pPr>
            <w:r w:rsidRPr="0037585C">
              <w:t>02.07.14</w:t>
            </w:r>
          </w:p>
        </w:tc>
        <w:tc>
          <w:tcPr>
            <w:tcW w:w="5954" w:type="dxa"/>
          </w:tcPr>
          <w:p w14:paraId="5F2E8807" w14:textId="77777777" w:rsidR="00275C03" w:rsidRPr="0037585C" w:rsidRDefault="00275C03" w:rsidP="00275C03">
            <w:r w:rsidRPr="0037585C">
              <w:t xml:space="preserve">National Aboriginal and Torres Strait Islander Leadership in Mental Health (NATSILMH) </w:t>
            </w:r>
          </w:p>
        </w:tc>
        <w:tc>
          <w:tcPr>
            <w:tcW w:w="2090" w:type="dxa"/>
          </w:tcPr>
          <w:p w14:paraId="172557E7" w14:textId="77777777" w:rsidR="00275C03" w:rsidRPr="0037585C" w:rsidRDefault="00275C03" w:rsidP="00275C03">
            <w:r w:rsidRPr="0037585C">
              <w:t>AHRC, NSW</w:t>
            </w:r>
          </w:p>
        </w:tc>
      </w:tr>
      <w:tr w:rsidR="00275C03" w:rsidRPr="0037585C" w14:paraId="43CCAED9" w14:textId="77777777" w:rsidTr="00275C03">
        <w:tc>
          <w:tcPr>
            <w:tcW w:w="1242" w:type="dxa"/>
          </w:tcPr>
          <w:p w14:paraId="2709F9EF" w14:textId="77777777" w:rsidR="00275C03" w:rsidRPr="0037585C" w:rsidRDefault="00275C03" w:rsidP="00275C03">
            <w:r w:rsidRPr="0037585C">
              <w:t>03.07.14</w:t>
            </w:r>
          </w:p>
        </w:tc>
        <w:tc>
          <w:tcPr>
            <w:tcW w:w="5954" w:type="dxa"/>
          </w:tcPr>
          <w:p w14:paraId="44C61D44" w14:textId="77777777" w:rsidR="00275C03" w:rsidRPr="0037585C" w:rsidRDefault="00275C03" w:rsidP="00275C03">
            <w:r w:rsidRPr="0037585C">
              <w:t>The Hon Kevin Andrews MP, Federal Member for Menzies</w:t>
            </w:r>
          </w:p>
        </w:tc>
        <w:tc>
          <w:tcPr>
            <w:tcW w:w="2090" w:type="dxa"/>
          </w:tcPr>
          <w:p w14:paraId="7F5D9291" w14:textId="77777777" w:rsidR="00275C03" w:rsidRPr="0037585C" w:rsidRDefault="00275C03" w:rsidP="00275C03">
            <w:r w:rsidRPr="0037585C">
              <w:t>Melbourne, VIC</w:t>
            </w:r>
          </w:p>
        </w:tc>
      </w:tr>
      <w:tr w:rsidR="00275C03" w:rsidRPr="0037585C" w14:paraId="68EC8B1B" w14:textId="77777777" w:rsidTr="00275C03">
        <w:tc>
          <w:tcPr>
            <w:tcW w:w="1242" w:type="dxa"/>
          </w:tcPr>
          <w:p w14:paraId="1E5CA382" w14:textId="77777777" w:rsidR="00275C03" w:rsidRPr="0037585C" w:rsidRDefault="00275C03" w:rsidP="00275C03">
            <w:r w:rsidRPr="0037585C">
              <w:t>08.07.14</w:t>
            </w:r>
          </w:p>
        </w:tc>
        <w:tc>
          <w:tcPr>
            <w:tcW w:w="5954" w:type="dxa"/>
          </w:tcPr>
          <w:p w14:paraId="62F9828C" w14:textId="769B87C6" w:rsidR="00275C03" w:rsidRPr="0037585C" w:rsidRDefault="00275C03" w:rsidP="0077207A">
            <w:r w:rsidRPr="0037585C">
              <w:t xml:space="preserve">Iftar Roundtable for Muslim Community Leaders </w:t>
            </w:r>
            <w:r w:rsidR="0077207A" w:rsidRPr="0037585C">
              <w:t xml:space="preserve">with </w:t>
            </w:r>
            <w:r w:rsidRPr="0037585C">
              <w:t xml:space="preserve">Affinity Intercultural Foundation </w:t>
            </w:r>
          </w:p>
        </w:tc>
        <w:tc>
          <w:tcPr>
            <w:tcW w:w="2090" w:type="dxa"/>
          </w:tcPr>
          <w:p w14:paraId="19122A46" w14:textId="77777777" w:rsidR="00275C03" w:rsidRPr="0037585C" w:rsidRDefault="00275C03" w:rsidP="00275C03">
            <w:r w:rsidRPr="0037585C">
              <w:t>AHRC, NSW</w:t>
            </w:r>
          </w:p>
        </w:tc>
      </w:tr>
      <w:tr w:rsidR="00275C03" w:rsidRPr="0037585C" w14:paraId="5989324A" w14:textId="77777777" w:rsidTr="00275C03">
        <w:tc>
          <w:tcPr>
            <w:tcW w:w="1242" w:type="dxa"/>
          </w:tcPr>
          <w:p w14:paraId="55A1762E" w14:textId="77777777" w:rsidR="00275C03" w:rsidRPr="0037585C" w:rsidRDefault="00275C03" w:rsidP="00275C03">
            <w:r w:rsidRPr="0037585C">
              <w:t>09.07.14</w:t>
            </w:r>
          </w:p>
        </w:tc>
        <w:tc>
          <w:tcPr>
            <w:tcW w:w="5954" w:type="dxa"/>
          </w:tcPr>
          <w:p w14:paraId="2E3FA7B7" w14:textId="77777777" w:rsidR="00275C03" w:rsidRPr="0037585C" w:rsidRDefault="00275C03" w:rsidP="00275C03">
            <w:r w:rsidRPr="0037585C">
              <w:t xml:space="preserve">CREATE: Gift presentation to National Children’s Commissioner </w:t>
            </w:r>
          </w:p>
        </w:tc>
        <w:tc>
          <w:tcPr>
            <w:tcW w:w="2090" w:type="dxa"/>
          </w:tcPr>
          <w:p w14:paraId="5B11EBA0" w14:textId="77777777" w:rsidR="00275C03" w:rsidRPr="0037585C" w:rsidRDefault="00275C03" w:rsidP="00275C03">
            <w:r w:rsidRPr="0037585C">
              <w:t>AHRC, NSW</w:t>
            </w:r>
          </w:p>
        </w:tc>
      </w:tr>
      <w:tr w:rsidR="00275C03" w:rsidRPr="0037585C" w14:paraId="3390B908" w14:textId="77777777" w:rsidTr="00275C03">
        <w:tc>
          <w:tcPr>
            <w:tcW w:w="1242" w:type="dxa"/>
          </w:tcPr>
          <w:p w14:paraId="7F5B2090" w14:textId="77777777" w:rsidR="00275C03" w:rsidRPr="0037585C" w:rsidRDefault="00275C03" w:rsidP="00275C03">
            <w:r w:rsidRPr="0037585C">
              <w:t>21.07.14</w:t>
            </w:r>
          </w:p>
        </w:tc>
        <w:tc>
          <w:tcPr>
            <w:tcW w:w="5954" w:type="dxa"/>
          </w:tcPr>
          <w:p w14:paraId="65FD32CA" w14:textId="77777777" w:rsidR="00275C03" w:rsidRPr="0037585C" w:rsidRDefault="00275C03" w:rsidP="00275C03">
            <w:r w:rsidRPr="0037585C">
              <w:rPr>
                <w:iCs/>
              </w:rPr>
              <w:t>Beverly Hills Intensive English Centre</w:t>
            </w:r>
          </w:p>
        </w:tc>
        <w:tc>
          <w:tcPr>
            <w:tcW w:w="2090" w:type="dxa"/>
          </w:tcPr>
          <w:p w14:paraId="3D92609A" w14:textId="77777777" w:rsidR="00275C03" w:rsidRPr="0037585C" w:rsidRDefault="00275C03" w:rsidP="00275C03">
            <w:r w:rsidRPr="0037585C">
              <w:t>Beverly Hills, NSW</w:t>
            </w:r>
          </w:p>
        </w:tc>
      </w:tr>
      <w:tr w:rsidR="00275C03" w:rsidRPr="0037585C" w14:paraId="45EF2595" w14:textId="77777777" w:rsidTr="00275C03">
        <w:tc>
          <w:tcPr>
            <w:tcW w:w="1242" w:type="dxa"/>
          </w:tcPr>
          <w:p w14:paraId="52172D84" w14:textId="77777777" w:rsidR="00275C03" w:rsidRPr="0037585C" w:rsidRDefault="00275C03" w:rsidP="00275C03">
            <w:r w:rsidRPr="0037585C">
              <w:t>23.07.14</w:t>
            </w:r>
          </w:p>
        </w:tc>
        <w:tc>
          <w:tcPr>
            <w:tcW w:w="5954" w:type="dxa"/>
          </w:tcPr>
          <w:p w14:paraId="5E39F0FA" w14:textId="77777777" w:rsidR="00275C03" w:rsidRPr="0037585C" w:rsidRDefault="00275C03" w:rsidP="00275C03">
            <w:r w:rsidRPr="0037585C">
              <w:rPr>
                <w:bCs/>
              </w:rPr>
              <w:t xml:space="preserve">Online Safety Consultative Working Group, Department of Communications, Cyber Safety and Policy Coordination </w:t>
            </w:r>
          </w:p>
        </w:tc>
        <w:tc>
          <w:tcPr>
            <w:tcW w:w="2090" w:type="dxa"/>
          </w:tcPr>
          <w:p w14:paraId="6FDE805B" w14:textId="77777777" w:rsidR="00275C03" w:rsidRPr="0037585C" w:rsidRDefault="00275C03" w:rsidP="00275C03">
            <w:r w:rsidRPr="0037585C">
              <w:t>Sydney, NSW</w:t>
            </w:r>
          </w:p>
        </w:tc>
      </w:tr>
      <w:tr w:rsidR="00275C03" w:rsidRPr="0037585C" w14:paraId="15B2D93F" w14:textId="77777777" w:rsidTr="00275C03">
        <w:tc>
          <w:tcPr>
            <w:tcW w:w="1242" w:type="dxa"/>
          </w:tcPr>
          <w:p w14:paraId="0281AF28" w14:textId="77777777" w:rsidR="00275C03" w:rsidRPr="0037585C" w:rsidRDefault="00275C03" w:rsidP="00275C03">
            <w:r w:rsidRPr="0037585C">
              <w:t>24.07.14</w:t>
            </w:r>
          </w:p>
        </w:tc>
        <w:tc>
          <w:tcPr>
            <w:tcW w:w="5954" w:type="dxa"/>
          </w:tcPr>
          <w:p w14:paraId="442945D5" w14:textId="77777777" w:rsidR="00275C03" w:rsidRPr="0037585C" w:rsidRDefault="00275C03" w:rsidP="00275C03">
            <w:r w:rsidRPr="0037585C">
              <w:t>Professor Clare Tilbury, School of Human Services and Social Work, Griffith University</w:t>
            </w:r>
          </w:p>
        </w:tc>
        <w:tc>
          <w:tcPr>
            <w:tcW w:w="2090" w:type="dxa"/>
          </w:tcPr>
          <w:p w14:paraId="7E68CDFA" w14:textId="77777777" w:rsidR="00275C03" w:rsidRPr="0037585C" w:rsidRDefault="00275C03" w:rsidP="00275C03">
            <w:r w:rsidRPr="0037585C">
              <w:t>Sydney, NSW</w:t>
            </w:r>
          </w:p>
        </w:tc>
      </w:tr>
      <w:tr w:rsidR="00275C03" w:rsidRPr="0037585C" w14:paraId="0E093DA1" w14:textId="77777777" w:rsidTr="00275C03">
        <w:tc>
          <w:tcPr>
            <w:tcW w:w="1242" w:type="dxa"/>
          </w:tcPr>
          <w:p w14:paraId="09450F3F" w14:textId="77777777" w:rsidR="00275C03" w:rsidRPr="0037585C" w:rsidRDefault="00275C03" w:rsidP="00275C03">
            <w:r w:rsidRPr="0037585C">
              <w:t>28.07.14</w:t>
            </w:r>
          </w:p>
        </w:tc>
        <w:tc>
          <w:tcPr>
            <w:tcW w:w="5954" w:type="dxa"/>
          </w:tcPr>
          <w:p w14:paraId="396690B2" w14:textId="77777777" w:rsidR="00275C03" w:rsidRPr="0037585C" w:rsidRDefault="00275C03" w:rsidP="00275C03">
            <w:r w:rsidRPr="0037585C">
              <w:t>Steve Armitage, Interim Principal Commissioner,  Queensland Family and Child Commission</w:t>
            </w:r>
          </w:p>
        </w:tc>
        <w:tc>
          <w:tcPr>
            <w:tcW w:w="2090" w:type="dxa"/>
          </w:tcPr>
          <w:p w14:paraId="2EC9C7F8" w14:textId="77777777" w:rsidR="00275C03" w:rsidRPr="0037585C" w:rsidRDefault="00275C03" w:rsidP="00275C03">
            <w:r w:rsidRPr="0037585C">
              <w:t>AHRC, NSW</w:t>
            </w:r>
          </w:p>
        </w:tc>
      </w:tr>
      <w:tr w:rsidR="00275C03" w:rsidRPr="0037585C" w14:paraId="16ED9295" w14:textId="77777777" w:rsidTr="00275C03">
        <w:tc>
          <w:tcPr>
            <w:tcW w:w="1242" w:type="dxa"/>
          </w:tcPr>
          <w:p w14:paraId="138DF660" w14:textId="77777777" w:rsidR="00275C03" w:rsidRPr="0037585C" w:rsidRDefault="00275C03" w:rsidP="00275C03">
            <w:r w:rsidRPr="0037585C">
              <w:t>28.07.14</w:t>
            </w:r>
          </w:p>
        </w:tc>
        <w:tc>
          <w:tcPr>
            <w:tcW w:w="5954" w:type="dxa"/>
          </w:tcPr>
          <w:p w14:paraId="48316CC8" w14:textId="77777777" w:rsidR="00275C03" w:rsidRPr="0037585C" w:rsidRDefault="00275C03" w:rsidP="00275C03">
            <w:r w:rsidRPr="0037585C">
              <w:t>Dr Jon Jureidini, Child Psychiatrist, Women's and Children's Hospital, Adelaide </w:t>
            </w:r>
          </w:p>
        </w:tc>
        <w:tc>
          <w:tcPr>
            <w:tcW w:w="2090" w:type="dxa"/>
          </w:tcPr>
          <w:p w14:paraId="2B271F6E" w14:textId="77777777" w:rsidR="00275C03" w:rsidRPr="0037585C" w:rsidRDefault="00275C03" w:rsidP="00275C03">
            <w:r w:rsidRPr="0037585C">
              <w:t>AHRC, NSW</w:t>
            </w:r>
          </w:p>
        </w:tc>
      </w:tr>
      <w:tr w:rsidR="00275C03" w:rsidRPr="0037585C" w14:paraId="02C2B571" w14:textId="77777777" w:rsidTr="00275C03">
        <w:tc>
          <w:tcPr>
            <w:tcW w:w="1242" w:type="dxa"/>
          </w:tcPr>
          <w:p w14:paraId="331D2CE1" w14:textId="77777777" w:rsidR="00275C03" w:rsidRPr="0037585C" w:rsidRDefault="00275C03" w:rsidP="00275C03">
            <w:r w:rsidRPr="0037585C">
              <w:t>28.07.14</w:t>
            </w:r>
          </w:p>
        </w:tc>
        <w:tc>
          <w:tcPr>
            <w:tcW w:w="5954" w:type="dxa"/>
          </w:tcPr>
          <w:p w14:paraId="014F89E9" w14:textId="77777777" w:rsidR="00275C03" w:rsidRPr="0037585C" w:rsidRDefault="00275C03" w:rsidP="00275C03">
            <w:r w:rsidRPr="0037585C">
              <w:t>Georgie Harman, Chief Executive Officer, and Brian Graetz, Deputy Chief Executive Officer, BeyondBlue</w:t>
            </w:r>
          </w:p>
        </w:tc>
        <w:tc>
          <w:tcPr>
            <w:tcW w:w="2090" w:type="dxa"/>
          </w:tcPr>
          <w:p w14:paraId="636A5EC6" w14:textId="77777777" w:rsidR="00275C03" w:rsidRPr="0037585C" w:rsidRDefault="00275C03" w:rsidP="00275C03">
            <w:r w:rsidRPr="0037585C">
              <w:t xml:space="preserve">AHRC, NSW </w:t>
            </w:r>
          </w:p>
        </w:tc>
      </w:tr>
      <w:tr w:rsidR="00275C03" w:rsidRPr="0037585C" w14:paraId="5A998D71" w14:textId="77777777" w:rsidTr="00275C03">
        <w:tc>
          <w:tcPr>
            <w:tcW w:w="1242" w:type="dxa"/>
          </w:tcPr>
          <w:p w14:paraId="02B75106" w14:textId="77777777" w:rsidR="00275C03" w:rsidRPr="0037585C" w:rsidRDefault="00275C03" w:rsidP="00275C03">
            <w:r w:rsidRPr="0037585C">
              <w:lastRenderedPageBreak/>
              <w:t>28.07.14</w:t>
            </w:r>
          </w:p>
        </w:tc>
        <w:tc>
          <w:tcPr>
            <w:tcW w:w="5954" w:type="dxa"/>
          </w:tcPr>
          <w:p w14:paraId="4DAC03A9" w14:textId="77777777" w:rsidR="00275C03" w:rsidRPr="0037585C" w:rsidRDefault="00275C03" w:rsidP="00275C03">
            <w:r w:rsidRPr="0037585C">
              <w:t>Professor Elizabeth Handsley, President, Australian Council on Children and the Media</w:t>
            </w:r>
          </w:p>
        </w:tc>
        <w:tc>
          <w:tcPr>
            <w:tcW w:w="2090" w:type="dxa"/>
          </w:tcPr>
          <w:p w14:paraId="5B1548E0" w14:textId="77777777" w:rsidR="00275C03" w:rsidRPr="0037585C" w:rsidRDefault="00275C03" w:rsidP="00275C03">
            <w:r w:rsidRPr="0037585C">
              <w:t>AHRC, NSW</w:t>
            </w:r>
          </w:p>
        </w:tc>
      </w:tr>
      <w:tr w:rsidR="00275C03" w:rsidRPr="0037585C" w14:paraId="0DEFD831" w14:textId="77777777" w:rsidTr="00275C03">
        <w:tc>
          <w:tcPr>
            <w:tcW w:w="1242" w:type="dxa"/>
          </w:tcPr>
          <w:p w14:paraId="4FD4209C" w14:textId="77777777" w:rsidR="00275C03" w:rsidRPr="0037585C" w:rsidRDefault="00275C03" w:rsidP="00275C03">
            <w:r w:rsidRPr="0037585C">
              <w:t>29.07.14</w:t>
            </w:r>
          </w:p>
        </w:tc>
        <w:tc>
          <w:tcPr>
            <w:tcW w:w="5954" w:type="dxa"/>
          </w:tcPr>
          <w:p w14:paraId="17F3E47B" w14:textId="3CCD0AA1" w:rsidR="00275C03" w:rsidRPr="0037585C" w:rsidRDefault="00275C03" w:rsidP="0077207A">
            <w:pPr>
              <w:rPr>
                <w:b/>
                <w:bCs/>
              </w:rPr>
            </w:pPr>
            <w:r w:rsidRPr="0037585C">
              <w:t>Jennifer Evans, Chair, NSW Children’s Week Council</w:t>
            </w:r>
            <w:r w:rsidR="0077207A">
              <w:t>, and</w:t>
            </w:r>
            <w:r w:rsidRPr="0037585C">
              <w:t xml:space="preserve"> </w:t>
            </w:r>
            <w:r w:rsidRPr="0037585C">
              <w:rPr>
                <w:bCs/>
              </w:rPr>
              <w:t>Robyn Monro Miller, Chief Executive Officer, Network of Community Activities</w:t>
            </w:r>
          </w:p>
        </w:tc>
        <w:tc>
          <w:tcPr>
            <w:tcW w:w="2090" w:type="dxa"/>
          </w:tcPr>
          <w:p w14:paraId="0290F411" w14:textId="77777777" w:rsidR="00275C03" w:rsidRPr="0037585C" w:rsidRDefault="00275C03" w:rsidP="00275C03">
            <w:r w:rsidRPr="0037585C">
              <w:t>AHRC, NSW</w:t>
            </w:r>
          </w:p>
        </w:tc>
      </w:tr>
      <w:tr w:rsidR="00275C03" w:rsidRPr="0037585C" w14:paraId="3E75A004" w14:textId="77777777" w:rsidTr="00275C03">
        <w:tc>
          <w:tcPr>
            <w:tcW w:w="1242" w:type="dxa"/>
          </w:tcPr>
          <w:p w14:paraId="45458321" w14:textId="77777777" w:rsidR="00275C03" w:rsidRPr="0037585C" w:rsidRDefault="00275C03" w:rsidP="00275C03">
            <w:r w:rsidRPr="0037585C">
              <w:t>31.07.14</w:t>
            </w:r>
          </w:p>
        </w:tc>
        <w:tc>
          <w:tcPr>
            <w:tcW w:w="5954" w:type="dxa"/>
          </w:tcPr>
          <w:p w14:paraId="16C463BB" w14:textId="77777777" w:rsidR="00275C03" w:rsidRPr="0037585C" w:rsidRDefault="00275C03" w:rsidP="00275C03">
            <w:r w:rsidRPr="0037585C">
              <w:t>Coralie Alison, Director of Operations, Collective Shout</w:t>
            </w:r>
          </w:p>
        </w:tc>
        <w:tc>
          <w:tcPr>
            <w:tcW w:w="2090" w:type="dxa"/>
          </w:tcPr>
          <w:p w14:paraId="0732AF24" w14:textId="77777777" w:rsidR="00275C03" w:rsidRPr="0037585C" w:rsidRDefault="00275C03" w:rsidP="00275C03">
            <w:r w:rsidRPr="0037585C">
              <w:t>AHRC, NSW</w:t>
            </w:r>
          </w:p>
        </w:tc>
      </w:tr>
      <w:tr w:rsidR="00275C03" w:rsidRPr="0037585C" w14:paraId="0269F0CE" w14:textId="77777777" w:rsidTr="00275C03">
        <w:tc>
          <w:tcPr>
            <w:tcW w:w="1242" w:type="dxa"/>
          </w:tcPr>
          <w:p w14:paraId="41888C2D" w14:textId="77777777" w:rsidR="00275C03" w:rsidRPr="0037585C" w:rsidRDefault="00275C03" w:rsidP="00275C03">
            <w:r w:rsidRPr="0037585C">
              <w:t>04.08.14</w:t>
            </w:r>
          </w:p>
        </w:tc>
        <w:tc>
          <w:tcPr>
            <w:tcW w:w="5954" w:type="dxa"/>
          </w:tcPr>
          <w:p w14:paraId="2E766235" w14:textId="77777777" w:rsidR="00275C03" w:rsidRPr="0037585C" w:rsidRDefault="00275C03" w:rsidP="00275C03">
            <w:r w:rsidRPr="0037585C">
              <w:t>Helen Scales, Nicole Kyrkou and Tim Crowley, Department of Education and Children’s Services South Australia</w:t>
            </w:r>
          </w:p>
        </w:tc>
        <w:tc>
          <w:tcPr>
            <w:tcW w:w="2090" w:type="dxa"/>
          </w:tcPr>
          <w:p w14:paraId="0EA24627" w14:textId="77777777" w:rsidR="00275C03" w:rsidRPr="0037585C" w:rsidRDefault="00275C03" w:rsidP="00275C03">
            <w:r w:rsidRPr="0037585C">
              <w:t>Sydney, NSW</w:t>
            </w:r>
          </w:p>
        </w:tc>
      </w:tr>
      <w:tr w:rsidR="00275C03" w:rsidRPr="0037585C" w14:paraId="30B9B429" w14:textId="77777777" w:rsidTr="00275C03">
        <w:tc>
          <w:tcPr>
            <w:tcW w:w="1242" w:type="dxa"/>
          </w:tcPr>
          <w:p w14:paraId="3547CFE0" w14:textId="77777777" w:rsidR="00275C03" w:rsidRPr="0037585C" w:rsidRDefault="00275C03" w:rsidP="00275C03">
            <w:r w:rsidRPr="0037585C">
              <w:t xml:space="preserve">11.08.14 </w:t>
            </w:r>
          </w:p>
        </w:tc>
        <w:tc>
          <w:tcPr>
            <w:tcW w:w="5954" w:type="dxa"/>
          </w:tcPr>
          <w:p w14:paraId="1EFE9155" w14:textId="35833AD3" w:rsidR="00275C03" w:rsidRPr="0037585C" w:rsidRDefault="00275C03" w:rsidP="00FC69EE">
            <w:r w:rsidRPr="0037585C">
              <w:t>Professor Jennifer Llewellyn, Dalhousie University</w:t>
            </w:r>
            <w:r w:rsidR="00FC69EE">
              <w:t xml:space="preserve">; </w:t>
            </w:r>
            <w:r w:rsidRPr="0037585C">
              <w:t>Brian Babington</w:t>
            </w:r>
            <w:r w:rsidR="00FC69EE">
              <w:t xml:space="preserve">, </w:t>
            </w:r>
            <w:r w:rsidR="00FC69EE" w:rsidRPr="0037585C">
              <w:rPr>
                <w:bCs/>
              </w:rPr>
              <w:t xml:space="preserve">Chief Executive Officer, </w:t>
            </w:r>
            <w:r w:rsidR="00FC69EE">
              <w:rPr>
                <w:bCs/>
              </w:rPr>
              <w:t>Families Australia;</w:t>
            </w:r>
            <w:r w:rsidRPr="0037585C">
              <w:t xml:space="preserve"> and Stella Conroy, </w:t>
            </w:r>
            <w:r w:rsidR="00FC69EE">
              <w:t xml:space="preserve">Deputy </w:t>
            </w:r>
            <w:r w:rsidR="00FC69EE" w:rsidRPr="0037585C">
              <w:rPr>
                <w:bCs/>
              </w:rPr>
              <w:t>Chief Executive Officer</w:t>
            </w:r>
            <w:r w:rsidR="00FC69EE">
              <w:t xml:space="preserve">, </w:t>
            </w:r>
            <w:r w:rsidRPr="0037585C">
              <w:t>Families Australia</w:t>
            </w:r>
          </w:p>
        </w:tc>
        <w:tc>
          <w:tcPr>
            <w:tcW w:w="2090" w:type="dxa"/>
          </w:tcPr>
          <w:p w14:paraId="271A22E7" w14:textId="77777777" w:rsidR="00275C03" w:rsidRPr="0037585C" w:rsidRDefault="00275C03" w:rsidP="00275C03">
            <w:r w:rsidRPr="0037585C">
              <w:t>Canberra, ACT</w:t>
            </w:r>
          </w:p>
        </w:tc>
      </w:tr>
      <w:tr w:rsidR="00275C03" w:rsidRPr="0037585C" w14:paraId="3A814D54" w14:textId="77777777" w:rsidTr="00275C03">
        <w:tc>
          <w:tcPr>
            <w:tcW w:w="1242" w:type="dxa"/>
          </w:tcPr>
          <w:p w14:paraId="5F41643B" w14:textId="77777777" w:rsidR="00275C03" w:rsidRPr="0037585C" w:rsidRDefault="00275C03" w:rsidP="00275C03">
            <w:r w:rsidRPr="0037585C">
              <w:t>12.08.14</w:t>
            </w:r>
          </w:p>
        </w:tc>
        <w:tc>
          <w:tcPr>
            <w:tcW w:w="5954" w:type="dxa"/>
          </w:tcPr>
          <w:p w14:paraId="6AAF1561" w14:textId="77777777" w:rsidR="00275C03" w:rsidRPr="0037585C" w:rsidRDefault="00275C03" w:rsidP="00275C03">
            <w:r w:rsidRPr="0037585C">
              <w:t>Laura John, UN Youth Representative to the United Nations</w:t>
            </w:r>
          </w:p>
        </w:tc>
        <w:tc>
          <w:tcPr>
            <w:tcW w:w="2090" w:type="dxa"/>
          </w:tcPr>
          <w:p w14:paraId="59D4244C" w14:textId="77777777" w:rsidR="00275C03" w:rsidRPr="0037585C" w:rsidRDefault="00275C03" w:rsidP="00275C03">
            <w:r w:rsidRPr="0037585C">
              <w:t>AHRC, NSW</w:t>
            </w:r>
          </w:p>
        </w:tc>
      </w:tr>
      <w:tr w:rsidR="00275C03" w:rsidRPr="0037585C" w14:paraId="2EFECD4B" w14:textId="77777777" w:rsidTr="00275C03">
        <w:tc>
          <w:tcPr>
            <w:tcW w:w="1242" w:type="dxa"/>
          </w:tcPr>
          <w:p w14:paraId="0D806191" w14:textId="77777777" w:rsidR="00275C03" w:rsidRPr="0037585C" w:rsidRDefault="00275C03" w:rsidP="00275C03">
            <w:r w:rsidRPr="0037585C">
              <w:t>13.08.14</w:t>
            </w:r>
          </w:p>
        </w:tc>
        <w:tc>
          <w:tcPr>
            <w:tcW w:w="5954" w:type="dxa"/>
          </w:tcPr>
          <w:p w14:paraId="112BA72F" w14:textId="77777777" w:rsidR="00275C03" w:rsidRPr="0037585C" w:rsidRDefault="00275C03" w:rsidP="00275C03">
            <w:pPr>
              <w:rPr>
                <w:b/>
                <w:bCs/>
                <w:highlight w:val="magenta"/>
              </w:rPr>
            </w:pPr>
            <w:r w:rsidRPr="0037585C">
              <w:t>David Fredericks, D</w:t>
            </w:r>
            <w:r w:rsidRPr="0037585C">
              <w:rPr>
                <w:bCs/>
              </w:rPr>
              <w:t>eputy Secretary, Civil Justice and Legal Services Group</w:t>
            </w:r>
            <w:r w:rsidRPr="0037585C">
              <w:rPr>
                <w:b/>
                <w:bCs/>
              </w:rPr>
              <w:t>,</w:t>
            </w:r>
            <w:r w:rsidRPr="0037585C">
              <w:t xml:space="preserve"> Department of the Attorney-General</w:t>
            </w:r>
          </w:p>
        </w:tc>
        <w:tc>
          <w:tcPr>
            <w:tcW w:w="2090" w:type="dxa"/>
          </w:tcPr>
          <w:p w14:paraId="52B96FB1" w14:textId="77777777" w:rsidR="00275C03" w:rsidRPr="0037585C" w:rsidRDefault="00275C03" w:rsidP="00275C03">
            <w:r w:rsidRPr="0037585C">
              <w:t>AHRC, NSW</w:t>
            </w:r>
          </w:p>
        </w:tc>
      </w:tr>
      <w:tr w:rsidR="00275C03" w:rsidRPr="0037585C" w14:paraId="581DB494" w14:textId="77777777" w:rsidTr="00275C03">
        <w:tc>
          <w:tcPr>
            <w:tcW w:w="1242" w:type="dxa"/>
          </w:tcPr>
          <w:p w14:paraId="0016709F" w14:textId="77777777" w:rsidR="00275C03" w:rsidRPr="0037585C" w:rsidRDefault="00275C03" w:rsidP="00275C03">
            <w:r w:rsidRPr="0037585C">
              <w:t>15.08.14</w:t>
            </w:r>
          </w:p>
        </w:tc>
        <w:tc>
          <w:tcPr>
            <w:tcW w:w="5954" w:type="dxa"/>
          </w:tcPr>
          <w:p w14:paraId="77EB23FA" w14:textId="77777777" w:rsidR="00275C03" w:rsidRPr="0037585C" w:rsidRDefault="00275C03" w:rsidP="00275C03">
            <w:pPr>
              <w:rPr>
                <w:highlight w:val="magenta"/>
              </w:rPr>
            </w:pPr>
            <w:r w:rsidRPr="0037585C">
              <w:t>Associate Professor Judith Cashmore, University of Sydney</w:t>
            </w:r>
          </w:p>
        </w:tc>
        <w:tc>
          <w:tcPr>
            <w:tcW w:w="2090" w:type="dxa"/>
          </w:tcPr>
          <w:p w14:paraId="12D03213" w14:textId="77777777" w:rsidR="00275C03" w:rsidRPr="0037585C" w:rsidRDefault="00275C03" w:rsidP="00275C03">
            <w:r w:rsidRPr="0037585C">
              <w:t>Sydney, NSW</w:t>
            </w:r>
          </w:p>
        </w:tc>
      </w:tr>
      <w:tr w:rsidR="00275C03" w:rsidRPr="0037585C" w14:paraId="7A830A08" w14:textId="77777777" w:rsidTr="00275C03">
        <w:tc>
          <w:tcPr>
            <w:tcW w:w="1242" w:type="dxa"/>
          </w:tcPr>
          <w:p w14:paraId="06A57C05" w14:textId="77777777" w:rsidR="00275C03" w:rsidRPr="0037585C" w:rsidRDefault="00275C03" w:rsidP="00275C03">
            <w:r w:rsidRPr="0037585C">
              <w:t>21.08.14</w:t>
            </w:r>
          </w:p>
        </w:tc>
        <w:tc>
          <w:tcPr>
            <w:tcW w:w="5954" w:type="dxa"/>
          </w:tcPr>
          <w:p w14:paraId="15936EA9" w14:textId="77777777" w:rsidR="00275C03" w:rsidRPr="0037585C" w:rsidRDefault="00275C03" w:rsidP="00275C03">
            <w:r w:rsidRPr="0037585C">
              <w:t>Meredith Kiraly, Research Fellow, Child, Youth and Family Research Program, University of Melbourne</w:t>
            </w:r>
          </w:p>
        </w:tc>
        <w:tc>
          <w:tcPr>
            <w:tcW w:w="2090" w:type="dxa"/>
          </w:tcPr>
          <w:p w14:paraId="54090EA1" w14:textId="77777777" w:rsidR="00275C03" w:rsidRPr="0037585C" w:rsidRDefault="00275C03" w:rsidP="00275C03">
            <w:r w:rsidRPr="0037585C">
              <w:t>Sydney, NSW</w:t>
            </w:r>
          </w:p>
        </w:tc>
      </w:tr>
      <w:tr w:rsidR="00275C03" w:rsidRPr="0037585C" w14:paraId="252C9837" w14:textId="77777777" w:rsidTr="00275C03">
        <w:tc>
          <w:tcPr>
            <w:tcW w:w="1242" w:type="dxa"/>
          </w:tcPr>
          <w:p w14:paraId="1024C30E" w14:textId="77777777" w:rsidR="00275C03" w:rsidRPr="0037585C" w:rsidRDefault="00275C03" w:rsidP="00275C03">
            <w:r w:rsidRPr="0037585C">
              <w:t>21.08.14</w:t>
            </w:r>
          </w:p>
        </w:tc>
        <w:tc>
          <w:tcPr>
            <w:tcW w:w="5954" w:type="dxa"/>
          </w:tcPr>
          <w:p w14:paraId="6D5BA429" w14:textId="02A7EE85" w:rsidR="00275C03" w:rsidRPr="0037585C" w:rsidRDefault="00275C03" w:rsidP="00EB7E2C">
            <w:r w:rsidRPr="0037585C">
              <w:t xml:space="preserve">Wendy McCarthy, Chair, </w:t>
            </w:r>
            <w:r w:rsidR="00EB7E2C">
              <w:t>h</w:t>
            </w:r>
            <w:r w:rsidRPr="0037585C">
              <w:t>eadspace</w:t>
            </w:r>
          </w:p>
        </w:tc>
        <w:tc>
          <w:tcPr>
            <w:tcW w:w="2090" w:type="dxa"/>
          </w:tcPr>
          <w:p w14:paraId="6FB59BF2" w14:textId="77777777" w:rsidR="00275C03" w:rsidRPr="0037585C" w:rsidRDefault="00275C03" w:rsidP="00275C03">
            <w:r w:rsidRPr="0037585C">
              <w:t>AHRC, NSW</w:t>
            </w:r>
          </w:p>
        </w:tc>
      </w:tr>
      <w:tr w:rsidR="00275C03" w:rsidRPr="0037585C" w14:paraId="71AF017B" w14:textId="77777777" w:rsidTr="00275C03">
        <w:tc>
          <w:tcPr>
            <w:tcW w:w="1242" w:type="dxa"/>
          </w:tcPr>
          <w:p w14:paraId="3AD82EDA" w14:textId="77777777" w:rsidR="00275C03" w:rsidRPr="0037585C" w:rsidRDefault="00275C03" w:rsidP="00275C03">
            <w:r w:rsidRPr="0037585C">
              <w:t>22.08.14</w:t>
            </w:r>
          </w:p>
        </w:tc>
        <w:tc>
          <w:tcPr>
            <w:tcW w:w="5954" w:type="dxa"/>
          </w:tcPr>
          <w:p w14:paraId="128A35DE" w14:textId="77777777" w:rsidR="00275C03" w:rsidRPr="0037585C" w:rsidRDefault="00275C03" w:rsidP="00275C03">
            <w:r w:rsidRPr="0037585C">
              <w:t>Jim Davies, Chief Executive Officer, Principals Australia Institute</w:t>
            </w:r>
          </w:p>
        </w:tc>
        <w:tc>
          <w:tcPr>
            <w:tcW w:w="2090" w:type="dxa"/>
          </w:tcPr>
          <w:p w14:paraId="5B4142DD" w14:textId="77777777" w:rsidR="00275C03" w:rsidRPr="0037585C" w:rsidRDefault="00275C03" w:rsidP="00275C03">
            <w:r w:rsidRPr="0037585C">
              <w:t>AHRC, NSW</w:t>
            </w:r>
          </w:p>
        </w:tc>
      </w:tr>
      <w:tr w:rsidR="00275C03" w:rsidRPr="0037585C" w14:paraId="64A5BB5B" w14:textId="77777777" w:rsidTr="00275C03">
        <w:tc>
          <w:tcPr>
            <w:tcW w:w="1242" w:type="dxa"/>
          </w:tcPr>
          <w:p w14:paraId="61D8CCC9" w14:textId="77777777" w:rsidR="00275C03" w:rsidRPr="0037585C" w:rsidRDefault="00275C03" w:rsidP="00275C03">
            <w:r w:rsidRPr="0037585C">
              <w:t>01.09.14</w:t>
            </w:r>
          </w:p>
        </w:tc>
        <w:tc>
          <w:tcPr>
            <w:tcW w:w="5954" w:type="dxa"/>
          </w:tcPr>
          <w:p w14:paraId="553513A9" w14:textId="77777777" w:rsidR="00275C03" w:rsidRPr="0037585C" w:rsidRDefault="00275C03" w:rsidP="00275C03">
            <w:r w:rsidRPr="0037585C">
              <w:t>Gabrielle Kelly, Director, South Australian Health and Medical Research Institute, Wellbeing and Resilience Centre</w:t>
            </w:r>
          </w:p>
        </w:tc>
        <w:tc>
          <w:tcPr>
            <w:tcW w:w="2090" w:type="dxa"/>
          </w:tcPr>
          <w:p w14:paraId="70400FA9" w14:textId="77777777" w:rsidR="00275C03" w:rsidRPr="0037585C" w:rsidRDefault="00275C03" w:rsidP="00275C03">
            <w:r w:rsidRPr="0037585C">
              <w:t>AHRC, NSW</w:t>
            </w:r>
          </w:p>
        </w:tc>
      </w:tr>
      <w:tr w:rsidR="00275C03" w:rsidRPr="0037585C" w14:paraId="17411F77" w14:textId="77777777" w:rsidTr="00275C03">
        <w:tc>
          <w:tcPr>
            <w:tcW w:w="1242" w:type="dxa"/>
          </w:tcPr>
          <w:p w14:paraId="451180BA" w14:textId="77777777" w:rsidR="00275C03" w:rsidRPr="0037585C" w:rsidRDefault="00275C03" w:rsidP="00275C03">
            <w:r w:rsidRPr="0037585C">
              <w:lastRenderedPageBreak/>
              <w:t>01.09.14</w:t>
            </w:r>
          </w:p>
        </w:tc>
        <w:tc>
          <w:tcPr>
            <w:tcW w:w="5954" w:type="dxa"/>
          </w:tcPr>
          <w:p w14:paraId="4B844446" w14:textId="77777777" w:rsidR="00275C03" w:rsidRPr="0037585C" w:rsidRDefault="00275C03" w:rsidP="00275C03">
            <w:r w:rsidRPr="0037585C">
              <w:t>Judge Michael Baumann, Federal Circuit Court of Australia</w:t>
            </w:r>
          </w:p>
        </w:tc>
        <w:tc>
          <w:tcPr>
            <w:tcW w:w="2090" w:type="dxa"/>
          </w:tcPr>
          <w:p w14:paraId="2C3C1011" w14:textId="77777777" w:rsidR="00275C03" w:rsidRPr="0037585C" w:rsidRDefault="00275C03" w:rsidP="00275C03">
            <w:r w:rsidRPr="0037585C">
              <w:t>AHRC, NSW</w:t>
            </w:r>
          </w:p>
        </w:tc>
      </w:tr>
      <w:tr w:rsidR="00275C03" w:rsidRPr="0037585C" w14:paraId="30AFC9F9" w14:textId="77777777" w:rsidTr="00275C03">
        <w:tc>
          <w:tcPr>
            <w:tcW w:w="1242" w:type="dxa"/>
          </w:tcPr>
          <w:p w14:paraId="3860D00E" w14:textId="77777777" w:rsidR="00275C03" w:rsidRPr="0037585C" w:rsidRDefault="00275C03" w:rsidP="00275C03">
            <w:r w:rsidRPr="0037585C">
              <w:t>04.09.14</w:t>
            </w:r>
          </w:p>
        </w:tc>
        <w:tc>
          <w:tcPr>
            <w:tcW w:w="5954" w:type="dxa"/>
          </w:tcPr>
          <w:p w14:paraId="751A68EC" w14:textId="77777777" w:rsidR="00275C03" w:rsidRPr="0037585C" w:rsidRDefault="00275C03" w:rsidP="00275C03">
            <w:r w:rsidRPr="0037585C">
              <w:t xml:space="preserve">Dr Nicola Murdock, President of the Paediatrics and Child Health Division of the Royal Australasian College of Physicians </w:t>
            </w:r>
          </w:p>
        </w:tc>
        <w:tc>
          <w:tcPr>
            <w:tcW w:w="2090" w:type="dxa"/>
          </w:tcPr>
          <w:p w14:paraId="11381CA6" w14:textId="77777777" w:rsidR="00275C03" w:rsidRPr="0037585C" w:rsidRDefault="00275C03" w:rsidP="00275C03">
            <w:r w:rsidRPr="0037585C">
              <w:t>AHRC, NSW</w:t>
            </w:r>
          </w:p>
        </w:tc>
      </w:tr>
      <w:tr w:rsidR="00275C03" w:rsidRPr="0037585C" w14:paraId="386BC32A" w14:textId="77777777" w:rsidTr="00275C03">
        <w:tc>
          <w:tcPr>
            <w:tcW w:w="1242" w:type="dxa"/>
          </w:tcPr>
          <w:p w14:paraId="62E41BBD" w14:textId="77777777" w:rsidR="00275C03" w:rsidRPr="0037585C" w:rsidRDefault="00275C03" w:rsidP="00275C03">
            <w:r w:rsidRPr="0037585C">
              <w:t>04.09.14</w:t>
            </w:r>
          </w:p>
        </w:tc>
        <w:tc>
          <w:tcPr>
            <w:tcW w:w="5954" w:type="dxa"/>
          </w:tcPr>
          <w:p w14:paraId="64090A09" w14:textId="77777777" w:rsidR="00275C03" w:rsidRPr="0037585C" w:rsidRDefault="00275C03" w:rsidP="00275C03">
            <w:r w:rsidRPr="0037585C">
              <w:t>Nadine Liddy, National Coordinator, Multicultural Youth Advocacy Network (MYAN)</w:t>
            </w:r>
          </w:p>
        </w:tc>
        <w:tc>
          <w:tcPr>
            <w:tcW w:w="2090" w:type="dxa"/>
          </w:tcPr>
          <w:p w14:paraId="49D2D615" w14:textId="77777777" w:rsidR="00275C03" w:rsidRPr="0037585C" w:rsidRDefault="00275C03" w:rsidP="00275C03">
            <w:r w:rsidRPr="0037585C">
              <w:t>AHRC, NSW</w:t>
            </w:r>
          </w:p>
        </w:tc>
      </w:tr>
      <w:tr w:rsidR="00275C03" w:rsidRPr="0037585C" w14:paraId="2C4535B6" w14:textId="77777777" w:rsidTr="00275C03">
        <w:tc>
          <w:tcPr>
            <w:tcW w:w="1242" w:type="dxa"/>
          </w:tcPr>
          <w:p w14:paraId="192AEC71" w14:textId="77777777" w:rsidR="00275C03" w:rsidRPr="0037585C" w:rsidRDefault="00275C03" w:rsidP="00275C03">
            <w:r w:rsidRPr="0037585C">
              <w:t>04.09.14</w:t>
            </w:r>
          </w:p>
        </w:tc>
        <w:tc>
          <w:tcPr>
            <w:tcW w:w="5954" w:type="dxa"/>
          </w:tcPr>
          <w:p w14:paraId="1EBD57C9" w14:textId="77777777" w:rsidR="00275C03" w:rsidRPr="0037585C" w:rsidRDefault="00275C03" w:rsidP="00275C03">
            <w:r w:rsidRPr="0037585C">
              <w:t>Roslyn Dundas, Chief Executive Officer, Australian Dance Council and Ausdance Inc.</w:t>
            </w:r>
          </w:p>
        </w:tc>
        <w:tc>
          <w:tcPr>
            <w:tcW w:w="2090" w:type="dxa"/>
          </w:tcPr>
          <w:p w14:paraId="60DD7E5A" w14:textId="77777777" w:rsidR="00275C03" w:rsidRPr="0037585C" w:rsidRDefault="00275C03" w:rsidP="00275C03">
            <w:r w:rsidRPr="0037585C">
              <w:t>AHRC, NSW</w:t>
            </w:r>
          </w:p>
        </w:tc>
      </w:tr>
      <w:tr w:rsidR="00275C03" w:rsidRPr="0037585C" w14:paraId="73F94565" w14:textId="77777777" w:rsidTr="00275C03">
        <w:tc>
          <w:tcPr>
            <w:tcW w:w="1242" w:type="dxa"/>
          </w:tcPr>
          <w:p w14:paraId="762A59FC" w14:textId="77777777" w:rsidR="00275C03" w:rsidRPr="0037585C" w:rsidRDefault="00275C03" w:rsidP="00275C03">
            <w:r w:rsidRPr="0037585C">
              <w:t>22.09.14</w:t>
            </w:r>
          </w:p>
        </w:tc>
        <w:tc>
          <w:tcPr>
            <w:tcW w:w="5954" w:type="dxa"/>
          </w:tcPr>
          <w:p w14:paraId="51CB14B4" w14:textId="77777777" w:rsidR="00275C03" w:rsidRPr="0037585C" w:rsidRDefault="00275C03" w:rsidP="00275C03">
            <w:r w:rsidRPr="0037585C">
              <w:t xml:space="preserve">Amy Lamoin, Advocacy Manager, and Mia Cox, </w:t>
            </w:r>
            <w:r w:rsidRPr="0037585C">
              <w:rPr>
                <w:bCs/>
              </w:rPr>
              <w:t>Youth Engagement Officer, UNICEF Australia</w:t>
            </w:r>
          </w:p>
        </w:tc>
        <w:tc>
          <w:tcPr>
            <w:tcW w:w="2090" w:type="dxa"/>
          </w:tcPr>
          <w:p w14:paraId="76E6167A" w14:textId="77777777" w:rsidR="00275C03" w:rsidRPr="0037585C" w:rsidRDefault="00275C03" w:rsidP="00275C03">
            <w:r w:rsidRPr="0037585C">
              <w:t>AHRC, NSW</w:t>
            </w:r>
          </w:p>
        </w:tc>
      </w:tr>
      <w:tr w:rsidR="00275C03" w:rsidRPr="0037585C" w14:paraId="48D09774" w14:textId="77777777" w:rsidTr="00275C03">
        <w:tc>
          <w:tcPr>
            <w:tcW w:w="1242" w:type="dxa"/>
          </w:tcPr>
          <w:p w14:paraId="3CE8364B" w14:textId="77777777" w:rsidR="00275C03" w:rsidRPr="0037585C" w:rsidRDefault="00275C03" w:rsidP="00275C03">
            <w:r w:rsidRPr="0037585C">
              <w:t>22.09.14</w:t>
            </w:r>
          </w:p>
        </w:tc>
        <w:tc>
          <w:tcPr>
            <w:tcW w:w="5954" w:type="dxa"/>
          </w:tcPr>
          <w:p w14:paraId="3377A5CD" w14:textId="77777777" w:rsidR="00275C03" w:rsidRPr="0037585C" w:rsidRDefault="00275C03" w:rsidP="00275C03">
            <w:r w:rsidRPr="0037585C">
              <w:t>Jennifer Evans,</w:t>
            </w:r>
            <w:r w:rsidRPr="0037585C">
              <w:rPr>
                <w:rFonts w:eastAsiaTheme="minorHAnsi" w:cs="Arial"/>
                <w:b/>
                <w:bCs/>
                <w:sz w:val="20"/>
                <w:szCs w:val="20"/>
              </w:rPr>
              <w:t xml:space="preserve"> </w:t>
            </w:r>
            <w:r w:rsidRPr="0037585C">
              <w:rPr>
                <w:bCs/>
              </w:rPr>
              <w:t xml:space="preserve">National Project Lead Child Protection, </w:t>
            </w:r>
            <w:r w:rsidRPr="0037585C">
              <w:t>Red Cross Australia</w:t>
            </w:r>
          </w:p>
        </w:tc>
        <w:tc>
          <w:tcPr>
            <w:tcW w:w="2090" w:type="dxa"/>
          </w:tcPr>
          <w:p w14:paraId="1020790D" w14:textId="77777777" w:rsidR="00275C03" w:rsidRPr="0037585C" w:rsidRDefault="00275C03" w:rsidP="00275C03">
            <w:r w:rsidRPr="0037585C">
              <w:t>AHRC,  NSW</w:t>
            </w:r>
          </w:p>
        </w:tc>
      </w:tr>
      <w:tr w:rsidR="00275C03" w:rsidRPr="0037585C" w14:paraId="7D8A77E2" w14:textId="77777777" w:rsidTr="00275C03">
        <w:tc>
          <w:tcPr>
            <w:tcW w:w="1242" w:type="dxa"/>
          </w:tcPr>
          <w:p w14:paraId="054F0BAB" w14:textId="77777777" w:rsidR="00275C03" w:rsidRPr="0037585C" w:rsidRDefault="00275C03" w:rsidP="00275C03">
            <w:r w:rsidRPr="0037585C">
              <w:t>02.10.14</w:t>
            </w:r>
          </w:p>
        </w:tc>
        <w:tc>
          <w:tcPr>
            <w:tcW w:w="5954" w:type="dxa"/>
          </w:tcPr>
          <w:p w14:paraId="447F6062" w14:textId="77777777" w:rsidR="00275C03" w:rsidRPr="0037585C" w:rsidRDefault="00275C03" w:rsidP="00275C03">
            <w:r w:rsidRPr="0037585C">
              <w:rPr>
                <w:bCs/>
              </w:rPr>
              <w:t>Jane Farnsworth, Special Counsel, Pro Bono &amp; Community, King &amp; Wood Mallesons</w:t>
            </w:r>
          </w:p>
        </w:tc>
        <w:tc>
          <w:tcPr>
            <w:tcW w:w="2090" w:type="dxa"/>
          </w:tcPr>
          <w:p w14:paraId="65A17175" w14:textId="77777777" w:rsidR="00275C03" w:rsidRPr="0037585C" w:rsidRDefault="00275C03" w:rsidP="00275C03">
            <w:r w:rsidRPr="0037585C">
              <w:t>AHRC, NSW</w:t>
            </w:r>
          </w:p>
        </w:tc>
      </w:tr>
      <w:tr w:rsidR="00275C03" w:rsidRPr="0037585C" w14:paraId="1BC5859D" w14:textId="77777777" w:rsidTr="00275C03">
        <w:tc>
          <w:tcPr>
            <w:tcW w:w="1242" w:type="dxa"/>
          </w:tcPr>
          <w:p w14:paraId="442605E6" w14:textId="77777777" w:rsidR="00275C03" w:rsidRPr="0037585C" w:rsidRDefault="00275C03" w:rsidP="00275C03">
            <w:r w:rsidRPr="0037585C">
              <w:t>07.10.14</w:t>
            </w:r>
          </w:p>
        </w:tc>
        <w:tc>
          <w:tcPr>
            <w:tcW w:w="5954" w:type="dxa"/>
          </w:tcPr>
          <w:p w14:paraId="01BD1882" w14:textId="21C401BC" w:rsidR="00275C03" w:rsidRPr="0037585C" w:rsidRDefault="00275C03" w:rsidP="00EB7E2C">
            <w:pPr>
              <w:rPr>
                <w:bCs/>
              </w:rPr>
            </w:pPr>
            <w:r w:rsidRPr="0037585C">
              <w:rPr>
                <w:bCs/>
              </w:rPr>
              <w:t xml:space="preserve">Professor Patrick McGorry AO, Executive Director, and Kerryn Pennell, Director, Strategy &amp; Development, Orygen </w:t>
            </w:r>
            <w:r w:rsidR="00EB7E2C">
              <w:rPr>
                <w:bCs/>
              </w:rPr>
              <w:t xml:space="preserve">– </w:t>
            </w:r>
            <w:r w:rsidRPr="0037585C">
              <w:rPr>
                <w:bCs/>
              </w:rPr>
              <w:t xml:space="preserve">The National Centre of Excellence in Youth Mental Health </w:t>
            </w:r>
          </w:p>
        </w:tc>
        <w:tc>
          <w:tcPr>
            <w:tcW w:w="2090" w:type="dxa"/>
          </w:tcPr>
          <w:p w14:paraId="4E61DF6F" w14:textId="77777777" w:rsidR="00275C03" w:rsidRPr="0037585C" w:rsidRDefault="00275C03" w:rsidP="00275C03">
            <w:r w:rsidRPr="0037585C">
              <w:t>AHRC, NSW</w:t>
            </w:r>
          </w:p>
        </w:tc>
      </w:tr>
      <w:tr w:rsidR="00275C03" w:rsidRPr="0037585C" w14:paraId="5B878DF8" w14:textId="77777777" w:rsidTr="00275C03">
        <w:tc>
          <w:tcPr>
            <w:tcW w:w="1242" w:type="dxa"/>
          </w:tcPr>
          <w:p w14:paraId="03A38BD1" w14:textId="4030EB3F" w:rsidR="00275C03" w:rsidRPr="0037585C" w:rsidRDefault="00275C03" w:rsidP="00275C03">
            <w:r w:rsidRPr="0037585C">
              <w:t>07.10.14</w:t>
            </w:r>
          </w:p>
        </w:tc>
        <w:tc>
          <w:tcPr>
            <w:tcW w:w="5954" w:type="dxa"/>
          </w:tcPr>
          <w:p w14:paraId="343771BF" w14:textId="77777777" w:rsidR="00275C03" w:rsidRPr="0037585C" w:rsidRDefault="00275C03" w:rsidP="00275C03">
            <w:pPr>
              <w:rPr>
                <w:bCs/>
              </w:rPr>
            </w:pPr>
            <w:r w:rsidRPr="0037585C">
              <w:rPr>
                <w:bCs/>
              </w:rPr>
              <w:t>Jeremy Lasek, Chief Executive Officer, National Australia Day Council</w:t>
            </w:r>
          </w:p>
        </w:tc>
        <w:tc>
          <w:tcPr>
            <w:tcW w:w="2090" w:type="dxa"/>
          </w:tcPr>
          <w:p w14:paraId="4E13754B" w14:textId="77777777" w:rsidR="00275C03" w:rsidRPr="0037585C" w:rsidRDefault="00275C03" w:rsidP="00275C03">
            <w:r w:rsidRPr="0037585C">
              <w:t>AHRC, NSW</w:t>
            </w:r>
          </w:p>
        </w:tc>
      </w:tr>
      <w:tr w:rsidR="00275C03" w:rsidRPr="0037585C" w14:paraId="072C7F97" w14:textId="77777777" w:rsidTr="00275C03">
        <w:tc>
          <w:tcPr>
            <w:tcW w:w="1242" w:type="dxa"/>
          </w:tcPr>
          <w:p w14:paraId="7A5E471F" w14:textId="77777777" w:rsidR="00275C03" w:rsidRPr="0037585C" w:rsidRDefault="00275C03" w:rsidP="00275C03">
            <w:r w:rsidRPr="0037585C">
              <w:t>13.10.14</w:t>
            </w:r>
          </w:p>
        </w:tc>
        <w:tc>
          <w:tcPr>
            <w:tcW w:w="5954" w:type="dxa"/>
          </w:tcPr>
          <w:p w14:paraId="0DDB5CE9" w14:textId="77777777" w:rsidR="00275C03" w:rsidRPr="0037585C" w:rsidRDefault="00275C03" w:rsidP="00275C03">
            <w:pPr>
              <w:rPr>
                <w:bCs/>
              </w:rPr>
            </w:pPr>
            <w:r w:rsidRPr="0037585C">
              <w:rPr>
                <w:bCs/>
              </w:rPr>
              <w:t>Cate McKenzie, Group Manager, Multicultural, Settlement Services and Communities Group, and Kris Cala</w:t>
            </w:r>
            <w:r w:rsidRPr="0037585C">
              <w:rPr>
                <w:rFonts w:ascii="Calibri" w:eastAsiaTheme="minorHAnsi" w:hAnsi="Calibri"/>
                <w:color w:val="000000"/>
                <w:sz w:val="22"/>
                <w:szCs w:val="22"/>
                <w:lang w:eastAsia="en-US"/>
              </w:rPr>
              <w:t xml:space="preserve">, </w:t>
            </w:r>
            <w:r w:rsidRPr="0037585C">
              <w:rPr>
                <w:bCs/>
              </w:rPr>
              <w:t>Branch Manager, Settlement Branch, Department of Social Services</w:t>
            </w:r>
          </w:p>
        </w:tc>
        <w:tc>
          <w:tcPr>
            <w:tcW w:w="2090" w:type="dxa"/>
          </w:tcPr>
          <w:p w14:paraId="338818CF" w14:textId="77777777" w:rsidR="00275C03" w:rsidRPr="0037585C" w:rsidRDefault="00275C03" w:rsidP="00275C03">
            <w:r w:rsidRPr="0037585C">
              <w:t>AHRC, NSW</w:t>
            </w:r>
          </w:p>
        </w:tc>
      </w:tr>
      <w:tr w:rsidR="00275C03" w:rsidRPr="0037585C" w14:paraId="28195171" w14:textId="77777777" w:rsidTr="00275C03">
        <w:tc>
          <w:tcPr>
            <w:tcW w:w="1242" w:type="dxa"/>
          </w:tcPr>
          <w:p w14:paraId="512774C8" w14:textId="77777777" w:rsidR="00275C03" w:rsidRPr="0037585C" w:rsidRDefault="00275C03" w:rsidP="00275C03">
            <w:r w:rsidRPr="0037585C">
              <w:t>14.10.14</w:t>
            </w:r>
          </w:p>
        </w:tc>
        <w:tc>
          <w:tcPr>
            <w:tcW w:w="5954" w:type="dxa"/>
          </w:tcPr>
          <w:p w14:paraId="71B80DF2" w14:textId="77777777" w:rsidR="00275C03" w:rsidRPr="0037585C" w:rsidRDefault="00275C03" w:rsidP="00275C03">
            <w:pPr>
              <w:rPr>
                <w:bCs/>
              </w:rPr>
            </w:pPr>
            <w:r w:rsidRPr="0037585C">
              <w:rPr>
                <w:bCs/>
              </w:rPr>
              <w:t>Jayne Meyer Tucker, Good Beginnings</w:t>
            </w:r>
          </w:p>
        </w:tc>
        <w:tc>
          <w:tcPr>
            <w:tcW w:w="2090" w:type="dxa"/>
          </w:tcPr>
          <w:p w14:paraId="3CFBEF55" w14:textId="77777777" w:rsidR="00275C03" w:rsidRPr="0037585C" w:rsidRDefault="00275C03" w:rsidP="00275C03">
            <w:r w:rsidRPr="0037585C">
              <w:t>AHRC, NSW</w:t>
            </w:r>
          </w:p>
        </w:tc>
      </w:tr>
      <w:tr w:rsidR="00275C03" w:rsidRPr="0037585C" w14:paraId="060EF250" w14:textId="77777777" w:rsidTr="00275C03">
        <w:tc>
          <w:tcPr>
            <w:tcW w:w="1242" w:type="dxa"/>
          </w:tcPr>
          <w:p w14:paraId="6E56336A" w14:textId="77777777" w:rsidR="00275C03" w:rsidRPr="0037585C" w:rsidRDefault="00275C03" w:rsidP="00275C03">
            <w:r w:rsidRPr="0037585C">
              <w:t>15.10.14</w:t>
            </w:r>
          </w:p>
        </w:tc>
        <w:tc>
          <w:tcPr>
            <w:tcW w:w="5954" w:type="dxa"/>
          </w:tcPr>
          <w:p w14:paraId="7BFF61C4" w14:textId="77777777" w:rsidR="00275C03" w:rsidRPr="0037585C" w:rsidRDefault="00275C03" w:rsidP="00275C03">
            <w:pPr>
              <w:rPr>
                <w:bCs/>
              </w:rPr>
            </w:pPr>
            <w:r w:rsidRPr="0037585C">
              <w:rPr>
                <w:bCs/>
              </w:rPr>
              <w:t>Obesity Policy Coalition</w:t>
            </w:r>
          </w:p>
        </w:tc>
        <w:tc>
          <w:tcPr>
            <w:tcW w:w="2090" w:type="dxa"/>
          </w:tcPr>
          <w:p w14:paraId="0F568A93" w14:textId="77777777" w:rsidR="00275C03" w:rsidRPr="0037585C" w:rsidRDefault="00275C03" w:rsidP="00275C03">
            <w:r w:rsidRPr="0037585C">
              <w:t>AHRC, NSW</w:t>
            </w:r>
          </w:p>
        </w:tc>
      </w:tr>
      <w:tr w:rsidR="00275C03" w:rsidRPr="0037585C" w14:paraId="19A5C513" w14:textId="77777777" w:rsidTr="00275C03">
        <w:tc>
          <w:tcPr>
            <w:tcW w:w="1242" w:type="dxa"/>
          </w:tcPr>
          <w:p w14:paraId="0672906D" w14:textId="77777777" w:rsidR="00275C03" w:rsidRPr="0037585C" w:rsidRDefault="00275C03" w:rsidP="00275C03">
            <w:r w:rsidRPr="0037585C">
              <w:t>16.10.14</w:t>
            </w:r>
          </w:p>
        </w:tc>
        <w:tc>
          <w:tcPr>
            <w:tcW w:w="5954" w:type="dxa"/>
          </w:tcPr>
          <w:p w14:paraId="741B6343" w14:textId="77777777" w:rsidR="00275C03" w:rsidRPr="0037585C" w:rsidRDefault="00275C03" w:rsidP="00275C03">
            <w:pPr>
              <w:rPr>
                <w:bCs/>
              </w:rPr>
            </w:pPr>
            <w:r w:rsidRPr="0037585C">
              <w:rPr>
                <w:bCs/>
              </w:rPr>
              <w:t>Jacqui Reed, Chief Executive Officer, and Noelle Hudson</w:t>
            </w:r>
            <w:r w:rsidRPr="0037585C">
              <w:rPr>
                <w:rFonts w:cs="Arial"/>
                <w:color w:val="545454"/>
                <w:shd w:val="clear" w:color="auto" w:fill="FFFFFF"/>
              </w:rPr>
              <w:t xml:space="preserve">, </w:t>
            </w:r>
            <w:r w:rsidRPr="0037585C">
              <w:rPr>
                <w:bCs/>
              </w:rPr>
              <w:t xml:space="preserve">National Policy and Advocacy Manager, </w:t>
            </w:r>
            <w:r w:rsidRPr="0037585C">
              <w:rPr>
                <w:bCs/>
              </w:rPr>
              <w:lastRenderedPageBreak/>
              <w:t>CREATE Foundation</w:t>
            </w:r>
          </w:p>
        </w:tc>
        <w:tc>
          <w:tcPr>
            <w:tcW w:w="2090" w:type="dxa"/>
          </w:tcPr>
          <w:p w14:paraId="59BBEDFC" w14:textId="77777777" w:rsidR="00275C03" w:rsidRPr="0037585C" w:rsidRDefault="00275C03" w:rsidP="00275C03">
            <w:r w:rsidRPr="0037585C">
              <w:lastRenderedPageBreak/>
              <w:t>AHRC, NSW</w:t>
            </w:r>
          </w:p>
        </w:tc>
      </w:tr>
      <w:tr w:rsidR="00275C03" w:rsidRPr="0037585C" w14:paraId="1604EED9" w14:textId="77777777" w:rsidTr="00275C03">
        <w:tc>
          <w:tcPr>
            <w:tcW w:w="1242" w:type="dxa"/>
          </w:tcPr>
          <w:p w14:paraId="07862C4B" w14:textId="77777777" w:rsidR="00275C03" w:rsidRPr="0037585C" w:rsidRDefault="00275C03" w:rsidP="00275C03">
            <w:r w:rsidRPr="0037585C">
              <w:lastRenderedPageBreak/>
              <w:t>17.10.14</w:t>
            </w:r>
          </w:p>
        </w:tc>
        <w:tc>
          <w:tcPr>
            <w:tcW w:w="5954" w:type="dxa"/>
          </w:tcPr>
          <w:p w14:paraId="415DEA2D" w14:textId="77777777" w:rsidR="00275C03" w:rsidRPr="0037585C" w:rsidRDefault="00275C03" w:rsidP="00275C03">
            <w:pPr>
              <w:rPr>
                <w:bCs/>
              </w:rPr>
            </w:pPr>
            <w:r w:rsidRPr="0037585C">
              <w:rPr>
                <w:bCs/>
              </w:rPr>
              <w:t>Professor Elizabeth Handsley, President of the Australian Council on Children and the Media</w:t>
            </w:r>
          </w:p>
        </w:tc>
        <w:tc>
          <w:tcPr>
            <w:tcW w:w="2090" w:type="dxa"/>
          </w:tcPr>
          <w:p w14:paraId="4AED8B47" w14:textId="77777777" w:rsidR="00275C03" w:rsidRPr="0037585C" w:rsidRDefault="00275C03" w:rsidP="00275C03">
            <w:r w:rsidRPr="0037585C">
              <w:t>Adelaide, SA</w:t>
            </w:r>
          </w:p>
        </w:tc>
      </w:tr>
      <w:tr w:rsidR="00275C03" w:rsidRPr="0037585C" w14:paraId="6DB0F10F" w14:textId="77777777" w:rsidTr="00275C03">
        <w:tc>
          <w:tcPr>
            <w:tcW w:w="1242" w:type="dxa"/>
          </w:tcPr>
          <w:p w14:paraId="564BBC51" w14:textId="77777777" w:rsidR="00275C03" w:rsidRPr="0037585C" w:rsidRDefault="00275C03" w:rsidP="00275C03">
            <w:r w:rsidRPr="0037585C">
              <w:t>20.10.14</w:t>
            </w:r>
          </w:p>
        </w:tc>
        <w:tc>
          <w:tcPr>
            <w:tcW w:w="5954" w:type="dxa"/>
          </w:tcPr>
          <w:p w14:paraId="32846630" w14:textId="64C9A51A" w:rsidR="00275C03" w:rsidRPr="0037585C" w:rsidRDefault="008033BC" w:rsidP="00275C03">
            <w:pPr>
              <w:rPr>
                <w:bCs/>
              </w:rPr>
            </w:pPr>
            <w:r>
              <w:rPr>
                <w:bCs/>
              </w:rPr>
              <w:t xml:space="preserve">The Hon </w:t>
            </w:r>
            <w:r w:rsidR="00275C03" w:rsidRPr="0037585C">
              <w:rPr>
                <w:bCs/>
              </w:rPr>
              <w:t>Mark Dreyfus QC MP, Shadow Attorney-General, Shadow Minister for Arts, Federal Labor Member for Isaacs </w:t>
            </w:r>
          </w:p>
        </w:tc>
        <w:tc>
          <w:tcPr>
            <w:tcW w:w="2090" w:type="dxa"/>
          </w:tcPr>
          <w:p w14:paraId="1C511575" w14:textId="77777777" w:rsidR="00275C03" w:rsidRPr="0037585C" w:rsidRDefault="00275C03" w:rsidP="00275C03">
            <w:r w:rsidRPr="0037585C">
              <w:t>Sydney, NSW</w:t>
            </w:r>
          </w:p>
        </w:tc>
      </w:tr>
      <w:tr w:rsidR="00275C03" w:rsidRPr="0037585C" w14:paraId="486FFF4A" w14:textId="77777777" w:rsidTr="00275C03">
        <w:tc>
          <w:tcPr>
            <w:tcW w:w="1242" w:type="dxa"/>
          </w:tcPr>
          <w:p w14:paraId="381CB832" w14:textId="77777777" w:rsidR="00275C03" w:rsidRPr="0037585C" w:rsidRDefault="00275C03" w:rsidP="00275C03">
            <w:r w:rsidRPr="0037585C">
              <w:t>22.10.14</w:t>
            </w:r>
          </w:p>
        </w:tc>
        <w:tc>
          <w:tcPr>
            <w:tcW w:w="5954" w:type="dxa"/>
          </w:tcPr>
          <w:p w14:paraId="40D337CC" w14:textId="77777777" w:rsidR="00275C03" w:rsidRPr="0037585C" w:rsidRDefault="00275C03" w:rsidP="00275C03">
            <w:pPr>
              <w:rPr>
                <w:bCs/>
              </w:rPr>
            </w:pPr>
            <w:r w:rsidRPr="0037585C">
              <w:rPr>
                <w:bCs/>
              </w:rPr>
              <w:t>Professor Richard Chisholm AM, Australian National University</w:t>
            </w:r>
          </w:p>
        </w:tc>
        <w:tc>
          <w:tcPr>
            <w:tcW w:w="2090" w:type="dxa"/>
          </w:tcPr>
          <w:p w14:paraId="02105A97" w14:textId="77777777" w:rsidR="00275C03" w:rsidRPr="0037585C" w:rsidRDefault="00275C03" w:rsidP="00275C03">
            <w:r w:rsidRPr="0037585C">
              <w:t>Sydney, NSW</w:t>
            </w:r>
          </w:p>
        </w:tc>
      </w:tr>
      <w:tr w:rsidR="00275C03" w:rsidRPr="0037585C" w14:paraId="12D794D8" w14:textId="77777777" w:rsidTr="00275C03">
        <w:tc>
          <w:tcPr>
            <w:tcW w:w="1242" w:type="dxa"/>
          </w:tcPr>
          <w:p w14:paraId="0BA188B7" w14:textId="77777777" w:rsidR="00275C03" w:rsidRPr="0037585C" w:rsidRDefault="00275C03" w:rsidP="00275C03">
            <w:r w:rsidRPr="0037585C">
              <w:t>29.10.14</w:t>
            </w:r>
          </w:p>
        </w:tc>
        <w:tc>
          <w:tcPr>
            <w:tcW w:w="5954" w:type="dxa"/>
          </w:tcPr>
          <w:p w14:paraId="4F067BE4" w14:textId="77777777" w:rsidR="00275C03" w:rsidRPr="0037585C" w:rsidRDefault="00275C03" w:rsidP="00275C03">
            <w:pPr>
              <w:rPr>
                <w:bCs/>
                <w:highlight w:val="magenta"/>
              </w:rPr>
            </w:pPr>
            <w:r w:rsidRPr="0037585C">
              <w:rPr>
                <w:bCs/>
              </w:rPr>
              <w:t>Liz Hefren-Webb,</w:t>
            </w:r>
            <w:r w:rsidRPr="0037585C">
              <w:rPr>
                <w:rFonts w:eastAsiaTheme="minorHAnsi" w:cs="Arial"/>
                <w:bCs/>
                <w:color w:val="5F5F5F"/>
                <w:sz w:val="22"/>
                <w:szCs w:val="22"/>
              </w:rPr>
              <w:t xml:space="preserve"> </w:t>
            </w:r>
            <w:r w:rsidRPr="0037585C">
              <w:rPr>
                <w:bCs/>
              </w:rPr>
              <w:t>A/g Group Manager, Families Group, Department of Social Services</w:t>
            </w:r>
            <w:r w:rsidRPr="0037585C">
              <w:rPr>
                <w:rFonts w:eastAsiaTheme="minorHAnsi" w:cs="Arial"/>
                <w:color w:val="5F5F5F"/>
                <w:sz w:val="18"/>
                <w:szCs w:val="18"/>
              </w:rPr>
              <w:t xml:space="preserve"> </w:t>
            </w:r>
          </w:p>
        </w:tc>
        <w:tc>
          <w:tcPr>
            <w:tcW w:w="2090" w:type="dxa"/>
          </w:tcPr>
          <w:p w14:paraId="46CBC87F" w14:textId="77777777" w:rsidR="00275C03" w:rsidRPr="0037585C" w:rsidRDefault="00275C03" w:rsidP="00275C03">
            <w:r w:rsidRPr="0037585C">
              <w:t>Sydney, NSW</w:t>
            </w:r>
          </w:p>
        </w:tc>
      </w:tr>
      <w:tr w:rsidR="00275C03" w:rsidRPr="0037585C" w14:paraId="282F460C" w14:textId="77777777" w:rsidTr="00275C03">
        <w:tc>
          <w:tcPr>
            <w:tcW w:w="1242" w:type="dxa"/>
          </w:tcPr>
          <w:p w14:paraId="7375DABD" w14:textId="77777777" w:rsidR="00275C03" w:rsidRPr="0037585C" w:rsidRDefault="00275C03" w:rsidP="00275C03">
            <w:r w:rsidRPr="0037585C">
              <w:t>30.10.14</w:t>
            </w:r>
          </w:p>
        </w:tc>
        <w:tc>
          <w:tcPr>
            <w:tcW w:w="5954" w:type="dxa"/>
          </w:tcPr>
          <w:p w14:paraId="0B556E50" w14:textId="6895994B" w:rsidR="00275C03" w:rsidRPr="0037585C" w:rsidRDefault="00275C03" w:rsidP="00275C03">
            <w:pPr>
              <w:rPr>
                <w:bCs/>
              </w:rPr>
            </w:pPr>
            <w:r w:rsidRPr="0037585C">
              <w:rPr>
                <w:bCs/>
              </w:rPr>
              <w:t>Greg Priory, Deputy Director General</w:t>
            </w:r>
            <w:r w:rsidR="004833CA">
              <w:rPr>
                <w:bCs/>
              </w:rPr>
              <w:t>,</w:t>
            </w:r>
            <w:r w:rsidRPr="0037585C">
              <w:rPr>
                <w:bCs/>
              </w:rPr>
              <w:t xml:space="preserve"> Department of Education New South Wales; Jim Davies, Chief Executive Officer, Principals Australia Institute; and Suzanne Curyer, Director of Programs,  Principals Australia Institute </w:t>
            </w:r>
          </w:p>
        </w:tc>
        <w:tc>
          <w:tcPr>
            <w:tcW w:w="2090" w:type="dxa"/>
          </w:tcPr>
          <w:p w14:paraId="6775AB08" w14:textId="77777777" w:rsidR="00275C03" w:rsidRPr="0037585C" w:rsidRDefault="00275C03" w:rsidP="00275C03">
            <w:r w:rsidRPr="0037585C">
              <w:t>Sydney, NSW</w:t>
            </w:r>
          </w:p>
        </w:tc>
      </w:tr>
      <w:tr w:rsidR="00275C03" w:rsidRPr="0037585C" w14:paraId="3F582926" w14:textId="77777777" w:rsidTr="00275C03">
        <w:tc>
          <w:tcPr>
            <w:tcW w:w="1242" w:type="dxa"/>
          </w:tcPr>
          <w:p w14:paraId="389F02AA" w14:textId="77777777" w:rsidR="00275C03" w:rsidRPr="0037585C" w:rsidRDefault="00275C03" w:rsidP="00275C03">
            <w:r w:rsidRPr="0037585C">
              <w:t>06.11.14</w:t>
            </w:r>
          </w:p>
        </w:tc>
        <w:tc>
          <w:tcPr>
            <w:tcW w:w="5954" w:type="dxa"/>
          </w:tcPr>
          <w:p w14:paraId="47361876" w14:textId="77777777" w:rsidR="00275C03" w:rsidRPr="0037585C" w:rsidRDefault="00275C03" w:rsidP="00275C03">
            <w:pPr>
              <w:rPr>
                <w:bCs/>
              </w:rPr>
            </w:pPr>
            <w:r w:rsidRPr="0037585C">
              <w:rPr>
                <w:bCs/>
              </w:rPr>
              <w:t xml:space="preserve">Kate Strohm, Director, Siblings Australia Inc. </w:t>
            </w:r>
          </w:p>
        </w:tc>
        <w:tc>
          <w:tcPr>
            <w:tcW w:w="2090" w:type="dxa"/>
          </w:tcPr>
          <w:p w14:paraId="01554581" w14:textId="77777777" w:rsidR="00275C03" w:rsidRPr="0037585C" w:rsidRDefault="00275C03" w:rsidP="00275C03">
            <w:r w:rsidRPr="0037585C">
              <w:t>Sydney, NSW</w:t>
            </w:r>
          </w:p>
        </w:tc>
      </w:tr>
      <w:tr w:rsidR="00275C03" w:rsidRPr="0037585C" w14:paraId="2679CBDB" w14:textId="77777777" w:rsidTr="00275C03">
        <w:tc>
          <w:tcPr>
            <w:tcW w:w="1242" w:type="dxa"/>
          </w:tcPr>
          <w:p w14:paraId="342F74FE" w14:textId="77777777" w:rsidR="00275C03" w:rsidRPr="0037585C" w:rsidRDefault="00275C03" w:rsidP="00275C03">
            <w:r w:rsidRPr="0037585C">
              <w:t>07.11.14</w:t>
            </w:r>
          </w:p>
        </w:tc>
        <w:tc>
          <w:tcPr>
            <w:tcW w:w="5954" w:type="dxa"/>
          </w:tcPr>
          <w:p w14:paraId="1BA7FF94" w14:textId="77777777" w:rsidR="00275C03" w:rsidRPr="0037585C" w:rsidRDefault="00275C03" w:rsidP="00275C03">
            <w:pPr>
              <w:rPr>
                <w:bCs/>
              </w:rPr>
            </w:pPr>
            <w:r w:rsidRPr="0037585C">
              <w:rPr>
                <w:bCs/>
              </w:rPr>
              <w:t>Dr Robyn Mildon, Director, and Warren Cann, Chief Executive Officer,  Parenting Research Centre</w:t>
            </w:r>
          </w:p>
        </w:tc>
        <w:tc>
          <w:tcPr>
            <w:tcW w:w="2090" w:type="dxa"/>
          </w:tcPr>
          <w:p w14:paraId="1704994D" w14:textId="77777777" w:rsidR="00275C03" w:rsidRPr="0037585C" w:rsidRDefault="00275C03" w:rsidP="00275C03">
            <w:r w:rsidRPr="0037585C">
              <w:t>AHRC NSW</w:t>
            </w:r>
          </w:p>
        </w:tc>
      </w:tr>
      <w:tr w:rsidR="00275C03" w:rsidRPr="0037585C" w14:paraId="160B5B1E" w14:textId="77777777" w:rsidTr="00275C03">
        <w:tc>
          <w:tcPr>
            <w:tcW w:w="1242" w:type="dxa"/>
          </w:tcPr>
          <w:p w14:paraId="298E62D5" w14:textId="77777777" w:rsidR="00275C03" w:rsidRPr="0037585C" w:rsidRDefault="00275C03" w:rsidP="00275C03">
            <w:r w:rsidRPr="0037585C">
              <w:t>10.11.14</w:t>
            </w:r>
          </w:p>
        </w:tc>
        <w:tc>
          <w:tcPr>
            <w:tcW w:w="5954" w:type="dxa"/>
          </w:tcPr>
          <w:p w14:paraId="567249CA" w14:textId="77777777" w:rsidR="00275C03" w:rsidRPr="0037585C" w:rsidRDefault="00275C03" w:rsidP="00275C03">
            <w:pPr>
              <w:rPr>
                <w:bCs/>
              </w:rPr>
            </w:pPr>
            <w:r w:rsidRPr="0037585C">
              <w:rPr>
                <w:bCs/>
              </w:rPr>
              <w:t xml:space="preserve">Marvin Bernstein, Chief Policy Advisor/Conseiller Principal en Matière de Politiques, UNICEF Canada </w:t>
            </w:r>
          </w:p>
        </w:tc>
        <w:tc>
          <w:tcPr>
            <w:tcW w:w="2090" w:type="dxa"/>
          </w:tcPr>
          <w:p w14:paraId="79859E00" w14:textId="77777777" w:rsidR="00275C03" w:rsidRPr="0037585C" w:rsidRDefault="00275C03" w:rsidP="00275C03">
            <w:r w:rsidRPr="0037585C">
              <w:t>Sydney, NSW</w:t>
            </w:r>
          </w:p>
        </w:tc>
      </w:tr>
      <w:tr w:rsidR="00275C03" w:rsidRPr="0037585C" w14:paraId="249178BF" w14:textId="77777777" w:rsidTr="00275C03">
        <w:tc>
          <w:tcPr>
            <w:tcW w:w="1242" w:type="dxa"/>
          </w:tcPr>
          <w:p w14:paraId="4CB33DC7" w14:textId="77777777" w:rsidR="00275C03" w:rsidRPr="0037585C" w:rsidRDefault="00275C03" w:rsidP="00275C03">
            <w:r w:rsidRPr="0037585C">
              <w:t>13.11.14</w:t>
            </w:r>
          </w:p>
        </w:tc>
        <w:tc>
          <w:tcPr>
            <w:tcW w:w="5954" w:type="dxa"/>
          </w:tcPr>
          <w:p w14:paraId="1355D7C2" w14:textId="77777777" w:rsidR="00275C03" w:rsidRPr="0037585C" w:rsidRDefault="00275C03" w:rsidP="00275C03">
            <w:pPr>
              <w:rPr>
                <w:bCs/>
              </w:rPr>
            </w:pPr>
            <w:r w:rsidRPr="0037585C">
              <w:rPr>
                <w:bCs/>
              </w:rPr>
              <w:t xml:space="preserve">Tarina Russell, Policy and Strategy, Royal Commission into Institutional Responses to Child Sexual Abuse </w:t>
            </w:r>
          </w:p>
        </w:tc>
        <w:tc>
          <w:tcPr>
            <w:tcW w:w="2090" w:type="dxa"/>
          </w:tcPr>
          <w:p w14:paraId="5F42E67F" w14:textId="77777777" w:rsidR="00275C03" w:rsidRPr="0037585C" w:rsidRDefault="00275C03" w:rsidP="00275C03">
            <w:r w:rsidRPr="0037585C">
              <w:t>AHRC, NSW</w:t>
            </w:r>
          </w:p>
        </w:tc>
      </w:tr>
      <w:tr w:rsidR="00275C03" w:rsidRPr="0037585C" w14:paraId="72E67DB6" w14:textId="77777777" w:rsidTr="00275C03">
        <w:tc>
          <w:tcPr>
            <w:tcW w:w="1242" w:type="dxa"/>
          </w:tcPr>
          <w:p w14:paraId="7BD1EC5C" w14:textId="77777777" w:rsidR="00275C03" w:rsidRPr="0037585C" w:rsidRDefault="00275C03" w:rsidP="00275C03">
            <w:r w:rsidRPr="0037585C">
              <w:t>14.11.14</w:t>
            </w:r>
          </w:p>
        </w:tc>
        <w:tc>
          <w:tcPr>
            <w:tcW w:w="5954" w:type="dxa"/>
          </w:tcPr>
          <w:p w14:paraId="3F656F5F" w14:textId="77777777" w:rsidR="00275C03" w:rsidRPr="0037585C" w:rsidRDefault="00275C03" w:rsidP="00275C03">
            <w:pPr>
              <w:rPr>
                <w:bCs/>
                <w:highlight w:val="magenta"/>
              </w:rPr>
            </w:pPr>
            <w:r w:rsidRPr="0037585C">
              <w:rPr>
                <w:bCs/>
              </w:rPr>
              <w:t>Anne McLeish, Director, Grandparents Victoria</w:t>
            </w:r>
          </w:p>
        </w:tc>
        <w:tc>
          <w:tcPr>
            <w:tcW w:w="2090" w:type="dxa"/>
          </w:tcPr>
          <w:p w14:paraId="316E635C" w14:textId="77777777" w:rsidR="00275C03" w:rsidRPr="0037585C" w:rsidRDefault="00275C03" w:rsidP="00275C03">
            <w:r w:rsidRPr="0037585C">
              <w:t>AHRC, NSW</w:t>
            </w:r>
          </w:p>
        </w:tc>
      </w:tr>
      <w:tr w:rsidR="00275C03" w:rsidRPr="0037585C" w14:paraId="796F16B2" w14:textId="77777777" w:rsidTr="00275C03">
        <w:tc>
          <w:tcPr>
            <w:tcW w:w="1242" w:type="dxa"/>
          </w:tcPr>
          <w:p w14:paraId="0F719F4A" w14:textId="77777777" w:rsidR="00275C03" w:rsidRPr="0037585C" w:rsidRDefault="00275C03" w:rsidP="00275C03">
            <w:r w:rsidRPr="0037585C">
              <w:t>14.11.14</w:t>
            </w:r>
          </w:p>
        </w:tc>
        <w:tc>
          <w:tcPr>
            <w:tcW w:w="5954" w:type="dxa"/>
          </w:tcPr>
          <w:p w14:paraId="14F88A37" w14:textId="77777777" w:rsidR="00275C03" w:rsidRPr="0037585C" w:rsidRDefault="00275C03" w:rsidP="00275C03">
            <w:pPr>
              <w:rPr>
                <w:bCs/>
              </w:rPr>
            </w:pPr>
            <w:r w:rsidRPr="0037585C">
              <w:rPr>
                <w:bCs/>
              </w:rPr>
              <w:t>Dr Terry Harding, General Manager, Schools Department, Christian Education Ministries</w:t>
            </w:r>
          </w:p>
        </w:tc>
        <w:tc>
          <w:tcPr>
            <w:tcW w:w="2090" w:type="dxa"/>
          </w:tcPr>
          <w:p w14:paraId="1DDB1987" w14:textId="77777777" w:rsidR="00275C03" w:rsidRPr="0037585C" w:rsidRDefault="00275C03" w:rsidP="00275C03">
            <w:r w:rsidRPr="0037585C">
              <w:t>AHRC, NSW</w:t>
            </w:r>
          </w:p>
        </w:tc>
      </w:tr>
      <w:tr w:rsidR="00275C03" w:rsidRPr="0037585C" w14:paraId="16E4E387" w14:textId="77777777" w:rsidTr="00275C03">
        <w:tc>
          <w:tcPr>
            <w:tcW w:w="1242" w:type="dxa"/>
          </w:tcPr>
          <w:p w14:paraId="35C6B5E2" w14:textId="77777777" w:rsidR="00275C03" w:rsidRPr="0037585C" w:rsidRDefault="00275C03" w:rsidP="00275C03">
            <w:r w:rsidRPr="0037585C">
              <w:t>17.11.14</w:t>
            </w:r>
          </w:p>
        </w:tc>
        <w:tc>
          <w:tcPr>
            <w:tcW w:w="5954" w:type="dxa"/>
          </w:tcPr>
          <w:p w14:paraId="233C6576" w14:textId="1460CCD3" w:rsidR="00275C03" w:rsidRPr="0037585C" w:rsidRDefault="00275C03" w:rsidP="00275C03">
            <w:pPr>
              <w:rPr>
                <w:bCs/>
              </w:rPr>
            </w:pPr>
            <w:r w:rsidRPr="0037585C">
              <w:rPr>
                <w:bCs/>
              </w:rPr>
              <w:t>Jodie Christinat, Coordinator, and Glen Gerreyn</w:t>
            </w:r>
            <w:r w:rsidR="00A52881">
              <w:rPr>
                <w:bCs/>
              </w:rPr>
              <w:t>,</w:t>
            </w:r>
            <w:r w:rsidRPr="0037585C">
              <w:rPr>
                <w:bCs/>
              </w:rPr>
              <w:t xml:space="preserve"> Director, The Roar Effect</w:t>
            </w:r>
          </w:p>
        </w:tc>
        <w:tc>
          <w:tcPr>
            <w:tcW w:w="2090" w:type="dxa"/>
          </w:tcPr>
          <w:p w14:paraId="5F0D28D9" w14:textId="77777777" w:rsidR="00275C03" w:rsidRPr="0037585C" w:rsidRDefault="00275C03" w:rsidP="00275C03">
            <w:r w:rsidRPr="0037585C">
              <w:t>AHRC, NSW</w:t>
            </w:r>
          </w:p>
        </w:tc>
      </w:tr>
      <w:tr w:rsidR="00275C03" w:rsidRPr="0037585C" w14:paraId="1F207FA0" w14:textId="77777777" w:rsidTr="00275C03">
        <w:tc>
          <w:tcPr>
            <w:tcW w:w="1242" w:type="dxa"/>
          </w:tcPr>
          <w:p w14:paraId="65F96B96" w14:textId="77777777" w:rsidR="00275C03" w:rsidRPr="0037585C" w:rsidRDefault="00275C03" w:rsidP="00275C03">
            <w:r w:rsidRPr="0037585C">
              <w:lastRenderedPageBreak/>
              <w:t>19.11.14</w:t>
            </w:r>
          </w:p>
        </w:tc>
        <w:tc>
          <w:tcPr>
            <w:tcW w:w="5954" w:type="dxa"/>
          </w:tcPr>
          <w:p w14:paraId="2CA14684" w14:textId="77777777" w:rsidR="00275C03" w:rsidRPr="0037585C" w:rsidRDefault="00275C03" w:rsidP="00275C03">
            <w:pPr>
              <w:rPr>
                <w:bCs/>
              </w:rPr>
            </w:pPr>
            <w:r w:rsidRPr="0037585C">
              <w:rPr>
                <w:bCs/>
              </w:rPr>
              <w:t>Professor Alan Hayes, Director, Australian Institute of Family Studies</w:t>
            </w:r>
          </w:p>
        </w:tc>
        <w:tc>
          <w:tcPr>
            <w:tcW w:w="2090" w:type="dxa"/>
          </w:tcPr>
          <w:p w14:paraId="421AF472" w14:textId="77777777" w:rsidR="00275C03" w:rsidRPr="0037585C" w:rsidRDefault="00275C03" w:rsidP="00275C03">
            <w:r w:rsidRPr="0037585C">
              <w:t>Melbourne, VIC</w:t>
            </w:r>
          </w:p>
        </w:tc>
      </w:tr>
      <w:tr w:rsidR="00275C03" w:rsidRPr="0037585C" w14:paraId="7D2F4315" w14:textId="77777777" w:rsidTr="00275C03">
        <w:tc>
          <w:tcPr>
            <w:tcW w:w="1242" w:type="dxa"/>
          </w:tcPr>
          <w:p w14:paraId="3CCCD82B" w14:textId="77777777" w:rsidR="00275C03" w:rsidRPr="0037585C" w:rsidRDefault="00275C03" w:rsidP="00275C03">
            <w:r w:rsidRPr="0037585C">
              <w:t>20.11.14</w:t>
            </w:r>
          </w:p>
        </w:tc>
        <w:tc>
          <w:tcPr>
            <w:tcW w:w="5954" w:type="dxa"/>
          </w:tcPr>
          <w:p w14:paraId="198DC88F" w14:textId="4D72DD1A" w:rsidR="00275C03" w:rsidRPr="0037585C" w:rsidRDefault="00275C03" w:rsidP="00275C03">
            <w:pPr>
              <w:rPr>
                <w:bCs/>
              </w:rPr>
            </w:pPr>
            <w:r w:rsidRPr="0037585C">
              <w:rPr>
                <w:bCs/>
              </w:rPr>
              <w:t>Cath</w:t>
            </w:r>
            <w:r w:rsidR="00A52881">
              <w:rPr>
                <w:bCs/>
              </w:rPr>
              <w:t>e</w:t>
            </w:r>
            <w:r w:rsidRPr="0037585C">
              <w:rPr>
                <w:bCs/>
              </w:rPr>
              <w:t>rine Lynch,</w:t>
            </w:r>
            <w:r w:rsidRPr="0037585C">
              <w:t xml:space="preserve"> </w:t>
            </w:r>
            <w:r w:rsidRPr="0037585C">
              <w:rPr>
                <w:bCs/>
              </w:rPr>
              <w:t>General Manager,</w:t>
            </w:r>
            <w:r w:rsidRPr="0037585C">
              <w:rPr>
                <w:color w:val="1F497D"/>
              </w:rPr>
              <w:t xml:space="preserve"> </w:t>
            </w:r>
            <w:r w:rsidRPr="0037585C">
              <w:rPr>
                <w:bCs/>
              </w:rPr>
              <w:t>Policy and Research Branch, Royal Commission into Institutional Responses to Child Sexual Abuse</w:t>
            </w:r>
          </w:p>
        </w:tc>
        <w:tc>
          <w:tcPr>
            <w:tcW w:w="2090" w:type="dxa"/>
          </w:tcPr>
          <w:p w14:paraId="6F53CEBE" w14:textId="77777777" w:rsidR="00275C03" w:rsidRPr="0037585C" w:rsidRDefault="00275C03" w:rsidP="00275C03">
            <w:r w:rsidRPr="0037585C">
              <w:t>AHRC, NSW</w:t>
            </w:r>
          </w:p>
        </w:tc>
      </w:tr>
      <w:tr w:rsidR="00275C03" w:rsidRPr="0037585C" w14:paraId="10DEC35F" w14:textId="77777777" w:rsidTr="00275C03">
        <w:tc>
          <w:tcPr>
            <w:tcW w:w="1242" w:type="dxa"/>
          </w:tcPr>
          <w:p w14:paraId="192D8AC5" w14:textId="77777777" w:rsidR="00275C03" w:rsidRPr="00F77787" w:rsidRDefault="00275C03" w:rsidP="00275C03">
            <w:r w:rsidRPr="00F77787">
              <w:t>21.11.14</w:t>
            </w:r>
          </w:p>
        </w:tc>
        <w:tc>
          <w:tcPr>
            <w:tcW w:w="5954" w:type="dxa"/>
          </w:tcPr>
          <w:p w14:paraId="03317113" w14:textId="09377C38" w:rsidR="00275C03" w:rsidRPr="00F77787" w:rsidRDefault="00F77787" w:rsidP="00E767C7">
            <w:pPr>
              <w:rPr>
                <w:bCs/>
              </w:rPr>
            </w:pPr>
            <w:r w:rsidRPr="00F77787">
              <w:rPr>
                <w:bCs/>
              </w:rPr>
              <w:t>Chryne Griffiths, Aboriginal and Perinatal &amp; Infant Social &amp; Emotional Wellbeing Consultant, NSW Government Health, South Western Sydney Local Health District</w:t>
            </w:r>
          </w:p>
        </w:tc>
        <w:tc>
          <w:tcPr>
            <w:tcW w:w="2090" w:type="dxa"/>
          </w:tcPr>
          <w:p w14:paraId="1ACBA0A6" w14:textId="77777777" w:rsidR="00275C03" w:rsidRPr="00F77787" w:rsidRDefault="00275C03" w:rsidP="00275C03">
            <w:r w:rsidRPr="00F77787">
              <w:t>AHRC, NSW</w:t>
            </w:r>
          </w:p>
        </w:tc>
      </w:tr>
      <w:tr w:rsidR="00275C03" w:rsidRPr="0037585C" w14:paraId="74ADB7FA" w14:textId="77777777" w:rsidTr="00275C03">
        <w:tc>
          <w:tcPr>
            <w:tcW w:w="1242" w:type="dxa"/>
          </w:tcPr>
          <w:p w14:paraId="4CF9CD6E" w14:textId="77777777" w:rsidR="00275C03" w:rsidRPr="0037585C" w:rsidRDefault="00275C03" w:rsidP="00275C03">
            <w:r w:rsidRPr="0037585C">
              <w:t>21.11.14</w:t>
            </w:r>
          </w:p>
        </w:tc>
        <w:tc>
          <w:tcPr>
            <w:tcW w:w="5954" w:type="dxa"/>
          </w:tcPr>
          <w:p w14:paraId="264ADE76" w14:textId="77777777" w:rsidR="00275C03" w:rsidRPr="0037585C" w:rsidRDefault="00275C03" w:rsidP="00275C03">
            <w:pPr>
              <w:rPr>
                <w:bCs/>
                <w:highlight w:val="magenta"/>
              </w:rPr>
            </w:pPr>
            <w:r w:rsidRPr="0037585C">
              <w:rPr>
                <w:bCs/>
              </w:rPr>
              <w:t>Claire Robbs, Chief Executive, Life Without Barriers and Mary McKinnon, Director Practice &amp; Service, Life Without Barriers</w:t>
            </w:r>
          </w:p>
        </w:tc>
        <w:tc>
          <w:tcPr>
            <w:tcW w:w="2090" w:type="dxa"/>
          </w:tcPr>
          <w:p w14:paraId="2145251E" w14:textId="77777777" w:rsidR="00275C03" w:rsidRPr="0037585C" w:rsidRDefault="00275C03" w:rsidP="00275C03">
            <w:r w:rsidRPr="0037585C">
              <w:t>AHRC, NSW</w:t>
            </w:r>
          </w:p>
        </w:tc>
      </w:tr>
      <w:tr w:rsidR="00275C03" w:rsidRPr="0037585C" w14:paraId="67E0146F" w14:textId="77777777" w:rsidTr="00275C03">
        <w:tc>
          <w:tcPr>
            <w:tcW w:w="1242" w:type="dxa"/>
          </w:tcPr>
          <w:p w14:paraId="4777E7FB" w14:textId="77777777" w:rsidR="00275C03" w:rsidRPr="0037585C" w:rsidRDefault="00275C03" w:rsidP="00275C03">
            <w:r w:rsidRPr="0037585C">
              <w:t>26.11.14</w:t>
            </w:r>
          </w:p>
        </w:tc>
        <w:tc>
          <w:tcPr>
            <w:tcW w:w="5954" w:type="dxa"/>
          </w:tcPr>
          <w:p w14:paraId="5E0B7341" w14:textId="5234947D" w:rsidR="00275C03" w:rsidRPr="0037585C" w:rsidRDefault="00275C03" w:rsidP="00275C03">
            <w:pPr>
              <w:rPr>
                <w:bCs/>
              </w:rPr>
            </w:pPr>
            <w:r w:rsidRPr="0037585C">
              <w:rPr>
                <w:bCs/>
              </w:rPr>
              <w:t xml:space="preserve">Reuben Cunningham, </w:t>
            </w:r>
            <w:r w:rsidR="00294875" w:rsidRPr="00294875">
              <w:rPr>
                <w:bCs/>
              </w:rPr>
              <w:t>Operations Manager</w:t>
            </w:r>
            <w:r w:rsidR="00294875">
              <w:rPr>
                <w:bCs/>
              </w:rPr>
              <w:t xml:space="preserve">, </w:t>
            </w:r>
            <w:r w:rsidRPr="0037585C">
              <w:rPr>
                <w:bCs/>
              </w:rPr>
              <w:t>Angels Goal</w:t>
            </w:r>
          </w:p>
        </w:tc>
        <w:tc>
          <w:tcPr>
            <w:tcW w:w="2090" w:type="dxa"/>
          </w:tcPr>
          <w:p w14:paraId="7851741A" w14:textId="77777777" w:rsidR="00275C03" w:rsidRPr="0037585C" w:rsidRDefault="00275C03" w:rsidP="00275C03">
            <w:r w:rsidRPr="0037585C">
              <w:t>AHRC, NSW</w:t>
            </w:r>
          </w:p>
        </w:tc>
      </w:tr>
      <w:tr w:rsidR="00275C03" w:rsidRPr="0037585C" w14:paraId="67A36E8F" w14:textId="77777777" w:rsidTr="00275C03">
        <w:tc>
          <w:tcPr>
            <w:tcW w:w="1242" w:type="dxa"/>
          </w:tcPr>
          <w:p w14:paraId="1A7CE46E" w14:textId="77777777" w:rsidR="00275C03" w:rsidRPr="0037585C" w:rsidRDefault="00275C03" w:rsidP="00275C03">
            <w:r w:rsidRPr="0037585C">
              <w:t>26.11.14</w:t>
            </w:r>
          </w:p>
        </w:tc>
        <w:tc>
          <w:tcPr>
            <w:tcW w:w="5954" w:type="dxa"/>
          </w:tcPr>
          <w:p w14:paraId="44541E56" w14:textId="77777777" w:rsidR="00275C03" w:rsidRPr="0037585C" w:rsidRDefault="00275C03" w:rsidP="00275C03">
            <w:pPr>
              <w:rPr>
                <w:bCs/>
              </w:rPr>
            </w:pPr>
            <w:r w:rsidRPr="0037585C">
              <w:rPr>
                <w:bCs/>
              </w:rPr>
              <w:t>Lynne Coulson Barr, Mental Health Complaints Commissioner</w:t>
            </w:r>
          </w:p>
        </w:tc>
        <w:tc>
          <w:tcPr>
            <w:tcW w:w="2090" w:type="dxa"/>
          </w:tcPr>
          <w:p w14:paraId="6A1CA2EE" w14:textId="77777777" w:rsidR="00275C03" w:rsidRPr="0037585C" w:rsidRDefault="00275C03" w:rsidP="00275C03">
            <w:r w:rsidRPr="0037585C">
              <w:t>AHRC, NSW</w:t>
            </w:r>
          </w:p>
        </w:tc>
      </w:tr>
      <w:tr w:rsidR="00275C03" w:rsidRPr="0037585C" w14:paraId="3E1BD5A2" w14:textId="77777777" w:rsidTr="00275C03">
        <w:tc>
          <w:tcPr>
            <w:tcW w:w="1242" w:type="dxa"/>
          </w:tcPr>
          <w:p w14:paraId="03D54596" w14:textId="77777777" w:rsidR="00275C03" w:rsidRPr="0037585C" w:rsidRDefault="00275C03" w:rsidP="00275C03">
            <w:r w:rsidRPr="0037585C">
              <w:t>27.11.14</w:t>
            </w:r>
          </w:p>
        </w:tc>
        <w:tc>
          <w:tcPr>
            <w:tcW w:w="5954" w:type="dxa"/>
          </w:tcPr>
          <w:p w14:paraId="27DB329B" w14:textId="77777777" w:rsidR="00275C03" w:rsidRPr="0037585C" w:rsidRDefault="00275C03" w:rsidP="00275C03">
            <w:pPr>
              <w:rPr>
                <w:bCs/>
              </w:rPr>
            </w:pPr>
            <w:r w:rsidRPr="0037585C">
              <w:rPr>
                <w:bCs/>
              </w:rPr>
              <w:t>Julie Hamblin and Jenny Owen, Consultants to the Royal Commission into Institutional Responses to Child Sexual Abuse, WestWood Spice</w:t>
            </w:r>
          </w:p>
        </w:tc>
        <w:tc>
          <w:tcPr>
            <w:tcW w:w="2090" w:type="dxa"/>
          </w:tcPr>
          <w:p w14:paraId="1F31371B" w14:textId="77777777" w:rsidR="00275C03" w:rsidRPr="0037585C" w:rsidRDefault="00275C03" w:rsidP="00275C03">
            <w:r w:rsidRPr="0037585C">
              <w:t>AHRC, NSW</w:t>
            </w:r>
          </w:p>
        </w:tc>
      </w:tr>
      <w:tr w:rsidR="00275C03" w:rsidRPr="0037585C" w14:paraId="35DDD4FB" w14:textId="77777777" w:rsidTr="00275C03">
        <w:tc>
          <w:tcPr>
            <w:tcW w:w="1242" w:type="dxa"/>
          </w:tcPr>
          <w:p w14:paraId="4CDF84FD" w14:textId="702A3CD7" w:rsidR="00275C03" w:rsidRPr="0037585C" w:rsidRDefault="00294875" w:rsidP="00275C03">
            <w:r>
              <w:t>02.12.</w:t>
            </w:r>
            <w:r w:rsidR="00275C03" w:rsidRPr="0037585C">
              <w:t>14</w:t>
            </w:r>
          </w:p>
        </w:tc>
        <w:tc>
          <w:tcPr>
            <w:tcW w:w="5954" w:type="dxa"/>
          </w:tcPr>
          <w:p w14:paraId="35FDAF49" w14:textId="1F6CEF68" w:rsidR="00275C03" w:rsidRPr="0037585C" w:rsidRDefault="00275C03" w:rsidP="00294875">
            <w:pPr>
              <w:rPr>
                <w:bCs/>
                <w:highlight w:val="magenta"/>
              </w:rPr>
            </w:pPr>
            <w:r w:rsidRPr="0037585C">
              <w:rPr>
                <w:bCs/>
              </w:rPr>
              <w:t>Lyndal Ryan, National Vice President, and Rachel Colbourne-Hoffman, Early Childhood Education and Care Campaign Coordinator, United Voice</w:t>
            </w:r>
          </w:p>
        </w:tc>
        <w:tc>
          <w:tcPr>
            <w:tcW w:w="2090" w:type="dxa"/>
          </w:tcPr>
          <w:p w14:paraId="603A4109" w14:textId="77777777" w:rsidR="00275C03" w:rsidRPr="0037585C" w:rsidRDefault="00275C03" w:rsidP="00275C03">
            <w:r w:rsidRPr="0037585C">
              <w:t>AHRC, NSW</w:t>
            </w:r>
          </w:p>
        </w:tc>
      </w:tr>
      <w:tr w:rsidR="00275C03" w:rsidRPr="0037585C" w14:paraId="397D288B" w14:textId="77777777" w:rsidTr="00275C03">
        <w:tc>
          <w:tcPr>
            <w:tcW w:w="1242" w:type="dxa"/>
          </w:tcPr>
          <w:p w14:paraId="1A406B71" w14:textId="77777777" w:rsidR="00275C03" w:rsidRPr="0037585C" w:rsidRDefault="00275C03" w:rsidP="00275C03">
            <w:r w:rsidRPr="0037585C">
              <w:t>04.12.14</w:t>
            </w:r>
          </w:p>
        </w:tc>
        <w:tc>
          <w:tcPr>
            <w:tcW w:w="5954" w:type="dxa"/>
          </w:tcPr>
          <w:p w14:paraId="346681C1" w14:textId="77777777" w:rsidR="00275C03" w:rsidRPr="0037585C" w:rsidRDefault="00275C03" w:rsidP="00275C03">
            <w:pPr>
              <w:rPr>
                <w:bCs/>
                <w:highlight w:val="green"/>
              </w:rPr>
            </w:pPr>
            <w:r w:rsidRPr="0037585C">
              <w:rPr>
                <w:bCs/>
              </w:rPr>
              <w:t>Senate Standing Committee for Community Affairs</w:t>
            </w:r>
          </w:p>
        </w:tc>
        <w:tc>
          <w:tcPr>
            <w:tcW w:w="2090" w:type="dxa"/>
          </w:tcPr>
          <w:p w14:paraId="5B8C8953" w14:textId="77777777" w:rsidR="00275C03" w:rsidRPr="0037585C" w:rsidRDefault="00275C03" w:rsidP="00275C03">
            <w:r w:rsidRPr="0037585C">
              <w:t>Canberra, ACT</w:t>
            </w:r>
          </w:p>
        </w:tc>
      </w:tr>
      <w:tr w:rsidR="00275C03" w:rsidRPr="0037585C" w14:paraId="63749EE4" w14:textId="77777777" w:rsidTr="00275C03">
        <w:tc>
          <w:tcPr>
            <w:tcW w:w="1242" w:type="dxa"/>
          </w:tcPr>
          <w:p w14:paraId="11892BD9" w14:textId="77777777" w:rsidR="00275C03" w:rsidRPr="0037585C" w:rsidRDefault="00275C03" w:rsidP="00275C03">
            <w:r w:rsidRPr="0037585C">
              <w:t>04.12.14</w:t>
            </w:r>
          </w:p>
        </w:tc>
        <w:tc>
          <w:tcPr>
            <w:tcW w:w="5954" w:type="dxa"/>
          </w:tcPr>
          <w:p w14:paraId="5663E505" w14:textId="11CEDA69" w:rsidR="00275C03" w:rsidRPr="0037585C" w:rsidRDefault="00275C03" w:rsidP="00294875">
            <w:pPr>
              <w:rPr>
                <w:bCs/>
              </w:rPr>
            </w:pPr>
            <w:r w:rsidRPr="0037585C">
              <w:rPr>
                <w:bCs/>
              </w:rPr>
              <w:t>Dr Susan Cochrane, Advisor</w:t>
            </w:r>
            <w:r>
              <w:rPr>
                <w:bCs/>
              </w:rPr>
              <w:t xml:space="preserve"> for the</w:t>
            </w:r>
            <w:r w:rsidRPr="0037585C">
              <w:rPr>
                <w:bCs/>
              </w:rPr>
              <w:t xml:space="preserve"> Office of the Attorney-General and Minister for the Arts</w:t>
            </w:r>
          </w:p>
        </w:tc>
        <w:tc>
          <w:tcPr>
            <w:tcW w:w="2090" w:type="dxa"/>
          </w:tcPr>
          <w:p w14:paraId="5155CBB4" w14:textId="77777777" w:rsidR="00275C03" w:rsidRPr="0037585C" w:rsidRDefault="00275C03" w:rsidP="00275C03">
            <w:r w:rsidRPr="0037585C">
              <w:t>Canberra, ACT</w:t>
            </w:r>
          </w:p>
        </w:tc>
      </w:tr>
      <w:tr w:rsidR="00275C03" w:rsidRPr="0037585C" w14:paraId="06639B3B" w14:textId="77777777" w:rsidTr="00275C03">
        <w:tc>
          <w:tcPr>
            <w:tcW w:w="1242" w:type="dxa"/>
          </w:tcPr>
          <w:p w14:paraId="0C007D41" w14:textId="77777777" w:rsidR="00275C03" w:rsidRPr="0037585C" w:rsidRDefault="00275C03" w:rsidP="00275C03">
            <w:r w:rsidRPr="0037585C">
              <w:t>04.12.14</w:t>
            </w:r>
          </w:p>
        </w:tc>
        <w:tc>
          <w:tcPr>
            <w:tcW w:w="5954" w:type="dxa"/>
          </w:tcPr>
          <w:p w14:paraId="09D1D3B9" w14:textId="6547E88E" w:rsidR="00275C03" w:rsidRPr="0037585C" w:rsidRDefault="00275C03" w:rsidP="00440C68">
            <w:pPr>
              <w:rPr>
                <w:bCs/>
              </w:rPr>
            </w:pPr>
            <w:r w:rsidRPr="0037585C">
              <w:rPr>
                <w:bCs/>
              </w:rPr>
              <w:t xml:space="preserve">Dr Kirthana Sharma, </w:t>
            </w:r>
            <w:r w:rsidR="00440C68">
              <w:rPr>
                <w:bCs/>
              </w:rPr>
              <w:t>Co-</w:t>
            </w:r>
            <w:r w:rsidRPr="0037585C">
              <w:rPr>
                <w:bCs/>
              </w:rPr>
              <w:t>Founder</w:t>
            </w:r>
            <w:r w:rsidR="0031522F">
              <w:rPr>
                <w:bCs/>
              </w:rPr>
              <w:t>,</w:t>
            </w:r>
            <w:r w:rsidRPr="0037585C">
              <w:rPr>
                <w:bCs/>
              </w:rPr>
              <w:t xml:space="preserve"> Doctors Against Pollution</w:t>
            </w:r>
          </w:p>
        </w:tc>
        <w:tc>
          <w:tcPr>
            <w:tcW w:w="2090" w:type="dxa"/>
          </w:tcPr>
          <w:p w14:paraId="51B42105" w14:textId="77777777" w:rsidR="00275C03" w:rsidRPr="0037585C" w:rsidRDefault="00275C03" w:rsidP="00275C03">
            <w:r w:rsidRPr="0037585C">
              <w:t>AHRC, NSW</w:t>
            </w:r>
          </w:p>
        </w:tc>
      </w:tr>
      <w:tr w:rsidR="00275C03" w:rsidRPr="0037585C" w14:paraId="6693375C" w14:textId="77777777" w:rsidTr="00275C03">
        <w:tc>
          <w:tcPr>
            <w:tcW w:w="1242" w:type="dxa"/>
          </w:tcPr>
          <w:p w14:paraId="3646D4D1" w14:textId="77777777" w:rsidR="00275C03" w:rsidRPr="0037585C" w:rsidRDefault="00275C03" w:rsidP="00275C03">
            <w:r w:rsidRPr="0037585C">
              <w:t>04.12.14</w:t>
            </w:r>
          </w:p>
        </w:tc>
        <w:tc>
          <w:tcPr>
            <w:tcW w:w="5954" w:type="dxa"/>
          </w:tcPr>
          <w:p w14:paraId="565F1A1C" w14:textId="77777777" w:rsidR="00275C03" w:rsidRPr="0037585C" w:rsidRDefault="00275C03" w:rsidP="00275C03">
            <w:pPr>
              <w:rPr>
                <w:bCs/>
              </w:rPr>
            </w:pPr>
            <w:r w:rsidRPr="0037585C">
              <w:rPr>
                <w:bCs/>
              </w:rPr>
              <w:t xml:space="preserve">Murray Hansen, Chief of </w:t>
            </w:r>
            <w:r>
              <w:rPr>
                <w:bCs/>
              </w:rPr>
              <w:t>Staff to the Hon</w:t>
            </w:r>
            <w:r w:rsidRPr="0037585C">
              <w:rPr>
                <w:bCs/>
              </w:rPr>
              <w:t xml:space="preserve"> Julie Bishop MP, Minister for Foreign Affairs  </w:t>
            </w:r>
          </w:p>
        </w:tc>
        <w:tc>
          <w:tcPr>
            <w:tcW w:w="2090" w:type="dxa"/>
          </w:tcPr>
          <w:p w14:paraId="19798941" w14:textId="25537C33" w:rsidR="00275C03" w:rsidRPr="0037585C" w:rsidRDefault="00275C03" w:rsidP="00440C68">
            <w:r w:rsidRPr="0037585C">
              <w:t xml:space="preserve">Canberra, </w:t>
            </w:r>
            <w:r w:rsidR="00440C68">
              <w:t>ACT</w:t>
            </w:r>
          </w:p>
        </w:tc>
      </w:tr>
      <w:tr w:rsidR="00275C03" w:rsidRPr="0037585C" w14:paraId="005505C1" w14:textId="77777777" w:rsidTr="00275C03">
        <w:tc>
          <w:tcPr>
            <w:tcW w:w="1242" w:type="dxa"/>
          </w:tcPr>
          <w:p w14:paraId="38BFBFD4" w14:textId="77777777" w:rsidR="00275C03" w:rsidRPr="0037585C" w:rsidRDefault="00275C03" w:rsidP="00275C03">
            <w:r w:rsidRPr="0037585C">
              <w:lastRenderedPageBreak/>
              <w:t>04.12.14</w:t>
            </w:r>
          </w:p>
        </w:tc>
        <w:tc>
          <w:tcPr>
            <w:tcW w:w="5954" w:type="dxa"/>
          </w:tcPr>
          <w:p w14:paraId="2F2F0813" w14:textId="1EBD71F6" w:rsidR="00275C03" w:rsidRPr="0037585C" w:rsidRDefault="008033BC" w:rsidP="00275C03">
            <w:pPr>
              <w:rPr>
                <w:bCs/>
              </w:rPr>
            </w:pPr>
            <w:r>
              <w:rPr>
                <w:bCs/>
              </w:rPr>
              <w:t xml:space="preserve">The Hon </w:t>
            </w:r>
            <w:r w:rsidR="00275C03" w:rsidRPr="0037585C">
              <w:rPr>
                <w:bCs/>
              </w:rPr>
              <w:t>Craig Laundy MP, Federal Member for Reid</w:t>
            </w:r>
          </w:p>
        </w:tc>
        <w:tc>
          <w:tcPr>
            <w:tcW w:w="2090" w:type="dxa"/>
          </w:tcPr>
          <w:p w14:paraId="3A55957F" w14:textId="77777777" w:rsidR="00275C03" w:rsidRPr="0037585C" w:rsidRDefault="00275C03" w:rsidP="00275C03">
            <w:r w:rsidRPr="0037585C">
              <w:t>Canberra, ACT</w:t>
            </w:r>
          </w:p>
        </w:tc>
      </w:tr>
      <w:tr w:rsidR="00275C03" w:rsidRPr="0037585C" w14:paraId="5D955A9F" w14:textId="77777777" w:rsidTr="00275C03">
        <w:tc>
          <w:tcPr>
            <w:tcW w:w="1242" w:type="dxa"/>
          </w:tcPr>
          <w:p w14:paraId="58CA5DB5" w14:textId="77777777" w:rsidR="00275C03" w:rsidRPr="0037585C" w:rsidRDefault="00275C03" w:rsidP="00275C03">
            <w:r w:rsidRPr="0037585C">
              <w:t>08.12.14</w:t>
            </w:r>
          </w:p>
        </w:tc>
        <w:tc>
          <w:tcPr>
            <w:tcW w:w="5954" w:type="dxa"/>
          </w:tcPr>
          <w:p w14:paraId="6679C31E" w14:textId="7A1A163B" w:rsidR="00275C03" w:rsidRPr="0037585C" w:rsidRDefault="00275C03" w:rsidP="00275C03">
            <w:pPr>
              <w:rPr>
                <w:bCs/>
              </w:rPr>
            </w:pPr>
            <w:r w:rsidRPr="0037585C">
              <w:rPr>
                <w:bCs/>
              </w:rPr>
              <w:t>Catherine Burn, NSW Deputy Police Commissioner</w:t>
            </w:r>
            <w:r w:rsidR="009D1695">
              <w:rPr>
                <w:bCs/>
              </w:rPr>
              <w:t>,</w:t>
            </w:r>
            <w:r w:rsidRPr="0037585C">
              <w:rPr>
                <w:bCs/>
              </w:rPr>
              <w:t xml:space="preserve"> with Mick Gooda, Aboriginal and Torres Strait Islander Social Justice Commissioner</w:t>
            </w:r>
          </w:p>
        </w:tc>
        <w:tc>
          <w:tcPr>
            <w:tcW w:w="2090" w:type="dxa"/>
          </w:tcPr>
          <w:p w14:paraId="683F405F" w14:textId="77777777" w:rsidR="00275C03" w:rsidRPr="0037585C" w:rsidRDefault="00275C03" w:rsidP="00275C03">
            <w:r w:rsidRPr="0037585C">
              <w:t>AHRC, NSW</w:t>
            </w:r>
          </w:p>
        </w:tc>
      </w:tr>
      <w:tr w:rsidR="00275C03" w:rsidRPr="0037585C" w14:paraId="7F0DF834" w14:textId="77777777" w:rsidTr="00275C03">
        <w:tc>
          <w:tcPr>
            <w:tcW w:w="1242" w:type="dxa"/>
          </w:tcPr>
          <w:p w14:paraId="45C264FF" w14:textId="77777777" w:rsidR="00275C03" w:rsidRPr="0037585C" w:rsidRDefault="00275C03" w:rsidP="00275C03">
            <w:r w:rsidRPr="0037585C">
              <w:t>09.12.14</w:t>
            </w:r>
          </w:p>
        </w:tc>
        <w:tc>
          <w:tcPr>
            <w:tcW w:w="5954" w:type="dxa"/>
          </w:tcPr>
          <w:p w14:paraId="4DA95F4E" w14:textId="77777777" w:rsidR="00275C03" w:rsidRPr="0037585C" w:rsidRDefault="00275C03" w:rsidP="00275C03">
            <w:pPr>
              <w:rPr>
                <w:bCs/>
                <w:highlight w:val="magenta"/>
              </w:rPr>
            </w:pPr>
            <w:r>
              <w:rPr>
                <w:bCs/>
              </w:rPr>
              <w:t>Gabrielle Vuletich, Chair, and</w:t>
            </w:r>
            <w:r w:rsidRPr="0037585C">
              <w:rPr>
                <w:bCs/>
              </w:rPr>
              <w:t xml:space="preserve"> </w:t>
            </w:r>
            <w:r w:rsidRPr="005824D8">
              <w:rPr>
                <w:bCs/>
              </w:rPr>
              <w:t>Rod Ellinson, Trustee, Sabemo Foundation</w:t>
            </w:r>
          </w:p>
        </w:tc>
        <w:tc>
          <w:tcPr>
            <w:tcW w:w="2090" w:type="dxa"/>
          </w:tcPr>
          <w:p w14:paraId="75BA16EA" w14:textId="77777777" w:rsidR="00275C03" w:rsidRPr="0037585C" w:rsidRDefault="00275C03" w:rsidP="00275C03">
            <w:r w:rsidRPr="0037585C">
              <w:t>AHRC, NSW</w:t>
            </w:r>
          </w:p>
        </w:tc>
      </w:tr>
      <w:tr w:rsidR="00275C03" w:rsidRPr="0037585C" w14:paraId="10119765" w14:textId="77777777" w:rsidTr="00275C03">
        <w:tc>
          <w:tcPr>
            <w:tcW w:w="1242" w:type="dxa"/>
          </w:tcPr>
          <w:p w14:paraId="55F7E3FE" w14:textId="77777777" w:rsidR="00275C03" w:rsidRPr="0037585C" w:rsidRDefault="00275C03" w:rsidP="00275C03">
            <w:r w:rsidRPr="0037585C">
              <w:t>09.12.14</w:t>
            </w:r>
          </w:p>
        </w:tc>
        <w:tc>
          <w:tcPr>
            <w:tcW w:w="5954" w:type="dxa"/>
          </w:tcPr>
          <w:p w14:paraId="21F25FEA" w14:textId="77777777" w:rsidR="00275C03" w:rsidRPr="0037585C" w:rsidRDefault="00275C03" w:rsidP="00275C03">
            <w:pPr>
              <w:rPr>
                <w:bCs/>
              </w:rPr>
            </w:pPr>
            <w:r w:rsidRPr="0037585C">
              <w:rPr>
                <w:bCs/>
              </w:rPr>
              <w:t>Ron Mell, Chief Executive Officer, YMCA</w:t>
            </w:r>
          </w:p>
        </w:tc>
        <w:tc>
          <w:tcPr>
            <w:tcW w:w="2090" w:type="dxa"/>
          </w:tcPr>
          <w:p w14:paraId="6A566946" w14:textId="77777777" w:rsidR="00275C03" w:rsidRPr="0037585C" w:rsidRDefault="00275C03" w:rsidP="00275C03">
            <w:r w:rsidRPr="0037585C">
              <w:t>AHRC, NSW</w:t>
            </w:r>
          </w:p>
        </w:tc>
      </w:tr>
      <w:tr w:rsidR="00275C03" w:rsidRPr="0037585C" w14:paraId="4A2B119B" w14:textId="77777777" w:rsidTr="00275C03">
        <w:tc>
          <w:tcPr>
            <w:tcW w:w="1242" w:type="dxa"/>
          </w:tcPr>
          <w:p w14:paraId="0DE9C5ED" w14:textId="77777777" w:rsidR="00275C03" w:rsidRPr="0037585C" w:rsidRDefault="00275C03" w:rsidP="00275C03">
            <w:r w:rsidRPr="0037585C">
              <w:t>10.12.14</w:t>
            </w:r>
          </w:p>
        </w:tc>
        <w:tc>
          <w:tcPr>
            <w:tcW w:w="5954" w:type="dxa"/>
          </w:tcPr>
          <w:p w14:paraId="5C5ACC78" w14:textId="77777777" w:rsidR="00275C03" w:rsidRPr="0037585C" w:rsidRDefault="00275C03" w:rsidP="00275C03">
            <w:pPr>
              <w:rPr>
                <w:bCs/>
              </w:rPr>
            </w:pPr>
            <w:r w:rsidRPr="0037585C">
              <w:rPr>
                <w:bCs/>
              </w:rPr>
              <w:t>Online Safety Consultative Working Group, Department of Communications, Cyber Safety and Policy Coordination</w:t>
            </w:r>
          </w:p>
        </w:tc>
        <w:tc>
          <w:tcPr>
            <w:tcW w:w="2090" w:type="dxa"/>
          </w:tcPr>
          <w:p w14:paraId="2262FA5A" w14:textId="77777777" w:rsidR="00275C03" w:rsidRPr="0037585C" w:rsidRDefault="00275C03" w:rsidP="00275C03">
            <w:r w:rsidRPr="0037585C">
              <w:t>Sydney, NSW</w:t>
            </w:r>
          </w:p>
        </w:tc>
      </w:tr>
      <w:tr w:rsidR="00275C03" w:rsidRPr="0037585C" w14:paraId="4C40F681" w14:textId="77777777" w:rsidTr="00275C03">
        <w:tc>
          <w:tcPr>
            <w:tcW w:w="1242" w:type="dxa"/>
          </w:tcPr>
          <w:p w14:paraId="714F4903" w14:textId="77777777" w:rsidR="00275C03" w:rsidRPr="0037585C" w:rsidRDefault="00275C03" w:rsidP="00275C03">
            <w:r w:rsidRPr="0037585C">
              <w:t xml:space="preserve">11.12.14 </w:t>
            </w:r>
          </w:p>
        </w:tc>
        <w:tc>
          <w:tcPr>
            <w:tcW w:w="5954" w:type="dxa"/>
          </w:tcPr>
          <w:p w14:paraId="09B0F2E7" w14:textId="77777777" w:rsidR="00275C03" w:rsidRPr="0037585C" w:rsidRDefault="00275C03" w:rsidP="00275C03">
            <w:pPr>
              <w:rPr>
                <w:bCs/>
              </w:rPr>
            </w:pPr>
            <w:r w:rsidRPr="0037585C">
              <w:rPr>
                <w:bCs/>
              </w:rPr>
              <w:t>Briony Scott, Principal, Wenona Girls School</w:t>
            </w:r>
          </w:p>
        </w:tc>
        <w:tc>
          <w:tcPr>
            <w:tcW w:w="2090" w:type="dxa"/>
          </w:tcPr>
          <w:p w14:paraId="6463304D" w14:textId="77777777" w:rsidR="00275C03" w:rsidRPr="0037585C" w:rsidRDefault="00275C03" w:rsidP="00275C03">
            <w:r w:rsidRPr="0037585C">
              <w:t>AHRC, NSW</w:t>
            </w:r>
          </w:p>
        </w:tc>
      </w:tr>
      <w:tr w:rsidR="00275C03" w:rsidRPr="0037585C" w14:paraId="555F6F5B" w14:textId="77777777" w:rsidTr="00275C03">
        <w:tc>
          <w:tcPr>
            <w:tcW w:w="1242" w:type="dxa"/>
          </w:tcPr>
          <w:p w14:paraId="733D885B" w14:textId="77777777" w:rsidR="00275C03" w:rsidRPr="0037585C" w:rsidRDefault="00275C03" w:rsidP="00275C03">
            <w:r w:rsidRPr="0037585C">
              <w:t>22.12.14</w:t>
            </w:r>
          </w:p>
        </w:tc>
        <w:tc>
          <w:tcPr>
            <w:tcW w:w="5954" w:type="dxa"/>
          </w:tcPr>
          <w:p w14:paraId="1AA4EE91" w14:textId="77777777" w:rsidR="00275C03" w:rsidRPr="0037585C" w:rsidRDefault="00275C03" w:rsidP="00275C03">
            <w:pPr>
              <w:rPr>
                <w:bCs/>
                <w:highlight w:val="magenta"/>
              </w:rPr>
            </w:pPr>
            <w:r w:rsidRPr="0037585C">
              <w:rPr>
                <w:bCs/>
              </w:rPr>
              <w:t>Brian Babington, Chief Executive Officer, Families Australia</w:t>
            </w:r>
          </w:p>
        </w:tc>
        <w:tc>
          <w:tcPr>
            <w:tcW w:w="2090" w:type="dxa"/>
          </w:tcPr>
          <w:p w14:paraId="4460EC8B" w14:textId="77777777" w:rsidR="00275C03" w:rsidRPr="0037585C" w:rsidRDefault="00275C03" w:rsidP="00275C03">
            <w:r w:rsidRPr="0037585C">
              <w:t>Canberra, ACT</w:t>
            </w:r>
          </w:p>
        </w:tc>
      </w:tr>
      <w:tr w:rsidR="00275C03" w:rsidRPr="0037585C" w14:paraId="78DB16A1" w14:textId="77777777" w:rsidTr="00275C03">
        <w:tc>
          <w:tcPr>
            <w:tcW w:w="1242" w:type="dxa"/>
          </w:tcPr>
          <w:p w14:paraId="493FCE40" w14:textId="312D36F8" w:rsidR="00275C03" w:rsidRPr="0037585C" w:rsidRDefault="00275C03" w:rsidP="00EC3AB3">
            <w:r w:rsidRPr="0037585C">
              <w:t>12.01.1</w:t>
            </w:r>
            <w:r w:rsidR="00EC3AB3">
              <w:t>5</w:t>
            </w:r>
          </w:p>
        </w:tc>
        <w:tc>
          <w:tcPr>
            <w:tcW w:w="5954" w:type="dxa"/>
          </w:tcPr>
          <w:p w14:paraId="2FD83F13" w14:textId="77777777" w:rsidR="00275C03" w:rsidRPr="0037585C" w:rsidRDefault="00275C03" w:rsidP="00275C03">
            <w:pPr>
              <w:rPr>
                <w:bCs/>
              </w:rPr>
            </w:pPr>
            <w:r w:rsidRPr="0037585C">
              <w:rPr>
                <w:bCs/>
              </w:rPr>
              <w:t xml:space="preserve">Marc Bryant, Program Manager, Hunter Institute of Mental Health </w:t>
            </w:r>
          </w:p>
        </w:tc>
        <w:tc>
          <w:tcPr>
            <w:tcW w:w="2090" w:type="dxa"/>
          </w:tcPr>
          <w:p w14:paraId="15F87CDE" w14:textId="77777777" w:rsidR="00275C03" w:rsidRPr="0037585C" w:rsidRDefault="00275C03" w:rsidP="00275C03">
            <w:r w:rsidRPr="0037585C">
              <w:t>AHRC, NSW</w:t>
            </w:r>
          </w:p>
        </w:tc>
      </w:tr>
      <w:tr w:rsidR="00275C03" w:rsidRPr="0037585C" w14:paraId="5141C2DB" w14:textId="77777777" w:rsidTr="00275C03">
        <w:tc>
          <w:tcPr>
            <w:tcW w:w="1242" w:type="dxa"/>
          </w:tcPr>
          <w:p w14:paraId="0800115B" w14:textId="77777777" w:rsidR="00275C03" w:rsidRPr="0037585C" w:rsidRDefault="00275C03" w:rsidP="00275C03">
            <w:r w:rsidRPr="0037585C">
              <w:t>19.01.15</w:t>
            </w:r>
          </w:p>
        </w:tc>
        <w:tc>
          <w:tcPr>
            <w:tcW w:w="5954" w:type="dxa"/>
          </w:tcPr>
          <w:p w14:paraId="05A69512" w14:textId="77777777" w:rsidR="00275C03" w:rsidRPr="0037585C" w:rsidRDefault="00275C03" w:rsidP="00275C03">
            <w:pPr>
              <w:rPr>
                <w:bCs/>
              </w:rPr>
            </w:pPr>
            <w:r w:rsidRPr="0037585C">
              <w:rPr>
                <w:bCs/>
              </w:rPr>
              <w:t>Robyn Monro Miller, Chief Executive Officer, Network of Community Activities</w:t>
            </w:r>
          </w:p>
        </w:tc>
        <w:tc>
          <w:tcPr>
            <w:tcW w:w="2090" w:type="dxa"/>
          </w:tcPr>
          <w:p w14:paraId="62B1922D" w14:textId="77777777" w:rsidR="00275C03" w:rsidRPr="0037585C" w:rsidRDefault="00275C03" w:rsidP="00275C03">
            <w:r w:rsidRPr="0037585C">
              <w:t>Sydney, NSW</w:t>
            </w:r>
          </w:p>
        </w:tc>
      </w:tr>
      <w:tr w:rsidR="00275C03" w:rsidRPr="0037585C" w14:paraId="0719D4C5" w14:textId="77777777" w:rsidTr="00275C03">
        <w:tc>
          <w:tcPr>
            <w:tcW w:w="1242" w:type="dxa"/>
          </w:tcPr>
          <w:p w14:paraId="62DD24B9" w14:textId="77777777" w:rsidR="00275C03" w:rsidRPr="0037585C" w:rsidRDefault="00275C03" w:rsidP="00275C03">
            <w:r w:rsidRPr="0037585C">
              <w:t>21.01.15</w:t>
            </w:r>
          </w:p>
        </w:tc>
        <w:tc>
          <w:tcPr>
            <w:tcW w:w="5954" w:type="dxa"/>
            <w:shd w:val="clear" w:color="auto" w:fill="auto"/>
          </w:tcPr>
          <w:p w14:paraId="58D6ACE4" w14:textId="77777777" w:rsidR="00275C03" w:rsidRPr="0037585C" w:rsidRDefault="00275C03" w:rsidP="00275C03">
            <w:pPr>
              <w:rPr>
                <w:bCs/>
              </w:rPr>
            </w:pPr>
            <w:r w:rsidRPr="0037585C">
              <w:rPr>
                <w:bCs/>
              </w:rPr>
              <w:t>Niki Norris, Vice Chairperson, National Child Protection Alliance</w:t>
            </w:r>
          </w:p>
        </w:tc>
        <w:tc>
          <w:tcPr>
            <w:tcW w:w="2090" w:type="dxa"/>
          </w:tcPr>
          <w:p w14:paraId="3EB37EF2" w14:textId="77777777" w:rsidR="00275C03" w:rsidRPr="0037585C" w:rsidRDefault="00275C03" w:rsidP="00275C03">
            <w:r w:rsidRPr="0037585C">
              <w:t>AHRC, NSW</w:t>
            </w:r>
          </w:p>
        </w:tc>
      </w:tr>
      <w:tr w:rsidR="00275C03" w:rsidRPr="0037585C" w14:paraId="1A11A478" w14:textId="77777777" w:rsidTr="00275C03">
        <w:tc>
          <w:tcPr>
            <w:tcW w:w="1242" w:type="dxa"/>
          </w:tcPr>
          <w:p w14:paraId="05044EA7" w14:textId="77777777" w:rsidR="00275C03" w:rsidRPr="0037585C" w:rsidRDefault="00275C03" w:rsidP="00275C03">
            <w:r w:rsidRPr="0037585C">
              <w:t>22.01.15</w:t>
            </w:r>
          </w:p>
        </w:tc>
        <w:tc>
          <w:tcPr>
            <w:tcW w:w="5954" w:type="dxa"/>
          </w:tcPr>
          <w:p w14:paraId="114A2248" w14:textId="22BE365D" w:rsidR="00275C03" w:rsidRPr="0037585C" w:rsidRDefault="00275C03" w:rsidP="00EC3AB3">
            <w:pPr>
              <w:rPr>
                <w:bCs/>
                <w:highlight w:val="magenta"/>
              </w:rPr>
            </w:pPr>
            <w:r w:rsidRPr="0037585C">
              <w:rPr>
                <w:bCs/>
              </w:rPr>
              <w:t xml:space="preserve">Claire Robbs, Chief Executive, Life Without Barriers </w:t>
            </w:r>
          </w:p>
        </w:tc>
        <w:tc>
          <w:tcPr>
            <w:tcW w:w="2090" w:type="dxa"/>
          </w:tcPr>
          <w:p w14:paraId="6411CDD1" w14:textId="77777777" w:rsidR="00275C03" w:rsidRPr="0037585C" w:rsidRDefault="00275C03" w:rsidP="00275C03">
            <w:r w:rsidRPr="0037585C">
              <w:t>AHRC, NSW</w:t>
            </w:r>
          </w:p>
        </w:tc>
      </w:tr>
      <w:tr w:rsidR="00275C03" w:rsidRPr="0037585C" w14:paraId="4203513D" w14:textId="77777777" w:rsidTr="00275C03">
        <w:tc>
          <w:tcPr>
            <w:tcW w:w="1242" w:type="dxa"/>
          </w:tcPr>
          <w:p w14:paraId="31DF4565" w14:textId="77777777" w:rsidR="00275C03" w:rsidRPr="0037585C" w:rsidRDefault="00275C03" w:rsidP="00275C03">
            <w:r w:rsidRPr="0037585C">
              <w:t>22.01.15</w:t>
            </w:r>
          </w:p>
        </w:tc>
        <w:tc>
          <w:tcPr>
            <w:tcW w:w="5954" w:type="dxa"/>
          </w:tcPr>
          <w:p w14:paraId="5D75F733" w14:textId="77777777" w:rsidR="00275C03" w:rsidRPr="0037585C" w:rsidRDefault="00275C03" w:rsidP="00275C03">
            <w:pPr>
              <w:rPr>
                <w:bCs/>
              </w:rPr>
            </w:pPr>
            <w:r w:rsidRPr="0037585C">
              <w:rPr>
                <w:bCs/>
              </w:rPr>
              <w:t>Tammy Solonec, Indigenous People's Rights Manager, Amnesty International</w:t>
            </w:r>
          </w:p>
        </w:tc>
        <w:tc>
          <w:tcPr>
            <w:tcW w:w="2090" w:type="dxa"/>
          </w:tcPr>
          <w:p w14:paraId="1199529F" w14:textId="77777777" w:rsidR="00275C03" w:rsidRPr="0037585C" w:rsidRDefault="00275C03" w:rsidP="00275C03">
            <w:r w:rsidRPr="0037585C">
              <w:t>AHRC, NSW</w:t>
            </w:r>
          </w:p>
        </w:tc>
      </w:tr>
      <w:tr w:rsidR="00275C03" w:rsidRPr="0037585C" w14:paraId="58D92C7F" w14:textId="77777777" w:rsidTr="00275C03">
        <w:tc>
          <w:tcPr>
            <w:tcW w:w="1242" w:type="dxa"/>
          </w:tcPr>
          <w:p w14:paraId="145062D6" w14:textId="77777777" w:rsidR="00275C03" w:rsidRPr="0037585C" w:rsidRDefault="00275C03" w:rsidP="00275C03">
            <w:r w:rsidRPr="0037585C">
              <w:t>23.01.15</w:t>
            </w:r>
          </w:p>
        </w:tc>
        <w:tc>
          <w:tcPr>
            <w:tcW w:w="5954" w:type="dxa"/>
          </w:tcPr>
          <w:p w14:paraId="6AEC5EC4" w14:textId="77777777" w:rsidR="00275C03" w:rsidRPr="0037585C" w:rsidRDefault="00275C03" w:rsidP="00275C03">
            <w:pPr>
              <w:rPr>
                <w:bCs/>
                <w:highlight w:val="magenta"/>
              </w:rPr>
            </w:pPr>
            <w:r w:rsidRPr="0037585C">
              <w:rPr>
                <w:bCs/>
              </w:rPr>
              <w:t>Magdelena Madden,</w:t>
            </w:r>
            <w:r w:rsidRPr="0037585C">
              <w:rPr>
                <w:rFonts w:ascii="Calibri" w:eastAsiaTheme="minorHAnsi" w:hAnsi="Calibri" w:cs="Arial"/>
                <w:color w:val="244061"/>
                <w:sz w:val="22"/>
                <w:szCs w:val="22"/>
              </w:rPr>
              <w:t xml:space="preserve"> </w:t>
            </w:r>
            <w:r w:rsidRPr="0037585C">
              <w:rPr>
                <w:bCs/>
              </w:rPr>
              <w:t>Principal Consultant, Council for the Care of Children in South Australia</w:t>
            </w:r>
          </w:p>
        </w:tc>
        <w:tc>
          <w:tcPr>
            <w:tcW w:w="2090" w:type="dxa"/>
          </w:tcPr>
          <w:p w14:paraId="08FC79CC" w14:textId="77777777" w:rsidR="00275C03" w:rsidRPr="0037585C" w:rsidRDefault="00275C03" w:rsidP="00275C03">
            <w:r w:rsidRPr="0037585C">
              <w:t>AHRC, NSW</w:t>
            </w:r>
          </w:p>
        </w:tc>
      </w:tr>
      <w:tr w:rsidR="00275C03" w:rsidRPr="0037585C" w14:paraId="5FE153C9" w14:textId="77777777" w:rsidTr="00275C03">
        <w:tc>
          <w:tcPr>
            <w:tcW w:w="1242" w:type="dxa"/>
          </w:tcPr>
          <w:p w14:paraId="1E8CF67B" w14:textId="77777777" w:rsidR="00275C03" w:rsidRPr="0037585C" w:rsidRDefault="00275C03" w:rsidP="00275C03">
            <w:r w:rsidRPr="0037585C">
              <w:t>27.01.15</w:t>
            </w:r>
          </w:p>
        </w:tc>
        <w:tc>
          <w:tcPr>
            <w:tcW w:w="5954" w:type="dxa"/>
          </w:tcPr>
          <w:p w14:paraId="20D88734" w14:textId="77777777" w:rsidR="00275C03" w:rsidRPr="0037585C" w:rsidRDefault="00275C03" w:rsidP="00275C03">
            <w:pPr>
              <w:rPr>
                <w:bCs/>
              </w:rPr>
            </w:pPr>
            <w:r w:rsidRPr="0037585C">
              <w:rPr>
                <w:bCs/>
              </w:rPr>
              <w:t>Pam Simmons</w:t>
            </w:r>
            <w:r w:rsidRPr="0037585C">
              <w:rPr>
                <w:rFonts w:ascii="Trebuchet MS" w:hAnsi="Trebuchet MS"/>
                <w:bCs/>
              </w:rPr>
              <w:t xml:space="preserve">, </w:t>
            </w:r>
            <w:r w:rsidRPr="0037585C">
              <w:rPr>
                <w:bCs/>
              </w:rPr>
              <w:t xml:space="preserve">Guardian for Children and Young People, Office of the Guardian for Children and </w:t>
            </w:r>
            <w:r w:rsidRPr="0037585C">
              <w:rPr>
                <w:bCs/>
              </w:rPr>
              <w:lastRenderedPageBreak/>
              <w:t>Young People in South Australia</w:t>
            </w:r>
          </w:p>
        </w:tc>
        <w:tc>
          <w:tcPr>
            <w:tcW w:w="2090" w:type="dxa"/>
          </w:tcPr>
          <w:p w14:paraId="2DC7AA69" w14:textId="77777777" w:rsidR="00275C03" w:rsidRPr="0037585C" w:rsidRDefault="00275C03" w:rsidP="00275C03">
            <w:r w:rsidRPr="0037585C">
              <w:lastRenderedPageBreak/>
              <w:t>AHRC, NSW</w:t>
            </w:r>
          </w:p>
        </w:tc>
      </w:tr>
      <w:tr w:rsidR="00275C03" w:rsidRPr="0037585C" w14:paraId="3C046AC5" w14:textId="77777777" w:rsidTr="00275C03">
        <w:tc>
          <w:tcPr>
            <w:tcW w:w="1242" w:type="dxa"/>
          </w:tcPr>
          <w:p w14:paraId="62583776" w14:textId="77777777" w:rsidR="00275C03" w:rsidRPr="0037585C" w:rsidRDefault="00275C03" w:rsidP="00275C03">
            <w:r w:rsidRPr="0037585C">
              <w:lastRenderedPageBreak/>
              <w:t>02.02.15</w:t>
            </w:r>
          </w:p>
        </w:tc>
        <w:tc>
          <w:tcPr>
            <w:tcW w:w="5954" w:type="dxa"/>
          </w:tcPr>
          <w:p w14:paraId="6D5483DB" w14:textId="77777777" w:rsidR="00275C03" w:rsidRPr="0037585C" w:rsidRDefault="00275C03" w:rsidP="00275C03">
            <w:pPr>
              <w:rPr>
                <w:bCs/>
              </w:rPr>
            </w:pPr>
            <w:r w:rsidRPr="0037585C">
              <w:rPr>
                <w:bCs/>
              </w:rPr>
              <w:t>Commissioner Lindiwe Mokate, South African Commissioner for Children’s Rights and Basic Education</w:t>
            </w:r>
          </w:p>
        </w:tc>
        <w:tc>
          <w:tcPr>
            <w:tcW w:w="2090" w:type="dxa"/>
          </w:tcPr>
          <w:p w14:paraId="5E53482A" w14:textId="77777777" w:rsidR="00275C03" w:rsidRPr="0037585C" w:rsidRDefault="00275C03" w:rsidP="00275C03">
            <w:r w:rsidRPr="0037585C">
              <w:t>AHRC, NSW</w:t>
            </w:r>
          </w:p>
        </w:tc>
      </w:tr>
      <w:tr w:rsidR="00275C03" w:rsidRPr="0037585C" w14:paraId="2349753B" w14:textId="77777777" w:rsidTr="00275C03">
        <w:tc>
          <w:tcPr>
            <w:tcW w:w="1242" w:type="dxa"/>
          </w:tcPr>
          <w:p w14:paraId="1080D68B" w14:textId="77777777" w:rsidR="00275C03" w:rsidRPr="0037585C" w:rsidRDefault="00275C03" w:rsidP="00275C03">
            <w:r w:rsidRPr="0037585C">
              <w:t>02.02.15</w:t>
            </w:r>
          </w:p>
        </w:tc>
        <w:tc>
          <w:tcPr>
            <w:tcW w:w="5954" w:type="dxa"/>
          </w:tcPr>
          <w:p w14:paraId="39B35735" w14:textId="311C7F58" w:rsidR="00275C03" w:rsidRPr="0037585C" w:rsidRDefault="00275C03" w:rsidP="00275C03">
            <w:pPr>
              <w:rPr>
                <w:bCs/>
              </w:rPr>
            </w:pPr>
            <w:r w:rsidRPr="0037585C">
              <w:rPr>
                <w:bCs/>
              </w:rPr>
              <w:t xml:space="preserve">Dr Ruth </w:t>
            </w:r>
            <w:r w:rsidR="00F33648">
              <w:rPr>
                <w:bCs/>
              </w:rPr>
              <w:t xml:space="preserve">Rudge </w:t>
            </w:r>
            <w:r w:rsidRPr="0037585C">
              <w:rPr>
                <w:bCs/>
              </w:rPr>
              <w:t xml:space="preserve">and Dr John Rudge, Clinical Psychologists, </w:t>
            </w:r>
            <w:r w:rsidRPr="0037585C">
              <w:rPr>
                <w:bCs/>
                <w:iCs/>
              </w:rPr>
              <w:t>Southern Cross Clinical Psychology Services</w:t>
            </w:r>
          </w:p>
        </w:tc>
        <w:tc>
          <w:tcPr>
            <w:tcW w:w="2090" w:type="dxa"/>
          </w:tcPr>
          <w:p w14:paraId="30255563" w14:textId="77777777" w:rsidR="00275C03" w:rsidRPr="0037585C" w:rsidRDefault="00275C03" w:rsidP="00275C03">
            <w:r w:rsidRPr="0037585C">
              <w:t>AHRC, NSW</w:t>
            </w:r>
          </w:p>
        </w:tc>
      </w:tr>
      <w:tr w:rsidR="00275C03" w:rsidRPr="0037585C" w14:paraId="5230D116" w14:textId="77777777" w:rsidTr="00275C03">
        <w:tc>
          <w:tcPr>
            <w:tcW w:w="1242" w:type="dxa"/>
          </w:tcPr>
          <w:p w14:paraId="54233019" w14:textId="77777777" w:rsidR="00275C03" w:rsidRPr="0037585C" w:rsidRDefault="00275C03" w:rsidP="00275C03">
            <w:r w:rsidRPr="0037585C">
              <w:t>03.02.15</w:t>
            </w:r>
          </w:p>
        </w:tc>
        <w:tc>
          <w:tcPr>
            <w:tcW w:w="5954" w:type="dxa"/>
          </w:tcPr>
          <w:p w14:paraId="64F91CDA" w14:textId="77777777" w:rsidR="00275C03" w:rsidRPr="0037585C" w:rsidRDefault="00275C03" w:rsidP="00275C03">
            <w:pPr>
              <w:rPr>
                <w:bCs/>
              </w:rPr>
            </w:pPr>
            <w:r>
              <w:rPr>
                <w:bCs/>
              </w:rPr>
              <w:t>Samantha Yorke</w:t>
            </w:r>
            <w:r w:rsidRPr="0037585C">
              <w:rPr>
                <w:bCs/>
              </w:rPr>
              <w:t>, Public Policy and Government Affairs, Google Australia</w:t>
            </w:r>
          </w:p>
        </w:tc>
        <w:tc>
          <w:tcPr>
            <w:tcW w:w="2090" w:type="dxa"/>
          </w:tcPr>
          <w:p w14:paraId="43D4B501" w14:textId="77777777" w:rsidR="00275C03" w:rsidRPr="0037585C" w:rsidRDefault="00275C03" w:rsidP="00275C03">
            <w:r w:rsidRPr="0037585C">
              <w:t>AHRC, NSW</w:t>
            </w:r>
          </w:p>
        </w:tc>
      </w:tr>
      <w:tr w:rsidR="00275C03" w:rsidRPr="0037585C" w14:paraId="75905060" w14:textId="77777777" w:rsidTr="00275C03">
        <w:tc>
          <w:tcPr>
            <w:tcW w:w="1242" w:type="dxa"/>
          </w:tcPr>
          <w:p w14:paraId="35D21E25" w14:textId="77777777" w:rsidR="00275C03" w:rsidRPr="0037585C" w:rsidRDefault="00275C03" w:rsidP="00275C03">
            <w:r w:rsidRPr="0037585C">
              <w:t>05.02.15</w:t>
            </w:r>
          </w:p>
        </w:tc>
        <w:tc>
          <w:tcPr>
            <w:tcW w:w="5954" w:type="dxa"/>
          </w:tcPr>
          <w:p w14:paraId="58DB5385" w14:textId="77777777" w:rsidR="00275C03" w:rsidRPr="0037585C" w:rsidRDefault="00275C03" w:rsidP="00275C03">
            <w:pPr>
              <w:rPr>
                <w:bCs/>
              </w:rPr>
            </w:pPr>
            <w:r w:rsidRPr="0037585C">
              <w:rPr>
                <w:bCs/>
              </w:rPr>
              <w:t>National Advisory Committee for the Aboriginal and Torres Strait Islander Suicide Prevention Evaluation Project</w:t>
            </w:r>
            <w:r>
              <w:rPr>
                <w:bCs/>
              </w:rPr>
              <w:t xml:space="preserve"> (ATSISPEP)</w:t>
            </w:r>
          </w:p>
        </w:tc>
        <w:tc>
          <w:tcPr>
            <w:tcW w:w="2090" w:type="dxa"/>
          </w:tcPr>
          <w:p w14:paraId="71200C99" w14:textId="77777777" w:rsidR="00275C03" w:rsidRPr="0037585C" w:rsidRDefault="00275C03" w:rsidP="00275C03">
            <w:r w:rsidRPr="0037585C">
              <w:t>AHRC, NSW</w:t>
            </w:r>
          </w:p>
        </w:tc>
      </w:tr>
      <w:tr w:rsidR="00275C03" w:rsidRPr="0037585C" w14:paraId="574D2D5C" w14:textId="77777777" w:rsidTr="00275C03">
        <w:tc>
          <w:tcPr>
            <w:tcW w:w="1242" w:type="dxa"/>
          </w:tcPr>
          <w:p w14:paraId="3C686A63" w14:textId="77777777" w:rsidR="00275C03" w:rsidRPr="0037585C" w:rsidRDefault="00275C03" w:rsidP="00275C03">
            <w:r w:rsidRPr="0037585C">
              <w:t>09.02.15</w:t>
            </w:r>
          </w:p>
        </w:tc>
        <w:tc>
          <w:tcPr>
            <w:tcW w:w="5954" w:type="dxa"/>
          </w:tcPr>
          <w:p w14:paraId="0CC62705" w14:textId="7DAA03C5" w:rsidR="00275C03" w:rsidRPr="0037585C" w:rsidRDefault="00275C03" w:rsidP="0031522F">
            <w:pPr>
              <w:rPr>
                <w:bCs/>
              </w:rPr>
            </w:pPr>
            <w:r w:rsidRPr="0037585C">
              <w:rPr>
                <w:bCs/>
              </w:rPr>
              <w:t>Ian Baker, Director, Education Policy and Programs, NS</w:t>
            </w:r>
            <w:r w:rsidR="0031522F">
              <w:rPr>
                <w:bCs/>
              </w:rPr>
              <w:t xml:space="preserve">W Catholic Education Commission, and </w:t>
            </w:r>
            <w:r w:rsidRPr="0037585C">
              <w:rPr>
                <w:bCs/>
              </w:rPr>
              <w:t xml:space="preserve">Ross Fox, Executive Director, National Catholic Education Commission </w:t>
            </w:r>
          </w:p>
        </w:tc>
        <w:tc>
          <w:tcPr>
            <w:tcW w:w="2090" w:type="dxa"/>
          </w:tcPr>
          <w:p w14:paraId="28D39022" w14:textId="77777777" w:rsidR="00275C03" w:rsidRPr="0037585C" w:rsidRDefault="00275C03" w:rsidP="00275C03">
            <w:r w:rsidRPr="0037585C">
              <w:t>AHRC, NSW</w:t>
            </w:r>
          </w:p>
        </w:tc>
      </w:tr>
      <w:tr w:rsidR="00275C03" w:rsidRPr="0037585C" w14:paraId="3FFF2F20" w14:textId="77777777" w:rsidTr="00275C03">
        <w:tc>
          <w:tcPr>
            <w:tcW w:w="1242" w:type="dxa"/>
          </w:tcPr>
          <w:p w14:paraId="46D2076D" w14:textId="77777777" w:rsidR="00275C03" w:rsidRPr="0037585C" w:rsidRDefault="00275C03" w:rsidP="00275C03">
            <w:r w:rsidRPr="0037585C">
              <w:t>11.02.15</w:t>
            </w:r>
          </w:p>
        </w:tc>
        <w:tc>
          <w:tcPr>
            <w:tcW w:w="5954" w:type="dxa"/>
          </w:tcPr>
          <w:p w14:paraId="0273B4BF" w14:textId="77777777" w:rsidR="00275C03" w:rsidRPr="0037585C" w:rsidRDefault="00275C03" w:rsidP="00275C03">
            <w:pPr>
              <w:rPr>
                <w:bCs/>
              </w:rPr>
            </w:pPr>
            <w:r w:rsidRPr="0037585C">
              <w:rPr>
                <w:bCs/>
              </w:rPr>
              <w:t>Professor Deborah Mitchell, Australian Demographic and Social Research Institute, Australian National University</w:t>
            </w:r>
          </w:p>
        </w:tc>
        <w:tc>
          <w:tcPr>
            <w:tcW w:w="2090" w:type="dxa"/>
          </w:tcPr>
          <w:p w14:paraId="2BE9B631" w14:textId="77777777" w:rsidR="00275C03" w:rsidRPr="0037585C" w:rsidRDefault="00275C03" w:rsidP="00275C03">
            <w:r w:rsidRPr="0037585C">
              <w:t>Canberra, ACT</w:t>
            </w:r>
          </w:p>
        </w:tc>
      </w:tr>
      <w:tr w:rsidR="00275C03" w:rsidRPr="0037585C" w14:paraId="77265FB1" w14:textId="77777777" w:rsidTr="00275C03">
        <w:tc>
          <w:tcPr>
            <w:tcW w:w="1242" w:type="dxa"/>
          </w:tcPr>
          <w:p w14:paraId="3BBFA762" w14:textId="77777777" w:rsidR="00275C03" w:rsidRPr="0037585C" w:rsidRDefault="00275C03" w:rsidP="00275C03">
            <w:r w:rsidRPr="0037585C">
              <w:t>12.02.15</w:t>
            </w:r>
          </w:p>
        </w:tc>
        <w:tc>
          <w:tcPr>
            <w:tcW w:w="5954" w:type="dxa"/>
          </w:tcPr>
          <w:p w14:paraId="42851C64" w14:textId="77777777" w:rsidR="00275C03" w:rsidRPr="0037585C" w:rsidRDefault="00275C03" w:rsidP="00275C03">
            <w:pPr>
              <w:rPr>
                <w:bCs/>
              </w:rPr>
            </w:pPr>
            <w:r w:rsidRPr="0037585C">
              <w:rPr>
                <w:bCs/>
              </w:rPr>
              <w:t>Professor Elizabeth Handsley, President of the Australian Council on Children and the Media</w:t>
            </w:r>
          </w:p>
        </w:tc>
        <w:tc>
          <w:tcPr>
            <w:tcW w:w="2090" w:type="dxa"/>
          </w:tcPr>
          <w:p w14:paraId="079EEE3D" w14:textId="77777777" w:rsidR="00275C03" w:rsidRPr="0037585C" w:rsidRDefault="00275C03" w:rsidP="00275C03">
            <w:r w:rsidRPr="0037585C">
              <w:t>AHRC, NSW</w:t>
            </w:r>
          </w:p>
        </w:tc>
      </w:tr>
      <w:tr w:rsidR="00275C03" w:rsidRPr="0037585C" w14:paraId="49676F97" w14:textId="77777777" w:rsidTr="00275C03">
        <w:tc>
          <w:tcPr>
            <w:tcW w:w="1242" w:type="dxa"/>
          </w:tcPr>
          <w:p w14:paraId="1631F8B9" w14:textId="77777777" w:rsidR="00275C03" w:rsidRPr="0037585C" w:rsidRDefault="00275C03" w:rsidP="00275C03">
            <w:r w:rsidRPr="0037585C">
              <w:t>16.02.15</w:t>
            </w:r>
          </w:p>
        </w:tc>
        <w:tc>
          <w:tcPr>
            <w:tcW w:w="5954" w:type="dxa"/>
          </w:tcPr>
          <w:p w14:paraId="161F8895" w14:textId="77777777" w:rsidR="00275C03" w:rsidRPr="0037585C" w:rsidRDefault="00275C03" w:rsidP="00275C03">
            <w:pPr>
              <w:rPr>
                <w:bCs/>
              </w:rPr>
            </w:pPr>
            <w:r w:rsidRPr="0037585C">
              <w:rPr>
                <w:bCs/>
              </w:rPr>
              <w:t>Andrew Johnson, NSW Advocate, Advocate for Children and Young People</w:t>
            </w:r>
          </w:p>
        </w:tc>
        <w:tc>
          <w:tcPr>
            <w:tcW w:w="2090" w:type="dxa"/>
          </w:tcPr>
          <w:p w14:paraId="52C77885" w14:textId="77777777" w:rsidR="00275C03" w:rsidRPr="0037585C" w:rsidRDefault="00275C03" w:rsidP="00275C03">
            <w:r w:rsidRPr="0037585C">
              <w:t>AHRC, NSW</w:t>
            </w:r>
          </w:p>
        </w:tc>
      </w:tr>
      <w:tr w:rsidR="00275C03" w:rsidRPr="0037585C" w14:paraId="53D7355E" w14:textId="77777777" w:rsidTr="00275C03">
        <w:tc>
          <w:tcPr>
            <w:tcW w:w="1242" w:type="dxa"/>
          </w:tcPr>
          <w:p w14:paraId="2030D590" w14:textId="77777777" w:rsidR="00275C03" w:rsidRPr="0037585C" w:rsidRDefault="00275C03" w:rsidP="00275C03">
            <w:r w:rsidRPr="0037585C">
              <w:t>19.02.15</w:t>
            </w:r>
          </w:p>
        </w:tc>
        <w:tc>
          <w:tcPr>
            <w:tcW w:w="5954" w:type="dxa"/>
          </w:tcPr>
          <w:p w14:paraId="0C7DC9C3" w14:textId="7E1F22A4" w:rsidR="00275C03" w:rsidRPr="0037585C" w:rsidRDefault="00275C03" w:rsidP="0031522F">
            <w:pPr>
              <w:rPr>
                <w:bCs/>
              </w:rPr>
            </w:pPr>
            <w:r w:rsidRPr="0037585C">
              <w:rPr>
                <w:bCs/>
              </w:rPr>
              <w:t xml:space="preserve">Professor Patrick McGorry AO, Executive Director, Orygen </w:t>
            </w:r>
            <w:r w:rsidR="0031522F">
              <w:rPr>
                <w:bCs/>
              </w:rPr>
              <w:t xml:space="preserve">– </w:t>
            </w:r>
            <w:r w:rsidRPr="0037585C">
              <w:rPr>
                <w:bCs/>
              </w:rPr>
              <w:t>The National Centre of Excellence in Youth Mental Health</w:t>
            </w:r>
          </w:p>
        </w:tc>
        <w:tc>
          <w:tcPr>
            <w:tcW w:w="2090" w:type="dxa"/>
          </w:tcPr>
          <w:p w14:paraId="50B1E627" w14:textId="77777777" w:rsidR="00275C03" w:rsidRPr="0037585C" w:rsidRDefault="00275C03" w:rsidP="00275C03">
            <w:r w:rsidRPr="0037585C">
              <w:t>AHRC, NSW</w:t>
            </w:r>
          </w:p>
        </w:tc>
      </w:tr>
      <w:tr w:rsidR="00275C03" w:rsidRPr="0037585C" w14:paraId="31D8FEF0" w14:textId="77777777" w:rsidTr="00275C03">
        <w:tc>
          <w:tcPr>
            <w:tcW w:w="1242" w:type="dxa"/>
          </w:tcPr>
          <w:p w14:paraId="022730C4" w14:textId="77777777" w:rsidR="00275C03" w:rsidRPr="0037585C" w:rsidRDefault="00275C03" w:rsidP="00275C03">
            <w:r w:rsidRPr="0037585C">
              <w:t>23.02.15</w:t>
            </w:r>
          </w:p>
        </w:tc>
        <w:tc>
          <w:tcPr>
            <w:tcW w:w="5954" w:type="dxa"/>
          </w:tcPr>
          <w:p w14:paraId="34868BF9" w14:textId="1F5416A2" w:rsidR="00275C03" w:rsidRPr="0037585C" w:rsidRDefault="00275C03" w:rsidP="0031522F">
            <w:pPr>
              <w:rPr>
                <w:bCs/>
              </w:rPr>
            </w:pPr>
            <w:r w:rsidRPr="0037585C">
              <w:rPr>
                <w:bCs/>
              </w:rPr>
              <w:t>Dr Susan Cochrane, Advisor</w:t>
            </w:r>
            <w:r>
              <w:rPr>
                <w:bCs/>
              </w:rPr>
              <w:t xml:space="preserve"> for the </w:t>
            </w:r>
            <w:r w:rsidRPr="0037585C">
              <w:rPr>
                <w:bCs/>
              </w:rPr>
              <w:t>Office of the Attorney-General and Minister for the Arts</w:t>
            </w:r>
          </w:p>
        </w:tc>
        <w:tc>
          <w:tcPr>
            <w:tcW w:w="2090" w:type="dxa"/>
          </w:tcPr>
          <w:p w14:paraId="28B48EDA" w14:textId="77777777" w:rsidR="00275C03" w:rsidRPr="0037585C" w:rsidRDefault="00275C03" w:rsidP="00275C03">
            <w:r w:rsidRPr="0037585C">
              <w:t>Canberra, ACT</w:t>
            </w:r>
          </w:p>
        </w:tc>
      </w:tr>
      <w:tr w:rsidR="00275C03" w:rsidRPr="0037585C" w14:paraId="347E446A" w14:textId="77777777" w:rsidTr="00275C03">
        <w:tc>
          <w:tcPr>
            <w:tcW w:w="1242" w:type="dxa"/>
          </w:tcPr>
          <w:p w14:paraId="6CB90A70" w14:textId="77777777" w:rsidR="00275C03" w:rsidRPr="0037585C" w:rsidRDefault="00275C03" w:rsidP="00275C03">
            <w:r w:rsidRPr="0037585C">
              <w:t>23.02.15</w:t>
            </w:r>
          </w:p>
        </w:tc>
        <w:tc>
          <w:tcPr>
            <w:tcW w:w="5954" w:type="dxa"/>
          </w:tcPr>
          <w:p w14:paraId="11D24EF2" w14:textId="77777777" w:rsidR="00275C03" w:rsidRPr="0037585C" w:rsidRDefault="00275C03" w:rsidP="00275C03">
            <w:pPr>
              <w:rPr>
                <w:bCs/>
              </w:rPr>
            </w:pPr>
            <w:r>
              <w:rPr>
                <w:bCs/>
              </w:rPr>
              <w:t>Natasha Cole, Advisor to</w:t>
            </w:r>
            <w:r w:rsidRPr="0037585C">
              <w:rPr>
                <w:bCs/>
              </w:rPr>
              <w:t xml:space="preserve"> the Hon Sussan Ley MP</w:t>
            </w:r>
            <w:r w:rsidRPr="0037585C">
              <w:t xml:space="preserve">, </w:t>
            </w:r>
            <w:r w:rsidRPr="0037585C">
              <w:rPr>
                <w:bCs/>
              </w:rPr>
              <w:t>Minister for Health, Minister for Sport</w:t>
            </w:r>
          </w:p>
        </w:tc>
        <w:tc>
          <w:tcPr>
            <w:tcW w:w="2090" w:type="dxa"/>
          </w:tcPr>
          <w:p w14:paraId="4C2B4EE3" w14:textId="77777777" w:rsidR="00275C03" w:rsidRPr="0037585C" w:rsidRDefault="00275C03" w:rsidP="00275C03">
            <w:r w:rsidRPr="0037585C">
              <w:t>Canberra, ACT</w:t>
            </w:r>
          </w:p>
        </w:tc>
      </w:tr>
      <w:tr w:rsidR="00275C03" w:rsidRPr="0037585C" w14:paraId="543D44B6" w14:textId="77777777" w:rsidTr="00275C03">
        <w:tc>
          <w:tcPr>
            <w:tcW w:w="1242" w:type="dxa"/>
          </w:tcPr>
          <w:p w14:paraId="6B136A33" w14:textId="77777777" w:rsidR="00275C03" w:rsidRPr="0037585C" w:rsidRDefault="00275C03" w:rsidP="00275C03">
            <w:r w:rsidRPr="0037585C">
              <w:lastRenderedPageBreak/>
              <w:t>23.02.15</w:t>
            </w:r>
          </w:p>
        </w:tc>
        <w:tc>
          <w:tcPr>
            <w:tcW w:w="5954" w:type="dxa"/>
          </w:tcPr>
          <w:p w14:paraId="62DE229B" w14:textId="26CFB0A0" w:rsidR="00275C03" w:rsidRPr="0037585C" w:rsidRDefault="00275C03" w:rsidP="00275C03">
            <w:pPr>
              <w:rPr>
                <w:bCs/>
                <w:highlight w:val="magenta"/>
              </w:rPr>
            </w:pPr>
            <w:r w:rsidRPr="0037585C">
              <w:rPr>
                <w:bCs/>
              </w:rPr>
              <w:t xml:space="preserve">Senator </w:t>
            </w:r>
            <w:r w:rsidR="008033BC">
              <w:rPr>
                <w:bCs/>
              </w:rPr>
              <w:t xml:space="preserve">the Hon </w:t>
            </w:r>
            <w:r w:rsidRPr="0037585C">
              <w:rPr>
                <w:bCs/>
              </w:rPr>
              <w:t>Penny Wright</w:t>
            </w:r>
            <w:r>
              <w:rPr>
                <w:bCs/>
              </w:rPr>
              <w:t>,</w:t>
            </w:r>
            <w:r w:rsidRPr="0037585C">
              <w:rPr>
                <w:bCs/>
                <w:color w:val="5FA737"/>
                <w:sz w:val="20"/>
                <w:szCs w:val="20"/>
              </w:rPr>
              <w:t xml:space="preserve"> </w:t>
            </w:r>
            <w:r w:rsidRPr="0037585C">
              <w:rPr>
                <w:bCs/>
              </w:rPr>
              <w:t>Senator for South Australia</w:t>
            </w:r>
            <w:r>
              <w:rPr>
                <w:bCs/>
              </w:rPr>
              <w:t xml:space="preserve">, </w:t>
            </w:r>
            <w:r w:rsidRPr="0037585C">
              <w:rPr>
                <w:bCs/>
              </w:rPr>
              <w:t>Australian Greens</w:t>
            </w:r>
          </w:p>
        </w:tc>
        <w:tc>
          <w:tcPr>
            <w:tcW w:w="2090" w:type="dxa"/>
          </w:tcPr>
          <w:p w14:paraId="7EE28CB7" w14:textId="77777777" w:rsidR="00275C03" w:rsidRPr="0037585C" w:rsidRDefault="00275C03" w:rsidP="00275C03">
            <w:r w:rsidRPr="0037585C">
              <w:t>Canberra, ACT</w:t>
            </w:r>
          </w:p>
        </w:tc>
      </w:tr>
      <w:tr w:rsidR="00275C03" w:rsidRPr="0037585C" w14:paraId="0B47186C" w14:textId="77777777" w:rsidTr="00275C03">
        <w:tc>
          <w:tcPr>
            <w:tcW w:w="1242" w:type="dxa"/>
          </w:tcPr>
          <w:p w14:paraId="4D81DA40" w14:textId="77777777" w:rsidR="00275C03" w:rsidRPr="0037585C" w:rsidRDefault="00275C03" w:rsidP="00275C03">
            <w:r w:rsidRPr="0037585C">
              <w:t>25.02.15</w:t>
            </w:r>
          </w:p>
        </w:tc>
        <w:tc>
          <w:tcPr>
            <w:tcW w:w="5954" w:type="dxa"/>
          </w:tcPr>
          <w:p w14:paraId="099EA4D1" w14:textId="1DDA930C" w:rsidR="00275C03" w:rsidRPr="0037585C" w:rsidRDefault="00275C03" w:rsidP="0031522F">
            <w:pPr>
              <w:rPr>
                <w:bCs/>
              </w:rPr>
            </w:pPr>
            <w:r w:rsidRPr="0037585C">
              <w:rPr>
                <w:bCs/>
              </w:rPr>
              <w:t>Dr Kirthana Sharma</w:t>
            </w:r>
            <w:r w:rsidR="0031522F">
              <w:rPr>
                <w:bCs/>
              </w:rPr>
              <w:t>,</w:t>
            </w:r>
            <w:r w:rsidRPr="0037585C">
              <w:rPr>
                <w:bCs/>
              </w:rPr>
              <w:t xml:space="preserve"> Co-Founder</w:t>
            </w:r>
            <w:r>
              <w:rPr>
                <w:bCs/>
              </w:rPr>
              <w:t>,</w:t>
            </w:r>
            <w:r w:rsidRPr="0037585C">
              <w:rPr>
                <w:bCs/>
              </w:rPr>
              <w:t xml:space="preserve"> Doctors Against Pollution</w:t>
            </w:r>
          </w:p>
        </w:tc>
        <w:tc>
          <w:tcPr>
            <w:tcW w:w="2090" w:type="dxa"/>
          </w:tcPr>
          <w:p w14:paraId="2625980E" w14:textId="77777777" w:rsidR="00275C03" w:rsidRPr="0037585C" w:rsidRDefault="00275C03" w:rsidP="00275C03">
            <w:r w:rsidRPr="0037585C">
              <w:t>AHRC, NSW</w:t>
            </w:r>
          </w:p>
        </w:tc>
      </w:tr>
      <w:tr w:rsidR="00275C03" w:rsidRPr="0037585C" w14:paraId="1EA3E91F" w14:textId="77777777" w:rsidTr="00275C03">
        <w:tc>
          <w:tcPr>
            <w:tcW w:w="1242" w:type="dxa"/>
          </w:tcPr>
          <w:p w14:paraId="418097B7" w14:textId="77777777" w:rsidR="00275C03" w:rsidRPr="0037585C" w:rsidRDefault="00275C03" w:rsidP="00275C03">
            <w:r w:rsidRPr="0037585C">
              <w:t>25.02.15</w:t>
            </w:r>
          </w:p>
        </w:tc>
        <w:tc>
          <w:tcPr>
            <w:tcW w:w="5954" w:type="dxa"/>
          </w:tcPr>
          <w:p w14:paraId="7D490EF5" w14:textId="77777777" w:rsidR="00275C03" w:rsidRPr="0037585C" w:rsidRDefault="00275C03" w:rsidP="00275C03">
            <w:pPr>
              <w:rPr>
                <w:bCs/>
                <w:highlight w:val="magenta"/>
              </w:rPr>
            </w:pPr>
            <w:r w:rsidRPr="0037585C">
              <w:rPr>
                <w:bCs/>
              </w:rPr>
              <w:t>Philip Brown, A/g Group Manager, Families, Department of Social Services</w:t>
            </w:r>
          </w:p>
        </w:tc>
        <w:tc>
          <w:tcPr>
            <w:tcW w:w="2090" w:type="dxa"/>
          </w:tcPr>
          <w:p w14:paraId="76CFD825" w14:textId="77777777" w:rsidR="00275C03" w:rsidRPr="0037585C" w:rsidRDefault="00275C03" w:rsidP="00275C03">
            <w:r w:rsidRPr="0037585C">
              <w:t>AHRC, NSW</w:t>
            </w:r>
          </w:p>
        </w:tc>
      </w:tr>
      <w:tr w:rsidR="00275C03" w:rsidRPr="0037585C" w14:paraId="39B52B0F" w14:textId="77777777" w:rsidTr="00275C03">
        <w:tc>
          <w:tcPr>
            <w:tcW w:w="1242" w:type="dxa"/>
          </w:tcPr>
          <w:p w14:paraId="11331079" w14:textId="77777777" w:rsidR="00275C03" w:rsidRPr="0037585C" w:rsidRDefault="00275C03" w:rsidP="00275C03">
            <w:r w:rsidRPr="0037585C">
              <w:t>26.02.15</w:t>
            </w:r>
          </w:p>
        </w:tc>
        <w:tc>
          <w:tcPr>
            <w:tcW w:w="5954" w:type="dxa"/>
          </w:tcPr>
          <w:p w14:paraId="6F0BACFF" w14:textId="77777777" w:rsidR="00275C03" w:rsidRPr="0037585C" w:rsidRDefault="00275C03" w:rsidP="00275C03">
            <w:pPr>
              <w:rPr>
                <w:bCs/>
              </w:rPr>
            </w:pPr>
            <w:r w:rsidRPr="0097781B">
              <w:rPr>
                <w:bCs/>
              </w:rPr>
              <w:t xml:space="preserve">Natasha Scully and Helen Freeland, </w:t>
            </w:r>
            <w:r>
              <w:rPr>
                <w:bCs/>
              </w:rPr>
              <w:t>project for establishing Australia’s first national sovereign wealth fund for children</w:t>
            </w:r>
          </w:p>
        </w:tc>
        <w:tc>
          <w:tcPr>
            <w:tcW w:w="2090" w:type="dxa"/>
          </w:tcPr>
          <w:p w14:paraId="2DF8B7F0" w14:textId="77777777" w:rsidR="00275C03" w:rsidRPr="0037585C" w:rsidRDefault="00275C03" w:rsidP="00275C03">
            <w:r w:rsidRPr="0037585C">
              <w:t>AHRC, NSW</w:t>
            </w:r>
          </w:p>
        </w:tc>
      </w:tr>
      <w:tr w:rsidR="00275C03" w:rsidRPr="0037585C" w14:paraId="76DEE6EC" w14:textId="77777777" w:rsidTr="00275C03">
        <w:tc>
          <w:tcPr>
            <w:tcW w:w="1242" w:type="dxa"/>
          </w:tcPr>
          <w:p w14:paraId="7641B31D" w14:textId="77777777" w:rsidR="00275C03" w:rsidRPr="0037585C" w:rsidRDefault="00275C03" w:rsidP="00275C03">
            <w:r w:rsidRPr="0037585C">
              <w:t>26.02.15</w:t>
            </w:r>
          </w:p>
        </w:tc>
        <w:tc>
          <w:tcPr>
            <w:tcW w:w="5954" w:type="dxa"/>
          </w:tcPr>
          <w:p w14:paraId="5181697A" w14:textId="77777777" w:rsidR="00275C03" w:rsidRPr="0037585C" w:rsidRDefault="00275C03" w:rsidP="00275C03">
            <w:r w:rsidRPr="0037585C">
              <w:rPr>
                <w:bCs/>
              </w:rPr>
              <w:t xml:space="preserve">Eddie Cubillo, </w:t>
            </w:r>
            <w:r w:rsidRPr="0037585C">
              <w:t>Executive Officer, National Aboriginal &amp; Torres Strait Islander Legal Services</w:t>
            </w:r>
          </w:p>
        </w:tc>
        <w:tc>
          <w:tcPr>
            <w:tcW w:w="2090" w:type="dxa"/>
          </w:tcPr>
          <w:p w14:paraId="6CB85698" w14:textId="77777777" w:rsidR="00275C03" w:rsidRPr="0037585C" w:rsidRDefault="00275C03" w:rsidP="00275C03">
            <w:r w:rsidRPr="0037585C">
              <w:t>AHRC, NSW</w:t>
            </w:r>
          </w:p>
        </w:tc>
      </w:tr>
      <w:tr w:rsidR="00275C03" w:rsidRPr="0037585C" w14:paraId="4FA63294" w14:textId="77777777" w:rsidTr="00275C03">
        <w:tc>
          <w:tcPr>
            <w:tcW w:w="1242" w:type="dxa"/>
          </w:tcPr>
          <w:p w14:paraId="604DE68A" w14:textId="0AAFA707" w:rsidR="00275C03" w:rsidRPr="0037585C" w:rsidRDefault="00275C03" w:rsidP="0057418F">
            <w:r w:rsidRPr="0037585C">
              <w:t>06.0</w:t>
            </w:r>
            <w:r w:rsidR="0057418F">
              <w:t>3</w:t>
            </w:r>
            <w:r w:rsidRPr="0037585C">
              <w:t>.15</w:t>
            </w:r>
          </w:p>
        </w:tc>
        <w:tc>
          <w:tcPr>
            <w:tcW w:w="5954" w:type="dxa"/>
          </w:tcPr>
          <w:p w14:paraId="2792313F" w14:textId="5A6267EF" w:rsidR="00275C03" w:rsidRPr="0037585C" w:rsidRDefault="003B2D20" w:rsidP="00275C03">
            <w:pPr>
              <w:rPr>
                <w:bCs/>
              </w:rPr>
            </w:pPr>
            <w:r>
              <w:rPr>
                <w:bCs/>
              </w:rPr>
              <w:t xml:space="preserve">Ashley Hill, Project Officer and Consultant, </w:t>
            </w:r>
            <w:r w:rsidR="00275C03" w:rsidRPr="0037585C">
              <w:rPr>
                <w:bCs/>
              </w:rPr>
              <w:t>Ethnic Child Care, Family and Community Services Co-operative Ltd</w:t>
            </w:r>
          </w:p>
        </w:tc>
        <w:tc>
          <w:tcPr>
            <w:tcW w:w="2090" w:type="dxa"/>
          </w:tcPr>
          <w:p w14:paraId="2E78140E" w14:textId="77777777" w:rsidR="00275C03" w:rsidRPr="0037585C" w:rsidRDefault="00275C03" w:rsidP="00275C03">
            <w:r w:rsidRPr="0037585C">
              <w:t>AHRC, NSW</w:t>
            </w:r>
          </w:p>
        </w:tc>
      </w:tr>
      <w:tr w:rsidR="00275C03" w:rsidRPr="0037585C" w14:paraId="12CFB5CA" w14:textId="77777777" w:rsidTr="00275C03">
        <w:tc>
          <w:tcPr>
            <w:tcW w:w="1242" w:type="dxa"/>
          </w:tcPr>
          <w:p w14:paraId="35EF3B45" w14:textId="77B8A2BE" w:rsidR="00275C03" w:rsidRPr="0037585C" w:rsidRDefault="00275C03" w:rsidP="00275C03">
            <w:r w:rsidRPr="0037585C">
              <w:t>10.</w:t>
            </w:r>
            <w:r w:rsidR="0057418F">
              <w:t>0</w:t>
            </w:r>
            <w:r w:rsidRPr="0037585C">
              <w:t>3.15</w:t>
            </w:r>
          </w:p>
        </w:tc>
        <w:tc>
          <w:tcPr>
            <w:tcW w:w="5954" w:type="dxa"/>
          </w:tcPr>
          <w:p w14:paraId="35C1A84C" w14:textId="77777777" w:rsidR="00275C03" w:rsidRPr="0037585C" w:rsidRDefault="00275C03" w:rsidP="00275C03">
            <w:pPr>
              <w:rPr>
                <w:bCs/>
              </w:rPr>
            </w:pPr>
            <w:r w:rsidRPr="0037585C">
              <w:rPr>
                <w:bCs/>
              </w:rPr>
              <w:t>Child Rights Taskforce Meeting</w:t>
            </w:r>
          </w:p>
        </w:tc>
        <w:tc>
          <w:tcPr>
            <w:tcW w:w="2090" w:type="dxa"/>
          </w:tcPr>
          <w:p w14:paraId="61624A78" w14:textId="77777777" w:rsidR="00275C03" w:rsidRPr="0037585C" w:rsidRDefault="00275C03" w:rsidP="00275C03">
            <w:r w:rsidRPr="0037585C">
              <w:t>Sydney, NSW</w:t>
            </w:r>
          </w:p>
        </w:tc>
      </w:tr>
      <w:tr w:rsidR="00275C03" w:rsidRPr="0037585C" w14:paraId="0A443735" w14:textId="77777777" w:rsidTr="00275C03">
        <w:tc>
          <w:tcPr>
            <w:tcW w:w="1242" w:type="dxa"/>
          </w:tcPr>
          <w:p w14:paraId="457DB1D7" w14:textId="77777777" w:rsidR="00275C03" w:rsidRPr="0037585C" w:rsidRDefault="00275C03" w:rsidP="00275C03">
            <w:r w:rsidRPr="0037585C">
              <w:t>11.03.15</w:t>
            </w:r>
          </w:p>
        </w:tc>
        <w:tc>
          <w:tcPr>
            <w:tcW w:w="5954" w:type="dxa"/>
          </w:tcPr>
          <w:p w14:paraId="021C6C70" w14:textId="58DBC81B" w:rsidR="00275C03" w:rsidRPr="0037585C" w:rsidRDefault="00275C03" w:rsidP="00275C03">
            <w:pPr>
              <w:rPr>
                <w:rFonts w:asciiTheme="minorHAnsi" w:eastAsiaTheme="minorHAnsi" w:hAnsiTheme="minorHAnsi" w:cstheme="minorBidi"/>
                <w:b/>
                <w:sz w:val="22"/>
                <w:szCs w:val="22"/>
                <w:lang w:eastAsia="en-US"/>
              </w:rPr>
            </w:pPr>
            <w:r w:rsidRPr="0037585C">
              <w:rPr>
                <w:bCs/>
              </w:rPr>
              <w:t xml:space="preserve">John </w:t>
            </w:r>
            <w:r w:rsidR="00E04B65" w:rsidRPr="0037585C">
              <w:rPr>
                <w:bCs/>
              </w:rPr>
              <w:t>Shevlin</w:t>
            </w:r>
            <w:r w:rsidRPr="0037585C">
              <w:rPr>
                <w:bCs/>
              </w:rPr>
              <w:t>,</w:t>
            </w:r>
            <w:r w:rsidRPr="0037585C">
              <w:rPr>
                <w:rFonts w:asciiTheme="minorHAnsi" w:eastAsiaTheme="minorHAnsi" w:hAnsiTheme="minorHAnsi" w:cstheme="minorBidi"/>
                <w:b/>
                <w:sz w:val="22"/>
                <w:szCs w:val="22"/>
                <w:lang w:eastAsia="en-US"/>
              </w:rPr>
              <w:t xml:space="preserve"> </w:t>
            </w:r>
            <w:r w:rsidRPr="0037585C">
              <w:rPr>
                <w:rFonts w:eastAsiaTheme="minorHAnsi" w:cs="Arial"/>
                <w:szCs w:val="22"/>
                <w:lang w:eastAsia="en-US"/>
              </w:rPr>
              <w:t>Project Executive Officer, Aboriginal and Torres Strait Islander Suicide Prevent</w:t>
            </w:r>
            <w:r w:rsidR="0057418F">
              <w:rPr>
                <w:rFonts w:eastAsiaTheme="minorHAnsi" w:cs="Arial"/>
                <w:szCs w:val="22"/>
                <w:lang w:eastAsia="en-US"/>
              </w:rPr>
              <w:t>ion</w:t>
            </w:r>
            <w:r w:rsidRPr="0037585C">
              <w:rPr>
                <w:rFonts w:eastAsiaTheme="minorHAnsi" w:cs="Arial"/>
                <w:szCs w:val="22"/>
                <w:lang w:eastAsia="en-US"/>
              </w:rPr>
              <w:t xml:space="preserve"> Evaluation Project </w:t>
            </w:r>
            <w:r>
              <w:rPr>
                <w:rFonts w:eastAsiaTheme="minorHAnsi" w:cs="Arial"/>
                <w:szCs w:val="22"/>
                <w:lang w:eastAsia="en-US"/>
              </w:rPr>
              <w:t>(</w:t>
            </w:r>
            <w:r w:rsidRPr="0037585C">
              <w:rPr>
                <w:rFonts w:eastAsiaTheme="minorHAnsi" w:cs="Arial"/>
                <w:szCs w:val="22"/>
                <w:lang w:eastAsia="en-US"/>
              </w:rPr>
              <w:t>ATSISPEP</w:t>
            </w:r>
            <w:r>
              <w:rPr>
                <w:rFonts w:eastAsiaTheme="minorHAnsi" w:cs="Arial"/>
                <w:szCs w:val="22"/>
                <w:lang w:eastAsia="en-US"/>
              </w:rPr>
              <w:t>)</w:t>
            </w:r>
            <w:r w:rsidR="0057418F">
              <w:rPr>
                <w:rFonts w:eastAsiaTheme="minorHAnsi" w:cs="Arial"/>
                <w:szCs w:val="22"/>
                <w:lang w:eastAsia="en-US"/>
              </w:rPr>
              <w:t xml:space="preserve"> </w:t>
            </w:r>
          </w:p>
        </w:tc>
        <w:tc>
          <w:tcPr>
            <w:tcW w:w="2090" w:type="dxa"/>
          </w:tcPr>
          <w:p w14:paraId="1778A44F" w14:textId="77777777" w:rsidR="00275C03" w:rsidRPr="0037585C" w:rsidRDefault="00275C03" w:rsidP="00275C03">
            <w:r w:rsidRPr="0037585C">
              <w:t>AHRC, NSW</w:t>
            </w:r>
          </w:p>
        </w:tc>
      </w:tr>
      <w:tr w:rsidR="00275C03" w:rsidRPr="0037585C" w14:paraId="1897F7C0" w14:textId="77777777" w:rsidTr="00275C03">
        <w:tc>
          <w:tcPr>
            <w:tcW w:w="1242" w:type="dxa"/>
          </w:tcPr>
          <w:p w14:paraId="7606A1D3" w14:textId="77777777" w:rsidR="00275C03" w:rsidRPr="0037585C" w:rsidRDefault="00275C03" w:rsidP="00275C03">
            <w:r w:rsidRPr="0037585C">
              <w:t>13.03.15</w:t>
            </w:r>
          </w:p>
        </w:tc>
        <w:tc>
          <w:tcPr>
            <w:tcW w:w="5954" w:type="dxa"/>
          </w:tcPr>
          <w:p w14:paraId="777B16FB" w14:textId="77777777" w:rsidR="00275C03" w:rsidRPr="0037585C" w:rsidRDefault="00275C03" w:rsidP="00275C03">
            <w:pPr>
              <w:rPr>
                <w:bCs/>
                <w:highlight w:val="magenta"/>
              </w:rPr>
            </w:pPr>
            <w:r w:rsidRPr="0037585C">
              <w:rPr>
                <w:bCs/>
              </w:rPr>
              <w:t xml:space="preserve">Professor Anne Graham, Director, Centre for Children &amp; Young People, Southern Cross University </w:t>
            </w:r>
          </w:p>
        </w:tc>
        <w:tc>
          <w:tcPr>
            <w:tcW w:w="2090" w:type="dxa"/>
          </w:tcPr>
          <w:p w14:paraId="482D9AC9" w14:textId="77777777" w:rsidR="00275C03" w:rsidRPr="0037585C" w:rsidRDefault="00275C03" w:rsidP="00275C03">
            <w:r w:rsidRPr="0037585C">
              <w:t>AHRC, NSW</w:t>
            </w:r>
          </w:p>
        </w:tc>
      </w:tr>
      <w:tr w:rsidR="00275C03" w:rsidRPr="0037585C" w14:paraId="316A43C7" w14:textId="77777777" w:rsidTr="00275C03">
        <w:tc>
          <w:tcPr>
            <w:tcW w:w="1242" w:type="dxa"/>
          </w:tcPr>
          <w:p w14:paraId="1908355A" w14:textId="77777777" w:rsidR="00275C03" w:rsidRPr="0037585C" w:rsidRDefault="00275C03" w:rsidP="00275C03">
            <w:r w:rsidRPr="0037585C">
              <w:t>18.03.15</w:t>
            </w:r>
          </w:p>
        </w:tc>
        <w:tc>
          <w:tcPr>
            <w:tcW w:w="5954" w:type="dxa"/>
          </w:tcPr>
          <w:p w14:paraId="6AF384CD" w14:textId="01D60021" w:rsidR="00275C03" w:rsidRPr="0037585C" w:rsidRDefault="00275C03" w:rsidP="00275C03">
            <w:pPr>
              <w:rPr>
                <w:bCs/>
              </w:rPr>
            </w:pPr>
            <w:r w:rsidRPr="0037585C">
              <w:rPr>
                <w:bCs/>
              </w:rPr>
              <w:t>Nick Rushworth</w:t>
            </w:r>
            <w:r w:rsidR="0057418F">
              <w:rPr>
                <w:bCs/>
              </w:rPr>
              <w:t>,</w:t>
            </w:r>
            <w:r w:rsidRPr="0037585C">
              <w:rPr>
                <w:bCs/>
              </w:rPr>
              <w:t xml:space="preserve"> Executive Officer, Brain Injury Australia </w:t>
            </w:r>
          </w:p>
        </w:tc>
        <w:tc>
          <w:tcPr>
            <w:tcW w:w="2090" w:type="dxa"/>
          </w:tcPr>
          <w:p w14:paraId="1B3A94C7" w14:textId="77777777" w:rsidR="00275C03" w:rsidRPr="0037585C" w:rsidRDefault="00275C03" w:rsidP="00275C03">
            <w:r w:rsidRPr="0037585C">
              <w:t>AHRC, NSW</w:t>
            </w:r>
          </w:p>
        </w:tc>
      </w:tr>
      <w:tr w:rsidR="00275C03" w:rsidRPr="0037585C" w14:paraId="3CA57E03" w14:textId="77777777" w:rsidTr="00275C03">
        <w:tc>
          <w:tcPr>
            <w:tcW w:w="1242" w:type="dxa"/>
          </w:tcPr>
          <w:p w14:paraId="54B6E695" w14:textId="77777777" w:rsidR="00275C03" w:rsidRPr="0037585C" w:rsidRDefault="00275C03" w:rsidP="00275C03">
            <w:r w:rsidRPr="0037585C">
              <w:t>18.03.15</w:t>
            </w:r>
          </w:p>
        </w:tc>
        <w:tc>
          <w:tcPr>
            <w:tcW w:w="5954" w:type="dxa"/>
          </w:tcPr>
          <w:p w14:paraId="07B8D24D" w14:textId="77777777" w:rsidR="00275C03" w:rsidRPr="0037585C" w:rsidRDefault="00275C03" w:rsidP="00275C03">
            <w:pPr>
              <w:rPr>
                <w:bCs/>
              </w:rPr>
            </w:pPr>
            <w:r w:rsidRPr="0037585C">
              <w:rPr>
                <w:bCs/>
              </w:rPr>
              <w:t>Philip Brown, A/g Group Manager, Families, Department of Social Services</w:t>
            </w:r>
          </w:p>
        </w:tc>
        <w:tc>
          <w:tcPr>
            <w:tcW w:w="2090" w:type="dxa"/>
          </w:tcPr>
          <w:p w14:paraId="5868843A" w14:textId="77777777" w:rsidR="00275C03" w:rsidRPr="0037585C" w:rsidRDefault="00275C03" w:rsidP="00275C03">
            <w:r w:rsidRPr="0037585C">
              <w:t>AHRC, NSW</w:t>
            </w:r>
          </w:p>
        </w:tc>
      </w:tr>
      <w:tr w:rsidR="00275C03" w:rsidRPr="0037585C" w14:paraId="1396917F" w14:textId="77777777" w:rsidTr="00275C03">
        <w:tc>
          <w:tcPr>
            <w:tcW w:w="1242" w:type="dxa"/>
          </w:tcPr>
          <w:p w14:paraId="33E003DF" w14:textId="77777777" w:rsidR="00275C03" w:rsidRPr="0037585C" w:rsidRDefault="00275C03" w:rsidP="00275C03">
            <w:r w:rsidRPr="0037585C">
              <w:t>19.03.15</w:t>
            </w:r>
          </w:p>
        </w:tc>
        <w:tc>
          <w:tcPr>
            <w:tcW w:w="5954" w:type="dxa"/>
          </w:tcPr>
          <w:p w14:paraId="34014021" w14:textId="1E008602" w:rsidR="00275C03" w:rsidRPr="0037585C" w:rsidRDefault="00275C03" w:rsidP="0057418F">
            <w:pPr>
              <w:rPr>
                <w:bCs/>
              </w:rPr>
            </w:pPr>
            <w:r w:rsidRPr="0037585C">
              <w:rPr>
                <w:bCs/>
              </w:rPr>
              <w:t>Tracy Adams, Chief Executive Officer, and John Dalgleish</w:t>
            </w:r>
            <w:r w:rsidRPr="0037585C">
              <w:rPr>
                <w:rFonts w:cs="Arial"/>
                <w:sz w:val="20"/>
                <w:szCs w:val="20"/>
              </w:rPr>
              <w:t xml:space="preserve">, </w:t>
            </w:r>
            <w:r w:rsidRPr="0037585C">
              <w:rPr>
                <w:bCs/>
              </w:rPr>
              <w:t>Manager, Strategy and Research</w:t>
            </w:r>
            <w:r w:rsidR="0057418F">
              <w:rPr>
                <w:bCs/>
              </w:rPr>
              <w:t xml:space="preserve">, </w:t>
            </w:r>
            <w:r w:rsidRPr="0037585C">
              <w:rPr>
                <w:bCs/>
              </w:rPr>
              <w:t>BoysTown</w:t>
            </w:r>
          </w:p>
        </w:tc>
        <w:tc>
          <w:tcPr>
            <w:tcW w:w="2090" w:type="dxa"/>
          </w:tcPr>
          <w:p w14:paraId="2F05FBB8" w14:textId="77777777" w:rsidR="00275C03" w:rsidRPr="0037585C" w:rsidRDefault="00275C03" w:rsidP="00275C03">
            <w:r w:rsidRPr="0037585C">
              <w:t>AHRC, NSW</w:t>
            </w:r>
          </w:p>
        </w:tc>
      </w:tr>
      <w:tr w:rsidR="00275C03" w:rsidRPr="0037585C" w14:paraId="66DA6762" w14:textId="77777777" w:rsidTr="00275C03">
        <w:tc>
          <w:tcPr>
            <w:tcW w:w="1242" w:type="dxa"/>
          </w:tcPr>
          <w:p w14:paraId="12586BD6" w14:textId="77777777" w:rsidR="00275C03" w:rsidRPr="0037585C" w:rsidRDefault="00275C03" w:rsidP="00275C03">
            <w:r w:rsidRPr="0037585C">
              <w:t>23.03.15</w:t>
            </w:r>
          </w:p>
        </w:tc>
        <w:tc>
          <w:tcPr>
            <w:tcW w:w="5954" w:type="dxa"/>
          </w:tcPr>
          <w:p w14:paraId="652DBB25" w14:textId="77777777" w:rsidR="00275C03" w:rsidRPr="0037585C" w:rsidRDefault="00275C03" w:rsidP="00275C03">
            <w:pPr>
              <w:rPr>
                <w:bCs/>
              </w:rPr>
            </w:pPr>
            <w:r w:rsidRPr="0097781B">
              <w:rPr>
                <w:bCs/>
              </w:rPr>
              <w:t xml:space="preserve">James McAdams, Advisor to the Hon Sussan Ley </w:t>
            </w:r>
            <w:r w:rsidRPr="0097781B">
              <w:rPr>
                <w:bCs/>
              </w:rPr>
              <w:lastRenderedPageBreak/>
              <w:t>MP, Minister for Health, Minister for Sport</w:t>
            </w:r>
            <w:r w:rsidRPr="0037585C">
              <w:rPr>
                <w:bCs/>
              </w:rPr>
              <w:t xml:space="preserve"> </w:t>
            </w:r>
          </w:p>
        </w:tc>
        <w:tc>
          <w:tcPr>
            <w:tcW w:w="2090" w:type="dxa"/>
          </w:tcPr>
          <w:p w14:paraId="26716272" w14:textId="77777777" w:rsidR="00275C03" w:rsidRPr="0037585C" w:rsidRDefault="00275C03" w:rsidP="00275C03">
            <w:r w:rsidRPr="0037585C">
              <w:lastRenderedPageBreak/>
              <w:t>Canberra, ACT</w:t>
            </w:r>
          </w:p>
        </w:tc>
      </w:tr>
      <w:tr w:rsidR="00275C03" w:rsidRPr="0037585C" w14:paraId="329B40FB" w14:textId="77777777" w:rsidTr="00275C03">
        <w:tc>
          <w:tcPr>
            <w:tcW w:w="1242" w:type="dxa"/>
          </w:tcPr>
          <w:p w14:paraId="63BD0EBD" w14:textId="77777777" w:rsidR="00275C03" w:rsidRPr="0037585C" w:rsidRDefault="00275C03" w:rsidP="00275C03">
            <w:r w:rsidRPr="0037585C">
              <w:lastRenderedPageBreak/>
              <w:t>23.03.15</w:t>
            </w:r>
          </w:p>
        </w:tc>
        <w:tc>
          <w:tcPr>
            <w:tcW w:w="5954" w:type="dxa"/>
          </w:tcPr>
          <w:p w14:paraId="66EB5754" w14:textId="77777777" w:rsidR="00275C03" w:rsidRPr="0037585C" w:rsidRDefault="00275C03" w:rsidP="00275C03">
            <w:pPr>
              <w:rPr>
                <w:bCs/>
                <w:highlight w:val="magenta"/>
              </w:rPr>
            </w:pPr>
            <w:r w:rsidRPr="00ED7332">
              <w:rPr>
                <w:bCs/>
              </w:rPr>
              <w:t>Kate Pope</w:t>
            </w:r>
            <w:r w:rsidRPr="00ED7332">
              <w:rPr>
                <w:rFonts w:ascii="Calibri" w:hAnsi="Calibri" w:cs="Calibri"/>
                <w:sz w:val="22"/>
                <w:szCs w:val="22"/>
                <w:lang w:eastAsia="en-US"/>
              </w:rPr>
              <w:t xml:space="preserve"> </w:t>
            </w:r>
            <w:r w:rsidRPr="00ED7332">
              <w:rPr>
                <w:bCs/>
              </w:rPr>
              <w:t>PSM, First Assistant Secretary, Children and Community Services Division, and Hawari Badri,</w:t>
            </w:r>
            <w:r w:rsidRPr="00ED7332">
              <w:t xml:space="preserve"> </w:t>
            </w:r>
            <w:r w:rsidRPr="00ED7332">
              <w:rPr>
                <w:bCs/>
              </w:rPr>
              <w:t>Assistant Secretary, Child Protection and Wellbeing Branch, Department of Immigration and Boarder Protection</w:t>
            </w:r>
          </w:p>
        </w:tc>
        <w:tc>
          <w:tcPr>
            <w:tcW w:w="2090" w:type="dxa"/>
          </w:tcPr>
          <w:p w14:paraId="6D821637" w14:textId="77777777" w:rsidR="00275C03" w:rsidRPr="0037585C" w:rsidRDefault="00275C03" w:rsidP="00275C03">
            <w:r w:rsidRPr="0037585C">
              <w:t>Canberra, ACT</w:t>
            </w:r>
          </w:p>
        </w:tc>
      </w:tr>
      <w:tr w:rsidR="00275C03" w:rsidRPr="0037585C" w14:paraId="172981E4" w14:textId="77777777" w:rsidTr="00275C03">
        <w:tc>
          <w:tcPr>
            <w:tcW w:w="1242" w:type="dxa"/>
          </w:tcPr>
          <w:p w14:paraId="0918A08C" w14:textId="77777777" w:rsidR="00275C03" w:rsidRPr="0037585C" w:rsidRDefault="00275C03" w:rsidP="00275C03">
            <w:r w:rsidRPr="0037585C">
              <w:t>23.03.15</w:t>
            </w:r>
          </w:p>
        </w:tc>
        <w:tc>
          <w:tcPr>
            <w:tcW w:w="5954" w:type="dxa"/>
          </w:tcPr>
          <w:p w14:paraId="10D3D9A7" w14:textId="08256C6E" w:rsidR="00275C03" w:rsidRPr="0037585C" w:rsidRDefault="00275C03" w:rsidP="008033BC">
            <w:pPr>
              <w:rPr>
                <w:bCs/>
                <w:highlight w:val="magenta"/>
              </w:rPr>
            </w:pPr>
            <w:r w:rsidRPr="008414D5">
              <w:rPr>
                <w:bCs/>
              </w:rPr>
              <w:t xml:space="preserve">The Hon Philip Ruddock MP, Chair, and </w:t>
            </w:r>
            <w:r w:rsidR="008033BC">
              <w:rPr>
                <w:bCs/>
              </w:rPr>
              <w:t>t</w:t>
            </w:r>
            <w:r w:rsidR="003B2D20">
              <w:rPr>
                <w:bCs/>
              </w:rPr>
              <w:t xml:space="preserve">he Hon </w:t>
            </w:r>
            <w:r w:rsidRPr="008414D5">
              <w:rPr>
                <w:bCs/>
              </w:rPr>
              <w:t xml:space="preserve">Laurie Ferguson MP, Deputy, Parliamentary Joint Committee on Human Rights </w:t>
            </w:r>
          </w:p>
        </w:tc>
        <w:tc>
          <w:tcPr>
            <w:tcW w:w="2090" w:type="dxa"/>
          </w:tcPr>
          <w:p w14:paraId="2A519763" w14:textId="77777777" w:rsidR="00275C03" w:rsidRPr="0037585C" w:rsidRDefault="00275C03" w:rsidP="00275C03">
            <w:r w:rsidRPr="0037585C">
              <w:t>Canberra, ACT</w:t>
            </w:r>
          </w:p>
        </w:tc>
      </w:tr>
      <w:tr w:rsidR="00275C03" w:rsidRPr="0037585C" w14:paraId="3C1365F8" w14:textId="77777777" w:rsidTr="00275C03">
        <w:tc>
          <w:tcPr>
            <w:tcW w:w="1242" w:type="dxa"/>
          </w:tcPr>
          <w:p w14:paraId="2E68C1E6" w14:textId="77777777" w:rsidR="00275C03" w:rsidRPr="0037585C" w:rsidRDefault="00275C03" w:rsidP="00275C03">
            <w:r w:rsidRPr="0037585C">
              <w:t>24.03.15</w:t>
            </w:r>
          </w:p>
        </w:tc>
        <w:tc>
          <w:tcPr>
            <w:tcW w:w="5954" w:type="dxa"/>
          </w:tcPr>
          <w:p w14:paraId="03E365A2" w14:textId="126BD21C" w:rsidR="00275C03" w:rsidRPr="0037585C" w:rsidRDefault="00275C03" w:rsidP="0057418F">
            <w:pPr>
              <w:rPr>
                <w:b/>
                <w:bCs/>
              </w:rPr>
            </w:pPr>
            <w:r w:rsidRPr="0037585C">
              <w:rPr>
                <w:bCs/>
              </w:rPr>
              <w:t xml:space="preserve">Lara Purdy, Branch Manager, Financial Capability and Children’s </w:t>
            </w:r>
            <w:r w:rsidRPr="0057418F">
              <w:rPr>
                <w:bCs/>
              </w:rPr>
              <w:t>Policy, Department</w:t>
            </w:r>
            <w:r w:rsidRPr="0037585C">
              <w:rPr>
                <w:bCs/>
              </w:rPr>
              <w:t xml:space="preserve"> of Social Services and Professor Anne Graham, Director, Centre for Children &amp; Young People, Southern Cross University</w:t>
            </w:r>
          </w:p>
        </w:tc>
        <w:tc>
          <w:tcPr>
            <w:tcW w:w="2090" w:type="dxa"/>
          </w:tcPr>
          <w:p w14:paraId="45BE997F" w14:textId="77777777" w:rsidR="00275C03" w:rsidRPr="0037585C" w:rsidRDefault="00275C03" w:rsidP="00275C03">
            <w:r w:rsidRPr="0037585C">
              <w:t>AHRC, NSW</w:t>
            </w:r>
          </w:p>
        </w:tc>
      </w:tr>
      <w:tr w:rsidR="00275C03" w:rsidRPr="0037585C" w14:paraId="6CB80E09" w14:textId="77777777" w:rsidTr="00275C03">
        <w:tc>
          <w:tcPr>
            <w:tcW w:w="1242" w:type="dxa"/>
          </w:tcPr>
          <w:p w14:paraId="4F3BA3D9" w14:textId="77777777" w:rsidR="00275C03" w:rsidRPr="0037585C" w:rsidRDefault="00275C03" w:rsidP="00275C03">
            <w:r w:rsidRPr="0037585C">
              <w:t>25.03.15</w:t>
            </w:r>
          </w:p>
        </w:tc>
        <w:tc>
          <w:tcPr>
            <w:tcW w:w="5954" w:type="dxa"/>
          </w:tcPr>
          <w:p w14:paraId="3E09A3FC" w14:textId="77777777" w:rsidR="00275C03" w:rsidRPr="0037585C" w:rsidRDefault="00275C03" w:rsidP="00275C03">
            <w:pPr>
              <w:rPr>
                <w:bCs/>
              </w:rPr>
            </w:pPr>
            <w:r w:rsidRPr="0037585C">
              <w:rPr>
                <w:bCs/>
              </w:rPr>
              <w:t>Maree Walk,</w:t>
            </w:r>
            <w:r>
              <w:rPr>
                <w:bCs/>
              </w:rPr>
              <w:t xml:space="preserve"> </w:t>
            </w:r>
            <w:r w:rsidRPr="008414D5">
              <w:rPr>
                <w:bCs/>
              </w:rPr>
              <w:t>Deputy Secretary, Programs and Service Design</w:t>
            </w:r>
            <w:r>
              <w:rPr>
                <w:bCs/>
              </w:rPr>
              <w:t>,</w:t>
            </w:r>
            <w:r w:rsidRPr="0037585C">
              <w:rPr>
                <w:bCs/>
              </w:rPr>
              <w:t xml:space="preserve"> NSW Department of Family and Community Services </w:t>
            </w:r>
          </w:p>
        </w:tc>
        <w:tc>
          <w:tcPr>
            <w:tcW w:w="2090" w:type="dxa"/>
          </w:tcPr>
          <w:p w14:paraId="12E4C075" w14:textId="77777777" w:rsidR="00275C03" w:rsidRPr="0037585C" w:rsidRDefault="00275C03" w:rsidP="00275C03">
            <w:r w:rsidRPr="0037585C">
              <w:t>Sydney, NSW</w:t>
            </w:r>
          </w:p>
        </w:tc>
      </w:tr>
      <w:tr w:rsidR="00275C03" w:rsidRPr="0037585C" w14:paraId="197F0D4F" w14:textId="77777777" w:rsidTr="00275C03">
        <w:tc>
          <w:tcPr>
            <w:tcW w:w="1242" w:type="dxa"/>
          </w:tcPr>
          <w:p w14:paraId="6BFF5EB0" w14:textId="77777777" w:rsidR="00275C03" w:rsidRPr="0037585C" w:rsidRDefault="00275C03" w:rsidP="00275C03">
            <w:r w:rsidRPr="0037585C">
              <w:t>26.03.15</w:t>
            </w:r>
          </w:p>
        </w:tc>
        <w:tc>
          <w:tcPr>
            <w:tcW w:w="5954" w:type="dxa"/>
          </w:tcPr>
          <w:p w14:paraId="3EE063AC" w14:textId="77777777" w:rsidR="00275C03" w:rsidRPr="0037585C" w:rsidRDefault="00275C03" w:rsidP="00275C03">
            <w:pPr>
              <w:rPr>
                <w:bCs/>
                <w:highlight w:val="magenta"/>
              </w:rPr>
            </w:pPr>
            <w:r w:rsidRPr="0037585C">
              <w:rPr>
                <w:bCs/>
              </w:rPr>
              <w:t>Professor Elizabeth Handsley, President</w:t>
            </w:r>
            <w:r>
              <w:rPr>
                <w:bCs/>
              </w:rPr>
              <w:t>,</w:t>
            </w:r>
            <w:r w:rsidRPr="0037585C">
              <w:rPr>
                <w:bCs/>
              </w:rPr>
              <w:t xml:space="preserve"> Australian Council on Children and the Media</w:t>
            </w:r>
          </w:p>
        </w:tc>
        <w:tc>
          <w:tcPr>
            <w:tcW w:w="2090" w:type="dxa"/>
          </w:tcPr>
          <w:p w14:paraId="415CA051" w14:textId="77777777" w:rsidR="00275C03" w:rsidRPr="0037585C" w:rsidRDefault="00275C03" w:rsidP="00275C03">
            <w:r w:rsidRPr="0037585C">
              <w:t>AHRC, NSW</w:t>
            </w:r>
          </w:p>
        </w:tc>
      </w:tr>
      <w:tr w:rsidR="00275C03" w:rsidRPr="0037585C" w14:paraId="3C8E5D9E" w14:textId="77777777" w:rsidTr="00275C03">
        <w:tc>
          <w:tcPr>
            <w:tcW w:w="1242" w:type="dxa"/>
          </w:tcPr>
          <w:p w14:paraId="3A2E46EC" w14:textId="77777777" w:rsidR="00275C03" w:rsidRPr="0037585C" w:rsidRDefault="00275C03" w:rsidP="00275C03">
            <w:r w:rsidRPr="0037585C">
              <w:t>26.03.15</w:t>
            </w:r>
          </w:p>
        </w:tc>
        <w:tc>
          <w:tcPr>
            <w:tcW w:w="5954" w:type="dxa"/>
          </w:tcPr>
          <w:p w14:paraId="1C63A08E" w14:textId="77777777" w:rsidR="00275C03" w:rsidRPr="0037585C" w:rsidRDefault="00275C03" w:rsidP="00275C03">
            <w:pPr>
              <w:rPr>
                <w:bCs/>
              </w:rPr>
            </w:pPr>
            <w:r w:rsidRPr="0037585C">
              <w:rPr>
                <w:bCs/>
              </w:rPr>
              <w:t>Anania Tagaro, Senior Project Officer, Save the Children Australia</w:t>
            </w:r>
          </w:p>
        </w:tc>
        <w:tc>
          <w:tcPr>
            <w:tcW w:w="2090" w:type="dxa"/>
          </w:tcPr>
          <w:p w14:paraId="351332BD" w14:textId="77777777" w:rsidR="00275C03" w:rsidRPr="0037585C" w:rsidRDefault="00275C03" w:rsidP="00275C03">
            <w:r w:rsidRPr="0037585C">
              <w:t>AHRC, NSW</w:t>
            </w:r>
          </w:p>
        </w:tc>
      </w:tr>
      <w:tr w:rsidR="00275C03" w:rsidRPr="0037585C" w14:paraId="5B065953" w14:textId="77777777" w:rsidTr="00275C03">
        <w:tc>
          <w:tcPr>
            <w:tcW w:w="1242" w:type="dxa"/>
          </w:tcPr>
          <w:p w14:paraId="3CAA51E3" w14:textId="77777777" w:rsidR="00275C03" w:rsidRPr="0037585C" w:rsidRDefault="00275C03" w:rsidP="00275C03">
            <w:r w:rsidRPr="0037585C">
              <w:t>30.03.15</w:t>
            </w:r>
          </w:p>
        </w:tc>
        <w:tc>
          <w:tcPr>
            <w:tcW w:w="5954" w:type="dxa"/>
          </w:tcPr>
          <w:p w14:paraId="6D1442FC" w14:textId="570005FD" w:rsidR="00275C03" w:rsidRPr="0037585C" w:rsidRDefault="00275C03" w:rsidP="00FD7F10">
            <w:pPr>
              <w:rPr>
                <w:b/>
                <w:bCs/>
              </w:rPr>
            </w:pPr>
            <w:r w:rsidRPr="0037585C">
              <w:rPr>
                <w:bCs/>
              </w:rPr>
              <w:t>Professor Fiona Arney</w:t>
            </w:r>
            <w:r w:rsidR="00FD7F10">
              <w:rPr>
                <w:bCs/>
              </w:rPr>
              <w:t>,</w:t>
            </w:r>
            <w:r w:rsidRPr="0037585C">
              <w:rPr>
                <w:bCs/>
              </w:rPr>
              <w:t xml:space="preserve"> Director, Australian Centre for Child Protection, University of South Australia</w:t>
            </w:r>
            <w:r w:rsidR="00FD7F10">
              <w:rPr>
                <w:bCs/>
              </w:rPr>
              <w:t xml:space="preserve">, </w:t>
            </w:r>
            <w:r w:rsidRPr="0037585C">
              <w:rPr>
                <w:bCs/>
              </w:rPr>
              <w:t>and Magdelena Madden, Principal Consultant, Council for the Care of Children</w:t>
            </w:r>
          </w:p>
        </w:tc>
        <w:tc>
          <w:tcPr>
            <w:tcW w:w="2090" w:type="dxa"/>
          </w:tcPr>
          <w:p w14:paraId="3D5AAF5D" w14:textId="77777777" w:rsidR="00275C03" w:rsidRPr="0037585C" w:rsidRDefault="00275C03" w:rsidP="00275C03">
            <w:r w:rsidRPr="0037585C">
              <w:t>AHRC, NSW</w:t>
            </w:r>
          </w:p>
        </w:tc>
      </w:tr>
      <w:tr w:rsidR="00275C03" w:rsidRPr="0037585C" w14:paraId="40254916" w14:textId="77777777" w:rsidTr="00275C03">
        <w:tc>
          <w:tcPr>
            <w:tcW w:w="1242" w:type="dxa"/>
          </w:tcPr>
          <w:p w14:paraId="1D9DBD7D" w14:textId="77777777" w:rsidR="00275C03" w:rsidRPr="0037585C" w:rsidRDefault="00275C03" w:rsidP="00275C03">
            <w:r w:rsidRPr="0037585C">
              <w:t>01.04.15</w:t>
            </w:r>
          </w:p>
        </w:tc>
        <w:tc>
          <w:tcPr>
            <w:tcW w:w="5954" w:type="dxa"/>
          </w:tcPr>
          <w:p w14:paraId="477B334F" w14:textId="77777777" w:rsidR="00275C03" w:rsidRPr="0037585C" w:rsidRDefault="00275C03" w:rsidP="00275C03">
            <w:pPr>
              <w:rPr>
                <w:bCs/>
                <w:highlight w:val="magenta"/>
              </w:rPr>
            </w:pPr>
            <w:r w:rsidRPr="0037585C">
              <w:rPr>
                <w:bCs/>
              </w:rPr>
              <w:t xml:space="preserve">Nicole Mayo, Chief Operating Officer, CRIMTRAC </w:t>
            </w:r>
          </w:p>
        </w:tc>
        <w:tc>
          <w:tcPr>
            <w:tcW w:w="2090" w:type="dxa"/>
          </w:tcPr>
          <w:p w14:paraId="5C6C41CD" w14:textId="77777777" w:rsidR="00275C03" w:rsidRPr="0037585C" w:rsidRDefault="00275C03" w:rsidP="00275C03">
            <w:r w:rsidRPr="0037585C">
              <w:t>AHRC, NSW</w:t>
            </w:r>
          </w:p>
        </w:tc>
      </w:tr>
      <w:tr w:rsidR="00275C03" w:rsidRPr="0037585C" w14:paraId="6EDD65D0" w14:textId="77777777" w:rsidTr="00275C03">
        <w:tc>
          <w:tcPr>
            <w:tcW w:w="1242" w:type="dxa"/>
          </w:tcPr>
          <w:p w14:paraId="7171B53E" w14:textId="77777777" w:rsidR="00275C03" w:rsidRPr="0037585C" w:rsidRDefault="00275C03" w:rsidP="00275C03">
            <w:r w:rsidRPr="0037585C">
              <w:t>01.04.15</w:t>
            </w:r>
          </w:p>
        </w:tc>
        <w:tc>
          <w:tcPr>
            <w:tcW w:w="5954" w:type="dxa"/>
          </w:tcPr>
          <w:p w14:paraId="32430D13" w14:textId="4502E802" w:rsidR="00275C03" w:rsidRPr="0037585C" w:rsidRDefault="00275C03" w:rsidP="00275C03">
            <w:pPr>
              <w:rPr>
                <w:bCs/>
                <w:highlight w:val="magenta"/>
              </w:rPr>
            </w:pPr>
            <w:r w:rsidRPr="0037585C">
              <w:rPr>
                <w:bCs/>
              </w:rPr>
              <w:t>Morgan Carpenter, President, O</w:t>
            </w:r>
            <w:r>
              <w:rPr>
                <w:bCs/>
              </w:rPr>
              <w:t xml:space="preserve">rganisation </w:t>
            </w:r>
            <w:r w:rsidRPr="0037585C">
              <w:rPr>
                <w:bCs/>
              </w:rPr>
              <w:t>I</w:t>
            </w:r>
            <w:r>
              <w:rPr>
                <w:bCs/>
              </w:rPr>
              <w:t xml:space="preserve">ntersex </w:t>
            </w:r>
            <w:r w:rsidRPr="0037585C">
              <w:rPr>
                <w:bCs/>
              </w:rPr>
              <w:t>I</w:t>
            </w:r>
            <w:r>
              <w:rPr>
                <w:bCs/>
              </w:rPr>
              <w:t>nternational</w:t>
            </w:r>
            <w:r w:rsidRPr="0037585C">
              <w:rPr>
                <w:bCs/>
              </w:rPr>
              <w:t xml:space="preserve"> Australia</w:t>
            </w:r>
            <w:r w:rsidR="00FD7F10">
              <w:rPr>
                <w:bCs/>
              </w:rPr>
              <w:t>,</w:t>
            </w:r>
            <w:r w:rsidRPr="0037585C">
              <w:rPr>
                <w:bCs/>
              </w:rPr>
              <w:t xml:space="preserve"> </w:t>
            </w:r>
            <w:r>
              <w:rPr>
                <w:bCs/>
              </w:rPr>
              <w:t>with</w:t>
            </w:r>
            <w:r w:rsidRPr="0037585C">
              <w:rPr>
                <w:bCs/>
              </w:rPr>
              <w:t xml:space="preserve"> Tim Wilson, Human Rights Commissioner</w:t>
            </w:r>
          </w:p>
        </w:tc>
        <w:tc>
          <w:tcPr>
            <w:tcW w:w="2090" w:type="dxa"/>
          </w:tcPr>
          <w:p w14:paraId="51596DFD" w14:textId="77777777" w:rsidR="00275C03" w:rsidRPr="0037585C" w:rsidRDefault="00275C03" w:rsidP="00275C03">
            <w:r w:rsidRPr="0037585C">
              <w:t>AHRC, NSW</w:t>
            </w:r>
          </w:p>
        </w:tc>
      </w:tr>
      <w:tr w:rsidR="00275C03" w:rsidRPr="0037585C" w14:paraId="3BAA7CFD" w14:textId="77777777" w:rsidTr="00275C03">
        <w:tc>
          <w:tcPr>
            <w:tcW w:w="1242" w:type="dxa"/>
          </w:tcPr>
          <w:p w14:paraId="3E97D3C6" w14:textId="77777777" w:rsidR="00275C03" w:rsidRPr="0037585C" w:rsidRDefault="00275C03" w:rsidP="00275C03">
            <w:r w:rsidRPr="0037585C">
              <w:t>02.04.15</w:t>
            </w:r>
          </w:p>
        </w:tc>
        <w:tc>
          <w:tcPr>
            <w:tcW w:w="5954" w:type="dxa"/>
          </w:tcPr>
          <w:p w14:paraId="61A42C78" w14:textId="77777777" w:rsidR="00275C03" w:rsidRPr="0037585C" w:rsidRDefault="00275C03" w:rsidP="00275C03">
            <w:pPr>
              <w:rPr>
                <w:bCs/>
              </w:rPr>
            </w:pPr>
            <w:r w:rsidRPr="0037585C">
              <w:rPr>
                <w:bCs/>
              </w:rPr>
              <w:t>Sarah Court, Commissioner, Australian Competition &amp; Consumer Commission</w:t>
            </w:r>
          </w:p>
        </w:tc>
        <w:tc>
          <w:tcPr>
            <w:tcW w:w="2090" w:type="dxa"/>
          </w:tcPr>
          <w:p w14:paraId="724AD3C1" w14:textId="77777777" w:rsidR="00275C03" w:rsidRPr="0037585C" w:rsidRDefault="00275C03" w:rsidP="00275C03">
            <w:r w:rsidRPr="0037585C">
              <w:t>AHRC, NSW</w:t>
            </w:r>
          </w:p>
        </w:tc>
      </w:tr>
      <w:tr w:rsidR="00275C03" w:rsidRPr="0037585C" w14:paraId="6E8DC711" w14:textId="77777777" w:rsidTr="00275C03">
        <w:tc>
          <w:tcPr>
            <w:tcW w:w="1242" w:type="dxa"/>
          </w:tcPr>
          <w:p w14:paraId="1689C2B7" w14:textId="77777777" w:rsidR="00275C03" w:rsidRPr="0037585C" w:rsidRDefault="00275C03" w:rsidP="00275C03">
            <w:r w:rsidRPr="0037585C">
              <w:t>09.04.15</w:t>
            </w:r>
          </w:p>
        </w:tc>
        <w:tc>
          <w:tcPr>
            <w:tcW w:w="5954" w:type="dxa"/>
          </w:tcPr>
          <w:p w14:paraId="3DFFA0ED" w14:textId="77777777" w:rsidR="00275C03" w:rsidRPr="0037585C" w:rsidRDefault="00275C03" w:rsidP="00275C03">
            <w:pPr>
              <w:rPr>
                <w:bCs/>
              </w:rPr>
            </w:pPr>
            <w:r w:rsidRPr="0037585C">
              <w:rPr>
                <w:bCs/>
              </w:rPr>
              <w:t>Professor Elizabeth Handsley, President</w:t>
            </w:r>
            <w:r>
              <w:rPr>
                <w:bCs/>
              </w:rPr>
              <w:t>,</w:t>
            </w:r>
            <w:r w:rsidRPr="0037585C">
              <w:rPr>
                <w:bCs/>
              </w:rPr>
              <w:t xml:space="preserve"> Australian </w:t>
            </w:r>
            <w:r w:rsidRPr="0037585C">
              <w:rPr>
                <w:bCs/>
              </w:rPr>
              <w:lastRenderedPageBreak/>
              <w:t>Council on Children and the Media</w:t>
            </w:r>
          </w:p>
        </w:tc>
        <w:tc>
          <w:tcPr>
            <w:tcW w:w="2090" w:type="dxa"/>
          </w:tcPr>
          <w:p w14:paraId="12CD71A7" w14:textId="77777777" w:rsidR="00275C03" w:rsidRPr="0037585C" w:rsidRDefault="00275C03" w:rsidP="00275C03">
            <w:r w:rsidRPr="0037585C">
              <w:lastRenderedPageBreak/>
              <w:t>AHRC, NSW</w:t>
            </w:r>
          </w:p>
        </w:tc>
      </w:tr>
      <w:tr w:rsidR="00275C03" w:rsidRPr="0037585C" w14:paraId="43F9596D" w14:textId="77777777" w:rsidTr="00275C03">
        <w:tc>
          <w:tcPr>
            <w:tcW w:w="1242" w:type="dxa"/>
          </w:tcPr>
          <w:p w14:paraId="501AC83E" w14:textId="77777777" w:rsidR="00275C03" w:rsidRPr="0037585C" w:rsidRDefault="00275C03" w:rsidP="00275C03">
            <w:r w:rsidRPr="0037585C">
              <w:lastRenderedPageBreak/>
              <w:t>14.04.15</w:t>
            </w:r>
          </w:p>
        </w:tc>
        <w:tc>
          <w:tcPr>
            <w:tcW w:w="5954" w:type="dxa"/>
          </w:tcPr>
          <w:p w14:paraId="2E80D01C" w14:textId="45868EFD" w:rsidR="00275C03" w:rsidRPr="0037585C" w:rsidRDefault="00275C03" w:rsidP="00275C03">
            <w:pPr>
              <w:rPr>
                <w:bCs/>
              </w:rPr>
            </w:pPr>
            <w:r w:rsidRPr="0037585C">
              <w:rPr>
                <w:bCs/>
              </w:rPr>
              <w:t>Melissa Stewart</w:t>
            </w:r>
            <w:r>
              <w:rPr>
                <w:bCs/>
              </w:rPr>
              <w:t xml:space="preserve">, </w:t>
            </w:r>
            <w:r w:rsidRPr="0037585C">
              <w:rPr>
                <w:bCs/>
              </w:rPr>
              <w:t>Senior Advisor, Child Protection &amp; Trafficking in Persons, World Vision Australia</w:t>
            </w:r>
            <w:r w:rsidR="00FD7F10">
              <w:rPr>
                <w:bCs/>
              </w:rPr>
              <w:t>,</w:t>
            </w:r>
            <w:r w:rsidRPr="0037585C">
              <w:rPr>
                <w:bCs/>
              </w:rPr>
              <w:t xml:space="preserve"> and Aivee Robinson, Head of Advocacy, UNICEF Australia</w:t>
            </w:r>
          </w:p>
        </w:tc>
        <w:tc>
          <w:tcPr>
            <w:tcW w:w="2090" w:type="dxa"/>
          </w:tcPr>
          <w:p w14:paraId="1EBC96FE" w14:textId="77777777" w:rsidR="00275C03" w:rsidRPr="0037585C" w:rsidRDefault="00275C03" w:rsidP="00275C03">
            <w:r w:rsidRPr="0037585C">
              <w:t>AHRC, NSW</w:t>
            </w:r>
          </w:p>
        </w:tc>
      </w:tr>
      <w:tr w:rsidR="00275C03" w:rsidRPr="0037585C" w14:paraId="2ED1150D" w14:textId="77777777" w:rsidTr="00275C03">
        <w:tc>
          <w:tcPr>
            <w:tcW w:w="1242" w:type="dxa"/>
          </w:tcPr>
          <w:p w14:paraId="4FE88B8E" w14:textId="77777777" w:rsidR="00275C03" w:rsidRPr="0037585C" w:rsidRDefault="00275C03" w:rsidP="00275C03">
            <w:r w:rsidRPr="0037585C">
              <w:t>23.04.15</w:t>
            </w:r>
          </w:p>
        </w:tc>
        <w:tc>
          <w:tcPr>
            <w:tcW w:w="5954" w:type="dxa"/>
          </w:tcPr>
          <w:p w14:paraId="273EA213" w14:textId="77777777" w:rsidR="00275C03" w:rsidRPr="0037585C" w:rsidRDefault="00275C03" w:rsidP="00275C03">
            <w:pPr>
              <w:rPr>
                <w:bCs/>
              </w:rPr>
            </w:pPr>
            <w:r w:rsidRPr="0037585C">
              <w:rPr>
                <w:bCs/>
              </w:rPr>
              <w:t>Philip Brown, A/g Group Manager, Families, Department of Social Services</w:t>
            </w:r>
          </w:p>
        </w:tc>
        <w:tc>
          <w:tcPr>
            <w:tcW w:w="2090" w:type="dxa"/>
          </w:tcPr>
          <w:p w14:paraId="28DC846D" w14:textId="77777777" w:rsidR="00275C03" w:rsidRPr="0037585C" w:rsidRDefault="00275C03" w:rsidP="00275C03">
            <w:r w:rsidRPr="0037585C">
              <w:t>AHRC, NSW</w:t>
            </w:r>
          </w:p>
        </w:tc>
      </w:tr>
      <w:tr w:rsidR="00275C03" w:rsidRPr="0037585C" w14:paraId="2BB2C64A" w14:textId="77777777" w:rsidTr="00275C03">
        <w:tc>
          <w:tcPr>
            <w:tcW w:w="1242" w:type="dxa"/>
          </w:tcPr>
          <w:p w14:paraId="26216A31" w14:textId="77777777" w:rsidR="00275C03" w:rsidRPr="0037585C" w:rsidRDefault="00275C03" w:rsidP="00275C03">
            <w:r w:rsidRPr="0037585C">
              <w:t>27.04.15</w:t>
            </w:r>
          </w:p>
        </w:tc>
        <w:tc>
          <w:tcPr>
            <w:tcW w:w="5954" w:type="dxa"/>
          </w:tcPr>
          <w:p w14:paraId="6AF3A4CD" w14:textId="1C15360B" w:rsidR="00275C03" w:rsidRPr="0037585C" w:rsidRDefault="00275C03" w:rsidP="00275C03">
            <w:pPr>
              <w:rPr>
                <w:bCs/>
                <w:highlight w:val="magenta"/>
              </w:rPr>
            </w:pPr>
            <w:r w:rsidRPr="0037585C">
              <w:rPr>
                <w:bCs/>
              </w:rPr>
              <w:t>Graham Tardif, Director</w:t>
            </w:r>
            <w:r w:rsidR="0053584F">
              <w:rPr>
                <w:bCs/>
              </w:rPr>
              <w:t>,</w:t>
            </w:r>
            <w:r w:rsidRPr="0037585C">
              <w:rPr>
                <w:bCs/>
              </w:rPr>
              <w:t xml:space="preserve"> Australia Program, World Vision Australia </w:t>
            </w:r>
          </w:p>
        </w:tc>
        <w:tc>
          <w:tcPr>
            <w:tcW w:w="2090" w:type="dxa"/>
          </w:tcPr>
          <w:p w14:paraId="200645DC" w14:textId="77777777" w:rsidR="00275C03" w:rsidRPr="0037585C" w:rsidRDefault="00275C03" w:rsidP="00275C03">
            <w:r w:rsidRPr="0037585C">
              <w:t>AHRC, NSW</w:t>
            </w:r>
          </w:p>
        </w:tc>
      </w:tr>
      <w:tr w:rsidR="00275C03" w:rsidRPr="0037585C" w14:paraId="71BC34AD" w14:textId="77777777" w:rsidTr="00275C03">
        <w:tc>
          <w:tcPr>
            <w:tcW w:w="1242" w:type="dxa"/>
          </w:tcPr>
          <w:p w14:paraId="046DD5A9" w14:textId="77777777" w:rsidR="00275C03" w:rsidRPr="0037585C" w:rsidRDefault="00275C03" w:rsidP="00275C03">
            <w:r w:rsidRPr="0037585C">
              <w:t>27.04.15</w:t>
            </w:r>
          </w:p>
        </w:tc>
        <w:tc>
          <w:tcPr>
            <w:tcW w:w="5954" w:type="dxa"/>
          </w:tcPr>
          <w:p w14:paraId="04AA6088" w14:textId="77777777" w:rsidR="00275C03" w:rsidRPr="0037585C" w:rsidRDefault="00275C03" w:rsidP="00275C03">
            <w:pPr>
              <w:rPr>
                <w:bCs/>
              </w:rPr>
            </w:pPr>
            <w:r w:rsidRPr="0037585C">
              <w:rPr>
                <w:bCs/>
              </w:rPr>
              <w:t xml:space="preserve">Susan Murray, Chief Executive Officer, Suicide Prevention Australia </w:t>
            </w:r>
          </w:p>
        </w:tc>
        <w:tc>
          <w:tcPr>
            <w:tcW w:w="2090" w:type="dxa"/>
          </w:tcPr>
          <w:p w14:paraId="1745F45C" w14:textId="77777777" w:rsidR="00275C03" w:rsidRPr="0037585C" w:rsidRDefault="00275C03" w:rsidP="00275C03">
            <w:r w:rsidRPr="0037585C">
              <w:t>AHRC, NSW</w:t>
            </w:r>
          </w:p>
        </w:tc>
      </w:tr>
      <w:tr w:rsidR="00275C03" w:rsidRPr="0037585C" w14:paraId="7E52A1AA" w14:textId="77777777" w:rsidTr="00275C03">
        <w:tc>
          <w:tcPr>
            <w:tcW w:w="1242" w:type="dxa"/>
          </w:tcPr>
          <w:p w14:paraId="5C3DC715" w14:textId="77777777" w:rsidR="00275C03" w:rsidRPr="0037585C" w:rsidRDefault="00275C03" w:rsidP="00275C03">
            <w:r w:rsidRPr="0037585C">
              <w:t>28.04.15</w:t>
            </w:r>
          </w:p>
        </w:tc>
        <w:tc>
          <w:tcPr>
            <w:tcW w:w="5954" w:type="dxa"/>
          </w:tcPr>
          <w:p w14:paraId="490B62BF" w14:textId="77777777" w:rsidR="00275C03" w:rsidRPr="0037585C" w:rsidRDefault="00275C03" w:rsidP="00275C03">
            <w:pPr>
              <w:rPr>
                <w:bCs/>
                <w:highlight w:val="magenta"/>
              </w:rPr>
            </w:pPr>
            <w:r w:rsidRPr="008414D5">
              <w:rPr>
                <w:bCs/>
              </w:rPr>
              <w:t>Justice Jenifer Coates, Judge of the Family Court of Australia, Royal Commission into Institutional Responses to Child Sexual Abuse</w:t>
            </w:r>
          </w:p>
        </w:tc>
        <w:tc>
          <w:tcPr>
            <w:tcW w:w="2090" w:type="dxa"/>
          </w:tcPr>
          <w:p w14:paraId="54D8055D" w14:textId="77777777" w:rsidR="00275C03" w:rsidRPr="0037585C" w:rsidRDefault="00275C03" w:rsidP="00275C03">
            <w:r w:rsidRPr="0037585C">
              <w:t>AHRC, NSW</w:t>
            </w:r>
          </w:p>
        </w:tc>
      </w:tr>
      <w:tr w:rsidR="00275C03" w:rsidRPr="0037585C" w14:paraId="110A0029" w14:textId="77777777" w:rsidTr="00275C03">
        <w:tc>
          <w:tcPr>
            <w:tcW w:w="1242" w:type="dxa"/>
          </w:tcPr>
          <w:p w14:paraId="4310F1A4" w14:textId="77777777" w:rsidR="00275C03" w:rsidRPr="0037585C" w:rsidRDefault="00275C03" w:rsidP="00275C03">
            <w:r w:rsidRPr="0037585C">
              <w:t>30.04.15</w:t>
            </w:r>
          </w:p>
        </w:tc>
        <w:tc>
          <w:tcPr>
            <w:tcW w:w="5954" w:type="dxa"/>
          </w:tcPr>
          <w:p w14:paraId="7C12F638" w14:textId="77777777" w:rsidR="00275C03" w:rsidRPr="0037585C" w:rsidRDefault="00275C03" w:rsidP="00275C03">
            <w:pPr>
              <w:rPr>
                <w:rFonts w:ascii="Calibri" w:eastAsiaTheme="minorHAnsi" w:hAnsi="Calibri"/>
                <w:b/>
                <w:bCs/>
                <w:color w:val="5F5F5F"/>
                <w:sz w:val="20"/>
                <w:szCs w:val="20"/>
              </w:rPr>
            </w:pPr>
            <w:r w:rsidRPr="006F5728">
              <w:rPr>
                <w:bCs/>
              </w:rPr>
              <w:t>Philip Brown, A/g Group Manager, Families, Department of Social Services; Brian Babington, Chief Executive Officer, Families Australia; and Adele Cox, Member, Aboriginal and Torres Strait Islander Mental Health and Suicide Prevention Advisory Group</w:t>
            </w:r>
          </w:p>
        </w:tc>
        <w:tc>
          <w:tcPr>
            <w:tcW w:w="2090" w:type="dxa"/>
          </w:tcPr>
          <w:p w14:paraId="7E7CB3C8" w14:textId="77777777" w:rsidR="00275C03" w:rsidRPr="0037585C" w:rsidRDefault="00275C03" w:rsidP="00275C03">
            <w:r w:rsidRPr="00E60287">
              <w:t>Albury, NSW</w:t>
            </w:r>
          </w:p>
        </w:tc>
      </w:tr>
      <w:tr w:rsidR="00275C03" w:rsidRPr="0037585C" w14:paraId="36BF62FD" w14:textId="77777777" w:rsidTr="00275C03">
        <w:tc>
          <w:tcPr>
            <w:tcW w:w="1242" w:type="dxa"/>
          </w:tcPr>
          <w:p w14:paraId="47B4EC27" w14:textId="77777777" w:rsidR="00275C03" w:rsidRPr="0037585C" w:rsidRDefault="00275C03" w:rsidP="00275C03">
            <w:r w:rsidRPr="0037585C">
              <w:t>08.05.15</w:t>
            </w:r>
          </w:p>
        </w:tc>
        <w:tc>
          <w:tcPr>
            <w:tcW w:w="5954" w:type="dxa"/>
          </w:tcPr>
          <w:p w14:paraId="02D4640C" w14:textId="77777777" w:rsidR="00275C03" w:rsidRPr="0037585C" w:rsidRDefault="00275C03" w:rsidP="00275C03">
            <w:pPr>
              <w:rPr>
                <w:bCs/>
              </w:rPr>
            </w:pPr>
            <w:r w:rsidRPr="0037585C">
              <w:rPr>
                <w:bCs/>
              </w:rPr>
              <w:t xml:space="preserve">Paul McDonald, Chief Executive Officer, Anglicare Victoria </w:t>
            </w:r>
          </w:p>
        </w:tc>
        <w:tc>
          <w:tcPr>
            <w:tcW w:w="2090" w:type="dxa"/>
          </w:tcPr>
          <w:p w14:paraId="290EC59A" w14:textId="77777777" w:rsidR="00275C03" w:rsidRPr="0037585C" w:rsidRDefault="00275C03" w:rsidP="00275C03">
            <w:r w:rsidRPr="0037585C">
              <w:t>AHRC, NSW</w:t>
            </w:r>
          </w:p>
        </w:tc>
      </w:tr>
      <w:tr w:rsidR="00275C03" w:rsidRPr="0037585C" w14:paraId="4DB9C026" w14:textId="77777777" w:rsidTr="00275C03">
        <w:tc>
          <w:tcPr>
            <w:tcW w:w="1242" w:type="dxa"/>
          </w:tcPr>
          <w:p w14:paraId="67455DAC" w14:textId="77777777" w:rsidR="00275C03" w:rsidRPr="0037585C" w:rsidRDefault="00275C03" w:rsidP="00275C03">
            <w:r w:rsidRPr="0037585C">
              <w:t>11.05.15</w:t>
            </w:r>
          </w:p>
        </w:tc>
        <w:tc>
          <w:tcPr>
            <w:tcW w:w="5954" w:type="dxa"/>
          </w:tcPr>
          <w:p w14:paraId="6B27808D" w14:textId="77777777" w:rsidR="00275C03" w:rsidRPr="0037585C" w:rsidRDefault="00275C03" w:rsidP="00275C03">
            <w:pPr>
              <w:rPr>
                <w:bCs/>
              </w:rPr>
            </w:pPr>
            <w:r w:rsidRPr="0037585C">
              <w:rPr>
                <w:bCs/>
              </w:rPr>
              <w:t>Professor Elizabeth Handsley, President of the Australian Council on Children and the Media, and Melanie Mclean, King &amp; Wood Mallesons</w:t>
            </w:r>
          </w:p>
        </w:tc>
        <w:tc>
          <w:tcPr>
            <w:tcW w:w="2090" w:type="dxa"/>
          </w:tcPr>
          <w:p w14:paraId="657B7EBB" w14:textId="77777777" w:rsidR="00275C03" w:rsidRPr="0037585C" w:rsidRDefault="00275C03" w:rsidP="00275C03">
            <w:r w:rsidRPr="0037585C">
              <w:t>AHRC, NSW</w:t>
            </w:r>
          </w:p>
        </w:tc>
      </w:tr>
      <w:tr w:rsidR="00275C03" w:rsidRPr="0037585C" w14:paraId="0F7F713C" w14:textId="77777777" w:rsidTr="00275C03">
        <w:tc>
          <w:tcPr>
            <w:tcW w:w="1242" w:type="dxa"/>
          </w:tcPr>
          <w:p w14:paraId="6A0D4114" w14:textId="77777777" w:rsidR="00275C03" w:rsidRPr="0037585C" w:rsidRDefault="00275C03" w:rsidP="00275C03">
            <w:r w:rsidRPr="0037585C">
              <w:t>11.05.15</w:t>
            </w:r>
          </w:p>
        </w:tc>
        <w:tc>
          <w:tcPr>
            <w:tcW w:w="5954" w:type="dxa"/>
          </w:tcPr>
          <w:p w14:paraId="19867CDA" w14:textId="77777777" w:rsidR="00275C03" w:rsidRPr="0037585C" w:rsidRDefault="00275C03" w:rsidP="00275C03">
            <w:pPr>
              <w:rPr>
                <w:bCs/>
              </w:rPr>
            </w:pPr>
            <w:r w:rsidRPr="0037585C">
              <w:rPr>
                <w:bCs/>
              </w:rPr>
              <w:t xml:space="preserve">David Griffith, Principal, ACIL Allen Consulting </w:t>
            </w:r>
          </w:p>
        </w:tc>
        <w:tc>
          <w:tcPr>
            <w:tcW w:w="2090" w:type="dxa"/>
          </w:tcPr>
          <w:p w14:paraId="57706FD7" w14:textId="77777777" w:rsidR="00275C03" w:rsidRPr="0037585C" w:rsidRDefault="00275C03" w:rsidP="00275C03">
            <w:r w:rsidRPr="0037585C">
              <w:t>AHRC, NSW</w:t>
            </w:r>
          </w:p>
        </w:tc>
      </w:tr>
      <w:tr w:rsidR="00275C03" w:rsidRPr="0037585C" w14:paraId="0F3D0EC9" w14:textId="77777777" w:rsidTr="00275C03">
        <w:tc>
          <w:tcPr>
            <w:tcW w:w="1242" w:type="dxa"/>
          </w:tcPr>
          <w:p w14:paraId="2727D461" w14:textId="77777777" w:rsidR="00275C03" w:rsidRPr="0037585C" w:rsidRDefault="00275C03" w:rsidP="00275C03">
            <w:r w:rsidRPr="0037585C">
              <w:t>12.05.15</w:t>
            </w:r>
          </w:p>
        </w:tc>
        <w:tc>
          <w:tcPr>
            <w:tcW w:w="5954" w:type="dxa"/>
          </w:tcPr>
          <w:p w14:paraId="3E0B4EF3" w14:textId="2554840A" w:rsidR="00275C03" w:rsidRPr="0037585C" w:rsidRDefault="00275C03" w:rsidP="0053584F">
            <w:pPr>
              <w:rPr>
                <w:bCs/>
              </w:rPr>
            </w:pPr>
            <w:r w:rsidRPr="0037585C">
              <w:rPr>
                <w:bCs/>
              </w:rPr>
              <w:t xml:space="preserve">Sandie de Wolf, </w:t>
            </w:r>
            <w:r>
              <w:rPr>
                <w:bCs/>
              </w:rPr>
              <w:t xml:space="preserve">Chief Executive Officer; </w:t>
            </w:r>
            <w:r w:rsidRPr="0037585C">
              <w:rPr>
                <w:bCs/>
              </w:rPr>
              <w:t>Marg Hamley, Director</w:t>
            </w:r>
            <w:r>
              <w:rPr>
                <w:bCs/>
              </w:rPr>
              <w:t>;</w:t>
            </w:r>
            <w:r w:rsidRPr="0037585C">
              <w:rPr>
                <w:bCs/>
              </w:rPr>
              <w:t xml:space="preserve"> and Dr Sarah Wise, Berry Street Childhood Institute</w:t>
            </w:r>
          </w:p>
        </w:tc>
        <w:tc>
          <w:tcPr>
            <w:tcW w:w="2090" w:type="dxa"/>
          </w:tcPr>
          <w:p w14:paraId="52E0A594" w14:textId="77777777" w:rsidR="00275C03" w:rsidRPr="0037585C" w:rsidRDefault="00275C03" w:rsidP="00275C03">
            <w:r w:rsidRPr="0037585C">
              <w:t>Melbourne, VIC</w:t>
            </w:r>
          </w:p>
        </w:tc>
      </w:tr>
      <w:tr w:rsidR="00275C03" w:rsidRPr="0037585C" w14:paraId="2BFAA777" w14:textId="77777777" w:rsidTr="00275C03">
        <w:tc>
          <w:tcPr>
            <w:tcW w:w="1242" w:type="dxa"/>
          </w:tcPr>
          <w:p w14:paraId="346CFDB3" w14:textId="77777777" w:rsidR="00275C03" w:rsidRPr="0037585C" w:rsidRDefault="00275C03" w:rsidP="00275C03">
            <w:r w:rsidRPr="0037585C">
              <w:t>19.05.15</w:t>
            </w:r>
          </w:p>
        </w:tc>
        <w:tc>
          <w:tcPr>
            <w:tcW w:w="5954" w:type="dxa"/>
          </w:tcPr>
          <w:p w14:paraId="544D9D35" w14:textId="77777777" w:rsidR="00275C03" w:rsidRPr="0037585C" w:rsidRDefault="00275C03" w:rsidP="00275C03">
            <w:pPr>
              <w:rPr>
                <w:bCs/>
              </w:rPr>
            </w:pPr>
            <w:r w:rsidRPr="0037585C">
              <w:rPr>
                <w:bCs/>
              </w:rPr>
              <w:t>Michael Gallus, Founder/Director, The Footys4All Foundation</w:t>
            </w:r>
          </w:p>
        </w:tc>
        <w:tc>
          <w:tcPr>
            <w:tcW w:w="2090" w:type="dxa"/>
          </w:tcPr>
          <w:p w14:paraId="4094EAA6" w14:textId="77777777" w:rsidR="00275C03" w:rsidRPr="0037585C" w:rsidRDefault="00275C03" w:rsidP="00275C03">
            <w:r w:rsidRPr="0037585C">
              <w:t>Melbourne, VIC</w:t>
            </w:r>
          </w:p>
        </w:tc>
      </w:tr>
      <w:tr w:rsidR="00275C03" w:rsidRPr="0037585C" w14:paraId="53729A10" w14:textId="77777777" w:rsidTr="00275C03">
        <w:tc>
          <w:tcPr>
            <w:tcW w:w="1242" w:type="dxa"/>
          </w:tcPr>
          <w:p w14:paraId="49F74CCF" w14:textId="77777777" w:rsidR="00275C03" w:rsidRPr="0037585C" w:rsidRDefault="00275C03" w:rsidP="00275C03">
            <w:r w:rsidRPr="0037585C">
              <w:lastRenderedPageBreak/>
              <w:t>25.05.15</w:t>
            </w:r>
          </w:p>
        </w:tc>
        <w:tc>
          <w:tcPr>
            <w:tcW w:w="5954" w:type="dxa"/>
          </w:tcPr>
          <w:p w14:paraId="2F4A6D1A" w14:textId="365A39FE" w:rsidR="00275C03" w:rsidRPr="0037585C" w:rsidRDefault="00275C03" w:rsidP="00275C03">
            <w:pPr>
              <w:rPr>
                <w:bCs/>
                <w:highlight w:val="magenta"/>
              </w:rPr>
            </w:pPr>
            <w:r w:rsidRPr="0037585C">
              <w:rPr>
                <w:bCs/>
              </w:rPr>
              <w:t xml:space="preserve">Timothy Pilgrim, Privacy Commissioner, Office of </w:t>
            </w:r>
            <w:r w:rsidR="0053584F">
              <w:rPr>
                <w:bCs/>
              </w:rPr>
              <w:t xml:space="preserve">the </w:t>
            </w:r>
            <w:r w:rsidRPr="0037585C">
              <w:rPr>
                <w:bCs/>
              </w:rPr>
              <w:t xml:space="preserve">Australian Information Commissioner </w:t>
            </w:r>
          </w:p>
        </w:tc>
        <w:tc>
          <w:tcPr>
            <w:tcW w:w="2090" w:type="dxa"/>
          </w:tcPr>
          <w:p w14:paraId="5548585C" w14:textId="77777777" w:rsidR="00275C03" w:rsidRPr="0037585C" w:rsidRDefault="00275C03" w:rsidP="00275C03">
            <w:r w:rsidRPr="0037585C">
              <w:t>AHRC, NSW</w:t>
            </w:r>
          </w:p>
        </w:tc>
      </w:tr>
      <w:tr w:rsidR="00275C03" w:rsidRPr="0037585C" w14:paraId="45326F5D" w14:textId="77777777" w:rsidTr="00275C03">
        <w:tc>
          <w:tcPr>
            <w:tcW w:w="1242" w:type="dxa"/>
          </w:tcPr>
          <w:p w14:paraId="6E8D2D14" w14:textId="77777777" w:rsidR="00275C03" w:rsidRPr="0037585C" w:rsidRDefault="00275C03" w:rsidP="00275C03">
            <w:r w:rsidRPr="0037585C">
              <w:t>25.05.15</w:t>
            </w:r>
          </w:p>
        </w:tc>
        <w:tc>
          <w:tcPr>
            <w:tcW w:w="5954" w:type="dxa"/>
          </w:tcPr>
          <w:p w14:paraId="39074D3B" w14:textId="3E7A2661" w:rsidR="00275C03" w:rsidRPr="0037585C" w:rsidRDefault="00275C03" w:rsidP="00275C03">
            <w:pPr>
              <w:rPr>
                <w:bCs/>
              </w:rPr>
            </w:pPr>
            <w:r w:rsidRPr="0037585C">
              <w:rPr>
                <w:bCs/>
              </w:rPr>
              <w:t>Rohan</w:t>
            </w:r>
            <w:r w:rsidR="00D36D62">
              <w:rPr>
                <w:bCs/>
              </w:rPr>
              <w:t xml:space="preserve"> Buettel, Assistant Secretary, </w:t>
            </w:r>
            <w:r w:rsidRPr="0037585C">
              <w:rPr>
                <w:bCs/>
              </w:rPr>
              <w:t>Consumer Protection,</w:t>
            </w:r>
            <w:r w:rsidRPr="0037585C">
              <w:rPr>
                <w:rFonts w:ascii="Calibri" w:eastAsiaTheme="minorHAnsi" w:hAnsi="Calibri"/>
                <w:b/>
                <w:bCs/>
                <w:color w:val="333333"/>
                <w:sz w:val="22"/>
                <w:szCs w:val="22"/>
              </w:rPr>
              <w:t xml:space="preserve"> </w:t>
            </w:r>
            <w:r w:rsidRPr="0037585C">
              <w:rPr>
                <w:bCs/>
              </w:rPr>
              <w:t>Department of Communications</w:t>
            </w:r>
          </w:p>
        </w:tc>
        <w:tc>
          <w:tcPr>
            <w:tcW w:w="2090" w:type="dxa"/>
          </w:tcPr>
          <w:p w14:paraId="682A98BD" w14:textId="77777777" w:rsidR="00275C03" w:rsidRPr="0037585C" w:rsidRDefault="00275C03" w:rsidP="00275C03">
            <w:r w:rsidRPr="0037585C">
              <w:t>AHRC, NSW</w:t>
            </w:r>
          </w:p>
        </w:tc>
      </w:tr>
      <w:tr w:rsidR="00275C03" w:rsidRPr="0037585C" w14:paraId="7601D7B3" w14:textId="77777777" w:rsidTr="00275C03">
        <w:tc>
          <w:tcPr>
            <w:tcW w:w="1242" w:type="dxa"/>
          </w:tcPr>
          <w:p w14:paraId="3AE7216C" w14:textId="77777777" w:rsidR="00275C03" w:rsidRPr="0037585C" w:rsidRDefault="00275C03" w:rsidP="00275C03">
            <w:r w:rsidRPr="0037585C">
              <w:t>27.05.15</w:t>
            </w:r>
          </w:p>
        </w:tc>
        <w:tc>
          <w:tcPr>
            <w:tcW w:w="5954" w:type="dxa"/>
          </w:tcPr>
          <w:p w14:paraId="4FF9EF85" w14:textId="77777777" w:rsidR="00275C03" w:rsidRPr="0037585C" w:rsidRDefault="00275C03" w:rsidP="00275C03">
            <w:pPr>
              <w:rPr>
                <w:bCs/>
              </w:rPr>
            </w:pPr>
            <w:r w:rsidRPr="0037585C">
              <w:rPr>
                <w:bCs/>
              </w:rPr>
              <w:t>The Hon Scott Morrison MP, Minister for Social Services</w:t>
            </w:r>
          </w:p>
        </w:tc>
        <w:tc>
          <w:tcPr>
            <w:tcW w:w="2090" w:type="dxa"/>
          </w:tcPr>
          <w:p w14:paraId="42669F80" w14:textId="77777777" w:rsidR="00275C03" w:rsidRPr="0037585C" w:rsidRDefault="00275C03" w:rsidP="00275C03">
            <w:r w:rsidRPr="0037585C">
              <w:t xml:space="preserve">Canberra, ACT </w:t>
            </w:r>
          </w:p>
        </w:tc>
      </w:tr>
      <w:tr w:rsidR="00275C03" w:rsidRPr="0037585C" w14:paraId="22EC8B81" w14:textId="77777777" w:rsidTr="00275C03">
        <w:tc>
          <w:tcPr>
            <w:tcW w:w="1242" w:type="dxa"/>
          </w:tcPr>
          <w:p w14:paraId="3FBCE4F0" w14:textId="77777777" w:rsidR="00275C03" w:rsidRPr="0037585C" w:rsidRDefault="00275C03" w:rsidP="00275C03">
            <w:r w:rsidRPr="0037585C">
              <w:t>27.05.15</w:t>
            </w:r>
          </w:p>
        </w:tc>
        <w:tc>
          <w:tcPr>
            <w:tcW w:w="5954" w:type="dxa"/>
          </w:tcPr>
          <w:p w14:paraId="4CA7AF37" w14:textId="741F3057" w:rsidR="00275C03" w:rsidRPr="0037585C" w:rsidRDefault="00275C03" w:rsidP="00D36D62">
            <w:pPr>
              <w:rPr>
                <w:bCs/>
              </w:rPr>
            </w:pPr>
            <w:r w:rsidRPr="003D18ED">
              <w:rPr>
                <w:bCs/>
              </w:rPr>
              <w:t>J</w:t>
            </w:r>
            <w:r w:rsidR="002A267F">
              <w:rPr>
                <w:bCs/>
              </w:rPr>
              <w:t xml:space="preserve">osh Faulk, Chief of Staff, and </w:t>
            </w:r>
            <w:r w:rsidRPr="003D18ED">
              <w:rPr>
                <w:bCs/>
              </w:rPr>
              <w:t>Dr Susan Cochrane, Advisor for the Office of the Attorney-General and Minister for the Arts</w:t>
            </w:r>
          </w:p>
        </w:tc>
        <w:tc>
          <w:tcPr>
            <w:tcW w:w="2090" w:type="dxa"/>
          </w:tcPr>
          <w:p w14:paraId="57F9BDA0" w14:textId="77777777" w:rsidR="00275C03" w:rsidRPr="0037585C" w:rsidRDefault="00275C03" w:rsidP="00275C03">
            <w:r w:rsidRPr="0037585C">
              <w:t>Canberra, ACT</w:t>
            </w:r>
          </w:p>
        </w:tc>
      </w:tr>
      <w:tr w:rsidR="00275C03" w:rsidRPr="0037585C" w14:paraId="11F0EB17" w14:textId="77777777" w:rsidTr="00275C03">
        <w:tc>
          <w:tcPr>
            <w:tcW w:w="1242" w:type="dxa"/>
          </w:tcPr>
          <w:p w14:paraId="67B08850" w14:textId="77777777" w:rsidR="00275C03" w:rsidRPr="0037585C" w:rsidRDefault="00275C03" w:rsidP="00275C03">
            <w:r w:rsidRPr="0037585C">
              <w:t>27.05.15</w:t>
            </w:r>
          </w:p>
        </w:tc>
        <w:tc>
          <w:tcPr>
            <w:tcW w:w="5954" w:type="dxa"/>
          </w:tcPr>
          <w:p w14:paraId="7A6A4498" w14:textId="77777777" w:rsidR="00275C03" w:rsidRPr="0037585C" w:rsidRDefault="00275C03" w:rsidP="00275C03">
            <w:pPr>
              <w:rPr>
                <w:bCs/>
              </w:rPr>
            </w:pPr>
            <w:r w:rsidRPr="003D18ED">
              <w:rPr>
                <w:bCs/>
              </w:rPr>
              <w:t>James McAdams, Advisor to the Hon Sussan Ley MP, Minister for Health, Minister for Sport</w:t>
            </w:r>
            <w:r w:rsidRPr="0037585C">
              <w:rPr>
                <w:bCs/>
              </w:rPr>
              <w:t xml:space="preserve"> </w:t>
            </w:r>
          </w:p>
        </w:tc>
        <w:tc>
          <w:tcPr>
            <w:tcW w:w="2090" w:type="dxa"/>
          </w:tcPr>
          <w:p w14:paraId="59D66BC3" w14:textId="77777777" w:rsidR="00275C03" w:rsidRPr="0037585C" w:rsidRDefault="00275C03" w:rsidP="00275C03">
            <w:r w:rsidRPr="0037585C">
              <w:t>Canberra, ACT</w:t>
            </w:r>
          </w:p>
        </w:tc>
      </w:tr>
      <w:tr w:rsidR="00275C03" w:rsidRPr="0037585C" w14:paraId="4CBC9748" w14:textId="77777777" w:rsidTr="00275C03">
        <w:tc>
          <w:tcPr>
            <w:tcW w:w="1242" w:type="dxa"/>
          </w:tcPr>
          <w:p w14:paraId="62777D43" w14:textId="77777777" w:rsidR="00275C03" w:rsidRPr="0037585C" w:rsidRDefault="00275C03" w:rsidP="00275C03">
            <w:r w:rsidRPr="0037585C">
              <w:t>01.06.15</w:t>
            </w:r>
          </w:p>
        </w:tc>
        <w:tc>
          <w:tcPr>
            <w:tcW w:w="5954" w:type="dxa"/>
          </w:tcPr>
          <w:p w14:paraId="1D0D5E1D" w14:textId="77777777" w:rsidR="00275C03" w:rsidRPr="0037585C" w:rsidRDefault="00275C03" w:rsidP="00275C03">
            <w:pPr>
              <w:rPr>
                <w:bCs/>
              </w:rPr>
            </w:pPr>
            <w:r w:rsidRPr="0037585C">
              <w:rPr>
                <w:bCs/>
              </w:rPr>
              <w:t>Amy Prendergast, Director, Policy &amp; Coordination, Family Safety Taskforce, Department of Social Services</w:t>
            </w:r>
          </w:p>
        </w:tc>
        <w:tc>
          <w:tcPr>
            <w:tcW w:w="2090" w:type="dxa"/>
          </w:tcPr>
          <w:p w14:paraId="24E05228" w14:textId="77777777" w:rsidR="00275C03" w:rsidRPr="0037585C" w:rsidRDefault="00275C03" w:rsidP="00275C03">
            <w:r w:rsidRPr="0037585C">
              <w:t>Canberra, ACT</w:t>
            </w:r>
          </w:p>
        </w:tc>
      </w:tr>
      <w:tr w:rsidR="00275C03" w:rsidRPr="0037585C" w14:paraId="3A0F7484" w14:textId="77777777" w:rsidTr="00275C03">
        <w:tc>
          <w:tcPr>
            <w:tcW w:w="1242" w:type="dxa"/>
          </w:tcPr>
          <w:p w14:paraId="7A047B52" w14:textId="77777777" w:rsidR="00275C03" w:rsidRPr="0037585C" w:rsidRDefault="00275C03" w:rsidP="00275C03">
            <w:r w:rsidRPr="0037585C">
              <w:t>29.06.15</w:t>
            </w:r>
          </w:p>
        </w:tc>
        <w:tc>
          <w:tcPr>
            <w:tcW w:w="5954" w:type="dxa"/>
          </w:tcPr>
          <w:p w14:paraId="18FBF4A6" w14:textId="77777777" w:rsidR="00275C03" w:rsidRPr="0037585C" w:rsidRDefault="00275C03" w:rsidP="00275C03">
            <w:pPr>
              <w:rPr>
                <w:bCs/>
              </w:rPr>
            </w:pPr>
            <w:r w:rsidRPr="003D18ED">
              <w:rPr>
                <w:bCs/>
              </w:rPr>
              <w:t>Senator the Hon Marise Payne, Senator for Western Sydney, Minister for Human Services</w:t>
            </w:r>
          </w:p>
        </w:tc>
        <w:tc>
          <w:tcPr>
            <w:tcW w:w="2090" w:type="dxa"/>
          </w:tcPr>
          <w:p w14:paraId="14E54186" w14:textId="77777777" w:rsidR="00275C03" w:rsidRPr="0037585C" w:rsidRDefault="00275C03" w:rsidP="00275C03">
            <w:r w:rsidRPr="0037585C">
              <w:t>Sydney, NSW</w:t>
            </w:r>
          </w:p>
        </w:tc>
      </w:tr>
    </w:tbl>
    <w:p w14:paraId="51896B89" w14:textId="0459E721" w:rsidR="00275C03" w:rsidRDefault="00A01F6B" w:rsidP="00A01F6B">
      <w:pPr>
        <w:pStyle w:val="Heading2"/>
        <w:numPr>
          <w:ilvl w:val="0"/>
          <w:numId w:val="0"/>
        </w:numPr>
        <w:ind w:left="851" w:hanging="851"/>
      </w:pPr>
      <w:bookmarkStart w:id="220" w:name="_Toc432577334"/>
      <w:r>
        <w:t>Appendix 3: Memberships of advisory groups and ambassadorships</w:t>
      </w:r>
      <w:bookmarkEnd w:id="220"/>
    </w:p>
    <w:p w14:paraId="69A5667A" w14:textId="77777777" w:rsidR="00A01F6B" w:rsidRPr="00A01F6B" w:rsidRDefault="00A01F6B" w:rsidP="000D1D92">
      <w:pPr>
        <w:numPr>
          <w:ilvl w:val="0"/>
          <w:numId w:val="76"/>
        </w:numPr>
        <w:spacing w:after="120"/>
        <w:jc w:val="both"/>
        <w:rPr>
          <w:rFonts w:eastAsia="Calibri" w:cs="Arial"/>
          <w:lang w:eastAsia="en-US"/>
        </w:rPr>
      </w:pPr>
      <w:r w:rsidRPr="00A01F6B">
        <w:rPr>
          <w:rFonts w:eastAsia="Calibri" w:cs="Arial"/>
          <w:lang w:eastAsia="en-US"/>
        </w:rPr>
        <w:t xml:space="preserve">National Forum for Protecting Australia’s Children </w:t>
      </w:r>
    </w:p>
    <w:p w14:paraId="09594F8F" w14:textId="77777777" w:rsidR="00A01F6B" w:rsidRPr="00A01F6B" w:rsidRDefault="00A01F6B" w:rsidP="000D1D92">
      <w:pPr>
        <w:numPr>
          <w:ilvl w:val="0"/>
          <w:numId w:val="76"/>
        </w:numPr>
        <w:spacing w:after="120"/>
        <w:jc w:val="both"/>
        <w:rPr>
          <w:rFonts w:eastAsia="Calibri" w:cs="Arial"/>
          <w:lang w:eastAsia="en-US"/>
        </w:rPr>
      </w:pPr>
      <w:r w:rsidRPr="00A01F6B">
        <w:rPr>
          <w:rFonts w:eastAsia="Calibri" w:cs="Arial"/>
          <w:lang w:eastAsia="en-US"/>
        </w:rPr>
        <w:t>National Advisory Committee for the Aboriginal and Torres Strait Islander Suicide Prevention Evaluation Project (ATSISPEP)</w:t>
      </w:r>
    </w:p>
    <w:p w14:paraId="424DD061" w14:textId="77777777" w:rsidR="00A01F6B" w:rsidRPr="00A01F6B" w:rsidRDefault="00A01F6B" w:rsidP="000D1D92">
      <w:pPr>
        <w:numPr>
          <w:ilvl w:val="0"/>
          <w:numId w:val="76"/>
        </w:numPr>
        <w:spacing w:after="120"/>
        <w:jc w:val="both"/>
        <w:rPr>
          <w:rFonts w:eastAsia="Calibri" w:cs="Arial"/>
          <w:lang w:eastAsia="en-US"/>
        </w:rPr>
      </w:pPr>
      <w:r w:rsidRPr="00A01F6B">
        <w:rPr>
          <w:rFonts w:eastAsia="Calibri" w:cs="Arial"/>
          <w:lang w:eastAsia="en-US"/>
        </w:rPr>
        <w:t xml:space="preserve">Centre of Research Excellence in Suicide Prevention (CRESP) </w:t>
      </w:r>
    </w:p>
    <w:p w14:paraId="3E3FF241" w14:textId="77777777" w:rsidR="00A01F6B" w:rsidRPr="00A01F6B" w:rsidRDefault="00A01F6B" w:rsidP="000D1D92">
      <w:pPr>
        <w:numPr>
          <w:ilvl w:val="0"/>
          <w:numId w:val="76"/>
        </w:numPr>
        <w:spacing w:after="120"/>
        <w:jc w:val="both"/>
        <w:rPr>
          <w:rFonts w:eastAsia="Calibri" w:cs="Arial"/>
          <w:lang w:eastAsia="en-US"/>
        </w:rPr>
      </w:pPr>
      <w:r w:rsidRPr="00A01F6B">
        <w:rPr>
          <w:rFonts w:eastAsia="Calibri" w:cs="Arial"/>
          <w:lang w:eastAsia="en-US"/>
        </w:rPr>
        <w:t>Online Safety Consultative Working Group</w:t>
      </w:r>
    </w:p>
    <w:p w14:paraId="363D795C" w14:textId="2F125E21" w:rsidR="00A01F6B" w:rsidRPr="00A01F6B" w:rsidRDefault="00A01F6B" w:rsidP="000D1D92">
      <w:pPr>
        <w:numPr>
          <w:ilvl w:val="0"/>
          <w:numId w:val="76"/>
        </w:numPr>
        <w:spacing w:after="120"/>
        <w:jc w:val="both"/>
        <w:rPr>
          <w:rFonts w:eastAsia="Calibri" w:cs="Arial"/>
          <w:lang w:eastAsia="en-US"/>
        </w:rPr>
      </w:pPr>
      <w:r w:rsidRPr="00A01F6B">
        <w:rPr>
          <w:rFonts w:eastAsia="Calibri" w:cs="Arial"/>
          <w:lang w:eastAsia="en-US"/>
        </w:rPr>
        <w:t xml:space="preserve">Australian Children’s Commissioners </w:t>
      </w:r>
      <w:r w:rsidR="00CC2BA8">
        <w:rPr>
          <w:rFonts w:eastAsia="Calibri" w:cs="Arial"/>
          <w:lang w:eastAsia="en-US"/>
        </w:rPr>
        <w:t>and</w:t>
      </w:r>
      <w:r w:rsidRPr="00A01F6B">
        <w:rPr>
          <w:rFonts w:eastAsia="Calibri" w:cs="Arial"/>
          <w:lang w:eastAsia="en-US"/>
        </w:rPr>
        <w:t xml:space="preserve"> Guardians</w:t>
      </w:r>
    </w:p>
    <w:p w14:paraId="6F659EC7" w14:textId="77777777" w:rsidR="00A01F6B" w:rsidRPr="00A01F6B" w:rsidRDefault="00A01F6B" w:rsidP="000D1D92">
      <w:pPr>
        <w:numPr>
          <w:ilvl w:val="0"/>
          <w:numId w:val="76"/>
        </w:numPr>
        <w:spacing w:after="120"/>
        <w:jc w:val="both"/>
        <w:rPr>
          <w:rFonts w:eastAsia="Calibri" w:cs="Arial"/>
          <w:lang w:eastAsia="en-US"/>
        </w:rPr>
      </w:pPr>
      <w:r w:rsidRPr="00A01F6B">
        <w:rPr>
          <w:rFonts w:eastAsia="Calibri" w:cs="Arial"/>
          <w:lang w:eastAsia="en-US"/>
        </w:rPr>
        <w:t>National Families Week Ambassador, 2015</w:t>
      </w:r>
    </w:p>
    <w:p w14:paraId="288928C3" w14:textId="77777777" w:rsidR="00A01F6B" w:rsidRPr="00A01F6B" w:rsidRDefault="00A01F6B" w:rsidP="000D1D92">
      <w:pPr>
        <w:numPr>
          <w:ilvl w:val="0"/>
          <w:numId w:val="76"/>
        </w:numPr>
        <w:spacing w:after="120"/>
        <w:jc w:val="both"/>
        <w:rPr>
          <w:rFonts w:eastAsia="Calibri" w:cs="Arial"/>
          <w:lang w:eastAsia="en-US"/>
        </w:rPr>
      </w:pPr>
      <w:r w:rsidRPr="00A01F6B">
        <w:rPr>
          <w:rFonts w:eastAsia="Calibri" w:cs="Arial"/>
          <w:lang w:eastAsia="en-US"/>
        </w:rPr>
        <w:t>National Advisory Group for the Statement of Intent on Children’s Rights in Early Childhood Education and Care, since April 2014</w:t>
      </w:r>
    </w:p>
    <w:p w14:paraId="30ED8D0B" w14:textId="77777777" w:rsidR="00A01F6B" w:rsidRPr="00A01F6B" w:rsidRDefault="00A01F6B" w:rsidP="000D1D92">
      <w:pPr>
        <w:numPr>
          <w:ilvl w:val="0"/>
          <w:numId w:val="76"/>
        </w:numPr>
        <w:spacing w:after="120"/>
        <w:jc w:val="both"/>
        <w:rPr>
          <w:rFonts w:eastAsia="Calibri" w:cs="Arial"/>
          <w:lang w:eastAsia="en-US"/>
        </w:rPr>
      </w:pPr>
      <w:r w:rsidRPr="00A01F6B">
        <w:rPr>
          <w:rFonts w:eastAsia="Calibri" w:cs="Arial"/>
          <w:lang w:eastAsia="en-US"/>
        </w:rPr>
        <w:t>Bourke Justice Reinvestment Strategic Advisory Group, since May 2014</w:t>
      </w:r>
    </w:p>
    <w:p w14:paraId="2448AE6C" w14:textId="6EB1EEC1" w:rsidR="00A01F6B" w:rsidRPr="00A01F6B" w:rsidRDefault="00A01F6B" w:rsidP="000D1D92">
      <w:pPr>
        <w:numPr>
          <w:ilvl w:val="0"/>
          <w:numId w:val="76"/>
        </w:numPr>
        <w:spacing w:after="120"/>
        <w:jc w:val="both"/>
        <w:rPr>
          <w:rFonts w:eastAsia="Calibri" w:cs="Arial"/>
          <w:lang w:eastAsia="en-US"/>
        </w:rPr>
      </w:pPr>
      <w:r w:rsidRPr="00A01F6B">
        <w:rPr>
          <w:rFonts w:eastAsia="Calibri" w:cs="Arial"/>
          <w:lang w:eastAsia="en-US"/>
        </w:rPr>
        <w:lastRenderedPageBreak/>
        <w:t>Justice Reinvestment Champion</w:t>
      </w:r>
      <w:r w:rsidR="00CC2BA8">
        <w:rPr>
          <w:rFonts w:eastAsia="Calibri" w:cs="Arial"/>
          <w:lang w:eastAsia="en-US"/>
        </w:rPr>
        <w:t>,</w:t>
      </w:r>
      <w:r w:rsidRPr="00A01F6B">
        <w:rPr>
          <w:rFonts w:eastAsia="Calibri" w:cs="Arial"/>
          <w:lang w:eastAsia="en-US"/>
        </w:rPr>
        <w:t xml:space="preserve"> since May 2013</w:t>
      </w:r>
    </w:p>
    <w:p w14:paraId="13582D65" w14:textId="77777777" w:rsidR="00A01F6B" w:rsidRPr="00CC2BA8" w:rsidRDefault="00A01F6B" w:rsidP="000D1D92">
      <w:pPr>
        <w:numPr>
          <w:ilvl w:val="0"/>
          <w:numId w:val="76"/>
        </w:numPr>
        <w:spacing w:after="120"/>
        <w:jc w:val="both"/>
        <w:rPr>
          <w:rFonts w:eastAsia="Calibri" w:cs="Arial"/>
          <w:lang w:eastAsia="en-US"/>
        </w:rPr>
      </w:pPr>
      <w:r w:rsidRPr="00CC2BA8">
        <w:rPr>
          <w:rFonts w:eastAsia="Calibri" w:cs="Arial"/>
          <w:lang w:eastAsia="en-US"/>
        </w:rPr>
        <w:t>Advisory Group to the Preventing Anxiety and Victimisation through education (PAVe) Project, since December 2013</w:t>
      </w:r>
    </w:p>
    <w:p w14:paraId="38D22C19" w14:textId="67DBD688" w:rsidR="00A01F6B" w:rsidRPr="00A01F6B" w:rsidRDefault="00A01F6B" w:rsidP="000D1D92">
      <w:pPr>
        <w:numPr>
          <w:ilvl w:val="0"/>
          <w:numId w:val="76"/>
        </w:numPr>
        <w:spacing w:after="120"/>
        <w:jc w:val="both"/>
        <w:rPr>
          <w:rFonts w:eastAsia="Calibri" w:cs="Arial"/>
          <w:lang w:eastAsia="en-US"/>
        </w:rPr>
      </w:pPr>
      <w:r w:rsidRPr="00A01F6B">
        <w:rPr>
          <w:rFonts w:eastAsia="Calibri" w:cs="Arial"/>
          <w:lang w:eastAsia="en-US"/>
        </w:rPr>
        <w:t>Foster and Kinship Care Spokesperson</w:t>
      </w:r>
      <w:r w:rsidR="009F2C41">
        <w:rPr>
          <w:rFonts w:eastAsia="Calibri" w:cs="Arial"/>
          <w:lang w:eastAsia="en-US"/>
        </w:rPr>
        <w:t>,</w:t>
      </w:r>
      <w:r w:rsidRPr="00A01F6B">
        <w:rPr>
          <w:rFonts w:eastAsia="Calibri" w:cs="Arial"/>
          <w:lang w:eastAsia="en-US"/>
        </w:rPr>
        <w:t xml:space="preserve"> since 2013 </w:t>
      </w:r>
    </w:p>
    <w:p w14:paraId="71F27B98" w14:textId="77777777" w:rsidR="00A01F6B" w:rsidRPr="00A01F6B" w:rsidRDefault="00A01F6B" w:rsidP="000D1D92">
      <w:pPr>
        <w:numPr>
          <w:ilvl w:val="0"/>
          <w:numId w:val="76"/>
        </w:numPr>
        <w:spacing w:before="0" w:after="0"/>
        <w:jc w:val="both"/>
        <w:rPr>
          <w:rFonts w:eastAsia="Calibri" w:cs="Arial"/>
          <w:lang w:eastAsia="en-US"/>
        </w:rPr>
      </w:pPr>
      <w:r w:rsidRPr="00A01F6B">
        <w:rPr>
          <w:rFonts w:eastAsia="Calibri" w:cs="Arial"/>
          <w:lang w:eastAsia="en-US"/>
        </w:rPr>
        <w:t xml:space="preserve">Children’s Week National Ambassador, 2014. </w:t>
      </w:r>
    </w:p>
    <w:p w14:paraId="6BDB9CD9" w14:textId="40E262A5" w:rsidR="00A01F6B" w:rsidRPr="00A01F6B" w:rsidRDefault="00A01F6B" w:rsidP="00A01F6B">
      <w:pPr>
        <w:pStyle w:val="Heading2"/>
        <w:numPr>
          <w:ilvl w:val="0"/>
          <w:numId w:val="0"/>
        </w:numPr>
        <w:ind w:left="851" w:hanging="851"/>
      </w:pPr>
      <w:bookmarkStart w:id="221" w:name="_Toc432577335"/>
      <w:r>
        <w:t xml:space="preserve">Appendix 4: </w:t>
      </w:r>
      <w:r w:rsidRPr="00A01F6B">
        <w:t>Consultations</w:t>
      </w:r>
      <w:r w:rsidR="003B2D20">
        <w:t xml:space="preserve"> about business and children’s rights</w:t>
      </w:r>
      <w:bookmarkEnd w:id="221"/>
    </w:p>
    <w:tbl>
      <w:tblPr>
        <w:tblStyle w:val="TableGrid"/>
        <w:tblW w:w="0" w:type="auto"/>
        <w:tblLook w:val="04A0" w:firstRow="1" w:lastRow="0" w:firstColumn="1" w:lastColumn="0" w:noHBand="0" w:noVBand="1"/>
      </w:tblPr>
      <w:tblGrid>
        <w:gridCol w:w="1238"/>
        <w:gridCol w:w="5765"/>
        <w:gridCol w:w="2057"/>
      </w:tblGrid>
      <w:tr w:rsidR="00A01F6B" w:rsidRPr="00764534" w14:paraId="5DBE50DF" w14:textId="77777777" w:rsidTr="00AE0B34">
        <w:tc>
          <w:tcPr>
            <w:tcW w:w="1238" w:type="dxa"/>
          </w:tcPr>
          <w:p w14:paraId="6328D163" w14:textId="77777777" w:rsidR="00A01F6B" w:rsidRPr="00764534" w:rsidRDefault="00A01F6B" w:rsidP="00AE0B34">
            <w:pPr>
              <w:rPr>
                <w:b/>
              </w:rPr>
            </w:pPr>
            <w:r w:rsidRPr="00764534">
              <w:rPr>
                <w:b/>
              </w:rPr>
              <w:t>Date</w:t>
            </w:r>
          </w:p>
        </w:tc>
        <w:tc>
          <w:tcPr>
            <w:tcW w:w="5765" w:type="dxa"/>
          </w:tcPr>
          <w:p w14:paraId="2FF5A798" w14:textId="77777777" w:rsidR="00A01F6B" w:rsidRPr="00764534" w:rsidRDefault="00A01F6B" w:rsidP="00AE0B34">
            <w:pPr>
              <w:rPr>
                <w:b/>
              </w:rPr>
            </w:pPr>
            <w:r>
              <w:rPr>
                <w:b/>
              </w:rPr>
              <w:t xml:space="preserve">Consultation </w:t>
            </w:r>
          </w:p>
        </w:tc>
        <w:tc>
          <w:tcPr>
            <w:tcW w:w="2057" w:type="dxa"/>
          </w:tcPr>
          <w:p w14:paraId="7E2B49E2" w14:textId="77777777" w:rsidR="00A01F6B" w:rsidRPr="00764534" w:rsidRDefault="00A01F6B" w:rsidP="00AE0B34">
            <w:pPr>
              <w:rPr>
                <w:b/>
              </w:rPr>
            </w:pPr>
            <w:r w:rsidRPr="00764534">
              <w:rPr>
                <w:b/>
              </w:rPr>
              <w:t>Location</w:t>
            </w:r>
          </w:p>
        </w:tc>
      </w:tr>
      <w:tr w:rsidR="00A01F6B" w:rsidRPr="00764534" w14:paraId="48351ECF" w14:textId="77777777" w:rsidTr="00AE0B34">
        <w:tc>
          <w:tcPr>
            <w:tcW w:w="1238" w:type="dxa"/>
          </w:tcPr>
          <w:p w14:paraId="693158E5" w14:textId="6C6BDF0A" w:rsidR="00A01F6B" w:rsidRPr="00764534" w:rsidRDefault="009F2C41" w:rsidP="00AE0B34">
            <w:r>
              <w:t>21.03.</w:t>
            </w:r>
            <w:r w:rsidR="00A01F6B">
              <w:t xml:space="preserve">15 </w:t>
            </w:r>
          </w:p>
        </w:tc>
        <w:tc>
          <w:tcPr>
            <w:tcW w:w="5765" w:type="dxa"/>
          </w:tcPr>
          <w:p w14:paraId="252C39E3" w14:textId="77777777" w:rsidR="00A01F6B" w:rsidRPr="00764534" w:rsidRDefault="00A01F6B" w:rsidP="00AE0B34">
            <w:r w:rsidRPr="00BF6F2E">
              <w:t>YMCA youth group</w:t>
            </w:r>
          </w:p>
        </w:tc>
        <w:tc>
          <w:tcPr>
            <w:tcW w:w="2057" w:type="dxa"/>
          </w:tcPr>
          <w:p w14:paraId="2CB57423" w14:textId="77777777" w:rsidR="00A01F6B" w:rsidRPr="00764534" w:rsidRDefault="00A01F6B" w:rsidP="00AE0B34">
            <w:r>
              <w:t>Melbourne, VIC</w:t>
            </w:r>
          </w:p>
        </w:tc>
      </w:tr>
      <w:tr w:rsidR="00A01F6B" w:rsidRPr="00764534" w14:paraId="6079E322" w14:textId="77777777" w:rsidTr="00AE0B34">
        <w:tc>
          <w:tcPr>
            <w:tcW w:w="1238" w:type="dxa"/>
          </w:tcPr>
          <w:p w14:paraId="38EBB89A" w14:textId="3BE51A63" w:rsidR="00A01F6B" w:rsidRPr="00764534" w:rsidRDefault="009F2C41" w:rsidP="00AE0B34">
            <w:r>
              <w:t>30.04.</w:t>
            </w:r>
            <w:r w:rsidR="00A01F6B">
              <w:t xml:space="preserve">15 </w:t>
            </w:r>
          </w:p>
        </w:tc>
        <w:tc>
          <w:tcPr>
            <w:tcW w:w="5765" w:type="dxa"/>
          </w:tcPr>
          <w:p w14:paraId="4615B7C6" w14:textId="77777777" w:rsidR="00A01F6B" w:rsidRPr="00764534" w:rsidRDefault="00A01F6B" w:rsidP="00AE0B34">
            <w:r>
              <w:rPr>
                <w:lang w:val="en-US"/>
              </w:rPr>
              <w:t>Highwater T</w:t>
            </w:r>
            <w:r w:rsidRPr="00BF6F2E">
              <w:rPr>
                <w:lang w:val="en-US"/>
              </w:rPr>
              <w:t>heatre</w:t>
            </w:r>
            <w:r>
              <w:rPr>
                <w:lang w:val="en-US"/>
              </w:rPr>
              <w:t xml:space="preserve"> Program</w:t>
            </w:r>
          </w:p>
        </w:tc>
        <w:tc>
          <w:tcPr>
            <w:tcW w:w="2057" w:type="dxa"/>
          </w:tcPr>
          <w:p w14:paraId="4A37F9E0" w14:textId="77777777" w:rsidR="00A01F6B" w:rsidRPr="00764534" w:rsidRDefault="00A01F6B" w:rsidP="00AE0B34">
            <w:r>
              <w:t>Albury, NSW</w:t>
            </w:r>
          </w:p>
        </w:tc>
      </w:tr>
      <w:tr w:rsidR="00A01F6B" w:rsidRPr="00764534" w14:paraId="39EB4BFE" w14:textId="77777777" w:rsidTr="00AE0B34">
        <w:tc>
          <w:tcPr>
            <w:tcW w:w="1238" w:type="dxa"/>
          </w:tcPr>
          <w:p w14:paraId="3F0B8A9C" w14:textId="6AFF26E1" w:rsidR="00A01F6B" w:rsidRPr="00764534" w:rsidRDefault="00B341A4" w:rsidP="00AE0B34">
            <w:r>
              <w:t>0</w:t>
            </w:r>
            <w:r w:rsidR="009F2C41">
              <w:t>6.05.</w:t>
            </w:r>
            <w:r w:rsidR="00A01F6B">
              <w:t>15</w:t>
            </w:r>
          </w:p>
        </w:tc>
        <w:tc>
          <w:tcPr>
            <w:tcW w:w="5765" w:type="dxa"/>
          </w:tcPr>
          <w:p w14:paraId="38D154CB" w14:textId="77777777" w:rsidR="00A01F6B" w:rsidRPr="00764534" w:rsidRDefault="00A01F6B" w:rsidP="00AE0B34">
            <w:r w:rsidRPr="00BF6F2E">
              <w:rPr>
                <w:lang w:val="en-US"/>
              </w:rPr>
              <w:t>Holroyd High School</w:t>
            </w:r>
          </w:p>
        </w:tc>
        <w:tc>
          <w:tcPr>
            <w:tcW w:w="2057" w:type="dxa"/>
          </w:tcPr>
          <w:p w14:paraId="51AECC95" w14:textId="77777777" w:rsidR="00A01F6B" w:rsidRPr="00764534" w:rsidRDefault="00A01F6B" w:rsidP="00AE0B34">
            <w:r>
              <w:t>Sydney, NSW</w:t>
            </w:r>
          </w:p>
        </w:tc>
      </w:tr>
      <w:tr w:rsidR="00A01F6B" w:rsidRPr="00764534" w14:paraId="42253121" w14:textId="77777777" w:rsidTr="00AE0B34">
        <w:tc>
          <w:tcPr>
            <w:tcW w:w="1238" w:type="dxa"/>
          </w:tcPr>
          <w:p w14:paraId="12CF1D47" w14:textId="515EF7DC" w:rsidR="00A01F6B" w:rsidRPr="00764534" w:rsidRDefault="00A01F6B" w:rsidP="00AE0B34">
            <w:r>
              <w:t>14.05.15</w:t>
            </w:r>
          </w:p>
        </w:tc>
        <w:tc>
          <w:tcPr>
            <w:tcW w:w="5765" w:type="dxa"/>
          </w:tcPr>
          <w:p w14:paraId="2EA2E3A4" w14:textId="77777777" w:rsidR="00A01F6B" w:rsidRPr="00764534" w:rsidRDefault="00A01F6B" w:rsidP="00AE0B34">
            <w:r w:rsidRPr="00BF6F2E">
              <w:rPr>
                <w:lang w:val="en-US"/>
              </w:rPr>
              <w:t>Marrickville West Primary School</w:t>
            </w:r>
          </w:p>
        </w:tc>
        <w:tc>
          <w:tcPr>
            <w:tcW w:w="2057" w:type="dxa"/>
          </w:tcPr>
          <w:p w14:paraId="3A03E2EB" w14:textId="77777777" w:rsidR="00A01F6B" w:rsidRPr="00764534" w:rsidRDefault="00A01F6B" w:rsidP="00AE0B34">
            <w:r>
              <w:t>Sydney, NSW</w:t>
            </w:r>
          </w:p>
        </w:tc>
      </w:tr>
      <w:tr w:rsidR="00A01F6B" w:rsidRPr="00764534" w14:paraId="3271C5F0" w14:textId="77777777" w:rsidTr="00AE0B34">
        <w:tc>
          <w:tcPr>
            <w:tcW w:w="1238" w:type="dxa"/>
          </w:tcPr>
          <w:p w14:paraId="27DA9E13" w14:textId="77CE46A6" w:rsidR="00A01F6B" w:rsidRPr="00764534" w:rsidRDefault="009F2C41" w:rsidP="009F2C41">
            <w:r>
              <w:t>19.05.</w:t>
            </w:r>
            <w:r w:rsidR="00A01F6B">
              <w:t>15</w:t>
            </w:r>
          </w:p>
        </w:tc>
        <w:tc>
          <w:tcPr>
            <w:tcW w:w="5765" w:type="dxa"/>
          </w:tcPr>
          <w:p w14:paraId="08EF05A3" w14:textId="77777777" w:rsidR="00A01F6B" w:rsidRPr="00764534" w:rsidRDefault="00A01F6B" w:rsidP="00AE0B34">
            <w:r>
              <w:rPr>
                <w:lang w:val="en-US"/>
              </w:rPr>
              <w:t>Keilor Heights Primary School</w:t>
            </w:r>
          </w:p>
        </w:tc>
        <w:tc>
          <w:tcPr>
            <w:tcW w:w="2057" w:type="dxa"/>
          </w:tcPr>
          <w:p w14:paraId="54B803AC" w14:textId="77777777" w:rsidR="00A01F6B" w:rsidRPr="00764534" w:rsidRDefault="00A01F6B" w:rsidP="00AE0B34">
            <w:r>
              <w:t>Melbourne, VIC</w:t>
            </w:r>
          </w:p>
        </w:tc>
      </w:tr>
      <w:tr w:rsidR="00A01F6B" w:rsidRPr="00764534" w14:paraId="66929799" w14:textId="77777777" w:rsidTr="00AE0B34">
        <w:tc>
          <w:tcPr>
            <w:tcW w:w="1238" w:type="dxa"/>
          </w:tcPr>
          <w:p w14:paraId="51C3439B" w14:textId="2A333515" w:rsidR="00A01F6B" w:rsidRDefault="009F2C41" w:rsidP="00AE0B34">
            <w:r>
              <w:t>15.07.</w:t>
            </w:r>
            <w:r w:rsidR="00A01F6B">
              <w:t>15</w:t>
            </w:r>
          </w:p>
        </w:tc>
        <w:tc>
          <w:tcPr>
            <w:tcW w:w="5765" w:type="dxa"/>
          </w:tcPr>
          <w:p w14:paraId="2A28BFC3" w14:textId="3506D569" w:rsidR="00A01F6B" w:rsidRDefault="00A01F6B" w:rsidP="009F2C41">
            <w:r>
              <w:t>Canterbury Boys</w:t>
            </w:r>
            <w:r w:rsidRPr="00547E01">
              <w:t xml:space="preserve"> High School </w:t>
            </w:r>
          </w:p>
        </w:tc>
        <w:tc>
          <w:tcPr>
            <w:tcW w:w="2057" w:type="dxa"/>
          </w:tcPr>
          <w:p w14:paraId="78516B69" w14:textId="59837BC0" w:rsidR="00A01F6B" w:rsidRDefault="00A01F6B" w:rsidP="00AE0B34">
            <w:r w:rsidRPr="00547E01">
              <w:t>Sydney</w:t>
            </w:r>
            <w:r w:rsidR="00B341A4">
              <w:t>,</w:t>
            </w:r>
            <w:r w:rsidRPr="00547E01">
              <w:t xml:space="preserve"> NSW</w:t>
            </w:r>
          </w:p>
        </w:tc>
      </w:tr>
    </w:tbl>
    <w:p w14:paraId="31747023" w14:textId="50B456E4" w:rsidR="0073631C" w:rsidRDefault="00872643" w:rsidP="00872643">
      <w:pPr>
        <w:pStyle w:val="Heading2"/>
        <w:numPr>
          <w:ilvl w:val="0"/>
          <w:numId w:val="0"/>
        </w:numPr>
        <w:ind w:left="851" w:hanging="851"/>
      </w:pPr>
      <w:bookmarkStart w:id="222" w:name="_Toc432577336"/>
      <w:r>
        <w:t xml:space="preserve">Appendix 5: </w:t>
      </w:r>
      <w:r w:rsidRPr="00872643">
        <w:t xml:space="preserve">Submissions to my examination </w:t>
      </w:r>
      <w:r w:rsidR="009F7E40">
        <w:t>of</w:t>
      </w:r>
      <w:r w:rsidRPr="00872643">
        <w:t xml:space="preserve"> family and domestic violence</w:t>
      </w:r>
      <w:r>
        <w:t xml:space="preserve"> affecting children</w:t>
      </w:r>
      <w:bookmarkEnd w:id="222"/>
    </w:p>
    <w:p w14:paraId="57388AE2" w14:textId="77777777" w:rsidR="00872643" w:rsidRDefault="00872643" w:rsidP="00872643">
      <w:pPr>
        <w:jc w:val="both"/>
      </w:pPr>
      <w:r w:rsidRPr="002B5E5F">
        <w:t>62 written submissions</w:t>
      </w:r>
      <w:r>
        <w:t xml:space="preserve"> were received in response to the National Children’s Commissioner’s examination into family and domestic violence.</w:t>
      </w:r>
    </w:p>
    <w:p w14:paraId="2F34E721" w14:textId="77777777" w:rsidR="00872643" w:rsidRDefault="00872643" w:rsidP="00872643">
      <w:pPr>
        <w:jc w:val="both"/>
      </w:pPr>
      <w:r>
        <w:t>Submissions were received from individuals, government, private and non-government organisations.</w:t>
      </w:r>
    </w:p>
    <w:p w14:paraId="1B93AD77" w14:textId="77777777" w:rsidR="00872643" w:rsidRDefault="00872643" w:rsidP="00872643">
      <w:pPr>
        <w:jc w:val="both"/>
      </w:pPr>
      <w:r>
        <w:t>Some submissions are redacted to protect privacy and confidentiality.</w:t>
      </w:r>
    </w:p>
    <w:tbl>
      <w:tblPr>
        <w:tblStyle w:val="TableGrid"/>
        <w:tblW w:w="9209" w:type="dxa"/>
        <w:tblLook w:val="04A0" w:firstRow="1" w:lastRow="0" w:firstColumn="1" w:lastColumn="0" w:noHBand="0" w:noVBand="1"/>
      </w:tblPr>
      <w:tblGrid>
        <w:gridCol w:w="1980"/>
        <w:gridCol w:w="7229"/>
      </w:tblGrid>
      <w:tr w:rsidR="00872643" w:rsidRPr="005D5059" w14:paraId="4B5E4465" w14:textId="77777777" w:rsidTr="00AE0B34">
        <w:trPr>
          <w:trHeight w:val="300"/>
        </w:trPr>
        <w:tc>
          <w:tcPr>
            <w:tcW w:w="1980" w:type="dxa"/>
            <w:noWrap/>
          </w:tcPr>
          <w:p w14:paraId="0B7264DB" w14:textId="77777777" w:rsidR="00872643" w:rsidRPr="005D5059" w:rsidRDefault="00872643" w:rsidP="00AE0B34">
            <w:pPr>
              <w:spacing w:before="0" w:after="0"/>
            </w:pPr>
            <w:r w:rsidRPr="005D5059">
              <w:t>Submission No</w:t>
            </w:r>
          </w:p>
        </w:tc>
        <w:tc>
          <w:tcPr>
            <w:tcW w:w="7229" w:type="dxa"/>
            <w:noWrap/>
          </w:tcPr>
          <w:p w14:paraId="3E93E8FF" w14:textId="77777777" w:rsidR="00872643" w:rsidRPr="005D5059" w:rsidRDefault="00872643" w:rsidP="00AE0B34">
            <w:pPr>
              <w:spacing w:before="0" w:after="0"/>
            </w:pPr>
            <w:r w:rsidRPr="005D5059">
              <w:t xml:space="preserve">Submission by </w:t>
            </w:r>
          </w:p>
        </w:tc>
      </w:tr>
      <w:tr w:rsidR="00872643" w:rsidRPr="005D5059" w14:paraId="34CE4FB8" w14:textId="77777777" w:rsidTr="00AE0B34">
        <w:trPr>
          <w:trHeight w:val="300"/>
        </w:trPr>
        <w:tc>
          <w:tcPr>
            <w:tcW w:w="1980" w:type="dxa"/>
            <w:noWrap/>
            <w:hideMark/>
          </w:tcPr>
          <w:p w14:paraId="7A72B4A6" w14:textId="77777777" w:rsidR="00872643" w:rsidRPr="005D5059" w:rsidRDefault="00872643" w:rsidP="00AE0B34">
            <w:pPr>
              <w:spacing w:before="0" w:after="0"/>
            </w:pPr>
            <w:r w:rsidRPr="005D5059">
              <w:t>1</w:t>
            </w:r>
          </w:p>
        </w:tc>
        <w:tc>
          <w:tcPr>
            <w:tcW w:w="7229" w:type="dxa"/>
            <w:noWrap/>
            <w:hideMark/>
          </w:tcPr>
          <w:p w14:paraId="1D893BF8" w14:textId="77777777" w:rsidR="00872643" w:rsidRPr="005D5059" w:rsidRDefault="00872643" w:rsidP="00AE0B34">
            <w:pPr>
              <w:spacing w:before="0" w:after="0"/>
            </w:pPr>
            <w:r w:rsidRPr="005D5059">
              <w:t xml:space="preserve">Professor Patricia Easteal </w:t>
            </w:r>
          </w:p>
        </w:tc>
      </w:tr>
      <w:tr w:rsidR="00872643" w:rsidRPr="005D5059" w14:paraId="08E1F2F9" w14:textId="77777777" w:rsidTr="00AE0B34">
        <w:trPr>
          <w:trHeight w:val="300"/>
        </w:trPr>
        <w:tc>
          <w:tcPr>
            <w:tcW w:w="1980" w:type="dxa"/>
            <w:noWrap/>
          </w:tcPr>
          <w:p w14:paraId="69D50947" w14:textId="77777777" w:rsidR="00872643" w:rsidRPr="005D5059" w:rsidRDefault="00872643" w:rsidP="00AE0B34">
            <w:pPr>
              <w:spacing w:before="0" w:after="0"/>
            </w:pPr>
            <w:r w:rsidRPr="005D5059">
              <w:t>Attachment 1.1</w:t>
            </w:r>
          </w:p>
        </w:tc>
        <w:tc>
          <w:tcPr>
            <w:tcW w:w="7229" w:type="dxa"/>
            <w:noWrap/>
          </w:tcPr>
          <w:p w14:paraId="2CD1D4EA" w14:textId="77777777" w:rsidR="00872643" w:rsidRPr="005D5059" w:rsidRDefault="00872643" w:rsidP="00AE0B34">
            <w:pPr>
              <w:spacing w:before="0" w:after="0"/>
            </w:pPr>
            <w:r w:rsidRPr="005D5059">
              <w:t xml:space="preserve">Patricia Easteal AM and Dimian Grey, 'Risk of harm to children from exposure to family violence: Looking at how it is understood and considered by the judiciary' (2013) 27 </w:t>
            </w:r>
            <w:r w:rsidRPr="005D5059">
              <w:rPr>
                <w:i/>
              </w:rPr>
              <w:t>Australian Journal of Family Law</w:t>
            </w:r>
            <w:r w:rsidRPr="005D5059">
              <w:t xml:space="preserve"> 59.</w:t>
            </w:r>
          </w:p>
        </w:tc>
      </w:tr>
      <w:tr w:rsidR="00872643" w:rsidRPr="005D5059" w14:paraId="4370A8FE" w14:textId="77777777" w:rsidTr="00AE0B34">
        <w:trPr>
          <w:trHeight w:val="300"/>
        </w:trPr>
        <w:tc>
          <w:tcPr>
            <w:tcW w:w="1980" w:type="dxa"/>
            <w:noWrap/>
          </w:tcPr>
          <w:p w14:paraId="5F32E564" w14:textId="77777777" w:rsidR="00872643" w:rsidRPr="005D5059" w:rsidRDefault="00872643" w:rsidP="00AE0B34">
            <w:pPr>
              <w:spacing w:before="0" w:after="0"/>
            </w:pPr>
            <w:r w:rsidRPr="005D5059">
              <w:lastRenderedPageBreak/>
              <w:t>Attachment 1.2</w:t>
            </w:r>
          </w:p>
        </w:tc>
        <w:tc>
          <w:tcPr>
            <w:tcW w:w="7229" w:type="dxa"/>
            <w:noWrap/>
          </w:tcPr>
          <w:p w14:paraId="3E970A3D" w14:textId="77777777" w:rsidR="00872643" w:rsidRPr="005D5059" w:rsidRDefault="00872643" w:rsidP="00AE0B34">
            <w:pPr>
              <w:spacing w:before="0" w:after="0"/>
            </w:pPr>
            <w:r w:rsidRPr="005D5059">
              <w:t xml:space="preserve">Patricia Easteal, ‘Violence Against Women in the Home: Kaleidoscopes on a Collision Course?’ (2013) 3(2) </w:t>
            </w:r>
            <w:r w:rsidRPr="005D5059">
              <w:rPr>
                <w:i/>
              </w:rPr>
              <w:t>QUT Law &amp; Justice Journal</w:t>
            </w:r>
            <w:r w:rsidRPr="005D5059">
              <w:t xml:space="preserve"> 250.  </w:t>
            </w:r>
          </w:p>
        </w:tc>
      </w:tr>
      <w:tr w:rsidR="00872643" w:rsidRPr="005D5059" w14:paraId="1025F3EF" w14:textId="77777777" w:rsidTr="00AE0B34">
        <w:trPr>
          <w:trHeight w:val="300"/>
        </w:trPr>
        <w:tc>
          <w:tcPr>
            <w:tcW w:w="1980" w:type="dxa"/>
            <w:noWrap/>
            <w:hideMark/>
          </w:tcPr>
          <w:p w14:paraId="540FE227" w14:textId="77777777" w:rsidR="00872643" w:rsidRPr="005D5059" w:rsidRDefault="00872643" w:rsidP="00AE0B34">
            <w:pPr>
              <w:spacing w:before="0" w:after="0"/>
            </w:pPr>
            <w:r w:rsidRPr="005D5059">
              <w:t>2</w:t>
            </w:r>
          </w:p>
        </w:tc>
        <w:tc>
          <w:tcPr>
            <w:tcW w:w="7229" w:type="dxa"/>
            <w:noWrap/>
            <w:hideMark/>
          </w:tcPr>
          <w:p w14:paraId="0063CFC2" w14:textId="77777777" w:rsidR="00872643" w:rsidRPr="005D5059" w:rsidRDefault="00872643" w:rsidP="00AE0B34">
            <w:pPr>
              <w:spacing w:before="0" w:after="0"/>
            </w:pPr>
            <w:r w:rsidRPr="005D5059">
              <w:t>Professor Belinda Fehlberg</w:t>
            </w:r>
          </w:p>
        </w:tc>
      </w:tr>
      <w:tr w:rsidR="00872643" w:rsidRPr="005D5059" w14:paraId="17B3EA01" w14:textId="77777777" w:rsidTr="00AE0B34">
        <w:trPr>
          <w:trHeight w:val="300"/>
        </w:trPr>
        <w:tc>
          <w:tcPr>
            <w:tcW w:w="1980" w:type="dxa"/>
            <w:noWrap/>
          </w:tcPr>
          <w:p w14:paraId="1B0BE2FB" w14:textId="77777777" w:rsidR="00872643" w:rsidRPr="005D5059" w:rsidRDefault="00872643" w:rsidP="00AE0B34">
            <w:pPr>
              <w:spacing w:before="0" w:after="0"/>
            </w:pPr>
            <w:r w:rsidRPr="005D5059">
              <w:t>Attachment 2.1</w:t>
            </w:r>
          </w:p>
        </w:tc>
        <w:tc>
          <w:tcPr>
            <w:tcW w:w="7229" w:type="dxa"/>
            <w:noWrap/>
          </w:tcPr>
          <w:p w14:paraId="320F8025" w14:textId="77777777" w:rsidR="00872643" w:rsidRPr="005D5059" w:rsidRDefault="00872643" w:rsidP="00AE0B34">
            <w:pPr>
              <w:spacing w:before="0" w:after="0"/>
            </w:pPr>
            <w:r w:rsidRPr="005D5059">
              <w:t xml:space="preserve">Belinda Fehlberg, Rae Kaspiew, Jenni Millbank, Fiona Kelly and Juliet Behrens (eds), </w:t>
            </w:r>
            <w:r w:rsidRPr="005D5059">
              <w:rPr>
                <w:i/>
              </w:rPr>
              <w:t>Australian Family Law: the contemporary context</w:t>
            </w:r>
            <w:r w:rsidRPr="005D5059">
              <w:t xml:space="preserve"> (Oxford University Press, 2</w:t>
            </w:r>
            <w:r w:rsidRPr="005D5059">
              <w:rPr>
                <w:vertAlign w:val="superscript"/>
              </w:rPr>
              <w:t>nd</w:t>
            </w:r>
            <w:r w:rsidRPr="005D5059">
              <w:t xml:space="preserve"> ed, 2014) ch 5–8. </w:t>
            </w:r>
          </w:p>
        </w:tc>
      </w:tr>
      <w:tr w:rsidR="00872643" w:rsidRPr="005D5059" w14:paraId="01F0B2C9" w14:textId="77777777" w:rsidTr="00AE0B34">
        <w:trPr>
          <w:trHeight w:val="300"/>
        </w:trPr>
        <w:tc>
          <w:tcPr>
            <w:tcW w:w="1980" w:type="dxa"/>
            <w:noWrap/>
            <w:hideMark/>
          </w:tcPr>
          <w:p w14:paraId="6C24E4AE" w14:textId="77777777" w:rsidR="00872643" w:rsidRPr="005D5059" w:rsidRDefault="00872643" w:rsidP="00AE0B34">
            <w:pPr>
              <w:spacing w:before="0" w:after="0"/>
            </w:pPr>
            <w:r w:rsidRPr="005D5059">
              <w:t>3</w:t>
            </w:r>
          </w:p>
        </w:tc>
        <w:tc>
          <w:tcPr>
            <w:tcW w:w="7229" w:type="dxa"/>
            <w:noWrap/>
            <w:hideMark/>
          </w:tcPr>
          <w:p w14:paraId="5E65C984" w14:textId="77777777" w:rsidR="00872643" w:rsidRPr="005D5059" w:rsidRDefault="00872643" w:rsidP="00AE0B34">
            <w:pPr>
              <w:spacing w:before="0" w:after="0"/>
            </w:pPr>
            <w:r w:rsidRPr="005D5059">
              <w:t>inTouch Multicultural Centre against Family Violence</w:t>
            </w:r>
          </w:p>
        </w:tc>
      </w:tr>
      <w:tr w:rsidR="00872643" w:rsidRPr="005D5059" w14:paraId="6F324D00" w14:textId="77777777" w:rsidTr="00AE0B34">
        <w:trPr>
          <w:trHeight w:val="300"/>
        </w:trPr>
        <w:tc>
          <w:tcPr>
            <w:tcW w:w="1980" w:type="dxa"/>
            <w:noWrap/>
          </w:tcPr>
          <w:p w14:paraId="0A0776BB" w14:textId="77777777" w:rsidR="00872643" w:rsidRPr="005D5059" w:rsidRDefault="00872643" w:rsidP="00AE0B34">
            <w:pPr>
              <w:spacing w:before="0" w:after="0"/>
            </w:pPr>
            <w:r w:rsidRPr="005D5059">
              <w:t>Attachment 3.1</w:t>
            </w:r>
          </w:p>
        </w:tc>
        <w:tc>
          <w:tcPr>
            <w:tcW w:w="7229" w:type="dxa"/>
            <w:noWrap/>
          </w:tcPr>
          <w:p w14:paraId="5B628FC5" w14:textId="77777777" w:rsidR="00872643" w:rsidRPr="005D5059" w:rsidRDefault="00872643" w:rsidP="00AE0B34">
            <w:pPr>
              <w:spacing w:before="0" w:after="0"/>
            </w:pPr>
            <w:r w:rsidRPr="005D5059">
              <w:t xml:space="preserve">InTouch Multicultural Centre Against Family Violence and Safe Futures Foundation, </w:t>
            </w:r>
            <w:r w:rsidRPr="005D5059">
              <w:rPr>
                <w:i/>
              </w:rPr>
              <w:t xml:space="preserve">Making Childhood Memories; “CALD Children in Refuge Matter” Holiday Program 2014 Evaluation report </w:t>
            </w:r>
            <w:r w:rsidRPr="005D5059">
              <w:t>(2014).</w:t>
            </w:r>
          </w:p>
        </w:tc>
      </w:tr>
      <w:tr w:rsidR="00872643" w:rsidRPr="005D5059" w14:paraId="370D571D" w14:textId="77777777" w:rsidTr="00AE0B34">
        <w:trPr>
          <w:trHeight w:val="300"/>
        </w:trPr>
        <w:tc>
          <w:tcPr>
            <w:tcW w:w="1980" w:type="dxa"/>
            <w:noWrap/>
          </w:tcPr>
          <w:p w14:paraId="77C0DEC0" w14:textId="77777777" w:rsidR="00872643" w:rsidRPr="005D5059" w:rsidRDefault="00872643" w:rsidP="00AE0B34">
            <w:pPr>
              <w:spacing w:before="0" w:after="0"/>
            </w:pPr>
            <w:r w:rsidRPr="005D5059">
              <w:t>Attachment 3.2</w:t>
            </w:r>
          </w:p>
        </w:tc>
        <w:tc>
          <w:tcPr>
            <w:tcW w:w="7229" w:type="dxa"/>
            <w:noWrap/>
          </w:tcPr>
          <w:p w14:paraId="3D2E5F5D" w14:textId="77777777" w:rsidR="00872643" w:rsidRPr="005D5059" w:rsidRDefault="00872643" w:rsidP="00AE0B34">
            <w:pPr>
              <w:tabs>
                <w:tab w:val="left" w:pos="2680"/>
              </w:tabs>
              <w:spacing w:before="0" w:after="0"/>
              <w:rPr>
                <w:highlight w:val="green"/>
              </w:rPr>
            </w:pPr>
            <w:r w:rsidRPr="005D5059">
              <w:t xml:space="preserve">Immigrant Women’s Domestic Violence Service, </w:t>
            </w:r>
            <w:r w:rsidRPr="005D5059">
              <w:rPr>
                <w:i/>
              </w:rPr>
              <w:t>What about the Children? The Voices of Culturally and Linguistically Diverse Children affected by Family Violence</w:t>
            </w:r>
            <w:r w:rsidRPr="005D5059">
              <w:t xml:space="preserve"> (2008).</w:t>
            </w:r>
          </w:p>
        </w:tc>
      </w:tr>
      <w:tr w:rsidR="00872643" w:rsidRPr="005D5059" w14:paraId="42E8971D" w14:textId="77777777" w:rsidTr="00AE0B34">
        <w:trPr>
          <w:trHeight w:val="300"/>
        </w:trPr>
        <w:tc>
          <w:tcPr>
            <w:tcW w:w="1980" w:type="dxa"/>
            <w:noWrap/>
            <w:hideMark/>
          </w:tcPr>
          <w:p w14:paraId="15D3D5B2" w14:textId="77777777" w:rsidR="00872643" w:rsidRPr="005D5059" w:rsidRDefault="00872643" w:rsidP="00AE0B34">
            <w:pPr>
              <w:spacing w:before="0" w:after="0"/>
            </w:pPr>
            <w:r w:rsidRPr="005D5059">
              <w:t>4</w:t>
            </w:r>
          </w:p>
        </w:tc>
        <w:tc>
          <w:tcPr>
            <w:tcW w:w="7229" w:type="dxa"/>
            <w:noWrap/>
            <w:hideMark/>
          </w:tcPr>
          <w:p w14:paraId="7AB9BF30" w14:textId="77777777" w:rsidR="00872643" w:rsidRPr="005D5059" w:rsidRDefault="00872643" w:rsidP="00AE0B34">
            <w:pPr>
              <w:spacing w:before="0" w:after="0"/>
            </w:pPr>
            <w:r w:rsidRPr="005D5059">
              <w:t>Wendy Bunston</w:t>
            </w:r>
          </w:p>
        </w:tc>
      </w:tr>
      <w:tr w:rsidR="000F2091" w:rsidRPr="005D5059" w14:paraId="00DB6195" w14:textId="77777777" w:rsidTr="00AE0B34">
        <w:trPr>
          <w:trHeight w:val="300"/>
        </w:trPr>
        <w:tc>
          <w:tcPr>
            <w:tcW w:w="1980" w:type="dxa"/>
            <w:noWrap/>
          </w:tcPr>
          <w:p w14:paraId="62421693" w14:textId="4865356E" w:rsidR="000F2091" w:rsidRPr="005D5059" w:rsidRDefault="000F2091" w:rsidP="00AE0B34">
            <w:pPr>
              <w:spacing w:before="0" w:after="0"/>
            </w:pPr>
            <w:r>
              <w:t>Attachment 4.1</w:t>
            </w:r>
          </w:p>
        </w:tc>
        <w:tc>
          <w:tcPr>
            <w:tcW w:w="7229" w:type="dxa"/>
            <w:noWrap/>
          </w:tcPr>
          <w:p w14:paraId="1C68F067" w14:textId="1F3C90F8" w:rsidR="000F2091" w:rsidRPr="005D5059" w:rsidRDefault="000F2091" w:rsidP="00AE0B34">
            <w:pPr>
              <w:spacing w:before="0" w:after="0"/>
            </w:pPr>
            <w:r>
              <w:t>Wendy Bunston, ‘Summary of Evaluation (Quantitative and Qualitative) of 4 Infant/Child and Parent Interventions to Address Family Violence’.</w:t>
            </w:r>
          </w:p>
        </w:tc>
      </w:tr>
      <w:tr w:rsidR="00872643" w:rsidRPr="005D5059" w14:paraId="78DA99A4" w14:textId="77777777" w:rsidTr="00AE0B34">
        <w:trPr>
          <w:trHeight w:val="300"/>
        </w:trPr>
        <w:tc>
          <w:tcPr>
            <w:tcW w:w="1980" w:type="dxa"/>
            <w:noWrap/>
          </w:tcPr>
          <w:p w14:paraId="6FFA04FB" w14:textId="68DB35B9" w:rsidR="00872643" w:rsidRPr="005D5059" w:rsidRDefault="00872643" w:rsidP="000F2091">
            <w:pPr>
              <w:spacing w:before="0" w:after="0"/>
            </w:pPr>
            <w:r w:rsidRPr="005D5059">
              <w:t>Attachment 4.</w:t>
            </w:r>
            <w:r w:rsidR="000F2091">
              <w:t>2</w:t>
            </w:r>
          </w:p>
        </w:tc>
        <w:tc>
          <w:tcPr>
            <w:tcW w:w="7229" w:type="dxa"/>
            <w:noWrap/>
          </w:tcPr>
          <w:p w14:paraId="659DFC08" w14:textId="77777777" w:rsidR="00872643" w:rsidRPr="005D5059" w:rsidRDefault="00872643" w:rsidP="00AE0B34">
            <w:pPr>
              <w:spacing w:before="0" w:after="0"/>
            </w:pPr>
            <w:r w:rsidRPr="005D5059">
              <w:t xml:space="preserve">Wendy Bunston, Kathy Eyre, Anthony Carlsson and Kristen Pringle, 'Evaluating relational repair work with infants and mothers impacted by family violence' [2014] </w:t>
            </w:r>
            <w:r w:rsidRPr="005D5059">
              <w:rPr>
                <w:i/>
              </w:rPr>
              <w:t>Australian &amp; New Zealand Journal of Criminology</w:t>
            </w:r>
            <w:r w:rsidRPr="005D5059">
              <w:t xml:space="preserve"> 1.</w:t>
            </w:r>
          </w:p>
        </w:tc>
      </w:tr>
      <w:tr w:rsidR="00872643" w:rsidRPr="005D5059" w14:paraId="7ACDF194" w14:textId="77777777" w:rsidTr="00AE0B34">
        <w:trPr>
          <w:trHeight w:val="300"/>
        </w:trPr>
        <w:tc>
          <w:tcPr>
            <w:tcW w:w="1980" w:type="dxa"/>
            <w:noWrap/>
          </w:tcPr>
          <w:p w14:paraId="75452781" w14:textId="3568502F" w:rsidR="00872643" w:rsidRPr="005D5059" w:rsidRDefault="00872643" w:rsidP="000F2091">
            <w:pPr>
              <w:spacing w:before="0" w:after="0"/>
            </w:pPr>
            <w:r w:rsidRPr="005D5059">
              <w:t>Attachment 4.</w:t>
            </w:r>
            <w:r w:rsidR="000F2091">
              <w:t>3</w:t>
            </w:r>
          </w:p>
        </w:tc>
        <w:tc>
          <w:tcPr>
            <w:tcW w:w="7229" w:type="dxa"/>
            <w:noWrap/>
          </w:tcPr>
          <w:p w14:paraId="790974AC" w14:textId="77777777" w:rsidR="00872643" w:rsidRPr="005D5059" w:rsidRDefault="00872643" w:rsidP="00AE0B34">
            <w:pPr>
              <w:spacing w:before="0" w:after="0"/>
            </w:pPr>
            <w:r w:rsidRPr="005D5059">
              <w:t xml:space="preserve">Wendy Bunston and Alexandra Heynatz (eds), </w:t>
            </w:r>
            <w:r w:rsidRPr="005D5059">
              <w:rPr>
                <w:i/>
              </w:rPr>
              <w:t>Addressing Family Violence Programs: Groupwork Interventions for infants, children and their parents</w:t>
            </w:r>
            <w:r w:rsidRPr="005D5059">
              <w:t xml:space="preserve"> (The Royal Children's Hospital Mental Health Service, 2006).</w:t>
            </w:r>
          </w:p>
        </w:tc>
      </w:tr>
      <w:tr w:rsidR="00872643" w:rsidRPr="005D5059" w14:paraId="68526D74" w14:textId="77777777" w:rsidTr="00AE0B34">
        <w:trPr>
          <w:trHeight w:val="300"/>
        </w:trPr>
        <w:tc>
          <w:tcPr>
            <w:tcW w:w="1980" w:type="dxa"/>
            <w:noWrap/>
          </w:tcPr>
          <w:p w14:paraId="49B9A7C9" w14:textId="0829FBD2" w:rsidR="00872643" w:rsidRPr="005D5059" w:rsidRDefault="00872643" w:rsidP="000F2091">
            <w:pPr>
              <w:spacing w:before="0" w:after="0"/>
            </w:pPr>
            <w:r w:rsidRPr="005D5059">
              <w:t>Attachment 4.</w:t>
            </w:r>
            <w:r w:rsidR="000F2091">
              <w:t>4</w:t>
            </w:r>
          </w:p>
        </w:tc>
        <w:tc>
          <w:tcPr>
            <w:tcW w:w="7229" w:type="dxa"/>
            <w:noWrap/>
          </w:tcPr>
          <w:p w14:paraId="7266AEF2" w14:textId="77777777" w:rsidR="00872643" w:rsidRPr="005D5059" w:rsidRDefault="00872643" w:rsidP="00AE0B34">
            <w:pPr>
              <w:spacing w:before="0" w:after="0"/>
            </w:pPr>
            <w:r w:rsidRPr="005D5059">
              <w:t xml:space="preserve">Wendy Bunston, ‘“BuBs” On Board: (Building Up Bonds) Family violence and mother/infant group work in women’s shelters  Report on the Pilot of the “BuBs On Board” program in Five Women’s Shelters in Tasmania’ (2008) 3 (Spring) </w:t>
            </w:r>
            <w:r w:rsidRPr="005D5059">
              <w:rPr>
                <w:i/>
              </w:rPr>
              <w:t>The Quarterly, DVRC</w:t>
            </w:r>
            <w:r w:rsidRPr="005D5059">
              <w:t>.</w:t>
            </w:r>
          </w:p>
        </w:tc>
      </w:tr>
      <w:tr w:rsidR="00872643" w:rsidRPr="005D5059" w14:paraId="0D16EFB4" w14:textId="77777777" w:rsidTr="00AE0B34">
        <w:trPr>
          <w:trHeight w:val="300"/>
        </w:trPr>
        <w:tc>
          <w:tcPr>
            <w:tcW w:w="1980" w:type="dxa"/>
            <w:noWrap/>
          </w:tcPr>
          <w:p w14:paraId="3D3DD894" w14:textId="34AEE4F2" w:rsidR="00872643" w:rsidRPr="005D5059" w:rsidRDefault="00872643" w:rsidP="000F2091">
            <w:pPr>
              <w:spacing w:before="0" w:after="0"/>
            </w:pPr>
            <w:r w:rsidRPr="005D5059">
              <w:t>Attachment 4.</w:t>
            </w:r>
            <w:r w:rsidR="000F2091">
              <w:t>5</w:t>
            </w:r>
          </w:p>
        </w:tc>
        <w:tc>
          <w:tcPr>
            <w:tcW w:w="7229" w:type="dxa"/>
            <w:noWrap/>
          </w:tcPr>
          <w:p w14:paraId="08AA6CA7" w14:textId="77777777" w:rsidR="00872643" w:rsidRPr="005D5059" w:rsidRDefault="00872643" w:rsidP="00AE0B34">
            <w:pPr>
              <w:spacing w:before="0" w:after="0"/>
            </w:pPr>
            <w:r w:rsidRPr="005D5059">
              <w:t xml:space="preserve">Wendy Bunston, ‘”What about the fathers?” Bringing “Dads on Board™” with their infants and toddlers following violence’ (2013) 19(1) </w:t>
            </w:r>
            <w:r w:rsidRPr="005D5059">
              <w:rPr>
                <w:i/>
              </w:rPr>
              <w:t>Journal of family Studies</w:t>
            </w:r>
            <w:r w:rsidRPr="005D5059">
              <w:t xml:space="preserve"> 70.</w:t>
            </w:r>
          </w:p>
        </w:tc>
      </w:tr>
      <w:tr w:rsidR="00872643" w:rsidRPr="005D5059" w14:paraId="08C900E3" w14:textId="77777777" w:rsidTr="00AE0B34">
        <w:trPr>
          <w:trHeight w:val="300"/>
        </w:trPr>
        <w:tc>
          <w:tcPr>
            <w:tcW w:w="1980" w:type="dxa"/>
            <w:noWrap/>
          </w:tcPr>
          <w:p w14:paraId="43F6863C" w14:textId="5C451E2F" w:rsidR="00872643" w:rsidRPr="005D5059" w:rsidRDefault="00872643" w:rsidP="000F2091">
            <w:pPr>
              <w:spacing w:before="0" w:after="0"/>
            </w:pPr>
            <w:r w:rsidRPr="005D5059">
              <w:t>Attachment 4.</w:t>
            </w:r>
            <w:r w:rsidR="000F2091">
              <w:t>6</w:t>
            </w:r>
          </w:p>
        </w:tc>
        <w:tc>
          <w:tcPr>
            <w:tcW w:w="7229" w:type="dxa"/>
            <w:noWrap/>
          </w:tcPr>
          <w:p w14:paraId="63888E53" w14:textId="77777777" w:rsidR="00872643" w:rsidRPr="005D5059" w:rsidRDefault="00872643" w:rsidP="00AE0B34">
            <w:pPr>
              <w:spacing w:before="0" w:after="0"/>
              <w:rPr>
                <w:highlight w:val="red"/>
              </w:rPr>
            </w:pPr>
            <w:r w:rsidRPr="005D5059">
              <w:t xml:space="preserve">Wendy Bunston, </w:t>
            </w:r>
            <w:r w:rsidRPr="005D5059">
              <w:rPr>
                <w:i/>
              </w:rPr>
              <w:t>parkas: parents accepting responsibility kids are safe</w:t>
            </w:r>
            <w:r w:rsidRPr="005D5059">
              <w:t xml:space="preserve"> (Royal Children’s Hospital Mental Health Service, 1998)</w:t>
            </w:r>
          </w:p>
        </w:tc>
      </w:tr>
      <w:tr w:rsidR="00872643" w:rsidRPr="005D5059" w14:paraId="1F4F9494" w14:textId="77777777" w:rsidTr="00AE0B34">
        <w:trPr>
          <w:trHeight w:val="300"/>
        </w:trPr>
        <w:tc>
          <w:tcPr>
            <w:tcW w:w="1980" w:type="dxa"/>
            <w:noWrap/>
          </w:tcPr>
          <w:p w14:paraId="2233CC2C" w14:textId="4141BDF4" w:rsidR="00872643" w:rsidRPr="005D5059" w:rsidRDefault="00872643" w:rsidP="000F2091">
            <w:pPr>
              <w:spacing w:before="0" w:after="0"/>
            </w:pPr>
            <w:r w:rsidRPr="005D5059">
              <w:t>Attachment 4.</w:t>
            </w:r>
            <w:r w:rsidR="000F2091">
              <w:t>7</w:t>
            </w:r>
          </w:p>
        </w:tc>
        <w:tc>
          <w:tcPr>
            <w:tcW w:w="7229" w:type="dxa"/>
            <w:noWrap/>
          </w:tcPr>
          <w:p w14:paraId="382C874E" w14:textId="77777777" w:rsidR="00872643" w:rsidRPr="005D5059" w:rsidRDefault="00872643" w:rsidP="00AE0B34">
            <w:pPr>
              <w:tabs>
                <w:tab w:val="left" w:pos="4950"/>
              </w:tabs>
              <w:spacing w:before="0" w:after="0"/>
            </w:pPr>
            <w:r w:rsidRPr="005D5059">
              <w:t xml:space="preserve">Wendy Bunston and Julie Stone, </w:t>
            </w:r>
            <w:r w:rsidRPr="005D5059">
              <w:rPr>
                <w:i/>
              </w:rPr>
              <w:t>Submission to Royal Commission into Family Violence</w:t>
            </w:r>
            <w:r w:rsidRPr="005D5059">
              <w:t xml:space="preserve"> </w:t>
            </w:r>
            <w:r w:rsidRPr="005D5059">
              <w:rPr>
                <w:i/>
              </w:rPr>
              <w:t>(VIC</w:t>
            </w:r>
            <w:r w:rsidRPr="005D5059">
              <w:t>), 2015.</w:t>
            </w:r>
          </w:p>
        </w:tc>
      </w:tr>
      <w:tr w:rsidR="00872643" w:rsidRPr="005D5059" w14:paraId="14FACBDC" w14:textId="77777777" w:rsidTr="00AE0B34">
        <w:trPr>
          <w:trHeight w:val="300"/>
        </w:trPr>
        <w:tc>
          <w:tcPr>
            <w:tcW w:w="1980" w:type="dxa"/>
            <w:noWrap/>
            <w:hideMark/>
          </w:tcPr>
          <w:p w14:paraId="4B03B20E" w14:textId="77777777" w:rsidR="00872643" w:rsidRPr="005D5059" w:rsidRDefault="00872643" w:rsidP="00AE0B34">
            <w:pPr>
              <w:spacing w:before="0" w:after="0"/>
            </w:pPr>
            <w:r w:rsidRPr="005D5059">
              <w:t>5</w:t>
            </w:r>
          </w:p>
        </w:tc>
        <w:tc>
          <w:tcPr>
            <w:tcW w:w="7229" w:type="dxa"/>
            <w:noWrap/>
            <w:hideMark/>
          </w:tcPr>
          <w:p w14:paraId="67D29714" w14:textId="77777777" w:rsidR="00872643" w:rsidRPr="005D5059" w:rsidRDefault="00872643" w:rsidP="00AE0B34">
            <w:pPr>
              <w:spacing w:before="0" w:after="0"/>
            </w:pPr>
            <w:r w:rsidRPr="005D5059">
              <w:t>Australian Association of Social Workers (AASW)</w:t>
            </w:r>
          </w:p>
        </w:tc>
      </w:tr>
      <w:tr w:rsidR="00872643" w:rsidRPr="005D5059" w14:paraId="6788288D" w14:textId="77777777" w:rsidTr="00AE0B34">
        <w:trPr>
          <w:trHeight w:val="300"/>
        </w:trPr>
        <w:tc>
          <w:tcPr>
            <w:tcW w:w="1980" w:type="dxa"/>
            <w:noWrap/>
            <w:hideMark/>
          </w:tcPr>
          <w:p w14:paraId="746B787B" w14:textId="77777777" w:rsidR="00872643" w:rsidRPr="005D5059" w:rsidRDefault="00872643" w:rsidP="00AE0B34">
            <w:pPr>
              <w:spacing w:before="0" w:after="0"/>
            </w:pPr>
            <w:r w:rsidRPr="005D5059">
              <w:t>6</w:t>
            </w:r>
          </w:p>
        </w:tc>
        <w:tc>
          <w:tcPr>
            <w:tcW w:w="7229" w:type="dxa"/>
            <w:noWrap/>
            <w:hideMark/>
          </w:tcPr>
          <w:p w14:paraId="59FA0469" w14:textId="77777777" w:rsidR="00872643" w:rsidRPr="005D5059" w:rsidRDefault="00872643" w:rsidP="00AE0B34">
            <w:pPr>
              <w:spacing w:before="0" w:after="0"/>
            </w:pPr>
            <w:r w:rsidRPr="005D5059">
              <w:t>Australian Institute of Family Studies (AIFS) and Australia’s National Research Organisation for Women’s Safety (ANROWS)</w:t>
            </w:r>
          </w:p>
        </w:tc>
      </w:tr>
      <w:tr w:rsidR="00872643" w:rsidRPr="005D5059" w14:paraId="6FF62053" w14:textId="77777777" w:rsidTr="00AE0B34">
        <w:trPr>
          <w:trHeight w:val="300"/>
        </w:trPr>
        <w:tc>
          <w:tcPr>
            <w:tcW w:w="1980" w:type="dxa"/>
            <w:noWrap/>
            <w:hideMark/>
          </w:tcPr>
          <w:p w14:paraId="6D88A574" w14:textId="77777777" w:rsidR="00872643" w:rsidRPr="005D5059" w:rsidRDefault="00872643" w:rsidP="00AE0B34">
            <w:pPr>
              <w:spacing w:before="0" w:after="0"/>
            </w:pPr>
            <w:r w:rsidRPr="005D5059">
              <w:t>7</w:t>
            </w:r>
          </w:p>
        </w:tc>
        <w:tc>
          <w:tcPr>
            <w:tcW w:w="7229" w:type="dxa"/>
            <w:noWrap/>
            <w:hideMark/>
          </w:tcPr>
          <w:p w14:paraId="2E403320" w14:textId="77777777" w:rsidR="00872643" w:rsidRPr="005D5059" w:rsidRDefault="00872643" w:rsidP="00AE0B34">
            <w:pPr>
              <w:spacing w:before="0" w:after="0"/>
            </w:pPr>
            <w:r w:rsidRPr="005D5059">
              <w:t>Save the Children Australia</w:t>
            </w:r>
          </w:p>
        </w:tc>
      </w:tr>
      <w:tr w:rsidR="00872643" w:rsidRPr="005D5059" w14:paraId="7C835113" w14:textId="77777777" w:rsidTr="00AE0B34">
        <w:trPr>
          <w:trHeight w:val="300"/>
        </w:trPr>
        <w:tc>
          <w:tcPr>
            <w:tcW w:w="1980" w:type="dxa"/>
            <w:noWrap/>
          </w:tcPr>
          <w:p w14:paraId="5042F7DA" w14:textId="77777777" w:rsidR="00872643" w:rsidRPr="005D5059" w:rsidRDefault="00872643" w:rsidP="00AE0B34">
            <w:pPr>
              <w:spacing w:before="0" w:after="0"/>
            </w:pPr>
            <w:r w:rsidRPr="005D5059">
              <w:t>Attachment 7.1</w:t>
            </w:r>
          </w:p>
        </w:tc>
        <w:tc>
          <w:tcPr>
            <w:tcW w:w="7229" w:type="dxa"/>
            <w:noWrap/>
          </w:tcPr>
          <w:p w14:paraId="342B4F05" w14:textId="77777777" w:rsidR="00872643" w:rsidRPr="005D5059" w:rsidRDefault="00872643" w:rsidP="00AE0B34">
            <w:pPr>
              <w:spacing w:before="0" w:after="0"/>
            </w:pPr>
            <w:r w:rsidRPr="005D5059">
              <w:t xml:space="preserve">Save the Children Australia, </w:t>
            </w:r>
            <w:r w:rsidRPr="005D5059">
              <w:rPr>
                <w:i/>
              </w:rPr>
              <w:t>Fact sheet - Queensland Future Parents Program, Save the Children Australia</w:t>
            </w:r>
            <w:r w:rsidRPr="005D5059">
              <w:t>.</w:t>
            </w:r>
          </w:p>
        </w:tc>
      </w:tr>
      <w:tr w:rsidR="00872643" w:rsidRPr="005D5059" w14:paraId="29B256B8" w14:textId="77777777" w:rsidTr="00AE0B34">
        <w:trPr>
          <w:trHeight w:val="300"/>
        </w:trPr>
        <w:tc>
          <w:tcPr>
            <w:tcW w:w="1980" w:type="dxa"/>
            <w:noWrap/>
            <w:hideMark/>
          </w:tcPr>
          <w:p w14:paraId="54CA3312" w14:textId="77777777" w:rsidR="00872643" w:rsidRPr="005D5059" w:rsidRDefault="00872643" w:rsidP="00AE0B34">
            <w:pPr>
              <w:spacing w:before="0" w:after="0"/>
            </w:pPr>
            <w:r w:rsidRPr="005D5059">
              <w:t>8</w:t>
            </w:r>
          </w:p>
        </w:tc>
        <w:tc>
          <w:tcPr>
            <w:tcW w:w="7229" w:type="dxa"/>
            <w:noWrap/>
            <w:hideMark/>
          </w:tcPr>
          <w:p w14:paraId="6C162C67" w14:textId="77777777" w:rsidR="00872643" w:rsidRPr="005D5059" w:rsidRDefault="00872643" w:rsidP="00AE0B34">
            <w:pPr>
              <w:spacing w:before="0" w:after="0"/>
            </w:pPr>
            <w:r w:rsidRPr="005D5059">
              <w:t>Public Health Association of Australia (PHAA)</w:t>
            </w:r>
          </w:p>
        </w:tc>
      </w:tr>
      <w:tr w:rsidR="00872643" w:rsidRPr="005D5059" w14:paraId="1A9F2523" w14:textId="77777777" w:rsidTr="00AE0B34">
        <w:trPr>
          <w:trHeight w:val="300"/>
        </w:trPr>
        <w:tc>
          <w:tcPr>
            <w:tcW w:w="1980" w:type="dxa"/>
            <w:noWrap/>
            <w:hideMark/>
          </w:tcPr>
          <w:p w14:paraId="39B58884" w14:textId="77777777" w:rsidR="00872643" w:rsidRPr="005D5059" w:rsidRDefault="00872643" w:rsidP="00AE0B34">
            <w:pPr>
              <w:spacing w:before="0" w:after="0"/>
            </w:pPr>
            <w:r w:rsidRPr="005D5059">
              <w:t>9</w:t>
            </w:r>
          </w:p>
        </w:tc>
        <w:tc>
          <w:tcPr>
            <w:tcW w:w="7229" w:type="dxa"/>
            <w:noWrap/>
            <w:hideMark/>
          </w:tcPr>
          <w:p w14:paraId="04430839" w14:textId="10B442A9" w:rsidR="00872643" w:rsidRPr="005D5059" w:rsidRDefault="00872643" w:rsidP="00AE0B34">
            <w:pPr>
              <w:spacing w:before="0" w:after="0"/>
            </w:pPr>
            <w:r w:rsidRPr="005D5059">
              <w:t xml:space="preserve">St Vincent de Paul </w:t>
            </w:r>
            <w:r w:rsidR="000F2091">
              <w:t>Society National Council</w:t>
            </w:r>
          </w:p>
        </w:tc>
      </w:tr>
      <w:tr w:rsidR="00872643" w:rsidRPr="005D5059" w14:paraId="2FAE4FAE" w14:textId="77777777" w:rsidTr="00AE0B34">
        <w:trPr>
          <w:trHeight w:val="300"/>
        </w:trPr>
        <w:tc>
          <w:tcPr>
            <w:tcW w:w="1980" w:type="dxa"/>
            <w:noWrap/>
            <w:hideMark/>
          </w:tcPr>
          <w:p w14:paraId="66606C8E" w14:textId="77777777" w:rsidR="00872643" w:rsidRPr="005D5059" w:rsidRDefault="00872643" w:rsidP="00AE0B34">
            <w:pPr>
              <w:spacing w:before="0" w:after="0"/>
            </w:pPr>
            <w:r w:rsidRPr="005D5059">
              <w:t>10</w:t>
            </w:r>
          </w:p>
        </w:tc>
        <w:tc>
          <w:tcPr>
            <w:tcW w:w="7229" w:type="dxa"/>
            <w:noWrap/>
            <w:hideMark/>
          </w:tcPr>
          <w:p w14:paraId="1C31704F" w14:textId="77777777" w:rsidR="00872643" w:rsidRPr="005D5059" w:rsidRDefault="00872643" w:rsidP="00AE0B34">
            <w:pPr>
              <w:spacing w:before="0" w:after="0"/>
            </w:pPr>
            <w:r w:rsidRPr="005D5059">
              <w:t>National Aboriginal and Torres Strait Islander Services (NATSILS)</w:t>
            </w:r>
          </w:p>
        </w:tc>
      </w:tr>
      <w:tr w:rsidR="00872643" w:rsidRPr="005D5059" w14:paraId="23AC70AD" w14:textId="77777777" w:rsidTr="00AE0B34">
        <w:trPr>
          <w:trHeight w:val="300"/>
        </w:trPr>
        <w:tc>
          <w:tcPr>
            <w:tcW w:w="1980" w:type="dxa"/>
            <w:noWrap/>
            <w:hideMark/>
          </w:tcPr>
          <w:p w14:paraId="4D339CE7" w14:textId="77777777" w:rsidR="00872643" w:rsidRPr="005D5059" w:rsidRDefault="00872643" w:rsidP="00AE0B34">
            <w:pPr>
              <w:spacing w:before="0" w:after="0"/>
            </w:pPr>
            <w:r w:rsidRPr="005D5059">
              <w:t>11</w:t>
            </w:r>
          </w:p>
        </w:tc>
        <w:tc>
          <w:tcPr>
            <w:tcW w:w="7229" w:type="dxa"/>
            <w:noWrap/>
            <w:hideMark/>
          </w:tcPr>
          <w:p w14:paraId="501729D3" w14:textId="77777777" w:rsidR="00872643" w:rsidRPr="005D5059" w:rsidRDefault="00872643" w:rsidP="00AE0B34">
            <w:pPr>
              <w:spacing w:before="0" w:after="0"/>
            </w:pPr>
            <w:r w:rsidRPr="005D5059">
              <w:t>Andrew Johnson, Advocate for Children and Young People NSW</w:t>
            </w:r>
          </w:p>
        </w:tc>
      </w:tr>
      <w:tr w:rsidR="00872643" w:rsidRPr="005D5059" w14:paraId="74BFB2F7" w14:textId="77777777" w:rsidTr="00AE0B34">
        <w:trPr>
          <w:trHeight w:val="300"/>
        </w:trPr>
        <w:tc>
          <w:tcPr>
            <w:tcW w:w="1980" w:type="dxa"/>
            <w:noWrap/>
            <w:hideMark/>
          </w:tcPr>
          <w:p w14:paraId="296B5B57" w14:textId="77777777" w:rsidR="00872643" w:rsidRPr="005D5059" w:rsidRDefault="00872643" w:rsidP="00AE0B34">
            <w:pPr>
              <w:spacing w:before="0" w:after="0"/>
            </w:pPr>
            <w:r w:rsidRPr="005D5059">
              <w:lastRenderedPageBreak/>
              <w:t>12</w:t>
            </w:r>
          </w:p>
        </w:tc>
        <w:tc>
          <w:tcPr>
            <w:tcW w:w="7229" w:type="dxa"/>
            <w:noWrap/>
            <w:hideMark/>
          </w:tcPr>
          <w:p w14:paraId="169BDED1" w14:textId="77777777" w:rsidR="00872643" w:rsidRPr="005D5059" w:rsidRDefault="00872643" w:rsidP="00AE0B34">
            <w:pPr>
              <w:spacing w:before="0" w:after="0"/>
            </w:pPr>
            <w:r w:rsidRPr="005D5059">
              <w:t>National Rural Health Alliance (NHRA)</w:t>
            </w:r>
          </w:p>
        </w:tc>
      </w:tr>
      <w:tr w:rsidR="00872643" w:rsidRPr="005D5059" w14:paraId="42D79109" w14:textId="77777777" w:rsidTr="00AE0B34">
        <w:trPr>
          <w:trHeight w:val="300"/>
        </w:trPr>
        <w:tc>
          <w:tcPr>
            <w:tcW w:w="1980" w:type="dxa"/>
            <w:noWrap/>
            <w:hideMark/>
          </w:tcPr>
          <w:p w14:paraId="7941B306" w14:textId="77777777" w:rsidR="00872643" w:rsidRPr="005D5059" w:rsidRDefault="00872643" w:rsidP="00AE0B34">
            <w:pPr>
              <w:spacing w:before="0" w:after="0"/>
            </w:pPr>
            <w:r w:rsidRPr="005D5059">
              <w:t>13</w:t>
            </w:r>
          </w:p>
        </w:tc>
        <w:tc>
          <w:tcPr>
            <w:tcW w:w="7229" w:type="dxa"/>
            <w:noWrap/>
            <w:hideMark/>
          </w:tcPr>
          <w:p w14:paraId="687DF2C6" w14:textId="77777777" w:rsidR="00872643" w:rsidRPr="005D5059" w:rsidRDefault="00872643" w:rsidP="00AE0B34">
            <w:pPr>
              <w:spacing w:before="0" w:after="0"/>
            </w:pPr>
            <w:r w:rsidRPr="005D5059">
              <w:t>Tasmanian Government (Jacqui Petrusma MP, Minister for Women)</w:t>
            </w:r>
          </w:p>
        </w:tc>
      </w:tr>
      <w:tr w:rsidR="00872643" w:rsidRPr="005D5059" w14:paraId="076E6C7B" w14:textId="77777777" w:rsidTr="00AE0B34">
        <w:trPr>
          <w:trHeight w:val="300"/>
        </w:trPr>
        <w:tc>
          <w:tcPr>
            <w:tcW w:w="1980" w:type="dxa"/>
            <w:noWrap/>
          </w:tcPr>
          <w:p w14:paraId="62E3F0D1" w14:textId="77777777" w:rsidR="00872643" w:rsidRPr="005D5059" w:rsidRDefault="00872643" w:rsidP="00AE0B34">
            <w:pPr>
              <w:spacing w:before="0" w:after="0"/>
            </w:pPr>
            <w:r w:rsidRPr="005D5059">
              <w:t>Attachment 13.1</w:t>
            </w:r>
          </w:p>
        </w:tc>
        <w:tc>
          <w:tcPr>
            <w:tcW w:w="7229" w:type="dxa"/>
            <w:noWrap/>
          </w:tcPr>
          <w:p w14:paraId="5D9A6701" w14:textId="77777777" w:rsidR="00872643" w:rsidRPr="005D5059" w:rsidRDefault="00872643" w:rsidP="00AE0B34">
            <w:pPr>
              <w:spacing w:before="0" w:after="0"/>
            </w:pPr>
            <w:r w:rsidRPr="005D5059">
              <w:t xml:space="preserve">Tasmanian Government, Submission No 117 to Senate Finance and Public Administration References Committee, </w:t>
            </w:r>
            <w:r w:rsidRPr="005D5059">
              <w:rPr>
                <w:i/>
              </w:rPr>
              <w:t>Inquiry into Domestic Violence in Australia</w:t>
            </w:r>
            <w:r w:rsidRPr="005D5059">
              <w:t>, 12 August 2014.</w:t>
            </w:r>
          </w:p>
        </w:tc>
      </w:tr>
      <w:tr w:rsidR="00872643" w:rsidRPr="005D5059" w14:paraId="43034710" w14:textId="77777777" w:rsidTr="00AE0B34">
        <w:trPr>
          <w:trHeight w:val="300"/>
        </w:trPr>
        <w:tc>
          <w:tcPr>
            <w:tcW w:w="1980" w:type="dxa"/>
            <w:noWrap/>
            <w:hideMark/>
          </w:tcPr>
          <w:p w14:paraId="3244595D" w14:textId="77777777" w:rsidR="00872643" w:rsidRPr="005D5059" w:rsidRDefault="00872643" w:rsidP="00AE0B34">
            <w:pPr>
              <w:spacing w:before="0" w:after="0"/>
            </w:pPr>
            <w:r w:rsidRPr="005D5059">
              <w:t>14</w:t>
            </w:r>
          </w:p>
        </w:tc>
        <w:tc>
          <w:tcPr>
            <w:tcW w:w="7229" w:type="dxa"/>
            <w:noWrap/>
            <w:hideMark/>
          </w:tcPr>
          <w:p w14:paraId="032524D9" w14:textId="77777777" w:rsidR="00872643" w:rsidRPr="005D5059" w:rsidRDefault="00872643" w:rsidP="00AE0B34">
            <w:pPr>
              <w:spacing w:before="0" w:after="0"/>
            </w:pPr>
            <w:r w:rsidRPr="005D5059">
              <w:t>BoysTown (Kids Helpline)</w:t>
            </w:r>
          </w:p>
        </w:tc>
      </w:tr>
      <w:tr w:rsidR="00872643" w:rsidRPr="005D5059" w14:paraId="6E8CFB65" w14:textId="77777777" w:rsidTr="00AE0B34">
        <w:trPr>
          <w:trHeight w:val="300"/>
        </w:trPr>
        <w:tc>
          <w:tcPr>
            <w:tcW w:w="1980" w:type="dxa"/>
            <w:noWrap/>
            <w:hideMark/>
          </w:tcPr>
          <w:p w14:paraId="6FCA0D6C" w14:textId="77777777" w:rsidR="00872643" w:rsidRPr="005D5059" w:rsidRDefault="00872643" w:rsidP="00AE0B34">
            <w:pPr>
              <w:spacing w:before="0" w:after="0"/>
            </w:pPr>
            <w:r w:rsidRPr="005D5059">
              <w:t>15</w:t>
            </w:r>
          </w:p>
        </w:tc>
        <w:tc>
          <w:tcPr>
            <w:tcW w:w="7229" w:type="dxa"/>
            <w:noWrap/>
            <w:hideMark/>
          </w:tcPr>
          <w:p w14:paraId="3571EC8F" w14:textId="77777777" w:rsidR="00872643" w:rsidRPr="005D5059" w:rsidRDefault="00872643" w:rsidP="00AE0B34">
            <w:pPr>
              <w:spacing w:before="0" w:after="0"/>
            </w:pPr>
            <w:r w:rsidRPr="005D5059">
              <w:t>VicHealth</w:t>
            </w:r>
          </w:p>
        </w:tc>
      </w:tr>
      <w:tr w:rsidR="00872643" w:rsidRPr="005D5059" w14:paraId="5004C794" w14:textId="77777777" w:rsidTr="00AE0B34">
        <w:trPr>
          <w:trHeight w:val="300"/>
        </w:trPr>
        <w:tc>
          <w:tcPr>
            <w:tcW w:w="1980" w:type="dxa"/>
            <w:noWrap/>
            <w:hideMark/>
          </w:tcPr>
          <w:p w14:paraId="31953C8A" w14:textId="77777777" w:rsidR="00872643" w:rsidRPr="005D5059" w:rsidRDefault="00872643" w:rsidP="00AE0B34">
            <w:pPr>
              <w:spacing w:before="0" w:after="0"/>
            </w:pPr>
            <w:r w:rsidRPr="005D5059">
              <w:t>16</w:t>
            </w:r>
          </w:p>
        </w:tc>
        <w:tc>
          <w:tcPr>
            <w:tcW w:w="7229" w:type="dxa"/>
            <w:noWrap/>
            <w:hideMark/>
          </w:tcPr>
          <w:p w14:paraId="454054DF" w14:textId="77777777" w:rsidR="00872643" w:rsidRPr="005D5059" w:rsidRDefault="00872643" w:rsidP="00AE0B34">
            <w:pPr>
              <w:spacing w:before="0" w:after="0"/>
            </w:pPr>
            <w:r w:rsidRPr="005D5059">
              <w:t>Queensland Family and Child Commission</w:t>
            </w:r>
          </w:p>
        </w:tc>
      </w:tr>
      <w:tr w:rsidR="00872643" w:rsidRPr="005D5059" w14:paraId="2ECC246A" w14:textId="77777777" w:rsidTr="00AE0B34">
        <w:trPr>
          <w:trHeight w:val="300"/>
        </w:trPr>
        <w:tc>
          <w:tcPr>
            <w:tcW w:w="1980" w:type="dxa"/>
            <w:noWrap/>
            <w:hideMark/>
          </w:tcPr>
          <w:p w14:paraId="62694710" w14:textId="77777777" w:rsidR="00872643" w:rsidRPr="005D5059" w:rsidRDefault="00872643" w:rsidP="00AE0B34">
            <w:pPr>
              <w:spacing w:before="0" w:after="0"/>
            </w:pPr>
            <w:r w:rsidRPr="005D5059">
              <w:t>17</w:t>
            </w:r>
          </w:p>
        </w:tc>
        <w:tc>
          <w:tcPr>
            <w:tcW w:w="7229" w:type="dxa"/>
            <w:noWrap/>
            <w:hideMark/>
          </w:tcPr>
          <w:p w14:paraId="7BD829E5" w14:textId="77777777" w:rsidR="00872643" w:rsidRPr="005D5059" w:rsidRDefault="00872643" w:rsidP="00AE0B34">
            <w:pPr>
              <w:spacing w:before="0" w:after="0"/>
            </w:pPr>
            <w:r w:rsidRPr="005D5059">
              <w:t>Victims of Crime Assistance League (VOCAL) Inc NSW</w:t>
            </w:r>
          </w:p>
        </w:tc>
      </w:tr>
      <w:tr w:rsidR="00872643" w:rsidRPr="005D5059" w14:paraId="32A36CCD" w14:textId="77777777" w:rsidTr="00AE0B34">
        <w:trPr>
          <w:trHeight w:val="300"/>
        </w:trPr>
        <w:tc>
          <w:tcPr>
            <w:tcW w:w="1980" w:type="dxa"/>
            <w:noWrap/>
          </w:tcPr>
          <w:p w14:paraId="689DB179" w14:textId="77777777" w:rsidR="00872643" w:rsidRPr="005D5059" w:rsidRDefault="00872643" w:rsidP="00AE0B34">
            <w:pPr>
              <w:spacing w:before="0" w:after="0"/>
            </w:pPr>
            <w:r w:rsidRPr="005D5059">
              <w:t>Attachment 17.1</w:t>
            </w:r>
          </w:p>
        </w:tc>
        <w:tc>
          <w:tcPr>
            <w:tcW w:w="7229" w:type="dxa"/>
            <w:noWrap/>
          </w:tcPr>
          <w:p w14:paraId="04AE6D4A" w14:textId="77777777" w:rsidR="00872643" w:rsidRPr="005D5059" w:rsidRDefault="00872643" w:rsidP="00AE0B34">
            <w:pPr>
              <w:spacing w:before="0" w:after="0"/>
            </w:pPr>
            <w:r w:rsidRPr="005D5059">
              <w:t xml:space="preserve">Elspeth McInnes, 'Madness in Family Law: Mothers’ Mental Health in the Australian Family Law System' (2013) 21(1) </w:t>
            </w:r>
            <w:r w:rsidRPr="005D5059">
              <w:rPr>
                <w:i/>
              </w:rPr>
              <w:t>Psychiatry, Psychology and Law</w:t>
            </w:r>
            <w:r w:rsidRPr="005D5059">
              <w:t xml:space="preserve"> 78.</w:t>
            </w:r>
          </w:p>
        </w:tc>
      </w:tr>
      <w:tr w:rsidR="00872643" w:rsidRPr="005D5059" w14:paraId="4D6185F2" w14:textId="77777777" w:rsidTr="00AE0B34">
        <w:trPr>
          <w:trHeight w:val="300"/>
        </w:trPr>
        <w:tc>
          <w:tcPr>
            <w:tcW w:w="1980" w:type="dxa"/>
            <w:noWrap/>
            <w:hideMark/>
          </w:tcPr>
          <w:p w14:paraId="4291C1CC" w14:textId="77777777" w:rsidR="00872643" w:rsidRPr="005D5059" w:rsidRDefault="00872643" w:rsidP="00AE0B34">
            <w:pPr>
              <w:spacing w:before="0" w:after="0"/>
            </w:pPr>
            <w:r w:rsidRPr="005D5059">
              <w:t>18</w:t>
            </w:r>
          </w:p>
        </w:tc>
        <w:tc>
          <w:tcPr>
            <w:tcW w:w="7229" w:type="dxa"/>
            <w:noWrap/>
            <w:hideMark/>
          </w:tcPr>
          <w:p w14:paraId="6CC49A54" w14:textId="77777777" w:rsidR="00872643" w:rsidRPr="005D5059" w:rsidRDefault="00872643" w:rsidP="00AE0B34">
            <w:pPr>
              <w:spacing w:before="0" w:after="0"/>
            </w:pPr>
            <w:r w:rsidRPr="005D5059">
              <w:t>Melbourne Research Alliance to End Violence Against Women and their Children, University of Melbourne</w:t>
            </w:r>
          </w:p>
        </w:tc>
      </w:tr>
      <w:tr w:rsidR="00872643" w:rsidRPr="005D5059" w14:paraId="3E11E379" w14:textId="77777777" w:rsidTr="00AE0B34">
        <w:trPr>
          <w:trHeight w:val="300"/>
        </w:trPr>
        <w:tc>
          <w:tcPr>
            <w:tcW w:w="1980" w:type="dxa"/>
            <w:shd w:val="clear" w:color="auto" w:fill="auto"/>
            <w:noWrap/>
          </w:tcPr>
          <w:p w14:paraId="315C7174" w14:textId="77777777" w:rsidR="00872643" w:rsidRPr="005D5059" w:rsidRDefault="00872643" w:rsidP="00AE0B34">
            <w:pPr>
              <w:spacing w:before="0" w:after="0"/>
            </w:pPr>
            <w:r w:rsidRPr="005D5059">
              <w:t>Attachment 18.1</w:t>
            </w:r>
          </w:p>
        </w:tc>
        <w:tc>
          <w:tcPr>
            <w:tcW w:w="7229" w:type="dxa"/>
            <w:shd w:val="clear" w:color="auto" w:fill="auto"/>
            <w:noWrap/>
          </w:tcPr>
          <w:p w14:paraId="42792F21" w14:textId="77777777" w:rsidR="00872643" w:rsidRPr="005D5059" w:rsidRDefault="00872643" w:rsidP="00AE0B34">
            <w:pPr>
              <w:spacing w:before="0" w:after="0"/>
            </w:pPr>
            <w:r w:rsidRPr="005D5059">
              <w:t xml:space="preserve">Ravi K. Thiara and Cathy Humphreys, 'Absent presence: the ongoing impact of men’s violence on the mother–child relationship' (2015) </w:t>
            </w:r>
            <w:r w:rsidRPr="005D5059">
              <w:rPr>
                <w:i/>
              </w:rPr>
              <w:t>Child and Family Social Work.</w:t>
            </w:r>
          </w:p>
        </w:tc>
      </w:tr>
      <w:tr w:rsidR="00872643" w:rsidRPr="005D5059" w14:paraId="67D3A24F" w14:textId="77777777" w:rsidTr="00AE0B34">
        <w:trPr>
          <w:trHeight w:val="300"/>
        </w:trPr>
        <w:tc>
          <w:tcPr>
            <w:tcW w:w="1980" w:type="dxa"/>
            <w:noWrap/>
          </w:tcPr>
          <w:p w14:paraId="4F5074AB" w14:textId="77777777" w:rsidR="00872643" w:rsidRPr="005D5059" w:rsidRDefault="00872643" w:rsidP="00AE0B34">
            <w:pPr>
              <w:spacing w:before="0" w:after="0"/>
            </w:pPr>
            <w:r w:rsidRPr="005D5059">
              <w:t>Attachment 18.2</w:t>
            </w:r>
          </w:p>
        </w:tc>
        <w:tc>
          <w:tcPr>
            <w:tcW w:w="7229" w:type="dxa"/>
            <w:noWrap/>
          </w:tcPr>
          <w:p w14:paraId="5C98AA8C" w14:textId="77777777" w:rsidR="00872643" w:rsidRPr="005D5059" w:rsidRDefault="00872643" w:rsidP="00AE0B34">
            <w:pPr>
              <w:spacing w:before="0" w:after="0"/>
            </w:pPr>
            <w:r w:rsidRPr="005D5059">
              <w:t xml:space="preserve">Cathy Humphreys, </w:t>
            </w:r>
            <w:r w:rsidRPr="005D5059">
              <w:rPr>
                <w:i/>
              </w:rPr>
              <w:t>Domestic Violence and child protection: Challenging directions for practice</w:t>
            </w:r>
            <w:r w:rsidRPr="005D5059">
              <w:t xml:space="preserve"> (2007) Issue paper 13, Australian Domestic &amp; Family Violence Clearinghouse, UNSW.</w:t>
            </w:r>
          </w:p>
        </w:tc>
      </w:tr>
      <w:tr w:rsidR="00872643" w:rsidRPr="005D5059" w14:paraId="43C89486" w14:textId="77777777" w:rsidTr="00AE0B34">
        <w:trPr>
          <w:trHeight w:val="300"/>
        </w:trPr>
        <w:tc>
          <w:tcPr>
            <w:tcW w:w="1980" w:type="dxa"/>
            <w:noWrap/>
          </w:tcPr>
          <w:p w14:paraId="3D06AEA7" w14:textId="77777777" w:rsidR="00872643" w:rsidRPr="005D5059" w:rsidRDefault="00872643" w:rsidP="00AE0B34">
            <w:pPr>
              <w:spacing w:before="0" w:after="0"/>
            </w:pPr>
            <w:r w:rsidRPr="005D5059">
              <w:t>Attachment 18.3</w:t>
            </w:r>
          </w:p>
        </w:tc>
        <w:tc>
          <w:tcPr>
            <w:tcW w:w="7229" w:type="dxa"/>
            <w:noWrap/>
          </w:tcPr>
          <w:p w14:paraId="44672378" w14:textId="77777777" w:rsidR="00872643" w:rsidRPr="005D5059" w:rsidRDefault="00872643" w:rsidP="00AE0B34">
            <w:pPr>
              <w:spacing w:before="0" w:after="0"/>
            </w:pPr>
            <w:r w:rsidRPr="005D5059">
              <w:t>Nicky Stanley and Cathy Humphreys, 'Multi-agency risk assessment and management for children and families experiencing domestic violence' (2014) 47</w:t>
            </w:r>
            <w:r w:rsidRPr="005D5059">
              <w:rPr>
                <w:i/>
              </w:rPr>
              <w:t xml:space="preserve"> Children and Youth Services Review</w:t>
            </w:r>
            <w:r w:rsidRPr="005D5059">
              <w:t xml:space="preserve"> 78.</w:t>
            </w:r>
          </w:p>
        </w:tc>
      </w:tr>
      <w:tr w:rsidR="00872643" w:rsidRPr="005D5059" w14:paraId="2E7D87AB" w14:textId="77777777" w:rsidTr="00AE0B34">
        <w:trPr>
          <w:trHeight w:val="300"/>
        </w:trPr>
        <w:tc>
          <w:tcPr>
            <w:tcW w:w="1980" w:type="dxa"/>
            <w:noWrap/>
            <w:hideMark/>
          </w:tcPr>
          <w:p w14:paraId="00F6C208" w14:textId="77777777" w:rsidR="00872643" w:rsidRPr="005D5059" w:rsidRDefault="00872643" w:rsidP="00AE0B34">
            <w:pPr>
              <w:spacing w:before="0" w:after="0"/>
            </w:pPr>
            <w:r w:rsidRPr="005D5059">
              <w:t>19</w:t>
            </w:r>
          </w:p>
        </w:tc>
        <w:tc>
          <w:tcPr>
            <w:tcW w:w="7229" w:type="dxa"/>
            <w:noWrap/>
            <w:hideMark/>
          </w:tcPr>
          <w:p w14:paraId="157E6F39" w14:textId="77777777" w:rsidR="00872643" w:rsidRPr="005D5059" w:rsidRDefault="00872643" w:rsidP="00AE0B34">
            <w:pPr>
              <w:spacing w:before="0" w:after="0"/>
            </w:pPr>
            <w:r w:rsidRPr="005D5059">
              <w:t>Children with Disability Australia</w:t>
            </w:r>
          </w:p>
        </w:tc>
      </w:tr>
      <w:tr w:rsidR="00872643" w:rsidRPr="005D5059" w14:paraId="32277DFC" w14:textId="77777777" w:rsidTr="00AE0B34">
        <w:trPr>
          <w:trHeight w:val="300"/>
        </w:trPr>
        <w:tc>
          <w:tcPr>
            <w:tcW w:w="1980" w:type="dxa"/>
            <w:noWrap/>
            <w:hideMark/>
          </w:tcPr>
          <w:p w14:paraId="20CA85AD" w14:textId="77777777" w:rsidR="00872643" w:rsidRPr="005D5059" w:rsidRDefault="00872643" w:rsidP="00AE0B34">
            <w:pPr>
              <w:spacing w:before="0" w:after="0"/>
            </w:pPr>
            <w:r w:rsidRPr="005D5059">
              <w:t>20</w:t>
            </w:r>
          </w:p>
        </w:tc>
        <w:tc>
          <w:tcPr>
            <w:tcW w:w="7229" w:type="dxa"/>
            <w:noWrap/>
            <w:hideMark/>
          </w:tcPr>
          <w:p w14:paraId="1476F1D0" w14:textId="77777777" w:rsidR="00872643" w:rsidRPr="005D5059" w:rsidRDefault="00872643" w:rsidP="00AE0B34">
            <w:pPr>
              <w:spacing w:before="0" w:after="0"/>
            </w:pPr>
            <w:r w:rsidRPr="005D5059">
              <w:t>Government of South Australia (Gail Gago MLC, Minister for the Status of Women)</w:t>
            </w:r>
          </w:p>
        </w:tc>
      </w:tr>
      <w:tr w:rsidR="00872643" w:rsidRPr="005D5059" w14:paraId="777D305B" w14:textId="77777777" w:rsidTr="00AE0B34">
        <w:trPr>
          <w:trHeight w:val="300"/>
        </w:trPr>
        <w:tc>
          <w:tcPr>
            <w:tcW w:w="1980" w:type="dxa"/>
            <w:noWrap/>
            <w:hideMark/>
          </w:tcPr>
          <w:p w14:paraId="3018FE55" w14:textId="77777777" w:rsidR="00872643" w:rsidRPr="005D5059" w:rsidRDefault="00872643" w:rsidP="00AE0B34">
            <w:pPr>
              <w:spacing w:before="0" w:after="0"/>
            </w:pPr>
            <w:r w:rsidRPr="005D5059">
              <w:t>21</w:t>
            </w:r>
          </w:p>
        </w:tc>
        <w:tc>
          <w:tcPr>
            <w:tcW w:w="7229" w:type="dxa"/>
            <w:noWrap/>
            <w:hideMark/>
          </w:tcPr>
          <w:p w14:paraId="49E1D38A" w14:textId="77777777" w:rsidR="00872643" w:rsidRPr="005D5059" w:rsidRDefault="00872643" w:rsidP="00AE0B34">
            <w:pPr>
              <w:spacing w:before="0" w:after="0"/>
            </w:pPr>
            <w:r w:rsidRPr="005D5059">
              <w:t>National Council of Single Mothers and their Children (NCSMC)</w:t>
            </w:r>
          </w:p>
        </w:tc>
      </w:tr>
      <w:tr w:rsidR="00872643" w:rsidRPr="005D5059" w14:paraId="21730503" w14:textId="77777777" w:rsidTr="00AE0B34">
        <w:trPr>
          <w:trHeight w:val="300"/>
        </w:trPr>
        <w:tc>
          <w:tcPr>
            <w:tcW w:w="1980" w:type="dxa"/>
            <w:noWrap/>
            <w:hideMark/>
          </w:tcPr>
          <w:p w14:paraId="18B505B4" w14:textId="77777777" w:rsidR="00872643" w:rsidRPr="005D5059" w:rsidRDefault="00872643" w:rsidP="00AE0B34">
            <w:pPr>
              <w:spacing w:before="0" w:after="0"/>
            </w:pPr>
            <w:r w:rsidRPr="005D5059">
              <w:t>22</w:t>
            </w:r>
          </w:p>
        </w:tc>
        <w:tc>
          <w:tcPr>
            <w:tcW w:w="7229" w:type="dxa"/>
            <w:noWrap/>
            <w:hideMark/>
          </w:tcPr>
          <w:p w14:paraId="73A87A91" w14:textId="77777777" w:rsidR="00872643" w:rsidRPr="005D5059" w:rsidRDefault="00872643" w:rsidP="00AE0B34">
            <w:pPr>
              <w:spacing w:before="0" w:after="0"/>
            </w:pPr>
            <w:r w:rsidRPr="005D5059">
              <w:t xml:space="preserve">Families Australia </w:t>
            </w:r>
          </w:p>
        </w:tc>
      </w:tr>
      <w:tr w:rsidR="00872643" w:rsidRPr="005D5059" w14:paraId="0B2F327D" w14:textId="77777777" w:rsidTr="00AE0B34">
        <w:trPr>
          <w:trHeight w:val="300"/>
        </w:trPr>
        <w:tc>
          <w:tcPr>
            <w:tcW w:w="1980" w:type="dxa"/>
            <w:noWrap/>
            <w:hideMark/>
          </w:tcPr>
          <w:p w14:paraId="54941323" w14:textId="77777777" w:rsidR="00872643" w:rsidRPr="005D5059" w:rsidRDefault="00872643" w:rsidP="00AE0B34">
            <w:pPr>
              <w:spacing w:before="0" w:after="0"/>
            </w:pPr>
            <w:r w:rsidRPr="005D5059">
              <w:t>23</w:t>
            </w:r>
          </w:p>
        </w:tc>
        <w:tc>
          <w:tcPr>
            <w:tcW w:w="7229" w:type="dxa"/>
            <w:noWrap/>
            <w:hideMark/>
          </w:tcPr>
          <w:p w14:paraId="4FAF17C1" w14:textId="77777777" w:rsidR="00872643" w:rsidRPr="005D5059" w:rsidRDefault="00872643" w:rsidP="00AE0B34">
            <w:pPr>
              <w:spacing w:before="0" w:after="0"/>
            </w:pPr>
            <w:r w:rsidRPr="005D5059">
              <w:t>Women’s Legal Service Queensland</w:t>
            </w:r>
          </w:p>
        </w:tc>
      </w:tr>
      <w:tr w:rsidR="00872643" w:rsidRPr="005D5059" w14:paraId="7CB4CFCF" w14:textId="77777777" w:rsidTr="00AE0B34">
        <w:trPr>
          <w:trHeight w:val="300"/>
        </w:trPr>
        <w:tc>
          <w:tcPr>
            <w:tcW w:w="1980" w:type="dxa"/>
            <w:noWrap/>
            <w:hideMark/>
          </w:tcPr>
          <w:p w14:paraId="2CB0A40D" w14:textId="77777777" w:rsidR="00872643" w:rsidRPr="005D5059" w:rsidRDefault="00872643" w:rsidP="00AE0B34">
            <w:pPr>
              <w:spacing w:before="0" w:after="0"/>
            </w:pPr>
            <w:r w:rsidRPr="005D5059">
              <w:t>24</w:t>
            </w:r>
          </w:p>
        </w:tc>
        <w:tc>
          <w:tcPr>
            <w:tcW w:w="7229" w:type="dxa"/>
            <w:noWrap/>
            <w:hideMark/>
          </w:tcPr>
          <w:p w14:paraId="0F925ADF" w14:textId="77777777" w:rsidR="00872643" w:rsidRPr="005D5059" w:rsidRDefault="00872643" w:rsidP="00AE0B34">
            <w:pPr>
              <w:spacing w:before="0" w:after="0"/>
            </w:pPr>
            <w:r w:rsidRPr="005D5059">
              <w:t>Baptistcare</w:t>
            </w:r>
          </w:p>
        </w:tc>
      </w:tr>
      <w:tr w:rsidR="00872643" w:rsidRPr="005D5059" w14:paraId="1DF20417" w14:textId="77777777" w:rsidTr="00AE0B34">
        <w:trPr>
          <w:trHeight w:val="300"/>
        </w:trPr>
        <w:tc>
          <w:tcPr>
            <w:tcW w:w="1980" w:type="dxa"/>
            <w:noWrap/>
            <w:hideMark/>
          </w:tcPr>
          <w:p w14:paraId="3F953E3F" w14:textId="77777777" w:rsidR="00872643" w:rsidRPr="005D5059" w:rsidRDefault="00872643" w:rsidP="00AE0B34">
            <w:pPr>
              <w:spacing w:before="0" w:after="0"/>
            </w:pPr>
            <w:r w:rsidRPr="005D5059">
              <w:t>25</w:t>
            </w:r>
          </w:p>
        </w:tc>
        <w:tc>
          <w:tcPr>
            <w:tcW w:w="7229" w:type="dxa"/>
            <w:noWrap/>
            <w:hideMark/>
          </w:tcPr>
          <w:p w14:paraId="5B81CF13" w14:textId="77777777" w:rsidR="00872643" w:rsidRPr="005D5059" w:rsidRDefault="00872643" w:rsidP="00AE0B34">
            <w:pPr>
              <w:spacing w:before="0" w:after="0"/>
            </w:pPr>
            <w:r w:rsidRPr="005D5059">
              <w:t>WEAVE Inc</w:t>
            </w:r>
          </w:p>
        </w:tc>
      </w:tr>
      <w:tr w:rsidR="00872643" w:rsidRPr="005D5059" w14:paraId="62B80A6E" w14:textId="77777777" w:rsidTr="00AE0B34">
        <w:trPr>
          <w:trHeight w:val="300"/>
        </w:trPr>
        <w:tc>
          <w:tcPr>
            <w:tcW w:w="1980" w:type="dxa"/>
            <w:noWrap/>
          </w:tcPr>
          <w:p w14:paraId="6893A751" w14:textId="77777777" w:rsidR="00872643" w:rsidRPr="005D5059" w:rsidRDefault="00872643" w:rsidP="00AE0B34">
            <w:pPr>
              <w:spacing w:before="0" w:after="0"/>
            </w:pPr>
            <w:r w:rsidRPr="005D5059">
              <w:t>Attachment 25.1</w:t>
            </w:r>
          </w:p>
        </w:tc>
        <w:tc>
          <w:tcPr>
            <w:tcW w:w="7229" w:type="dxa"/>
            <w:noWrap/>
          </w:tcPr>
          <w:p w14:paraId="0386BAC7" w14:textId="77777777" w:rsidR="00872643" w:rsidRPr="005D5059" w:rsidRDefault="00872643" w:rsidP="00AE0B34">
            <w:pPr>
              <w:spacing w:before="0" w:after="0"/>
            </w:pPr>
            <w:r w:rsidRPr="005D5059">
              <w:t>Elspeth McInnes, 'Domestic Violence and its impact on children’s development' (Presentation delivered at the Department of Community Services’ Fourth Domestic Violence Forum, NSW Parenting Centre, Glebe, 24 September 2002)</w:t>
            </w:r>
          </w:p>
        </w:tc>
      </w:tr>
      <w:tr w:rsidR="00872643" w:rsidRPr="005D5059" w14:paraId="1EA6D65C" w14:textId="77777777" w:rsidTr="00AE0B34">
        <w:trPr>
          <w:trHeight w:val="300"/>
        </w:trPr>
        <w:tc>
          <w:tcPr>
            <w:tcW w:w="1980" w:type="dxa"/>
            <w:noWrap/>
          </w:tcPr>
          <w:p w14:paraId="49750942" w14:textId="77777777" w:rsidR="00872643" w:rsidRPr="005D5059" w:rsidRDefault="00872643" w:rsidP="00AE0B34">
            <w:pPr>
              <w:spacing w:before="0" w:after="0"/>
            </w:pPr>
            <w:r w:rsidRPr="005D5059">
              <w:t>Attachment 25.2</w:t>
            </w:r>
          </w:p>
        </w:tc>
        <w:tc>
          <w:tcPr>
            <w:tcW w:w="7229" w:type="dxa"/>
            <w:noWrap/>
          </w:tcPr>
          <w:p w14:paraId="29F10703" w14:textId="77777777" w:rsidR="00872643" w:rsidRPr="005D5059" w:rsidRDefault="00872643" w:rsidP="00AE0B34">
            <w:pPr>
              <w:spacing w:before="0" w:after="0"/>
            </w:pPr>
            <w:r w:rsidRPr="005D5059">
              <w:t xml:space="preserve">Annette Streeck-Fischer and Bessel A. van der Kolk, ‘Down will come baby, cradle and all: diagnostic and therapeutic implications of chronic trauma on child development’ (2000) 34 </w:t>
            </w:r>
            <w:r w:rsidRPr="005D5059">
              <w:rPr>
                <w:i/>
              </w:rPr>
              <w:t>Australian and New Zealand Journal of Psychiatry</w:t>
            </w:r>
            <w:r w:rsidRPr="005D5059">
              <w:t xml:space="preserve"> 903.</w:t>
            </w:r>
          </w:p>
        </w:tc>
      </w:tr>
      <w:tr w:rsidR="00872643" w:rsidRPr="005D5059" w14:paraId="2408CEFE" w14:textId="77777777" w:rsidTr="00AE0B34">
        <w:trPr>
          <w:trHeight w:val="300"/>
        </w:trPr>
        <w:tc>
          <w:tcPr>
            <w:tcW w:w="1980" w:type="dxa"/>
            <w:noWrap/>
            <w:hideMark/>
          </w:tcPr>
          <w:p w14:paraId="017A39DA" w14:textId="77777777" w:rsidR="00872643" w:rsidRPr="005D5059" w:rsidRDefault="00872643" w:rsidP="00AE0B34">
            <w:pPr>
              <w:spacing w:before="0" w:after="0"/>
            </w:pPr>
            <w:r w:rsidRPr="005D5059">
              <w:t>26</w:t>
            </w:r>
          </w:p>
        </w:tc>
        <w:tc>
          <w:tcPr>
            <w:tcW w:w="7229" w:type="dxa"/>
            <w:noWrap/>
            <w:hideMark/>
          </w:tcPr>
          <w:p w14:paraId="490A1D09" w14:textId="77777777" w:rsidR="00872643" w:rsidRPr="005D5059" w:rsidRDefault="00872643" w:rsidP="00AE0B34">
            <w:pPr>
              <w:spacing w:before="0" w:after="0"/>
            </w:pPr>
            <w:r w:rsidRPr="005D5059">
              <w:t xml:space="preserve">Relationships Australia </w:t>
            </w:r>
          </w:p>
        </w:tc>
      </w:tr>
      <w:tr w:rsidR="00872643" w:rsidRPr="005D5059" w14:paraId="5F970484" w14:textId="77777777" w:rsidTr="00AE0B34">
        <w:trPr>
          <w:trHeight w:val="300"/>
        </w:trPr>
        <w:tc>
          <w:tcPr>
            <w:tcW w:w="1980" w:type="dxa"/>
            <w:noWrap/>
            <w:hideMark/>
          </w:tcPr>
          <w:p w14:paraId="00F9BAB9" w14:textId="77777777" w:rsidR="00872643" w:rsidRPr="005D5059" w:rsidRDefault="00872643" w:rsidP="00AE0B34">
            <w:pPr>
              <w:spacing w:before="0" w:after="0"/>
            </w:pPr>
            <w:r w:rsidRPr="005D5059">
              <w:t>27</w:t>
            </w:r>
          </w:p>
        </w:tc>
        <w:tc>
          <w:tcPr>
            <w:tcW w:w="7229" w:type="dxa"/>
            <w:noWrap/>
            <w:hideMark/>
          </w:tcPr>
          <w:p w14:paraId="077CF386" w14:textId="77777777" w:rsidR="00872643" w:rsidRPr="005D5059" w:rsidRDefault="00872643" w:rsidP="00AE0B34">
            <w:pPr>
              <w:spacing w:before="0" w:after="0"/>
            </w:pPr>
            <w:r w:rsidRPr="005D5059">
              <w:t>No To Violence Male Family Violence Prevention Association</w:t>
            </w:r>
          </w:p>
        </w:tc>
      </w:tr>
      <w:tr w:rsidR="00872643" w:rsidRPr="005D5059" w14:paraId="60D258DE" w14:textId="77777777" w:rsidTr="00AE0B34">
        <w:trPr>
          <w:trHeight w:val="315"/>
        </w:trPr>
        <w:tc>
          <w:tcPr>
            <w:tcW w:w="1980" w:type="dxa"/>
            <w:noWrap/>
            <w:hideMark/>
          </w:tcPr>
          <w:p w14:paraId="3F952112" w14:textId="77777777" w:rsidR="00872643" w:rsidRPr="005D5059" w:rsidRDefault="00872643" w:rsidP="00AE0B34">
            <w:pPr>
              <w:spacing w:before="0" w:after="0"/>
            </w:pPr>
            <w:r w:rsidRPr="005D5059">
              <w:t>28</w:t>
            </w:r>
          </w:p>
        </w:tc>
        <w:tc>
          <w:tcPr>
            <w:tcW w:w="7229" w:type="dxa"/>
            <w:noWrap/>
            <w:hideMark/>
          </w:tcPr>
          <w:p w14:paraId="57227AEA" w14:textId="77777777" w:rsidR="00872643" w:rsidRPr="005D5059" w:rsidRDefault="00872643" w:rsidP="00AE0B34">
            <w:pPr>
              <w:spacing w:before="0" w:after="0"/>
            </w:pPr>
            <w:r w:rsidRPr="005D5059">
              <w:t>The Deli Women and Children's Centre</w:t>
            </w:r>
          </w:p>
        </w:tc>
      </w:tr>
      <w:tr w:rsidR="00872643" w:rsidRPr="005D5059" w14:paraId="1E2A1FAD" w14:textId="77777777" w:rsidTr="00AE0B34">
        <w:trPr>
          <w:trHeight w:val="315"/>
        </w:trPr>
        <w:tc>
          <w:tcPr>
            <w:tcW w:w="1980" w:type="dxa"/>
            <w:noWrap/>
            <w:hideMark/>
          </w:tcPr>
          <w:p w14:paraId="00A83224" w14:textId="77777777" w:rsidR="00872643" w:rsidRPr="005D5059" w:rsidRDefault="00872643" w:rsidP="00AE0B34">
            <w:pPr>
              <w:spacing w:before="0" w:after="0"/>
            </w:pPr>
            <w:r w:rsidRPr="005D5059">
              <w:t>29</w:t>
            </w:r>
          </w:p>
        </w:tc>
        <w:tc>
          <w:tcPr>
            <w:tcW w:w="7229" w:type="dxa"/>
            <w:noWrap/>
            <w:hideMark/>
          </w:tcPr>
          <w:p w14:paraId="4F983B5C" w14:textId="77777777" w:rsidR="00872643" w:rsidRPr="005D5059" w:rsidRDefault="00872643" w:rsidP="00AE0B34">
            <w:pPr>
              <w:spacing w:before="0" w:after="0"/>
            </w:pPr>
            <w:r w:rsidRPr="005D5059">
              <w:t>Aboriginal Family Law Services (WA)</w:t>
            </w:r>
          </w:p>
        </w:tc>
      </w:tr>
      <w:tr w:rsidR="00872643" w:rsidRPr="005D5059" w14:paraId="32EE4C7A" w14:textId="77777777" w:rsidTr="00AE0B34">
        <w:trPr>
          <w:trHeight w:val="315"/>
        </w:trPr>
        <w:tc>
          <w:tcPr>
            <w:tcW w:w="1980" w:type="dxa"/>
            <w:noWrap/>
            <w:hideMark/>
          </w:tcPr>
          <w:p w14:paraId="510DFA53" w14:textId="77777777" w:rsidR="00872643" w:rsidRPr="005D5059" w:rsidRDefault="00872643" w:rsidP="00AE0B34">
            <w:pPr>
              <w:spacing w:before="0" w:after="0"/>
            </w:pPr>
            <w:r w:rsidRPr="005D5059">
              <w:t>30</w:t>
            </w:r>
          </w:p>
        </w:tc>
        <w:tc>
          <w:tcPr>
            <w:tcW w:w="7229" w:type="dxa"/>
            <w:noWrap/>
            <w:hideMark/>
          </w:tcPr>
          <w:p w14:paraId="20493120" w14:textId="77777777" w:rsidR="00872643" w:rsidRPr="005D5059" w:rsidRDefault="00872643" w:rsidP="00AE0B34">
            <w:pPr>
              <w:spacing w:before="0" w:after="0"/>
            </w:pPr>
            <w:r w:rsidRPr="005D5059">
              <w:t>Judith Lumley Centre, La Trobe University</w:t>
            </w:r>
          </w:p>
        </w:tc>
      </w:tr>
      <w:tr w:rsidR="00872643" w:rsidRPr="005D5059" w14:paraId="02349947" w14:textId="77777777" w:rsidTr="00AE0B34">
        <w:trPr>
          <w:trHeight w:val="315"/>
        </w:trPr>
        <w:tc>
          <w:tcPr>
            <w:tcW w:w="1980" w:type="dxa"/>
            <w:noWrap/>
          </w:tcPr>
          <w:p w14:paraId="7AF8B278" w14:textId="77777777" w:rsidR="00872643" w:rsidRPr="005D5059" w:rsidRDefault="00872643" w:rsidP="00AE0B34">
            <w:pPr>
              <w:spacing w:before="0" w:after="0"/>
            </w:pPr>
            <w:r w:rsidRPr="005D5059">
              <w:t>31</w:t>
            </w:r>
          </w:p>
        </w:tc>
        <w:tc>
          <w:tcPr>
            <w:tcW w:w="7229" w:type="dxa"/>
            <w:noWrap/>
          </w:tcPr>
          <w:p w14:paraId="31E390BE" w14:textId="77777777" w:rsidR="00872643" w:rsidRPr="005D5059" w:rsidRDefault="00872643" w:rsidP="00AE0B34">
            <w:pPr>
              <w:spacing w:before="0" w:after="0"/>
            </w:pPr>
            <w:r w:rsidRPr="005D5059">
              <w:rPr>
                <w:rFonts w:ascii="LucidaGrande" w:hAnsi="LucidaGrande" w:cs="LucidaGrande"/>
              </w:rPr>
              <w:t>Lynda Diagne,</w:t>
            </w:r>
            <w:r w:rsidRPr="005D5059">
              <w:t xml:space="preserve"> Womens Council for Domestic and Family Violence Services (WA)</w:t>
            </w:r>
          </w:p>
        </w:tc>
      </w:tr>
      <w:tr w:rsidR="00872643" w:rsidRPr="005D5059" w14:paraId="72700EF6" w14:textId="77777777" w:rsidTr="00AE0B34">
        <w:trPr>
          <w:trHeight w:val="840"/>
        </w:trPr>
        <w:tc>
          <w:tcPr>
            <w:tcW w:w="1980" w:type="dxa"/>
            <w:noWrap/>
            <w:hideMark/>
          </w:tcPr>
          <w:p w14:paraId="36E8DA83" w14:textId="77777777" w:rsidR="00872643" w:rsidRPr="005D5059" w:rsidRDefault="00872643" w:rsidP="00AE0B34">
            <w:pPr>
              <w:spacing w:before="0" w:after="0"/>
            </w:pPr>
            <w:r w:rsidRPr="005D5059">
              <w:lastRenderedPageBreak/>
              <w:t>32</w:t>
            </w:r>
          </w:p>
        </w:tc>
        <w:tc>
          <w:tcPr>
            <w:tcW w:w="7229" w:type="dxa"/>
            <w:hideMark/>
          </w:tcPr>
          <w:p w14:paraId="1E13A365" w14:textId="77777777" w:rsidR="00872643" w:rsidRPr="005D5059" w:rsidRDefault="00872643" w:rsidP="00AE0B34">
            <w:pPr>
              <w:spacing w:before="0" w:after="0"/>
            </w:pPr>
            <w:r w:rsidRPr="005D5059">
              <w:t>Domestic Violence NSW and Hazell Cowan, Specialist Family Court Support Worker, Domestic Violence Service Management (DVSM).</w:t>
            </w:r>
          </w:p>
        </w:tc>
      </w:tr>
      <w:tr w:rsidR="00872643" w:rsidRPr="005D5059" w14:paraId="4A455A0C" w14:textId="77777777" w:rsidTr="00AE0B34">
        <w:trPr>
          <w:trHeight w:val="315"/>
        </w:trPr>
        <w:tc>
          <w:tcPr>
            <w:tcW w:w="1980" w:type="dxa"/>
            <w:noWrap/>
            <w:hideMark/>
          </w:tcPr>
          <w:p w14:paraId="4FFAF930" w14:textId="77777777" w:rsidR="00872643" w:rsidRPr="005D5059" w:rsidRDefault="00872643" w:rsidP="00AE0B34">
            <w:pPr>
              <w:spacing w:before="0" w:after="0"/>
            </w:pPr>
            <w:r w:rsidRPr="005D5059">
              <w:t>33</w:t>
            </w:r>
          </w:p>
        </w:tc>
        <w:tc>
          <w:tcPr>
            <w:tcW w:w="7229" w:type="dxa"/>
            <w:noWrap/>
            <w:hideMark/>
          </w:tcPr>
          <w:p w14:paraId="6A369029" w14:textId="77777777" w:rsidR="00872643" w:rsidRPr="005D5059" w:rsidRDefault="00872643" w:rsidP="00AE0B34">
            <w:pPr>
              <w:spacing w:before="0" w:after="0"/>
            </w:pPr>
            <w:r w:rsidRPr="005D5059">
              <w:t>Women's Legal Services NSW  </w:t>
            </w:r>
          </w:p>
        </w:tc>
      </w:tr>
      <w:tr w:rsidR="00872643" w:rsidRPr="005D5059" w14:paraId="1601F3E5" w14:textId="77777777" w:rsidTr="00AE0B34">
        <w:trPr>
          <w:trHeight w:val="315"/>
        </w:trPr>
        <w:tc>
          <w:tcPr>
            <w:tcW w:w="1980" w:type="dxa"/>
            <w:noWrap/>
            <w:hideMark/>
          </w:tcPr>
          <w:p w14:paraId="619C6070" w14:textId="77777777" w:rsidR="00872643" w:rsidRPr="005D5059" w:rsidRDefault="00872643" w:rsidP="00AE0B34">
            <w:pPr>
              <w:spacing w:before="0" w:after="0"/>
            </w:pPr>
            <w:r w:rsidRPr="005D5059">
              <w:t>34</w:t>
            </w:r>
          </w:p>
        </w:tc>
        <w:tc>
          <w:tcPr>
            <w:tcW w:w="7229" w:type="dxa"/>
            <w:noWrap/>
            <w:hideMark/>
          </w:tcPr>
          <w:p w14:paraId="472C9FF9" w14:textId="77777777" w:rsidR="00872643" w:rsidRPr="005D5059" w:rsidRDefault="00872643" w:rsidP="00AE0B34">
            <w:pPr>
              <w:spacing w:before="0" w:after="0"/>
            </w:pPr>
            <w:r w:rsidRPr="005D5059">
              <w:t>Government of Western Australian, Department for Child Protection and Family Support</w:t>
            </w:r>
          </w:p>
        </w:tc>
      </w:tr>
      <w:tr w:rsidR="00872643" w:rsidRPr="005D5059" w14:paraId="0D79CFEE" w14:textId="77777777" w:rsidTr="00AE0B34">
        <w:trPr>
          <w:trHeight w:val="315"/>
        </w:trPr>
        <w:tc>
          <w:tcPr>
            <w:tcW w:w="1980" w:type="dxa"/>
            <w:noWrap/>
          </w:tcPr>
          <w:p w14:paraId="63F642E6" w14:textId="77777777" w:rsidR="00872643" w:rsidRPr="005D5059" w:rsidRDefault="00872643" w:rsidP="00AE0B34">
            <w:pPr>
              <w:spacing w:before="0" w:after="0"/>
            </w:pPr>
            <w:r w:rsidRPr="005D5059">
              <w:t>Attachment 34.1</w:t>
            </w:r>
          </w:p>
        </w:tc>
        <w:tc>
          <w:tcPr>
            <w:tcW w:w="7229" w:type="dxa"/>
            <w:noWrap/>
          </w:tcPr>
          <w:p w14:paraId="79715FEC" w14:textId="77777777" w:rsidR="00872643" w:rsidRPr="005D5059" w:rsidRDefault="00872643" w:rsidP="00AE0B34">
            <w:pPr>
              <w:tabs>
                <w:tab w:val="left" w:pos="2517"/>
              </w:tabs>
              <w:spacing w:before="0" w:after="0"/>
            </w:pPr>
            <w:r w:rsidRPr="005D5059">
              <w:t xml:space="preserve">Department for Child Protection (WA), </w:t>
            </w:r>
            <w:r w:rsidRPr="005D5059">
              <w:rPr>
                <w:i/>
              </w:rPr>
              <w:t xml:space="preserve">Family and Domestic Violence Background Paper </w:t>
            </w:r>
            <w:r w:rsidRPr="005D5059">
              <w:t>(2012).</w:t>
            </w:r>
          </w:p>
        </w:tc>
      </w:tr>
      <w:tr w:rsidR="00872643" w:rsidRPr="005D5059" w14:paraId="0A6F0243" w14:textId="77777777" w:rsidTr="00AE0B34">
        <w:trPr>
          <w:trHeight w:val="315"/>
        </w:trPr>
        <w:tc>
          <w:tcPr>
            <w:tcW w:w="1980" w:type="dxa"/>
            <w:noWrap/>
          </w:tcPr>
          <w:p w14:paraId="152AA638" w14:textId="77777777" w:rsidR="00872643" w:rsidRPr="005D5059" w:rsidRDefault="00872643" w:rsidP="00AE0B34">
            <w:pPr>
              <w:spacing w:before="0" w:after="0"/>
            </w:pPr>
            <w:r w:rsidRPr="005D5059">
              <w:t>Attachment 34.2</w:t>
            </w:r>
          </w:p>
        </w:tc>
        <w:tc>
          <w:tcPr>
            <w:tcW w:w="7229" w:type="dxa"/>
            <w:noWrap/>
          </w:tcPr>
          <w:p w14:paraId="20377422" w14:textId="77777777" w:rsidR="00872643" w:rsidRPr="005D5059" w:rsidRDefault="00872643" w:rsidP="00AE0B34">
            <w:pPr>
              <w:spacing w:before="0" w:after="0"/>
            </w:pPr>
            <w:r w:rsidRPr="005D5059">
              <w:t xml:space="preserve">Department for Child Protection (WA), </w:t>
            </w:r>
            <w:r w:rsidRPr="005D5059">
              <w:rPr>
                <w:i/>
              </w:rPr>
              <w:t xml:space="preserve">Family and Domestic Violence Policy </w:t>
            </w:r>
            <w:r w:rsidRPr="005D5059">
              <w:t>(2012).</w:t>
            </w:r>
          </w:p>
        </w:tc>
      </w:tr>
      <w:tr w:rsidR="00872643" w:rsidRPr="005D5059" w14:paraId="7CC69C9E" w14:textId="77777777" w:rsidTr="00AE0B34">
        <w:trPr>
          <w:trHeight w:val="315"/>
        </w:trPr>
        <w:tc>
          <w:tcPr>
            <w:tcW w:w="1980" w:type="dxa"/>
            <w:noWrap/>
          </w:tcPr>
          <w:p w14:paraId="5FB689DF" w14:textId="77777777" w:rsidR="00872643" w:rsidRPr="005D5059" w:rsidRDefault="00872643" w:rsidP="00AE0B34">
            <w:pPr>
              <w:spacing w:before="0" w:after="0"/>
            </w:pPr>
            <w:r w:rsidRPr="005D5059">
              <w:t>Attachment 34.3</w:t>
            </w:r>
          </w:p>
        </w:tc>
        <w:tc>
          <w:tcPr>
            <w:tcW w:w="7229" w:type="dxa"/>
            <w:noWrap/>
          </w:tcPr>
          <w:p w14:paraId="78D41F6D" w14:textId="77777777" w:rsidR="00872643" w:rsidRPr="005D5059" w:rsidRDefault="00872643" w:rsidP="00AE0B34">
            <w:pPr>
              <w:spacing w:before="0" w:after="0"/>
            </w:pPr>
            <w:r w:rsidRPr="005D5059">
              <w:t>Western Australia’s Family and Domestic Violence Prevention Strategy to 2022</w:t>
            </w:r>
          </w:p>
        </w:tc>
      </w:tr>
      <w:tr w:rsidR="00872643" w:rsidRPr="005D5059" w14:paraId="7F290D98" w14:textId="77777777" w:rsidTr="00AE0B34">
        <w:trPr>
          <w:trHeight w:val="315"/>
        </w:trPr>
        <w:tc>
          <w:tcPr>
            <w:tcW w:w="1980" w:type="dxa"/>
            <w:noWrap/>
            <w:hideMark/>
          </w:tcPr>
          <w:p w14:paraId="6A735BB2" w14:textId="77777777" w:rsidR="00872643" w:rsidRPr="005D5059" w:rsidRDefault="00872643" w:rsidP="00AE0B34">
            <w:pPr>
              <w:spacing w:before="0" w:after="0"/>
            </w:pPr>
            <w:r w:rsidRPr="005D5059">
              <w:t>35</w:t>
            </w:r>
          </w:p>
        </w:tc>
        <w:tc>
          <w:tcPr>
            <w:tcW w:w="7229" w:type="dxa"/>
            <w:noWrap/>
            <w:hideMark/>
          </w:tcPr>
          <w:p w14:paraId="6691B712" w14:textId="62768F3C" w:rsidR="00872643" w:rsidRPr="005D5059" w:rsidRDefault="00872643" w:rsidP="00D158F8">
            <w:pPr>
              <w:spacing w:before="0" w:after="0"/>
            </w:pPr>
            <w:r w:rsidRPr="005D5059">
              <w:t xml:space="preserve">Andrew Jackomos, </w:t>
            </w:r>
            <w:r w:rsidR="000F2091">
              <w:t xml:space="preserve">Victorian </w:t>
            </w:r>
            <w:r w:rsidRPr="005D5059">
              <w:t xml:space="preserve">Commissioner for Aboriginal Children and Young </w:t>
            </w:r>
            <w:r w:rsidR="00D158F8">
              <w:t>P</w:t>
            </w:r>
            <w:r w:rsidRPr="005D5059">
              <w:t>eople</w:t>
            </w:r>
          </w:p>
        </w:tc>
      </w:tr>
      <w:tr w:rsidR="00872643" w:rsidRPr="005D5059" w14:paraId="12720933" w14:textId="77777777" w:rsidTr="00AE0B34">
        <w:trPr>
          <w:trHeight w:val="315"/>
        </w:trPr>
        <w:tc>
          <w:tcPr>
            <w:tcW w:w="1980" w:type="dxa"/>
            <w:noWrap/>
            <w:hideMark/>
          </w:tcPr>
          <w:p w14:paraId="64FB7B2D" w14:textId="77777777" w:rsidR="00872643" w:rsidRPr="005D5059" w:rsidRDefault="00872643" w:rsidP="00AE0B34">
            <w:pPr>
              <w:spacing w:before="0" w:after="0"/>
            </w:pPr>
            <w:r w:rsidRPr="005D5059">
              <w:t>36</w:t>
            </w:r>
          </w:p>
        </w:tc>
        <w:tc>
          <w:tcPr>
            <w:tcW w:w="7229" w:type="dxa"/>
            <w:noWrap/>
            <w:hideMark/>
          </w:tcPr>
          <w:p w14:paraId="1EB14A09" w14:textId="77777777" w:rsidR="00872643" w:rsidRPr="005D5059" w:rsidRDefault="00872643" w:rsidP="00AE0B34">
            <w:pPr>
              <w:spacing w:before="0" w:after="0"/>
            </w:pPr>
            <w:r w:rsidRPr="005D5059">
              <w:t>Relationships Australia, New South Wales</w:t>
            </w:r>
          </w:p>
        </w:tc>
      </w:tr>
      <w:tr w:rsidR="00872643" w:rsidRPr="005D5059" w14:paraId="7C93B4E7" w14:textId="77777777" w:rsidTr="00AE0B34">
        <w:trPr>
          <w:trHeight w:val="315"/>
        </w:trPr>
        <w:tc>
          <w:tcPr>
            <w:tcW w:w="1980" w:type="dxa"/>
            <w:noWrap/>
            <w:hideMark/>
          </w:tcPr>
          <w:p w14:paraId="3BD79968" w14:textId="77777777" w:rsidR="00872643" w:rsidRPr="005D5059" w:rsidRDefault="00872643" w:rsidP="00AE0B34">
            <w:pPr>
              <w:spacing w:before="0" w:after="0"/>
            </w:pPr>
            <w:r w:rsidRPr="005D5059">
              <w:t>37</w:t>
            </w:r>
          </w:p>
        </w:tc>
        <w:tc>
          <w:tcPr>
            <w:tcW w:w="7229" w:type="dxa"/>
            <w:noWrap/>
            <w:hideMark/>
          </w:tcPr>
          <w:p w14:paraId="5925073E" w14:textId="77777777" w:rsidR="00872643" w:rsidRPr="005D5059" w:rsidRDefault="00872643" w:rsidP="00AE0B34">
            <w:pPr>
              <w:spacing w:before="0" w:after="0"/>
            </w:pPr>
            <w:r w:rsidRPr="005D5059">
              <w:t>Royal Australian and New Zealand College of Psychiatrists (RANZCP)</w:t>
            </w:r>
          </w:p>
        </w:tc>
      </w:tr>
      <w:tr w:rsidR="00872643" w:rsidRPr="005D5059" w14:paraId="7FC67F6B" w14:textId="77777777" w:rsidTr="00AE0B34">
        <w:trPr>
          <w:trHeight w:val="315"/>
        </w:trPr>
        <w:tc>
          <w:tcPr>
            <w:tcW w:w="1980" w:type="dxa"/>
            <w:noWrap/>
            <w:hideMark/>
          </w:tcPr>
          <w:p w14:paraId="49900AE3" w14:textId="77777777" w:rsidR="00872643" w:rsidRPr="005D5059" w:rsidRDefault="00872643" w:rsidP="00AE0B34">
            <w:pPr>
              <w:spacing w:before="0" w:after="0"/>
            </w:pPr>
            <w:r w:rsidRPr="005D5059">
              <w:t>38</w:t>
            </w:r>
          </w:p>
        </w:tc>
        <w:tc>
          <w:tcPr>
            <w:tcW w:w="7229" w:type="dxa"/>
            <w:noWrap/>
            <w:hideMark/>
          </w:tcPr>
          <w:p w14:paraId="35FE81CE" w14:textId="77777777" w:rsidR="00872643" w:rsidRPr="005D5059" w:rsidRDefault="00872643" w:rsidP="00AE0B34">
            <w:pPr>
              <w:spacing w:before="0" w:after="0"/>
            </w:pPr>
            <w:r w:rsidRPr="005D5059">
              <w:t xml:space="preserve">Australian Psychological Society </w:t>
            </w:r>
          </w:p>
        </w:tc>
      </w:tr>
      <w:tr w:rsidR="00872643" w:rsidRPr="005D5059" w14:paraId="200E23B5" w14:textId="77777777" w:rsidTr="00AE0B34">
        <w:trPr>
          <w:trHeight w:val="315"/>
        </w:trPr>
        <w:tc>
          <w:tcPr>
            <w:tcW w:w="1980" w:type="dxa"/>
            <w:noWrap/>
            <w:hideMark/>
          </w:tcPr>
          <w:p w14:paraId="7D1325ED" w14:textId="77777777" w:rsidR="00872643" w:rsidRPr="005D5059" w:rsidRDefault="00872643" w:rsidP="00AE0B34">
            <w:pPr>
              <w:spacing w:before="0" w:after="0"/>
            </w:pPr>
            <w:r w:rsidRPr="005D5059">
              <w:t>39</w:t>
            </w:r>
          </w:p>
        </w:tc>
        <w:tc>
          <w:tcPr>
            <w:tcW w:w="7229" w:type="dxa"/>
            <w:noWrap/>
            <w:hideMark/>
          </w:tcPr>
          <w:p w14:paraId="62A2F141" w14:textId="77777777" w:rsidR="00872643" w:rsidRPr="005D5059" w:rsidRDefault="00872643" w:rsidP="00AE0B34">
            <w:pPr>
              <w:spacing w:before="0" w:after="0"/>
            </w:pPr>
            <w:r w:rsidRPr="005D5059">
              <w:t>CONFIDENTIAL</w:t>
            </w:r>
          </w:p>
        </w:tc>
      </w:tr>
      <w:tr w:rsidR="00872643" w:rsidRPr="005D5059" w14:paraId="5D8F6FD6" w14:textId="77777777" w:rsidTr="00AE0B34">
        <w:trPr>
          <w:trHeight w:val="300"/>
        </w:trPr>
        <w:tc>
          <w:tcPr>
            <w:tcW w:w="1980" w:type="dxa"/>
            <w:noWrap/>
            <w:hideMark/>
          </w:tcPr>
          <w:p w14:paraId="597C891B" w14:textId="77777777" w:rsidR="00872643" w:rsidRPr="005D5059" w:rsidRDefault="00872643" w:rsidP="00AE0B34">
            <w:pPr>
              <w:spacing w:before="0" w:after="0"/>
            </w:pPr>
            <w:r w:rsidRPr="005D5059">
              <w:t>40</w:t>
            </w:r>
          </w:p>
        </w:tc>
        <w:tc>
          <w:tcPr>
            <w:tcW w:w="7229" w:type="dxa"/>
            <w:noWrap/>
            <w:hideMark/>
          </w:tcPr>
          <w:p w14:paraId="19A4AD0C" w14:textId="77777777" w:rsidR="00872643" w:rsidRPr="005D5059" w:rsidRDefault="00872643" w:rsidP="00AE0B34">
            <w:pPr>
              <w:spacing w:before="0" w:after="0"/>
            </w:pPr>
            <w:r w:rsidRPr="005D5059">
              <w:t>Berry Street</w:t>
            </w:r>
          </w:p>
        </w:tc>
      </w:tr>
      <w:tr w:rsidR="00872643" w:rsidRPr="005D5059" w14:paraId="5C475607" w14:textId="77777777" w:rsidTr="00AE0B34">
        <w:trPr>
          <w:trHeight w:val="315"/>
        </w:trPr>
        <w:tc>
          <w:tcPr>
            <w:tcW w:w="1980" w:type="dxa"/>
            <w:noWrap/>
            <w:hideMark/>
          </w:tcPr>
          <w:p w14:paraId="62C253B6" w14:textId="77777777" w:rsidR="00872643" w:rsidRPr="005D5059" w:rsidRDefault="00872643" w:rsidP="00AE0B34">
            <w:pPr>
              <w:spacing w:before="0" w:after="0"/>
            </w:pPr>
            <w:r w:rsidRPr="005D5059">
              <w:t>41</w:t>
            </w:r>
          </w:p>
        </w:tc>
        <w:tc>
          <w:tcPr>
            <w:tcW w:w="7229" w:type="dxa"/>
            <w:noWrap/>
            <w:hideMark/>
          </w:tcPr>
          <w:p w14:paraId="54124754" w14:textId="77777777" w:rsidR="00872643" w:rsidRPr="005D5059" w:rsidRDefault="00872643" w:rsidP="00AE0B34">
            <w:pPr>
              <w:spacing w:before="0" w:after="0"/>
            </w:pPr>
            <w:r w:rsidRPr="005D5059">
              <w:t>National Family Violence Prevention Legal Services</w:t>
            </w:r>
          </w:p>
        </w:tc>
      </w:tr>
      <w:tr w:rsidR="00872643" w:rsidRPr="005D5059" w14:paraId="10110491" w14:textId="77777777" w:rsidTr="00AE0B34">
        <w:trPr>
          <w:trHeight w:val="300"/>
        </w:trPr>
        <w:tc>
          <w:tcPr>
            <w:tcW w:w="1980" w:type="dxa"/>
            <w:noWrap/>
            <w:hideMark/>
          </w:tcPr>
          <w:p w14:paraId="37BC35B1" w14:textId="77777777" w:rsidR="00872643" w:rsidRPr="005D5059" w:rsidRDefault="00872643" w:rsidP="00AE0B34">
            <w:pPr>
              <w:spacing w:before="0" w:after="0"/>
            </w:pPr>
            <w:r w:rsidRPr="005D5059">
              <w:t>42</w:t>
            </w:r>
          </w:p>
        </w:tc>
        <w:tc>
          <w:tcPr>
            <w:tcW w:w="7229" w:type="dxa"/>
            <w:noWrap/>
            <w:hideMark/>
          </w:tcPr>
          <w:p w14:paraId="4A649766" w14:textId="77777777" w:rsidR="00872643" w:rsidRPr="005D5059" w:rsidRDefault="00872643" w:rsidP="00AE0B34">
            <w:pPr>
              <w:spacing w:before="0" w:after="0"/>
            </w:pPr>
            <w:r w:rsidRPr="005D5059">
              <w:t>National Aboriginal and Torres Strait Islander Women’s Alliance (NATSIWA)</w:t>
            </w:r>
          </w:p>
        </w:tc>
      </w:tr>
      <w:tr w:rsidR="00872643" w:rsidRPr="005D5059" w14:paraId="1223FB46" w14:textId="77777777" w:rsidTr="00AE0B34">
        <w:trPr>
          <w:trHeight w:val="300"/>
        </w:trPr>
        <w:tc>
          <w:tcPr>
            <w:tcW w:w="1980" w:type="dxa"/>
            <w:noWrap/>
            <w:hideMark/>
          </w:tcPr>
          <w:p w14:paraId="77E8E05A" w14:textId="77777777" w:rsidR="00872643" w:rsidRPr="005D5059" w:rsidRDefault="00872643" w:rsidP="00AE0B34">
            <w:pPr>
              <w:spacing w:before="0" w:after="0"/>
            </w:pPr>
            <w:r w:rsidRPr="005D5059">
              <w:t>43</w:t>
            </w:r>
          </w:p>
        </w:tc>
        <w:tc>
          <w:tcPr>
            <w:tcW w:w="7229" w:type="dxa"/>
            <w:noWrap/>
            <w:hideMark/>
          </w:tcPr>
          <w:p w14:paraId="3BF3C6F2" w14:textId="77777777" w:rsidR="00872643" w:rsidRPr="005D5059" w:rsidRDefault="00872643" w:rsidP="00AE0B34">
            <w:pPr>
              <w:spacing w:before="0" w:after="0"/>
            </w:pPr>
            <w:r w:rsidRPr="005D5059">
              <w:t>Families and Relationship Services Australia</w:t>
            </w:r>
          </w:p>
        </w:tc>
      </w:tr>
      <w:tr w:rsidR="00872643" w:rsidRPr="005D5059" w14:paraId="408E51C3" w14:textId="77777777" w:rsidTr="00AE0B34">
        <w:trPr>
          <w:trHeight w:val="300"/>
        </w:trPr>
        <w:tc>
          <w:tcPr>
            <w:tcW w:w="1980" w:type="dxa"/>
            <w:noWrap/>
            <w:hideMark/>
          </w:tcPr>
          <w:p w14:paraId="096B593E" w14:textId="77777777" w:rsidR="00872643" w:rsidRPr="005D5059" w:rsidRDefault="00872643" w:rsidP="00AE0B34">
            <w:pPr>
              <w:spacing w:before="0" w:after="0"/>
            </w:pPr>
            <w:r w:rsidRPr="005D5059">
              <w:t>44</w:t>
            </w:r>
          </w:p>
        </w:tc>
        <w:tc>
          <w:tcPr>
            <w:tcW w:w="7229" w:type="dxa"/>
            <w:noWrap/>
            <w:hideMark/>
          </w:tcPr>
          <w:p w14:paraId="764B4476" w14:textId="77777777" w:rsidR="00872643" w:rsidRPr="005D5059" w:rsidRDefault="00872643" w:rsidP="00AE0B34">
            <w:pPr>
              <w:spacing w:before="0" w:after="0"/>
            </w:pPr>
            <w:r w:rsidRPr="005D5059">
              <w:t>Office of the Children's Commissioner Northern Territory</w:t>
            </w:r>
          </w:p>
        </w:tc>
      </w:tr>
      <w:tr w:rsidR="00872643" w:rsidRPr="005D5059" w14:paraId="5C54DC1C" w14:textId="77777777" w:rsidTr="00AE0B34">
        <w:trPr>
          <w:trHeight w:val="300"/>
        </w:trPr>
        <w:tc>
          <w:tcPr>
            <w:tcW w:w="1980" w:type="dxa"/>
            <w:noWrap/>
            <w:hideMark/>
          </w:tcPr>
          <w:p w14:paraId="2EE37916" w14:textId="77777777" w:rsidR="00872643" w:rsidRPr="005D5059" w:rsidRDefault="00872643" w:rsidP="00AE0B34">
            <w:pPr>
              <w:spacing w:before="0" w:after="0"/>
            </w:pPr>
            <w:r w:rsidRPr="005D5059">
              <w:t>45</w:t>
            </w:r>
          </w:p>
        </w:tc>
        <w:tc>
          <w:tcPr>
            <w:tcW w:w="7229" w:type="dxa"/>
            <w:noWrap/>
            <w:hideMark/>
          </w:tcPr>
          <w:p w14:paraId="67A91343" w14:textId="77777777" w:rsidR="00872643" w:rsidRPr="005D5059" w:rsidRDefault="00872643" w:rsidP="00AE0B34">
            <w:pPr>
              <w:spacing w:before="0" w:after="0"/>
            </w:pPr>
            <w:r w:rsidRPr="005D5059">
              <w:t>Aboriginal Child, Family and Community Care State Secretariat (AbSec)</w:t>
            </w:r>
          </w:p>
        </w:tc>
      </w:tr>
      <w:tr w:rsidR="00872643" w:rsidRPr="005D5059" w14:paraId="6AD9F152" w14:textId="77777777" w:rsidTr="00AE0B34">
        <w:trPr>
          <w:trHeight w:val="300"/>
        </w:trPr>
        <w:tc>
          <w:tcPr>
            <w:tcW w:w="1980" w:type="dxa"/>
            <w:noWrap/>
            <w:hideMark/>
          </w:tcPr>
          <w:p w14:paraId="3E8D1828" w14:textId="77777777" w:rsidR="00872643" w:rsidRPr="005D5059" w:rsidRDefault="00872643" w:rsidP="00AE0B34">
            <w:pPr>
              <w:spacing w:before="0" w:after="0"/>
            </w:pPr>
            <w:r w:rsidRPr="005D5059">
              <w:t>46</w:t>
            </w:r>
          </w:p>
        </w:tc>
        <w:tc>
          <w:tcPr>
            <w:tcW w:w="7229" w:type="dxa"/>
            <w:noWrap/>
            <w:hideMark/>
          </w:tcPr>
          <w:p w14:paraId="45E48548" w14:textId="77777777" w:rsidR="00872643" w:rsidRPr="005D5059" w:rsidRDefault="00872643" w:rsidP="00AE0B34">
            <w:pPr>
              <w:spacing w:before="0" w:after="0"/>
            </w:pPr>
            <w:r w:rsidRPr="005D5059">
              <w:t>North Australian Aboriginal Family Legal Service (NAAFLS)</w:t>
            </w:r>
          </w:p>
        </w:tc>
      </w:tr>
      <w:tr w:rsidR="00872643" w:rsidRPr="005D5059" w14:paraId="746AC283" w14:textId="77777777" w:rsidTr="00AE0B34">
        <w:trPr>
          <w:trHeight w:val="300"/>
        </w:trPr>
        <w:tc>
          <w:tcPr>
            <w:tcW w:w="1980" w:type="dxa"/>
            <w:noWrap/>
            <w:hideMark/>
          </w:tcPr>
          <w:p w14:paraId="460BD2A5" w14:textId="77777777" w:rsidR="00872643" w:rsidRPr="005D5059" w:rsidRDefault="00872643" w:rsidP="00AE0B34">
            <w:pPr>
              <w:spacing w:before="0" w:after="0"/>
            </w:pPr>
            <w:r w:rsidRPr="005D5059">
              <w:t>47</w:t>
            </w:r>
          </w:p>
        </w:tc>
        <w:tc>
          <w:tcPr>
            <w:tcW w:w="7229" w:type="dxa"/>
            <w:noWrap/>
            <w:hideMark/>
          </w:tcPr>
          <w:p w14:paraId="4E9CE785" w14:textId="77777777" w:rsidR="00872643" w:rsidRPr="005D5059" w:rsidRDefault="00872643" w:rsidP="00AE0B34">
            <w:pPr>
              <w:spacing w:before="0" w:after="0"/>
            </w:pPr>
            <w:r w:rsidRPr="005D5059">
              <w:t>Menzies School of Health Research, Centre for Child Development and Education</w:t>
            </w:r>
          </w:p>
        </w:tc>
      </w:tr>
      <w:tr w:rsidR="00872643" w:rsidRPr="005D5059" w14:paraId="265114D2" w14:textId="77777777" w:rsidTr="00AE0B34">
        <w:trPr>
          <w:trHeight w:val="300"/>
        </w:trPr>
        <w:tc>
          <w:tcPr>
            <w:tcW w:w="1980" w:type="dxa"/>
            <w:noWrap/>
            <w:hideMark/>
          </w:tcPr>
          <w:p w14:paraId="3EB51CB1" w14:textId="77777777" w:rsidR="00872643" w:rsidRPr="005D5059" w:rsidRDefault="00872643" w:rsidP="00AE0B34">
            <w:pPr>
              <w:spacing w:before="0" w:after="0"/>
            </w:pPr>
            <w:r w:rsidRPr="005D5059">
              <w:t>48</w:t>
            </w:r>
          </w:p>
        </w:tc>
        <w:tc>
          <w:tcPr>
            <w:tcW w:w="7229" w:type="dxa"/>
            <w:noWrap/>
            <w:hideMark/>
          </w:tcPr>
          <w:p w14:paraId="451A8AF1" w14:textId="77777777" w:rsidR="00872643" w:rsidRPr="005D5059" w:rsidRDefault="00872643" w:rsidP="00AE0B34">
            <w:pPr>
              <w:spacing w:before="0" w:after="0"/>
            </w:pPr>
            <w:r w:rsidRPr="005D5059">
              <w:t xml:space="preserve">Dawn House Women’s refuge, Northern Territory </w:t>
            </w:r>
          </w:p>
        </w:tc>
      </w:tr>
      <w:tr w:rsidR="00872643" w:rsidRPr="005D5059" w14:paraId="45D5BE2F" w14:textId="77777777" w:rsidTr="00AE0B34">
        <w:trPr>
          <w:trHeight w:val="300"/>
        </w:trPr>
        <w:tc>
          <w:tcPr>
            <w:tcW w:w="1980" w:type="dxa"/>
            <w:noWrap/>
            <w:hideMark/>
          </w:tcPr>
          <w:p w14:paraId="0F988AE4" w14:textId="77777777" w:rsidR="00872643" w:rsidRPr="005D5059" w:rsidRDefault="00872643" w:rsidP="00AE0B34">
            <w:pPr>
              <w:spacing w:before="0" w:after="0"/>
            </w:pPr>
            <w:r w:rsidRPr="005D5059">
              <w:t>49</w:t>
            </w:r>
          </w:p>
        </w:tc>
        <w:tc>
          <w:tcPr>
            <w:tcW w:w="7229" w:type="dxa"/>
            <w:noWrap/>
            <w:hideMark/>
          </w:tcPr>
          <w:p w14:paraId="6A15150F" w14:textId="77777777" w:rsidR="00872643" w:rsidRPr="005D5059" w:rsidRDefault="00872643" w:rsidP="00AE0B34">
            <w:pPr>
              <w:spacing w:before="0" w:after="0"/>
            </w:pPr>
            <w:r w:rsidRPr="005D5059">
              <w:t xml:space="preserve">National LGBTI Health Alliance </w:t>
            </w:r>
          </w:p>
        </w:tc>
      </w:tr>
      <w:tr w:rsidR="00872643" w:rsidRPr="005D5059" w14:paraId="5B61F997" w14:textId="77777777" w:rsidTr="00AE0B34">
        <w:trPr>
          <w:trHeight w:val="300"/>
        </w:trPr>
        <w:tc>
          <w:tcPr>
            <w:tcW w:w="1980" w:type="dxa"/>
            <w:noWrap/>
            <w:hideMark/>
          </w:tcPr>
          <w:p w14:paraId="33EDF3D5" w14:textId="77777777" w:rsidR="00872643" w:rsidRPr="005D5059" w:rsidRDefault="00872643" w:rsidP="00AE0B34">
            <w:pPr>
              <w:spacing w:before="0" w:after="0"/>
            </w:pPr>
            <w:r w:rsidRPr="005D5059">
              <w:t>50</w:t>
            </w:r>
          </w:p>
        </w:tc>
        <w:tc>
          <w:tcPr>
            <w:tcW w:w="7229" w:type="dxa"/>
            <w:noWrap/>
            <w:hideMark/>
          </w:tcPr>
          <w:p w14:paraId="4AAFF54A" w14:textId="77777777" w:rsidR="00872643" w:rsidRPr="005D5059" w:rsidRDefault="00872643" w:rsidP="00AE0B34">
            <w:pPr>
              <w:spacing w:before="0" w:after="0"/>
            </w:pPr>
            <w:r w:rsidRPr="005D5059">
              <w:t>Emma Gierschick</w:t>
            </w:r>
          </w:p>
        </w:tc>
      </w:tr>
      <w:tr w:rsidR="00872643" w:rsidRPr="005D5059" w14:paraId="65B76180" w14:textId="77777777" w:rsidTr="00AE0B34">
        <w:trPr>
          <w:trHeight w:val="300"/>
        </w:trPr>
        <w:tc>
          <w:tcPr>
            <w:tcW w:w="1980" w:type="dxa"/>
            <w:noWrap/>
            <w:hideMark/>
          </w:tcPr>
          <w:p w14:paraId="58B0EA4C" w14:textId="77777777" w:rsidR="00872643" w:rsidRPr="005D5059" w:rsidRDefault="00872643" w:rsidP="00AE0B34">
            <w:pPr>
              <w:spacing w:before="0" w:after="0"/>
            </w:pPr>
            <w:r w:rsidRPr="005D5059">
              <w:t>51</w:t>
            </w:r>
          </w:p>
        </w:tc>
        <w:tc>
          <w:tcPr>
            <w:tcW w:w="7229" w:type="dxa"/>
            <w:noWrap/>
            <w:hideMark/>
          </w:tcPr>
          <w:p w14:paraId="16195AA6" w14:textId="77777777" w:rsidR="00872643" w:rsidRPr="005D5059" w:rsidRDefault="00872643" w:rsidP="00AE0B34">
            <w:pPr>
              <w:spacing w:before="0" w:after="0"/>
            </w:pPr>
            <w:r w:rsidRPr="005D5059">
              <w:t xml:space="preserve">New South Wales Government </w:t>
            </w:r>
          </w:p>
        </w:tc>
      </w:tr>
      <w:tr w:rsidR="00872643" w:rsidRPr="005D5059" w14:paraId="2969C388" w14:textId="77777777" w:rsidTr="00AE0B34">
        <w:trPr>
          <w:trHeight w:val="300"/>
        </w:trPr>
        <w:tc>
          <w:tcPr>
            <w:tcW w:w="1980" w:type="dxa"/>
            <w:noWrap/>
            <w:hideMark/>
          </w:tcPr>
          <w:p w14:paraId="47246B7A" w14:textId="77777777" w:rsidR="00872643" w:rsidRPr="005D5059" w:rsidRDefault="00872643" w:rsidP="00AE0B34">
            <w:pPr>
              <w:spacing w:before="0" w:after="0"/>
            </w:pPr>
            <w:r w:rsidRPr="005D5059">
              <w:t>52</w:t>
            </w:r>
          </w:p>
        </w:tc>
        <w:tc>
          <w:tcPr>
            <w:tcW w:w="7229" w:type="dxa"/>
            <w:noWrap/>
            <w:hideMark/>
          </w:tcPr>
          <w:p w14:paraId="5B3C0A73" w14:textId="77777777" w:rsidR="00872643" w:rsidRPr="005D5059" w:rsidRDefault="00872643" w:rsidP="00AE0B34">
            <w:pPr>
              <w:spacing w:before="0" w:after="0"/>
            </w:pPr>
            <w:r w:rsidRPr="005D5059">
              <w:t>Northern Territory Department of Children and Families</w:t>
            </w:r>
          </w:p>
        </w:tc>
      </w:tr>
      <w:tr w:rsidR="00872643" w:rsidRPr="005D5059" w14:paraId="085111EE" w14:textId="77777777" w:rsidTr="00AE0B34">
        <w:trPr>
          <w:trHeight w:val="300"/>
        </w:trPr>
        <w:tc>
          <w:tcPr>
            <w:tcW w:w="1980" w:type="dxa"/>
            <w:noWrap/>
            <w:hideMark/>
          </w:tcPr>
          <w:p w14:paraId="597F0582" w14:textId="77777777" w:rsidR="00872643" w:rsidRPr="005D5059" w:rsidRDefault="00872643" w:rsidP="00AE0B34">
            <w:pPr>
              <w:spacing w:before="0" w:after="0"/>
            </w:pPr>
            <w:r w:rsidRPr="005D5059">
              <w:t>53</w:t>
            </w:r>
          </w:p>
        </w:tc>
        <w:tc>
          <w:tcPr>
            <w:tcW w:w="7229" w:type="dxa"/>
            <w:noWrap/>
            <w:hideMark/>
          </w:tcPr>
          <w:p w14:paraId="7903228A" w14:textId="77777777" w:rsidR="00872643" w:rsidRPr="005D5059" w:rsidRDefault="00872643" w:rsidP="00AE0B34">
            <w:pPr>
              <w:spacing w:before="0" w:after="0"/>
            </w:pPr>
            <w:r w:rsidRPr="005D5059">
              <w:t xml:space="preserve">Multicultural Centre for Women's Health </w:t>
            </w:r>
          </w:p>
        </w:tc>
      </w:tr>
      <w:tr w:rsidR="00872643" w:rsidRPr="005D5059" w14:paraId="49961920" w14:textId="77777777" w:rsidTr="00AE0B34">
        <w:trPr>
          <w:trHeight w:val="300"/>
        </w:trPr>
        <w:tc>
          <w:tcPr>
            <w:tcW w:w="1980" w:type="dxa"/>
            <w:noWrap/>
            <w:hideMark/>
          </w:tcPr>
          <w:p w14:paraId="29298C70" w14:textId="77777777" w:rsidR="00872643" w:rsidRPr="005D5059" w:rsidRDefault="00872643" w:rsidP="00AE0B34">
            <w:pPr>
              <w:spacing w:before="0" w:after="0"/>
            </w:pPr>
            <w:r w:rsidRPr="005D5059">
              <w:t>54</w:t>
            </w:r>
          </w:p>
        </w:tc>
        <w:tc>
          <w:tcPr>
            <w:tcW w:w="7229" w:type="dxa"/>
            <w:noWrap/>
            <w:hideMark/>
          </w:tcPr>
          <w:p w14:paraId="39FD6846" w14:textId="77777777" w:rsidR="00872643" w:rsidRPr="005D5059" w:rsidRDefault="00872643" w:rsidP="00AE0B34">
            <w:pPr>
              <w:spacing w:before="0" w:after="0"/>
            </w:pPr>
            <w:r w:rsidRPr="005D5059">
              <w:t>Anne-Marie Laslett, Centre for Alcohol Policy Research</w:t>
            </w:r>
          </w:p>
        </w:tc>
      </w:tr>
      <w:tr w:rsidR="00872643" w:rsidRPr="005D5059" w14:paraId="01F70F53" w14:textId="77777777" w:rsidTr="00AE0B34">
        <w:trPr>
          <w:trHeight w:val="300"/>
        </w:trPr>
        <w:tc>
          <w:tcPr>
            <w:tcW w:w="1980" w:type="dxa"/>
            <w:noWrap/>
          </w:tcPr>
          <w:p w14:paraId="1E4EB658" w14:textId="77777777" w:rsidR="00872643" w:rsidRPr="005D5059" w:rsidRDefault="00872643" w:rsidP="00AE0B34">
            <w:pPr>
              <w:spacing w:before="0" w:after="0"/>
            </w:pPr>
            <w:r w:rsidRPr="005D5059">
              <w:t>55</w:t>
            </w:r>
          </w:p>
        </w:tc>
        <w:tc>
          <w:tcPr>
            <w:tcW w:w="7229" w:type="dxa"/>
            <w:noWrap/>
          </w:tcPr>
          <w:p w14:paraId="4CB62004" w14:textId="77777777" w:rsidR="00872643" w:rsidRPr="005D5059" w:rsidRDefault="00872643" w:rsidP="00AE0B34">
            <w:pPr>
              <w:spacing w:before="0" w:after="0"/>
            </w:pPr>
            <w:r w:rsidRPr="005D5059">
              <w:t>Foundation for Alcohol Research and Education (FARE)</w:t>
            </w:r>
          </w:p>
        </w:tc>
      </w:tr>
      <w:tr w:rsidR="00872643" w:rsidRPr="005D5059" w14:paraId="2317B066" w14:textId="77777777" w:rsidTr="00AE0B34">
        <w:trPr>
          <w:trHeight w:val="300"/>
        </w:trPr>
        <w:tc>
          <w:tcPr>
            <w:tcW w:w="1980" w:type="dxa"/>
            <w:noWrap/>
          </w:tcPr>
          <w:p w14:paraId="7E139CC5" w14:textId="77777777" w:rsidR="00872643" w:rsidRPr="005D5059" w:rsidRDefault="00872643" w:rsidP="00AE0B34">
            <w:pPr>
              <w:spacing w:before="0" w:after="0"/>
            </w:pPr>
            <w:r w:rsidRPr="005D5059">
              <w:t>Attachment 55.1</w:t>
            </w:r>
          </w:p>
        </w:tc>
        <w:tc>
          <w:tcPr>
            <w:tcW w:w="7229" w:type="dxa"/>
            <w:noWrap/>
          </w:tcPr>
          <w:p w14:paraId="5172258F" w14:textId="77777777" w:rsidR="00872643" w:rsidRPr="005D5059" w:rsidRDefault="00872643" w:rsidP="00AE0B34">
            <w:pPr>
              <w:spacing w:before="0" w:after="0"/>
            </w:pPr>
            <w:r w:rsidRPr="005D5059">
              <w:t xml:space="preserve">FARE, </w:t>
            </w:r>
            <w:r w:rsidRPr="005D5059">
              <w:rPr>
                <w:i/>
              </w:rPr>
              <w:t>Australian Fetal Alcohol Spectrum Disorders Action Plan 2013-2016</w:t>
            </w:r>
            <w:r w:rsidRPr="005D5059">
              <w:t xml:space="preserve"> (2013).</w:t>
            </w:r>
          </w:p>
        </w:tc>
      </w:tr>
      <w:tr w:rsidR="00872643" w:rsidRPr="005D5059" w14:paraId="631C90D5" w14:textId="77777777" w:rsidTr="00AE0B34">
        <w:trPr>
          <w:trHeight w:val="300"/>
        </w:trPr>
        <w:tc>
          <w:tcPr>
            <w:tcW w:w="1980" w:type="dxa"/>
            <w:noWrap/>
          </w:tcPr>
          <w:p w14:paraId="5ED6FD8A" w14:textId="77777777" w:rsidR="00872643" w:rsidRPr="005D5059" w:rsidRDefault="00872643" w:rsidP="00AE0B34">
            <w:pPr>
              <w:spacing w:before="0" w:after="0"/>
            </w:pPr>
            <w:r w:rsidRPr="005D5059">
              <w:t>Attachment 55.2</w:t>
            </w:r>
          </w:p>
        </w:tc>
        <w:tc>
          <w:tcPr>
            <w:tcW w:w="7229" w:type="dxa"/>
            <w:noWrap/>
          </w:tcPr>
          <w:p w14:paraId="78C971B8" w14:textId="77777777" w:rsidR="00872643" w:rsidRPr="005D5059" w:rsidRDefault="00872643" w:rsidP="00AE0B34">
            <w:pPr>
              <w:spacing w:before="0" w:after="0"/>
            </w:pPr>
            <w:r w:rsidRPr="005D5059">
              <w:t xml:space="preserve">FARE, </w:t>
            </w:r>
            <w:r w:rsidRPr="005D5059">
              <w:rPr>
                <w:i/>
              </w:rPr>
              <w:t>National framework for action to prevent alcohol-related family violence</w:t>
            </w:r>
            <w:r w:rsidRPr="005D5059">
              <w:t xml:space="preserve"> (2015).</w:t>
            </w:r>
          </w:p>
        </w:tc>
      </w:tr>
      <w:tr w:rsidR="00872643" w:rsidRPr="005D5059" w14:paraId="7F2622AB" w14:textId="77777777" w:rsidTr="00AE0B34">
        <w:trPr>
          <w:trHeight w:val="300"/>
        </w:trPr>
        <w:tc>
          <w:tcPr>
            <w:tcW w:w="1980" w:type="dxa"/>
            <w:noWrap/>
          </w:tcPr>
          <w:p w14:paraId="59ED3848" w14:textId="77777777" w:rsidR="00872643" w:rsidRPr="005D5059" w:rsidRDefault="00872643" w:rsidP="00AE0B34">
            <w:pPr>
              <w:spacing w:before="0" w:after="0"/>
            </w:pPr>
            <w:r w:rsidRPr="005D5059">
              <w:t>56</w:t>
            </w:r>
          </w:p>
        </w:tc>
        <w:tc>
          <w:tcPr>
            <w:tcW w:w="7229" w:type="dxa"/>
            <w:noWrap/>
          </w:tcPr>
          <w:p w14:paraId="7C951A7D" w14:textId="77777777" w:rsidR="00872643" w:rsidRPr="005D5059" w:rsidRDefault="00872643" w:rsidP="00AE0B34">
            <w:pPr>
              <w:spacing w:before="0" w:after="0"/>
            </w:pPr>
            <w:r w:rsidRPr="005D5059">
              <w:t>Dr Anita Morris</w:t>
            </w:r>
          </w:p>
        </w:tc>
      </w:tr>
      <w:tr w:rsidR="00872643" w:rsidRPr="005D5059" w14:paraId="26B953E7" w14:textId="77777777" w:rsidTr="00AE0B34">
        <w:trPr>
          <w:trHeight w:val="300"/>
        </w:trPr>
        <w:tc>
          <w:tcPr>
            <w:tcW w:w="1980" w:type="dxa"/>
            <w:noWrap/>
          </w:tcPr>
          <w:p w14:paraId="750D04A9" w14:textId="77777777" w:rsidR="00872643" w:rsidRPr="005D5059" w:rsidRDefault="00872643" w:rsidP="00AE0B34">
            <w:pPr>
              <w:spacing w:before="0" w:after="0"/>
            </w:pPr>
            <w:r w:rsidRPr="005D5059">
              <w:t>Attachment 56.1</w:t>
            </w:r>
          </w:p>
        </w:tc>
        <w:tc>
          <w:tcPr>
            <w:tcW w:w="7229" w:type="dxa"/>
            <w:noWrap/>
          </w:tcPr>
          <w:p w14:paraId="0F78C20E" w14:textId="77777777" w:rsidR="00872643" w:rsidRPr="005D5059" w:rsidRDefault="00872643" w:rsidP="00AE0B34">
            <w:pPr>
              <w:spacing w:before="0" w:after="0"/>
            </w:pPr>
            <w:r w:rsidRPr="005D5059">
              <w:t>Safety and resiliency at home. Thesis Abstract</w:t>
            </w:r>
          </w:p>
        </w:tc>
      </w:tr>
      <w:tr w:rsidR="00872643" w:rsidRPr="005D5059" w14:paraId="0AABE082" w14:textId="77777777" w:rsidTr="00AE0B34">
        <w:trPr>
          <w:trHeight w:val="300"/>
        </w:trPr>
        <w:tc>
          <w:tcPr>
            <w:tcW w:w="1980" w:type="dxa"/>
            <w:noWrap/>
          </w:tcPr>
          <w:p w14:paraId="2ED47CF7" w14:textId="77777777" w:rsidR="00872643" w:rsidRPr="005D5059" w:rsidRDefault="00872643" w:rsidP="00AE0B34">
            <w:pPr>
              <w:spacing w:before="0" w:after="0"/>
            </w:pPr>
            <w:r w:rsidRPr="005D5059">
              <w:t>Attachment 56.2</w:t>
            </w:r>
          </w:p>
        </w:tc>
        <w:tc>
          <w:tcPr>
            <w:tcW w:w="7229" w:type="dxa"/>
            <w:noWrap/>
          </w:tcPr>
          <w:p w14:paraId="28CAE47A" w14:textId="77777777" w:rsidR="00872643" w:rsidRPr="005D5059" w:rsidRDefault="00872643" w:rsidP="00AE0B34">
            <w:pPr>
              <w:spacing w:before="0" w:after="0"/>
            </w:pPr>
            <w:r w:rsidRPr="005D5059">
              <w:t xml:space="preserve">A Morris, C Humphreys and K Hegarty, ‘Children’s views of safety and adversity when living with domestic violence’ in N Stanley and C Humphreys (eds) </w:t>
            </w:r>
            <w:r w:rsidRPr="005D5059">
              <w:rPr>
                <w:i/>
              </w:rPr>
              <w:t>Child Protection and Domestic Violence: New Challenges and Developments</w:t>
            </w:r>
            <w:r w:rsidRPr="005D5059">
              <w:t xml:space="preserve"> (Jessica Kingsley </w:t>
            </w:r>
            <w:r w:rsidRPr="005D5059">
              <w:lastRenderedPageBreak/>
              <w:t>Publications, 2015)</w:t>
            </w:r>
          </w:p>
        </w:tc>
      </w:tr>
      <w:tr w:rsidR="00872643" w:rsidRPr="005D5059" w14:paraId="7A7D87CC" w14:textId="77777777" w:rsidTr="00AE0B34">
        <w:trPr>
          <w:trHeight w:val="300"/>
        </w:trPr>
        <w:tc>
          <w:tcPr>
            <w:tcW w:w="1980" w:type="dxa"/>
            <w:noWrap/>
          </w:tcPr>
          <w:p w14:paraId="7ED099F0" w14:textId="77777777" w:rsidR="00872643" w:rsidRPr="005D5059" w:rsidRDefault="00872643" w:rsidP="00AE0B34">
            <w:pPr>
              <w:spacing w:before="0" w:after="0"/>
            </w:pPr>
            <w:r w:rsidRPr="005D5059">
              <w:lastRenderedPageBreak/>
              <w:t>Attachment 56.3</w:t>
            </w:r>
          </w:p>
        </w:tc>
        <w:tc>
          <w:tcPr>
            <w:tcW w:w="7229" w:type="dxa"/>
            <w:noWrap/>
          </w:tcPr>
          <w:p w14:paraId="23AE8DAA" w14:textId="77777777" w:rsidR="00872643" w:rsidRPr="005D5059" w:rsidRDefault="00872643" w:rsidP="00AE0B34">
            <w:pPr>
              <w:spacing w:before="0" w:after="0"/>
            </w:pPr>
            <w:r w:rsidRPr="005D5059">
              <w:t xml:space="preserve">A Morris, K Hegarty and C Humphreys, ‘Ethical and safe: Research with children about domestic violence’ (2012) 8(2) </w:t>
            </w:r>
            <w:r w:rsidRPr="005D5059">
              <w:rPr>
                <w:i/>
              </w:rPr>
              <w:t>Research Ethics</w:t>
            </w:r>
            <w:r w:rsidRPr="005D5059">
              <w:t xml:space="preserve"> 125.</w:t>
            </w:r>
          </w:p>
        </w:tc>
      </w:tr>
      <w:tr w:rsidR="00872643" w:rsidRPr="005D5059" w14:paraId="0B85355B" w14:textId="77777777" w:rsidTr="00AE0B34">
        <w:trPr>
          <w:trHeight w:val="300"/>
        </w:trPr>
        <w:tc>
          <w:tcPr>
            <w:tcW w:w="1980" w:type="dxa"/>
            <w:noWrap/>
          </w:tcPr>
          <w:p w14:paraId="3CCFA388" w14:textId="77777777" w:rsidR="00872643" w:rsidRPr="005D5059" w:rsidRDefault="00872643" w:rsidP="00AE0B34">
            <w:pPr>
              <w:spacing w:before="0" w:after="0"/>
            </w:pPr>
            <w:r w:rsidRPr="005D5059">
              <w:t>Attachment 56.4</w:t>
            </w:r>
          </w:p>
        </w:tc>
        <w:tc>
          <w:tcPr>
            <w:tcW w:w="7229" w:type="dxa"/>
            <w:noWrap/>
          </w:tcPr>
          <w:p w14:paraId="04C16D27" w14:textId="77777777" w:rsidR="00872643" w:rsidRPr="005D5059" w:rsidRDefault="00872643" w:rsidP="00AE0B34">
            <w:pPr>
              <w:spacing w:before="0" w:after="0"/>
            </w:pPr>
            <w:r w:rsidRPr="005D5059">
              <w:t xml:space="preserve">A Morris et al., ‘Extending the reach: a timely and tailored approach to children experiencing family violence’ (2011) 24(8) </w:t>
            </w:r>
            <w:r w:rsidRPr="005D5059">
              <w:rPr>
                <w:i/>
              </w:rPr>
              <w:t>Parity</w:t>
            </w:r>
            <w:r w:rsidRPr="005D5059">
              <w:t xml:space="preserve"> 37.</w:t>
            </w:r>
          </w:p>
        </w:tc>
      </w:tr>
      <w:tr w:rsidR="00872643" w:rsidRPr="005D5059" w14:paraId="63E0B80A" w14:textId="77777777" w:rsidTr="00AE0B34">
        <w:trPr>
          <w:trHeight w:val="300"/>
        </w:trPr>
        <w:tc>
          <w:tcPr>
            <w:tcW w:w="1980" w:type="dxa"/>
            <w:noWrap/>
          </w:tcPr>
          <w:p w14:paraId="105CA2C7" w14:textId="77777777" w:rsidR="00872643" w:rsidRPr="005D5059" w:rsidRDefault="00872643" w:rsidP="00AE0B34">
            <w:pPr>
              <w:spacing w:before="0" w:after="0"/>
            </w:pPr>
            <w:r w:rsidRPr="005D5059">
              <w:t>57</w:t>
            </w:r>
          </w:p>
        </w:tc>
        <w:tc>
          <w:tcPr>
            <w:tcW w:w="7229" w:type="dxa"/>
            <w:noWrap/>
          </w:tcPr>
          <w:p w14:paraId="4CDD610B" w14:textId="77777777" w:rsidR="00872643" w:rsidRPr="005D5059" w:rsidRDefault="00872643" w:rsidP="00AE0B34">
            <w:pPr>
              <w:spacing w:before="0" w:after="0"/>
              <w:rPr>
                <w:highlight w:val="red"/>
              </w:rPr>
            </w:pPr>
            <w:r w:rsidRPr="005D5059">
              <w:t>Northern Territory Government, (Bess Price, Minister Women’s Policy; John Elferink, Attorney-General, Minister for Justice)</w:t>
            </w:r>
          </w:p>
        </w:tc>
      </w:tr>
      <w:tr w:rsidR="00872643" w:rsidRPr="005D5059" w14:paraId="36660ECE" w14:textId="77777777" w:rsidTr="00AE0B34">
        <w:trPr>
          <w:trHeight w:val="300"/>
        </w:trPr>
        <w:tc>
          <w:tcPr>
            <w:tcW w:w="1980" w:type="dxa"/>
            <w:noWrap/>
          </w:tcPr>
          <w:p w14:paraId="3F0137B1" w14:textId="77777777" w:rsidR="00872643" w:rsidRPr="005D5059" w:rsidRDefault="00872643" w:rsidP="00AE0B34">
            <w:pPr>
              <w:spacing w:before="0" w:after="0"/>
            </w:pPr>
            <w:r w:rsidRPr="005D5059">
              <w:t>Attachment 57.1</w:t>
            </w:r>
          </w:p>
        </w:tc>
        <w:tc>
          <w:tcPr>
            <w:tcW w:w="7229" w:type="dxa"/>
            <w:noWrap/>
          </w:tcPr>
          <w:p w14:paraId="2CC255E5" w14:textId="77777777" w:rsidR="00872643" w:rsidRPr="005D5059" w:rsidRDefault="00872643" w:rsidP="00AE0B34">
            <w:pPr>
              <w:spacing w:before="0" w:after="0"/>
              <w:rPr>
                <w:highlight w:val="red"/>
              </w:rPr>
            </w:pPr>
            <w:r w:rsidRPr="005D5059">
              <w:t xml:space="preserve">Northern Territory Government, </w:t>
            </w:r>
            <w:r w:rsidRPr="005D5059">
              <w:rPr>
                <w:i/>
              </w:rPr>
              <w:t>Safety is Everyone's Right: Northern Territory Domestic and Family Violence Reduction Strategy 2014-2017 Overview</w:t>
            </w:r>
            <w:r w:rsidRPr="005D5059">
              <w:t xml:space="preserve"> (2014).</w:t>
            </w:r>
          </w:p>
        </w:tc>
      </w:tr>
      <w:tr w:rsidR="00872643" w:rsidRPr="005D5059" w14:paraId="64314F42" w14:textId="77777777" w:rsidTr="00AE0B34">
        <w:trPr>
          <w:trHeight w:val="300"/>
        </w:trPr>
        <w:tc>
          <w:tcPr>
            <w:tcW w:w="1980" w:type="dxa"/>
            <w:noWrap/>
          </w:tcPr>
          <w:p w14:paraId="0452BBCC" w14:textId="77777777" w:rsidR="00872643" w:rsidRPr="005D5059" w:rsidRDefault="00872643" w:rsidP="00AE0B34">
            <w:pPr>
              <w:spacing w:before="0" w:after="0"/>
            </w:pPr>
            <w:r w:rsidRPr="005D5059">
              <w:t>Attachment 57.2</w:t>
            </w:r>
          </w:p>
        </w:tc>
        <w:tc>
          <w:tcPr>
            <w:tcW w:w="7229" w:type="dxa"/>
            <w:noWrap/>
          </w:tcPr>
          <w:p w14:paraId="74FB351B" w14:textId="77777777" w:rsidR="00872643" w:rsidRPr="005D5059" w:rsidRDefault="00872643" w:rsidP="00AE0B34">
            <w:pPr>
              <w:spacing w:before="0" w:after="0"/>
            </w:pPr>
            <w:r w:rsidRPr="005D5059">
              <w:t xml:space="preserve">Northern Territory Government, Submission No 158 to the Senate Finance and Public Administration Committee, </w:t>
            </w:r>
            <w:r w:rsidRPr="005D5059">
              <w:rPr>
                <w:i/>
              </w:rPr>
              <w:t>Inquiry into Domestic Violence in Australia</w:t>
            </w:r>
            <w:r w:rsidRPr="005D5059">
              <w:t>, November 2014.</w:t>
            </w:r>
          </w:p>
        </w:tc>
      </w:tr>
      <w:tr w:rsidR="00872643" w:rsidRPr="005D5059" w14:paraId="3DFEE4A2" w14:textId="77777777" w:rsidTr="00AE0B34">
        <w:trPr>
          <w:trHeight w:val="300"/>
        </w:trPr>
        <w:tc>
          <w:tcPr>
            <w:tcW w:w="1980" w:type="dxa"/>
            <w:noWrap/>
          </w:tcPr>
          <w:p w14:paraId="52BA79F5" w14:textId="77777777" w:rsidR="00872643" w:rsidRPr="005D5059" w:rsidRDefault="00872643" w:rsidP="00AE0B34">
            <w:pPr>
              <w:spacing w:before="0" w:after="0"/>
            </w:pPr>
            <w:r w:rsidRPr="005D5059">
              <w:t>Attachment 57.3</w:t>
            </w:r>
          </w:p>
        </w:tc>
        <w:tc>
          <w:tcPr>
            <w:tcW w:w="7229" w:type="dxa"/>
            <w:noWrap/>
          </w:tcPr>
          <w:p w14:paraId="56E583D2" w14:textId="77777777" w:rsidR="00872643" w:rsidRPr="005D5059" w:rsidRDefault="00872643" w:rsidP="00AE0B34">
            <w:pPr>
              <w:spacing w:before="0" w:after="0"/>
            </w:pPr>
            <w:r w:rsidRPr="005D5059">
              <w:rPr>
                <w:iCs/>
              </w:rPr>
              <w:t xml:space="preserve">Bruce Wilson, </w:t>
            </w:r>
            <w:r w:rsidRPr="005D5059">
              <w:rPr>
                <w:i/>
                <w:iCs/>
              </w:rPr>
              <w:t xml:space="preserve">A Share in the Future: </w:t>
            </w:r>
            <w:r w:rsidRPr="005D5059">
              <w:rPr>
                <w:i/>
              </w:rPr>
              <w:t>Review of Indigenous Education in the Northern Territory</w:t>
            </w:r>
            <w:r w:rsidRPr="005D5059">
              <w:t xml:space="preserve"> (2013).</w:t>
            </w:r>
          </w:p>
        </w:tc>
      </w:tr>
      <w:tr w:rsidR="00872643" w:rsidRPr="005D5059" w14:paraId="1E99C528" w14:textId="77777777" w:rsidTr="00AE0B34">
        <w:trPr>
          <w:trHeight w:val="300"/>
        </w:trPr>
        <w:tc>
          <w:tcPr>
            <w:tcW w:w="1980" w:type="dxa"/>
            <w:noWrap/>
          </w:tcPr>
          <w:p w14:paraId="7695F06B" w14:textId="77777777" w:rsidR="00872643" w:rsidRPr="005D5059" w:rsidRDefault="00872643" w:rsidP="00AE0B34">
            <w:pPr>
              <w:spacing w:before="0" w:after="0"/>
            </w:pPr>
            <w:r w:rsidRPr="005D5059">
              <w:t>Attachment 57.4</w:t>
            </w:r>
          </w:p>
        </w:tc>
        <w:tc>
          <w:tcPr>
            <w:tcW w:w="7229" w:type="dxa"/>
            <w:noWrap/>
          </w:tcPr>
          <w:p w14:paraId="71352357" w14:textId="77777777" w:rsidR="00872643" w:rsidRPr="005D5059" w:rsidRDefault="00872643" w:rsidP="00AE0B34">
            <w:pPr>
              <w:spacing w:before="0" w:after="0"/>
              <w:rPr>
                <w:highlight w:val="red"/>
              </w:rPr>
            </w:pPr>
            <w:r w:rsidRPr="005D5059">
              <w:t xml:space="preserve">Little Children are Sacred, Report of the Northern Territory Board of Inquiry into the Protection of Aboriginal Children from Sexual Abuse </w:t>
            </w:r>
          </w:p>
        </w:tc>
      </w:tr>
      <w:tr w:rsidR="00872643" w:rsidRPr="005D5059" w14:paraId="59FD4D4B" w14:textId="77777777" w:rsidTr="00AE0B34">
        <w:trPr>
          <w:trHeight w:val="300"/>
        </w:trPr>
        <w:tc>
          <w:tcPr>
            <w:tcW w:w="1980" w:type="dxa"/>
            <w:noWrap/>
          </w:tcPr>
          <w:p w14:paraId="0C2D4F73" w14:textId="77777777" w:rsidR="00872643" w:rsidRPr="005D5059" w:rsidRDefault="00872643" w:rsidP="00AE0B34">
            <w:pPr>
              <w:spacing w:before="0" w:after="0"/>
            </w:pPr>
            <w:r w:rsidRPr="005D5059">
              <w:t>58</w:t>
            </w:r>
          </w:p>
        </w:tc>
        <w:tc>
          <w:tcPr>
            <w:tcW w:w="7229" w:type="dxa"/>
            <w:noWrap/>
          </w:tcPr>
          <w:p w14:paraId="414D9FEE" w14:textId="77777777" w:rsidR="00872643" w:rsidRPr="005D5059" w:rsidRDefault="00872643" w:rsidP="00AE0B34">
            <w:pPr>
              <w:spacing w:before="0" w:after="0"/>
              <w:rPr>
                <w:highlight w:val="red"/>
              </w:rPr>
            </w:pPr>
            <w:r w:rsidRPr="005D5059">
              <w:t>Australian Association for Infant Mental Health, West Australian Branch</w:t>
            </w:r>
          </w:p>
        </w:tc>
      </w:tr>
      <w:tr w:rsidR="00872643" w:rsidRPr="005D5059" w14:paraId="6023D853" w14:textId="77777777" w:rsidTr="00AE0B34">
        <w:trPr>
          <w:trHeight w:val="300"/>
        </w:trPr>
        <w:tc>
          <w:tcPr>
            <w:tcW w:w="1980" w:type="dxa"/>
            <w:noWrap/>
          </w:tcPr>
          <w:p w14:paraId="658B1C4C" w14:textId="77777777" w:rsidR="00872643" w:rsidRPr="005D5059" w:rsidRDefault="00872643" w:rsidP="00AE0B34">
            <w:pPr>
              <w:spacing w:before="0" w:after="0"/>
            </w:pPr>
            <w:r w:rsidRPr="005D5059">
              <w:t>59</w:t>
            </w:r>
          </w:p>
        </w:tc>
        <w:tc>
          <w:tcPr>
            <w:tcW w:w="7229" w:type="dxa"/>
            <w:noWrap/>
          </w:tcPr>
          <w:p w14:paraId="24C97896" w14:textId="77777777" w:rsidR="00872643" w:rsidRPr="005D5059" w:rsidRDefault="00872643" w:rsidP="00AE0B34">
            <w:pPr>
              <w:spacing w:before="0" w:after="0"/>
            </w:pPr>
            <w:r w:rsidRPr="005D5059">
              <w:t>Kristy McKellar</w:t>
            </w:r>
          </w:p>
        </w:tc>
      </w:tr>
      <w:tr w:rsidR="00872643" w:rsidRPr="005D5059" w14:paraId="1CFA9B20" w14:textId="77777777" w:rsidTr="00AE0B34">
        <w:trPr>
          <w:trHeight w:val="300"/>
        </w:trPr>
        <w:tc>
          <w:tcPr>
            <w:tcW w:w="1980" w:type="dxa"/>
            <w:noWrap/>
          </w:tcPr>
          <w:p w14:paraId="5A2ECD14" w14:textId="77777777" w:rsidR="00872643" w:rsidRPr="005D5059" w:rsidRDefault="00872643" w:rsidP="00AE0B34">
            <w:pPr>
              <w:spacing w:before="0" w:after="0"/>
            </w:pPr>
            <w:r w:rsidRPr="005D5059">
              <w:t>60</w:t>
            </w:r>
          </w:p>
        </w:tc>
        <w:tc>
          <w:tcPr>
            <w:tcW w:w="7229" w:type="dxa"/>
            <w:noWrap/>
          </w:tcPr>
          <w:p w14:paraId="507E6BCE" w14:textId="77777777" w:rsidR="00872643" w:rsidRPr="005D5059" w:rsidRDefault="00872643" w:rsidP="00AE0B34">
            <w:pPr>
              <w:spacing w:before="0" w:after="0"/>
            </w:pPr>
            <w:r w:rsidRPr="005D5059">
              <w:t>Sharon Cooke</w:t>
            </w:r>
          </w:p>
        </w:tc>
      </w:tr>
      <w:tr w:rsidR="00872643" w:rsidRPr="005D5059" w14:paraId="64DEC34E" w14:textId="77777777" w:rsidTr="00AE0B34">
        <w:trPr>
          <w:trHeight w:val="300"/>
        </w:trPr>
        <w:tc>
          <w:tcPr>
            <w:tcW w:w="1980" w:type="dxa"/>
            <w:noWrap/>
          </w:tcPr>
          <w:p w14:paraId="551DD392" w14:textId="77777777" w:rsidR="00872643" w:rsidRPr="005D5059" w:rsidRDefault="00872643" w:rsidP="00AE0B34">
            <w:pPr>
              <w:spacing w:before="0" w:after="0"/>
            </w:pPr>
            <w:r w:rsidRPr="005D5059">
              <w:t xml:space="preserve">61 </w:t>
            </w:r>
          </w:p>
        </w:tc>
        <w:tc>
          <w:tcPr>
            <w:tcW w:w="7229" w:type="dxa"/>
            <w:noWrap/>
          </w:tcPr>
          <w:p w14:paraId="744A63AC" w14:textId="2A99DECE" w:rsidR="00872643" w:rsidRPr="005D5059" w:rsidRDefault="00E84AAD" w:rsidP="00AE0B34">
            <w:pPr>
              <w:spacing w:before="0" w:after="0"/>
            </w:pPr>
            <w:r>
              <w:t>CONFIDENTIAL</w:t>
            </w:r>
          </w:p>
        </w:tc>
      </w:tr>
      <w:tr w:rsidR="00872643" w:rsidRPr="005D5059" w14:paraId="33B619AA" w14:textId="77777777" w:rsidTr="00AE0B34">
        <w:trPr>
          <w:trHeight w:val="300"/>
        </w:trPr>
        <w:tc>
          <w:tcPr>
            <w:tcW w:w="1980" w:type="dxa"/>
            <w:noWrap/>
          </w:tcPr>
          <w:p w14:paraId="50F7710F" w14:textId="77777777" w:rsidR="00872643" w:rsidRPr="005D5059" w:rsidRDefault="00872643" w:rsidP="00AE0B34">
            <w:pPr>
              <w:spacing w:before="0" w:after="0"/>
            </w:pPr>
            <w:r w:rsidRPr="005D5059">
              <w:t>62</w:t>
            </w:r>
          </w:p>
        </w:tc>
        <w:tc>
          <w:tcPr>
            <w:tcW w:w="7229" w:type="dxa"/>
            <w:noWrap/>
          </w:tcPr>
          <w:p w14:paraId="3FB9319A" w14:textId="77777777" w:rsidR="00872643" w:rsidRPr="005D5059" w:rsidRDefault="00872643" w:rsidP="00AE0B34">
            <w:pPr>
              <w:spacing w:before="0" w:after="0"/>
            </w:pPr>
            <w:r w:rsidRPr="005D5059">
              <w:t xml:space="preserve">National Centre for Longitudinal Data, </w:t>
            </w:r>
          </w:p>
          <w:p w14:paraId="3EB0C307" w14:textId="77777777" w:rsidR="00872643" w:rsidRPr="005D5059" w:rsidRDefault="00872643" w:rsidP="00AE0B34">
            <w:pPr>
              <w:spacing w:before="0" w:after="0"/>
            </w:pPr>
            <w:r w:rsidRPr="005D5059">
              <w:t>Laura Bennetts Kneebone (LSIC)</w:t>
            </w:r>
          </w:p>
          <w:p w14:paraId="1E36B478" w14:textId="77777777" w:rsidR="00872643" w:rsidRPr="005D5059" w:rsidRDefault="00872643" w:rsidP="00AE0B34">
            <w:pPr>
              <w:spacing w:before="0" w:after="0"/>
            </w:pPr>
            <w:r w:rsidRPr="005D5059">
              <w:t>Helene Shin and Helen Rogers (LSAC)</w:t>
            </w:r>
          </w:p>
        </w:tc>
      </w:tr>
    </w:tbl>
    <w:p w14:paraId="42B9CF73" w14:textId="2235DCCB" w:rsidR="00872643" w:rsidRDefault="00872643" w:rsidP="00872643">
      <w:pPr>
        <w:pStyle w:val="Heading2"/>
        <w:numPr>
          <w:ilvl w:val="0"/>
          <w:numId w:val="0"/>
        </w:numPr>
        <w:ind w:left="851" w:hanging="851"/>
      </w:pPr>
      <w:bookmarkStart w:id="223" w:name="_Toc432577337"/>
      <w:r>
        <w:t xml:space="preserve">Appendix 6: National roundtables for my examination </w:t>
      </w:r>
      <w:r w:rsidR="009F7E40">
        <w:t>of</w:t>
      </w:r>
      <w:r>
        <w:t xml:space="preserve"> family and domestic violence affecting children</w:t>
      </w:r>
      <w:bookmarkEnd w:id="223"/>
    </w:p>
    <w:p w14:paraId="6E17B061" w14:textId="77777777" w:rsidR="00872643" w:rsidRPr="00780F69" w:rsidRDefault="00872643" w:rsidP="00872643">
      <w:pPr>
        <w:rPr>
          <w:color w:val="000000" w:themeColor="text1"/>
        </w:rPr>
      </w:pPr>
      <w:r w:rsidRPr="00780F69">
        <w:rPr>
          <w:color w:val="000000" w:themeColor="text1"/>
        </w:rPr>
        <w:t xml:space="preserve">National roundtables were held as part of the National Children’s Commissioner’s examination into </w:t>
      </w:r>
      <w:r w:rsidRPr="004761F3">
        <w:rPr>
          <w:color w:val="000000" w:themeColor="text1"/>
        </w:rPr>
        <w:t>children affected by family and domestic violence</w:t>
      </w:r>
      <w:r w:rsidRPr="00780F69">
        <w:rPr>
          <w:color w:val="000000" w:themeColor="text1"/>
        </w:rPr>
        <w:t xml:space="preserve">. </w:t>
      </w:r>
    </w:p>
    <w:p w14:paraId="1DD66EF4" w14:textId="77777777" w:rsidR="00872643" w:rsidRPr="00780F69" w:rsidRDefault="00872643" w:rsidP="00872643">
      <w:pPr>
        <w:rPr>
          <w:color w:val="000000" w:themeColor="text1"/>
        </w:rPr>
      </w:pPr>
      <w:r w:rsidRPr="00780F69">
        <w:rPr>
          <w:color w:val="000000" w:themeColor="text1"/>
        </w:rPr>
        <w:t>In order to stimulate discussion, up to two expert participants presented at each roundtable.</w:t>
      </w:r>
    </w:p>
    <w:tbl>
      <w:tblPr>
        <w:tblStyle w:val="TableGrid"/>
        <w:tblW w:w="0" w:type="auto"/>
        <w:tblLook w:val="04A0" w:firstRow="1" w:lastRow="0" w:firstColumn="1" w:lastColumn="0" w:noHBand="0" w:noVBand="1"/>
      </w:tblPr>
      <w:tblGrid>
        <w:gridCol w:w="1151"/>
        <w:gridCol w:w="6335"/>
        <w:gridCol w:w="1800"/>
      </w:tblGrid>
      <w:tr w:rsidR="00872643" w:rsidRPr="00780F69" w14:paraId="2940737F" w14:textId="77777777" w:rsidTr="00AE0B34">
        <w:tc>
          <w:tcPr>
            <w:tcW w:w="1101" w:type="dxa"/>
          </w:tcPr>
          <w:p w14:paraId="466B47E7" w14:textId="77777777" w:rsidR="00872643" w:rsidRPr="005D5059" w:rsidRDefault="00872643" w:rsidP="00AE0B34">
            <w:pPr>
              <w:rPr>
                <w:rFonts w:cs="Arial"/>
                <w:b/>
                <w:color w:val="000000" w:themeColor="text1"/>
              </w:rPr>
            </w:pPr>
            <w:r w:rsidRPr="005D5059">
              <w:rPr>
                <w:rFonts w:cs="Arial"/>
                <w:b/>
                <w:color w:val="000000" w:themeColor="text1"/>
              </w:rPr>
              <w:t>Date</w:t>
            </w:r>
          </w:p>
        </w:tc>
        <w:tc>
          <w:tcPr>
            <w:tcW w:w="6378" w:type="dxa"/>
          </w:tcPr>
          <w:p w14:paraId="1CB24AC7" w14:textId="77777777" w:rsidR="00872643" w:rsidRPr="005D5059" w:rsidRDefault="00872643" w:rsidP="00AE0B34">
            <w:pPr>
              <w:rPr>
                <w:rFonts w:cs="Arial"/>
                <w:b/>
                <w:color w:val="000000" w:themeColor="text1"/>
              </w:rPr>
            </w:pPr>
            <w:r w:rsidRPr="005D5059">
              <w:rPr>
                <w:rFonts w:cs="Arial"/>
                <w:b/>
                <w:color w:val="000000" w:themeColor="text1"/>
              </w:rPr>
              <w:t>Roundtable</w:t>
            </w:r>
          </w:p>
        </w:tc>
        <w:tc>
          <w:tcPr>
            <w:tcW w:w="1807" w:type="dxa"/>
          </w:tcPr>
          <w:p w14:paraId="7EEB704F" w14:textId="77777777" w:rsidR="00872643" w:rsidRPr="00780F69" w:rsidRDefault="00872643" w:rsidP="00AE0B34">
            <w:pPr>
              <w:rPr>
                <w:b/>
                <w:color w:val="000000" w:themeColor="text1"/>
                <w:sz w:val="20"/>
                <w:szCs w:val="20"/>
              </w:rPr>
            </w:pPr>
            <w:r w:rsidRPr="00780F69">
              <w:rPr>
                <w:b/>
                <w:color w:val="000000" w:themeColor="text1"/>
                <w:sz w:val="20"/>
                <w:szCs w:val="20"/>
              </w:rPr>
              <w:t>Location</w:t>
            </w:r>
          </w:p>
        </w:tc>
      </w:tr>
      <w:tr w:rsidR="00872643" w:rsidRPr="00780F69" w14:paraId="4AE11B1D" w14:textId="77777777" w:rsidTr="00AE0B34">
        <w:tc>
          <w:tcPr>
            <w:tcW w:w="1101" w:type="dxa"/>
          </w:tcPr>
          <w:p w14:paraId="289B9F16" w14:textId="77777777" w:rsidR="00872643" w:rsidRPr="005D5059" w:rsidRDefault="00872643" w:rsidP="00AE0B34">
            <w:pPr>
              <w:rPr>
                <w:rFonts w:cs="Arial"/>
                <w:color w:val="000000" w:themeColor="text1"/>
              </w:rPr>
            </w:pPr>
            <w:r w:rsidRPr="005D5059">
              <w:rPr>
                <w:rFonts w:cs="Arial"/>
                <w:color w:val="000000" w:themeColor="text1"/>
              </w:rPr>
              <w:t>19.05.15</w:t>
            </w:r>
          </w:p>
        </w:tc>
        <w:tc>
          <w:tcPr>
            <w:tcW w:w="6378" w:type="dxa"/>
          </w:tcPr>
          <w:p w14:paraId="7532E18F" w14:textId="77777777" w:rsidR="00872643" w:rsidRPr="005D5059" w:rsidRDefault="00872643" w:rsidP="00AE0B34">
            <w:pPr>
              <w:rPr>
                <w:rFonts w:cs="Arial"/>
                <w:color w:val="000000" w:themeColor="text1"/>
              </w:rPr>
            </w:pPr>
            <w:r w:rsidRPr="005D5059">
              <w:rPr>
                <w:rFonts w:cs="Arial"/>
                <w:color w:val="000000" w:themeColor="text1"/>
              </w:rPr>
              <w:t>People who were invited to attend the Victoria roundtable included:</w:t>
            </w:r>
          </w:p>
          <w:p w14:paraId="3C043199" w14:textId="77777777" w:rsidR="00872643" w:rsidRPr="005D5059" w:rsidRDefault="00872643" w:rsidP="000D1D92">
            <w:pPr>
              <w:pStyle w:val="ListParagraph"/>
              <w:numPr>
                <w:ilvl w:val="0"/>
                <w:numId w:val="78"/>
              </w:numPr>
              <w:rPr>
                <w:rFonts w:cs="Arial"/>
                <w:color w:val="000000" w:themeColor="text1"/>
              </w:rPr>
            </w:pPr>
            <w:r w:rsidRPr="005D5059">
              <w:rPr>
                <w:rFonts w:cs="Arial"/>
                <w:color w:val="000000" w:themeColor="text1"/>
              </w:rPr>
              <w:t>Dr Monica Campo, Senior Research Officer, Australian Institute of Family Studies (Presenter)</w:t>
            </w:r>
          </w:p>
          <w:p w14:paraId="07EF7DCC" w14:textId="77777777" w:rsidR="00872643" w:rsidRPr="005D5059" w:rsidRDefault="00872643" w:rsidP="000D1D92">
            <w:pPr>
              <w:pStyle w:val="ListParagraph"/>
              <w:numPr>
                <w:ilvl w:val="0"/>
                <w:numId w:val="77"/>
              </w:numPr>
              <w:rPr>
                <w:rFonts w:cs="Arial"/>
                <w:color w:val="000000" w:themeColor="text1"/>
              </w:rPr>
            </w:pPr>
            <w:r w:rsidRPr="005D5059">
              <w:rPr>
                <w:rFonts w:cs="Arial"/>
                <w:color w:val="000000" w:themeColor="text1"/>
              </w:rPr>
              <w:t xml:space="preserve">Samantha McNally, Assistant Director, National </w:t>
            </w:r>
            <w:r w:rsidRPr="005D5059">
              <w:rPr>
                <w:rFonts w:cs="Arial"/>
                <w:color w:val="000000" w:themeColor="text1"/>
              </w:rPr>
              <w:lastRenderedPageBreak/>
              <w:t>Centre for Crimes and Justice Statistics, Australian Bureau of Statistics (Presenter)</w:t>
            </w:r>
          </w:p>
          <w:p w14:paraId="09B9ABF7" w14:textId="77777777" w:rsidR="00872643" w:rsidRPr="005D5059" w:rsidRDefault="00872643" w:rsidP="000D1D92">
            <w:pPr>
              <w:pStyle w:val="ListParagraph"/>
              <w:numPr>
                <w:ilvl w:val="0"/>
                <w:numId w:val="77"/>
              </w:numPr>
              <w:rPr>
                <w:rFonts w:cs="Arial"/>
                <w:color w:val="000000" w:themeColor="text1"/>
              </w:rPr>
            </w:pPr>
            <w:r w:rsidRPr="005D5059">
              <w:rPr>
                <w:rFonts w:cs="Arial"/>
                <w:color w:val="000000" w:themeColor="text1"/>
              </w:rPr>
              <w:t>Associate Professor Deborah Loxton, Deputy Director, Australian Longitudinal Study on Women's Health</w:t>
            </w:r>
          </w:p>
          <w:p w14:paraId="3306E6B1" w14:textId="77777777" w:rsidR="00872643" w:rsidRPr="005D5059" w:rsidRDefault="00872643" w:rsidP="000D1D92">
            <w:pPr>
              <w:pStyle w:val="ListParagraph"/>
              <w:numPr>
                <w:ilvl w:val="0"/>
                <w:numId w:val="77"/>
              </w:numPr>
              <w:rPr>
                <w:rFonts w:cs="Arial"/>
                <w:color w:val="000000" w:themeColor="text1"/>
              </w:rPr>
            </w:pPr>
            <w:r w:rsidRPr="005D5059">
              <w:rPr>
                <w:rFonts w:cs="Arial"/>
                <w:color w:val="000000" w:themeColor="text1"/>
              </w:rPr>
              <w:t>Associate Professor Dr Jan Coles, Acting Director of Research and Research Studies, School of Primary Health Care,</w:t>
            </w:r>
            <w:r w:rsidRPr="005D5059">
              <w:rPr>
                <w:rFonts w:cs="Arial"/>
              </w:rPr>
              <w:t xml:space="preserve"> </w:t>
            </w:r>
            <w:r w:rsidRPr="005D5059">
              <w:rPr>
                <w:rFonts w:cs="Arial"/>
                <w:color w:val="000000" w:themeColor="text1"/>
              </w:rPr>
              <w:t>Monash University</w:t>
            </w:r>
          </w:p>
          <w:p w14:paraId="2ACCE47A" w14:textId="77777777" w:rsidR="00872643" w:rsidRPr="005D5059" w:rsidRDefault="00872643" w:rsidP="000D1D92">
            <w:pPr>
              <w:pStyle w:val="ListParagraph"/>
              <w:numPr>
                <w:ilvl w:val="0"/>
                <w:numId w:val="77"/>
              </w:numPr>
              <w:rPr>
                <w:rFonts w:cs="Arial"/>
                <w:color w:val="000000" w:themeColor="text1"/>
              </w:rPr>
            </w:pPr>
            <w:r w:rsidRPr="005D5059">
              <w:rPr>
                <w:rFonts w:cs="Arial"/>
                <w:color w:val="000000" w:themeColor="text1"/>
              </w:rPr>
              <w:t>Leesa Hooker, Lecturer in Nursing, Department of Rural Nursing and Midwifery, La Trobe University</w:t>
            </w:r>
          </w:p>
          <w:p w14:paraId="1165DD70" w14:textId="77777777" w:rsidR="00872643" w:rsidRPr="005D5059" w:rsidRDefault="00872643" w:rsidP="000D1D92">
            <w:pPr>
              <w:pStyle w:val="ListParagraph"/>
              <w:numPr>
                <w:ilvl w:val="0"/>
                <w:numId w:val="77"/>
              </w:numPr>
              <w:rPr>
                <w:rFonts w:cs="Arial"/>
                <w:color w:val="000000" w:themeColor="text1"/>
              </w:rPr>
            </w:pPr>
            <w:r w:rsidRPr="005D5059">
              <w:rPr>
                <w:rFonts w:cs="Arial"/>
                <w:color w:val="000000" w:themeColor="text1"/>
              </w:rPr>
              <w:t>Professor Jan Nicholson, Inaugural Roberta Holmes Professorial Chair, Judith Lumley Centre, La Trobe University</w:t>
            </w:r>
          </w:p>
          <w:p w14:paraId="0BECBF3F" w14:textId="77777777" w:rsidR="00872643" w:rsidRPr="005D5059" w:rsidRDefault="00872643" w:rsidP="000D1D92">
            <w:pPr>
              <w:pStyle w:val="ListParagraph"/>
              <w:numPr>
                <w:ilvl w:val="0"/>
                <w:numId w:val="77"/>
              </w:numPr>
              <w:rPr>
                <w:rFonts w:cs="Arial"/>
                <w:color w:val="000000" w:themeColor="text1"/>
              </w:rPr>
            </w:pPr>
            <w:r w:rsidRPr="005D5059">
              <w:rPr>
                <w:rFonts w:cs="Arial"/>
                <w:color w:val="000000" w:themeColor="text1"/>
              </w:rPr>
              <w:t>Adele Murdolo, Chief Executive Officer, Multicultural Centre for Women's Health</w:t>
            </w:r>
          </w:p>
          <w:p w14:paraId="14719826" w14:textId="77777777" w:rsidR="00872643" w:rsidRPr="005D5059" w:rsidRDefault="00872643" w:rsidP="000D1D92">
            <w:pPr>
              <w:pStyle w:val="ListParagraph"/>
              <w:numPr>
                <w:ilvl w:val="0"/>
                <w:numId w:val="77"/>
              </w:numPr>
              <w:rPr>
                <w:rFonts w:cs="Arial"/>
                <w:color w:val="000000" w:themeColor="text1"/>
              </w:rPr>
            </w:pPr>
            <w:r w:rsidRPr="005D5059">
              <w:rPr>
                <w:rFonts w:cs="Arial"/>
                <w:color w:val="000000" w:themeColor="text1"/>
              </w:rPr>
              <w:t>Alison MacDonald, Policy and Program Manager, Domestic Violence Victoria</w:t>
            </w:r>
          </w:p>
          <w:p w14:paraId="64E6AF7C" w14:textId="77777777" w:rsidR="00872643" w:rsidRPr="005D5059" w:rsidRDefault="00872643" w:rsidP="000D1D92">
            <w:pPr>
              <w:pStyle w:val="ListParagraph"/>
              <w:numPr>
                <w:ilvl w:val="0"/>
                <w:numId w:val="77"/>
              </w:numPr>
              <w:rPr>
                <w:rFonts w:cs="Arial"/>
                <w:color w:val="000000" w:themeColor="text1"/>
              </w:rPr>
            </w:pPr>
            <w:r w:rsidRPr="005D5059">
              <w:rPr>
                <w:rFonts w:cs="Arial"/>
                <w:color w:val="000000" w:themeColor="text1"/>
              </w:rPr>
              <w:t>Paul Linnossier, Chief Executive Officer, OurWATCH</w:t>
            </w:r>
          </w:p>
          <w:p w14:paraId="00E72568" w14:textId="77777777" w:rsidR="00872643" w:rsidRPr="005D5059" w:rsidRDefault="00872643" w:rsidP="000D1D92">
            <w:pPr>
              <w:pStyle w:val="ListParagraph"/>
              <w:numPr>
                <w:ilvl w:val="0"/>
                <w:numId w:val="77"/>
              </w:numPr>
              <w:rPr>
                <w:rFonts w:cs="Arial"/>
                <w:color w:val="000000" w:themeColor="text1"/>
              </w:rPr>
            </w:pPr>
            <w:r w:rsidRPr="005D5059">
              <w:rPr>
                <w:rFonts w:cs="Arial"/>
                <w:color w:val="000000" w:themeColor="text1"/>
              </w:rPr>
              <w:t>Antoinette Braybrook, Chief Executive Officer, Aboriginal Family Violence Prevention &amp; Legal Service Victoria</w:t>
            </w:r>
          </w:p>
          <w:p w14:paraId="3E92B5D6" w14:textId="77777777" w:rsidR="00872643" w:rsidRPr="005D5059" w:rsidRDefault="00872643" w:rsidP="000D1D92">
            <w:pPr>
              <w:pStyle w:val="ListParagraph"/>
              <w:numPr>
                <w:ilvl w:val="0"/>
                <w:numId w:val="77"/>
              </w:numPr>
              <w:rPr>
                <w:rFonts w:cs="Arial"/>
                <w:color w:val="000000" w:themeColor="text1"/>
              </w:rPr>
            </w:pPr>
            <w:r w:rsidRPr="005D5059">
              <w:rPr>
                <w:rFonts w:cs="Arial"/>
                <w:color w:val="000000" w:themeColor="text1"/>
              </w:rPr>
              <w:t>Laura Vines, Aboriginal Family Violence Prevention &amp; Legal Service Victoria</w:t>
            </w:r>
          </w:p>
          <w:p w14:paraId="1D56AF48" w14:textId="77777777" w:rsidR="00872643" w:rsidRPr="005D5059" w:rsidRDefault="00872643" w:rsidP="000D1D92">
            <w:pPr>
              <w:pStyle w:val="ListParagraph"/>
              <w:numPr>
                <w:ilvl w:val="0"/>
                <w:numId w:val="77"/>
              </w:numPr>
              <w:rPr>
                <w:rFonts w:cs="Arial"/>
                <w:color w:val="000000" w:themeColor="text1"/>
              </w:rPr>
            </w:pPr>
            <w:r w:rsidRPr="005D5059">
              <w:rPr>
                <w:rFonts w:cs="Arial"/>
                <w:color w:val="000000" w:themeColor="text1"/>
              </w:rPr>
              <w:t>David Giles, Manager, Quality Practice and Policy, Anglicare Victoria</w:t>
            </w:r>
          </w:p>
          <w:p w14:paraId="218F289C" w14:textId="77777777" w:rsidR="00872643" w:rsidRPr="005D5059" w:rsidRDefault="00872643" w:rsidP="000D1D92">
            <w:pPr>
              <w:pStyle w:val="ListParagraph"/>
              <w:numPr>
                <w:ilvl w:val="0"/>
                <w:numId w:val="77"/>
              </w:numPr>
              <w:rPr>
                <w:rFonts w:cs="Arial"/>
                <w:color w:val="000000" w:themeColor="text1"/>
              </w:rPr>
            </w:pPr>
            <w:r w:rsidRPr="005D5059">
              <w:rPr>
                <w:rFonts w:cs="Arial"/>
                <w:color w:val="000000" w:themeColor="text1"/>
              </w:rPr>
              <w:t>Julie Oberin, Chair, Women’s Services Network (WESNET)</w:t>
            </w:r>
          </w:p>
          <w:p w14:paraId="0C15BF25" w14:textId="77777777" w:rsidR="00872643" w:rsidRPr="005D5059" w:rsidRDefault="00872643" w:rsidP="000D1D92">
            <w:pPr>
              <w:pStyle w:val="ListParagraph"/>
              <w:numPr>
                <w:ilvl w:val="0"/>
                <w:numId w:val="77"/>
              </w:numPr>
              <w:rPr>
                <w:rFonts w:cs="Arial"/>
                <w:color w:val="000000" w:themeColor="text1"/>
              </w:rPr>
            </w:pPr>
            <w:r w:rsidRPr="005D5059">
              <w:rPr>
                <w:rFonts w:cs="Arial"/>
                <w:color w:val="000000" w:themeColor="text1"/>
              </w:rPr>
              <w:t>Mark Morrissey, Commissioner, Tasmanian Commission for Children</w:t>
            </w:r>
          </w:p>
          <w:p w14:paraId="39529315" w14:textId="77777777" w:rsidR="00872643" w:rsidRPr="005D5059" w:rsidRDefault="00872643" w:rsidP="000D1D92">
            <w:pPr>
              <w:pStyle w:val="ListParagraph"/>
              <w:numPr>
                <w:ilvl w:val="0"/>
                <w:numId w:val="77"/>
              </w:numPr>
              <w:rPr>
                <w:rFonts w:cs="Arial"/>
                <w:color w:val="000000" w:themeColor="text1"/>
              </w:rPr>
            </w:pPr>
            <w:r w:rsidRPr="005D5059">
              <w:rPr>
                <w:rFonts w:cs="Arial"/>
                <w:color w:val="000000" w:themeColor="text1"/>
              </w:rPr>
              <w:t>Winnie Bridie, Information, Membership &amp; Policy Support Officer, Children with Disability Australia</w:t>
            </w:r>
          </w:p>
          <w:p w14:paraId="2FE15FA7" w14:textId="77777777" w:rsidR="00872643" w:rsidRPr="005D5059" w:rsidRDefault="00872643" w:rsidP="000D1D92">
            <w:pPr>
              <w:pStyle w:val="ListParagraph"/>
              <w:numPr>
                <w:ilvl w:val="0"/>
                <w:numId w:val="77"/>
              </w:numPr>
              <w:rPr>
                <w:rFonts w:cs="Arial"/>
                <w:color w:val="000000" w:themeColor="text1"/>
              </w:rPr>
            </w:pPr>
            <w:r w:rsidRPr="005D5059">
              <w:rPr>
                <w:rFonts w:cs="Arial"/>
                <w:color w:val="000000" w:themeColor="text1"/>
              </w:rPr>
              <w:t>Soo-Lin Quek, Knowledge and Advocacy Manager, Centre for Multicultural Youth</w:t>
            </w:r>
          </w:p>
          <w:p w14:paraId="741F4708" w14:textId="77777777" w:rsidR="00872643" w:rsidRPr="005D5059" w:rsidRDefault="00872643" w:rsidP="000D1D92">
            <w:pPr>
              <w:pStyle w:val="ListParagraph"/>
              <w:numPr>
                <w:ilvl w:val="0"/>
                <w:numId w:val="77"/>
              </w:numPr>
              <w:rPr>
                <w:rFonts w:cs="Arial"/>
                <w:color w:val="000000" w:themeColor="text1"/>
              </w:rPr>
            </w:pPr>
            <w:r w:rsidRPr="005D5059">
              <w:rPr>
                <w:rFonts w:cs="Arial"/>
                <w:color w:val="000000" w:themeColor="text1"/>
              </w:rPr>
              <w:t>Bernadette Marantelli, Centre for Multicultural Youth</w:t>
            </w:r>
          </w:p>
          <w:p w14:paraId="6EF4F50A" w14:textId="77777777" w:rsidR="00872643" w:rsidRPr="005D5059" w:rsidRDefault="00872643" w:rsidP="000D1D92">
            <w:pPr>
              <w:pStyle w:val="ListParagraph"/>
              <w:numPr>
                <w:ilvl w:val="0"/>
                <w:numId w:val="77"/>
              </w:numPr>
              <w:rPr>
                <w:rFonts w:cs="Arial"/>
                <w:color w:val="000000" w:themeColor="text1"/>
              </w:rPr>
            </w:pPr>
            <w:r w:rsidRPr="005D5059">
              <w:rPr>
                <w:rFonts w:cs="Arial"/>
                <w:color w:val="000000" w:themeColor="text1"/>
              </w:rPr>
              <w:t>Emma Toone, Senior Clinician, Infant, Child &amp; Parent Program, Northern Family Violence Team, Berry Street</w:t>
            </w:r>
          </w:p>
          <w:p w14:paraId="466979A4" w14:textId="77777777" w:rsidR="00872643" w:rsidRPr="005D5059" w:rsidRDefault="00872643" w:rsidP="000D1D92">
            <w:pPr>
              <w:pStyle w:val="ListParagraph"/>
              <w:numPr>
                <w:ilvl w:val="0"/>
                <w:numId w:val="77"/>
              </w:numPr>
              <w:rPr>
                <w:rFonts w:cs="Arial"/>
                <w:color w:val="000000" w:themeColor="text1"/>
              </w:rPr>
            </w:pPr>
            <w:r w:rsidRPr="005D5059">
              <w:rPr>
                <w:rFonts w:cs="Arial"/>
                <w:color w:val="000000" w:themeColor="text1"/>
              </w:rPr>
              <w:t>Liz Murphy, Senior Project Officer, Preventing Violence Against Women, VicHealth</w:t>
            </w:r>
          </w:p>
          <w:p w14:paraId="576C6FE7" w14:textId="77777777" w:rsidR="00872643" w:rsidRPr="005D5059" w:rsidRDefault="00872643" w:rsidP="000D1D92">
            <w:pPr>
              <w:pStyle w:val="ListParagraph"/>
              <w:numPr>
                <w:ilvl w:val="0"/>
                <w:numId w:val="77"/>
              </w:numPr>
              <w:rPr>
                <w:rFonts w:cs="Arial"/>
                <w:color w:val="000000" w:themeColor="text1"/>
              </w:rPr>
            </w:pPr>
            <w:r w:rsidRPr="005D5059">
              <w:rPr>
                <w:rFonts w:cs="Arial"/>
                <w:color w:val="000000" w:themeColor="text1"/>
              </w:rPr>
              <w:t>Cara Gleeson, Senior Project Officer, Generating Equality and Respect, VicHealth</w:t>
            </w:r>
          </w:p>
          <w:p w14:paraId="760DDD43" w14:textId="77777777" w:rsidR="00872643" w:rsidRPr="005D5059" w:rsidRDefault="00872643" w:rsidP="000D1D92">
            <w:pPr>
              <w:pStyle w:val="ListParagraph"/>
              <w:numPr>
                <w:ilvl w:val="0"/>
                <w:numId w:val="77"/>
              </w:numPr>
              <w:rPr>
                <w:rFonts w:cs="Arial"/>
                <w:color w:val="000000" w:themeColor="text1"/>
              </w:rPr>
            </w:pPr>
            <w:r w:rsidRPr="005D5059">
              <w:rPr>
                <w:rFonts w:cs="Arial"/>
                <w:color w:val="000000" w:themeColor="text1"/>
              </w:rPr>
              <w:t>Dr Angela Spinney, Research Fellow, Swinburne University of Technology</w:t>
            </w:r>
          </w:p>
          <w:p w14:paraId="0CEE4635" w14:textId="77777777" w:rsidR="00872643" w:rsidRPr="005D5059" w:rsidRDefault="00872643" w:rsidP="000D1D92">
            <w:pPr>
              <w:pStyle w:val="ListParagraph"/>
              <w:numPr>
                <w:ilvl w:val="0"/>
                <w:numId w:val="77"/>
              </w:numPr>
              <w:rPr>
                <w:rFonts w:cs="Arial"/>
                <w:color w:val="000000" w:themeColor="text1"/>
              </w:rPr>
            </w:pPr>
            <w:r w:rsidRPr="005D5059">
              <w:rPr>
                <w:rFonts w:cs="Arial"/>
                <w:color w:val="000000" w:themeColor="text1"/>
              </w:rPr>
              <w:t>Geraldine Atkinson, Victorian Aboriginal Education Association</w:t>
            </w:r>
          </w:p>
          <w:p w14:paraId="2C082444" w14:textId="77777777" w:rsidR="00872643" w:rsidRPr="005D5059" w:rsidRDefault="00872643" w:rsidP="000D1D92">
            <w:pPr>
              <w:pStyle w:val="ListParagraph"/>
              <w:numPr>
                <w:ilvl w:val="0"/>
                <w:numId w:val="77"/>
              </w:numPr>
              <w:rPr>
                <w:rFonts w:cs="Arial"/>
                <w:color w:val="000000" w:themeColor="text1"/>
              </w:rPr>
            </w:pPr>
            <w:r w:rsidRPr="005D5059">
              <w:rPr>
                <w:rFonts w:cs="Arial"/>
                <w:color w:val="000000" w:themeColor="text1"/>
              </w:rPr>
              <w:t xml:space="preserve">John Burton, Manager, Policy and Resources, Secretariat of National Aboriginal and Islander </w:t>
            </w:r>
            <w:r w:rsidRPr="005D5059">
              <w:rPr>
                <w:rFonts w:cs="Arial"/>
                <w:color w:val="000000" w:themeColor="text1"/>
              </w:rPr>
              <w:lastRenderedPageBreak/>
              <w:t>Child Care</w:t>
            </w:r>
          </w:p>
        </w:tc>
        <w:tc>
          <w:tcPr>
            <w:tcW w:w="1807" w:type="dxa"/>
          </w:tcPr>
          <w:p w14:paraId="4F640358" w14:textId="77777777" w:rsidR="00872643" w:rsidRPr="00780F69" w:rsidRDefault="00872643" w:rsidP="00AE0B34">
            <w:pPr>
              <w:rPr>
                <w:color w:val="000000" w:themeColor="text1"/>
                <w:sz w:val="20"/>
                <w:szCs w:val="20"/>
              </w:rPr>
            </w:pPr>
            <w:r>
              <w:rPr>
                <w:color w:val="000000" w:themeColor="text1"/>
                <w:sz w:val="20"/>
                <w:szCs w:val="20"/>
              </w:rPr>
              <w:lastRenderedPageBreak/>
              <w:t>Melbourne</w:t>
            </w:r>
            <w:r w:rsidRPr="00780F69">
              <w:rPr>
                <w:color w:val="000000" w:themeColor="text1"/>
                <w:sz w:val="20"/>
                <w:szCs w:val="20"/>
              </w:rPr>
              <w:t xml:space="preserve">, </w:t>
            </w:r>
            <w:r>
              <w:rPr>
                <w:color w:val="000000" w:themeColor="text1"/>
                <w:sz w:val="20"/>
                <w:szCs w:val="20"/>
              </w:rPr>
              <w:t>VIC</w:t>
            </w:r>
          </w:p>
        </w:tc>
      </w:tr>
      <w:tr w:rsidR="00872643" w:rsidRPr="00780F69" w14:paraId="3C9731BC" w14:textId="77777777" w:rsidTr="00AE0B34">
        <w:tc>
          <w:tcPr>
            <w:tcW w:w="1101" w:type="dxa"/>
          </w:tcPr>
          <w:p w14:paraId="38DA00B3" w14:textId="77777777" w:rsidR="00872643" w:rsidRPr="005D5059" w:rsidRDefault="00872643" w:rsidP="00AE0B34">
            <w:pPr>
              <w:rPr>
                <w:rFonts w:cs="Arial"/>
                <w:color w:val="000000" w:themeColor="text1"/>
              </w:rPr>
            </w:pPr>
            <w:r w:rsidRPr="005D5059">
              <w:rPr>
                <w:rFonts w:cs="Arial"/>
                <w:color w:val="000000" w:themeColor="text1"/>
              </w:rPr>
              <w:lastRenderedPageBreak/>
              <w:t>22.05.15</w:t>
            </w:r>
          </w:p>
        </w:tc>
        <w:tc>
          <w:tcPr>
            <w:tcW w:w="6378" w:type="dxa"/>
          </w:tcPr>
          <w:p w14:paraId="1E59B2B7" w14:textId="77777777" w:rsidR="00872643" w:rsidRPr="005D5059" w:rsidRDefault="00872643" w:rsidP="00AE0B34">
            <w:pPr>
              <w:rPr>
                <w:rFonts w:cs="Arial"/>
                <w:color w:val="000000" w:themeColor="text1"/>
              </w:rPr>
            </w:pPr>
            <w:r w:rsidRPr="005D5059">
              <w:rPr>
                <w:rFonts w:cs="Arial"/>
                <w:color w:val="000000" w:themeColor="text1"/>
              </w:rPr>
              <w:t>People who were invited to attend the Queensland roundtable included:</w:t>
            </w:r>
          </w:p>
          <w:p w14:paraId="7229C83B" w14:textId="77777777" w:rsidR="00872643" w:rsidRPr="005D5059" w:rsidRDefault="00872643" w:rsidP="000D1D92">
            <w:pPr>
              <w:pStyle w:val="ListParagraph"/>
              <w:numPr>
                <w:ilvl w:val="0"/>
                <w:numId w:val="79"/>
              </w:numPr>
              <w:rPr>
                <w:rFonts w:cs="Arial"/>
                <w:color w:val="000000" w:themeColor="text1"/>
              </w:rPr>
            </w:pPr>
            <w:r w:rsidRPr="005D5059">
              <w:rPr>
                <w:rFonts w:cs="Arial"/>
                <w:color w:val="000000" w:themeColor="text1"/>
              </w:rPr>
              <w:t>Dr Samantha Jeffries, Senior Lecturer, Bachelor of Criminology and Criminal Justice Honours Program Director, Griffith University (Presenter)</w:t>
            </w:r>
          </w:p>
          <w:p w14:paraId="47F370A6" w14:textId="77777777" w:rsidR="00872643" w:rsidRPr="005D5059" w:rsidRDefault="00872643" w:rsidP="000D1D92">
            <w:pPr>
              <w:pStyle w:val="ListParagraph"/>
              <w:numPr>
                <w:ilvl w:val="0"/>
                <w:numId w:val="79"/>
              </w:numPr>
              <w:rPr>
                <w:rFonts w:cs="Arial"/>
                <w:color w:val="000000" w:themeColor="text1"/>
              </w:rPr>
            </w:pPr>
            <w:r w:rsidRPr="005D5059">
              <w:rPr>
                <w:rFonts w:cs="Arial"/>
                <w:color w:val="000000" w:themeColor="text1"/>
              </w:rPr>
              <w:t>John Dalgleish, Manager of Strategy and Research, BoysTown/Kids Helpline (Presenter)</w:t>
            </w:r>
          </w:p>
          <w:p w14:paraId="61357BD3" w14:textId="77777777" w:rsidR="00872643" w:rsidRPr="005D5059" w:rsidRDefault="00872643" w:rsidP="000D1D92">
            <w:pPr>
              <w:pStyle w:val="ListParagraph"/>
              <w:numPr>
                <w:ilvl w:val="0"/>
                <w:numId w:val="79"/>
              </w:numPr>
              <w:rPr>
                <w:rFonts w:cs="Arial"/>
                <w:color w:val="000000" w:themeColor="text1"/>
              </w:rPr>
            </w:pPr>
            <w:r w:rsidRPr="005D5059">
              <w:rPr>
                <w:rFonts w:cs="Arial"/>
                <w:color w:val="000000" w:themeColor="text1"/>
              </w:rPr>
              <w:t>Tracey Adams, Chief Executive Officer, BoysTown/Kids Helpline</w:t>
            </w:r>
          </w:p>
          <w:p w14:paraId="5BDC4097" w14:textId="77777777" w:rsidR="00872643" w:rsidRPr="005D5059" w:rsidRDefault="00872643" w:rsidP="000D1D92">
            <w:pPr>
              <w:pStyle w:val="ListParagraph"/>
              <w:numPr>
                <w:ilvl w:val="0"/>
                <w:numId w:val="79"/>
              </w:numPr>
              <w:rPr>
                <w:rFonts w:cs="Arial"/>
                <w:color w:val="000000" w:themeColor="text1"/>
              </w:rPr>
            </w:pPr>
            <w:r w:rsidRPr="005D5059">
              <w:rPr>
                <w:rFonts w:cs="Arial"/>
                <w:color w:val="000000" w:themeColor="text1"/>
              </w:rPr>
              <w:t>Professor Robert Lonne, Professor of Social Work, Faculty of Health, Queensland University of Technology</w:t>
            </w:r>
          </w:p>
          <w:p w14:paraId="2BA6D31F" w14:textId="77777777" w:rsidR="00872643" w:rsidRPr="005D5059" w:rsidRDefault="00872643" w:rsidP="000D1D92">
            <w:pPr>
              <w:pStyle w:val="ListParagraph"/>
              <w:numPr>
                <w:ilvl w:val="0"/>
                <w:numId w:val="79"/>
              </w:numPr>
              <w:rPr>
                <w:rFonts w:cs="Arial"/>
                <w:color w:val="000000" w:themeColor="text1"/>
              </w:rPr>
            </w:pPr>
            <w:r w:rsidRPr="005D5059">
              <w:rPr>
                <w:rFonts w:cs="Arial"/>
                <w:color w:val="000000" w:themeColor="text1"/>
              </w:rPr>
              <w:t>Steve Armitage, Principal Commissioner, Queensland Family and Child Commission</w:t>
            </w:r>
          </w:p>
          <w:p w14:paraId="39FE262D" w14:textId="77777777" w:rsidR="00872643" w:rsidRPr="005D5059" w:rsidRDefault="00872643" w:rsidP="000D1D92">
            <w:pPr>
              <w:pStyle w:val="ListParagraph"/>
              <w:numPr>
                <w:ilvl w:val="0"/>
                <w:numId w:val="79"/>
              </w:numPr>
              <w:rPr>
                <w:rFonts w:cs="Arial"/>
                <w:color w:val="000000" w:themeColor="text1"/>
              </w:rPr>
            </w:pPr>
            <w:r w:rsidRPr="005D5059">
              <w:rPr>
                <w:rFonts w:cs="Arial"/>
                <w:color w:val="000000" w:themeColor="text1"/>
              </w:rPr>
              <w:t>Cathy Taylor, Deputy Director General, Child , Family and Community Services, Queensland Department of Communities, Child Safety and Disability Services</w:t>
            </w:r>
          </w:p>
          <w:p w14:paraId="660B64FC" w14:textId="77777777" w:rsidR="00872643" w:rsidRPr="005D5059" w:rsidRDefault="00872643" w:rsidP="000D1D92">
            <w:pPr>
              <w:pStyle w:val="ListParagraph"/>
              <w:numPr>
                <w:ilvl w:val="0"/>
                <w:numId w:val="79"/>
              </w:numPr>
              <w:rPr>
                <w:rFonts w:cs="Arial"/>
                <w:color w:val="000000" w:themeColor="text1"/>
              </w:rPr>
            </w:pPr>
            <w:r w:rsidRPr="005D5059">
              <w:rPr>
                <w:rFonts w:cs="Arial"/>
                <w:color w:val="000000" w:themeColor="text1"/>
              </w:rPr>
              <w:t>Dr Annabel Taylor, Director, Queensland Centre for Domestic and Family Violence Research</w:t>
            </w:r>
          </w:p>
          <w:p w14:paraId="5E2E132D" w14:textId="77777777" w:rsidR="00872643" w:rsidRPr="005D5059" w:rsidRDefault="00872643" w:rsidP="000D1D92">
            <w:pPr>
              <w:pStyle w:val="ListParagraph"/>
              <w:numPr>
                <w:ilvl w:val="0"/>
                <w:numId w:val="79"/>
              </w:numPr>
              <w:rPr>
                <w:rFonts w:cs="Arial"/>
                <w:color w:val="000000" w:themeColor="text1"/>
              </w:rPr>
            </w:pPr>
            <w:r w:rsidRPr="005D5059">
              <w:rPr>
                <w:rFonts w:cs="Arial"/>
                <w:color w:val="000000" w:themeColor="text1"/>
              </w:rPr>
              <w:t>Angela Lynch, Community Legal Education Lawyer, Queensland Women's Legal Services</w:t>
            </w:r>
          </w:p>
          <w:p w14:paraId="28A29A50" w14:textId="77777777" w:rsidR="00872643" w:rsidRPr="005D5059" w:rsidRDefault="00872643" w:rsidP="000D1D92">
            <w:pPr>
              <w:pStyle w:val="ListParagraph"/>
              <w:numPr>
                <w:ilvl w:val="0"/>
                <w:numId w:val="79"/>
              </w:numPr>
              <w:rPr>
                <w:rFonts w:cs="Arial"/>
                <w:color w:val="000000" w:themeColor="text1"/>
              </w:rPr>
            </w:pPr>
            <w:r w:rsidRPr="005D5059">
              <w:rPr>
                <w:rFonts w:cs="Arial"/>
                <w:color w:val="000000" w:themeColor="text1"/>
              </w:rPr>
              <w:t>Rebecca Shearman, Operations Manager (DVAC) and Co-Convenor of DVCAN, Domestic Violence Action Centre</w:t>
            </w:r>
          </w:p>
          <w:p w14:paraId="0106B74C" w14:textId="3C9B47DB" w:rsidR="00872643" w:rsidRPr="005D5059" w:rsidRDefault="00872643" w:rsidP="000D1D92">
            <w:pPr>
              <w:pStyle w:val="ListParagraph"/>
              <w:numPr>
                <w:ilvl w:val="0"/>
                <w:numId w:val="79"/>
              </w:numPr>
              <w:rPr>
                <w:rFonts w:cs="Arial"/>
                <w:color w:val="000000" w:themeColor="text1"/>
              </w:rPr>
            </w:pPr>
            <w:r w:rsidRPr="005D5059">
              <w:rPr>
                <w:rFonts w:cs="Arial"/>
                <w:color w:val="000000" w:themeColor="text1"/>
              </w:rPr>
              <w:t xml:space="preserve">Janet Wright, Director, Youth Advocacy </w:t>
            </w:r>
            <w:r w:rsidR="00D158F8">
              <w:rPr>
                <w:rFonts w:cs="Arial"/>
                <w:color w:val="000000" w:themeColor="text1"/>
              </w:rPr>
              <w:t>C</w:t>
            </w:r>
            <w:r w:rsidRPr="005D5059">
              <w:rPr>
                <w:rFonts w:cs="Arial"/>
                <w:color w:val="000000" w:themeColor="text1"/>
              </w:rPr>
              <w:t>entre</w:t>
            </w:r>
          </w:p>
          <w:p w14:paraId="79B295FA" w14:textId="77777777" w:rsidR="00872643" w:rsidRPr="005D5059" w:rsidRDefault="00872643" w:rsidP="000D1D92">
            <w:pPr>
              <w:pStyle w:val="ListParagraph"/>
              <w:numPr>
                <w:ilvl w:val="0"/>
                <w:numId w:val="79"/>
              </w:numPr>
              <w:rPr>
                <w:rFonts w:cs="Arial"/>
                <w:color w:val="000000" w:themeColor="text1"/>
              </w:rPr>
            </w:pPr>
            <w:r w:rsidRPr="005D5059">
              <w:rPr>
                <w:rFonts w:cs="Arial"/>
                <w:color w:val="000000" w:themeColor="text1"/>
              </w:rPr>
              <w:t>Peta Nichol, Queensland Programs Manager, Save the Children Australia</w:t>
            </w:r>
          </w:p>
          <w:p w14:paraId="5330A0F0" w14:textId="77777777" w:rsidR="00872643" w:rsidRPr="005D5059" w:rsidRDefault="00872643" w:rsidP="000D1D92">
            <w:pPr>
              <w:pStyle w:val="ListParagraph"/>
              <w:numPr>
                <w:ilvl w:val="0"/>
                <w:numId w:val="79"/>
              </w:numPr>
              <w:rPr>
                <w:rFonts w:cs="Arial"/>
                <w:color w:val="000000" w:themeColor="text1"/>
              </w:rPr>
            </w:pPr>
            <w:r w:rsidRPr="005D5059">
              <w:rPr>
                <w:rFonts w:cs="Arial"/>
                <w:color w:val="000000" w:themeColor="text1"/>
              </w:rPr>
              <w:t>Trudi Peters, National Programs Manager, National Association for Prevention of Child Abuse and Neglect (NAPCAN)</w:t>
            </w:r>
          </w:p>
          <w:p w14:paraId="0B9B0C01" w14:textId="77777777" w:rsidR="00872643" w:rsidRPr="005D5059" w:rsidRDefault="00872643" w:rsidP="000D1D92">
            <w:pPr>
              <w:pStyle w:val="ListParagraph"/>
              <w:numPr>
                <w:ilvl w:val="0"/>
                <w:numId w:val="79"/>
              </w:numPr>
              <w:rPr>
                <w:rFonts w:cs="Arial"/>
                <w:color w:val="000000" w:themeColor="text1"/>
              </w:rPr>
            </w:pPr>
            <w:r w:rsidRPr="005D5059">
              <w:rPr>
                <w:rFonts w:cs="Arial"/>
                <w:color w:val="000000" w:themeColor="text1"/>
              </w:rPr>
              <w:t>Eddie Cubillo, Executive Officer, National Aboriginal and Torres Strait Islander Legal Services (NATSILS)</w:t>
            </w:r>
          </w:p>
          <w:p w14:paraId="56283CA8" w14:textId="77777777" w:rsidR="00872643" w:rsidRPr="005D5059" w:rsidRDefault="00872643" w:rsidP="000D1D92">
            <w:pPr>
              <w:pStyle w:val="ListParagraph"/>
              <w:numPr>
                <w:ilvl w:val="0"/>
                <w:numId w:val="79"/>
              </w:numPr>
              <w:rPr>
                <w:rFonts w:cs="Arial"/>
                <w:color w:val="000000" w:themeColor="text1"/>
              </w:rPr>
            </w:pPr>
            <w:r w:rsidRPr="005D5059">
              <w:rPr>
                <w:rFonts w:cs="Arial"/>
                <w:color w:val="000000" w:themeColor="text1"/>
              </w:rPr>
              <w:t>Natalie Lewis, Chief Executive Officer, Queensland Aboriginal and Torres Strait Islander Child Protection Peak</w:t>
            </w:r>
          </w:p>
        </w:tc>
        <w:tc>
          <w:tcPr>
            <w:tcW w:w="1807" w:type="dxa"/>
          </w:tcPr>
          <w:p w14:paraId="60ABDF02" w14:textId="77777777" w:rsidR="00872643" w:rsidRDefault="00872643" w:rsidP="00AE0B34">
            <w:pPr>
              <w:rPr>
                <w:color w:val="000000" w:themeColor="text1"/>
                <w:sz w:val="20"/>
                <w:szCs w:val="20"/>
              </w:rPr>
            </w:pPr>
            <w:r>
              <w:rPr>
                <w:color w:val="000000" w:themeColor="text1"/>
                <w:sz w:val="20"/>
                <w:szCs w:val="20"/>
              </w:rPr>
              <w:t>Brisbane, QLD</w:t>
            </w:r>
          </w:p>
        </w:tc>
      </w:tr>
      <w:tr w:rsidR="00872643" w:rsidRPr="00780F69" w14:paraId="687DF1C5" w14:textId="77777777" w:rsidTr="00AE0B34">
        <w:tc>
          <w:tcPr>
            <w:tcW w:w="1101" w:type="dxa"/>
          </w:tcPr>
          <w:p w14:paraId="0F5BC341" w14:textId="77777777" w:rsidR="00872643" w:rsidRPr="005D5059" w:rsidRDefault="00872643" w:rsidP="00AE0B34">
            <w:pPr>
              <w:rPr>
                <w:rFonts w:cs="Arial"/>
                <w:color w:val="000000" w:themeColor="text1"/>
              </w:rPr>
            </w:pPr>
            <w:r w:rsidRPr="005D5059">
              <w:rPr>
                <w:rFonts w:cs="Arial"/>
                <w:color w:val="000000" w:themeColor="text1"/>
              </w:rPr>
              <w:t>29.05.15</w:t>
            </w:r>
          </w:p>
        </w:tc>
        <w:tc>
          <w:tcPr>
            <w:tcW w:w="6378" w:type="dxa"/>
          </w:tcPr>
          <w:p w14:paraId="4E5E52CE" w14:textId="77777777" w:rsidR="00872643" w:rsidRPr="005D5059" w:rsidRDefault="00872643" w:rsidP="00AE0B34">
            <w:pPr>
              <w:rPr>
                <w:rFonts w:cs="Arial"/>
                <w:color w:val="000000" w:themeColor="text1"/>
              </w:rPr>
            </w:pPr>
            <w:r w:rsidRPr="005D5059">
              <w:rPr>
                <w:rFonts w:cs="Arial"/>
                <w:color w:val="000000" w:themeColor="text1"/>
              </w:rPr>
              <w:t>People who were invited to attend the New South Wales roundtable included:</w:t>
            </w:r>
          </w:p>
          <w:p w14:paraId="139B7989" w14:textId="77777777" w:rsidR="00872643" w:rsidRPr="005D5059" w:rsidRDefault="00872643" w:rsidP="000D1D92">
            <w:pPr>
              <w:pStyle w:val="ListParagraph"/>
              <w:numPr>
                <w:ilvl w:val="0"/>
                <w:numId w:val="80"/>
              </w:numPr>
              <w:rPr>
                <w:rFonts w:cs="Arial"/>
                <w:color w:val="000000" w:themeColor="text1"/>
              </w:rPr>
            </w:pPr>
            <w:r w:rsidRPr="005D5059">
              <w:rPr>
                <w:rFonts w:cs="Arial"/>
                <w:color w:val="000000" w:themeColor="text1"/>
              </w:rPr>
              <w:t>Lara Fergus,  Director of Policy and Evaluation, OurWATCH (Presenter)</w:t>
            </w:r>
          </w:p>
          <w:p w14:paraId="4E92484C" w14:textId="77777777" w:rsidR="00872643" w:rsidRPr="005D5059" w:rsidRDefault="00872643" w:rsidP="000D1D92">
            <w:pPr>
              <w:pStyle w:val="ListParagraph"/>
              <w:numPr>
                <w:ilvl w:val="0"/>
                <w:numId w:val="80"/>
              </w:numPr>
              <w:rPr>
                <w:rFonts w:cs="Arial"/>
                <w:color w:val="000000" w:themeColor="text1"/>
              </w:rPr>
            </w:pPr>
            <w:r w:rsidRPr="005D5059">
              <w:rPr>
                <w:rFonts w:cs="Arial"/>
                <w:color w:val="000000" w:themeColor="text1"/>
              </w:rPr>
              <w:t>Heather Nancarrow, Chief Executive Officer, Australia’s National Research Organisation for Women’s Safety (ANROWS) (Presenter)</w:t>
            </w:r>
          </w:p>
          <w:p w14:paraId="5CEC690B" w14:textId="77777777" w:rsidR="00872643" w:rsidRPr="005D5059" w:rsidRDefault="00872643" w:rsidP="000D1D92">
            <w:pPr>
              <w:pStyle w:val="ListParagraph"/>
              <w:numPr>
                <w:ilvl w:val="0"/>
                <w:numId w:val="80"/>
              </w:numPr>
              <w:rPr>
                <w:rFonts w:cs="Arial"/>
                <w:color w:val="000000" w:themeColor="text1"/>
              </w:rPr>
            </w:pPr>
            <w:r w:rsidRPr="005D5059">
              <w:rPr>
                <w:rFonts w:cs="Arial"/>
                <w:color w:val="000000" w:themeColor="text1"/>
              </w:rPr>
              <w:lastRenderedPageBreak/>
              <w:t>Anne Hollonds, Co-Chair, NSW Domestic and Family Violence Council</w:t>
            </w:r>
          </w:p>
          <w:p w14:paraId="7486B83D" w14:textId="77777777" w:rsidR="00872643" w:rsidRPr="005D5059" w:rsidRDefault="00872643" w:rsidP="000D1D92">
            <w:pPr>
              <w:pStyle w:val="ListParagraph"/>
              <w:numPr>
                <w:ilvl w:val="0"/>
                <w:numId w:val="80"/>
              </w:numPr>
              <w:rPr>
                <w:rFonts w:cs="Arial"/>
                <w:color w:val="000000" w:themeColor="text1"/>
              </w:rPr>
            </w:pPr>
            <w:r w:rsidRPr="005D5059">
              <w:rPr>
                <w:rFonts w:cs="Arial"/>
                <w:color w:val="000000" w:themeColor="text1"/>
              </w:rPr>
              <w:t>Jennifer Evans, National Project Lead, Child Protection, Australian Red Cross</w:t>
            </w:r>
          </w:p>
          <w:p w14:paraId="6F56F5EB" w14:textId="77777777" w:rsidR="00872643" w:rsidRPr="005D5059" w:rsidRDefault="00872643" w:rsidP="000D1D92">
            <w:pPr>
              <w:pStyle w:val="ListParagraph"/>
              <w:numPr>
                <w:ilvl w:val="0"/>
                <w:numId w:val="80"/>
              </w:numPr>
              <w:rPr>
                <w:rFonts w:cs="Arial"/>
                <w:color w:val="000000" w:themeColor="text1"/>
              </w:rPr>
            </w:pPr>
            <w:r w:rsidRPr="005D5059">
              <w:rPr>
                <w:rFonts w:cs="Arial"/>
                <w:color w:val="000000" w:themeColor="text1"/>
              </w:rPr>
              <w:t>Rebecca Gray, Manager of Research and Evaluation, Relationships Australia NSW</w:t>
            </w:r>
          </w:p>
          <w:p w14:paraId="762518A7" w14:textId="77777777" w:rsidR="00872643" w:rsidRPr="005D5059" w:rsidRDefault="00872643" w:rsidP="000D1D92">
            <w:pPr>
              <w:pStyle w:val="ListParagraph"/>
              <w:numPr>
                <w:ilvl w:val="0"/>
                <w:numId w:val="80"/>
              </w:numPr>
              <w:rPr>
                <w:rFonts w:cs="Arial"/>
                <w:color w:val="000000" w:themeColor="text1"/>
              </w:rPr>
            </w:pPr>
            <w:r w:rsidRPr="005D5059">
              <w:rPr>
                <w:rFonts w:cs="Arial"/>
                <w:color w:val="000000" w:themeColor="text1"/>
              </w:rPr>
              <w:t xml:space="preserve">Catherine Yeomans, Chief Executive Officer, Mission Australia </w:t>
            </w:r>
          </w:p>
          <w:p w14:paraId="082FA83F" w14:textId="77777777" w:rsidR="00872643" w:rsidRPr="005D5059" w:rsidRDefault="00872643" w:rsidP="000D1D92">
            <w:pPr>
              <w:pStyle w:val="ListParagraph"/>
              <w:numPr>
                <w:ilvl w:val="0"/>
                <w:numId w:val="80"/>
              </w:numPr>
              <w:rPr>
                <w:rFonts w:cs="Arial"/>
                <w:color w:val="000000" w:themeColor="text1"/>
              </w:rPr>
            </w:pPr>
            <w:r w:rsidRPr="005D5059">
              <w:rPr>
                <w:rFonts w:cs="Arial"/>
                <w:color w:val="000000" w:themeColor="text1"/>
              </w:rPr>
              <w:t>Dr Jess Cadwallader, Advocacy Project Manager, People with Disability Australia</w:t>
            </w:r>
          </w:p>
          <w:p w14:paraId="275629D1" w14:textId="77777777" w:rsidR="00872643" w:rsidRPr="005D5059" w:rsidRDefault="00872643" w:rsidP="000D1D92">
            <w:pPr>
              <w:pStyle w:val="ListParagraph"/>
              <w:numPr>
                <w:ilvl w:val="0"/>
                <w:numId w:val="80"/>
              </w:numPr>
              <w:rPr>
                <w:rFonts w:cs="Arial"/>
                <w:color w:val="000000" w:themeColor="text1"/>
              </w:rPr>
            </w:pPr>
            <w:r w:rsidRPr="005D5059">
              <w:rPr>
                <w:rFonts w:cs="Arial"/>
                <w:color w:val="000000" w:themeColor="text1"/>
              </w:rPr>
              <w:t>Marilyn Chivers, Executive Director, NSW Department of Family and Community Services</w:t>
            </w:r>
          </w:p>
          <w:p w14:paraId="2F8F01DB" w14:textId="77777777" w:rsidR="00872643" w:rsidRPr="005D5059" w:rsidRDefault="00872643" w:rsidP="000D1D92">
            <w:pPr>
              <w:pStyle w:val="ListParagraph"/>
              <w:numPr>
                <w:ilvl w:val="0"/>
                <w:numId w:val="80"/>
              </w:numPr>
              <w:rPr>
                <w:rFonts w:cs="Arial"/>
                <w:color w:val="000000" w:themeColor="text1"/>
              </w:rPr>
            </w:pPr>
            <w:r w:rsidRPr="005D5059">
              <w:rPr>
                <w:rFonts w:cs="Arial"/>
                <w:color w:val="000000" w:themeColor="text1"/>
              </w:rPr>
              <w:t>Sandra Heirot, Director of Practice Quality and Clinical Support, NSW Department of Family and Community Services</w:t>
            </w:r>
          </w:p>
          <w:p w14:paraId="1C46FA9D" w14:textId="77777777" w:rsidR="00872643" w:rsidRPr="005D5059" w:rsidRDefault="00872643" w:rsidP="000D1D92">
            <w:pPr>
              <w:pStyle w:val="ListParagraph"/>
              <w:numPr>
                <w:ilvl w:val="0"/>
                <w:numId w:val="80"/>
              </w:numPr>
              <w:rPr>
                <w:rFonts w:cs="Arial"/>
                <w:color w:val="000000" w:themeColor="text1"/>
              </w:rPr>
            </w:pPr>
            <w:r w:rsidRPr="005D5059">
              <w:rPr>
                <w:rFonts w:cs="Arial"/>
                <w:color w:val="000000" w:themeColor="text1"/>
              </w:rPr>
              <w:t>Christine Foran, Executive Director, Women NSW</w:t>
            </w:r>
          </w:p>
          <w:p w14:paraId="6A091A85" w14:textId="77777777" w:rsidR="00872643" w:rsidRPr="005D5059" w:rsidRDefault="00872643" w:rsidP="000D1D92">
            <w:pPr>
              <w:pStyle w:val="ListParagraph"/>
              <w:numPr>
                <w:ilvl w:val="0"/>
                <w:numId w:val="80"/>
              </w:numPr>
              <w:rPr>
                <w:rFonts w:cs="Arial"/>
                <w:color w:val="000000" w:themeColor="text1"/>
              </w:rPr>
            </w:pPr>
            <w:r w:rsidRPr="005D5059">
              <w:rPr>
                <w:rFonts w:cs="Arial"/>
                <w:color w:val="000000" w:themeColor="text1"/>
              </w:rPr>
              <w:t>Dr Kyllie Cripps, Acting Director, Indigenous Law Centre</w:t>
            </w:r>
          </w:p>
          <w:p w14:paraId="7A4B5713" w14:textId="77777777" w:rsidR="00872643" w:rsidRPr="005D5059" w:rsidRDefault="00872643" w:rsidP="000D1D92">
            <w:pPr>
              <w:pStyle w:val="ListParagraph"/>
              <w:numPr>
                <w:ilvl w:val="0"/>
                <w:numId w:val="80"/>
              </w:numPr>
              <w:rPr>
                <w:rFonts w:cs="Arial"/>
                <w:color w:val="000000" w:themeColor="text1"/>
              </w:rPr>
            </w:pPr>
            <w:r w:rsidRPr="005D5059">
              <w:rPr>
                <w:rFonts w:cs="Arial"/>
                <w:color w:val="000000" w:themeColor="text1"/>
              </w:rPr>
              <w:t>Dr Jane Wangmann, Senior Lecturer, Faculty of Law, University of Technology, Sydney</w:t>
            </w:r>
          </w:p>
          <w:p w14:paraId="37587049" w14:textId="77777777" w:rsidR="00872643" w:rsidRPr="005D5059" w:rsidRDefault="00872643" w:rsidP="000D1D92">
            <w:pPr>
              <w:pStyle w:val="ListParagraph"/>
              <w:numPr>
                <w:ilvl w:val="0"/>
                <w:numId w:val="80"/>
              </w:numPr>
              <w:rPr>
                <w:rFonts w:cs="Arial"/>
                <w:color w:val="000000" w:themeColor="text1"/>
              </w:rPr>
            </w:pPr>
            <w:r w:rsidRPr="005D5059">
              <w:rPr>
                <w:rFonts w:cs="Arial"/>
                <w:color w:val="000000" w:themeColor="text1"/>
              </w:rPr>
              <w:t>Kate Smithers, Senior Project Officer, NSW Ombudsman</w:t>
            </w:r>
          </w:p>
          <w:p w14:paraId="56D86813" w14:textId="77777777" w:rsidR="00872643" w:rsidRPr="005D5059" w:rsidRDefault="00872643" w:rsidP="000D1D92">
            <w:pPr>
              <w:pStyle w:val="ListParagraph"/>
              <w:numPr>
                <w:ilvl w:val="0"/>
                <w:numId w:val="80"/>
              </w:numPr>
              <w:rPr>
                <w:rFonts w:cs="Arial"/>
                <w:color w:val="000000" w:themeColor="text1"/>
              </w:rPr>
            </w:pPr>
            <w:r w:rsidRPr="005D5059">
              <w:rPr>
                <w:rFonts w:cs="Arial"/>
                <w:color w:val="000000" w:themeColor="text1"/>
              </w:rPr>
              <w:t>Luke Freudenstein APM, Redfern Local Area Command, NSW Police</w:t>
            </w:r>
          </w:p>
          <w:p w14:paraId="471D8CA6" w14:textId="77777777" w:rsidR="00872643" w:rsidRPr="005D5059" w:rsidRDefault="00872643" w:rsidP="000D1D92">
            <w:pPr>
              <w:pStyle w:val="ListParagraph"/>
              <w:numPr>
                <w:ilvl w:val="0"/>
                <w:numId w:val="80"/>
              </w:numPr>
              <w:rPr>
                <w:rFonts w:cs="Arial"/>
                <w:color w:val="000000" w:themeColor="text1"/>
              </w:rPr>
            </w:pPr>
            <w:r w:rsidRPr="005D5059">
              <w:rPr>
                <w:rFonts w:cs="Arial"/>
                <w:color w:val="000000" w:themeColor="text1"/>
              </w:rPr>
              <w:t>Moo Baulch, Chief Executive Officer, Domestic Violence NSW</w:t>
            </w:r>
          </w:p>
          <w:p w14:paraId="53A99DC9" w14:textId="77777777" w:rsidR="00872643" w:rsidRPr="005D5059" w:rsidRDefault="00872643" w:rsidP="000D1D92">
            <w:pPr>
              <w:pStyle w:val="ListParagraph"/>
              <w:numPr>
                <w:ilvl w:val="0"/>
                <w:numId w:val="80"/>
              </w:numPr>
              <w:rPr>
                <w:rFonts w:cs="Arial"/>
                <w:color w:val="000000" w:themeColor="text1"/>
              </w:rPr>
            </w:pPr>
            <w:r w:rsidRPr="005D5059">
              <w:rPr>
                <w:rFonts w:cs="Arial"/>
                <w:color w:val="000000" w:themeColor="text1"/>
              </w:rPr>
              <w:t>Martha Birch, Coordinator, Perinatal and Infant Mental Health Program, NSW Institute of Psychiatry</w:t>
            </w:r>
          </w:p>
        </w:tc>
        <w:tc>
          <w:tcPr>
            <w:tcW w:w="1807" w:type="dxa"/>
          </w:tcPr>
          <w:p w14:paraId="2D170DEC" w14:textId="77777777" w:rsidR="00872643" w:rsidRDefault="00872643" w:rsidP="00AE0B34">
            <w:pPr>
              <w:rPr>
                <w:color w:val="000000" w:themeColor="text1"/>
                <w:sz w:val="20"/>
                <w:szCs w:val="20"/>
              </w:rPr>
            </w:pPr>
            <w:r>
              <w:rPr>
                <w:color w:val="000000" w:themeColor="text1"/>
                <w:sz w:val="20"/>
                <w:szCs w:val="20"/>
              </w:rPr>
              <w:lastRenderedPageBreak/>
              <w:t>Sydney, NSW</w:t>
            </w:r>
          </w:p>
        </w:tc>
      </w:tr>
      <w:tr w:rsidR="00872643" w:rsidRPr="00780F69" w14:paraId="2BA01799" w14:textId="77777777" w:rsidTr="00AE0B34">
        <w:tc>
          <w:tcPr>
            <w:tcW w:w="1101" w:type="dxa"/>
          </w:tcPr>
          <w:p w14:paraId="42B10701" w14:textId="77777777" w:rsidR="00872643" w:rsidRPr="005D5059" w:rsidRDefault="00872643" w:rsidP="00AE0B34">
            <w:pPr>
              <w:rPr>
                <w:rFonts w:cs="Arial"/>
                <w:color w:val="000000" w:themeColor="text1"/>
              </w:rPr>
            </w:pPr>
            <w:r w:rsidRPr="005D5059">
              <w:rPr>
                <w:rFonts w:cs="Arial"/>
                <w:color w:val="000000" w:themeColor="text1"/>
              </w:rPr>
              <w:lastRenderedPageBreak/>
              <w:t>01.06.15</w:t>
            </w:r>
          </w:p>
        </w:tc>
        <w:tc>
          <w:tcPr>
            <w:tcW w:w="6378" w:type="dxa"/>
          </w:tcPr>
          <w:p w14:paraId="1C66958B" w14:textId="77777777" w:rsidR="00872643" w:rsidRPr="005D5059" w:rsidRDefault="00872643" w:rsidP="00AE0B34">
            <w:pPr>
              <w:rPr>
                <w:rFonts w:cs="Arial"/>
                <w:color w:val="000000" w:themeColor="text1"/>
              </w:rPr>
            </w:pPr>
            <w:r w:rsidRPr="005D5059">
              <w:rPr>
                <w:rFonts w:cs="Arial"/>
                <w:color w:val="000000" w:themeColor="text1"/>
              </w:rPr>
              <w:t>People who were invited to attend the Australian Capital Territory roundtable included:</w:t>
            </w:r>
          </w:p>
          <w:p w14:paraId="2683C9B8" w14:textId="77777777" w:rsidR="00872643" w:rsidRPr="005D5059" w:rsidRDefault="00872643" w:rsidP="000D1D92">
            <w:pPr>
              <w:pStyle w:val="ListParagraph"/>
              <w:numPr>
                <w:ilvl w:val="0"/>
                <w:numId w:val="81"/>
              </w:numPr>
              <w:rPr>
                <w:rFonts w:cs="Arial"/>
                <w:color w:val="000000" w:themeColor="text1"/>
              </w:rPr>
            </w:pPr>
            <w:r w:rsidRPr="005D5059">
              <w:rPr>
                <w:rFonts w:cs="Arial"/>
                <w:color w:val="000000" w:themeColor="text1"/>
              </w:rPr>
              <w:t>Dr Samantha Bricknell, Research Manager, Violence and Exploitation, Australian Institute of Criminology (Presenter)</w:t>
            </w:r>
          </w:p>
          <w:p w14:paraId="28DE519D" w14:textId="77777777" w:rsidR="00872643" w:rsidRPr="005D5059" w:rsidRDefault="00872643" w:rsidP="000D1D92">
            <w:pPr>
              <w:pStyle w:val="ListParagraph"/>
              <w:numPr>
                <w:ilvl w:val="0"/>
                <w:numId w:val="81"/>
              </w:numPr>
              <w:rPr>
                <w:rFonts w:cs="Arial"/>
                <w:color w:val="000000" w:themeColor="text1"/>
              </w:rPr>
            </w:pPr>
            <w:r w:rsidRPr="005D5059">
              <w:rPr>
                <w:rFonts w:cs="Arial"/>
                <w:color w:val="000000" w:themeColor="text1"/>
              </w:rPr>
              <w:t>Dr Sue Packer AM, Member, ACT Domestic Violence and Prevention Council (Presenter)</w:t>
            </w:r>
          </w:p>
          <w:p w14:paraId="73EDCF98" w14:textId="77777777" w:rsidR="00872643" w:rsidRPr="005D5059" w:rsidRDefault="00872643" w:rsidP="000D1D92">
            <w:pPr>
              <w:pStyle w:val="ListParagraph"/>
              <w:numPr>
                <w:ilvl w:val="0"/>
                <w:numId w:val="81"/>
              </w:numPr>
              <w:rPr>
                <w:rFonts w:cs="Arial"/>
                <w:color w:val="000000" w:themeColor="text1"/>
              </w:rPr>
            </w:pPr>
            <w:r w:rsidRPr="005D5059">
              <w:rPr>
                <w:rFonts w:cs="Arial"/>
                <w:color w:val="000000" w:themeColor="text1"/>
              </w:rPr>
              <w:t>Paula Mance, National Policy Manager, Relationships Australia</w:t>
            </w:r>
          </w:p>
          <w:p w14:paraId="0541F914" w14:textId="77777777" w:rsidR="00872643" w:rsidRPr="005D5059" w:rsidRDefault="00872643" w:rsidP="000D1D92">
            <w:pPr>
              <w:pStyle w:val="ListParagraph"/>
              <w:numPr>
                <w:ilvl w:val="0"/>
                <w:numId w:val="81"/>
              </w:numPr>
              <w:rPr>
                <w:rFonts w:cs="Arial"/>
                <w:color w:val="000000" w:themeColor="text1"/>
              </w:rPr>
            </w:pPr>
            <w:r w:rsidRPr="005D5059">
              <w:rPr>
                <w:rFonts w:cs="Arial"/>
                <w:color w:val="000000" w:themeColor="text1"/>
              </w:rPr>
              <w:t>Alison Brook, National Executive Officer, Relationships Australia</w:t>
            </w:r>
          </w:p>
          <w:p w14:paraId="4EFD154F" w14:textId="77777777" w:rsidR="00872643" w:rsidRPr="005D5059" w:rsidRDefault="00872643" w:rsidP="000D1D92">
            <w:pPr>
              <w:pStyle w:val="ListParagraph"/>
              <w:numPr>
                <w:ilvl w:val="0"/>
                <w:numId w:val="81"/>
              </w:numPr>
              <w:rPr>
                <w:rFonts w:cs="Arial"/>
                <w:color w:val="000000" w:themeColor="text1"/>
              </w:rPr>
            </w:pPr>
            <w:r w:rsidRPr="005D5059">
              <w:rPr>
                <w:rFonts w:cs="Arial"/>
                <w:color w:val="000000" w:themeColor="text1"/>
              </w:rPr>
              <w:t>Cate McKenzie, Group Manager, Family Safety Taskforce, Department of Social Services</w:t>
            </w:r>
          </w:p>
          <w:p w14:paraId="5E275582" w14:textId="77777777" w:rsidR="00872643" w:rsidRPr="005D5059" w:rsidRDefault="00872643" w:rsidP="000D1D92">
            <w:pPr>
              <w:pStyle w:val="ListParagraph"/>
              <w:numPr>
                <w:ilvl w:val="0"/>
                <w:numId w:val="81"/>
              </w:numPr>
              <w:rPr>
                <w:rFonts w:cs="Arial"/>
                <w:color w:val="000000" w:themeColor="text1"/>
              </w:rPr>
            </w:pPr>
            <w:r w:rsidRPr="005D5059">
              <w:rPr>
                <w:rFonts w:cs="Arial"/>
                <w:color w:val="000000" w:themeColor="text1"/>
              </w:rPr>
              <w:t>Amy Laffan, Managing Director, Family Safety Taskforce, Department of Social Services</w:t>
            </w:r>
          </w:p>
          <w:p w14:paraId="260845F4" w14:textId="77777777" w:rsidR="00872643" w:rsidRPr="005D5059" w:rsidRDefault="00872643" w:rsidP="000D1D92">
            <w:pPr>
              <w:pStyle w:val="ListParagraph"/>
              <w:numPr>
                <w:ilvl w:val="0"/>
                <w:numId w:val="81"/>
              </w:numPr>
              <w:rPr>
                <w:rFonts w:cs="Arial"/>
                <w:color w:val="000000" w:themeColor="text1"/>
              </w:rPr>
            </w:pPr>
            <w:r w:rsidRPr="005D5059">
              <w:rPr>
                <w:rFonts w:cs="Arial"/>
                <w:color w:val="000000" w:themeColor="text1"/>
              </w:rPr>
              <w:t>Philip Brown, Acting Group Manager, Families, Department of Social Services</w:t>
            </w:r>
          </w:p>
          <w:p w14:paraId="2670606F" w14:textId="66F3D3EC" w:rsidR="00872643" w:rsidRPr="005D5059" w:rsidRDefault="00872643" w:rsidP="000D1D92">
            <w:pPr>
              <w:pStyle w:val="ListParagraph"/>
              <w:numPr>
                <w:ilvl w:val="0"/>
                <w:numId w:val="81"/>
              </w:numPr>
              <w:rPr>
                <w:rFonts w:cs="Arial"/>
                <w:color w:val="000000" w:themeColor="text1"/>
              </w:rPr>
            </w:pPr>
            <w:r w:rsidRPr="005D5059">
              <w:rPr>
                <w:rFonts w:cs="Arial"/>
                <w:color w:val="000000" w:themeColor="text1"/>
              </w:rPr>
              <w:t>Dr Helen Roger</w:t>
            </w:r>
            <w:r w:rsidR="00207236">
              <w:rPr>
                <w:rFonts w:cs="Arial"/>
                <w:color w:val="000000" w:themeColor="text1"/>
              </w:rPr>
              <w:t>s</w:t>
            </w:r>
            <w:r w:rsidRPr="005D5059">
              <w:rPr>
                <w:rFonts w:cs="Arial"/>
                <w:color w:val="000000" w:themeColor="text1"/>
              </w:rPr>
              <w:t xml:space="preserve">, Section Manager, Longitudinal </w:t>
            </w:r>
            <w:r w:rsidRPr="005D5059">
              <w:rPr>
                <w:rFonts w:cs="Arial"/>
                <w:color w:val="000000" w:themeColor="text1"/>
              </w:rPr>
              <w:lastRenderedPageBreak/>
              <w:t>Study of Australian Children, Department of Social Services</w:t>
            </w:r>
          </w:p>
          <w:p w14:paraId="40303E0B" w14:textId="77777777" w:rsidR="00872643" w:rsidRPr="005D5059" w:rsidRDefault="00872643" w:rsidP="000D1D92">
            <w:pPr>
              <w:pStyle w:val="ListParagraph"/>
              <w:numPr>
                <w:ilvl w:val="0"/>
                <w:numId w:val="81"/>
              </w:numPr>
              <w:rPr>
                <w:rFonts w:cs="Arial"/>
                <w:color w:val="000000" w:themeColor="text1"/>
              </w:rPr>
            </w:pPr>
            <w:r w:rsidRPr="005D5059">
              <w:rPr>
                <w:rFonts w:cs="Arial"/>
                <w:color w:val="000000" w:themeColor="text1"/>
              </w:rPr>
              <w:t>Christine Craik, Vice-President, Australian Association of Social Workers</w:t>
            </w:r>
          </w:p>
          <w:p w14:paraId="15C8FCEC" w14:textId="77777777" w:rsidR="00872643" w:rsidRPr="005D5059" w:rsidRDefault="00872643" w:rsidP="000D1D92">
            <w:pPr>
              <w:pStyle w:val="ListParagraph"/>
              <w:numPr>
                <w:ilvl w:val="0"/>
                <w:numId w:val="81"/>
              </w:numPr>
              <w:rPr>
                <w:rFonts w:cs="Arial"/>
                <w:color w:val="000000" w:themeColor="text1"/>
              </w:rPr>
            </w:pPr>
            <w:r w:rsidRPr="005D5059">
              <w:rPr>
                <w:rFonts w:cs="Arial"/>
                <w:color w:val="000000" w:themeColor="text1"/>
              </w:rPr>
              <w:t>Marilyn Wright, Principal Solicitor, ACT Women’s Legal Centre</w:t>
            </w:r>
          </w:p>
          <w:p w14:paraId="5A9BA3CD" w14:textId="77777777" w:rsidR="00872643" w:rsidRPr="005D5059" w:rsidRDefault="00872643" w:rsidP="000D1D92">
            <w:pPr>
              <w:pStyle w:val="ListParagraph"/>
              <w:numPr>
                <w:ilvl w:val="0"/>
                <w:numId w:val="81"/>
              </w:numPr>
              <w:rPr>
                <w:rFonts w:cs="Arial"/>
                <w:color w:val="000000" w:themeColor="text1"/>
              </w:rPr>
            </w:pPr>
            <w:r w:rsidRPr="005D5059">
              <w:rPr>
                <w:rFonts w:cs="Arial"/>
                <w:color w:val="000000" w:themeColor="text1"/>
              </w:rPr>
              <w:t>Elena Rosenman, Chief Executive Officer, ACT Women’s Legal Service</w:t>
            </w:r>
          </w:p>
          <w:p w14:paraId="1FE7E6E9" w14:textId="77777777" w:rsidR="00872643" w:rsidRPr="005D5059" w:rsidRDefault="00872643" w:rsidP="000D1D92">
            <w:pPr>
              <w:pStyle w:val="ListParagraph"/>
              <w:numPr>
                <w:ilvl w:val="0"/>
                <w:numId w:val="81"/>
              </w:numPr>
              <w:rPr>
                <w:rFonts w:cs="Arial"/>
                <w:color w:val="000000" w:themeColor="text1"/>
              </w:rPr>
            </w:pPr>
            <w:r w:rsidRPr="005D5059">
              <w:rPr>
                <w:rFonts w:cs="Arial"/>
                <w:color w:val="000000" w:themeColor="text1"/>
              </w:rPr>
              <w:t>Brian Babington, Chief Executive Officer, Families Australia</w:t>
            </w:r>
          </w:p>
          <w:p w14:paraId="1E9240A7" w14:textId="77777777" w:rsidR="00872643" w:rsidRPr="005D5059" w:rsidRDefault="00872643" w:rsidP="000D1D92">
            <w:pPr>
              <w:pStyle w:val="ListParagraph"/>
              <w:numPr>
                <w:ilvl w:val="0"/>
                <w:numId w:val="81"/>
              </w:numPr>
              <w:rPr>
                <w:rFonts w:cs="Arial"/>
                <w:color w:val="000000" w:themeColor="text1"/>
              </w:rPr>
            </w:pPr>
            <w:r w:rsidRPr="005D5059">
              <w:rPr>
                <w:rFonts w:cs="Arial"/>
                <w:color w:val="000000" w:themeColor="text1"/>
              </w:rPr>
              <w:t>Station Sergeant Joanne Cameron, Officer in Charge - Tuggeranong Patrol, ACT Policing</w:t>
            </w:r>
          </w:p>
          <w:p w14:paraId="6BC70F7F" w14:textId="77777777" w:rsidR="00872643" w:rsidRPr="005D5059" w:rsidRDefault="00872643" w:rsidP="000D1D92">
            <w:pPr>
              <w:pStyle w:val="ListParagraph"/>
              <w:numPr>
                <w:ilvl w:val="0"/>
                <w:numId w:val="81"/>
              </w:numPr>
              <w:rPr>
                <w:rFonts w:cs="Arial"/>
                <w:color w:val="000000" w:themeColor="text1"/>
              </w:rPr>
            </w:pPr>
            <w:r w:rsidRPr="005D5059">
              <w:rPr>
                <w:rFonts w:cs="Arial"/>
                <w:color w:val="000000" w:themeColor="text1"/>
              </w:rPr>
              <w:t>Nicola Palfrey, Clinical Psychologist and Research Co-Ordinator, Child and Adolescent Mental Health Service, ACT Health</w:t>
            </w:r>
          </w:p>
          <w:p w14:paraId="4EAA6A41" w14:textId="77777777" w:rsidR="00872643" w:rsidRPr="005D5059" w:rsidRDefault="00872643" w:rsidP="000D1D92">
            <w:pPr>
              <w:pStyle w:val="ListParagraph"/>
              <w:numPr>
                <w:ilvl w:val="0"/>
                <w:numId w:val="81"/>
              </w:numPr>
              <w:rPr>
                <w:rFonts w:cs="Arial"/>
                <w:color w:val="000000" w:themeColor="text1"/>
              </w:rPr>
            </w:pPr>
            <w:r w:rsidRPr="005D5059">
              <w:rPr>
                <w:rFonts w:cs="Arial"/>
                <w:color w:val="000000" w:themeColor="text1"/>
              </w:rPr>
              <w:t>Amanda Harris, Director, Australian Child and Adolescent Trauma, Loss and Grief Network</w:t>
            </w:r>
          </w:p>
          <w:p w14:paraId="7ABB27D6" w14:textId="77777777" w:rsidR="00872643" w:rsidRPr="005D5059" w:rsidRDefault="00872643" w:rsidP="000D1D92">
            <w:pPr>
              <w:pStyle w:val="ListParagraph"/>
              <w:numPr>
                <w:ilvl w:val="0"/>
                <w:numId w:val="81"/>
              </w:numPr>
              <w:rPr>
                <w:rFonts w:cs="Arial"/>
                <w:color w:val="000000" w:themeColor="text1"/>
              </w:rPr>
            </w:pPr>
            <w:r w:rsidRPr="005D5059">
              <w:rPr>
                <w:rFonts w:cs="Arial"/>
                <w:color w:val="000000" w:themeColor="text1"/>
              </w:rPr>
              <w:t>Professor Karen Healy, Research Director for the School of Social Work and Human Services, Queensland University of Technology</w:t>
            </w:r>
          </w:p>
          <w:p w14:paraId="78F42FFB" w14:textId="77777777" w:rsidR="00872643" w:rsidRPr="005D5059" w:rsidRDefault="00872643" w:rsidP="000D1D92">
            <w:pPr>
              <w:pStyle w:val="ListParagraph"/>
              <w:numPr>
                <w:ilvl w:val="0"/>
                <w:numId w:val="81"/>
              </w:numPr>
              <w:rPr>
                <w:rFonts w:cs="Arial"/>
                <w:color w:val="000000" w:themeColor="text1"/>
              </w:rPr>
            </w:pPr>
            <w:r w:rsidRPr="005D5059">
              <w:rPr>
                <w:rFonts w:cs="Arial"/>
                <w:color w:val="000000" w:themeColor="text1"/>
              </w:rPr>
              <w:t>Gordon Gregory, Chief Executive Officer, National Rural Health Association</w:t>
            </w:r>
          </w:p>
          <w:p w14:paraId="4AE1981C" w14:textId="77777777" w:rsidR="00872643" w:rsidRPr="005D5059" w:rsidRDefault="00872643" w:rsidP="000D1D92">
            <w:pPr>
              <w:pStyle w:val="ListParagraph"/>
              <w:numPr>
                <w:ilvl w:val="0"/>
                <w:numId w:val="81"/>
              </w:numPr>
              <w:rPr>
                <w:rFonts w:cs="Arial"/>
                <w:color w:val="000000" w:themeColor="text1"/>
              </w:rPr>
            </w:pPr>
            <w:r w:rsidRPr="005D5059">
              <w:rPr>
                <w:rFonts w:cs="Arial"/>
                <w:color w:val="000000" w:themeColor="text1"/>
              </w:rPr>
              <w:t>Graham West, National President, St Vincent de Paul Society</w:t>
            </w:r>
          </w:p>
          <w:p w14:paraId="4B95419D" w14:textId="77777777" w:rsidR="00872643" w:rsidRPr="005D5059" w:rsidRDefault="00872643" w:rsidP="000D1D92">
            <w:pPr>
              <w:pStyle w:val="ListParagraph"/>
              <w:numPr>
                <w:ilvl w:val="0"/>
                <w:numId w:val="81"/>
              </w:numPr>
              <w:rPr>
                <w:rFonts w:cs="Arial"/>
                <w:color w:val="000000" w:themeColor="text1"/>
              </w:rPr>
            </w:pPr>
            <w:r w:rsidRPr="005D5059">
              <w:rPr>
                <w:rFonts w:cs="Arial"/>
                <w:color w:val="000000" w:themeColor="text1"/>
              </w:rPr>
              <w:t>Ron Mell, Chief Executive Officer, Young Men's Christian Association (YMCA) Australia</w:t>
            </w:r>
          </w:p>
          <w:p w14:paraId="3802FCE7" w14:textId="77777777" w:rsidR="00872643" w:rsidRPr="005D5059" w:rsidRDefault="00872643" w:rsidP="000D1D92">
            <w:pPr>
              <w:pStyle w:val="ListParagraph"/>
              <w:numPr>
                <w:ilvl w:val="0"/>
                <w:numId w:val="81"/>
              </w:numPr>
              <w:rPr>
                <w:rFonts w:cs="Arial"/>
                <w:color w:val="000000" w:themeColor="text1"/>
              </w:rPr>
            </w:pPr>
            <w:r w:rsidRPr="005D5059">
              <w:rPr>
                <w:rFonts w:cs="Arial"/>
                <w:color w:val="000000" w:themeColor="text1"/>
              </w:rPr>
              <w:t>Scott Holmes, YMCA Australia</w:t>
            </w:r>
          </w:p>
          <w:p w14:paraId="65ACEDBA" w14:textId="77777777" w:rsidR="00872643" w:rsidRPr="005D5059" w:rsidRDefault="00872643" w:rsidP="000D1D92">
            <w:pPr>
              <w:pStyle w:val="ListParagraph"/>
              <w:numPr>
                <w:ilvl w:val="0"/>
                <w:numId w:val="81"/>
              </w:numPr>
              <w:rPr>
                <w:rFonts w:cs="Arial"/>
                <w:color w:val="000000" w:themeColor="text1"/>
              </w:rPr>
            </w:pPr>
            <w:r w:rsidRPr="005D5059">
              <w:rPr>
                <w:rFonts w:cs="Arial"/>
                <w:color w:val="000000" w:themeColor="text1"/>
              </w:rPr>
              <w:t>Sue Ella Jarvis, Head of Community Programs, Young Women’s Christian Association (YWCA).</w:t>
            </w:r>
          </w:p>
          <w:p w14:paraId="3628E12C" w14:textId="77777777" w:rsidR="00872643" w:rsidRPr="005D5059" w:rsidRDefault="00872643" w:rsidP="000D1D92">
            <w:pPr>
              <w:pStyle w:val="ListParagraph"/>
              <w:numPr>
                <w:ilvl w:val="0"/>
                <w:numId w:val="81"/>
              </w:numPr>
              <w:rPr>
                <w:rFonts w:cs="Arial"/>
                <w:color w:val="000000" w:themeColor="text1"/>
              </w:rPr>
            </w:pPr>
            <w:r w:rsidRPr="005D5059">
              <w:rPr>
                <w:rFonts w:cs="Arial"/>
                <w:color w:val="000000" w:themeColor="text1"/>
              </w:rPr>
              <w:t>Dr Susan Cochrane, Advisor, Office of the Attorney-General and Minister for the Arts</w:t>
            </w:r>
          </w:p>
          <w:p w14:paraId="59531E57" w14:textId="77777777" w:rsidR="00872643" w:rsidRPr="005D5059" w:rsidRDefault="00872643" w:rsidP="000D1D92">
            <w:pPr>
              <w:pStyle w:val="ListParagraph"/>
              <w:numPr>
                <w:ilvl w:val="0"/>
                <w:numId w:val="81"/>
              </w:numPr>
              <w:rPr>
                <w:rFonts w:cs="Arial"/>
                <w:color w:val="000000" w:themeColor="text1"/>
              </w:rPr>
            </w:pPr>
            <w:r w:rsidRPr="005D5059">
              <w:rPr>
                <w:rFonts w:cs="Arial"/>
                <w:color w:val="000000" w:themeColor="text1"/>
              </w:rPr>
              <w:t>Colin McCormack, A/g Senior Legal Officer, Office of the Attorney-General and Minister for the Arts</w:t>
            </w:r>
          </w:p>
        </w:tc>
        <w:tc>
          <w:tcPr>
            <w:tcW w:w="1807" w:type="dxa"/>
          </w:tcPr>
          <w:p w14:paraId="64BFC2C6" w14:textId="77777777" w:rsidR="00872643" w:rsidRDefault="00872643" w:rsidP="00AE0B34">
            <w:pPr>
              <w:rPr>
                <w:color w:val="000000" w:themeColor="text1"/>
                <w:sz w:val="20"/>
                <w:szCs w:val="20"/>
              </w:rPr>
            </w:pPr>
            <w:r>
              <w:rPr>
                <w:color w:val="000000" w:themeColor="text1"/>
                <w:sz w:val="20"/>
                <w:szCs w:val="20"/>
              </w:rPr>
              <w:lastRenderedPageBreak/>
              <w:t>Canberra, ACT</w:t>
            </w:r>
          </w:p>
        </w:tc>
      </w:tr>
      <w:tr w:rsidR="00872643" w:rsidRPr="00780F69" w14:paraId="59F53115" w14:textId="77777777" w:rsidTr="00AE0B34">
        <w:tc>
          <w:tcPr>
            <w:tcW w:w="1101" w:type="dxa"/>
          </w:tcPr>
          <w:p w14:paraId="37B6111D" w14:textId="77777777" w:rsidR="00872643" w:rsidRPr="005D5059" w:rsidRDefault="00872643" w:rsidP="00AE0B34">
            <w:pPr>
              <w:rPr>
                <w:rFonts w:cs="Arial"/>
                <w:color w:val="000000" w:themeColor="text1"/>
              </w:rPr>
            </w:pPr>
            <w:r w:rsidRPr="005D5059">
              <w:rPr>
                <w:rFonts w:cs="Arial"/>
                <w:color w:val="000000" w:themeColor="text1"/>
              </w:rPr>
              <w:lastRenderedPageBreak/>
              <w:t>04.08.15</w:t>
            </w:r>
          </w:p>
        </w:tc>
        <w:tc>
          <w:tcPr>
            <w:tcW w:w="6378" w:type="dxa"/>
          </w:tcPr>
          <w:p w14:paraId="5EBB58C7" w14:textId="77777777" w:rsidR="00872643" w:rsidRPr="005D5059" w:rsidRDefault="00872643" w:rsidP="00AE0B34">
            <w:pPr>
              <w:rPr>
                <w:rFonts w:cs="Arial"/>
                <w:color w:val="000000" w:themeColor="text1"/>
              </w:rPr>
            </w:pPr>
            <w:r w:rsidRPr="005D5059">
              <w:rPr>
                <w:rFonts w:cs="Arial"/>
                <w:color w:val="000000" w:themeColor="text1"/>
              </w:rPr>
              <w:t>People who were invited to attend the Northern Territory roundtable included:</w:t>
            </w:r>
          </w:p>
          <w:p w14:paraId="5449C2ED" w14:textId="39853EB0" w:rsidR="00872643" w:rsidRPr="005D5059" w:rsidRDefault="00872643" w:rsidP="000D1D92">
            <w:pPr>
              <w:pStyle w:val="ListParagraph"/>
              <w:numPr>
                <w:ilvl w:val="0"/>
                <w:numId w:val="82"/>
              </w:numPr>
              <w:rPr>
                <w:rFonts w:cs="Arial"/>
                <w:color w:val="000000" w:themeColor="text1"/>
              </w:rPr>
            </w:pPr>
            <w:r w:rsidRPr="005D5059">
              <w:rPr>
                <w:rFonts w:cs="Arial"/>
                <w:color w:val="000000" w:themeColor="text1"/>
              </w:rPr>
              <w:t>Joanne Sangster,</w:t>
            </w:r>
            <w:r w:rsidR="00207236">
              <w:rPr>
                <w:rFonts w:cs="Arial"/>
                <w:color w:val="000000" w:themeColor="text1"/>
              </w:rPr>
              <w:t xml:space="preserve"> </w:t>
            </w:r>
            <w:r w:rsidRPr="005D5059">
              <w:rPr>
                <w:rFonts w:cs="Arial"/>
                <w:color w:val="000000" w:themeColor="text1"/>
              </w:rPr>
              <w:t>Director</w:t>
            </w:r>
            <w:r w:rsidR="00207236">
              <w:rPr>
                <w:rFonts w:cs="Arial"/>
                <w:color w:val="000000" w:themeColor="text1"/>
              </w:rPr>
              <w:t xml:space="preserve">, </w:t>
            </w:r>
            <w:r w:rsidRPr="005D5059">
              <w:rPr>
                <w:rFonts w:cs="Arial"/>
                <w:color w:val="000000" w:themeColor="text1"/>
              </w:rPr>
              <w:t>Domestic Violence Directorate Department of the Attorney-General and Justice (Presenter)</w:t>
            </w:r>
          </w:p>
          <w:p w14:paraId="2CC7E8DF" w14:textId="47C2C4B9" w:rsidR="00872643" w:rsidRPr="005D5059" w:rsidRDefault="00872643" w:rsidP="000D1D92">
            <w:pPr>
              <w:pStyle w:val="ListParagraph"/>
              <w:numPr>
                <w:ilvl w:val="0"/>
                <w:numId w:val="82"/>
              </w:numPr>
              <w:rPr>
                <w:rFonts w:cs="Arial"/>
                <w:color w:val="000000" w:themeColor="text1"/>
              </w:rPr>
            </w:pPr>
            <w:r w:rsidRPr="005D5059">
              <w:rPr>
                <w:rFonts w:cs="Arial"/>
                <w:color w:val="000000" w:themeColor="text1"/>
              </w:rPr>
              <w:t>Dr John McKenzie</w:t>
            </w:r>
            <w:r w:rsidR="00207236">
              <w:rPr>
                <w:rFonts w:cs="Arial"/>
                <w:color w:val="000000" w:themeColor="text1"/>
              </w:rPr>
              <w:t>,</w:t>
            </w:r>
            <w:r w:rsidRPr="005D5059">
              <w:rPr>
                <w:rFonts w:cs="Arial"/>
                <w:color w:val="000000" w:themeColor="text1"/>
              </w:rPr>
              <w:t xml:space="preserve"> Senior Research Officer, Centre for Child Development and Education  Menzies Institute (Presenter)</w:t>
            </w:r>
          </w:p>
          <w:p w14:paraId="0C3D86A3" w14:textId="77777777" w:rsidR="00872643" w:rsidRPr="005D5059" w:rsidRDefault="00872643" w:rsidP="000D1D92">
            <w:pPr>
              <w:pStyle w:val="ListParagraph"/>
              <w:numPr>
                <w:ilvl w:val="0"/>
                <w:numId w:val="82"/>
              </w:numPr>
              <w:rPr>
                <w:rFonts w:cs="Arial"/>
                <w:color w:val="000000" w:themeColor="text1"/>
              </w:rPr>
            </w:pPr>
            <w:r w:rsidRPr="005D5059">
              <w:rPr>
                <w:rFonts w:cs="Arial"/>
                <w:color w:val="000000" w:themeColor="text1"/>
              </w:rPr>
              <w:t>Colleen Gwynne, Acting Commissioner, Northern Territory’s Children’s Commission</w:t>
            </w:r>
          </w:p>
          <w:p w14:paraId="2F62C39A" w14:textId="77777777" w:rsidR="00872643" w:rsidRPr="005D5059" w:rsidRDefault="00872643" w:rsidP="000D1D92">
            <w:pPr>
              <w:pStyle w:val="ListParagraph"/>
              <w:numPr>
                <w:ilvl w:val="0"/>
                <w:numId w:val="82"/>
              </w:numPr>
              <w:rPr>
                <w:rFonts w:cs="Arial"/>
                <w:color w:val="000000" w:themeColor="text1"/>
              </w:rPr>
            </w:pPr>
            <w:r w:rsidRPr="005D5059">
              <w:rPr>
                <w:rFonts w:cs="Arial"/>
                <w:color w:val="000000" w:themeColor="text1"/>
              </w:rPr>
              <w:t xml:space="preserve">Jared Sharp, North Australian Aboriginal Justice Agency (NAAJA)  </w:t>
            </w:r>
          </w:p>
          <w:p w14:paraId="7AF6C11C" w14:textId="77777777" w:rsidR="00872643" w:rsidRPr="005D5059" w:rsidRDefault="00872643" w:rsidP="000D1D92">
            <w:pPr>
              <w:pStyle w:val="ListParagraph"/>
              <w:numPr>
                <w:ilvl w:val="0"/>
                <w:numId w:val="82"/>
              </w:numPr>
              <w:rPr>
                <w:rFonts w:cs="Arial"/>
                <w:color w:val="000000" w:themeColor="text1"/>
              </w:rPr>
            </w:pPr>
            <w:r w:rsidRPr="005D5059">
              <w:rPr>
                <w:rFonts w:cs="Arial"/>
                <w:color w:val="000000" w:themeColor="text1"/>
              </w:rPr>
              <w:t xml:space="preserve">Andrea Mason, Co-coordinator, NPY Women's Council  </w:t>
            </w:r>
          </w:p>
          <w:p w14:paraId="675B4B07" w14:textId="77777777" w:rsidR="00872643" w:rsidRPr="005D5059" w:rsidRDefault="00872643" w:rsidP="000D1D92">
            <w:pPr>
              <w:pStyle w:val="ListParagraph"/>
              <w:numPr>
                <w:ilvl w:val="0"/>
                <w:numId w:val="82"/>
              </w:numPr>
              <w:rPr>
                <w:rFonts w:cs="Arial"/>
                <w:color w:val="000000" w:themeColor="text1"/>
              </w:rPr>
            </w:pPr>
            <w:r w:rsidRPr="005D5059">
              <w:rPr>
                <w:rFonts w:cs="Arial"/>
                <w:color w:val="000000" w:themeColor="text1"/>
              </w:rPr>
              <w:lastRenderedPageBreak/>
              <w:t xml:space="preserve">Natasha O’Connell, Aboriginal Peak Organisations NT (APONT)  </w:t>
            </w:r>
          </w:p>
          <w:p w14:paraId="345A2F20" w14:textId="77777777" w:rsidR="00872643" w:rsidRPr="005D5059" w:rsidRDefault="00872643" w:rsidP="000D1D92">
            <w:pPr>
              <w:pStyle w:val="ListParagraph"/>
              <w:numPr>
                <w:ilvl w:val="0"/>
                <w:numId w:val="82"/>
              </w:numPr>
              <w:rPr>
                <w:rFonts w:cs="Arial"/>
                <w:color w:val="000000" w:themeColor="text1"/>
              </w:rPr>
            </w:pPr>
            <w:r w:rsidRPr="005D5059">
              <w:rPr>
                <w:rFonts w:cs="Arial"/>
                <w:color w:val="000000" w:themeColor="text1"/>
              </w:rPr>
              <w:t>Gabby Brown, Department of Attorney-General and Justice</w:t>
            </w:r>
          </w:p>
          <w:p w14:paraId="02CEA177" w14:textId="77777777" w:rsidR="00872643" w:rsidRPr="005D5059" w:rsidRDefault="00872643" w:rsidP="000D1D92">
            <w:pPr>
              <w:pStyle w:val="ListParagraph"/>
              <w:numPr>
                <w:ilvl w:val="0"/>
                <w:numId w:val="82"/>
              </w:numPr>
              <w:rPr>
                <w:rFonts w:cs="Arial"/>
                <w:color w:val="000000" w:themeColor="text1"/>
              </w:rPr>
            </w:pPr>
            <w:r w:rsidRPr="005D5059">
              <w:rPr>
                <w:rFonts w:cs="Arial"/>
                <w:color w:val="000000" w:themeColor="text1"/>
              </w:rPr>
              <w:t>Ruth Brebner, Department of Attorney-General and Justice</w:t>
            </w:r>
          </w:p>
          <w:p w14:paraId="4C15069B" w14:textId="77777777" w:rsidR="00872643" w:rsidRPr="005D5059" w:rsidRDefault="00872643" w:rsidP="000D1D92">
            <w:pPr>
              <w:pStyle w:val="ListParagraph"/>
              <w:numPr>
                <w:ilvl w:val="0"/>
                <w:numId w:val="82"/>
              </w:numPr>
              <w:rPr>
                <w:rFonts w:cs="Arial"/>
                <w:color w:val="000000" w:themeColor="text1"/>
              </w:rPr>
            </w:pPr>
            <w:r w:rsidRPr="005D5059">
              <w:rPr>
                <w:rFonts w:cs="Arial"/>
                <w:color w:val="000000" w:themeColor="text1"/>
              </w:rPr>
              <w:t>Kimberly Jonsonn, Dawn’s House Women’s Shelter</w:t>
            </w:r>
          </w:p>
          <w:p w14:paraId="5DAB40E0" w14:textId="77777777" w:rsidR="00872643" w:rsidRPr="005D5059" w:rsidRDefault="00872643" w:rsidP="000D1D92">
            <w:pPr>
              <w:pStyle w:val="ListParagraph"/>
              <w:numPr>
                <w:ilvl w:val="0"/>
                <w:numId w:val="82"/>
              </w:numPr>
              <w:rPr>
                <w:rFonts w:cs="Arial"/>
                <w:color w:val="000000" w:themeColor="text1"/>
              </w:rPr>
            </w:pPr>
            <w:r w:rsidRPr="005D5059">
              <w:rPr>
                <w:rFonts w:cs="Arial"/>
                <w:color w:val="000000" w:themeColor="text1"/>
              </w:rPr>
              <w:t>Regina Bennett, Darwin Aboriginal and Islander Women's Shelter (DAIWS)</w:t>
            </w:r>
          </w:p>
          <w:p w14:paraId="0DE4B6AE" w14:textId="77777777" w:rsidR="00872643" w:rsidRPr="005D5059" w:rsidRDefault="00872643" w:rsidP="000D1D92">
            <w:pPr>
              <w:pStyle w:val="ListParagraph"/>
              <w:numPr>
                <w:ilvl w:val="0"/>
                <w:numId w:val="82"/>
              </w:numPr>
              <w:rPr>
                <w:rFonts w:cs="Arial"/>
                <w:color w:val="000000" w:themeColor="text1"/>
              </w:rPr>
            </w:pPr>
            <w:r w:rsidRPr="005D5059">
              <w:rPr>
                <w:rFonts w:cs="Arial"/>
                <w:color w:val="000000" w:themeColor="text1"/>
              </w:rPr>
              <w:t>Louise Weber, Larrakia Nation</w:t>
            </w:r>
          </w:p>
          <w:p w14:paraId="1A40FADE" w14:textId="1601BE6F" w:rsidR="00872643" w:rsidRPr="005D5059" w:rsidRDefault="00872643" w:rsidP="000D1D92">
            <w:pPr>
              <w:pStyle w:val="ListParagraph"/>
              <w:numPr>
                <w:ilvl w:val="0"/>
                <w:numId w:val="82"/>
              </w:numPr>
              <w:rPr>
                <w:rFonts w:cs="Arial"/>
                <w:color w:val="000000" w:themeColor="text1"/>
              </w:rPr>
            </w:pPr>
            <w:r w:rsidRPr="005D5059">
              <w:rPr>
                <w:rFonts w:cs="Arial"/>
                <w:color w:val="000000" w:themeColor="text1"/>
              </w:rPr>
              <w:t>Vanessa Lethlean, Top End Women’s Legal Service</w:t>
            </w:r>
          </w:p>
          <w:p w14:paraId="49E4DF54" w14:textId="77777777" w:rsidR="00872643" w:rsidRPr="005D5059" w:rsidRDefault="00872643" w:rsidP="000D1D92">
            <w:pPr>
              <w:pStyle w:val="ListParagraph"/>
              <w:numPr>
                <w:ilvl w:val="0"/>
                <w:numId w:val="82"/>
              </w:numPr>
              <w:rPr>
                <w:rFonts w:cs="Arial"/>
                <w:color w:val="000000" w:themeColor="text1"/>
              </w:rPr>
            </w:pPr>
            <w:r w:rsidRPr="005D5059">
              <w:rPr>
                <w:rFonts w:cs="Arial"/>
                <w:color w:val="000000" w:themeColor="text1"/>
              </w:rPr>
              <w:t>Lesley Taylor, National Association for Prevention of Child Abuse and Neglect</w:t>
            </w:r>
          </w:p>
          <w:p w14:paraId="6C587AB2" w14:textId="77777777" w:rsidR="00872643" w:rsidRPr="005D5059" w:rsidRDefault="00872643" w:rsidP="000D1D92">
            <w:pPr>
              <w:pStyle w:val="ListParagraph"/>
              <w:numPr>
                <w:ilvl w:val="0"/>
                <w:numId w:val="82"/>
              </w:numPr>
              <w:rPr>
                <w:rFonts w:cs="Arial"/>
                <w:color w:val="000000" w:themeColor="text1"/>
              </w:rPr>
            </w:pPr>
            <w:r w:rsidRPr="005D5059">
              <w:rPr>
                <w:rFonts w:cs="Arial"/>
                <w:color w:val="000000" w:themeColor="text1"/>
              </w:rPr>
              <w:t>Joanne Lau, Northern Australian Aboriginal Family Violence Legal Service</w:t>
            </w:r>
          </w:p>
          <w:p w14:paraId="1967EF0F" w14:textId="77777777" w:rsidR="00872643" w:rsidRPr="005D5059" w:rsidRDefault="00872643" w:rsidP="000D1D92">
            <w:pPr>
              <w:pStyle w:val="ListParagraph"/>
              <w:numPr>
                <w:ilvl w:val="0"/>
                <w:numId w:val="82"/>
              </w:numPr>
              <w:rPr>
                <w:rFonts w:cs="Arial"/>
                <w:color w:val="000000" w:themeColor="text1"/>
              </w:rPr>
            </w:pPr>
            <w:r w:rsidRPr="005D5059">
              <w:rPr>
                <w:rFonts w:cs="Arial"/>
                <w:color w:val="000000" w:themeColor="text1"/>
              </w:rPr>
              <w:t>Naomi Brown, Melaleuca Refugee Centre</w:t>
            </w:r>
          </w:p>
          <w:p w14:paraId="434AD79C" w14:textId="77777777" w:rsidR="00872643" w:rsidRPr="005D5059" w:rsidRDefault="00872643" w:rsidP="000D1D92">
            <w:pPr>
              <w:pStyle w:val="ListParagraph"/>
              <w:numPr>
                <w:ilvl w:val="0"/>
                <w:numId w:val="82"/>
              </w:numPr>
              <w:rPr>
                <w:rFonts w:cs="Arial"/>
                <w:color w:val="000000" w:themeColor="text1"/>
              </w:rPr>
            </w:pPr>
            <w:r w:rsidRPr="005D5059">
              <w:rPr>
                <w:rFonts w:cs="Arial"/>
                <w:color w:val="000000" w:themeColor="text1"/>
              </w:rPr>
              <w:t>Michelle Barry,</w:t>
            </w:r>
            <w:r w:rsidRPr="005D5059">
              <w:rPr>
                <w:rFonts w:cs="Arial"/>
              </w:rPr>
              <w:t xml:space="preserve"> </w:t>
            </w:r>
            <w:r w:rsidRPr="005D5059">
              <w:rPr>
                <w:rFonts w:cs="Arial"/>
                <w:color w:val="000000" w:themeColor="text1"/>
              </w:rPr>
              <w:t>Territory Co-ordinator, CREATE Foundation</w:t>
            </w:r>
          </w:p>
          <w:p w14:paraId="293E4840" w14:textId="77777777" w:rsidR="00872643" w:rsidRPr="005D5059" w:rsidRDefault="00872643" w:rsidP="000D1D92">
            <w:pPr>
              <w:pStyle w:val="ListParagraph"/>
              <w:numPr>
                <w:ilvl w:val="0"/>
                <w:numId w:val="82"/>
              </w:numPr>
              <w:rPr>
                <w:rFonts w:cs="Arial"/>
                <w:color w:val="000000" w:themeColor="text1"/>
              </w:rPr>
            </w:pPr>
            <w:r w:rsidRPr="005D5059">
              <w:rPr>
                <w:rFonts w:cs="Arial"/>
                <w:color w:val="000000" w:themeColor="text1"/>
              </w:rPr>
              <w:t>Anne Bradford,</w:t>
            </w:r>
            <w:r w:rsidRPr="005D5059">
              <w:rPr>
                <w:rFonts w:cs="Arial"/>
              </w:rPr>
              <w:t xml:space="preserve"> Chief Executive Officer, </w:t>
            </w:r>
            <w:r w:rsidRPr="005D5059">
              <w:rPr>
                <w:rFonts w:cs="Arial"/>
                <w:color w:val="000000" w:themeColor="text1"/>
              </w:rPr>
              <w:t xml:space="preserve">Department of Children and Families </w:t>
            </w:r>
          </w:p>
        </w:tc>
        <w:tc>
          <w:tcPr>
            <w:tcW w:w="1807" w:type="dxa"/>
          </w:tcPr>
          <w:p w14:paraId="55668B27" w14:textId="77777777" w:rsidR="00872643" w:rsidRDefault="00872643" w:rsidP="00AE0B34">
            <w:pPr>
              <w:rPr>
                <w:color w:val="000000" w:themeColor="text1"/>
                <w:sz w:val="20"/>
                <w:szCs w:val="20"/>
              </w:rPr>
            </w:pPr>
            <w:r>
              <w:rPr>
                <w:color w:val="000000" w:themeColor="text1"/>
                <w:sz w:val="20"/>
                <w:szCs w:val="20"/>
              </w:rPr>
              <w:lastRenderedPageBreak/>
              <w:t>Darwin, NT</w:t>
            </w:r>
          </w:p>
        </w:tc>
      </w:tr>
      <w:tr w:rsidR="00872643" w:rsidRPr="00780F69" w14:paraId="1EA44BAF" w14:textId="77777777" w:rsidTr="00AE0B34">
        <w:tc>
          <w:tcPr>
            <w:tcW w:w="1101" w:type="dxa"/>
          </w:tcPr>
          <w:p w14:paraId="2E68CB45" w14:textId="77777777" w:rsidR="00872643" w:rsidRPr="005D5059" w:rsidRDefault="00872643" w:rsidP="00AE0B34">
            <w:pPr>
              <w:rPr>
                <w:rFonts w:cs="Arial"/>
                <w:color w:val="000000" w:themeColor="text1"/>
              </w:rPr>
            </w:pPr>
            <w:r w:rsidRPr="005D5059">
              <w:rPr>
                <w:rFonts w:cs="Arial"/>
                <w:color w:val="000000" w:themeColor="text1"/>
              </w:rPr>
              <w:lastRenderedPageBreak/>
              <w:t>07.08.15</w:t>
            </w:r>
          </w:p>
        </w:tc>
        <w:tc>
          <w:tcPr>
            <w:tcW w:w="6378" w:type="dxa"/>
          </w:tcPr>
          <w:p w14:paraId="054AEB57" w14:textId="77777777" w:rsidR="00872643" w:rsidRPr="005D5059" w:rsidRDefault="00872643" w:rsidP="00AE0B34">
            <w:pPr>
              <w:rPr>
                <w:rFonts w:cs="Arial"/>
                <w:color w:val="000000" w:themeColor="text1"/>
              </w:rPr>
            </w:pPr>
            <w:r w:rsidRPr="005D5059">
              <w:rPr>
                <w:rFonts w:cs="Arial"/>
                <w:color w:val="000000" w:themeColor="text1"/>
              </w:rPr>
              <w:t>People who were invited to attend the Tasmania roundtable included:</w:t>
            </w:r>
          </w:p>
          <w:p w14:paraId="263310D8" w14:textId="77777777" w:rsidR="00872643" w:rsidRPr="005D5059" w:rsidRDefault="00872643" w:rsidP="000D1D92">
            <w:pPr>
              <w:pStyle w:val="ListParagraph"/>
              <w:numPr>
                <w:ilvl w:val="0"/>
                <w:numId w:val="83"/>
              </w:numPr>
              <w:rPr>
                <w:rFonts w:cs="Arial"/>
                <w:color w:val="000000" w:themeColor="text1"/>
              </w:rPr>
            </w:pPr>
            <w:r w:rsidRPr="005D5059">
              <w:rPr>
                <w:rFonts w:cs="Arial"/>
                <w:color w:val="000000" w:themeColor="text1"/>
              </w:rPr>
              <w:t>Dr Romy Winter, Tasmanian Institute of Law Enforcement Studies, University of Tasmania (Presenter)</w:t>
            </w:r>
          </w:p>
          <w:p w14:paraId="1019F6B4" w14:textId="77777777" w:rsidR="00872643" w:rsidRPr="005D5059" w:rsidRDefault="00872643" w:rsidP="000D1D92">
            <w:pPr>
              <w:pStyle w:val="ListParagraph"/>
              <w:numPr>
                <w:ilvl w:val="0"/>
                <w:numId w:val="83"/>
              </w:numPr>
              <w:rPr>
                <w:rFonts w:cs="Arial"/>
                <w:color w:val="000000" w:themeColor="text1"/>
              </w:rPr>
            </w:pPr>
            <w:r w:rsidRPr="005D5059">
              <w:rPr>
                <w:rFonts w:cs="Arial"/>
                <w:color w:val="000000" w:themeColor="text1"/>
              </w:rPr>
              <w:t>Teresa Pocket, Principal, East Derwent Primary School, Jordan River Learning Federation (Presenter)</w:t>
            </w:r>
          </w:p>
          <w:p w14:paraId="1B770E91" w14:textId="77777777" w:rsidR="00207236" w:rsidRDefault="00207236" w:rsidP="000D1D92">
            <w:pPr>
              <w:pStyle w:val="ListParagraph"/>
              <w:numPr>
                <w:ilvl w:val="0"/>
                <w:numId w:val="83"/>
              </w:numPr>
              <w:rPr>
                <w:rFonts w:cs="Arial"/>
                <w:color w:val="000000" w:themeColor="text1"/>
              </w:rPr>
            </w:pPr>
            <w:r w:rsidRPr="00207236">
              <w:rPr>
                <w:rFonts w:cs="Arial"/>
                <w:color w:val="000000" w:themeColor="text1"/>
              </w:rPr>
              <w:t xml:space="preserve">Mark Morrissey, Commissioner, Tasmanian Commission for Children </w:t>
            </w:r>
          </w:p>
          <w:p w14:paraId="35B53199" w14:textId="41768BF2" w:rsidR="00872643" w:rsidRPr="005D5059" w:rsidRDefault="00872643" w:rsidP="000D1D92">
            <w:pPr>
              <w:pStyle w:val="ListParagraph"/>
              <w:numPr>
                <w:ilvl w:val="0"/>
                <w:numId w:val="83"/>
              </w:numPr>
              <w:rPr>
                <w:rFonts w:cs="Arial"/>
                <w:color w:val="000000" w:themeColor="text1"/>
              </w:rPr>
            </w:pPr>
            <w:r w:rsidRPr="005D5059">
              <w:rPr>
                <w:rFonts w:cs="Arial"/>
                <w:color w:val="000000" w:themeColor="text1"/>
              </w:rPr>
              <w:t>Annie McLean, Senior Policy Consultant, Commissioner for Children Tasmania</w:t>
            </w:r>
          </w:p>
          <w:p w14:paraId="033C7D7F" w14:textId="77777777" w:rsidR="00872643" w:rsidRPr="005D5059" w:rsidRDefault="00872643" w:rsidP="000D1D92">
            <w:pPr>
              <w:pStyle w:val="ListParagraph"/>
              <w:numPr>
                <w:ilvl w:val="0"/>
                <w:numId w:val="83"/>
              </w:numPr>
              <w:rPr>
                <w:rFonts w:cs="Arial"/>
                <w:color w:val="000000" w:themeColor="text1"/>
              </w:rPr>
            </w:pPr>
            <w:r w:rsidRPr="005D5059">
              <w:rPr>
                <w:rFonts w:cs="Arial"/>
                <w:color w:val="000000" w:themeColor="text1"/>
              </w:rPr>
              <w:t>Rebecca Davis, Senior Sergeant, Tasmania Police</w:t>
            </w:r>
          </w:p>
          <w:p w14:paraId="42A72C7B" w14:textId="77777777" w:rsidR="00872643" w:rsidRPr="005D5059" w:rsidRDefault="00872643" w:rsidP="000D1D92">
            <w:pPr>
              <w:pStyle w:val="ListParagraph"/>
              <w:numPr>
                <w:ilvl w:val="0"/>
                <w:numId w:val="83"/>
              </w:numPr>
              <w:rPr>
                <w:rFonts w:cs="Arial"/>
                <w:color w:val="000000" w:themeColor="text1"/>
              </w:rPr>
            </w:pPr>
            <w:r w:rsidRPr="005D5059">
              <w:rPr>
                <w:rFonts w:cs="Arial"/>
                <w:color w:val="000000" w:themeColor="text1"/>
              </w:rPr>
              <w:t>Siubhan MacDonald, Family Violence Counselling and Support Service Department of Health and Human Services</w:t>
            </w:r>
          </w:p>
          <w:p w14:paraId="22623F22" w14:textId="77777777" w:rsidR="00872643" w:rsidRPr="005D5059" w:rsidRDefault="00872643" w:rsidP="000D1D92">
            <w:pPr>
              <w:pStyle w:val="ListParagraph"/>
              <w:numPr>
                <w:ilvl w:val="0"/>
                <w:numId w:val="83"/>
              </w:numPr>
              <w:rPr>
                <w:rFonts w:cs="Arial"/>
                <w:color w:val="000000" w:themeColor="text1"/>
              </w:rPr>
            </w:pPr>
            <w:r w:rsidRPr="005D5059">
              <w:rPr>
                <w:rFonts w:cs="Arial"/>
                <w:color w:val="000000" w:themeColor="text1"/>
              </w:rPr>
              <w:t>Amanda Johnson, Community Corrections</w:t>
            </w:r>
          </w:p>
          <w:p w14:paraId="2E1CBAAB" w14:textId="77777777" w:rsidR="00872643" w:rsidRPr="005D5059" w:rsidRDefault="00872643" w:rsidP="000D1D92">
            <w:pPr>
              <w:pStyle w:val="ListParagraph"/>
              <w:numPr>
                <w:ilvl w:val="0"/>
                <w:numId w:val="83"/>
              </w:numPr>
              <w:rPr>
                <w:rFonts w:cs="Arial"/>
                <w:color w:val="000000" w:themeColor="text1"/>
              </w:rPr>
            </w:pPr>
            <w:r w:rsidRPr="005D5059">
              <w:rPr>
                <w:rFonts w:cs="Arial"/>
                <w:color w:val="000000" w:themeColor="text1"/>
              </w:rPr>
              <w:t>Suzanne Pennicott-Jones, Department of Education</w:t>
            </w:r>
          </w:p>
          <w:p w14:paraId="1F31F842" w14:textId="77777777" w:rsidR="00872643" w:rsidRPr="005D5059" w:rsidRDefault="00872643" w:rsidP="000D1D92">
            <w:pPr>
              <w:pStyle w:val="ListParagraph"/>
              <w:numPr>
                <w:ilvl w:val="0"/>
                <w:numId w:val="83"/>
              </w:numPr>
              <w:rPr>
                <w:rFonts w:cs="Arial"/>
                <w:color w:val="000000" w:themeColor="text1"/>
              </w:rPr>
            </w:pPr>
            <w:r w:rsidRPr="005D5059">
              <w:rPr>
                <w:rFonts w:cs="Arial"/>
                <w:color w:val="000000" w:themeColor="text1"/>
              </w:rPr>
              <w:t>Associate-Professor Roberta Julian, University of Tasmnaia</w:t>
            </w:r>
          </w:p>
          <w:p w14:paraId="5B0DB00D" w14:textId="77777777" w:rsidR="00872643" w:rsidRPr="005D5059" w:rsidRDefault="00872643" w:rsidP="000D1D92">
            <w:pPr>
              <w:pStyle w:val="ListParagraph"/>
              <w:numPr>
                <w:ilvl w:val="0"/>
                <w:numId w:val="83"/>
              </w:numPr>
              <w:rPr>
                <w:rFonts w:cs="Arial"/>
                <w:color w:val="000000" w:themeColor="text1"/>
              </w:rPr>
            </w:pPr>
            <w:r w:rsidRPr="005D5059">
              <w:rPr>
                <w:rFonts w:cs="Arial"/>
                <w:color w:val="000000" w:themeColor="text1"/>
              </w:rPr>
              <w:t>Dr Peter Lucas, University of Tasmania</w:t>
            </w:r>
          </w:p>
          <w:p w14:paraId="3727C5C7" w14:textId="77777777" w:rsidR="00872643" w:rsidRPr="005D5059" w:rsidRDefault="00872643" w:rsidP="000D1D92">
            <w:pPr>
              <w:pStyle w:val="ListParagraph"/>
              <w:numPr>
                <w:ilvl w:val="0"/>
                <w:numId w:val="83"/>
              </w:numPr>
              <w:rPr>
                <w:rFonts w:cs="Arial"/>
                <w:color w:val="000000" w:themeColor="text1"/>
              </w:rPr>
            </w:pPr>
            <w:r w:rsidRPr="005D5059">
              <w:rPr>
                <w:rFonts w:cs="Arial"/>
                <w:color w:val="000000" w:themeColor="text1"/>
              </w:rPr>
              <w:t>Nell Kuilenburg, Trainer in Safe from the Start Program, Salvation Army</w:t>
            </w:r>
          </w:p>
          <w:p w14:paraId="0BDB4215" w14:textId="77777777" w:rsidR="00872643" w:rsidRPr="005D5059" w:rsidRDefault="00872643" w:rsidP="000D1D92">
            <w:pPr>
              <w:pStyle w:val="ListParagraph"/>
              <w:numPr>
                <w:ilvl w:val="0"/>
                <w:numId w:val="83"/>
              </w:numPr>
              <w:rPr>
                <w:rFonts w:cs="Arial"/>
                <w:color w:val="000000" w:themeColor="text1"/>
              </w:rPr>
            </w:pPr>
            <w:r w:rsidRPr="005D5059">
              <w:rPr>
                <w:rFonts w:cs="Arial"/>
                <w:color w:val="000000" w:themeColor="text1"/>
              </w:rPr>
              <w:t xml:space="preserve">Susan Fahey, Executive Officer and Principal </w:t>
            </w:r>
            <w:r w:rsidRPr="005D5059">
              <w:rPr>
                <w:rFonts w:cs="Arial"/>
                <w:color w:val="000000" w:themeColor="text1"/>
              </w:rPr>
              <w:lastRenderedPageBreak/>
              <w:t>Solicitor, Women’s Legal Service</w:t>
            </w:r>
          </w:p>
          <w:p w14:paraId="7582CA7C" w14:textId="77777777" w:rsidR="00872643" w:rsidRPr="005D5059" w:rsidRDefault="00872643" w:rsidP="000D1D92">
            <w:pPr>
              <w:pStyle w:val="ListParagraph"/>
              <w:numPr>
                <w:ilvl w:val="0"/>
                <w:numId w:val="83"/>
              </w:numPr>
              <w:rPr>
                <w:rFonts w:cs="Arial"/>
                <w:color w:val="000000" w:themeColor="text1"/>
              </w:rPr>
            </w:pPr>
            <w:r w:rsidRPr="005D5059">
              <w:rPr>
                <w:rFonts w:cs="Arial"/>
                <w:color w:val="000000" w:themeColor="text1"/>
              </w:rPr>
              <w:t>Amy Robertson, Policy Analyst, Department of Premier and Cabinet</w:t>
            </w:r>
          </w:p>
          <w:p w14:paraId="359EF35B" w14:textId="77777777" w:rsidR="00872643" w:rsidRPr="005D5059" w:rsidRDefault="00872643" w:rsidP="000D1D92">
            <w:pPr>
              <w:pStyle w:val="ListParagraph"/>
              <w:numPr>
                <w:ilvl w:val="0"/>
                <w:numId w:val="83"/>
              </w:numPr>
              <w:rPr>
                <w:rFonts w:cs="Arial"/>
                <w:color w:val="000000" w:themeColor="text1"/>
              </w:rPr>
            </w:pPr>
            <w:r w:rsidRPr="005D5059">
              <w:rPr>
                <w:rFonts w:cs="Arial"/>
                <w:color w:val="000000" w:themeColor="text1"/>
              </w:rPr>
              <w:t>Pene Snashall, Senior Adviser, Children &amp; Youth, Office of the Minister for Human Services Office of the Minister for Women</w:t>
            </w:r>
          </w:p>
        </w:tc>
        <w:tc>
          <w:tcPr>
            <w:tcW w:w="1807" w:type="dxa"/>
          </w:tcPr>
          <w:p w14:paraId="2DEAAAB9" w14:textId="77777777" w:rsidR="00872643" w:rsidRDefault="00872643" w:rsidP="00AE0B34">
            <w:pPr>
              <w:rPr>
                <w:color w:val="000000" w:themeColor="text1"/>
                <w:sz w:val="20"/>
                <w:szCs w:val="20"/>
              </w:rPr>
            </w:pPr>
            <w:r>
              <w:rPr>
                <w:color w:val="000000" w:themeColor="text1"/>
                <w:sz w:val="20"/>
                <w:szCs w:val="20"/>
              </w:rPr>
              <w:lastRenderedPageBreak/>
              <w:t>Hobart, TAS</w:t>
            </w:r>
          </w:p>
        </w:tc>
      </w:tr>
      <w:tr w:rsidR="00872643" w:rsidRPr="00780F69" w14:paraId="74912DC6" w14:textId="77777777" w:rsidTr="00AE0B34">
        <w:tc>
          <w:tcPr>
            <w:tcW w:w="1101" w:type="dxa"/>
          </w:tcPr>
          <w:p w14:paraId="1FF82F33" w14:textId="77777777" w:rsidR="00872643" w:rsidRPr="005D5059" w:rsidRDefault="00872643" w:rsidP="00AE0B34">
            <w:pPr>
              <w:rPr>
                <w:rFonts w:cs="Arial"/>
                <w:color w:val="000000" w:themeColor="text1"/>
              </w:rPr>
            </w:pPr>
            <w:r w:rsidRPr="005D5059">
              <w:rPr>
                <w:rFonts w:cs="Arial"/>
                <w:color w:val="000000" w:themeColor="text1"/>
              </w:rPr>
              <w:lastRenderedPageBreak/>
              <w:t>13.08.15</w:t>
            </w:r>
          </w:p>
        </w:tc>
        <w:tc>
          <w:tcPr>
            <w:tcW w:w="6378" w:type="dxa"/>
          </w:tcPr>
          <w:p w14:paraId="0F377AF7" w14:textId="77777777" w:rsidR="00872643" w:rsidRPr="005D5059" w:rsidRDefault="00872643" w:rsidP="00AE0B34">
            <w:pPr>
              <w:rPr>
                <w:rFonts w:cs="Arial"/>
                <w:color w:val="000000" w:themeColor="text1"/>
              </w:rPr>
            </w:pPr>
            <w:r w:rsidRPr="005D5059">
              <w:rPr>
                <w:rFonts w:cs="Arial"/>
                <w:color w:val="000000" w:themeColor="text1"/>
              </w:rPr>
              <w:t>People who were invited to attend the South Australia roundtable included:</w:t>
            </w:r>
          </w:p>
          <w:p w14:paraId="5E751B7D" w14:textId="77777777" w:rsidR="00872643" w:rsidRPr="005D5059" w:rsidRDefault="00872643" w:rsidP="000D1D92">
            <w:pPr>
              <w:pStyle w:val="ListParagraph"/>
              <w:numPr>
                <w:ilvl w:val="0"/>
                <w:numId w:val="84"/>
              </w:numPr>
              <w:rPr>
                <w:rFonts w:cs="Arial"/>
                <w:color w:val="000000" w:themeColor="text1"/>
              </w:rPr>
            </w:pPr>
            <w:r w:rsidRPr="005D5059">
              <w:rPr>
                <w:rFonts w:cs="Arial"/>
                <w:color w:val="000000" w:themeColor="text1"/>
              </w:rPr>
              <w:t>Professor Leah Bromfield, Australian Centre for Child Protection (Presenter)</w:t>
            </w:r>
          </w:p>
          <w:p w14:paraId="4DAC685F" w14:textId="77777777" w:rsidR="00872643" w:rsidRPr="005D5059" w:rsidRDefault="00872643" w:rsidP="000D1D92">
            <w:pPr>
              <w:pStyle w:val="ListParagraph"/>
              <w:numPr>
                <w:ilvl w:val="0"/>
                <w:numId w:val="84"/>
              </w:numPr>
              <w:rPr>
                <w:rFonts w:cs="Arial"/>
                <w:color w:val="000000" w:themeColor="text1"/>
              </w:rPr>
            </w:pPr>
            <w:r w:rsidRPr="005D5059">
              <w:rPr>
                <w:rFonts w:cs="Arial"/>
                <w:color w:val="000000" w:themeColor="text1"/>
              </w:rPr>
              <w:t>Ginny Cisneros, Director of Service Development, Central Domestic Violence Service (Presenter)</w:t>
            </w:r>
          </w:p>
          <w:p w14:paraId="6A2CD5CF" w14:textId="31B51821" w:rsidR="00872643" w:rsidRPr="005D5059" w:rsidRDefault="00366829" w:rsidP="000D1D92">
            <w:pPr>
              <w:pStyle w:val="ListParagraph"/>
              <w:numPr>
                <w:ilvl w:val="0"/>
                <w:numId w:val="84"/>
              </w:numPr>
              <w:rPr>
                <w:rFonts w:cs="Arial"/>
                <w:color w:val="000000" w:themeColor="text1"/>
              </w:rPr>
            </w:pPr>
            <w:r>
              <w:rPr>
                <w:rFonts w:cs="Arial"/>
                <w:color w:val="000000" w:themeColor="text1"/>
              </w:rPr>
              <w:t>Sarah</w:t>
            </w:r>
            <w:r w:rsidR="00872643" w:rsidRPr="005D5059">
              <w:rPr>
                <w:rFonts w:cs="Arial"/>
                <w:color w:val="000000" w:themeColor="text1"/>
              </w:rPr>
              <w:t xml:space="preserve"> Williamson, Child and Youth Advocate Eastern Adelaide Domestic Violence Service (Presenter)</w:t>
            </w:r>
          </w:p>
          <w:p w14:paraId="5513431C" w14:textId="18A930A8" w:rsidR="00872643" w:rsidRPr="005D5059" w:rsidRDefault="00207236" w:rsidP="000D1D92">
            <w:pPr>
              <w:pStyle w:val="ListParagraph"/>
              <w:numPr>
                <w:ilvl w:val="0"/>
                <w:numId w:val="84"/>
              </w:numPr>
              <w:rPr>
                <w:rFonts w:cs="Arial"/>
                <w:color w:val="000000" w:themeColor="text1"/>
              </w:rPr>
            </w:pPr>
            <w:r w:rsidRPr="00207236">
              <w:rPr>
                <w:rFonts w:cs="Arial"/>
                <w:color w:val="000000" w:themeColor="text1"/>
              </w:rPr>
              <w:t>Pam Simmons, Guardian for Children and Young People, Office of the Guardian for Children and Young People in South Australia</w:t>
            </w:r>
          </w:p>
          <w:p w14:paraId="5F026C00" w14:textId="77777777" w:rsidR="00872643" w:rsidRPr="005D5059" w:rsidRDefault="00872643" w:rsidP="000D1D92">
            <w:pPr>
              <w:pStyle w:val="ListParagraph"/>
              <w:numPr>
                <w:ilvl w:val="0"/>
                <w:numId w:val="84"/>
              </w:numPr>
              <w:rPr>
                <w:rFonts w:cs="Arial"/>
                <w:color w:val="000000" w:themeColor="text1"/>
              </w:rPr>
            </w:pPr>
            <w:r w:rsidRPr="005D5059">
              <w:rPr>
                <w:rFonts w:cs="Arial"/>
                <w:color w:val="000000" w:themeColor="text1"/>
              </w:rPr>
              <w:t>Assistant Commissioner Paul Dickson, SA Police</w:t>
            </w:r>
          </w:p>
          <w:p w14:paraId="7AF62C3D" w14:textId="77777777" w:rsidR="00872643" w:rsidRPr="005D5059" w:rsidRDefault="00872643" w:rsidP="000D1D92">
            <w:pPr>
              <w:pStyle w:val="ListParagraph"/>
              <w:numPr>
                <w:ilvl w:val="0"/>
                <w:numId w:val="84"/>
              </w:numPr>
              <w:rPr>
                <w:rFonts w:cs="Arial"/>
                <w:color w:val="000000" w:themeColor="text1"/>
              </w:rPr>
            </w:pPr>
            <w:r w:rsidRPr="005D5059">
              <w:rPr>
                <w:rFonts w:cs="Arial"/>
                <w:color w:val="000000" w:themeColor="text1"/>
              </w:rPr>
              <w:t>Superintendent Joanne Shanahan, SA Police</w:t>
            </w:r>
          </w:p>
          <w:p w14:paraId="510C241C" w14:textId="77777777" w:rsidR="00872643" w:rsidRPr="005D5059" w:rsidRDefault="00872643" w:rsidP="000D1D92">
            <w:pPr>
              <w:pStyle w:val="ListParagraph"/>
              <w:numPr>
                <w:ilvl w:val="0"/>
                <w:numId w:val="84"/>
              </w:numPr>
              <w:rPr>
                <w:rFonts w:cs="Arial"/>
                <w:color w:val="000000" w:themeColor="text1"/>
              </w:rPr>
            </w:pPr>
            <w:r w:rsidRPr="005D5059">
              <w:rPr>
                <w:rFonts w:cs="Arial"/>
                <w:color w:val="000000" w:themeColor="text1"/>
              </w:rPr>
              <w:t>Inspector Deborah McLean, SA Police</w:t>
            </w:r>
          </w:p>
          <w:p w14:paraId="59D21B10" w14:textId="77777777" w:rsidR="00872643" w:rsidRPr="005D5059" w:rsidRDefault="00872643" w:rsidP="000D1D92">
            <w:pPr>
              <w:pStyle w:val="ListParagraph"/>
              <w:numPr>
                <w:ilvl w:val="0"/>
                <w:numId w:val="84"/>
              </w:numPr>
              <w:rPr>
                <w:rFonts w:cs="Arial"/>
                <w:color w:val="000000" w:themeColor="text1"/>
              </w:rPr>
            </w:pPr>
            <w:r w:rsidRPr="005D5059">
              <w:rPr>
                <w:rFonts w:cs="Arial"/>
                <w:color w:val="000000" w:themeColor="text1"/>
              </w:rPr>
              <w:t>Magdalena Madden,</w:t>
            </w:r>
            <w:r w:rsidRPr="005D5059">
              <w:rPr>
                <w:rFonts w:cs="Arial"/>
              </w:rPr>
              <w:t xml:space="preserve"> </w:t>
            </w:r>
            <w:r w:rsidRPr="005D5059">
              <w:rPr>
                <w:rFonts w:cs="Arial"/>
                <w:color w:val="000000" w:themeColor="text1"/>
              </w:rPr>
              <w:t xml:space="preserve">Principal Consultant, Council for the Care of Children    </w:t>
            </w:r>
          </w:p>
          <w:p w14:paraId="6C652D4B" w14:textId="77777777" w:rsidR="00872643" w:rsidRPr="005D5059" w:rsidRDefault="00872643" w:rsidP="000D1D92">
            <w:pPr>
              <w:pStyle w:val="ListParagraph"/>
              <w:numPr>
                <w:ilvl w:val="0"/>
                <w:numId w:val="84"/>
              </w:numPr>
              <w:rPr>
                <w:rFonts w:cs="Arial"/>
                <w:color w:val="000000" w:themeColor="text1"/>
              </w:rPr>
            </w:pPr>
            <w:r w:rsidRPr="005D5059">
              <w:rPr>
                <w:rFonts w:cs="Arial"/>
                <w:color w:val="000000" w:themeColor="text1"/>
              </w:rPr>
              <w:t>Professor Fiona Arney, Director, Centre for Child Protection</w:t>
            </w:r>
          </w:p>
          <w:p w14:paraId="00879973" w14:textId="77777777" w:rsidR="00872643" w:rsidRPr="005D5059" w:rsidRDefault="00872643" w:rsidP="000D1D92">
            <w:pPr>
              <w:pStyle w:val="ListParagraph"/>
              <w:numPr>
                <w:ilvl w:val="0"/>
                <w:numId w:val="84"/>
              </w:numPr>
              <w:rPr>
                <w:rFonts w:cs="Arial"/>
                <w:color w:val="000000" w:themeColor="text1"/>
              </w:rPr>
            </w:pPr>
            <w:r w:rsidRPr="005D5059">
              <w:rPr>
                <w:rFonts w:cs="Arial"/>
                <w:color w:val="000000" w:themeColor="text1"/>
              </w:rPr>
              <w:t>Gabrielle Canny, Director, Legal Services Commission of South Australia</w:t>
            </w:r>
          </w:p>
          <w:p w14:paraId="6D168659" w14:textId="77777777" w:rsidR="00872643" w:rsidRPr="005D5059" w:rsidRDefault="00872643" w:rsidP="000D1D92">
            <w:pPr>
              <w:pStyle w:val="ListParagraph"/>
              <w:numPr>
                <w:ilvl w:val="0"/>
                <w:numId w:val="84"/>
              </w:numPr>
              <w:rPr>
                <w:rFonts w:cs="Arial"/>
                <w:color w:val="000000" w:themeColor="text1"/>
              </w:rPr>
            </w:pPr>
            <w:r w:rsidRPr="005D5059">
              <w:rPr>
                <w:rFonts w:cs="Arial"/>
                <w:color w:val="000000" w:themeColor="text1"/>
              </w:rPr>
              <w:t>Prema Joy, Nunga Mi Minar Women's and Children's Centre</w:t>
            </w:r>
          </w:p>
          <w:p w14:paraId="142CFFAB" w14:textId="77777777" w:rsidR="00872643" w:rsidRPr="005D5059" w:rsidRDefault="00872643" w:rsidP="000D1D92">
            <w:pPr>
              <w:pStyle w:val="ListParagraph"/>
              <w:numPr>
                <w:ilvl w:val="0"/>
                <w:numId w:val="84"/>
              </w:numPr>
              <w:rPr>
                <w:rFonts w:cs="Arial"/>
                <w:color w:val="000000" w:themeColor="text1"/>
              </w:rPr>
            </w:pPr>
            <w:r w:rsidRPr="005D5059">
              <w:rPr>
                <w:rFonts w:cs="Arial"/>
                <w:color w:val="000000" w:themeColor="text1"/>
              </w:rPr>
              <w:t>Milenka Vasekova, Migrant Women's Support Service</w:t>
            </w:r>
          </w:p>
          <w:p w14:paraId="1D590164" w14:textId="77777777" w:rsidR="00872643" w:rsidRPr="005D5059" w:rsidRDefault="00872643" w:rsidP="000D1D92">
            <w:pPr>
              <w:pStyle w:val="ListParagraph"/>
              <w:numPr>
                <w:ilvl w:val="0"/>
                <w:numId w:val="84"/>
              </w:numPr>
              <w:rPr>
                <w:rFonts w:cs="Arial"/>
                <w:color w:val="000000" w:themeColor="text1"/>
              </w:rPr>
            </w:pPr>
            <w:r w:rsidRPr="005D5059">
              <w:rPr>
                <w:rFonts w:cs="Arial"/>
                <w:color w:val="000000" w:themeColor="text1"/>
              </w:rPr>
              <w:t>Megan Hughes, Executive Officer, Southern Domestic Violence Service</w:t>
            </w:r>
          </w:p>
          <w:p w14:paraId="7A970AA1" w14:textId="77777777" w:rsidR="00872643" w:rsidRPr="005D5059" w:rsidRDefault="00872643" w:rsidP="000D1D92">
            <w:pPr>
              <w:pStyle w:val="ListParagraph"/>
              <w:numPr>
                <w:ilvl w:val="0"/>
                <w:numId w:val="84"/>
              </w:numPr>
              <w:rPr>
                <w:rFonts w:cs="Arial"/>
                <w:color w:val="000000" w:themeColor="text1"/>
              </w:rPr>
            </w:pPr>
            <w:r w:rsidRPr="005D5059">
              <w:rPr>
                <w:rFonts w:cs="Arial"/>
                <w:color w:val="000000" w:themeColor="text1"/>
              </w:rPr>
              <w:t>Sue Underhill, Southern Domestic Violence Service</w:t>
            </w:r>
          </w:p>
          <w:p w14:paraId="0F7FB043" w14:textId="77777777" w:rsidR="00872643" w:rsidRPr="005D5059" w:rsidRDefault="00872643" w:rsidP="000D1D92">
            <w:pPr>
              <w:pStyle w:val="ListParagraph"/>
              <w:numPr>
                <w:ilvl w:val="0"/>
                <w:numId w:val="84"/>
              </w:numPr>
              <w:rPr>
                <w:rFonts w:cs="Arial"/>
                <w:color w:val="000000" w:themeColor="text1"/>
              </w:rPr>
            </w:pPr>
            <w:r w:rsidRPr="005D5059">
              <w:rPr>
                <w:rFonts w:cs="Arial"/>
                <w:color w:val="000000" w:themeColor="text1"/>
              </w:rPr>
              <w:t>Adjunct Associate Professor Dale Bagshaw, School of Psychology, Social Work &amp; Social Policy, University of South Australia</w:t>
            </w:r>
          </w:p>
          <w:p w14:paraId="3099B1DD" w14:textId="77777777" w:rsidR="00872643" w:rsidRPr="005D5059" w:rsidRDefault="00872643" w:rsidP="000D1D92">
            <w:pPr>
              <w:pStyle w:val="ListParagraph"/>
              <w:numPr>
                <w:ilvl w:val="0"/>
                <w:numId w:val="84"/>
              </w:numPr>
              <w:rPr>
                <w:rFonts w:cs="Arial"/>
                <w:color w:val="000000" w:themeColor="text1"/>
              </w:rPr>
            </w:pPr>
            <w:r w:rsidRPr="005D5059">
              <w:rPr>
                <w:rFonts w:cs="Arial"/>
                <w:color w:val="000000" w:themeColor="text1"/>
              </w:rPr>
              <w:t>Heidi Ehrat, Senior Research Officer (Domestic Violence), SA Coroners Court and Office for Women</w:t>
            </w:r>
          </w:p>
          <w:p w14:paraId="1349359E" w14:textId="77777777" w:rsidR="00872643" w:rsidRPr="005D5059" w:rsidRDefault="00872643" w:rsidP="000D1D92">
            <w:pPr>
              <w:pStyle w:val="ListParagraph"/>
              <w:numPr>
                <w:ilvl w:val="0"/>
                <w:numId w:val="84"/>
              </w:numPr>
              <w:rPr>
                <w:rFonts w:cs="Arial"/>
                <w:color w:val="000000" w:themeColor="text1"/>
              </w:rPr>
            </w:pPr>
            <w:r w:rsidRPr="005D5059">
              <w:rPr>
                <w:rFonts w:cs="Arial"/>
                <w:color w:val="000000" w:themeColor="text1"/>
              </w:rPr>
              <w:t>Professor Phillip Slee, Professor in Human Development, Flinders University</w:t>
            </w:r>
          </w:p>
          <w:p w14:paraId="7A9AA910" w14:textId="77777777" w:rsidR="00872643" w:rsidRPr="005D5059" w:rsidRDefault="00872643" w:rsidP="000D1D92">
            <w:pPr>
              <w:pStyle w:val="ListParagraph"/>
              <w:numPr>
                <w:ilvl w:val="0"/>
                <w:numId w:val="84"/>
              </w:numPr>
              <w:rPr>
                <w:rFonts w:cs="Arial"/>
                <w:color w:val="000000" w:themeColor="text1"/>
              </w:rPr>
            </w:pPr>
            <w:r w:rsidRPr="005D5059">
              <w:rPr>
                <w:rFonts w:cs="Arial"/>
                <w:color w:val="000000" w:themeColor="text1"/>
              </w:rPr>
              <w:t>Robert Croser, Senior Solicitor, Child Protection, SA Legal Service Commission</w:t>
            </w:r>
          </w:p>
          <w:p w14:paraId="1A54D3A2" w14:textId="77777777" w:rsidR="00872643" w:rsidRPr="005D5059" w:rsidRDefault="00872643" w:rsidP="000D1D92">
            <w:pPr>
              <w:pStyle w:val="ListParagraph"/>
              <w:numPr>
                <w:ilvl w:val="0"/>
                <w:numId w:val="84"/>
              </w:numPr>
              <w:rPr>
                <w:rFonts w:cs="Arial"/>
                <w:color w:val="000000" w:themeColor="text1"/>
              </w:rPr>
            </w:pPr>
            <w:r w:rsidRPr="005D5059">
              <w:rPr>
                <w:rFonts w:cs="Arial"/>
                <w:color w:val="000000" w:themeColor="text1"/>
              </w:rPr>
              <w:t xml:space="preserve">Nerida Saunders, Executive Director, Aboriginal Affairs and Reconciliation, South Australian </w:t>
            </w:r>
            <w:r w:rsidRPr="005D5059">
              <w:rPr>
                <w:rFonts w:cs="Arial"/>
                <w:color w:val="000000" w:themeColor="text1"/>
              </w:rPr>
              <w:lastRenderedPageBreak/>
              <w:t>Government</w:t>
            </w:r>
          </w:p>
          <w:p w14:paraId="4347BB67" w14:textId="77777777" w:rsidR="00872643" w:rsidRPr="005D5059" w:rsidRDefault="00872643" w:rsidP="000D1D92">
            <w:pPr>
              <w:pStyle w:val="ListParagraph"/>
              <w:numPr>
                <w:ilvl w:val="0"/>
                <w:numId w:val="84"/>
              </w:numPr>
              <w:rPr>
                <w:rFonts w:cs="Arial"/>
                <w:color w:val="000000" w:themeColor="text1"/>
              </w:rPr>
            </w:pPr>
            <w:r w:rsidRPr="005D5059">
              <w:rPr>
                <w:rFonts w:cs="Arial"/>
                <w:color w:val="000000" w:themeColor="text1"/>
              </w:rPr>
              <w:t>Judge Elizabeth Bolton, Chief Magistrate, Magistrates Court Adelaide</w:t>
            </w:r>
          </w:p>
        </w:tc>
        <w:tc>
          <w:tcPr>
            <w:tcW w:w="1807" w:type="dxa"/>
          </w:tcPr>
          <w:p w14:paraId="31ED382F" w14:textId="77777777" w:rsidR="00872643" w:rsidRDefault="00872643" w:rsidP="00AE0B34">
            <w:pPr>
              <w:rPr>
                <w:color w:val="000000" w:themeColor="text1"/>
                <w:sz w:val="20"/>
                <w:szCs w:val="20"/>
              </w:rPr>
            </w:pPr>
            <w:r>
              <w:rPr>
                <w:color w:val="000000" w:themeColor="text1"/>
                <w:sz w:val="20"/>
                <w:szCs w:val="20"/>
              </w:rPr>
              <w:lastRenderedPageBreak/>
              <w:t>Adelaide, SA</w:t>
            </w:r>
          </w:p>
        </w:tc>
      </w:tr>
      <w:tr w:rsidR="00872643" w:rsidRPr="00780F69" w14:paraId="71E71317" w14:textId="77777777" w:rsidTr="00AE0B34">
        <w:tc>
          <w:tcPr>
            <w:tcW w:w="1101" w:type="dxa"/>
          </w:tcPr>
          <w:p w14:paraId="009608CF" w14:textId="77777777" w:rsidR="00872643" w:rsidRPr="005D5059" w:rsidRDefault="00872643" w:rsidP="00AE0B34">
            <w:pPr>
              <w:rPr>
                <w:rFonts w:cs="Arial"/>
                <w:color w:val="000000" w:themeColor="text1"/>
              </w:rPr>
            </w:pPr>
            <w:r w:rsidRPr="005D5059">
              <w:rPr>
                <w:rFonts w:cs="Arial"/>
                <w:color w:val="000000" w:themeColor="text1"/>
              </w:rPr>
              <w:lastRenderedPageBreak/>
              <w:t>14.08.15</w:t>
            </w:r>
          </w:p>
        </w:tc>
        <w:tc>
          <w:tcPr>
            <w:tcW w:w="6378" w:type="dxa"/>
          </w:tcPr>
          <w:p w14:paraId="16DC94B0" w14:textId="77777777" w:rsidR="00872643" w:rsidRPr="005D5059" w:rsidRDefault="00872643" w:rsidP="00AE0B34">
            <w:pPr>
              <w:rPr>
                <w:rFonts w:cs="Arial"/>
                <w:color w:val="000000" w:themeColor="text1"/>
              </w:rPr>
            </w:pPr>
            <w:r w:rsidRPr="005D5059">
              <w:rPr>
                <w:rFonts w:cs="Arial"/>
                <w:color w:val="000000" w:themeColor="text1"/>
              </w:rPr>
              <w:t>People who were invited to attend the Western Australia roundtable included:</w:t>
            </w:r>
          </w:p>
          <w:p w14:paraId="2740F337" w14:textId="77777777" w:rsidR="00872643" w:rsidRPr="005D5059" w:rsidRDefault="00872643" w:rsidP="000D1D92">
            <w:pPr>
              <w:pStyle w:val="ListParagraph"/>
              <w:numPr>
                <w:ilvl w:val="0"/>
                <w:numId w:val="85"/>
              </w:numPr>
              <w:rPr>
                <w:rFonts w:cs="Arial"/>
                <w:color w:val="000000" w:themeColor="text1"/>
              </w:rPr>
            </w:pPr>
            <w:r w:rsidRPr="005D5059">
              <w:rPr>
                <w:rFonts w:cs="Arial"/>
                <w:color w:val="000000" w:themeColor="text1"/>
              </w:rPr>
              <w:t>Tracey Currie, Chief Executive Officer, National Aboriginal &amp; Torres Strait Islander Women’s Alliance (Presenter)</w:t>
            </w:r>
          </w:p>
          <w:p w14:paraId="01BF4AB5" w14:textId="77777777" w:rsidR="00872643" w:rsidRPr="005D5059" w:rsidRDefault="00872643" w:rsidP="000D1D92">
            <w:pPr>
              <w:pStyle w:val="ListParagraph"/>
              <w:numPr>
                <w:ilvl w:val="0"/>
                <w:numId w:val="85"/>
              </w:numPr>
              <w:rPr>
                <w:rFonts w:cs="Arial"/>
                <w:color w:val="000000" w:themeColor="text1"/>
              </w:rPr>
            </w:pPr>
            <w:r w:rsidRPr="005D5059">
              <w:rPr>
                <w:rFonts w:cs="Arial"/>
                <w:color w:val="000000" w:themeColor="text1"/>
              </w:rPr>
              <w:t>Dr Mick Adams, Senior Research Fellow, Australian Indigenous Health Info Net (Presenter)</w:t>
            </w:r>
          </w:p>
          <w:p w14:paraId="22A1A2B0" w14:textId="77777777" w:rsidR="00872643" w:rsidRPr="005D5059" w:rsidRDefault="00872643" w:rsidP="000D1D92">
            <w:pPr>
              <w:pStyle w:val="ListParagraph"/>
              <w:numPr>
                <w:ilvl w:val="0"/>
                <w:numId w:val="85"/>
              </w:numPr>
              <w:rPr>
                <w:rFonts w:cs="Arial"/>
                <w:color w:val="000000" w:themeColor="text1"/>
              </w:rPr>
            </w:pPr>
            <w:r w:rsidRPr="005D5059">
              <w:rPr>
                <w:rFonts w:cs="Arial"/>
                <w:color w:val="000000" w:themeColor="text1"/>
              </w:rPr>
              <w:t>Jenni Perkins, Acting  Commissioner for Children and Young People Western Australia, Australian Children’s Commissioners &amp; Guardians (WA ACCG)</w:t>
            </w:r>
          </w:p>
          <w:p w14:paraId="2DEAFA1E" w14:textId="77777777" w:rsidR="00872643" w:rsidRPr="005D5059" w:rsidRDefault="00872643" w:rsidP="000D1D92">
            <w:pPr>
              <w:pStyle w:val="ListParagraph"/>
              <w:numPr>
                <w:ilvl w:val="0"/>
                <w:numId w:val="85"/>
              </w:numPr>
              <w:rPr>
                <w:rFonts w:cs="Arial"/>
                <w:color w:val="000000" w:themeColor="text1"/>
              </w:rPr>
            </w:pPr>
            <w:r w:rsidRPr="005D5059">
              <w:rPr>
                <w:rFonts w:cs="Arial"/>
                <w:color w:val="000000" w:themeColor="text1"/>
              </w:rPr>
              <w:t>Trish Heath,</w:t>
            </w:r>
            <w:r w:rsidRPr="005D5059">
              <w:rPr>
                <w:rFonts w:cs="Arial"/>
              </w:rPr>
              <w:t xml:space="preserve"> </w:t>
            </w:r>
            <w:r w:rsidRPr="005D5059">
              <w:rPr>
                <w:rFonts w:cs="Arial"/>
                <w:color w:val="000000" w:themeColor="text1"/>
              </w:rPr>
              <w:t>Senior Policy Officer, WA ACCG</w:t>
            </w:r>
          </w:p>
          <w:p w14:paraId="2A8A1E43" w14:textId="77777777" w:rsidR="00872643" w:rsidRPr="005D5059" w:rsidRDefault="00872643" w:rsidP="000D1D92">
            <w:pPr>
              <w:pStyle w:val="ListParagraph"/>
              <w:numPr>
                <w:ilvl w:val="0"/>
                <w:numId w:val="85"/>
              </w:numPr>
              <w:rPr>
                <w:rFonts w:cs="Arial"/>
                <w:color w:val="000000" w:themeColor="text1"/>
              </w:rPr>
            </w:pPr>
            <w:r w:rsidRPr="005D5059">
              <w:rPr>
                <w:rFonts w:cs="Arial"/>
                <w:color w:val="000000" w:themeColor="text1"/>
              </w:rPr>
              <w:t>Mariette Cowley, Chief Executive Officer, Aboriginal Family Law Services</w:t>
            </w:r>
          </w:p>
          <w:p w14:paraId="0FB7CBDE" w14:textId="77777777" w:rsidR="00872643" w:rsidRPr="005D5059" w:rsidRDefault="00872643" w:rsidP="000D1D92">
            <w:pPr>
              <w:pStyle w:val="ListParagraph"/>
              <w:numPr>
                <w:ilvl w:val="0"/>
                <w:numId w:val="85"/>
              </w:numPr>
              <w:rPr>
                <w:rFonts w:cs="Arial"/>
                <w:color w:val="000000" w:themeColor="text1"/>
              </w:rPr>
            </w:pPr>
            <w:r w:rsidRPr="005D5059">
              <w:rPr>
                <w:rFonts w:cs="Arial"/>
                <w:color w:val="000000" w:themeColor="text1"/>
              </w:rPr>
              <w:t>Andrea Smith, Aboriginal Family Law Services</w:t>
            </w:r>
          </w:p>
          <w:p w14:paraId="1914C57A" w14:textId="77777777" w:rsidR="00872643" w:rsidRPr="005D5059" w:rsidRDefault="00872643" w:rsidP="000D1D92">
            <w:pPr>
              <w:pStyle w:val="ListParagraph"/>
              <w:numPr>
                <w:ilvl w:val="0"/>
                <w:numId w:val="85"/>
              </w:numPr>
              <w:rPr>
                <w:rFonts w:cs="Arial"/>
                <w:color w:val="000000" w:themeColor="text1"/>
              </w:rPr>
            </w:pPr>
            <w:r w:rsidRPr="005D5059">
              <w:rPr>
                <w:rFonts w:cs="Arial"/>
                <w:color w:val="000000" w:themeColor="text1"/>
              </w:rPr>
              <w:t>Lynda Diagne, Programme Co-ordinator, Women's Council for Domestic and Family Violence Services (WA)</w:t>
            </w:r>
          </w:p>
          <w:p w14:paraId="4CE88F88" w14:textId="77777777" w:rsidR="00872643" w:rsidRPr="005D5059" w:rsidRDefault="00872643" w:rsidP="000D1D92">
            <w:pPr>
              <w:pStyle w:val="ListParagraph"/>
              <w:numPr>
                <w:ilvl w:val="0"/>
                <w:numId w:val="85"/>
              </w:numPr>
              <w:rPr>
                <w:rFonts w:cs="Arial"/>
                <w:color w:val="000000" w:themeColor="text1"/>
              </w:rPr>
            </w:pPr>
            <w:r w:rsidRPr="005D5059">
              <w:rPr>
                <w:rFonts w:cs="Arial"/>
                <w:color w:val="000000" w:themeColor="text1"/>
              </w:rPr>
              <w:t>Alan Campbell, Research Fellow in the School of Occupational Therapy and Social Work, Curtin University</w:t>
            </w:r>
          </w:p>
          <w:p w14:paraId="10D72B10" w14:textId="77777777" w:rsidR="00872643" w:rsidRPr="005D5059" w:rsidRDefault="00872643" w:rsidP="000D1D92">
            <w:pPr>
              <w:pStyle w:val="ListParagraph"/>
              <w:numPr>
                <w:ilvl w:val="0"/>
                <w:numId w:val="85"/>
              </w:numPr>
              <w:rPr>
                <w:rFonts w:cs="Arial"/>
                <w:color w:val="000000" w:themeColor="text1"/>
              </w:rPr>
            </w:pPr>
            <w:r w:rsidRPr="005D5059">
              <w:rPr>
                <w:rFonts w:cs="Arial"/>
                <w:color w:val="000000" w:themeColor="text1"/>
              </w:rPr>
              <w:t>Detective Sergeant Ron Fyneman, Western Australia Police</w:t>
            </w:r>
          </w:p>
          <w:p w14:paraId="299BCE18" w14:textId="77777777" w:rsidR="00872643" w:rsidRPr="005D5059" w:rsidRDefault="00872643" w:rsidP="000D1D92">
            <w:pPr>
              <w:pStyle w:val="ListParagraph"/>
              <w:numPr>
                <w:ilvl w:val="0"/>
                <w:numId w:val="85"/>
              </w:numPr>
              <w:rPr>
                <w:rFonts w:cs="Arial"/>
                <w:color w:val="000000" w:themeColor="text1"/>
              </w:rPr>
            </w:pPr>
            <w:r w:rsidRPr="005D5059">
              <w:rPr>
                <w:rFonts w:cs="Arial"/>
                <w:color w:val="000000" w:themeColor="text1"/>
              </w:rPr>
              <w:t>Victoria Hovane, Board Member and PhD candidate, National Research Organisation for Women’s Safety (ANROWS)</w:t>
            </w:r>
          </w:p>
          <w:p w14:paraId="593E3AEB" w14:textId="77777777" w:rsidR="00872643" w:rsidRPr="005D5059" w:rsidRDefault="00872643" w:rsidP="000D1D92">
            <w:pPr>
              <w:pStyle w:val="ListParagraph"/>
              <w:numPr>
                <w:ilvl w:val="0"/>
                <w:numId w:val="85"/>
              </w:numPr>
              <w:rPr>
                <w:rFonts w:cs="Arial"/>
                <w:color w:val="000000" w:themeColor="text1"/>
              </w:rPr>
            </w:pPr>
            <w:r w:rsidRPr="005D5059">
              <w:rPr>
                <w:rFonts w:cs="Arial"/>
                <w:color w:val="000000" w:themeColor="text1"/>
              </w:rPr>
              <w:t>Sherrilee Mitchell, Director and WA ANROWS Research Representative, Family and Domestic Violence Unit, WA Department of Child Protection</w:t>
            </w:r>
          </w:p>
          <w:p w14:paraId="43673F29" w14:textId="77777777" w:rsidR="00872643" w:rsidRPr="005D5059" w:rsidRDefault="00872643" w:rsidP="000D1D92">
            <w:pPr>
              <w:pStyle w:val="ListParagraph"/>
              <w:numPr>
                <w:ilvl w:val="0"/>
                <w:numId w:val="85"/>
              </w:numPr>
              <w:rPr>
                <w:rFonts w:cs="Arial"/>
                <w:color w:val="000000" w:themeColor="text1"/>
              </w:rPr>
            </w:pPr>
            <w:r w:rsidRPr="005D5059">
              <w:rPr>
                <w:rFonts w:cs="Arial"/>
                <w:color w:val="000000" w:themeColor="text1"/>
              </w:rPr>
              <w:t>Dr James Fitzpatrick, McCusker Clinical Research Fellow in Aboriginal Child Health, Telethon Kids Institute</w:t>
            </w:r>
          </w:p>
          <w:p w14:paraId="6AEED00C" w14:textId="77777777" w:rsidR="00872643" w:rsidRPr="005D5059" w:rsidRDefault="00872643" w:rsidP="000D1D92">
            <w:pPr>
              <w:pStyle w:val="ListParagraph"/>
              <w:numPr>
                <w:ilvl w:val="0"/>
                <w:numId w:val="85"/>
              </w:numPr>
              <w:rPr>
                <w:rFonts w:cs="Arial"/>
                <w:color w:val="000000" w:themeColor="text1"/>
              </w:rPr>
            </w:pPr>
            <w:r w:rsidRPr="005D5059">
              <w:rPr>
                <w:rFonts w:cs="Arial"/>
                <w:color w:val="000000" w:themeColor="text1"/>
              </w:rPr>
              <w:t>Dr Glenn Pearson, Head Aboriginal Research Development, Telethon Kids Institute</w:t>
            </w:r>
          </w:p>
          <w:p w14:paraId="66B0597D" w14:textId="77777777" w:rsidR="00872643" w:rsidRPr="005D5059" w:rsidRDefault="00872643" w:rsidP="000D1D92">
            <w:pPr>
              <w:pStyle w:val="ListParagraph"/>
              <w:numPr>
                <w:ilvl w:val="0"/>
                <w:numId w:val="85"/>
              </w:numPr>
              <w:rPr>
                <w:rFonts w:cs="Arial"/>
                <w:color w:val="000000" w:themeColor="text1"/>
              </w:rPr>
            </w:pPr>
            <w:r w:rsidRPr="005D5059">
              <w:rPr>
                <w:rFonts w:cs="Arial"/>
                <w:color w:val="000000" w:themeColor="text1"/>
              </w:rPr>
              <w:t>Hannah MacGlade, The Australian Institute of Aboriginal and Torres Strait Islander Studies (AIATSIS)</w:t>
            </w:r>
          </w:p>
          <w:p w14:paraId="1665F770" w14:textId="77777777" w:rsidR="00872643" w:rsidRPr="005D5059" w:rsidRDefault="00872643" w:rsidP="000D1D92">
            <w:pPr>
              <w:pStyle w:val="ListParagraph"/>
              <w:numPr>
                <w:ilvl w:val="0"/>
                <w:numId w:val="85"/>
              </w:numPr>
              <w:rPr>
                <w:rFonts w:cs="Arial"/>
                <w:color w:val="000000" w:themeColor="text1"/>
              </w:rPr>
            </w:pPr>
            <w:r w:rsidRPr="005D5059">
              <w:rPr>
                <w:rFonts w:cs="Arial"/>
                <w:color w:val="000000" w:themeColor="text1"/>
              </w:rPr>
              <w:t xml:space="preserve">Professor Dawn </w:t>
            </w:r>
            <w:r w:rsidRPr="005D5059">
              <w:rPr>
                <w:rFonts w:cs="Arial"/>
              </w:rPr>
              <w:t>Bessarab, AIATSIS</w:t>
            </w:r>
          </w:p>
          <w:p w14:paraId="60D25429" w14:textId="77777777" w:rsidR="00872643" w:rsidRPr="005D5059" w:rsidRDefault="00872643" w:rsidP="000D1D92">
            <w:pPr>
              <w:pStyle w:val="ListParagraph"/>
              <w:numPr>
                <w:ilvl w:val="0"/>
                <w:numId w:val="85"/>
              </w:numPr>
              <w:rPr>
                <w:rFonts w:cs="Arial"/>
                <w:color w:val="000000" w:themeColor="text1"/>
              </w:rPr>
            </w:pPr>
            <w:r w:rsidRPr="005D5059">
              <w:rPr>
                <w:rFonts w:cs="Arial"/>
              </w:rPr>
              <w:t>Mandy Gadsdon, Executive Director, Aboriginal Engagement and Coordination Unit, Department for Child Protection and Family Support</w:t>
            </w:r>
          </w:p>
          <w:p w14:paraId="7FF385E1" w14:textId="77777777" w:rsidR="00872643" w:rsidRPr="005D5059" w:rsidRDefault="00872643" w:rsidP="000D1D92">
            <w:pPr>
              <w:pStyle w:val="ListParagraph"/>
              <w:numPr>
                <w:ilvl w:val="0"/>
                <w:numId w:val="85"/>
              </w:numPr>
              <w:rPr>
                <w:rFonts w:cs="Arial"/>
                <w:color w:val="000000" w:themeColor="text1"/>
              </w:rPr>
            </w:pPr>
            <w:r w:rsidRPr="005D5059">
              <w:rPr>
                <w:rFonts w:cs="Arial"/>
              </w:rPr>
              <w:t>Dot Bagshaw, Vice-President, Derbarl Yerrigan Health Service</w:t>
            </w:r>
          </w:p>
          <w:p w14:paraId="3C63F28A" w14:textId="77777777" w:rsidR="00872643" w:rsidRPr="005D5059" w:rsidRDefault="00872643" w:rsidP="000D1D92">
            <w:pPr>
              <w:pStyle w:val="ListParagraph"/>
              <w:numPr>
                <w:ilvl w:val="0"/>
                <w:numId w:val="85"/>
              </w:numPr>
              <w:rPr>
                <w:rFonts w:cs="Arial"/>
                <w:color w:val="000000" w:themeColor="text1"/>
              </w:rPr>
            </w:pPr>
            <w:r w:rsidRPr="005D5059">
              <w:rPr>
                <w:rFonts w:cs="Arial"/>
              </w:rPr>
              <w:t xml:space="preserve">Brenda Boland, Chief Executive Officer, </w:t>
            </w:r>
            <w:r w:rsidRPr="005D5059">
              <w:rPr>
                <w:rFonts w:cs="Arial"/>
              </w:rPr>
              <w:lastRenderedPageBreak/>
              <w:t>Commission for Children and Young People  (Victoria)</w:t>
            </w:r>
          </w:p>
          <w:p w14:paraId="615C5DE4" w14:textId="77777777" w:rsidR="00872643" w:rsidRPr="005D5059" w:rsidRDefault="00872643" w:rsidP="000D1D92">
            <w:pPr>
              <w:pStyle w:val="ListParagraph"/>
              <w:numPr>
                <w:ilvl w:val="0"/>
                <w:numId w:val="85"/>
              </w:numPr>
              <w:rPr>
                <w:rFonts w:cs="Arial"/>
                <w:color w:val="000000" w:themeColor="text1"/>
              </w:rPr>
            </w:pPr>
            <w:r w:rsidRPr="005D5059">
              <w:rPr>
                <w:rFonts w:cs="Arial"/>
              </w:rPr>
              <w:t>Mary Anne Williams, Aboriginal Health Council of SA Inc. (AHCSA)</w:t>
            </w:r>
          </w:p>
          <w:p w14:paraId="2F8AD1CA" w14:textId="77777777" w:rsidR="00872643" w:rsidRPr="005D5059" w:rsidRDefault="00872643" w:rsidP="000D1D92">
            <w:pPr>
              <w:pStyle w:val="ListParagraph"/>
              <w:numPr>
                <w:ilvl w:val="0"/>
                <w:numId w:val="85"/>
              </w:numPr>
              <w:rPr>
                <w:rFonts w:cs="Arial"/>
                <w:color w:val="000000" w:themeColor="text1"/>
              </w:rPr>
            </w:pPr>
            <w:r w:rsidRPr="005D5059">
              <w:rPr>
                <w:rFonts w:cs="Arial"/>
              </w:rPr>
              <w:t>Sharon Cooke, Australian Association for Infant Mental Health West Australian Branch (AAIMHI WA)</w:t>
            </w:r>
          </w:p>
          <w:p w14:paraId="7B9F03AD" w14:textId="77777777" w:rsidR="00872643" w:rsidRPr="005D5059" w:rsidRDefault="00872643" w:rsidP="00AE0B34">
            <w:pPr>
              <w:rPr>
                <w:rFonts w:cs="Arial"/>
                <w:color w:val="000000" w:themeColor="text1"/>
              </w:rPr>
            </w:pPr>
          </w:p>
        </w:tc>
        <w:tc>
          <w:tcPr>
            <w:tcW w:w="1807" w:type="dxa"/>
          </w:tcPr>
          <w:p w14:paraId="1E5D0720" w14:textId="77777777" w:rsidR="00872643" w:rsidRDefault="00872643" w:rsidP="00AE0B34">
            <w:pPr>
              <w:rPr>
                <w:color w:val="000000" w:themeColor="text1"/>
                <w:sz w:val="20"/>
                <w:szCs w:val="20"/>
              </w:rPr>
            </w:pPr>
            <w:r>
              <w:rPr>
                <w:color w:val="000000" w:themeColor="text1"/>
                <w:sz w:val="20"/>
                <w:szCs w:val="20"/>
              </w:rPr>
              <w:lastRenderedPageBreak/>
              <w:t>Perth, WA</w:t>
            </w:r>
          </w:p>
        </w:tc>
      </w:tr>
    </w:tbl>
    <w:p w14:paraId="1395D203" w14:textId="6A82DCBD" w:rsidR="00872643" w:rsidRDefault="00872643" w:rsidP="00872643">
      <w:pPr>
        <w:pStyle w:val="Heading2"/>
        <w:numPr>
          <w:ilvl w:val="0"/>
          <w:numId w:val="0"/>
        </w:numPr>
        <w:ind w:left="851" w:hanging="851"/>
      </w:pPr>
      <w:bookmarkStart w:id="224" w:name="_Toc432577338"/>
      <w:r>
        <w:lastRenderedPageBreak/>
        <w:t>Appendix 7:</w:t>
      </w:r>
      <w:r w:rsidRPr="00872643">
        <w:t xml:space="preserve"> Individual consultations with stakeholders relating to </w:t>
      </w:r>
      <w:r w:rsidR="004D3B06">
        <w:t>my</w:t>
      </w:r>
      <w:r w:rsidRPr="00872643">
        <w:t xml:space="preserve"> examination </w:t>
      </w:r>
      <w:r w:rsidR="005D5059">
        <w:t>of</w:t>
      </w:r>
      <w:r w:rsidRPr="00872643">
        <w:t xml:space="preserve"> </w:t>
      </w:r>
      <w:r w:rsidR="005D5059">
        <w:t>family and domestic violence affecting children</w:t>
      </w:r>
      <w:bookmarkEnd w:id="224"/>
    </w:p>
    <w:tbl>
      <w:tblPr>
        <w:tblStyle w:val="TableGrid"/>
        <w:tblW w:w="9060" w:type="dxa"/>
        <w:tblLook w:val="04A0" w:firstRow="1" w:lastRow="0" w:firstColumn="1" w:lastColumn="0" w:noHBand="0" w:noVBand="1"/>
      </w:tblPr>
      <w:tblGrid>
        <w:gridCol w:w="1394"/>
        <w:gridCol w:w="5339"/>
        <w:gridCol w:w="2327"/>
      </w:tblGrid>
      <w:tr w:rsidR="00872643" w14:paraId="275E7CC1" w14:textId="77777777" w:rsidTr="00AE0B34">
        <w:tc>
          <w:tcPr>
            <w:tcW w:w="1394" w:type="dxa"/>
          </w:tcPr>
          <w:p w14:paraId="5017B7EA" w14:textId="77777777" w:rsidR="00872643" w:rsidRDefault="00872643" w:rsidP="00AE0B34">
            <w:pPr>
              <w:spacing w:before="0" w:after="0"/>
              <w:rPr>
                <w:b/>
              </w:rPr>
            </w:pPr>
            <w:r>
              <w:rPr>
                <w:b/>
              </w:rPr>
              <w:t>Date</w:t>
            </w:r>
          </w:p>
        </w:tc>
        <w:tc>
          <w:tcPr>
            <w:tcW w:w="5339" w:type="dxa"/>
          </w:tcPr>
          <w:p w14:paraId="38F76373" w14:textId="77777777" w:rsidR="00872643" w:rsidRDefault="00872643" w:rsidP="00AE0B34">
            <w:pPr>
              <w:spacing w:before="0" w:after="0"/>
              <w:rPr>
                <w:b/>
              </w:rPr>
            </w:pPr>
            <w:r>
              <w:rPr>
                <w:b/>
              </w:rPr>
              <w:t>Consultation</w:t>
            </w:r>
          </w:p>
        </w:tc>
        <w:tc>
          <w:tcPr>
            <w:tcW w:w="2327" w:type="dxa"/>
          </w:tcPr>
          <w:p w14:paraId="05AF0BA5" w14:textId="77777777" w:rsidR="00872643" w:rsidRDefault="00872643" w:rsidP="00AE0B34">
            <w:pPr>
              <w:spacing w:before="0" w:after="0"/>
              <w:rPr>
                <w:b/>
              </w:rPr>
            </w:pPr>
            <w:r>
              <w:rPr>
                <w:b/>
              </w:rPr>
              <w:t>Location</w:t>
            </w:r>
          </w:p>
        </w:tc>
      </w:tr>
      <w:tr w:rsidR="00872643" w14:paraId="31E4255E" w14:textId="77777777" w:rsidTr="00AE0B34">
        <w:tc>
          <w:tcPr>
            <w:tcW w:w="1394" w:type="dxa"/>
          </w:tcPr>
          <w:p w14:paraId="6EE4BA59" w14:textId="77777777" w:rsidR="00872643" w:rsidRDefault="00872643" w:rsidP="00AE0B34">
            <w:r>
              <w:t>19.03.15</w:t>
            </w:r>
          </w:p>
        </w:tc>
        <w:tc>
          <w:tcPr>
            <w:tcW w:w="5339" w:type="dxa"/>
          </w:tcPr>
          <w:p w14:paraId="57CDD80D" w14:textId="77777777" w:rsidR="00872643" w:rsidRPr="00965522" w:rsidRDefault="00872643" w:rsidP="00AE0B34">
            <w:pPr>
              <w:rPr>
                <w:bCs/>
              </w:rPr>
            </w:pPr>
            <w:r>
              <w:rPr>
                <w:bCs/>
              </w:rPr>
              <w:t xml:space="preserve">Tracy Adams, Chief Executive Officer, </w:t>
            </w:r>
            <w:r w:rsidRPr="001A7DE0">
              <w:rPr>
                <w:bCs/>
              </w:rPr>
              <w:t>BoysTown</w:t>
            </w:r>
            <w:r>
              <w:rPr>
                <w:bCs/>
              </w:rPr>
              <w:t xml:space="preserve"> </w:t>
            </w:r>
            <w:r w:rsidRPr="005043BC">
              <w:rPr>
                <w:bCs/>
              </w:rPr>
              <w:t>and John Dalgleish</w:t>
            </w:r>
            <w:r>
              <w:rPr>
                <w:rFonts w:cs="Arial"/>
                <w:sz w:val="20"/>
                <w:szCs w:val="20"/>
              </w:rPr>
              <w:t xml:space="preserve">, </w:t>
            </w:r>
            <w:r w:rsidRPr="00965522">
              <w:rPr>
                <w:bCs/>
              </w:rPr>
              <w:t>Manager, Strategy and Research</w:t>
            </w:r>
            <w:r w:rsidRPr="00965522">
              <w:rPr>
                <w:bCs/>
              </w:rPr>
              <w:br/>
              <w:t>BoysTown</w:t>
            </w:r>
          </w:p>
        </w:tc>
        <w:tc>
          <w:tcPr>
            <w:tcW w:w="2327" w:type="dxa"/>
          </w:tcPr>
          <w:p w14:paraId="0EE63DF9" w14:textId="77777777" w:rsidR="00872643" w:rsidRDefault="00872643" w:rsidP="00AE0B34">
            <w:r>
              <w:t>AHRC, NSW</w:t>
            </w:r>
          </w:p>
        </w:tc>
      </w:tr>
      <w:tr w:rsidR="00872643" w14:paraId="099C2E8E" w14:textId="77777777" w:rsidTr="00AE0B34">
        <w:tc>
          <w:tcPr>
            <w:tcW w:w="1394" w:type="dxa"/>
          </w:tcPr>
          <w:p w14:paraId="187A4B90" w14:textId="77777777" w:rsidR="00872643" w:rsidRPr="00654FFB" w:rsidRDefault="00872643" w:rsidP="00AE0B34">
            <w:r w:rsidRPr="00654FFB">
              <w:t>25.03.15</w:t>
            </w:r>
          </w:p>
        </w:tc>
        <w:tc>
          <w:tcPr>
            <w:tcW w:w="5339" w:type="dxa"/>
          </w:tcPr>
          <w:p w14:paraId="26B18092" w14:textId="77777777" w:rsidR="00872643" w:rsidRPr="00654FFB" w:rsidRDefault="00872643" w:rsidP="00AE0B34">
            <w:pPr>
              <w:rPr>
                <w:bCs/>
              </w:rPr>
            </w:pPr>
            <w:r w:rsidRPr="00654FFB">
              <w:rPr>
                <w:bCs/>
                <w:lang w:val="en"/>
              </w:rPr>
              <w:t xml:space="preserve">Maree Walk, NSW Department of Family and Community Services </w:t>
            </w:r>
          </w:p>
        </w:tc>
        <w:tc>
          <w:tcPr>
            <w:tcW w:w="2327" w:type="dxa"/>
          </w:tcPr>
          <w:p w14:paraId="029E2FCB" w14:textId="77777777" w:rsidR="00872643" w:rsidRDefault="00872643" w:rsidP="00AE0B34">
            <w:r>
              <w:t>Sydney, NSW</w:t>
            </w:r>
          </w:p>
        </w:tc>
      </w:tr>
      <w:tr w:rsidR="00872643" w14:paraId="788C2065" w14:textId="77777777" w:rsidTr="00AE0B34">
        <w:tc>
          <w:tcPr>
            <w:tcW w:w="1394" w:type="dxa"/>
          </w:tcPr>
          <w:p w14:paraId="47B2ACB8" w14:textId="77777777" w:rsidR="00872643" w:rsidRDefault="00872643" w:rsidP="00AE0B34">
            <w:r>
              <w:t>01.04.15</w:t>
            </w:r>
          </w:p>
        </w:tc>
        <w:tc>
          <w:tcPr>
            <w:tcW w:w="5339" w:type="dxa"/>
          </w:tcPr>
          <w:p w14:paraId="2C98E2FB" w14:textId="77777777" w:rsidR="00872643" w:rsidRPr="0050595C" w:rsidRDefault="00872643" w:rsidP="00AE0B34">
            <w:pPr>
              <w:rPr>
                <w:bCs/>
                <w:highlight w:val="magenta"/>
              </w:rPr>
            </w:pPr>
            <w:r w:rsidRPr="009D1F32">
              <w:rPr>
                <w:bCs/>
              </w:rPr>
              <w:t xml:space="preserve">Nicole Mayo, Chief Operating Officer, CRIMTRAC </w:t>
            </w:r>
          </w:p>
        </w:tc>
        <w:tc>
          <w:tcPr>
            <w:tcW w:w="2327" w:type="dxa"/>
          </w:tcPr>
          <w:p w14:paraId="00488111" w14:textId="77777777" w:rsidR="00872643" w:rsidRDefault="00872643" w:rsidP="00AE0B34">
            <w:r>
              <w:t>AHRC, NSW</w:t>
            </w:r>
          </w:p>
        </w:tc>
      </w:tr>
      <w:tr w:rsidR="00872643" w14:paraId="59D457DD" w14:textId="77777777" w:rsidTr="00AE0B34">
        <w:tc>
          <w:tcPr>
            <w:tcW w:w="1394" w:type="dxa"/>
          </w:tcPr>
          <w:p w14:paraId="32C3BDE0" w14:textId="77777777" w:rsidR="00872643" w:rsidRDefault="00872643" w:rsidP="00AE0B34">
            <w:r>
              <w:t>01.06.15</w:t>
            </w:r>
          </w:p>
        </w:tc>
        <w:tc>
          <w:tcPr>
            <w:tcW w:w="5339" w:type="dxa"/>
          </w:tcPr>
          <w:p w14:paraId="1A5813EB" w14:textId="77777777" w:rsidR="00872643" w:rsidRPr="00C80D94" w:rsidRDefault="00872643" w:rsidP="00AE0B34">
            <w:pPr>
              <w:rPr>
                <w:bCs/>
              </w:rPr>
            </w:pPr>
            <w:r w:rsidRPr="00C80D94">
              <w:rPr>
                <w:bCs/>
              </w:rPr>
              <w:t>Amy Prendergast, D</w:t>
            </w:r>
            <w:r>
              <w:rPr>
                <w:bCs/>
              </w:rPr>
              <w:t xml:space="preserve">irector, </w:t>
            </w:r>
            <w:r w:rsidRPr="00C80D94">
              <w:rPr>
                <w:bCs/>
              </w:rPr>
              <w:t>Policy &amp; Coordination , Family Safety Taskforce, Department of Social Services</w:t>
            </w:r>
          </w:p>
          <w:p w14:paraId="4000D42C" w14:textId="77777777" w:rsidR="00872643" w:rsidRPr="00F92216" w:rsidRDefault="00872643" w:rsidP="00AE0B34">
            <w:pPr>
              <w:rPr>
                <w:bCs/>
              </w:rPr>
            </w:pPr>
          </w:p>
        </w:tc>
        <w:tc>
          <w:tcPr>
            <w:tcW w:w="2327" w:type="dxa"/>
          </w:tcPr>
          <w:p w14:paraId="7AD85F7E" w14:textId="77777777" w:rsidR="00872643" w:rsidRDefault="00872643" w:rsidP="00AE0B34">
            <w:r>
              <w:t>Canberra, ACT</w:t>
            </w:r>
          </w:p>
        </w:tc>
      </w:tr>
      <w:tr w:rsidR="00872643" w14:paraId="6FA81B3A" w14:textId="77777777" w:rsidTr="00AE0B34">
        <w:tc>
          <w:tcPr>
            <w:tcW w:w="1394" w:type="dxa"/>
          </w:tcPr>
          <w:p w14:paraId="423B9320" w14:textId="77777777" w:rsidR="00872643" w:rsidRPr="00371D3A" w:rsidRDefault="00872643" w:rsidP="00AE0B34">
            <w:pPr>
              <w:spacing w:before="0" w:after="0"/>
            </w:pPr>
            <w:r w:rsidRPr="00371D3A">
              <w:t>09.07.15</w:t>
            </w:r>
          </w:p>
        </w:tc>
        <w:tc>
          <w:tcPr>
            <w:tcW w:w="5339" w:type="dxa"/>
          </w:tcPr>
          <w:p w14:paraId="0288044D" w14:textId="01556D47" w:rsidR="00872643" w:rsidRPr="00371D3A" w:rsidRDefault="00872643" w:rsidP="009F6831">
            <w:pPr>
              <w:spacing w:before="0" w:after="0"/>
            </w:pPr>
            <w:r>
              <w:t xml:space="preserve">Rosie Batty, 2015 Australian of the Year, </w:t>
            </w:r>
            <w:r w:rsidR="009F6831">
              <w:t>A</w:t>
            </w:r>
            <w:r>
              <w:t>dvocate</w:t>
            </w:r>
          </w:p>
        </w:tc>
        <w:tc>
          <w:tcPr>
            <w:tcW w:w="2327" w:type="dxa"/>
          </w:tcPr>
          <w:p w14:paraId="3719B100" w14:textId="77777777" w:rsidR="00872643" w:rsidRPr="00371D3A" w:rsidRDefault="00872643" w:rsidP="00AE0B34">
            <w:pPr>
              <w:spacing w:before="0" w:after="0"/>
            </w:pPr>
            <w:r>
              <w:t>AHRC, NSW</w:t>
            </w:r>
          </w:p>
        </w:tc>
      </w:tr>
      <w:tr w:rsidR="00872643" w14:paraId="2C4B2110" w14:textId="77777777" w:rsidTr="00AE0B34">
        <w:tc>
          <w:tcPr>
            <w:tcW w:w="1394" w:type="dxa"/>
          </w:tcPr>
          <w:p w14:paraId="1F2962D4" w14:textId="77777777" w:rsidR="00872643" w:rsidRPr="00371D3A" w:rsidRDefault="00872643" w:rsidP="00AE0B34">
            <w:pPr>
              <w:spacing w:before="0" w:after="0"/>
            </w:pPr>
            <w:r>
              <w:t>21.07.15</w:t>
            </w:r>
          </w:p>
        </w:tc>
        <w:tc>
          <w:tcPr>
            <w:tcW w:w="5339" w:type="dxa"/>
          </w:tcPr>
          <w:p w14:paraId="11C12214" w14:textId="77777777" w:rsidR="00872643" w:rsidRPr="00371D3A" w:rsidRDefault="00872643" w:rsidP="00AE0B34">
            <w:pPr>
              <w:spacing w:before="0" w:after="0"/>
            </w:pPr>
            <w:r>
              <w:t xml:space="preserve">Kristy MacKellar, Advocate </w:t>
            </w:r>
          </w:p>
        </w:tc>
        <w:tc>
          <w:tcPr>
            <w:tcW w:w="2327" w:type="dxa"/>
          </w:tcPr>
          <w:p w14:paraId="3945228C" w14:textId="77777777" w:rsidR="00872643" w:rsidRPr="00371D3A" w:rsidRDefault="00872643" w:rsidP="00AE0B34">
            <w:pPr>
              <w:spacing w:before="0" w:after="0"/>
            </w:pPr>
            <w:r>
              <w:t>Melbourne, VIC</w:t>
            </w:r>
          </w:p>
        </w:tc>
      </w:tr>
      <w:tr w:rsidR="00872643" w14:paraId="4B0656AD" w14:textId="77777777" w:rsidTr="00AE0B34">
        <w:tc>
          <w:tcPr>
            <w:tcW w:w="1394" w:type="dxa"/>
          </w:tcPr>
          <w:p w14:paraId="5940323C" w14:textId="77777777" w:rsidR="00872643" w:rsidRPr="00371D3A" w:rsidRDefault="00872643" w:rsidP="00AE0B34">
            <w:pPr>
              <w:spacing w:before="0" w:after="0"/>
            </w:pPr>
            <w:r>
              <w:t>06.08.15</w:t>
            </w:r>
          </w:p>
        </w:tc>
        <w:tc>
          <w:tcPr>
            <w:tcW w:w="5339" w:type="dxa"/>
          </w:tcPr>
          <w:p w14:paraId="0ED41652" w14:textId="77777777" w:rsidR="00872643" w:rsidRPr="00371D3A" w:rsidRDefault="00872643" w:rsidP="00AE0B34">
            <w:pPr>
              <w:spacing w:before="0" w:after="0"/>
            </w:pPr>
            <w:r>
              <w:t xml:space="preserve">Professor Catherine Humphries, </w:t>
            </w:r>
            <w:r w:rsidRPr="00CB4EC2">
              <w:t>Professor of Social Work</w:t>
            </w:r>
            <w:r>
              <w:t>,</w:t>
            </w:r>
            <w:r w:rsidRPr="00CB4EC2">
              <w:t xml:space="preserve"> University of Melbourn</w:t>
            </w:r>
            <w:r>
              <w:t>e</w:t>
            </w:r>
          </w:p>
        </w:tc>
        <w:tc>
          <w:tcPr>
            <w:tcW w:w="2327" w:type="dxa"/>
          </w:tcPr>
          <w:p w14:paraId="7968F831" w14:textId="77777777" w:rsidR="00872643" w:rsidRPr="00371D3A" w:rsidRDefault="00872643" w:rsidP="00AE0B34">
            <w:pPr>
              <w:spacing w:before="0" w:after="0"/>
            </w:pPr>
            <w:r>
              <w:t>Melbourne, VIC</w:t>
            </w:r>
          </w:p>
        </w:tc>
      </w:tr>
    </w:tbl>
    <w:p w14:paraId="6F9506B7" w14:textId="3C43C070" w:rsidR="00A90ED5" w:rsidRDefault="00A90ED5" w:rsidP="00A90ED5">
      <w:pPr>
        <w:pStyle w:val="Heading2"/>
        <w:numPr>
          <w:ilvl w:val="0"/>
          <w:numId w:val="0"/>
        </w:numPr>
        <w:ind w:left="851" w:hanging="851"/>
      </w:pPr>
      <w:bookmarkStart w:id="225" w:name="_Toc432144050"/>
      <w:bookmarkStart w:id="226" w:name="_Toc432577339"/>
      <w:r>
        <w:t>Appendix 8:</w:t>
      </w:r>
      <w:r w:rsidRPr="00872643">
        <w:t xml:space="preserve"> </w:t>
      </w:r>
      <w:r w:rsidRPr="002D7B35">
        <w:t>ABS Recorded Crime – Victims data about children aged 0 to 17 years who were victims of physical assault and sexual assault</w:t>
      </w:r>
      <w:bookmarkEnd w:id="225"/>
      <w:bookmarkEnd w:id="226"/>
    </w:p>
    <w:p w14:paraId="432F821B" w14:textId="77777777" w:rsidR="00A90ED5" w:rsidRDefault="00A90ED5" w:rsidP="00A90ED5">
      <w:pPr>
        <w:jc w:val="both"/>
      </w:pPr>
      <w:r>
        <w:t>The data in this appendix is drawn from Tables 1-9 of the customised report I obtained from ABS about the ABS Recorded Crime – Victims publication.</w:t>
      </w:r>
    </w:p>
    <w:p w14:paraId="109F27BE" w14:textId="77777777" w:rsidR="00A90ED5" w:rsidRPr="006F6C4D" w:rsidRDefault="00A90ED5" w:rsidP="00A90ED5">
      <w:pPr>
        <w:jc w:val="both"/>
      </w:pPr>
      <w:r w:rsidRPr="006F6C4D">
        <w:lastRenderedPageBreak/>
        <w:t xml:space="preserve">This </w:t>
      </w:r>
      <w:r>
        <w:t>appendix</w:t>
      </w:r>
      <w:r w:rsidRPr="006F6C4D">
        <w:t xml:space="preserve"> presents data about children aged 0 to 17 years who were victims of physical assault and sexual assault offences at a residential location that came to the attention of and were recorded by police during the four year period between 2010 and 2013.</w:t>
      </w:r>
    </w:p>
    <w:p w14:paraId="44C46702" w14:textId="77777777" w:rsidR="00A90ED5" w:rsidRPr="006F6C4D" w:rsidRDefault="00A90ED5" w:rsidP="00A90ED5">
      <w:pPr>
        <w:jc w:val="both"/>
      </w:pPr>
      <w:r w:rsidRPr="006F6C4D">
        <w:t xml:space="preserve">The data that ABS supplied me with was disaggregated by each of the four years between 2010 and 2013. I have presented the data in this </w:t>
      </w:r>
      <w:r>
        <w:t>appendix</w:t>
      </w:r>
      <w:r w:rsidRPr="006F6C4D">
        <w:t xml:space="preserve"> in its aggregate form as one four-year period derived from the data ABS provided</w:t>
      </w:r>
      <w:r>
        <w:t>.</w:t>
      </w:r>
    </w:p>
    <w:p w14:paraId="3DB0A067" w14:textId="77777777" w:rsidR="00A90ED5" w:rsidRPr="006F6C4D" w:rsidRDefault="00A90ED5" w:rsidP="00A90ED5">
      <w:pPr>
        <w:jc w:val="both"/>
      </w:pPr>
      <w:r w:rsidRPr="006F6C4D">
        <w:t>The data does not capture incidents that never came to the attention of police or incidents that occurred in a location other than a residential location.</w:t>
      </w:r>
    </w:p>
    <w:p w14:paraId="3C065FBE" w14:textId="77777777" w:rsidR="00A90ED5" w:rsidRPr="006F6C4D" w:rsidRDefault="00A90ED5" w:rsidP="00A90ED5">
      <w:pPr>
        <w:jc w:val="both"/>
      </w:pPr>
      <w:r w:rsidRPr="006F6C4D">
        <w:t xml:space="preserve">The data presented in this </w:t>
      </w:r>
      <w:r>
        <w:t>appendix</w:t>
      </w:r>
      <w:r w:rsidRPr="006F6C4D">
        <w:t xml:space="preserve"> does not count the number of unique child victims. A single child can appear in multiple offence categories and so it is not meaningful to aggregate the number of child victims across the physical assault and sexual assault offence types.</w:t>
      </w:r>
      <w:r w:rsidRPr="006F6C4D">
        <w:rPr>
          <w:rStyle w:val="EndnoteReference"/>
        </w:rPr>
        <w:endnoteReference w:id="710"/>
      </w:r>
      <w:r w:rsidRPr="006F6C4D">
        <w:t xml:space="preserve"> </w:t>
      </w:r>
    </w:p>
    <w:p w14:paraId="5B93CB12" w14:textId="77777777" w:rsidR="00A90ED5" w:rsidRDefault="00A90ED5" w:rsidP="00A90ED5">
      <w:pPr>
        <w:jc w:val="both"/>
      </w:pPr>
      <w:r>
        <w:t xml:space="preserve">The same child can also be counted as a victim multiple times for the same offence within a single year as well as over the course of the four year period between 2010 and 2013. </w:t>
      </w:r>
    </w:p>
    <w:p w14:paraId="4FE26394" w14:textId="77777777" w:rsidR="00A90ED5" w:rsidRPr="004D3D86" w:rsidRDefault="00A90ED5" w:rsidP="00A90ED5">
      <w:pPr>
        <w:jc w:val="both"/>
      </w:pPr>
      <w:r w:rsidRPr="004D3D86">
        <w:t xml:space="preserve">For </w:t>
      </w:r>
      <w:r>
        <w:t>these</w:t>
      </w:r>
      <w:r w:rsidRPr="004D3D86">
        <w:t xml:space="preserve"> reason</w:t>
      </w:r>
      <w:r>
        <w:t>s</w:t>
      </w:r>
      <w:r w:rsidRPr="004D3D86">
        <w:t>, the physical assault and sexual assault data is presented separately.</w:t>
      </w:r>
    </w:p>
    <w:p w14:paraId="3B131023" w14:textId="77777777" w:rsidR="00A90ED5" w:rsidRPr="004D3D86" w:rsidRDefault="00A90ED5" w:rsidP="00A90ED5">
      <w:pPr>
        <w:jc w:val="both"/>
      </w:pPr>
      <w:r w:rsidRPr="004D3D86">
        <w:t>A residential location is defined by ABS as any location containing a permanent or semi-permanent dwelling used for private or commercial residential purposes. This definition may encompass any surrounding land/yard connected to the dwelling, together with any other structures existing at the location.</w:t>
      </w:r>
      <w:r w:rsidRPr="004D3D86">
        <w:rPr>
          <w:rStyle w:val="EndnoteReference"/>
        </w:rPr>
        <w:endnoteReference w:id="711"/>
      </w:r>
    </w:p>
    <w:p w14:paraId="655EF3B7" w14:textId="77777777" w:rsidR="00A90ED5" w:rsidRPr="004D3D86" w:rsidRDefault="00A90ED5" w:rsidP="00A90ED5">
      <w:pPr>
        <w:jc w:val="both"/>
      </w:pPr>
      <w:r w:rsidRPr="004D3D86">
        <w:t>The ABS defines assault as the direct (and immediate/confrontational) infliction of force, injury, or violence upon a child or children, or the direct (and immediate/confrontational) threat of force, injury or violence where there is an apprehension that the threat could be enacted.</w:t>
      </w:r>
      <w:r w:rsidRPr="004D3D86">
        <w:rPr>
          <w:rStyle w:val="EndnoteReference"/>
        </w:rPr>
        <w:endnoteReference w:id="712"/>
      </w:r>
    </w:p>
    <w:p w14:paraId="06B8ADFE" w14:textId="77777777" w:rsidR="00A90ED5" w:rsidRDefault="00A90ED5" w:rsidP="00A90ED5">
      <w:pPr>
        <w:jc w:val="both"/>
      </w:pPr>
      <w:r w:rsidRPr="004D3D86">
        <w:t>Sexual assault is defined by ABS as physical contact, or intent of contact, of a sexual nature directed toward another person where that person does not give consent, gives consent as a result of intimidation or deception, or consent is proscribed (i.e. the person is legally deemed incapable of giving consent because of youth, temporary/permanent (mental) incapacity or there is a familial relationship.</w:t>
      </w:r>
      <w:r w:rsidRPr="004D3D86">
        <w:rPr>
          <w:rStyle w:val="EndnoteReference"/>
        </w:rPr>
        <w:endnoteReference w:id="713"/>
      </w:r>
    </w:p>
    <w:p w14:paraId="75F79C12" w14:textId="77777777" w:rsidR="00A90ED5" w:rsidRDefault="00A90ED5" w:rsidP="00A90ED5">
      <w:pPr>
        <w:jc w:val="both"/>
      </w:pPr>
      <w:r w:rsidRPr="00D2738E">
        <w:t xml:space="preserve">The data presented in this publication has been </w:t>
      </w:r>
      <w:r w:rsidRPr="0029615E">
        <w:t>confidentialised</w:t>
      </w:r>
      <w:r w:rsidRPr="00D2738E">
        <w:t xml:space="preserve"> to prevent identification of victims. Table cells containing small values have been randomly adjusted to avoid releasing confidential information. Due to this randomisation process, totals may vary slightly across tables. These adjustments do not impair the</w:t>
      </w:r>
      <w:r>
        <w:t xml:space="preserve"> value of the tables as a whole.</w:t>
      </w:r>
      <w:r>
        <w:rPr>
          <w:rStyle w:val="EndnoteReference"/>
        </w:rPr>
        <w:endnoteReference w:id="714"/>
      </w:r>
    </w:p>
    <w:p w14:paraId="372B6496" w14:textId="77777777" w:rsidR="00A90ED5" w:rsidRDefault="00A90ED5" w:rsidP="00A90ED5">
      <w:pPr>
        <w:jc w:val="both"/>
      </w:pPr>
      <w:r>
        <w:t>A small number of child v</w:t>
      </w:r>
      <w:r w:rsidRPr="00D2738E">
        <w:t>ictims for whom sex was not specified</w:t>
      </w:r>
      <w:r>
        <w:t xml:space="preserve"> are not</w:t>
      </w:r>
      <w:r w:rsidRPr="00D2738E">
        <w:t xml:space="preserve"> counted in the males/females part </w:t>
      </w:r>
      <w:r>
        <w:t>of the data</w:t>
      </w:r>
      <w:r w:rsidRPr="00D2738E">
        <w:t xml:space="preserve"> but are counted in the persons part</w:t>
      </w:r>
      <w:r>
        <w:t xml:space="preserve">. </w:t>
      </w:r>
      <w:r w:rsidRPr="00D2738E">
        <w:t>This is why when you add males plus females it will sometimes fall sh</w:t>
      </w:r>
      <w:r>
        <w:t>ort of the total persons count.</w:t>
      </w:r>
    </w:p>
    <w:p w14:paraId="16BEA6B0" w14:textId="77777777" w:rsidR="00A90ED5" w:rsidRDefault="00A90ED5" w:rsidP="00A90ED5">
      <w:pPr>
        <w:jc w:val="both"/>
      </w:pPr>
      <w:r>
        <w:lastRenderedPageBreak/>
        <w:t>The physical assault and sexual assault data presented in this appendix describes the offender’s relationship to the child victim. The offender’s relationship to the child victim is recorded by police as that perceived by the child at the time of the offence.</w:t>
      </w:r>
      <w:r>
        <w:rPr>
          <w:rStyle w:val="EndnoteReference"/>
        </w:rPr>
        <w:endnoteReference w:id="715"/>
      </w:r>
    </w:p>
    <w:p w14:paraId="2B0D5966" w14:textId="77777777" w:rsidR="00A90ED5" w:rsidRDefault="00A90ED5" w:rsidP="00A90ED5">
      <w:pPr>
        <w:jc w:val="both"/>
      </w:pPr>
      <w:r>
        <w:t>In some cases the total number of child victims of physical assault and sexual assault is greater than the sum of the separate offender categories because the total sum includes ‘no offender identified’ and ‘not stated/inadequately described’.</w:t>
      </w:r>
    </w:p>
    <w:p w14:paraId="3A2B5F05" w14:textId="77777777" w:rsidR="00A90ED5" w:rsidRDefault="00A90ED5" w:rsidP="00A90ED5">
      <w:pPr>
        <w:jc w:val="both"/>
      </w:pPr>
      <w:r>
        <w:t>There are some inconsistencies in the coding of offender types between current and former boyfriends and girlfriends across the jurisdictions, which should be taken into account when making comparisons:</w:t>
      </w:r>
    </w:p>
    <w:p w14:paraId="2CE908CD" w14:textId="77777777" w:rsidR="00A90ED5" w:rsidRDefault="00A90ED5" w:rsidP="00A90ED5">
      <w:pPr>
        <w:ind w:firstLine="360"/>
        <w:jc w:val="both"/>
      </w:pPr>
      <w:r>
        <w:t>Boyfriend/girlfriend:</w:t>
      </w:r>
    </w:p>
    <w:p w14:paraId="03036CFA" w14:textId="77777777" w:rsidR="00A90ED5" w:rsidRDefault="00A90ED5" w:rsidP="000D1D92">
      <w:pPr>
        <w:pStyle w:val="ListParagraph"/>
        <w:numPr>
          <w:ilvl w:val="0"/>
          <w:numId w:val="47"/>
        </w:numPr>
        <w:jc w:val="both"/>
      </w:pPr>
      <w:r>
        <w:t xml:space="preserve">for New South Wales, Victoria, Queensland, South Australia and Tasmania, boyfriend and girlfriend are coded to ‘boyfriend/girlfriend’ </w:t>
      </w:r>
    </w:p>
    <w:p w14:paraId="357877C1" w14:textId="77777777" w:rsidR="00A90ED5" w:rsidRDefault="00A90ED5" w:rsidP="000D1D92">
      <w:pPr>
        <w:pStyle w:val="ListParagraph"/>
        <w:numPr>
          <w:ilvl w:val="0"/>
          <w:numId w:val="47"/>
        </w:numPr>
        <w:jc w:val="both"/>
      </w:pPr>
      <w:r>
        <w:t>for the Northern Territory, some boyfriends and girlfriends may be included in 'Other non-family member not elsewhere classified' or in 'Partner'</w:t>
      </w:r>
    </w:p>
    <w:p w14:paraId="69970526" w14:textId="77777777" w:rsidR="00A90ED5" w:rsidRDefault="00A90ED5" w:rsidP="000D1D92">
      <w:pPr>
        <w:pStyle w:val="ListParagraph"/>
        <w:numPr>
          <w:ilvl w:val="0"/>
          <w:numId w:val="47"/>
        </w:numPr>
        <w:jc w:val="both"/>
      </w:pPr>
      <w:r>
        <w:t>for the Australian Capital Territory, boyfriend and girlfriend are coded to 'Partner'</w:t>
      </w:r>
    </w:p>
    <w:p w14:paraId="61AD7212" w14:textId="77777777" w:rsidR="00A90ED5" w:rsidRDefault="00A90ED5" w:rsidP="00A90ED5">
      <w:pPr>
        <w:ind w:firstLine="360"/>
        <w:jc w:val="both"/>
      </w:pPr>
      <w:r>
        <w:t>Ex-boyfriend/ex-girlfriend:</w:t>
      </w:r>
    </w:p>
    <w:p w14:paraId="55FE12A0" w14:textId="77777777" w:rsidR="00A90ED5" w:rsidRDefault="00A90ED5" w:rsidP="000D1D92">
      <w:pPr>
        <w:pStyle w:val="ListParagraph"/>
        <w:numPr>
          <w:ilvl w:val="0"/>
          <w:numId w:val="48"/>
        </w:numPr>
        <w:jc w:val="both"/>
      </w:pPr>
      <w:r>
        <w:t>for Queensland, Victoria, South Australia and Tasmania ex-boyfriends and ex-girlfriends are coded to ‘ex-boyfriend/ex-girlfriend’</w:t>
      </w:r>
    </w:p>
    <w:p w14:paraId="0F1D6828" w14:textId="77777777" w:rsidR="00A90ED5" w:rsidRDefault="00A90ED5" w:rsidP="000D1D92">
      <w:pPr>
        <w:pStyle w:val="ListParagraph"/>
        <w:numPr>
          <w:ilvl w:val="0"/>
          <w:numId w:val="48"/>
        </w:numPr>
        <w:jc w:val="both"/>
      </w:pPr>
      <w:r>
        <w:t>for New South Wales, ex-boyfriends and ex-girlfriends are coded to 'Boyfriend/girlfriend'</w:t>
      </w:r>
    </w:p>
    <w:p w14:paraId="76318CD0" w14:textId="77777777" w:rsidR="00A90ED5" w:rsidRDefault="00A90ED5" w:rsidP="000D1D92">
      <w:pPr>
        <w:pStyle w:val="ListParagraph"/>
        <w:numPr>
          <w:ilvl w:val="0"/>
          <w:numId w:val="48"/>
        </w:numPr>
        <w:jc w:val="both"/>
      </w:pPr>
      <w:r>
        <w:t>for the Northern Territory and the Australian Capital Territory, ex-boyfriends and ex-girlfriends are coded to ‘Ex-partner’.</w:t>
      </w:r>
      <w:r>
        <w:rPr>
          <w:rStyle w:val="EndnoteReference"/>
        </w:rPr>
        <w:endnoteReference w:id="716"/>
      </w:r>
    </w:p>
    <w:p w14:paraId="65F3EFF0" w14:textId="77777777" w:rsidR="00A90ED5" w:rsidRDefault="00A90ED5" w:rsidP="00A90ED5">
      <w:pPr>
        <w:jc w:val="both"/>
      </w:pPr>
      <w:r>
        <w:t>The data presented in this appendix is disaggregated by the type of offender:</w:t>
      </w:r>
    </w:p>
    <w:p w14:paraId="5A48A513" w14:textId="77777777" w:rsidR="00A90ED5" w:rsidRDefault="00A90ED5" w:rsidP="000D1D92">
      <w:pPr>
        <w:pStyle w:val="ListParagraph"/>
        <w:numPr>
          <w:ilvl w:val="0"/>
          <w:numId w:val="49"/>
        </w:numPr>
        <w:jc w:val="both"/>
      </w:pPr>
      <w:r>
        <w:t>parent</w:t>
      </w:r>
    </w:p>
    <w:p w14:paraId="2FF1B068" w14:textId="77777777" w:rsidR="00A90ED5" w:rsidRDefault="00A90ED5" w:rsidP="000D1D92">
      <w:pPr>
        <w:pStyle w:val="ListParagraph"/>
        <w:numPr>
          <w:ilvl w:val="0"/>
          <w:numId w:val="49"/>
        </w:numPr>
        <w:jc w:val="both"/>
      </w:pPr>
      <w:r>
        <w:t>partner (includes boyfriend/girlfriend in some states and territories)</w:t>
      </w:r>
    </w:p>
    <w:p w14:paraId="66094BD6" w14:textId="77777777" w:rsidR="00A90ED5" w:rsidRDefault="00A90ED5" w:rsidP="000D1D92">
      <w:pPr>
        <w:pStyle w:val="ListParagraph"/>
        <w:numPr>
          <w:ilvl w:val="0"/>
          <w:numId w:val="49"/>
        </w:numPr>
        <w:jc w:val="both"/>
      </w:pPr>
      <w:r>
        <w:t>sibling</w:t>
      </w:r>
    </w:p>
    <w:p w14:paraId="0DAF4A94" w14:textId="77777777" w:rsidR="00A90ED5" w:rsidRDefault="00A90ED5" w:rsidP="000D1D92">
      <w:pPr>
        <w:pStyle w:val="ListParagraph"/>
        <w:numPr>
          <w:ilvl w:val="0"/>
          <w:numId w:val="49"/>
        </w:numPr>
        <w:jc w:val="both"/>
      </w:pPr>
      <w:r>
        <w:t xml:space="preserve">other family member (includes sibling for some states and territories) </w:t>
      </w:r>
    </w:p>
    <w:p w14:paraId="18CCD095" w14:textId="77777777" w:rsidR="00A90ED5" w:rsidRDefault="00A90ED5" w:rsidP="000D1D92">
      <w:pPr>
        <w:pStyle w:val="ListParagraph"/>
        <w:numPr>
          <w:ilvl w:val="0"/>
          <w:numId w:val="49"/>
        </w:numPr>
        <w:jc w:val="both"/>
      </w:pPr>
      <w:r>
        <w:t>non-family member known to the victim (includes ex-partner, ex-boyfriend/girlfriend for some states and territories, and other non-family members not related to the victim such as foster parents, teachers, acquaintances, colleagues and friends).</w:t>
      </w:r>
    </w:p>
    <w:p w14:paraId="046A9C2E" w14:textId="77777777" w:rsidR="00A90ED5" w:rsidRDefault="00A90ED5" w:rsidP="000D1D92">
      <w:pPr>
        <w:pStyle w:val="ListParagraph"/>
        <w:numPr>
          <w:ilvl w:val="0"/>
          <w:numId w:val="48"/>
        </w:numPr>
        <w:jc w:val="both"/>
      </w:pPr>
      <w:r>
        <w:t>stranger.</w:t>
      </w:r>
      <w:r>
        <w:rPr>
          <w:rStyle w:val="EndnoteReference"/>
        </w:rPr>
        <w:endnoteReference w:id="717"/>
      </w:r>
    </w:p>
    <w:p w14:paraId="08F63F18" w14:textId="77777777" w:rsidR="00A90ED5" w:rsidRDefault="00A90ED5" w:rsidP="00A90ED5">
      <w:pPr>
        <w:jc w:val="both"/>
      </w:pPr>
      <w:r>
        <w:t>The data in this appendix is also disaggregated by the sex of the child victim (male and female) and their age (0 to 9 years, 10 to 14 years and 15 to 17 years).</w:t>
      </w:r>
    </w:p>
    <w:p w14:paraId="69DF3FE7" w14:textId="77777777" w:rsidR="00A90ED5" w:rsidRDefault="00A90ED5" w:rsidP="00A90ED5">
      <w:pPr>
        <w:jc w:val="both"/>
      </w:pPr>
      <w:r>
        <w:t>Due to some jurisdictions not complying with the National Crime Recording Standard (NCRS)</w:t>
      </w:r>
      <w:r>
        <w:rPr>
          <w:rStyle w:val="EndnoteReference"/>
        </w:rPr>
        <w:endnoteReference w:id="718"/>
      </w:r>
      <w:r>
        <w:t xml:space="preserve"> and the data quality requirements for national reporting of Aboriginal and Torres Strait Islander status, ABS was not able to provide the data about child victims in a uniform or consistent way between the physical assault and sexual assault data.</w:t>
      </w:r>
    </w:p>
    <w:p w14:paraId="34A365FF" w14:textId="77777777" w:rsidR="00A90ED5" w:rsidRDefault="00A90ED5" w:rsidP="00A90ED5">
      <w:pPr>
        <w:jc w:val="both"/>
      </w:pPr>
      <w:r>
        <w:t xml:space="preserve">Physical assault data is provided for New South Wales, South Australia, the Northern Territory and the Australian Capital Territory only. Aboriginal and Torres Strait </w:t>
      </w:r>
      <w:r>
        <w:lastRenderedPageBreak/>
        <w:t>Islander status data about child victims of physical assault was not provided for the Australian Capital Territory. Data about sibling offenders of physical assault was provided for New South Wales and South Australia only.</w:t>
      </w:r>
    </w:p>
    <w:p w14:paraId="7B8CC2BF" w14:textId="77777777" w:rsidR="00A90ED5" w:rsidRDefault="00A90ED5" w:rsidP="00A90ED5">
      <w:pPr>
        <w:jc w:val="both"/>
      </w:pPr>
      <w:r>
        <w:t>Similarly, sexual assault data is provided for New South Wales, Queensland, Victoria, South Australia, Tasmania, the Northern Territory and the Australian Capital Territory only. Aboriginal and Torres Strait Islander status data about child victims of sexual assault was not provided other than for New South Wales and Queensland.</w:t>
      </w:r>
    </w:p>
    <w:p w14:paraId="621814CB" w14:textId="77777777" w:rsidR="00A90ED5" w:rsidRDefault="00A90ED5" w:rsidP="00A90ED5">
      <w:pPr>
        <w:jc w:val="both"/>
      </w:pPr>
      <w:r>
        <w:t>The level of detail able to be released for the offender categories varies across the state and territories. Data about sibling offenders of physical assault, for example, was provided for New South Wales and Victoria. Data about sibling offenders of physical assault, however, could not be outputted for the Northern Territory or the Australia Capital Territory without there being a risk of identifying individuals.</w:t>
      </w:r>
    </w:p>
    <w:p w14:paraId="50E28FE1" w14:textId="77777777" w:rsidR="00A90ED5" w:rsidRDefault="00A90ED5" w:rsidP="00A90ED5">
      <w:pPr>
        <w:jc w:val="both"/>
      </w:pPr>
      <w:r>
        <w:t>The ABS provided me with the most detailed data possible about child victims of physical assault and sexual assault. This appendix presents the data that ABS provided me with.</w:t>
      </w:r>
    </w:p>
    <w:p w14:paraId="1EB6864E" w14:textId="3D1E0B08" w:rsidR="00A90ED5" w:rsidRPr="00B44877" w:rsidRDefault="00A90ED5" w:rsidP="00E51B5E">
      <w:pPr>
        <w:pStyle w:val="Heading3"/>
        <w:numPr>
          <w:ilvl w:val="0"/>
          <w:numId w:val="0"/>
        </w:numPr>
        <w:ind w:left="851" w:hanging="851"/>
      </w:pPr>
      <w:bookmarkStart w:id="227" w:name="_Toc429579650"/>
      <w:bookmarkStart w:id="228" w:name="_Toc430168454"/>
      <w:bookmarkStart w:id="229" w:name="_Toc432144051"/>
      <w:r>
        <w:t xml:space="preserve">8.1 </w:t>
      </w:r>
      <w:r w:rsidRPr="00507EC0">
        <w:t>ABS data about child victims of</w:t>
      </w:r>
      <w:r>
        <w:t xml:space="preserve"> </w:t>
      </w:r>
      <w:r w:rsidRPr="00507EC0">
        <w:t>physical assault in a residential</w:t>
      </w:r>
      <w:r w:rsidRPr="00B44877">
        <w:t xml:space="preserve"> location aged 0 to 17 years</w:t>
      </w:r>
      <w:bookmarkEnd w:id="227"/>
      <w:bookmarkEnd w:id="228"/>
      <w:bookmarkEnd w:id="229"/>
    </w:p>
    <w:p w14:paraId="5B4B1076" w14:textId="77777777" w:rsidR="00A90ED5" w:rsidRPr="004029FF" w:rsidRDefault="00A90ED5" w:rsidP="00A90ED5">
      <w:pPr>
        <w:jc w:val="both"/>
      </w:pPr>
      <w:r>
        <w:t xml:space="preserve">The physical assault data in this appendix is drawn from Tables 1-4 of the customised </w:t>
      </w:r>
      <w:r w:rsidRPr="00507EC0">
        <w:rPr>
          <w:rFonts w:cs="Arial"/>
        </w:rPr>
        <w:t>report I obtained from ABS about the ABS Recorded Crime – Victims publication.</w:t>
      </w:r>
    </w:p>
    <w:p w14:paraId="69C36C8F" w14:textId="4FFADFD7" w:rsidR="00A90ED5" w:rsidRPr="00507EC0" w:rsidRDefault="00E51B5E" w:rsidP="00E51B5E">
      <w:pPr>
        <w:pStyle w:val="Heading4"/>
        <w:numPr>
          <w:ilvl w:val="0"/>
          <w:numId w:val="0"/>
        </w:numPr>
        <w:ind w:left="851" w:hanging="851"/>
      </w:pPr>
      <w:bookmarkStart w:id="230" w:name="_Toc430168455"/>
      <w:bookmarkStart w:id="231" w:name="_Toc432144052"/>
      <w:r>
        <w:t xml:space="preserve">8.1.1 </w:t>
      </w:r>
      <w:r w:rsidR="00A90ED5" w:rsidRPr="00507EC0">
        <w:t>New South Wales data about child victims of physical assault in a residential location</w:t>
      </w:r>
      <w:bookmarkEnd w:id="230"/>
      <w:bookmarkEnd w:id="231"/>
    </w:p>
    <w:p w14:paraId="0928A728" w14:textId="77777777" w:rsidR="00A90ED5" w:rsidRPr="006C5890" w:rsidRDefault="00A90ED5" w:rsidP="00A90ED5">
      <w:pPr>
        <w:jc w:val="both"/>
      </w:pPr>
      <w:r>
        <w:t xml:space="preserve">In New South Wales between 2010 and 2013 there were </w:t>
      </w:r>
      <w:r>
        <w:rPr>
          <w:b/>
        </w:rPr>
        <w:t>17,602 police recorded</w:t>
      </w:r>
      <w:r w:rsidRPr="00302855">
        <w:rPr>
          <w:b/>
        </w:rPr>
        <w:t xml:space="preserve"> child victims of </w:t>
      </w:r>
      <w:r>
        <w:rPr>
          <w:b/>
        </w:rPr>
        <w:t xml:space="preserve">physical </w:t>
      </w:r>
      <w:r w:rsidRPr="00302855">
        <w:rPr>
          <w:b/>
        </w:rPr>
        <w:t>assault</w:t>
      </w:r>
      <w:r>
        <w:rPr>
          <w:b/>
        </w:rPr>
        <w:t xml:space="preserve"> in a residential location</w:t>
      </w:r>
      <w:r>
        <w:t>:</w:t>
      </w:r>
    </w:p>
    <w:p w14:paraId="77A17103" w14:textId="77777777" w:rsidR="00A90ED5" w:rsidRPr="001637FB" w:rsidRDefault="00A90ED5" w:rsidP="000D1D92">
      <w:pPr>
        <w:pStyle w:val="ListParagraph"/>
        <w:numPr>
          <w:ilvl w:val="0"/>
          <w:numId w:val="51"/>
        </w:numPr>
        <w:jc w:val="both"/>
        <w:rPr>
          <w:sz w:val="22"/>
          <w:szCs w:val="22"/>
        </w:rPr>
      </w:pPr>
      <w:r w:rsidRPr="001637FB">
        <w:rPr>
          <w:b/>
          <w:sz w:val="22"/>
          <w:szCs w:val="22"/>
        </w:rPr>
        <w:t>Aboriginal and Torres Strait Islander children accounted for 10.75%</w:t>
      </w:r>
      <w:r w:rsidRPr="001637FB">
        <w:rPr>
          <w:sz w:val="22"/>
          <w:szCs w:val="22"/>
        </w:rPr>
        <w:t xml:space="preserve"> or 1,893 victims.</w:t>
      </w:r>
    </w:p>
    <w:p w14:paraId="077964DF" w14:textId="77777777" w:rsidR="00A90ED5" w:rsidRPr="001637FB" w:rsidRDefault="00A90ED5" w:rsidP="000D1D92">
      <w:pPr>
        <w:pStyle w:val="ListParagraph"/>
        <w:numPr>
          <w:ilvl w:val="0"/>
          <w:numId w:val="51"/>
        </w:numPr>
        <w:jc w:val="both"/>
        <w:rPr>
          <w:sz w:val="22"/>
          <w:szCs w:val="22"/>
        </w:rPr>
      </w:pPr>
      <w:r w:rsidRPr="001637FB">
        <w:rPr>
          <w:b/>
          <w:sz w:val="22"/>
          <w:szCs w:val="22"/>
        </w:rPr>
        <w:t>Non-Indigenous children accounted for 80.88%</w:t>
      </w:r>
      <w:r w:rsidRPr="001637FB">
        <w:rPr>
          <w:sz w:val="22"/>
          <w:szCs w:val="22"/>
        </w:rPr>
        <w:t xml:space="preserve"> or 14,238 victims.</w:t>
      </w:r>
    </w:p>
    <w:p w14:paraId="571F7E53" w14:textId="77777777" w:rsidR="00A90ED5" w:rsidRPr="001637FB" w:rsidRDefault="00A90ED5" w:rsidP="000D1D92">
      <w:pPr>
        <w:pStyle w:val="ListParagraph"/>
        <w:numPr>
          <w:ilvl w:val="0"/>
          <w:numId w:val="51"/>
        </w:numPr>
        <w:jc w:val="both"/>
        <w:rPr>
          <w:sz w:val="22"/>
          <w:szCs w:val="22"/>
        </w:rPr>
      </w:pPr>
      <w:r w:rsidRPr="001637FB">
        <w:rPr>
          <w:b/>
          <w:sz w:val="22"/>
          <w:szCs w:val="22"/>
        </w:rPr>
        <w:t>The Indigenous status was unknown for 8.35%</w:t>
      </w:r>
      <w:r w:rsidRPr="001637FB">
        <w:rPr>
          <w:sz w:val="22"/>
          <w:szCs w:val="22"/>
        </w:rPr>
        <w:t xml:space="preserve"> of children or 1,471 victims.</w:t>
      </w:r>
    </w:p>
    <w:p w14:paraId="6E3E22A5" w14:textId="77777777" w:rsidR="00A90ED5" w:rsidRPr="00E51B5E" w:rsidRDefault="00A90ED5" w:rsidP="00E51B5E">
      <w:pPr>
        <w:rPr>
          <w:u w:val="single"/>
        </w:rPr>
      </w:pPr>
      <w:r w:rsidRPr="00E51B5E">
        <w:rPr>
          <w:u w:val="single"/>
        </w:rPr>
        <w:t>Aboriginal and Torres Strait Islander children who were victims of physical assault in a residential location</w:t>
      </w:r>
    </w:p>
    <w:p w14:paraId="60C414BE" w14:textId="77777777" w:rsidR="00A90ED5" w:rsidRDefault="00A90ED5" w:rsidP="00A90ED5">
      <w:pPr>
        <w:jc w:val="both"/>
      </w:pPr>
      <w:r>
        <w:t xml:space="preserve">In New South Wales between 2010 and 2013 there were </w:t>
      </w:r>
      <w:r w:rsidRPr="00205389">
        <w:rPr>
          <w:b/>
        </w:rPr>
        <w:t>1,8</w:t>
      </w:r>
      <w:r>
        <w:rPr>
          <w:b/>
        </w:rPr>
        <w:t>93 police recorded</w:t>
      </w:r>
      <w:r w:rsidRPr="00205389">
        <w:rPr>
          <w:b/>
        </w:rPr>
        <w:t xml:space="preserve"> Aboriginal and Torres Strait I</w:t>
      </w:r>
      <w:r>
        <w:rPr>
          <w:b/>
        </w:rPr>
        <w:t>slander child victims of physical assault in a residential location</w:t>
      </w:r>
      <w:r>
        <w:t>:</w:t>
      </w:r>
    </w:p>
    <w:p w14:paraId="5D5CA027" w14:textId="77777777" w:rsidR="00A90ED5" w:rsidRPr="001637FB" w:rsidRDefault="00A90ED5" w:rsidP="000D1D92">
      <w:pPr>
        <w:pStyle w:val="ListParagraph"/>
        <w:numPr>
          <w:ilvl w:val="0"/>
          <w:numId w:val="50"/>
        </w:numPr>
        <w:jc w:val="both"/>
        <w:rPr>
          <w:sz w:val="22"/>
          <w:szCs w:val="22"/>
        </w:rPr>
      </w:pPr>
      <w:r w:rsidRPr="001637FB">
        <w:rPr>
          <w:b/>
          <w:sz w:val="22"/>
          <w:szCs w:val="22"/>
        </w:rPr>
        <w:t>Non-family members known to the victim accounted for the largest proportion of offenders</w:t>
      </w:r>
      <w:r w:rsidRPr="001637FB">
        <w:rPr>
          <w:sz w:val="22"/>
          <w:szCs w:val="22"/>
        </w:rPr>
        <w:t xml:space="preserve"> (25.67% or 486 victims), followed by </w:t>
      </w:r>
      <w:r w:rsidRPr="001637FB">
        <w:rPr>
          <w:b/>
          <w:sz w:val="22"/>
          <w:szCs w:val="22"/>
        </w:rPr>
        <w:t>parents</w:t>
      </w:r>
      <w:r w:rsidRPr="001637FB">
        <w:rPr>
          <w:sz w:val="22"/>
          <w:szCs w:val="22"/>
        </w:rPr>
        <w:t xml:space="preserve"> (24.14% or 457 victims), then </w:t>
      </w:r>
      <w:r w:rsidRPr="001637FB">
        <w:rPr>
          <w:b/>
          <w:sz w:val="22"/>
          <w:szCs w:val="22"/>
        </w:rPr>
        <w:t>other family members</w:t>
      </w:r>
      <w:r w:rsidRPr="001637FB">
        <w:rPr>
          <w:sz w:val="22"/>
          <w:szCs w:val="22"/>
        </w:rPr>
        <w:t xml:space="preserve"> (17.48% or 331 victims), then </w:t>
      </w:r>
      <w:r w:rsidRPr="001637FB">
        <w:rPr>
          <w:b/>
          <w:sz w:val="22"/>
          <w:szCs w:val="22"/>
        </w:rPr>
        <w:t>siblings</w:t>
      </w:r>
      <w:r w:rsidRPr="001637FB">
        <w:rPr>
          <w:sz w:val="22"/>
          <w:szCs w:val="22"/>
        </w:rPr>
        <w:t xml:space="preserve"> (13.41% or 254 victims), then </w:t>
      </w:r>
      <w:r w:rsidRPr="001637FB">
        <w:rPr>
          <w:b/>
          <w:sz w:val="22"/>
          <w:szCs w:val="22"/>
        </w:rPr>
        <w:t>partners</w:t>
      </w:r>
      <w:r w:rsidRPr="001637FB">
        <w:rPr>
          <w:sz w:val="22"/>
          <w:szCs w:val="22"/>
        </w:rPr>
        <w:t xml:space="preserve"> (11.93% or 226 victims), and then </w:t>
      </w:r>
      <w:r w:rsidRPr="001637FB">
        <w:rPr>
          <w:b/>
          <w:sz w:val="22"/>
          <w:szCs w:val="22"/>
        </w:rPr>
        <w:t>strangers</w:t>
      </w:r>
      <w:r w:rsidRPr="001637FB">
        <w:rPr>
          <w:sz w:val="22"/>
          <w:szCs w:val="22"/>
        </w:rPr>
        <w:t xml:space="preserve"> (3.75% or 71 victims).</w:t>
      </w:r>
    </w:p>
    <w:p w14:paraId="4578DDEC" w14:textId="77777777" w:rsidR="00A90ED5" w:rsidRPr="001637FB" w:rsidRDefault="00A90ED5" w:rsidP="000D1D92">
      <w:pPr>
        <w:pStyle w:val="ListParagraph"/>
        <w:numPr>
          <w:ilvl w:val="0"/>
          <w:numId w:val="50"/>
        </w:numPr>
        <w:jc w:val="both"/>
        <w:rPr>
          <w:sz w:val="22"/>
          <w:szCs w:val="22"/>
        </w:rPr>
      </w:pPr>
      <w:r w:rsidRPr="001637FB">
        <w:rPr>
          <w:b/>
          <w:sz w:val="22"/>
          <w:szCs w:val="22"/>
        </w:rPr>
        <w:t>Male children aged 0 to 9 years</w:t>
      </w:r>
      <w:r w:rsidRPr="001637FB">
        <w:rPr>
          <w:sz w:val="22"/>
          <w:szCs w:val="22"/>
        </w:rPr>
        <w:t xml:space="preserve"> accounted for the largest proportion of child victims who </w:t>
      </w:r>
      <w:r w:rsidRPr="001637FB">
        <w:rPr>
          <w:b/>
          <w:sz w:val="22"/>
          <w:szCs w:val="22"/>
        </w:rPr>
        <w:t xml:space="preserve">reported the offender was </w:t>
      </w:r>
      <w:r>
        <w:rPr>
          <w:b/>
          <w:sz w:val="22"/>
          <w:szCs w:val="22"/>
        </w:rPr>
        <w:t>their</w:t>
      </w:r>
      <w:r w:rsidRPr="001637FB">
        <w:rPr>
          <w:b/>
          <w:sz w:val="22"/>
          <w:szCs w:val="22"/>
        </w:rPr>
        <w:t xml:space="preserve"> parent</w:t>
      </w:r>
      <w:r w:rsidRPr="001637FB">
        <w:rPr>
          <w:sz w:val="22"/>
          <w:szCs w:val="22"/>
        </w:rPr>
        <w:t xml:space="preserve"> (21.88% or 100 victims).</w:t>
      </w:r>
    </w:p>
    <w:p w14:paraId="48E673D6" w14:textId="77777777" w:rsidR="00A90ED5" w:rsidRPr="001637FB" w:rsidRDefault="00A90ED5" w:rsidP="000D1D92">
      <w:pPr>
        <w:pStyle w:val="ListParagraph"/>
        <w:numPr>
          <w:ilvl w:val="0"/>
          <w:numId w:val="50"/>
        </w:numPr>
        <w:jc w:val="both"/>
        <w:rPr>
          <w:sz w:val="22"/>
          <w:szCs w:val="22"/>
        </w:rPr>
      </w:pPr>
      <w:r w:rsidRPr="001637FB">
        <w:rPr>
          <w:b/>
          <w:sz w:val="22"/>
          <w:szCs w:val="22"/>
        </w:rPr>
        <w:lastRenderedPageBreak/>
        <w:t xml:space="preserve">Female children aged 15 to 17 years </w:t>
      </w:r>
      <w:r w:rsidRPr="001637FB">
        <w:rPr>
          <w:sz w:val="22"/>
          <w:szCs w:val="22"/>
        </w:rPr>
        <w:t>accounted for the largest proportion of child victims who</w:t>
      </w:r>
      <w:r w:rsidRPr="001637FB">
        <w:rPr>
          <w:b/>
          <w:sz w:val="22"/>
          <w:szCs w:val="22"/>
        </w:rPr>
        <w:t xml:space="preserve"> reported the offender was their partner</w:t>
      </w:r>
      <w:r w:rsidRPr="001637FB">
        <w:rPr>
          <w:sz w:val="22"/>
          <w:szCs w:val="22"/>
        </w:rPr>
        <w:t xml:space="preserve"> (84.07% or 190 victims), their</w:t>
      </w:r>
      <w:r w:rsidRPr="001637FB">
        <w:rPr>
          <w:b/>
          <w:sz w:val="22"/>
          <w:szCs w:val="22"/>
        </w:rPr>
        <w:t xml:space="preserve"> sibling</w:t>
      </w:r>
      <w:r w:rsidRPr="001637FB">
        <w:rPr>
          <w:sz w:val="22"/>
          <w:szCs w:val="22"/>
        </w:rPr>
        <w:t xml:space="preserve"> (36.61% or 93 victims), a</w:t>
      </w:r>
      <w:r w:rsidRPr="001637FB">
        <w:rPr>
          <w:b/>
          <w:sz w:val="22"/>
          <w:szCs w:val="22"/>
        </w:rPr>
        <w:t xml:space="preserve"> non-family member known to the victim</w:t>
      </w:r>
      <w:r w:rsidRPr="001637FB">
        <w:rPr>
          <w:sz w:val="22"/>
          <w:szCs w:val="22"/>
        </w:rPr>
        <w:t xml:space="preserve"> (33.74% or 164 victims), a </w:t>
      </w:r>
      <w:r w:rsidRPr="001637FB">
        <w:rPr>
          <w:b/>
          <w:sz w:val="22"/>
          <w:szCs w:val="22"/>
        </w:rPr>
        <w:t>stranger</w:t>
      </w:r>
      <w:r w:rsidRPr="001637FB">
        <w:rPr>
          <w:sz w:val="22"/>
          <w:szCs w:val="22"/>
        </w:rPr>
        <w:t xml:space="preserve"> (30.99% or 22 victims), and some </w:t>
      </w:r>
      <w:r w:rsidRPr="001637FB">
        <w:rPr>
          <w:b/>
          <w:sz w:val="22"/>
          <w:szCs w:val="22"/>
        </w:rPr>
        <w:t xml:space="preserve">other family member </w:t>
      </w:r>
      <w:r w:rsidRPr="001637FB">
        <w:rPr>
          <w:sz w:val="22"/>
          <w:szCs w:val="22"/>
        </w:rPr>
        <w:t>(27.49% or 91 victims).</w:t>
      </w:r>
    </w:p>
    <w:p w14:paraId="4BF6AF0F" w14:textId="77777777" w:rsidR="00A90ED5" w:rsidRDefault="00A90ED5" w:rsidP="00A90ED5">
      <w:pPr>
        <w:jc w:val="both"/>
        <w:rPr>
          <w:highlight w:val="yellow"/>
        </w:rPr>
      </w:pPr>
      <w:r>
        <w:rPr>
          <w:noProof/>
        </w:rPr>
        <w:drawing>
          <wp:inline distT="0" distB="0" distL="0" distR="0" wp14:anchorId="1FF09BFE" wp14:editId="6C9D2122">
            <wp:extent cx="6229350" cy="2990850"/>
            <wp:effectExtent l="0" t="0" r="0" b="0"/>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14:paraId="51A6B5E1" w14:textId="77777777" w:rsidR="00A90ED5" w:rsidRPr="00E51B5E" w:rsidRDefault="00A90ED5" w:rsidP="00E51B5E">
      <w:pPr>
        <w:rPr>
          <w:u w:val="single"/>
        </w:rPr>
      </w:pPr>
      <w:r w:rsidRPr="00E51B5E">
        <w:rPr>
          <w:u w:val="single"/>
        </w:rPr>
        <w:t>Non-Indigenous children who were victims of physical assault in a residential location</w:t>
      </w:r>
    </w:p>
    <w:p w14:paraId="039C5401" w14:textId="77777777" w:rsidR="00A90ED5" w:rsidRDefault="00A90ED5" w:rsidP="00A90ED5">
      <w:pPr>
        <w:jc w:val="both"/>
      </w:pPr>
      <w:r>
        <w:t xml:space="preserve">In New South Wales between 2010 and 2013 there were </w:t>
      </w:r>
      <w:r>
        <w:rPr>
          <w:b/>
        </w:rPr>
        <w:t>14,238</w:t>
      </w:r>
      <w:r w:rsidRPr="000A74F5">
        <w:rPr>
          <w:b/>
        </w:rPr>
        <w:t xml:space="preserve"> </w:t>
      </w:r>
      <w:r>
        <w:rPr>
          <w:b/>
        </w:rPr>
        <w:t xml:space="preserve">police recorded </w:t>
      </w:r>
      <w:r w:rsidRPr="000A74F5">
        <w:rPr>
          <w:b/>
        </w:rPr>
        <w:t xml:space="preserve">non-Indigenous child victims of </w:t>
      </w:r>
      <w:r>
        <w:rPr>
          <w:b/>
        </w:rPr>
        <w:t xml:space="preserve">physical </w:t>
      </w:r>
      <w:r w:rsidRPr="000A74F5">
        <w:rPr>
          <w:b/>
        </w:rPr>
        <w:t>assaul</w:t>
      </w:r>
      <w:r>
        <w:rPr>
          <w:b/>
        </w:rPr>
        <w:t>t in a residential location</w:t>
      </w:r>
      <w:r w:rsidRPr="000A74F5">
        <w:t>:</w:t>
      </w:r>
    </w:p>
    <w:p w14:paraId="1F4F66FC" w14:textId="77777777" w:rsidR="00A90ED5" w:rsidRDefault="00A90ED5" w:rsidP="000D1D92">
      <w:pPr>
        <w:pStyle w:val="ListParagraph"/>
        <w:numPr>
          <w:ilvl w:val="0"/>
          <w:numId w:val="50"/>
        </w:numPr>
        <w:jc w:val="both"/>
      </w:pPr>
      <w:r w:rsidRPr="00321D51">
        <w:rPr>
          <w:b/>
        </w:rPr>
        <w:t>Parents accounted for the largest proportion of offenders</w:t>
      </w:r>
      <w:r w:rsidRPr="007446FB">
        <w:t xml:space="preserve"> (</w:t>
      </w:r>
      <w:r>
        <w:t>35.91</w:t>
      </w:r>
      <w:r w:rsidRPr="007446FB">
        <w:t xml:space="preserve">% or </w:t>
      </w:r>
      <w:r>
        <w:t>5,114</w:t>
      </w:r>
      <w:r w:rsidRPr="007446FB">
        <w:t xml:space="preserve"> victims), </w:t>
      </w:r>
      <w:r w:rsidRPr="000C45ED">
        <w:t xml:space="preserve">followed by </w:t>
      </w:r>
      <w:r w:rsidRPr="00321D51">
        <w:rPr>
          <w:b/>
        </w:rPr>
        <w:t>non-family members</w:t>
      </w:r>
      <w:r>
        <w:rPr>
          <w:b/>
        </w:rPr>
        <w:t xml:space="preserve"> known to the victim</w:t>
      </w:r>
      <w:r w:rsidRPr="007446FB">
        <w:t xml:space="preserve"> (2</w:t>
      </w:r>
      <w:r>
        <w:t>6</w:t>
      </w:r>
      <w:r w:rsidRPr="007446FB">
        <w:t>.</w:t>
      </w:r>
      <w:r>
        <w:t>15</w:t>
      </w:r>
      <w:r w:rsidRPr="007446FB">
        <w:t xml:space="preserve">% or </w:t>
      </w:r>
      <w:r>
        <w:t>3,724</w:t>
      </w:r>
      <w:r w:rsidRPr="007446FB">
        <w:t xml:space="preserve"> victims), </w:t>
      </w:r>
      <w:r w:rsidRPr="000C45ED">
        <w:t>then</w:t>
      </w:r>
      <w:r w:rsidRPr="00321D51">
        <w:rPr>
          <w:b/>
        </w:rPr>
        <w:t xml:space="preserve"> siblings</w:t>
      </w:r>
      <w:r w:rsidRPr="007446FB">
        <w:t xml:space="preserve"> (</w:t>
      </w:r>
      <w:r>
        <w:t>11.65</w:t>
      </w:r>
      <w:r w:rsidRPr="007446FB">
        <w:t xml:space="preserve">% or </w:t>
      </w:r>
      <w:r>
        <w:t>1,659</w:t>
      </w:r>
      <w:r w:rsidRPr="007446FB">
        <w:t xml:space="preserve"> </w:t>
      </w:r>
      <w:r w:rsidRPr="000C45ED">
        <w:t xml:space="preserve">victims), then </w:t>
      </w:r>
      <w:r w:rsidRPr="000C45ED">
        <w:rPr>
          <w:b/>
        </w:rPr>
        <w:t>other</w:t>
      </w:r>
      <w:r w:rsidRPr="00321D51">
        <w:rPr>
          <w:b/>
        </w:rPr>
        <w:t xml:space="preserve"> family members</w:t>
      </w:r>
      <w:r>
        <w:t xml:space="preserve"> (9.43% or 1,344), </w:t>
      </w:r>
      <w:r w:rsidRPr="000C45ED">
        <w:t>then</w:t>
      </w:r>
      <w:r w:rsidRPr="000C45ED">
        <w:rPr>
          <w:b/>
        </w:rPr>
        <w:t xml:space="preserve"> strangers</w:t>
      </w:r>
      <w:r>
        <w:t xml:space="preserve"> (6.39% or 911 victims), and then </w:t>
      </w:r>
      <w:r w:rsidRPr="000C45ED">
        <w:rPr>
          <w:b/>
        </w:rPr>
        <w:t>partners</w:t>
      </w:r>
      <w:r w:rsidRPr="007446FB">
        <w:t xml:space="preserve"> (</w:t>
      </w:r>
      <w:r>
        <w:t>6.22</w:t>
      </w:r>
      <w:r w:rsidRPr="007446FB">
        <w:t xml:space="preserve">% or </w:t>
      </w:r>
      <w:r>
        <w:t>887</w:t>
      </w:r>
      <w:r w:rsidRPr="007446FB">
        <w:t xml:space="preserve"> victims)</w:t>
      </w:r>
      <w:r>
        <w:t>.</w:t>
      </w:r>
    </w:p>
    <w:p w14:paraId="442E8300" w14:textId="77777777" w:rsidR="00A90ED5" w:rsidRDefault="00A90ED5" w:rsidP="000D1D92">
      <w:pPr>
        <w:pStyle w:val="ListParagraph"/>
        <w:numPr>
          <w:ilvl w:val="0"/>
          <w:numId w:val="50"/>
        </w:numPr>
        <w:jc w:val="both"/>
      </w:pPr>
      <w:r w:rsidRPr="00FB7429">
        <w:rPr>
          <w:b/>
        </w:rPr>
        <w:t xml:space="preserve">Male children aged 15 to 17 </w:t>
      </w:r>
      <w:r w:rsidRPr="004B70AB">
        <w:rPr>
          <w:b/>
        </w:rPr>
        <w:t>years</w:t>
      </w:r>
      <w:r w:rsidRPr="006F593D">
        <w:t xml:space="preserve"> accounted for the largest proportion of child victims who</w:t>
      </w:r>
      <w:r w:rsidRPr="00FB7429">
        <w:rPr>
          <w:b/>
        </w:rPr>
        <w:t xml:space="preserve"> reported the offender was a stranger</w:t>
      </w:r>
      <w:r w:rsidRPr="00240529">
        <w:t xml:space="preserve"> (</w:t>
      </w:r>
      <w:r>
        <w:t>47.42</w:t>
      </w:r>
      <w:r w:rsidRPr="00240529">
        <w:t xml:space="preserve">% or </w:t>
      </w:r>
      <w:r>
        <w:t>432</w:t>
      </w:r>
      <w:r w:rsidRPr="00240529">
        <w:t xml:space="preserve"> victims).</w:t>
      </w:r>
    </w:p>
    <w:p w14:paraId="47646C58" w14:textId="77777777" w:rsidR="00A90ED5" w:rsidRDefault="00A90ED5" w:rsidP="000D1D92">
      <w:pPr>
        <w:pStyle w:val="ListParagraph"/>
        <w:numPr>
          <w:ilvl w:val="0"/>
          <w:numId w:val="50"/>
        </w:numPr>
        <w:jc w:val="both"/>
      </w:pPr>
      <w:r w:rsidRPr="00FB7429">
        <w:rPr>
          <w:b/>
        </w:rPr>
        <w:t xml:space="preserve">Female children aged 10 to 14 years and female children aged 15 to 17 years </w:t>
      </w:r>
      <w:r w:rsidRPr="006F593D">
        <w:t>accounted</w:t>
      </w:r>
      <w:r>
        <w:t xml:space="preserve"> for the largest and equal</w:t>
      </w:r>
      <w:r w:rsidRPr="006F593D">
        <w:t xml:space="preserve"> proportion of child victims who</w:t>
      </w:r>
      <w:r>
        <w:rPr>
          <w:b/>
        </w:rPr>
        <w:t xml:space="preserve"> reported the offender was their parent </w:t>
      </w:r>
      <w:r>
        <w:t>(19.08% each or 976 victims each).</w:t>
      </w:r>
    </w:p>
    <w:p w14:paraId="729D4189" w14:textId="77777777" w:rsidR="00A90ED5" w:rsidRPr="00C21855" w:rsidRDefault="00A90ED5" w:rsidP="000D1D92">
      <w:pPr>
        <w:pStyle w:val="ListParagraph"/>
        <w:numPr>
          <w:ilvl w:val="0"/>
          <w:numId w:val="50"/>
        </w:numPr>
        <w:jc w:val="both"/>
      </w:pPr>
      <w:r w:rsidRPr="00FB7429">
        <w:rPr>
          <w:b/>
        </w:rPr>
        <w:t xml:space="preserve">Female children aged 15 to 17 years </w:t>
      </w:r>
      <w:r w:rsidRPr="006F593D">
        <w:t>accounted for the largest proportion of child victims who</w:t>
      </w:r>
      <w:r w:rsidRPr="00FB7429">
        <w:rPr>
          <w:b/>
        </w:rPr>
        <w:t xml:space="preserve"> reported the offender was their partner</w:t>
      </w:r>
      <w:r w:rsidRPr="007446FB">
        <w:t xml:space="preserve"> (</w:t>
      </w:r>
      <w:r>
        <w:t>87.15</w:t>
      </w:r>
      <w:r w:rsidRPr="007446FB">
        <w:t xml:space="preserve">% or </w:t>
      </w:r>
      <w:r>
        <w:t>773</w:t>
      </w:r>
      <w:r w:rsidRPr="007446FB">
        <w:t xml:space="preserve"> victims),</w:t>
      </w:r>
      <w:r>
        <w:t xml:space="preserve"> a </w:t>
      </w:r>
      <w:r>
        <w:rPr>
          <w:b/>
        </w:rPr>
        <w:t xml:space="preserve">non-family member known to the victim </w:t>
      </w:r>
      <w:r w:rsidRPr="007446FB">
        <w:t>(</w:t>
      </w:r>
      <w:r>
        <w:t xml:space="preserve">29.78% or 1109 victims), their </w:t>
      </w:r>
      <w:r w:rsidRPr="00FB7429">
        <w:rPr>
          <w:b/>
        </w:rPr>
        <w:t>sibling</w:t>
      </w:r>
      <w:r w:rsidRPr="007446FB">
        <w:t xml:space="preserve"> (</w:t>
      </w:r>
      <w:r>
        <w:t>29.17</w:t>
      </w:r>
      <w:r w:rsidRPr="007446FB">
        <w:t xml:space="preserve">% or </w:t>
      </w:r>
      <w:r>
        <w:t>484</w:t>
      </w:r>
      <w:r w:rsidRPr="007446FB">
        <w:t xml:space="preserve"> victims), </w:t>
      </w:r>
      <w:r>
        <w:t xml:space="preserve">and some </w:t>
      </w:r>
      <w:r w:rsidRPr="00FB7429">
        <w:rPr>
          <w:b/>
        </w:rPr>
        <w:t>other family member</w:t>
      </w:r>
      <w:r>
        <w:t xml:space="preserve"> </w:t>
      </w:r>
      <w:r w:rsidRPr="007446FB">
        <w:t>(</w:t>
      </w:r>
      <w:r>
        <w:t>26.56</w:t>
      </w:r>
      <w:r w:rsidRPr="007446FB">
        <w:t xml:space="preserve">% or </w:t>
      </w:r>
      <w:r>
        <w:t>357</w:t>
      </w:r>
      <w:r w:rsidRPr="007446FB">
        <w:t xml:space="preserve"> victims).</w:t>
      </w:r>
    </w:p>
    <w:p w14:paraId="15E80F3F" w14:textId="77777777" w:rsidR="00A90ED5" w:rsidRPr="00626946" w:rsidRDefault="00A90ED5" w:rsidP="00A90ED5">
      <w:pPr>
        <w:jc w:val="both"/>
      </w:pPr>
      <w:r>
        <w:rPr>
          <w:noProof/>
        </w:rPr>
        <w:lastRenderedPageBreak/>
        <w:drawing>
          <wp:inline distT="0" distB="0" distL="0" distR="0" wp14:anchorId="630D0897" wp14:editId="060F70C9">
            <wp:extent cx="6162675" cy="3267075"/>
            <wp:effectExtent l="0" t="0" r="9525" b="9525"/>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14:paraId="029D9BB6" w14:textId="77777777" w:rsidR="00A90ED5" w:rsidRPr="00E51B5E" w:rsidRDefault="00A90ED5" w:rsidP="00E51B5E">
      <w:pPr>
        <w:rPr>
          <w:u w:val="single"/>
        </w:rPr>
      </w:pPr>
      <w:r w:rsidRPr="00E51B5E">
        <w:rPr>
          <w:u w:val="single"/>
        </w:rPr>
        <w:t>Aboriginal and Torres Strait Islander status unknown for child victims of physical assault in a residential location</w:t>
      </w:r>
    </w:p>
    <w:p w14:paraId="736B54F4" w14:textId="77777777" w:rsidR="00A90ED5" w:rsidRDefault="00A90ED5" w:rsidP="00A90ED5">
      <w:pPr>
        <w:jc w:val="both"/>
      </w:pPr>
      <w:r>
        <w:t xml:space="preserve">In New South Wales between 2010 and 2013 there were </w:t>
      </w:r>
      <w:r w:rsidRPr="00756791">
        <w:rPr>
          <w:b/>
        </w:rPr>
        <w:t>1,4</w:t>
      </w:r>
      <w:r>
        <w:rPr>
          <w:b/>
        </w:rPr>
        <w:t>71</w:t>
      </w:r>
      <w:r w:rsidRPr="00205389">
        <w:rPr>
          <w:b/>
        </w:rPr>
        <w:t xml:space="preserve"> </w:t>
      </w:r>
      <w:r>
        <w:rPr>
          <w:b/>
        </w:rPr>
        <w:t>police recorded child victims of physical assault with Indigenous status unknown in a residential location</w:t>
      </w:r>
      <w:r>
        <w:t>:</w:t>
      </w:r>
    </w:p>
    <w:p w14:paraId="77A70B8D" w14:textId="77777777" w:rsidR="00A90ED5" w:rsidRDefault="00A90ED5" w:rsidP="000D1D92">
      <w:pPr>
        <w:pStyle w:val="ListParagraph"/>
        <w:numPr>
          <w:ilvl w:val="0"/>
          <w:numId w:val="52"/>
        </w:numPr>
        <w:jc w:val="both"/>
      </w:pPr>
      <w:r w:rsidRPr="003428C3">
        <w:rPr>
          <w:b/>
        </w:rPr>
        <w:t>Parents accounted for the largest proportion of offenders</w:t>
      </w:r>
      <w:r>
        <w:t xml:space="preserve"> (34.05% or 501 victims), followed by </w:t>
      </w:r>
      <w:r w:rsidRPr="003428C3">
        <w:rPr>
          <w:b/>
        </w:rPr>
        <w:t>non-family members</w:t>
      </w:r>
      <w:r>
        <w:rPr>
          <w:b/>
        </w:rPr>
        <w:t xml:space="preserve"> known to the victim</w:t>
      </w:r>
      <w:r>
        <w:t xml:space="preserve"> (28.75% or 423 victims), then </w:t>
      </w:r>
      <w:r w:rsidRPr="003428C3">
        <w:rPr>
          <w:b/>
        </w:rPr>
        <w:t>siblings</w:t>
      </w:r>
      <w:r>
        <w:t xml:space="preserve"> (11.35% or 167 victims), then </w:t>
      </w:r>
      <w:r w:rsidRPr="003428C3">
        <w:rPr>
          <w:b/>
        </w:rPr>
        <w:t>other family members</w:t>
      </w:r>
      <w:r>
        <w:t xml:space="preserve"> (8.63% or 127 victims), then </w:t>
      </w:r>
      <w:r w:rsidRPr="003428C3">
        <w:rPr>
          <w:b/>
        </w:rPr>
        <w:t>partners</w:t>
      </w:r>
      <w:r>
        <w:t xml:space="preserve"> (7.61% or 112 victims), and then </w:t>
      </w:r>
      <w:r w:rsidRPr="003428C3">
        <w:rPr>
          <w:b/>
        </w:rPr>
        <w:t>strangers</w:t>
      </w:r>
      <w:r>
        <w:t xml:space="preserve"> (5.23% or 77 victims).</w:t>
      </w:r>
    </w:p>
    <w:p w14:paraId="5E731B2E" w14:textId="77777777" w:rsidR="00A90ED5" w:rsidRDefault="00A90ED5" w:rsidP="000D1D92">
      <w:pPr>
        <w:pStyle w:val="ListParagraph"/>
        <w:numPr>
          <w:ilvl w:val="0"/>
          <w:numId w:val="52"/>
        </w:numPr>
        <w:jc w:val="both"/>
      </w:pPr>
      <w:r w:rsidRPr="00F56F85">
        <w:rPr>
          <w:b/>
        </w:rPr>
        <w:t>Male children aged 0 to 9 years</w:t>
      </w:r>
      <w:r w:rsidRPr="00C74640">
        <w:t xml:space="preserve"> </w:t>
      </w:r>
      <w:r w:rsidRPr="00F25FF2">
        <w:rPr>
          <w:b/>
        </w:rPr>
        <w:t>and female children aged 15 to 17 years</w:t>
      </w:r>
      <w:r w:rsidRPr="00C74640">
        <w:t xml:space="preserve"> </w:t>
      </w:r>
      <w:r>
        <w:t xml:space="preserve">accounted for the largest and equal proportion of </w:t>
      </w:r>
      <w:r w:rsidRPr="00C74640">
        <w:t xml:space="preserve">child victims who </w:t>
      </w:r>
      <w:r w:rsidRPr="00C74640">
        <w:rPr>
          <w:b/>
        </w:rPr>
        <w:t xml:space="preserve">reported the offender was </w:t>
      </w:r>
      <w:r>
        <w:rPr>
          <w:b/>
        </w:rPr>
        <w:t>their</w:t>
      </w:r>
      <w:r w:rsidRPr="00C74640">
        <w:rPr>
          <w:b/>
        </w:rPr>
        <w:t xml:space="preserve"> parent</w:t>
      </w:r>
      <w:r>
        <w:t xml:space="preserve"> (20.76% each or 104 victims each).</w:t>
      </w:r>
    </w:p>
    <w:p w14:paraId="00E69067" w14:textId="77777777" w:rsidR="00A90ED5" w:rsidRDefault="00A90ED5" w:rsidP="000D1D92">
      <w:pPr>
        <w:pStyle w:val="ListParagraph"/>
        <w:numPr>
          <w:ilvl w:val="0"/>
          <w:numId w:val="52"/>
        </w:numPr>
        <w:jc w:val="both"/>
      </w:pPr>
      <w:r w:rsidRPr="00080904">
        <w:rPr>
          <w:b/>
        </w:rPr>
        <w:t xml:space="preserve">Male children aged 15 to 17 years </w:t>
      </w:r>
      <w:r w:rsidRPr="00F25FF2">
        <w:t>accounted for the largest proportion of child victims who</w:t>
      </w:r>
      <w:r w:rsidRPr="00080904">
        <w:rPr>
          <w:b/>
        </w:rPr>
        <w:t xml:space="preserve"> reported the offender was a stranger</w:t>
      </w:r>
      <w:r w:rsidRPr="00240529">
        <w:t xml:space="preserve"> (</w:t>
      </w:r>
      <w:r>
        <w:t>46.75</w:t>
      </w:r>
      <w:r w:rsidRPr="00240529">
        <w:t xml:space="preserve">% or </w:t>
      </w:r>
      <w:r>
        <w:t xml:space="preserve">36 victims), </w:t>
      </w:r>
      <w:r w:rsidRPr="00F25FF2">
        <w:t>and a</w:t>
      </w:r>
      <w:r>
        <w:rPr>
          <w:b/>
        </w:rPr>
        <w:t xml:space="preserve"> non-family member known to the victim </w:t>
      </w:r>
      <w:r>
        <w:t>(31.21% or 132 victims).</w:t>
      </w:r>
    </w:p>
    <w:p w14:paraId="283E66FB" w14:textId="77777777" w:rsidR="00A90ED5" w:rsidRDefault="00A90ED5" w:rsidP="000D1D92">
      <w:pPr>
        <w:pStyle w:val="ListParagraph"/>
        <w:numPr>
          <w:ilvl w:val="0"/>
          <w:numId w:val="52"/>
        </w:numPr>
        <w:jc w:val="both"/>
      </w:pPr>
      <w:r w:rsidRPr="00F25FF2">
        <w:rPr>
          <w:b/>
        </w:rPr>
        <w:t xml:space="preserve">Female children aged 15 to 17 years </w:t>
      </w:r>
      <w:r w:rsidRPr="00F25FF2">
        <w:t xml:space="preserve">accounted for the largest proportion of child victims who </w:t>
      </w:r>
      <w:r w:rsidRPr="00F25FF2">
        <w:rPr>
          <w:b/>
        </w:rPr>
        <w:t>reported the offender was their partner</w:t>
      </w:r>
      <w:r w:rsidRPr="007446FB">
        <w:t xml:space="preserve"> (</w:t>
      </w:r>
      <w:r>
        <w:t>85.71</w:t>
      </w:r>
      <w:r w:rsidRPr="007446FB">
        <w:t xml:space="preserve">% or </w:t>
      </w:r>
      <w:r>
        <w:t>96</w:t>
      </w:r>
      <w:r w:rsidRPr="007446FB">
        <w:t xml:space="preserve"> victims), </w:t>
      </w:r>
      <w:r>
        <w:t>their</w:t>
      </w:r>
      <w:r w:rsidRPr="007446FB">
        <w:t xml:space="preserve"> </w:t>
      </w:r>
      <w:r w:rsidRPr="00F25FF2">
        <w:rPr>
          <w:b/>
        </w:rPr>
        <w:t>sibling</w:t>
      </w:r>
      <w:r w:rsidRPr="007446FB">
        <w:t xml:space="preserve"> (</w:t>
      </w:r>
      <w:r>
        <w:t>30.54</w:t>
      </w:r>
      <w:r w:rsidRPr="007446FB">
        <w:t xml:space="preserve">% or </w:t>
      </w:r>
      <w:r>
        <w:t>51</w:t>
      </w:r>
      <w:r w:rsidRPr="007446FB">
        <w:t xml:space="preserve"> victims),</w:t>
      </w:r>
      <w:r>
        <w:t xml:space="preserve"> and</w:t>
      </w:r>
      <w:r w:rsidRPr="007446FB">
        <w:t xml:space="preserve"> some </w:t>
      </w:r>
      <w:r w:rsidRPr="00F25FF2">
        <w:rPr>
          <w:b/>
        </w:rPr>
        <w:t>other family member</w:t>
      </w:r>
      <w:r w:rsidRPr="007446FB">
        <w:t xml:space="preserve"> (</w:t>
      </w:r>
      <w:r>
        <w:t>28.35</w:t>
      </w:r>
      <w:r w:rsidRPr="007446FB">
        <w:t xml:space="preserve">% or </w:t>
      </w:r>
      <w:r>
        <w:t>36</w:t>
      </w:r>
      <w:r w:rsidRPr="007446FB">
        <w:t xml:space="preserve"> victims)</w:t>
      </w:r>
      <w:r>
        <w:t>.</w:t>
      </w:r>
    </w:p>
    <w:p w14:paraId="7D01816D" w14:textId="77777777" w:rsidR="00A90ED5" w:rsidRDefault="00A90ED5" w:rsidP="00A90ED5">
      <w:pPr>
        <w:jc w:val="both"/>
      </w:pPr>
      <w:r>
        <w:rPr>
          <w:noProof/>
        </w:rPr>
        <w:lastRenderedPageBreak/>
        <w:drawing>
          <wp:inline distT="0" distB="0" distL="0" distR="0" wp14:anchorId="19668006" wp14:editId="0C4A3814">
            <wp:extent cx="6124575" cy="3333750"/>
            <wp:effectExtent l="0" t="0" r="9525" b="0"/>
            <wp:docPr id="18" name="Chart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14:paraId="3DCF1A90" w14:textId="77F153B7" w:rsidR="00A90ED5" w:rsidRPr="00243307" w:rsidRDefault="00E51B5E" w:rsidP="00E51B5E">
      <w:pPr>
        <w:pStyle w:val="Heading4"/>
        <w:numPr>
          <w:ilvl w:val="0"/>
          <w:numId w:val="0"/>
        </w:numPr>
        <w:ind w:left="851" w:hanging="851"/>
      </w:pPr>
      <w:bookmarkStart w:id="232" w:name="_Toc430168456"/>
      <w:bookmarkStart w:id="233" w:name="_Toc432144053"/>
      <w:r>
        <w:t xml:space="preserve">8.1.2 </w:t>
      </w:r>
      <w:r w:rsidR="00A90ED5" w:rsidRPr="00243307">
        <w:t>South Australian data about child victims of physical assault in a residential location</w:t>
      </w:r>
      <w:bookmarkEnd w:id="232"/>
      <w:bookmarkEnd w:id="233"/>
    </w:p>
    <w:p w14:paraId="4D3ACE05" w14:textId="77777777" w:rsidR="00A90ED5" w:rsidRDefault="00A90ED5" w:rsidP="00A90ED5">
      <w:pPr>
        <w:jc w:val="both"/>
      </w:pPr>
      <w:r>
        <w:t xml:space="preserve">In </w:t>
      </w:r>
      <w:r w:rsidRPr="00677892">
        <w:t xml:space="preserve">South Australia </w:t>
      </w:r>
      <w:r>
        <w:t xml:space="preserve">between 2010 and 2013 there were </w:t>
      </w:r>
      <w:r>
        <w:rPr>
          <w:b/>
        </w:rPr>
        <w:t>3,073 police recorded</w:t>
      </w:r>
      <w:r w:rsidRPr="00302855">
        <w:rPr>
          <w:b/>
        </w:rPr>
        <w:t xml:space="preserve"> child victims of </w:t>
      </w:r>
      <w:r>
        <w:rPr>
          <w:b/>
        </w:rPr>
        <w:t xml:space="preserve">physical </w:t>
      </w:r>
      <w:r w:rsidRPr="00302855">
        <w:rPr>
          <w:b/>
        </w:rPr>
        <w:t>assault</w:t>
      </w:r>
      <w:r>
        <w:rPr>
          <w:b/>
        </w:rPr>
        <w:t xml:space="preserve"> in a residential location</w:t>
      </w:r>
      <w:r>
        <w:t xml:space="preserve">: </w:t>
      </w:r>
    </w:p>
    <w:p w14:paraId="63FE6923" w14:textId="77777777" w:rsidR="00A90ED5" w:rsidRPr="00621ED5" w:rsidRDefault="00A90ED5" w:rsidP="000D1D92">
      <w:pPr>
        <w:pStyle w:val="ListParagraph"/>
        <w:numPr>
          <w:ilvl w:val="0"/>
          <w:numId w:val="51"/>
        </w:numPr>
        <w:jc w:val="both"/>
      </w:pPr>
      <w:r w:rsidRPr="00DF7CD9">
        <w:rPr>
          <w:b/>
        </w:rPr>
        <w:t>Aboriginal and Torres Strait Islander children accounted for 14.</w:t>
      </w:r>
      <w:r>
        <w:rPr>
          <w:b/>
        </w:rPr>
        <w:t>05</w:t>
      </w:r>
      <w:r w:rsidRPr="00DF7CD9">
        <w:rPr>
          <w:b/>
        </w:rPr>
        <w:t>%</w:t>
      </w:r>
      <w:r w:rsidRPr="00621ED5">
        <w:t xml:space="preserve"> or 4</w:t>
      </w:r>
      <w:r>
        <w:t>32</w:t>
      </w:r>
      <w:r w:rsidRPr="00621ED5">
        <w:t xml:space="preserve"> victims</w:t>
      </w:r>
      <w:r>
        <w:t>.</w:t>
      </w:r>
    </w:p>
    <w:p w14:paraId="32143CF5" w14:textId="77777777" w:rsidR="00A90ED5" w:rsidRPr="00621ED5" w:rsidRDefault="00A90ED5" w:rsidP="000D1D92">
      <w:pPr>
        <w:pStyle w:val="ListParagraph"/>
        <w:numPr>
          <w:ilvl w:val="0"/>
          <w:numId w:val="51"/>
        </w:numPr>
        <w:jc w:val="both"/>
      </w:pPr>
      <w:r w:rsidRPr="00DF7CD9">
        <w:rPr>
          <w:b/>
        </w:rPr>
        <w:t xml:space="preserve">Non-Indigenous children accounted for </w:t>
      </w:r>
      <w:r>
        <w:rPr>
          <w:b/>
        </w:rPr>
        <w:t>82.98</w:t>
      </w:r>
      <w:r w:rsidRPr="00DF7CD9">
        <w:rPr>
          <w:b/>
        </w:rPr>
        <w:t>%</w:t>
      </w:r>
      <w:r w:rsidRPr="00621ED5">
        <w:t xml:space="preserve"> or 2,</w:t>
      </w:r>
      <w:r>
        <w:t>550</w:t>
      </w:r>
      <w:r w:rsidRPr="00621ED5">
        <w:t xml:space="preserve"> victims</w:t>
      </w:r>
      <w:r>
        <w:t>.</w:t>
      </w:r>
    </w:p>
    <w:p w14:paraId="4D73434B" w14:textId="77777777" w:rsidR="00A90ED5" w:rsidRDefault="00A90ED5" w:rsidP="000D1D92">
      <w:pPr>
        <w:pStyle w:val="ListParagraph"/>
        <w:numPr>
          <w:ilvl w:val="0"/>
          <w:numId w:val="51"/>
        </w:numPr>
        <w:jc w:val="both"/>
      </w:pPr>
      <w:r w:rsidRPr="00DF7CD9">
        <w:rPr>
          <w:b/>
        </w:rPr>
        <w:t xml:space="preserve">The Indigenous status was unknown for </w:t>
      </w:r>
      <w:r>
        <w:rPr>
          <w:b/>
        </w:rPr>
        <w:t>2.96</w:t>
      </w:r>
      <w:r w:rsidRPr="00DF7CD9">
        <w:rPr>
          <w:b/>
        </w:rPr>
        <w:t>%</w:t>
      </w:r>
      <w:r>
        <w:t xml:space="preserve"> of children</w:t>
      </w:r>
      <w:r w:rsidRPr="00621ED5">
        <w:t xml:space="preserve"> or </w:t>
      </w:r>
      <w:r>
        <w:t>91</w:t>
      </w:r>
      <w:r w:rsidRPr="00621ED5">
        <w:t xml:space="preserve"> </w:t>
      </w:r>
      <w:r>
        <w:t>victims.</w:t>
      </w:r>
    </w:p>
    <w:p w14:paraId="59E9683D" w14:textId="77777777" w:rsidR="00A90ED5" w:rsidRPr="00E51B5E" w:rsidRDefault="00A90ED5" w:rsidP="00E51B5E">
      <w:pPr>
        <w:rPr>
          <w:u w:val="single"/>
        </w:rPr>
      </w:pPr>
      <w:r w:rsidRPr="00E51B5E">
        <w:rPr>
          <w:u w:val="single"/>
        </w:rPr>
        <w:t>Aboriginal and Torres Strait Islander children who were victims of physical assault in a residential location</w:t>
      </w:r>
    </w:p>
    <w:p w14:paraId="6A50DDC0" w14:textId="77777777" w:rsidR="00A90ED5" w:rsidRDefault="00A90ED5" w:rsidP="00A90ED5">
      <w:pPr>
        <w:jc w:val="both"/>
      </w:pPr>
      <w:r>
        <w:t xml:space="preserve">In </w:t>
      </w:r>
      <w:r w:rsidRPr="00677892">
        <w:t xml:space="preserve">South Australia </w:t>
      </w:r>
      <w:r>
        <w:t xml:space="preserve">between 2010 and 2013 there were </w:t>
      </w:r>
      <w:r>
        <w:rPr>
          <w:b/>
        </w:rPr>
        <w:t>432</w:t>
      </w:r>
      <w:r w:rsidRPr="00205389">
        <w:rPr>
          <w:b/>
        </w:rPr>
        <w:t xml:space="preserve"> </w:t>
      </w:r>
      <w:r>
        <w:rPr>
          <w:b/>
        </w:rPr>
        <w:t xml:space="preserve">police recorded </w:t>
      </w:r>
      <w:r w:rsidRPr="00205389">
        <w:rPr>
          <w:b/>
        </w:rPr>
        <w:t>Aboriginal and Torres Strait I</w:t>
      </w:r>
      <w:r>
        <w:rPr>
          <w:b/>
        </w:rPr>
        <w:t>slander child victims of physical assault in a residential location</w:t>
      </w:r>
      <w:r>
        <w:t>:</w:t>
      </w:r>
    </w:p>
    <w:p w14:paraId="3B57F6AD" w14:textId="77777777" w:rsidR="00A90ED5" w:rsidRDefault="00A90ED5" w:rsidP="000D1D92">
      <w:pPr>
        <w:pStyle w:val="ListParagraph"/>
        <w:numPr>
          <w:ilvl w:val="0"/>
          <w:numId w:val="53"/>
        </w:numPr>
        <w:jc w:val="both"/>
      </w:pPr>
      <w:r w:rsidRPr="00C0533C">
        <w:rPr>
          <w:b/>
        </w:rPr>
        <w:t>Parents accounted for the largest proportion of offenders</w:t>
      </w:r>
      <w:r>
        <w:t xml:space="preserve"> (39.58% or 171 victims), followed by </w:t>
      </w:r>
      <w:r w:rsidRPr="00C0533C">
        <w:rPr>
          <w:b/>
        </w:rPr>
        <w:t>non-family members</w:t>
      </w:r>
      <w:r>
        <w:rPr>
          <w:b/>
        </w:rPr>
        <w:t xml:space="preserve"> known to the victim</w:t>
      </w:r>
      <w:r>
        <w:t xml:space="preserve"> (24.3% or 105 victims), then </w:t>
      </w:r>
      <w:r w:rsidRPr="00C0533C">
        <w:rPr>
          <w:b/>
        </w:rPr>
        <w:t>partners and other-family members</w:t>
      </w:r>
      <w:r>
        <w:t xml:space="preserve"> (11.34% each or 49 victims each), then </w:t>
      </w:r>
      <w:r w:rsidRPr="00C0533C">
        <w:rPr>
          <w:b/>
        </w:rPr>
        <w:t>siblings</w:t>
      </w:r>
      <w:r>
        <w:t xml:space="preserve"> (7.87% or 34 victims), and then </w:t>
      </w:r>
      <w:r w:rsidRPr="00C0533C">
        <w:rPr>
          <w:b/>
        </w:rPr>
        <w:t>strangers</w:t>
      </w:r>
      <w:r>
        <w:t xml:space="preserve"> (4.16% or 18 victims).</w:t>
      </w:r>
    </w:p>
    <w:p w14:paraId="389F2237" w14:textId="77777777" w:rsidR="00A90ED5" w:rsidRDefault="00A90ED5" w:rsidP="000D1D92">
      <w:pPr>
        <w:pStyle w:val="ListParagraph"/>
        <w:numPr>
          <w:ilvl w:val="0"/>
          <w:numId w:val="53"/>
        </w:numPr>
        <w:jc w:val="both"/>
      </w:pPr>
      <w:r>
        <w:rPr>
          <w:b/>
        </w:rPr>
        <w:t xml:space="preserve">Male children aged 15 to 17 years </w:t>
      </w:r>
      <w:r w:rsidRPr="00B34804">
        <w:t xml:space="preserve">accounted for the largest proportion of child victims who </w:t>
      </w:r>
      <w:r>
        <w:rPr>
          <w:b/>
        </w:rPr>
        <w:t>reported the offender was their sibling</w:t>
      </w:r>
      <w:r>
        <w:t xml:space="preserve"> (29.41% or 10 victims), </w:t>
      </w:r>
      <w:r w:rsidRPr="00B42B73">
        <w:rPr>
          <w:b/>
        </w:rPr>
        <w:t>followed closely by male children aged 10 to 14 years</w:t>
      </w:r>
      <w:r>
        <w:t xml:space="preserve"> (26.47% or 9 victims).</w:t>
      </w:r>
    </w:p>
    <w:p w14:paraId="4BF069E0" w14:textId="77777777" w:rsidR="00A90ED5" w:rsidRDefault="00A90ED5" w:rsidP="000D1D92">
      <w:pPr>
        <w:pStyle w:val="ListParagraph"/>
        <w:numPr>
          <w:ilvl w:val="0"/>
          <w:numId w:val="53"/>
        </w:numPr>
        <w:jc w:val="both"/>
      </w:pPr>
      <w:r w:rsidRPr="00B229D6">
        <w:rPr>
          <w:b/>
        </w:rPr>
        <w:t xml:space="preserve">Female children aged 10 to 14 years </w:t>
      </w:r>
      <w:r w:rsidRPr="00B34804">
        <w:t xml:space="preserve">accounted for the largest proportion of child victims who </w:t>
      </w:r>
      <w:r w:rsidRPr="00B229D6">
        <w:rPr>
          <w:b/>
        </w:rPr>
        <w:t xml:space="preserve">reported the offender was </w:t>
      </w:r>
      <w:r>
        <w:rPr>
          <w:b/>
        </w:rPr>
        <w:t>their</w:t>
      </w:r>
      <w:r w:rsidRPr="00B229D6">
        <w:rPr>
          <w:b/>
        </w:rPr>
        <w:t xml:space="preserve"> parent</w:t>
      </w:r>
      <w:r>
        <w:t xml:space="preserve"> (24.56% or 42 victims).</w:t>
      </w:r>
    </w:p>
    <w:p w14:paraId="611AA4AB" w14:textId="77777777" w:rsidR="00A90ED5" w:rsidRDefault="00A90ED5" w:rsidP="000D1D92">
      <w:pPr>
        <w:pStyle w:val="ListParagraph"/>
        <w:numPr>
          <w:ilvl w:val="0"/>
          <w:numId w:val="53"/>
        </w:numPr>
        <w:jc w:val="both"/>
      </w:pPr>
      <w:r w:rsidRPr="00B34804">
        <w:rPr>
          <w:b/>
        </w:rPr>
        <w:lastRenderedPageBreak/>
        <w:t xml:space="preserve">Female children aged 15 to 17 years </w:t>
      </w:r>
      <w:r w:rsidRPr="00B34804">
        <w:t>accounted for the largest proportion of child victims who</w:t>
      </w:r>
      <w:r w:rsidRPr="00B34804">
        <w:rPr>
          <w:b/>
        </w:rPr>
        <w:t xml:space="preserve"> reported the offender was their partner</w:t>
      </w:r>
      <w:r>
        <w:t xml:space="preserve"> (93.88% or 46 victims),</w:t>
      </w:r>
      <w:r w:rsidRPr="00B34804">
        <w:t xml:space="preserve"> </w:t>
      </w:r>
      <w:r>
        <w:t xml:space="preserve">a </w:t>
      </w:r>
      <w:r w:rsidRPr="00B34804">
        <w:rPr>
          <w:b/>
        </w:rPr>
        <w:t>stranger</w:t>
      </w:r>
      <w:r w:rsidRPr="00C06201">
        <w:t xml:space="preserve"> (50% or </w:t>
      </w:r>
      <w:r>
        <w:t xml:space="preserve">9 victims), and a </w:t>
      </w:r>
      <w:r w:rsidRPr="00B34804">
        <w:rPr>
          <w:b/>
        </w:rPr>
        <w:t>non-family member known to the victim</w:t>
      </w:r>
      <w:r>
        <w:t xml:space="preserve"> (44.76% or 47 victims).</w:t>
      </w:r>
    </w:p>
    <w:p w14:paraId="562C1C58" w14:textId="77777777" w:rsidR="00A90ED5" w:rsidRPr="00626946" w:rsidRDefault="00A90ED5" w:rsidP="00A90ED5">
      <w:pPr>
        <w:jc w:val="both"/>
      </w:pPr>
      <w:r>
        <w:rPr>
          <w:noProof/>
        </w:rPr>
        <w:drawing>
          <wp:inline distT="0" distB="0" distL="0" distR="0" wp14:anchorId="16561F33" wp14:editId="00F7A965">
            <wp:extent cx="6181725" cy="3400425"/>
            <wp:effectExtent l="0" t="0" r="9525" b="9525"/>
            <wp:docPr id="11" name="Chart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r w:rsidRPr="00BC406B">
        <w:rPr>
          <w:highlight w:val="yellow"/>
        </w:rPr>
        <w:t xml:space="preserve"> </w:t>
      </w:r>
    </w:p>
    <w:p w14:paraId="75484F35" w14:textId="77777777" w:rsidR="00A90ED5" w:rsidRPr="00E51B5E" w:rsidRDefault="00A90ED5" w:rsidP="00E51B5E">
      <w:pPr>
        <w:rPr>
          <w:u w:val="single"/>
        </w:rPr>
      </w:pPr>
      <w:r w:rsidRPr="00E51B5E">
        <w:rPr>
          <w:u w:val="single"/>
        </w:rPr>
        <w:t>Non-Indigenous children who were victims of physical assault in a residential location</w:t>
      </w:r>
    </w:p>
    <w:p w14:paraId="72138C07" w14:textId="77777777" w:rsidR="00A90ED5" w:rsidRDefault="00A90ED5" w:rsidP="00A90ED5">
      <w:pPr>
        <w:jc w:val="both"/>
      </w:pPr>
      <w:r>
        <w:t xml:space="preserve">In </w:t>
      </w:r>
      <w:r w:rsidRPr="00677892">
        <w:t xml:space="preserve">South Australia </w:t>
      </w:r>
      <w:r>
        <w:t xml:space="preserve">between 2010 and 2013 there were </w:t>
      </w:r>
      <w:r>
        <w:rPr>
          <w:b/>
        </w:rPr>
        <w:t>2,550 police recorded</w:t>
      </w:r>
      <w:r w:rsidRPr="000A74F5">
        <w:rPr>
          <w:b/>
        </w:rPr>
        <w:t xml:space="preserve"> non-Indigenous child victims of </w:t>
      </w:r>
      <w:r>
        <w:rPr>
          <w:b/>
        </w:rPr>
        <w:t xml:space="preserve">physical </w:t>
      </w:r>
      <w:r w:rsidRPr="000A74F5">
        <w:rPr>
          <w:b/>
        </w:rPr>
        <w:t>assault</w:t>
      </w:r>
      <w:r>
        <w:rPr>
          <w:b/>
        </w:rPr>
        <w:t xml:space="preserve"> in a residential location</w:t>
      </w:r>
      <w:r w:rsidRPr="000A74F5">
        <w:t>:</w:t>
      </w:r>
    </w:p>
    <w:p w14:paraId="72EFD868" w14:textId="77777777" w:rsidR="00A90ED5" w:rsidRDefault="00A90ED5" w:rsidP="000D1D92">
      <w:pPr>
        <w:pStyle w:val="ListParagraph"/>
        <w:numPr>
          <w:ilvl w:val="0"/>
          <w:numId w:val="54"/>
        </w:numPr>
        <w:jc w:val="both"/>
      </w:pPr>
      <w:r w:rsidRPr="00F505DD">
        <w:rPr>
          <w:b/>
        </w:rPr>
        <w:t>Parents accounted for the largest proportion of offenders</w:t>
      </w:r>
      <w:r>
        <w:t xml:space="preserve"> (45.09% or 1,150 victims), followed by </w:t>
      </w:r>
      <w:r w:rsidRPr="00F505DD">
        <w:rPr>
          <w:b/>
        </w:rPr>
        <w:t>non-family members</w:t>
      </w:r>
      <w:r>
        <w:rPr>
          <w:b/>
        </w:rPr>
        <w:t xml:space="preserve"> known to the victim</w:t>
      </w:r>
      <w:r>
        <w:t xml:space="preserve"> (27.56% or 703 victims), then </w:t>
      </w:r>
      <w:r w:rsidRPr="00F505DD">
        <w:rPr>
          <w:b/>
        </w:rPr>
        <w:t>strangers</w:t>
      </w:r>
      <w:r>
        <w:t xml:space="preserve"> (7.8% or 199 victims), then </w:t>
      </w:r>
      <w:r w:rsidRPr="00F505DD">
        <w:rPr>
          <w:b/>
        </w:rPr>
        <w:t>siblings</w:t>
      </w:r>
      <w:r>
        <w:t xml:space="preserve"> (6.54% or 167 victims), then </w:t>
      </w:r>
      <w:r w:rsidRPr="00F505DD">
        <w:rPr>
          <w:b/>
        </w:rPr>
        <w:t>partners</w:t>
      </w:r>
      <w:r>
        <w:t xml:space="preserve"> (6% or 153 victims), and then </w:t>
      </w:r>
      <w:r w:rsidRPr="00F505DD">
        <w:rPr>
          <w:b/>
        </w:rPr>
        <w:t>other family members</w:t>
      </w:r>
      <w:r>
        <w:t xml:space="preserve"> (3.88% or 99 victims).</w:t>
      </w:r>
    </w:p>
    <w:p w14:paraId="764E1553" w14:textId="77777777" w:rsidR="00A90ED5" w:rsidRDefault="00A90ED5" w:rsidP="000D1D92">
      <w:pPr>
        <w:pStyle w:val="ListParagraph"/>
        <w:numPr>
          <w:ilvl w:val="0"/>
          <w:numId w:val="54"/>
        </w:numPr>
        <w:jc w:val="both"/>
      </w:pPr>
      <w:r w:rsidRPr="00F1236E">
        <w:rPr>
          <w:b/>
        </w:rPr>
        <w:t xml:space="preserve">Males children aged 0 to 9 years </w:t>
      </w:r>
      <w:r w:rsidRPr="00F1236E">
        <w:t>acco</w:t>
      </w:r>
      <w:r w:rsidRPr="00CE502F">
        <w:t>unted for the largest proportion of child victims who</w:t>
      </w:r>
      <w:r w:rsidRPr="005B471A">
        <w:rPr>
          <w:b/>
        </w:rPr>
        <w:t xml:space="preserve"> reported the offender was some other family member </w:t>
      </w:r>
      <w:r>
        <w:t xml:space="preserve">(22.22% or 22 victims), </w:t>
      </w:r>
      <w:r w:rsidRPr="005B471A">
        <w:rPr>
          <w:b/>
        </w:rPr>
        <w:t xml:space="preserve">followed closely by male children aged 10 to 14 years </w:t>
      </w:r>
      <w:r>
        <w:t>(21.21% or 21 victims).</w:t>
      </w:r>
    </w:p>
    <w:p w14:paraId="2C95019F" w14:textId="77777777" w:rsidR="00A90ED5" w:rsidRDefault="00A90ED5" w:rsidP="000D1D92">
      <w:pPr>
        <w:pStyle w:val="ListParagraph"/>
        <w:numPr>
          <w:ilvl w:val="0"/>
          <w:numId w:val="54"/>
        </w:numPr>
        <w:jc w:val="both"/>
      </w:pPr>
      <w:r w:rsidRPr="005B471A">
        <w:rPr>
          <w:b/>
        </w:rPr>
        <w:t xml:space="preserve">Male children aged 15 to 17 years </w:t>
      </w:r>
      <w:r w:rsidRPr="00CE502F">
        <w:t>accounted for the largest proportion of child victims who</w:t>
      </w:r>
      <w:r w:rsidRPr="005B471A">
        <w:rPr>
          <w:b/>
        </w:rPr>
        <w:t xml:space="preserve"> reported the offender was a stranger</w:t>
      </w:r>
      <w:r>
        <w:t xml:space="preserve"> (49.25% or 98 victims).</w:t>
      </w:r>
    </w:p>
    <w:p w14:paraId="6B6BFCF6" w14:textId="77777777" w:rsidR="00A90ED5" w:rsidRDefault="00A90ED5" w:rsidP="000D1D92">
      <w:pPr>
        <w:pStyle w:val="ListParagraph"/>
        <w:numPr>
          <w:ilvl w:val="0"/>
          <w:numId w:val="54"/>
        </w:numPr>
        <w:jc w:val="both"/>
      </w:pPr>
      <w:r w:rsidRPr="005B471A">
        <w:rPr>
          <w:b/>
        </w:rPr>
        <w:t xml:space="preserve">Female children aged 10 to 14 years </w:t>
      </w:r>
      <w:r w:rsidRPr="00CE502F">
        <w:t xml:space="preserve">accounted for the largest proportion of child victims who </w:t>
      </w:r>
      <w:r w:rsidRPr="005B471A">
        <w:rPr>
          <w:b/>
        </w:rPr>
        <w:t xml:space="preserve">reported the offender was </w:t>
      </w:r>
      <w:r>
        <w:rPr>
          <w:b/>
        </w:rPr>
        <w:t>their</w:t>
      </w:r>
      <w:r w:rsidRPr="005B471A">
        <w:rPr>
          <w:b/>
        </w:rPr>
        <w:t xml:space="preserve"> parent</w:t>
      </w:r>
      <w:r>
        <w:t xml:space="preserve"> (20.87% or 240 victims).</w:t>
      </w:r>
    </w:p>
    <w:p w14:paraId="28D45F28" w14:textId="77777777" w:rsidR="00A90ED5" w:rsidRDefault="00A90ED5" w:rsidP="000D1D92">
      <w:pPr>
        <w:pStyle w:val="ListParagraph"/>
        <w:numPr>
          <w:ilvl w:val="0"/>
          <w:numId w:val="54"/>
        </w:numPr>
        <w:jc w:val="both"/>
      </w:pPr>
      <w:r w:rsidRPr="005B471A">
        <w:rPr>
          <w:b/>
        </w:rPr>
        <w:t xml:space="preserve">Female children aged 15 to 17 years </w:t>
      </w:r>
      <w:r w:rsidRPr="00CE502F">
        <w:t xml:space="preserve">accounted for the largest proportion of child victims who </w:t>
      </w:r>
      <w:r w:rsidRPr="005B471A">
        <w:rPr>
          <w:b/>
        </w:rPr>
        <w:t xml:space="preserve">reported the offender was </w:t>
      </w:r>
      <w:r>
        <w:rPr>
          <w:b/>
        </w:rPr>
        <w:t>their</w:t>
      </w:r>
      <w:r w:rsidRPr="005B471A">
        <w:rPr>
          <w:b/>
        </w:rPr>
        <w:t xml:space="preserve"> partner</w:t>
      </w:r>
      <w:r>
        <w:t xml:space="preserve"> (90.2% or 138 victims), their </w:t>
      </w:r>
      <w:r w:rsidRPr="005B471A">
        <w:rPr>
          <w:b/>
        </w:rPr>
        <w:t>sibling</w:t>
      </w:r>
      <w:r>
        <w:t xml:space="preserve"> (33.53% or 56 victims), and a </w:t>
      </w:r>
      <w:r w:rsidRPr="005B471A">
        <w:rPr>
          <w:b/>
        </w:rPr>
        <w:t>non-family member</w:t>
      </w:r>
      <w:r>
        <w:rPr>
          <w:b/>
        </w:rPr>
        <w:t xml:space="preserve"> known to the victim</w:t>
      </w:r>
      <w:r>
        <w:t xml:space="preserve"> (37.83% or 266 victims).</w:t>
      </w:r>
    </w:p>
    <w:p w14:paraId="765349AF" w14:textId="77777777" w:rsidR="00A90ED5" w:rsidRPr="00626946" w:rsidRDefault="00A90ED5" w:rsidP="00A90ED5">
      <w:pPr>
        <w:jc w:val="both"/>
      </w:pPr>
      <w:r>
        <w:rPr>
          <w:noProof/>
        </w:rPr>
        <w:lastRenderedPageBreak/>
        <w:drawing>
          <wp:inline distT="0" distB="0" distL="0" distR="0" wp14:anchorId="382A2E35" wp14:editId="453B68AB">
            <wp:extent cx="5962650" cy="3286125"/>
            <wp:effectExtent l="0" t="0" r="0" b="9525"/>
            <wp:docPr id="12"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p>
    <w:p w14:paraId="743EBBB4" w14:textId="77777777" w:rsidR="00A90ED5" w:rsidRPr="00E51B5E" w:rsidRDefault="00A90ED5" w:rsidP="00E51B5E">
      <w:pPr>
        <w:rPr>
          <w:u w:val="single"/>
        </w:rPr>
      </w:pPr>
      <w:r w:rsidRPr="00E51B5E">
        <w:rPr>
          <w:u w:val="single"/>
        </w:rPr>
        <w:t>Aboriginal and Torres Strait Islander status unknown for child victims of physical assault in a residential location</w:t>
      </w:r>
    </w:p>
    <w:p w14:paraId="25B3CF6B" w14:textId="77777777" w:rsidR="00A90ED5" w:rsidRDefault="00A90ED5" w:rsidP="00A90ED5">
      <w:pPr>
        <w:jc w:val="both"/>
      </w:pPr>
      <w:r>
        <w:t xml:space="preserve">In South Australia between 2010 and 2013 there were </w:t>
      </w:r>
      <w:r>
        <w:rPr>
          <w:b/>
        </w:rPr>
        <w:t>91</w:t>
      </w:r>
      <w:r w:rsidRPr="00205389">
        <w:rPr>
          <w:b/>
        </w:rPr>
        <w:t xml:space="preserve"> </w:t>
      </w:r>
      <w:r>
        <w:rPr>
          <w:b/>
        </w:rPr>
        <w:t>police recorded child victims of physical assault with Indigenous status unknown in a residential location</w:t>
      </w:r>
      <w:r>
        <w:t>:</w:t>
      </w:r>
    </w:p>
    <w:p w14:paraId="7E290C6A" w14:textId="77777777" w:rsidR="00A90ED5" w:rsidRDefault="00A90ED5" w:rsidP="000D1D92">
      <w:pPr>
        <w:pStyle w:val="ListParagraph"/>
        <w:numPr>
          <w:ilvl w:val="0"/>
          <w:numId w:val="61"/>
        </w:numPr>
        <w:jc w:val="both"/>
      </w:pPr>
      <w:r w:rsidRPr="00CD577D">
        <w:rPr>
          <w:b/>
        </w:rPr>
        <w:t xml:space="preserve">Parents accounted for the largest proportion of offenders </w:t>
      </w:r>
      <w:r>
        <w:t xml:space="preserve">(42.85% or 39 victims), followed by </w:t>
      </w:r>
      <w:r w:rsidRPr="00CD577D">
        <w:rPr>
          <w:b/>
        </w:rPr>
        <w:t>non-family members known to the victim</w:t>
      </w:r>
      <w:r>
        <w:t xml:space="preserve"> (20.87% or 19 victims), then </w:t>
      </w:r>
      <w:r w:rsidRPr="00CD577D">
        <w:rPr>
          <w:b/>
        </w:rPr>
        <w:t>strangers</w:t>
      </w:r>
      <w:r>
        <w:t xml:space="preserve"> (13.18% or 12 victims), then </w:t>
      </w:r>
      <w:r w:rsidRPr="00CD577D">
        <w:rPr>
          <w:b/>
        </w:rPr>
        <w:t>siblings</w:t>
      </w:r>
      <w:r>
        <w:t xml:space="preserve"> (9.89% or 9 victims), then </w:t>
      </w:r>
      <w:r w:rsidRPr="00CD577D">
        <w:rPr>
          <w:b/>
        </w:rPr>
        <w:t xml:space="preserve">partners </w:t>
      </w:r>
      <w:r>
        <w:t xml:space="preserve">(6.59% or 6 victims), and then </w:t>
      </w:r>
      <w:r w:rsidRPr="00CE502F">
        <w:rPr>
          <w:b/>
        </w:rPr>
        <w:t>other family members</w:t>
      </w:r>
      <w:r>
        <w:t xml:space="preserve"> (3.29% or 3 victims).</w:t>
      </w:r>
    </w:p>
    <w:p w14:paraId="07CE48D4" w14:textId="77777777" w:rsidR="00A90ED5" w:rsidRDefault="00A90ED5" w:rsidP="000D1D92">
      <w:pPr>
        <w:pStyle w:val="ListParagraph"/>
        <w:numPr>
          <w:ilvl w:val="0"/>
          <w:numId w:val="61"/>
        </w:numPr>
        <w:jc w:val="both"/>
      </w:pPr>
      <w:r>
        <w:rPr>
          <w:b/>
        </w:rPr>
        <w:t>Male children aged 0 to 9 years</w:t>
      </w:r>
      <w:r>
        <w:t xml:space="preserve"> accounted for the largest proportion of child victims who </w:t>
      </w:r>
      <w:r w:rsidRPr="00E732E5">
        <w:rPr>
          <w:b/>
        </w:rPr>
        <w:t>reported</w:t>
      </w:r>
      <w:r>
        <w:rPr>
          <w:b/>
        </w:rPr>
        <w:t xml:space="preserve"> the offender some other family member </w:t>
      </w:r>
      <w:r>
        <w:t xml:space="preserve">(100% or 3 victims) and their </w:t>
      </w:r>
      <w:r>
        <w:rPr>
          <w:b/>
        </w:rPr>
        <w:t>parent</w:t>
      </w:r>
      <w:r>
        <w:t xml:space="preserve"> (30.76% or 12 victims).</w:t>
      </w:r>
    </w:p>
    <w:p w14:paraId="0FCCAC7C" w14:textId="77777777" w:rsidR="00A90ED5" w:rsidRDefault="00A90ED5" w:rsidP="000D1D92">
      <w:pPr>
        <w:pStyle w:val="ListParagraph"/>
        <w:numPr>
          <w:ilvl w:val="0"/>
          <w:numId w:val="61"/>
        </w:numPr>
        <w:jc w:val="both"/>
      </w:pPr>
      <w:r>
        <w:rPr>
          <w:b/>
        </w:rPr>
        <w:t>Male children aged 15 to 17 years</w:t>
      </w:r>
      <w:r>
        <w:t xml:space="preserve"> accounted for the largest proportion of child victims who </w:t>
      </w:r>
      <w:r w:rsidRPr="00E732E5">
        <w:rPr>
          <w:b/>
        </w:rPr>
        <w:t>reported</w:t>
      </w:r>
      <w:r>
        <w:t xml:space="preserve"> </w:t>
      </w:r>
      <w:r>
        <w:rPr>
          <w:b/>
        </w:rPr>
        <w:t>the offender was a stranger</w:t>
      </w:r>
      <w:r>
        <w:t xml:space="preserve"> (50% or 6 victims) and a </w:t>
      </w:r>
      <w:r w:rsidRPr="007604AD">
        <w:rPr>
          <w:b/>
        </w:rPr>
        <w:t>n</w:t>
      </w:r>
      <w:r>
        <w:rPr>
          <w:b/>
        </w:rPr>
        <w:t xml:space="preserve">on-family member </w:t>
      </w:r>
      <w:r>
        <w:t>(36.84% or 7 victims).</w:t>
      </w:r>
    </w:p>
    <w:p w14:paraId="3A01BEC1" w14:textId="77777777" w:rsidR="00A90ED5" w:rsidRDefault="00A90ED5" w:rsidP="000D1D92">
      <w:pPr>
        <w:pStyle w:val="ListParagraph"/>
        <w:numPr>
          <w:ilvl w:val="0"/>
          <w:numId w:val="61"/>
        </w:numPr>
        <w:jc w:val="both"/>
      </w:pPr>
      <w:r>
        <w:rPr>
          <w:b/>
        </w:rPr>
        <w:t>Female children aged 10 to 14 years</w:t>
      </w:r>
      <w:r>
        <w:t xml:space="preserve"> accounted for the largest proportion of child victims who </w:t>
      </w:r>
      <w:r w:rsidRPr="00E732E5">
        <w:rPr>
          <w:b/>
        </w:rPr>
        <w:t>reported</w:t>
      </w:r>
      <w:r>
        <w:t xml:space="preserve"> </w:t>
      </w:r>
      <w:r>
        <w:rPr>
          <w:b/>
        </w:rPr>
        <w:t xml:space="preserve">the offender was their sibling </w:t>
      </w:r>
      <w:r>
        <w:t>(66.66% or 6 victims).</w:t>
      </w:r>
    </w:p>
    <w:p w14:paraId="6FFFC44F" w14:textId="77777777" w:rsidR="00A90ED5" w:rsidRDefault="00A90ED5" w:rsidP="000D1D92">
      <w:pPr>
        <w:pStyle w:val="ListParagraph"/>
        <w:numPr>
          <w:ilvl w:val="0"/>
          <w:numId w:val="61"/>
        </w:numPr>
        <w:jc w:val="both"/>
      </w:pPr>
      <w:r w:rsidRPr="00E732E5">
        <w:rPr>
          <w:b/>
        </w:rPr>
        <w:t xml:space="preserve">Female children aged 15 to 17 years </w:t>
      </w:r>
      <w:r>
        <w:t xml:space="preserve">accounted for all of the child victims who </w:t>
      </w:r>
      <w:r w:rsidRPr="00E732E5">
        <w:rPr>
          <w:b/>
        </w:rPr>
        <w:t xml:space="preserve">reported the offender was their partner </w:t>
      </w:r>
      <w:r>
        <w:t xml:space="preserve">(100% or 6 victims). </w:t>
      </w:r>
    </w:p>
    <w:p w14:paraId="421AEE81" w14:textId="77777777" w:rsidR="00A90ED5" w:rsidRDefault="00A90ED5" w:rsidP="00A90ED5">
      <w:pPr>
        <w:jc w:val="both"/>
      </w:pPr>
    </w:p>
    <w:p w14:paraId="1E3CA29B" w14:textId="77777777" w:rsidR="00A90ED5" w:rsidRDefault="00A90ED5" w:rsidP="00A90ED5">
      <w:pPr>
        <w:jc w:val="both"/>
      </w:pPr>
      <w:r>
        <w:rPr>
          <w:noProof/>
        </w:rPr>
        <w:lastRenderedPageBreak/>
        <w:drawing>
          <wp:inline distT="0" distB="0" distL="0" distR="0" wp14:anchorId="132B3D05" wp14:editId="7CD09492">
            <wp:extent cx="5759450" cy="3134995"/>
            <wp:effectExtent l="0" t="0" r="12700" b="8255"/>
            <wp:docPr id="13" name="Chart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14:paraId="1736E2B0" w14:textId="23FE6B61" w:rsidR="00A90ED5" w:rsidRPr="00243307" w:rsidRDefault="00E51B5E" w:rsidP="00E51B5E">
      <w:pPr>
        <w:pStyle w:val="Heading4"/>
        <w:numPr>
          <w:ilvl w:val="0"/>
          <w:numId w:val="0"/>
        </w:numPr>
        <w:ind w:left="851" w:hanging="851"/>
      </w:pPr>
      <w:bookmarkStart w:id="234" w:name="_Toc430168457"/>
      <w:bookmarkStart w:id="235" w:name="_Toc432144054"/>
      <w:r>
        <w:t xml:space="preserve">8.1.3 </w:t>
      </w:r>
      <w:r w:rsidR="00A90ED5" w:rsidRPr="00243307">
        <w:t>Northern Territory data about child victims of physical assault in a residential location</w:t>
      </w:r>
      <w:bookmarkEnd w:id="234"/>
      <w:bookmarkEnd w:id="235"/>
    </w:p>
    <w:p w14:paraId="2FA32D44" w14:textId="77777777" w:rsidR="00A90ED5" w:rsidRDefault="00A90ED5" w:rsidP="00A90ED5">
      <w:pPr>
        <w:jc w:val="both"/>
      </w:pPr>
      <w:r>
        <w:t>In the Northern Territory</w:t>
      </w:r>
      <w:r w:rsidRPr="00677892">
        <w:t xml:space="preserve"> </w:t>
      </w:r>
      <w:r>
        <w:t xml:space="preserve">between 2010 and 2013 there were </w:t>
      </w:r>
      <w:r>
        <w:rPr>
          <w:b/>
        </w:rPr>
        <w:t>824</w:t>
      </w:r>
      <w:r w:rsidRPr="00302855">
        <w:rPr>
          <w:b/>
        </w:rPr>
        <w:t xml:space="preserve"> </w:t>
      </w:r>
      <w:r>
        <w:rPr>
          <w:b/>
        </w:rPr>
        <w:t xml:space="preserve">police recorded </w:t>
      </w:r>
      <w:r w:rsidRPr="00302855">
        <w:rPr>
          <w:b/>
        </w:rPr>
        <w:t xml:space="preserve">child victims of </w:t>
      </w:r>
      <w:r>
        <w:rPr>
          <w:b/>
        </w:rPr>
        <w:t xml:space="preserve">physical </w:t>
      </w:r>
      <w:r w:rsidRPr="00302855">
        <w:rPr>
          <w:b/>
        </w:rPr>
        <w:t>assault</w:t>
      </w:r>
      <w:r>
        <w:rPr>
          <w:b/>
        </w:rPr>
        <w:t xml:space="preserve"> in a residential location</w:t>
      </w:r>
      <w:r>
        <w:t xml:space="preserve">: </w:t>
      </w:r>
    </w:p>
    <w:p w14:paraId="220C4D71" w14:textId="77777777" w:rsidR="00A90ED5" w:rsidRPr="00610CE2" w:rsidRDefault="00A90ED5" w:rsidP="000D1D92">
      <w:pPr>
        <w:pStyle w:val="ListParagraph"/>
        <w:numPr>
          <w:ilvl w:val="0"/>
          <w:numId w:val="51"/>
        </w:numPr>
        <w:jc w:val="both"/>
      </w:pPr>
      <w:r w:rsidRPr="008B40C4">
        <w:rPr>
          <w:b/>
        </w:rPr>
        <w:t>Aboriginal and Torres Strait Islander children accounted for 7</w:t>
      </w:r>
      <w:r>
        <w:rPr>
          <w:b/>
        </w:rPr>
        <w:t>8</w:t>
      </w:r>
      <w:r w:rsidRPr="008B40C4">
        <w:rPr>
          <w:b/>
        </w:rPr>
        <w:t>.</w:t>
      </w:r>
      <w:r>
        <w:rPr>
          <w:b/>
        </w:rPr>
        <w:t>27</w:t>
      </w:r>
      <w:r w:rsidRPr="008B40C4">
        <w:rPr>
          <w:b/>
        </w:rPr>
        <w:t>%</w:t>
      </w:r>
      <w:r w:rsidRPr="00610CE2">
        <w:t xml:space="preserve"> or </w:t>
      </w:r>
      <w:r>
        <w:t>645</w:t>
      </w:r>
      <w:r w:rsidRPr="00610CE2">
        <w:t xml:space="preserve"> victims</w:t>
      </w:r>
      <w:r>
        <w:t>.</w:t>
      </w:r>
    </w:p>
    <w:p w14:paraId="4D03A352" w14:textId="77777777" w:rsidR="00A90ED5" w:rsidRPr="00610CE2" w:rsidRDefault="00A90ED5" w:rsidP="000D1D92">
      <w:pPr>
        <w:pStyle w:val="ListParagraph"/>
        <w:numPr>
          <w:ilvl w:val="0"/>
          <w:numId w:val="51"/>
        </w:numPr>
        <w:jc w:val="both"/>
      </w:pPr>
      <w:r w:rsidRPr="008B40C4">
        <w:rPr>
          <w:b/>
        </w:rPr>
        <w:t>Non-Indigenous children accounted for 1</w:t>
      </w:r>
      <w:r>
        <w:rPr>
          <w:b/>
        </w:rPr>
        <w:t>7</w:t>
      </w:r>
      <w:r w:rsidRPr="008B40C4">
        <w:rPr>
          <w:b/>
        </w:rPr>
        <w:t>.</w:t>
      </w:r>
      <w:r>
        <w:rPr>
          <w:b/>
        </w:rPr>
        <w:t>83</w:t>
      </w:r>
      <w:r w:rsidRPr="008B40C4">
        <w:rPr>
          <w:b/>
        </w:rPr>
        <w:t>%</w:t>
      </w:r>
      <w:r w:rsidRPr="00610CE2">
        <w:t xml:space="preserve"> or </w:t>
      </w:r>
      <w:r>
        <w:t>147</w:t>
      </w:r>
      <w:r w:rsidRPr="00610CE2">
        <w:t xml:space="preserve"> victims</w:t>
      </w:r>
      <w:r>
        <w:t>.</w:t>
      </w:r>
    </w:p>
    <w:p w14:paraId="1F9D4E44" w14:textId="77777777" w:rsidR="00A90ED5" w:rsidRPr="00610CE2" w:rsidRDefault="00A90ED5" w:rsidP="000D1D92">
      <w:pPr>
        <w:pStyle w:val="ListParagraph"/>
        <w:numPr>
          <w:ilvl w:val="0"/>
          <w:numId w:val="51"/>
        </w:numPr>
        <w:jc w:val="both"/>
      </w:pPr>
      <w:r w:rsidRPr="008B40C4">
        <w:rPr>
          <w:b/>
        </w:rPr>
        <w:t>The Indigenous status was unknown for 3.</w:t>
      </w:r>
      <w:r>
        <w:rPr>
          <w:b/>
        </w:rPr>
        <w:t>88</w:t>
      </w:r>
      <w:r w:rsidRPr="008B40C4">
        <w:rPr>
          <w:b/>
        </w:rPr>
        <w:t>%</w:t>
      </w:r>
      <w:r>
        <w:rPr>
          <w:b/>
        </w:rPr>
        <w:t xml:space="preserve"> </w:t>
      </w:r>
      <w:r w:rsidRPr="00CE502F">
        <w:t>of children</w:t>
      </w:r>
      <w:r w:rsidRPr="008B40C4">
        <w:rPr>
          <w:b/>
        </w:rPr>
        <w:t xml:space="preserve"> </w:t>
      </w:r>
      <w:r w:rsidRPr="00610CE2">
        <w:t>or 3</w:t>
      </w:r>
      <w:r>
        <w:t>2</w:t>
      </w:r>
      <w:r w:rsidRPr="00610CE2">
        <w:t xml:space="preserve"> victims.</w:t>
      </w:r>
    </w:p>
    <w:p w14:paraId="70D0597F" w14:textId="77777777" w:rsidR="00A90ED5" w:rsidRPr="00E51B5E" w:rsidRDefault="00A90ED5" w:rsidP="00E51B5E">
      <w:pPr>
        <w:rPr>
          <w:u w:val="single"/>
        </w:rPr>
      </w:pPr>
      <w:r w:rsidRPr="00E51B5E">
        <w:rPr>
          <w:u w:val="single"/>
        </w:rPr>
        <w:t>Aboriginal and Torres Strait Islander children who were victims of physical assault in a residential location</w:t>
      </w:r>
    </w:p>
    <w:p w14:paraId="04065254" w14:textId="77777777" w:rsidR="00A90ED5" w:rsidRDefault="00A90ED5" w:rsidP="00A90ED5">
      <w:pPr>
        <w:jc w:val="both"/>
      </w:pPr>
      <w:r>
        <w:t>In the Northern Territory</w:t>
      </w:r>
      <w:r w:rsidRPr="00677892">
        <w:t xml:space="preserve"> </w:t>
      </w:r>
      <w:r>
        <w:t xml:space="preserve">between 2010 and 2013 there were </w:t>
      </w:r>
      <w:r>
        <w:rPr>
          <w:b/>
        </w:rPr>
        <w:t>645</w:t>
      </w:r>
      <w:r w:rsidRPr="00205389">
        <w:rPr>
          <w:b/>
        </w:rPr>
        <w:t xml:space="preserve"> </w:t>
      </w:r>
      <w:r>
        <w:rPr>
          <w:b/>
        </w:rPr>
        <w:t xml:space="preserve">police recorded </w:t>
      </w:r>
      <w:r w:rsidRPr="00205389">
        <w:rPr>
          <w:b/>
        </w:rPr>
        <w:t>Aboriginal and Torres Strait I</w:t>
      </w:r>
      <w:r>
        <w:rPr>
          <w:b/>
        </w:rPr>
        <w:t>slander child victims of physical assault in a residential location</w:t>
      </w:r>
      <w:r>
        <w:t>:</w:t>
      </w:r>
    </w:p>
    <w:p w14:paraId="0191174B" w14:textId="77777777" w:rsidR="00A90ED5" w:rsidRDefault="00A90ED5" w:rsidP="000D1D92">
      <w:pPr>
        <w:pStyle w:val="ListParagraph"/>
        <w:numPr>
          <w:ilvl w:val="0"/>
          <w:numId w:val="53"/>
        </w:numPr>
        <w:jc w:val="both"/>
      </w:pPr>
      <w:r>
        <w:rPr>
          <w:b/>
        </w:rPr>
        <w:t>Other family members</w:t>
      </w:r>
      <w:r w:rsidRPr="00B73C64">
        <w:rPr>
          <w:b/>
        </w:rPr>
        <w:t xml:space="preserve"> </w:t>
      </w:r>
      <w:r w:rsidRPr="008B40C4">
        <w:rPr>
          <w:b/>
        </w:rPr>
        <w:t>accounted for the largest proportion of offenders</w:t>
      </w:r>
      <w:r w:rsidRPr="00B73C64">
        <w:rPr>
          <w:b/>
        </w:rPr>
        <w:t xml:space="preserve"> </w:t>
      </w:r>
      <w:r>
        <w:t xml:space="preserve">(29.92%% or 193 victims), followed by </w:t>
      </w:r>
      <w:r w:rsidRPr="008B40C4">
        <w:rPr>
          <w:b/>
        </w:rPr>
        <w:t>partners</w:t>
      </w:r>
      <w:r>
        <w:t xml:space="preserve"> (28.06% or 181 victims), then </w:t>
      </w:r>
      <w:r>
        <w:rPr>
          <w:b/>
        </w:rPr>
        <w:t>pa</w:t>
      </w:r>
      <w:r w:rsidRPr="00B73C64">
        <w:rPr>
          <w:b/>
        </w:rPr>
        <w:t xml:space="preserve">rents </w:t>
      </w:r>
      <w:r>
        <w:t xml:space="preserve">(19.37% or 125 victims), then </w:t>
      </w:r>
      <w:r w:rsidRPr="00B73C64">
        <w:rPr>
          <w:b/>
        </w:rPr>
        <w:t>non-family members known to the victim</w:t>
      </w:r>
      <w:r>
        <w:t xml:space="preserve"> (16.27% or 105 victims each), and then </w:t>
      </w:r>
      <w:r w:rsidRPr="00B73C64">
        <w:rPr>
          <w:b/>
        </w:rPr>
        <w:t>strangers</w:t>
      </w:r>
      <w:r>
        <w:t xml:space="preserve"> (2.32% or 15 victims).</w:t>
      </w:r>
    </w:p>
    <w:p w14:paraId="36374342" w14:textId="77777777" w:rsidR="00A90ED5" w:rsidRPr="00EA05EA" w:rsidRDefault="00A90ED5" w:rsidP="000D1D92">
      <w:pPr>
        <w:pStyle w:val="ListParagraph"/>
        <w:numPr>
          <w:ilvl w:val="0"/>
          <w:numId w:val="53"/>
        </w:numPr>
        <w:jc w:val="both"/>
        <w:rPr>
          <w:b/>
        </w:rPr>
      </w:pPr>
      <w:r>
        <w:rPr>
          <w:b/>
        </w:rPr>
        <w:t>Male children aged 0 to 9 years</w:t>
      </w:r>
      <w:r>
        <w:t xml:space="preserve"> accounted for the largest proportion of child victims who </w:t>
      </w:r>
      <w:r>
        <w:rPr>
          <w:b/>
        </w:rPr>
        <w:t xml:space="preserve">reported the offender was their parent </w:t>
      </w:r>
      <w:r>
        <w:t>(33.6% or 42 victims).</w:t>
      </w:r>
    </w:p>
    <w:p w14:paraId="011BF87F" w14:textId="77777777" w:rsidR="00A90ED5" w:rsidRDefault="00A90ED5" w:rsidP="000D1D92">
      <w:pPr>
        <w:pStyle w:val="ListParagraph"/>
        <w:numPr>
          <w:ilvl w:val="0"/>
          <w:numId w:val="53"/>
        </w:numPr>
        <w:jc w:val="both"/>
      </w:pPr>
      <w:r w:rsidRPr="00050D94">
        <w:rPr>
          <w:b/>
        </w:rPr>
        <w:t xml:space="preserve">Female children aged 15 to 17 years </w:t>
      </w:r>
      <w:r w:rsidRPr="00EA05EA">
        <w:t xml:space="preserve">accounted for the largest proportion of child victims </w:t>
      </w:r>
      <w:r>
        <w:t xml:space="preserve">who reported the offender was their </w:t>
      </w:r>
      <w:r w:rsidRPr="00EA05EA">
        <w:rPr>
          <w:b/>
        </w:rPr>
        <w:t xml:space="preserve">partner </w:t>
      </w:r>
      <w:r>
        <w:t xml:space="preserve">(86.74% or 157 victims), a </w:t>
      </w:r>
      <w:r w:rsidRPr="00EA05EA">
        <w:rPr>
          <w:b/>
        </w:rPr>
        <w:t>stranger</w:t>
      </w:r>
      <w:r>
        <w:t xml:space="preserve"> (60% or 9 victims), a </w:t>
      </w:r>
      <w:r w:rsidRPr="00EA05EA">
        <w:rPr>
          <w:b/>
        </w:rPr>
        <w:t xml:space="preserve">non-family members known to the victim </w:t>
      </w:r>
      <w:r>
        <w:t xml:space="preserve">(47.62% or 50 victims), and some </w:t>
      </w:r>
      <w:r w:rsidRPr="00EA05EA">
        <w:rPr>
          <w:b/>
        </w:rPr>
        <w:t xml:space="preserve">other family member </w:t>
      </w:r>
      <w:r>
        <w:t>(29.53% or 57 victims).</w:t>
      </w:r>
    </w:p>
    <w:p w14:paraId="2918E3F3" w14:textId="77777777" w:rsidR="00A90ED5" w:rsidRDefault="00A90ED5" w:rsidP="00A90ED5">
      <w:pPr>
        <w:jc w:val="both"/>
      </w:pPr>
    </w:p>
    <w:p w14:paraId="3AEDA384" w14:textId="77777777" w:rsidR="00A90ED5" w:rsidRDefault="00A90ED5" w:rsidP="00A90ED5">
      <w:pPr>
        <w:jc w:val="both"/>
      </w:pPr>
      <w:r>
        <w:rPr>
          <w:noProof/>
        </w:rPr>
        <w:lastRenderedPageBreak/>
        <w:drawing>
          <wp:inline distT="0" distB="0" distL="0" distR="0" wp14:anchorId="68E0A83D" wp14:editId="0DA3081A">
            <wp:extent cx="5759450" cy="3134995"/>
            <wp:effectExtent l="0" t="0" r="12700" b="8255"/>
            <wp:docPr id="19" name="Chart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14:paraId="49A6D3CF" w14:textId="77777777" w:rsidR="00A90ED5" w:rsidRPr="00E51B5E" w:rsidRDefault="00A90ED5" w:rsidP="00E51B5E">
      <w:pPr>
        <w:rPr>
          <w:u w:val="single"/>
        </w:rPr>
      </w:pPr>
      <w:r w:rsidRPr="00E51B5E">
        <w:rPr>
          <w:u w:val="single"/>
        </w:rPr>
        <w:t>Non-Indigenous children who were victims of physical assault in a residential location</w:t>
      </w:r>
    </w:p>
    <w:p w14:paraId="20188E0F" w14:textId="77777777" w:rsidR="00A90ED5" w:rsidRDefault="00A90ED5" w:rsidP="00A90ED5">
      <w:pPr>
        <w:jc w:val="both"/>
      </w:pPr>
      <w:r>
        <w:t>In the Northern Territory</w:t>
      </w:r>
      <w:r w:rsidRPr="00677892">
        <w:t xml:space="preserve"> </w:t>
      </w:r>
      <w:r>
        <w:t xml:space="preserve">between 2010 and 2013 there were </w:t>
      </w:r>
      <w:r>
        <w:rPr>
          <w:b/>
        </w:rPr>
        <w:t>147 police recorded</w:t>
      </w:r>
      <w:r w:rsidRPr="000A74F5">
        <w:rPr>
          <w:b/>
        </w:rPr>
        <w:t xml:space="preserve"> non-Indigenous child victims of</w:t>
      </w:r>
      <w:r>
        <w:rPr>
          <w:b/>
        </w:rPr>
        <w:t xml:space="preserve"> physical</w:t>
      </w:r>
      <w:r w:rsidRPr="000A74F5">
        <w:rPr>
          <w:b/>
        </w:rPr>
        <w:t xml:space="preserve"> assaul</w:t>
      </w:r>
      <w:r>
        <w:rPr>
          <w:b/>
        </w:rPr>
        <w:t>t in a residential location</w:t>
      </w:r>
      <w:r w:rsidRPr="000A74F5">
        <w:t>:</w:t>
      </w:r>
    </w:p>
    <w:p w14:paraId="690E9177" w14:textId="77777777" w:rsidR="00A90ED5" w:rsidRDefault="00A90ED5" w:rsidP="000D1D92">
      <w:pPr>
        <w:pStyle w:val="ListParagraph"/>
        <w:numPr>
          <w:ilvl w:val="0"/>
          <w:numId w:val="53"/>
        </w:numPr>
        <w:jc w:val="both"/>
      </w:pPr>
      <w:r w:rsidRPr="00756BB2">
        <w:rPr>
          <w:b/>
        </w:rPr>
        <w:t>Parents accounted for the largest proportion of offenders</w:t>
      </w:r>
      <w:r>
        <w:t xml:space="preserve"> (20.40% or 30 victims), followed by </w:t>
      </w:r>
      <w:r w:rsidRPr="00756BB2">
        <w:rPr>
          <w:b/>
        </w:rPr>
        <w:t>other family members</w:t>
      </w:r>
      <w:r>
        <w:t xml:space="preserve"> (31.29% or 46 victims), then </w:t>
      </w:r>
      <w:r w:rsidRPr="00756BB2">
        <w:rPr>
          <w:b/>
        </w:rPr>
        <w:t>non-family membe</w:t>
      </w:r>
      <w:r>
        <w:rPr>
          <w:b/>
        </w:rPr>
        <w:t xml:space="preserve">rs known to the victim </w:t>
      </w:r>
      <w:r>
        <w:t xml:space="preserve">(23.8% or 35 victims), then </w:t>
      </w:r>
      <w:r w:rsidRPr="00756BB2">
        <w:rPr>
          <w:b/>
        </w:rPr>
        <w:t>strangers</w:t>
      </w:r>
      <w:r>
        <w:t xml:space="preserve"> (12.24% or 18 victims), and then </w:t>
      </w:r>
      <w:r w:rsidRPr="00756BB2">
        <w:rPr>
          <w:b/>
        </w:rPr>
        <w:t>partners</w:t>
      </w:r>
      <w:r>
        <w:t xml:space="preserve"> (10.2% or 15 victims).</w:t>
      </w:r>
    </w:p>
    <w:p w14:paraId="6EEF6F06" w14:textId="77777777" w:rsidR="00A90ED5" w:rsidRDefault="00A90ED5" w:rsidP="000D1D92">
      <w:pPr>
        <w:pStyle w:val="ListParagraph"/>
        <w:numPr>
          <w:ilvl w:val="0"/>
          <w:numId w:val="53"/>
        </w:numPr>
        <w:jc w:val="both"/>
      </w:pPr>
      <w:r w:rsidRPr="00CB6528">
        <w:rPr>
          <w:b/>
        </w:rPr>
        <w:t xml:space="preserve">Female children aged 10 to 14 years </w:t>
      </w:r>
      <w:r w:rsidRPr="0073089E">
        <w:t>accounted for the largest proportion of child victims who</w:t>
      </w:r>
      <w:r w:rsidRPr="00CB6528">
        <w:rPr>
          <w:b/>
        </w:rPr>
        <w:t xml:space="preserve"> reported the offender was some other family member</w:t>
      </w:r>
      <w:r>
        <w:t xml:space="preserve"> (30.43% or 14 victims).</w:t>
      </w:r>
    </w:p>
    <w:p w14:paraId="72832F7D" w14:textId="77777777" w:rsidR="00A90ED5" w:rsidRDefault="00A90ED5" w:rsidP="000D1D92">
      <w:pPr>
        <w:pStyle w:val="ListParagraph"/>
        <w:numPr>
          <w:ilvl w:val="0"/>
          <w:numId w:val="53"/>
        </w:numPr>
        <w:jc w:val="both"/>
      </w:pPr>
      <w:r w:rsidRPr="00756BB2">
        <w:rPr>
          <w:b/>
        </w:rPr>
        <w:t xml:space="preserve">Female children aged 15 to 17 years </w:t>
      </w:r>
      <w:r w:rsidRPr="0073089E">
        <w:t xml:space="preserve">accounted for the largest proportion of child victims who </w:t>
      </w:r>
      <w:r w:rsidRPr="00756BB2">
        <w:rPr>
          <w:b/>
        </w:rPr>
        <w:t xml:space="preserve">reported the offender was </w:t>
      </w:r>
      <w:r w:rsidRPr="0073089E">
        <w:rPr>
          <w:b/>
        </w:rPr>
        <w:t>their</w:t>
      </w:r>
      <w:r>
        <w:t xml:space="preserve"> </w:t>
      </w:r>
      <w:r w:rsidRPr="00756BB2">
        <w:rPr>
          <w:b/>
        </w:rPr>
        <w:t>partner</w:t>
      </w:r>
      <w:r>
        <w:t xml:space="preserve"> (100% or 15 victims),</w:t>
      </w:r>
      <w:r w:rsidRPr="0073089E">
        <w:t xml:space="preserve"> </w:t>
      </w:r>
      <w:r>
        <w:t xml:space="preserve">a </w:t>
      </w:r>
      <w:r w:rsidRPr="00CB6528">
        <w:rPr>
          <w:b/>
        </w:rPr>
        <w:t>stranger</w:t>
      </w:r>
      <w:r>
        <w:t xml:space="preserve"> (50% or 9 victims), their</w:t>
      </w:r>
      <w:r w:rsidRPr="00756BB2">
        <w:rPr>
          <w:b/>
        </w:rPr>
        <w:t xml:space="preserve"> parent</w:t>
      </w:r>
      <w:r>
        <w:t xml:space="preserve"> (40% or 12 victims), and a </w:t>
      </w:r>
      <w:r w:rsidRPr="00756BB2">
        <w:rPr>
          <w:b/>
        </w:rPr>
        <w:t>non-family member known to the victim</w:t>
      </w:r>
      <w:r>
        <w:t xml:space="preserve"> (37.14% or 13 victims).</w:t>
      </w:r>
    </w:p>
    <w:p w14:paraId="2DC1C76C" w14:textId="77777777" w:rsidR="00A90ED5" w:rsidRPr="00626946" w:rsidRDefault="00A90ED5" w:rsidP="00A90ED5">
      <w:pPr>
        <w:jc w:val="both"/>
      </w:pPr>
      <w:r>
        <w:rPr>
          <w:noProof/>
        </w:rPr>
        <w:lastRenderedPageBreak/>
        <w:drawing>
          <wp:inline distT="0" distB="0" distL="0" distR="0" wp14:anchorId="427A7C0D" wp14:editId="6FF5D7CF">
            <wp:extent cx="5759450" cy="3134995"/>
            <wp:effectExtent l="0" t="0" r="12700" b="8255"/>
            <wp:docPr id="28" name="Chart 28"/>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inline>
        </w:drawing>
      </w:r>
      <w:r w:rsidRPr="00BC406B">
        <w:rPr>
          <w:highlight w:val="yellow"/>
        </w:rPr>
        <w:t xml:space="preserve"> </w:t>
      </w:r>
    </w:p>
    <w:p w14:paraId="7E0C3B32" w14:textId="77777777" w:rsidR="00A90ED5" w:rsidRPr="00E51B5E" w:rsidRDefault="00A90ED5" w:rsidP="00E51B5E">
      <w:pPr>
        <w:rPr>
          <w:u w:val="single"/>
        </w:rPr>
      </w:pPr>
      <w:r w:rsidRPr="00E51B5E">
        <w:rPr>
          <w:u w:val="single"/>
        </w:rPr>
        <w:t>Aboriginal and Torres Strait Islander status unknown for child victims of physical assault in a residential location</w:t>
      </w:r>
    </w:p>
    <w:p w14:paraId="3647D983" w14:textId="77777777" w:rsidR="00A90ED5" w:rsidRDefault="00A90ED5" w:rsidP="00A90ED5">
      <w:pPr>
        <w:jc w:val="both"/>
      </w:pPr>
      <w:r>
        <w:t xml:space="preserve">In the Northern Territory between 2010 and 2013 there were </w:t>
      </w:r>
      <w:r>
        <w:rPr>
          <w:b/>
        </w:rPr>
        <w:t>32 police recorded child victims of physical assault with Indigenous status unknown in a residential location</w:t>
      </w:r>
      <w:r>
        <w:t>:</w:t>
      </w:r>
    </w:p>
    <w:p w14:paraId="7D70433D" w14:textId="77777777" w:rsidR="00A90ED5" w:rsidRPr="00E237EF" w:rsidRDefault="00A90ED5" w:rsidP="000D1D92">
      <w:pPr>
        <w:pStyle w:val="ListParagraph"/>
        <w:numPr>
          <w:ilvl w:val="0"/>
          <w:numId w:val="62"/>
        </w:numPr>
        <w:jc w:val="both"/>
        <w:rPr>
          <w:b/>
        </w:rPr>
      </w:pPr>
      <w:r w:rsidRPr="00EE61E1">
        <w:rPr>
          <w:b/>
        </w:rPr>
        <w:t xml:space="preserve">Parents accounted for the largest proportion of offenders </w:t>
      </w:r>
      <w:r>
        <w:t xml:space="preserve">(32.35% or 9 victims), followed by </w:t>
      </w:r>
      <w:r w:rsidRPr="00EE61E1">
        <w:rPr>
          <w:b/>
        </w:rPr>
        <w:t>other family members</w:t>
      </w:r>
      <w:r>
        <w:t xml:space="preserve"> (26.47% or 9 victims), then </w:t>
      </w:r>
      <w:r w:rsidRPr="00EE61E1">
        <w:rPr>
          <w:b/>
        </w:rPr>
        <w:t xml:space="preserve">partners </w:t>
      </w:r>
      <w:r>
        <w:t xml:space="preserve">(25.53% or 8 victims), then </w:t>
      </w:r>
      <w:r w:rsidRPr="00EE61E1">
        <w:rPr>
          <w:b/>
        </w:rPr>
        <w:t>non family members known to the victim</w:t>
      </w:r>
      <w:r>
        <w:t xml:space="preserve"> (17.65% or 6 victims).</w:t>
      </w:r>
    </w:p>
    <w:p w14:paraId="56D07465" w14:textId="77777777" w:rsidR="00A90ED5" w:rsidRPr="00E237EF" w:rsidRDefault="00A90ED5" w:rsidP="000D1D92">
      <w:pPr>
        <w:pStyle w:val="ListParagraph"/>
        <w:numPr>
          <w:ilvl w:val="0"/>
          <w:numId w:val="62"/>
        </w:numPr>
        <w:jc w:val="both"/>
        <w:rPr>
          <w:b/>
        </w:rPr>
      </w:pPr>
      <w:r>
        <w:rPr>
          <w:b/>
        </w:rPr>
        <w:t xml:space="preserve">Male children aged 0 to 9 years, male children aged 15 to 17 years and female children aged 15 to 17 years </w:t>
      </w:r>
      <w:r>
        <w:t xml:space="preserve">account for the largest and equal proportion of child victims who </w:t>
      </w:r>
      <w:r>
        <w:rPr>
          <w:b/>
        </w:rPr>
        <w:t xml:space="preserve">reported the offender was some other family member </w:t>
      </w:r>
      <w:r>
        <w:t>(33.3% each or 3 victims each)</w:t>
      </w:r>
    </w:p>
    <w:p w14:paraId="160E1CA3" w14:textId="77777777" w:rsidR="00A90ED5" w:rsidRPr="00AD35D4" w:rsidRDefault="00A90ED5" w:rsidP="000D1D92">
      <w:pPr>
        <w:pStyle w:val="ListParagraph"/>
        <w:numPr>
          <w:ilvl w:val="0"/>
          <w:numId w:val="62"/>
        </w:numPr>
        <w:jc w:val="both"/>
        <w:rPr>
          <w:b/>
        </w:rPr>
      </w:pPr>
      <w:r>
        <w:rPr>
          <w:b/>
        </w:rPr>
        <w:t>Female children aged 0 to 9 years</w:t>
      </w:r>
      <w:r>
        <w:t xml:space="preserve"> accounted for the largest proportion of child victims who </w:t>
      </w:r>
      <w:r>
        <w:rPr>
          <w:b/>
        </w:rPr>
        <w:t xml:space="preserve">reported the offender was their parent </w:t>
      </w:r>
      <w:r>
        <w:t>(66.66% or 6 victims).</w:t>
      </w:r>
    </w:p>
    <w:p w14:paraId="366D59CE" w14:textId="77777777" w:rsidR="00A90ED5" w:rsidRPr="00AD35D4" w:rsidRDefault="00A90ED5" w:rsidP="000D1D92">
      <w:pPr>
        <w:pStyle w:val="ListParagraph"/>
        <w:numPr>
          <w:ilvl w:val="0"/>
          <w:numId w:val="62"/>
        </w:numPr>
        <w:jc w:val="both"/>
        <w:rPr>
          <w:b/>
        </w:rPr>
      </w:pPr>
      <w:r>
        <w:rPr>
          <w:b/>
        </w:rPr>
        <w:t>Female children aged 15 to 17 years</w:t>
      </w:r>
      <w:r>
        <w:t xml:space="preserve"> accounted for all child victims who </w:t>
      </w:r>
      <w:r>
        <w:rPr>
          <w:b/>
        </w:rPr>
        <w:t xml:space="preserve">reported the offender was their partner </w:t>
      </w:r>
      <w:r>
        <w:t xml:space="preserve">(100% or 8 victims), and a </w:t>
      </w:r>
      <w:r>
        <w:rPr>
          <w:b/>
        </w:rPr>
        <w:t xml:space="preserve">non-family member </w:t>
      </w:r>
      <w:r>
        <w:t>(100% or 6 victims).</w:t>
      </w:r>
    </w:p>
    <w:p w14:paraId="1C1AFD58" w14:textId="77777777" w:rsidR="00A90ED5" w:rsidRDefault="00A90ED5" w:rsidP="00A90ED5">
      <w:pPr>
        <w:jc w:val="both"/>
        <w:rPr>
          <w:b/>
        </w:rPr>
      </w:pPr>
      <w:r>
        <w:rPr>
          <w:noProof/>
        </w:rPr>
        <w:lastRenderedPageBreak/>
        <w:drawing>
          <wp:inline distT="0" distB="0" distL="0" distR="0" wp14:anchorId="45651F47" wp14:editId="536DC307">
            <wp:extent cx="5759450" cy="3134995"/>
            <wp:effectExtent l="0" t="0" r="12700" b="8255"/>
            <wp:docPr id="192" name="Chart 192"/>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inline>
        </w:drawing>
      </w:r>
    </w:p>
    <w:p w14:paraId="5275D3B6" w14:textId="1375333E" w:rsidR="00A90ED5" w:rsidRPr="00243307" w:rsidRDefault="00E51B5E" w:rsidP="00E51B5E">
      <w:pPr>
        <w:pStyle w:val="Heading4"/>
        <w:numPr>
          <w:ilvl w:val="0"/>
          <w:numId w:val="0"/>
        </w:numPr>
        <w:ind w:left="851" w:hanging="851"/>
      </w:pPr>
      <w:bookmarkStart w:id="236" w:name="_Toc430168458"/>
      <w:bookmarkStart w:id="237" w:name="_Toc432144055"/>
      <w:r>
        <w:t xml:space="preserve">8.1.4 </w:t>
      </w:r>
      <w:r w:rsidR="00A90ED5" w:rsidRPr="00243307">
        <w:t>Australian Capital Territory data about child victims of physical assault in a residential location</w:t>
      </w:r>
      <w:bookmarkEnd w:id="236"/>
      <w:bookmarkEnd w:id="237"/>
    </w:p>
    <w:p w14:paraId="0D47D68B" w14:textId="77777777" w:rsidR="00A90ED5" w:rsidRPr="0041544C" w:rsidRDefault="00A90ED5" w:rsidP="00A90ED5">
      <w:pPr>
        <w:jc w:val="both"/>
      </w:pPr>
      <w:r>
        <w:t>In the Australian Capital Territory</w:t>
      </w:r>
      <w:r w:rsidRPr="00677892">
        <w:t xml:space="preserve"> </w:t>
      </w:r>
      <w:r>
        <w:t xml:space="preserve">between 2010 and 2013 there were </w:t>
      </w:r>
      <w:r>
        <w:rPr>
          <w:b/>
        </w:rPr>
        <w:t>449 police recorded child victims of physical assault in a residential location</w:t>
      </w:r>
      <w:r>
        <w:t>:</w:t>
      </w:r>
    </w:p>
    <w:p w14:paraId="17FE5BC7" w14:textId="77777777" w:rsidR="00A90ED5" w:rsidRPr="001A3B4B" w:rsidRDefault="00A90ED5" w:rsidP="000D1D92">
      <w:pPr>
        <w:pStyle w:val="ListParagraph"/>
        <w:numPr>
          <w:ilvl w:val="0"/>
          <w:numId w:val="55"/>
        </w:numPr>
        <w:jc w:val="both"/>
        <w:rPr>
          <w:b/>
        </w:rPr>
      </w:pPr>
      <w:r w:rsidRPr="001A3B4B">
        <w:rPr>
          <w:b/>
        </w:rPr>
        <w:t xml:space="preserve">Parents accounted for the largest proportion of offenders </w:t>
      </w:r>
      <w:r>
        <w:t xml:space="preserve">(52.11% or 234 victims), followed by </w:t>
      </w:r>
      <w:r w:rsidRPr="001A3B4B">
        <w:rPr>
          <w:b/>
        </w:rPr>
        <w:t>non-family members</w:t>
      </w:r>
      <w:r>
        <w:rPr>
          <w:b/>
        </w:rPr>
        <w:t xml:space="preserve"> known to the victim</w:t>
      </w:r>
      <w:r w:rsidRPr="001A3B4B">
        <w:rPr>
          <w:b/>
        </w:rPr>
        <w:t xml:space="preserve"> </w:t>
      </w:r>
      <w:r>
        <w:t xml:space="preserve">(23.6% or 106 victims), then </w:t>
      </w:r>
      <w:r>
        <w:rPr>
          <w:b/>
        </w:rPr>
        <w:t xml:space="preserve">other family members </w:t>
      </w:r>
      <w:r>
        <w:t xml:space="preserve">(14.92% or 67 victims), then </w:t>
      </w:r>
      <w:r>
        <w:rPr>
          <w:b/>
        </w:rPr>
        <w:t xml:space="preserve">partners </w:t>
      </w:r>
      <w:r>
        <w:t xml:space="preserve">(5.12% or 23 victims), and then </w:t>
      </w:r>
      <w:r>
        <w:rPr>
          <w:b/>
        </w:rPr>
        <w:t xml:space="preserve">strangers </w:t>
      </w:r>
      <w:r>
        <w:t>(0.66% or 3 victims).</w:t>
      </w:r>
    </w:p>
    <w:p w14:paraId="1413AD80" w14:textId="77777777" w:rsidR="00A90ED5" w:rsidRDefault="00A90ED5" w:rsidP="000D1D92">
      <w:pPr>
        <w:pStyle w:val="ListParagraph"/>
        <w:numPr>
          <w:ilvl w:val="0"/>
          <w:numId w:val="55"/>
        </w:numPr>
        <w:jc w:val="both"/>
      </w:pPr>
      <w:r w:rsidRPr="00984224">
        <w:rPr>
          <w:b/>
        </w:rPr>
        <w:t xml:space="preserve">Male children aged 10 to 14 years </w:t>
      </w:r>
      <w:r w:rsidRPr="0073089E">
        <w:t>accounted for the largest proportion of child victims who</w:t>
      </w:r>
      <w:r w:rsidRPr="00984224">
        <w:rPr>
          <w:b/>
        </w:rPr>
        <w:t xml:space="preserve"> reported the offender was </w:t>
      </w:r>
      <w:r>
        <w:rPr>
          <w:b/>
        </w:rPr>
        <w:t>their</w:t>
      </w:r>
      <w:r w:rsidRPr="00984224">
        <w:rPr>
          <w:b/>
        </w:rPr>
        <w:t xml:space="preserve"> parent</w:t>
      </w:r>
      <w:r>
        <w:t xml:space="preserve"> (22.65% or 53 victims).</w:t>
      </w:r>
    </w:p>
    <w:p w14:paraId="51F3B08F" w14:textId="77777777" w:rsidR="00A90ED5" w:rsidRDefault="00A90ED5" w:rsidP="000D1D92">
      <w:pPr>
        <w:pStyle w:val="ListParagraph"/>
        <w:numPr>
          <w:ilvl w:val="0"/>
          <w:numId w:val="55"/>
        </w:numPr>
        <w:jc w:val="both"/>
      </w:pPr>
      <w:r>
        <w:rPr>
          <w:b/>
        </w:rPr>
        <w:t xml:space="preserve">Female children aged 10 to 14 years </w:t>
      </w:r>
      <w:r w:rsidRPr="0073089E">
        <w:t>accounted for the largest proportion of child victims who</w:t>
      </w:r>
      <w:r>
        <w:rPr>
          <w:b/>
        </w:rPr>
        <w:t xml:space="preserve"> reported the offender was some other family member </w:t>
      </w:r>
      <w:r>
        <w:t xml:space="preserve">(26.87% or 18 victims), </w:t>
      </w:r>
      <w:r>
        <w:rPr>
          <w:b/>
        </w:rPr>
        <w:t xml:space="preserve">followed closely by female children aged 15 to 17 years </w:t>
      </w:r>
      <w:r>
        <w:t>(25.37% or 17 victims).</w:t>
      </w:r>
    </w:p>
    <w:p w14:paraId="0CC94C79" w14:textId="77777777" w:rsidR="00A90ED5" w:rsidRDefault="00A90ED5" w:rsidP="000D1D92">
      <w:pPr>
        <w:pStyle w:val="ListParagraph"/>
        <w:numPr>
          <w:ilvl w:val="0"/>
          <w:numId w:val="55"/>
        </w:numPr>
        <w:jc w:val="both"/>
      </w:pPr>
      <w:r w:rsidRPr="00140CE9">
        <w:rPr>
          <w:b/>
        </w:rPr>
        <w:t xml:space="preserve">Female children aged 15 to 17 years </w:t>
      </w:r>
      <w:r w:rsidRPr="00140CE9">
        <w:t>accounted for the largest proportion of child victims who</w:t>
      </w:r>
      <w:r w:rsidRPr="00140CE9">
        <w:rPr>
          <w:b/>
        </w:rPr>
        <w:t xml:space="preserve"> reported the offender was a</w:t>
      </w:r>
      <w:r>
        <w:t xml:space="preserve"> </w:t>
      </w:r>
      <w:r w:rsidRPr="00140CE9">
        <w:rPr>
          <w:b/>
        </w:rPr>
        <w:t>stranger</w:t>
      </w:r>
      <w:r>
        <w:t xml:space="preserve"> (100% or 3 victims), </w:t>
      </w:r>
      <w:r w:rsidRPr="00140CE9">
        <w:rPr>
          <w:b/>
        </w:rPr>
        <w:t>their partner</w:t>
      </w:r>
      <w:r>
        <w:t xml:space="preserve"> (86.96% or 20 victims), and </w:t>
      </w:r>
      <w:r w:rsidRPr="00140CE9">
        <w:rPr>
          <w:b/>
        </w:rPr>
        <w:t>a non-family member known to the victim</w:t>
      </w:r>
      <w:r>
        <w:t xml:space="preserve"> (38.68% or 41 victims).</w:t>
      </w:r>
    </w:p>
    <w:p w14:paraId="21876E5D" w14:textId="77777777" w:rsidR="00A90ED5" w:rsidRPr="00626946" w:rsidRDefault="00A90ED5" w:rsidP="00A90ED5">
      <w:pPr>
        <w:jc w:val="both"/>
      </w:pPr>
      <w:r>
        <w:rPr>
          <w:noProof/>
        </w:rPr>
        <w:lastRenderedPageBreak/>
        <w:drawing>
          <wp:inline distT="0" distB="0" distL="0" distR="0" wp14:anchorId="34DFD463" wp14:editId="09E3A293">
            <wp:extent cx="5759450" cy="2590800"/>
            <wp:effectExtent l="0" t="0" r="12700" b="0"/>
            <wp:docPr id="17" name="Chart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p>
    <w:p w14:paraId="63A1A64C" w14:textId="40325B36" w:rsidR="00A90ED5" w:rsidRPr="00243307" w:rsidRDefault="00A90ED5" w:rsidP="00E51B5E">
      <w:pPr>
        <w:pStyle w:val="Heading3"/>
        <w:numPr>
          <w:ilvl w:val="0"/>
          <w:numId w:val="0"/>
        </w:numPr>
        <w:ind w:left="851" w:hanging="851"/>
      </w:pPr>
      <w:bookmarkStart w:id="238" w:name="_Toc430168459"/>
      <w:bookmarkStart w:id="239" w:name="_Toc432144056"/>
      <w:r>
        <w:t xml:space="preserve">8.2 </w:t>
      </w:r>
      <w:r w:rsidRPr="00243307">
        <w:t>ABS data about child victims of sexual assault aged 0-17 years</w:t>
      </w:r>
      <w:bookmarkEnd w:id="238"/>
      <w:bookmarkEnd w:id="239"/>
    </w:p>
    <w:p w14:paraId="4B759A82" w14:textId="77777777" w:rsidR="00A90ED5" w:rsidRDefault="00A90ED5" w:rsidP="00A90ED5">
      <w:pPr>
        <w:jc w:val="both"/>
      </w:pPr>
      <w:r>
        <w:t>The sexual assault data in this appendix is drawn from Tables 5-9 of the customised report I obtained from ABS about the ABS Recorded Crime – Victims publication.</w:t>
      </w:r>
    </w:p>
    <w:p w14:paraId="79B55274" w14:textId="77777777" w:rsidR="00A90ED5" w:rsidRDefault="00A90ED5" w:rsidP="00A90ED5">
      <w:pPr>
        <w:jc w:val="both"/>
      </w:pPr>
      <w:r>
        <w:t xml:space="preserve">The ABS provided me with data about child victims of sexual assault aged 0 to 17 years for New South Wales, Queensland, Victoria, South Australia, Tasmania, the Northern Territory and the Australian Capital Territory. </w:t>
      </w:r>
    </w:p>
    <w:p w14:paraId="3C291531" w14:textId="77777777" w:rsidR="00A90ED5" w:rsidRDefault="00A90ED5" w:rsidP="00A90ED5">
      <w:pPr>
        <w:jc w:val="both"/>
      </w:pPr>
      <w:r>
        <w:t>Aboriginal and Torres Strait Islander status data was only provided for New South Wales and Queensland.</w:t>
      </w:r>
    </w:p>
    <w:p w14:paraId="0F1EC5C1" w14:textId="34BE9106" w:rsidR="00A90ED5" w:rsidRPr="00243307" w:rsidRDefault="00E51B5E" w:rsidP="00E51B5E">
      <w:pPr>
        <w:pStyle w:val="Heading4"/>
        <w:numPr>
          <w:ilvl w:val="0"/>
          <w:numId w:val="0"/>
        </w:numPr>
        <w:ind w:left="851" w:hanging="851"/>
      </w:pPr>
      <w:bookmarkStart w:id="240" w:name="_Toc430168460"/>
      <w:bookmarkStart w:id="241" w:name="_Toc432144057"/>
      <w:r>
        <w:t xml:space="preserve">8.2.1 </w:t>
      </w:r>
      <w:r w:rsidR="00A90ED5" w:rsidRPr="00243307">
        <w:t>New South Wales data about child victims of sexual assault in a residential location</w:t>
      </w:r>
      <w:bookmarkEnd w:id="240"/>
      <w:bookmarkEnd w:id="241"/>
    </w:p>
    <w:p w14:paraId="2A95457F" w14:textId="77777777" w:rsidR="00A90ED5" w:rsidRPr="00AF64F3" w:rsidRDefault="00A90ED5" w:rsidP="00A90ED5">
      <w:pPr>
        <w:jc w:val="both"/>
      </w:pPr>
      <w:r>
        <w:t xml:space="preserve">In New South Wales between 2010 and 2013 there were </w:t>
      </w:r>
      <w:r>
        <w:rPr>
          <w:b/>
        </w:rPr>
        <w:t>11,669</w:t>
      </w:r>
      <w:r w:rsidRPr="00302855">
        <w:rPr>
          <w:b/>
        </w:rPr>
        <w:t xml:space="preserve"> </w:t>
      </w:r>
      <w:r>
        <w:rPr>
          <w:b/>
        </w:rPr>
        <w:t xml:space="preserve">police recorded </w:t>
      </w:r>
      <w:r w:rsidRPr="00302855">
        <w:rPr>
          <w:b/>
        </w:rPr>
        <w:t xml:space="preserve">child victims of </w:t>
      </w:r>
      <w:r w:rsidRPr="00AF64F3">
        <w:rPr>
          <w:b/>
        </w:rPr>
        <w:t>sexual assault</w:t>
      </w:r>
      <w:r>
        <w:rPr>
          <w:b/>
        </w:rPr>
        <w:t xml:space="preserve"> in a residential location</w:t>
      </w:r>
      <w:r w:rsidRPr="00AF64F3">
        <w:t xml:space="preserve">: </w:t>
      </w:r>
    </w:p>
    <w:p w14:paraId="3B97DE72" w14:textId="77777777" w:rsidR="00A90ED5" w:rsidRPr="00AF64F3" w:rsidRDefault="00A90ED5" w:rsidP="000D1D92">
      <w:pPr>
        <w:pStyle w:val="ListParagraph"/>
        <w:numPr>
          <w:ilvl w:val="0"/>
          <w:numId w:val="51"/>
        </w:numPr>
        <w:jc w:val="both"/>
      </w:pPr>
      <w:r w:rsidRPr="009370F5">
        <w:rPr>
          <w:b/>
        </w:rPr>
        <w:t>Aboriginal and Torres Strait Islander children accounted for 11.</w:t>
      </w:r>
      <w:r>
        <w:rPr>
          <w:b/>
        </w:rPr>
        <w:t>11</w:t>
      </w:r>
      <w:r w:rsidRPr="009370F5">
        <w:rPr>
          <w:b/>
        </w:rPr>
        <w:t>%</w:t>
      </w:r>
      <w:r w:rsidRPr="00AF64F3">
        <w:t xml:space="preserve"> or </w:t>
      </w:r>
      <w:r>
        <w:t>1,297</w:t>
      </w:r>
      <w:r w:rsidRPr="00AF64F3">
        <w:t xml:space="preserve"> victims</w:t>
      </w:r>
    </w:p>
    <w:p w14:paraId="4C3D95ED" w14:textId="77777777" w:rsidR="00A90ED5" w:rsidRPr="00AF64F3" w:rsidRDefault="00A90ED5" w:rsidP="000D1D92">
      <w:pPr>
        <w:pStyle w:val="ListParagraph"/>
        <w:numPr>
          <w:ilvl w:val="0"/>
          <w:numId w:val="51"/>
        </w:numPr>
        <w:jc w:val="both"/>
      </w:pPr>
      <w:r w:rsidRPr="009370F5">
        <w:rPr>
          <w:b/>
        </w:rPr>
        <w:t>Non-Indigenous children accounted for 80.5%</w:t>
      </w:r>
      <w:r w:rsidRPr="00AF64F3">
        <w:t xml:space="preserve"> or </w:t>
      </w:r>
      <w:r>
        <w:t>9,394</w:t>
      </w:r>
      <w:r w:rsidRPr="00AF64F3">
        <w:t xml:space="preserve"> victims</w:t>
      </w:r>
    </w:p>
    <w:p w14:paraId="71AD8F1E" w14:textId="77777777" w:rsidR="00A90ED5" w:rsidRPr="00AF64F3" w:rsidRDefault="00A90ED5" w:rsidP="000D1D92">
      <w:pPr>
        <w:pStyle w:val="ListParagraph"/>
        <w:numPr>
          <w:ilvl w:val="0"/>
          <w:numId w:val="51"/>
        </w:numPr>
        <w:jc w:val="both"/>
      </w:pPr>
      <w:r w:rsidRPr="009370F5">
        <w:rPr>
          <w:b/>
        </w:rPr>
        <w:t>The Indigenous status was unknown for 8.3</w:t>
      </w:r>
      <w:r>
        <w:rPr>
          <w:b/>
        </w:rPr>
        <w:t>8</w:t>
      </w:r>
      <w:r w:rsidRPr="009370F5">
        <w:rPr>
          <w:b/>
        </w:rPr>
        <w:t xml:space="preserve">% </w:t>
      </w:r>
      <w:r w:rsidRPr="000719FF">
        <w:t>of children</w:t>
      </w:r>
      <w:r w:rsidRPr="00AF64F3">
        <w:t xml:space="preserve"> or </w:t>
      </w:r>
      <w:r>
        <w:t>978</w:t>
      </w:r>
      <w:r w:rsidRPr="00AF64F3">
        <w:t xml:space="preserve"> child victims.</w:t>
      </w:r>
    </w:p>
    <w:p w14:paraId="2A5872ED" w14:textId="77777777" w:rsidR="00A90ED5" w:rsidRPr="00E51B5E" w:rsidRDefault="00A90ED5" w:rsidP="00E51B5E">
      <w:pPr>
        <w:rPr>
          <w:u w:val="single"/>
        </w:rPr>
      </w:pPr>
      <w:r w:rsidRPr="00E51B5E">
        <w:rPr>
          <w:u w:val="single"/>
        </w:rPr>
        <w:t>Aboriginal and Torres Strait Islander children who were victims of sexual assault in a residential location</w:t>
      </w:r>
    </w:p>
    <w:p w14:paraId="1E3DBFD9" w14:textId="77777777" w:rsidR="00A90ED5" w:rsidRDefault="00A90ED5" w:rsidP="00A90ED5">
      <w:pPr>
        <w:jc w:val="both"/>
      </w:pPr>
      <w:r>
        <w:t xml:space="preserve">In New South Wales between 2010 and 2013 there were </w:t>
      </w:r>
      <w:r>
        <w:rPr>
          <w:b/>
        </w:rPr>
        <w:t>1,297</w:t>
      </w:r>
      <w:r w:rsidRPr="00205389">
        <w:rPr>
          <w:b/>
        </w:rPr>
        <w:t xml:space="preserve"> </w:t>
      </w:r>
      <w:r>
        <w:rPr>
          <w:b/>
        </w:rPr>
        <w:t xml:space="preserve">police recorded </w:t>
      </w:r>
      <w:r w:rsidRPr="00205389">
        <w:rPr>
          <w:b/>
        </w:rPr>
        <w:t>Aboriginal and Torres Strait I</w:t>
      </w:r>
      <w:r>
        <w:rPr>
          <w:b/>
        </w:rPr>
        <w:t>slander child victims of sexual assault in a residential location</w:t>
      </w:r>
      <w:r>
        <w:t>:</w:t>
      </w:r>
    </w:p>
    <w:p w14:paraId="41F5A1D4" w14:textId="77777777" w:rsidR="00A90ED5" w:rsidRDefault="00A90ED5" w:rsidP="000D1D92">
      <w:pPr>
        <w:pStyle w:val="ListParagraph"/>
        <w:numPr>
          <w:ilvl w:val="0"/>
          <w:numId w:val="50"/>
        </w:numPr>
        <w:jc w:val="both"/>
      </w:pPr>
      <w:r w:rsidRPr="009370F5">
        <w:rPr>
          <w:b/>
        </w:rPr>
        <w:t>Non-family members accounted for the largest proportion of offenders</w:t>
      </w:r>
      <w:r w:rsidRPr="007446FB">
        <w:t xml:space="preserve"> (</w:t>
      </w:r>
      <w:r>
        <w:t>40.47</w:t>
      </w:r>
      <w:r w:rsidRPr="007446FB">
        <w:t xml:space="preserve">% or </w:t>
      </w:r>
      <w:r>
        <w:t>525</w:t>
      </w:r>
      <w:r w:rsidRPr="007446FB">
        <w:t xml:space="preserve"> victims),</w:t>
      </w:r>
      <w:r>
        <w:t xml:space="preserve"> followed by </w:t>
      </w:r>
      <w:r w:rsidRPr="007378B4">
        <w:rPr>
          <w:b/>
        </w:rPr>
        <w:t>other family members</w:t>
      </w:r>
      <w:r w:rsidRPr="007446FB">
        <w:t xml:space="preserve"> (</w:t>
      </w:r>
      <w:r>
        <w:t>18.35</w:t>
      </w:r>
      <w:r w:rsidRPr="007446FB">
        <w:t xml:space="preserve">% or </w:t>
      </w:r>
      <w:r>
        <w:t>238</w:t>
      </w:r>
      <w:r w:rsidRPr="007446FB">
        <w:t xml:space="preserve"> victims), then </w:t>
      </w:r>
      <w:r w:rsidRPr="007378B4">
        <w:rPr>
          <w:b/>
        </w:rPr>
        <w:t>parents</w:t>
      </w:r>
      <w:r>
        <w:t xml:space="preserve"> </w:t>
      </w:r>
      <w:r w:rsidRPr="007446FB">
        <w:t>(</w:t>
      </w:r>
      <w:r>
        <w:t>16.11</w:t>
      </w:r>
      <w:r w:rsidRPr="007446FB">
        <w:t xml:space="preserve">% or </w:t>
      </w:r>
      <w:r>
        <w:t>209</w:t>
      </w:r>
      <w:r w:rsidRPr="007446FB">
        <w:t xml:space="preserve"> victims), then </w:t>
      </w:r>
      <w:r w:rsidRPr="007378B4">
        <w:rPr>
          <w:b/>
        </w:rPr>
        <w:t>partners</w:t>
      </w:r>
      <w:r>
        <w:t xml:space="preserve"> </w:t>
      </w:r>
      <w:r w:rsidRPr="007446FB">
        <w:t>(</w:t>
      </w:r>
      <w:r>
        <w:t>6.63</w:t>
      </w:r>
      <w:r w:rsidRPr="007446FB">
        <w:t xml:space="preserve">% or </w:t>
      </w:r>
      <w:r>
        <w:t>86</w:t>
      </w:r>
      <w:r w:rsidRPr="007446FB">
        <w:t xml:space="preserve"> </w:t>
      </w:r>
      <w:r w:rsidRPr="007446FB">
        <w:lastRenderedPageBreak/>
        <w:t xml:space="preserve">victims), then </w:t>
      </w:r>
      <w:r w:rsidRPr="007378B4">
        <w:rPr>
          <w:b/>
        </w:rPr>
        <w:t>siblings</w:t>
      </w:r>
      <w:r>
        <w:t xml:space="preserve"> </w:t>
      </w:r>
      <w:r w:rsidRPr="007446FB">
        <w:t>(</w:t>
      </w:r>
      <w:r>
        <w:t>6.47</w:t>
      </w:r>
      <w:r w:rsidRPr="007446FB">
        <w:t xml:space="preserve">% or </w:t>
      </w:r>
      <w:r>
        <w:t>84</w:t>
      </w:r>
      <w:r w:rsidRPr="007446FB">
        <w:t xml:space="preserve"> victims), and </w:t>
      </w:r>
      <w:r>
        <w:t xml:space="preserve">then </w:t>
      </w:r>
      <w:r w:rsidRPr="007378B4">
        <w:rPr>
          <w:b/>
        </w:rPr>
        <w:t>strangers</w:t>
      </w:r>
      <w:r w:rsidRPr="007446FB">
        <w:t xml:space="preserve"> (</w:t>
      </w:r>
      <w:r>
        <w:t>3.16</w:t>
      </w:r>
      <w:r w:rsidRPr="007446FB">
        <w:t xml:space="preserve">% or </w:t>
      </w:r>
      <w:r>
        <w:t>41</w:t>
      </w:r>
      <w:r w:rsidRPr="007446FB">
        <w:t xml:space="preserve"> victims).</w:t>
      </w:r>
    </w:p>
    <w:p w14:paraId="074E0C20" w14:textId="77777777" w:rsidR="00A90ED5" w:rsidRDefault="00A90ED5" w:rsidP="000D1D92">
      <w:pPr>
        <w:pStyle w:val="ListParagraph"/>
        <w:numPr>
          <w:ilvl w:val="0"/>
          <w:numId w:val="50"/>
        </w:numPr>
        <w:jc w:val="both"/>
      </w:pPr>
      <w:r w:rsidRPr="007378B4">
        <w:rPr>
          <w:b/>
        </w:rPr>
        <w:t xml:space="preserve">Female children aged 0 to 9 </w:t>
      </w:r>
      <w:r w:rsidRPr="008C5B56">
        <w:rPr>
          <w:b/>
        </w:rPr>
        <w:t>years</w:t>
      </w:r>
      <w:r w:rsidRPr="00F577A9">
        <w:t xml:space="preserve"> accounted for the largest proportion of child victims who</w:t>
      </w:r>
      <w:r w:rsidRPr="007378B4">
        <w:rPr>
          <w:b/>
        </w:rPr>
        <w:t xml:space="preserve"> reported the offender was </w:t>
      </w:r>
      <w:r>
        <w:rPr>
          <w:b/>
        </w:rPr>
        <w:t>their</w:t>
      </w:r>
      <w:r w:rsidRPr="007378B4">
        <w:rPr>
          <w:b/>
        </w:rPr>
        <w:t xml:space="preserve"> parent</w:t>
      </w:r>
      <w:r>
        <w:t xml:space="preserve"> (36.36% or 76 victims), some </w:t>
      </w:r>
      <w:r w:rsidRPr="007378B4">
        <w:rPr>
          <w:b/>
        </w:rPr>
        <w:t>other family member</w:t>
      </w:r>
      <w:r>
        <w:t xml:space="preserve"> (36.13% or 86 victims), and a </w:t>
      </w:r>
      <w:r w:rsidRPr="007378B4">
        <w:rPr>
          <w:b/>
        </w:rPr>
        <w:t>sibling</w:t>
      </w:r>
      <w:r>
        <w:t xml:space="preserve"> (34.52% or 29 victims).</w:t>
      </w:r>
    </w:p>
    <w:p w14:paraId="5833CD63" w14:textId="77777777" w:rsidR="00A90ED5" w:rsidRDefault="00A90ED5" w:rsidP="000D1D92">
      <w:pPr>
        <w:pStyle w:val="ListParagraph"/>
        <w:numPr>
          <w:ilvl w:val="0"/>
          <w:numId w:val="50"/>
        </w:numPr>
        <w:jc w:val="both"/>
      </w:pPr>
      <w:r w:rsidRPr="00446793">
        <w:rPr>
          <w:b/>
        </w:rPr>
        <w:t xml:space="preserve">Female children aged 10 to 14 </w:t>
      </w:r>
      <w:r w:rsidRPr="008C5B56">
        <w:rPr>
          <w:b/>
        </w:rPr>
        <w:t>years</w:t>
      </w:r>
      <w:r w:rsidRPr="00446793">
        <w:rPr>
          <w:b/>
        </w:rPr>
        <w:t xml:space="preserve"> </w:t>
      </w:r>
      <w:r w:rsidRPr="00F577A9">
        <w:t>accounted for the largest proportion of child victims who</w:t>
      </w:r>
      <w:r w:rsidRPr="00446793">
        <w:rPr>
          <w:b/>
        </w:rPr>
        <w:t xml:space="preserve"> reported the offender was their partner</w:t>
      </w:r>
      <w:r>
        <w:t xml:space="preserve"> (47.67% or 41 victims), a </w:t>
      </w:r>
      <w:r w:rsidRPr="00446793">
        <w:rPr>
          <w:b/>
        </w:rPr>
        <w:t>non-family member known to the victim</w:t>
      </w:r>
      <w:r>
        <w:t xml:space="preserve"> (42.29% or 222 victims), and a </w:t>
      </w:r>
      <w:r w:rsidRPr="00446793">
        <w:rPr>
          <w:b/>
        </w:rPr>
        <w:t xml:space="preserve">stranger </w:t>
      </w:r>
      <w:r>
        <w:t>(41.46% or 17 victims).</w:t>
      </w:r>
    </w:p>
    <w:p w14:paraId="565B3DC8" w14:textId="77777777" w:rsidR="00A90ED5" w:rsidRPr="00626946" w:rsidRDefault="00A90ED5" w:rsidP="00A90ED5">
      <w:pPr>
        <w:jc w:val="both"/>
      </w:pPr>
      <w:r>
        <w:rPr>
          <w:noProof/>
        </w:rPr>
        <w:drawing>
          <wp:inline distT="0" distB="0" distL="0" distR="0" wp14:anchorId="7CE09540" wp14:editId="4ECAACC3">
            <wp:extent cx="5759450" cy="2883535"/>
            <wp:effectExtent l="0" t="0" r="12700" b="12065"/>
            <wp:docPr id="20" name="Chart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14:paraId="055E144D" w14:textId="77777777" w:rsidR="00A90ED5" w:rsidRPr="00E51B5E" w:rsidRDefault="00A90ED5" w:rsidP="00E51B5E">
      <w:pPr>
        <w:rPr>
          <w:u w:val="single"/>
        </w:rPr>
      </w:pPr>
      <w:r w:rsidRPr="00E51B5E">
        <w:rPr>
          <w:u w:val="single"/>
        </w:rPr>
        <w:t>Non-Indigenous children who were victims of sexual assault in a residential location</w:t>
      </w:r>
    </w:p>
    <w:p w14:paraId="053D7E01" w14:textId="77777777" w:rsidR="00A90ED5" w:rsidRDefault="00A90ED5" w:rsidP="00A90ED5">
      <w:pPr>
        <w:jc w:val="both"/>
      </w:pPr>
      <w:r>
        <w:t xml:space="preserve">In New South Wales between 2010 and 2013 there were </w:t>
      </w:r>
      <w:r>
        <w:rPr>
          <w:b/>
        </w:rPr>
        <w:t>9,394</w:t>
      </w:r>
      <w:r w:rsidRPr="000A74F5">
        <w:rPr>
          <w:b/>
        </w:rPr>
        <w:t xml:space="preserve"> </w:t>
      </w:r>
      <w:r>
        <w:rPr>
          <w:b/>
        </w:rPr>
        <w:t xml:space="preserve">police recorded </w:t>
      </w:r>
      <w:r w:rsidRPr="000A74F5">
        <w:rPr>
          <w:b/>
        </w:rPr>
        <w:t>non-Indigenous child victims of</w:t>
      </w:r>
      <w:r>
        <w:rPr>
          <w:b/>
        </w:rPr>
        <w:t xml:space="preserve"> sexual</w:t>
      </w:r>
      <w:r w:rsidRPr="000A74F5">
        <w:rPr>
          <w:b/>
        </w:rPr>
        <w:t xml:space="preserve"> assaul</w:t>
      </w:r>
      <w:r>
        <w:rPr>
          <w:b/>
        </w:rPr>
        <w:t>t in a residential location</w:t>
      </w:r>
      <w:r w:rsidRPr="000A74F5">
        <w:t>:</w:t>
      </w:r>
    </w:p>
    <w:p w14:paraId="5ED71032" w14:textId="77777777" w:rsidR="00A90ED5" w:rsidRPr="006F6C4D" w:rsidRDefault="00A90ED5" w:rsidP="000D1D92">
      <w:pPr>
        <w:pStyle w:val="ListParagraph"/>
        <w:numPr>
          <w:ilvl w:val="0"/>
          <w:numId w:val="56"/>
        </w:numPr>
        <w:jc w:val="both"/>
      </w:pPr>
      <w:r w:rsidRPr="00E11296">
        <w:rPr>
          <w:b/>
        </w:rPr>
        <w:t>Non-family members</w:t>
      </w:r>
      <w:r>
        <w:rPr>
          <w:b/>
        </w:rPr>
        <w:t xml:space="preserve"> known to the victim</w:t>
      </w:r>
      <w:r w:rsidRPr="00E11296">
        <w:rPr>
          <w:b/>
        </w:rPr>
        <w:t xml:space="preserve"> accounted for the largest proportion of offenders</w:t>
      </w:r>
      <w:r w:rsidRPr="007446FB">
        <w:t xml:space="preserve"> (</w:t>
      </w:r>
      <w:r>
        <w:t>40.79% or 3,832 victims</w:t>
      </w:r>
      <w:r w:rsidRPr="007446FB">
        <w:t>),</w:t>
      </w:r>
      <w:r>
        <w:t xml:space="preserve"> followed by </w:t>
      </w:r>
      <w:r w:rsidRPr="00E11296">
        <w:rPr>
          <w:b/>
        </w:rPr>
        <w:t>parents</w:t>
      </w:r>
      <w:r>
        <w:t xml:space="preserve"> (20.02% or 1,881 victims), then </w:t>
      </w:r>
      <w:r w:rsidRPr="00E11296">
        <w:rPr>
          <w:b/>
        </w:rPr>
        <w:t>other family members</w:t>
      </w:r>
      <w:r>
        <w:t xml:space="preserve"> (15.4% or 1,447 </w:t>
      </w:r>
      <w:r w:rsidRPr="006F6C4D">
        <w:t xml:space="preserve">victims), then </w:t>
      </w:r>
      <w:r w:rsidRPr="006F6C4D">
        <w:rPr>
          <w:b/>
        </w:rPr>
        <w:t>partners</w:t>
      </w:r>
      <w:r w:rsidRPr="006F6C4D">
        <w:t xml:space="preserve"> (6.7% or 630 victims), then </w:t>
      </w:r>
      <w:r w:rsidRPr="006F6C4D">
        <w:rPr>
          <w:b/>
        </w:rPr>
        <w:t>siblings</w:t>
      </w:r>
      <w:r w:rsidRPr="006F6C4D">
        <w:t xml:space="preserve"> (5.84% or 549 victims), and then </w:t>
      </w:r>
      <w:r w:rsidRPr="006F6C4D">
        <w:rPr>
          <w:b/>
        </w:rPr>
        <w:t>strangers</w:t>
      </w:r>
      <w:r w:rsidRPr="006F6C4D">
        <w:t xml:space="preserve"> (2.87% or 270 victims).</w:t>
      </w:r>
    </w:p>
    <w:p w14:paraId="7B953184" w14:textId="77777777" w:rsidR="00A90ED5" w:rsidRPr="006F6C4D" w:rsidRDefault="00A90ED5" w:rsidP="000D1D92">
      <w:pPr>
        <w:pStyle w:val="ListParagraph"/>
        <w:numPr>
          <w:ilvl w:val="0"/>
          <w:numId w:val="56"/>
        </w:numPr>
        <w:jc w:val="both"/>
      </w:pPr>
      <w:r w:rsidRPr="006F6C4D">
        <w:rPr>
          <w:b/>
        </w:rPr>
        <w:t xml:space="preserve">Female children aged 0 to 9 years </w:t>
      </w:r>
      <w:r w:rsidRPr="006F6C4D">
        <w:t>accounted for the largest proportion of child victims who</w:t>
      </w:r>
      <w:r w:rsidRPr="006F6C4D">
        <w:rPr>
          <w:b/>
        </w:rPr>
        <w:t xml:space="preserve"> reported the offender was their parent </w:t>
      </w:r>
      <w:r w:rsidRPr="006F6C4D">
        <w:t xml:space="preserve">(36.04% or 678 victims), their </w:t>
      </w:r>
      <w:r w:rsidRPr="006F6C4D">
        <w:rPr>
          <w:b/>
        </w:rPr>
        <w:t>sibling</w:t>
      </w:r>
      <w:r w:rsidRPr="006F6C4D">
        <w:t xml:space="preserve"> (35.7% or 196 victims), and some </w:t>
      </w:r>
      <w:r w:rsidRPr="006F6C4D">
        <w:rPr>
          <w:b/>
        </w:rPr>
        <w:t>other family member</w:t>
      </w:r>
      <w:r w:rsidRPr="006F6C4D">
        <w:t xml:space="preserve"> (34.76% or 503 victims).</w:t>
      </w:r>
    </w:p>
    <w:p w14:paraId="25998F9D" w14:textId="77777777" w:rsidR="00A90ED5" w:rsidRDefault="00A90ED5" w:rsidP="000D1D92">
      <w:pPr>
        <w:pStyle w:val="ListParagraph"/>
        <w:numPr>
          <w:ilvl w:val="0"/>
          <w:numId w:val="56"/>
        </w:numPr>
        <w:jc w:val="both"/>
      </w:pPr>
      <w:r w:rsidRPr="006F6C4D">
        <w:rPr>
          <w:b/>
        </w:rPr>
        <w:t xml:space="preserve">Female children aged 10 to 14 years </w:t>
      </w:r>
      <w:r w:rsidRPr="006F6C4D">
        <w:t xml:space="preserve">accounted for the </w:t>
      </w:r>
      <w:r w:rsidRPr="008C5B56">
        <w:t>largest proportion of child victims who</w:t>
      </w:r>
      <w:r w:rsidRPr="00796B9D">
        <w:rPr>
          <w:b/>
        </w:rPr>
        <w:t xml:space="preserve"> reported the offender was a non-family member known to the victim</w:t>
      </w:r>
      <w:r>
        <w:t xml:space="preserve"> (35.41% or 1,357 victims).</w:t>
      </w:r>
    </w:p>
    <w:p w14:paraId="0F273ADA" w14:textId="77777777" w:rsidR="00A90ED5" w:rsidRDefault="00A90ED5" w:rsidP="000D1D92">
      <w:pPr>
        <w:pStyle w:val="ListParagraph"/>
        <w:numPr>
          <w:ilvl w:val="0"/>
          <w:numId w:val="56"/>
        </w:numPr>
        <w:jc w:val="both"/>
      </w:pPr>
      <w:r w:rsidRPr="00796B9D">
        <w:rPr>
          <w:b/>
        </w:rPr>
        <w:t xml:space="preserve">Female children aged 15 to 17 years </w:t>
      </w:r>
      <w:r w:rsidRPr="008C5B56">
        <w:t>accounted for the largest proportion of child victims who</w:t>
      </w:r>
      <w:r w:rsidRPr="00796B9D">
        <w:rPr>
          <w:b/>
        </w:rPr>
        <w:t xml:space="preserve"> reported the offender was </w:t>
      </w:r>
      <w:r>
        <w:rPr>
          <w:b/>
        </w:rPr>
        <w:t>their</w:t>
      </w:r>
      <w:r w:rsidRPr="00796B9D">
        <w:rPr>
          <w:b/>
        </w:rPr>
        <w:t xml:space="preserve"> partner</w:t>
      </w:r>
      <w:r>
        <w:t xml:space="preserve"> (49.68% or 313 victims), and a </w:t>
      </w:r>
      <w:r w:rsidRPr="008C5B56">
        <w:rPr>
          <w:b/>
        </w:rPr>
        <w:t>stranger</w:t>
      </w:r>
      <w:r>
        <w:t xml:space="preserve"> (46.67% or 126 victims).</w:t>
      </w:r>
    </w:p>
    <w:p w14:paraId="6F09753D" w14:textId="77777777" w:rsidR="00A90ED5" w:rsidRPr="00626946" w:rsidRDefault="00A90ED5" w:rsidP="00A90ED5">
      <w:pPr>
        <w:jc w:val="both"/>
      </w:pPr>
      <w:r>
        <w:rPr>
          <w:noProof/>
        </w:rPr>
        <w:lastRenderedPageBreak/>
        <w:drawing>
          <wp:inline distT="0" distB="0" distL="0" distR="0" wp14:anchorId="5052A010" wp14:editId="0CD35CE2">
            <wp:extent cx="5759450" cy="2883535"/>
            <wp:effectExtent l="0" t="0" r="12700" b="12065"/>
            <wp:docPr id="21" name="Chart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57"/>
              </a:graphicData>
            </a:graphic>
          </wp:inline>
        </w:drawing>
      </w:r>
    </w:p>
    <w:p w14:paraId="58E3A044" w14:textId="77777777" w:rsidR="00A90ED5" w:rsidRPr="00E51B5E" w:rsidRDefault="00A90ED5" w:rsidP="00E51B5E">
      <w:pPr>
        <w:rPr>
          <w:u w:val="single"/>
        </w:rPr>
      </w:pPr>
      <w:r w:rsidRPr="00E51B5E">
        <w:rPr>
          <w:u w:val="single"/>
        </w:rPr>
        <w:t>Aboriginal and Torres Strait Islander status unknown for child victims of sexual assault in a residential location</w:t>
      </w:r>
    </w:p>
    <w:p w14:paraId="2F883B54" w14:textId="77777777" w:rsidR="00A90ED5" w:rsidRDefault="00A90ED5" w:rsidP="00A90ED5">
      <w:pPr>
        <w:jc w:val="both"/>
      </w:pPr>
      <w:r>
        <w:t xml:space="preserve">In New South Wales between 2010 and 2013 there were </w:t>
      </w:r>
      <w:r>
        <w:rPr>
          <w:b/>
        </w:rPr>
        <w:t>978</w:t>
      </w:r>
      <w:r w:rsidRPr="00205389">
        <w:rPr>
          <w:b/>
        </w:rPr>
        <w:t xml:space="preserve"> </w:t>
      </w:r>
      <w:r>
        <w:rPr>
          <w:b/>
        </w:rPr>
        <w:t>police recorded child victims of sexual assault with Indigenous status unknown in a residential location</w:t>
      </w:r>
      <w:r>
        <w:t>:</w:t>
      </w:r>
    </w:p>
    <w:p w14:paraId="1858CB34" w14:textId="77777777" w:rsidR="00A90ED5" w:rsidRDefault="00A90ED5" w:rsidP="000D1D92">
      <w:pPr>
        <w:pStyle w:val="ListParagraph"/>
        <w:numPr>
          <w:ilvl w:val="0"/>
          <w:numId w:val="57"/>
        </w:numPr>
        <w:jc w:val="both"/>
      </w:pPr>
      <w:r w:rsidRPr="004E369D">
        <w:rPr>
          <w:b/>
        </w:rPr>
        <w:t>Non-family members</w:t>
      </w:r>
      <w:r>
        <w:rPr>
          <w:b/>
        </w:rPr>
        <w:t xml:space="preserve"> known to the victim</w:t>
      </w:r>
      <w:r w:rsidRPr="004E369D">
        <w:rPr>
          <w:b/>
        </w:rPr>
        <w:t xml:space="preserve"> accounted for the largest proportion of offenders</w:t>
      </w:r>
      <w:r>
        <w:t xml:space="preserve"> (37.52% or 367 victims), followed by </w:t>
      </w:r>
      <w:r w:rsidRPr="004E369D">
        <w:rPr>
          <w:b/>
        </w:rPr>
        <w:t>parents</w:t>
      </w:r>
      <w:r>
        <w:t xml:space="preserve"> (19.22% or 188 victims), then </w:t>
      </w:r>
      <w:r w:rsidRPr="004E369D">
        <w:rPr>
          <w:b/>
        </w:rPr>
        <w:t>other family members</w:t>
      </w:r>
      <w:r>
        <w:t xml:space="preserve"> (15.74% or 154 victims), then </w:t>
      </w:r>
      <w:r w:rsidRPr="004E369D">
        <w:rPr>
          <w:b/>
        </w:rPr>
        <w:t>siblings</w:t>
      </w:r>
      <w:r>
        <w:t xml:space="preserve"> (8.58% or 84 victims), then </w:t>
      </w:r>
      <w:r w:rsidRPr="004E369D">
        <w:rPr>
          <w:b/>
        </w:rPr>
        <w:t>partners</w:t>
      </w:r>
      <w:r>
        <w:t xml:space="preserve"> (8.38% or 82 victims), and then </w:t>
      </w:r>
      <w:r w:rsidRPr="004E369D">
        <w:rPr>
          <w:b/>
        </w:rPr>
        <w:t>strangers</w:t>
      </w:r>
      <w:r>
        <w:t xml:space="preserve"> (1.84% or 18 victims).</w:t>
      </w:r>
    </w:p>
    <w:p w14:paraId="21783A85" w14:textId="77777777" w:rsidR="00A90ED5" w:rsidRDefault="00A90ED5" w:rsidP="000D1D92">
      <w:pPr>
        <w:pStyle w:val="ListParagraph"/>
        <w:numPr>
          <w:ilvl w:val="0"/>
          <w:numId w:val="57"/>
        </w:numPr>
        <w:jc w:val="both"/>
      </w:pPr>
      <w:r w:rsidRPr="00C353CD">
        <w:rPr>
          <w:b/>
        </w:rPr>
        <w:t xml:space="preserve">Female children aged 0 to 9 </w:t>
      </w:r>
      <w:r w:rsidRPr="004B70AB">
        <w:t>years accounted for the largest proportion of child victims who</w:t>
      </w:r>
      <w:r w:rsidRPr="00C353CD">
        <w:rPr>
          <w:b/>
        </w:rPr>
        <w:t xml:space="preserve"> reported the offender was </w:t>
      </w:r>
      <w:r>
        <w:rPr>
          <w:b/>
        </w:rPr>
        <w:t>their</w:t>
      </w:r>
      <w:r w:rsidRPr="00C353CD">
        <w:rPr>
          <w:b/>
        </w:rPr>
        <w:t xml:space="preserve"> sibling</w:t>
      </w:r>
      <w:r>
        <w:t xml:space="preserve"> (32.14% or 27 victims), and </w:t>
      </w:r>
      <w:r w:rsidRPr="00C353CD">
        <w:t xml:space="preserve">some </w:t>
      </w:r>
      <w:r w:rsidRPr="00C353CD">
        <w:rPr>
          <w:b/>
        </w:rPr>
        <w:t>other family member</w:t>
      </w:r>
      <w:r>
        <w:t xml:space="preserve"> (31.17% or 48 victims).</w:t>
      </w:r>
    </w:p>
    <w:p w14:paraId="1C69D5BD" w14:textId="77777777" w:rsidR="00A90ED5" w:rsidRDefault="00A90ED5" w:rsidP="000D1D92">
      <w:pPr>
        <w:pStyle w:val="ListParagraph"/>
        <w:numPr>
          <w:ilvl w:val="0"/>
          <w:numId w:val="57"/>
        </w:numPr>
        <w:jc w:val="both"/>
      </w:pPr>
      <w:r w:rsidRPr="004B70AB">
        <w:rPr>
          <w:b/>
        </w:rPr>
        <w:t>Female children aged 10 to 14 years</w:t>
      </w:r>
      <w:r w:rsidRPr="008C5B56">
        <w:t xml:space="preserve"> accounted for the largest proportion of child victims who</w:t>
      </w:r>
      <w:r w:rsidRPr="004B70AB">
        <w:rPr>
          <w:b/>
        </w:rPr>
        <w:t xml:space="preserve"> reported the offender was a non-family member known to the victim</w:t>
      </w:r>
      <w:r>
        <w:rPr>
          <w:b/>
        </w:rPr>
        <w:t xml:space="preserve"> </w:t>
      </w:r>
      <w:r>
        <w:t xml:space="preserve">(34.6% or 127 victims), and </w:t>
      </w:r>
      <w:r w:rsidRPr="004B70AB">
        <w:t>their</w:t>
      </w:r>
      <w:r w:rsidRPr="004B70AB">
        <w:rPr>
          <w:b/>
        </w:rPr>
        <w:t xml:space="preserve"> parent</w:t>
      </w:r>
      <w:r>
        <w:t xml:space="preserve"> (29.79% or 56 victims).</w:t>
      </w:r>
    </w:p>
    <w:p w14:paraId="233969D6" w14:textId="77777777" w:rsidR="00A90ED5" w:rsidRDefault="00A90ED5" w:rsidP="000D1D92">
      <w:pPr>
        <w:pStyle w:val="ListParagraph"/>
        <w:numPr>
          <w:ilvl w:val="0"/>
          <w:numId w:val="57"/>
        </w:numPr>
        <w:jc w:val="both"/>
      </w:pPr>
      <w:r w:rsidRPr="008B04EC">
        <w:rPr>
          <w:b/>
        </w:rPr>
        <w:t xml:space="preserve">Female children aged 15 to 17 years </w:t>
      </w:r>
      <w:r w:rsidRPr="004B70AB">
        <w:t>accounted for the largest proportion of child victims who</w:t>
      </w:r>
      <w:r w:rsidRPr="008B04EC">
        <w:rPr>
          <w:b/>
        </w:rPr>
        <w:t xml:space="preserve"> reported the offender was </w:t>
      </w:r>
      <w:r w:rsidRPr="004B70AB">
        <w:rPr>
          <w:b/>
        </w:rPr>
        <w:t>a</w:t>
      </w:r>
      <w:r>
        <w:t xml:space="preserve"> </w:t>
      </w:r>
      <w:r w:rsidRPr="008B04EC">
        <w:rPr>
          <w:b/>
        </w:rPr>
        <w:t>stranger</w:t>
      </w:r>
      <w:r>
        <w:t xml:space="preserve"> (83.33% or 15 victims) and their</w:t>
      </w:r>
      <w:r w:rsidRPr="008B04EC">
        <w:rPr>
          <w:b/>
        </w:rPr>
        <w:t xml:space="preserve"> partner</w:t>
      </w:r>
      <w:r>
        <w:t xml:space="preserve"> (57.32% or 47 victims).</w:t>
      </w:r>
    </w:p>
    <w:p w14:paraId="6C9DF6BB" w14:textId="77777777" w:rsidR="00A90ED5" w:rsidRPr="00626946" w:rsidRDefault="00A90ED5" w:rsidP="00A90ED5">
      <w:pPr>
        <w:jc w:val="both"/>
      </w:pPr>
      <w:r>
        <w:rPr>
          <w:noProof/>
        </w:rPr>
        <w:lastRenderedPageBreak/>
        <w:drawing>
          <wp:inline distT="0" distB="0" distL="0" distR="0" wp14:anchorId="239F0020" wp14:editId="25D4A40B">
            <wp:extent cx="5759450" cy="2883535"/>
            <wp:effectExtent l="0" t="0" r="12700" b="12065"/>
            <wp:docPr id="22" name="Chart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58"/>
              </a:graphicData>
            </a:graphic>
          </wp:inline>
        </w:drawing>
      </w:r>
    </w:p>
    <w:p w14:paraId="030F426C" w14:textId="52680909" w:rsidR="00A90ED5" w:rsidRPr="00243307" w:rsidRDefault="00E51B5E" w:rsidP="00E51B5E">
      <w:pPr>
        <w:pStyle w:val="Heading4"/>
        <w:numPr>
          <w:ilvl w:val="0"/>
          <w:numId w:val="0"/>
        </w:numPr>
        <w:ind w:left="851" w:hanging="851"/>
      </w:pPr>
      <w:bookmarkStart w:id="242" w:name="_Toc430168461"/>
      <w:bookmarkStart w:id="243" w:name="_Toc432144058"/>
      <w:r>
        <w:t xml:space="preserve">8.2.2 </w:t>
      </w:r>
      <w:r w:rsidR="00A90ED5" w:rsidRPr="00243307">
        <w:t>Queensland data about child victims of sexual assault in a residential location</w:t>
      </w:r>
      <w:bookmarkEnd w:id="242"/>
      <w:bookmarkEnd w:id="243"/>
    </w:p>
    <w:p w14:paraId="7B73DEA8" w14:textId="77777777" w:rsidR="00A90ED5" w:rsidRDefault="00A90ED5" w:rsidP="00A90ED5">
      <w:pPr>
        <w:jc w:val="both"/>
      </w:pPr>
      <w:r>
        <w:t xml:space="preserve">In Queensland between 2010 and 2013 there were </w:t>
      </w:r>
      <w:r>
        <w:rPr>
          <w:b/>
        </w:rPr>
        <w:t>7,727</w:t>
      </w:r>
      <w:r w:rsidRPr="00302855">
        <w:rPr>
          <w:b/>
        </w:rPr>
        <w:t xml:space="preserve"> </w:t>
      </w:r>
      <w:r>
        <w:rPr>
          <w:b/>
        </w:rPr>
        <w:t xml:space="preserve">police recorded </w:t>
      </w:r>
      <w:r w:rsidRPr="00302855">
        <w:rPr>
          <w:b/>
        </w:rPr>
        <w:t xml:space="preserve">child victims of </w:t>
      </w:r>
      <w:r>
        <w:rPr>
          <w:b/>
        </w:rPr>
        <w:t xml:space="preserve">sexual </w:t>
      </w:r>
      <w:r w:rsidRPr="00302855">
        <w:rPr>
          <w:b/>
        </w:rPr>
        <w:t>assault</w:t>
      </w:r>
      <w:r>
        <w:rPr>
          <w:b/>
        </w:rPr>
        <w:t xml:space="preserve"> in a residential location</w:t>
      </w:r>
      <w:r>
        <w:t xml:space="preserve">: </w:t>
      </w:r>
    </w:p>
    <w:p w14:paraId="2731C06E" w14:textId="77777777" w:rsidR="00A90ED5" w:rsidRPr="00912180" w:rsidRDefault="00A90ED5" w:rsidP="000D1D92">
      <w:pPr>
        <w:pStyle w:val="ListParagraph"/>
        <w:numPr>
          <w:ilvl w:val="0"/>
          <w:numId w:val="51"/>
        </w:numPr>
        <w:jc w:val="both"/>
      </w:pPr>
      <w:r w:rsidRPr="009709A5">
        <w:rPr>
          <w:b/>
        </w:rPr>
        <w:t>Aboriginal and Torres Strait Islander children accounted for 11.</w:t>
      </w:r>
      <w:r>
        <w:rPr>
          <w:b/>
        </w:rPr>
        <w:t>32</w:t>
      </w:r>
      <w:r w:rsidRPr="009709A5">
        <w:rPr>
          <w:b/>
        </w:rPr>
        <w:t>%</w:t>
      </w:r>
      <w:r w:rsidRPr="00912180">
        <w:t xml:space="preserve"> or </w:t>
      </w:r>
      <w:r>
        <w:t>875</w:t>
      </w:r>
      <w:r w:rsidRPr="00912180">
        <w:t xml:space="preserve"> victims</w:t>
      </w:r>
    </w:p>
    <w:p w14:paraId="3AB00E02" w14:textId="77777777" w:rsidR="00A90ED5" w:rsidRPr="00912180" w:rsidRDefault="00A90ED5" w:rsidP="000D1D92">
      <w:pPr>
        <w:pStyle w:val="ListParagraph"/>
        <w:numPr>
          <w:ilvl w:val="0"/>
          <w:numId w:val="51"/>
        </w:numPr>
        <w:jc w:val="both"/>
      </w:pPr>
      <w:r w:rsidRPr="009709A5">
        <w:rPr>
          <w:b/>
        </w:rPr>
        <w:t>Non-Indigenous children accounted for 67.</w:t>
      </w:r>
      <w:r>
        <w:rPr>
          <w:b/>
        </w:rPr>
        <w:t>21</w:t>
      </w:r>
      <w:r w:rsidRPr="009709A5">
        <w:rPr>
          <w:b/>
        </w:rPr>
        <w:t>%</w:t>
      </w:r>
      <w:r w:rsidRPr="00912180">
        <w:t xml:space="preserve"> or </w:t>
      </w:r>
      <w:r>
        <w:t>5,194</w:t>
      </w:r>
      <w:r w:rsidRPr="00912180">
        <w:t xml:space="preserve"> victims</w:t>
      </w:r>
    </w:p>
    <w:p w14:paraId="0F163899" w14:textId="77777777" w:rsidR="00A90ED5" w:rsidRDefault="00A90ED5" w:rsidP="000D1D92">
      <w:pPr>
        <w:pStyle w:val="ListParagraph"/>
        <w:numPr>
          <w:ilvl w:val="0"/>
          <w:numId w:val="51"/>
        </w:numPr>
        <w:jc w:val="both"/>
      </w:pPr>
      <w:r w:rsidRPr="009709A5">
        <w:rPr>
          <w:b/>
        </w:rPr>
        <w:t>The Indigenous status was unknown for 2</w:t>
      </w:r>
      <w:r>
        <w:rPr>
          <w:b/>
        </w:rPr>
        <w:t>1</w:t>
      </w:r>
      <w:r w:rsidRPr="009709A5">
        <w:rPr>
          <w:b/>
        </w:rPr>
        <w:t>.</w:t>
      </w:r>
      <w:r>
        <w:rPr>
          <w:b/>
        </w:rPr>
        <w:t>45</w:t>
      </w:r>
      <w:r w:rsidRPr="009709A5">
        <w:rPr>
          <w:b/>
        </w:rPr>
        <w:t>%</w:t>
      </w:r>
      <w:r w:rsidRPr="004B70AB">
        <w:t xml:space="preserve"> of children</w:t>
      </w:r>
      <w:r w:rsidRPr="00912180">
        <w:t xml:space="preserve"> or </w:t>
      </w:r>
      <w:r>
        <w:t>1,658</w:t>
      </w:r>
      <w:r w:rsidRPr="00912180">
        <w:t xml:space="preserve"> child victims</w:t>
      </w:r>
      <w:r>
        <w:t>.</w:t>
      </w:r>
    </w:p>
    <w:p w14:paraId="6285FF33" w14:textId="77777777" w:rsidR="00A90ED5" w:rsidRPr="00E51B5E" w:rsidRDefault="00A90ED5" w:rsidP="00E51B5E">
      <w:pPr>
        <w:rPr>
          <w:u w:val="single"/>
        </w:rPr>
      </w:pPr>
      <w:r w:rsidRPr="00E51B5E">
        <w:rPr>
          <w:u w:val="single"/>
        </w:rPr>
        <w:t>Aboriginal and Torres Strait Islander children were victims of sexual assault in a residential location</w:t>
      </w:r>
    </w:p>
    <w:p w14:paraId="499C3B84" w14:textId="77777777" w:rsidR="00A90ED5" w:rsidRDefault="00A90ED5" w:rsidP="00A90ED5">
      <w:pPr>
        <w:jc w:val="both"/>
      </w:pPr>
      <w:r>
        <w:t xml:space="preserve">In Queensland between 2010 and 2013 there were </w:t>
      </w:r>
      <w:r>
        <w:rPr>
          <w:b/>
        </w:rPr>
        <w:t>875</w:t>
      </w:r>
      <w:r w:rsidRPr="00205389">
        <w:rPr>
          <w:b/>
        </w:rPr>
        <w:t xml:space="preserve"> </w:t>
      </w:r>
      <w:r>
        <w:rPr>
          <w:b/>
        </w:rPr>
        <w:t xml:space="preserve">police recorded </w:t>
      </w:r>
      <w:r w:rsidRPr="00205389">
        <w:rPr>
          <w:b/>
        </w:rPr>
        <w:t>Aboriginal and Torres Strait I</w:t>
      </w:r>
      <w:r>
        <w:rPr>
          <w:b/>
        </w:rPr>
        <w:t>slander child victims of sexual assault in a residential location</w:t>
      </w:r>
      <w:r>
        <w:t>:</w:t>
      </w:r>
    </w:p>
    <w:p w14:paraId="09A417B0" w14:textId="77777777" w:rsidR="00A90ED5" w:rsidRDefault="00A90ED5" w:rsidP="000D1D92">
      <w:pPr>
        <w:pStyle w:val="ListParagraph"/>
        <w:numPr>
          <w:ilvl w:val="0"/>
          <w:numId w:val="59"/>
        </w:numPr>
        <w:jc w:val="both"/>
      </w:pPr>
      <w:r w:rsidRPr="009709A5">
        <w:rPr>
          <w:b/>
        </w:rPr>
        <w:t xml:space="preserve">Non-family members </w:t>
      </w:r>
      <w:r>
        <w:rPr>
          <w:b/>
        </w:rPr>
        <w:t xml:space="preserve">known to the victim </w:t>
      </w:r>
      <w:r w:rsidRPr="009709A5">
        <w:rPr>
          <w:b/>
        </w:rPr>
        <w:t>accounted for the largest proportion of offenders</w:t>
      </w:r>
      <w:r w:rsidRPr="007446FB">
        <w:t xml:space="preserve"> (</w:t>
      </w:r>
      <w:r>
        <w:t>38.04</w:t>
      </w:r>
      <w:r w:rsidRPr="007446FB">
        <w:t xml:space="preserve">% or </w:t>
      </w:r>
      <w:r>
        <w:t>326</w:t>
      </w:r>
      <w:r w:rsidRPr="007446FB">
        <w:t xml:space="preserve"> victims), followed </w:t>
      </w:r>
      <w:r w:rsidRPr="009709A5">
        <w:t>by</w:t>
      </w:r>
      <w:r w:rsidRPr="009709A5">
        <w:rPr>
          <w:b/>
        </w:rPr>
        <w:t xml:space="preserve"> other family members</w:t>
      </w:r>
      <w:r w:rsidRPr="007446FB">
        <w:t xml:space="preserve"> (</w:t>
      </w:r>
      <w:r>
        <w:t>25.2</w:t>
      </w:r>
      <w:r w:rsidRPr="007446FB">
        <w:t xml:space="preserve">% or </w:t>
      </w:r>
      <w:r>
        <w:t>216</w:t>
      </w:r>
      <w:r w:rsidRPr="007446FB">
        <w:t xml:space="preserve"> victims), then </w:t>
      </w:r>
      <w:r w:rsidRPr="009709A5">
        <w:rPr>
          <w:b/>
        </w:rPr>
        <w:t>strangers</w:t>
      </w:r>
      <w:r>
        <w:t xml:space="preserve"> (17.85% or 153 victims), then </w:t>
      </w:r>
      <w:r w:rsidRPr="009709A5">
        <w:rPr>
          <w:b/>
        </w:rPr>
        <w:t>parents</w:t>
      </w:r>
      <w:r>
        <w:t xml:space="preserve"> (10.04% or 86 victims), and then </w:t>
      </w:r>
      <w:r w:rsidRPr="009709A5">
        <w:rPr>
          <w:b/>
        </w:rPr>
        <w:t>partners</w:t>
      </w:r>
      <w:r>
        <w:t xml:space="preserve"> (8.87% or 76 victims).</w:t>
      </w:r>
    </w:p>
    <w:p w14:paraId="772D8184" w14:textId="77777777" w:rsidR="00A90ED5" w:rsidRDefault="00A90ED5" w:rsidP="000D1D92">
      <w:pPr>
        <w:pStyle w:val="ListParagraph"/>
        <w:numPr>
          <w:ilvl w:val="0"/>
          <w:numId w:val="59"/>
        </w:numPr>
        <w:jc w:val="both"/>
      </w:pPr>
      <w:r w:rsidRPr="009709A5">
        <w:rPr>
          <w:b/>
        </w:rPr>
        <w:t xml:space="preserve">Female children aged 10 to 14 years </w:t>
      </w:r>
      <w:r w:rsidRPr="004B70AB">
        <w:t>accounted for the largest proportion of child victims who</w:t>
      </w:r>
      <w:r w:rsidRPr="009709A5">
        <w:rPr>
          <w:b/>
        </w:rPr>
        <w:t xml:space="preserve"> reported the offender was </w:t>
      </w:r>
      <w:r>
        <w:rPr>
          <w:b/>
        </w:rPr>
        <w:t>their</w:t>
      </w:r>
      <w:r w:rsidRPr="009709A5">
        <w:rPr>
          <w:b/>
        </w:rPr>
        <w:t xml:space="preserve"> parent</w:t>
      </w:r>
      <w:r>
        <w:t xml:space="preserve"> (50% or 43 victims), a </w:t>
      </w:r>
      <w:r w:rsidRPr="009709A5">
        <w:rPr>
          <w:b/>
        </w:rPr>
        <w:t>non-family member known to the victim</w:t>
      </w:r>
      <w:r>
        <w:t xml:space="preserve"> (42.64% or 139 victims) </w:t>
      </w:r>
      <w:r w:rsidRPr="004B70AB">
        <w:t>some</w:t>
      </w:r>
      <w:r w:rsidRPr="009709A5">
        <w:rPr>
          <w:b/>
        </w:rPr>
        <w:t xml:space="preserve"> other family member</w:t>
      </w:r>
      <w:r>
        <w:t xml:space="preserve"> (41.67% or 90 victims), and a </w:t>
      </w:r>
      <w:r w:rsidRPr="009709A5">
        <w:rPr>
          <w:b/>
        </w:rPr>
        <w:t>stranger</w:t>
      </w:r>
      <w:r>
        <w:t xml:space="preserve"> (41.18% or 63 victims).</w:t>
      </w:r>
    </w:p>
    <w:p w14:paraId="27CEA934" w14:textId="77777777" w:rsidR="00A90ED5" w:rsidRDefault="00A90ED5" w:rsidP="000D1D92">
      <w:pPr>
        <w:pStyle w:val="ListParagraph"/>
        <w:numPr>
          <w:ilvl w:val="0"/>
          <w:numId w:val="59"/>
        </w:numPr>
        <w:jc w:val="both"/>
      </w:pPr>
      <w:r w:rsidRPr="00F35998">
        <w:rPr>
          <w:b/>
        </w:rPr>
        <w:t>Female children aged 15 to 17 years a</w:t>
      </w:r>
      <w:r w:rsidRPr="004B70AB">
        <w:t>ccounted for the largest proportion of child victims who</w:t>
      </w:r>
      <w:r w:rsidRPr="00F35998">
        <w:rPr>
          <w:b/>
        </w:rPr>
        <w:t xml:space="preserve"> reported the offender was </w:t>
      </w:r>
      <w:r>
        <w:rPr>
          <w:b/>
        </w:rPr>
        <w:t>their</w:t>
      </w:r>
      <w:r w:rsidRPr="00F35998">
        <w:rPr>
          <w:b/>
        </w:rPr>
        <w:t xml:space="preserve"> partner</w:t>
      </w:r>
      <w:r>
        <w:t xml:space="preserve"> (48.68% or 37 victims).</w:t>
      </w:r>
    </w:p>
    <w:p w14:paraId="3E3DFA4B" w14:textId="77777777" w:rsidR="00A90ED5" w:rsidRPr="00626946" w:rsidRDefault="00A90ED5" w:rsidP="00A90ED5">
      <w:pPr>
        <w:jc w:val="both"/>
      </w:pPr>
      <w:r>
        <w:rPr>
          <w:noProof/>
        </w:rPr>
        <w:lastRenderedPageBreak/>
        <w:drawing>
          <wp:inline distT="0" distB="0" distL="0" distR="0" wp14:anchorId="69A5FA5B" wp14:editId="1F827663">
            <wp:extent cx="5759450" cy="3166745"/>
            <wp:effectExtent l="0" t="0" r="12700" b="14605"/>
            <wp:docPr id="24" name="Chart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59"/>
              </a:graphicData>
            </a:graphic>
          </wp:inline>
        </w:drawing>
      </w:r>
    </w:p>
    <w:p w14:paraId="6AB7F73F" w14:textId="77777777" w:rsidR="00A90ED5" w:rsidRPr="00E51B5E" w:rsidRDefault="00A90ED5" w:rsidP="00E51B5E">
      <w:pPr>
        <w:rPr>
          <w:u w:val="single"/>
        </w:rPr>
      </w:pPr>
      <w:r w:rsidRPr="00E51B5E">
        <w:rPr>
          <w:u w:val="single"/>
        </w:rPr>
        <w:t>Non-Indigenous children who were victims of sexual assault in a residential location</w:t>
      </w:r>
    </w:p>
    <w:p w14:paraId="2E950A39" w14:textId="77777777" w:rsidR="00A90ED5" w:rsidRDefault="00A90ED5" w:rsidP="00A90ED5">
      <w:pPr>
        <w:jc w:val="both"/>
      </w:pPr>
      <w:r>
        <w:t xml:space="preserve">In Queensland between 2010 and 2013 there were </w:t>
      </w:r>
      <w:r>
        <w:rPr>
          <w:b/>
        </w:rPr>
        <w:t>5,194</w:t>
      </w:r>
      <w:r w:rsidRPr="000A74F5">
        <w:rPr>
          <w:b/>
        </w:rPr>
        <w:t xml:space="preserve"> </w:t>
      </w:r>
      <w:r>
        <w:rPr>
          <w:b/>
        </w:rPr>
        <w:t xml:space="preserve">police recorded </w:t>
      </w:r>
      <w:r w:rsidRPr="000A74F5">
        <w:rPr>
          <w:b/>
        </w:rPr>
        <w:t xml:space="preserve">non-Indigenous child victims of </w:t>
      </w:r>
      <w:r>
        <w:rPr>
          <w:b/>
        </w:rPr>
        <w:t xml:space="preserve">sexual </w:t>
      </w:r>
      <w:r w:rsidRPr="000A74F5">
        <w:rPr>
          <w:b/>
        </w:rPr>
        <w:t>assault</w:t>
      </w:r>
      <w:r>
        <w:rPr>
          <w:b/>
        </w:rPr>
        <w:t xml:space="preserve"> in a residential location</w:t>
      </w:r>
      <w:r w:rsidRPr="000A74F5">
        <w:t>:</w:t>
      </w:r>
    </w:p>
    <w:p w14:paraId="26B5FA7C" w14:textId="77777777" w:rsidR="00A90ED5" w:rsidRDefault="00A90ED5" w:rsidP="000D1D92">
      <w:pPr>
        <w:pStyle w:val="ListParagraph"/>
        <w:numPr>
          <w:ilvl w:val="0"/>
          <w:numId w:val="60"/>
        </w:numPr>
        <w:jc w:val="both"/>
      </w:pPr>
      <w:r w:rsidRPr="00A14853">
        <w:rPr>
          <w:b/>
        </w:rPr>
        <w:t>Non-family members accounted for the largest proportion of offenders</w:t>
      </w:r>
      <w:r w:rsidRPr="007446FB">
        <w:t xml:space="preserve"> (</w:t>
      </w:r>
      <w:r>
        <w:t>42.08</w:t>
      </w:r>
      <w:r w:rsidRPr="007446FB">
        <w:t xml:space="preserve">% or </w:t>
      </w:r>
      <w:r>
        <w:t>2,186</w:t>
      </w:r>
      <w:r w:rsidRPr="007446FB">
        <w:t xml:space="preserve"> victims), followed by </w:t>
      </w:r>
      <w:r w:rsidRPr="00A14853">
        <w:rPr>
          <w:b/>
        </w:rPr>
        <w:t>other family members</w:t>
      </w:r>
      <w:r w:rsidRPr="007446FB">
        <w:t xml:space="preserve"> (</w:t>
      </w:r>
      <w:r>
        <w:t>20.85</w:t>
      </w:r>
      <w:r w:rsidRPr="007446FB">
        <w:t xml:space="preserve">% or </w:t>
      </w:r>
      <w:r>
        <w:t>1,083</w:t>
      </w:r>
      <w:r w:rsidRPr="007446FB">
        <w:t xml:space="preserve"> victims), then </w:t>
      </w:r>
      <w:r w:rsidRPr="00A14853">
        <w:rPr>
          <w:b/>
        </w:rPr>
        <w:t>parents</w:t>
      </w:r>
      <w:r>
        <w:t xml:space="preserve"> (15.32% or 796 victims), then </w:t>
      </w:r>
      <w:r w:rsidRPr="00A14853">
        <w:rPr>
          <w:b/>
        </w:rPr>
        <w:t>strangers</w:t>
      </w:r>
      <w:r>
        <w:t xml:space="preserve"> (14.92% or 775 victims), and then </w:t>
      </w:r>
      <w:r w:rsidRPr="00A14853">
        <w:rPr>
          <w:b/>
        </w:rPr>
        <w:t>partners</w:t>
      </w:r>
      <w:r>
        <w:t xml:space="preserve"> (4.96% or 258 victims).</w:t>
      </w:r>
    </w:p>
    <w:p w14:paraId="2E572F5B" w14:textId="77777777" w:rsidR="00A90ED5" w:rsidRDefault="00A90ED5" w:rsidP="000D1D92">
      <w:pPr>
        <w:pStyle w:val="ListParagraph"/>
        <w:numPr>
          <w:ilvl w:val="0"/>
          <w:numId w:val="60"/>
        </w:numPr>
        <w:jc w:val="both"/>
      </w:pPr>
      <w:r w:rsidRPr="00A14853">
        <w:rPr>
          <w:b/>
        </w:rPr>
        <w:t xml:space="preserve">Female children aged 0 to 9 years </w:t>
      </w:r>
      <w:r w:rsidRPr="00CB3424">
        <w:t xml:space="preserve">accounted for the largest proportion of child victims who </w:t>
      </w:r>
      <w:r w:rsidRPr="00A14853">
        <w:rPr>
          <w:b/>
        </w:rPr>
        <w:t>reported the offender was some other family member</w:t>
      </w:r>
      <w:r>
        <w:t xml:space="preserve"> (31.76% or 344 victims).</w:t>
      </w:r>
    </w:p>
    <w:p w14:paraId="61C07466" w14:textId="77777777" w:rsidR="00A90ED5" w:rsidRDefault="00A90ED5" w:rsidP="000D1D92">
      <w:pPr>
        <w:pStyle w:val="ListParagraph"/>
        <w:numPr>
          <w:ilvl w:val="0"/>
          <w:numId w:val="59"/>
        </w:numPr>
        <w:jc w:val="both"/>
      </w:pPr>
      <w:r w:rsidRPr="00A14853">
        <w:rPr>
          <w:b/>
        </w:rPr>
        <w:t xml:space="preserve">Female children aged 10 to 14 </w:t>
      </w:r>
      <w:r w:rsidRPr="00CB3424">
        <w:t xml:space="preserve">years accounted for the largest proportion of child victims who </w:t>
      </w:r>
      <w:r w:rsidRPr="00A14853">
        <w:rPr>
          <w:b/>
        </w:rPr>
        <w:t xml:space="preserve">reported the offender was </w:t>
      </w:r>
      <w:r w:rsidRPr="00CB3424">
        <w:rPr>
          <w:b/>
        </w:rPr>
        <w:t>a</w:t>
      </w:r>
      <w:r>
        <w:t xml:space="preserve"> </w:t>
      </w:r>
      <w:r w:rsidRPr="00A14853">
        <w:rPr>
          <w:b/>
        </w:rPr>
        <w:t>stranger</w:t>
      </w:r>
      <w:r>
        <w:t xml:space="preserve"> (39.87% or 309 victims)</w:t>
      </w:r>
      <w:r w:rsidRPr="00CB3424">
        <w:t xml:space="preserve"> </w:t>
      </w:r>
      <w:r>
        <w:t xml:space="preserve">a </w:t>
      </w:r>
      <w:r w:rsidRPr="00A14853">
        <w:rPr>
          <w:b/>
        </w:rPr>
        <w:t>non-family member known to the victim</w:t>
      </w:r>
      <w:r>
        <w:t xml:space="preserve"> (35.36% or 773 victims) and their </w:t>
      </w:r>
      <w:r w:rsidRPr="00A14853">
        <w:rPr>
          <w:b/>
        </w:rPr>
        <w:t>parent</w:t>
      </w:r>
      <w:r>
        <w:t xml:space="preserve"> (33.79% or 269 victims).</w:t>
      </w:r>
    </w:p>
    <w:p w14:paraId="2F3E4BB1" w14:textId="77777777" w:rsidR="00A90ED5" w:rsidRDefault="00A90ED5" w:rsidP="000D1D92">
      <w:pPr>
        <w:pStyle w:val="ListParagraph"/>
        <w:numPr>
          <w:ilvl w:val="0"/>
          <w:numId w:val="59"/>
        </w:numPr>
        <w:jc w:val="both"/>
      </w:pPr>
      <w:r w:rsidRPr="00A14853">
        <w:rPr>
          <w:b/>
        </w:rPr>
        <w:t xml:space="preserve">Female children aged 15 to 17 years </w:t>
      </w:r>
      <w:r w:rsidRPr="00CB3424">
        <w:t>accounted for the largest proportion of child victims who</w:t>
      </w:r>
      <w:r w:rsidRPr="00A14853">
        <w:rPr>
          <w:b/>
        </w:rPr>
        <w:t xml:space="preserve"> reported the offender was a partner</w:t>
      </w:r>
      <w:r>
        <w:t xml:space="preserve"> (60.47% or 156 victims).</w:t>
      </w:r>
    </w:p>
    <w:p w14:paraId="03EA8897" w14:textId="77777777" w:rsidR="00A90ED5" w:rsidRPr="00626946" w:rsidRDefault="00A90ED5" w:rsidP="00A90ED5">
      <w:pPr>
        <w:jc w:val="both"/>
      </w:pPr>
      <w:r>
        <w:rPr>
          <w:noProof/>
        </w:rPr>
        <w:lastRenderedPageBreak/>
        <w:drawing>
          <wp:inline distT="0" distB="0" distL="0" distR="0" wp14:anchorId="6B047B12" wp14:editId="25F249D7">
            <wp:extent cx="5759450" cy="3166745"/>
            <wp:effectExtent l="0" t="0" r="12700" b="14605"/>
            <wp:docPr id="25" name="Chart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inline>
        </w:drawing>
      </w:r>
      <w:r w:rsidRPr="00BC406B">
        <w:rPr>
          <w:highlight w:val="yellow"/>
        </w:rPr>
        <w:t xml:space="preserve"> </w:t>
      </w:r>
    </w:p>
    <w:p w14:paraId="5786C0AD" w14:textId="77777777" w:rsidR="00A90ED5" w:rsidRPr="00E51B5E" w:rsidRDefault="00A90ED5" w:rsidP="00E51B5E">
      <w:pPr>
        <w:rPr>
          <w:u w:val="single"/>
        </w:rPr>
      </w:pPr>
      <w:r w:rsidRPr="00E51B5E">
        <w:rPr>
          <w:u w:val="single"/>
        </w:rPr>
        <w:t>Aboriginal and Torres Strait Islander status unknown for child victims of sexual assault in a residential location</w:t>
      </w:r>
    </w:p>
    <w:p w14:paraId="679A930C" w14:textId="77777777" w:rsidR="00A90ED5" w:rsidRDefault="00A90ED5" w:rsidP="00A90ED5">
      <w:pPr>
        <w:jc w:val="both"/>
      </w:pPr>
      <w:r>
        <w:t xml:space="preserve">In Queensland between 2010 and 2013 there were </w:t>
      </w:r>
      <w:r>
        <w:rPr>
          <w:b/>
        </w:rPr>
        <w:t>1,658</w:t>
      </w:r>
      <w:r w:rsidRPr="00205389">
        <w:rPr>
          <w:b/>
        </w:rPr>
        <w:t xml:space="preserve"> </w:t>
      </w:r>
      <w:r>
        <w:rPr>
          <w:b/>
        </w:rPr>
        <w:t>police recorded child victims of sexual assault with Indigenous status unknown in a residential location</w:t>
      </w:r>
      <w:r>
        <w:t>:</w:t>
      </w:r>
    </w:p>
    <w:p w14:paraId="30082A46" w14:textId="77777777" w:rsidR="00A90ED5" w:rsidRDefault="00A90ED5" w:rsidP="000D1D92">
      <w:pPr>
        <w:pStyle w:val="ListParagraph"/>
        <w:numPr>
          <w:ilvl w:val="0"/>
          <w:numId w:val="60"/>
        </w:numPr>
        <w:jc w:val="both"/>
      </w:pPr>
      <w:r w:rsidRPr="0096285F">
        <w:rPr>
          <w:b/>
        </w:rPr>
        <w:t>Non-family members accounted for the largest proportion of offenders</w:t>
      </w:r>
      <w:r w:rsidRPr="007446FB">
        <w:t xml:space="preserve"> (</w:t>
      </w:r>
      <w:r>
        <w:t>32.14</w:t>
      </w:r>
      <w:r w:rsidRPr="007446FB">
        <w:t xml:space="preserve">% or </w:t>
      </w:r>
      <w:r>
        <w:t>533</w:t>
      </w:r>
      <w:r w:rsidRPr="007446FB">
        <w:t xml:space="preserve"> victims), followed </w:t>
      </w:r>
      <w:r w:rsidRPr="0096285F">
        <w:t>by</w:t>
      </w:r>
      <w:r w:rsidRPr="0096285F">
        <w:rPr>
          <w:b/>
        </w:rPr>
        <w:t xml:space="preserve"> other family members</w:t>
      </w:r>
      <w:r w:rsidRPr="007446FB">
        <w:t xml:space="preserve"> (</w:t>
      </w:r>
      <w:r>
        <w:t>21.83</w:t>
      </w:r>
      <w:r w:rsidRPr="007446FB">
        <w:t xml:space="preserve">% or </w:t>
      </w:r>
      <w:r>
        <w:t>362</w:t>
      </w:r>
      <w:r w:rsidRPr="007446FB">
        <w:t xml:space="preserve"> victims), then </w:t>
      </w:r>
      <w:r w:rsidRPr="0096285F">
        <w:rPr>
          <w:b/>
        </w:rPr>
        <w:t>strangers</w:t>
      </w:r>
      <w:r>
        <w:t xml:space="preserve"> (18.09% or 300 victims), then </w:t>
      </w:r>
      <w:r w:rsidRPr="0096285F">
        <w:rPr>
          <w:b/>
        </w:rPr>
        <w:t>parents</w:t>
      </w:r>
      <w:r>
        <w:t xml:space="preserve"> (17.79% or 295 victims), and then </w:t>
      </w:r>
      <w:r w:rsidRPr="0096285F">
        <w:rPr>
          <w:b/>
        </w:rPr>
        <w:t>partners</w:t>
      </w:r>
      <w:r>
        <w:t xml:space="preserve"> (3.86% or 64 victims).</w:t>
      </w:r>
    </w:p>
    <w:p w14:paraId="444A7D05" w14:textId="77777777" w:rsidR="00A90ED5" w:rsidRDefault="00A90ED5" w:rsidP="000D1D92">
      <w:pPr>
        <w:pStyle w:val="ListParagraph"/>
        <w:numPr>
          <w:ilvl w:val="0"/>
          <w:numId w:val="60"/>
        </w:numPr>
        <w:jc w:val="both"/>
      </w:pPr>
      <w:r w:rsidRPr="0096285F">
        <w:rPr>
          <w:b/>
        </w:rPr>
        <w:t xml:space="preserve">Female children aged 0 to 9 </w:t>
      </w:r>
      <w:r w:rsidRPr="00CB3424">
        <w:t>years accounted for the largest proportion of child victims who</w:t>
      </w:r>
      <w:r w:rsidRPr="0096285F">
        <w:rPr>
          <w:b/>
        </w:rPr>
        <w:t xml:space="preserve"> reported the offender was </w:t>
      </w:r>
      <w:r w:rsidRPr="00CB3424">
        <w:rPr>
          <w:b/>
        </w:rPr>
        <w:t>some</w:t>
      </w:r>
      <w:r>
        <w:t xml:space="preserve"> </w:t>
      </w:r>
      <w:r w:rsidRPr="0096285F">
        <w:rPr>
          <w:b/>
        </w:rPr>
        <w:t>other family member</w:t>
      </w:r>
      <w:r>
        <w:t xml:space="preserve"> (42.82% or 155 victims) and their</w:t>
      </w:r>
      <w:r w:rsidRPr="0096285F">
        <w:rPr>
          <w:b/>
        </w:rPr>
        <w:t xml:space="preserve"> parent</w:t>
      </w:r>
      <w:r>
        <w:t xml:space="preserve"> (37.29% or 110 victims). </w:t>
      </w:r>
    </w:p>
    <w:p w14:paraId="78AB0E7E" w14:textId="77777777" w:rsidR="00A90ED5" w:rsidRDefault="00A90ED5" w:rsidP="000D1D92">
      <w:pPr>
        <w:pStyle w:val="ListParagraph"/>
        <w:numPr>
          <w:ilvl w:val="0"/>
          <w:numId w:val="60"/>
        </w:numPr>
        <w:jc w:val="both"/>
      </w:pPr>
      <w:r w:rsidRPr="0096285F">
        <w:rPr>
          <w:b/>
        </w:rPr>
        <w:t xml:space="preserve">Female children aged 10 to 14 years </w:t>
      </w:r>
      <w:r w:rsidRPr="00CB3424">
        <w:t xml:space="preserve">accounted for the largest proportion of child victims who </w:t>
      </w:r>
      <w:r w:rsidRPr="0096285F">
        <w:rPr>
          <w:b/>
        </w:rPr>
        <w:t>reported the offender was a non-family member</w:t>
      </w:r>
      <w:r>
        <w:t xml:space="preserve"> (31.89% or 170 victims), and a </w:t>
      </w:r>
      <w:r w:rsidRPr="0096285F">
        <w:rPr>
          <w:b/>
        </w:rPr>
        <w:t>stranger</w:t>
      </w:r>
      <w:r>
        <w:t xml:space="preserve"> (30.33% or 91 victims).</w:t>
      </w:r>
    </w:p>
    <w:p w14:paraId="5557E445" w14:textId="77777777" w:rsidR="00A90ED5" w:rsidRDefault="00A90ED5" w:rsidP="000D1D92">
      <w:pPr>
        <w:pStyle w:val="ListParagraph"/>
        <w:numPr>
          <w:ilvl w:val="0"/>
          <w:numId w:val="60"/>
        </w:numPr>
        <w:jc w:val="both"/>
      </w:pPr>
      <w:r w:rsidRPr="0096285F">
        <w:rPr>
          <w:b/>
        </w:rPr>
        <w:t xml:space="preserve">Female children aged 15 to 17 years </w:t>
      </w:r>
      <w:r w:rsidRPr="00CB3424">
        <w:t>accounted for the largest proportion of child victims who</w:t>
      </w:r>
      <w:r w:rsidRPr="0096285F">
        <w:rPr>
          <w:b/>
        </w:rPr>
        <w:t xml:space="preserve"> reported the offender was a partner</w:t>
      </w:r>
      <w:r>
        <w:t xml:space="preserve"> (59.38% or 38 victims).</w:t>
      </w:r>
    </w:p>
    <w:p w14:paraId="27DD0582" w14:textId="77777777" w:rsidR="00A90ED5" w:rsidRPr="00626946" w:rsidRDefault="00A90ED5" w:rsidP="00A90ED5">
      <w:pPr>
        <w:jc w:val="both"/>
      </w:pPr>
      <w:r>
        <w:rPr>
          <w:noProof/>
        </w:rPr>
        <w:lastRenderedPageBreak/>
        <w:drawing>
          <wp:inline distT="0" distB="0" distL="0" distR="0" wp14:anchorId="5B0790F3" wp14:editId="4C509DEE">
            <wp:extent cx="5759450" cy="3166745"/>
            <wp:effectExtent l="0" t="0" r="12700" b="14605"/>
            <wp:docPr id="26" name="Chart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r w:rsidRPr="00BC406B">
        <w:rPr>
          <w:highlight w:val="yellow"/>
        </w:rPr>
        <w:t xml:space="preserve"> </w:t>
      </w:r>
    </w:p>
    <w:p w14:paraId="652908EB" w14:textId="30914FE1" w:rsidR="00A90ED5" w:rsidRPr="00243307" w:rsidRDefault="00E51B5E" w:rsidP="00E51B5E">
      <w:pPr>
        <w:pStyle w:val="Heading4"/>
        <w:numPr>
          <w:ilvl w:val="0"/>
          <w:numId w:val="0"/>
        </w:numPr>
        <w:ind w:left="851" w:hanging="851"/>
      </w:pPr>
      <w:bookmarkStart w:id="244" w:name="_Toc430168462"/>
      <w:bookmarkStart w:id="245" w:name="_Toc432144059"/>
      <w:r>
        <w:t xml:space="preserve">8.2.3 </w:t>
      </w:r>
      <w:r w:rsidR="00A90ED5" w:rsidRPr="00243307">
        <w:t>Victoria data about child victims of sexual assault in a residential location</w:t>
      </w:r>
      <w:bookmarkEnd w:id="244"/>
      <w:bookmarkEnd w:id="245"/>
    </w:p>
    <w:p w14:paraId="7247FE27" w14:textId="77777777" w:rsidR="00A90ED5" w:rsidRDefault="00A90ED5" w:rsidP="00A90ED5">
      <w:pPr>
        <w:jc w:val="both"/>
      </w:pPr>
      <w:r>
        <w:t>In Victoria</w:t>
      </w:r>
      <w:r w:rsidRPr="00677892">
        <w:t xml:space="preserve"> </w:t>
      </w:r>
      <w:r>
        <w:t xml:space="preserve">between 2010 and 2013 there were </w:t>
      </w:r>
      <w:r>
        <w:rPr>
          <w:b/>
        </w:rPr>
        <w:t>4,864</w:t>
      </w:r>
      <w:r w:rsidRPr="00302855">
        <w:rPr>
          <w:b/>
        </w:rPr>
        <w:t xml:space="preserve"> </w:t>
      </w:r>
      <w:r>
        <w:rPr>
          <w:b/>
        </w:rPr>
        <w:t xml:space="preserve">police recorded </w:t>
      </w:r>
      <w:r w:rsidRPr="00302855">
        <w:rPr>
          <w:b/>
        </w:rPr>
        <w:t xml:space="preserve">child victims of </w:t>
      </w:r>
      <w:r>
        <w:rPr>
          <w:b/>
        </w:rPr>
        <w:t xml:space="preserve">sexual </w:t>
      </w:r>
      <w:r w:rsidRPr="00302855">
        <w:rPr>
          <w:b/>
        </w:rPr>
        <w:t>assault</w:t>
      </w:r>
      <w:r>
        <w:rPr>
          <w:b/>
        </w:rPr>
        <w:t xml:space="preserve"> in a residential location</w:t>
      </w:r>
      <w:r>
        <w:t>:</w:t>
      </w:r>
    </w:p>
    <w:p w14:paraId="4EEE15C1" w14:textId="77777777" w:rsidR="00A90ED5" w:rsidRDefault="00A90ED5" w:rsidP="000D1D92">
      <w:pPr>
        <w:pStyle w:val="ListParagraph"/>
        <w:numPr>
          <w:ilvl w:val="0"/>
          <w:numId w:val="58"/>
        </w:numPr>
        <w:jc w:val="both"/>
      </w:pPr>
      <w:r w:rsidRPr="003D2B69">
        <w:rPr>
          <w:b/>
        </w:rPr>
        <w:t xml:space="preserve">Non-family members </w:t>
      </w:r>
      <w:r>
        <w:rPr>
          <w:b/>
        </w:rPr>
        <w:t xml:space="preserve">known to the victim </w:t>
      </w:r>
      <w:r w:rsidRPr="003D2B69">
        <w:rPr>
          <w:b/>
        </w:rPr>
        <w:t>accounted for the largest proportion of offenders</w:t>
      </w:r>
      <w:r>
        <w:t xml:space="preserve"> (46.99% or 2,286 victims), followed by </w:t>
      </w:r>
      <w:r w:rsidRPr="003D2B69">
        <w:rPr>
          <w:b/>
        </w:rPr>
        <w:t>parents</w:t>
      </w:r>
      <w:r>
        <w:t xml:space="preserve"> (18.25% or 888 victims), then </w:t>
      </w:r>
      <w:r w:rsidRPr="003D2B69">
        <w:rPr>
          <w:b/>
        </w:rPr>
        <w:t>other family members</w:t>
      </w:r>
      <w:r>
        <w:t xml:space="preserve"> (16.42% or 799 victims), then </w:t>
      </w:r>
      <w:r w:rsidRPr="003D2B69">
        <w:rPr>
          <w:b/>
        </w:rPr>
        <w:t>siblings</w:t>
      </w:r>
      <w:r>
        <w:t xml:space="preserve"> (7.31% or 356 victims), then </w:t>
      </w:r>
      <w:r w:rsidRPr="003D2B69">
        <w:rPr>
          <w:b/>
        </w:rPr>
        <w:t>strangers</w:t>
      </w:r>
      <w:r>
        <w:t xml:space="preserve"> (5.34% or 260 victims), and then </w:t>
      </w:r>
      <w:r w:rsidRPr="003D2B69">
        <w:rPr>
          <w:b/>
        </w:rPr>
        <w:t>partners</w:t>
      </w:r>
      <w:r>
        <w:t xml:space="preserve"> (2.34% or 114 victims).</w:t>
      </w:r>
    </w:p>
    <w:p w14:paraId="1EC5630F" w14:textId="77777777" w:rsidR="00A90ED5" w:rsidRDefault="00A90ED5" w:rsidP="000D1D92">
      <w:pPr>
        <w:pStyle w:val="ListParagraph"/>
        <w:numPr>
          <w:ilvl w:val="0"/>
          <w:numId w:val="58"/>
        </w:numPr>
        <w:jc w:val="both"/>
      </w:pPr>
      <w:r w:rsidRPr="00723D30">
        <w:rPr>
          <w:b/>
        </w:rPr>
        <w:t>Female children aged 0 to 9 years</w:t>
      </w:r>
      <w:r>
        <w:t xml:space="preserve"> accounted for the largest proportion of child victims who </w:t>
      </w:r>
      <w:r w:rsidRPr="00934FB0">
        <w:rPr>
          <w:b/>
        </w:rPr>
        <w:t>reported the offender</w:t>
      </w:r>
      <w:r w:rsidRPr="00723D30">
        <w:rPr>
          <w:b/>
        </w:rPr>
        <w:t xml:space="preserve"> was a sibling</w:t>
      </w:r>
      <w:r>
        <w:t xml:space="preserve"> (32.02% or 114 victims).</w:t>
      </w:r>
    </w:p>
    <w:p w14:paraId="1575F70A" w14:textId="77777777" w:rsidR="00A90ED5" w:rsidRPr="006F6C4D" w:rsidRDefault="00A90ED5" w:rsidP="000D1D92">
      <w:pPr>
        <w:pStyle w:val="ListParagraph"/>
        <w:numPr>
          <w:ilvl w:val="0"/>
          <w:numId w:val="58"/>
        </w:numPr>
        <w:jc w:val="both"/>
      </w:pPr>
      <w:r w:rsidRPr="000022AE">
        <w:rPr>
          <w:b/>
        </w:rPr>
        <w:t xml:space="preserve">Female children </w:t>
      </w:r>
      <w:r w:rsidRPr="006F6C4D">
        <w:rPr>
          <w:b/>
        </w:rPr>
        <w:t>aged 10 to 14 years</w:t>
      </w:r>
      <w:r w:rsidRPr="006F6C4D">
        <w:t xml:space="preserve"> accounted for the largest proportion of child victims who </w:t>
      </w:r>
      <w:r w:rsidRPr="006F6C4D">
        <w:rPr>
          <w:b/>
        </w:rPr>
        <w:t>reported the offender was a parent</w:t>
      </w:r>
      <w:r w:rsidRPr="006F6C4D">
        <w:t xml:space="preserve"> (35.59% or 316 victims), and some </w:t>
      </w:r>
      <w:r w:rsidRPr="006F6C4D">
        <w:rPr>
          <w:b/>
        </w:rPr>
        <w:t>other family member</w:t>
      </w:r>
      <w:r w:rsidRPr="006F6C4D">
        <w:t xml:space="preserve"> (36.55% or 292 victims).</w:t>
      </w:r>
    </w:p>
    <w:p w14:paraId="69930423" w14:textId="77777777" w:rsidR="00A90ED5" w:rsidRPr="006F6C4D" w:rsidRDefault="00A90ED5" w:rsidP="000D1D92">
      <w:pPr>
        <w:pStyle w:val="ListParagraph"/>
        <w:numPr>
          <w:ilvl w:val="0"/>
          <w:numId w:val="58"/>
        </w:numPr>
        <w:jc w:val="both"/>
      </w:pPr>
      <w:r w:rsidRPr="006F6C4D">
        <w:rPr>
          <w:b/>
        </w:rPr>
        <w:t>Female children aged 15 to 17 years</w:t>
      </w:r>
      <w:r w:rsidRPr="006F6C4D">
        <w:t xml:space="preserve"> accounted for the largest proportion of child victims who </w:t>
      </w:r>
      <w:r w:rsidRPr="006F6C4D">
        <w:rPr>
          <w:b/>
        </w:rPr>
        <w:t>reported the offender was a partner</w:t>
      </w:r>
      <w:r w:rsidRPr="006F6C4D">
        <w:t xml:space="preserve"> (79.82% or 91 victims), a </w:t>
      </w:r>
      <w:r w:rsidRPr="006F6C4D">
        <w:rPr>
          <w:b/>
        </w:rPr>
        <w:t>stranger</w:t>
      </w:r>
      <w:r w:rsidRPr="006F6C4D">
        <w:t xml:space="preserve"> (48.46% or 126 victims), and </w:t>
      </w:r>
      <w:r w:rsidRPr="006F6C4D">
        <w:rPr>
          <w:b/>
        </w:rPr>
        <w:t>non-family member known to the victim</w:t>
      </w:r>
      <w:r w:rsidRPr="006F6C4D">
        <w:t xml:space="preserve"> (38.23% or 874 victims).</w:t>
      </w:r>
    </w:p>
    <w:p w14:paraId="481293D2" w14:textId="77777777" w:rsidR="00A90ED5" w:rsidRPr="00626946" w:rsidRDefault="00A90ED5" w:rsidP="00A90ED5">
      <w:pPr>
        <w:jc w:val="both"/>
      </w:pPr>
      <w:r>
        <w:rPr>
          <w:noProof/>
        </w:rPr>
        <w:lastRenderedPageBreak/>
        <w:drawing>
          <wp:inline distT="0" distB="0" distL="0" distR="0" wp14:anchorId="4BC7A3A1" wp14:editId="44DD2E1B">
            <wp:extent cx="5759450" cy="2883535"/>
            <wp:effectExtent l="0" t="0" r="12700" b="12065"/>
            <wp:docPr id="23" name="Chart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p w14:paraId="0BBDC8B7" w14:textId="3241ACBD" w:rsidR="00A90ED5" w:rsidRPr="00243307" w:rsidRDefault="00E51B5E" w:rsidP="00E51B5E">
      <w:pPr>
        <w:pStyle w:val="Heading4"/>
        <w:numPr>
          <w:ilvl w:val="0"/>
          <w:numId w:val="0"/>
        </w:numPr>
        <w:ind w:left="851" w:hanging="851"/>
      </w:pPr>
      <w:bookmarkStart w:id="246" w:name="_Toc430168463"/>
      <w:bookmarkStart w:id="247" w:name="_Toc432144060"/>
      <w:r>
        <w:t xml:space="preserve">8.2.4 </w:t>
      </w:r>
      <w:r w:rsidR="00A90ED5" w:rsidRPr="00243307">
        <w:t>South Australian data about child victims of sexual assault in a residential location</w:t>
      </w:r>
      <w:bookmarkEnd w:id="246"/>
      <w:bookmarkEnd w:id="247"/>
    </w:p>
    <w:p w14:paraId="0AC9DDC4" w14:textId="77777777" w:rsidR="00A90ED5" w:rsidRDefault="00A90ED5" w:rsidP="00A90ED5">
      <w:pPr>
        <w:jc w:val="both"/>
      </w:pPr>
      <w:r>
        <w:t>In South Australia</w:t>
      </w:r>
      <w:r w:rsidRPr="00677892">
        <w:t xml:space="preserve"> </w:t>
      </w:r>
      <w:r>
        <w:t xml:space="preserve">between 2010 and 2013 there were </w:t>
      </w:r>
      <w:r>
        <w:rPr>
          <w:b/>
        </w:rPr>
        <w:t>1,605</w:t>
      </w:r>
      <w:r w:rsidRPr="00302855">
        <w:rPr>
          <w:b/>
        </w:rPr>
        <w:t xml:space="preserve"> </w:t>
      </w:r>
      <w:r>
        <w:rPr>
          <w:b/>
        </w:rPr>
        <w:t xml:space="preserve">police recorded </w:t>
      </w:r>
      <w:r w:rsidRPr="00302855">
        <w:rPr>
          <w:b/>
        </w:rPr>
        <w:t xml:space="preserve">child victims of </w:t>
      </w:r>
      <w:r>
        <w:rPr>
          <w:b/>
        </w:rPr>
        <w:t xml:space="preserve">sexual </w:t>
      </w:r>
      <w:r w:rsidRPr="00302855">
        <w:rPr>
          <w:b/>
        </w:rPr>
        <w:t>assault</w:t>
      </w:r>
      <w:r>
        <w:rPr>
          <w:b/>
        </w:rPr>
        <w:t xml:space="preserve"> in a residential location</w:t>
      </w:r>
      <w:r>
        <w:t>:</w:t>
      </w:r>
    </w:p>
    <w:p w14:paraId="7D4D4E0A" w14:textId="77777777" w:rsidR="00A90ED5" w:rsidRDefault="00A90ED5" w:rsidP="000D1D92">
      <w:pPr>
        <w:pStyle w:val="ListParagraph"/>
        <w:numPr>
          <w:ilvl w:val="0"/>
          <w:numId w:val="58"/>
        </w:numPr>
        <w:jc w:val="both"/>
      </w:pPr>
      <w:r w:rsidRPr="0084704E">
        <w:rPr>
          <w:b/>
        </w:rPr>
        <w:t>Non-family members</w:t>
      </w:r>
      <w:r>
        <w:rPr>
          <w:b/>
        </w:rPr>
        <w:t xml:space="preserve"> known to the victim</w:t>
      </w:r>
      <w:r w:rsidRPr="0084704E">
        <w:rPr>
          <w:b/>
        </w:rPr>
        <w:t xml:space="preserve"> accounted for the largest proportion of offenders</w:t>
      </w:r>
      <w:r>
        <w:t xml:space="preserve"> (48.5% or 761 victims), followed by </w:t>
      </w:r>
      <w:r w:rsidRPr="008F364E">
        <w:rPr>
          <w:b/>
        </w:rPr>
        <w:t>other family members</w:t>
      </w:r>
      <w:r>
        <w:t xml:space="preserve"> (18.74% or 294 victims), then </w:t>
      </w:r>
      <w:r w:rsidRPr="008F364E">
        <w:rPr>
          <w:b/>
        </w:rPr>
        <w:t>parents</w:t>
      </w:r>
      <w:r>
        <w:t xml:space="preserve"> (18.16% or 285 victims), then </w:t>
      </w:r>
      <w:r w:rsidRPr="008F364E">
        <w:rPr>
          <w:b/>
        </w:rPr>
        <w:t>partners</w:t>
      </w:r>
      <w:r>
        <w:t xml:space="preserve"> (9.69% or 152 victims), and then </w:t>
      </w:r>
      <w:r w:rsidRPr="008F364E">
        <w:rPr>
          <w:b/>
        </w:rPr>
        <w:t>strangers</w:t>
      </w:r>
      <w:r>
        <w:t xml:space="preserve"> (4.91% or 77 victims).</w:t>
      </w:r>
    </w:p>
    <w:p w14:paraId="19B7CB6C" w14:textId="77777777" w:rsidR="00A90ED5" w:rsidRDefault="00A90ED5" w:rsidP="000D1D92">
      <w:pPr>
        <w:pStyle w:val="ListParagraph"/>
        <w:numPr>
          <w:ilvl w:val="0"/>
          <w:numId w:val="58"/>
        </w:numPr>
        <w:jc w:val="both"/>
      </w:pPr>
      <w:r w:rsidRPr="008F364E">
        <w:rPr>
          <w:b/>
        </w:rPr>
        <w:t>Female children aged 10 to 14 years</w:t>
      </w:r>
      <w:r>
        <w:t xml:space="preserve"> accounted for the largest proportion of child victims who </w:t>
      </w:r>
      <w:r w:rsidRPr="008F364E">
        <w:rPr>
          <w:b/>
        </w:rPr>
        <w:t>reported the offender was a parent</w:t>
      </w:r>
      <w:r>
        <w:t xml:space="preserve"> (38.6% or 110 victims), and some </w:t>
      </w:r>
      <w:r w:rsidRPr="008F364E">
        <w:rPr>
          <w:b/>
        </w:rPr>
        <w:t>other family member</w:t>
      </w:r>
      <w:r>
        <w:t xml:space="preserve"> (31.63% or 93 victims).</w:t>
      </w:r>
    </w:p>
    <w:p w14:paraId="3B03B664" w14:textId="77777777" w:rsidR="00A90ED5" w:rsidRDefault="00A90ED5" w:rsidP="000D1D92">
      <w:pPr>
        <w:pStyle w:val="ListParagraph"/>
        <w:numPr>
          <w:ilvl w:val="0"/>
          <w:numId w:val="58"/>
        </w:numPr>
        <w:jc w:val="both"/>
      </w:pPr>
      <w:r w:rsidRPr="008F364E">
        <w:rPr>
          <w:b/>
        </w:rPr>
        <w:t>Female children aged 15 to 17 years</w:t>
      </w:r>
      <w:r>
        <w:t xml:space="preserve"> accounted for the largest proportion of child victims who </w:t>
      </w:r>
      <w:r w:rsidRPr="008F364E">
        <w:rPr>
          <w:b/>
        </w:rPr>
        <w:t>reported the offender was a partner</w:t>
      </w:r>
      <w:r>
        <w:t xml:space="preserve"> (69.74% or 106 victims), and a </w:t>
      </w:r>
      <w:r w:rsidRPr="008F364E">
        <w:rPr>
          <w:b/>
        </w:rPr>
        <w:t>stranger</w:t>
      </w:r>
      <w:r>
        <w:t xml:space="preserve"> (41.56% or 32 victims).</w:t>
      </w:r>
    </w:p>
    <w:p w14:paraId="1878F119" w14:textId="77777777" w:rsidR="00A90ED5" w:rsidRDefault="00A90ED5" w:rsidP="000D1D92">
      <w:pPr>
        <w:pStyle w:val="ListParagraph"/>
        <w:numPr>
          <w:ilvl w:val="0"/>
          <w:numId w:val="58"/>
        </w:numPr>
        <w:jc w:val="both"/>
      </w:pPr>
      <w:r w:rsidRPr="008F364E">
        <w:rPr>
          <w:b/>
        </w:rPr>
        <w:t>Female children aged 15 to 17 years</w:t>
      </w:r>
      <w:r>
        <w:t xml:space="preserve"> also accounted for the largest proportion of child victims who </w:t>
      </w:r>
      <w:r w:rsidRPr="008F364E">
        <w:rPr>
          <w:b/>
        </w:rPr>
        <w:t xml:space="preserve">reported the offender was a non-family member known to the victims </w:t>
      </w:r>
      <w:r>
        <w:t xml:space="preserve">(34.56% or 263 victims), </w:t>
      </w:r>
      <w:r w:rsidRPr="008F364E">
        <w:rPr>
          <w:b/>
        </w:rPr>
        <w:t xml:space="preserve">followed closely by female children aged 10 to 14 years </w:t>
      </w:r>
      <w:r>
        <w:t>(34.43% or 262 victims).</w:t>
      </w:r>
    </w:p>
    <w:p w14:paraId="72C60C98" w14:textId="77777777" w:rsidR="00A90ED5" w:rsidRPr="00626946" w:rsidRDefault="00A90ED5" w:rsidP="00A90ED5">
      <w:pPr>
        <w:jc w:val="both"/>
      </w:pPr>
      <w:r>
        <w:rPr>
          <w:noProof/>
        </w:rPr>
        <w:lastRenderedPageBreak/>
        <w:drawing>
          <wp:inline distT="0" distB="0" distL="0" distR="0" wp14:anchorId="743E9ABF" wp14:editId="20C38288">
            <wp:extent cx="5759450" cy="3166745"/>
            <wp:effectExtent l="0" t="0" r="12700" b="14605"/>
            <wp:docPr id="27" name="Chart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inline>
        </w:drawing>
      </w:r>
    </w:p>
    <w:p w14:paraId="32DE0C1F" w14:textId="5603F718" w:rsidR="00A90ED5" w:rsidRPr="00243307" w:rsidRDefault="00E51B5E" w:rsidP="00E51B5E">
      <w:pPr>
        <w:pStyle w:val="Heading4"/>
        <w:numPr>
          <w:ilvl w:val="0"/>
          <w:numId w:val="0"/>
        </w:numPr>
        <w:ind w:left="851" w:hanging="851"/>
      </w:pPr>
      <w:bookmarkStart w:id="248" w:name="_Toc430168464"/>
      <w:bookmarkStart w:id="249" w:name="_Toc432144061"/>
      <w:r>
        <w:t xml:space="preserve">8.2.5 </w:t>
      </w:r>
      <w:r w:rsidR="00A90ED5" w:rsidRPr="00243307">
        <w:t>Tasmania data about child victims of sexual assault in a residential location</w:t>
      </w:r>
      <w:bookmarkEnd w:id="248"/>
      <w:bookmarkEnd w:id="249"/>
    </w:p>
    <w:p w14:paraId="0B83C021" w14:textId="77777777" w:rsidR="00A90ED5" w:rsidRDefault="00A90ED5" w:rsidP="00A90ED5">
      <w:pPr>
        <w:jc w:val="both"/>
      </w:pPr>
      <w:r>
        <w:t xml:space="preserve">In Tasmania between 2010 and 2013 there were </w:t>
      </w:r>
      <w:r>
        <w:rPr>
          <w:b/>
        </w:rPr>
        <w:t>258 police recorded child victims of sexual assault in a residential location</w:t>
      </w:r>
      <w:r>
        <w:t>:</w:t>
      </w:r>
    </w:p>
    <w:p w14:paraId="586E74AC" w14:textId="77777777" w:rsidR="00A90ED5" w:rsidRDefault="00A90ED5" w:rsidP="000D1D92">
      <w:pPr>
        <w:pStyle w:val="ListParagraph"/>
        <w:numPr>
          <w:ilvl w:val="0"/>
          <w:numId w:val="63"/>
        </w:numPr>
        <w:jc w:val="both"/>
      </w:pPr>
      <w:r>
        <w:rPr>
          <w:b/>
        </w:rPr>
        <w:t xml:space="preserve">Family members accounted for the largest proportion of offenders </w:t>
      </w:r>
      <w:r>
        <w:t xml:space="preserve">(46.51% or 120 victims), followed by </w:t>
      </w:r>
      <w:r>
        <w:rPr>
          <w:b/>
        </w:rPr>
        <w:t xml:space="preserve">non-family members known to the victim </w:t>
      </w:r>
      <w:r>
        <w:t xml:space="preserve">(46.12% or 119 victims), and then </w:t>
      </w:r>
      <w:r>
        <w:rPr>
          <w:b/>
        </w:rPr>
        <w:t xml:space="preserve">strangers </w:t>
      </w:r>
      <w:r>
        <w:t>(6.2% or 16 victims).</w:t>
      </w:r>
    </w:p>
    <w:p w14:paraId="207EDDA7" w14:textId="77777777" w:rsidR="00A90ED5" w:rsidRDefault="00A90ED5" w:rsidP="000D1D92">
      <w:pPr>
        <w:pStyle w:val="ListParagraph"/>
        <w:numPr>
          <w:ilvl w:val="0"/>
          <w:numId w:val="63"/>
        </w:numPr>
        <w:jc w:val="both"/>
      </w:pPr>
      <w:r>
        <w:rPr>
          <w:b/>
        </w:rPr>
        <w:t xml:space="preserve">Female children aged 0 to 9 years </w:t>
      </w:r>
      <w:r>
        <w:t xml:space="preserve">accounted for the largest proportion of child victims who </w:t>
      </w:r>
      <w:r>
        <w:rPr>
          <w:b/>
        </w:rPr>
        <w:t xml:space="preserve">reported the offender was a family members </w:t>
      </w:r>
      <w:r>
        <w:t>(31.66% or 38 victims).</w:t>
      </w:r>
    </w:p>
    <w:p w14:paraId="3E0A0A1D" w14:textId="77777777" w:rsidR="00A90ED5" w:rsidRDefault="00A90ED5" w:rsidP="000D1D92">
      <w:pPr>
        <w:pStyle w:val="ListParagraph"/>
        <w:numPr>
          <w:ilvl w:val="0"/>
          <w:numId w:val="63"/>
        </w:numPr>
        <w:jc w:val="both"/>
      </w:pPr>
      <w:r>
        <w:rPr>
          <w:b/>
        </w:rPr>
        <w:t xml:space="preserve">Female children aged 15 to 17 years </w:t>
      </w:r>
      <w:r>
        <w:t xml:space="preserve">accounted for the largest proportion of child victims who </w:t>
      </w:r>
      <w:r>
        <w:rPr>
          <w:b/>
        </w:rPr>
        <w:t xml:space="preserve">reported the offender was a non-family member known to the victim </w:t>
      </w:r>
      <w:r>
        <w:t xml:space="preserve">(41.17% or 49 victims), and a </w:t>
      </w:r>
      <w:r>
        <w:rPr>
          <w:b/>
        </w:rPr>
        <w:t xml:space="preserve">stranger </w:t>
      </w:r>
      <w:r>
        <w:t>(62.5% or 10 victims).</w:t>
      </w:r>
    </w:p>
    <w:p w14:paraId="2232C817" w14:textId="77777777" w:rsidR="00A90ED5" w:rsidRDefault="00A90ED5" w:rsidP="00A90ED5">
      <w:pPr>
        <w:jc w:val="both"/>
      </w:pPr>
      <w:r>
        <w:rPr>
          <w:noProof/>
        </w:rPr>
        <w:lastRenderedPageBreak/>
        <w:drawing>
          <wp:inline distT="0" distB="0" distL="0" distR="0" wp14:anchorId="077359AD" wp14:editId="6F43F326">
            <wp:extent cx="5759450" cy="3166745"/>
            <wp:effectExtent l="0" t="0" r="12700" b="14605"/>
            <wp:docPr id="14" name="Chart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64"/>
              </a:graphicData>
            </a:graphic>
          </wp:inline>
        </w:drawing>
      </w:r>
    </w:p>
    <w:p w14:paraId="1132CDC2" w14:textId="359FF2CF" w:rsidR="00A90ED5" w:rsidRPr="008C045D" w:rsidRDefault="00E51B5E" w:rsidP="00E51B5E">
      <w:pPr>
        <w:pStyle w:val="Heading4"/>
        <w:numPr>
          <w:ilvl w:val="0"/>
          <w:numId w:val="0"/>
        </w:numPr>
        <w:ind w:left="851" w:hanging="851"/>
      </w:pPr>
      <w:bookmarkStart w:id="250" w:name="_Toc430168465"/>
      <w:bookmarkStart w:id="251" w:name="_Toc432144062"/>
      <w:r>
        <w:t xml:space="preserve">8.2.6 </w:t>
      </w:r>
      <w:r w:rsidR="00A90ED5" w:rsidRPr="008C045D">
        <w:t>Northern Territory data about child victims of sexual assault in a residential location</w:t>
      </w:r>
      <w:bookmarkEnd w:id="250"/>
      <w:bookmarkEnd w:id="251"/>
    </w:p>
    <w:p w14:paraId="650C562E" w14:textId="77777777" w:rsidR="00A90ED5" w:rsidRDefault="00A90ED5" w:rsidP="00A90ED5">
      <w:pPr>
        <w:jc w:val="both"/>
      </w:pPr>
      <w:r>
        <w:t xml:space="preserve">In the Northern Territory between 2010 and 2013 there were </w:t>
      </w:r>
      <w:r>
        <w:rPr>
          <w:b/>
        </w:rPr>
        <w:t>288 police recorded child victims of sexual assault in a residential location</w:t>
      </w:r>
      <w:r>
        <w:t>:</w:t>
      </w:r>
    </w:p>
    <w:p w14:paraId="25530039" w14:textId="77777777" w:rsidR="00A90ED5" w:rsidRDefault="00A90ED5" w:rsidP="000D1D92">
      <w:pPr>
        <w:pStyle w:val="ListParagraph"/>
        <w:numPr>
          <w:ilvl w:val="0"/>
          <w:numId w:val="64"/>
        </w:numPr>
        <w:jc w:val="both"/>
      </w:pPr>
      <w:r>
        <w:rPr>
          <w:b/>
        </w:rPr>
        <w:t xml:space="preserve">Non-family members known to the victim accounted for the largest proportion of offenders </w:t>
      </w:r>
      <w:r>
        <w:t xml:space="preserve">(58.87% or 146 victims), followed by </w:t>
      </w:r>
      <w:r>
        <w:rPr>
          <w:b/>
        </w:rPr>
        <w:t xml:space="preserve">family members </w:t>
      </w:r>
      <w:r>
        <w:t xml:space="preserve">(37.25% or 95 victims), and then </w:t>
      </w:r>
      <w:r>
        <w:rPr>
          <w:b/>
        </w:rPr>
        <w:t>strangers</w:t>
      </w:r>
      <w:r>
        <w:t xml:space="preserve"> (2.82% or 7 victims).</w:t>
      </w:r>
    </w:p>
    <w:p w14:paraId="7C3C588E" w14:textId="77777777" w:rsidR="00A90ED5" w:rsidRDefault="00A90ED5" w:rsidP="000D1D92">
      <w:pPr>
        <w:pStyle w:val="ListParagraph"/>
        <w:numPr>
          <w:ilvl w:val="0"/>
          <w:numId w:val="64"/>
        </w:numPr>
        <w:jc w:val="both"/>
      </w:pPr>
      <w:r>
        <w:rPr>
          <w:b/>
        </w:rPr>
        <w:t xml:space="preserve">Female children aged 10 to 14 years </w:t>
      </w:r>
      <w:r>
        <w:t xml:space="preserve">accounted for the largest proportion of child victims who </w:t>
      </w:r>
      <w:r>
        <w:rPr>
          <w:b/>
        </w:rPr>
        <w:t xml:space="preserve">reported the offender was a family member </w:t>
      </w:r>
      <w:r>
        <w:t xml:space="preserve">(33.68% or 32 victims), and </w:t>
      </w:r>
      <w:r>
        <w:rPr>
          <w:b/>
        </w:rPr>
        <w:t xml:space="preserve">non-family members known to the victim </w:t>
      </w:r>
      <w:r>
        <w:t>(41.09% or 60 victims).</w:t>
      </w:r>
    </w:p>
    <w:p w14:paraId="321E3539" w14:textId="77777777" w:rsidR="00A90ED5" w:rsidRDefault="00A90ED5" w:rsidP="000D1D92">
      <w:pPr>
        <w:pStyle w:val="ListParagraph"/>
        <w:numPr>
          <w:ilvl w:val="0"/>
          <w:numId w:val="64"/>
        </w:numPr>
        <w:jc w:val="both"/>
      </w:pPr>
      <w:r>
        <w:rPr>
          <w:b/>
        </w:rPr>
        <w:t xml:space="preserve">Female children aged 15 to 17 years </w:t>
      </w:r>
      <w:r>
        <w:t xml:space="preserve">accounted for the largest proportion of child victims who </w:t>
      </w:r>
      <w:r>
        <w:rPr>
          <w:b/>
        </w:rPr>
        <w:t xml:space="preserve">reported the offender was a stranger </w:t>
      </w:r>
      <w:r>
        <w:t>(57.14% or 4 victims).</w:t>
      </w:r>
    </w:p>
    <w:p w14:paraId="4BECAC70" w14:textId="77777777" w:rsidR="00A90ED5" w:rsidRPr="00575EC9" w:rsidRDefault="00A90ED5" w:rsidP="00A90ED5">
      <w:pPr>
        <w:jc w:val="both"/>
      </w:pPr>
      <w:r>
        <w:rPr>
          <w:noProof/>
        </w:rPr>
        <w:lastRenderedPageBreak/>
        <w:drawing>
          <wp:inline distT="0" distB="0" distL="0" distR="0" wp14:anchorId="1CD3E694" wp14:editId="0841734B">
            <wp:extent cx="5759450" cy="3166745"/>
            <wp:effectExtent l="0" t="0" r="12700" b="14605"/>
            <wp:docPr id="15" name="Chart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65"/>
              </a:graphicData>
            </a:graphic>
          </wp:inline>
        </w:drawing>
      </w:r>
    </w:p>
    <w:p w14:paraId="51A031A2" w14:textId="57205D14" w:rsidR="00A90ED5" w:rsidRPr="008C045D" w:rsidRDefault="00E51B5E" w:rsidP="00E51B5E">
      <w:pPr>
        <w:pStyle w:val="Heading4"/>
        <w:numPr>
          <w:ilvl w:val="0"/>
          <w:numId w:val="0"/>
        </w:numPr>
        <w:ind w:left="851" w:hanging="851"/>
      </w:pPr>
      <w:bookmarkStart w:id="252" w:name="_Toc430168466"/>
      <w:bookmarkStart w:id="253" w:name="_Toc432144063"/>
      <w:r>
        <w:t xml:space="preserve">8.2.7 </w:t>
      </w:r>
      <w:r w:rsidR="00A90ED5" w:rsidRPr="008C045D">
        <w:t>Australian Capital Territory data about child victims of sexual assault in a residential location</w:t>
      </w:r>
      <w:bookmarkEnd w:id="252"/>
      <w:bookmarkEnd w:id="253"/>
    </w:p>
    <w:p w14:paraId="099CF1BE" w14:textId="77777777" w:rsidR="00A90ED5" w:rsidRDefault="00A90ED5" w:rsidP="00A90ED5">
      <w:pPr>
        <w:jc w:val="both"/>
      </w:pPr>
      <w:r>
        <w:t xml:space="preserve">In the Australian Capital Territory between 2010 and 2013 there were </w:t>
      </w:r>
      <w:r>
        <w:rPr>
          <w:b/>
        </w:rPr>
        <w:t>247 police recorded child victims of sexual assault in a residential location</w:t>
      </w:r>
      <w:r>
        <w:t xml:space="preserve">: </w:t>
      </w:r>
    </w:p>
    <w:p w14:paraId="64F2A9FD" w14:textId="77777777" w:rsidR="00A90ED5" w:rsidRDefault="00A90ED5" w:rsidP="000D1D92">
      <w:pPr>
        <w:pStyle w:val="ListParagraph"/>
        <w:numPr>
          <w:ilvl w:val="0"/>
          <w:numId w:val="65"/>
        </w:numPr>
        <w:jc w:val="both"/>
      </w:pPr>
      <w:r>
        <w:rPr>
          <w:b/>
        </w:rPr>
        <w:t xml:space="preserve">Non-family members known to the victim accounted for the largest proportion of offenders </w:t>
      </w:r>
      <w:r>
        <w:t xml:space="preserve">(57.48% or 142 victims), followed by </w:t>
      </w:r>
      <w:r>
        <w:rPr>
          <w:b/>
        </w:rPr>
        <w:t xml:space="preserve">family members </w:t>
      </w:r>
      <w:r>
        <w:t xml:space="preserve">(39.86% or 96 victims) and then </w:t>
      </w:r>
      <w:r>
        <w:rPr>
          <w:b/>
        </w:rPr>
        <w:t xml:space="preserve">strangers </w:t>
      </w:r>
      <w:r>
        <w:t>(1.21% or 3 victims).</w:t>
      </w:r>
    </w:p>
    <w:p w14:paraId="4C702FF1" w14:textId="77777777" w:rsidR="00A90ED5" w:rsidRDefault="00A90ED5" w:rsidP="000D1D92">
      <w:pPr>
        <w:pStyle w:val="ListParagraph"/>
        <w:numPr>
          <w:ilvl w:val="0"/>
          <w:numId w:val="65"/>
        </w:numPr>
        <w:jc w:val="both"/>
      </w:pPr>
      <w:r>
        <w:rPr>
          <w:b/>
        </w:rPr>
        <w:t xml:space="preserve">Female children aged 0 to 9 years </w:t>
      </w:r>
      <w:r>
        <w:t xml:space="preserve">accounted for the largest proportion of child victims who </w:t>
      </w:r>
      <w:r>
        <w:rPr>
          <w:b/>
        </w:rPr>
        <w:t xml:space="preserve">reported the offender was a family member </w:t>
      </w:r>
      <w:r>
        <w:t>(35.41% or 34 victims).</w:t>
      </w:r>
    </w:p>
    <w:p w14:paraId="06EC1303" w14:textId="77777777" w:rsidR="00A90ED5" w:rsidRDefault="00A90ED5" w:rsidP="000D1D92">
      <w:pPr>
        <w:pStyle w:val="ListParagraph"/>
        <w:numPr>
          <w:ilvl w:val="0"/>
          <w:numId w:val="65"/>
        </w:numPr>
        <w:jc w:val="both"/>
      </w:pPr>
      <w:r>
        <w:rPr>
          <w:b/>
        </w:rPr>
        <w:t xml:space="preserve">Female children aged 10 to 14 years </w:t>
      </w:r>
      <w:r>
        <w:t xml:space="preserve">accounted for all of the child victims who </w:t>
      </w:r>
      <w:r>
        <w:rPr>
          <w:b/>
        </w:rPr>
        <w:t xml:space="preserve">reported the offender was a stranger </w:t>
      </w:r>
      <w:r>
        <w:t>(100% or 3 victims).</w:t>
      </w:r>
    </w:p>
    <w:p w14:paraId="29A20121" w14:textId="77777777" w:rsidR="00A90ED5" w:rsidRDefault="00A90ED5" w:rsidP="000D1D92">
      <w:pPr>
        <w:pStyle w:val="ListParagraph"/>
        <w:numPr>
          <w:ilvl w:val="0"/>
          <w:numId w:val="65"/>
        </w:numPr>
        <w:jc w:val="both"/>
      </w:pPr>
      <w:r>
        <w:rPr>
          <w:b/>
        </w:rPr>
        <w:t xml:space="preserve">Female children aged 15 to 17 years </w:t>
      </w:r>
      <w:r>
        <w:t xml:space="preserve">accounted for the largest proportion of child victims who </w:t>
      </w:r>
      <w:r>
        <w:rPr>
          <w:b/>
        </w:rPr>
        <w:t xml:space="preserve">reported the offender was a non-family member </w:t>
      </w:r>
      <w:r>
        <w:t>(38.73% or 55 victims).</w:t>
      </w:r>
    </w:p>
    <w:p w14:paraId="47121AD1" w14:textId="77777777" w:rsidR="00A90ED5" w:rsidRDefault="00A90ED5" w:rsidP="00A90ED5">
      <w:pPr>
        <w:jc w:val="both"/>
      </w:pPr>
      <w:r>
        <w:rPr>
          <w:noProof/>
        </w:rPr>
        <w:lastRenderedPageBreak/>
        <w:drawing>
          <wp:inline distT="0" distB="0" distL="0" distR="0" wp14:anchorId="51F0A836" wp14:editId="187200A7">
            <wp:extent cx="5759450" cy="3166745"/>
            <wp:effectExtent l="0" t="0" r="12700" b="14605"/>
            <wp:docPr id="16" name="Chart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66"/>
              </a:graphicData>
            </a:graphic>
          </wp:inline>
        </w:drawing>
      </w:r>
    </w:p>
    <w:p w14:paraId="1C9B96E0" w14:textId="77777777" w:rsidR="00A90ED5" w:rsidRPr="002D7B35" w:rsidRDefault="00A90ED5" w:rsidP="00A90ED5">
      <w:pPr>
        <w:jc w:val="both"/>
      </w:pPr>
    </w:p>
    <w:p w14:paraId="17F7C5C7" w14:textId="43B8A59F" w:rsidR="00A90ED5" w:rsidRPr="00426C5E" w:rsidRDefault="00A90ED5" w:rsidP="00A90ED5">
      <w:pPr>
        <w:pStyle w:val="Heading2"/>
        <w:numPr>
          <w:ilvl w:val="0"/>
          <w:numId w:val="0"/>
        </w:numPr>
        <w:ind w:left="851" w:hanging="851"/>
      </w:pPr>
      <w:r>
        <w:rPr>
          <w:highlight w:val="yellow"/>
        </w:rPr>
        <w:br w:type="column"/>
      </w:r>
      <w:bookmarkStart w:id="254" w:name="_Toc430168432"/>
      <w:bookmarkStart w:id="255" w:name="_Toc430702123"/>
      <w:bookmarkStart w:id="256" w:name="_Toc432144064"/>
      <w:bookmarkStart w:id="257" w:name="_Toc432577340"/>
      <w:r>
        <w:lastRenderedPageBreak/>
        <w:t xml:space="preserve">Appendix 9: </w:t>
      </w:r>
      <w:r w:rsidRPr="00426C5E">
        <w:t>ABS Personal Safety Survey data about children aged 0 to 14 years who experienced physical abuse and sexual abuse</w:t>
      </w:r>
      <w:bookmarkEnd w:id="254"/>
      <w:bookmarkEnd w:id="255"/>
      <w:bookmarkEnd w:id="256"/>
      <w:bookmarkEnd w:id="257"/>
    </w:p>
    <w:p w14:paraId="176B11D4" w14:textId="77777777" w:rsidR="00A90ED5" w:rsidRDefault="00A90ED5" w:rsidP="00A90ED5">
      <w:pPr>
        <w:jc w:val="both"/>
      </w:pPr>
      <w:r>
        <w:t>The estimated data in this appendix is drawn from Tables 10-12a of the customised report I obtained from ABS about the ABS 2012 Personal Safety Survey.</w:t>
      </w:r>
    </w:p>
    <w:p w14:paraId="01979DC7" w14:textId="77777777" w:rsidR="00A90ED5" w:rsidRDefault="00A90ED5" w:rsidP="00A90ED5">
      <w:pPr>
        <w:jc w:val="both"/>
      </w:pPr>
      <w:r>
        <w:t>This appendix presents prevalence estimates about children’s experience of physical abuse and sexual abuse before the age of 15 in Australia. The estimates in this appendix are based on survey data collected between February and December 2012 from Australian men and women aged 18 years and over who responded to survey questions about their experience of physical abuse and sexual abuse before the age of 15.</w:t>
      </w:r>
      <w:r>
        <w:rPr>
          <w:rStyle w:val="EndnoteReference"/>
        </w:rPr>
        <w:endnoteReference w:id="719"/>
      </w:r>
      <w:r>
        <w:t xml:space="preserve"> </w:t>
      </w:r>
    </w:p>
    <w:p w14:paraId="308C91C4" w14:textId="77777777" w:rsidR="00A90ED5" w:rsidRDefault="00A90ED5" w:rsidP="00A90ED5">
      <w:pPr>
        <w:jc w:val="both"/>
      </w:pPr>
      <w:r>
        <w:t xml:space="preserve">The estimates presented in this appendix may differ from the actual prevalence of physical abuse and sexual abuse before the age of 15 in the Australian community because the estimates </w:t>
      </w:r>
      <w:r w:rsidRPr="007C7FB8">
        <w:t xml:space="preserve">are based on information obtained from a sample of persons, and </w:t>
      </w:r>
      <w:r>
        <w:t xml:space="preserve">are </w:t>
      </w:r>
      <w:r w:rsidRPr="007C7FB8">
        <w:t>therefore subject to sampling error. Indications of the level of sampling error are measured by Relative Standard Errors (RSEs).</w:t>
      </w:r>
      <w:r w:rsidRPr="007C7FB8">
        <w:rPr>
          <w:rStyle w:val="EndnoteReference"/>
        </w:rPr>
        <w:endnoteReference w:id="720"/>
      </w:r>
    </w:p>
    <w:p w14:paraId="1BC0E812" w14:textId="77777777" w:rsidR="00A90ED5" w:rsidRDefault="00A90ED5" w:rsidP="00A90ED5">
      <w:pPr>
        <w:jc w:val="both"/>
      </w:pPr>
      <w:r>
        <w:t>In its statement about data quality, the ABS considers that estimates derived from the Personal Safety Survey with a relative standard error of less than 25% are considered sufficiently reliable for most purposes.</w:t>
      </w:r>
      <w:r>
        <w:rPr>
          <w:rStyle w:val="EndnoteReference"/>
        </w:rPr>
        <w:endnoteReference w:id="721"/>
      </w:r>
      <w:r>
        <w:t xml:space="preserve"> Only estimates of such precision are referred to in the text of this report, unless otherwise noted. </w:t>
      </w:r>
    </w:p>
    <w:p w14:paraId="5293ADAD" w14:textId="77777777" w:rsidR="00A90ED5" w:rsidRPr="00B318BF" w:rsidRDefault="00A90ED5" w:rsidP="00A90ED5">
      <w:pPr>
        <w:jc w:val="both"/>
        <w:rPr>
          <w:rFonts w:cs="Arial"/>
        </w:rPr>
      </w:pPr>
      <w:r>
        <w:t>For the purposes of the ABS Personal Safety Survey, incidents of violence experienced by a pe</w:t>
      </w:r>
      <w:r w:rsidRPr="00B318BF">
        <w:rPr>
          <w:rFonts w:cs="Arial"/>
        </w:rPr>
        <w:t>rson before the age of 15 years from any adult (male or female), including the person’s parents, is defined as abuse, not assault.</w:t>
      </w:r>
      <w:r w:rsidRPr="00B318BF">
        <w:rPr>
          <w:rStyle w:val="EndnoteReference"/>
          <w:rFonts w:cs="Arial"/>
          <w:sz w:val="24"/>
        </w:rPr>
        <w:endnoteReference w:id="722"/>
      </w:r>
      <w:r w:rsidRPr="00B318BF">
        <w:rPr>
          <w:rFonts w:cs="Arial"/>
        </w:rPr>
        <w:t xml:space="preserve"> Emotional abuse is excluded.</w:t>
      </w:r>
      <w:r w:rsidRPr="00B318BF">
        <w:rPr>
          <w:rStyle w:val="EndnoteReference"/>
          <w:rFonts w:cs="Arial"/>
          <w:sz w:val="24"/>
        </w:rPr>
        <w:endnoteReference w:id="723"/>
      </w:r>
    </w:p>
    <w:p w14:paraId="067AB1B6" w14:textId="77777777" w:rsidR="00A90ED5" w:rsidRPr="00B318BF" w:rsidRDefault="00A90ED5" w:rsidP="00A90ED5">
      <w:pPr>
        <w:jc w:val="both"/>
        <w:rPr>
          <w:rFonts w:cs="Arial"/>
        </w:rPr>
      </w:pPr>
      <w:r w:rsidRPr="00B318BF">
        <w:rPr>
          <w:rFonts w:cs="Arial"/>
        </w:rPr>
        <w:t>The ABS defines physical abuse as any deliberate physical injury (including bruises) inflicted upon a child (before the age of 15 years) by an adult. Discipline that accidentally resulted in an injury is excluded.</w:t>
      </w:r>
      <w:r w:rsidRPr="00B318BF">
        <w:rPr>
          <w:rStyle w:val="EndnoteReference"/>
          <w:rFonts w:cs="Arial"/>
          <w:sz w:val="24"/>
        </w:rPr>
        <w:endnoteReference w:id="724"/>
      </w:r>
    </w:p>
    <w:p w14:paraId="2C004578" w14:textId="77777777" w:rsidR="00A90ED5" w:rsidRPr="00B318BF" w:rsidRDefault="00A90ED5" w:rsidP="00A90ED5">
      <w:pPr>
        <w:spacing w:before="100" w:beforeAutospacing="1" w:after="100" w:afterAutospacing="1"/>
        <w:jc w:val="both"/>
        <w:rPr>
          <w:rFonts w:cs="Arial"/>
        </w:rPr>
      </w:pPr>
      <w:r w:rsidRPr="00B318BF">
        <w:rPr>
          <w:rFonts w:cs="Arial"/>
        </w:rPr>
        <w:t>Sexual abuse is define</w:t>
      </w:r>
      <w:r>
        <w:rPr>
          <w:rFonts w:cs="Arial"/>
        </w:rPr>
        <w:t>d</w:t>
      </w:r>
      <w:r w:rsidRPr="00B318BF">
        <w:rPr>
          <w:rFonts w:cs="Arial"/>
        </w:rPr>
        <w:t xml:space="preserve"> by the ABS as any act by an adult involving a child (before the age of 15 years) in sexual activity beyond their understanding or contrary to currently accepted community standards.</w:t>
      </w:r>
      <w:r w:rsidRPr="00B318BF">
        <w:rPr>
          <w:rStyle w:val="EndnoteReference"/>
          <w:rFonts w:cs="Arial"/>
          <w:sz w:val="24"/>
        </w:rPr>
        <w:endnoteReference w:id="725"/>
      </w:r>
    </w:p>
    <w:p w14:paraId="2175E8D5" w14:textId="77777777" w:rsidR="00A90ED5" w:rsidRDefault="00A90ED5" w:rsidP="00A90ED5">
      <w:pPr>
        <w:jc w:val="both"/>
      </w:pPr>
      <w:r w:rsidRPr="00B318BF">
        <w:rPr>
          <w:rFonts w:cs="Arial"/>
        </w:rPr>
        <w:t xml:space="preserve">The physical abuse and sexual abuse data presented in this </w:t>
      </w:r>
      <w:r>
        <w:rPr>
          <w:rFonts w:cs="Arial"/>
        </w:rPr>
        <w:t>appendix</w:t>
      </w:r>
      <w:r w:rsidRPr="00B318BF">
        <w:rPr>
          <w:rFonts w:cs="Arial"/>
        </w:rPr>
        <w:t xml:space="preserve"> describes the perpetrator’s relation</w:t>
      </w:r>
      <w:r>
        <w:t>ship to the victim.</w:t>
      </w:r>
      <w:r w:rsidRPr="00EC5397">
        <w:t xml:space="preserve"> </w:t>
      </w:r>
      <w:r>
        <w:t>The perpetrator’s relationship to the victim is identified by the survey respondent.</w:t>
      </w:r>
      <w:r>
        <w:rPr>
          <w:rStyle w:val="EndnoteReference"/>
        </w:rPr>
        <w:endnoteReference w:id="726"/>
      </w:r>
      <w:r>
        <w:t xml:space="preserve"> </w:t>
      </w:r>
    </w:p>
    <w:p w14:paraId="4371FDDC" w14:textId="77777777" w:rsidR="00A90ED5" w:rsidRDefault="00A90ED5" w:rsidP="00A90ED5">
      <w:pPr>
        <w:jc w:val="both"/>
      </w:pPr>
      <w:r>
        <w:t>If multiple perpetrators were involved in the first incident of physical abuse or sexual abuse experienced by the survey respondent before the age of 15 years then the incident would be counted separately for each type of perpetrator but only once in the aggregated totals. Components therefore may not add to the totals.</w:t>
      </w:r>
    </w:p>
    <w:p w14:paraId="0724A988" w14:textId="77777777" w:rsidR="00A90ED5" w:rsidRDefault="00A90ED5" w:rsidP="00A90ED5">
      <w:pPr>
        <w:jc w:val="both"/>
      </w:pPr>
      <w:r>
        <w:t>The data presented in this appendix is disaggregated by the type of perpetrator:</w:t>
      </w:r>
    </w:p>
    <w:p w14:paraId="24887A42" w14:textId="77777777" w:rsidR="00A90ED5" w:rsidRPr="007D0205" w:rsidRDefault="00A90ED5" w:rsidP="000D1D92">
      <w:pPr>
        <w:pStyle w:val="ListParagraph"/>
        <w:numPr>
          <w:ilvl w:val="0"/>
          <w:numId w:val="66"/>
        </w:numPr>
        <w:jc w:val="both"/>
      </w:pPr>
      <w:r w:rsidRPr="007D0205">
        <w:lastRenderedPageBreak/>
        <w:t>Family member – includes father, stepfather, mother, stepmother, brother, stepbrother, sister, stepsister, and other relative or in-law.</w:t>
      </w:r>
    </w:p>
    <w:p w14:paraId="22C70421" w14:textId="77777777" w:rsidR="00A90ED5" w:rsidRPr="007D0205" w:rsidRDefault="00A90ED5" w:rsidP="000D1D92">
      <w:pPr>
        <w:pStyle w:val="ListParagraph"/>
        <w:numPr>
          <w:ilvl w:val="0"/>
          <w:numId w:val="66"/>
        </w:numPr>
        <w:jc w:val="both"/>
      </w:pPr>
      <w:r w:rsidRPr="007D0205">
        <w:t>Other known person – includes family friend, acquaintance/neighbour, doctor, teacher, and priest/minister/rabbi.</w:t>
      </w:r>
    </w:p>
    <w:p w14:paraId="47F62AC6" w14:textId="77777777" w:rsidR="00A90ED5" w:rsidRPr="007D0205" w:rsidRDefault="00A90ED5" w:rsidP="000D1D92">
      <w:pPr>
        <w:pStyle w:val="ListParagraph"/>
        <w:numPr>
          <w:ilvl w:val="0"/>
          <w:numId w:val="66"/>
        </w:numPr>
        <w:jc w:val="both"/>
      </w:pPr>
      <w:r w:rsidRPr="007D0205">
        <w:t>Stranger.</w:t>
      </w:r>
    </w:p>
    <w:p w14:paraId="49D3BE07" w14:textId="77777777" w:rsidR="00A90ED5" w:rsidRDefault="00A90ED5" w:rsidP="00A90ED5">
      <w:pPr>
        <w:jc w:val="both"/>
      </w:pPr>
      <w:r>
        <w:t>The data presented in this appendix is also disaggregated by the sex of the person who experienced abuse before the age of 15 (male and female) and the age of the person at the first incident of abuse (less than 4 years, 4 to 9 years, 10 to 11 years, 12 to 14 years and “unknown/refusal”).</w:t>
      </w:r>
    </w:p>
    <w:p w14:paraId="5B2DF30D" w14:textId="77777777" w:rsidR="00A90ED5" w:rsidRDefault="00A90ED5" w:rsidP="00A90ED5">
      <w:pPr>
        <w:jc w:val="both"/>
      </w:pPr>
      <w:r>
        <w:t>Some of the estimated data contained in the customised report provided to me by ABS aggregated data about perpetrator type to improve the reliability of the data so that it could be released.</w:t>
      </w:r>
      <w:r>
        <w:rPr>
          <w:rStyle w:val="EndnoteReference"/>
        </w:rPr>
        <w:endnoteReference w:id="727"/>
      </w:r>
      <w:r>
        <w:t xml:space="preserve"> The level of detail at which the ABS Personal Safety Survey data can be outputted varies depending on estimates about male/female victims or physical/sexual abuse, which reflects differences in prevalence rates.</w:t>
      </w:r>
      <w:r>
        <w:rPr>
          <w:rStyle w:val="EndnoteReference"/>
        </w:rPr>
        <w:endnoteReference w:id="728"/>
      </w:r>
    </w:p>
    <w:p w14:paraId="0CD211C4" w14:textId="77777777" w:rsidR="00A90ED5" w:rsidRDefault="00A90ED5" w:rsidP="00A90ED5">
      <w:pPr>
        <w:jc w:val="both"/>
      </w:pPr>
      <w:r>
        <w:t>Fathers, mothers, siblings, other relatives or in-laws, non-family members known to the victim and strangers, for example, were provided to me as separate perpetrator types in the estimated data about all male physical abuse victims aged 0 to 14 years. None of these perpetrator types were provided separately, however, in the estimated data about male physical abuse victims by the four different age categories (under 4, 4 to 9, 10 to 11 and 12 to 14).</w:t>
      </w:r>
    </w:p>
    <w:p w14:paraId="72005016" w14:textId="77777777" w:rsidR="00A90ED5" w:rsidRDefault="00A90ED5" w:rsidP="00A90ED5">
      <w:pPr>
        <w:jc w:val="both"/>
      </w:pPr>
      <w:r>
        <w:t>Similarly, fathers and stepfathers were provided to me as two separate perpetrator types in the estimated data about all female sexual abuse victims aged 0 to 14 years. The perpetrator type is aggregated to a single father/stepfather category, however, in the estimated data provided to me about female sexual abuse victims by the four different age categories (under 4, 4 to 9, 10 to 11 and 12 to 14).</w:t>
      </w:r>
    </w:p>
    <w:p w14:paraId="110D4B90" w14:textId="77777777" w:rsidR="00A90ED5" w:rsidRDefault="00A90ED5" w:rsidP="00A90ED5">
      <w:pPr>
        <w:jc w:val="both"/>
      </w:pPr>
      <w:r>
        <w:t>The ABS provided me with the most detailed estimated data possible about children’s experience of physical abuse and sexual abuse before the age of 15. This appendix presents the data that ABS provided me with.</w:t>
      </w:r>
    </w:p>
    <w:p w14:paraId="4618989F" w14:textId="33481DCB" w:rsidR="00A90ED5" w:rsidRPr="008C045D" w:rsidRDefault="00A90ED5" w:rsidP="00A90ED5">
      <w:pPr>
        <w:pStyle w:val="Heading3"/>
        <w:numPr>
          <w:ilvl w:val="0"/>
          <w:numId w:val="0"/>
        </w:numPr>
        <w:ind w:left="851" w:hanging="851"/>
      </w:pPr>
      <w:bookmarkStart w:id="258" w:name="_Toc430168433"/>
      <w:bookmarkStart w:id="259" w:name="_Toc432144065"/>
      <w:r>
        <w:t xml:space="preserve">9.1 </w:t>
      </w:r>
      <w:r w:rsidRPr="008C045D">
        <w:t>Estimated number of children who experienced physical abuse</w:t>
      </w:r>
      <w:bookmarkEnd w:id="258"/>
      <w:bookmarkEnd w:id="259"/>
    </w:p>
    <w:p w14:paraId="38A3E647" w14:textId="4E5E8913" w:rsidR="00A90ED5" w:rsidRPr="008C045D" w:rsidRDefault="00A90ED5" w:rsidP="00A90ED5">
      <w:pPr>
        <w:pStyle w:val="Heading4"/>
        <w:numPr>
          <w:ilvl w:val="0"/>
          <w:numId w:val="0"/>
        </w:numPr>
        <w:ind w:left="851" w:hanging="851"/>
      </w:pPr>
      <w:bookmarkStart w:id="260" w:name="_Toc430168434"/>
      <w:bookmarkStart w:id="261" w:name="_Toc432144066"/>
      <w:r>
        <w:t xml:space="preserve">9.1.1 </w:t>
      </w:r>
      <w:r w:rsidRPr="008C045D">
        <w:t>Males experiences of physical abuse before the age of 15</w:t>
      </w:r>
      <w:bookmarkEnd w:id="260"/>
      <w:bookmarkEnd w:id="261"/>
    </w:p>
    <w:p w14:paraId="02C5F575" w14:textId="77777777" w:rsidR="00A90ED5" w:rsidRPr="00E20F06" w:rsidRDefault="00A90ED5" w:rsidP="00A90ED5">
      <w:pPr>
        <w:jc w:val="both"/>
      </w:pPr>
      <w:r>
        <w:t xml:space="preserve">According to the 2012 Personal Safety Survey data, it was estimated there were </w:t>
      </w:r>
      <w:r w:rsidRPr="005C0E0D">
        <w:rPr>
          <w:b/>
        </w:rPr>
        <w:t xml:space="preserve">824,300 adult men who first experienced physical abuse as a </w:t>
      </w:r>
      <w:r>
        <w:rPr>
          <w:b/>
        </w:rPr>
        <w:t>child aged between 0 to 14 years</w:t>
      </w:r>
      <w:r>
        <w:t>:</w:t>
      </w:r>
    </w:p>
    <w:p w14:paraId="7F663DCD" w14:textId="77777777" w:rsidR="00A90ED5" w:rsidRDefault="00A90ED5" w:rsidP="000D1D92">
      <w:pPr>
        <w:pStyle w:val="ListParagraph"/>
        <w:numPr>
          <w:ilvl w:val="0"/>
          <w:numId w:val="67"/>
        </w:numPr>
        <w:jc w:val="both"/>
      </w:pPr>
      <w:r w:rsidRPr="005C0E0D">
        <w:rPr>
          <w:b/>
        </w:rPr>
        <w:t>Fathers</w:t>
      </w:r>
      <w:r>
        <w:rPr>
          <w:b/>
        </w:rPr>
        <w:t>/stepfathers</w:t>
      </w:r>
      <w:r w:rsidRPr="005C0E0D">
        <w:rPr>
          <w:b/>
        </w:rPr>
        <w:t xml:space="preserve"> are estimated to account for the largest proportion of perpetrators</w:t>
      </w:r>
      <w:r>
        <w:t xml:space="preserve"> in the first incident of physical abuse experienced by male children (57.77% or 476,200), followed by </w:t>
      </w:r>
      <w:r w:rsidRPr="007C7C24">
        <w:rPr>
          <w:b/>
        </w:rPr>
        <w:t>non-family members known to the victim</w:t>
      </w:r>
      <w:r>
        <w:t xml:space="preserve"> (23.03% or 189,900), then </w:t>
      </w:r>
      <w:r w:rsidRPr="007C7C24">
        <w:rPr>
          <w:b/>
        </w:rPr>
        <w:t>mothers</w:t>
      </w:r>
      <w:r>
        <w:rPr>
          <w:b/>
        </w:rPr>
        <w:t>/stepmothers</w:t>
      </w:r>
      <w:r>
        <w:t xml:space="preserve"> (16.15% or 133,200), and then </w:t>
      </w:r>
      <w:r w:rsidRPr="007C7C24">
        <w:rPr>
          <w:b/>
        </w:rPr>
        <w:t>strangers</w:t>
      </w:r>
      <w:r>
        <w:t xml:space="preserve"> (8.12% or 66,700).</w:t>
      </w:r>
    </w:p>
    <w:p w14:paraId="105DD970" w14:textId="77777777" w:rsidR="00A90ED5" w:rsidRPr="00DC24B0" w:rsidRDefault="00A90ED5" w:rsidP="000D1D92">
      <w:pPr>
        <w:pStyle w:val="ListParagraph"/>
        <w:numPr>
          <w:ilvl w:val="0"/>
          <w:numId w:val="67"/>
        </w:numPr>
        <w:jc w:val="both"/>
      </w:pPr>
      <w:r w:rsidRPr="00DC24B0">
        <w:t xml:space="preserve">Of the 504,900 male children aged 0 to 14 years whose first incident of </w:t>
      </w:r>
      <w:r w:rsidRPr="00C30B79">
        <w:rPr>
          <w:b/>
        </w:rPr>
        <w:t>physical abuse was perpetrated by a parent, 302,000 (59.8%) were aged between 4 and 9 years</w:t>
      </w:r>
      <w:r w:rsidRPr="00DC24B0">
        <w:t xml:space="preserve"> when the incident occurred.</w:t>
      </w:r>
    </w:p>
    <w:p w14:paraId="7B6B60BF" w14:textId="77777777" w:rsidR="00A90ED5" w:rsidRDefault="00A90ED5" w:rsidP="00A90ED5">
      <w:pPr>
        <w:jc w:val="both"/>
      </w:pPr>
      <w:r>
        <w:rPr>
          <w:noProof/>
        </w:rPr>
        <w:lastRenderedPageBreak/>
        <w:drawing>
          <wp:inline distT="0" distB="0" distL="0" distR="0" wp14:anchorId="688FC2C2" wp14:editId="6E2F803D">
            <wp:extent cx="5759450" cy="3167380"/>
            <wp:effectExtent l="0" t="0" r="12700" b="13970"/>
            <wp:docPr id="29" name="Chart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67"/>
              </a:graphicData>
            </a:graphic>
          </wp:inline>
        </w:drawing>
      </w:r>
    </w:p>
    <w:p w14:paraId="616B6F07" w14:textId="77777777" w:rsidR="00A90ED5" w:rsidRDefault="00A90ED5" w:rsidP="00A90ED5">
      <w:pPr>
        <w:jc w:val="both"/>
      </w:pPr>
      <w:r w:rsidRPr="0050122E">
        <w:rPr>
          <w:sz w:val="20"/>
          <w:szCs w:val="20"/>
        </w:rPr>
        <w:t>* Estimate has a relative standard error of 25% to 50% and should be used with caution.</w:t>
      </w:r>
    </w:p>
    <w:p w14:paraId="718F5241" w14:textId="77777777" w:rsidR="00A90ED5" w:rsidRDefault="00A90ED5" w:rsidP="00A90ED5">
      <w:pPr>
        <w:jc w:val="both"/>
      </w:pPr>
      <w:r>
        <w:rPr>
          <w:noProof/>
        </w:rPr>
        <w:drawing>
          <wp:inline distT="0" distB="0" distL="0" distR="0" wp14:anchorId="2F57965A" wp14:editId="4E2FCDA4">
            <wp:extent cx="5759450" cy="3167380"/>
            <wp:effectExtent l="0" t="0" r="12700" b="13970"/>
            <wp:docPr id="30" name="Chart 30"/>
            <wp:cNvGraphicFramePr/>
            <a:graphic xmlns:a="http://schemas.openxmlformats.org/drawingml/2006/main">
              <a:graphicData uri="http://schemas.openxmlformats.org/drawingml/2006/chart">
                <c:chart xmlns:c="http://schemas.openxmlformats.org/drawingml/2006/chart" xmlns:r="http://schemas.openxmlformats.org/officeDocument/2006/relationships" r:id="rId68"/>
              </a:graphicData>
            </a:graphic>
          </wp:inline>
        </w:drawing>
      </w:r>
    </w:p>
    <w:p w14:paraId="22538B57" w14:textId="77777777" w:rsidR="00A90ED5" w:rsidRDefault="00A90ED5" w:rsidP="00A90ED5">
      <w:pPr>
        <w:jc w:val="both"/>
      </w:pPr>
      <w:r w:rsidRPr="0050122E">
        <w:rPr>
          <w:sz w:val="20"/>
          <w:szCs w:val="20"/>
        </w:rPr>
        <w:t>* Estimate has a relative standard error of 25% to 50% and should be used with caution.</w:t>
      </w:r>
    </w:p>
    <w:p w14:paraId="7A1548AA" w14:textId="79DAED50" w:rsidR="00A90ED5" w:rsidRPr="008C045D" w:rsidRDefault="00A90ED5" w:rsidP="00A90ED5">
      <w:pPr>
        <w:pStyle w:val="Heading4"/>
        <w:numPr>
          <w:ilvl w:val="0"/>
          <w:numId w:val="0"/>
        </w:numPr>
        <w:ind w:left="851" w:hanging="851"/>
      </w:pPr>
      <w:bookmarkStart w:id="262" w:name="_Toc432144067"/>
      <w:bookmarkStart w:id="263" w:name="_Toc430168435"/>
      <w:r>
        <w:t xml:space="preserve">9.1.2 </w:t>
      </w:r>
      <w:r w:rsidRPr="008C045D">
        <w:t>Females experiences of physical abuse before the age of 15</w:t>
      </w:r>
      <w:bookmarkEnd w:id="262"/>
    </w:p>
    <w:bookmarkEnd w:id="263"/>
    <w:p w14:paraId="1D91AD94" w14:textId="77777777" w:rsidR="00A90ED5" w:rsidRDefault="00A90ED5" w:rsidP="00A90ED5">
      <w:pPr>
        <w:jc w:val="both"/>
      </w:pPr>
      <w:r>
        <w:t xml:space="preserve">According to the 2012 Personal Safety Survey data, it was estimated there were </w:t>
      </w:r>
      <w:r w:rsidRPr="00ED3952">
        <w:rPr>
          <w:b/>
        </w:rPr>
        <w:t>935,600 adult women who first experienced physical abuse as a child aged between 0 to 14 years</w:t>
      </w:r>
      <w:r>
        <w:t>:</w:t>
      </w:r>
    </w:p>
    <w:p w14:paraId="78BCB824" w14:textId="77777777" w:rsidR="00A90ED5" w:rsidRDefault="00A90ED5" w:rsidP="000D1D92">
      <w:pPr>
        <w:pStyle w:val="ListParagraph"/>
        <w:numPr>
          <w:ilvl w:val="0"/>
          <w:numId w:val="70"/>
        </w:numPr>
        <w:jc w:val="both"/>
      </w:pPr>
      <w:r>
        <w:rPr>
          <w:b/>
        </w:rPr>
        <w:t xml:space="preserve">Fathers are estimated to account for the largest proportion of perpetrators </w:t>
      </w:r>
      <w:r>
        <w:t xml:space="preserve">in the first incident of physical abuse experienced by female children (46.16% or 431,900), followed by </w:t>
      </w:r>
      <w:r w:rsidRPr="00C77D62">
        <w:rPr>
          <w:b/>
        </w:rPr>
        <w:t>mothers</w:t>
      </w:r>
      <w:r>
        <w:t xml:space="preserve"> (34.05% or 318,600), then </w:t>
      </w:r>
      <w:r w:rsidRPr="00C77D62">
        <w:rPr>
          <w:b/>
        </w:rPr>
        <w:lastRenderedPageBreak/>
        <w:t>non-family members known to the victim</w:t>
      </w:r>
      <w:r>
        <w:t xml:space="preserve"> (9.87% or 92,400), then </w:t>
      </w:r>
      <w:r w:rsidRPr="00C77D62">
        <w:rPr>
          <w:b/>
        </w:rPr>
        <w:t>stepfathers</w:t>
      </w:r>
      <w:r>
        <w:t xml:space="preserve"> (7.25% or 67,900), then </w:t>
      </w:r>
      <w:r w:rsidRPr="00C77D62">
        <w:rPr>
          <w:b/>
        </w:rPr>
        <w:t>other relatives or in-laws</w:t>
      </w:r>
      <w:r>
        <w:t xml:space="preserve"> (6.13% or 57,400), then </w:t>
      </w:r>
      <w:r w:rsidRPr="00C77D62">
        <w:rPr>
          <w:b/>
        </w:rPr>
        <w:t>brothers/stepbrothers</w:t>
      </w:r>
      <w:r>
        <w:t xml:space="preserve"> (4.82% or 45,100), and then </w:t>
      </w:r>
      <w:r w:rsidRPr="00C77D62">
        <w:rPr>
          <w:b/>
        </w:rPr>
        <w:t>stepmothers</w:t>
      </w:r>
      <w:r>
        <w:t xml:space="preserve"> (1.89% or 17,700).</w:t>
      </w:r>
    </w:p>
    <w:p w14:paraId="7AF131D0" w14:textId="77777777" w:rsidR="00A90ED5" w:rsidRDefault="00A90ED5" w:rsidP="000D1D92">
      <w:pPr>
        <w:pStyle w:val="ListParagraph"/>
        <w:numPr>
          <w:ilvl w:val="0"/>
          <w:numId w:val="68"/>
        </w:numPr>
        <w:jc w:val="both"/>
      </w:pPr>
      <w:r>
        <w:t xml:space="preserve">Of the 431,900 female children aged 0 to 14 years whose first incident of </w:t>
      </w:r>
      <w:r w:rsidRPr="00C30B79">
        <w:rPr>
          <w:b/>
        </w:rPr>
        <w:t>physical abuse was perpetrated by their father, 246,900 (57.16%) were aged between 4 and 9 years</w:t>
      </w:r>
      <w:r>
        <w:t xml:space="preserve"> when the incident occurred.</w:t>
      </w:r>
    </w:p>
    <w:p w14:paraId="1210F8C5" w14:textId="77777777" w:rsidR="00A90ED5" w:rsidRDefault="00A90ED5" w:rsidP="000D1D92">
      <w:pPr>
        <w:pStyle w:val="ListParagraph"/>
        <w:numPr>
          <w:ilvl w:val="0"/>
          <w:numId w:val="68"/>
        </w:numPr>
        <w:jc w:val="both"/>
      </w:pPr>
      <w:r>
        <w:t xml:space="preserve">Of the 318,600 female children aged 0 to 14 years whose first incident of </w:t>
      </w:r>
      <w:r w:rsidRPr="00C30B79">
        <w:rPr>
          <w:b/>
        </w:rPr>
        <w:t>physical abuse was perpetrated by their mother, 190,000 (59.63%) were aged between 4 and 9 years</w:t>
      </w:r>
      <w:r>
        <w:t xml:space="preserve"> when the incident occurred.</w:t>
      </w:r>
    </w:p>
    <w:p w14:paraId="302448F4" w14:textId="77777777" w:rsidR="00A90ED5" w:rsidRPr="000854A1" w:rsidRDefault="00A90ED5" w:rsidP="00A90ED5">
      <w:pPr>
        <w:jc w:val="both"/>
        <w:rPr>
          <w:b/>
        </w:rPr>
      </w:pPr>
      <w:r>
        <w:rPr>
          <w:noProof/>
        </w:rPr>
        <w:drawing>
          <wp:inline distT="0" distB="0" distL="0" distR="0" wp14:anchorId="1AF0E958" wp14:editId="27348380">
            <wp:extent cx="5759450" cy="3167380"/>
            <wp:effectExtent l="0" t="0" r="12700" b="13970"/>
            <wp:docPr id="31" name="Chart 31"/>
            <wp:cNvGraphicFramePr/>
            <a:graphic xmlns:a="http://schemas.openxmlformats.org/drawingml/2006/main">
              <a:graphicData uri="http://schemas.openxmlformats.org/drawingml/2006/chart">
                <c:chart xmlns:c="http://schemas.openxmlformats.org/drawingml/2006/chart" xmlns:r="http://schemas.openxmlformats.org/officeDocument/2006/relationships" r:id="rId69"/>
              </a:graphicData>
            </a:graphic>
          </wp:inline>
        </w:drawing>
      </w:r>
    </w:p>
    <w:p w14:paraId="7B0F72A2" w14:textId="77777777" w:rsidR="00A90ED5" w:rsidRDefault="00A90ED5" w:rsidP="00A90ED5">
      <w:pPr>
        <w:jc w:val="both"/>
      </w:pPr>
      <w:r w:rsidRPr="0050122E">
        <w:rPr>
          <w:sz w:val="20"/>
          <w:szCs w:val="20"/>
        </w:rPr>
        <w:t>* Estimate has a relative standard error of 25% to 50% and should be used with caution.</w:t>
      </w:r>
    </w:p>
    <w:p w14:paraId="1AADA152" w14:textId="77777777" w:rsidR="00A90ED5" w:rsidRDefault="00A90ED5" w:rsidP="00A90ED5">
      <w:pPr>
        <w:jc w:val="both"/>
      </w:pPr>
      <w:r>
        <w:rPr>
          <w:noProof/>
        </w:rPr>
        <w:drawing>
          <wp:inline distT="0" distB="0" distL="0" distR="0" wp14:anchorId="24A597A0" wp14:editId="7FB68B98">
            <wp:extent cx="5759450" cy="3167380"/>
            <wp:effectExtent l="0" t="0" r="12700" b="13970"/>
            <wp:docPr id="672" name="Chart 672"/>
            <wp:cNvGraphicFramePr/>
            <a:graphic xmlns:a="http://schemas.openxmlformats.org/drawingml/2006/main">
              <a:graphicData uri="http://schemas.openxmlformats.org/drawingml/2006/chart">
                <c:chart xmlns:c="http://schemas.openxmlformats.org/drawingml/2006/chart" xmlns:r="http://schemas.openxmlformats.org/officeDocument/2006/relationships" r:id="rId70"/>
              </a:graphicData>
            </a:graphic>
          </wp:inline>
        </w:drawing>
      </w:r>
    </w:p>
    <w:p w14:paraId="121292FF" w14:textId="77777777" w:rsidR="00A90ED5" w:rsidRDefault="00A90ED5" w:rsidP="00A90ED5">
      <w:pPr>
        <w:jc w:val="both"/>
      </w:pPr>
      <w:r w:rsidRPr="0050122E">
        <w:rPr>
          <w:sz w:val="20"/>
          <w:szCs w:val="20"/>
        </w:rPr>
        <w:t>* Estimate has a relative standard error of 25% to 50% and should be used with caution.</w:t>
      </w:r>
    </w:p>
    <w:p w14:paraId="6D9DE9B2" w14:textId="6649F1D2" w:rsidR="00A90ED5" w:rsidRPr="008C045D" w:rsidRDefault="00A90ED5" w:rsidP="00E51B5E">
      <w:pPr>
        <w:pStyle w:val="Heading3"/>
        <w:numPr>
          <w:ilvl w:val="0"/>
          <w:numId w:val="0"/>
        </w:numPr>
        <w:ind w:left="851" w:hanging="851"/>
      </w:pPr>
      <w:bookmarkStart w:id="264" w:name="_Toc430168436"/>
      <w:bookmarkStart w:id="265" w:name="_Toc432144068"/>
      <w:r>
        <w:lastRenderedPageBreak/>
        <w:t xml:space="preserve">9.2 </w:t>
      </w:r>
      <w:r w:rsidRPr="008C045D">
        <w:t>Estimated number of children who experienced sexual abuse</w:t>
      </w:r>
      <w:bookmarkEnd w:id="264"/>
      <w:bookmarkEnd w:id="265"/>
    </w:p>
    <w:p w14:paraId="5E1B402F" w14:textId="3782FD37" w:rsidR="00A90ED5" w:rsidRPr="008C045D" w:rsidRDefault="00A90ED5" w:rsidP="00A90ED5">
      <w:pPr>
        <w:pStyle w:val="Heading4"/>
        <w:numPr>
          <w:ilvl w:val="0"/>
          <w:numId w:val="0"/>
        </w:numPr>
        <w:ind w:left="851" w:hanging="851"/>
      </w:pPr>
      <w:bookmarkStart w:id="266" w:name="_Toc430168437"/>
      <w:bookmarkStart w:id="267" w:name="_Toc432144069"/>
      <w:r>
        <w:t xml:space="preserve">9.2.1 </w:t>
      </w:r>
      <w:r w:rsidRPr="008C045D">
        <w:t>Male experiences of sexual abuse before the age of 15</w:t>
      </w:r>
      <w:bookmarkEnd w:id="266"/>
      <w:bookmarkEnd w:id="267"/>
    </w:p>
    <w:p w14:paraId="567A21EA" w14:textId="77777777" w:rsidR="00A90ED5" w:rsidRPr="00606047" w:rsidRDefault="00A90ED5" w:rsidP="00A90ED5">
      <w:pPr>
        <w:jc w:val="both"/>
        <w:rPr>
          <w:b/>
        </w:rPr>
      </w:pPr>
      <w:r>
        <w:t xml:space="preserve">According to the 2012 Personal Safety Survey data, it was estimated there were </w:t>
      </w:r>
      <w:r w:rsidRPr="00665019">
        <w:rPr>
          <w:b/>
        </w:rPr>
        <w:t>354,100 adult men who first experienced sexual abuse as a child aged between 0 to 14 years</w:t>
      </w:r>
      <w:r>
        <w:rPr>
          <w:b/>
        </w:rPr>
        <w:t>:</w:t>
      </w:r>
    </w:p>
    <w:p w14:paraId="2673FBDB" w14:textId="77777777" w:rsidR="00A90ED5" w:rsidRDefault="00A90ED5" w:rsidP="000D1D92">
      <w:pPr>
        <w:pStyle w:val="ListParagraph"/>
        <w:numPr>
          <w:ilvl w:val="0"/>
          <w:numId w:val="69"/>
        </w:numPr>
        <w:jc w:val="both"/>
      </w:pPr>
      <w:r w:rsidRPr="00665019">
        <w:rPr>
          <w:b/>
        </w:rPr>
        <w:t>Non-family members known to the victim are estimated to account for the largest proportion of perpetrators</w:t>
      </w:r>
      <w:r>
        <w:t xml:space="preserve"> in the first incident of sexual abuse experienced by male children (60.88% or 215,600), followed by </w:t>
      </w:r>
      <w:r w:rsidRPr="00606047">
        <w:rPr>
          <w:b/>
        </w:rPr>
        <w:t>family members</w:t>
      </w:r>
      <w:r>
        <w:t xml:space="preserve"> (27.61% or 97,800), and then </w:t>
      </w:r>
      <w:r w:rsidRPr="00606047">
        <w:rPr>
          <w:b/>
        </w:rPr>
        <w:t>strangers</w:t>
      </w:r>
      <w:r>
        <w:t xml:space="preserve"> (14.09% or 49,900).</w:t>
      </w:r>
    </w:p>
    <w:p w14:paraId="4A91BEF9" w14:textId="77777777" w:rsidR="00A90ED5" w:rsidRDefault="00A90ED5" w:rsidP="00A90ED5">
      <w:pPr>
        <w:jc w:val="both"/>
      </w:pPr>
      <w:r>
        <w:rPr>
          <w:noProof/>
        </w:rPr>
        <w:drawing>
          <wp:inline distT="0" distB="0" distL="0" distR="0" wp14:anchorId="19164872" wp14:editId="06E60B91">
            <wp:extent cx="5648897" cy="3105917"/>
            <wp:effectExtent l="0" t="0" r="9525" b="18415"/>
            <wp:docPr id="195" name="Chart 195"/>
            <wp:cNvGraphicFramePr/>
            <a:graphic xmlns:a="http://schemas.openxmlformats.org/drawingml/2006/main">
              <a:graphicData uri="http://schemas.openxmlformats.org/drawingml/2006/chart">
                <c:chart xmlns:c="http://schemas.openxmlformats.org/drawingml/2006/chart" xmlns:r="http://schemas.openxmlformats.org/officeDocument/2006/relationships" r:id="rId71"/>
              </a:graphicData>
            </a:graphic>
          </wp:inline>
        </w:drawing>
      </w:r>
    </w:p>
    <w:p w14:paraId="54583C0F" w14:textId="77777777" w:rsidR="00A90ED5" w:rsidRDefault="00A90ED5" w:rsidP="00A90ED5">
      <w:pPr>
        <w:jc w:val="both"/>
      </w:pPr>
      <w:r w:rsidRPr="0050122E">
        <w:rPr>
          <w:sz w:val="20"/>
          <w:szCs w:val="20"/>
        </w:rPr>
        <w:t>* Estimate has a relative standard error of 25% to 50% and should be used with caution.</w:t>
      </w:r>
    </w:p>
    <w:p w14:paraId="5804F0FA" w14:textId="6E36A383" w:rsidR="00A90ED5" w:rsidRDefault="00A90ED5" w:rsidP="00A90ED5">
      <w:pPr>
        <w:pStyle w:val="Heading4"/>
        <w:numPr>
          <w:ilvl w:val="0"/>
          <w:numId w:val="0"/>
        </w:numPr>
        <w:ind w:left="851" w:hanging="851"/>
      </w:pPr>
      <w:bookmarkStart w:id="268" w:name="_Toc430168438"/>
      <w:bookmarkStart w:id="269" w:name="_Toc432144070"/>
      <w:r>
        <w:t>9.2.2 Female experiences of sexual abuse before the age of 15</w:t>
      </w:r>
      <w:bookmarkEnd w:id="268"/>
      <w:bookmarkEnd w:id="269"/>
    </w:p>
    <w:p w14:paraId="509D8561" w14:textId="77777777" w:rsidR="00A90ED5" w:rsidRDefault="00A90ED5" w:rsidP="00A90ED5">
      <w:pPr>
        <w:jc w:val="both"/>
      </w:pPr>
      <w:r>
        <w:t xml:space="preserve">According to the 2012 Personal Safety Survey data, it was estimated there were </w:t>
      </w:r>
      <w:r w:rsidRPr="0041246F">
        <w:rPr>
          <w:b/>
        </w:rPr>
        <w:t>1,092,200 adult women who first experienced sexual abuse as a child aged between 0 to 14 years</w:t>
      </w:r>
      <w:r>
        <w:t>:</w:t>
      </w:r>
    </w:p>
    <w:p w14:paraId="4612BCEB" w14:textId="77777777" w:rsidR="00A90ED5" w:rsidRDefault="00A90ED5" w:rsidP="000D1D92">
      <w:pPr>
        <w:pStyle w:val="ListParagraph"/>
        <w:numPr>
          <w:ilvl w:val="0"/>
          <w:numId w:val="69"/>
        </w:numPr>
        <w:jc w:val="both"/>
      </w:pPr>
      <w:r w:rsidRPr="0041246F">
        <w:rPr>
          <w:b/>
        </w:rPr>
        <w:t>Family members are estimated to account for the largest proportion of perpetrators</w:t>
      </w:r>
      <w:r>
        <w:t xml:space="preserve"> in the first incident of sexual abuse experienced by female children (47.17% or 515,200), followed by </w:t>
      </w:r>
      <w:r w:rsidRPr="00E77A58">
        <w:rPr>
          <w:b/>
        </w:rPr>
        <w:t>non-family members known to the victim</w:t>
      </w:r>
      <w:r>
        <w:t xml:space="preserve"> (44.8% or 489,400), and then </w:t>
      </w:r>
      <w:r w:rsidRPr="00E77A58">
        <w:rPr>
          <w:b/>
        </w:rPr>
        <w:t>strangers</w:t>
      </w:r>
      <w:r>
        <w:t xml:space="preserve"> (10.59% or 115,700).</w:t>
      </w:r>
    </w:p>
    <w:p w14:paraId="57E665AD" w14:textId="77777777" w:rsidR="00A90ED5" w:rsidRDefault="00A90ED5" w:rsidP="000D1D92">
      <w:pPr>
        <w:pStyle w:val="ListParagraph"/>
        <w:numPr>
          <w:ilvl w:val="0"/>
          <w:numId w:val="69"/>
        </w:numPr>
        <w:jc w:val="both"/>
      </w:pPr>
      <w:r w:rsidRPr="0041246F">
        <w:rPr>
          <w:b/>
        </w:rPr>
        <w:t>Male relatives or in-laws are estimated to account for more than half of the family member perpetrators</w:t>
      </w:r>
      <w:r>
        <w:t xml:space="preserve"> (57.45% or 296,000), followed by </w:t>
      </w:r>
      <w:r w:rsidRPr="00E77A58">
        <w:rPr>
          <w:b/>
        </w:rPr>
        <w:t>fathers</w:t>
      </w:r>
      <w:r>
        <w:t xml:space="preserve"> (17.52% or 90,300), then </w:t>
      </w:r>
      <w:r w:rsidRPr="00E77A58">
        <w:rPr>
          <w:b/>
        </w:rPr>
        <w:t>brothers/stepbrothers</w:t>
      </w:r>
      <w:r>
        <w:t xml:space="preserve"> (14.46% or 74,500), and then </w:t>
      </w:r>
      <w:r w:rsidRPr="00E77A58">
        <w:rPr>
          <w:b/>
        </w:rPr>
        <w:t>stepfathers</w:t>
      </w:r>
      <w:r>
        <w:t xml:space="preserve"> (11.72% or 60,400).</w:t>
      </w:r>
    </w:p>
    <w:p w14:paraId="3CD783AD" w14:textId="77777777" w:rsidR="00A90ED5" w:rsidRDefault="00A90ED5" w:rsidP="000D1D92">
      <w:pPr>
        <w:pStyle w:val="ListParagraph"/>
        <w:numPr>
          <w:ilvl w:val="0"/>
          <w:numId w:val="69"/>
        </w:numPr>
        <w:jc w:val="both"/>
      </w:pPr>
      <w:r>
        <w:t xml:space="preserve">Of the 150,700 female children aged 0 to 14 years whose first incident of </w:t>
      </w:r>
      <w:r>
        <w:rPr>
          <w:b/>
        </w:rPr>
        <w:t>sexual abuse was perpetrated by their father/stepfather, 62,700 (41.6%) were aged between 4 and 9 years</w:t>
      </w:r>
      <w:r>
        <w:t xml:space="preserve"> when the incident occurred.</w:t>
      </w:r>
    </w:p>
    <w:p w14:paraId="32E357EB" w14:textId="77777777" w:rsidR="00A90ED5" w:rsidRDefault="00A90ED5" w:rsidP="000D1D92">
      <w:pPr>
        <w:pStyle w:val="ListParagraph"/>
        <w:numPr>
          <w:ilvl w:val="0"/>
          <w:numId w:val="69"/>
        </w:numPr>
        <w:jc w:val="both"/>
      </w:pPr>
      <w:r>
        <w:lastRenderedPageBreak/>
        <w:t xml:space="preserve">Of the 74,500 female children aged 0 to 14 years whose first incident of </w:t>
      </w:r>
      <w:r w:rsidRPr="00DC1B60">
        <w:rPr>
          <w:b/>
        </w:rPr>
        <w:t>sexual</w:t>
      </w:r>
      <w:r>
        <w:t xml:space="preserve"> </w:t>
      </w:r>
      <w:r>
        <w:rPr>
          <w:b/>
        </w:rPr>
        <w:t>abuse was perpetrated by their brother/stepbrother, 42,300 (56.77%) were aged between 4 and 9 years</w:t>
      </w:r>
      <w:r>
        <w:t xml:space="preserve"> when the incident occurred.</w:t>
      </w:r>
    </w:p>
    <w:p w14:paraId="56B0A491" w14:textId="77777777" w:rsidR="00A90ED5" w:rsidRDefault="00A90ED5" w:rsidP="000D1D92">
      <w:pPr>
        <w:pStyle w:val="ListParagraph"/>
        <w:numPr>
          <w:ilvl w:val="0"/>
          <w:numId w:val="69"/>
        </w:numPr>
        <w:jc w:val="both"/>
      </w:pPr>
      <w:r>
        <w:t xml:space="preserve">Of the 296,000 female children aged 0 to 14 years whose first incident of </w:t>
      </w:r>
      <w:r>
        <w:rPr>
          <w:b/>
        </w:rPr>
        <w:t>sexual abuse was perpetrated by some other male relative or in-law, 162,000 (54.72%) were aged between 4 and 9 years</w:t>
      </w:r>
      <w:r>
        <w:t xml:space="preserve"> when the incident occurred.</w:t>
      </w:r>
    </w:p>
    <w:p w14:paraId="51A6327B" w14:textId="77777777" w:rsidR="00A90ED5" w:rsidRDefault="00A90ED5" w:rsidP="00A90ED5">
      <w:pPr>
        <w:jc w:val="both"/>
      </w:pPr>
      <w:r>
        <w:rPr>
          <w:noProof/>
        </w:rPr>
        <w:drawing>
          <wp:inline distT="0" distB="0" distL="0" distR="0" wp14:anchorId="42567E76" wp14:editId="0B3E44F8">
            <wp:extent cx="5648325" cy="3095625"/>
            <wp:effectExtent l="0" t="0" r="9525" b="9525"/>
            <wp:docPr id="196" name="Chart 196"/>
            <wp:cNvGraphicFramePr/>
            <a:graphic xmlns:a="http://schemas.openxmlformats.org/drawingml/2006/main">
              <a:graphicData uri="http://schemas.openxmlformats.org/drawingml/2006/chart">
                <c:chart xmlns:c="http://schemas.openxmlformats.org/drawingml/2006/chart" xmlns:r="http://schemas.openxmlformats.org/officeDocument/2006/relationships" r:id="rId72"/>
              </a:graphicData>
            </a:graphic>
          </wp:inline>
        </w:drawing>
      </w:r>
      <w:r>
        <w:t xml:space="preserve"> </w:t>
      </w:r>
    </w:p>
    <w:p w14:paraId="6FEB706C" w14:textId="77777777" w:rsidR="00A90ED5" w:rsidRPr="00DF11DA" w:rsidRDefault="00A90ED5" w:rsidP="00A90ED5">
      <w:pPr>
        <w:jc w:val="both"/>
        <w:rPr>
          <w:sz w:val="20"/>
          <w:szCs w:val="20"/>
        </w:rPr>
      </w:pPr>
      <w:r w:rsidRPr="00DF11DA">
        <w:rPr>
          <w:sz w:val="20"/>
          <w:szCs w:val="20"/>
        </w:rPr>
        <w:t>* Estimate has a relative standard error of 25% to 50% and should be used with caution.</w:t>
      </w:r>
    </w:p>
    <w:p w14:paraId="3644D3F9" w14:textId="77777777" w:rsidR="00A90ED5" w:rsidRDefault="00A90ED5" w:rsidP="00A90ED5">
      <w:pPr>
        <w:jc w:val="both"/>
        <w:rPr>
          <w:sz w:val="20"/>
          <w:szCs w:val="20"/>
        </w:rPr>
      </w:pPr>
      <w:r w:rsidRPr="00DF11DA">
        <w:rPr>
          <w:sz w:val="20"/>
          <w:szCs w:val="20"/>
        </w:rPr>
        <w:t>** Estimate has a relative standard error of greater than 50% and is considered too unreliable for general use.</w:t>
      </w:r>
    </w:p>
    <w:p w14:paraId="0984D14D" w14:textId="77777777" w:rsidR="00A90ED5" w:rsidRPr="00DF11DA" w:rsidRDefault="00A90ED5" w:rsidP="00A90ED5">
      <w:pPr>
        <w:jc w:val="both"/>
        <w:rPr>
          <w:sz w:val="20"/>
          <w:szCs w:val="20"/>
        </w:rPr>
      </w:pPr>
      <w:r>
        <w:rPr>
          <w:noProof/>
        </w:rPr>
        <w:drawing>
          <wp:inline distT="0" distB="0" distL="0" distR="0" wp14:anchorId="6EE8983C" wp14:editId="6C253433">
            <wp:extent cx="5759450" cy="3166745"/>
            <wp:effectExtent l="0" t="0" r="12700" b="14605"/>
            <wp:docPr id="200" name="Chart 200"/>
            <wp:cNvGraphicFramePr/>
            <a:graphic xmlns:a="http://schemas.openxmlformats.org/drawingml/2006/main">
              <a:graphicData uri="http://schemas.openxmlformats.org/drawingml/2006/chart">
                <c:chart xmlns:c="http://schemas.openxmlformats.org/drawingml/2006/chart" xmlns:r="http://schemas.openxmlformats.org/officeDocument/2006/relationships" r:id="rId73"/>
              </a:graphicData>
            </a:graphic>
          </wp:inline>
        </w:drawing>
      </w:r>
    </w:p>
    <w:p w14:paraId="475E2248" w14:textId="77777777" w:rsidR="00A90ED5" w:rsidRDefault="00A90ED5" w:rsidP="00A90ED5">
      <w:pPr>
        <w:jc w:val="both"/>
      </w:pPr>
      <w:r w:rsidRPr="00DF11DA">
        <w:rPr>
          <w:sz w:val="20"/>
          <w:szCs w:val="20"/>
        </w:rPr>
        <w:t>* Estimate has a relative standard error of 25% to 50% and should be used with caution.</w:t>
      </w:r>
    </w:p>
    <w:p w14:paraId="0155FD8D" w14:textId="77777777" w:rsidR="00A90ED5" w:rsidRDefault="00A90ED5" w:rsidP="00A90ED5">
      <w:pPr>
        <w:jc w:val="both"/>
        <w:rPr>
          <w:b/>
          <w:highlight w:val="yellow"/>
        </w:rPr>
      </w:pPr>
    </w:p>
    <w:p w14:paraId="5AECB215" w14:textId="715E24DA" w:rsidR="00A90ED5" w:rsidRPr="00426C5E" w:rsidRDefault="00A90ED5" w:rsidP="00A90ED5">
      <w:pPr>
        <w:pStyle w:val="Heading2"/>
        <w:numPr>
          <w:ilvl w:val="0"/>
          <w:numId w:val="0"/>
        </w:numPr>
        <w:ind w:left="851" w:hanging="851"/>
      </w:pPr>
      <w:bookmarkStart w:id="270" w:name="_Toc430702124"/>
      <w:bookmarkStart w:id="271" w:name="_Toc432144071"/>
      <w:bookmarkStart w:id="272" w:name="_Toc432577341"/>
      <w:r>
        <w:t xml:space="preserve">Appendix 10: </w:t>
      </w:r>
      <w:r w:rsidRPr="00426C5E">
        <w:t>National Centre for Longitudinal Data</w:t>
      </w:r>
      <w:bookmarkEnd w:id="270"/>
      <w:r w:rsidRPr="00426C5E">
        <w:t xml:space="preserve"> research summaries</w:t>
      </w:r>
      <w:bookmarkEnd w:id="271"/>
      <w:bookmarkEnd w:id="272"/>
    </w:p>
    <w:p w14:paraId="4578C1BF" w14:textId="77777777" w:rsidR="00A90ED5" w:rsidRDefault="00A90ED5" w:rsidP="00A90ED5">
      <w:pPr>
        <w:rPr>
          <w:lang w:val="en-US"/>
        </w:rPr>
      </w:pPr>
      <w:r>
        <w:rPr>
          <w:lang w:val="en-US"/>
        </w:rPr>
        <w:t>Submission 62 contains the complete research summaries on partner violence provided to me by the National Centre for Longitudinal Data. Extracts are included below.</w:t>
      </w:r>
    </w:p>
    <w:p w14:paraId="44AD93D4" w14:textId="324CC8D7" w:rsidR="00A90ED5" w:rsidRPr="001D539D" w:rsidRDefault="00A90ED5" w:rsidP="00A90ED5">
      <w:pPr>
        <w:pStyle w:val="Heading3"/>
        <w:numPr>
          <w:ilvl w:val="0"/>
          <w:numId w:val="0"/>
        </w:numPr>
        <w:ind w:left="851" w:hanging="851"/>
      </w:pPr>
      <w:bookmarkStart w:id="273" w:name="_Toc432144072"/>
      <w:r>
        <w:rPr>
          <w:lang w:val="en-US"/>
        </w:rPr>
        <w:t xml:space="preserve">10.1 </w:t>
      </w:r>
      <w:r w:rsidRPr="001D539D">
        <w:rPr>
          <w:lang w:val="en-US"/>
        </w:rPr>
        <w:t>Growing Up in Australia: The Longitudinal Study of Australian Children (LSAC)</w:t>
      </w:r>
      <w:bookmarkEnd w:id="273"/>
      <w:r w:rsidRPr="001D539D">
        <w:rPr>
          <w:lang w:val="en-US"/>
        </w:rPr>
        <w:t xml:space="preserve"> </w:t>
      </w:r>
    </w:p>
    <w:p w14:paraId="520D04E1" w14:textId="77777777" w:rsidR="00A90ED5" w:rsidRPr="00F747B0" w:rsidRDefault="00A90ED5" w:rsidP="00A90ED5">
      <w:pPr>
        <w:jc w:val="both"/>
        <w:rPr>
          <w:lang w:val="en-US"/>
        </w:rPr>
      </w:pPr>
      <w:r w:rsidRPr="001D539D">
        <w:rPr>
          <w:lang w:val="en-US"/>
        </w:rPr>
        <w:t xml:space="preserve">Growing Up in Australia: The Longitudinal Study of Australian Children (LSAC) </w:t>
      </w:r>
      <w:r w:rsidRPr="00F747B0">
        <w:rPr>
          <w:lang w:val="en-US"/>
        </w:rPr>
        <w:t>has followed the development of 10,000 children, young people and families from all parts of Australia since 2004.</w:t>
      </w:r>
      <w:r>
        <w:rPr>
          <w:lang w:val="en-US"/>
        </w:rPr>
        <w:t xml:space="preserve"> The survey collects information from children and their families.</w:t>
      </w:r>
      <w:r w:rsidRPr="00F747B0">
        <w:rPr>
          <w:lang w:val="en-US"/>
        </w:rPr>
        <w:t xml:space="preserve"> LSAC has not collected direct measures of domestic violence but has included</w:t>
      </w:r>
      <w:r>
        <w:rPr>
          <w:lang w:val="en-US"/>
        </w:rPr>
        <w:t xml:space="preserve"> some indicators. </w:t>
      </w:r>
      <w:r w:rsidRPr="00F747B0">
        <w:rPr>
          <w:lang w:val="en-US"/>
        </w:rPr>
        <w:t>These include:</w:t>
      </w:r>
    </w:p>
    <w:p w14:paraId="588115E9" w14:textId="77777777" w:rsidR="00A90ED5" w:rsidRPr="00F747B0" w:rsidRDefault="00A90ED5" w:rsidP="00A90ED5">
      <w:pPr>
        <w:ind w:left="1440" w:hanging="720"/>
        <w:jc w:val="both"/>
        <w:rPr>
          <w:lang w:val="en-US"/>
        </w:rPr>
      </w:pPr>
      <w:r w:rsidRPr="00F747B0">
        <w:rPr>
          <w:lang w:val="en-US"/>
        </w:rPr>
        <w:t>1.</w:t>
      </w:r>
      <w:r w:rsidRPr="00F747B0">
        <w:rPr>
          <w:lang w:val="en-US"/>
        </w:rPr>
        <w:tab/>
        <w:t xml:space="preserve">How often is there anger or hostility </w:t>
      </w:r>
      <w:r>
        <w:rPr>
          <w:lang w:val="en-US"/>
        </w:rPr>
        <w:t>between you and your partner? (C</w:t>
      </w:r>
      <w:r w:rsidRPr="00F747B0">
        <w:rPr>
          <w:lang w:val="en-US"/>
        </w:rPr>
        <w:t>ollected since Wave 1)</w:t>
      </w:r>
    </w:p>
    <w:p w14:paraId="6B32743E" w14:textId="77777777" w:rsidR="00A90ED5" w:rsidRPr="00F747B0" w:rsidRDefault="00A90ED5" w:rsidP="00A90ED5">
      <w:pPr>
        <w:ind w:left="1440" w:hanging="720"/>
        <w:jc w:val="both"/>
        <w:rPr>
          <w:lang w:val="en-US"/>
        </w:rPr>
      </w:pPr>
      <w:r w:rsidRPr="00F747B0">
        <w:rPr>
          <w:lang w:val="en-US"/>
        </w:rPr>
        <w:t>2.</w:t>
      </w:r>
      <w:r w:rsidRPr="00F747B0">
        <w:rPr>
          <w:lang w:val="en-US"/>
        </w:rPr>
        <w:tab/>
        <w:t>How often do you have arguments with your partner that end up with people pushing,</w:t>
      </w:r>
      <w:r>
        <w:rPr>
          <w:lang w:val="en-US"/>
        </w:rPr>
        <w:t xml:space="preserve"> hitting, kicking or shoving? (C</w:t>
      </w:r>
      <w:r w:rsidRPr="00F747B0">
        <w:rPr>
          <w:lang w:val="en-US"/>
        </w:rPr>
        <w:t>ollected since Wave 1)</w:t>
      </w:r>
    </w:p>
    <w:p w14:paraId="09A25E3F" w14:textId="77777777" w:rsidR="00A90ED5" w:rsidRPr="00F747B0" w:rsidRDefault="00A90ED5" w:rsidP="00A90ED5">
      <w:pPr>
        <w:ind w:left="1440" w:hanging="720"/>
        <w:jc w:val="both"/>
        <w:rPr>
          <w:lang w:val="en-US"/>
        </w:rPr>
      </w:pPr>
      <w:r w:rsidRPr="00F747B0">
        <w:rPr>
          <w:lang w:val="en-US"/>
        </w:rPr>
        <w:t>3.</w:t>
      </w:r>
      <w:r w:rsidRPr="00F747B0">
        <w:rPr>
          <w:lang w:val="en-US"/>
        </w:rPr>
        <w:tab/>
        <w:t>Have you ever been af</w:t>
      </w:r>
      <w:r>
        <w:rPr>
          <w:lang w:val="en-US"/>
        </w:rPr>
        <w:t>raid of your current partner? (Collected since Wave 4).</w:t>
      </w:r>
    </w:p>
    <w:p w14:paraId="350643C5" w14:textId="77777777" w:rsidR="00A90ED5" w:rsidRDefault="00A90ED5" w:rsidP="00A90ED5">
      <w:pPr>
        <w:jc w:val="both"/>
        <w:rPr>
          <w:lang w:val="en-US"/>
        </w:rPr>
      </w:pPr>
      <w:r>
        <w:rPr>
          <w:lang w:val="en-US"/>
        </w:rPr>
        <w:t>LSAC recognises the indicator</w:t>
      </w:r>
      <w:r w:rsidRPr="00E509EE">
        <w:rPr>
          <w:lang w:val="en-US"/>
        </w:rPr>
        <w:t xml:space="preserve"> ‘</w:t>
      </w:r>
      <w:r>
        <w:rPr>
          <w:lang w:val="en-US"/>
        </w:rPr>
        <w:t>Have you ever been afraid of partner’</w:t>
      </w:r>
      <w:r w:rsidRPr="00E509EE">
        <w:rPr>
          <w:lang w:val="en-US"/>
        </w:rPr>
        <w:t xml:space="preserve"> </w:t>
      </w:r>
      <w:r>
        <w:rPr>
          <w:lang w:val="en-US"/>
        </w:rPr>
        <w:t>as a good domestic violence indicator.</w:t>
      </w:r>
      <w:r>
        <w:rPr>
          <w:rStyle w:val="EndnoteReference"/>
          <w:lang w:val="en-US"/>
        </w:rPr>
        <w:endnoteReference w:id="729"/>
      </w:r>
    </w:p>
    <w:p w14:paraId="4C62AED6" w14:textId="77777777" w:rsidR="00A90ED5" w:rsidRDefault="00A90ED5" w:rsidP="00A90ED5">
      <w:pPr>
        <w:jc w:val="both"/>
        <w:rPr>
          <w:lang w:val="en-US"/>
        </w:rPr>
      </w:pPr>
      <w:r>
        <w:rPr>
          <w:lang w:val="en-US"/>
        </w:rPr>
        <w:t xml:space="preserve">It used this indicator in conjunction with </w:t>
      </w:r>
      <w:r w:rsidRPr="00F747B0">
        <w:rPr>
          <w:lang w:val="en-US"/>
        </w:rPr>
        <w:t xml:space="preserve">data collected in Wave 5 in 2012 when children were 8–9 years (B cohort) and 12–13 years (K cohort) to provide </w:t>
      </w:r>
      <w:r>
        <w:rPr>
          <w:lang w:val="en-US"/>
        </w:rPr>
        <w:t>information on partner violence for my statutory report.</w:t>
      </w:r>
      <w:r w:rsidRPr="00C739A3">
        <w:rPr>
          <w:rStyle w:val="EndnoteReference"/>
          <w:lang w:val="en-US"/>
        </w:rPr>
        <w:t xml:space="preserve"> </w:t>
      </w:r>
      <w:r>
        <w:rPr>
          <w:rStyle w:val="EndnoteReference"/>
          <w:lang w:val="en-US"/>
        </w:rPr>
        <w:endnoteReference w:id="730"/>
      </w:r>
    </w:p>
    <w:p w14:paraId="00DA3285" w14:textId="77777777" w:rsidR="00A90ED5" w:rsidRDefault="00A90ED5" w:rsidP="00A90ED5">
      <w:pPr>
        <w:jc w:val="both"/>
        <w:rPr>
          <w:lang w:val="en-US"/>
        </w:rPr>
      </w:pPr>
      <w:r>
        <w:rPr>
          <w:lang w:val="en-US"/>
        </w:rPr>
        <w:t xml:space="preserve">206 of the 3,376 mothers of children aged 8-9 years in the B cohort reported they had been afraid of their partner (6.1%). </w:t>
      </w:r>
    </w:p>
    <w:p w14:paraId="4DD0C593" w14:textId="77777777" w:rsidR="00A90ED5" w:rsidRDefault="00A90ED5" w:rsidP="00A90ED5">
      <w:pPr>
        <w:jc w:val="both"/>
        <w:rPr>
          <w:lang w:val="en-US"/>
        </w:rPr>
      </w:pPr>
      <w:r>
        <w:rPr>
          <w:lang w:val="en-US"/>
        </w:rPr>
        <w:t>199 of the 3,116 mothers of children aged 12-13 years in the K cohort reported they had been afraid of their partner (6.4%).</w:t>
      </w:r>
    </w:p>
    <w:p w14:paraId="5D386727" w14:textId="46FA8D68" w:rsidR="00A90ED5" w:rsidRPr="00C27853" w:rsidRDefault="00A90ED5" w:rsidP="00A90ED5">
      <w:pPr>
        <w:pStyle w:val="Heading3"/>
        <w:numPr>
          <w:ilvl w:val="0"/>
          <w:numId w:val="0"/>
        </w:numPr>
        <w:ind w:left="851" w:hanging="851"/>
        <w:rPr>
          <w:lang w:val="en-US"/>
        </w:rPr>
      </w:pPr>
      <w:bookmarkStart w:id="274" w:name="_Toc432144073"/>
      <w:r>
        <w:rPr>
          <w:lang w:val="en-US"/>
        </w:rPr>
        <w:t xml:space="preserve">10.2 </w:t>
      </w:r>
      <w:r w:rsidRPr="00C27853">
        <w:rPr>
          <w:lang w:val="en-US"/>
        </w:rPr>
        <w:t>The LSAC key find</w:t>
      </w:r>
      <w:r>
        <w:rPr>
          <w:lang w:val="en-US"/>
        </w:rPr>
        <w:t>ings</w:t>
      </w:r>
      <w:bookmarkEnd w:id="274"/>
    </w:p>
    <w:p w14:paraId="57DA24CC" w14:textId="77777777" w:rsidR="00A90ED5" w:rsidRDefault="00A90ED5" w:rsidP="000D1D92">
      <w:pPr>
        <w:pStyle w:val="ListParagraph"/>
        <w:numPr>
          <w:ilvl w:val="0"/>
          <w:numId w:val="42"/>
        </w:numPr>
        <w:jc w:val="both"/>
        <w:rPr>
          <w:lang w:val="en-US"/>
        </w:rPr>
      </w:pPr>
      <w:r w:rsidRPr="002877CC">
        <w:rPr>
          <w:lang w:val="en-US"/>
        </w:rPr>
        <w:t>Approximately 6 per cent of mothers reported they had been afraid of their current partners. Those mothers were more likely to report higher levels of hostility and physical violence between them and their partners compared to mothers who had not been afraid of their partners.</w:t>
      </w:r>
    </w:p>
    <w:p w14:paraId="66C299F2" w14:textId="77777777" w:rsidR="00A90ED5" w:rsidRDefault="00A90ED5" w:rsidP="00A90ED5">
      <w:pPr>
        <w:pStyle w:val="ListParagraph"/>
        <w:jc w:val="both"/>
        <w:rPr>
          <w:lang w:val="en-US"/>
        </w:rPr>
      </w:pPr>
    </w:p>
    <w:p w14:paraId="5298D213" w14:textId="77777777" w:rsidR="00A90ED5" w:rsidRDefault="00A90ED5" w:rsidP="000D1D92">
      <w:pPr>
        <w:pStyle w:val="ListParagraph"/>
        <w:numPr>
          <w:ilvl w:val="0"/>
          <w:numId w:val="42"/>
        </w:numPr>
        <w:jc w:val="both"/>
        <w:rPr>
          <w:lang w:val="en-US"/>
        </w:rPr>
      </w:pPr>
      <w:r w:rsidRPr="002877CC">
        <w:rPr>
          <w:lang w:val="en-US"/>
        </w:rPr>
        <w:t xml:space="preserve">Compared to mothers in relationships not characterised by domestic violence (DV), mothers who reported they had been afraid of their partners reported </w:t>
      </w:r>
      <w:r w:rsidRPr="002877CC">
        <w:rPr>
          <w:lang w:val="en-US"/>
        </w:rPr>
        <w:lastRenderedPageBreak/>
        <w:t>lower levels of family cohesion. A similar pattern was found in the child’s report on family cohesion.</w:t>
      </w:r>
    </w:p>
    <w:p w14:paraId="4BBFF1BA" w14:textId="77777777" w:rsidR="00A90ED5" w:rsidRPr="002877CC" w:rsidRDefault="00A90ED5" w:rsidP="00A90ED5">
      <w:pPr>
        <w:pStyle w:val="ListParagraph"/>
        <w:jc w:val="both"/>
        <w:rPr>
          <w:lang w:val="en-US"/>
        </w:rPr>
      </w:pPr>
    </w:p>
    <w:p w14:paraId="1DA949B5" w14:textId="77777777" w:rsidR="00A90ED5" w:rsidRPr="002877CC" w:rsidRDefault="00A90ED5" w:rsidP="000D1D92">
      <w:pPr>
        <w:pStyle w:val="ListParagraph"/>
        <w:numPr>
          <w:ilvl w:val="0"/>
          <w:numId w:val="42"/>
        </w:numPr>
        <w:jc w:val="both"/>
        <w:rPr>
          <w:lang w:val="en-US"/>
        </w:rPr>
      </w:pPr>
      <w:r w:rsidRPr="002877CC">
        <w:rPr>
          <w:lang w:val="en-US"/>
        </w:rPr>
        <w:t>Compared to mothers not experiencing DV, mothers experiencing DV were much more likely to be in a DV situation in future years, but were also much more likely to be single in future years.</w:t>
      </w:r>
    </w:p>
    <w:p w14:paraId="027D7621" w14:textId="77777777" w:rsidR="00A90ED5" w:rsidRDefault="00A90ED5" w:rsidP="00A90ED5">
      <w:pPr>
        <w:pStyle w:val="ListParagraph"/>
        <w:jc w:val="both"/>
        <w:rPr>
          <w:lang w:val="en-US"/>
        </w:rPr>
      </w:pPr>
    </w:p>
    <w:p w14:paraId="22298D82" w14:textId="77777777" w:rsidR="00A90ED5" w:rsidRPr="00882841" w:rsidRDefault="00A90ED5" w:rsidP="000D1D92">
      <w:pPr>
        <w:pStyle w:val="ListParagraph"/>
        <w:numPr>
          <w:ilvl w:val="0"/>
          <w:numId w:val="42"/>
        </w:numPr>
        <w:jc w:val="both"/>
        <w:rPr>
          <w:lang w:val="en-US"/>
        </w:rPr>
      </w:pPr>
      <w:r w:rsidRPr="002877CC">
        <w:rPr>
          <w:lang w:val="en-US"/>
        </w:rPr>
        <w:t xml:space="preserve">Most of the demographic characteristics investigated were not related to the occurrence of DV. </w:t>
      </w:r>
      <w:r>
        <w:rPr>
          <w:lang w:val="en-US"/>
        </w:rPr>
        <w:t xml:space="preserve">Demographic characteristics included: </w:t>
      </w:r>
      <w:r w:rsidRPr="00882841">
        <w:rPr>
          <w:lang w:val="en-US"/>
        </w:rPr>
        <w:t>state of residence, remoteness, socio-economic status indicator, number of siblings, mother’s age, father’s age, mother’s country of birth, father’s country of birth, mother’s year of arrival in Australia, mother’s year of arrival in Australia, mother’s language spoken at home, father’s language spoken at home, child’s language spoken at home, mother’s indigenous status, father’s indigenous status, mother’s education level, father’s education level, mother’s employment, father’s employment, mother’s medical condition, father’s medical condition.</w:t>
      </w:r>
      <w:r>
        <w:rPr>
          <w:lang w:val="en-US"/>
        </w:rPr>
        <w:t xml:space="preserve"> </w:t>
      </w:r>
      <w:r w:rsidRPr="00882841">
        <w:rPr>
          <w:lang w:val="en-US"/>
        </w:rPr>
        <w:t>However, partners of mothers experiencing DV were more likely to have a long-term (that is, 6 months or more) medical condition(s) compared to their counterparts.</w:t>
      </w:r>
    </w:p>
    <w:p w14:paraId="2F266C94" w14:textId="77777777" w:rsidR="00A90ED5" w:rsidRDefault="00A90ED5" w:rsidP="00A90ED5">
      <w:pPr>
        <w:pStyle w:val="ListParagraph"/>
        <w:jc w:val="both"/>
        <w:rPr>
          <w:lang w:val="en-US"/>
        </w:rPr>
      </w:pPr>
    </w:p>
    <w:p w14:paraId="702024A8" w14:textId="77777777" w:rsidR="00A90ED5" w:rsidRDefault="00A90ED5" w:rsidP="000D1D92">
      <w:pPr>
        <w:pStyle w:val="ListParagraph"/>
        <w:numPr>
          <w:ilvl w:val="0"/>
          <w:numId w:val="42"/>
        </w:numPr>
        <w:jc w:val="both"/>
        <w:rPr>
          <w:lang w:val="en-US"/>
        </w:rPr>
      </w:pPr>
      <w:r w:rsidRPr="002877CC">
        <w:rPr>
          <w:lang w:val="en-US"/>
        </w:rPr>
        <w:t>Compared to mothers and their partners</w:t>
      </w:r>
      <w:r>
        <w:rPr>
          <w:lang w:val="en-US"/>
        </w:rPr>
        <w:t>’</w:t>
      </w:r>
      <w:r w:rsidRPr="002877CC">
        <w:rPr>
          <w:lang w:val="en-US"/>
        </w:rPr>
        <w:t xml:space="preserve"> not experiencing domestic violence, those experiencing DV were more likely to suffer psychological distress. </w:t>
      </w:r>
    </w:p>
    <w:p w14:paraId="1C2B3865" w14:textId="77777777" w:rsidR="00A90ED5" w:rsidRDefault="00A90ED5" w:rsidP="00A90ED5">
      <w:pPr>
        <w:pStyle w:val="ListParagraph"/>
        <w:jc w:val="both"/>
        <w:rPr>
          <w:lang w:val="en-US"/>
        </w:rPr>
      </w:pPr>
    </w:p>
    <w:p w14:paraId="411F3BCE" w14:textId="77777777" w:rsidR="00A90ED5" w:rsidRDefault="00A90ED5" w:rsidP="000D1D92">
      <w:pPr>
        <w:pStyle w:val="ListParagraph"/>
        <w:numPr>
          <w:ilvl w:val="0"/>
          <w:numId w:val="42"/>
        </w:numPr>
        <w:jc w:val="both"/>
        <w:rPr>
          <w:lang w:val="en-US"/>
        </w:rPr>
      </w:pPr>
      <w:r w:rsidRPr="002877CC">
        <w:rPr>
          <w:lang w:val="en-US"/>
        </w:rPr>
        <w:t>Mothers experiencing DV were also more likely to rate their neighbourhood as unsafe, to report less social support and to face higher numbers of stressful life events and more financial hardship.</w:t>
      </w:r>
    </w:p>
    <w:p w14:paraId="664621C1" w14:textId="77777777" w:rsidR="00A90ED5" w:rsidRDefault="00A90ED5" w:rsidP="00A90ED5">
      <w:pPr>
        <w:pStyle w:val="ListParagraph"/>
        <w:jc w:val="both"/>
        <w:rPr>
          <w:lang w:val="en-US"/>
        </w:rPr>
      </w:pPr>
    </w:p>
    <w:p w14:paraId="2B89D3BD" w14:textId="77777777" w:rsidR="00A90ED5" w:rsidRDefault="00A90ED5" w:rsidP="000D1D92">
      <w:pPr>
        <w:pStyle w:val="ListParagraph"/>
        <w:numPr>
          <w:ilvl w:val="0"/>
          <w:numId w:val="42"/>
        </w:numPr>
        <w:jc w:val="both"/>
        <w:rPr>
          <w:lang w:val="en-US"/>
        </w:rPr>
      </w:pPr>
      <w:r w:rsidRPr="002877CC">
        <w:rPr>
          <w:lang w:val="en-US"/>
        </w:rPr>
        <w:t>Mothers experiencing DV were more likely to report lower levels of parenting efficacy and their children were more likely to have social and emotional problems compared to their counterparts.</w:t>
      </w:r>
    </w:p>
    <w:p w14:paraId="618CBF57" w14:textId="1A360272" w:rsidR="00A90ED5" w:rsidRDefault="00A90ED5" w:rsidP="00A90ED5">
      <w:pPr>
        <w:pStyle w:val="Heading3"/>
        <w:numPr>
          <w:ilvl w:val="0"/>
          <w:numId w:val="0"/>
        </w:numPr>
        <w:ind w:left="851" w:hanging="851"/>
        <w:rPr>
          <w:lang w:val="en-US"/>
        </w:rPr>
      </w:pPr>
      <w:bookmarkStart w:id="275" w:name="_Toc432144074"/>
      <w:r>
        <w:rPr>
          <w:lang w:val="en-US"/>
        </w:rPr>
        <w:t xml:space="preserve">10.3 </w:t>
      </w:r>
      <w:r w:rsidRPr="00C27853">
        <w:rPr>
          <w:lang w:val="en-US"/>
        </w:rPr>
        <w:t>Footprints in Time: The Longitudinal Study of Indigenous Children (LSIC)</w:t>
      </w:r>
      <w:bookmarkEnd w:id="275"/>
      <w:r>
        <w:rPr>
          <w:lang w:val="en-US"/>
        </w:rPr>
        <w:t xml:space="preserve"> </w:t>
      </w:r>
    </w:p>
    <w:p w14:paraId="6F9569F5" w14:textId="77777777" w:rsidR="00A90ED5" w:rsidRPr="0039791C" w:rsidRDefault="00A90ED5" w:rsidP="00A90ED5">
      <w:pPr>
        <w:jc w:val="both"/>
        <w:rPr>
          <w:lang w:val="en-US"/>
        </w:rPr>
      </w:pPr>
      <w:r w:rsidRPr="001D539D">
        <w:rPr>
          <w:b/>
          <w:lang w:val="en-US"/>
        </w:rPr>
        <w:t>Footprints in Time: The Longitudinal Study of Indigenous Children (LSIC)</w:t>
      </w:r>
      <w:r w:rsidRPr="001D539D">
        <w:rPr>
          <w:lang w:val="en-US"/>
        </w:rPr>
        <w:t xml:space="preserve"> </w:t>
      </w:r>
      <w:r w:rsidRPr="0039791C">
        <w:rPr>
          <w:lang w:val="en-US"/>
        </w:rPr>
        <w:t xml:space="preserve">includes two groups of Aboriginal and/or Torres Strait Islander children who were aged 6 to 18 months (B cohort) and 3½ - 5 years (K cohort) when the study began in 2008. </w:t>
      </w:r>
    </w:p>
    <w:p w14:paraId="520ED7C9" w14:textId="77777777" w:rsidR="00A90ED5" w:rsidRPr="0039791C" w:rsidRDefault="00A90ED5" w:rsidP="00A90ED5">
      <w:pPr>
        <w:jc w:val="both"/>
        <w:rPr>
          <w:lang w:val="en-US"/>
        </w:rPr>
      </w:pPr>
      <w:r w:rsidRPr="0039791C">
        <w:rPr>
          <w:lang w:val="en-US"/>
        </w:rPr>
        <w:t>LSIC has interviewed the families of between 1,200 and 1,700 Aboriginal and Torres Strait Islander children every year since 2008. They live in urban, regional and remote areas of Australia. While all of the children in the study are Indigenous, not all the primary carers or t</w:t>
      </w:r>
      <w:r>
        <w:rPr>
          <w:lang w:val="en-US"/>
        </w:rPr>
        <w:t xml:space="preserve">heir partners are Indigenous.  </w:t>
      </w:r>
    </w:p>
    <w:p w14:paraId="1E79168F" w14:textId="77777777" w:rsidR="00A90ED5" w:rsidRDefault="00A90ED5" w:rsidP="00A90ED5">
      <w:pPr>
        <w:jc w:val="both"/>
        <w:rPr>
          <w:lang w:val="en-US"/>
        </w:rPr>
      </w:pPr>
      <w:r>
        <w:rPr>
          <w:lang w:val="en-US"/>
        </w:rPr>
        <w:t xml:space="preserve">The research summary provided by LSIC included data collected in Wave 3 (2010) in conjunction with the question: </w:t>
      </w:r>
    </w:p>
    <w:p w14:paraId="26632BF1" w14:textId="77777777" w:rsidR="00A90ED5" w:rsidRDefault="00A90ED5" w:rsidP="00A90ED5">
      <w:pPr>
        <w:ind w:left="720"/>
        <w:jc w:val="both"/>
        <w:rPr>
          <w:lang w:val="en-US"/>
        </w:rPr>
      </w:pPr>
      <w:r w:rsidRPr="00E509EE">
        <w:rPr>
          <w:lang w:val="en-US"/>
        </w:rPr>
        <w:t>How often do you have arguments with your partner that end up with people pushing, hitting, kicking or shoving?</w:t>
      </w:r>
    </w:p>
    <w:p w14:paraId="459974AC" w14:textId="77777777" w:rsidR="00A90ED5" w:rsidRDefault="00A90ED5" w:rsidP="00A90ED5">
      <w:pPr>
        <w:jc w:val="both"/>
        <w:rPr>
          <w:lang w:val="en-US"/>
        </w:rPr>
      </w:pPr>
      <w:r>
        <w:rPr>
          <w:lang w:val="en-US"/>
        </w:rPr>
        <w:lastRenderedPageBreak/>
        <w:t xml:space="preserve">833 mothers of children aged mostly 3 or 6 years in Wave 3 (2010) were asked whether they have arguments with their partner that end up with people pushing, hitting, kicking and shoving. </w:t>
      </w:r>
    </w:p>
    <w:p w14:paraId="2B1DC633" w14:textId="77777777" w:rsidR="00A90ED5" w:rsidRDefault="00A90ED5" w:rsidP="00A90ED5">
      <w:pPr>
        <w:jc w:val="both"/>
        <w:rPr>
          <w:lang w:val="en-US"/>
        </w:rPr>
      </w:pPr>
      <w:r>
        <w:rPr>
          <w:lang w:val="en-US"/>
        </w:rPr>
        <w:t>769 mothers answered the question and 86.2% reported that arguments ‘never’ included physical violence, 10.3% reported they ‘rarely’ did, 3.3% reported they ‘sometimes’ did, and 0.3% reported they ‘often’ did.</w:t>
      </w:r>
    </w:p>
    <w:p w14:paraId="30495298" w14:textId="77777777" w:rsidR="00A90ED5" w:rsidRDefault="00A90ED5" w:rsidP="00A90ED5">
      <w:pPr>
        <w:jc w:val="both"/>
        <w:rPr>
          <w:lang w:val="en-US"/>
        </w:rPr>
      </w:pPr>
      <w:r>
        <w:rPr>
          <w:lang w:val="en-US"/>
        </w:rPr>
        <w:t>After taking into account children living in a single parent household, around 8% of Indigenous children in the sample live in households where parents’ arguments occasionally end up with people pushing, hitting, kicking or shoving (combining responses ‘rarely’, ‘sometimes’ and ‘often’).</w:t>
      </w:r>
    </w:p>
    <w:p w14:paraId="07F25050" w14:textId="05E0EA57" w:rsidR="00A90ED5" w:rsidRDefault="00A90ED5" w:rsidP="00A90ED5">
      <w:pPr>
        <w:pStyle w:val="Heading3"/>
        <w:numPr>
          <w:ilvl w:val="0"/>
          <w:numId w:val="0"/>
        </w:numPr>
        <w:ind w:left="851" w:hanging="851"/>
        <w:rPr>
          <w:lang w:val="en-US"/>
        </w:rPr>
      </w:pPr>
      <w:bookmarkStart w:id="276" w:name="_Toc432144075"/>
      <w:r>
        <w:rPr>
          <w:lang w:val="en-US"/>
        </w:rPr>
        <w:t xml:space="preserve">10.4 </w:t>
      </w:r>
      <w:r w:rsidRPr="00C27853">
        <w:rPr>
          <w:lang w:val="en-US"/>
        </w:rPr>
        <w:t xml:space="preserve">The </w:t>
      </w:r>
      <w:r>
        <w:rPr>
          <w:lang w:val="en-US"/>
        </w:rPr>
        <w:t>LSIC</w:t>
      </w:r>
      <w:r w:rsidRPr="00C27853">
        <w:rPr>
          <w:lang w:val="en-US"/>
        </w:rPr>
        <w:t xml:space="preserve"> key findings</w:t>
      </w:r>
      <w:bookmarkEnd w:id="276"/>
    </w:p>
    <w:p w14:paraId="75FFBE4A" w14:textId="77777777" w:rsidR="00A90ED5" w:rsidRDefault="00A90ED5" w:rsidP="000D1D92">
      <w:pPr>
        <w:pStyle w:val="ListParagraph"/>
        <w:numPr>
          <w:ilvl w:val="0"/>
          <w:numId w:val="43"/>
        </w:numPr>
        <w:spacing w:before="0" w:after="200" w:line="276" w:lineRule="auto"/>
        <w:jc w:val="both"/>
        <w:rPr>
          <w:rFonts w:eastAsia="Calibri" w:cs="Arial"/>
        </w:rPr>
      </w:pPr>
      <w:r w:rsidRPr="00C27853">
        <w:rPr>
          <w:rFonts w:eastAsia="Calibri" w:cs="Arial"/>
        </w:rPr>
        <w:t>Mothers who had arguments that included physical violence were much more likely to be in a partner violence situation in future waves, but were also much more likely to be single in future waves.</w:t>
      </w:r>
    </w:p>
    <w:p w14:paraId="6F3403AF" w14:textId="77777777" w:rsidR="00A90ED5" w:rsidRPr="00C27853" w:rsidRDefault="00A90ED5" w:rsidP="00A90ED5">
      <w:pPr>
        <w:pStyle w:val="ListParagraph"/>
        <w:spacing w:before="0" w:after="200" w:line="276" w:lineRule="auto"/>
        <w:jc w:val="both"/>
        <w:rPr>
          <w:rFonts w:eastAsia="Calibri" w:cs="Arial"/>
        </w:rPr>
      </w:pPr>
    </w:p>
    <w:p w14:paraId="397E3282" w14:textId="77777777" w:rsidR="00A90ED5" w:rsidRPr="00C27853" w:rsidRDefault="00A90ED5" w:rsidP="000D1D92">
      <w:pPr>
        <w:pStyle w:val="ListParagraph"/>
        <w:numPr>
          <w:ilvl w:val="0"/>
          <w:numId w:val="43"/>
        </w:numPr>
        <w:spacing w:before="0" w:after="200" w:line="276" w:lineRule="auto"/>
        <w:jc w:val="both"/>
        <w:rPr>
          <w:rFonts w:eastAsia="Calibri" w:cs="Arial"/>
        </w:rPr>
      </w:pPr>
      <w:r w:rsidRPr="00C27853">
        <w:rPr>
          <w:rFonts w:eastAsia="Calibri" w:cs="Arial"/>
        </w:rPr>
        <w:t>Demographic characteristics related to employment, education and financial hardship were related to partner violence. Remoteness was the single biggest predictor of partner violence in LSIC.</w:t>
      </w:r>
    </w:p>
    <w:p w14:paraId="3964684A" w14:textId="77777777" w:rsidR="00A90ED5" w:rsidRPr="00C27853" w:rsidRDefault="00A90ED5" w:rsidP="00A90ED5">
      <w:pPr>
        <w:pStyle w:val="ListParagraph"/>
        <w:spacing w:before="0" w:after="200" w:line="276" w:lineRule="auto"/>
        <w:jc w:val="both"/>
        <w:rPr>
          <w:rFonts w:eastAsia="Calibri" w:cs="Arial"/>
        </w:rPr>
      </w:pPr>
    </w:p>
    <w:p w14:paraId="5C01A829" w14:textId="77777777" w:rsidR="00A90ED5" w:rsidRPr="00C27853" w:rsidRDefault="00A90ED5" w:rsidP="000D1D92">
      <w:pPr>
        <w:pStyle w:val="ListParagraph"/>
        <w:numPr>
          <w:ilvl w:val="0"/>
          <w:numId w:val="43"/>
        </w:numPr>
        <w:spacing w:before="0" w:after="200" w:line="276" w:lineRule="auto"/>
        <w:jc w:val="both"/>
        <w:rPr>
          <w:rFonts w:eastAsia="Calibri" w:cs="Arial"/>
        </w:rPr>
      </w:pPr>
      <w:r w:rsidRPr="00C27853">
        <w:rPr>
          <w:rFonts w:eastAsia="Calibri" w:cs="Arial"/>
        </w:rPr>
        <w:t>Children were more likely to have social and emotional problems if they had been upset by family arguments and/or if their parents have had violent arguments.</w:t>
      </w:r>
    </w:p>
    <w:p w14:paraId="469D1F76" w14:textId="77777777" w:rsidR="00A90ED5" w:rsidRPr="00C27853" w:rsidRDefault="00A90ED5" w:rsidP="00A90ED5">
      <w:pPr>
        <w:pStyle w:val="ListParagraph"/>
        <w:spacing w:before="0" w:after="200" w:line="276" w:lineRule="auto"/>
        <w:jc w:val="both"/>
        <w:rPr>
          <w:rFonts w:eastAsia="Calibri" w:cs="Arial"/>
        </w:rPr>
      </w:pPr>
    </w:p>
    <w:p w14:paraId="14CCC14B" w14:textId="77777777" w:rsidR="00A90ED5" w:rsidRDefault="00A90ED5" w:rsidP="000D1D92">
      <w:pPr>
        <w:pStyle w:val="ListParagraph"/>
        <w:numPr>
          <w:ilvl w:val="0"/>
          <w:numId w:val="43"/>
        </w:numPr>
        <w:spacing w:before="0" w:after="200" w:line="276" w:lineRule="auto"/>
        <w:jc w:val="both"/>
        <w:rPr>
          <w:rFonts w:eastAsia="Calibri" w:cs="Arial"/>
        </w:rPr>
      </w:pPr>
      <w:r w:rsidRPr="00C27853">
        <w:rPr>
          <w:rFonts w:eastAsia="Calibri" w:cs="Arial"/>
        </w:rPr>
        <w:t>Mothers experiencing partner violence were more likely to rate family violence as a big problem in their community.</w:t>
      </w:r>
    </w:p>
    <w:p w14:paraId="0E202268" w14:textId="77777777" w:rsidR="00A90ED5" w:rsidRPr="001D539D" w:rsidRDefault="00A90ED5" w:rsidP="00A90ED5">
      <w:pPr>
        <w:pStyle w:val="ListParagraph"/>
        <w:rPr>
          <w:rFonts w:eastAsia="Calibri" w:cs="Arial"/>
        </w:rPr>
      </w:pPr>
    </w:p>
    <w:p w14:paraId="01D4A030" w14:textId="77777777" w:rsidR="00A90ED5" w:rsidRDefault="00A90ED5" w:rsidP="00A90ED5">
      <w:pPr>
        <w:spacing w:before="0" w:after="200" w:line="276" w:lineRule="auto"/>
        <w:jc w:val="both"/>
        <w:rPr>
          <w:rFonts w:eastAsia="Calibri" w:cs="Arial"/>
        </w:rPr>
      </w:pPr>
    </w:p>
    <w:p w14:paraId="551211F3" w14:textId="77777777" w:rsidR="00A90ED5" w:rsidRDefault="00A90ED5" w:rsidP="00A90ED5">
      <w:pPr>
        <w:spacing w:before="0" w:after="200" w:line="276" w:lineRule="auto"/>
        <w:jc w:val="both"/>
        <w:rPr>
          <w:rFonts w:eastAsia="Calibri" w:cs="Arial"/>
        </w:rPr>
      </w:pPr>
    </w:p>
    <w:p w14:paraId="3147802E" w14:textId="7FB56BF2" w:rsidR="00A90ED5" w:rsidRPr="008C045D" w:rsidRDefault="00A90ED5" w:rsidP="00A90ED5">
      <w:pPr>
        <w:pStyle w:val="Heading2"/>
        <w:numPr>
          <w:ilvl w:val="0"/>
          <w:numId w:val="0"/>
        </w:numPr>
        <w:ind w:left="851" w:hanging="851"/>
      </w:pPr>
      <w:r>
        <w:br w:type="column"/>
      </w:r>
      <w:bookmarkStart w:id="277" w:name="_Toc432144076"/>
      <w:bookmarkStart w:id="278" w:name="_Toc432577342"/>
      <w:r>
        <w:lastRenderedPageBreak/>
        <w:t>Appendix 11</w:t>
      </w:r>
      <w:r w:rsidR="000D1D92">
        <w:t>:</w:t>
      </w:r>
      <w:r>
        <w:t xml:space="preserve"> </w:t>
      </w:r>
      <w:r w:rsidRPr="001D539D">
        <w:t>Kids Helpline data about children’s experiences of family and domestic violence</w:t>
      </w:r>
      <w:bookmarkEnd w:id="277"/>
      <w:bookmarkEnd w:id="278"/>
    </w:p>
    <w:p w14:paraId="1F0D3A95" w14:textId="77777777" w:rsidR="00A90ED5" w:rsidRPr="00CB7783" w:rsidRDefault="00A90ED5" w:rsidP="00A90ED5">
      <w:pPr>
        <w:jc w:val="both"/>
      </w:pPr>
      <w:r>
        <w:t>The information provided in this appendix is based on Submission 14 from BoysTown about its Kids Helpline service.</w:t>
      </w:r>
      <w:r w:rsidRPr="00CB7783">
        <w:t xml:space="preserve"> </w:t>
      </w:r>
    </w:p>
    <w:p w14:paraId="598D1FBF" w14:textId="77777777" w:rsidR="00A90ED5" w:rsidRPr="00244A56" w:rsidRDefault="00A90ED5" w:rsidP="00A90ED5">
      <w:pPr>
        <w:jc w:val="both"/>
      </w:pPr>
      <w:r w:rsidRPr="00244A56">
        <w:rPr>
          <w:rFonts w:cs="Arial"/>
        </w:rPr>
        <w:t xml:space="preserve">The Kids Helpline </w:t>
      </w:r>
      <w:r w:rsidRPr="00244A56">
        <w:t xml:space="preserve">supplied me with a detailed report of contacts received from children and young people aged 5 to 17 years between January 2012 and December 2014, who directly raised family or domestic violence as their main concern or as their second significant concern. </w:t>
      </w:r>
    </w:p>
    <w:p w14:paraId="1607D661" w14:textId="77777777" w:rsidR="00A90ED5" w:rsidRPr="00244A56" w:rsidRDefault="00A90ED5" w:rsidP="00A90ED5">
      <w:pPr>
        <w:jc w:val="both"/>
      </w:pPr>
      <w:r w:rsidRPr="00244A56">
        <w:t>A total of 120,408 contacts were received from children and young people aged 5 to17 years, of these 603 (0.5%) raised family and domestic violence as their main concern and a further 396 (0.3%) raised it as their second significant concern. In 62% of contacts where family and domestic violence was raised as the main concern, no secondary concern was recorded.</w:t>
      </w:r>
      <w:r w:rsidRPr="00244A56">
        <w:rPr>
          <w:rStyle w:val="EndnoteReference"/>
        </w:rPr>
        <w:endnoteReference w:id="731"/>
      </w:r>
    </w:p>
    <w:p w14:paraId="45B8019B" w14:textId="77777777" w:rsidR="00A90ED5" w:rsidRPr="00244A56" w:rsidRDefault="00A90ED5" w:rsidP="00A90ED5">
      <w:pPr>
        <w:jc w:val="both"/>
      </w:pPr>
      <w:r w:rsidRPr="00244A56">
        <w:t>These figures are based on the number of contacts and not individuals.</w:t>
      </w:r>
      <w:r w:rsidRPr="00244A56">
        <w:rPr>
          <w:rStyle w:val="EndnoteReference"/>
        </w:rPr>
        <w:endnoteReference w:id="732"/>
      </w:r>
      <w:r w:rsidRPr="00244A56">
        <w:t xml:space="preserve">  Between January 2012 and December 2014, there were </w:t>
      </w:r>
      <w:r w:rsidRPr="00244A56">
        <w:rPr>
          <w:szCs w:val="20"/>
        </w:rPr>
        <w:t>999 contacts where family and domestic violence was raised as either the main or secondary concern.</w:t>
      </w:r>
      <w:r w:rsidRPr="00244A56">
        <w:rPr>
          <w:rStyle w:val="EndnoteReference"/>
          <w:szCs w:val="20"/>
        </w:rPr>
        <w:endnoteReference w:id="733"/>
      </w:r>
    </w:p>
    <w:p w14:paraId="3F228441" w14:textId="77777777" w:rsidR="00A90ED5" w:rsidRDefault="00A90ED5" w:rsidP="00A90ED5">
      <w:pPr>
        <w:jc w:val="both"/>
      </w:pPr>
      <w:r>
        <w:t>Kids Helpline records information about each contact made by a child or young person, including:</w:t>
      </w:r>
    </w:p>
    <w:p w14:paraId="2A388F80" w14:textId="77777777" w:rsidR="00A90ED5" w:rsidRDefault="00A90ED5" w:rsidP="000D1D92">
      <w:pPr>
        <w:pStyle w:val="ListParagraph"/>
        <w:numPr>
          <w:ilvl w:val="0"/>
          <w:numId w:val="46"/>
        </w:numPr>
        <w:jc w:val="both"/>
      </w:pPr>
      <w:r>
        <w:t>Demographic details</w:t>
      </w:r>
    </w:p>
    <w:p w14:paraId="56E5EBD4" w14:textId="77777777" w:rsidR="00A90ED5" w:rsidRDefault="00A90ED5" w:rsidP="000D1D92">
      <w:pPr>
        <w:pStyle w:val="ListParagraph"/>
        <w:numPr>
          <w:ilvl w:val="0"/>
          <w:numId w:val="46"/>
        </w:numPr>
        <w:jc w:val="both"/>
      </w:pPr>
      <w:r>
        <w:t>Concerns raised by the young person</w:t>
      </w:r>
    </w:p>
    <w:p w14:paraId="4D95050C" w14:textId="77777777" w:rsidR="00A90ED5" w:rsidRDefault="00A90ED5" w:rsidP="000D1D92">
      <w:pPr>
        <w:pStyle w:val="ListParagraph"/>
        <w:numPr>
          <w:ilvl w:val="0"/>
          <w:numId w:val="46"/>
        </w:numPr>
        <w:jc w:val="both"/>
      </w:pPr>
      <w:r>
        <w:t>Case notes about the content of the contact.</w:t>
      </w:r>
    </w:p>
    <w:p w14:paraId="68EF7FD0" w14:textId="77777777" w:rsidR="00A90ED5" w:rsidRDefault="00A90ED5" w:rsidP="00A90ED5">
      <w:pPr>
        <w:jc w:val="both"/>
      </w:pPr>
      <w:r w:rsidRPr="00EE7927">
        <w:t>Kids Helpline contacts are coded according to the concerns raised by the child, not the issues identified by the counsellor</w:t>
      </w:r>
      <w:r>
        <w:t>.</w:t>
      </w:r>
      <w:r>
        <w:rPr>
          <w:rStyle w:val="EndnoteReference"/>
        </w:rPr>
        <w:endnoteReference w:id="734"/>
      </w:r>
    </w:p>
    <w:p w14:paraId="47074254" w14:textId="710FE16E" w:rsidR="00A90ED5" w:rsidRPr="00321BC1" w:rsidRDefault="00A90ED5" w:rsidP="00A90ED5">
      <w:pPr>
        <w:pStyle w:val="Heading3"/>
        <w:numPr>
          <w:ilvl w:val="0"/>
          <w:numId w:val="0"/>
        </w:numPr>
        <w:ind w:left="851" w:hanging="851"/>
      </w:pPr>
      <w:bookmarkStart w:id="279" w:name="_Toc432144077"/>
      <w:r>
        <w:t xml:space="preserve">11.1 </w:t>
      </w:r>
      <w:r w:rsidRPr="00321BC1">
        <w:t xml:space="preserve">Demographic </w:t>
      </w:r>
      <w:r>
        <w:t xml:space="preserve">and geographic </w:t>
      </w:r>
      <w:r w:rsidRPr="00321BC1">
        <w:t>characteristics</w:t>
      </w:r>
      <w:bookmarkEnd w:id="279"/>
    </w:p>
    <w:p w14:paraId="7C885C57" w14:textId="77777777" w:rsidR="00A90ED5" w:rsidRDefault="00A90ED5" w:rsidP="00A90ED5">
      <w:pPr>
        <w:spacing w:before="0" w:after="0"/>
        <w:jc w:val="both"/>
        <w:rPr>
          <w:rFonts w:cs="Arial"/>
        </w:rPr>
      </w:pPr>
      <w:r>
        <w:rPr>
          <w:rFonts w:cs="Arial"/>
        </w:rPr>
        <w:t>In terms of contacts by children concerned with family and domestic violence, 80% (n=798) were female and 18% (n=182) were male. 2% were unknown. This is consistent with the demographic characteristics of all contacts with the Kids Helpline.</w:t>
      </w:r>
    </w:p>
    <w:p w14:paraId="164B6EEB" w14:textId="77777777" w:rsidR="00A90ED5" w:rsidRDefault="00A90ED5" w:rsidP="00A90ED5">
      <w:pPr>
        <w:spacing w:before="0" w:after="0"/>
        <w:jc w:val="both"/>
        <w:rPr>
          <w:rFonts w:cs="Arial"/>
        </w:rPr>
      </w:pPr>
    </w:p>
    <w:p w14:paraId="66EAE3D8" w14:textId="77777777" w:rsidR="00A90ED5" w:rsidRDefault="00A90ED5" w:rsidP="00A90ED5">
      <w:pPr>
        <w:spacing w:before="0" w:after="0"/>
        <w:jc w:val="both"/>
        <w:rPr>
          <w:rFonts w:cs="Arial"/>
        </w:rPr>
      </w:pPr>
      <w:r>
        <w:rPr>
          <w:rFonts w:cs="Arial"/>
        </w:rPr>
        <w:t>Of these contacts, 8% (n=75) were in the 5-9 age bracket; 11% (n=108) were in the 10-11 age bracket; 23% (n=233) were in the 12-13 age bracket; 32% (n=322) were in the 14-15 age bracket and 26% (n=261) were in the 16-17 age bracket. When comparing this with the demographic characteristics of all contacts with the Kids Helpline, there was a higher rate of contact</w:t>
      </w:r>
      <w:r w:rsidRPr="002973B3">
        <w:rPr>
          <w:rFonts w:cs="Arial"/>
        </w:rPr>
        <w:t xml:space="preserve"> </w:t>
      </w:r>
      <w:r>
        <w:rPr>
          <w:rFonts w:cs="Arial"/>
        </w:rPr>
        <w:t xml:space="preserve">about family and domestic violence </w:t>
      </w:r>
      <w:r w:rsidRPr="002973B3">
        <w:rPr>
          <w:rFonts w:cs="Arial"/>
        </w:rPr>
        <w:t xml:space="preserve">by children </w:t>
      </w:r>
      <w:r>
        <w:rPr>
          <w:rFonts w:cs="Arial"/>
        </w:rPr>
        <w:t>in the 5–11 age bracket and, to a lesser degree, in the 12-13 age bracket.</w:t>
      </w:r>
      <w:r w:rsidRPr="002973B3">
        <w:rPr>
          <w:rFonts w:cs="Arial"/>
        </w:rPr>
        <w:t xml:space="preserve"> </w:t>
      </w:r>
    </w:p>
    <w:p w14:paraId="5C33B154" w14:textId="77777777" w:rsidR="00A90ED5" w:rsidRDefault="00A90ED5" w:rsidP="00A90ED5">
      <w:pPr>
        <w:spacing w:before="0" w:after="0"/>
        <w:jc w:val="both"/>
        <w:rPr>
          <w:rFonts w:cs="Arial"/>
        </w:rPr>
      </w:pPr>
    </w:p>
    <w:p w14:paraId="4626D7E1" w14:textId="77777777" w:rsidR="00A90ED5" w:rsidRDefault="00A90ED5" w:rsidP="00A90ED5">
      <w:pPr>
        <w:spacing w:before="0" w:after="0"/>
        <w:jc w:val="both"/>
        <w:rPr>
          <w:rFonts w:cs="Arial"/>
        </w:rPr>
      </w:pPr>
      <w:r>
        <w:rPr>
          <w:rFonts w:cs="Arial"/>
        </w:rPr>
        <w:t>Only 2% (n=16) of contacts in relation to family and domestic violence were made by Indigenous children. This is consistent with the demographic characteristics of all contacts with the Kids Helpline. The Kids Helpline points out that:</w:t>
      </w:r>
    </w:p>
    <w:p w14:paraId="5B34AFF3" w14:textId="77777777" w:rsidR="00A90ED5" w:rsidRDefault="00A90ED5" w:rsidP="00A90ED5">
      <w:pPr>
        <w:spacing w:before="0" w:after="0"/>
        <w:jc w:val="both"/>
        <w:rPr>
          <w:rFonts w:cs="Arial"/>
        </w:rPr>
      </w:pPr>
    </w:p>
    <w:p w14:paraId="0F4ED59F" w14:textId="77777777" w:rsidR="00A90ED5" w:rsidRDefault="00A90ED5" w:rsidP="00A90ED5">
      <w:pPr>
        <w:spacing w:before="0" w:after="0"/>
        <w:ind w:left="720"/>
        <w:jc w:val="both"/>
        <w:rPr>
          <w:rFonts w:cs="Arial"/>
        </w:rPr>
      </w:pPr>
      <w:r>
        <w:rPr>
          <w:szCs w:val="20"/>
        </w:rPr>
        <w:lastRenderedPageBreak/>
        <w:t xml:space="preserve">The low level of Kids Helpline usage by Indigenous Australian children highlights the need for specialist services to engage </w:t>
      </w:r>
      <w:r w:rsidRPr="008A3BA9">
        <w:rPr>
          <w:szCs w:val="20"/>
        </w:rPr>
        <w:t>Aboriginal and Torres Strait Islander</w:t>
      </w:r>
      <w:r>
        <w:rPr>
          <w:szCs w:val="20"/>
        </w:rPr>
        <w:t xml:space="preserve"> children, families, and communities.</w:t>
      </w:r>
      <w:r>
        <w:rPr>
          <w:rStyle w:val="EndnoteReference"/>
          <w:szCs w:val="20"/>
        </w:rPr>
        <w:endnoteReference w:id="735"/>
      </w:r>
    </w:p>
    <w:p w14:paraId="5E65EE28" w14:textId="77777777" w:rsidR="00A90ED5" w:rsidRDefault="00A90ED5" w:rsidP="00A90ED5">
      <w:pPr>
        <w:spacing w:before="0" w:after="0"/>
        <w:jc w:val="both"/>
        <w:rPr>
          <w:rFonts w:cs="Arial"/>
        </w:rPr>
      </w:pPr>
    </w:p>
    <w:p w14:paraId="076E539E" w14:textId="77777777" w:rsidR="00A90ED5" w:rsidRDefault="00A90ED5" w:rsidP="00A90ED5">
      <w:pPr>
        <w:spacing w:before="0" w:after="0"/>
        <w:jc w:val="both"/>
        <w:rPr>
          <w:rFonts w:cs="Arial"/>
        </w:rPr>
      </w:pPr>
      <w:r>
        <w:rPr>
          <w:rFonts w:cs="Arial"/>
        </w:rPr>
        <w:t>14% (n=142) of contacts were made by children from CALD backgrounds. When comparing this with the demographic characteristics of all contacts with the Kids Helpline,</w:t>
      </w:r>
      <w:r w:rsidRPr="002973B3">
        <w:rPr>
          <w:rFonts w:cs="Arial"/>
        </w:rPr>
        <w:t xml:space="preserve"> </w:t>
      </w:r>
      <w:r>
        <w:rPr>
          <w:rFonts w:cs="Arial"/>
        </w:rPr>
        <w:t xml:space="preserve">there was a higher rate of CALD contacts in relation to family and domestic violence. It is important to note that cultural background is not known in approximately 70% of contacts. </w:t>
      </w:r>
      <w:r>
        <w:rPr>
          <w:rStyle w:val="EndnoteReference"/>
          <w:rFonts w:cs="Arial"/>
        </w:rPr>
        <w:endnoteReference w:id="736"/>
      </w:r>
    </w:p>
    <w:p w14:paraId="2E8A9B22" w14:textId="77777777" w:rsidR="00A90ED5" w:rsidRDefault="00A90ED5" w:rsidP="00A90ED5">
      <w:pPr>
        <w:spacing w:before="0" w:after="0"/>
        <w:jc w:val="both"/>
        <w:rPr>
          <w:rFonts w:cs="Arial"/>
        </w:rPr>
      </w:pPr>
    </w:p>
    <w:p w14:paraId="1BB9E9A7" w14:textId="51B5CCC0" w:rsidR="00A90ED5" w:rsidRDefault="00A90ED5" w:rsidP="00A90ED5">
      <w:pPr>
        <w:spacing w:before="0" w:after="0"/>
        <w:jc w:val="both"/>
        <w:rPr>
          <w:rFonts w:cs="Arial"/>
          <w:b/>
        </w:rPr>
      </w:pPr>
      <w:r w:rsidRPr="00781997">
        <w:rPr>
          <w:rFonts w:cs="Arial"/>
        </w:rPr>
        <w:t xml:space="preserve">The Kids helpline indicated that </w:t>
      </w:r>
      <w:r>
        <w:rPr>
          <w:rFonts w:cs="Arial"/>
        </w:rPr>
        <w:t>t</w:t>
      </w:r>
      <w:r w:rsidRPr="00781997">
        <w:rPr>
          <w:rFonts w:cs="Arial"/>
        </w:rPr>
        <w:t>her</w:t>
      </w:r>
      <w:r>
        <w:rPr>
          <w:rFonts w:cs="Arial"/>
        </w:rPr>
        <w:t xml:space="preserve">e was no difference between contacts about family and domestic violence </w:t>
      </w:r>
      <w:r w:rsidRPr="00781997">
        <w:rPr>
          <w:rFonts w:cs="Arial"/>
        </w:rPr>
        <w:t xml:space="preserve">and </w:t>
      </w:r>
      <w:r>
        <w:rPr>
          <w:rFonts w:cs="Arial"/>
        </w:rPr>
        <w:t xml:space="preserve">all </w:t>
      </w:r>
      <w:r w:rsidRPr="00781997">
        <w:rPr>
          <w:rFonts w:cs="Arial"/>
        </w:rPr>
        <w:t xml:space="preserve">other contacts in terms of the geographical region </w:t>
      </w:r>
      <w:r>
        <w:rPr>
          <w:rFonts w:cs="Arial"/>
        </w:rPr>
        <w:t xml:space="preserve">where </w:t>
      </w:r>
      <w:r w:rsidRPr="00781997">
        <w:rPr>
          <w:rFonts w:cs="Arial"/>
        </w:rPr>
        <w:t>the child lived (city, regio</w:t>
      </w:r>
      <w:r>
        <w:rPr>
          <w:rFonts w:cs="Arial"/>
        </w:rPr>
        <w:t>nal, remote).</w:t>
      </w:r>
      <w:r>
        <w:rPr>
          <w:rStyle w:val="EndnoteReference"/>
          <w:rFonts w:cs="Arial"/>
        </w:rPr>
        <w:endnoteReference w:id="737"/>
      </w:r>
      <w:r>
        <w:rPr>
          <w:rFonts w:cs="Arial"/>
        </w:rPr>
        <w:t xml:space="preserve"> Most contacts were from major cities, followed by inner regional, outer regional and remote.</w:t>
      </w:r>
      <w:r>
        <w:rPr>
          <w:rStyle w:val="EndnoteReference"/>
          <w:rFonts w:cs="Arial"/>
        </w:rPr>
        <w:endnoteReference w:id="738"/>
      </w:r>
    </w:p>
    <w:p w14:paraId="6F909267" w14:textId="1D189F64" w:rsidR="00A90ED5" w:rsidRDefault="00A90ED5" w:rsidP="00A90ED5">
      <w:pPr>
        <w:pStyle w:val="Heading3"/>
        <w:numPr>
          <w:ilvl w:val="0"/>
          <w:numId w:val="0"/>
        </w:numPr>
        <w:rPr>
          <w:rFonts w:cs="Arial"/>
        </w:rPr>
      </w:pPr>
      <w:bookmarkStart w:id="280" w:name="_Toc432144078"/>
      <w:r>
        <w:t xml:space="preserve">11.2 </w:t>
      </w:r>
      <w:r w:rsidRPr="00321BC1">
        <w:t>Method of contact to the Kids Helpline</w:t>
      </w:r>
      <w:bookmarkEnd w:id="280"/>
    </w:p>
    <w:p w14:paraId="184D6A56" w14:textId="77777777" w:rsidR="00A90ED5" w:rsidRDefault="00A90ED5" w:rsidP="00A90ED5">
      <w:pPr>
        <w:spacing w:before="0" w:after="0"/>
        <w:jc w:val="both"/>
        <w:rPr>
          <w:rFonts w:cs="Arial"/>
        </w:rPr>
      </w:pPr>
      <w:r>
        <w:rPr>
          <w:rFonts w:cs="Arial"/>
        </w:rPr>
        <w:t xml:space="preserve">The Kids Helpline indicated that there were </w:t>
      </w:r>
      <w:r w:rsidRPr="00367245">
        <w:rPr>
          <w:rFonts w:cs="Arial"/>
        </w:rPr>
        <w:t>no significant difference</w:t>
      </w:r>
      <w:r>
        <w:rPr>
          <w:rFonts w:cs="Arial"/>
        </w:rPr>
        <w:t>s between family and domestic violence contacts</w:t>
      </w:r>
      <w:r w:rsidRPr="00367245">
        <w:rPr>
          <w:rFonts w:cs="Arial"/>
        </w:rPr>
        <w:t xml:space="preserve"> and </w:t>
      </w:r>
      <w:r>
        <w:rPr>
          <w:rFonts w:cs="Arial"/>
        </w:rPr>
        <w:t xml:space="preserve">all </w:t>
      </w:r>
      <w:r w:rsidRPr="00367245">
        <w:rPr>
          <w:rFonts w:cs="Arial"/>
        </w:rPr>
        <w:t>other contacts</w:t>
      </w:r>
      <w:r>
        <w:rPr>
          <w:rFonts w:cs="Arial"/>
        </w:rPr>
        <w:t xml:space="preserve"> to the Kids Helpline</w:t>
      </w:r>
      <w:r w:rsidRPr="00367245">
        <w:rPr>
          <w:rFonts w:cs="Arial"/>
        </w:rPr>
        <w:t xml:space="preserve"> in terms of the contact</w:t>
      </w:r>
      <w:r>
        <w:rPr>
          <w:rFonts w:cs="Arial"/>
        </w:rPr>
        <w:t xml:space="preserve"> method (phone, email, or web).</w:t>
      </w:r>
      <w:r>
        <w:rPr>
          <w:rStyle w:val="EndnoteReference"/>
          <w:rFonts w:cs="Arial"/>
        </w:rPr>
        <w:endnoteReference w:id="739"/>
      </w:r>
      <w:r w:rsidRPr="00367245">
        <w:rPr>
          <w:rFonts w:cs="Arial"/>
        </w:rPr>
        <w:t xml:space="preserve"> </w:t>
      </w:r>
    </w:p>
    <w:p w14:paraId="6CF534E3" w14:textId="77777777" w:rsidR="00A90ED5" w:rsidRDefault="00A90ED5" w:rsidP="00A90ED5">
      <w:pPr>
        <w:spacing w:before="0" w:after="0"/>
        <w:jc w:val="both"/>
        <w:rPr>
          <w:rFonts w:cs="Arial"/>
        </w:rPr>
      </w:pPr>
    </w:p>
    <w:p w14:paraId="15FAEBE4" w14:textId="77777777" w:rsidR="00A90ED5" w:rsidRDefault="00A90ED5" w:rsidP="00A90ED5">
      <w:pPr>
        <w:spacing w:before="0" w:after="0"/>
        <w:jc w:val="both"/>
        <w:rPr>
          <w:rFonts w:cs="Arial"/>
        </w:rPr>
      </w:pPr>
      <w:r>
        <w:rPr>
          <w:rFonts w:cs="Arial"/>
        </w:rPr>
        <w:t xml:space="preserve">Of </w:t>
      </w:r>
      <w:r w:rsidRPr="00367245">
        <w:rPr>
          <w:rFonts w:cs="Arial"/>
        </w:rPr>
        <w:t>all contacts to</w:t>
      </w:r>
      <w:r>
        <w:rPr>
          <w:rFonts w:cs="Arial"/>
        </w:rPr>
        <w:t xml:space="preserve"> the</w:t>
      </w:r>
      <w:r w:rsidRPr="00367245">
        <w:rPr>
          <w:rFonts w:cs="Arial"/>
        </w:rPr>
        <w:t xml:space="preserve"> Kids Helpline, 68% of male contacts were by phone, while approximately 16% were by emai</w:t>
      </w:r>
      <w:r>
        <w:rPr>
          <w:rFonts w:cs="Arial"/>
        </w:rPr>
        <w:t xml:space="preserve">l and 15% used web counselling. </w:t>
      </w:r>
      <w:r w:rsidRPr="00367245">
        <w:rPr>
          <w:rFonts w:cs="Arial"/>
        </w:rPr>
        <w:t xml:space="preserve">48% of female contacts were by phone, 28% </w:t>
      </w:r>
      <w:r>
        <w:rPr>
          <w:rFonts w:cs="Arial"/>
        </w:rPr>
        <w:t>were by email and 24% used</w:t>
      </w:r>
      <w:r w:rsidRPr="00367245">
        <w:rPr>
          <w:rFonts w:cs="Arial"/>
        </w:rPr>
        <w:t xml:space="preserve"> web counselling</w:t>
      </w:r>
      <w:r>
        <w:rPr>
          <w:rFonts w:cs="Arial"/>
        </w:rPr>
        <w:t>.</w:t>
      </w:r>
      <w:r w:rsidRPr="00500ED8">
        <w:rPr>
          <w:rStyle w:val="EndnoteReference"/>
          <w:rFonts w:cs="Arial"/>
        </w:rPr>
        <w:t xml:space="preserve"> </w:t>
      </w:r>
      <w:r>
        <w:rPr>
          <w:rStyle w:val="EndnoteReference"/>
          <w:rFonts w:cs="Arial"/>
        </w:rPr>
        <w:endnoteReference w:id="740"/>
      </w:r>
      <w:r>
        <w:rPr>
          <w:rFonts w:cs="Arial"/>
        </w:rPr>
        <w:t xml:space="preserve"> </w:t>
      </w:r>
    </w:p>
    <w:p w14:paraId="56385461" w14:textId="77777777" w:rsidR="00A90ED5" w:rsidRDefault="00A90ED5" w:rsidP="00A90ED5">
      <w:pPr>
        <w:spacing w:before="0" w:after="0"/>
        <w:jc w:val="both"/>
        <w:rPr>
          <w:rFonts w:cs="Arial"/>
        </w:rPr>
      </w:pPr>
    </w:p>
    <w:p w14:paraId="4A0A032D" w14:textId="77777777" w:rsidR="00A90ED5" w:rsidRDefault="00A90ED5" w:rsidP="00A90ED5">
      <w:pPr>
        <w:spacing w:before="0" w:after="0"/>
        <w:jc w:val="both"/>
        <w:rPr>
          <w:rFonts w:cs="Arial"/>
        </w:rPr>
      </w:pPr>
      <w:r>
        <w:rPr>
          <w:rFonts w:cs="Arial"/>
        </w:rPr>
        <w:t xml:space="preserve">In terms of contacts where family and domestic violence was a concern, </w:t>
      </w:r>
      <w:r w:rsidRPr="00367245">
        <w:rPr>
          <w:rFonts w:cs="Arial"/>
        </w:rPr>
        <w:t>this patter</w:t>
      </w:r>
      <w:r>
        <w:rPr>
          <w:rFonts w:cs="Arial"/>
        </w:rPr>
        <w:t>n remained the same for females. Males contacting about family and domestic violence</w:t>
      </w:r>
      <w:r w:rsidRPr="00367245">
        <w:rPr>
          <w:rFonts w:cs="Arial"/>
        </w:rPr>
        <w:t xml:space="preserve"> </w:t>
      </w:r>
      <w:r>
        <w:rPr>
          <w:rFonts w:cs="Arial"/>
        </w:rPr>
        <w:t xml:space="preserve">were more </w:t>
      </w:r>
      <w:r w:rsidRPr="00367245">
        <w:rPr>
          <w:rFonts w:cs="Arial"/>
        </w:rPr>
        <w:t>likely to use the phone than other males, with 79% of contacts coming by phone</w:t>
      </w:r>
      <w:r>
        <w:rPr>
          <w:rFonts w:cs="Arial"/>
        </w:rPr>
        <w:t>.</w:t>
      </w:r>
      <w:r w:rsidRPr="00500ED8">
        <w:rPr>
          <w:rStyle w:val="EndnoteReference"/>
          <w:rFonts w:cs="Arial"/>
        </w:rPr>
        <w:t xml:space="preserve"> </w:t>
      </w:r>
      <w:r>
        <w:rPr>
          <w:rStyle w:val="EndnoteReference"/>
          <w:rFonts w:cs="Arial"/>
        </w:rPr>
        <w:endnoteReference w:id="741"/>
      </w:r>
    </w:p>
    <w:p w14:paraId="7D28AB70" w14:textId="7226CDDC" w:rsidR="00A90ED5" w:rsidRPr="00321BC1" w:rsidRDefault="00A90ED5" w:rsidP="00A90ED5">
      <w:pPr>
        <w:pStyle w:val="Heading3"/>
        <w:numPr>
          <w:ilvl w:val="0"/>
          <w:numId w:val="0"/>
        </w:numPr>
        <w:ind w:left="851" w:hanging="851"/>
      </w:pPr>
      <w:bookmarkStart w:id="281" w:name="_Toc432144079"/>
      <w:r>
        <w:t xml:space="preserve">11.3 </w:t>
      </w:r>
      <w:r w:rsidRPr="00321BC1">
        <w:t>Specific nature of contacts</w:t>
      </w:r>
      <w:bookmarkEnd w:id="281"/>
    </w:p>
    <w:p w14:paraId="1C45DC94" w14:textId="77777777" w:rsidR="00A90ED5" w:rsidRPr="00CB62C0" w:rsidRDefault="00A90ED5" w:rsidP="00A90ED5">
      <w:pPr>
        <w:jc w:val="both"/>
        <w:rPr>
          <w:szCs w:val="20"/>
        </w:rPr>
      </w:pPr>
      <w:r w:rsidRPr="00CB62C0">
        <w:rPr>
          <w:szCs w:val="20"/>
        </w:rPr>
        <w:t xml:space="preserve">The Kids Helpline </w:t>
      </w:r>
      <w:r>
        <w:rPr>
          <w:szCs w:val="20"/>
        </w:rPr>
        <w:t>indicated that in relation to the specific nature of contacts, the data showed no clear differences related to gender, age or cultural background.</w:t>
      </w:r>
      <w:r>
        <w:rPr>
          <w:rStyle w:val="EndnoteReference"/>
          <w:szCs w:val="20"/>
        </w:rPr>
        <w:endnoteReference w:id="742"/>
      </w:r>
    </w:p>
    <w:p w14:paraId="3F2BDB07" w14:textId="77777777" w:rsidR="00A90ED5" w:rsidRPr="00A90ED5" w:rsidRDefault="00A90ED5" w:rsidP="00A90ED5">
      <w:pPr>
        <w:rPr>
          <w:b/>
        </w:rPr>
      </w:pPr>
      <w:bookmarkStart w:id="282" w:name="_Toc432144080"/>
      <w:r w:rsidRPr="00A90ED5">
        <w:rPr>
          <w:b/>
        </w:rPr>
        <w:t>Exposure to violence by parents</w:t>
      </w:r>
      <w:bookmarkEnd w:id="282"/>
    </w:p>
    <w:p w14:paraId="107E7D67" w14:textId="77777777" w:rsidR="00A90ED5" w:rsidRDefault="00A90ED5" w:rsidP="00A90ED5">
      <w:pPr>
        <w:jc w:val="both"/>
        <w:rPr>
          <w:szCs w:val="20"/>
        </w:rPr>
      </w:pPr>
      <w:r>
        <w:rPr>
          <w:szCs w:val="20"/>
        </w:rPr>
        <w:t>The largest proportion of contacts (40%) was in relation to exposure to violence between parents, or between a parent and a partner or ex-partner.</w:t>
      </w:r>
      <w:r>
        <w:rPr>
          <w:rStyle w:val="EndnoteReference"/>
          <w:szCs w:val="20"/>
        </w:rPr>
        <w:endnoteReference w:id="743"/>
      </w:r>
      <w:r>
        <w:rPr>
          <w:szCs w:val="20"/>
        </w:rPr>
        <w:t xml:space="preserve"> </w:t>
      </w:r>
    </w:p>
    <w:p w14:paraId="5F9D946F" w14:textId="77777777" w:rsidR="00A90ED5" w:rsidRDefault="00A90ED5" w:rsidP="00A90ED5">
      <w:pPr>
        <w:jc w:val="both"/>
        <w:rPr>
          <w:szCs w:val="20"/>
        </w:rPr>
      </w:pPr>
      <w:r>
        <w:rPr>
          <w:szCs w:val="20"/>
        </w:rPr>
        <w:t>Family and domestic violence contacts were 88% more likely than other contacts</w:t>
      </w:r>
      <w:r w:rsidRPr="00ED3853">
        <w:rPr>
          <w:szCs w:val="20"/>
        </w:rPr>
        <w:t xml:space="preserve"> to be from a child living in a single parent, blended family, or shared custody arrangement.</w:t>
      </w:r>
      <w:r>
        <w:rPr>
          <w:rStyle w:val="EndnoteReference"/>
          <w:szCs w:val="20"/>
        </w:rPr>
        <w:endnoteReference w:id="744"/>
      </w:r>
    </w:p>
    <w:p w14:paraId="3B54531F" w14:textId="77777777" w:rsidR="00A90ED5" w:rsidRPr="00C75495" w:rsidRDefault="00A90ED5" w:rsidP="00A90ED5">
      <w:pPr>
        <w:jc w:val="both"/>
      </w:pPr>
      <w:r>
        <w:t>23</w:t>
      </w:r>
      <w:r w:rsidRPr="006F6C80">
        <w:t xml:space="preserve">% of </w:t>
      </w:r>
      <w:r>
        <w:t xml:space="preserve">these </w:t>
      </w:r>
      <w:r w:rsidRPr="006F6C80">
        <w:t>contacts also raised concerns abo</w:t>
      </w:r>
      <w:r>
        <w:t>ut physical child abuse and 12%</w:t>
      </w:r>
      <w:r w:rsidRPr="006F6C80">
        <w:t xml:space="preserve"> raised concerns about emotional child abuse.</w:t>
      </w:r>
      <w:r>
        <w:rPr>
          <w:rStyle w:val="EndnoteReference"/>
        </w:rPr>
        <w:endnoteReference w:id="745"/>
      </w:r>
    </w:p>
    <w:p w14:paraId="2D059C36" w14:textId="77777777" w:rsidR="00A90ED5" w:rsidRDefault="00A90ED5" w:rsidP="00A90ED5">
      <w:pPr>
        <w:jc w:val="both"/>
        <w:rPr>
          <w:szCs w:val="20"/>
        </w:rPr>
      </w:pPr>
      <w:r>
        <w:rPr>
          <w:szCs w:val="20"/>
        </w:rPr>
        <w:t>An examination of case notes by the Kids Helpline showed that approximately 60% of contacts from children living in a blended family involved violence between the child’s biological parents, rather than violence within the new family.</w:t>
      </w:r>
      <w:r>
        <w:rPr>
          <w:rStyle w:val="EndnoteReference"/>
          <w:szCs w:val="20"/>
        </w:rPr>
        <w:endnoteReference w:id="746"/>
      </w:r>
      <w:r>
        <w:rPr>
          <w:szCs w:val="20"/>
        </w:rPr>
        <w:t xml:space="preserve"> </w:t>
      </w:r>
    </w:p>
    <w:p w14:paraId="4B469630" w14:textId="77777777" w:rsidR="00A90ED5" w:rsidRDefault="00A90ED5" w:rsidP="00A90ED5">
      <w:pPr>
        <w:jc w:val="both"/>
        <w:rPr>
          <w:szCs w:val="20"/>
        </w:rPr>
      </w:pPr>
      <w:r>
        <w:rPr>
          <w:szCs w:val="20"/>
        </w:rPr>
        <w:lastRenderedPageBreak/>
        <w:t>For children living in a single parent family, approximately 85% of contacts related to violence between biological parents, rather than the single parent and a new partner.</w:t>
      </w:r>
      <w:r>
        <w:rPr>
          <w:rStyle w:val="EndnoteReference"/>
          <w:szCs w:val="20"/>
        </w:rPr>
        <w:endnoteReference w:id="747"/>
      </w:r>
    </w:p>
    <w:p w14:paraId="6DFC8FB8" w14:textId="77777777" w:rsidR="00A90ED5" w:rsidRPr="00A90ED5" w:rsidRDefault="00A90ED5" w:rsidP="00A90ED5">
      <w:pPr>
        <w:rPr>
          <w:b/>
        </w:rPr>
      </w:pPr>
      <w:bookmarkStart w:id="283" w:name="_Toc432144081"/>
      <w:r w:rsidRPr="00A90ED5">
        <w:rPr>
          <w:b/>
        </w:rPr>
        <w:t>Impact of past exposure to violence</w:t>
      </w:r>
      <w:bookmarkEnd w:id="283"/>
    </w:p>
    <w:p w14:paraId="0D226F59" w14:textId="77777777" w:rsidR="00A90ED5" w:rsidRDefault="00A90ED5" w:rsidP="00A90ED5">
      <w:pPr>
        <w:jc w:val="both"/>
        <w:rPr>
          <w:szCs w:val="20"/>
        </w:rPr>
      </w:pPr>
      <w:r>
        <w:rPr>
          <w:szCs w:val="20"/>
        </w:rPr>
        <w:t>16% of contacts were seeking support to deal with the impact of past exposure to violence was also a common concern. These contacts were most likely to have been made by children living in a single parent family, or other situation away from parents (e.g., with other carers, in an institutional setting).</w:t>
      </w:r>
      <w:r>
        <w:rPr>
          <w:rStyle w:val="EndnoteReference"/>
          <w:szCs w:val="20"/>
        </w:rPr>
        <w:endnoteReference w:id="748"/>
      </w:r>
      <w:r>
        <w:rPr>
          <w:szCs w:val="20"/>
        </w:rPr>
        <w:t xml:space="preserve"> </w:t>
      </w:r>
    </w:p>
    <w:p w14:paraId="7D165337" w14:textId="77777777" w:rsidR="00A90ED5" w:rsidRPr="009D55A4" w:rsidRDefault="00A90ED5" w:rsidP="00A90ED5">
      <w:pPr>
        <w:jc w:val="both"/>
        <w:rPr>
          <w:szCs w:val="20"/>
        </w:rPr>
      </w:pPr>
      <w:r>
        <w:rPr>
          <w:szCs w:val="20"/>
        </w:rPr>
        <w:t>The Kids Helpline suggests that this could indicate that children are aware that exposure to family violence has affected them and are seeking support even after the exposure has ceased.</w:t>
      </w:r>
      <w:r>
        <w:rPr>
          <w:rStyle w:val="EndnoteReference"/>
          <w:szCs w:val="20"/>
        </w:rPr>
        <w:endnoteReference w:id="749"/>
      </w:r>
    </w:p>
    <w:p w14:paraId="5C83536C" w14:textId="77777777" w:rsidR="00A90ED5" w:rsidRPr="00A90ED5" w:rsidRDefault="00A90ED5" w:rsidP="00A90ED5">
      <w:pPr>
        <w:rPr>
          <w:b/>
        </w:rPr>
      </w:pPr>
      <w:bookmarkStart w:id="284" w:name="_Toc432144082"/>
      <w:r w:rsidRPr="00A90ED5">
        <w:rPr>
          <w:b/>
        </w:rPr>
        <w:t>Violence by siblings</w:t>
      </w:r>
      <w:bookmarkEnd w:id="284"/>
    </w:p>
    <w:p w14:paraId="35244C8C" w14:textId="77777777" w:rsidR="00A90ED5" w:rsidRDefault="00A90ED5" w:rsidP="00A90ED5">
      <w:pPr>
        <w:jc w:val="both"/>
      </w:pPr>
      <w:r>
        <w:t xml:space="preserve">A total of 138 contacts relating to family and domestic violence involved violence by siblings. This was </w:t>
      </w:r>
      <w:r w:rsidRPr="00245528">
        <w:t>14%</w:t>
      </w:r>
      <w:r>
        <w:t xml:space="preserve"> of all family and domestic violence contacts with the Kids Helpline. Approximately 32% were made by children in a single parent family, while 36% were from children living with both parents.</w:t>
      </w:r>
      <w:r>
        <w:rPr>
          <w:rStyle w:val="EndnoteReference"/>
        </w:rPr>
        <w:endnoteReference w:id="750"/>
      </w:r>
      <w:r>
        <w:t xml:space="preserve"> </w:t>
      </w:r>
    </w:p>
    <w:p w14:paraId="4C99696E" w14:textId="77777777" w:rsidR="00A90ED5" w:rsidRDefault="00A90ED5" w:rsidP="00A90ED5">
      <w:pPr>
        <w:jc w:val="both"/>
      </w:pPr>
      <w:r>
        <w:t>Examination of case notes by the Kids Helpline showed that approximately 14% of contacts about sibling violence also involved family and domestic violence between parents. Approximately 17% of these contacts indicated that they were also currently experiencing abuse by a parent.</w:t>
      </w:r>
      <w:r>
        <w:rPr>
          <w:rStyle w:val="EndnoteReference"/>
        </w:rPr>
        <w:endnoteReference w:id="751"/>
      </w:r>
      <w:r>
        <w:t xml:space="preserve"> No case notes mentioned previous abuse of the sibling perpetrator.</w:t>
      </w:r>
      <w:r>
        <w:rPr>
          <w:rStyle w:val="EndnoteReference"/>
        </w:rPr>
        <w:endnoteReference w:id="752"/>
      </w:r>
    </w:p>
    <w:p w14:paraId="346E813F" w14:textId="77777777" w:rsidR="00A90ED5" w:rsidRDefault="00A90ED5" w:rsidP="00A90ED5">
      <w:pPr>
        <w:jc w:val="both"/>
      </w:pPr>
      <w:r w:rsidRPr="007C72ED">
        <w:t xml:space="preserve">In approximately half </w:t>
      </w:r>
      <w:r>
        <w:t xml:space="preserve">of </w:t>
      </w:r>
      <w:r w:rsidRPr="007C72ED">
        <w:t>the contacts that included detailed case notes, children reported that their parent was aware of the violence, but was either unw</w:t>
      </w:r>
      <w:r>
        <w:t xml:space="preserve">illing or unable to prevent it. In some contacts, it was clear that </w:t>
      </w:r>
      <w:r w:rsidRPr="007C72ED">
        <w:t>parents had attempted to intervene, but were either scared themselves or ineffectual and took no further action</w:t>
      </w:r>
      <w:r>
        <w:t>. Some</w:t>
      </w:r>
      <w:r w:rsidRPr="007C72ED">
        <w:t xml:space="preserve"> parents actively ignored or downplayed the severity of the issue.</w:t>
      </w:r>
      <w:r>
        <w:rPr>
          <w:rStyle w:val="EndnoteReference"/>
        </w:rPr>
        <w:endnoteReference w:id="753"/>
      </w:r>
    </w:p>
    <w:p w14:paraId="0E611107" w14:textId="77777777" w:rsidR="00A90ED5" w:rsidRDefault="00A90ED5" w:rsidP="00A90ED5">
      <w:pPr>
        <w:jc w:val="both"/>
      </w:pPr>
      <w:r>
        <w:t>Data from the Kids Helpline indicated that c</w:t>
      </w:r>
      <w:r w:rsidRPr="00094781">
        <w:t>hildren were more likely to call about sibli</w:t>
      </w:r>
      <w:r>
        <w:t xml:space="preserve">ng violence towards themselves </w:t>
      </w:r>
      <w:r w:rsidRPr="00094781">
        <w:t xml:space="preserve">rather than </w:t>
      </w:r>
      <w:r>
        <w:t>about sibling violence towards a</w:t>
      </w:r>
      <w:r w:rsidRPr="00094781">
        <w:t xml:space="preserve"> parent</w:t>
      </w:r>
      <w:r>
        <w:t>.</w:t>
      </w:r>
      <w:r w:rsidRPr="00A338E3">
        <w:rPr>
          <w:rStyle w:val="EndnoteReference"/>
        </w:rPr>
        <w:t xml:space="preserve"> </w:t>
      </w:r>
      <w:r>
        <w:rPr>
          <w:rStyle w:val="EndnoteReference"/>
        </w:rPr>
        <w:endnoteReference w:id="754"/>
      </w:r>
      <w:r>
        <w:t xml:space="preserve"> </w:t>
      </w:r>
    </w:p>
    <w:p w14:paraId="3CD6E36E" w14:textId="77777777" w:rsidR="00A90ED5" w:rsidRDefault="00A90ED5" w:rsidP="00A90ED5">
      <w:pPr>
        <w:jc w:val="both"/>
      </w:pPr>
      <w:r>
        <w:t>E</w:t>
      </w:r>
      <w:r w:rsidRPr="00094781">
        <w:t xml:space="preserve">xamination of </w:t>
      </w:r>
      <w:r>
        <w:t xml:space="preserve">Kids Helpline </w:t>
      </w:r>
      <w:r w:rsidRPr="00094781">
        <w:t>case notes indicated that violence towards siblings and towards</w:t>
      </w:r>
      <w:r>
        <w:t xml:space="preserve"> parents often co-occurred. </w:t>
      </w:r>
      <w:r w:rsidRPr="00094781">
        <w:t>Contacts were typi</w:t>
      </w:r>
      <w:r>
        <w:t xml:space="preserve">cally about physical violence. </w:t>
      </w:r>
      <w:r w:rsidRPr="00094781">
        <w:t>The severity of the violence varied, but many children reported bruising, and a small number had</w:t>
      </w:r>
      <w:r>
        <w:t xml:space="preserve"> been threatened with weapons such as knives. In many cases, children reported fearing for their safety.</w:t>
      </w:r>
      <w:r>
        <w:rPr>
          <w:rStyle w:val="EndnoteReference"/>
        </w:rPr>
        <w:endnoteReference w:id="755"/>
      </w:r>
    </w:p>
    <w:p w14:paraId="1ADFBB0B" w14:textId="77777777" w:rsidR="00A90ED5" w:rsidRPr="00A90ED5" w:rsidRDefault="00A90ED5" w:rsidP="00A90ED5">
      <w:pPr>
        <w:rPr>
          <w:b/>
        </w:rPr>
      </w:pPr>
      <w:bookmarkStart w:id="285" w:name="_Toc432144083"/>
      <w:r w:rsidRPr="00A90ED5">
        <w:rPr>
          <w:b/>
        </w:rPr>
        <w:t>Co-existence of family and domestic violence and other concerns</w:t>
      </w:r>
      <w:bookmarkEnd w:id="285"/>
    </w:p>
    <w:p w14:paraId="141764CC" w14:textId="77777777" w:rsidR="00A90ED5" w:rsidRDefault="00A90ED5" w:rsidP="00A90ED5">
      <w:pPr>
        <w:jc w:val="both"/>
      </w:pPr>
      <w:r>
        <w:rPr>
          <w:szCs w:val="20"/>
        </w:rPr>
        <w:t>At the</w:t>
      </w:r>
      <w:r w:rsidRPr="00CB62C0">
        <w:rPr>
          <w:szCs w:val="20"/>
        </w:rPr>
        <w:t xml:space="preserve"> Kids Helpline </w:t>
      </w:r>
      <w:r w:rsidRPr="006F6C80">
        <w:t xml:space="preserve">counsellors </w:t>
      </w:r>
      <w:r>
        <w:t xml:space="preserve">are able </w:t>
      </w:r>
      <w:r w:rsidRPr="006F6C80">
        <w:t xml:space="preserve">to record up to four different </w:t>
      </w:r>
      <w:r>
        <w:t>concerns raised in each contact. This provides the opportunity</w:t>
      </w:r>
      <w:r w:rsidRPr="006F6C80">
        <w:t xml:space="preserve"> to investigate patterns of co-existence among concern types.</w:t>
      </w:r>
      <w:r>
        <w:rPr>
          <w:rStyle w:val="EndnoteReference"/>
        </w:rPr>
        <w:endnoteReference w:id="756"/>
      </w:r>
    </w:p>
    <w:p w14:paraId="6082AABE" w14:textId="77777777" w:rsidR="00A90ED5" w:rsidRPr="006F6C80" w:rsidRDefault="00A90ED5" w:rsidP="00A90ED5">
      <w:pPr>
        <w:jc w:val="both"/>
      </w:pPr>
      <w:r>
        <w:t>Of all contacts where family and domestic violence was raised as a concern (n</w:t>
      </w:r>
      <w:r w:rsidRPr="006F6C80">
        <w:t>=999):</w:t>
      </w:r>
    </w:p>
    <w:p w14:paraId="0FDD238D" w14:textId="77777777" w:rsidR="00A90ED5" w:rsidRPr="006F6C80" w:rsidRDefault="00A90ED5" w:rsidP="000D1D92">
      <w:pPr>
        <w:numPr>
          <w:ilvl w:val="0"/>
          <w:numId w:val="44"/>
        </w:numPr>
        <w:spacing w:before="0" w:after="0"/>
        <w:ind w:left="720"/>
        <w:jc w:val="both"/>
      </w:pPr>
      <w:r w:rsidRPr="006F6C80">
        <w:t>72 (7.2%) also involved current thoughts of suicide</w:t>
      </w:r>
    </w:p>
    <w:p w14:paraId="31A99A9C" w14:textId="77777777" w:rsidR="00A90ED5" w:rsidRPr="006F6C80" w:rsidRDefault="00A90ED5" w:rsidP="000D1D92">
      <w:pPr>
        <w:numPr>
          <w:ilvl w:val="0"/>
          <w:numId w:val="44"/>
        </w:numPr>
        <w:spacing w:before="0" w:after="0"/>
        <w:ind w:left="720"/>
        <w:jc w:val="both"/>
      </w:pPr>
      <w:r w:rsidRPr="006F6C80">
        <w:lastRenderedPageBreak/>
        <w:t>119 (11.9%) also involved self-injury</w:t>
      </w:r>
    </w:p>
    <w:p w14:paraId="529D29F6" w14:textId="77777777" w:rsidR="00A90ED5" w:rsidRDefault="00A90ED5" w:rsidP="000D1D92">
      <w:pPr>
        <w:numPr>
          <w:ilvl w:val="0"/>
          <w:numId w:val="44"/>
        </w:numPr>
        <w:spacing w:before="0" w:after="0"/>
        <w:ind w:left="720"/>
        <w:jc w:val="both"/>
      </w:pPr>
      <w:r w:rsidRPr="006F6C80">
        <w:t>166 (16.6%) were by a child assessed as having a mental health disorder by the counsellor.</w:t>
      </w:r>
      <w:r>
        <w:rPr>
          <w:rStyle w:val="EndnoteReference"/>
        </w:rPr>
        <w:endnoteReference w:id="757"/>
      </w:r>
    </w:p>
    <w:p w14:paraId="725FB3A8" w14:textId="77777777" w:rsidR="00A90ED5" w:rsidRPr="006F6C80" w:rsidRDefault="00A90ED5" w:rsidP="00A90ED5">
      <w:pPr>
        <w:jc w:val="both"/>
      </w:pPr>
      <w:r>
        <w:t>In</w:t>
      </w:r>
      <w:r w:rsidRPr="006F6C80">
        <w:t xml:space="preserve"> 245 (24.5%) of the contacts about DFV, the child contacting the Helpline also reported experiencing abuse themselves.  This included:</w:t>
      </w:r>
    </w:p>
    <w:p w14:paraId="5C7C2672" w14:textId="77777777" w:rsidR="00A90ED5" w:rsidRPr="006F6C80" w:rsidRDefault="00A90ED5" w:rsidP="000D1D92">
      <w:pPr>
        <w:numPr>
          <w:ilvl w:val="0"/>
          <w:numId w:val="45"/>
        </w:numPr>
        <w:spacing w:before="0" w:after="0"/>
        <w:ind w:left="720"/>
        <w:jc w:val="both"/>
      </w:pPr>
      <w:r w:rsidRPr="006F6C80">
        <w:t>168 (16.8%) contacts raising concerns about physical abuse</w:t>
      </w:r>
    </w:p>
    <w:p w14:paraId="21DBCB57" w14:textId="77777777" w:rsidR="00A90ED5" w:rsidRPr="006F6C80" w:rsidRDefault="00A90ED5" w:rsidP="000D1D92">
      <w:pPr>
        <w:numPr>
          <w:ilvl w:val="0"/>
          <w:numId w:val="45"/>
        </w:numPr>
        <w:spacing w:before="0" w:after="0"/>
        <w:ind w:left="720"/>
        <w:jc w:val="both"/>
      </w:pPr>
      <w:r w:rsidRPr="006F6C80">
        <w:t>93 (9.3%) contacts raising concerns about emotional abuse</w:t>
      </w:r>
    </w:p>
    <w:p w14:paraId="08149FFA" w14:textId="77777777" w:rsidR="00A90ED5" w:rsidRPr="006F6C80" w:rsidRDefault="00A90ED5" w:rsidP="000D1D92">
      <w:pPr>
        <w:numPr>
          <w:ilvl w:val="0"/>
          <w:numId w:val="45"/>
        </w:numPr>
        <w:spacing w:before="0" w:after="0"/>
        <w:ind w:left="720"/>
        <w:jc w:val="both"/>
      </w:pPr>
      <w:r w:rsidRPr="006F6C80">
        <w:t>22 (2.2%) contacts raising concerns about neglect</w:t>
      </w:r>
    </w:p>
    <w:p w14:paraId="1A49E55B" w14:textId="77777777" w:rsidR="00A90ED5" w:rsidRDefault="00A90ED5" w:rsidP="000D1D92">
      <w:pPr>
        <w:numPr>
          <w:ilvl w:val="0"/>
          <w:numId w:val="45"/>
        </w:numPr>
        <w:autoSpaceDE w:val="0"/>
        <w:autoSpaceDN w:val="0"/>
        <w:adjustRightInd w:val="0"/>
        <w:spacing w:before="0" w:after="0"/>
        <w:ind w:left="720"/>
        <w:jc w:val="both"/>
      </w:pPr>
      <w:r w:rsidRPr="006F6C80">
        <w:t>17 (1.7%) contacts raising concerns about sexual abuse (by a family member).</w:t>
      </w:r>
      <w:r>
        <w:rPr>
          <w:rStyle w:val="EndnoteReference"/>
        </w:rPr>
        <w:endnoteReference w:id="758"/>
      </w:r>
    </w:p>
    <w:p w14:paraId="3F309352" w14:textId="77777777" w:rsidR="00215705" w:rsidRDefault="00215705" w:rsidP="00CB666E"/>
    <w:sectPr w:rsidR="00215705" w:rsidSect="00F008D2">
      <w:endnotePr>
        <w:numFmt w:val="decimal"/>
        <w:numRestart w:val="eachSect"/>
      </w:endnotePr>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D29EDE9" w14:textId="77777777" w:rsidR="00F008D2" w:rsidRDefault="00F008D2" w:rsidP="00F14C6D">
      <w:r>
        <w:separator/>
      </w:r>
    </w:p>
  </w:endnote>
  <w:endnote w:type="continuationSeparator" w:id="0">
    <w:p w14:paraId="5D36C995" w14:textId="77777777" w:rsidR="00F008D2" w:rsidRDefault="00F008D2" w:rsidP="00F14C6D">
      <w:r>
        <w:continuationSeparator/>
      </w:r>
    </w:p>
  </w:endnote>
  <w:endnote w:id="1">
    <w:p w14:paraId="710B5003" w14:textId="795C4BCA" w:rsidR="00F008D2" w:rsidRDefault="00F008D2">
      <w:pPr>
        <w:pStyle w:val="EndnoteText"/>
      </w:pPr>
      <w:r>
        <w:rPr>
          <w:rStyle w:val="EndnoteReference"/>
        </w:rPr>
        <w:endnoteRef/>
      </w:r>
      <w:r>
        <w:t xml:space="preserve"> </w:t>
      </w:r>
      <w:r w:rsidRPr="00C43E7F">
        <w:t>A</w:t>
      </w:r>
      <w:r>
        <w:t>ustralian Institute of Health and Welfare,</w:t>
      </w:r>
      <w:r w:rsidRPr="00C43E7F">
        <w:t xml:space="preserve"> </w:t>
      </w:r>
      <w:r w:rsidRPr="008254A6">
        <w:rPr>
          <w:i/>
        </w:rPr>
        <w:t>Australia’s Welfare 2015 – In brief</w:t>
      </w:r>
      <w:r>
        <w:t xml:space="preserve"> (2015) 12 &lt;</w:t>
      </w:r>
      <w:hyperlink r:id="rId1" w:history="1">
        <w:r w:rsidRPr="006C5E42">
          <w:rPr>
            <w:rStyle w:val="Hyperlink"/>
          </w:rPr>
          <w:t>http://www.aihw.gov.au/publication-detail/?id=60129552016</w:t>
        </w:r>
      </w:hyperlink>
      <w:r>
        <w:t xml:space="preserve">&gt;. </w:t>
      </w:r>
    </w:p>
  </w:endnote>
  <w:endnote w:id="2">
    <w:p w14:paraId="29071062" w14:textId="77777777" w:rsidR="00F008D2" w:rsidRDefault="00F008D2" w:rsidP="00E0649C">
      <w:pPr>
        <w:pStyle w:val="EndnoteText"/>
      </w:pPr>
      <w:r w:rsidRPr="00A311F7">
        <w:rPr>
          <w:vertAlign w:val="superscript"/>
        </w:rPr>
        <w:endnoteRef/>
      </w:r>
      <w:r>
        <w:rPr>
          <w:rFonts w:ascii="ArialUnicodeMS"/>
        </w:rPr>
        <w:t xml:space="preserve"> </w:t>
      </w:r>
      <w:r>
        <w:rPr>
          <w:i/>
          <w:iCs/>
        </w:rPr>
        <w:t>Convention on the Rights of the Child</w:t>
      </w:r>
      <w:r>
        <w:t>, opened for signature 20 November 1989,</w:t>
      </w:r>
      <w:r w:rsidRPr="00A311F7">
        <w:t xml:space="preserve"> 1577 UNTS 3</w:t>
      </w:r>
      <w:r>
        <w:t xml:space="preserve"> </w:t>
      </w:r>
      <w:r w:rsidRPr="000C7AD8">
        <w:t>(entered into force 2 September 1990)</w:t>
      </w:r>
      <w:r>
        <w:t xml:space="preserve"> Article 12.</w:t>
      </w:r>
    </w:p>
  </w:endnote>
  <w:endnote w:id="3">
    <w:p w14:paraId="0F0C3AE0" w14:textId="77777777" w:rsidR="00F008D2" w:rsidRDefault="00F008D2" w:rsidP="000A04FB">
      <w:pPr>
        <w:pStyle w:val="EndnoteText"/>
      </w:pPr>
      <w:r>
        <w:rPr>
          <w:rStyle w:val="EndnoteReference"/>
        </w:rPr>
        <w:endnoteRef/>
      </w:r>
      <w:r>
        <w:t xml:space="preserve"> </w:t>
      </w:r>
      <w:r>
        <w:rPr>
          <w:i/>
          <w:iCs/>
        </w:rPr>
        <w:t>Convention on the Rights of the Child</w:t>
      </w:r>
      <w:r>
        <w:t>, opened for signature 20 November 1989,</w:t>
      </w:r>
      <w:r w:rsidRPr="00A311F7">
        <w:t xml:space="preserve"> 1577 UNTS 3</w:t>
      </w:r>
      <w:r>
        <w:t xml:space="preserve"> </w:t>
      </w:r>
      <w:r w:rsidRPr="000C7AD8">
        <w:t>(entered into force 2 September 1990)</w:t>
      </w:r>
      <w:r>
        <w:t xml:space="preserve"> Article 12.</w:t>
      </w:r>
    </w:p>
  </w:endnote>
  <w:endnote w:id="4">
    <w:p w14:paraId="633B4A7C" w14:textId="77777777" w:rsidR="00F008D2" w:rsidRPr="00843F0E" w:rsidRDefault="00F008D2" w:rsidP="0093038B">
      <w:pPr>
        <w:pStyle w:val="EndnoteText"/>
        <w:rPr>
          <w:rStyle w:val="EndnoteReference"/>
        </w:rPr>
      </w:pPr>
      <w:r>
        <w:rPr>
          <w:rStyle w:val="EndnoteReference"/>
        </w:rPr>
        <w:endnoteRef/>
      </w:r>
      <w:r w:rsidRPr="00843F0E">
        <w:rPr>
          <w:rStyle w:val="EndnoteReference"/>
        </w:rPr>
        <w:t xml:space="preserve"> </w:t>
      </w:r>
      <w:r>
        <w:rPr>
          <w:i/>
          <w:iCs/>
        </w:rPr>
        <w:t>Convention on the Rights of the Child</w:t>
      </w:r>
      <w:r>
        <w:t>, opened for signature 20 November 1989,</w:t>
      </w:r>
      <w:r w:rsidRPr="00A311F7">
        <w:t xml:space="preserve"> 1577 UNTS 3</w:t>
      </w:r>
      <w:r>
        <w:t xml:space="preserve"> </w:t>
      </w:r>
      <w:r w:rsidRPr="000C7AD8">
        <w:t>(entered into force 2 September 1990)</w:t>
      </w:r>
      <w:r>
        <w:t xml:space="preserve"> Article 19.</w:t>
      </w:r>
    </w:p>
  </w:endnote>
  <w:endnote w:id="5">
    <w:p w14:paraId="03B13345" w14:textId="371A4FBA" w:rsidR="00F008D2" w:rsidRPr="007E6A6D" w:rsidRDefault="00F008D2" w:rsidP="00173F83">
      <w:pPr>
        <w:pStyle w:val="EndnoteText"/>
        <w:rPr>
          <w:rStyle w:val="EndnoteReference"/>
        </w:rPr>
      </w:pPr>
      <w:r>
        <w:rPr>
          <w:rStyle w:val="EndnoteReference"/>
        </w:rPr>
        <w:endnoteRef/>
      </w:r>
      <w:r w:rsidRPr="007E6A6D">
        <w:rPr>
          <w:rStyle w:val="EndnoteReference"/>
        </w:rPr>
        <w:t xml:space="preserve"> </w:t>
      </w:r>
      <w:r w:rsidRPr="007E6A6D">
        <w:t>Australia</w:t>
      </w:r>
      <w:r>
        <w:t xml:space="preserve">n Human Rights Commission, </w:t>
      </w:r>
      <w:r w:rsidRPr="0068767D">
        <w:rPr>
          <w:i/>
        </w:rPr>
        <w:t>Children’s Rights Report 2014</w:t>
      </w:r>
      <w:r>
        <w:t xml:space="preserve"> (2014) 61, 104–108, </w:t>
      </w:r>
      <w:r w:rsidRPr="007E6A6D">
        <w:t xml:space="preserve"> </w:t>
      </w:r>
      <w:r>
        <w:t>151 &lt;</w:t>
      </w:r>
      <w:hyperlink r:id="rId2" w:history="1">
        <w:r w:rsidRPr="001F4039">
          <w:rPr>
            <w:rStyle w:val="Hyperlink"/>
          </w:rPr>
          <w:t>https://www.humanrights.gov.au/our-work/childrens-rights/publications/childrens-rights-report-2014</w:t>
        </w:r>
      </w:hyperlink>
      <w:r>
        <w:t>&gt;.</w:t>
      </w:r>
    </w:p>
  </w:endnote>
  <w:endnote w:id="6">
    <w:p w14:paraId="74A57034" w14:textId="77777777" w:rsidR="00F008D2" w:rsidRPr="007E6A6D" w:rsidRDefault="00F008D2" w:rsidP="0093038B">
      <w:pPr>
        <w:pStyle w:val="EndnoteText"/>
        <w:rPr>
          <w:rStyle w:val="EndnoteReference"/>
        </w:rPr>
      </w:pPr>
      <w:r>
        <w:rPr>
          <w:rStyle w:val="EndnoteReference"/>
        </w:rPr>
        <w:endnoteRef/>
      </w:r>
      <w:r w:rsidRPr="007E6A6D">
        <w:rPr>
          <w:rStyle w:val="EndnoteReference"/>
        </w:rPr>
        <w:t xml:space="preserve"> </w:t>
      </w:r>
      <w:r w:rsidRPr="007E6A6D">
        <w:t>Australia</w:t>
      </w:r>
      <w:r>
        <w:t xml:space="preserve">n Human Rights Commission, </w:t>
      </w:r>
      <w:r w:rsidRPr="0068767D">
        <w:rPr>
          <w:i/>
        </w:rPr>
        <w:t>Children’s Rights Report 2014</w:t>
      </w:r>
      <w:r>
        <w:t xml:space="preserve"> (2014)</w:t>
      </w:r>
      <w:r w:rsidRPr="007E6A6D">
        <w:t xml:space="preserve"> </w:t>
      </w:r>
      <w:r>
        <w:t>151 &lt;</w:t>
      </w:r>
      <w:hyperlink r:id="rId3" w:history="1">
        <w:r w:rsidRPr="001F4039">
          <w:rPr>
            <w:rStyle w:val="Hyperlink"/>
          </w:rPr>
          <w:t>https://www.humanrights.gov.au/our-work/childrens-rights/publications/childrens-rights-report-2014</w:t>
        </w:r>
      </w:hyperlink>
      <w:r>
        <w:t>&gt;.</w:t>
      </w:r>
    </w:p>
  </w:endnote>
  <w:endnote w:id="7">
    <w:p w14:paraId="09CE7015" w14:textId="77777777" w:rsidR="00F008D2" w:rsidRDefault="00F008D2" w:rsidP="0093038B">
      <w:pPr>
        <w:pStyle w:val="EndnoteText"/>
      </w:pPr>
      <w:r>
        <w:rPr>
          <w:rStyle w:val="EndnoteReference"/>
        </w:rPr>
        <w:endnoteRef/>
      </w:r>
      <w:r>
        <w:t xml:space="preserve"> </w:t>
      </w:r>
      <w:r w:rsidRPr="007E6A6D">
        <w:t>Australia</w:t>
      </w:r>
      <w:r>
        <w:t xml:space="preserve">n Human Rights Commission, </w:t>
      </w:r>
      <w:r w:rsidRPr="0068767D">
        <w:rPr>
          <w:i/>
        </w:rPr>
        <w:t>Children’s Rights Report 2014</w:t>
      </w:r>
      <w:r>
        <w:t xml:space="preserve"> (2014)</w:t>
      </w:r>
      <w:r w:rsidRPr="007E6A6D">
        <w:t xml:space="preserve"> </w:t>
      </w:r>
      <w:r>
        <w:t>115, 151, 160 &lt;</w:t>
      </w:r>
      <w:hyperlink r:id="rId4" w:history="1">
        <w:r w:rsidRPr="001F4039">
          <w:rPr>
            <w:rStyle w:val="Hyperlink"/>
          </w:rPr>
          <w:t>https://www.humanrights.gov.au/our-work/childrens-rights/publications/childrens-rights-report-2014</w:t>
        </w:r>
      </w:hyperlink>
      <w:r>
        <w:t xml:space="preserve">&gt;. </w:t>
      </w:r>
    </w:p>
  </w:endnote>
  <w:endnote w:id="8">
    <w:p w14:paraId="4FAE8C67" w14:textId="77777777" w:rsidR="00F008D2" w:rsidRPr="00C347CE" w:rsidRDefault="00F008D2" w:rsidP="0093038B">
      <w:pPr>
        <w:pStyle w:val="EndnoteText"/>
        <w:rPr>
          <w:rStyle w:val="EndnoteReference"/>
        </w:rPr>
      </w:pPr>
      <w:r>
        <w:rPr>
          <w:rStyle w:val="EndnoteReference"/>
        </w:rPr>
        <w:endnoteRef/>
      </w:r>
      <w:r w:rsidRPr="00C347CE">
        <w:rPr>
          <w:rStyle w:val="EndnoteReference"/>
        </w:rPr>
        <w:t xml:space="preserve"> </w:t>
      </w:r>
      <w:r>
        <w:t xml:space="preserve"> Megan Mitchell and Mick Gooda, ‘Self-harm and help-seeking among Aboriginal and Torres Strait Children and Young People’ (2015) 8(</w:t>
      </w:r>
      <w:r w:rsidRPr="001B369E">
        <w:t>17</w:t>
      </w:r>
      <w:r>
        <w:t xml:space="preserve">) </w:t>
      </w:r>
      <w:r w:rsidRPr="00F15A72">
        <w:rPr>
          <w:i/>
        </w:rPr>
        <w:t>Indigenous Law Bulletin</w:t>
      </w:r>
      <w:r w:rsidRPr="009228A5">
        <w:t xml:space="preserve"> </w:t>
      </w:r>
      <w:r>
        <w:t>24.</w:t>
      </w:r>
    </w:p>
  </w:endnote>
  <w:endnote w:id="9">
    <w:p w14:paraId="764D1CC9" w14:textId="77777777" w:rsidR="00F008D2" w:rsidRDefault="00F008D2" w:rsidP="0093038B">
      <w:pPr>
        <w:pStyle w:val="EndnoteText"/>
      </w:pPr>
      <w:r>
        <w:rPr>
          <w:rStyle w:val="EndnoteReference"/>
        </w:rPr>
        <w:endnoteRef/>
      </w:r>
      <w:r>
        <w:t xml:space="preserve"> </w:t>
      </w:r>
      <w:r w:rsidRPr="008708A2">
        <w:t>National Mental Health Commission</w:t>
      </w:r>
      <w:r>
        <w:t>,</w:t>
      </w:r>
      <w:r w:rsidRPr="008708A2">
        <w:t xml:space="preserve"> </w:t>
      </w:r>
      <w:r w:rsidRPr="008708A2">
        <w:rPr>
          <w:i/>
        </w:rPr>
        <w:t xml:space="preserve">Report of the National Review of Mental Health Programmes and Services – </w:t>
      </w:r>
      <w:r>
        <w:rPr>
          <w:i/>
        </w:rPr>
        <w:t>Volume 1</w:t>
      </w:r>
      <w:r w:rsidRPr="008708A2">
        <w:t xml:space="preserve"> (201</w:t>
      </w:r>
      <w:r>
        <w:t>5</w:t>
      </w:r>
      <w:r w:rsidRPr="008708A2">
        <w:t>)</w:t>
      </w:r>
      <w:r>
        <w:t xml:space="preserve"> 35. </w:t>
      </w:r>
    </w:p>
  </w:endnote>
  <w:endnote w:id="10">
    <w:p w14:paraId="07565544" w14:textId="77777777" w:rsidR="00F008D2" w:rsidRDefault="00F008D2" w:rsidP="0093038B">
      <w:pPr>
        <w:pStyle w:val="EndnoteText"/>
      </w:pPr>
      <w:r>
        <w:rPr>
          <w:rStyle w:val="EndnoteReference"/>
        </w:rPr>
        <w:endnoteRef/>
      </w:r>
      <w:r>
        <w:t xml:space="preserve"> </w:t>
      </w:r>
      <w:r w:rsidRPr="008708A2">
        <w:t>National Mental Health Commission</w:t>
      </w:r>
      <w:r>
        <w:t>,</w:t>
      </w:r>
      <w:r w:rsidRPr="008708A2">
        <w:t xml:space="preserve"> </w:t>
      </w:r>
      <w:r w:rsidRPr="008708A2">
        <w:rPr>
          <w:i/>
        </w:rPr>
        <w:t xml:space="preserve">Report of the National Review of Mental Health Programmes and Services – </w:t>
      </w:r>
      <w:r>
        <w:rPr>
          <w:i/>
        </w:rPr>
        <w:t>Volume 1</w:t>
      </w:r>
      <w:r w:rsidRPr="008708A2">
        <w:t xml:space="preserve"> (201</w:t>
      </w:r>
      <w:r>
        <w:t>5</w:t>
      </w:r>
      <w:r w:rsidRPr="008708A2">
        <w:t>)</w:t>
      </w:r>
      <w:r>
        <w:t xml:space="preserve"> 68. </w:t>
      </w:r>
    </w:p>
  </w:endnote>
  <w:endnote w:id="11">
    <w:p w14:paraId="1611CA21" w14:textId="77777777" w:rsidR="00F008D2" w:rsidRDefault="00F008D2" w:rsidP="0093038B">
      <w:pPr>
        <w:pStyle w:val="EndnoteText"/>
      </w:pPr>
      <w:r>
        <w:rPr>
          <w:rStyle w:val="EndnoteReference"/>
        </w:rPr>
        <w:endnoteRef/>
      </w:r>
      <w:r>
        <w:t xml:space="preserve"> </w:t>
      </w:r>
      <w:r w:rsidRPr="008708A2">
        <w:t>National Mental Health Commission</w:t>
      </w:r>
      <w:r>
        <w:t>,</w:t>
      </w:r>
      <w:r w:rsidRPr="008708A2">
        <w:t xml:space="preserve"> </w:t>
      </w:r>
      <w:r w:rsidRPr="008708A2">
        <w:rPr>
          <w:i/>
        </w:rPr>
        <w:t xml:space="preserve">Report of the National Review of Mental Health Programmes and Services – </w:t>
      </w:r>
      <w:r>
        <w:rPr>
          <w:i/>
        </w:rPr>
        <w:t>Volume 1</w:t>
      </w:r>
      <w:r w:rsidRPr="008708A2">
        <w:t xml:space="preserve"> (201</w:t>
      </w:r>
      <w:r>
        <w:t>5</w:t>
      </w:r>
      <w:r w:rsidRPr="008708A2">
        <w:t>)</w:t>
      </w:r>
      <w:r>
        <w:t xml:space="preserve"> 112. </w:t>
      </w:r>
    </w:p>
  </w:endnote>
  <w:endnote w:id="12">
    <w:p w14:paraId="4383FED9" w14:textId="77777777" w:rsidR="00F008D2" w:rsidRDefault="00F008D2" w:rsidP="00247959">
      <w:pPr>
        <w:pStyle w:val="EndnoteText"/>
      </w:pPr>
      <w:r>
        <w:rPr>
          <w:rStyle w:val="EndnoteReference"/>
        </w:rPr>
        <w:endnoteRef/>
      </w:r>
      <w:r>
        <w:t xml:space="preserve"> </w:t>
      </w:r>
      <w:r w:rsidRPr="00C43E7F">
        <w:t>A</w:t>
      </w:r>
      <w:r>
        <w:t>ustralian Institute of Health and Welfare,</w:t>
      </w:r>
      <w:r w:rsidRPr="00C43E7F">
        <w:t xml:space="preserve"> </w:t>
      </w:r>
      <w:r w:rsidRPr="00176D56">
        <w:rPr>
          <w:i/>
        </w:rPr>
        <w:t>Child protection Australia 2013–14</w:t>
      </w:r>
      <w:r w:rsidRPr="00A873C0">
        <w:t xml:space="preserve"> </w:t>
      </w:r>
      <w:r>
        <w:t>(2015) 45 &lt;</w:t>
      </w:r>
      <w:hyperlink r:id="rId5" w:history="1">
        <w:r w:rsidRPr="001F4039">
          <w:rPr>
            <w:rStyle w:val="Hyperlink"/>
          </w:rPr>
          <w:t>http://www.aihw.gov.au/publication-detail/?id=60129550762</w:t>
        </w:r>
      </w:hyperlink>
      <w:r>
        <w:t xml:space="preserve">&gt;. </w:t>
      </w:r>
    </w:p>
  </w:endnote>
  <w:endnote w:id="13">
    <w:p w14:paraId="39D4A0C7" w14:textId="77777777" w:rsidR="00F008D2" w:rsidRDefault="00F008D2" w:rsidP="00247959">
      <w:pPr>
        <w:pStyle w:val="EndnoteText"/>
      </w:pPr>
      <w:r>
        <w:rPr>
          <w:rStyle w:val="EndnoteReference"/>
        </w:rPr>
        <w:endnoteRef/>
      </w:r>
      <w:r>
        <w:t xml:space="preserve"> </w:t>
      </w:r>
      <w:r w:rsidRPr="00C43E7F">
        <w:t>A</w:t>
      </w:r>
      <w:r>
        <w:t>ustralian Institute of Health and Welfare,</w:t>
      </w:r>
      <w:r w:rsidRPr="00C43E7F">
        <w:t xml:space="preserve"> </w:t>
      </w:r>
      <w:r w:rsidRPr="00176D56">
        <w:rPr>
          <w:i/>
        </w:rPr>
        <w:t>Child protection Australia 2013–14</w:t>
      </w:r>
      <w:r w:rsidRPr="00A873C0">
        <w:t xml:space="preserve"> </w:t>
      </w:r>
      <w:r>
        <w:t>(2015) 54 &lt;</w:t>
      </w:r>
      <w:hyperlink r:id="rId6" w:history="1">
        <w:r w:rsidRPr="001F4039">
          <w:rPr>
            <w:rStyle w:val="Hyperlink"/>
          </w:rPr>
          <w:t>http://www.aihw.gov.au/publication-detail/?id=60129550762</w:t>
        </w:r>
      </w:hyperlink>
      <w:r>
        <w:t xml:space="preserve">&gt;. </w:t>
      </w:r>
    </w:p>
  </w:endnote>
  <w:endnote w:id="14">
    <w:p w14:paraId="2D28B2E2" w14:textId="77777777" w:rsidR="00F008D2" w:rsidRDefault="00F008D2" w:rsidP="00247959">
      <w:pPr>
        <w:pStyle w:val="EndnoteText"/>
      </w:pPr>
      <w:r>
        <w:rPr>
          <w:rStyle w:val="EndnoteReference"/>
        </w:rPr>
        <w:endnoteRef/>
      </w:r>
      <w:r>
        <w:t xml:space="preserve"> </w:t>
      </w:r>
      <w:r w:rsidRPr="00A92394">
        <w:t xml:space="preserve">Australian Institute of Health and Welfare, </w:t>
      </w:r>
      <w:r w:rsidRPr="00A92394">
        <w:rPr>
          <w:i/>
        </w:rPr>
        <w:t>Child protection Australia 2013–14</w:t>
      </w:r>
      <w:r w:rsidRPr="00A92394">
        <w:t xml:space="preserve"> (2015) </w:t>
      </w:r>
      <w:r>
        <w:t>28</w:t>
      </w:r>
      <w:r w:rsidRPr="00A92394">
        <w:t xml:space="preserve"> &lt;</w:t>
      </w:r>
      <w:hyperlink r:id="rId7" w:history="1">
        <w:r w:rsidRPr="00A92394">
          <w:rPr>
            <w:rStyle w:val="Hyperlink"/>
          </w:rPr>
          <w:t>http://www.aihw.gov.au/publication-detail/?id=60129550762</w:t>
        </w:r>
      </w:hyperlink>
      <w:r w:rsidRPr="00A92394">
        <w:t>&gt;.</w:t>
      </w:r>
    </w:p>
  </w:endnote>
  <w:endnote w:id="15">
    <w:p w14:paraId="0D63519C" w14:textId="77777777" w:rsidR="00F008D2" w:rsidRDefault="00F008D2" w:rsidP="00247959">
      <w:pPr>
        <w:pStyle w:val="EndnoteText"/>
      </w:pPr>
      <w:r>
        <w:rPr>
          <w:rStyle w:val="EndnoteReference"/>
        </w:rPr>
        <w:endnoteRef/>
      </w:r>
      <w:r>
        <w:t xml:space="preserve"> </w:t>
      </w:r>
      <w:r w:rsidRPr="00CC0174">
        <w:t>Judy Cashmore and</w:t>
      </w:r>
      <w:r>
        <w:t xml:space="preserve"> </w:t>
      </w:r>
      <w:r w:rsidRPr="00CC0174">
        <w:t xml:space="preserve">Marina Paxman </w:t>
      </w:r>
      <w:r>
        <w:t>‘</w:t>
      </w:r>
      <w:r w:rsidRPr="00CC0174">
        <w:t>Predicting after-care outcomes: the importance of ‘felt’ security</w:t>
      </w:r>
      <w:r>
        <w:t xml:space="preserve">’ (2006) 11 (3) </w:t>
      </w:r>
      <w:r w:rsidRPr="00CC0174">
        <w:rPr>
          <w:i/>
        </w:rPr>
        <w:t>Child &amp; Family Social</w:t>
      </w:r>
      <w:r w:rsidRPr="00CC0174">
        <w:t xml:space="preserve"> Work</w:t>
      </w:r>
      <w:r>
        <w:t xml:space="preserve"> 232; Philip Mendes</w:t>
      </w:r>
      <w:r w:rsidRPr="00ED39CC">
        <w:t xml:space="preserve"> and</w:t>
      </w:r>
      <w:r>
        <w:t xml:space="preserve"> </w:t>
      </w:r>
      <w:r w:rsidRPr="00ED39CC">
        <w:t>Badal Moslehuddin</w:t>
      </w:r>
      <w:r>
        <w:t xml:space="preserve"> ‘</w:t>
      </w:r>
      <w:r w:rsidRPr="00ED39CC">
        <w:t>From dependence to interdependence: towards better outcomes for young people leaving state care</w:t>
      </w:r>
      <w:r>
        <w:t xml:space="preserve">’ (2006) 15 (2) </w:t>
      </w:r>
      <w:r w:rsidRPr="00ED39CC">
        <w:rPr>
          <w:i/>
        </w:rPr>
        <w:t>Child Abuse Review</w:t>
      </w:r>
      <w:r>
        <w:t xml:space="preserve"> 110.</w:t>
      </w:r>
    </w:p>
  </w:endnote>
  <w:endnote w:id="16">
    <w:p w14:paraId="363E886B" w14:textId="77777777" w:rsidR="00F008D2" w:rsidRDefault="00F008D2" w:rsidP="00247959">
      <w:pPr>
        <w:pStyle w:val="EndnoteText"/>
      </w:pPr>
      <w:r>
        <w:rPr>
          <w:rStyle w:val="EndnoteReference"/>
        </w:rPr>
        <w:endnoteRef/>
      </w:r>
      <w:r>
        <w:t xml:space="preserve"> </w:t>
      </w:r>
      <w:r w:rsidRPr="000C3E16">
        <w:t xml:space="preserve">Committee on the Rights of the Child, </w:t>
      </w:r>
      <w:r w:rsidRPr="000C3E16">
        <w:rPr>
          <w:i/>
        </w:rPr>
        <w:t>Concluding Observations of the Committee on the Rights of the Child: Australia</w:t>
      </w:r>
      <w:r w:rsidRPr="000C3E16">
        <w:t xml:space="preserve">, </w:t>
      </w:r>
      <w:r>
        <w:t>60</w:t>
      </w:r>
      <w:r w:rsidRPr="000C3E16">
        <w:rPr>
          <w:vertAlign w:val="superscript"/>
        </w:rPr>
        <w:t>th</w:t>
      </w:r>
      <w:r>
        <w:t xml:space="preserve"> sess, UN Doc </w:t>
      </w:r>
      <w:r w:rsidRPr="000C3E16">
        <w:t>CRC/C/AUS/CO/4</w:t>
      </w:r>
      <w:r>
        <w:t xml:space="preserve"> (28 August 2012) [51].</w:t>
      </w:r>
    </w:p>
  </w:endnote>
  <w:endnote w:id="17">
    <w:p w14:paraId="180433EF" w14:textId="77777777" w:rsidR="00F008D2" w:rsidRDefault="00F008D2" w:rsidP="00247959">
      <w:pPr>
        <w:pStyle w:val="EndnoteText"/>
      </w:pPr>
      <w:r>
        <w:rPr>
          <w:rStyle w:val="EndnoteReference"/>
        </w:rPr>
        <w:endnoteRef/>
      </w:r>
      <w:r>
        <w:t xml:space="preserve"> </w:t>
      </w:r>
      <w:r w:rsidRPr="000C3E16">
        <w:t xml:space="preserve">Committee on the Rights of the Child, </w:t>
      </w:r>
      <w:r w:rsidRPr="000C3E16">
        <w:rPr>
          <w:i/>
        </w:rPr>
        <w:t>Concluding Observations of the Committee on the Rights of the Child: Australia</w:t>
      </w:r>
      <w:r w:rsidRPr="000C3E16">
        <w:t xml:space="preserve">, </w:t>
      </w:r>
      <w:r>
        <w:t>60</w:t>
      </w:r>
      <w:r w:rsidRPr="000C3E16">
        <w:rPr>
          <w:vertAlign w:val="superscript"/>
        </w:rPr>
        <w:t>th</w:t>
      </w:r>
      <w:r>
        <w:t xml:space="preserve"> sess, UN Doc </w:t>
      </w:r>
      <w:r w:rsidRPr="000C3E16">
        <w:t>CRC/C/AUS/CO/4</w:t>
      </w:r>
      <w:r>
        <w:t xml:space="preserve"> (28 August 2012) [52].</w:t>
      </w:r>
    </w:p>
  </w:endnote>
  <w:endnote w:id="18">
    <w:p w14:paraId="7449211A" w14:textId="77777777" w:rsidR="00F008D2" w:rsidRDefault="00F008D2" w:rsidP="00247959">
      <w:pPr>
        <w:pStyle w:val="EndnoteText"/>
      </w:pPr>
      <w:r>
        <w:rPr>
          <w:rStyle w:val="EndnoteReference"/>
        </w:rPr>
        <w:endnoteRef/>
      </w:r>
      <w:r>
        <w:t xml:space="preserve"> </w:t>
      </w:r>
      <w:r w:rsidRPr="00FB514C">
        <w:t>Community Affairs References Committee</w:t>
      </w:r>
      <w:r>
        <w:t xml:space="preserve">, </w:t>
      </w:r>
      <w:r w:rsidRPr="00680739">
        <w:t>Parliament of Australia</w:t>
      </w:r>
      <w:r>
        <w:t xml:space="preserve">, </w:t>
      </w:r>
      <w:r w:rsidRPr="009D48E9">
        <w:rPr>
          <w:i/>
        </w:rPr>
        <w:t>Out of home care</w:t>
      </w:r>
      <w:r>
        <w:t xml:space="preserve"> (2015) &lt;</w:t>
      </w:r>
      <w:hyperlink r:id="rId8" w:history="1">
        <w:r w:rsidRPr="001F4039">
          <w:rPr>
            <w:rStyle w:val="Hyperlink"/>
          </w:rPr>
          <w:t>http://www.aph.gov.au/Parliamentary_Business/Committees/Senate/Community_Affairs/Out_of_home_care/Report</w:t>
        </w:r>
      </w:hyperlink>
      <w:r>
        <w:t>&gt;.</w:t>
      </w:r>
    </w:p>
  </w:endnote>
  <w:endnote w:id="19">
    <w:p w14:paraId="3487D503" w14:textId="77777777" w:rsidR="00F008D2" w:rsidRDefault="00F008D2" w:rsidP="00247959">
      <w:pPr>
        <w:pStyle w:val="EndnoteText"/>
      </w:pPr>
      <w:r>
        <w:rPr>
          <w:rStyle w:val="EndnoteReference"/>
        </w:rPr>
        <w:endnoteRef/>
      </w:r>
      <w:r>
        <w:t xml:space="preserve"> Productivity Commission, </w:t>
      </w:r>
      <w:r w:rsidRPr="009D48E9">
        <w:rPr>
          <w:i/>
        </w:rPr>
        <w:t>Report on Government Services 2015</w:t>
      </w:r>
      <w:r>
        <w:t xml:space="preserve"> (2015) 15.28</w:t>
      </w:r>
      <w:r w:rsidRPr="00176D56">
        <w:rPr>
          <w:i/>
        </w:rPr>
        <w:t>–</w:t>
      </w:r>
      <w:r>
        <w:t>15.30. &lt;</w:t>
      </w:r>
      <w:hyperlink r:id="rId9" w:history="1">
        <w:r w:rsidRPr="00FC4849">
          <w:rPr>
            <w:rStyle w:val="Hyperlink"/>
          </w:rPr>
          <w:t>http://www.pc.gov.au/research/recurring/report-on-government-services/2015/community-services/child-protection</w:t>
        </w:r>
      </w:hyperlink>
      <w:r>
        <w:t>&gt;.</w:t>
      </w:r>
    </w:p>
  </w:endnote>
  <w:endnote w:id="20">
    <w:p w14:paraId="5A03A396" w14:textId="77777777" w:rsidR="00F008D2" w:rsidRDefault="00F008D2" w:rsidP="00247959">
      <w:pPr>
        <w:pStyle w:val="EndnoteText"/>
      </w:pPr>
      <w:r>
        <w:rPr>
          <w:rStyle w:val="EndnoteReference"/>
        </w:rPr>
        <w:endnoteRef/>
      </w:r>
      <w:r>
        <w:t xml:space="preserve"> </w:t>
      </w:r>
      <w:r w:rsidRPr="00194E08">
        <w:t>Royal Commission into Institutional Responses to Child Sexual Abuse</w:t>
      </w:r>
      <w:r>
        <w:t xml:space="preserve">, </w:t>
      </w:r>
      <w:r w:rsidRPr="00F20C7F">
        <w:rPr>
          <w:i/>
        </w:rPr>
        <w:t>Working with Children Checks</w:t>
      </w:r>
      <w:r>
        <w:t xml:space="preserve"> (2015) &lt;</w:t>
      </w:r>
      <w:hyperlink r:id="rId10" w:history="1">
        <w:r w:rsidRPr="001F4039">
          <w:rPr>
            <w:rStyle w:val="Hyperlink"/>
          </w:rPr>
          <w:t>http://www.childabuseroyalcommission.gov.au/policy-and-research/working-with-children-checks.aspx</w:t>
        </w:r>
      </w:hyperlink>
      <w:r>
        <w:t>&gt;.</w:t>
      </w:r>
    </w:p>
  </w:endnote>
  <w:endnote w:id="21">
    <w:p w14:paraId="58A7A6FB" w14:textId="77777777" w:rsidR="00F008D2" w:rsidRDefault="00F008D2" w:rsidP="00247959">
      <w:pPr>
        <w:pStyle w:val="EndnoteText"/>
      </w:pPr>
      <w:r>
        <w:rPr>
          <w:rStyle w:val="EndnoteReference"/>
        </w:rPr>
        <w:endnoteRef/>
      </w:r>
      <w:r>
        <w:t xml:space="preserve"> </w:t>
      </w:r>
      <w:r>
        <w:rPr>
          <w:i/>
          <w:iCs/>
        </w:rPr>
        <w:t>Convention on the Rights of the Child</w:t>
      </w:r>
      <w:r>
        <w:t>, opened for signature 20 November 1989,</w:t>
      </w:r>
      <w:r w:rsidRPr="00A311F7">
        <w:t xml:space="preserve"> 1577 UNTS 3</w:t>
      </w:r>
      <w:r>
        <w:t xml:space="preserve"> </w:t>
      </w:r>
      <w:r w:rsidRPr="000C7AD8">
        <w:t>(entered into force 2 September 1990)</w:t>
      </w:r>
      <w:r>
        <w:t xml:space="preserve"> Article 8.</w:t>
      </w:r>
    </w:p>
  </w:endnote>
  <w:endnote w:id="22">
    <w:p w14:paraId="32BDBDD5" w14:textId="77777777" w:rsidR="00F008D2" w:rsidRDefault="00F008D2" w:rsidP="00247959">
      <w:pPr>
        <w:pStyle w:val="EndnoteText"/>
      </w:pPr>
      <w:r>
        <w:rPr>
          <w:rStyle w:val="EndnoteReference"/>
        </w:rPr>
        <w:endnoteRef/>
      </w:r>
      <w:r>
        <w:t xml:space="preserve"> </w:t>
      </w:r>
      <w:r w:rsidRPr="00562302">
        <w:t>Australian Human Rights Commission</w:t>
      </w:r>
      <w:r>
        <w:t xml:space="preserve">, </w:t>
      </w:r>
      <w:r w:rsidRPr="00F20C7F">
        <w:rPr>
          <w:i/>
        </w:rPr>
        <w:t>A model charter of rights for children and young people detained in youth justice facilities</w:t>
      </w:r>
      <w:r>
        <w:t>, (12 August 2014) &lt;</w:t>
      </w:r>
      <w:hyperlink r:id="rId11" w:history="1">
        <w:r w:rsidRPr="004F705B">
          <w:rPr>
            <w:rStyle w:val="Hyperlink"/>
          </w:rPr>
          <w:t>https://www.humanrights.gov.au/our-work/childrens-rights/projects/model-charter-rights-children-and-young-people-detained-youth</w:t>
        </w:r>
      </w:hyperlink>
      <w:r>
        <w:t>&gt;.</w:t>
      </w:r>
    </w:p>
  </w:endnote>
  <w:endnote w:id="23">
    <w:p w14:paraId="34285545" w14:textId="77777777" w:rsidR="00F008D2" w:rsidRPr="00C50189" w:rsidRDefault="00F008D2" w:rsidP="00442634">
      <w:pPr>
        <w:pStyle w:val="EndnoteText"/>
        <w:rPr>
          <w:rStyle w:val="EndnoteReference"/>
          <w:vertAlign w:val="baseline"/>
        </w:rPr>
      </w:pPr>
      <w:r w:rsidRPr="000C3E16">
        <w:rPr>
          <w:vertAlign w:val="superscript"/>
        </w:rPr>
        <w:endnoteRef/>
      </w:r>
      <w:r w:rsidRPr="000C3E16">
        <w:t xml:space="preserve"> Committee on the Rights of the Child, </w:t>
      </w:r>
      <w:r w:rsidRPr="000C3E16">
        <w:rPr>
          <w:i/>
        </w:rPr>
        <w:t>Concluding Observations of the Committee on the Rights of the Child: Australia</w:t>
      </w:r>
      <w:r w:rsidRPr="000C3E16">
        <w:t xml:space="preserve">, </w:t>
      </w:r>
      <w:r>
        <w:t>60</w:t>
      </w:r>
      <w:r w:rsidRPr="000C3E16">
        <w:rPr>
          <w:vertAlign w:val="superscript"/>
        </w:rPr>
        <w:t>th</w:t>
      </w:r>
      <w:r>
        <w:t xml:space="preserve"> sess, UN Doc </w:t>
      </w:r>
      <w:r w:rsidRPr="000C3E16">
        <w:t>CRC/C/AUS/CO/4</w:t>
      </w:r>
      <w:r>
        <w:t xml:space="preserve"> (28 August 2012) [</w:t>
      </w:r>
      <w:r w:rsidRPr="000C3E16">
        <w:t>29</w:t>
      </w:r>
      <w:r>
        <w:t>].</w:t>
      </w:r>
    </w:p>
  </w:endnote>
  <w:endnote w:id="24">
    <w:p w14:paraId="0A5BF716" w14:textId="77777777" w:rsidR="00F008D2" w:rsidRDefault="00F008D2" w:rsidP="00442634">
      <w:pPr>
        <w:pStyle w:val="EndnoteText"/>
      </w:pPr>
      <w:r>
        <w:rPr>
          <w:rStyle w:val="EndnoteReference"/>
        </w:rPr>
        <w:endnoteRef/>
      </w:r>
      <w:r>
        <w:t xml:space="preserve"> </w:t>
      </w:r>
      <w:r w:rsidRPr="00C43E7F">
        <w:t>A</w:t>
      </w:r>
      <w:r>
        <w:t>ustralian Institute of Health and Welfare,</w:t>
      </w:r>
      <w:r w:rsidRPr="00C43E7F">
        <w:t xml:space="preserve"> </w:t>
      </w:r>
      <w:r w:rsidRPr="00176D56">
        <w:rPr>
          <w:i/>
        </w:rPr>
        <w:t>Youth justice in Australia 2013–14</w:t>
      </w:r>
      <w:r>
        <w:t xml:space="preserve"> (2015) 18 &lt;</w:t>
      </w:r>
      <w:hyperlink r:id="rId12" w:history="1">
        <w:r w:rsidRPr="001F4039">
          <w:rPr>
            <w:rStyle w:val="Hyperlink"/>
          </w:rPr>
          <w:t>http://www.aihw.gov.au/publication-detail/?id=60129550638</w:t>
        </w:r>
      </w:hyperlink>
      <w:r>
        <w:t>&gt;</w:t>
      </w:r>
      <w:r w:rsidRPr="00C43E7F">
        <w:t>.</w:t>
      </w:r>
    </w:p>
  </w:endnote>
  <w:endnote w:id="25">
    <w:p w14:paraId="0522B141" w14:textId="77777777" w:rsidR="00F008D2" w:rsidRDefault="00F008D2" w:rsidP="00442634">
      <w:pPr>
        <w:pStyle w:val="EndnoteText"/>
      </w:pPr>
      <w:r>
        <w:rPr>
          <w:rStyle w:val="EndnoteReference"/>
        </w:rPr>
        <w:endnoteRef/>
      </w:r>
      <w:r>
        <w:t xml:space="preserve"> </w:t>
      </w:r>
      <w:r w:rsidRPr="00C43E7F">
        <w:t>A</w:t>
      </w:r>
      <w:r>
        <w:t>ustralian Institute of Health and Welfare,</w:t>
      </w:r>
      <w:r w:rsidRPr="00C43E7F">
        <w:t xml:space="preserve"> </w:t>
      </w:r>
      <w:r w:rsidRPr="00176D56">
        <w:rPr>
          <w:i/>
        </w:rPr>
        <w:t>Child protection Australia 2013–14</w:t>
      </w:r>
      <w:r w:rsidRPr="00A873C0">
        <w:t xml:space="preserve"> </w:t>
      </w:r>
      <w:r>
        <w:t>(2015) 50 &lt;</w:t>
      </w:r>
      <w:hyperlink r:id="rId13" w:history="1">
        <w:r w:rsidRPr="001F4039">
          <w:rPr>
            <w:rStyle w:val="Hyperlink"/>
          </w:rPr>
          <w:t>http://www.aihw.gov.au/publication-detail/?id=60129550762</w:t>
        </w:r>
      </w:hyperlink>
      <w:r>
        <w:t>&gt;.</w:t>
      </w:r>
    </w:p>
  </w:endnote>
  <w:endnote w:id="26">
    <w:p w14:paraId="1EF6CF2D" w14:textId="77777777" w:rsidR="00F008D2" w:rsidRDefault="00F008D2" w:rsidP="00442634">
      <w:pPr>
        <w:pStyle w:val="EndnoteText"/>
      </w:pPr>
      <w:r>
        <w:rPr>
          <w:rStyle w:val="EndnoteReference"/>
        </w:rPr>
        <w:endnoteRef/>
      </w:r>
      <w:r>
        <w:t xml:space="preserve"> </w:t>
      </w:r>
      <w:r w:rsidRPr="00562302">
        <w:t xml:space="preserve">Australian Human Rights Commission, Submission No 7 to Parliamentary Joint Committee on Intelligence and Security, </w:t>
      </w:r>
      <w:r w:rsidRPr="00562302">
        <w:rPr>
          <w:i/>
        </w:rPr>
        <w:t>Inquiry into the Counter-Terrorism Legislation Amendment (Foreign Fighters) Bill 2014</w:t>
      </w:r>
      <w:r>
        <w:t xml:space="preserve">, 2 October 2014 </w:t>
      </w:r>
      <w:r w:rsidRPr="00562302">
        <w:t>&lt;</w:t>
      </w:r>
      <w:hyperlink r:id="rId14" w:history="1">
        <w:r w:rsidRPr="00562302">
          <w:rPr>
            <w:rStyle w:val="Hyperlink"/>
          </w:rPr>
          <w:t>http://www.aph.gov.au/Parliamentary_Business/Committees/Joint/Intelligence_and_Security/Counter-Terrorism_Legislation_Amendment_Foreign_Fighters_Bill_2014/Submissions</w:t>
        </w:r>
      </w:hyperlink>
      <w:r w:rsidRPr="00562302">
        <w:t>&gt;.</w:t>
      </w:r>
    </w:p>
  </w:endnote>
  <w:endnote w:id="27">
    <w:p w14:paraId="7D76AC8A" w14:textId="77777777" w:rsidR="00F008D2" w:rsidRDefault="00F008D2" w:rsidP="00442634">
      <w:pPr>
        <w:pStyle w:val="EndnoteText"/>
      </w:pPr>
      <w:r>
        <w:rPr>
          <w:rStyle w:val="EndnoteReference"/>
        </w:rPr>
        <w:endnoteRef/>
      </w:r>
      <w:r>
        <w:t xml:space="preserve"> </w:t>
      </w:r>
      <w:r w:rsidRPr="00562302">
        <w:t xml:space="preserve">Australian Human Rights Commission, Submission No 10 to </w:t>
      </w:r>
      <w:r w:rsidRPr="00214E10">
        <w:t>Senate Legal and Constitutional Affairs</w:t>
      </w:r>
      <w:r>
        <w:t xml:space="preserve"> Legislation Committee</w:t>
      </w:r>
      <w:r w:rsidRPr="00562302">
        <w:t xml:space="preserve">, </w:t>
      </w:r>
      <w:r w:rsidRPr="00562302">
        <w:rPr>
          <w:i/>
        </w:rPr>
        <w:t xml:space="preserve">Inquiry into Guardian for Unaccompanied Children Bill 2014, </w:t>
      </w:r>
      <w:r w:rsidRPr="00562302">
        <w:t xml:space="preserve">23 October </w:t>
      </w:r>
      <w:r>
        <w:t xml:space="preserve">2014 </w:t>
      </w:r>
      <w:r w:rsidRPr="00562302">
        <w:t>&lt;</w:t>
      </w:r>
      <w:hyperlink r:id="rId15" w:history="1">
        <w:r w:rsidRPr="00562302">
          <w:rPr>
            <w:rStyle w:val="Hyperlink"/>
          </w:rPr>
          <w:t>http://www.aph.gov.au/Parliamentary_Business/Committees/Senate/Legal_and_Constitutional_Affairs/Guardian_for_children/Submissions</w:t>
        </w:r>
      </w:hyperlink>
      <w:r w:rsidRPr="00562302">
        <w:t>&gt;.</w:t>
      </w:r>
    </w:p>
  </w:endnote>
  <w:endnote w:id="28">
    <w:p w14:paraId="4CC61701" w14:textId="77777777" w:rsidR="00F008D2" w:rsidRDefault="00F008D2" w:rsidP="00442634">
      <w:pPr>
        <w:pStyle w:val="EndnoteText"/>
      </w:pPr>
      <w:r>
        <w:rPr>
          <w:rStyle w:val="EndnoteReference"/>
        </w:rPr>
        <w:endnoteRef/>
      </w:r>
      <w:r>
        <w:t xml:space="preserve"> </w:t>
      </w:r>
      <w:r w:rsidRPr="00562302">
        <w:t xml:space="preserve">Australian Human Rights Commission, Submission No 08 to </w:t>
      </w:r>
      <w:r w:rsidRPr="00214E10">
        <w:t>Senate Legal and Constitutional Affairs</w:t>
      </w:r>
      <w:r>
        <w:t xml:space="preserve"> Legislation Committee</w:t>
      </w:r>
      <w:r w:rsidRPr="00562302">
        <w:t xml:space="preserve">, </w:t>
      </w:r>
      <w:r w:rsidRPr="00562302">
        <w:rPr>
          <w:i/>
        </w:rPr>
        <w:t>Inquiry into the</w:t>
      </w:r>
      <w:r w:rsidRPr="00562302">
        <w:t xml:space="preserve"> </w:t>
      </w:r>
      <w:r w:rsidRPr="00562302">
        <w:rPr>
          <w:i/>
        </w:rPr>
        <w:t xml:space="preserve">Migration Amendment (Character and General Visa Cancellation) Bill 2014, </w:t>
      </w:r>
      <w:r w:rsidRPr="00562302">
        <w:t>28 Octobe</w:t>
      </w:r>
      <w:r>
        <w:t xml:space="preserve">r 2014 </w:t>
      </w:r>
      <w:r w:rsidRPr="00562302">
        <w:t>&lt;</w:t>
      </w:r>
      <w:hyperlink r:id="rId16" w:history="1">
        <w:r w:rsidRPr="00562302">
          <w:rPr>
            <w:rStyle w:val="Hyperlink"/>
          </w:rPr>
          <w:t>http://www.aph.gov.au/Parliamentary_Business/Committees/Senate/Legal_and_Constitutional_Affairs/Character_and_Visa_Cancellation_Bill_2014/Submissions</w:t>
        </w:r>
      </w:hyperlink>
      <w:r>
        <w:t>&gt;.</w:t>
      </w:r>
    </w:p>
  </w:endnote>
  <w:endnote w:id="29">
    <w:p w14:paraId="666D585A" w14:textId="77777777" w:rsidR="00F008D2" w:rsidRDefault="00F008D2" w:rsidP="00442634">
      <w:pPr>
        <w:pStyle w:val="EndnoteText"/>
      </w:pPr>
      <w:r>
        <w:rPr>
          <w:rStyle w:val="EndnoteReference"/>
        </w:rPr>
        <w:endnoteRef/>
      </w:r>
      <w:r>
        <w:t xml:space="preserve"> </w:t>
      </w:r>
      <w:r w:rsidRPr="00F515F3">
        <w:t xml:space="preserve">Australian Human Rights Commission, Submission No 163 to </w:t>
      </w:r>
      <w:r w:rsidRPr="00214E10">
        <w:t>Senate Legal and Constitutional Affairs</w:t>
      </w:r>
      <w:r>
        <w:t xml:space="preserve"> Legislation Committee</w:t>
      </w:r>
      <w:r w:rsidRPr="00F515F3">
        <w:t xml:space="preserve">, </w:t>
      </w:r>
      <w:r w:rsidRPr="00F515F3">
        <w:rPr>
          <w:i/>
        </w:rPr>
        <w:t>Inquiry into the</w:t>
      </w:r>
      <w:r w:rsidRPr="00F515F3">
        <w:t xml:space="preserve"> </w:t>
      </w:r>
      <w:r w:rsidRPr="00F515F3">
        <w:rPr>
          <w:i/>
        </w:rPr>
        <w:t>Migration and Maritime Powers Legislation Amendment (Resolving the Asylum Legacy Caseload) Bill 2014</w:t>
      </w:r>
      <w:r w:rsidRPr="00F515F3">
        <w:t>, 31 October 2014 &lt;</w:t>
      </w:r>
      <w:hyperlink r:id="rId17" w:history="1">
        <w:r w:rsidRPr="00F515F3">
          <w:rPr>
            <w:rStyle w:val="Hyperlink"/>
          </w:rPr>
          <w:t>http://www.aph.gov.au/Parliamentary_Business/Committees/Senate/Legal_and_Constitutional_Affairs/Asylum_Legacy_Caseload_Bill_2014/Submissions</w:t>
        </w:r>
      </w:hyperlink>
      <w:r>
        <w:t>&gt;.</w:t>
      </w:r>
    </w:p>
  </w:endnote>
  <w:endnote w:id="30">
    <w:p w14:paraId="0BE3707B" w14:textId="77777777" w:rsidR="00F008D2" w:rsidRDefault="00F008D2" w:rsidP="00442634">
      <w:pPr>
        <w:pStyle w:val="EndnoteText"/>
      </w:pPr>
      <w:r>
        <w:rPr>
          <w:rStyle w:val="EndnoteReference"/>
        </w:rPr>
        <w:endnoteRef/>
      </w:r>
      <w:r>
        <w:t xml:space="preserve"> </w:t>
      </w:r>
      <w:r w:rsidRPr="00F515F3">
        <w:t xml:space="preserve">Australian Human Rights Commission, Submission No 4 to </w:t>
      </w:r>
      <w:r>
        <w:t>Senate Legal and Constitutional Affairs Legislation Committee</w:t>
      </w:r>
      <w:r w:rsidRPr="00F515F3">
        <w:t xml:space="preserve">, </w:t>
      </w:r>
      <w:r w:rsidRPr="00F515F3">
        <w:rPr>
          <w:i/>
        </w:rPr>
        <w:t>Inquiry into the Australian Citizenship and Other Legislation Amendment Bill 2014</w:t>
      </w:r>
      <w:r w:rsidRPr="00F515F3">
        <w:t>, 6 November 2014</w:t>
      </w:r>
      <w:r>
        <w:t xml:space="preserve"> </w:t>
      </w:r>
      <w:r w:rsidRPr="00F515F3">
        <w:t>&lt;</w:t>
      </w:r>
      <w:hyperlink r:id="rId18" w:history="1">
        <w:r w:rsidRPr="00F515F3">
          <w:rPr>
            <w:rStyle w:val="Hyperlink"/>
          </w:rPr>
          <w:t>http://www.aph.gov.au/Parliamentary_Business/Committees/Senate/Legal_and_Constitutional_Affairs/Australian_Citizenship/Submissions</w:t>
        </w:r>
      </w:hyperlink>
      <w:r w:rsidRPr="00F515F3">
        <w:t>&gt;.</w:t>
      </w:r>
    </w:p>
  </w:endnote>
  <w:endnote w:id="31">
    <w:p w14:paraId="2F5ED4DC" w14:textId="77777777" w:rsidR="00F008D2" w:rsidRDefault="00F008D2" w:rsidP="00442634">
      <w:pPr>
        <w:pStyle w:val="EndnoteText"/>
      </w:pPr>
      <w:r>
        <w:rPr>
          <w:rStyle w:val="EndnoteReference"/>
        </w:rPr>
        <w:endnoteRef/>
      </w:r>
      <w:r>
        <w:t xml:space="preserve"> </w:t>
      </w:r>
      <w:r w:rsidRPr="00F515F3">
        <w:t>Australian Human Rights Commission, Submission No</w:t>
      </w:r>
      <w:r>
        <w:t xml:space="preserve"> 67 to Senate </w:t>
      </w:r>
      <w:r w:rsidRPr="00FB514C">
        <w:t>Community Affairs References Committee</w:t>
      </w:r>
      <w:r>
        <w:t xml:space="preserve">, </w:t>
      </w:r>
      <w:r w:rsidRPr="00AB133C">
        <w:rPr>
          <w:i/>
        </w:rPr>
        <w:t>Inquiry into the adequacy of existing residential care arrangements for young people with severe physical, mental or intellectual disabilities in Australia</w:t>
      </w:r>
      <w:r>
        <w:t>, 6 February 2015 &lt;</w:t>
      </w:r>
      <w:hyperlink r:id="rId19" w:history="1">
        <w:r w:rsidRPr="001F4039">
          <w:rPr>
            <w:rStyle w:val="Hyperlink"/>
          </w:rPr>
          <w:t>http://www.aph.gov.au/Parliamentary_Business/Committees/Senate/Community_Affairs/Young_people_in_aged_care/Submissions</w:t>
        </w:r>
      </w:hyperlink>
      <w:r>
        <w:t>&gt;</w:t>
      </w:r>
    </w:p>
  </w:endnote>
  <w:endnote w:id="32">
    <w:p w14:paraId="6418BBE9" w14:textId="77777777" w:rsidR="00F008D2" w:rsidRDefault="00F008D2" w:rsidP="00442634">
      <w:pPr>
        <w:pStyle w:val="EndnoteText"/>
      </w:pPr>
      <w:r>
        <w:rPr>
          <w:rStyle w:val="EndnoteReference"/>
        </w:rPr>
        <w:endnoteRef/>
      </w:r>
      <w:r>
        <w:t xml:space="preserve"> Australian Human Rights Commission, </w:t>
      </w:r>
      <w:r w:rsidRPr="00CA6A91">
        <w:rPr>
          <w:i/>
        </w:rPr>
        <w:t>Australia’s Second Universal Periodic Review: Submission by the Australian Human Rights Commission under the Universal Periodic Review Process</w:t>
      </w:r>
      <w:r>
        <w:t xml:space="preserve"> (2015) &lt;</w:t>
      </w:r>
      <w:hyperlink r:id="rId20" w:history="1">
        <w:r w:rsidRPr="00286F89">
          <w:rPr>
            <w:rStyle w:val="Hyperlink"/>
          </w:rPr>
          <w:t>https://www.humanrights.gov.au/submissions/australia-s-second-universal-periodic-review</w:t>
        </w:r>
      </w:hyperlink>
      <w:r>
        <w:rPr>
          <w:rStyle w:val="Hyperlink"/>
        </w:rPr>
        <w:t>&gt;</w:t>
      </w:r>
    </w:p>
  </w:endnote>
  <w:endnote w:id="33">
    <w:p w14:paraId="23EDB822" w14:textId="77777777" w:rsidR="00F008D2" w:rsidRDefault="00F008D2" w:rsidP="00442634">
      <w:pPr>
        <w:pStyle w:val="CommentText"/>
        <w:spacing w:before="0" w:after="0"/>
      </w:pPr>
      <w:r>
        <w:rPr>
          <w:rStyle w:val="EndnoteReference"/>
        </w:rPr>
        <w:endnoteRef/>
      </w:r>
      <w:r>
        <w:t xml:space="preserve"> </w:t>
      </w:r>
      <w:r w:rsidRPr="00D65E1F">
        <w:t>Australian Human Rights Commission,</w:t>
      </w:r>
      <w:r>
        <w:t xml:space="preserve"> Submission No 4 to Senate Legal and Constitutional Affairs Legislation Committee, </w:t>
      </w:r>
      <w:r w:rsidRPr="00343FC9">
        <w:rPr>
          <w:i/>
        </w:rPr>
        <w:t>Inquiry into Crimes Legislation Amendment (Powers, Offences and Other Measures) Bill 2015</w:t>
      </w:r>
      <w:r>
        <w:t>, 16 April 2015 &lt;</w:t>
      </w:r>
      <w:hyperlink r:id="rId21" w:history="1">
        <w:r w:rsidRPr="00D46964">
          <w:rPr>
            <w:rStyle w:val="Hyperlink"/>
          </w:rPr>
          <w:t>http://www.aph.gov.au/Parliamentary_Business/Committees/Senate/Legal_and_Constitutional_Affairs/Power_and_Offences_Bill/Submissions</w:t>
        </w:r>
      </w:hyperlink>
      <w:r>
        <w:t>&gt;.</w:t>
      </w:r>
    </w:p>
  </w:endnote>
  <w:endnote w:id="34">
    <w:p w14:paraId="71BDA5B3" w14:textId="77777777" w:rsidR="00F008D2" w:rsidRDefault="00F008D2" w:rsidP="00442634">
      <w:pPr>
        <w:pStyle w:val="EndnoteText"/>
      </w:pPr>
      <w:r>
        <w:rPr>
          <w:rStyle w:val="EndnoteReference"/>
        </w:rPr>
        <w:endnoteRef/>
      </w:r>
      <w:r>
        <w:t xml:space="preserve"> </w:t>
      </w:r>
      <w:r w:rsidRPr="00D65E1F">
        <w:t>Australian Human Rights Commission,</w:t>
      </w:r>
      <w:r>
        <w:t xml:space="preserve"> Submission No 5 to </w:t>
      </w:r>
      <w:r w:rsidRPr="00CA6A91">
        <w:t xml:space="preserve">Senate </w:t>
      </w:r>
      <w:r w:rsidRPr="00FB514C">
        <w:t>Finance and Public Administration References Committee</w:t>
      </w:r>
      <w:r>
        <w:t xml:space="preserve">, </w:t>
      </w:r>
      <w:r w:rsidRPr="00AB133C">
        <w:rPr>
          <w:i/>
        </w:rPr>
        <w:t xml:space="preserve">Inquiry into the </w:t>
      </w:r>
      <w:r w:rsidRPr="00CA6A91">
        <w:rPr>
          <w:i/>
        </w:rPr>
        <w:t>Aboriginal and Torres Strait Islander experience of law enforcement and justice services</w:t>
      </w:r>
      <w:r>
        <w:rPr>
          <w:i/>
        </w:rPr>
        <w:t xml:space="preserve">, </w:t>
      </w:r>
      <w:r>
        <w:t>27 April 2015 &lt;</w:t>
      </w:r>
      <w:hyperlink r:id="rId22" w:history="1">
        <w:r w:rsidRPr="00CA6A91">
          <w:rPr>
            <w:rStyle w:val="Hyperlink"/>
          </w:rPr>
          <w:t>http://www.aph.gov.au/Parliamentary_Business/Committees/Senate/Finance_and_Public_Administration/Legal_assistance_services/Submissions</w:t>
        </w:r>
      </w:hyperlink>
      <w:r>
        <w:t xml:space="preserve">&gt;. </w:t>
      </w:r>
    </w:p>
  </w:endnote>
  <w:endnote w:id="35">
    <w:p w14:paraId="4E35242C" w14:textId="77777777" w:rsidR="00F008D2" w:rsidRDefault="00F008D2" w:rsidP="009D1F82">
      <w:pPr>
        <w:pStyle w:val="EndnoteText"/>
      </w:pPr>
      <w:r>
        <w:rPr>
          <w:rStyle w:val="EndnoteReference"/>
        </w:rPr>
        <w:endnoteRef/>
      </w:r>
      <w:r>
        <w:t xml:space="preserve"> </w:t>
      </w:r>
      <w:r w:rsidRPr="008708A2">
        <w:t>National Mental Health Commission</w:t>
      </w:r>
      <w:r>
        <w:t>,</w:t>
      </w:r>
      <w:r w:rsidRPr="008708A2">
        <w:t xml:space="preserve"> </w:t>
      </w:r>
      <w:r w:rsidRPr="008708A2">
        <w:rPr>
          <w:i/>
        </w:rPr>
        <w:t xml:space="preserve">Report of the National Review of Mental Health Programmes and Services – </w:t>
      </w:r>
      <w:r>
        <w:rPr>
          <w:i/>
        </w:rPr>
        <w:t>Volume 1</w:t>
      </w:r>
      <w:r w:rsidRPr="008708A2">
        <w:t xml:space="preserve"> (201</w:t>
      </w:r>
      <w:r>
        <w:t>5</w:t>
      </w:r>
      <w:r w:rsidRPr="008708A2">
        <w:t>)</w:t>
      </w:r>
      <w:r>
        <w:t xml:space="preserve"> 45, 122.</w:t>
      </w:r>
    </w:p>
  </w:endnote>
  <w:endnote w:id="36">
    <w:p w14:paraId="67B97D21" w14:textId="77777777" w:rsidR="00F008D2" w:rsidRDefault="00F008D2" w:rsidP="009D1F82">
      <w:pPr>
        <w:pStyle w:val="EndnoteText"/>
      </w:pPr>
      <w:r>
        <w:rPr>
          <w:rStyle w:val="EndnoteReference"/>
        </w:rPr>
        <w:endnoteRef/>
      </w:r>
      <w:r>
        <w:t xml:space="preserve"> Suicide Prevention Australia, ‘Living hand to mouth is not saving lives: National Coalition for Suicide Prevention calls for Government to kick start research fund (Media Release, 10 September 2015) 1 &lt;</w:t>
      </w:r>
      <w:hyperlink r:id="rId23" w:history="1">
        <w:r w:rsidRPr="004F705B">
          <w:rPr>
            <w:rStyle w:val="Hyperlink"/>
          </w:rPr>
          <w:t>http://suicidepreventionaust.org/statement/national-research-action-plan-for-suicide-prevention/</w:t>
        </w:r>
      </w:hyperlink>
      <w:r>
        <w:t>&gt;.</w:t>
      </w:r>
    </w:p>
  </w:endnote>
  <w:endnote w:id="37">
    <w:p w14:paraId="2D129DA8" w14:textId="77777777" w:rsidR="00F008D2" w:rsidRDefault="00F008D2" w:rsidP="00E329FB">
      <w:pPr>
        <w:pStyle w:val="EndnoteText"/>
      </w:pPr>
      <w:r>
        <w:rPr>
          <w:rStyle w:val="EndnoteReference"/>
        </w:rPr>
        <w:endnoteRef/>
      </w:r>
      <w:r>
        <w:t xml:space="preserve"> </w:t>
      </w:r>
      <w:r w:rsidRPr="00A45DF8">
        <w:t>Australian Bureau of Statistics, ‘</w:t>
      </w:r>
      <w:r w:rsidRPr="006A2AF4">
        <w:t>Causes of Death, Australia, 2013</w:t>
      </w:r>
      <w:r w:rsidRPr="00A45DF8">
        <w:t>’, (</w:t>
      </w:r>
      <w:r>
        <w:t>3303.0</w:t>
      </w:r>
      <w:r w:rsidRPr="00A45DF8">
        <w:t xml:space="preserve">, 31 </w:t>
      </w:r>
      <w:r>
        <w:t>March</w:t>
      </w:r>
      <w:r w:rsidRPr="00A45DF8">
        <w:t xml:space="preserve"> 201</w:t>
      </w:r>
      <w:r>
        <w:t>5) &lt;</w:t>
      </w:r>
      <w:hyperlink r:id="rId24" w:history="1">
        <w:r w:rsidRPr="00C76F3E">
          <w:rPr>
            <w:rStyle w:val="Hyperlink"/>
          </w:rPr>
          <w:t>http://www.abs.gov.au/ausstats/abs@.nsf/mf/3303.0</w:t>
        </w:r>
      </w:hyperlink>
      <w:r>
        <w:t>&gt;.</w:t>
      </w:r>
    </w:p>
  </w:endnote>
  <w:endnote w:id="38">
    <w:p w14:paraId="3E36F499" w14:textId="77777777" w:rsidR="00F008D2" w:rsidRPr="00FA227E" w:rsidRDefault="00F008D2" w:rsidP="00E329FB">
      <w:pPr>
        <w:pStyle w:val="EndnoteText"/>
        <w:rPr>
          <w:vertAlign w:val="superscript"/>
        </w:rPr>
      </w:pPr>
      <w:r>
        <w:rPr>
          <w:rStyle w:val="EndnoteReference"/>
        </w:rPr>
        <w:endnoteRef/>
      </w:r>
      <w:r>
        <w:t xml:space="preserve"> </w:t>
      </w:r>
      <w:r w:rsidRPr="007E6A6D">
        <w:t>Australia</w:t>
      </w:r>
      <w:r>
        <w:t xml:space="preserve">n Human Rights Commission, </w:t>
      </w:r>
      <w:r w:rsidRPr="0068767D">
        <w:rPr>
          <w:i/>
        </w:rPr>
        <w:t>Children’s Rights Report 2014</w:t>
      </w:r>
      <w:r>
        <w:t xml:space="preserve"> (2014)</w:t>
      </w:r>
      <w:r w:rsidRPr="007E6A6D">
        <w:t xml:space="preserve"> </w:t>
      </w:r>
      <w:r>
        <w:t>62 &lt;</w:t>
      </w:r>
      <w:hyperlink r:id="rId25" w:history="1">
        <w:r w:rsidRPr="001F4039">
          <w:rPr>
            <w:rStyle w:val="Hyperlink"/>
          </w:rPr>
          <w:t>https://www.humanrights.gov.au/our-work/childrens-rights/publications/childrens-rights-report-2014</w:t>
        </w:r>
      </w:hyperlink>
      <w:r>
        <w:t>&gt;.</w:t>
      </w:r>
    </w:p>
  </w:endnote>
  <w:endnote w:id="39">
    <w:p w14:paraId="3294D062" w14:textId="77777777" w:rsidR="00F008D2" w:rsidRDefault="00F008D2" w:rsidP="00E329FB">
      <w:pPr>
        <w:pStyle w:val="EndnoteText"/>
      </w:pPr>
      <w:r>
        <w:rPr>
          <w:rStyle w:val="EndnoteReference"/>
        </w:rPr>
        <w:endnoteRef/>
      </w:r>
      <w:r>
        <w:t xml:space="preserve"> </w:t>
      </w:r>
      <w:r w:rsidRPr="00C43E7F">
        <w:t>A</w:t>
      </w:r>
      <w:r>
        <w:t xml:space="preserve">ustralian Institute of Health and Welfare, </w:t>
      </w:r>
      <w:r w:rsidRPr="00C469A6">
        <w:rPr>
          <w:i/>
        </w:rPr>
        <w:t>Trends in hospitalised injury, Australia: 1999–00 to 2012–13</w:t>
      </w:r>
      <w:r>
        <w:t xml:space="preserve"> (2015) &lt;</w:t>
      </w:r>
      <w:hyperlink r:id="rId26" w:history="1">
        <w:r w:rsidRPr="001F4039">
          <w:rPr>
            <w:rStyle w:val="Hyperlink"/>
          </w:rPr>
          <w:t>http://www.aihw.gov.au/publication-detail/?id=60129552564</w:t>
        </w:r>
      </w:hyperlink>
      <w:r>
        <w:t>&gt;.</w:t>
      </w:r>
    </w:p>
  </w:endnote>
  <w:endnote w:id="40">
    <w:p w14:paraId="7D294D6B" w14:textId="77777777" w:rsidR="00F008D2" w:rsidRDefault="00F008D2" w:rsidP="0000365A">
      <w:pPr>
        <w:pStyle w:val="EndnoteText"/>
      </w:pPr>
      <w:r>
        <w:rPr>
          <w:rStyle w:val="EndnoteReference"/>
        </w:rPr>
        <w:endnoteRef/>
      </w:r>
      <w:r>
        <w:t xml:space="preserve"> Australian Institute of Health and Wellbeing, </w:t>
      </w:r>
      <w:r w:rsidRPr="009B5268">
        <w:rPr>
          <w:i/>
        </w:rPr>
        <w:t xml:space="preserve">National Youth Information Framework (NYIF) </w:t>
      </w:r>
      <w:r>
        <w:t>(8 September 2015) &lt;</w:t>
      </w:r>
      <w:r w:rsidRPr="00CB4CEA">
        <w:t xml:space="preserve"> </w:t>
      </w:r>
      <w:hyperlink r:id="rId27" w:history="1">
        <w:r w:rsidRPr="004F705B">
          <w:rPr>
            <w:rStyle w:val="Hyperlink"/>
          </w:rPr>
          <w:t>http://www.aihw.gov.au/nyif/</w:t>
        </w:r>
      </w:hyperlink>
      <w:r>
        <w:t>&gt;.</w:t>
      </w:r>
    </w:p>
  </w:endnote>
  <w:endnote w:id="41">
    <w:p w14:paraId="30B46BEE" w14:textId="77777777" w:rsidR="00F008D2" w:rsidRDefault="00F008D2" w:rsidP="00442634">
      <w:pPr>
        <w:pStyle w:val="EndnoteText"/>
      </w:pPr>
      <w:r w:rsidRPr="00AF18C8">
        <w:rPr>
          <w:rStyle w:val="EndnoteReference"/>
        </w:rPr>
        <w:endnoteRef/>
      </w:r>
      <w:r w:rsidRPr="00AF18C8">
        <w:t xml:space="preserve"> </w:t>
      </w:r>
      <w:r w:rsidRPr="00AF18C8">
        <w:rPr>
          <w:i/>
        </w:rPr>
        <w:t>Bateman &amp; Kavan</w:t>
      </w:r>
      <w:r w:rsidRPr="00AF18C8">
        <w:t xml:space="preserve"> [2014] FCCA 2521.</w:t>
      </w:r>
    </w:p>
  </w:endnote>
  <w:endnote w:id="42">
    <w:p w14:paraId="149D5C1C" w14:textId="77777777" w:rsidR="00F008D2" w:rsidRPr="00AF18C8" w:rsidRDefault="00F008D2" w:rsidP="00442634">
      <w:pPr>
        <w:pStyle w:val="EndnoteText"/>
      </w:pPr>
      <w:r w:rsidRPr="00AF18C8">
        <w:rPr>
          <w:rStyle w:val="EndnoteReference"/>
        </w:rPr>
        <w:endnoteRef/>
      </w:r>
      <w:r w:rsidRPr="00AF18C8">
        <w:t xml:space="preserve"> </w:t>
      </w:r>
      <w:r w:rsidRPr="00AF18C8">
        <w:rPr>
          <w:i/>
          <w:iCs/>
        </w:rPr>
        <w:t xml:space="preserve">Human Rights (Parliamentary Scrutiny) Act 2011 </w:t>
      </w:r>
      <w:r w:rsidRPr="00AF18C8">
        <w:rPr>
          <w:iCs/>
        </w:rPr>
        <w:t>(Cth) s 8 (1)–(5).</w:t>
      </w:r>
    </w:p>
  </w:endnote>
  <w:endnote w:id="43">
    <w:p w14:paraId="73E35F0F" w14:textId="77777777" w:rsidR="00F008D2" w:rsidRDefault="00F008D2" w:rsidP="00442634">
      <w:pPr>
        <w:pStyle w:val="EndnoteText"/>
      </w:pPr>
      <w:r w:rsidRPr="00AF18C8">
        <w:rPr>
          <w:rStyle w:val="EndnoteReference"/>
        </w:rPr>
        <w:endnoteRef/>
      </w:r>
      <w:r w:rsidRPr="00AF18C8">
        <w:t xml:space="preserve"> </w:t>
      </w:r>
      <w:r w:rsidRPr="00AF18C8">
        <w:rPr>
          <w:i/>
          <w:iCs/>
        </w:rPr>
        <w:t xml:space="preserve">Human Rights (Parliamentary Scrutiny) Act 2011 </w:t>
      </w:r>
      <w:r w:rsidRPr="00AF18C8">
        <w:rPr>
          <w:iCs/>
        </w:rPr>
        <w:t>(Cth) s 3 (1)(a)–(g).</w:t>
      </w:r>
    </w:p>
  </w:endnote>
  <w:endnote w:id="44">
    <w:p w14:paraId="74C2A7D3"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sidRPr="00DD1C18">
        <w:rPr>
          <w:i/>
        </w:rPr>
        <w:t>Guidance Note 1 - Drafting Statements of Compatibility</w:t>
      </w:r>
      <w:r>
        <w:t xml:space="preserve"> (2014); </w:t>
      </w:r>
      <w:r w:rsidRPr="00DD1C18">
        <w:t>Parliamentary Joint Committee on Human Rights</w:t>
      </w:r>
      <w:r>
        <w:t xml:space="preserve">, Parliament of Australia, </w:t>
      </w:r>
      <w:r w:rsidRPr="00DD1C18">
        <w:rPr>
          <w:i/>
        </w:rPr>
        <w:t xml:space="preserve">Guidance Note </w:t>
      </w:r>
      <w:r>
        <w:rPr>
          <w:i/>
        </w:rPr>
        <w:t>2</w:t>
      </w:r>
      <w:r w:rsidRPr="00DD1C18">
        <w:rPr>
          <w:i/>
        </w:rPr>
        <w:t xml:space="preserve"> - </w:t>
      </w:r>
      <w:r w:rsidRPr="00673E06">
        <w:rPr>
          <w:i/>
        </w:rPr>
        <w:t xml:space="preserve"> Offence provisions, civil penalties and human rights </w:t>
      </w:r>
      <w:r>
        <w:t>(2014) &lt;</w:t>
      </w:r>
      <w:hyperlink r:id="rId28" w:history="1">
        <w:r w:rsidRPr="007B6B4B">
          <w:rPr>
            <w:rStyle w:val="Hyperlink"/>
          </w:rPr>
          <w:t>http://www.aph.gov.au/Parliamentary_Business/Committees/Joint/Human_Rights/Guidance_Notes_and_Resources</w:t>
        </w:r>
      </w:hyperlink>
      <w:r>
        <w:t xml:space="preserve">&gt;. </w:t>
      </w:r>
    </w:p>
  </w:endnote>
  <w:endnote w:id="45">
    <w:p w14:paraId="6AAD40B6"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sidRPr="00673E06">
        <w:rPr>
          <w:i/>
        </w:rPr>
        <w:t>Guide to Human Rights</w:t>
      </w:r>
      <w:r w:rsidRPr="00673E06">
        <w:t xml:space="preserve"> </w:t>
      </w:r>
      <w:r>
        <w:t>(2014) &lt;</w:t>
      </w:r>
      <w:hyperlink r:id="rId29" w:history="1">
        <w:r w:rsidRPr="007B6B4B">
          <w:rPr>
            <w:rStyle w:val="Hyperlink"/>
          </w:rPr>
          <w:t>http://www.aph.gov.au/Parliamentary_Business/Committees/Joint/Human_Rights/Guidance_Notes_and_Resources</w:t>
        </w:r>
      </w:hyperlink>
      <w:r>
        <w:t xml:space="preserve">&gt;. </w:t>
      </w:r>
    </w:p>
  </w:endnote>
  <w:endnote w:id="46">
    <w:p w14:paraId="13987816" w14:textId="77777777" w:rsidR="00F008D2" w:rsidRDefault="00F008D2" w:rsidP="00442634">
      <w:pPr>
        <w:pStyle w:val="EndnoteText"/>
      </w:pPr>
      <w:r>
        <w:rPr>
          <w:rStyle w:val="EndnoteReference"/>
        </w:rPr>
        <w:endnoteRef/>
      </w:r>
      <w:r>
        <w:t xml:space="preserve"> Parliament of Australia, </w:t>
      </w:r>
      <w:r w:rsidRPr="00367DC4">
        <w:rPr>
          <w:i/>
        </w:rPr>
        <w:t>Parliamentary Joint Committee on Human Rights</w:t>
      </w:r>
      <w:r>
        <w:t xml:space="preserve"> </w:t>
      </w:r>
      <w:r w:rsidRPr="008D0482">
        <w:rPr>
          <w:i/>
        </w:rPr>
        <w:t>Committee Membership</w:t>
      </w:r>
      <w:r>
        <w:t xml:space="preserve"> &lt;</w:t>
      </w:r>
      <w:hyperlink r:id="rId30" w:history="1">
        <w:r w:rsidRPr="00A85E92">
          <w:rPr>
            <w:rStyle w:val="Hyperlink"/>
          </w:rPr>
          <w:t>http://www.aph.gov.au/Parliamentary_Business/Committees/Joint/Human_Rights/Committee_Membership</w:t>
        </w:r>
      </w:hyperlink>
      <w:r>
        <w:t>&gt;.</w:t>
      </w:r>
    </w:p>
  </w:endnote>
  <w:endnote w:id="47">
    <w:p w14:paraId="5B43A208"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sidRPr="00DD1C18">
        <w:rPr>
          <w:i/>
        </w:rPr>
        <w:t>Guidance Note 1 - Drafting Statements of Compatibility</w:t>
      </w:r>
      <w:r>
        <w:t xml:space="preserve"> (2014) 3 &lt;</w:t>
      </w:r>
      <w:hyperlink r:id="rId31" w:history="1">
        <w:r w:rsidRPr="007B6B4B">
          <w:rPr>
            <w:rStyle w:val="Hyperlink"/>
          </w:rPr>
          <w:t>http://www.aph.gov.au/Parliamentary_Business/Committees/Joint/Human_Rights/Guidance_Notes_and_Resources</w:t>
        </w:r>
      </w:hyperlink>
      <w:r>
        <w:t>&gt;.</w:t>
      </w:r>
    </w:p>
  </w:endnote>
  <w:endnote w:id="48">
    <w:p w14:paraId="4CABF608"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sidRPr="00DD1C18">
        <w:rPr>
          <w:i/>
        </w:rPr>
        <w:t>Guidance Note 1 - Drafting Statements of Compatibility</w:t>
      </w:r>
      <w:r>
        <w:t xml:space="preserve"> (2014) 3 &lt;</w:t>
      </w:r>
      <w:hyperlink r:id="rId32" w:history="1">
        <w:r w:rsidRPr="007B6B4B">
          <w:rPr>
            <w:rStyle w:val="Hyperlink"/>
          </w:rPr>
          <w:t>http://www.aph.gov.au/Parliamentary_Business/Committees/Joint/Human_Rights/Guidance_Notes_and_Resources</w:t>
        </w:r>
      </w:hyperlink>
      <w:r>
        <w:t>&gt;.</w:t>
      </w:r>
    </w:p>
  </w:endnote>
  <w:endnote w:id="49">
    <w:p w14:paraId="7C0A64AC"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sidRPr="00DD1C18">
        <w:rPr>
          <w:i/>
        </w:rPr>
        <w:t>Guidance Note 1 - Drafting Statements of Compatibility</w:t>
      </w:r>
      <w:r>
        <w:t xml:space="preserve"> (2014) 4 &lt;</w:t>
      </w:r>
      <w:hyperlink r:id="rId33" w:history="1">
        <w:r w:rsidRPr="007B6B4B">
          <w:rPr>
            <w:rStyle w:val="Hyperlink"/>
          </w:rPr>
          <w:t>http://www.aph.gov.au/Parliamentary_Business/Committees/Joint/Human_Rights/Guidance_Notes_and_Resources</w:t>
        </w:r>
      </w:hyperlink>
      <w:r>
        <w:t>&gt;.</w:t>
      </w:r>
    </w:p>
  </w:endnote>
  <w:endnote w:id="50">
    <w:p w14:paraId="35C51D89"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sidRPr="00DD1C18">
        <w:rPr>
          <w:i/>
        </w:rPr>
        <w:t>Guidance Note 1 - Drafting Statements of Compatibility</w:t>
      </w:r>
      <w:r>
        <w:t xml:space="preserve"> (2014) 4 &lt;</w:t>
      </w:r>
      <w:hyperlink r:id="rId34" w:history="1">
        <w:r w:rsidRPr="007B6B4B">
          <w:rPr>
            <w:rStyle w:val="Hyperlink"/>
          </w:rPr>
          <w:t>http://www.aph.gov.au/Parliamentary_Business/Committees/Joint/Human_Rights/Guidance_Notes_and_Resources</w:t>
        </w:r>
      </w:hyperlink>
      <w:r>
        <w:t>&gt;.</w:t>
      </w:r>
    </w:p>
  </w:endnote>
  <w:endnote w:id="51">
    <w:p w14:paraId="660ADEC5" w14:textId="77777777" w:rsidR="00F008D2" w:rsidRDefault="00F008D2" w:rsidP="00442634">
      <w:pPr>
        <w:pStyle w:val="EndnoteText"/>
      </w:pPr>
      <w:r>
        <w:rPr>
          <w:rStyle w:val="EndnoteReference"/>
        </w:rPr>
        <w:endnoteRef/>
      </w:r>
      <w:r>
        <w:t xml:space="preserve"> Parliament of Australia, </w:t>
      </w:r>
      <w:r w:rsidRPr="00367DC4">
        <w:rPr>
          <w:i/>
        </w:rPr>
        <w:t xml:space="preserve">Parliamentary Joint Committee on Human Rights </w:t>
      </w:r>
      <w:r w:rsidRPr="008D0482">
        <w:rPr>
          <w:i/>
        </w:rPr>
        <w:t xml:space="preserve">Committee </w:t>
      </w:r>
      <w:r>
        <w:rPr>
          <w:i/>
        </w:rPr>
        <w:t>Reports</w:t>
      </w:r>
      <w:r>
        <w:t xml:space="preserve"> &lt;</w:t>
      </w:r>
      <w:hyperlink r:id="rId35" w:history="1">
        <w:r w:rsidRPr="00D46964">
          <w:rPr>
            <w:rStyle w:val="Hyperlink"/>
          </w:rPr>
          <w:t>http://www.aph.gov.au/Parliamentary_Business/Committees/Joint/Human_Rights/Completed_inquiries</w:t>
        </w:r>
      </w:hyperlink>
      <w:r>
        <w:t>&gt;.</w:t>
      </w:r>
    </w:p>
  </w:endnote>
  <w:endnote w:id="52">
    <w:p w14:paraId="4A1108C7" w14:textId="77777777" w:rsidR="00F008D2" w:rsidRDefault="00F008D2" w:rsidP="00442634">
      <w:pPr>
        <w:pStyle w:val="EndnoteText"/>
      </w:pPr>
      <w:r>
        <w:rPr>
          <w:rStyle w:val="EndnoteReference"/>
        </w:rPr>
        <w:endnoteRef/>
      </w:r>
      <w:r>
        <w:t xml:space="preserve"> Attorney-General’s Department, </w:t>
      </w:r>
      <w:r w:rsidRPr="00AE5098">
        <w:rPr>
          <w:i/>
        </w:rPr>
        <w:t>Tool for assessing human rights compatibility</w:t>
      </w:r>
      <w:r>
        <w:t xml:space="preserve"> &lt;</w:t>
      </w:r>
      <w:hyperlink r:id="rId36" w:history="1">
        <w:r w:rsidRPr="00A85E92">
          <w:rPr>
            <w:rStyle w:val="Hyperlink"/>
          </w:rPr>
          <w:t>https://www.ag.gov.au/RightsAndProtections/HumanRights/PublicSector/Pages/Toolforassessinghumanrightscompatibility.aspx</w:t>
        </w:r>
      </w:hyperlink>
      <w:r>
        <w:t>&gt;.</w:t>
      </w:r>
    </w:p>
  </w:endnote>
  <w:endnote w:id="53">
    <w:p w14:paraId="0A8A92A3"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sidRPr="00246A31">
        <w:rPr>
          <w:i/>
        </w:rPr>
        <w:t>Tenth Report of the 44th Parliament</w:t>
      </w:r>
      <w:r>
        <w:t xml:space="preserve"> (2014) 34.</w:t>
      </w:r>
    </w:p>
  </w:endnote>
  <w:endnote w:id="54">
    <w:p w14:paraId="0128309D"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sidRPr="00246A31">
        <w:rPr>
          <w:i/>
        </w:rPr>
        <w:t>Tenth Report of the 44th Parliament</w:t>
      </w:r>
      <w:r>
        <w:t xml:space="preserve"> (2014) 34.</w:t>
      </w:r>
    </w:p>
  </w:endnote>
  <w:endnote w:id="55">
    <w:p w14:paraId="7DDDAFC1"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sidRPr="00246A31">
        <w:rPr>
          <w:i/>
        </w:rPr>
        <w:t>Tenth Report of the 44th Parliament</w:t>
      </w:r>
      <w:r>
        <w:t xml:space="preserve"> (2014) 34.</w:t>
      </w:r>
    </w:p>
  </w:endnote>
  <w:endnote w:id="56">
    <w:p w14:paraId="3CAC6C36"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sidRPr="00246A31">
        <w:rPr>
          <w:i/>
        </w:rPr>
        <w:t>Tenth Report of the 44th Parliament</w:t>
      </w:r>
      <w:r>
        <w:t xml:space="preserve"> (2014) 34.</w:t>
      </w:r>
    </w:p>
  </w:endnote>
  <w:endnote w:id="57">
    <w:p w14:paraId="3DC0249D" w14:textId="77777777" w:rsidR="00F008D2" w:rsidRPr="0012484B" w:rsidRDefault="00F008D2" w:rsidP="00442634">
      <w:pPr>
        <w:pStyle w:val="EndnoteText"/>
      </w:pPr>
      <w:r w:rsidRPr="0012484B">
        <w:rPr>
          <w:rStyle w:val="EndnoteReference"/>
        </w:rPr>
        <w:endnoteRef/>
      </w:r>
      <w:r w:rsidRPr="0012484B">
        <w:t xml:space="preserve"> Parliament of Australia, </w:t>
      </w:r>
      <w:r>
        <w:rPr>
          <w:i/>
        </w:rPr>
        <w:t xml:space="preserve">Inquiry into </w:t>
      </w:r>
      <w:r w:rsidRPr="0012484B">
        <w:rPr>
          <w:i/>
        </w:rPr>
        <w:t xml:space="preserve">Guardian for Unaccompanied Children Bill </w:t>
      </w:r>
      <w:r w:rsidRPr="003463BC">
        <w:rPr>
          <w:i/>
        </w:rPr>
        <w:t xml:space="preserve">2014 </w:t>
      </w:r>
      <w:r w:rsidRPr="0012484B">
        <w:t>(2014) &lt;</w:t>
      </w:r>
      <w:hyperlink r:id="rId37" w:history="1">
        <w:r w:rsidRPr="0012484B">
          <w:rPr>
            <w:rStyle w:val="Hyperlink"/>
          </w:rPr>
          <w:t>http://www.aph.gov.au/Parliamentary_Business/Committees/Senate/Legal_and_Constitutional_Affairs/Guardian_for_children</w:t>
        </w:r>
      </w:hyperlink>
      <w:r w:rsidRPr="0012484B">
        <w:t>&gt;</w:t>
      </w:r>
      <w:r>
        <w:t>.</w:t>
      </w:r>
    </w:p>
  </w:endnote>
  <w:endnote w:id="58">
    <w:p w14:paraId="0F498271" w14:textId="77777777" w:rsidR="00F008D2" w:rsidRDefault="00F008D2" w:rsidP="00442634">
      <w:pPr>
        <w:pStyle w:val="EndnoteText"/>
      </w:pPr>
      <w:r w:rsidRPr="0012484B">
        <w:rPr>
          <w:rStyle w:val="EndnoteReference"/>
        </w:rPr>
        <w:endnoteRef/>
      </w:r>
      <w:r w:rsidRPr="0012484B">
        <w:t xml:space="preserve"> Australian Human Rights</w:t>
      </w:r>
      <w:r>
        <w:t xml:space="preserve"> Commission, Submission No 10 to </w:t>
      </w:r>
      <w:r w:rsidRPr="00214E10">
        <w:t>Senate Legal and Constitutional Affairs</w:t>
      </w:r>
      <w:r>
        <w:t xml:space="preserve"> Legislation Committee, </w:t>
      </w:r>
      <w:r w:rsidRPr="00CA2920">
        <w:rPr>
          <w:i/>
        </w:rPr>
        <w:t>Inquiry into Guardian for Unaccompanied Children Bill 2014</w:t>
      </w:r>
      <w:r w:rsidRPr="000E430C">
        <w:t>,</w:t>
      </w:r>
      <w:r w:rsidRPr="003463BC">
        <w:rPr>
          <w:i/>
        </w:rPr>
        <w:t xml:space="preserve"> </w:t>
      </w:r>
      <w:r w:rsidRPr="00214E10">
        <w:t xml:space="preserve">23 October </w:t>
      </w:r>
      <w:r w:rsidRPr="0012484B">
        <w:t>2014, 3 &lt;</w:t>
      </w:r>
      <w:hyperlink r:id="rId38" w:history="1">
        <w:r w:rsidRPr="0012484B">
          <w:rPr>
            <w:rStyle w:val="Hyperlink"/>
          </w:rPr>
          <w:t>http://www.aph.gov.au/Parliamentary_Business/Committees/Senate/Legal_and_Constitutional_Affairs/Guardian_for_children/Submissions</w:t>
        </w:r>
      </w:hyperlink>
      <w:r w:rsidRPr="0012484B">
        <w:t>&gt;.</w:t>
      </w:r>
    </w:p>
  </w:endnote>
  <w:endnote w:id="59">
    <w:p w14:paraId="121DCFA4" w14:textId="77777777" w:rsidR="00F008D2" w:rsidRDefault="00F008D2" w:rsidP="00442634">
      <w:pPr>
        <w:pStyle w:val="EndnoteText"/>
      </w:pPr>
      <w:r>
        <w:rPr>
          <w:rStyle w:val="EndnoteReference"/>
        </w:rPr>
        <w:endnoteRef/>
      </w:r>
      <w:r>
        <w:t xml:space="preserve"> Australian Human Rights Commission, </w:t>
      </w:r>
      <w:r w:rsidRPr="00BE6BD0">
        <w:rPr>
          <w:i/>
        </w:rPr>
        <w:t>Children’s Rights Report 2013</w:t>
      </w:r>
      <w:r>
        <w:t xml:space="preserve"> (2013) 32 &lt;</w:t>
      </w:r>
      <w:hyperlink r:id="rId39" w:history="1">
        <w:r w:rsidRPr="00D46964">
          <w:rPr>
            <w:rStyle w:val="Hyperlink"/>
          </w:rPr>
          <w:t>https://www.humanrights.gov.au/our-work/childrens-rights/publications/childrens-rights-report-2013</w:t>
        </w:r>
      </w:hyperlink>
      <w:r>
        <w:t>&gt;.</w:t>
      </w:r>
    </w:p>
  </w:endnote>
  <w:endnote w:id="60">
    <w:p w14:paraId="1CB38EF6" w14:textId="77777777" w:rsidR="00F008D2" w:rsidRDefault="00F008D2" w:rsidP="00442634">
      <w:pPr>
        <w:pStyle w:val="EndnoteText"/>
      </w:pPr>
      <w:r>
        <w:rPr>
          <w:rStyle w:val="EndnoteReference"/>
        </w:rPr>
        <w:endnoteRef/>
      </w:r>
      <w:r>
        <w:t xml:space="preserve"> Australian Human Rights Commission, </w:t>
      </w:r>
      <w:r w:rsidRPr="006D4724">
        <w:rPr>
          <w:i/>
        </w:rPr>
        <w:t>The Forgotten Children: National Inquiry into Children in Immigration Detention</w:t>
      </w:r>
      <w:r w:rsidRPr="00BE6BD0">
        <w:rPr>
          <w:i/>
        </w:rPr>
        <w:t xml:space="preserve"> </w:t>
      </w:r>
      <w:r>
        <w:t>(2014</w:t>
      </w:r>
      <w:r w:rsidRPr="006D4724">
        <w:t>) 38</w:t>
      </w:r>
      <w:r>
        <w:t xml:space="preserve"> &lt;</w:t>
      </w:r>
      <w:hyperlink r:id="rId40" w:history="1">
        <w:r w:rsidRPr="00D46964">
          <w:rPr>
            <w:rStyle w:val="Hyperlink"/>
          </w:rPr>
          <w:t>https://www.humanrights.gov.au/our-work/asylum-seekers-and-refugees/publications/forgotten-children-national-inquiry-children</w:t>
        </w:r>
      </w:hyperlink>
      <w:r>
        <w:t>&gt;</w:t>
      </w:r>
      <w:r w:rsidRPr="006D4724">
        <w:t>.</w:t>
      </w:r>
      <w:r>
        <w:t xml:space="preserve"> </w:t>
      </w:r>
    </w:p>
  </w:endnote>
  <w:endnote w:id="61">
    <w:p w14:paraId="2F8038AD" w14:textId="77777777" w:rsidR="00F008D2" w:rsidRDefault="00F008D2" w:rsidP="00442634">
      <w:pPr>
        <w:pStyle w:val="EndnoteText"/>
      </w:pPr>
      <w:r>
        <w:rPr>
          <w:rStyle w:val="EndnoteReference"/>
        </w:rPr>
        <w:endnoteRef/>
      </w:r>
      <w:r>
        <w:t xml:space="preserve"> </w:t>
      </w:r>
      <w:r w:rsidRPr="00FA6165">
        <w:t>Senate Legal and Constitutional Affairs</w:t>
      </w:r>
      <w:r>
        <w:t xml:space="preserve"> Legislation Committee</w:t>
      </w:r>
      <w:r w:rsidRPr="00FA6165">
        <w:t xml:space="preserve">, </w:t>
      </w:r>
      <w:r>
        <w:t xml:space="preserve">Parliament of Australia, </w:t>
      </w:r>
      <w:r w:rsidRPr="00FA6165">
        <w:rPr>
          <w:i/>
        </w:rPr>
        <w:t>Guardian for Unaccompanied Children Bill 2014</w:t>
      </w:r>
      <w:r>
        <w:rPr>
          <w:i/>
        </w:rPr>
        <w:t xml:space="preserve"> </w:t>
      </w:r>
      <w:r w:rsidRPr="00FA6165">
        <w:t>(2014)</w:t>
      </w:r>
      <w:r>
        <w:t xml:space="preserve"> 17 </w:t>
      </w:r>
      <w:r w:rsidRPr="00E221F1">
        <w:t>&lt;</w:t>
      </w:r>
      <w:hyperlink r:id="rId41" w:history="1">
        <w:r w:rsidRPr="00E221F1">
          <w:rPr>
            <w:rStyle w:val="Hyperlink"/>
          </w:rPr>
          <w:t>http://www.aph.gov.au/Parliamentary_Business/Committees/Senate/Legal_and_Constitutional_Affairs/Guardian_for_children/Report</w:t>
        </w:r>
      </w:hyperlink>
      <w:r w:rsidRPr="00E221F1">
        <w:t>&gt;.</w:t>
      </w:r>
    </w:p>
  </w:endnote>
  <w:endnote w:id="62">
    <w:p w14:paraId="650B1F5C" w14:textId="77777777" w:rsidR="00F008D2" w:rsidRDefault="00F008D2" w:rsidP="00442634">
      <w:pPr>
        <w:pStyle w:val="EndnoteText"/>
      </w:pPr>
      <w:r>
        <w:rPr>
          <w:rStyle w:val="EndnoteReference"/>
        </w:rPr>
        <w:endnoteRef/>
      </w:r>
      <w:r>
        <w:t xml:space="preserve"> </w:t>
      </w:r>
      <w:r w:rsidRPr="00FA6165">
        <w:t>Senate Legal and Constitutional Affairs</w:t>
      </w:r>
      <w:r>
        <w:t xml:space="preserve"> Legislation Committee</w:t>
      </w:r>
      <w:r w:rsidRPr="00FA6165">
        <w:t xml:space="preserve">, </w:t>
      </w:r>
      <w:r>
        <w:t xml:space="preserve">Parliament of Australia, </w:t>
      </w:r>
      <w:r w:rsidRPr="00FA6165">
        <w:rPr>
          <w:i/>
        </w:rPr>
        <w:t xml:space="preserve">Guardian for Unaccompanied Children Bill </w:t>
      </w:r>
      <w:r w:rsidRPr="003463BC">
        <w:rPr>
          <w:i/>
        </w:rPr>
        <w:t>2014</w:t>
      </w:r>
      <w:r w:rsidRPr="003463BC">
        <w:t xml:space="preserve"> </w:t>
      </w:r>
      <w:r w:rsidRPr="00FA6165">
        <w:t>(2014)</w:t>
      </w:r>
      <w:r>
        <w:t xml:space="preserve"> 19 </w:t>
      </w:r>
      <w:r w:rsidRPr="00E221F1">
        <w:t>&lt;</w:t>
      </w:r>
      <w:hyperlink r:id="rId42" w:history="1">
        <w:r w:rsidRPr="00E221F1">
          <w:rPr>
            <w:rStyle w:val="Hyperlink"/>
          </w:rPr>
          <w:t>http://www.aph.gov.au/Parliamentary_Business/Committees/Senate/Legal_and_Constitutional_Affairs/Guardian_for_children/Report</w:t>
        </w:r>
      </w:hyperlink>
      <w:r w:rsidRPr="00E221F1">
        <w:t>&gt;.</w:t>
      </w:r>
      <w:r>
        <w:t xml:space="preserve"> </w:t>
      </w:r>
    </w:p>
  </w:endnote>
  <w:endnote w:id="63">
    <w:p w14:paraId="76BEF671" w14:textId="77777777" w:rsidR="00F008D2" w:rsidRDefault="00F008D2" w:rsidP="00442634">
      <w:pPr>
        <w:pStyle w:val="EndnoteText"/>
      </w:pPr>
      <w:r>
        <w:rPr>
          <w:rStyle w:val="EndnoteReference"/>
        </w:rPr>
        <w:endnoteRef/>
      </w:r>
      <w:r>
        <w:t xml:space="preserve"> </w:t>
      </w:r>
      <w:r w:rsidRPr="00FA6165">
        <w:t>Senate Legal and Constitutional Affairs</w:t>
      </w:r>
      <w:r>
        <w:t xml:space="preserve"> Legislation Committee</w:t>
      </w:r>
      <w:r w:rsidRPr="00FA6165">
        <w:t xml:space="preserve">, </w:t>
      </w:r>
      <w:r>
        <w:t xml:space="preserve">Parliament of Australia, </w:t>
      </w:r>
      <w:r w:rsidRPr="00FA6165">
        <w:rPr>
          <w:i/>
        </w:rPr>
        <w:t>Guardian for Unaccompanied Children Bill 2014</w:t>
      </w:r>
      <w:r>
        <w:rPr>
          <w:i/>
        </w:rPr>
        <w:t xml:space="preserve"> </w:t>
      </w:r>
      <w:r w:rsidRPr="00FA6165">
        <w:t>(2014)</w:t>
      </w:r>
      <w:r>
        <w:t xml:space="preserve"> 22 </w:t>
      </w:r>
      <w:r w:rsidRPr="00E221F1">
        <w:t>&lt;</w:t>
      </w:r>
      <w:hyperlink r:id="rId43" w:history="1">
        <w:r w:rsidRPr="00E221F1">
          <w:rPr>
            <w:rStyle w:val="Hyperlink"/>
          </w:rPr>
          <w:t>http://www.aph.gov.au/Parliamentary_Business/Committees/Senate/Legal_and_Constitutional_Affairs/Guardian_for_children/Report</w:t>
        </w:r>
      </w:hyperlink>
      <w:r w:rsidRPr="00E221F1">
        <w:t>&gt;.</w:t>
      </w:r>
      <w:r>
        <w:t xml:space="preserve"> </w:t>
      </w:r>
    </w:p>
  </w:endnote>
  <w:endnote w:id="64">
    <w:p w14:paraId="17014E15" w14:textId="77777777" w:rsidR="00F008D2" w:rsidRDefault="00F008D2" w:rsidP="00442634">
      <w:pPr>
        <w:pStyle w:val="EndnoteText"/>
      </w:pPr>
      <w:r>
        <w:rPr>
          <w:rStyle w:val="EndnoteReference"/>
        </w:rPr>
        <w:endnoteRef/>
      </w:r>
      <w:r>
        <w:t xml:space="preserve"> Parliament of Australia, </w:t>
      </w:r>
      <w:r w:rsidRPr="0012484B">
        <w:rPr>
          <w:i/>
        </w:rPr>
        <w:t>Guardian for Unaccompanied Children Bill 2014</w:t>
      </w:r>
      <w:r>
        <w:rPr>
          <w:i/>
        </w:rPr>
        <w:t>: Bill</w:t>
      </w:r>
      <w:r w:rsidRPr="0012484B">
        <w:t xml:space="preserve"> </w:t>
      </w:r>
      <w:r>
        <w:rPr>
          <w:i/>
        </w:rPr>
        <w:t xml:space="preserve">Progress </w:t>
      </w:r>
      <w:r w:rsidRPr="0012484B">
        <w:t xml:space="preserve">(2014) </w:t>
      </w:r>
      <w:r w:rsidRPr="00E221F1">
        <w:t>&lt;</w:t>
      </w:r>
      <w:hyperlink r:id="rId44" w:history="1">
        <w:r w:rsidRPr="00E221F1">
          <w:rPr>
            <w:rStyle w:val="Hyperlink"/>
          </w:rPr>
          <w:t>http://www.aph.gov.au/Parliamentary_Business/Bills_LEGislation/Bills_Search_Results/Result?bId=s968</w:t>
        </w:r>
      </w:hyperlink>
      <w:r>
        <w:t>&gt;.</w:t>
      </w:r>
    </w:p>
  </w:endnote>
  <w:endnote w:id="65">
    <w:p w14:paraId="281D2704"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sidRPr="00906058">
        <w:rPr>
          <w:i/>
        </w:rPr>
        <w:t>Thir</w:t>
      </w:r>
      <w:r>
        <w:rPr>
          <w:i/>
        </w:rPr>
        <w:t>teenth</w:t>
      </w:r>
      <w:r w:rsidRPr="00246A31">
        <w:rPr>
          <w:i/>
        </w:rPr>
        <w:t xml:space="preserve"> Report of the 44th Parliament</w:t>
      </w:r>
      <w:r>
        <w:t xml:space="preserve"> (2014) 2.</w:t>
      </w:r>
    </w:p>
  </w:endnote>
  <w:endnote w:id="66">
    <w:p w14:paraId="016E7E74"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sidRPr="00906058">
        <w:rPr>
          <w:i/>
        </w:rPr>
        <w:t>Thir</w:t>
      </w:r>
      <w:r>
        <w:rPr>
          <w:i/>
        </w:rPr>
        <w:t>teenth</w:t>
      </w:r>
      <w:r w:rsidRPr="00246A31">
        <w:rPr>
          <w:i/>
        </w:rPr>
        <w:t xml:space="preserve"> Report of the 44th Parliament</w:t>
      </w:r>
      <w:r>
        <w:t xml:space="preserve"> (2014) 2 [1.4].</w:t>
      </w:r>
    </w:p>
  </w:endnote>
  <w:endnote w:id="67">
    <w:p w14:paraId="06F5CBE3"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sidRPr="00906058">
        <w:rPr>
          <w:i/>
        </w:rPr>
        <w:t>Thir</w:t>
      </w:r>
      <w:r>
        <w:rPr>
          <w:i/>
        </w:rPr>
        <w:t>teenth</w:t>
      </w:r>
      <w:r w:rsidRPr="00246A31">
        <w:rPr>
          <w:i/>
        </w:rPr>
        <w:t xml:space="preserve"> Report of the 44th Parliament</w:t>
      </w:r>
      <w:r>
        <w:t xml:space="preserve"> (2014) 2 [1.4].</w:t>
      </w:r>
    </w:p>
  </w:endnote>
  <w:endnote w:id="68">
    <w:p w14:paraId="1E9B693B"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sidRPr="00906058">
        <w:rPr>
          <w:i/>
        </w:rPr>
        <w:t>Thir</w:t>
      </w:r>
      <w:r>
        <w:rPr>
          <w:i/>
        </w:rPr>
        <w:t>teenth</w:t>
      </w:r>
      <w:r w:rsidRPr="00246A31">
        <w:rPr>
          <w:i/>
        </w:rPr>
        <w:t xml:space="preserve"> Report of the 44th Parliament</w:t>
      </w:r>
      <w:r>
        <w:t xml:space="preserve"> (2014) 2 [1.5].</w:t>
      </w:r>
    </w:p>
  </w:endnote>
  <w:endnote w:id="69">
    <w:p w14:paraId="4B20D064" w14:textId="77777777" w:rsidR="00F008D2" w:rsidRDefault="00F008D2" w:rsidP="00442634">
      <w:pPr>
        <w:pStyle w:val="EndnoteText"/>
      </w:pPr>
      <w:r>
        <w:rPr>
          <w:rStyle w:val="EndnoteReference"/>
        </w:rPr>
        <w:endnoteRef/>
      </w:r>
      <w:r>
        <w:t xml:space="preserve"> Parliament of Australia, </w:t>
      </w:r>
      <w:r w:rsidRPr="00821FF4">
        <w:rPr>
          <w:i/>
        </w:rPr>
        <w:t>Australian Education Amendment Bill</w:t>
      </w:r>
      <w:r>
        <w:rPr>
          <w:i/>
        </w:rPr>
        <w:t xml:space="preserve"> 2014</w:t>
      </w:r>
      <w:r w:rsidRPr="00821FF4">
        <w:rPr>
          <w:i/>
        </w:rPr>
        <w:t xml:space="preserve">: </w:t>
      </w:r>
      <w:r>
        <w:rPr>
          <w:i/>
        </w:rPr>
        <w:t>Bill</w:t>
      </w:r>
      <w:r w:rsidRPr="0012484B">
        <w:t xml:space="preserve"> </w:t>
      </w:r>
      <w:r>
        <w:rPr>
          <w:i/>
        </w:rPr>
        <w:t xml:space="preserve">Progress </w:t>
      </w:r>
      <w:r>
        <w:t>(</w:t>
      </w:r>
      <w:r w:rsidRPr="00821FF4">
        <w:t>2014</w:t>
      </w:r>
      <w:r>
        <w:t>) &lt;</w:t>
      </w:r>
      <w:hyperlink r:id="rId45" w:history="1">
        <w:r w:rsidRPr="00D46964">
          <w:rPr>
            <w:rStyle w:val="Hyperlink"/>
          </w:rPr>
          <w:t>http://www.aph.gov.au/Parliamentary_Business/Bills_Legislation/Bills_Search_Results/Result?bId=r5335</w:t>
        </w:r>
      </w:hyperlink>
      <w:r>
        <w:t>&gt;</w:t>
      </w:r>
    </w:p>
  </w:endnote>
  <w:endnote w:id="70">
    <w:p w14:paraId="44E76741"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Pr>
          <w:i/>
        </w:rPr>
        <w:t>Seventeenth</w:t>
      </w:r>
      <w:r w:rsidRPr="00246A31">
        <w:rPr>
          <w:i/>
        </w:rPr>
        <w:t xml:space="preserve"> Report of the 44th Parliament</w:t>
      </w:r>
      <w:r>
        <w:t xml:space="preserve"> (2014) 7.</w:t>
      </w:r>
    </w:p>
  </w:endnote>
  <w:endnote w:id="71">
    <w:p w14:paraId="7C70FF60"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Pr>
          <w:i/>
        </w:rPr>
        <w:t>Seventeenth</w:t>
      </w:r>
      <w:r w:rsidRPr="00246A31">
        <w:rPr>
          <w:i/>
        </w:rPr>
        <w:t xml:space="preserve"> Report of the 44th Parliament</w:t>
      </w:r>
      <w:r>
        <w:t xml:space="preserve"> (2014) 7.</w:t>
      </w:r>
    </w:p>
  </w:endnote>
  <w:endnote w:id="72">
    <w:p w14:paraId="1602131E"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Pr>
          <w:i/>
        </w:rPr>
        <w:t>Seventeenth</w:t>
      </w:r>
      <w:r w:rsidRPr="00246A31">
        <w:rPr>
          <w:i/>
        </w:rPr>
        <w:t xml:space="preserve"> Report of the 44th Parliament</w:t>
      </w:r>
      <w:r>
        <w:t xml:space="preserve"> (2014) 7 [1.19]–[1.20].</w:t>
      </w:r>
    </w:p>
  </w:endnote>
  <w:endnote w:id="73">
    <w:p w14:paraId="68A42882" w14:textId="77777777" w:rsidR="00F008D2" w:rsidRDefault="00F008D2" w:rsidP="00442634">
      <w:pPr>
        <w:pStyle w:val="EndnoteText"/>
      </w:pPr>
      <w:r>
        <w:rPr>
          <w:rStyle w:val="EndnoteReference"/>
        </w:rPr>
        <w:endnoteRef/>
      </w:r>
      <w:r>
        <w:t xml:space="preserve"> Parliament of Australia, </w:t>
      </w:r>
      <w:r w:rsidRPr="00821FF4">
        <w:rPr>
          <w:i/>
        </w:rPr>
        <w:t xml:space="preserve">Social Security and Other Legislation Amendment (Caring for Single Parents) Bill 2014: </w:t>
      </w:r>
      <w:r>
        <w:rPr>
          <w:i/>
        </w:rPr>
        <w:t>Bill</w:t>
      </w:r>
      <w:r w:rsidRPr="0012484B">
        <w:t xml:space="preserve"> </w:t>
      </w:r>
      <w:r>
        <w:rPr>
          <w:i/>
        </w:rPr>
        <w:t xml:space="preserve">Progress </w:t>
      </w:r>
      <w:r>
        <w:t>(2014) &lt;</w:t>
      </w:r>
      <w:hyperlink r:id="rId46" w:history="1">
        <w:r w:rsidRPr="00D46964">
          <w:rPr>
            <w:rStyle w:val="Hyperlink"/>
          </w:rPr>
          <w:t>http://www.aph.gov.au/Parliamentary_Business/Bills_Legislation/Bills_Search_Results/Result?bId=s979</w:t>
        </w:r>
      </w:hyperlink>
      <w:r>
        <w:t>&gt;.</w:t>
      </w:r>
    </w:p>
  </w:endnote>
  <w:endnote w:id="74">
    <w:p w14:paraId="7CB2EF6B" w14:textId="77777777" w:rsidR="00F008D2" w:rsidRPr="00AF18C8" w:rsidRDefault="00F008D2" w:rsidP="00442634">
      <w:pPr>
        <w:pStyle w:val="EndnoteText"/>
      </w:pPr>
      <w:r w:rsidRPr="00AF18C8">
        <w:rPr>
          <w:rStyle w:val="EndnoteReference"/>
        </w:rPr>
        <w:endnoteRef/>
      </w:r>
      <w:r w:rsidRPr="00AF18C8">
        <w:t xml:space="preserve"> </w:t>
      </w:r>
      <w:r w:rsidRPr="00AF18C8">
        <w:rPr>
          <w:rFonts w:cs="Helvetica 55 Roman"/>
          <w:color w:val="000000"/>
        </w:rPr>
        <w:t xml:space="preserve">The Liberal Party and The Nationals, </w:t>
      </w:r>
      <w:r w:rsidRPr="00AF18C8">
        <w:rPr>
          <w:rFonts w:cs="Helvetica 55 Roman"/>
          <w:i/>
          <w:color w:val="000000"/>
        </w:rPr>
        <w:t>The Coalition’s Policy to Enhance Online Safety for Children</w:t>
      </w:r>
      <w:r w:rsidRPr="00AF18C8">
        <w:rPr>
          <w:rFonts w:cs="Helvetica 55 Roman"/>
          <w:color w:val="000000"/>
        </w:rPr>
        <w:t xml:space="preserve"> (2013) &lt;</w:t>
      </w:r>
      <w:hyperlink r:id="rId47" w:history="1">
        <w:r w:rsidRPr="00AF18C8">
          <w:rPr>
            <w:rStyle w:val="Hyperlink"/>
            <w:rFonts w:cs="Helvetica 55 Roman"/>
          </w:rPr>
          <w:t>http://www.liberal.org.au/our-policies</w:t>
        </w:r>
      </w:hyperlink>
      <w:r w:rsidRPr="00AF18C8">
        <w:rPr>
          <w:rFonts w:cs="Helvetica 55 Roman"/>
          <w:color w:val="000000"/>
        </w:rPr>
        <w:t>&gt;.</w:t>
      </w:r>
    </w:p>
  </w:endnote>
  <w:endnote w:id="75">
    <w:p w14:paraId="7797E729" w14:textId="77777777" w:rsidR="00F008D2" w:rsidRDefault="00F008D2" w:rsidP="00442634">
      <w:pPr>
        <w:pStyle w:val="EndnoteText"/>
      </w:pPr>
      <w:r>
        <w:rPr>
          <w:rStyle w:val="EndnoteReference"/>
        </w:rPr>
        <w:endnoteRef/>
      </w:r>
      <w:r>
        <w:t xml:space="preserve"> Parliament of Australia, </w:t>
      </w:r>
      <w:r w:rsidRPr="00821FF4">
        <w:rPr>
          <w:i/>
        </w:rPr>
        <w:t>Enhancing Online Safety for Children Bill 2014</w:t>
      </w:r>
      <w:r>
        <w:rPr>
          <w:i/>
        </w:rPr>
        <w:t>: Bill</w:t>
      </w:r>
      <w:r w:rsidRPr="0012484B">
        <w:t xml:space="preserve"> </w:t>
      </w:r>
      <w:r>
        <w:rPr>
          <w:i/>
        </w:rPr>
        <w:t>Progress</w:t>
      </w:r>
      <w:r w:rsidRPr="00821FF4">
        <w:t xml:space="preserve"> </w:t>
      </w:r>
      <w:r>
        <w:t>(</w:t>
      </w:r>
      <w:r w:rsidRPr="00821FF4">
        <w:t>2014</w:t>
      </w:r>
      <w:r>
        <w:t>) &lt;</w:t>
      </w:r>
      <w:hyperlink r:id="rId48" w:history="1">
        <w:r w:rsidRPr="005D6EC4">
          <w:rPr>
            <w:rStyle w:val="Hyperlink"/>
          </w:rPr>
          <w:t>http://www.aph.gov.au/Parliamentary_Business/Bills_Legislation/Bills_Search_Results/Result?bId=r5387</w:t>
        </w:r>
      </w:hyperlink>
      <w:r>
        <w:t xml:space="preserve">&gt;; </w:t>
      </w:r>
      <w:r w:rsidRPr="00821FF4">
        <w:t>Parliament of Australia,</w:t>
      </w:r>
      <w:r w:rsidRPr="00821FF4">
        <w:rPr>
          <w:i/>
        </w:rPr>
        <w:t xml:space="preserve"> Enhancing Online Safety for Children (Consequential Amendments) Bill</w:t>
      </w:r>
      <w:r w:rsidRPr="00821FF4">
        <w:t xml:space="preserve"> </w:t>
      </w:r>
      <w:r w:rsidRPr="00821FF4">
        <w:rPr>
          <w:i/>
        </w:rPr>
        <w:t>2014</w:t>
      </w:r>
      <w:r>
        <w:rPr>
          <w:i/>
        </w:rPr>
        <w:t>: Bill</w:t>
      </w:r>
      <w:r w:rsidRPr="0012484B">
        <w:t xml:space="preserve"> </w:t>
      </w:r>
      <w:r>
        <w:rPr>
          <w:i/>
        </w:rPr>
        <w:t>Progress</w:t>
      </w:r>
      <w:r>
        <w:t xml:space="preserve"> (2014) &lt;</w:t>
      </w:r>
      <w:hyperlink r:id="rId49" w:history="1">
        <w:r w:rsidRPr="00D46964">
          <w:rPr>
            <w:rStyle w:val="Hyperlink"/>
          </w:rPr>
          <w:t>http://www.aph.gov.au/Parliamentary_Business/Bills_Legislation/Bills_Search_Results/Result?bId=r5388</w:t>
        </w:r>
      </w:hyperlink>
      <w:r>
        <w:t>&gt;.</w:t>
      </w:r>
    </w:p>
  </w:endnote>
  <w:endnote w:id="76">
    <w:p w14:paraId="198C0383" w14:textId="77777777" w:rsidR="00F008D2" w:rsidRPr="00AF18C8" w:rsidRDefault="00F008D2" w:rsidP="00442634">
      <w:pPr>
        <w:pStyle w:val="EndnoteText"/>
      </w:pPr>
      <w:r>
        <w:rPr>
          <w:rStyle w:val="EndnoteReference"/>
        </w:rPr>
        <w:endnoteRef/>
      </w:r>
      <w:r>
        <w:t xml:space="preserve"> Parliament of Australia, </w:t>
      </w:r>
      <w:r w:rsidRPr="00821FF4">
        <w:rPr>
          <w:i/>
        </w:rPr>
        <w:t>Enhancing Online Safety for Children Bill 2014</w:t>
      </w:r>
      <w:r>
        <w:rPr>
          <w:i/>
        </w:rPr>
        <w:t>: Bill</w:t>
      </w:r>
      <w:r w:rsidRPr="0012484B">
        <w:t xml:space="preserve"> </w:t>
      </w:r>
      <w:r>
        <w:rPr>
          <w:i/>
        </w:rPr>
        <w:t>Progress</w:t>
      </w:r>
      <w:r w:rsidRPr="00821FF4">
        <w:t xml:space="preserve"> </w:t>
      </w:r>
      <w:r>
        <w:t>(</w:t>
      </w:r>
      <w:r w:rsidRPr="00821FF4">
        <w:t>2014</w:t>
      </w:r>
      <w:r>
        <w:t>) &lt;</w:t>
      </w:r>
      <w:hyperlink r:id="rId50" w:history="1">
        <w:r w:rsidRPr="00AF18C8">
          <w:rPr>
            <w:rStyle w:val="Hyperlink"/>
          </w:rPr>
          <w:t>http://www.aph.gov.au/Parliamentary_Business/Bills_Legislation/Bills_Search_Results/Result?bId=r5387</w:t>
        </w:r>
      </w:hyperlink>
      <w:r w:rsidRPr="00AF18C8">
        <w:t>&gt;.</w:t>
      </w:r>
    </w:p>
  </w:endnote>
  <w:endnote w:id="77">
    <w:p w14:paraId="2B6F768F" w14:textId="77777777" w:rsidR="00F008D2" w:rsidRDefault="00F008D2" w:rsidP="00442634">
      <w:pPr>
        <w:pStyle w:val="EndnoteText"/>
      </w:pPr>
      <w:r w:rsidRPr="00AF18C8">
        <w:rPr>
          <w:rStyle w:val="EndnoteReference"/>
        </w:rPr>
        <w:endnoteRef/>
      </w:r>
      <w:r w:rsidRPr="00AF18C8">
        <w:t xml:space="preserve"> Explanatory Memorandum, Enhancing Online Safety for Children Bill 2014</w:t>
      </w:r>
      <w:r>
        <w:t xml:space="preserve"> (Cth)</w:t>
      </w:r>
      <w:r w:rsidRPr="00AF18C8">
        <w:t>; Enhancing Online Safety for Children (Consequential Amendments) Bill 2014 (Cth) 11 &lt;</w:t>
      </w:r>
      <w:hyperlink r:id="rId51" w:history="1">
        <w:r w:rsidRPr="00AF18C8">
          <w:rPr>
            <w:rStyle w:val="Hyperlink"/>
          </w:rPr>
          <w:t>http://parlinfo.aph.gov.au/parlInfo/search/display/display.w3p;query=Id%3A%22legislation%2Fems%2Fr5387_ems_d2990172-46c7-4b35-9eff-364175a7fbef%22</w:t>
        </w:r>
      </w:hyperlink>
      <w:r w:rsidRPr="00AF18C8">
        <w:t>&gt;.</w:t>
      </w:r>
    </w:p>
  </w:endnote>
  <w:endnote w:id="78">
    <w:p w14:paraId="6E2407BD" w14:textId="77777777" w:rsidR="00F008D2" w:rsidRDefault="00F008D2" w:rsidP="00442634">
      <w:pPr>
        <w:pStyle w:val="EndnoteText"/>
      </w:pPr>
      <w:r>
        <w:rPr>
          <w:rStyle w:val="EndnoteReference"/>
        </w:rPr>
        <w:endnoteRef/>
      </w:r>
      <w:r>
        <w:t xml:space="preserve"> Parliament of Australia, </w:t>
      </w:r>
      <w:r>
        <w:rPr>
          <w:i/>
        </w:rPr>
        <w:t xml:space="preserve">Inquiry into </w:t>
      </w:r>
      <w:r w:rsidRPr="00E849C0">
        <w:rPr>
          <w:i/>
        </w:rPr>
        <w:t>Enhancing Online Safety for Children Bill 2014 [Provisions] and the Enhanci</w:t>
      </w:r>
      <w:r>
        <w:rPr>
          <w:i/>
        </w:rPr>
        <w:t>ng Online Safety for Children (</w:t>
      </w:r>
      <w:r w:rsidRPr="00E849C0">
        <w:rPr>
          <w:i/>
        </w:rPr>
        <w:t>Consequential Amendments) Bill 2014 [Provisions]</w:t>
      </w:r>
      <w:r>
        <w:t xml:space="preserve"> (2014) &lt;</w:t>
      </w:r>
      <w:hyperlink r:id="rId52" w:history="1">
        <w:r w:rsidRPr="00D46964">
          <w:rPr>
            <w:rStyle w:val="Hyperlink"/>
          </w:rPr>
          <w:t>http://www.aph.gov.au/Parliamentary_Business/Committees/Senate/Environment_and_Communications/Online_safety</w:t>
        </w:r>
      </w:hyperlink>
      <w:r>
        <w:t>&gt;.</w:t>
      </w:r>
    </w:p>
  </w:endnote>
  <w:endnote w:id="79">
    <w:p w14:paraId="7749DBE9" w14:textId="77777777" w:rsidR="00F008D2" w:rsidRDefault="00F008D2" w:rsidP="00442634">
      <w:pPr>
        <w:pStyle w:val="EndnoteText"/>
      </w:pPr>
      <w:r>
        <w:rPr>
          <w:rStyle w:val="EndnoteReference"/>
        </w:rPr>
        <w:endnoteRef/>
      </w:r>
      <w:r>
        <w:t xml:space="preserve"> </w:t>
      </w:r>
      <w:r w:rsidRPr="00E849C0">
        <w:t>Senate Standing Committees on Environment and Communications</w:t>
      </w:r>
      <w:r>
        <w:t>,</w:t>
      </w:r>
      <w:r w:rsidRPr="00E849C0">
        <w:t xml:space="preserve"> </w:t>
      </w:r>
      <w:r>
        <w:t xml:space="preserve">Parliament of Australia, </w:t>
      </w:r>
      <w:r w:rsidRPr="00E849C0">
        <w:rPr>
          <w:i/>
        </w:rPr>
        <w:t>Enhancing Online Safety for Children Bill 2014 [Provisions], Enhanci</w:t>
      </w:r>
      <w:r>
        <w:rPr>
          <w:i/>
        </w:rPr>
        <w:t>ng Online Safety for Children (</w:t>
      </w:r>
      <w:r w:rsidRPr="00E849C0">
        <w:rPr>
          <w:i/>
        </w:rPr>
        <w:t>Consequential Amendments) Bill 2014 [Provisions]</w:t>
      </w:r>
      <w:r>
        <w:rPr>
          <w:i/>
        </w:rPr>
        <w:t xml:space="preserve"> </w:t>
      </w:r>
      <w:r>
        <w:t>(2015) 28 [2.70]-[2.71]</w:t>
      </w:r>
      <w:r w:rsidRPr="00C9746B">
        <w:t xml:space="preserve"> </w:t>
      </w:r>
      <w:r>
        <w:t>&lt;</w:t>
      </w:r>
      <w:hyperlink r:id="rId53" w:history="1">
        <w:r w:rsidRPr="00D46964">
          <w:rPr>
            <w:rStyle w:val="Hyperlink"/>
          </w:rPr>
          <w:t>http://www.aph.gov.au/Parliamentary_Business/Committees/Senate/Environment_and_Communications/Online_safety/Report</w:t>
        </w:r>
      </w:hyperlink>
      <w:r>
        <w:t>&gt;.</w:t>
      </w:r>
    </w:p>
  </w:endnote>
  <w:endnote w:id="80">
    <w:p w14:paraId="67867C64" w14:textId="77777777" w:rsidR="00F008D2" w:rsidRDefault="00F008D2" w:rsidP="00442634">
      <w:pPr>
        <w:pStyle w:val="EndnoteText"/>
      </w:pPr>
      <w:r>
        <w:rPr>
          <w:rStyle w:val="EndnoteReference"/>
        </w:rPr>
        <w:endnoteRef/>
      </w:r>
      <w:r>
        <w:t xml:space="preserve"> </w:t>
      </w:r>
      <w:r w:rsidRPr="00E849C0">
        <w:t xml:space="preserve">Parliamentary Joint Committee on Human Rights, Parliament of Australia, </w:t>
      </w:r>
      <w:r w:rsidRPr="000E430C">
        <w:rPr>
          <w:i/>
        </w:rPr>
        <w:t>Eighteenth Report of the 44th Parliament</w:t>
      </w:r>
      <w:r w:rsidRPr="00E849C0">
        <w:t xml:space="preserve"> (201</w:t>
      </w:r>
      <w:r>
        <w:t>5</w:t>
      </w:r>
      <w:r w:rsidRPr="00E849C0">
        <w:t xml:space="preserve">) </w:t>
      </w:r>
      <w:r>
        <w:t>1 [1.7].</w:t>
      </w:r>
    </w:p>
  </w:endnote>
  <w:endnote w:id="81">
    <w:p w14:paraId="2D5F072F" w14:textId="77777777" w:rsidR="00F008D2" w:rsidRDefault="00F008D2" w:rsidP="00442634">
      <w:pPr>
        <w:pStyle w:val="EndnoteText"/>
      </w:pPr>
      <w:r>
        <w:rPr>
          <w:rStyle w:val="EndnoteReference"/>
        </w:rPr>
        <w:endnoteRef/>
      </w:r>
      <w:r>
        <w:t xml:space="preserve"> Parliament of Australia, </w:t>
      </w:r>
      <w:r w:rsidRPr="00821FF4">
        <w:rPr>
          <w:i/>
        </w:rPr>
        <w:t>Enhancing Online Safety for Children Bill 2014</w:t>
      </w:r>
      <w:r>
        <w:rPr>
          <w:i/>
        </w:rPr>
        <w:t>: Bill</w:t>
      </w:r>
      <w:r w:rsidRPr="0012484B">
        <w:t xml:space="preserve"> </w:t>
      </w:r>
      <w:r>
        <w:rPr>
          <w:i/>
        </w:rPr>
        <w:t>Progress</w:t>
      </w:r>
      <w:r w:rsidRPr="00821FF4">
        <w:t xml:space="preserve"> </w:t>
      </w:r>
      <w:r>
        <w:t>(</w:t>
      </w:r>
      <w:r w:rsidRPr="00821FF4">
        <w:t>2014</w:t>
      </w:r>
      <w:r>
        <w:t>) &lt;</w:t>
      </w:r>
      <w:hyperlink r:id="rId54" w:history="1">
        <w:r w:rsidRPr="005D6EC4">
          <w:rPr>
            <w:rStyle w:val="Hyperlink"/>
          </w:rPr>
          <w:t>http://www.aph.gov.au/Parliamentary_Business/Bills_Legislation/Bills_Search_Results/Result?bId=r5387</w:t>
        </w:r>
      </w:hyperlink>
      <w:r>
        <w:t xml:space="preserve">&gt;; </w:t>
      </w:r>
      <w:r w:rsidRPr="00821FF4">
        <w:t>Parliament of Australia,</w:t>
      </w:r>
      <w:r w:rsidRPr="00821FF4">
        <w:rPr>
          <w:i/>
        </w:rPr>
        <w:t xml:space="preserve"> Enhancing Online Safety for Children (Consequential Amendments) Bill</w:t>
      </w:r>
      <w:r w:rsidRPr="00821FF4">
        <w:t xml:space="preserve"> </w:t>
      </w:r>
      <w:r w:rsidRPr="00821FF4">
        <w:rPr>
          <w:i/>
        </w:rPr>
        <w:t>2014</w:t>
      </w:r>
      <w:r>
        <w:rPr>
          <w:i/>
        </w:rPr>
        <w:t>: Bill</w:t>
      </w:r>
      <w:r w:rsidRPr="0012484B">
        <w:t xml:space="preserve"> </w:t>
      </w:r>
      <w:r>
        <w:rPr>
          <w:i/>
        </w:rPr>
        <w:t>Progress</w:t>
      </w:r>
      <w:r>
        <w:t xml:space="preserve"> (2014) &lt;</w:t>
      </w:r>
      <w:hyperlink r:id="rId55" w:history="1">
        <w:r w:rsidRPr="00D46964">
          <w:rPr>
            <w:rStyle w:val="Hyperlink"/>
          </w:rPr>
          <w:t>http://www.aph.gov.au/Parliamentary_Business/Bills_Legislation/Bills_Search_Results/Result?bId=r5388</w:t>
        </w:r>
      </w:hyperlink>
      <w:r>
        <w:t>&gt;.</w:t>
      </w:r>
    </w:p>
  </w:endnote>
  <w:endnote w:id="82">
    <w:p w14:paraId="31A35D68"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Pr>
          <w:i/>
        </w:rPr>
        <w:t>Twenty-fourth</w:t>
      </w:r>
      <w:r w:rsidRPr="00246A31">
        <w:rPr>
          <w:i/>
        </w:rPr>
        <w:t xml:space="preserve"> Report of the 44th Parliament</w:t>
      </w:r>
      <w:r>
        <w:t xml:space="preserve"> (2015) 74.</w:t>
      </w:r>
    </w:p>
  </w:endnote>
  <w:endnote w:id="83">
    <w:p w14:paraId="6343359F"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Pr>
          <w:i/>
        </w:rPr>
        <w:t>Twenty-second</w:t>
      </w:r>
      <w:r w:rsidRPr="00246A31">
        <w:rPr>
          <w:i/>
        </w:rPr>
        <w:t xml:space="preserve"> Report of the 44th Parliament</w:t>
      </w:r>
      <w:r>
        <w:t xml:space="preserve"> (2015) 35 [1.146].</w:t>
      </w:r>
    </w:p>
  </w:endnote>
  <w:endnote w:id="84">
    <w:p w14:paraId="246D029C" w14:textId="77777777" w:rsidR="00F008D2" w:rsidRDefault="00F008D2" w:rsidP="00442634">
      <w:pPr>
        <w:pStyle w:val="EndnoteText"/>
      </w:pPr>
      <w:r>
        <w:rPr>
          <w:rStyle w:val="EndnoteReference"/>
        </w:rPr>
        <w:endnoteRef/>
      </w:r>
      <w:r>
        <w:t xml:space="preserve"> Explanatory </w:t>
      </w:r>
      <w:r w:rsidRPr="00D65E1F">
        <w:t>Memorandum</w:t>
      </w:r>
      <w:r>
        <w:t xml:space="preserve">, </w:t>
      </w:r>
      <w:r w:rsidRPr="00D65E1F">
        <w:t>Crimes Legislation Amendment (Powers, Offences and Other Measures) Bill 2015 (Cth)</w:t>
      </w:r>
      <w:r>
        <w:t xml:space="preserve"> [88] &lt;</w:t>
      </w:r>
      <w:hyperlink r:id="rId56" w:history="1">
        <w:r w:rsidRPr="00D46964">
          <w:rPr>
            <w:rStyle w:val="Hyperlink"/>
          </w:rPr>
          <w:t>http://parlinfo.aph.gov.au/parlInfo/search/display/display.w3p;query=Id%3A%22legislation%2Fems%2Fr5430_ems_eb308543-0f14-43e8-aef5-ccdc42fa0d63%22</w:t>
        </w:r>
      </w:hyperlink>
      <w:r>
        <w:t>&gt;.</w:t>
      </w:r>
    </w:p>
  </w:endnote>
  <w:endnote w:id="85">
    <w:p w14:paraId="0509D917" w14:textId="77777777" w:rsidR="00F008D2" w:rsidRDefault="00F008D2" w:rsidP="00442634">
      <w:pPr>
        <w:pStyle w:val="EndnoteText"/>
      </w:pPr>
      <w:r>
        <w:rPr>
          <w:rStyle w:val="EndnoteReference"/>
        </w:rPr>
        <w:endnoteRef/>
      </w:r>
      <w:r>
        <w:t xml:space="preserve"> Parliament of Australia, </w:t>
      </w:r>
      <w:r>
        <w:rPr>
          <w:i/>
        </w:rPr>
        <w:t xml:space="preserve">Inquiry into </w:t>
      </w:r>
      <w:r w:rsidRPr="00D65E1F">
        <w:rPr>
          <w:i/>
        </w:rPr>
        <w:t xml:space="preserve">Crimes Legislation Amendment (Powers, Offences and Other Measures) Bill 2015 </w:t>
      </w:r>
      <w:r>
        <w:t>(2015) &lt;</w:t>
      </w:r>
      <w:hyperlink r:id="rId57" w:history="1">
        <w:r w:rsidRPr="00D46964">
          <w:rPr>
            <w:rStyle w:val="Hyperlink"/>
          </w:rPr>
          <w:t>http://www.aph.gov.au/Parliamentary_Business/Committees/Senate/Legal_and_Constitutional_Affairs/Power_and_Offences_Bill</w:t>
        </w:r>
      </w:hyperlink>
      <w:r>
        <w:t>&gt;.</w:t>
      </w:r>
    </w:p>
  </w:endnote>
  <w:endnote w:id="86">
    <w:p w14:paraId="65DA0698" w14:textId="77777777" w:rsidR="00F008D2" w:rsidRDefault="00F008D2" w:rsidP="00442634">
      <w:pPr>
        <w:pStyle w:val="EndnoteText"/>
      </w:pPr>
      <w:r>
        <w:rPr>
          <w:rStyle w:val="EndnoteReference"/>
        </w:rPr>
        <w:endnoteRef/>
      </w:r>
      <w:r>
        <w:t xml:space="preserve"> </w:t>
      </w:r>
      <w:r w:rsidRPr="00D65E1F">
        <w:t>Australian Human Rights Commission,</w:t>
      </w:r>
      <w:r>
        <w:t xml:space="preserve"> Submission No 4 to </w:t>
      </w:r>
      <w:r w:rsidRPr="00D65E1F">
        <w:t>Senate Legal and Constitutional Affairs</w:t>
      </w:r>
      <w:r>
        <w:t xml:space="preserve"> Legislation Committee, </w:t>
      </w:r>
      <w:r w:rsidRPr="00343FC9">
        <w:rPr>
          <w:i/>
        </w:rPr>
        <w:t>Inquiry into Crimes Legislation Amendment (Powers, Offences and Other Measures) Bill 2015</w:t>
      </w:r>
      <w:r>
        <w:t>, 16 April 2015, 6 [28] &lt;</w:t>
      </w:r>
      <w:hyperlink r:id="rId58" w:history="1">
        <w:r w:rsidRPr="00D46964">
          <w:rPr>
            <w:rStyle w:val="Hyperlink"/>
          </w:rPr>
          <w:t>http://www.aph.gov.au/Parliamentary_Business/Committees/Senate/Legal_and_Constitutional_Affairs/Power_and_Offences_Bill/Submissions</w:t>
        </w:r>
      </w:hyperlink>
      <w:r>
        <w:t>&gt;.</w:t>
      </w:r>
    </w:p>
  </w:endnote>
  <w:endnote w:id="87">
    <w:p w14:paraId="783BDABE" w14:textId="77777777" w:rsidR="00F008D2" w:rsidRPr="00FE641E" w:rsidRDefault="00F008D2" w:rsidP="00442634">
      <w:pPr>
        <w:pStyle w:val="EndnoteText"/>
      </w:pPr>
      <w:r>
        <w:rPr>
          <w:rStyle w:val="EndnoteReference"/>
        </w:rPr>
        <w:endnoteRef/>
      </w:r>
      <w:r>
        <w:t xml:space="preserve"> </w:t>
      </w:r>
      <w:r w:rsidRPr="00343FC9">
        <w:t>Senate Standing Committees on Legal and Constitutional Affairs</w:t>
      </w:r>
      <w:r>
        <w:t xml:space="preserve">, Parliament of Australia, </w:t>
      </w:r>
      <w:r w:rsidRPr="0063283C">
        <w:rPr>
          <w:i/>
        </w:rPr>
        <w:t>Crimes Legislation Amendment (Powers, Offences and Other Measures) Bill 2015 [Provisions]</w:t>
      </w:r>
      <w:r>
        <w:rPr>
          <w:i/>
        </w:rPr>
        <w:t xml:space="preserve"> </w:t>
      </w:r>
      <w:r>
        <w:t>(2015)</w:t>
      </w:r>
    </w:p>
    <w:p w14:paraId="2B43AFF3" w14:textId="77777777" w:rsidR="00F008D2" w:rsidRDefault="00F008D2" w:rsidP="00442634">
      <w:pPr>
        <w:pStyle w:val="EndnoteText"/>
      </w:pPr>
      <w:r>
        <w:t>30 [2.76], 31 [2.78] &lt;</w:t>
      </w:r>
      <w:hyperlink r:id="rId59" w:history="1">
        <w:r w:rsidRPr="00D46964">
          <w:rPr>
            <w:rStyle w:val="Hyperlink"/>
          </w:rPr>
          <w:t>http://www.aph.gov.au/Parliamentary_Business/Committees/Senate/Legal_and_Constitutional_Affairs/Power_and_Offences_Bill/Report</w:t>
        </w:r>
      </w:hyperlink>
      <w:r>
        <w:t>&gt;.</w:t>
      </w:r>
    </w:p>
  </w:endnote>
  <w:endnote w:id="88">
    <w:p w14:paraId="5EC1B9BE" w14:textId="77777777" w:rsidR="00F008D2" w:rsidRDefault="00F008D2" w:rsidP="00442634">
      <w:pPr>
        <w:pStyle w:val="EndnoteText"/>
      </w:pPr>
      <w:r>
        <w:rPr>
          <w:rStyle w:val="EndnoteReference"/>
        </w:rPr>
        <w:endnoteRef/>
      </w:r>
      <w:r>
        <w:t xml:space="preserve"> Parliament of Australia, </w:t>
      </w:r>
      <w:r w:rsidRPr="00FE641E">
        <w:rPr>
          <w:i/>
        </w:rPr>
        <w:t>Crimes Legislation Amendment (Powers, Offences and Other Measures) Bill 2015</w:t>
      </w:r>
      <w:r>
        <w:rPr>
          <w:i/>
        </w:rPr>
        <w:t>: Bill Progress</w:t>
      </w:r>
      <w:r w:rsidRPr="00FE641E">
        <w:t xml:space="preserve"> </w:t>
      </w:r>
      <w:r>
        <w:t>(2015) &lt;</w:t>
      </w:r>
      <w:hyperlink r:id="rId60" w:history="1">
        <w:r w:rsidRPr="00D46964">
          <w:rPr>
            <w:rStyle w:val="Hyperlink"/>
          </w:rPr>
          <w:t>http://www.aph.gov.au/Parliamentary_Business/Bills_Legislation/Bills_Search_Results/Result?bId=r5430</w:t>
        </w:r>
      </w:hyperlink>
      <w:r>
        <w:t>&gt;.</w:t>
      </w:r>
    </w:p>
  </w:endnote>
  <w:endnote w:id="89">
    <w:p w14:paraId="48FF9E44" w14:textId="77777777" w:rsidR="00F008D2" w:rsidRDefault="00F008D2" w:rsidP="00442634">
      <w:pPr>
        <w:pStyle w:val="EndnoteText"/>
      </w:pPr>
      <w:r>
        <w:rPr>
          <w:rStyle w:val="EndnoteReference"/>
        </w:rPr>
        <w:endnoteRef/>
      </w:r>
      <w:r>
        <w:t xml:space="preserve"> </w:t>
      </w:r>
      <w:r w:rsidRPr="00C94E80">
        <w:t xml:space="preserve">Parliamentary Joint Committee on Human Rights, Parliament of Australia, </w:t>
      </w:r>
      <w:r>
        <w:rPr>
          <w:i/>
        </w:rPr>
        <w:t>Nineteenth</w:t>
      </w:r>
      <w:r w:rsidRPr="00C94E80">
        <w:rPr>
          <w:i/>
        </w:rPr>
        <w:t xml:space="preserve"> Report of the 44th </w:t>
      </w:r>
      <w:r w:rsidRPr="00ED5BE6">
        <w:rPr>
          <w:i/>
        </w:rPr>
        <w:t>Parliament</w:t>
      </w:r>
      <w:r w:rsidRPr="00ED5BE6">
        <w:t xml:space="preserve"> (2015) 13.</w:t>
      </w:r>
    </w:p>
  </w:endnote>
  <w:endnote w:id="90">
    <w:p w14:paraId="1167744B" w14:textId="77777777" w:rsidR="00F008D2" w:rsidRDefault="00F008D2" w:rsidP="00442634">
      <w:pPr>
        <w:pStyle w:val="EndnoteText"/>
      </w:pPr>
      <w:r>
        <w:rPr>
          <w:rStyle w:val="EndnoteReference"/>
        </w:rPr>
        <w:endnoteRef/>
      </w:r>
      <w:r>
        <w:t xml:space="preserve"> </w:t>
      </w:r>
      <w:r w:rsidRPr="00ED5BE6">
        <w:t xml:space="preserve">Parliamentary Joint Committee on Human Rights, Parliament of Australia, </w:t>
      </w:r>
      <w:r w:rsidRPr="00ED5BE6">
        <w:rPr>
          <w:i/>
        </w:rPr>
        <w:t>Nineteenth Report of the 44th Parliament</w:t>
      </w:r>
      <w:r w:rsidRPr="00ED5BE6">
        <w:t xml:space="preserve"> (2015) </w:t>
      </w:r>
      <w:r>
        <w:t xml:space="preserve">14 [1.52]. </w:t>
      </w:r>
    </w:p>
  </w:endnote>
  <w:endnote w:id="91">
    <w:p w14:paraId="48E50FB4" w14:textId="77777777" w:rsidR="00F008D2" w:rsidRDefault="00F008D2" w:rsidP="00442634">
      <w:pPr>
        <w:pStyle w:val="EndnoteText"/>
      </w:pPr>
      <w:r>
        <w:rPr>
          <w:rStyle w:val="EndnoteReference"/>
        </w:rPr>
        <w:endnoteRef/>
      </w:r>
      <w:r>
        <w:t xml:space="preserve"> </w:t>
      </w:r>
      <w:r w:rsidRPr="004052D2">
        <w:t>Parliament of Australia,</w:t>
      </w:r>
      <w:r>
        <w:t xml:space="preserve"> </w:t>
      </w:r>
      <w:r>
        <w:rPr>
          <w:i/>
        </w:rPr>
        <w:t xml:space="preserve">Inquiry into </w:t>
      </w:r>
      <w:r w:rsidRPr="00ED5BE6">
        <w:rPr>
          <w:i/>
        </w:rPr>
        <w:t>Migration Amendment (Character and General Visa Cancellation) Bill 2014</w:t>
      </w:r>
      <w:r>
        <w:rPr>
          <w:i/>
        </w:rPr>
        <w:t xml:space="preserve"> </w:t>
      </w:r>
      <w:r>
        <w:t>(2014) &lt;</w:t>
      </w:r>
      <w:hyperlink r:id="rId61" w:history="1">
        <w:r w:rsidRPr="007B6B4B">
          <w:rPr>
            <w:rStyle w:val="Hyperlink"/>
          </w:rPr>
          <w:t>http://www.aph.gov.au/Parliamentary_Business/Committees/Senate/Legal_and_Constitutional_Affairs/Character_and_Visa_Cancellation_Bill_2014</w:t>
        </w:r>
      </w:hyperlink>
      <w:r>
        <w:t>&gt;.</w:t>
      </w:r>
    </w:p>
  </w:endnote>
  <w:endnote w:id="92">
    <w:p w14:paraId="1698378C" w14:textId="77777777" w:rsidR="00F008D2" w:rsidRDefault="00F008D2" w:rsidP="00442634">
      <w:pPr>
        <w:pStyle w:val="EndnoteText"/>
      </w:pPr>
      <w:r>
        <w:rPr>
          <w:rStyle w:val="EndnoteReference"/>
        </w:rPr>
        <w:endnoteRef/>
      </w:r>
      <w:r>
        <w:t xml:space="preserve"> </w:t>
      </w:r>
      <w:r w:rsidRPr="00ED5BE6">
        <w:t xml:space="preserve">Australian Human Rights Commission, Submission No </w:t>
      </w:r>
      <w:r>
        <w:t xml:space="preserve">8 to </w:t>
      </w:r>
      <w:r w:rsidRPr="00ED5BE6">
        <w:t>Senate Legal and Constitutional Affairs</w:t>
      </w:r>
      <w:r>
        <w:t xml:space="preserve"> Legislation Committee, </w:t>
      </w:r>
      <w:r w:rsidRPr="00ED5BE6">
        <w:rPr>
          <w:i/>
        </w:rPr>
        <w:t>Inquiry into the</w:t>
      </w:r>
      <w:r w:rsidRPr="00ED5BE6">
        <w:t xml:space="preserve"> </w:t>
      </w:r>
      <w:r w:rsidRPr="00ED5BE6">
        <w:rPr>
          <w:i/>
        </w:rPr>
        <w:t>Migration Amendment (Character and General Visa Cancellation) Bill 2014</w:t>
      </w:r>
      <w:r>
        <w:rPr>
          <w:i/>
        </w:rPr>
        <w:t xml:space="preserve">, </w:t>
      </w:r>
      <w:r>
        <w:t>28 October 2014, 3, [4] &lt;</w:t>
      </w:r>
      <w:hyperlink r:id="rId62" w:history="1">
        <w:r w:rsidRPr="007B6B4B">
          <w:rPr>
            <w:rStyle w:val="Hyperlink"/>
          </w:rPr>
          <w:t>http://www.aph.gov.au/Parliamentary_Business/Committees/Senate/Legal_and_Constitutional_Affairs/Character_and_Visa_Cancellation_Bill_2014/Submissions</w:t>
        </w:r>
      </w:hyperlink>
      <w:r>
        <w:t>&gt;.</w:t>
      </w:r>
    </w:p>
  </w:endnote>
  <w:endnote w:id="93">
    <w:p w14:paraId="6897B073" w14:textId="77777777" w:rsidR="00F008D2" w:rsidRDefault="00F008D2" w:rsidP="00442634">
      <w:pPr>
        <w:pStyle w:val="EndnoteText"/>
      </w:pPr>
      <w:r>
        <w:rPr>
          <w:rStyle w:val="EndnoteReference"/>
        </w:rPr>
        <w:endnoteRef/>
      </w:r>
      <w:r>
        <w:t xml:space="preserve"> </w:t>
      </w:r>
      <w:r w:rsidRPr="00ED5BE6">
        <w:t xml:space="preserve">Australian Human Rights Commission, Submission No </w:t>
      </w:r>
      <w:r>
        <w:t xml:space="preserve">8 to </w:t>
      </w:r>
      <w:r w:rsidRPr="00ED5BE6">
        <w:t>Senate Legal and Constitutional Affairs</w:t>
      </w:r>
      <w:r>
        <w:t xml:space="preserve"> Legislation Committee, </w:t>
      </w:r>
      <w:r w:rsidRPr="00ED5BE6">
        <w:rPr>
          <w:i/>
        </w:rPr>
        <w:t>Inquiry into the</w:t>
      </w:r>
      <w:r w:rsidRPr="00ED5BE6">
        <w:t xml:space="preserve"> </w:t>
      </w:r>
      <w:r w:rsidRPr="00ED5BE6">
        <w:rPr>
          <w:i/>
        </w:rPr>
        <w:t>Migration Amendment (Character and General Visa Cancellation) Bill 2014</w:t>
      </w:r>
      <w:r>
        <w:rPr>
          <w:i/>
        </w:rPr>
        <w:t xml:space="preserve">, </w:t>
      </w:r>
      <w:r>
        <w:t>28 October 2014, 5 [14] &lt;</w:t>
      </w:r>
      <w:hyperlink r:id="rId63" w:history="1">
        <w:r w:rsidRPr="007B6B4B">
          <w:rPr>
            <w:rStyle w:val="Hyperlink"/>
          </w:rPr>
          <w:t>http://www.aph.gov.au/Parliamentary_Business/Committees/Senate/Legal_and_Constitutional_Affairs/Character_and_Visa_Cancellation_Bill_2014/Submissions</w:t>
        </w:r>
      </w:hyperlink>
      <w:r>
        <w:t>&gt;.</w:t>
      </w:r>
    </w:p>
  </w:endnote>
  <w:endnote w:id="94">
    <w:p w14:paraId="1E592DA1" w14:textId="77777777" w:rsidR="00F008D2" w:rsidRDefault="00F008D2" w:rsidP="00442634">
      <w:pPr>
        <w:pStyle w:val="EndnoteText"/>
      </w:pPr>
      <w:r>
        <w:rPr>
          <w:rStyle w:val="EndnoteReference"/>
        </w:rPr>
        <w:endnoteRef/>
      </w:r>
      <w:r>
        <w:t xml:space="preserve"> </w:t>
      </w:r>
      <w:r w:rsidRPr="00ED5BE6">
        <w:t xml:space="preserve">Australian Human Rights Commission, Submission No </w:t>
      </w:r>
      <w:r>
        <w:t xml:space="preserve">8 to </w:t>
      </w:r>
      <w:r w:rsidRPr="00ED5BE6">
        <w:t>Senate Legal and Constitutional Affairs</w:t>
      </w:r>
      <w:r>
        <w:t xml:space="preserve"> Legislation Committee, </w:t>
      </w:r>
      <w:r w:rsidRPr="00ED5BE6">
        <w:rPr>
          <w:i/>
        </w:rPr>
        <w:t>Inquiry into the</w:t>
      </w:r>
      <w:r w:rsidRPr="00ED5BE6">
        <w:t xml:space="preserve"> </w:t>
      </w:r>
      <w:r w:rsidRPr="00ED5BE6">
        <w:rPr>
          <w:i/>
        </w:rPr>
        <w:t>Migration Amendment (Character and General Visa Cancellation) Bill 2014</w:t>
      </w:r>
      <w:r>
        <w:rPr>
          <w:i/>
        </w:rPr>
        <w:t xml:space="preserve">, </w:t>
      </w:r>
      <w:r>
        <w:t>28 October 2014, 3, [5] &lt;</w:t>
      </w:r>
      <w:hyperlink r:id="rId64" w:history="1">
        <w:r w:rsidRPr="007B6B4B">
          <w:rPr>
            <w:rStyle w:val="Hyperlink"/>
          </w:rPr>
          <w:t>http://www.aph.gov.au/Parliamentary_Business/Committees/Senate/Legal_and_Constitutional_Affairs/Character_and_Visa_Cancellation_Bill_2014/Submissions</w:t>
        </w:r>
      </w:hyperlink>
      <w:r>
        <w:t>&gt;.</w:t>
      </w:r>
    </w:p>
  </w:endnote>
  <w:endnote w:id="95">
    <w:p w14:paraId="5E384B02" w14:textId="77777777" w:rsidR="00F008D2" w:rsidRDefault="00F008D2" w:rsidP="00442634">
      <w:pPr>
        <w:pStyle w:val="EndnoteText"/>
      </w:pPr>
      <w:r>
        <w:rPr>
          <w:rStyle w:val="EndnoteReference"/>
        </w:rPr>
        <w:endnoteRef/>
      </w:r>
      <w:r>
        <w:t xml:space="preserve"> </w:t>
      </w:r>
      <w:r w:rsidRPr="00680739">
        <w:t>Senate Legal and Constitutional Affairs</w:t>
      </w:r>
      <w:r>
        <w:t xml:space="preserve"> Legislation Committee</w:t>
      </w:r>
      <w:r w:rsidRPr="00680739">
        <w:t>, Parliament of Australia,</w:t>
      </w:r>
      <w:r w:rsidRPr="00680739">
        <w:rPr>
          <w:i/>
          <w:sz w:val="24"/>
          <w:szCs w:val="24"/>
        </w:rPr>
        <w:t xml:space="preserve"> </w:t>
      </w:r>
      <w:r w:rsidRPr="00680739">
        <w:rPr>
          <w:i/>
        </w:rPr>
        <w:t>Migration Amendment (Character and General Visa Cancellation) Bill 2014</w:t>
      </w:r>
      <w:r>
        <w:rPr>
          <w:i/>
        </w:rPr>
        <w:t xml:space="preserve"> </w:t>
      </w:r>
      <w:r>
        <w:t>(2014) 28 [3.9] &lt;</w:t>
      </w:r>
      <w:hyperlink r:id="rId65" w:history="1">
        <w:r w:rsidRPr="007B6B4B">
          <w:rPr>
            <w:rStyle w:val="Hyperlink"/>
          </w:rPr>
          <w:t>http://www.aph.gov.au/Parliamentary_Business/Committees/Senate/Legal_and_Constitutional_Affairs/Australian_Citizenship/Report</w:t>
        </w:r>
      </w:hyperlink>
      <w:r>
        <w:t>&gt;.</w:t>
      </w:r>
    </w:p>
  </w:endnote>
  <w:endnote w:id="96">
    <w:p w14:paraId="30A27D8B" w14:textId="77777777" w:rsidR="00F008D2" w:rsidRDefault="00F008D2" w:rsidP="00442634">
      <w:pPr>
        <w:pStyle w:val="EndnoteText"/>
      </w:pPr>
      <w:r>
        <w:rPr>
          <w:rStyle w:val="EndnoteReference"/>
        </w:rPr>
        <w:endnoteRef/>
      </w:r>
      <w:r>
        <w:t xml:space="preserve"> </w:t>
      </w:r>
      <w:r w:rsidRPr="00680739">
        <w:t>Senate Legal and Constitutional Affairs</w:t>
      </w:r>
      <w:r>
        <w:t xml:space="preserve"> Legislation Committee</w:t>
      </w:r>
      <w:r w:rsidRPr="00680739">
        <w:t>, Parliament of Australia,</w:t>
      </w:r>
      <w:r w:rsidRPr="00680739">
        <w:rPr>
          <w:i/>
          <w:sz w:val="24"/>
          <w:szCs w:val="24"/>
        </w:rPr>
        <w:t xml:space="preserve"> </w:t>
      </w:r>
      <w:r w:rsidRPr="00680739">
        <w:rPr>
          <w:i/>
        </w:rPr>
        <w:t>Migration Amendment (Character and General Visa Cancellation) Bill 2014</w:t>
      </w:r>
      <w:r>
        <w:rPr>
          <w:i/>
        </w:rPr>
        <w:t xml:space="preserve"> </w:t>
      </w:r>
      <w:r>
        <w:t>(2014) 31 &lt;</w:t>
      </w:r>
      <w:hyperlink r:id="rId66" w:history="1">
        <w:r w:rsidRPr="007B6B4B">
          <w:rPr>
            <w:rStyle w:val="Hyperlink"/>
          </w:rPr>
          <w:t>http://www.aph.gov.au/Parliamentary_Business/Committees/Senate/Legal_and_Constitutional_Affairs/Australian_Citizenship/Report</w:t>
        </w:r>
      </w:hyperlink>
      <w:r>
        <w:t>&gt;.</w:t>
      </w:r>
    </w:p>
  </w:endnote>
  <w:endnote w:id="97">
    <w:p w14:paraId="64B713F6" w14:textId="77777777" w:rsidR="00F008D2" w:rsidRDefault="00F008D2" w:rsidP="00442634">
      <w:pPr>
        <w:pStyle w:val="EndnoteText"/>
      </w:pPr>
      <w:r>
        <w:rPr>
          <w:rStyle w:val="EndnoteReference"/>
        </w:rPr>
        <w:endnoteRef/>
      </w:r>
      <w:r>
        <w:t xml:space="preserve"> </w:t>
      </w:r>
      <w:r w:rsidRPr="00680739">
        <w:t>Senate Legal and Constitutional Affairs</w:t>
      </w:r>
      <w:r>
        <w:t xml:space="preserve"> Legislation Committee</w:t>
      </w:r>
      <w:r w:rsidRPr="00680739">
        <w:t>, Parliament of Australia,</w:t>
      </w:r>
      <w:r w:rsidRPr="00680739">
        <w:rPr>
          <w:i/>
          <w:sz w:val="24"/>
          <w:szCs w:val="24"/>
        </w:rPr>
        <w:t xml:space="preserve"> </w:t>
      </w:r>
      <w:r w:rsidRPr="00680739">
        <w:rPr>
          <w:i/>
        </w:rPr>
        <w:t>Migration Amendment (Character and General Visa Cancellation) Bill 2014</w:t>
      </w:r>
      <w:r>
        <w:rPr>
          <w:i/>
        </w:rPr>
        <w:t xml:space="preserve"> </w:t>
      </w:r>
      <w:r>
        <w:t>(2014) 30–31 &lt;</w:t>
      </w:r>
      <w:hyperlink r:id="rId67" w:history="1">
        <w:r w:rsidRPr="007B6B4B">
          <w:rPr>
            <w:rStyle w:val="Hyperlink"/>
          </w:rPr>
          <w:t>http://www.aph.gov.au/Parliamentary_Business/Committees/Senate/Legal_and_Constitutional_Affairs/Australian_Citizenship/Report</w:t>
        </w:r>
      </w:hyperlink>
      <w:r>
        <w:t xml:space="preserve">&gt;. </w:t>
      </w:r>
    </w:p>
  </w:endnote>
  <w:endnote w:id="98">
    <w:p w14:paraId="5E85B5BB" w14:textId="77777777" w:rsidR="00F008D2" w:rsidRDefault="00F008D2" w:rsidP="00442634">
      <w:pPr>
        <w:pStyle w:val="EndnoteText"/>
      </w:pPr>
      <w:r>
        <w:rPr>
          <w:rStyle w:val="EndnoteReference"/>
        </w:rPr>
        <w:endnoteRef/>
      </w:r>
      <w:r>
        <w:t xml:space="preserve"> </w:t>
      </w:r>
      <w:r w:rsidRPr="004052D2">
        <w:t>Parliament of Australia,</w:t>
      </w:r>
      <w:r>
        <w:t xml:space="preserve"> </w:t>
      </w:r>
      <w:r w:rsidRPr="00680739">
        <w:rPr>
          <w:i/>
        </w:rPr>
        <w:t>Inquiry into Migration Amendment (Character and General Visa Cancellation) Bill 2014</w:t>
      </w:r>
      <w:r w:rsidRPr="00F87AE5">
        <w:rPr>
          <w:i/>
        </w:rPr>
        <w:t>: Bill Progress</w:t>
      </w:r>
      <w:r>
        <w:rPr>
          <w:i/>
        </w:rPr>
        <w:t xml:space="preserve"> </w:t>
      </w:r>
      <w:r>
        <w:t>(2014) &lt;</w:t>
      </w:r>
      <w:hyperlink r:id="rId68" w:history="1">
        <w:r w:rsidRPr="007B6B4B">
          <w:rPr>
            <w:rStyle w:val="Hyperlink"/>
          </w:rPr>
          <w:t>http://www.aph.gov.au/Parliamentary_Business/Bills_Legislation/Bills_Search_Results/Result?bId=r5345</w:t>
        </w:r>
      </w:hyperlink>
      <w:r>
        <w:t>&gt;</w:t>
      </w:r>
    </w:p>
  </w:endnote>
  <w:endnote w:id="99">
    <w:p w14:paraId="4A99C051" w14:textId="77777777" w:rsidR="00F008D2" w:rsidRDefault="00F008D2" w:rsidP="00442634">
      <w:pPr>
        <w:pStyle w:val="EndnoteText"/>
      </w:pPr>
      <w:r>
        <w:rPr>
          <w:rStyle w:val="EndnoteReference"/>
        </w:rPr>
        <w:endnoteRef/>
      </w:r>
      <w:r>
        <w:t xml:space="preserve"> </w:t>
      </w:r>
      <w:r w:rsidRPr="00F87AE5">
        <w:t xml:space="preserve">Parliamentary Joint Committee on Human Rights, Parliament of Australia, </w:t>
      </w:r>
      <w:r w:rsidRPr="00F87AE5">
        <w:rPr>
          <w:i/>
        </w:rPr>
        <w:t>Nineteenth Report of the 44th Parliament</w:t>
      </w:r>
      <w:r w:rsidRPr="00F87AE5">
        <w:t xml:space="preserve"> (2015) 1</w:t>
      </w:r>
      <w:r>
        <w:t>9</w:t>
      </w:r>
      <w:r w:rsidRPr="00F87AE5">
        <w:t xml:space="preserve"> [1.</w:t>
      </w:r>
      <w:r>
        <w:t>77</w:t>
      </w:r>
      <w:r w:rsidRPr="00F87AE5">
        <w:t>].</w:t>
      </w:r>
    </w:p>
  </w:endnote>
  <w:endnote w:id="100">
    <w:p w14:paraId="0773C729" w14:textId="77777777" w:rsidR="00F008D2" w:rsidRDefault="00F008D2" w:rsidP="00442634">
      <w:pPr>
        <w:pStyle w:val="EndnoteText"/>
      </w:pPr>
      <w:r>
        <w:rPr>
          <w:rStyle w:val="EndnoteReference"/>
        </w:rPr>
        <w:endnoteRef/>
      </w:r>
      <w:r>
        <w:t xml:space="preserve"> </w:t>
      </w:r>
      <w:r w:rsidRPr="00F87AE5">
        <w:t xml:space="preserve">Parliamentary Joint Committee on Human Rights, Parliament of Australia, </w:t>
      </w:r>
      <w:r w:rsidRPr="00F87AE5">
        <w:rPr>
          <w:i/>
        </w:rPr>
        <w:t>Nineteenth Report of the 44th Parliament</w:t>
      </w:r>
      <w:r w:rsidRPr="00F87AE5">
        <w:t xml:space="preserve"> (2015) 1</w:t>
      </w:r>
      <w:r>
        <w:t>9</w:t>
      </w:r>
      <w:r w:rsidRPr="00F87AE5">
        <w:t xml:space="preserve"> [1.</w:t>
      </w:r>
      <w:r>
        <w:t>77</w:t>
      </w:r>
      <w:r w:rsidRPr="00F87AE5">
        <w:t>].</w:t>
      </w:r>
    </w:p>
  </w:endnote>
  <w:endnote w:id="101">
    <w:p w14:paraId="7FAC1A4D" w14:textId="77777777" w:rsidR="00F008D2" w:rsidRDefault="00F008D2" w:rsidP="00442634">
      <w:pPr>
        <w:pStyle w:val="EndnoteText"/>
      </w:pPr>
      <w:r>
        <w:rPr>
          <w:rStyle w:val="EndnoteReference"/>
        </w:rPr>
        <w:endnoteRef/>
      </w:r>
      <w:r>
        <w:t xml:space="preserve"> </w:t>
      </w:r>
      <w:r w:rsidRPr="00F87AE5">
        <w:t xml:space="preserve">Parliamentary Joint Committee on Human Rights, Parliament of Australia, </w:t>
      </w:r>
      <w:r>
        <w:rPr>
          <w:i/>
        </w:rPr>
        <w:t>Fourteenth</w:t>
      </w:r>
      <w:r w:rsidRPr="00F87AE5">
        <w:rPr>
          <w:i/>
        </w:rPr>
        <w:t xml:space="preserve"> Report of the 44th Parliament</w:t>
      </w:r>
      <w:r w:rsidRPr="00F87AE5">
        <w:t xml:space="preserve"> (201</w:t>
      </w:r>
      <w:r>
        <w:t>4</w:t>
      </w:r>
      <w:r w:rsidRPr="00F87AE5">
        <w:t>)</w:t>
      </w:r>
      <w:r>
        <w:t xml:space="preserve"> 70.</w:t>
      </w:r>
    </w:p>
  </w:endnote>
  <w:endnote w:id="102">
    <w:p w14:paraId="0879F4D6" w14:textId="77777777" w:rsidR="00F008D2" w:rsidRDefault="00F008D2" w:rsidP="00442634">
      <w:pPr>
        <w:pStyle w:val="EndnoteText"/>
      </w:pPr>
      <w:r>
        <w:rPr>
          <w:rStyle w:val="EndnoteReference"/>
        </w:rPr>
        <w:endnoteRef/>
      </w:r>
      <w:r>
        <w:t xml:space="preserve"> </w:t>
      </w:r>
      <w:r w:rsidRPr="00F87AE5">
        <w:t xml:space="preserve">Parliamentary Joint Committee on Human Rights, Parliament of Australia, </w:t>
      </w:r>
      <w:r>
        <w:rPr>
          <w:i/>
        </w:rPr>
        <w:t>Fourteenth</w:t>
      </w:r>
      <w:r w:rsidRPr="00F87AE5">
        <w:rPr>
          <w:i/>
        </w:rPr>
        <w:t xml:space="preserve"> Report of the 44th Parliament</w:t>
      </w:r>
      <w:r w:rsidRPr="00F87AE5">
        <w:t xml:space="preserve"> (201</w:t>
      </w:r>
      <w:r>
        <w:t>4</w:t>
      </w:r>
      <w:r w:rsidRPr="00F87AE5">
        <w:t>)</w:t>
      </w:r>
      <w:r>
        <w:t xml:space="preserve"> 89 [1.416].</w:t>
      </w:r>
    </w:p>
  </w:endnote>
  <w:endnote w:id="103">
    <w:p w14:paraId="49B268C5" w14:textId="77777777" w:rsidR="00F008D2" w:rsidRDefault="00F008D2" w:rsidP="00442634">
      <w:pPr>
        <w:pStyle w:val="EndnoteText"/>
      </w:pPr>
      <w:r>
        <w:rPr>
          <w:rStyle w:val="EndnoteReference"/>
        </w:rPr>
        <w:endnoteRef/>
      </w:r>
      <w:r>
        <w:t xml:space="preserve"> </w:t>
      </w:r>
      <w:r w:rsidRPr="004052D2">
        <w:t>Parliament of Australia,</w:t>
      </w:r>
      <w:r>
        <w:t xml:space="preserve"> </w:t>
      </w:r>
      <w:r w:rsidRPr="00F87AE5">
        <w:rPr>
          <w:i/>
        </w:rPr>
        <w:t>Inquiry into Migration and Maritime Powers Legislation Amendment (Resolving the Asylum Legacy Caseload) Bill 2014</w:t>
      </w:r>
      <w:r>
        <w:t xml:space="preserve"> (2014) &lt;</w:t>
      </w:r>
      <w:hyperlink r:id="rId69" w:history="1">
        <w:r w:rsidRPr="007B6B4B">
          <w:rPr>
            <w:rStyle w:val="Hyperlink"/>
          </w:rPr>
          <w:t>http://www.aph.gov.au/Parliamentary_Business/Committees/Senate/Legal_and_Constitutional_Affairs/Asylum_Legacy_Caseload_Bill_2014</w:t>
        </w:r>
      </w:hyperlink>
      <w:r>
        <w:t>&gt;.</w:t>
      </w:r>
    </w:p>
  </w:endnote>
  <w:endnote w:id="104">
    <w:p w14:paraId="5C6A1BCA" w14:textId="77777777" w:rsidR="00F008D2" w:rsidRDefault="00F008D2" w:rsidP="00442634">
      <w:pPr>
        <w:pStyle w:val="EndnoteText"/>
      </w:pPr>
      <w:r>
        <w:rPr>
          <w:rStyle w:val="EndnoteReference"/>
        </w:rPr>
        <w:endnoteRef/>
      </w:r>
      <w:r>
        <w:t xml:space="preserve"> </w:t>
      </w:r>
      <w:r w:rsidRPr="00ED5BE6">
        <w:t xml:space="preserve">Australian Human Rights Commission, Submission No </w:t>
      </w:r>
      <w:r>
        <w:t xml:space="preserve">163 to </w:t>
      </w:r>
      <w:r w:rsidRPr="00ED5BE6">
        <w:t>Senate Standing Committees on Legal and Constitutional Affairs</w:t>
      </w:r>
      <w:r>
        <w:t xml:space="preserve">, </w:t>
      </w:r>
      <w:r w:rsidRPr="00ED5BE6">
        <w:rPr>
          <w:i/>
        </w:rPr>
        <w:t>Inquiry into the</w:t>
      </w:r>
      <w:r w:rsidRPr="00ED5BE6">
        <w:t xml:space="preserve"> </w:t>
      </w:r>
      <w:r w:rsidRPr="00F87AE5">
        <w:rPr>
          <w:i/>
        </w:rPr>
        <w:t>Migration and Maritime Powers Legislation Amendment (Resolving the Asylum Legacy Caseload) Bill 2014</w:t>
      </w:r>
      <w:r>
        <w:t>, 31 October 2014, 5 [9] &lt;</w:t>
      </w:r>
      <w:hyperlink r:id="rId70" w:history="1">
        <w:r w:rsidRPr="007B6B4B">
          <w:rPr>
            <w:rStyle w:val="Hyperlink"/>
          </w:rPr>
          <w:t>http://www.aph.gov.au/Parliamentary_Business/Committees/Senate/Legal_and_Constitutional_Affairs/Asylum_Legacy_Caseload_Bill_2014/Submissions</w:t>
        </w:r>
      </w:hyperlink>
      <w:r>
        <w:t>&gt;.</w:t>
      </w:r>
    </w:p>
  </w:endnote>
  <w:endnote w:id="105">
    <w:p w14:paraId="6DB9067F" w14:textId="77777777" w:rsidR="00F008D2" w:rsidRDefault="00F008D2" w:rsidP="00442634">
      <w:pPr>
        <w:pStyle w:val="EndnoteText"/>
      </w:pPr>
      <w:r>
        <w:rPr>
          <w:rStyle w:val="EndnoteReference"/>
        </w:rPr>
        <w:endnoteRef/>
      </w:r>
      <w:r>
        <w:t xml:space="preserve"> </w:t>
      </w:r>
      <w:r w:rsidRPr="00ED5BE6">
        <w:t xml:space="preserve">Australian Human Rights Commission, Submission No </w:t>
      </w:r>
      <w:r>
        <w:t xml:space="preserve">163 to </w:t>
      </w:r>
      <w:r w:rsidRPr="00ED5BE6">
        <w:t>Senate Standing Committees on Legal and Constitutional Affairs</w:t>
      </w:r>
      <w:r>
        <w:t xml:space="preserve">, </w:t>
      </w:r>
      <w:r w:rsidRPr="00ED5BE6">
        <w:rPr>
          <w:i/>
        </w:rPr>
        <w:t>Inquiry into the</w:t>
      </w:r>
      <w:r w:rsidRPr="00ED5BE6">
        <w:t xml:space="preserve"> </w:t>
      </w:r>
      <w:r w:rsidRPr="00F87AE5">
        <w:rPr>
          <w:i/>
        </w:rPr>
        <w:t>Migration and Maritime Powers Legislation Amendment (Resolving the Asylum Legacy Caseload) Bill 2014</w:t>
      </w:r>
      <w:r>
        <w:t>, 31 October 2014, 4 [3(e)] &lt;</w:t>
      </w:r>
      <w:hyperlink r:id="rId71" w:history="1">
        <w:r w:rsidRPr="007B6B4B">
          <w:rPr>
            <w:rStyle w:val="Hyperlink"/>
          </w:rPr>
          <w:t>http://www.aph.gov.au/Parliamentary_Business/Committees/Senate/Legal_and_Constitutional_Affairs/Asylum_Legacy_Caseload_Bill_2014/Submissions</w:t>
        </w:r>
      </w:hyperlink>
      <w:r>
        <w:t>&gt;.</w:t>
      </w:r>
    </w:p>
  </w:endnote>
  <w:endnote w:id="106">
    <w:p w14:paraId="6E3B287A" w14:textId="77777777" w:rsidR="00F008D2" w:rsidRDefault="00F008D2" w:rsidP="00442634">
      <w:pPr>
        <w:pStyle w:val="EndnoteText"/>
      </w:pPr>
      <w:r>
        <w:rPr>
          <w:rStyle w:val="EndnoteReference"/>
        </w:rPr>
        <w:endnoteRef/>
      </w:r>
      <w:r>
        <w:t xml:space="preserve"> </w:t>
      </w:r>
      <w:r w:rsidRPr="00680739">
        <w:t>Senate Standing Committees on Legal and Constitutional Affairs, Parliament of Australia</w:t>
      </w:r>
      <w:r w:rsidRPr="00537C25">
        <w:rPr>
          <w:i/>
        </w:rPr>
        <w:t>, Migration and Maritime Powers Legislation Amendment (Resolving the Asylum Legacy Caseload) Bill 2014 [Provisions]</w:t>
      </w:r>
      <w:r>
        <w:rPr>
          <w:i/>
        </w:rPr>
        <w:t xml:space="preserve"> </w:t>
      </w:r>
      <w:r>
        <w:t>(2014) 40-41, [3.74], [3.76]–[3.77] &lt;</w:t>
      </w:r>
      <w:hyperlink r:id="rId72" w:history="1">
        <w:r w:rsidRPr="007B6B4B">
          <w:rPr>
            <w:rStyle w:val="Hyperlink"/>
          </w:rPr>
          <w:t>http://www.aph.gov.au/Parliamentary_Business/Committees/Senate/Legal_and_Constitutional_Affairs/Asylum_Legacy_Caseload_Bill_2014/Report</w:t>
        </w:r>
      </w:hyperlink>
      <w:r>
        <w:t xml:space="preserve">&gt;. </w:t>
      </w:r>
    </w:p>
  </w:endnote>
  <w:endnote w:id="107">
    <w:p w14:paraId="6E8CB15A" w14:textId="77777777" w:rsidR="00F008D2" w:rsidRDefault="00F008D2" w:rsidP="00442634">
      <w:pPr>
        <w:pStyle w:val="EndnoteText"/>
      </w:pPr>
      <w:r>
        <w:rPr>
          <w:rStyle w:val="EndnoteReference"/>
        </w:rPr>
        <w:endnoteRef/>
      </w:r>
      <w:r>
        <w:t xml:space="preserve"> </w:t>
      </w:r>
      <w:r w:rsidRPr="00680739">
        <w:t>Senate Standing Committees on Legal and Constitutional Affairs, Parliament of Australia</w:t>
      </w:r>
      <w:r w:rsidRPr="00537C25">
        <w:rPr>
          <w:i/>
        </w:rPr>
        <w:t>, Migration and Maritime Powers Legislation Amendment (Resolving the Asylum Legacy Caseload) Bill 2014 [Provisions]</w:t>
      </w:r>
      <w:r>
        <w:rPr>
          <w:i/>
        </w:rPr>
        <w:t xml:space="preserve"> </w:t>
      </w:r>
      <w:r>
        <w:t>(2014) 43 &lt;</w:t>
      </w:r>
      <w:hyperlink r:id="rId73" w:history="1">
        <w:r w:rsidRPr="007B6B4B">
          <w:rPr>
            <w:rStyle w:val="Hyperlink"/>
          </w:rPr>
          <w:t>http://www.aph.gov.au/Parliamentary_Business/Committees/Senate/Legal_and_Constitutional_Affairs/Asylum_Legacy_Caseload_Bill_2014/Report</w:t>
        </w:r>
      </w:hyperlink>
      <w:r>
        <w:t xml:space="preserve">&gt;. </w:t>
      </w:r>
    </w:p>
  </w:endnote>
  <w:endnote w:id="108">
    <w:p w14:paraId="267CAC3A" w14:textId="77777777" w:rsidR="00F008D2" w:rsidRDefault="00F008D2" w:rsidP="00442634">
      <w:pPr>
        <w:pStyle w:val="EndnoteText"/>
      </w:pPr>
      <w:r>
        <w:rPr>
          <w:rStyle w:val="EndnoteReference"/>
        </w:rPr>
        <w:endnoteRef/>
      </w:r>
      <w:r>
        <w:t xml:space="preserve"> </w:t>
      </w:r>
      <w:r w:rsidRPr="00680739">
        <w:t>Senate Standing Committees on Legal and Constitutional Affairs, Parliament of Australia</w:t>
      </w:r>
      <w:r w:rsidRPr="00537C25">
        <w:rPr>
          <w:i/>
        </w:rPr>
        <w:t>, Migration and Maritime Powers Legislation Amendment (Resolving the Asylum Legacy Caseload) Bill 2014 [Provisions]</w:t>
      </w:r>
      <w:r>
        <w:rPr>
          <w:i/>
        </w:rPr>
        <w:t xml:space="preserve"> </w:t>
      </w:r>
      <w:r>
        <w:t>(2014) 53 &lt;</w:t>
      </w:r>
      <w:hyperlink r:id="rId74" w:history="1">
        <w:r w:rsidRPr="007B6B4B">
          <w:rPr>
            <w:rStyle w:val="Hyperlink"/>
          </w:rPr>
          <w:t>http://www.aph.gov.au/Parliamentary_Business/Committees/Senate/Legal_and_Constitutional_Affairs/Asylum_Legacy_Caseload_Bill_2014/Report</w:t>
        </w:r>
      </w:hyperlink>
      <w:r>
        <w:t xml:space="preserve">&gt;. </w:t>
      </w:r>
    </w:p>
  </w:endnote>
  <w:endnote w:id="109">
    <w:p w14:paraId="17E80184" w14:textId="77777777" w:rsidR="00F008D2" w:rsidRDefault="00F008D2" w:rsidP="00442634">
      <w:pPr>
        <w:pStyle w:val="EndnoteText"/>
      </w:pPr>
      <w:r>
        <w:rPr>
          <w:rStyle w:val="EndnoteReference"/>
        </w:rPr>
        <w:endnoteRef/>
      </w:r>
      <w:r>
        <w:t xml:space="preserve"> </w:t>
      </w:r>
      <w:r w:rsidRPr="00680739">
        <w:t>Senate Standing Committees on Legal and Constitutional Affairs, Parliament of Australia</w:t>
      </w:r>
      <w:r w:rsidRPr="00537C25">
        <w:rPr>
          <w:i/>
        </w:rPr>
        <w:t>, Migration and Maritime Powers Legislation Amendment (Resolving the Asylum Legacy Caseload) Bill 2014 [Provisions]</w:t>
      </w:r>
      <w:r>
        <w:rPr>
          <w:i/>
        </w:rPr>
        <w:t xml:space="preserve"> </w:t>
      </w:r>
      <w:r>
        <w:t>(2014) 59 [1.39] &lt;</w:t>
      </w:r>
      <w:hyperlink r:id="rId75" w:history="1">
        <w:r w:rsidRPr="007B6B4B">
          <w:rPr>
            <w:rStyle w:val="Hyperlink"/>
          </w:rPr>
          <w:t>http://www.aph.gov.au/Parliamentary_Business/Committees/Senate/Legal_and_Constitutional_Affairs/Asylum_Legacy_Caseload_Bill_2014/Report</w:t>
        </w:r>
      </w:hyperlink>
      <w:r>
        <w:t xml:space="preserve">&gt;. </w:t>
      </w:r>
    </w:p>
  </w:endnote>
  <w:endnote w:id="110">
    <w:p w14:paraId="3A8EF3A1" w14:textId="77777777" w:rsidR="00F008D2" w:rsidRDefault="00F008D2" w:rsidP="00442634">
      <w:pPr>
        <w:pStyle w:val="EndnoteText"/>
      </w:pPr>
      <w:r>
        <w:rPr>
          <w:rStyle w:val="EndnoteReference"/>
        </w:rPr>
        <w:endnoteRef/>
      </w:r>
      <w:r>
        <w:t xml:space="preserve"> </w:t>
      </w:r>
      <w:r w:rsidRPr="00F87AE5">
        <w:t xml:space="preserve">Parliamentary Joint Committee on Human Rights, Parliament of Australia, </w:t>
      </w:r>
      <w:r>
        <w:rPr>
          <w:i/>
        </w:rPr>
        <w:t>Fourteenth</w:t>
      </w:r>
      <w:r w:rsidRPr="00F87AE5">
        <w:rPr>
          <w:i/>
        </w:rPr>
        <w:t xml:space="preserve"> Report of the 44th Parliament</w:t>
      </w:r>
      <w:r w:rsidRPr="00F87AE5">
        <w:t xml:space="preserve"> (201</w:t>
      </w:r>
      <w:r>
        <w:t>4</w:t>
      </w:r>
      <w:r w:rsidRPr="00F87AE5">
        <w:t>)</w:t>
      </w:r>
      <w:r>
        <w:t xml:space="preserve"> 89 [1.417].</w:t>
      </w:r>
    </w:p>
  </w:endnote>
  <w:endnote w:id="111">
    <w:p w14:paraId="192536B1" w14:textId="77777777" w:rsidR="00F008D2" w:rsidRDefault="00F008D2" w:rsidP="00442634">
      <w:pPr>
        <w:pStyle w:val="EndnoteText"/>
      </w:pPr>
      <w:r>
        <w:rPr>
          <w:rStyle w:val="EndnoteReference"/>
        </w:rPr>
        <w:endnoteRef/>
      </w:r>
      <w:r>
        <w:t xml:space="preserve"> </w:t>
      </w:r>
      <w:r w:rsidRPr="00F87AE5">
        <w:t xml:space="preserve">Parliamentary Joint Committee on Human Rights, Parliament of Australia, </w:t>
      </w:r>
      <w:r>
        <w:rPr>
          <w:i/>
        </w:rPr>
        <w:t>Fourteenth</w:t>
      </w:r>
      <w:r w:rsidRPr="00F87AE5">
        <w:rPr>
          <w:i/>
        </w:rPr>
        <w:t xml:space="preserve"> Report of the 44th Parliament</w:t>
      </w:r>
      <w:r w:rsidRPr="00F87AE5">
        <w:t xml:space="preserve"> (201</w:t>
      </w:r>
      <w:r>
        <w:t>4</w:t>
      </w:r>
      <w:r w:rsidRPr="00F87AE5">
        <w:t>)</w:t>
      </w:r>
      <w:r>
        <w:t xml:space="preserve"> 90 [1.421].</w:t>
      </w:r>
    </w:p>
  </w:endnote>
  <w:endnote w:id="112">
    <w:p w14:paraId="43AFD78D" w14:textId="77777777" w:rsidR="00F008D2" w:rsidRDefault="00F008D2" w:rsidP="00442634">
      <w:pPr>
        <w:pStyle w:val="EndnoteText"/>
      </w:pPr>
      <w:r>
        <w:rPr>
          <w:rStyle w:val="EndnoteReference"/>
        </w:rPr>
        <w:endnoteRef/>
      </w:r>
      <w:r>
        <w:t xml:space="preserve"> Parliament of Australia, </w:t>
      </w:r>
      <w:r w:rsidRPr="00941EA7">
        <w:rPr>
          <w:i/>
        </w:rPr>
        <w:t>Migration and Maritime Powers Legislation Amendment (Resolving the Asylum Legacy Caseload) Bill 2014: Bill Progress</w:t>
      </w:r>
      <w:r>
        <w:t xml:space="preserve"> (2014) &lt;</w:t>
      </w:r>
      <w:hyperlink r:id="rId76" w:history="1">
        <w:r w:rsidRPr="007B6B4B">
          <w:rPr>
            <w:rStyle w:val="Hyperlink"/>
          </w:rPr>
          <w:t>http://www.aph.gov.au/Parliamentary_Business/Bills_Legislation/Bills_Search_Results/Result?bId=r5346</w:t>
        </w:r>
      </w:hyperlink>
      <w:r>
        <w:t>&gt;.</w:t>
      </w:r>
    </w:p>
  </w:endnote>
  <w:endnote w:id="113">
    <w:p w14:paraId="4BED1F5A"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Pr>
          <w:i/>
        </w:rPr>
        <w:t>Twenty-fourth</w:t>
      </w:r>
      <w:r w:rsidRPr="00246A31">
        <w:rPr>
          <w:i/>
        </w:rPr>
        <w:t xml:space="preserve"> Report of the 44th Parliament</w:t>
      </w:r>
      <w:r>
        <w:t xml:space="preserve"> (2015) 25.</w:t>
      </w:r>
    </w:p>
  </w:endnote>
  <w:endnote w:id="114">
    <w:p w14:paraId="62D8A572"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Pr>
          <w:i/>
        </w:rPr>
        <w:t>Twenty-fourth</w:t>
      </w:r>
      <w:r w:rsidRPr="00246A31">
        <w:rPr>
          <w:i/>
        </w:rPr>
        <w:t xml:space="preserve"> Report of the 44th Parliament</w:t>
      </w:r>
      <w:r>
        <w:t xml:space="preserve"> (2015) 26 [2.7]–[2.8].</w:t>
      </w:r>
    </w:p>
  </w:endnote>
  <w:endnote w:id="115">
    <w:p w14:paraId="2C4FF9E1"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Pr>
          <w:i/>
        </w:rPr>
        <w:t>Twenty-fourth</w:t>
      </w:r>
      <w:r w:rsidRPr="00246A31">
        <w:rPr>
          <w:i/>
        </w:rPr>
        <w:t xml:space="preserve"> Report of the 44th Parliament</w:t>
      </w:r>
      <w:r>
        <w:t xml:space="preserve"> (2015) 26 [2.7]–[2.8].</w:t>
      </w:r>
    </w:p>
  </w:endnote>
  <w:endnote w:id="116">
    <w:p w14:paraId="1332030F"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Pr>
          <w:i/>
        </w:rPr>
        <w:t>Twenty-fourth</w:t>
      </w:r>
      <w:r w:rsidRPr="00246A31">
        <w:rPr>
          <w:i/>
        </w:rPr>
        <w:t xml:space="preserve"> Report of the 44th Parliament</w:t>
      </w:r>
      <w:r>
        <w:t xml:space="preserve"> (2015) 26 [2.8].</w:t>
      </w:r>
    </w:p>
  </w:endnote>
  <w:endnote w:id="117">
    <w:p w14:paraId="00AC1385" w14:textId="77777777" w:rsidR="00F008D2" w:rsidRDefault="00F008D2" w:rsidP="00442634">
      <w:pPr>
        <w:pStyle w:val="EndnoteText"/>
      </w:pPr>
      <w:r>
        <w:rPr>
          <w:rStyle w:val="EndnoteReference"/>
        </w:rPr>
        <w:endnoteRef/>
      </w:r>
      <w:r>
        <w:t xml:space="preserve"> Parliament of Australia, </w:t>
      </w:r>
      <w:r>
        <w:rPr>
          <w:i/>
        </w:rPr>
        <w:t xml:space="preserve">Inquiry into </w:t>
      </w:r>
      <w:r w:rsidRPr="001C7A0D">
        <w:rPr>
          <w:i/>
        </w:rPr>
        <w:t>Australian Citizenship and Other Legislation Amendment Bill 2014</w:t>
      </w:r>
      <w:r>
        <w:t xml:space="preserve"> (2014) &lt;</w:t>
      </w:r>
      <w:hyperlink r:id="rId77" w:history="1">
        <w:r w:rsidRPr="00D46964">
          <w:rPr>
            <w:rStyle w:val="Hyperlink"/>
          </w:rPr>
          <w:t>http://www.aph.gov.au/Parliamentary_Business/Committees/Senate/Legal_and_Constitutional_Affairs/Australian_Citizenship</w:t>
        </w:r>
      </w:hyperlink>
      <w:r>
        <w:t>&gt;.</w:t>
      </w:r>
    </w:p>
  </w:endnote>
  <w:endnote w:id="118">
    <w:p w14:paraId="64758A37" w14:textId="77777777" w:rsidR="00F008D2" w:rsidRDefault="00F008D2" w:rsidP="00442634">
      <w:pPr>
        <w:pStyle w:val="EndnoteText"/>
      </w:pPr>
      <w:r>
        <w:rPr>
          <w:rStyle w:val="EndnoteReference"/>
        </w:rPr>
        <w:endnoteRef/>
      </w:r>
      <w:r>
        <w:t xml:space="preserve"> </w:t>
      </w:r>
      <w:r w:rsidRPr="001C7A0D">
        <w:t xml:space="preserve">Australian Human Rights Commission, </w:t>
      </w:r>
      <w:r>
        <w:t xml:space="preserve">Submission No 4 to </w:t>
      </w:r>
      <w:r w:rsidRPr="001C7A0D">
        <w:t>Senate Legal and Constitutional Affairs</w:t>
      </w:r>
      <w:r>
        <w:t xml:space="preserve"> Legislation Committee, </w:t>
      </w:r>
      <w:r w:rsidRPr="001C7A0D">
        <w:rPr>
          <w:i/>
        </w:rPr>
        <w:t>Inquiry into the Australian Citizenship and Other Legislation Amendment Bill 2014</w:t>
      </w:r>
      <w:r>
        <w:t>, 6 November 2014, 5 [15] &lt;</w:t>
      </w:r>
      <w:hyperlink r:id="rId78" w:history="1">
        <w:r w:rsidRPr="007B6B4B">
          <w:rPr>
            <w:rStyle w:val="Hyperlink"/>
          </w:rPr>
          <w:t>http://www.aph.gov.au/Parliamentary_Business/Committees/Senate/Legal_and_Constitutional_Affairs/Australian_Citizenship/Submissions</w:t>
        </w:r>
      </w:hyperlink>
      <w:r>
        <w:t>&gt;.</w:t>
      </w:r>
    </w:p>
  </w:endnote>
  <w:endnote w:id="119">
    <w:p w14:paraId="0C4442F7" w14:textId="77777777" w:rsidR="00F008D2" w:rsidRDefault="00F008D2" w:rsidP="00442634">
      <w:pPr>
        <w:pStyle w:val="EndnoteText"/>
      </w:pPr>
      <w:r>
        <w:rPr>
          <w:rStyle w:val="EndnoteReference"/>
        </w:rPr>
        <w:endnoteRef/>
      </w:r>
      <w:r>
        <w:t xml:space="preserve"> </w:t>
      </w:r>
      <w:r w:rsidRPr="001C7A0D">
        <w:t xml:space="preserve">Australian Human Rights Commission, </w:t>
      </w:r>
      <w:r>
        <w:t xml:space="preserve">Submission No 4 to </w:t>
      </w:r>
      <w:r w:rsidRPr="001C7A0D">
        <w:t>Senate Legal and Constitutional Affairs</w:t>
      </w:r>
      <w:r>
        <w:t xml:space="preserve"> Legislation Committee, </w:t>
      </w:r>
      <w:r w:rsidRPr="001C7A0D">
        <w:rPr>
          <w:i/>
        </w:rPr>
        <w:t>Inquiry into the Australian Citizenship and Other Legislation Amendment Bill 2014</w:t>
      </w:r>
      <w:r>
        <w:t>, 6 November 2014, 5 [15] &lt;</w:t>
      </w:r>
      <w:hyperlink r:id="rId79" w:history="1">
        <w:r w:rsidRPr="007B6B4B">
          <w:rPr>
            <w:rStyle w:val="Hyperlink"/>
          </w:rPr>
          <w:t>http://www.aph.gov.au/Parliamentary_Business/Committees/Senate/Legal_and_Constitutional_Affairs/Australian_Citizenship/Submissions</w:t>
        </w:r>
      </w:hyperlink>
      <w:r>
        <w:t>&gt;.</w:t>
      </w:r>
    </w:p>
  </w:endnote>
  <w:endnote w:id="120">
    <w:p w14:paraId="31C9BAA6" w14:textId="77777777" w:rsidR="00F008D2" w:rsidRDefault="00F008D2" w:rsidP="00442634">
      <w:pPr>
        <w:pStyle w:val="EndnoteText"/>
      </w:pPr>
      <w:r>
        <w:rPr>
          <w:rStyle w:val="EndnoteReference"/>
        </w:rPr>
        <w:endnoteRef/>
      </w:r>
      <w:r>
        <w:t xml:space="preserve"> </w:t>
      </w:r>
      <w:r w:rsidRPr="001C7A0D">
        <w:t>Senate Legal and Constitutional Affairs</w:t>
      </w:r>
      <w:r>
        <w:t xml:space="preserve"> Legislation Committee, </w:t>
      </w:r>
      <w:r w:rsidRPr="0029419A">
        <w:t xml:space="preserve">Parliament of Australia, </w:t>
      </w:r>
      <w:r w:rsidRPr="001C7A0D">
        <w:rPr>
          <w:i/>
        </w:rPr>
        <w:t xml:space="preserve">Australian Citizenship and Other Legislation Amendment </w:t>
      </w:r>
      <w:r w:rsidRPr="00680739">
        <w:rPr>
          <w:i/>
        </w:rPr>
        <w:t>Bill 2014 [Provisions]</w:t>
      </w:r>
      <w:r w:rsidRPr="00C94E80">
        <w:t xml:space="preserve"> </w:t>
      </w:r>
      <w:r>
        <w:t>(2015) 42 &lt;</w:t>
      </w:r>
      <w:hyperlink r:id="rId80" w:history="1">
        <w:r w:rsidRPr="00D46964">
          <w:rPr>
            <w:rStyle w:val="Hyperlink"/>
          </w:rPr>
          <w:t>http://www.aph.gov.au/Parliamentary_Business/Committees/Senate/Legal_and_Constitutional_Affairs/Australian_Citizenship/Report</w:t>
        </w:r>
      </w:hyperlink>
      <w:r>
        <w:t>&gt;.</w:t>
      </w:r>
    </w:p>
  </w:endnote>
  <w:endnote w:id="121">
    <w:p w14:paraId="230A3FA2" w14:textId="77777777" w:rsidR="00F008D2" w:rsidRDefault="00F008D2" w:rsidP="00442634">
      <w:pPr>
        <w:pStyle w:val="EndnoteText"/>
      </w:pPr>
      <w:r>
        <w:rPr>
          <w:rStyle w:val="EndnoteReference"/>
        </w:rPr>
        <w:endnoteRef/>
      </w:r>
      <w:r>
        <w:t xml:space="preserve"> </w:t>
      </w:r>
      <w:r w:rsidRPr="001C7A0D">
        <w:t>Senate Legal and Constitutional Affairs</w:t>
      </w:r>
      <w:r>
        <w:t xml:space="preserve"> Legislation Committee, </w:t>
      </w:r>
      <w:r w:rsidRPr="0029419A">
        <w:t xml:space="preserve">Parliament of Australia, </w:t>
      </w:r>
      <w:r w:rsidRPr="001C7A0D">
        <w:rPr>
          <w:i/>
        </w:rPr>
        <w:t xml:space="preserve">Australian Citizenship and Other Legislation Amendment Bill </w:t>
      </w:r>
      <w:r w:rsidRPr="00680739">
        <w:rPr>
          <w:i/>
        </w:rPr>
        <w:t>2014 [Provisions]</w:t>
      </w:r>
      <w:r w:rsidRPr="00C94E80">
        <w:t xml:space="preserve"> </w:t>
      </w:r>
      <w:r>
        <w:t>(2015) 42 [3.70] &lt;</w:t>
      </w:r>
      <w:hyperlink r:id="rId81" w:history="1">
        <w:r w:rsidRPr="00D46964">
          <w:rPr>
            <w:rStyle w:val="Hyperlink"/>
          </w:rPr>
          <w:t>http://www.aph.gov.au/Parliamentary_Business/Committees/Senate/Legal_and_Constitutional_Affairs/Australian_Citizenship/Report</w:t>
        </w:r>
      </w:hyperlink>
      <w:r>
        <w:t>&gt;.</w:t>
      </w:r>
    </w:p>
  </w:endnote>
  <w:endnote w:id="122">
    <w:p w14:paraId="5B37EEB6" w14:textId="77777777" w:rsidR="00F008D2" w:rsidRDefault="00F008D2" w:rsidP="00442634">
      <w:pPr>
        <w:pStyle w:val="EndnoteText"/>
      </w:pPr>
      <w:r>
        <w:rPr>
          <w:rStyle w:val="EndnoteReference"/>
        </w:rPr>
        <w:endnoteRef/>
      </w:r>
      <w:r>
        <w:t xml:space="preserve"> </w:t>
      </w:r>
      <w:r w:rsidRPr="00C94E80">
        <w:t xml:space="preserve">Parliamentary Joint Committee on Human Rights, Parliament of Australia, </w:t>
      </w:r>
      <w:r w:rsidRPr="00C94E80">
        <w:rPr>
          <w:i/>
        </w:rPr>
        <w:t>Twenty-fourth Report of the 44th Parliament</w:t>
      </w:r>
      <w:r w:rsidRPr="00C94E80">
        <w:t xml:space="preserve"> (2015) 2</w:t>
      </w:r>
      <w:r>
        <w:t>7 [2.7].</w:t>
      </w:r>
    </w:p>
  </w:endnote>
  <w:endnote w:id="123">
    <w:p w14:paraId="0BCD9330" w14:textId="77777777" w:rsidR="00F008D2" w:rsidRDefault="00F008D2" w:rsidP="00442634">
      <w:pPr>
        <w:pStyle w:val="EndnoteText"/>
      </w:pPr>
      <w:r>
        <w:rPr>
          <w:rStyle w:val="EndnoteReference"/>
        </w:rPr>
        <w:endnoteRef/>
      </w:r>
      <w:r>
        <w:t xml:space="preserve"> </w:t>
      </w:r>
      <w:r w:rsidRPr="00C94E80">
        <w:t xml:space="preserve">Parliamentary Joint Committee on Human Rights, Parliament of Australia, </w:t>
      </w:r>
      <w:r w:rsidRPr="00C94E80">
        <w:rPr>
          <w:i/>
        </w:rPr>
        <w:t>Twenty-fourth Report of the 44th Parliament</w:t>
      </w:r>
      <w:r w:rsidRPr="00C94E80">
        <w:t xml:space="preserve"> (2015) </w:t>
      </w:r>
      <w:r>
        <w:t xml:space="preserve">30 [2.28]–[2.29]. </w:t>
      </w:r>
    </w:p>
  </w:endnote>
  <w:endnote w:id="124">
    <w:p w14:paraId="68944E75" w14:textId="77777777" w:rsidR="00F008D2" w:rsidRDefault="00F008D2" w:rsidP="00442634">
      <w:pPr>
        <w:pStyle w:val="EndnoteText"/>
      </w:pPr>
      <w:r>
        <w:rPr>
          <w:rStyle w:val="EndnoteReference"/>
        </w:rPr>
        <w:endnoteRef/>
      </w:r>
      <w:r>
        <w:t xml:space="preserve"> </w:t>
      </w:r>
      <w:r w:rsidRPr="004052D2">
        <w:t>Parliament of Australia,</w:t>
      </w:r>
      <w:r>
        <w:t xml:space="preserve"> </w:t>
      </w:r>
      <w:r w:rsidRPr="004052D2">
        <w:rPr>
          <w:i/>
        </w:rPr>
        <w:t>Australian Citizenship and Other Legislation Amendment Bill 2014</w:t>
      </w:r>
      <w:r w:rsidRPr="00F87AE5">
        <w:rPr>
          <w:i/>
        </w:rPr>
        <w:t>: Bill Progress</w:t>
      </w:r>
      <w:r>
        <w:t xml:space="preserve"> (2014) &lt;</w:t>
      </w:r>
      <w:hyperlink r:id="rId82" w:history="1">
        <w:r w:rsidRPr="00D46964">
          <w:rPr>
            <w:rStyle w:val="Hyperlink"/>
          </w:rPr>
          <w:t>http://www.aph.gov.au/Parliamentary_Business/Bills_LEGislation/Bills_Search_Results/Result?bId=r5181</w:t>
        </w:r>
      </w:hyperlink>
      <w:r>
        <w:t>&gt;.</w:t>
      </w:r>
    </w:p>
  </w:endnote>
  <w:endnote w:id="125">
    <w:p w14:paraId="49E51774" w14:textId="77777777" w:rsidR="00F008D2" w:rsidRDefault="00F008D2" w:rsidP="000C7937">
      <w:pPr>
        <w:pStyle w:val="EndnoteText"/>
      </w:pPr>
      <w:r>
        <w:rPr>
          <w:rStyle w:val="EndnoteReference"/>
        </w:rPr>
        <w:endnoteRef/>
      </w:r>
      <w:r>
        <w:t xml:space="preserve"> </w:t>
      </w:r>
      <w:r w:rsidRPr="00941EA7">
        <w:t xml:space="preserve">Parliamentary Joint Committee on Human Rights, Parliament of Australia, </w:t>
      </w:r>
      <w:r>
        <w:rPr>
          <w:i/>
        </w:rPr>
        <w:t>Twenty-third</w:t>
      </w:r>
      <w:r w:rsidRPr="00941EA7">
        <w:rPr>
          <w:i/>
        </w:rPr>
        <w:t xml:space="preserve"> Report of the 44th Parliament</w:t>
      </w:r>
      <w:r w:rsidRPr="00941EA7">
        <w:t xml:space="preserve"> (2015) </w:t>
      </w:r>
      <w:r>
        <w:t xml:space="preserve">44. </w:t>
      </w:r>
    </w:p>
  </w:endnote>
  <w:endnote w:id="126">
    <w:p w14:paraId="74C1927B" w14:textId="77777777" w:rsidR="00F008D2" w:rsidRDefault="00F008D2" w:rsidP="000C7937">
      <w:pPr>
        <w:pStyle w:val="EndnoteText"/>
      </w:pPr>
      <w:r>
        <w:rPr>
          <w:rStyle w:val="EndnoteReference"/>
        </w:rPr>
        <w:endnoteRef/>
      </w:r>
      <w:r>
        <w:t xml:space="preserve"> </w:t>
      </w:r>
      <w:r w:rsidRPr="00941EA7">
        <w:t xml:space="preserve">Parliamentary Joint Committee on Human Rights, Parliament of Australia, </w:t>
      </w:r>
      <w:r>
        <w:rPr>
          <w:i/>
        </w:rPr>
        <w:t>Twenty-third</w:t>
      </w:r>
      <w:r w:rsidRPr="00941EA7">
        <w:rPr>
          <w:i/>
        </w:rPr>
        <w:t xml:space="preserve"> Report of the 44th Parliament</w:t>
      </w:r>
      <w:r w:rsidRPr="00941EA7">
        <w:t xml:space="preserve"> (2015) </w:t>
      </w:r>
      <w:r>
        <w:t>45 [2.151].</w:t>
      </w:r>
    </w:p>
  </w:endnote>
  <w:endnote w:id="127">
    <w:p w14:paraId="411D749E" w14:textId="77777777" w:rsidR="00F008D2" w:rsidRDefault="00F008D2" w:rsidP="000C7937">
      <w:pPr>
        <w:pStyle w:val="EndnoteText"/>
      </w:pPr>
      <w:r>
        <w:rPr>
          <w:rStyle w:val="EndnoteReference"/>
        </w:rPr>
        <w:endnoteRef/>
      </w:r>
      <w:r>
        <w:t xml:space="preserve"> </w:t>
      </w:r>
      <w:r w:rsidRPr="00F87AE5">
        <w:t xml:space="preserve">Parliamentary Joint Committee on Human Rights, Parliament of Australia, </w:t>
      </w:r>
      <w:r>
        <w:rPr>
          <w:i/>
        </w:rPr>
        <w:t>Sixteenth</w:t>
      </w:r>
      <w:r w:rsidRPr="00F87AE5">
        <w:rPr>
          <w:i/>
        </w:rPr>
        <w:t xml:space="preserve"> Report of the 44th Parliament</w:t>
      </w:r>
      <w:r w:rsidRPr="00F87AE5">
        <w:t xml:space="preserve"> (201</w:t>
      </w:r>
      <w:r>
        <w:t>4</w:t>
      </w:r>
      <w:r w:rsidRPr="00F87AE5">
        <w:t>)</w:t>
      </w:r>
      <w:r>
        <w:t xml:space="preserve"> 24 [1.97].</w:t>
      </w:r>
    </w:p>
  </w:endnote>
  <w:endnote w:id="128">
    <w:p w14:paraId="220F95A9" w14:textId="77777777" w:rsidR="00F008D2" w:rsidRDefault="00F008D2" w:rsidP="000C7937">
      <w:pPr>
        <w:pStyle w:val="EndnoteText"/>
      </w:pPr>
      <w:r>
        <w:rPr>
          <w:rStyle w:val="EndnoteReference"/>
        </w:rPr>
        <w:endnoteRef/>
      </w:r>
      <w:r>
        <w:t xml:space="preserve"> </w:t>
      </w:r>
      <w:r w:rsidRPr="004052D2">
        <w:t>Parliament of Australia,</w:t>
      </w:r>
      <w:r>
        <w:t xml:space="preserve"> </w:t>
      </w:r>
      <w:r w:rsidRPr="00E23F36">
        <w:rPr>
          <w:i/>
        </w:rPr>
        <w:t xml:space="preserve">Telecommunications Legislation Amendment (Deregulation) Bill 2014: Bill Progress </w:t>
      </w:r>
      <w:r>
        <w:t>(2014) &lt;</w:t>
      </w:r>
      <w:hyperlink r:id="rId83" w:history="1">
        <w:r w:rsidRPr="007B6B4B">
          <w:rPr>
            <w:rStyle w:val="Hyperlink"/>
          </w:rPr>
          <w:t>http://www.aph.gov.au/Parliamentary_Business/Bills_LEGislation/Bills_Search_Results/Result?bId=r5367</w:t>
        </w:r>
      </w:hyperlink>
      <w:r>
        <w:t>&gt;.</w:t>
      </w:r>
    </w:p>
  </w:endnote>
  <w:endnote w:id="129">
    <w:p w14:paraId="4AED3A14" w14:textId="77777777" w:rsidR="00F008D2" w:rsidRDefault="00F008D2" w:rsidP="000C7937">
      <w:pPr>
        <w:pStyle w:val="EndnoteText"/>
      </w:pPr>
      <w:r>
        <w:rPr>
          <w:rStyle w:val="EndnoteReference"/>
        </w:rPr>
        <w:endnoteRef/>
      </w:r>
      <w:r>
        <w:t xml:space="preserve"> </w:t>
      </w:r>
      <w:r w:rsidRPr="00941EA7">
        <w:t xml:space="preserve">Parliamentary Joint Committee on Human Rights, Parliament of Australia, </w:t>
      </w:r>
      <w:r>
        <w:rPr>
          <w:i/>
        </w:rPr>
        <w:t>Twenty-third</w:t>
      </w:r>
      <w:r w:rsidRPr="00941EA7">
        <w:rPr>
          <w:i/>
        </w:rPr>
        <w:t xml:space="preserve"> Report of the 44th Parliament</w:t>
      </w:r>
      <w:r w:rsidRPr="00941EA7">
        <w:t xml:space="preserve"> (2015) </w:t>
      </w:r>
      <w:r>
        <w:t>48 [2.163].</w:t>
      </w:r>
    </w:p>
  </w:endnote>
  <w:endnote w:id="130">
    <w:p w14:paraId="09D9E843" w14:textId="77777777" w:rsidR="00F008D2" w:rsidRDefault="00F008D2" w:rsidP="000C7937">
      <w:pPr>
        <w:pStyle w:val="EndnoteText"/>
      </w:pPr>
      <w:r>
        <w:rPr>
          <w:rStyle w:val="EndnoteReference"/>
        </w:rPr>
        <w:endnoteRef/>
      </w:r>
      <w:r>
        <w:t xml:space="preserve"> </w:t>
      </w:r>
      <w:r w:rsidRPr="00941EA7">
        <w:t xml:space="preserve">Parliamentary Joint Committee on Human Rights, Parliament of Australia, </w:t>
      </w:r>
      <w:r>
        <w:rPr>
          <w:i/>
        </w:rPr>
        <w:t>Twenty-third</w:t>
      </w:r>
      <w:r w:rsidRPr="00941EA7">
        <w:rPr>
          <w:i/>
        </w:rPr>
        <w:t xml:space="preserve"> Report of the 44th Parliament</w:t>
      </w:r>
      <w:r w:rsidRPr="00941EA7">
        <w:t xml:space="preserve"> (2015) </w:t>
      </w:r>
      <w:r>
        <w:t>48 [2.163].</w:t>
      </w:r>
    </w:p>
  </w:endnote>
  <w:endnote w:id="131">
    <w:p w14:paraId="1C92DD49" w14:textId="77777777" w:rsidR="00F008D2" w:rsidRDefault="00F008D2" w:rsidP="00442634">
      <w:pPr>
        <w:pStyle w:val="EndnoteText"/>
      </w:pPr>
      <w:r>
        <w:rPr>
          <w:rStyle w:val="EndnoteReference"/>
        </w:rPr>
        <w:endnoteRef/>
      </w:r>
      <w:r>
        <w:t xml:space="preserve"> Parliament of Australia, </w:t>
      </w:r>
      <w:r w:rsidRPr="0029419A">
        <w:rPr>
          <w:i/>
        </w:rPr>
        <w:t xml:space="preserve">Migration Amendment (Strengthening Biometrics Integrity) Bill </w:t>
      </w:r>
      <w:r w:rsidRPr="000E430C">
        <w:rPr>
          <w:i/>
        </w:rPr>
        <w:t>2015: Bill Progress</w:t>
      </w:r>
      <w:r>
        <w:t xml:space="preserve"> (2015) &lt;</w:t>
      </w:r>
      <w:hyperlink r:id="rId84" w:history="1">
        <w:r w:rsidRPr="00D46964">
          <w:rPr>
            <w:rStyle w:val="Hyperlink"/>
          </w:rPr>
          <w:t>http://www.aph.gov.au/Parliamentary_Business/Bills_LEGislation/Bills_Search_Results/Result?bId=r5421</w:t>
        </w:r>
      </w:hyperlink>
      <w:r>
        <w:t>&gt;.</w:t>
      </w:r>
    </w:p>
  </w:endnote>
  <w:endnote w:id="132">
    <w:p w14:paraId="493FF9E2"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Pr>
          <w:i/>
        </w:rPr>
        <w:t>Twenty-fifth</w:t>
      </w:r>
      <w:r w:rsidRPr="00246A31">
        <w:rPr>
          <w:i/>
        </w:rPr>
        <w:t xml:space="preserve"> Report of the 44th Parliament</w:t>
      </w:r>
      <w:r>
        <w:t xml:space="preserve"> (2015) 90 [2.78].</w:t>
      </w:r>
    </w:p>
  </w:endnote>
  <w:endnote w:id="133">
    <w:p w14:paraId="36622E11"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Pr>
          <w:i/>
        </w:rPr>
        <w:t>Twenty-fifth</w:t>
      </w:r>
      <w:r w:rsidRPr="00246A31">
        <w:rPr>
          <w:i/>
        </w:rPr>
        <w:t xml:space="preserve"> Report of the 44th Parliament</w:t>
      </w:r>
      <w:r>
        <w:t xml:space="preserve"> (2015) 82 [2.44]. </w:t>
      </w:r>
    </w:p>
  </w:endnote>
  <w:endnote w:id="134">
    <w:p w14:paraId="6F8E0948" w14:textId="77777777" w:rsidR="00F008D2" w:rsidRDefault="00F008D2" w:rsidP="00442634">
      <w:pPr>
        <w:pStyle w:val="EndnoteText"/>
      </w:pPr>
      <w:r>
        <w:rPr>
          <w:rStyle w:val="EndnoteReference"/>
        </w:rPr>
        <w:endnoteRef/>
      </w:r>
      <w:r>
        <w:t xml:space="preserve"> </w:t>
      </w:r>
      <w:r w:rsidRPr="00343FC9">
        <w:t>Senate Legal and Constitutional Affairs</w:t>
      </w:r>
      <w:r>
        <w:t xml:space="preserve"> Legislation Committee, Parliament of Australia, </w:t>
      </w:r>
      <w:r w:rsidRPr="0029419A">
        <w:rPr>
          <w:i/>
        </w:rPr>
        <w:t>Migration Amendment (Strengthening Biometrics Integrity) Bill 2015 [Provisions]</w:t>
      </w:r>
      <w:r>
        <w:t xml:space="preserve"> (2015) 1, [1.1] &lt;</w:t>
      </w:r>
      <w:hyperlink r:id="rId85" w:history="1">
        <w:r w:rsidRPr="00D46964">
          <w:rPr>
            <w:rStyle w:val="Hyperlink"/>
          </w:rPr>
          <w:t>http://www.aph.gov.au/Parliamentary_Business/Committees/Senate/Legal_and_Constitutional_Affairs/Biometrics/Report</w:t>
        </w:r>
      </w:hyperlink>
      <w:r>
        <w:t>&gt;.</w:t>
      </w:r>
    </w:p>
  </w:endnote>
  <w:endnote w:id="135">
    <w:p w14:paraId="3706F775" w14:textId="77777777" w:rsidR="00F008D2" w:rsidRDefault="00F008D2" w:rsidP="00442634">
      <w:pPr>
        <w:pStyle w:val="EndnoteText"/>
      </w:pPr>
      <w:r>
        <w:rPr>
          <w:rStyle w:val="EndnoteReference"/>
        </w:rPr>
        <w:endnoteRef/>
      </w:r>
      <w:r>
        <w:t xml:space="preserve"> </w:t>
      </w:r>
      <w:r w:rsidRPr="0029419A">
        <w:t>Senate Legal and Constitutional Affairs</w:t>
      </w:r>
      <w:r>
        <w:t xml:space="preserve"> Legislation Committee</w:t>
      </w:r>
      <w:r w:rsidRPr="0029419A">
        <w:t xml:space="preserve">, Parliament of Australia, </w:t>
      </w:r>
      <w:r w:rsidRPr="0029419A">
        <w:rPr>
          <w:i/>
        </w:rPr>
        <w:t>Migration Amendment (Strengthening Biometrics Integrity) Bill 2015 [Provisions]</w:t>
      </w:r>
      <w:r w:rsidRPr="0029419A">
        <w:t xml:space="preserve"> (2015) </w:t>
      </w:r>
      <w:r>
        <w:t>24</w:t>
      </w:r>
      <w:r w:rsidRPr="0029419A">
        <w:t>, [</w:t>
      </w:r>
      <w:r>
        <w:t>2.60</w:t>
      </w:r>
      <w:r w:rsidRPr="0029419A">
        <w:t>] &lt;</w:t>
      </w:r>
      <w:hyperlink r:id="rId86" w:history="1">
        <w:r w:rsidRPr="0029419A">
          <w:rPr>
            <w:rStyle w:val="Hyperlink"/>
          </w:rPr>
          <w:t>http://www.aph.gov.au/Parliamentary_Business/Committees/Senate/Legal_and_Constitutional_Affairs/Biometrics/Report</w:t>
        </w:r>
      </w:hyperlink>
      <w:r w:rsidRPr="0029419A">
        <w:t>&gt;.</w:t>
      </w:r>
    </w:p>
  </w:endnote>
  <w:endnote w:id="136">
    <w:p w14:paraId="2150175A" w14:textId="77777777" w:rsidR="00F008D2" w:rsidRDefault="00F008D2" w:rsidP="00442634">
      <w:pPr>
        <w:pStyle w:val="EndnoteText"/>
      </w:pPr>
      <w:r>
        <w:rPr>
          <w:rStyle w:val="EndnoteReference"/>
        </w:rPr>
        <w:endnoteRef/>
      </w:r>
      <w:r>
        <w:t xml:space="preserve"> </w:t>
      </w:r>
      <w:r w:rsidRPr="0029419A">
        <w:t>Senate Legal and Constitutional Affairs</w:t>
      </w:r>
      <w:r>
        <w:t xml:space="preserve"> Legislation Committee</w:t>
      </w:r>
      <w:r w:rsidRPr="0029419A">
        <w:t xml:space="preserve">, Parliament of Australia, </w:t>
      </w:r>
      <w:r w:rsidRPr="0029419A">
        <w:rPr>
          <w:i/>
        </w:rPr>
        <w:t>Migration Amendment (Strengthening Biometrics Integrity) Bill 2015 [Provisions]</w:t>
      </w:r>
      <w:r w:rsidRPr="0029419A">
        <w:t xml:space="preserve"> (2015) </w:t>
      </w:r>
      <w:r>
        <w:t>23</w:t>
      </w:r>
      <w:r w:rsidRPr="0029419A">
        <w:t>, [</w:t>
      </w:r>
      <w:r>
        <w:t xml:space="preserve">2.55]–[2.56]. </w:t>
      </w:r>
      <w:r w:rsidRPr="0029419A">
        <w:t>&lt;</w:t>
      </w:r>
      <w:hyperlink r:id="rId87" w:history="1">
        <w:r w:rsidRPr="0029419A">
          <w:rPr>
            <w:rStyle w:val="Hyperlink"/>
          </w:rPr>
          <w:t>http://www.aph.gov.au/Parliamentary_Business/Committees/Senate/Legal_and_Constitutional_Affairs/Biometrics/Report</w:t>
        </w:r>
      </w:hyperlink>
      <w:r w:rsidRPr="0029419A">
        <w:t>&gt;.</w:t>
      </w:r>
      <w:r>
        <w:t xml:space="preserve"> </w:t>
      </w:r>
    </w:p>
  </w:endnote>
  <w:endnote w:id="137">
    <w:p w14:paraId="189C94FD" w14:textId="77777777" w:rsidR="00F008D2" w:rsidRDefault="00F008D2" w:rsidP="00442634">
      <w:pPr>
        <w:pStyle w:val="EndnoteText"/>
      </w:pPr>
      <w:r>
        <w:rPr>
          <w:rStyle w:val="EndnoteReference"/>
        </w:rPr>
        <w:endnoteRef/>
      </w:r>
      <w:r>
        <w:t xml:space="preserve"> </w:t>
      </w:r>
      <w:r w:rsidRPr="00771215">
        <w:t>Senate Legal and Constitutional Affairs</w:t>
      </w:r>
      <w:r>
        <w:t xml:space="preserve"> Legislation Committee</w:t>
      </w:r>
      <w:r w:rsidRPr="00771215">
        <w:t xml:space="preserve">, Parliament of Australia, </w:t>
      </w:r>
      <w:r w:rsidRPr="00771215">
        <w:rPr>
          <w:i/>
        </w:rPr>
        <w:t>Migration Amendment (Strengthening Biometrics Integrity) Bill 2015 [Provisions]</w:t>
      </w:r>
      <w:r w:rsidRPr="00771215">
        <w:t xml:space="preserve"> (2015) 2</w:t>
      </w:r>
      <w:r>
        <w:t>7</w:t>
      </w:r>
      <w:r w:rsidRPr="00771215">
        <w:t>, [</w:t>
      </w:r>
      <w:r>
        <w:t>1.14</w:t>
      </w:r>
      <w:r w:rsidRPr="00771215">
        <w:t>]. &lt;</w:t>
      </w:r>
      <w:hyperlink r:id="rId88" w:history="1">
        <w:r w:rsidRPr="00771215">
          <w:rPr>
            <w:rStyle w:val="Hyperlink"/>
          </w:rPr>
          <w:t>http://www.aph.gov.au/Parliamentary_Business/Committees/Senate/Legal_and_Constitutional_Affairs/Biometrics/Report</w:t>
        </w:r>
      </w:hyperlink>
      <w:r w:rsidRPr="00771215">
        <w:t xml:space="preserve">&gt;. </w:t>
      </w:r>
    </w:p>
  </w:endnote>
  <w:endnote w:id="138">
    <w:p w14:paraId="4A0C77B7"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Pr>
          <w:i/>
        </w:rPr>
        <w:t>Twenty-fifth</w:t>
      </w:r>
      <w:r w:rsidRPr="00246A31">
        <w:rPr>
          <w:i/>
        </w:rPr>
        <w:t xml:space="preserve"> Report of the 44th Parliament</w:t>
      </w:r>
      <w:r>
        <w:t xml:space="preserve"> (2015) 93 [2.89]. </w:t>
      </w:r>
    </w:p>
  </w:endnote>
  <w:endnote w:id="139">
    <w:p w14:paraId="5B597E19" w14:textId="77777777" w:rsidR="00F008D2" w:rsidRDefault="00F008D2" w:rsidP="00442634">
      <w:pPr>
        <w:pStyle w:val="EndnoteText"/>
      </w:pPr>
      <w:r>
        <w:rPr>
          <w:rStyle w:val="EndnoteReference"/>
        </w:rPr>
        <w:endnoteRef/>
      </w:r>
      <w:r>
        <w:t xml:space="preserve"> </w:t>
      </w:r>
      <w:r w:rsidRPr="00DD1C18">
        <w:t>Parliamentary Joint Committee on Human Rights</w:t>
      </w:r>
      <w:r>
        <w:t xml:space="preserve">, Parliament of Australia, </w:t>
      </w:r>
      <w:r>
        <w:rPr>
          <w:i/>
        </w:rPr>
        <w:t>Twenty-fifth</w:t>
      </w:r>
      <w:r w:rsidRPr="00246A31">
        <w:rPr>
          <w:i/>
        </w:rPr>
        <w:t xml:space="preserve"> Report of the 44th Parliament</w:t>
      </w:r>
      <w:r>
        <w:t xml:space="preserve"> (2015) 93 [2.88]. </w:t>
      </w:r>
    </w:p>
  </w:endnote>
  <w:endnote w:id="140">
    <w:p w14:paraId="13475E06" w14:textId="77777777" w:rsidR="00F008D2" w:rsidRDefault="00F008D2" w:rsidP="00442634">
      <w:pPr>
        <w:pStyle w:val="EndnoteText"/>
      </w:pPr>
      <w:r>
        <w:rPr>
          <w:rStyle w:val="EndnoteReference"/>
        </w:rPr>
        <w:endnoteRef/>
      </w:r>
      <w:r>
        <w:t xml:space="preserve"> Parliament of Australia, </w:t>
      </w:r>
      <w:r w:rsidRPr="0029419A">
        <w:rPr>
          <w:i/>
        </w:rPr>
        <w:t>Migration Amendment (Strengthening Biometrics Integrity) Bill 2015</w:t>
      </w:r>
      <w:r w:rsidRPr="00F87AE5">
        <w:rPr>
          <w:i/>
        </w:rPr>
        <w:t>: Bill Progress</w:t>
      </w:r>
      <w:r w:rsidRPr="00FE641E">
        <w:t xml:space="preserve"> </w:t>
      </w:r>
      <w:r>
        <w:t>(2015) &lt;</w:t>
      </w:r>
      <w:hyperlink r:id="rId89" w:history="1">
        <w:r w:rsidRPr="00D46964">
          <w:rPr>
            <w:rStyle w:val="Hyperlink"/>
          </w:rPr>
          <w:t>http://www.aph.gov.au/Parliamentary_Business/Bills_LEGislation/Bills_Search_Results/Result?bId=r5421</w:t>
        </w:r>
      </w:hyperlink>
      <w:r>
        <w:t>&gt;.</w:t>
      </w:r>
    </w:p>
  </w:endnote>
  <w:endnote w:id="141">
    <w:p w14:paraId="3259AFB0" w14:textId="77777777" w:rsidR="00F008D2" w:rsidRDefault="00F008D2" w:rsidP="00442634">
      <w:pPr>
        <w:pStyle w:val="EndnoteText"/>
      </w:pPr>
      <w:r>
        <w:rPr>
          <w:rStyle w:val="EndnoteReference"/>
        </w:rPr>
        <w:endnoteRef/>
      </w:r>
      <w:r w:rsidRPr="00E23F36">
        <w:t xml:space="preserve"> </w:t>
      </w:r>
      <w:r w:rsidRPr="00F87AE5">
        <w:t xml:space="preserve">Parliamentary Joint Committee on Human Rights, Parliament of Australia, </w:t>
      </w:r>
      <w:r w:rsidRPr="00F87AE5">
        <w:rPr>
          <w:i/>
        </w:rPr>
        <w:t>Nineteenth Report of the 44th Parliament</w:t>
      </w:r>
      <w:r w:rsidRPr="00F87AE5">
        <w:t xml:space="preserve"> (2015) </w:t>
      </w:r>
      <w:r>
        <w:t xml:space="preserve">56. </w:t>
      </w:r>
    </w:p>
  </w:endnote>
  <w:endnote w:id="142">
    <w:p w14:paraId="35B5D146" w14:textId="77777777" w:rsidR="00F008D2" w:rsidRDefault="00F008D2" w:rsidP="00442634">
      <w:pPr>
        <w:pStyle w:val="EndnoteText"/>
      </w:pPr>
      <w:r>
        <w:rPr>
          <w:rStyle w:val="EndnoteReference"/>
        </w:rPr>
        <w:endnoteRef/>
      </w:r>
      <w:r>
        <w:t xml:space="preserve"> </w:t>
      </w:r>
      <w:r w:rsidRPr="00F87AE5">
        <w:t xml:space="preserve">Parliamentary Joint Committee on Human Rights, Parliament of Australia, </w:t>
      </w:r>
      <w:r w:rsidRPr="00F87AE5">
        <w:rPr>
          <w:i/>
        </w:rPr>
        <w:t>Nineteenth Report of the 44th Parliament</w:t>
      </w:r>
      <w:r w:rsidRPr="00F87AE5">
        <w:t xml:space="preserve"> (2015</w:t>
      </w:r>
      <w:r>
        <w:t>) 57 [1.248].</w:t>
      </w:r>
    </w:p>
  </w:endnote>
  <w:endnote w:id="143">
    <w:p w14:paraId="1B2A3835" w14:textId="77777777" w:rsidR="00F008D2" w:rsidRDefault="00F008D2" w:rsidP="00442634">
      <w:pPr>
        <w:pStyle w:val="EndnoteText"/>
      </w:pPr>
      <w:r>
        <w:rPr>
          <w:rStyle w:val="EndnoteReference"/>
        </w:rPr>
        <w:endnoteRef/>
      </w:r>
      <w:r>
        <w:t xml:space="preserve"> </w:t>
      </w:r>
      <w:r w:rsidRPr="004052D2">
        <w:t>Parliament of</w:t>
      </w:r>
      <w:r>
        <w:t xml:space="preserve"> </w:t>
      </w:r>
      <w:r w:rsidRPr="004052D2">
        <w:t>Australia,</w:t>
      </w:r>
      <w:r>
        <w:t xml:space="preserve"> </w:t>
      </w:r>
      <w:r w:rsidRPr="00E23F36">
        <w:rPr>
          <w:i/>
        </w:rPr>
        <w:t>Inquiry into Counter-Terrorism Legislation Amendment (Foreign Fighters) Bill 2014</w:t>
      </w:r>
      <w:r>
        <w:t xml:space="preserve"> (2014), &lt;</w:t>
      </w:r>
      <w:hyperlink r:id="rId90" w:history="1">
        <w:r w:rsidRPr="007B6B4B">
          <w:rPr>
            <w:rStyle w:val="Hyperlink"/>
          </w:rPr>
          <w:t>http://www.aph.gov.au/Parliamentary_Business/Committees/Joint/Intelligence_and_Security/Counter-Terrorism_Legislation_Amendment_Foreign_Fighters_Bill_2014</w:t>
        </w:r>
      </w:hyperlink>
      <w:r>
        <w:t xml:space="preserve">&gt;. </w:t>
      </w:r>
    </w:p>
  </w:endnote>
  <w:endnote w:id="144">
    <w:p w14:paraId="3DBB118F" w14:textId="77777777" w:rsidR="00F008D2" w:rsidRDefault="00F008D2" w:rsidP="00442634">
      <w:pPr>
        <w:pStyle w:val="EndnoteText"/>
      </w:pPr>
      <w:r>
        <w:rPr>
          <w:rStyle w:val="EndnoteReference"/>
        </w:rPr>
        <w:endnoteRef/>
      </w:r>
      <w:r>
        <w:t xml:space="preserve"> </w:t>
      </w:r>
      <w:r w:rsidRPr="00ED5BE6">
        <w:t xml:space="preserve">Australian Human Rights Commission, Submission No </w:t>
      </w:r>
      <w:r>
        <w:t xml:space="preserve">7 to </w:t>
      </w:r>
      <w:r w:rsidRPr="00E23F36">
        <w:t>Parliamentary Joint Committee on Intelligence and Security</w:t>
      </w:r>
      <w:r>
        <w:t xml:space="preserve">, </w:t>
      </w:r>
      <w:r w:rsidRPr="00E23F36">
        <w:rPr>
          <w:i/>
        </w:rPr>
        <w:t>Inquiry into the Counter-Terrorism Legislation Amendment (Foreign Fighters) Bill 2014</w:t>
      </w:r>
      <w:r>
        <w:t>,</w:t>
      </w:r>
      <w:r w:rsidRPr="00E23F36">
        <w:t xml:space="preserve"> </w:t>
      </w:r>
      <w:r>
        <w:t>2 October 2014, 19 [94] &lt;</w:t>
      </w:r>
      <w:hyperlink r:id="rId91" w:history="1">
        <w:r w:rsidRPr="007B6B4B">
          <w:rPr>
            <w:rStyle w:val="Hyperlink"/>
          </w:rPr>
          <w:t>http://www.aph.gov.au/Parliamentary_Business/Committees/Joint/Intelligence_and_Security/Counter-Terrorism_Legislation_Amendment_Foreign_Fighters_Bill_2014/Submissions</w:t>
        </w:r>
      </w:hyperlink>
      <w:r>
        <w:t>&gt;.</w:t>
      </w:r>
    </w:p>
  </w:endnote>
  <w:endnote w:id="145">
    <w:p w14:paraId="4C9D7FA7" w14:textId="77777777" w:rsidR="00F008D2" w:rsidRDefault="00F008D2" w:rsidP="00442634">
      <w:pPr>
        <w:pStyle w:val="EndnoteText"/>
      </w:pPr>
      <w:r>
        <w:rPr>
          <w:rStyle w:val="EndnoteReference"/>
        </w:rPr>
        <w:endnoteRef/>
      </w:r>
      <w:r>
        <w:t xml:space="preserve"> </w:t>
      </w:r>
      <w:r w:rsidRPr="00ED5BE6">
        <w:t xml:space="preserve">Australian Human Rights Commission, Submission No </w:t>
      </w:r>
      <w:r>
        <w:t xml:space="preserve">7 to </w:t>
      </w:r>
      <w:r w:rsidRPr="00E23F36">
        <w:t>Parliamentary Joint Committee on Intelligence and Security</w:t>
      </w:r>
      <w:r>
        <w:t xml:space="preserve">, </w:t>
      </w:r>
      <w:r w:rsidRPr="00E23F36">
        <w:rPr>
          <w:i/>
        </w:rPr>
        <w:t>Inquiry into the Counter-Terrorism Legislation Amendment (Foreign Fighters) Bill 2014</w:t>
      </w:r>
      <w:r>
        <w:t>,</w:t>
      </w:r>
      <w:r w:rsidRPr="00E23F36">
        <w:t xml:space="preserve"> </w:t>
      </w:r>
      <w:r>
        <w:t>2 October 2014, 19 [94] &lt;</w:t>
      </w:r>
      <w:hyperlink r:id="rId92" w:history="1">
        <w:r w:rsidRPr="007B6B4B">
          <w:rPr>
            <w:rStyle w:val="Hyperlink"/>
          </w:rPr>
          <w:t>http://www.aph.gov.au/Parliamentary_Business/Committees/Joint/Intelligence_and_Security/Counter-Terrorism_Legislation_Amendment_Foreign_Fighters_Bill_2014/Submissions</w:t>
        </w:r>
      </w:hyperlink>
      <w:r>
        <w:t>&gt;.</w:t>
      </w:r>
    </w:p>
  </w:endnote>
  <w:endnote w:id="146">
    <w:p w14:paraId="5137084D" w14:textId="77777777" w:rsidR="00F008D2" w:rsidRDefault="00F008D2" w:rsidP="00442634">
      <w:pPr>
        <w:pStyle w:val="EndnoteText"/>
      </w:pPr>
      <w:r>
        <w:rPr>
          <w:rStyle w:val="EndnoteReference"/>
        </w:rPr>
        <w:endnoteRef/>
      </w:r>
      <w:r>
        <w:t xml:space="preserve"> </w:t>
      </w:r>
      <w:r w:rsidRPr="00673E06">
        <w:t>Parliamentary Joint Committee on Intelligence and Security</w:t>
      </w:r>
      <w:r>
        <w:t xml:space="preserve">, </w:t>
      </w:r>
      <w:r w:rsidRPr="00F87AE5">
        <w:t xml:space="preserve">Parliament of Australia, </w:t>
      </w:r>
      <w:r w:rsidRPr="000E430C">
        <w:rPr>
          <w:i/>
        </w:rPr>
        <w:t>Advisory Report on the Counter-Terrorism Legislation Amendment (Foreign Fighters) Bill 2014</w:t>
      </w:r>
      <w:r w:rsidRPr="00673E06">
        <w:t xml:space="preserve"> </w:t>
      </w:r>
      <w:r>
        <w:t>(2014) 153 &lt;</w:t>
      </w:r>
      <w:hyperlink r:id="rId93" w:history="1">
        <w:r w:rsidRPr="007B6B4B">
          <w:rPr>
            <w:rStyle w:val="Hyperlink"/>
          </w:rPr>
          <w:t>http://www.aph.gov.au/Parliamentary_Business/Committees/Joint/Intelligence_and_Security/Counter-Terrorism_Legislation_Amendment_Foreign_Fighters_Bill_2014/Report1</w:t>
        </w:r>
      </w:hyperlink>
      <w:r>
        <w:t xml:space="preserve">&gt;. </w:t>
      </w:r>
    </w:p>
  </w:endnote>
  <w:endnote w:id="147">
    <w:p w14:paraId="47465B9F" w14:textId="77777777" w:rsidR="00F008D2" w:rsidRDefault="00F008D2" w:rsidP="00442634">
      <w:pPr>
        <w:pStyle w:val="EndnoteText"/>
      </w:pPr>
      <w:r>
        <w:rPr>
          <w:rStyle w:val="EndnoteReference"/>
        </w:rPr>
        <w:endnoteRef/>
      </w:r>
      <w:r>
        <w:t xml:space="preserve"> </w:t>
      </w:r>
      <w:r w:rsidRPr="004052D2">
        <w:t>Parliament of Australia,</w:t>
      </w:r>
      <w:r>
        <w:t xml:space="preserve"> </w:t>
      </w:r>
      <w:r w:rsidRPr="00673E06">
        <w:rPr>
          <w:i/>
        </w:rPr>
        <w:t>Counter-Terrorism Legislation Amendment (Foreign Fighters) Bill 2014: Bill Progress</w:t>
      </w:r>
      <w:r>
        <w:t xml:space="preserve"> (2014) &lt;</w:t>
      </w:r>
      <w:hyperlink r:id="rId94" w:history="1">
        <w:r w:rsidRPr="007B6B4B">
          <w:rPr>
            <w:rStyle w:val="Hyperlink"/>
          </w:rPr>
          <w:t>http://www.aph.gov.au/Parliamentary_Business/Bills_LEGislation/Bills_Search_Results/Result?bId=s976</w:t>
        </w:r>
      </w:hyperlink>
      <w:r>
        <w:t>&gt;.</w:t>
      </w:r>
    </w:p>
  </w:endnote>
  <w:endnote w:id="148">
    <w:p w14:paraId="7135C0F2" w14:textId="77777777" w:rsidR="00F008D2" w:rsidRDefault="00F008D2" w:rsidP="00442634">
      <w:pPr>
        <w:pStyle w:val="EndnoteText"/>
      </w:pPr>
      <w:r>
        <w:rPr>
          <w:rStyle w:val="EndnoteReference"/>
        </w:rPr>
        <w:endnoteRef/>
      </w:r>
      <w:r>
        <w:t xml:space="preserve"> </w:t>
      </w:r>
      <w:r w:rsidRPr="00F87AE5">
        <w:t xml:space="preserve">Parliamentary Joint Committee on Human Rights, Parliament of Australia, </w:t>
      </w:r>
      <w:r w:rsidRPr="00F87AE5">
        <w:rPr>
          <w:i/>
        </w:rPr>
        <w:t>Nineteenth Report of the 44th Parliament</w:t>
      </w:r>
      <w:r w:rsidRPr="00F87AE5">
        <w:t xml:space="preserve"> (2015</w:t>
      </w:r>
      <w:r>
        <w:t>) 94 [1.375].</w:t>
      </w:r>
    </w:p>
  </w:endnote>
  <w:endnote w:id="149">
    <w:p w14:paraId="3637EA1E" w14:textId="77777777" w:rsidR="00F008D2" w:rsidRDefault="00F008D2" w:rsidP="00442634">
      <w:pPr>
        <w:pStyle w:val="EndnoteText"/>
      </w:pPr>
      <w:r>
        <w:rPr>
          <w:rStyle w:val="EndnoteReference"/>
        </w:rPr>
        <w:endnoteRef/>
      </w:r>
      <w:r>
        <w:t xml:space="preserve"> </w:t>
      </w:r>
      <w:r w:rsidRPr="00F87AE5">
        <w:t xml:space="preserve">Parliamentary Joint Committee on Human Rights, Parliament of Australia, </w:t>
      </w:r>
      <w:r w:rsidRPr="00F87AE5">
        <w:rPr>
          <w:i/>
        </w:rPr>
        <w:t>Nineteenth Report of the 44th Parliament</w:t>
      </w:r>
      <w:r w:rsidRPr="00F87AE5">
        <w:t xml:space="preserve"> (2015</w:t>
      </w:r>
      <w:r>
        <w:t>) 94 [1.375].</w:t>
      </w:r>
    </w:p>
  </w:endnote>
  <w:endnote w:id="150">
    <w:p w14:paraId="1A1D5173" w14:textId="77777777" w:rsidR="00F008D2" w:rsidRPr="00927AEE" w:rsidRDefault="00F008D2" w:rsidP="00442634">
      <w:pPr>
        <w:pStyle w:val="EndnoteText"/>
      </w:pPr>
      <w:r>
        <w:rPr>
          <w:rStyle w:val="EndnoteReference"/>
        </w:rPr>
        <w:endnoteRef/>
      </w:r>
      <w:r>
        <w:t xml:space="preserve"> </w:t>
      </w:r>
      <w:r w:rsidRPr="00F87AE5">
        <w:t xml:space="preserve">Parliamentary Joint Committee on Human Rights, Parliament of Australia, </w:t>
      </w:r>
      <w:r w:rsidRPr="00F87AE5">
        <w:rPr>
          <w:i/>
        </w:rPr>
        <w:t xml:space="preserve">Nineteenth Report of the </w:t>
      </w:r>
      <w:r w:rsidRPr="00927AEE">
        <w:rPr>
          <w:i/>
        </w:rPr>
        <w:t>44th Parliament</w:t>
      </w:r>
      <w:r w:rsidRPr="00927AEE">
        <w:t xml:space="preserve"> (2015) 92. </w:t>
      </w:r>
    </w:p>
  </w:endnote>
  <w:endnote w:id="151">
    <w:p w14:paraId="71CA665E" w14:textId="77777777" w:rsidR="00F008D2" w:rsidRPr="00927AEE" w:rsidRDefault="00F008D2" w:rsidP="00442634">
      <w:pPr>
        <w:pStyle w:val="EndnoteText"/>
      </w:pPr>
      <w:r w:rsidRPr="00927AEE">
        <w:rPr>
          <w:rStyle w:val="EndnoteReference"/>
        </w:rPr>
        <w:endnoteRef/>
      </w:r>
      <w:r w:rsidRPr="00927AEE">
        <w:t xml:space="preserve"> </w:t>
      </w:r>
      <w:r w:rsidRPr="00927AEE">
        <w:rPr>
          <w:i/>
          <w:iCs/>
        </w:rPr>
        <w:t>Australian Human Rights Commission Act 1986</w:t>
      </w:r>
      <w:r w:rsidRPr="00927AEE">
        <w:t xml:space="preserve"> (Cth) s 31(j).</w:t>
      </w:r>
    </w:p>
  </w:endnote>
  <w:endnote w:id="152">
    <w:p w14:paraId="7CC609D3" w14:textId="77777777" w:rsidR="00F008D2" w:rsidRPr="00927AEE" w:rsidRDefault="00F008D2" w:rsidP="00442634">
      <w:pPr>
        <w:pStyle w:val="EndnoteText"/>
      </w:pPr>
      <w:r w:rsidRPr="00927AEE">
        <w:rPr>
          <w:rStyle w:val="EndnoteReference"/>
        </w:rPr>
        <w:endnoteRef/>
      </w:r>
      <w:r w:rsidRPr="00927AEE">
        <w:t xml:space="preserve"> </w:t>
      </w:r>
      <w:r w:rsidRPr="00927AEE">
        <w:rPr>
          <w:i/>
          <w:iCs/>
        </w:rPr>
        <w:t>Australian Human Rights Commission Act 1986</w:t>
      </w:r>
      <w:r w:rsidRPr="00927AEE">
        <w:t xml:space="preserve"> (Cth) s 11(1)(o).</w:t>
      </w:r>
    </w:p>
  </w:endnote>
  <w:endnote w:id="153">
    <w:p w14:paraId="5473D039" w14:textId="77777777" w:rsidR="00F008D2" w:rsidRPr="00927AEE" w:rsidRDefault="00F008D2" w:rsidP="00442634">
      <w:pPr>
        <w:pStyle w:val="EndnoteText"/>
      </w:pPr>
      <w:r w:rsidRPr="00927AEE">
        <w:rPr>
          <w:rStyle w:val="EndnoteReference"/>
        </w:rPr>
        <w:endnoteRef/>
      </w:r>
      <w:r w:rsidRPr="00927AEE">
        <w:t xml:space="preserve"> Australian Human Rights Commission, </w:t>
      </w:r>
      <w:r w:rsidRPr="00927AEE">
        <w:rPr>
          <w:i/>
        </w:rPr>
        <w:t>Intervention in court proceedings: The Australian Human Rights Commission Guidelines</w:t>
      </w:r>
      <w:r w:rsidRPr="00927AEE">
        <w:t xml:space="preserve"> (2009)</w:t>
      </w:r>
    </w:p>
    <w:p w14:paraId="7A07FC2F" w14:textId="77777777" w:rsidR="00F008D2" w:rsidRPr="00927AEE" w:rsidRDefault="00F008D2" w:rsidP="00442634">
      <w:pPr>
        <w:pStyle w:val="EndnoteText"/>
      </w:pPr>
      <w:r w:rsidRPr="00927AEE">
        <w:t>&lt;</w:t>
      </w:r>
      <w:hyperlink r:id="rId95" w:history="1">
        <w:r w:rsidRPr="00927AEE">
          <w:rPr>
            <w:rStyle w:val="Hyperlink"/>
          </w:rPr>
          <w:t>https://www.humanrights.gov.au/intervention-court-proceedings-australian-human-rights-commission-guidelines</w:t>
        </w:r>
      </w:hyperlink>
      <w:r w:rsidRPr="00927AEE">
        <w:t>&gt;.</w:t>
      </w:r>
    </w:p>
  </w:endnote>
  <w:endnote w:id="154">
    <w:p w14:paraId="1F62A358" w14:textId="77777777" w:rsidR="00F008D2" w:rsidRPr="00927AEE" w:rsidRDefault="00F008D2" w:rsidP="00442634">
      <w:pPr>
        <w:pStyle w:val="EndnoteText"/>
      </w:pPr>
      <w:r w:rsidRPr="00927AEE">
        <w:rPr>
          <w:rStyle w:val="EndnoteReference"/>
        </w:rPr>
        <w:endnoteRef/>
      </w:r>
      <w:r w:rsidRPr="00927AEE">
        <w:t xml:space="preserve"> </w:t>
      </w:r>
      <w:r w:rsidRPr="00927AEE">
        <w:rPr>
          <w:i/>
        </w:rPr>
        <w:t>Bateman &amp; Kavan</w:t>
      </w:r>
      <w:r w:rsidRPr="00927AEE">
        <w:t xml:space="preserve"> [2014] FCCA 2521, [9].</w:t>
      </w:r>
    </w:p>
  </w:endnote>
  <w:endnote w:id="155">
    <w:p w14:paraId="26211BA5" w14:textId="77777777" w:rsidR="00F008D2" w:rsidRPr="00927AEE" w:rsidRDefault="00F008D2" w:rsidP="00442634">
      <w:pPr>
        <w:pStyle w:val="EndnoteText"/>
      </w:pPr>
      <w:r w:rsidRPr="00927AEE">
        <w:rPr>
          <w:rStyle w:val="EndnoteReference"/>
        </w:rPr>
        <w:endnoteRef/>
      </w:r>
      <w:r w:rsidRPr="00927AEE">
        <w:t xml:space="preserve"> </w:t>
      </w:r>
      <w:r w:rsidRPr="00927AEE">
        <w:rPr>
          <w:i/>
        </w:rPr>
        <w:t>Bateman &amp; Kavan</w:t>
      </w:r>
      <w:r w:rsidRPr="00927AEE">
        <w:t xml:space="preserve"> [2014] FCCA 2521, [9].</w:t>
      </w:r>
    </w:p>
  </w:endnote>
  <w:endnote w:id="156">
    <w:p w14:paraId="5F2E5704" w14:textId="77777777" w:rsidR="00F008D2" w:rsidRPr="00927AEE" w:rsidRDefault="00F008D2" w:rsidP="00442634">
      <w:pPr>
        <w:pStyle w:val="EndnoteText"/>
      </w:pPr>
      <w:r w:rsidRPr="00927AEE">
        <w:rPr>
          <w:rStyle w:val="EndnoteReference"/>
        </w:rPr>
        <w:endnoteRef/>
      </w:r>
      <w:r w:rsidRPr="00927AEE">
        <w:t xml:space="preserve"> </w:t>
      </w:r>
      <w:r w:rsidRPr="00927AEE">
        <w:rPr>
          <w:i/>
        </w:rPr>
        <w:t>Bateman &amp; Kavan</w:t>
      </w:r>
      <w:r w:rsidRPr="00927AEE">
        <w:t xml:space="preserve"> [2014] FCCA 2521, [12].</w:t>
      </w:r>
    </w:p>
  </w:endnote>
  <w:endnote w:id="157">
    <w:p w14:paraId="0FCD18A3" w14:textId="77777777" w:rsidR="00F008D2" w:rsidRPr="00927AEE" w:rsidRDefault="00F008D2" w:rsidP="00442634">
      <w:pPr>
        <w:pStyle w:val="EndnoteText"/>
      </w:pPr>
      <w:r w:rsidRPr="00927AEE">
        <w:rPr>
          <w:rStyle w:val="EndnoteReference"/>
        </w:rPr>
        <w:endnoteRef/>
      </w:r>
      <w:r w:rsidRPr="00927AEE">
        <w:t xml:space="preserve"> </w:t>
      </w:r>
      <w:r w:rsidRPr="00927AEE">
        <w:rPr>
          <w:i/>
        </w:rPr>
        <w:t>Bateman &amp; Kavan</w:t>
      </w:r>
      <w:r w:rsidRPr="00927AEE">
        <w:t xml:space="preserve"> [2014] FCCA 2521, [81]–[92].</w:t>
      </w:r>
    </w:p>
  </w:endnote>
  <w:endnote w:id="158">
    <w:p w14:paraId="4A36D312" w14:textId="77777777" w:rsidR="00F008D2" w:rsidRDefault="00F008D2" w:rsidP="00442634">
      <w:pPr>
        <w:pStyle w:val="EndnoteText"/>
      </w:pPr>
      <w:r w:rsidRPr="00927AEE">
        <w:rPr>
          <w:rStyle w:val="EndnoteReference"/>
        </w:rPr>
        <w:endnoteRef/>
      </w:r>
      <w:r w:rsidRPr="00927AEE">
        <w:t xml:space="preserve"> Parliamentary Joint Committee on Human Rights, Parliament</w:t>
      </w:r>
      <w:r w:rsidRPr="00CB7BF8">
        <w:t xml:space="preserve"> of Australia, </w:t>
      </w:r>
      <w:r w:rsidRPr="00CB7BF8">
        <w:rPr>
          <w:i/>
        </w:rPr>
        <w:t>Guidance Note 1 - Drafting Statements of Compatibility</w:t>
      </w:r>
      <w:r w:rsidRPr="00CB7BF8">
        <w:t xml:space="preserve"> (2014) 3</w:t>
      </w:r>
      <w:r>
        <w:t xml:space="preserve"> &lt;</w:t>
      </w:r>
      <w:hyperlink r:id="rId96" w:history="1">
        <w:r w:rsidRPr="007B6B4B">
          <w:rPr>
            <w:rStyle w:val="Hyperlink"/>
          </w:rPr>
          <w:t>http://www.aph.gov.au/Parliamentary_Business/Committees/Joint/Human_Rights/Guidance_Notes_and_Resources</w:t>
        </w:r>
      </w:hyperlink>
      <w:r>
        <w:t>&gt;.</w:t>
      </w:r>
    </w:p>
  </w:endnote>
  <w:endnote w:id="159">
    <w:p w14:paraId="344C39AC" w14:textId="77777777" w:rsidR="00F008D2" w:rsidRDefault="00F008D2" w:rsidP="00442634">
      <w:pPr>
        <w:pStyle w:val="EndnoteText"/>
      </w:pPr>
      <w:r>
        <w:rPr>
          <w:rStyle w:val="EndnoteReference"/>
        </w:rPr>
        <w:endnoteRef/>
      </w:r>
      <w:r>
        <w:t xml:space="preserve"> </w:t>
      </w:r>
      <w:r w:rsidRPr="00CB7BF8">
        <w:t xml:space="preserve">Parliamentary Joint Committee on Human Rights, Parliament of Australia, </w:t>
      </w:r>
      <w:r w:rsidRPr="00CB7BF8">
        <w:rPr>
          <w:i/>
        </w:rPr>
        <w:t>Guidance Note 1 - Drafting Statements of Compatibility</w:t>
      </w:r>
      <w:r w:rsidRPr="00CB7BF8">
        <w:t xml:space="preserve"> (2014) 3</w:t>
      </w:r>
      <w:r>
        <w:t xml:space="preserve"> &lt;</w:t>
      </w:r>
      <w:hyperlink r:id="rId97" w:history="1">
        <w:r w:rsidRPr="007B6B4B">
          <w:rPr>
            <w:rStyle w:val="Hyperlink"/>
          </w:rPr>
          <w:t>http://www.aph.gov.au/Parliamentary_Business/Committees/Joint/Human_Rights/Guidance_Notes_and_Resources</w:t>
        </w:r>
      </w:hyperlink>
      <w:r>
        <w:t>&gt;.</w:t>
      </w:r>
    </w:p>
  </w:endnote>
  <w:endnote w:id="160">
    <w:p w14:paraId="6B4D570B" w14:textId="77777777" w:rsidR="00F008D2" w:rsidRPr="005B2362" w:rsidRDefault="00F008D2" w:rsidP="00AA3994">
      <w:pPr>
        <w:spacing w:before="0" w:after="0"/>
        <w:rPr>
          <w:rFonts w:cs="Arial"/>
          <w:sz w:val="20"/>
          <w:szCs w:val="20"/>
        </w:rPr>
      </w:pPr>
      <w:r w:rsidRPr="005B2362">
        <w:rPr>
          <w:rStyle w:val="EndnoteReference"/>
          <w:rFonts w:cs="Arial"/>
          <w:szCs w:val="20"/>
        </w:rPr>
        <w:endnoteRef/>
      </w:r>
      <w:r w:rsidRPr="005B2362">
        <w:rPr>
          <w:rFonts w:cs="Arial"/>
          <w:sz w:val="20"/>
          <w:szCs w:val="20"/>
        </w:rPr>
        <w:t xml:space="preserve"> Office of the Children’s Commissioner and Amplify,</w:t>
      </w:r>
      <w:r w:rsidRPr="005B2362">
        <w:rPr>
          <w:rFonts w:cs="Arial"/>
          <w:i/>
          <w:sz w:val="20"/>
          <w:szCs w:val="20"/>
        </w:rPr>
        <w:t xml:space="preserve"> Children, young people and the commercial world</w:t>
      </w:r>
      <w:r w:rsidRPr="005B2362">
        <w:rPr>
          <w:rFonts w:cs="Arial"/>
          <w:sz w:val="20"/>
          <w:szCs w:val="20"/>
        </w:rPr>
        <w:t xml:space="preserve"> (2011) 3.</w:t>
      </w:r>
    </w:p>
  </w:endnote>
  <w:endnote w:id="161">
    <w:p w14:paraId="11113FDA" w14:textId="77777777" w:rsidR="00F008D2" w:rsidRPr="005B2362" w:rsidRDefault="00F008D2" w:rsidP="00AA3994">
      <w:pPr>
        <w:pStyle w:val="EndnoteText"/>
        <w:rPr>
          <w:rFonts w:cs="Arial"/>
        </w:rPr>
      </w:pPr>
      <w:r w:rsidRPr="005B2362">
        <w:rPr>
          <w:rStyle w:val="EndnoteReference"/>
          <w:rFonts w:cs="Arial"/>
        </w:rPr>
        <w:endnoteRef/>
      </w:r>
      <w:r>
        <w:rPr>
          <w:rFonts w:cs="Arial"/>
        </w:rPr>
        <w:t xml:space="preserve"> Committee o</w:t>
      </w:r>
      <w:r w:rsidRPr="005B2362">
        <w:rPr>
          <w:rFonts w:cs="Arial"/>
        </w:rPr>
        <w:t xml:space="preserve">n the Rights of the Child, </w:t>
      </w:r>
      <w:r w:rsidRPr="005B2362">
        <w:rPr>
          <w:rFonts w:cs="Arial"/>
          <w:i/>
        </w:rPr>
        <w:t>General Comment No.16 on State obligations regarding the impact of the business sector on children’s rights</w:t>
      </w:r>
      <w:r w:rsidRPr="005B2362">
        <w:rPr>
          <w:rFonts w:cs="Arial"/>
        </w:rPr>
        <w:t>, UN Doc CRC/C/GC/16 (</w:t>
      </w:r>
      <w:r>
        <w:rPr>
          <w:rFonts w:cs="Arial"/>
        </w:rPr>
        <w:t xml:space="preserve">17 </w:t>
      </w:r>
      <w:r w:rsidRPr="005B2362">
        <w:rPr>
          <w:rFonts w:cs="Arial"/>
        </w:rPr>
        <w:t xml:space="preserve">April 2013) </w:t>
      </w:r>
      <w:r>
        <w:rPr>
          <w:rFonts w:cs="Arial"/>
        </w:rPr>
        <w:t>[</w:t>
      </w:r>
      <w:r w:rsidRPr="005B2362">
        <w:rPr>
          <w:rFonts w:cs="Arial"/>
        </w:rPr>
        <w:t>1</w:t>
      </w:r>
      <w:r>
        <w:rPr>
          <w:rFonts w:cs="Arial"/>
        </w:rPr>
        <w:t>]</w:t>
      </w:r>
      <w:r w:rsidRPr="005B2362">
        <w:rPr>
          <w:rFonts w:cs="Arial"/>
        </w:rPr>
        <w:t>.</w:t>
      </w:r>
    </w:p>
  </w:endnote>
  <w:endnote w:id="162">
    <w:p w14:paraId="5DCB559A"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w:t>
      </w:r>
      <w:r w:rsidRPr="00A45DF8">
        <w:rPr>
          <w:rFonts w:cs="Arial"/>
        </w:rPr>
        <w:t xml:space="preserve">Human Rights Council, </w:t>
      </w:r>
      <w:r w:rsidRPr="00A45DF8">
        <w:rPr>
          <w:rFonts w:cs="Arial"/>
          <w:i/>
        </w:rPr>
        <w:t>Guiding Principles on Business and Human Rights: Implementing the United Nations “Protect, Respect and Remedy” Framework,</w:t>
      </w:r>
      <w:r w:rsidRPr="00A45DF8">
        <w:rPr>
          <w:rFonts w:cs="Arial"/>
        </w:rPr>
        <w:t xml:space="preserve"> UN GAOR, 17</w:t>
      </w:r>
      <w:r w:rsidRPr="00A45DF8">
        <w:rPr>
          <w:rFonts w:cs="Arial"/>
          <w:vertAlign w:val="superscript"/>
        </w:rPr>
        <w:t>th</w:t>
      </w:r>
      <w:r w:rsidRPr="00A45DF8">
        <w:rPr>
          <w:rFonts w:cs="Arial"/>
        </w:rPr>
        <w:t xml:space="preserve"> sess, Agenda Item 3, UN Doc A/HRC/17/31 (21 March 2011) </w:t>
      </w:r>
      <w:r>
        <w:rPr>
          <w:rFonts w:cs="Arial"/>
        </w:rPr>
        <w:t>[</w:t>
      </w:r>
      <w:r w:rsidRPr="00A45DF8">
        <w:rPr>
          <w:rFonts w:cs="Arial"/>
        </w:rPr>
        <w:t>1</w:t>
      </w:r>
      <w:r>
        <w:rPr>
          <w:rFonts w:cs="Arial"/>
        </w:rPr>
        <w:t>]</w:t>
      </w:r>
      <w:r w:rsidRPr="00A45DF8">
        <w:rPr>
          <w:rFonts w:cs="Arial"/>
        </w:rPr>
        <w:t>.</w:t>
      </w:r>
    </w:p>
  </w:endnote>
  <w:endnote w:id="163">
    <w:p w14:paraId="7FA6B404" w14:textId="04308E81" w:rsidR="00F008D2" w:rsidRDefault="00F008D2">
      <w:pPr>
        <w:pStyle w:val="EndnoteText"/>
      </w:pPr>
      <w:r>
        <w:rPr>
          <w:rStyle w:val="EndnoteReference"/>
        </w:rPr>
        <w:endnoteRef/>
      </w:r>
      <w:r>
        <w:t xml:space="preserve"> Human Rights Council,</w:t>
      </w:r>
      <w:r>
        <w:rPr>
          <w:lang w:val="en-GB"/>
        </w:rPr>
        <w:t xml:space="preserve"> </w:t>
      </w:r>
      <w:r w:rsidRPr="00BE0641">
        <w:rPr>
          <w:i/>
          <w:lang w:val="en-GB"/>
        </w:rPr>
        <w:t>Guiding Principles on Business and Human Rights: Implementing the United Nations ‘Protect, Respect and Remedy’ Framework</w:t>
      </w:r>
      <w:r>
        <w:rPr>
          <w:lang w:val="en-GB"/>
        </w:rPr>
        <w:t xml:space="preserve">, </w:t>
      </w:r>
      <w:r w:rsidRPr="00A45DF8">
        <w:rPr>
          <w:rFonts w:cs="Arial"/>
        </w:rPr>
        <w:t>UN GAOR, 17</w:t>
      </w:r>
      <w:r w:rsidRPr="00A45DF8">
        <w:rPr>
          <w:rFonts w:cs="Arial"/>
          <w:vertAlign w:val="superscript"/>
        </w:rPr>
        <w:t>th</w:t>
      </w:r>
      <w:r w:rsidRPr="00A45DF8">
        <w:rPr>
          <w:rFonts w:cs="Arial"/>
        </w:rPr>
        <w:t xml:space="preserve"> sess, Agenda Item 3, UN Doc A/HRC/17/31 (21 March 2011</w:t>
      </w:r>
      <w:r>
        <w:rPr>
          <w:rFonts w:cs="Arial"/>
        </w:rPr>
        <w:t>)</w:t>
      </w:r>
      <w:r>
        <w:rPr>
          <w:lang w:val="en-GB"/>
        </w:rPr>
        <w:t>.</w:t>
      </w:r>
    </w:p>
  </w:endnote>
  <w:endnote w:id="164">
    <w:p w14:paraId="5C9FD2C1"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UNICEF, </w:t>
      </w:r>
      <w:r w:rsidRPr="00B860A4">
        <w:rPr>
          <w:rFonts w:cs="Arial"/>
        </w:rPr>
        <w:t>The Global Compact</w:t>
      </w:r>
      <w:r>
        <w:rPr>
          <w:rFonts w:cs="Arial"/>
        </w:rPr>
        <w:t>, Save the Children,</w:t>
      </w:r>
      <w:r w:rsidRPr="00B860A4" w:rsidDel="00116E10">
        <w:rPr>
          <w:rFonts w:cs="Arial"/>
          <w:i/>
        </w:rPr>
        <w:t xml:space="preserve"> </w:t>
      </w:r>
      <w:r w:rsidRPr="00B860A4">
        <w:rPr>
          <w:rFonts w:cs="Arial"/>
          <w:i/>
        </w:rPr>
        <w:t>Children’s Rights and Business Principles</w:t>
      </w:r>
      <w:r w:rsidRPr="005B2362">
        <w:rPr>
          <w:rFonts w:cs="Arial"/>
        </w:rPr>
        <w:t xml:space="preserve"> (2012)</w:t>
      </w:r>
      <w:r>
        <w:rPr>
          <w:rFonts w:cs="Arial"/>
        </w:rPr>
        <w:t xml:space="preserve"> </w:t>
      </w:r>
      <w:r w:rsidRPr="005B2362">
        <w:rPr>
          <w:rFonts w:cs="Arial"/>
        </w:rPr>
        <w:t>5.</w:t>
      </w:r>
    </w:p>
  </w:endnote>
  <w:endnote w:id="165">
    <w:p w14:paraId="7A651FD5" w14:textId="77777777" w:rsidR="00F008D2" w:rsidRDefault="00F008D2" w:rsidP="00AA3994">
      <w:pPr>
        <w:pStyle w:val="EndnoteText"/>
      </w:pPr>
      <w:r>
        <w:rPr>
          <w:rStyle w:val="EndnoteReference"/>
        </w:rPr>
        <w:endnoteRef/>
      </w:r>
      <w:r>
        <w:t xml:space="preserve"> </w:t>
      </w:r>
      <w:r w:rsidRPr="00A45DF8">
        <w:rPr>
          <w:rFonts w:cs="Arial"/>
        </w:rPr>
        <w:t>UNICEF, The Global Compact, Save the Children,</w:t>
      </w:r>
      <w:r w:rsidRPr="00A45DF8" w:rsidDel="00116E10">
        <w:rPr>
          <w:rFonts w:cs="Arial"/>
          <w:i/>
        </w:rPr>
        <w:t xml:space="preserve"> </w:t>
      </w:r>
      <w:r w:rsidRPr="00A45DF8">
        <w:rPr>
          <w:rFonts w:cs="Arial"/>
          <w:i/>
        </w:rPr>
        <w:t>Children’s Rights and Business Principles</w:t>
      </w:r>
      <w:r w:rsidRPr="00A45DF8">
        <w:rPr>
          <w:rFonts w:cs="Arial"/>
        </w:rPr>
        <w:t xml:space="preserve"> (2012) 5.</w:t>
      </w:r>
    </w:p>
  </w:endnote>
  <w:endnote w:id="166">
    <w:p w14:paraId="148339E6"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sidRPr="005B2362">
        <w:rPr>
          <w:rFonts w:cs="Arial"/>
          <w:i/>
        </w:rPr>
        <w:t>General Comment No.16 on State obligations regarding the impact of the business sector on children’s rights</w:t>
      </w:r>
      <w:r w:rsidRPr="005B2362">
        <w:rPr>
          <w:rFonts w:cs="Arial"/>
        </w:rPr>
        <w:t>, UN Doc CRC/C/GC/16 (</w:t>
      </w:r>
      <w:r>
        <w:rPr>
          <w:rFonts w:cs="Arial"/>
        </w:rPr>
        <w:t xml:space="preserve">17 </w:t>
      </w:r>
      <w:r w:rsidRPr="005B2362">
        <w:rPr>
          <w:rFonts w:cs="Arial"/>
        </w:rPr>
        <w:t>Apr</w:t>
      </w:r>
      <w:r>
        <w:rPr>
          <w:rFonts w:cs="Arial"/>
        </w:rPr>
        <w:t>il 2013).</w:t>
      </w:r>
    </w:p>
  </w:endnote>
  <w:endnote w:id="167">
    <w:p w14:paraId="0950E86D"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sidRPr="005B2362">
        <w:rPr>
          <w:rFonts w:cs="Arial"/>
          <w:i/>
        </w:rPr>
        <w:t>General Comment No.16 on State obligations regarding the impact of the business sector on children’s rights</w:t>
      </w:r>
      <w:r w:rsidRPr="005B2362">
        <w:rPr>
          <w:rFonts w:cs="Arial"/>
        </w:rPr>
        <w:t>, UN Doc CRC/C/GC/16 (</w:t>
      </w:r>
      <w:r>
        <w:rPr>
          <w:rFonts w:cs="Arial"/>
        </w:rPr>
        <w:t xml:space="preserve">17 </w:t>
      </w:r>
      <w:r w:rsidRPr="005B2362">
        <w:rPr>
          <w:rFonts w:cs="Arial"/>
        </w:rPr>
        <w:t>Apr</w:t>
      </w:r>
      <w:r>
        <w:rPr>
          <w:rFonts w:cs="Arial"/>
        </w:rPr>
        <w:t>il 2013) [45(c)–85].</w:t>
      </w:r>
    </w:p>
  </w:endnote>
  <w:endnote w:id="168">
    <w:p w14:paraId="7FF15617" w14:textId="77777777" w:rsidR="00F008D2" w:rsidRDefault="00F008D2" w:rsidP="00AA3994">
      <w:pPr>
        <w:pStyle w:val="EndnoteText"/>
      </w:pPr>
      <w:r>
        <w:rPr>
          <w:rStyle w:val="EndnoteReference"/>
        </w:rPr>
        <w:endnoteRef/>
      </w:r>
      <w:r>
        <w:t xml:space="preserve"> </w:t>
      </w:r>
      <w:r w:rsidRPr="00A45DF8">
        <w:rPr>
          <w:rFonts w:cs="Arial"/>
        </w:rPr>
        <w:t xml:space="preserve">A general comment is when a treaty body (here the Committee on the Rights of the Child) publishes its interpretation of the provisions of its human rights treaty (here the Convention on the Rights of the Child). It is of persuasive rather than binding status. See </w:t>
      </w:r>
      <w:r w:rsidRPr="00A45DF8">
        <w:rPr>
          <w:rStyle w:val="selectable"/>
          <w:rFonts w:cs="Arial"/>
          <w:color w:val="000000"/>
          <w:lang w:val="en"/>
        </w:rPr>
        <w:t xml:space="preserve">OHCHR, </w:t>
      </w:r>
      <w:r w:rsidRPr="00A45DF8">
        <w:rPr>
          <w:rStyle w:val="selectable"/>
          <w:rFonts w:cs="Arial"/>
          <w:i/>
          <w:iCs/>
          <w:color w:val="000000"/>
          <w:lang w:val="en"/>
        </w:rPr>
        <w:t>Human Rights Treaty Bodies - General Comments</w:t>
      </w:r>
      <w:r w:rsidRPr="00A45DF8">
        <w:rPr>
          <w:rStyle w:val="selectable"/>
          <w:rFonts w:cs="Arial"/>
          <w:color w:val="000000"/>
          <w:lang w:val="en"/>
        </w:rPr>
        <w:t xml:space="preserve"> (2015) &lt;</w:t>
      </w:r>
      <w:hyperlink r:id="rId98" w:history="1">
        <w:r w:rsidRPr="00C76F3E">
          <w:rPr>
            <w:rStyle w:val="Hyperlink"/>
            <w:rFonts w:cs="Arial"/>
            <w:lang w:val="en"/>
          </w:rPr>
          <w:t>http://www.ohchr.org/EN/HRBodies/Pages/TBGeneralComments.aspx</w:t>
        </w:r>
      </w:hyperlink>
      <w:r w:rsidRPr="00A45DF8">
        <w:rPr>
          <w:rStyle w:val="selectable"/>
          <w:rFonts w:cs="Arial"/>
          <w:color w:val="000000"/>
          <w:lang w:val="en"/>
        </w:rPr>
        <w:t>&gt;.</w:t>
      </w:r>
    </w:p>
  </w:endnote>
  <w:endnote w:id="169">
    <w:p w14:paraId="6880AEE8"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UNICEF, </w:t>
      </w:r>
      <w:r w:rsidRPr="00B860A4">
        <w:rPr>
          <w:rFonts w:cs="Arial"/>
        </w:rPr>
        <w:t>The Global Compact</w:t>
      </w:r>
      <w:r>
        <w:rPr>
          <w:rFonts w:cs="Arial"/>
        </w:rPr>
        <w:t>, Save the Children,</w:t>
      </w:r>
      <w:r w:rsidRPr="00B860A4" w:rsidDel="00116E10">
        <w:rPr>
          <w:rFonts w:cs="Arial"/>
          <w:i/>
        </w:rPr>
        <w:t xml:space="preserve"> </w:t>
      </w:r>
      <w:r w:rsidRPr="00B860A4">
        <w:rPr>
          <w:rFonts w:cs="Arial"/>
          <w:i/>
        </w:rPr>
        <w:t>Children’s Rights and Business Principles</w:t>
      </w:r>
      <w:r w:rsidRPr="005B2362">
        <w:rPr>
          <w:rFonts w:cs="Arial"/>
        </w:rPr>
        <w:t xml:space="preserve"> (2012)</w:t>
      </w:r>
      <w:r>
        <w:rPr>
          <w:rFonts w:cs="Arial"/>
        </w:rPr>
        <w:t xml:space="preserve"> </w:t>
      </w:r>
      <w:r w:rsidRPr="005B2362">
        <w:rPr>
          <w:rFonts w:cs="Arial"/>
        </w:rPr>
        <w:t>12.</w:t>
      </w:r>
    </w:p>
  </w:endnote>
  <w:endnote w:id="170">
    <w:p w14:paraId="2BC2F28B"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sidRPr="005B2362">
        <w:rPr>
          <w:rFonts w:cs="Arial"/>
          <w:i/>
        </w:rPr>
        <w:t>General Comment No.16 on State obligations regarding the impact of the business sector on children’s rights</w:t>
      </w:r>
      <w:r w:rsidRPr="005B2362">
        <w:rPr>
          <w:rFonts w:cs="Arial"/>
        </w:rPr>
        <w:t>, UN Doc C</w:t>
      </w:r>
      <w:r>
        <w:rPr>
          <w:rFonts w:cs="Arial"/>
        </w:rPr>
        <w:t>RC/C/GC/16 (April 2013) [12].</w:t>
      </w:r>
    </w:p>
  </w:endnote>
  <w:endnote w:id="171">
    <w:p w14:paraId="70DF866D" w14:textId="77777777" w:rsidR="00F008D2" w:rsidRPr="005B2362" w:rsidRDefault="00F008D2" w:rsidP="00AA3994">
      <w:pPr>
        <w:pStyle w:val="EndnoteText"/>
        <w:rPr>
          <w:rFonts w:cs="Arial"/>
        </w:rPr>
      </w:pPr>
      <w:r w:rsidRPr="005B2362">
        <w:rPr>
          <w:rStyle w:val="EndnoteReference"/>
          <w:rFonts w:cs="Arial"/>
        </w:rPr>
        <w:endnoteRef/>
      </w:r>
      <w:r>
        <w:rPr>
          <w:rFonts w:cs="Arial"/>
        </w:rPr>
        <w:t xml:space="preserve"> </w:t>
      </w:r>
      <w:r w:rsidRPr="005B2362">
        <w:rPr>
          <w:rFonts w:cs="Arial"/>
        </w:rPr>
        <w:t xml:space="preserve">Tara Collins, </w:t>
      </w:r>
      <w:r>
        <w:rPr>
          <w:rFonts w:cs="Arial"/>
        </w:rPr>
        <w:t>‘</w:t>
      </w:r>
      <w:r w:rsidRPr="005B2362">
        <w:rPr>
          <w:rFonts w:cs="Arial"/>
        </w:rPr>
        <w:t xml:space="preserve">The relationship between children’s rights and business’ (2014) 18(6) </w:t>
      </w:r>
      <w:r w:rsidRPr="005B2362">
        <w:rPr>
          <w:rFonts w:cs="Arial"/>
          <w:i/>
        </w:rPr>
        <w:t>The International Journal of Human Rights</w:t>
      </w:r>
      <w:r>
        <w:rPr>
          <w:rFonts w:cs="Arial"/>
          <w:i/>
        </w:rPr>
        <w:t xml:space="preserve">, </w:t>
      </w:r>
      <w:r w:rsidRPr="005B2362">
        <w:rPr>
          <w:rFonts w:cs="Arial"/>
        </w:rPr>
        <w:t>583.</w:t>
      </w:r>
    </w:p>
  </w:endnote>
  <w:endnote w:id="172">
    <w:p w14:paraId="4A34EBD3" w14:textId="77777777" w:rsidR="00F008D2" w:rsidRPr="005468F3" w:rsidRDefault="00F008D2" w:rsidP="00AA3994">
      <w:pPr>
        <w:pStyle w:val="EndnoteText"/>
        <w:rPr>
          <w:rFonts w:cs="Arial"/>
        </w:rPr>
      </w:pPr>
      <w:r w:rsidRPr="005B2362">
        <w:rPr>
          <w:rStyle w:val="EndnoteReference"/>
          <w:rFonts w:cs="Arial"/>
        </w:rPr>
        <w:endnoteRef/>
      </w:r>
      <w:r w:rsidRPr="005B2362">
        <w:rPr>
          <w:rFonts w:cs="Arial"/>
        </w:rPr>
        <w:t xml:space="preserve"> Tara Collins, </w:t>
      </w:r>
      <w:r>
        <w:rPr>
          <w:rFonts w:cs="Arial"/>
        </w:rPr>
        <w:t>‘</w:t>
      </w:r>
      <w:r w:rsidRPr="005B2362">
        <w:rPr>
          <w:rFonts w:cs="Arial"/>
        </w:rPr>
        <w:t xml:space="preserve">The relationship between children’s rights and business’ (2014) 18(6) </w:t>
      </w:r>
      <w:r w:rsidRPr="005B2362">
        <w:rPr>
          <w:rFonts w:cs="Arial"/>
          <w:i/>
        </w:rPr>
        <w:t>The International Journal of Human Rights</w:t>
      </w:r>
      <w:r>
        <w:rPr>
          <w:rFonts w:cs="Arial"/>
          <w:i/>
        </w:rPr>
        <w:t xml:space="preserve">, </w:t>
      </w:r>
      <w:r w:rsidRPr="005B2362">
        <w:rPr>
          <w:rFonts w:cs="Arial"/>
        </w:rPr>
        <w:t>583.</w:t>
      </w:r>
    </w:p>
  </w:endnote>
  <w:endnote w:id="173">
    <w:p w14:paraId="6B47CA9A"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UNICEF, </w:t>
      </w:r>
      <w:r w:rsidRPr="00B860A4">
        <w:rPr>
          <w:rFonts w:cs="Arial"/>
        </w:rPr>
        <w:t>The Global Compact</w:t>
      </w:r>
      <w:r>
        <w:rPr>
          <w:rFonts w:cs="Arial"/>
        </w:rPr>
        <w:t>, Save the Children,</w:t>
      </w:r>
      <w:r w:rsidRPr="00B860A4" w:rsidDel="00116E10">
        <w:rPr>
          <w:rFonts w:cs="Arial"/>
          <w:i/>
        </w:rPr>
        <w:t xml:space="preserve"> </w:t>
      </w:r>
      <w:r w:rsidRPr="00B860A4">
        <w:rPr>
          <w:rFonts w:cs="Arial"/>
          <w:i/>
        </w:rPr>
        <w:t>Children’s Rights and Business Principles</w:t>
      </w:r>
      <w:r w:rsidRPr="005B2362">
        <w:rPr>
          <w:rFonts w:cs="Arial"/>
        </w:rPr>
        <w:t xml:space="preserve"> (2012)</w:t>
      </w:r>
      <w:r>
        <w:rPr>
          <w:rFonts w:cs="Arial"/>
        </w:rPr>
        <w:t xml:space="preserve"> </w:t>
      </w:r>
      <w:r w:rsidRPr="005B2362">
        <w:rPr>
          <w:rFonts w:cs="Arial"/>
        </w:rPr>
        <w:t>2.</w:t>
      </w:r>
    </w:p>
  </w:endnote>
  <w:endnote w:id="174">
    <w:p w14:paraId="3C3464B1" w14:textId="77777777" w:rsidR="00F008D2" w:rsidRPr="005B2362" w:rsidRDefault="00F008D2" w:rsidP="00AA3994">
      <w:pPr>
        <w:pStyle w:val="EndnoteText"/>
        <w:rPr>
          <w:rFonts w:cs="Arial"/>
        </w:rPr>
      </w:pPr>
      <w:r w:rsidRPr="005B2362">
        <w:rPr>
          <w:rStyle w:val="EndnoteReference"/>
          <w:rFonts w:cs="Arial"/>
        </w:rPr>
        <w:endnoteRef/>
      </w:r>
      <w:r>
        <w:rPr>
          <w:rFonts w:cs="Arial"/>
        </w:rPr>
        <w:t xml:space="preserve"> Committee o</w:t>
      </w:r>
      <w:r w:rsidRPr="005B2362">
        <w:rPr>
          <w:rFonts w:cs="Arial"/>
        </w:rPr>
        <w:t xml:space="preserve">n the Rights of the Child, </w:t>
      </w:r>
      <w:r w:rsidRPr="005B2362">
        <w:rPr>
          <w:rFonts w:cs="Arial"/>
          <w:i/>
        </w:rPr>
        <w:t>General Comment No.16 on State obligations regarding the impact of the business sector on children’s rights</w:t>
      </w:r>
      <w:r w:rsidRPr="005B2362">
        <w:rPr>
          <w:rFonts w:cs="Arial"/>
        </w:rPr>
        <w:t>, UN Doc CRC/C/GC/16 (</w:t>
      </w:r>
      <w:r>
        <w:rPr>
          <w:rFonts w:cs="Arial"/>
        </w:rPr>
        <w:t>17 April 2013) [2]</w:t>
      </w:r>
      <w:r w:rsidRPr="005B2362">
        <w:rPr>
          <w:rFonts w:cs="Arial"/>
        </w:rPr>
        <w:t>.</w:t>
      </w:r>
    </w:p>
  </w:endnote>
  <w:endnote w:id="175">
    <w:p w14:paraId="41079FC2"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UNICEF, </w:t>
      </w:r>
      <w:r w:rsidRPr="00B860A4">
        <w:rPr>
          <w:rFonts w:cs="Arial"/>
        </w:rPr>
        <w:t>The Global Compact</w:t>
      </w:r>
      <w:r>
        <w:rPr>
          <w:rFonts w:cs="Arial"/>
        </w:rPr>
        <w:t>, Save the Children,</w:t>
      </w:r>
      <w:r w:rsidRPr="00B860A4" w:rsidDel="00116E10">
        <w:rPr>
          <w:rFonts w:cs="Arial"/>
          <w:i/>
        </w:rPr>
        <w:t xml:space="preserve"> </w:t>
      </w:r>
      <w:r w:rsidRPr="00B860A4">
        <w:rPr>
          <w:rFonts w:cs="Arial"/>
          <w:i/>
        </w:rPr>
        <w:t>Children’s Rights and Business Principles</w:t>
      </w:r>
      <w:r w:rsidRPr="005B2362">
        <w:rPr>
          <w:rFonts w:cs="Arial"/>
        </w:rPr>
        <w:t xml:space="preserve"> (2012)</w:t>
      </w:r>
      <w:r>
        <w:rPr>
          <w:rFonts w:cs="Arial"/>
        </w:rPr>
        <w:t xml:space="preserve"> </w:t>
      </w:r>
      <w:r w:rsidRPr="005B2362">
        <w:rPr>
          <w:rFonts w:cs="Arial"/>
        </w:rPr>
        <w:t>2.</w:t>
      </w:r>
    </w:p>
  </w:endnote>
  <w:endnote w:id="176">
    <w:p w14:paraId="5C88BDED"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UNICEF, </w:t>
      </w:r>
      <w:r w:rsidRPr="00B860A4">
        <w:rPr>
          <w:rFonts w:cs="Arial"/>
        </w:rPr>
        <w:t>The Global Compact</w:t>
      </w:r>
      <w:r>
        <w:rPr>
          <w:rFonts w:cs="Arial"/>
        </w:rPr>
        <w:t>, Save the Children,</w:t>
      </w:r>
      <w:r w:rsidRPr="00B860A4" w:rsidDel="00116E10">
        <w:rPr>
          <w:rFonts w:cs="Arial"/>
          <w:i/>
        </w:rPr>
        <w:t xml:space="preserve"> </w:t>
      </w:r>
      <w:r w:rsidRPr="00B860A4">
        <w:rPr>
          <w:rFonts w:cs="Arial"/>
          <w:i/>
        </w:rPr>
        <w:t>Children’s Rights and Business Principles</w:t>
      </w:r>
      <w:r w:rsidRPr="005B2362">
        <w:rPr>
          <w:rFonts w:cs="Arial"/>
        </w:rPr>
        <w:t xml:space="preserve"> (2012)</w:t>
      </w:r>
      <w:r>
        <w:rPr>
          <w:rFonts w:cs="Arial"/>
        </w:rPr>
        <w:t xml:space="preserve"> </w:t>
      </w:r>
      <w:r w:rsidRPr="005B2362">
        <w:rPr>
          <w:rFonts w:cs="Arial"/>
        </w:rPr>
        <w:t>2.</w:t>
      </w:r>
    </w:p>
  </w:endnote>
  <w:endnote w:id="177">
    <w:p w14:paraId="04EB0EE2" w14:textId="77777777" w:rsidR="00F008D2" w:rsidRDefault="00F008D2" w:rsidP="00AA3994">
      <w:pPr>
        <w:pStyle w:val="EndnoteText"/>
      </w:pPr>
      <w:r>
        <w:rPr>
          <w:rStyle w:val="EndnoteReference"/>
        </w:rPr>
        <w:endnoteRef/>
      </w:r>
      <w:r>
        <w:t xml:space="preserve"> </w:t>
      </w:r>
      <w:r w:rsidRPr="00A45DF8">
        <w:rPr>
          <w:rFonts w:cs="Arial"/>
        </w:rPr>
        <w:t xml:space="preserve">Committee on the Rights of the Child, </w:t>
      </w:r>
      <w:r w:rsidRPr="00A45DF8">
        <w:rPr>
          <w:rFonts w:cs="Arial"/>
          <w:i/>
        </w:rPr>
        <w:t>General Comment No.16 on State obligations regarding the impact of the business sector on children’s rights</w:t>
      </w:r>
      <w:r w:rsidRPr="00A45DF8">
        <w:rPr>
          <w:rFonts w:cs="Arial"/>
        </w:rPr>
        <w:t xml:space="preserve">, UN Doc CRC/C/GC/16 (April 2013) </w:t>
      </w:r>
      <w:r>
        <w:rPr>
          <w:rFonts w:cs="Arial"/>
        </w:rPr>
        <w:t>[</w:t>
      </w:r>
      <w:r w:rsidRPr="00A45DF8">
        <w:rPr>
          <w:rFonts w:cs="Arial"/>
        </w:rPr>
        <w:t>12</w:t>
      </w:r>
      <w:r>
        <w:rPr>
          <w:rFonts w:cs="Arial"/>
        </w:rPr>
        <w:t>]</w:t>
      </w:r>
      <w:r w:rsidRPr="00A45DF8">
        <w:rPr>
          <w:rFonts w:cs="Arial"/>
        </w:rPr>
        <w:t>.</w:t>
      </w:r>
    </w:p>
  </w:endnote>
  <w:endnote w:id="178">
    <w:p w14:paraId="48A6A927" w14:textId="77777777" w:rsidR="00F008D2" w:rsidRPr="00B227B1" w:rsidRDefault="00F008D2" w:rsidP="00AA3994">
      <w:pPr>
        <w:pStyle w:val="EndnoteText"/>
        <w:rPr>
          <w:rFonts w:cs="Arial"/>
        </w:rPr>
      </w:pPr>
      <w:r>
        <w:rPr>
          <w:rStyle w:val="EndnoteReference"/>
        </w:rPr>
        <w:endnoteRef/>
      </w:r>
      <w:r>
        <w:t xml:space="preserve"> </w:t>
      </w:r>
      <w:r w:rsidRPr="00A45DF8">
        <w:rPr>
          <w:rFonts w:cs="Arial"/>
        </w:rPr>
        <w:t>UNICEF, The Global Compact, Save the Children,</w:t>
      </w:r>
      <w:r w:rsidRPr="00A45DF8" w:rsidDel="00116E10">
        <w:rPr>
          <w:rFonts w:cs="Arial"/>
          <w:i/>
        </w:rPr>
        <w:t xml:space="preserve"> </w:t>
      </w:r>
      <w:r w:rsidRPr="00A45DF8">
        <w:rPr>
          <w:rFonts w:cs="Arial"/>
          <w:i/>
        </w:rPr>
        <w:t>Children’s Rights and Business Principles</w:t>
      </w:r>
      <w:r w:rsidRPr="00A45DF8">
        <w:rPr>
          <w:rFonts w:cs="Arial"/>
        </w:rPr>
        <w:t xml:space="preserve"> (2012) 14.</w:t>
      </w:r>
    </w:p>
  </w:endnote>
  <w:endnote w:id="179">
    <w:p w14:paraId="3CB407B9"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w:t>
      </w:r>
      <w:r w:rsidRPr="005B2362">
        <w:rPr>
          <w:rFonts w:cs="Arial"/>
          <w:i/>
        </w:rPr>
        <w:t>Convention on the Rights of the Child</w:t>
      </w:r>
      <w:r w:rsidRPr="005B2362">
        <w:rPr>
          <w:rFonts w:cs="Arial"/>
        </w:rPr>
        <w:t xml:space="preserve">, opened for signature 20 November 1989, </w:t>
      </w:r>
      <w:r>
        <w:rPr>
          <w:rFonts w:cs="Arial"/>
        </w:rPr>
        <w:t xml:space="preserve">1577 UNTS 3, </w:t>
      </w:r>
      <w:r w:rsidRPr="005B2362">
        <w:rPr>
          <w:rFonts w:cs="Arial"/>
        </w:rPr>
        <w:t xml:space="preserve">(entered into </w:t>
      </w:r>
      <w:r>
        <w:rPr>
          <w:rFonts w:cs="Arial"/>
        </w:rPr>
        <w:t>force 2 September 1990) art 2.</w:t>
      </w:r>
    </w:p>
  </w:endnote>
  <w:endnote w:id="180">
    <w:p w14:paraId="619913C7"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w:t>
      </w:r>
      <w:r w:rsidRPr="005B2362">
        <w:rPr>
          <w:rFonts w:cs="Arial"/>
          <w:i/>
        </w:rPr>
        <w:t>Convention on the Rights of the Child</w:t>
      </w:r>
      <w:r w:rsidRPr="005B2362">
        <w:rPr>
          <w:rFonts w:cs="Arial"/>
        </w:rPr>
        <w:t xml:space="preserve">, opened for signature 20 November 1989, </w:t>
      </w:r>
      <w:r>
        <w:rPr>
          <w:rFonts w:cs="Arial"/>
        </w:rPr>
        <w:t xml:space="preserve">1577 UNTS 3, </w:t>
      </w:r>
      <w:r w:rsidRPr="005B2362">
        <w:rPr>
          <w:rFonts w:cs="Arial"/>
        </w:rPr>
        <w:t>(entered into force 2 September 1990) art 3(1).</w:t>
      </w:r>
    </w:p>
  </w:endnote>
  <w:endnote w:id="181">
    <w:p w14:paraId="4898B5C0"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w:t>
      </w:r>
      <w:r w:rsidRPr="005B2362">
        <w:rPr>
          <w:rFonts w:cs="Arial"/>
          <w:i/>
        </w:rPr>
        <w:t>Convention on the Rights of the Child</w:t>
      </w:r>
      <w:r w:rsidRPr="005B2362">
        <w:rPr>
          <w:rFonts w:cs="Arial"/>
        </w:rPr>
        <w:t xml:space="preserve">, opened for signature 20 November 1989, </w:t>
      </w:r>
      <w:r>
        <w:rPr>
          <w:rFonts w:cs="Arial"/>
        </w:rPr>
        <w:t xml:space="preserve">1577 UNTS 3, </w:t>
      </w:r>
      <w:r w:rsidRPr="005B2362">
        <w:rPr>
          <w:rFonts w:cs="Arial"/>
        </w:rPr>
        <w:t>(entered into force 2 September 1990) art 6.</w:t>
      </w:r>
    </w:p>
  </w:endnote>
  <w:endnote w:id="182">
    <w:p w14:paraId="25815547"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w:t>
      </w:r>
      <w:r w:rsidRPr="005B2362">
        <w:rPr>
          <w:rFonts w:cs="Arial"/>
          <w:i/>
        </w:rPr>
        <w:t>Convention on the Rights of the Child</w:t>
      </w:r>
      <w:r w:rsidRPr="005B2362">
        <w:rPr>
          <w:rFonts w:cs="Arial"/>
        </w:rPr>
        <w:t xml:space="preserve">, opened for signature 20 November 1989, </w:t>
      </w:r>
      <w:r>
        <w:rPr>
          <w:rFonts w:cs="Arial"/>
        </w:rPr>
        <w:t xml:space="preserve">1577 UNTS 3, </w:t>
      </w:r>
      <w:r w:rsidRPr="005B2362">
        <w:rPr>
          <w:rFonts w:cs="Arial"/>
        </w:rPr>
        <w:t>(entered into force 2 September 1990) art 12.</w:t>
      </w:r>
    </w:p>
  </w:endnote>
  <w:endnote w:id="183">
    <w:p w14:paraId="6DB1460E"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UNICEF, </w:t>
      </w:r>
      <w:r w:rsidRPr="00B860A4">
        <w:rPr>
          <w:rFonts w:cs="Arial"/>
        </w:rPr>
        <w:t>The Global Compact</w:t>
      </w:r>
      <w:r>
        <w:rPr>
          <w:rFonts w:cs="Arial"/>
        </w:rPr>
        <w:t>, Save the Children,</w:t>
      </w:r>
      <w:r w:rsidRPr="00B860A4" w:rsidDel="00116E10">
        <w:rPr>
          <w:rFonts w:cs="Arial"/>
          <w:i/>
        </w:rPr>
        <w:t xml:space="preserve"> </w:t>
      </w:r>
      <w:r w:rsidRPr="00B860A4">
        <w:rPr>
          <w:rFonts w:cs="Arial"/>
          <w:i/>
        </w:rPr>
        <w:t>Children’s Rights and Business Principles</w:t>
      </w:r>
      <w:r w:rsidRPr="005B2362">
        <w:rPr>
          <w:rFonts w:cs="Arial"/>
        </w:rPr>
        <w:t xml:space="preserve"> (2012)</w:t>
      </w:r>
      <w:r>
        <w:rPr>
          <w:rFonts w:cs="Arial"/>
        </w:rPr>
        <w:t xml:space="preserve"> </w:t>
      </w:r>
      <w:r w:rsidRPr="005B2362">
        <w:rPr>
          <w:rFonts w:cs="Arial"/>
        </w:rPr>
        <w:t>18-19.</w:t>
      </w:r>
    </w:p>
  </w:endnote>
  <w:endnote w:id="184">
    <w:p w14:paraId="44D968F1"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UNICEF, </w:t>
      </w:r>
      <w:r w:rsidRPr="00B860A4">
        <w:rPr>
          <w:rFonts w:cs="Arial"/>
        </w:rPr>
        <w:t>The Global Compact</w:t>
      </w:r>
      <w:r>
        <w:rPr>
          <w:rFonts w:cs="Arial"/>
        </w:rPr>
        <w:t>, Save the Children,</w:t>
      </w:r>
      <w:r w:rsidRPr="00B860A4" w:rsidDel="00116E10">
        <w:rPr>
          <w:rFonts w:cs="Arial"/>
          <w:i/>
        </w:rPr>
        <w:t xml:space="preserve"> </w:t>
      </w:r>
      <w:r w:rsidRPr="00B860A4">
        <w:rPr>
          <w:rFonts w:cs="Arial"/>
          <w:i/>
        </w:rPr>
        <w:t>Children’s Rights and Business Principles</w:t>
      </w:r>
      <w:r w:rsidRPr="005B2362">
        <w:rPr>
          <w:rFonts w:cs="Arial"/>
        </w:rPr>
        <w:t xml:space="preserve"> (2012) 20-21.</w:t>
      </w:r>
    </w:p>
  </w:endnote>
  <w:endnote w:id="185">
    <w:p w14:paraId="639BC814"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UNICEF, </w:t>
      </w:r>
      <w:r w:rsidRPr="00B860A4">
        <w:rPr>
          <w:rFonts w:cs="Arial"/>
        </w:rPr>
        <w:t>The Global Compact</w:t>
      </w:r>
      <w:r>
        <w:rPr>
          <w:rFonts w:cs="Arial"/>
        </w:rPr>
        <w:t>, Save the Children,</w:t>
      </w:r>
      <w:r w:rsidRPr="00B860A4" w:rsidDel="00116E10">
        <w:rPr>
          <w:rFonts w:cs="Arial"/>
          <w:i/>
        </w:rPr>
        <w:t xml:space="preserve"> </w:t>
      </w:r>
      <w:r w:rsidRPr="00B860A4">
        <w:rPr>
          <w:rFonts w:cs="Arial"/>
          <w:i/>
        </w:rPr>
        <w:t>Children’s Rights and Business Principles</w:t>
      </w:r>
      <w:r w:rsidRPr="005B2362">
        <w:rPr>
          <w:rFonts w:cs="Arial"/>
        </w:rPr>
        <w:t xml:space="preserve"> (2012) 22-25.</w:t>
      </w:r>
    </w:p>
  </w:endnote>
  <w:endnote w:id="186">
    <w:p w14:paraId="6A57A1FF"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UNICEF, </w:t>
      </w:r>
      <w:r w:rsidRPr="00B860A4">
        <w:rPr>
          <w:rFonts w:cs="Arial"/>
        </w:rPr>
        <w:t>The Global Compact</w:t>
      </w:r>
      <w:r>
        <w:rPr>
          <w:rFonts w:cs="Arial"/>
        </w:rPr>
        <w:t>, Save the Children,</w:t>
      </w:r>
      <w:r w:rsidRPr="00B860A4" w:rsidDel="00116E10">
        <w:rPr>
          <w:rFonts w:cs="Arial"/>
          <w:i/>
        </w:rPr>
        <w:t xml:space="preserve"> </w:t>
      </w:r>
      <w:r w:rsidRPr="00B860A4">
        <w:rPr>
          <w:rFonts w:cs="Arial"/>
          <w:i/>
        </w:rPr>
        <w:t>Children’s Rights and Business Principles</w:t>
      </w:r>
      <w:r w:rsidRPr="005B2362">
        <w:rPr>
          <w:rFonts w:cs="Arial"/>
        </w:rPr>
        <w:t xml:space="preserve"> (2012)</w:t>
      </w:r>
      <w:r>
        <w:rPr>
          <w:rFonts w:cs="Arial"/>
        </w:rPr>
        <w:t xml:space="preserve"> </w:t>
      </w:r>
      <w:r w:rsidRPr="005B2362">
        <w:rPr>
          <w:rFonts w:cs="Arial"/>
        </w:rPr>
        <w:t>26-27.</w:t>
      </w:r>
    </w:p>
  </w:endnote>
  <w:endnote w:id="187">
    <w:p w14:paraId="3EEEA1B5"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UNICEF, </w:t>
      </w:r>
      <w:r w:rsidRPr="00B860A4">
        <w:rPr>
          <w:rFonts w:cs="Arial"/>
        </w:rPr>
        <w:t>The Global Compact</w:t>
      </w:r>
      <w:r>
        <w:rPr>
          <w:rFonts w:cs="Arial"/>
        </w:rPr>
        <w:t>, Save the Children,</w:t>
      </w:r>
      <w:r w:rsidRPr="00B860A4" w:rsidDel="00116E10">
        <w:rPr>
          <w:rFonts w:cs="Arial"/>
          <w:i/>
        </w:rPr>
        <w:t xml:space="preserve"> </w:t>
      </w:r>
      <w:r w:rsidRPr="00B860A4">
        <w:rPr>
          <w:rFonts w:cs="Arial"/>
          <w:i/>
        </w:rPr>
        <w:t>Children’s Rights and Business Principles</w:t>
      </w:r>
      <w:r w:rsidRPr="005B2362">
        <w:rPr>
          <w:rFonts w:cs="Arial"/>
        </w:rPr>
        <w:t xml:space="preserve"> (2012)</w:t>
      </w:r>
      <w:r>
        <w:rPr>
          <w:rFonts w:cs="Arial"/>
        </w:rPr>
        <w:t xml:space="preserve"> </w:t>
      </w:r>
      <w:r w:rsidRPr="005B2362">
        <w:rPr>
          <w:rFonts w:cs="Arial"/>
        </w:rPr>
        <w:t>32-33.</w:t>
      </w:r>
    </w:p>
  </w:endnote>
  <w:endnote w:id="188">
    <w:p w14:paraId="63BE7013" w14:textId="77777777" w:rsidR="00F008D2" w:rsidRDefault="00F008D2" w:rsidP="00AA3994">
      <w:pPr>
        <w:pStyle w:val="EndnoteText"/>
      </w:pPr>
      <w:r>
        <w:rPr>
          <w:rStyle w:val="EndnoteReference"/>
        </w:rPr>
        <w:endnoteRef/>
      </w:r>
      <w:r>
        <w:t xml:space="preserve"> </w:t>
      </w:r>
      <w:r w:rsidRPr="00AB5A77">
        <w:rPr>
          <w:rFonts w:cs="Arial"/>
        </w:rPr>
        <w:t xml:space="preserve">Deborah John, ‘Consumer Socialisation of Children: a Retrospective Look at Twenty Years of Research’ (1999) 26 (3) </w:t>
      </w:r>
      <w:r w:rsidRPr="00A30FBD">
        <w:rPr>
          <w:rFonts w:cs="Arial"/>
          <w:i/>
        </w:rPr>
        <w:t>Journal of Consumer Research</w:t>
      </w:r>
      <w:r>
        <w:rPr>
          <w:rFonts w:cs="Arial"/>
          <w:i/>
        </w:rPr>
        <w:t>,</w:t>
      </w:r>
      <w:r w:rsidRPr="00AB5A77">
        <w:rPr>
          <w:rFonts w:cs="Arial"/>
        </w:rPr>
        <w:t xml:space="preserve"> 183.</w:t>
      </w:r>
    </w:p>
  </w:endnote>
  <w:endnote w:id="189">
    <w:p w14:paraId="1BDE6225"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w:t>
      </w:r>
      <w:r w:rsidRPr="00A45DF8">
        <w:rPr>
          <w:rFonts w:cs="Arial"/>
        </w:rPr>
        <w:t xml:space="preserve">Amandine Garde, ‘Advertising Regulation and Protection of Children-Consumers in the European Union: in the Best Interest of...Commercial Operators?’ (2011) 19 </w:t>
      </w:r>
      <w:r w:rsidRPr="00A45DF8">
        <w:rPr>
          <w:rFonts w:cs="Arial"/>
          <w:i/>
        </w:rPr>
        <w:t>International Journal of Children’s Rights</w:t>
      </w:r>
      <w:r>
        <w:rPr>
          <w:rFonts w:cs="Arial"/>
          <w:i/>
        </w:rPr>
        <w:t>,</w:t>
      </w:r>
      <w:r w:rsidRPr="00A45DF8">
        <w:rPr>
          <w:rFonts w:cs="Arial"/>
        </w:rPr>
        <w:t xml:space="preserve"> 527.</w:t>
      </w:r>
    </w:p>
  </w:endnote>
  <w:endnote w:id="190">
    <w:p w14:paraId="3D67E5BB"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w:t>
      </w:r>
      <w:r w:rsidRPr="00A45DF8">
        <w:rPr>
          <w:rFonts w:cs="Arial"/>
        </w:rPr>
        <w:t xml:space="preserve">Amandine Garde, ‘Advertising Regulation and Protection of Children-Consumers in the European Union: in the Best Interest of...Commercial Operators?’ (2011) 19 </w:t>
      </w:r>
      <w:r w:rsidRPr="00A45DF8">
        <w:rPr>
          <w:rFonts w:cs="Arial"/>
          <w:i/>
        </w:rPr>
        <w:t>International Journal of Children’s Rights</w:t>
      </w:r>
      <w:r>
        <w:rPr>
          <w:rFonts w:cs="Arial"/>
          <w:i/>
        </w:rPr>
        <w:t>,</w:t>
      </w:r>
      <w:r w:rsidRPr="00A45DF8">
        <w:rPr>
          <w:rFonts w:cs="Arial"/>
        </w:rPr>
        <w:t xml:space="preserve"> 527.</w:t>
      </w:r>
    </w:p>
  </w:endnote>
  <w:endnote w:id="191">
    <w:p w14:paraId="55E50AED" w14:textId="77777777" w:rsidR="00F008D2" w:rsidRPr="005B2362" w:rsidRDefault="00F008D2" w:rsidP="00AA3994">
      <w:pPr>
        <w:pStyle w:val="EndnoteText"/>
        <w:rPr>
          <w:rFonts w:cs="Arial"/>
          <w:color w:val="FF0000"/>
        </w:rPr>
      </w:pPr>
      <w:r w:rsidRPr="005B2362">
        <w:rPr>
          <w:rStyle w:val="EndnoteReference"/>
          <w:rFonts w:cs="Arial"/>
        </w:rPr>
        <w:endnoteRef/>
      </w:r>
      <w:r w:rsidRPr="005B2362">
        <w:rPr>
          <w:rFonts w:cs="Arial"/>
        </w:rPr>
        <w:t xml:space="preserve"> </w:t>
      </w:r>
      <w:r w:rsidRPr="00AB5A77">
        <w:rPr>
          <w:rFonts w:cs="Arial"/>
        </w:rPr>
        <w:t xml:space="preserve">Deborah John, ‘Consumer Socialisation of Children: a Retrospective Look at Twenty Years of Research’ (1999) 26 (3) </w:t>
      </w:r>
      <w:r w:rsidRPr="00727EE6">
        <w:rPr>
          <w:rFonts w:cs="Arial"/>
          <w:i/>
        </w:rPr>
        <w:t>Journal of Consumer Research</w:t>
      </w:r>
      <w:r>
        <w:rPr>
          <w:rFonts w:cs="Arial"/>
          <w:i/>
        </w:rPr>
        <w:t>,</w:t>
      </w:r>
      <w:r w:rsidRPr="00AB5A77">
        <w:rPr>
          <w:rFonts w:cs="Arial"/>
        </w:rPr>
        <w:t xml:space="preserve"> 183. </w:t>
      </w:r>
    </w:p>
  </w:endnote>
  <w:endnote w:id="192">
    <w:p w14:paraId="4EE117B0" w14:textId="77777777" w:rsidR="00F008D2" w:rsidRPr="004B373A" w:rsidRDefault="00F008D2" w:rsidP="00AA3994">
      <w:pPr>
        <w:pStyle w:val="EndnoteText"/>
        <w:rPr>
          <w:rFonts w:cs="Arial"/>
          <w:color w:val="FF0000"/>
        </w:rPr>
      </w:pPr>
      <w:r w:rsidRPr="005B2362">
        <w:rPr>
          <w:rStyle w:val="EndnoteReference"/>
          <w:rFonts w:cs="Arial"/>
        </w:rPr>
        <w:endnoteRef/>
      </w:r>
      <w:r w:rsidRPr="005B2362">
        <w:rPr>
          <w:rFonts w:cs="Arial"/>
        </w:rPr>
        <w:t xml:space="preserve"> Anne Sutherland &amp; Beth Thompson, </w:t>
      </w:r>
      <w:r w:rsidRPr="005B2362">
        <w:rPr>
          <w:rFonts w:cs="Arial"/>
          <w:i/>
        </w:rPr>
        <w:t xml:space="preserve">Kidfluence </w:t>
      </w:r>
      <w:r w:rsidRPr="005B2362">
        <w:rPr>
          <w:rFonts w:cs="Arial"/>
        </w:rPr>
        <w:t xml:space="preserve">(McGraw-Hill E-book </w:t>
      </w:r>
      <w:r w:rsidRPr="004B373A">
        <w:rPr>
          <w:rFonts w:cs="Arial"/>
        </w:rPr>
        <w:t xml:space="preserve">collection, 2003) 79. </w:t>
      </w:r>
    </w:p>
  </w:endnote>
  <w:endnote w:id="193">
    <w:p w14:paraId="2C56A2DD" w14:textId="77777777" w:rsidR="00F008D2" w:rsidRPr="004B373A" w:rsidRDefault="00F008D2" w:rsidP="00AA3994">
      <w:pPr>
        <w:pStyle w:val="EndnoteText"/>
        <w:rPr>
          <w:rFonts w:cs="Arial"/>
        </w:rPr>
      </w:pPr>
      <w:r w:rsidRPr="004B373A">
        <w:rPr>
          <w:rStyle w:val="EndnoteReference"/>
          <w:rFonts w:cs="Arial"/>
        </w:rPr>
        <w:endnoteRef/>
      </w:r>
      <w:r w:rsidRPr="004B373A">
        <w:rPr>
          <w:rFonts w:cs="Arial"/>
        </w:rPr>
        <w:t xml:space="preserve"> Anne Sutherland &amp; Beth Thompson, </w:t>
      </w:r>
      <w:r w:rsidRPr="004B373A">
        <w:rPr>
          <w:rFonts w:cs="Arial"/>
          <w:i/>
        </w:rPr>
        <w:t xml:space="preserve">Kidfluence </w:t>
      </w:r>
      <w:r w:rsidRPr="004B373A">
        <w:rPr>
          <w:rFonts w:cs="Arial"/>
        </w:rPr>
        <w:t>(McGraw-Hill E-book collection, 2003) 79.</w:t>
      </w:r>
    </w:p>
  </w:endnote>
  <w:endnote w:id="194">
    <w:p w14:paraId="12B2CFA8" w14:textId="77777777" w:rsidR="00F008D2" w:rsidRPr="004B373A" w:rsidRDefault="00F008D2" w:rsidP="00AA3994">
      <w:pPr>
        <w:pStyle w:val="EndnoteText"/>
        <w:rPr>
          <w:rFonts w:cs="Arial"/>
        </w:rPr>
      </w:pPr>
      <w:r w:rsidRPr="00F71500">
        <w:rPr>
          <w:rStyle w:val="EndnoteReference"/>
          <w:rFonts w:cs="Arial"/>
        </w:rPr>
        <w:endnoteRef/>
      </w:r>
      <w:r w:rsidRPr="00F71500">
        <w:rPr>
          <w:rFonts w:cs="Arial"/>
        </w:rPr>
        <w:t xml:space="preserve"> Australian Law Reform Commission, </w:t>
      </w:r>
      <w:r w:rsidRPr="00F71500">
        <w:rPr>
          <w:rFonts w:cs="Arial"/>
          <w:i/>
        </w:rPr>
        <w:t xml:space="preserve">Speaking for Ourselves: Children and the Legal Process </w:t>
      </w:r>
      <w:r w:rsidRPr="00AB5A77">
        <w:rPr>
          <w:rFonts w:cs="Arial"/>
          <w:i/>
        </w:rPr>
        <w:t>Kids Issues Paper (IP 17)</w:t>
      </w:r>
      <w:r w:rsidRPr="00F71500">
        <w:rPr>
          <w:rFonts w:cs="Arial"/>
        </w:rPr>
        <w:t xml:space="preserve"> (</w:t>
      </w:r>
      <w:r w:rsidRPr="00AB5A77">
        <w:rPr>
          <w:rFonts w:cs="Arial"/>
        </w:rPr>
        <w:t xml:space="preserve">15 July </w:t>
      </w:r>
      <w:r w:rsidRPr="00F71500">
        <w:rPr>
          <w:rFonts w:cs="Arial"/>
        </w:rPr>
        <w:t>1996) 2.1</w:t>
      </w:r>
      <w:r w:rsidRPr="00AB5A77">
        <w:rPr>
          <w:rFonts w:cs="Arial"/>
        </w:rPr>
        <w:t xml:space="preserve"> &lt;</w:t>
      </w:r>
      <w:hyperlink r:id="rId99" w:history="1">
        <w:r w:rsidRPr="00C76F3E">
          <w:rPr>
            <w:rStyle w:val="Hyperlink"/>
            <w:rFonts w:cs="Arial"/>
          </w:rPr>
          <w:t>http://www.alrc.gov.au/publications/ip-17</w:t>
        </w:r>
      </w:hyperlink>
      <w:r w:rsidRPr="00F71500">
        <w:rPr>
          <w:rFonts w:cs="Arial"/>
        </w:rPr>
        <w:t>&gt;</w:t>
      </w:r>
      <w:r>
        <w:rPr>
          <w:rFonts w:cs="Arial"/>
        </w:rPr>
        <w:t>.</w:t>
      </w:r>
    </w:p>
  </w:endnote>
  <w:endnote w:id="195">
    <w:p w14:paraId="70D50B90" w14:textId="77777777" w:rsidR="00F008D2" w:rsidRPr="004B373A" w:rsidRDefault="00F008D2" w:rsidP="00AA3994">
      <w:pPr>
        <w:pStyle w:val="EndnoteText"/>
        <w:rPr>
          <w:rFonts w:cs="Arial"/>
        </w:rPr>
      </w:pPr>
      <w:r w:rsidRPr="004B373A">
        <w:rPr>
          <w:rStyle w:val="EndnoteReference"/>
          <w:rFonts w:cs="Arial"/>
        </w:rPr>
        <w:endnoteRef/>
      </w:r>
      <w:r w:rsidRPr="004B373A">
        <w:rPr>
          <w:rFonts w:cs="Arial"/>
        </w:rPr>
        <w:t xml:space="preserve"> Australian Bureau of Statistics, ‘Household use of Inf</w:t>
      </w:r>
      <w:r>
        <w:rPr>
          <w:rFonts w:cs="Arial"/>
        </w:rPr>
        <w:t>ormation Technology, Australia’</w:t>
      </w:r>
      <w:r w:rsidRPr="004B373A">
        <w:rPr>
          <w:rFonts w:cs="Arial"/>
        </w:rPr>
        <w:t xml:space="preserve"> (Media Release, 8146.0, 25 February 2014). </w:t>
      </w:r>
    </w:p>
  </w:endnote>
  <w:endnote w:id="196">
    <w:p w14:paraId="3829819C" w14:textId="77777777" w:rsidR="00F008D2" w:rsidRPr="004B373A" w:rsidRDefault="00F008D2" w:rsidP="00AA3994">
      <w:pPr>
        <w:pStyle w:val="EndnoteText"/>
        <w:rPr>
          <w:rFonts w:cs="Arial"/>
        </w:rPr>
      </w:pPr>
      <w:r w:rsidRPr="004B373A">
        <w:rPr>
          <w:rStyle w:val="EndnoteReference"/>
          <w:rFonts w:cs="Arial"/>
        </w:rPr>
        <w:endnoteRef/>
      </w:r>
      <w:r w:rsidRPr="004B373A">
        <w:rPr>
          <w:rFonts w:cs="Arial"/>
        </w:rPr>
        <w:t xml:space="preserve"> Australian Bureau of Statistics, ‘Children’s Participation in Cultural and Leisure Activities – Internet and Mobile Phones’, (4901.0, 31 October 2012)</w:t>
      </w:r>
      <w:r>
        <w:rPr>
          <w:rFonts w:cs="Arial"/>
        </w:rPr>
        <w:t xml:space="preserve"> &lt;</w:t>
      </w:r>
      <w:hyperlink r:id="rId100" w:history="1">
        <w:r w:rsidRPr="00C76F3E">
          <w:rPr>
            <w:rStyle w:val="Hyperlink"/>
            <w:rFonts w:cs="Arial"/>
          </w:rPr>
          <w:t>http://www.abs.gov.au/ausstats/abs@.nsf/Products/4901.0~Apr+2012~Main+Features~Internet+and+mobile+phones?OpenDocument</w:t>
        </w:r>
      </w:hyperlink>
      <w:r>
        <w:rPr>
          <w:rFonts w:cs="Arial"/>
        </w:rPr>
        <w:t>&gt;</w:t>
      </w:r>
      <w:r w:rsidRPr="004B373A">
        <w:rPr>
          <w:rFonts w:cs="Arial"/>
        </w:rPr>
        <w:t>.</w:t>
      </w:r>
    </w:p>
  </w:endnote>
  <w:endnote w:id="197">
    <w:p w14:paraId="2B5DFF89" w14:textId="77777777" w:rsidR="00F008D2" w:rsidRPr="004B373A" w:rsidRDefault="00F008D2" w:rsidP="00AA3994">
      <w:pPr>
        <w:pStyle w:val="EndnoteText"/>
        <w:rPr>
          <w:rFonts w:cs="Arial"/>
        </w:rPr>
      </w:pPr>
      <w:r w:rsidRPr="004B373A">
        <w:rPr>
          <w:rStyle w:val="EndnoteReference"/>
          <w:rFonts w:cs="Arial"/>
        </w:rPr>
        <w:endnoteRef/>
      </w:r>
      <w:r w:rsidRPr="004B373A">
        <w:rPr>
          <w:rFonts w:cs="Arial"/>
        </w:rPr>
        <w:t xml:space="preserve"> Australian Bureau of Statistics, ‘Children’s Participation in Cultural and Leisure Activities – Internet and Mobile Phones’, (4901.0, 31 October 2012)</w:t>
      </w:r>
      <w:r w:rsidRPr="009C5889">
        <w:rPr>
          <w:rFonts w:cs="Arial"/>
        </w:rPr>
        <w:t xml:space="preserve"> </w:t>
      </w:r>
      <w:r>
        <w:rPr>
          <w:rFonts w:cs="Arial"/>
        </w:rPr>
        <w:t>&lt;</w:t>
      </w:r>
      <w:hyperlink r:id="rId101" w:history="1">
        <w:r w:rsidRPr="00C76F3E">
          <w:rPr>
            <w:rStyle w:val="Hyperlink"/>
            <w:rFonts w:cs="Arial"/>
          </w:rPr>
          <w:t>http://www.abs.gov.au/ausstats/abs@.nsf/Products/4901.0~Apr+2012~Main+Features~Internet+and+mobile+phones?OpenDocument</w:t>
        </w:r>
      </w:hyperlink>
      <w:r>
        <w:rPr>
          <w:rFonts w:cs="Arial"/>
        </w:rPr>
        <w:t>&gt;</w:t>
      </w:r>
      <w:r w:rsidRPr="004B373A">
        <w:rPr>
          <w:rFonts w:cs="Arial"/>
        </w:rPr>
        <w:t>.</w:t>
      </w:r>
    </w:p>
  </w:endnote>
  <w:endnote w:id="198">
    <w:p w14:paraId="5020F7A5" w14:textId="77777777" w:rsidR="00F008D2" w:rsidRPr="004B373A" w:rsidRDefault="00F008D2" w:rsidP="00AA3994">
      <w:pPr>
        <w:pStyle w:val="EndnoteText"/>
        <w:rPr>
          <w:rFonts w:cs="Arial"/>
        </w:rPr>
      </w:pPr>
      <w:r w:rsidRPr="004B373A">
        <w:rPr>
          <w:rStyle w:val="EndnoteReference"/>
          <w:rFonts w:cs="Arial"/>
        </w:rPr>
        <w:endnoteRef/>
      </w:r>
      <w:r w:rsidRPr="004B373A">
        <w:rPr>
          <w:rFonts w:cs="Arial"/>
        </w:rPr>
        <w:t xml:space="preserve"> Australian Bureau of Statistics, ‘Children’s Participation in Cultural and Leisure Activities – Internet and Mobile Phones’, (4901.0, 31 October 2012)</w:t>
      </w:r>
      <w:r w:rsidRPr="009C5889">
        <w:rPr>
          <w:rFonts w:cs="Arial"/>
        </w:rPr>
        <w:t xml:space="preserve"> </w:t>
      </w:r>
      <w:r>
        <w:rPr>
          <w:rFonts w:cs="Arial"/>
        </w:rPr>
        <w:t>&lt;</w:t>
      </w:r>
      <w:hyperlink r:id="rId102" w:history="1">
        <w:r w:rsidRPr="00C76F3E">
          <w:rPr>
            <w:rStyle w:val="Hyperlink"/>
            <w:rFonts w:cs="Arial"/>
          </w:rPr>
          <w:t>http://www.abs.gov.au/ausstats/abs@.nsf/Products/4901.0~Apr+2012~Main+Features~Internet+and+mobile+phones?OpenDocument</w:t>
        </w:r>
      </w:hyperlink>
      <w:r>
        <w:rPr>
          <w:rFonts w:cs="Arial"/>
        </w:rPr>
        <w:t>&gt;</w:t>
      </w:r>
      <w:r w:rsidRPr="004B373A">
        <w:rPr>
          <w:rFonts w:cs="Arial"/>
        </w:rPr>
        <w:t>.</w:t>
      </w:r>
    </w:p>
  </w:endnote>
  <w:endnote w:id="199">
    <w:p w14:paraId="1BC95CB8" w14:textId="77777777" w:rsidR="00F008D2" w:rsidRDefault="00F008D2" w:rsidP="00AA3994">
      <w:pPr>
        <w:pStyle w:val="EndnoteText"/>
      </w:pPr>
      <w:r>
        <w:rPr>
          <w:rStyle w:val="EndnoteReference"/>
        </w:rPr>
        <w:endnoteRef/>
      </w:r>
      <w:r>
        <w:t xml:space="preserve"> </w:t>
      </w:r>
      <w:r w:rsidRPr="00CF0E5E">
        <w:t xml:space="preserve">Leo </w:t>
      </w:r>
      <w:r w:rsidRPr="00CF0E5E">
        <w:rPr>
          <w:rFonts w:cs="Arial"/>
        </w:rPr>
        <w:t xml:space="preserve">Fieldgrass, Brotherhood of St Laurence and Australian Communications Consumer Action Network, </w:t>
      </w:r>
      <w:r w:rsidRPr="00CF0E5E">
        <w:rPr>
          <w:rFonts w:cs="Arial"/>
          <w:i/>
        </w:rPr>
        <w:t>Mobile Matters: The Youth Advocates Project. D</w:t>
      </w:r>
      <w:r w:rsidRPr="00CF0E5E">
        <w:rPr>
          <w:rFonts w:cs="Arial"/>
          <w:bCs/>
          <w:i/>
        </w:rPr>
        <w:t>eveloping a youth participatory action research and advocacy program</w:t>
      </w:r>
      <w:r w:rsidRPr="00CF0E5E">
        <w:rPr>
          <w:rFonts w:cs="Arial"/>
          <w:bCs/>
        </w:rPr>
        <w:t xml:space="preserve"> (2011)</w:t>
      </w:r>
      <w:r w:rsidRPr="00CF0E5E">
        <w:rPr>
          <w:rFonts w:cs="Arial"/>
        </w:rPr>
        <w:t>.</w:t>
      </w:r>
    </w:p>
  </w:endnote>
  <w:endnote w:id="200">
    <w:p w14:paraId="16F6C847" w14:textId="77777777" w:rsidR="00F008D2" w:rsidRPr="004B373A" w:rsidRDefault="00F008D2" w:rsidP="00AA3994">
      <w:pPr>
        <w:pStyle w:val="EndnoteText"/>
        <w:rPr>
          <w:rFonts w:cs="Arial"/>
        </w:rPr>
      </w:pPr>
      <w:r w:rsidRPr="004B373A">
        <w:rPr>
          <w:rStyle w:val="EndnoteReference"/>
          <w:rFonts w:cs="Arial"/>
        </w:rPr>
        <w:endnoteRef/>
      </w:r>
      <w:r w:rsidRPr="004B373A">
        <w:rPr>
          <w:rFonts w:cs="Arial"/>
        </w:rPr>
        <w:t xml:space="preserve"> Australian Communications &amp; Media Authority,</w:t>
      </w:r>
      <w:r>
        <w:rPr>
          <w:rFonts w:cs="Arial"/>
        </w:rPr>
        <w:t xml:space="preserve"> Newspoll,</w:t>
      </w:r>
      <w:r w:rsidRPr="004B373A">
        <w:rPr>
          <w:rFonts w:cs="Arial"/>
        </w:rPr>
        <w:t xml:space="preserve"> </w:t>
      </w:r>
      <w:r w:rsidRPr="004B373A">
        <w:rPr>
          <w:rFonts w:cs="Arial"/>
          <w:i/>
        </w:rPr>
        <w:t>Like, post, share: Young Australian’s experience of social media’</w:t>
      </w:r>
      <w:r w:rsidRPr="004B373A">
        <w:rPr>
          <w:rFonts w:cs="Arial"/>
        </w:rPr>
        <w:t xml:space="preserve"> (2012) 7.</w:t>
      </w:r>
    </w:p>
  </w:endnote>
  <w:endnote w:id="201">
    <w:p w14:paraId="146DFF92" w14:textId="77777777" w:rsidR="00F008D2" w:rsidRPr="005B2362" w:rsidRDefault="00F008D2" w:rsidP="00AA3994">
      <w:pPr>
        <w:pStyle w:val="EndnoteText"/>
        <w:rPr>
          <w:rFonts w:cs="Arial"/>
        </w:rPr>
      </w:pPr>
      <w:r w:rsidRPr="004B373A">
        <w:rPr>
          <w:rStyle w:val="EndnoteReference"/>
          <w:rFonts w:cs="Arial"/>
        </w:rPr>
        <w:endnoteRef/>
      </w:r>
      <w:r w:rsidRPr="004B373A">
        <w:rPr>
          <w:rFonts w:cs="Arial"/>
        </w:rPr>
        <w:t xml:space="preserve"> Australian</w:t>
      </w:r>
      <w:r w:rsidRPr="005B2362">
        <w:rPr>
          <w:rFonts w:cs="Arial"/>
        </w:rPr>
        <w:t xml:space="preserve"> Communications &amp; Media Authority,</w:t>
      </w:r>
      <w:r>
        <w:rPr>
          <w:rFonts w:cs="Arial"/>
        </w:rPr>
        <w:t xml:space="preserve"> Newspoll,</w:t>
      </w:r>
      <w:r w:rsidRPr="005B2362">
        <w:rPr>
          <w:rFonts w:cs="Arial"/>
        </w:rPr>
        <w:t xml:space="preserve"> </w:t>
      </w:r>
      <w:r w:rsidRPr="005B2362">
        <w:rPr>
          <w:rFonts w:cs="Arial"/>
          <w:i/>
        </w:rPr>
        <w:t>Like, post, share: Young Australians</w:t>
      </w:r>
      <w:r>
        <w:rPr>
          <w:rFonts w:cs="Arial"/>
          <w:i/>
        </w:rPr>
        <w:t>’</w:t>
      </w:r>
      <w:r w:rsidRPr="005B2362">
        <w:rPr>
          <w:rFonts w:cs="Arial"/>
          <w:i/>
        </w:rPr>
        <w:t xml:space="preserve"> experience of social media</w:t>
      </w:r>
      <w:r w:rsidRPr="005B2362">
        <w:rPr>
          <w:rFonts w:cs="Arial"/>
        </w:rPr>
        <w:t xml:space="preserve"> (2012) 7.</w:t>
      </w:r>
    </w:p>
  </w:endnote>
  <w:endnote w:id="202">
    <w:p w14:paraId="5AF24B38"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w:t>
      </w:r>
      <w:r w:rsidRPr="004B373A">
        <w:rPr>
          <w:rFonts w:cs="Arial"/>
        </w:rPr>
        <w:t>Australian</w:t>
      </w:r>
      <w:r w:rsidRPr="005B2362">
        <w:rPr>
          <w:rFonts w:cs="Arial"/>
        </w:rPr>
        <w:t xml:space="preserve"> Communications &amp; Media Authority,</w:t>
      </w:r>
      <w:r>
        <w:rPr>
          <w:rFonts w:cs="Arial"/>
        </w:rPr>
        <w:t xml:space="preserve"> Newspoll,</w:t>
      </w:r>
      <w:r w:rsidRPr="005B2362">
        <w:rPr>
          <w:rFonts w:cs="Arial"/>
        </w:rPr>
        <w:t xml:space="preserve"> </w:t>
      </w:r>
      <w:r w:rsidRPr="005B2362">
        <w:rPr>
          <w:rFonts w:cs="Arial"/>
          <w:i/>
        </w:rPr>
        <w:t>Like, post, share: Young Australians</w:t>
      </w:r>
      <w:r>
        <w:rPr>
          <w:rFonts w:cs="Arial"/>
          <w:i/>
        </w:rPr>
        <w:t>’</w:t>
      </w:r>
      <w:r w:rsidRPr="005B2362">
        <w:rPr>
          <w:rFonts w:cs="Arial"/>
          <w:i/>
        </w:rPr>
        <w:t xml:space="preserve"> experience of social media</w:t>
      </w:r>
      <w:r w:rsidRPr="005B2362">
        <w:rPr>
          <w:rFonts w:cs="Arial"/>
        </w:rPr>
        <w:t xml:space="preserve"> (2012) 6-7.</w:t>
      </w:r>
    </w:p>
  </w:endnote>
  <w:endnote w:id="203">
    <w:p w14:paraId="1C3C929D" w14:textId="77777777" w:rsidR="00F008D2" w:rsidRDefault="00F008D2" w:rsidP="00AA3994">
      <w:pPr>
        <w:pStyle w:val="EndnoteText"/>
      </w:pPr>
      <w:r>
        <w:rPr>
          <w:rStyle w:val="EndnoteReference"/>
        </w:rPr>
        <w:endnoteRef/>
      </w:r>
      <w:r>
        <w:t xml:space="preserve"> </w:t>
      </w:r>
      <w:r w:rsidRPr="00A45DF8">
        <w:rPr>
          <w:rFonts w:cs="Arial"/>
        </w:rPr>
        <w:t>Elizabeth Thomson and Angus Laing, ‘</w:t>
      </w:r>
      <w:r>
        <w:rPr>
          <w:rFonts w:cs="Arial"/>
        </w:rPr>
        <w:t>“</w:t>
      </w:r>
      <w:r w:rsidRPr="00A45DF8">
        <w:rPr>
          <w:rFonts w:cs="Arial"/>
        </w:rPr>
        <w:t xml:space="preserve">The Net Generation”: Children and Young People, the Internet and Online Shopping’ (2003) 19 </w:t>
      </w:r>
      <w:r w:rsidRPr="00A45DF8">
        <w:rPr>
          <w:rFonts w:cs="Arial"/>
          <w:i/>
        </w:rPr>
        <w:t>Journal of Marketing Management</w:t>
      </w:r>
      <w:r>
        <w:rPr>
          <w:rFonts w:cs="Arial"/>
          <w:i/>
        </w:rPr>
        <w:t>,</w:t>
      </w:r>
      <w:r w:rsidRPr="00A45DF8">
        <w:rPr>
          <w:rFonts w:cs="Arial"/>
          <w:i/>
        </w:rPr>
        <w:t xml:space="preserve"> </w:t>
      </w:r>
      <w:r w:rsidRPr="00A45DF8">
        <w:rPr>
          <w:rFonts w:cs="Arial"/>
        </w:rPr>
        <w:t>499-503.</w:t>
      </w:r>
    </w:p>
  </w:endnote>
  <w:endnote w:id="204">
    <w:p w14:paraId="5AD160C2" w14:textId="77777777" w:rsidR="00F008D2" w:rsidRPr="005B2362" w:rsidRDefault="00F008D2" w:rsidP="00AA3994">
      <w:pPr>
        <w:spacing w:before="0" w:after="0"/>
        <w:rPr>
          <w:rFonts w:cs="Arial"/>
          <w:sz w:val="20"/>
          <w:szCs w:val="20"/>
        </w:rPr>
      </w:pPr>
      <w:r w:rsidRPr="005B2362">
        <w:rPr>
          <w:rStyle w:val="EndnoteReference"/>
          <w:rFonts w:cs="Arial"/>
          <w:szCs w:val="20"/>
        </w:rPr>
        <w:endnoteRef/>
      </w:r>
      <w:r w:rsidRPr="005B2362">
        <w:rPr>
          <w:rFonts w:cs="Arial"/>
          <w:sz w:val="20"/>
          <w:szCs w:val="20"/>
        </w:rPr>
        <w:t xml:space="preserve"> </w:t>
      </w:r>
      <w:r w:rsidRPr="00A45DF8">
        <w:rPr>
          <w:rFonts w:cs="Arial"/>
          <w:sz w:val="20"/>
          <w:szCs w:val="20"/>
        </w:rPr>
        <w:t>Elizabeth Thomson and Angus Laing, ‘</w:t>
      </w:r>
      <w:r>
        <w:rPr>
          <w:rFonts w:cs="Arial"/>
          <w:sz w:val="20"/>
          <w:szCs w:val="20"/>
        </w:rPr>
        <w:t>“</w:t>
      </w:r>
      <w:r w:rsidRPr="00A45DF8">
        <w:rPr>
          <w:rFonts w:cs="Arial"/>
          <w:sz w:val="20"/>
          <w:szCs w:val="20"/>
        </w:rPr>
        <w:t xml:space="preserve">The Net Generation”: Children and Young People, the Internet and Online Shopping’ (2003) 19 </w:t>
      </w:r>
      <w:r w:rsidRPr="00A45DF8">
        <w:rPr>
          <w:rFonts w:cs="Arial"/>
          <w:i/>
          <w:sz w:val="20"/>
          <w:szCs w:val="20"/>
        </w:rPr>
        <w:t>Journal of Marketing Management</w:t>
      </w:r>
      <w:r w:rsidRPr="00A45DF8">
        <w:rPr>
          <w:rFonts w:cs="Arial"/>
          <w:sz w:val="20"/>
          <w:szCs w:val="20"/>
        </w:rPr>
        <w:t xml:space="preserve">, 500. </w:t>
      </w:r>
    </w:p>
  </w:endnote>
  <w:endnote w:id="205">
    <w:p w14:paraId="2D79D682"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Shelly Freierman, ‘One Million Mobile Apps, and Counting at a Fast Pace’, </w:t>
      </w:r>
      <w:r w:rsidRPr="005B2362">
        <w:rPr>
          <w:rFonts w:cs="Arial"/>
          <w:i/>
        </w:rPr>
        <w:t>The New York</w:t>
      </w:r>
      <w:r w:rsidRPr="005468F3">
        <w:rPr>
          <w:rFonts w:cs="Arial"/>
          <w:i/>
        </w:rPr>
        <w:t xml:space="preserve"> Times</w:t>
      </w:r>
      <w:r w:rsidRPr="005B2362">
        <w:rPr>
          <w:rFonts w:cs="Arial"/>
        </w:rPr>
        <w:t xml:space="preserve"> (online), 11 December 2011 &lt;</w:t>
      </w:r>
      <w:hyperlink r:id="rId103" w:history="1">
        <w:r w:rsidRPr="00420D5E">
          <w:rPr>
            <w:rStyle w:val="Hyperlink"/>
            <w:rFonts w:cs="Arial"/>
            <w:color w:val="000000" w:themeColor="text1"/>
            <w:u w:val="none"/>
          </w:rPr>
          <w:t>http://www.nytimes.com/2011/12/12/technology/one-million-apps-and-counting.html?_r=0</w:t>
        </w:r>
      </w:hyperlink>
      <w:r w:rsidRPr="00420D5E">
        <w:rPr>
          <w:rFonts w:cs="Arial"/>
          <w:color w:val="000000" w:themeColor="text1"/>
        </w:rPr>
        <w:t>&gt;.</w:t>
      </w:r>
    </w:p>
  </w:endnote>
  <w:endnote w:id="206">
    <w:p w14:paraId="3626FF83"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w:t>
      </w:r>
      <w:r w:rsidRPr="00A45DF8">
        <w:rPr>
          <w:rFonts w:cs="Arial"/>
        </w:rPr>
        <w:t xml:space="preserve">Commonwealth Consumer Affairs Advisory Council, </w:t>
      </w:r>
      <w:r w:rsidRPr="00A45DF8">
        <w:rPr>
          <w:rFonts w:cs="Arial"/>
          <w:i/>
        </w:rPr>
        <w:t>App purchases by Australian consumers on mobile and handheld devices</w:t>
      </w:r>
      <w:r w:rsidRPr="00A45DF8">
        <w:rPr>
          <w:rFonts w:cs="Arial"/>
        </w:rPr>
        <w:t xml:space="preserve">: </w:t>
      </w:r>
      <w:r w:rsidRPr="00A45DF8">
        <w:rPr>
          <w:rFonts w:cs="Arial"/>
          <w:i/>
        </w:rPr>
        <w:t>Inquiry report</w:t>
      </w:r>
      <w:r w:rsidRPr="00A45DF8">
        <w:rPr>
          <w:rFonts w:cs="Arial"/>
        </w:rPr>
        <w:t xml:space="preserve"> (2013) vii.</w:t>
      </w:r>
    </w:p>
  </w:endnote>
  <w:endnote w:id="207">
    <w:p w14:paraId="1125069B"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w:t>
      </w:r>
      <w:r w:rsidRPr="00A45DF8">
        <w:rPr>
          <w:rFonts w:cs="Arial"/>
        </w:rPr>
        <w:t xml:space="preserve">Committee on the Rights of the Child, </w:t>
      </w:r>
      <w:r w:rsidRPr="00A45DF8">
        <w:rPr>
          <w:rFonts w:cs="Arial"/>
          <w:i/>
        </w:rPr>
        <w:t>General Comment No.16 on State obligations regarding the impact of the business sector on children’s rights</w:t>
      </w:r>
      <w:r w:rsidRPr="00A45DF8">
        <w:rPr>
          <w:rFonts w:cs="Arial"/>
        </w:rPr>
        <w:t xml:space="preserve">, </w:t>
      </w:r>
      <w:r>
        <w:rPr>
          <w:rFonts w:cs="Arial"/>
        </w:rPr>
        <w:t>UN Doc CRC/C/GC/16 (April 2013);</w:t>
      </w:r>
      <w:r w:rsidRPr="00A45DF8">
        <w:rPr>
          <w:rFonts w:cs="Arial"/>
        </w:rPr>
        <w:t xml:space="preserve"> UNICEF, The Global Compact, Save the Children,</w:t>
      </w:r>
      <w:r w:rsidRPr="00A45DF8" w:rsidDel="00116E10">
        <w:rPr>
          <w:rFonts w:cs="Arial"/>
          <w:i/>
        </w:rPr>
        <w:t xml:space="preserve"> </w:t>
      </w:r>
      <w:r w:rsidRPr="00A45DF8">
        <w:rPr>
          <w:rFonts w:cs="Arial"/>
          <w:i/>
        </w:rPr>
        <w:t>Children’s Rights and Business Principles</w:t>
      </w:r>
      <w:r>
        <w:rPr>
          <w:rFonts w:cs="Arial"/>
        </w:rPr>
        <w:t xml:space="preserve"> (2012);</w:t>
      </w:r>
      <w:r w:rsidRPr="00A45DF8">
        <w:rPr>
          <w:rFonts w:cs="Arial"/>
        </w:rPr>
        <w:t xml:space="preserve"> Australian Human Rights Commission, </w:t>
      </w:r>
      <w:r w:rsidRPr="00A45DF8">
        <w:rPr>
          <w:rFonts w:cs="Arial"/>
          <w:i/>
        </w:rPr>
        <w:t>Strategic Plan 2014-201</w:t>
      </w:r>
      <w:r w:rsidRPr="00A45DF8">
        <w:rPr>
          <w:rFonts w:cs="Arial"/>
        </w:rPr>
        <w:t>8 (2014) 7.</w:t>
      </w:r>
    </w:p>
  </w:endnote>
  <w:endnote w:id="208">
    <w:p w14:paraId="547B1CC2" w14:textId="77777777" w:rsidR="00F008D2" w:rsidRPr="005B2362" w:rsidRDefault="00F008D2" w:rsidP="00AA3994">
      <w:pPr>
        <w:pStyle w:val="EndnoteText"/>
        <w:rPr>
          <w:rFonts w:cs="Arial"/>
        </w:rPr>
      </w:pPr>
      <w:r w:rsidRPr="005B2362">
        <w:rPr>
          <w:rStyle w:val="EndnoteReference"/>
          <w:rFonts w:cs="Arial"/>
        </w:rPr>
        <w:endnoteRef/>
      </w:r>
      <w:r>
        <w:rPr>
          <w:rFonts w:cs="Arial"/>
        </w:rPr>
        <w:t xml:space="preserve"> Committee o</w:t>
      </w:r>
      <w:r w:rsidRPr="005B2362">
        <w:rPr>
          <w:rFonts w:cs="Arial"/>
        </w:rPr>
        <w:t xml:space="preserve">n the Rights of the Child, </w:t>
      </w:r>
      <w:r w:rsidRPr="005B2362">
        <w:rPr>
          <w:rFonts w:cs="Arial"/>
          <w:i/>
        </w:rPr>
        <w:t>General Comment No.16 on State obligations regarding the impact of the business sector on children’s rights</w:t>
      </w:r>
      <w:r w:rsidRPr="005B2362">
        <w:rPr>
          <w:rFonts w:cs="Arial"/>
        </w:rPr>
        <w:t>, UN Doc CRC/C/GC/16 (</w:t>
      </w:r>
      <w:r>
        <w:rPr>
          <w:rFonts w:cs="Arial"/>
        </w:rPr>
        <w:t>17 April 2013)</w:t>
      </w:r>
      <w:r w:rsidRPr="005B2362">
        <w:rPr>
          <w:rFonts w:cs="Arial"/>
        </w:rPr>
        <w:t xml:space="preserve"> </w:t>
      </w:r>
      <w:r>
        <w:rPr>
          <w:rFonts w:cs="Arial"/>
        </w:rPr>
        <w:t>[</w:t>
      </w:r>
      <w:r w:rsidRPr="005B2362">
        <w:rPr>
          <w:rFonts w:cs="Arial"/>
        </w:rPr>
        <w:t>83</w:t>
      </w:r>
      <w:r>
        <w:rPr>
          <w:rFonts w:cs="Arial"/>
        </w:rPr>
        <w:t>]</w:t>
      </w:r>
      <w:r w:rsidRPr="005B2362">
        <w:rPr>
          <w:rFonts w:cs="Arial"/>
        </w:rPr>
        <w:t>.</w:t>
      </w:r>
    </w:p>
  </w:endnote>
  <w:endnote w:id="209">
    <w:p w14:paraId="120B1E03"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sidRPr="005B2362">
        <w:rPr>
          <w:rFonts w:cs="Arial"/>
          <w:i/>
        </w:rPr>
        <w:t>General Comment No.16 on State obligations regarding the impact of the business sector on children’s rights</w:t>
      </w:r>
      <w:r w:rsidRPr="005B2362">
        <w:rPr>
          <w:rFonts w:cs="Arial"/>
        </w:rPr>
        <w:t>, UN Doc C</w:t>
      </w:r>
      <w:r>
        <w:rPr>
          <w:rFonts w:cs="Arial"/>
        </w:rPr>
        <w:t>RC/C/GC/16 (April 2013) [12]; Committee o</w:t>
      </w:r>
      <w:r w:rsidRPr="005B2362">
        <w:rPr>
          <w:rFonts w:cs="Arial"/>
        </w:rPr>
        <w:t xml:space="preserve">n the Rights of the Child, </w:t>
      </w:r>
      <w:r w:rsidRPr="005B2362">
        <w:rPr>
          <w:rFonts w:cs="Arial"/>
          <w:i/>
        </w:rPr>
        <w:t xml:space="preserve">General Comment </w:t>
      </w:r>
      <w:r>
        <w:rPr>
          <w:rFonts w:cs="Arial"/>
          <w:i/>
        </w:rPr>
        <w:t>No.13 The right of the child to freedom from all forms of violence</w:t>
      </w:r>
      <w:r>
        <w:rPr>
          <w:rFonts w:cs="Arial"/>
        </w:rPr>
        <w:t>, UN Doc CRC/C/GC/13 (April 2011) [59]</w:t>
      </w:r>
      <w:r w:rsidRPr="005B2362">
        <w:rPr>
          <w:rFonts w:cs="Arial"/>
        </w:rPr>
        <w:t>.</w:t>
      </w:r>
    </w:p>
  </w:endnote>
  <w:endnote w:id="210">
    <w:p w14:paraId="4F8B2345" w14:textId="77777777" w:rsidR="00F008D2" w:rsidRDefault="00F008D2" w:rsidP="00AA3994">
      <w:pPr>
        <w:pStyle w:val="EndnoteText"/>
      </w:pPr>
      <w:r>
        <w:rPr>
          <w:rStyle w:val="EndnoteReference"/>
        </w:rPr>
        <w:endnoteRef/>
      </w:r>
      <w:r>
        <w:t xml:space="preserve"> </w:t>
      </w:r>
      <w:r w:rsidRPr="005B2362">
        <w:rPr>
          <w:rFonts w:cs="Arial"/>
        </w:rPr>
        <w:t xml:space="preserve">Australian Human Rights Commission, </w:t>
      </w:r>
      <w:r w:rsidRPr="0094062F">
        <w:rPr>
          <w:rFonts w:cs="Arial"/>
          <w:i/>
        </w:rPr>
        <w:t>Corporate Plan 2015-2016</w:t>
      </w:r>
      <w:r>
        <w:rPr>
          <w:rFonts w:cs="Arial"/>
        </w:rPr>
        <w:t xml:space="preserve"> (2015) 6.</w:t>
      </w:r>
    </w:p>
  </w:endnote>
  <w:endnote w:id="211">
    <w:p w14:paraId="27D4E12A"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sidRPr="005B2362">
        <w:rPr>
          <w:rFonts w:cs="Arial"/>
          <w:i/>
        </w:rPr>
        <w:t xml:space="preserve">General Comment </w:t>
      </w:r>
      <w:r>
        <w:rPr>
          <w:rFonts w:cs="Arial"/>
          <w:i/>
        </w:rPr>
        <w:t>No.13 The right of the child to freedom from all forms of violence</w:t>
      </w:r>
      <w:r>
        <w:rPr>
          <w:rFonts w:cs="Arial"/>
        </w:rPr>
        <w:t>, UN Doc CRC/C/GC/13 (April 2011) [59]</w:t>
      </w:r>
      <w:r w:rsidRPr="005B2362">
        <w:rPr>
          <w:rFonts w:cs="Arial"/>
        </w:rPr>
        <w:t>.</w:t>
      </w:r>
    </w:p>
  </w:endnote>
  <w:endnote w:id="212">
    <w:p w14:paraId="2CCECC98"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sidRPr="005B2362">
        <w:rPr>
          <w:rFonts w:cs="Arial"/>
          <w:i/>
        </w:rPr>
        <w:t xml:space="preserve">General Comment </w:t>
      </w:r>
      <w:r>
        <w:rPr>
          <w:rFonts w:cs="Arial"/>
          <w:i/>
        </w:rPr>
        <w:t>No.13 The right of the child to freedom from all forms of violence</w:t>
      </w:r>
      <w:r>
        <w:rPr>
          <w:rFonts w:cs="Arial"/>
        </w:rPr>
        <w:t>, UN Doc CRC/C/GC/13 (April 2011) [59]</w:t>
      </w:r>
      <w:r w:rsidRPr="005B2362">
        <w:rPr>
          <w:rFonts w:cs="Arial"/>
        </w:rPr>
        <w:t>.</w:t>
      </w:r>
    </w:p>
  </w:endnote>
  <w:endnote w:id="213">
    <w:p w14:paraId="148BAFE0"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sidRPr="005B2362">
        <w:rPr>
          <w:rFonts w:cs="Arial"/>
          <w:i/>
        </w:rPr>
        <w:t xml:space="preserve">General Comment </w:t>
      </w:r>
      <w:r>
        <w:rPr>
          <w:rFonts w:cs="Arial"/>
          <w:i/>
        </w:rPr>
        <w:t>No.13 The right of the child to freedom from all forms of violence</w:t>
      </w:r>
      <w:r>
        <w:rPr>
          <w:rFonts w:cs="Arial"/>
        </w:rPr>
        <w:t>, UN Doc CRC/C/GC/13 (April 2011) [59]</w:t>
      </w:r>
      <w:r w:rsidRPr="005B2362">
        <w:rPr>
          <w:rFonts w:cs="Arial"/>
        </w:rPr>
        <w:t>.</w:t>
      </w:r>
    </w:p>
  </w:endnote>
  <w:endnote w:id="214">
    <w:p w14:paraId="4DE6D0E2"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sidRPr="005B2362">
        <w:rPr>
          <w:rFonts w:cs="Arial"/>
          <w:i/>
        </w:rPr>
        <w:t>General Comment No.</w:t>
      </w:r>
      <w:r>
        <w:rPr>
          <w:rFonts w:cs="Arial"/>
          <w:i/>
        </w:rPr>
        <w:t>5 on General measures of implementation of the Convention on the Rights of the Child (arts. 4, 42 and 44)</w:t>
      </w:r>
      <w:r w:rsidRPr="005B2362">
        <w:rPr>
          <w:rFonts w:cs="Arial"/>
        </w:rPr>
        <w:t>, UN Doc C</w:t>
      </w:r>
      <w:r>
        <w:rPr>
          <w:rFonts w:cs="Arial"/>
        </w:rPr>
        <w:t>RC/C/GC/2003/5 (November 2003) [12].</w:t>
      </w:r>
    </w:p>
  </w:endnote>
  <w:endnote w:id="215">
    <w:p w14:paraId="2AE843E5"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sidRPr="005B2362">
        <w:rPr>
          <w:rFonts w:cs="Arial"/>
          <w:i/>
        </w:rPr>
        <w:t>General Comment No.16 on State obligations regarding the impact of the business sector on children’s rights</w:t>
      </w:r>
      <w:r w:rsidRPr="005B2362">
        <w:rPr>
          <w:rFonts w:cs="Arial"/>
        </w:rPr>
        <w:t>, UN Doc C</w:t>
      </w:r>
      <w:r>
        <w:rPr>
          <w:rFonts w:cs="Arial"/>
        </w:rPr>
        <w:t>RC/C/GC/16 (April 2013) [13].</w:t>
      </w:r>
    </w:p>
  </w:endnote>
  <w:endnote w:id="216">
    <w:p w14:paraId="2B818135"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sidRPr="005B2362">
        <w:rPr>
          <w:rFonts w:cs="Arial"/>
          <w:i/>
        </w:rPr>
        <w:t>General Comment No.16 on State obligations regarding the impact of the business sector on children’s rights</w:t>
      </w:r>
      <w:r w:rsidRPr="005B2362">
        <w:rPr>
          <w:rFonts w:cs="Arial"/>
        </w:rPr>
        <w:t>, UN Doc C</w:t>
      </w:r>
      <w:r>
        <w:rPr>
          <w:rFonts w:cs="Arial"/>
        </w:rPr>
        <w:t>RC/C/GC/16 (April 2013) [14].</w:t>
      </w:r>
    </w:p>
  </w:endnote>
  <w:endnote w:id="217">
    <w:p w14:paraId="2246A001"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Pr>
          <w:rFonts w:cs="Arial"/>
          <w:i/>
        </w:rPr>
        <w:t>General Comment No.14</w:t>
      </w:r>
      <w:r w:rsidRPr="005B2362">
        <w:rPr>
          <w:rFonts w:cs="Arial"/>
          <w:i/>
        </w:rPr>
        <w:t xml:space="preserve"> on </w:t>
      </w:r>
      <w:r>
        <w:rPr>
          <w:rFonts w:cs="Arial"/>
          <w:i/>
        </w:rPr>
        <w:t>the right of the child to have his or her best interests taken as a primary consideration</w:t>
      </w:r>
      <w:r w:rsidRPr="005B2362">
        <w:rPr>
          <w:rFonts w:cs="Arial"/>
        </w:rPr>
        <w:t>, UN Doc C</w:t>
      </w:r>
      <w:r>
        <w:rPr>
          <w:rFonts w:cs="Arial"/>
        </w:rPr>
        <w:t>RC/C/GC/14 (May 2013) [14].</w:t>
      </w:r>
    </w:p>
  </w:endnote>
  <w:endnote w:id="218">
    <w:p w14:paraId="0A75005D"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sidRPr="005B2362">
        <w:rPr>
          <w:rFonts w:cs="Arial"/>
          <w:i/>
        </w:rPr>
        <w:t>General Comment No.16 on State obligations regarding the impact of the business sector on children’s rights</w:t>
      </w:r>
      <w:r w:rsidRPr="005B2362">
        <w:rPr>
          <w:rFonts w:cs="Arial"/>
        </w:rPr>
        <w:t>, UN Doc C</w:t>
      </w:r>
      <w:r>
        <w:rPr>
          <w:rFonts w:cs="Arial"/>
        </w:rPr>
        <w:t>RC/C/GC/16 (April 2013) [15].</w:t>
      </w:r>
    </w:p>
  </w:endnote>
  <w:endnote w:id="219">
    <w:p w14:paraId="459B9387"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sidRPr="005B2362">
        <w:rPr>
          <w:rFonts w:cs="Arial"/>
          <w:i/>
        </w:rPr>
        <w:t>General Comment No.16 on State obligations regarding the impact of the business sector on children’s rights</w:t>
      </w:r>
      <w:r w:rsidRPr="005B2362">
        <w:rPr>
          <w:rFonts w:cs="Arial"/>
        </w:rPr>
        <w:t>, UN Doc C</w:t>
      </w:r>
      <w:r>
        <w:rPr>
          <w:rFonts w:cs="Arial"/>
        </w:rPr>
        <w:t>RC/C/GC/16 (April 2013) [17].</w:t>
      </w:r>
    </w:p>
  </w:endnote>
  <w:endnote w:id="220">
    <w:p w14:paraId="7C776E2B"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sidRPr="005B2362">
        <w:rPr>
          <w:rFonts w:cs="Arial"/>
          <w:i/>
        </w:rPr>
        <w:t>General Comment No.</w:t>
      </w:r>
      <w:r>
        <w:rPr>
          <w:rFonts w:cs="Arial"/>
          <w:i/>
        </w:rPr>
        <w:t>5 on General measures of implementation of the Convention on the Rights of the Child (arts. 4, 42 and 44)</w:t>
      </w:r>
      <w:r w:rsidRPr="005B2362">
        <w:rPr>
          <w:rFonts w:cs="Arial"/>
        </w:rPr>
        <w:t>, UN Doc C</w:t>
      </w:r>
      <w:r>
        <w:rPr>
          <w:rFonts w:cs="Arial"/>
        </w:rPr>
        <w:t>RC/C/GC/2003/5 (November 2003) [12].</w:t>
      </w:r>
    </w:p>
  </w:endnote>
  <w:endnote w:id="221">
    <w:p w14:paraId="0CCA5672"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sidRPr="005B2362">
        <w:rPr>
          <w:rFonts w:cs="Arial"/>
          <w:i/>
        </w:rPr>
        <w:t>General Comment No.16 on State obligations regarding the impact of the business sector on children’s rights</w:t>
      </w:r>
      <w:r w:rsidRPr="005B2362">
        <w:rPr>
          <w:rFonts w:cs="Arial"/>
        </w:rPr>
        <w:t>, UN Doc C</w:t>
      </w:r>
      <w:r>
        <w:rPr>
          <w:rFonts w:cs="Arial"/>
        </w:rPr>
        <w:t>RC/C/GC/16 (April 2013) [19].</w:t>
      </w:r>
    </w:p>
  </w:endnote>
  <w:endnote w:id="222">
    <w:p w14:paraId="4962F967"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sidRPr="005B2362">
        <w:rPr>
          <w:rFonts w:cs="Arial"/>
          <w:i/>
        </w:rPr>
        <w:t>General Comment No.16 on State obligations regarding the impact of the business sector on children’s rights</w:t>
      </w:r>
      <w:r w:rsidRPr="005B2362">
        <w:rPr>
          <w:rFonts w:cs="Arial"/>
        </w:rPr>
        <w:t>, UN Doc C</w:t>
      </w:r>
      <w:r>
        <w:rPr>
          <w:rFonts w:cs="Arial"/>
        </w:rPr>
        <w:t>RC/C/GC/16 (April 2013) [20].</w:t>
      </w:r>
    </w:p>
  </w:endnote>
  <w:endnote w:id="223">
    <w:p w14:paraId="7506C1C7"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sidRPr="005B2362">
        <w:rPr>
          <w:rFonts w:cs="Arial"/>
          <w:i/>
        </w:rPr>
        <w:t>General Comment No.16 on State obligations regarding the impact of the business sector on children’s rights</w:t>
      </w:r>
      <w:r w:rsidRPr="005B2362">
        <w:rPr>
          <w:rFonts w:cs="Arial"/>
        </w:rPr>
        <w:t>, UN Doc C</w:t>
      </w:r>
      <w:r>
        <w:rPr>
          <w:rFonts w:cs="Arial"/>
        </w:rPr>
        <w:t>RC/C/GC/16 (April 2013) [22].</w:t>
      </w:r>
    </w:p>
  </w:endnote>
  <w:endnote w:id="224">
    <w:p w14:paraId="1F44D593"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sidRPr="005B2362">
        <w:rPr>
          <w:rFonts w:cs="Arial"/>
          <w:i/>
        </w:rPr>
        <w:t>General Comment No.16 on State obligations regarding the impact of the business sector on children’s rights</w:t>
      </w:r>
      <w:r w:rsidRPr="005B2362">
        <w:rPr>
          <w:rFonts w:cs="Arial"/>
        </w:rPr>
        <w:t>, UN Doc C</w:t>
      </w:r>
      <w:r>
        <w:rPr>
          <w:rFonts w:cs="Arial"/>
        </w:rPr>
        <w:t>RC/C/GC/16 (April 2013) [21].</w:t>
      </w:r>
    </w:p>
  </w:endnote>
  <w:endnote w:id="225">
    <w:p w14:paraId="2EC219A2" w14:textId="77777777" w:rsidR="00F008D2" w:rsidRDefault="00F008D2" w:rsidP="00AA3994">
      <w:pPr>
        <w:pStyle w:val="EndnoteText"/>
      </w:pPr>
      <w:r>
        <w:rPr>
          <w:rStyle w:val="EndnoteReference"/>
        </w:rPr>
        <w:endnoteRef/>
      </w:r>
      <w:r>
        <w:t xml:space="preserve"> </w:t>
      </w:r>
      <w:r w:rsidRPr="005B2362">
        <w:rPr>
          <w:rFonts w:cs="Arial"/>
        </w:rPr>
        <w:t>C</w:t>
      </w:r>
      <w:r>
        <w:rPr>
          <w:rFonts w:cs="Arial"/>
        </w:rPr>
        <w:t>ommittee o</w:t>
      </w:r>
      <w:r w:rsidRPr="005B2362">
        <w:rPr>
          <w:rFonts w:cs="Arial"/>
        </w:rPr>
        <w:t xml:space="preserve">n the Rights of the Child, </w:t>
      </w:r>
      <w:r>
        <w:rPr>
          <w:rFonts w:cs="Arial"/>
          <w:i/>
        </w:rPr>
        <w:t>General Comment No.12</w:t>
      </w:r>
      <w:r w:rsidRPr="005B2362">
        <w:rPr>
          <w:rFonts w:cs="Arial"/>
          <w:i/>
        </w:rPr>
        <w:t xml:space="preserve"> on </w:t>
      </w:r>
      <w:r>
        <w:rPr>
          <w:rFonts w:cs="Arial"/>
          <w:i/>
        </w:rPr>
        <w:t>the right of the child to be heard</w:t>
      </w:r>
      <w:r w:rsidRPr="005B2362">
        <w:rPr>
          <w:rFonts w:cs="Arial"/>
        </w:rPr>
        <w:t>, UN Doc C</w:t>
      </w:r>
      <w:r>
        <w:rPr>
          <w:rFonts w:cs="Arial"/>
        </w:rPr>
        <w:t>RC/C/GC/12 (July 2009) [11].</w:t>
      </w:r>
    </w:p>
  </w:endnote>
  <w:endnote w:id="226">
    <w:p w14:paraId="675E1C4A"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Pr>
          <w:rFonts w:cs="Arial"/>
          <w:i/>
        </w:rPr>
        <w:t>General Comment No.12</w:t>
      </w:r>
      <w:r w:rsidRPr="005B2362">
        <w:rPr>
          <w:rFonts w:cs="Arial"/>
          <w:i/>
        </w:rPr>
        <w:t xml:space="preserve"> on </w:t>
      </w:r>
      <w:r>
        <w:rPr>
          <w:rFonts w:cs="Arial"/>
          <w:i/>
        </w:rPr>
        <w:t>the right of the child to be heard</w:t>
      </w:r>
      <w:r w:rsidRPr="005B2362">
        <w:rPr>
          <w:rFonts w:cs="Arial"/>
        </w:rPr>
        <w:t>, UN Doc C</w:t>
      </w:r>
      <w:r>
        <w:rPr>
          <w:rFonts w:cs="Arial"/>
        </w:rPr>
        <w:t>RC/C/GC/12 (July 2009) [27].</w:t>
      </w:r>
    </w:p>
  </w:endnote>
  <w:endnote w:id="227">
    <w:p w14:paraId="207024D1"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Pr>
          <w:rFonts w:cs="Arial"/>
          <w:i/>
        </w:rPr>
        <w:t>General Comment No.12</w:t>
      </w:r>
      <w:r w:rsidRPr="005B2362">
        <w:rPr>
          <w:rFonts w:cs="Arial"/>
          <w:i/>
        </w:rPr>
        <w:t xml:space="preserve"> on </w:t>
      </w:r>
      <w:r>
        <w:rPr>
          <w:rFonts w:cs="Arial"/>
          <w:i/>
        </w:rPr>
        <w:t>the right of the child to be heard</w:t>
      </w:r>
      <w:r w:rsidRPr="005B2362">
        <w:rPr>
          <w:rFonts w:cs="Arial"/>
        </w:rPr>
        <w:t>, UN Doc C</w:t>
      </w:r>
      <w:r>
        <w:rPr>
          <w:rFonts w:cs="Arial"/>
        </w:rPr>
        <w:t>RC/C/GC/12 (July 2009) [48].</w:t>
      </w:r>
    </w:p>
  </w:endnote>
  <w:endnote w:id="228">
    <w:p w14:paraId="094128EA" w14:textId="77777777" w:rsidR="00F008D2" w:rsidRPr="00C76526" w:rsidRDefault="00F008D2" w:rsidP="00AA3994">
      <w:pPr>
        <w:pStyle w:val="EndnoteText"/>
        <w:rPr>
          <w:lang w:val="en-US"/>
        </w:rPr>
      </w:pPr>
      <w:r>
        <w:rPr>
          <w:rStyle w:val="EndnoteReference"/>
        </w:rPr>
        <w:endnoteRef/>
      </w:r>
      <w:r>
        <w:t xml:space="preserve"> </w:t>
      </w:r>
      <w:r w:rsidRPr="0094062F">
        <w:t xml:space="preserve">P. B </w:t>
      </w:r>
      <w:r w:rsidRPr="0094062F">
        <w:rPr>
          <w:lang w:val="en-US"/>
        </w:rPr>
        <w:t xml:space="preserve">Seybold, </w:t>
      </w:r>
      <w:r w:rsidRPr="0094062F">
        <w:rPr>
          <w:i/>
          <w:lang w:val="en-US"/>
        </w:rPr>
        <w:t>Outside Innovation: how your customers will co-design your company’s future</w:t>
      </w:r>
      <w:r>
        <w:rPr>
          <w:lang w:val="en-US"/>
        </w:rPr>
        <w:t xml:space="preserve"> (Collins, 2006).</w:t>
      </w:r>
    </w:p>
  </w:endnote>
  <w:endnote w:id="229">
    <w:p w14:paraId="23CB5B52"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Pr>
          <w:rFonts w:cs="Arial"/>
          <w:i/>
        </w:rPr>
        <w:t>General Comment No.12</w:t>
      </w:r>
      <w:r w:rsidRPr="005B2362">
        <w:rPr>
          <w:rFonts w:cs="Arial"/>
          <w:i/>
        </w:rPr>
        <w:t xml:space="preserve"> on </w:t>
      </w:r>
      <w:r>
        <w:rPr>
          <w:rFonts w:cs="Arial"/>
          <w:i/>
        </w:rPr>
        <w:t>the right of the child to be heard</w:t>
      </w:r>
      <w:r w:rsidRPr="005B2362">
        <w:rPr>
          <w:rFonts w:cs="Arial"/>
        </w:rPr>
        <w:t>, UN Doc C</w:t>
      </w:r>
      <w:r>
        <w:rPr>
          <w:rFonts w:cs="Arial"/>
        </w:rPr>
        <w:t>RC/C/GC/12 (July 2009) [82].</w:t>
      </w:r>
    </w:p>
  </w:endnote>
  <w:endnote w:id="230">
    <w:p w14:paraId="4B7B291D"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Pr>
          <w:rFonts w:cs="Arial"/>
          <w:i/>
        </w:rPr>
        <w:t>General Comment No.14</w:t>
      </w:r>
      <w:r w:rsidRPr="005B2362">
        <w:rPr>
          <w:rFonts w:cs="Arial"/>
          <w:i/>
        </w:rPr>
        <w:t xml:space="preserve"> on </w:t>
      </w:r>
      <w:r>
        <w:rPr>
          <w:rFonts w:cs="Arial"/>
          <w:i/>
        </w:rPr>
        <w:t>the right of the child to have his or her best interests taken as a primary consideration</w:t>
      </w:r>
      <w:r w:rsidRPr="005B2362">
        <w:rPr>
          <w:rFonts w:cs="Arial"/>
        </w:rPr>
        <w:t>, UN Doc C</w:t>
      </w:r>
      <w:r>
        <w:rPr>
          <w:rFonts w:cs="Arial"/>
        </w:rPr>
        <w:t>RC/C/GC/14 (May 2013) [55].</w:t>
      </w:r>
    </w:p>
  </w:endnote>
  <w:endnote w:id="231">
    <w:p w14:paraId="4EE50C95"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Pr>
          <w:rFonts w:cs="Arial"/>
          <w:i/>
        </w:rPr>
        <w:t>General Comment No.14</w:t>
      </w:r>
      <w:r w:rsidRPr="005B2362">
        <w:rPr>
          <w:rFonts w:cs="Arial"/>
          <w:i/>
        </w:rPr>
        <w:t xml:space="preserve"> on </w:t>
      </w:r>
      <w:r>
        <w:rPr>
          <w:rFonts w:cs="Arial"/>
          <w:i/>
        </w:rPr>
        <w:t>the right of the child to have his or her best interests taken as a primary consideration</w:t>
      </w:r>
      <w:r w:rsidRPr="005B2362">
        <w:rPr>
          <w:rFonts w:cs="Arial"/>
        </w:rPr>
        <w:t>, UN Doc C</w:t>
      </w:r>
      <w:r>
        <w:rPr>
          <w:rFonts w:cs="Arial"/>
        </w:rPr>
        <w:t>RC/C/GC/14 (May 2013) [55].</w:t>
      </w:r>
    </w:p>
  </w:endnote>
  <w:endnote w:id="232">
    <w:p w14:paraId="4420A22B" w14:textId="4F383AF7" w:rsidR="00F008D2" w:rsidRDefault="00F008D2" w:rsidP="00AA3994">
      <w:pPr>
        <w:pStyle w:val="EndnoteText"/>
      </w:pPr>
      <w:r>
        <w:rPr>
          <w:rStyle w:val="EndnoteReference"/>
        </w:rPr>
        <w:endnoteRef/>
      </w:r>
      <w:r>
        <w:t xml:space="preserve"> </w:t>
      </w:r>
      <w:r w:rsidRPr="003F1810">
        <w:rPr>
          <w:rStyle w:val="selectable"/>
          <w:rFonts w:cs="Arial"/>
          <w:color w:val="000000"/>
          <w:lang w:val="en"/>
        </w:rPr>
        <w:t>Aus</w:t>
      </w:r>
      <w:r>
        <w:rPr>
          <w:rStyle w:val="selectable"/>
          <w:rFonts w:cs="Arial"/>
          <w:color w:val="000000"/>
          <w:lang w:val="en"/>
        </w:rPr>
        <w:t xml:space="preserve">tralian Law Reform Commission, </w:t>
      </w:r>
      <w:r w:rsidRPr="00AC25D5">
        <w:rPr>
          <w:rStyle w:val="selectable"/>
          <w:rFonts w:cs="Arial"/>
          <w:i/>
          <w:color w:val="000000"/>
          <w:lang w:val="en"/>
        </w:rPr>
        <w:t>Speaking For Ourselves: Children And The Leg</w:t>
      </w:r>
      <w:r>
        <w:rPr>
          <w:rStyle w:val="selectable"/>
          <w:rFonts w:cs="Arial"/>
          <w:i/>
          <w:color w:val="000000"/>
          <w:lang w:val="en"/>
        </w:rPr>
        <w:t>al Process - Kids Issues Paper</w:t>
      </w:r>
      <w:r w:rsidRPr="00AC25D5">
        <w:rPr>
          <w:rStyle w:val="selectable"/>
          <w:rFonts w:cs="Arial"/>
          <w:color w:val="000000"/>
          <w:lang w:val="en"/>
        </w:rPr>
        <w:t>, IP Report No 17</w:t>
      </w:r>
      <w:r>
        <w:rPr>
          <w:rStyle w:val="selectable"/>
          <w:rFonts w:cs="Arial"/>
          <w:color w:val="000000"/>
          <w:lang w:val="en"/>
        </w:rPr>
        <w:t xml:space="preserve"> (1996)</w:t>
      </w:r>
      <w:r w:rsidRPr="00AC25D5">
        <w:rPr>
          <w:rStyle w:val="selectable"/>
          <w:rFonts w:cs="Arial"/>
          <w:color w:val="000000"/>
          <w:lang w:val="en"/>
        </w:rPr>
        <w:t xml:space="preserve"> </w:t>
      </w:r>
      <w:r>
        <w:rPr>
          <w:rStyle w:val="selectable"/>
          <w:rFonts w:cs="Arial"/>
          <w:color w:val="000000"/>
          <w:lang w:val="en"/>
        </w:rPr>
        <w:t>&lt;</w:t>
      </w:r>
      <w:hyperlink r:id="rId104" w:history="1">
        <w:r w:rsidRPr="00C76F3E">
          <w:rPr>
            <w:rStyle w:val="Hyperlink"/>
            <w:rFonts w:cs="Arial"/>
            <w:lang w:val="en"/>
          </w:rPr>
          <w:t>http://www.alrc.gov.au/publications/ip-17</w:t>
        </w:r>
      </w:hyperlink>
      <w:r>
        <w:rPr>
          <w:rStyle w:val="selectable"/>
          <w:rFonts w:cs="Arial"/>
          <w:color w:val="000000"/>
          <w:lang w:val="en"/>
        </w:rPr>
        <w:t>&gt;.</w:t>
      </w:r>
    </w:p>
  </w:endnote>
  <w:endnote w:id="233">
    <w:p w14:paraId="32FA36FF"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Sheena Horgan, ‘Kids as sta</w:t>
      </w:r>
      <w:r>
        <w:rPr>
          <w:rFonts w:cs="Arial"/>
        </w:rPr>
        <w:t>keholders in business’ (2005) 6(</w:t>
      </w:r>
      <w:r w:rsidRPr="005B2362">
        <w:rPr>
          <w:rFonts w:cs="Arial"/>
        </w:rPr>
        <w:t>4</w:t>
      </w:r>
      <w:r>
        <w:rPr>
          <w:rFonts w:cs="Arial"/>
        </w:rPr>
        <w:t>)</w:t>
      </w:r>
      <w:r w:rsidRPr="005B2362">
        <w:rPr>
          <w:rFonts w:cs="Arial"/>
        </w:rPr>
        <w:t xml:space="preserve"> </w:t>
      </w:r>
      <w:r w:rsidRPr="005B2362">
        <w:rPr>
          <w:rFonts w:cs="Arial"/>
          <w:i/>
        </w:rPr>
        <w:t>Young Consumers</w:t>
      </w:r>
      <w:r w:rsidRPr="005B2362">
        <w:rPr>
          <w:rFonts w:cs="Arial"/>
        </w:rPr>
        <w:t>.</w:t>
      </w:r>
    </w:p>
  </w:endnote>
  <w:endnote w:id="234">
    <w:p w14:paraId="441C9347"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Sheena Horgan, ‘Kids as stakeholders in b</w:t>
      </w:r>
      <w:r>
        <w:rPr>
          <w:rFonts w:cs="Arial"/>
        </w:rPr>
        <w:t>usiness’ (2005) 6(</w:t>
      </w:r>
      <w:r w:rsidRPr="005B2362">
        <w:rPr>
          <w:rFonts w:cs="Arial"/>
        </w:rPr>
        <w:t>4</w:t>
      </w:r>
      <w:r>
        <w:rPr>
          <w:rFonts w:cs="Arial"/>
        </w:rPr>
        <w:t>)</w:t>
      </w:r>
      <w:r w:rsidRPr="005B2362">
        <w:rPr>
          <w:rFonts w:cs="Arial"/>
        </w:rPr>
        <w:t xml:space="preserve"> </w:t>
      </w:r>
      <w:r w:rsidRPr="005B2362">
        <w:rPr>
          <w:rFonts w:cs="Arial"/>
          <w:i/>
        </w:rPr>
        <w:t>Young Consumers</w:t>
      </w:r>
      <w:r>
        <w:rPr>
          <w:rFonts w:cs="Arial"/>
          <w:i/>
        </w:rPr>
        <w:t xml:space="preserve">, </w:t>
      </w:r>
      <w:r w:rsidRPr="005B2362">
        <w:rPr>
          <w:rFonts w:cs="Arial"/>
        </w:rPr>
        <w:t>72-3.</w:t>
      </w:r>
    </w:p>
  </w:endnote>
  <w:endnote w:id="235">
    <w:p w14:paraId="174ADEF1"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w:t>
      </w:r>
      <w:r w:rsidRPr="005F03EB">
        <w:rPr>
          <w:rFonts w:cs="Arial"/>
        </w:rPr>
        <w:t xml:space="preserve">Kay Palan, Elodie Gentina and Isabelle Muratore, ‘Adolescent consumption autonomy: a cross-cultural examination’ (2010) 63 </w:t>
      </w:r>
      <w:r w:rsidRPr="005F03EB">
        <w:rPr>
          <w:rFonts w:cs="Arial"/>
          <w:i/>
        </w:rPr>
        <w:t>Journal of Business Research</w:t>
      </w:r>
      <w:r w:rsidRPr="00F05B83">
        <w:rPr>
          <w:rFonts w:cs="Arial"/>
        </w:rPr>
        <w:t xml:space="preserve">, 1342. </w:t>
      </w:r>
    </w:p>
  </w:endnote>
  <w:endnote w:id="236">
    <w:p w14:paraId="2E57765B"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w:t>
      </w:r>
      <w:r w:rsidRPr="00A45DF8">
        <w:rPr>
          <w:rFonts w:cs="Arial"/>
        </w:rPr>
        <w:t xml:space="preserve">Amandine Garde, ‘Advertising Regulation and Protection of Children-Consumers in the European Union: in the Best Interest of...Commercial Operators?’ (2011) 19 </w:t>
      </w:r>
      <w:r w:rsidRPr="00A45DF8">
        <w:rPr>
          <w:rFonts w:cs="Arial"/>
          <w:i/>
        </w:rPr>
        <w:t>International Journal of Children’s Rights</w:t>
      </w:r>
      <w:r w:rsidRPr="00A45DF8">
        <w:rPr>
          <w:rFonts w:cs="Arial"/>
        </w:rPr>
        <w:t>, 526.</w:t>
      </w:r>
    </w:p>
  </w:endnote>
  <w:endnote w:id="237">
    <w:p w14:paraId="6C643A60"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Scott Ward, ‘Consumer Socialization’</w:t>
      </w:r>
      <w:r>
        <w:rPr>
          <w:rFonts w:cs="Arial"/>
        </w:rPr>
        <w:t xml:space="preserve"> (1974) 1(1)</w:t>
      </w:r>
      <w:r w:rsidRPr="005B2362">
        <w:rPr>
          <w:rFonts w:cs="Arial"/>
        </w:rPr>
        <w:t xml:space="preserve"> </w:t>
      </w:r>
      <w:r w:rsidRPr="005B2362">
        <w:rPr>
          <w:rFonts w:cs="Arial"/>
          <w:i/>
        </w:rPr>
        <w:t>Journal of Consumer Research</w:t>
      </w:r>
      <w:r w:rsidRPr="005B2362">
        <w:rPr>
          <w:rFonts w:cs="Arial"/>
        </w:rPr>
        <w:t xml:space="preserve">, 2. </w:t>
      </w:r>
    </w:p>
  </w:endnote>
  <w:endnote w:id="238">
    <w:p w14:paraId="5C20735A"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Deborah John, ‘Consumer Sociali</w:t>
      </w:r>
      <w:r>
        <w:rPr>
          <w:rFonts w:cs="Arial"/>
        </w:rPr>
        <w:t>z</w:t>
      </w:r>
      <w:r w:rsidRPr="005B2362">
        <w:rPr>
          <w:rFonts w:cs="Arial"/>
        </w:rPr>
        <w:t xml:space="preserve">ation of Children: </w:t>
      </w:r>
      <w:r>
        <w:rPr>
          <w:rFonts w:cs="Arial"/>
        </w:rPr>
        <w:t>A</w:t>
      </w:r>
      <w:r w:rsidRPr="005B2362">
        <w:rPr>
          <w:rFonts w:cs="Arial"/>
        </w:rPr>
        <w:t xml:space="preserve"> Retrospective Look at Twenty Years of Research’</w:t>
      </w:r>
      <w:r>
        <w:rPr>
          <w:rFonts w:cs="Arial"/>
        </w:rPr>
        <w:t xml:space="preserve"> (1999) 26(3) </w:t>
      </w:r>
      <w:r w:rsidRPr="005B2362">
        <w:rPr>
          <w:rFonts w:cs="Arial"/>
          <w:i/>
        </w:rPr>
        <w:t>Journal of Consumer Research</w:t>
      </w:r>
      <w:r w:rsidRPr="005B2362">
        <w:rPr>
          <w:rFonts w:cs="Arial"/>
        </w:rPr>
        <w:t xml:space="preserve">, 187. </w:t>
      </w:r>
    </w:p>
  </w:endnote>
  <w:endnote w:id="239">
    <w:p w14:paraId="63F634E9"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Deborah John, ‘Consumer Sociali</w:t>
      </w:r>
      <w:r>
        <w:rPr>
          <w:rFonts w:cs="Arial"/>
        </w:rPr>
        <w:t>z</w:t>
      </w:r>
      <w:r w:rsidRPr="005B2362">
        <w:rPr>
          <w:rFonts w:cs="Arial"/>
        </w:rPr>
        <w:t xml:space="preserve">ation of Children: </w:t>
      </w:r>
      <w:r>
        <w:rPr>
          <w:rFonts w:cs="Arial"/>
        </w:rPr>
        <w:t>A</w:t>
      </w:r>
      <w:r w:rsidRPr="005B2362">
        <w:rPr>
          <w:rFonts w:cs="Arial"/>
        </w:rPr>
        <w:t xml:space="preserve"> Retrospective Look at Twenty Years of Research’</w:t>
      </w:r>
      <w:r>
        <w:rPr>
          <w:rFonts w:cs="Arial"/>
        </w:rPr>
        <w:t xml:space="preserve"> (1999) 26(3) </w:t>
      </w:r>
      <w:r w:rsidRPr="005B2362">
        <w:rPr>
          <w:rFonts w:cs="Arial"/>
          <w:i/>
        </w:rPr>
        <w:t>Journal of Consumer Research</w:t>
      </w:r>
      <w:r w:rsidRPr="005B2362">
        <w:rPr>
          <w:rFonts w:cs="Arial"/>
        </w:rPr>
        <w:t>, 187.</w:t>
      </w:r>
    </w:p>
  </w:endnote>
  <w:endnote w:id="240">
    <w:p w14:paraId="7758BA17"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Deborah John, ‘Consumer Sociali</w:t>
      </w:r>
      <w:r>
        <w:rPr>
          <w:rFonts w:cs="Arial"/>
        </w:rPr>
        <w:t>z</w:t>
      </w:r>
      <w:r w:rsidRPr="005B2362">
        <w:rPr>
          <w:rFonts w:cs="Arial"/>
        </w:rPr>
        <w:t xml:space="preserve">ation of Children: </w:t>
      </w:r>
      <w:r>
        <w:rPr>
          <w:rFonts w:cs="Arial"/>
        </w:rPr>
        <w:t>A</w:t>
      </w:r>
      <w:r w:rsidRPr="005B2362">
        <w:rPr>
          <w:rFonts w:cs="Arial"/>
        </w:rPr>
        <w:t xml:space="preserve"> Retrospective Look at Twenty Years of Research’</w:t>
      </w:r>
      <w:r>
        <w:rPr>
          <w:rFonts w:cs="Arial"/>
        </w:rPr>
        <w:t xml:space="preserve"> (1999) 26(3) </w:t>
      </w:r>
      <w:r w:rsidRPr="005B2362">
        <w:rPr>
          <w:rFonts w:cs="Arial"/>
          <w:i/>
        </w:rPr>
        <w:t>Journal of Consumer Research</w:t>
      </w:r>
      <w:r w:rsidRPr="005B2362">
        <w:rPr>
          <w:rFonts w:cs="Arial"/>
        </w:rPr>
        <w:t>, 187.</w:t>
      </w:r>
    </w:p>
  </w:endnote>
  <w:endnote w:id="241">
    <w:p w14:paraId="21E7F054"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Deborah John, ‘Consumer Sociali</w:t>
      </w:r>
      <w:r>
        <w:rPr>
          <w:rFonts w:cs="Arial"/>
        </w:rPr>
        <w:t>z</w:t>
      </w:r>
      <w:r w:rsidRPr="005B2362">
        <w:rPr>
          <w:rFonts w:cs="Arial"/>
        </w:rPr>
        <w:t xml:space="preserve">ation of Children: </w:t>
      </w:r>
      <w:r>
        <w:rPr>
          <w:rFonts w:cs="Arial"/>
        </w:rPr>
        <w:t>A</w:t>
      </w:r>
      <w:r w:rsidRPr="005B2362">
        <w:rPr>
          <w:rFonts w:cs="Arial"/>
        </w:rPr>
        <w:t xml:space="preserve"> Retrospective Look at Twenty Years of Research’</w:t>
      </w:r>
      <w:r>
        <w:rPr>
          <w:rFonts w:cs="Arial"/>
        </w:rPr>
        <w:t xml:space="preserve"> (1999) 26(3) </w:t>
      </w:r>
      <w:r w:rsidRPr="005B2362">
        <w:rPr>
          <w:rFonts w:cs="Arial"/>
          <w:i/>
        </w:rPr>
        <w:t>Journal of Consumer Research</w:t>
      </w:r>
      <w:r w:rsidRPr="005B2362">
        <w:rPr>
          <w:rFonts w:cs="Arial"/>
        </w:rPr>
        <w:t xml:space="preserve">, 187. </w:t>
      </w:r>
    </w:p>
  </w:endnote>
  <w:endnote w:id="242">
    <w:p w14:paraId="59FB969D"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Kay M Palan, Elodie Gentina and Isabelle Muratore, ‘Adolescent consumption autonomy</w:t>
      </w:r>
      <w:r>
        <w:rPr>
          <w:rFonts w:cs="Arial"/>
        </w:rPr>
        <w:t>: a cross-cultural examination’</w:t>
      </w:r>
      <w:r w:rsidRPr="005B2362">
        <w:rPr>
          <w:rFonts w:cs="Arial"/>
        </w:rPr>
        <w:t xml:space="preserve"> (2010) </w:t>
      </w:r>
      <w:r>
        <w:rPr>
          <w:rFonts w:cs="Arial"/>
        </w:rPr>
        <w:t xml:space="preserve">63(12) </w:t>
      </w:r>
      <w:r w:rsidRPr="005B2362">
        <w:rPr>
          <w:rFonts w:cs="Arial"/>
          <w:i/>
        </w:rPr>
        <w:t>Journal of Business Research</w:t>
      </w:r>
      <w:r w:rsidRPr="005B2362">
        <w:rPr>
          <w:rFonts w:cs="Arial"/>
        </w:rPr>
        <w:t>, 1342.</w:t>
      </w:r>
      <w:r w:rsidRPr="005B2362">
        <w:rPr>
          <w:rFonts w:cs="Arial"/>
          <w:highlight w:val="yellow"/>
        </w:rPr>
        <w:t xml:space="preserve"> </w:t>
      </w:r>
    </w:p>
  </w:endnote>
  <w:endnote w:id="243">
    <w:p w14:paraId="23CDE58B"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Marc J Noom, Maja Dekovi</w:t>
      </w:r>
      <w:r w:rsidRPr="005B2362">
        <w:rPr>
          <w:rStyle w:val="Emphasis"/>
          <w:rFonts w:cs="Arial"/>
          <w:bCs/>
          <w:i w:val="0"/>
          <w:iCs w:val="0"/>
          <w:shd w:val="clear" w:color="auto" w:fill="FFFFFF"/>
        </w:rPr>
        <w:t>ć and Wim Meeus</w:t>
      </w:r>
      <w:r w:rsidRPr="005B2362">
        <w:rPr>
          <w:rFonts w:cs="Arial"/>
        </w:rPr>
        <w:t>, ‘Conceptual Analysis and Meas</w:t>
      </w:r>
      <w:r>
        <w:rPr>
          <w:rFonts w:cs="Arial"/>
        </w:rPr>
        <w:t>urement of Adolescent Autonomy’</w:t>
      </w:r>
      <w:r w:rsidRPr="005B2362">
        <w:rPr>
          <w:rFonts w:cs="Arial"/>
        </w:rPr>
        <w:t xml:space="preserve"> (2001) 30 (5) </w:t>
      </w:r>
      <w:r w:rsidRPr="005B2362">
        <w:rPr>
          <w:rFonts w:cs="Arial"/>
          <w:i/>
        </w:rPr>
        <w:t>Journal of Youth and Adolescence</w:t>
      </w:r>
      <w:r w:rsidRPr="005B2362">
        <w:rPr>
          <w:rFonts w:cs="Arial"/>
        </w:rPr>
        <w:t xml:space="preserve">, 582. </w:t>
      </w:r>
      <w:r w:rsidRPr="005B2362">
        <w:rPr>
          <w:rFonts w:cs="Arial"/>
          <w:highlight w:val="yellow"/>
        </w:rPr>
        <w:t xml:space="preserve"> </w:t>
      </w:r>
    </w:p>
  </w:endnote>
  <w:endnote w:id="244">
    <w:p w14:paraId="2CEBDD8A"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Marc J Noom, Maja Dekovi</w:t>
      </w:r>
      <w:r w:rsidRPr="005B2362">
        <w:rPr>
          <w:rStyle w:val="Emphasis"/>
          <w:rFonts w:cs="Arial"/>
          <w:bCs/>
          <w:i w:val="0"/>
          <w:iCs w:val="0"/>
          <w:shd w:val="clear" w:color="auto" w:fill="FFFFFF"/>
        </w:rPr>
        <w:t>ć and Wim Meeus</w:t>
      </w:r>
      <w:r w:rsidRPr="005B2362">
        <w:rPr>
          <w:rFonts w:cs="Arial"/>
        </w:rPr>
        <w:t>, ‘Conceptual Analysis and Meas</w:t>
      </w:r>
      <w:r>
        <w:rPr>
          <w:rFonts w:cs="Arial"/>
        </w:rPr>
        <w:t>urement of Adolescent Autonomy’</w:t>
      </w:r>
      <w:r w:rsidRPr="005B2362">
        <w:rPr>
          <w:rFonts w:cs="Arial"/>
        </w:rPr>
        <w:t xml:space="preserve"> (2001) 30 (5) </w:t>
      </w:r>
      <w:r w:rsidRPr="005B2362">
        <w:rPr>
          <w:rFonts w:cs="Arial"/>
          <w:i/>
        </w:rPr>
        <w:t>Journal of Youth and Adolescence</w:t>
      </w:r>
      <w:r w:rsidRPr="005B2362">
        <w:rPr>
          <w:rFonts w:cs="Arial"/>
        </w:rPr>
        <w:t xml:space="preserve">, 592. </w:t>
      </w:r>
    </w:p>
  </w:endnote>
  <w:endnote w:id="245">
    <w:p w14:paraId="6F9EBB04"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w:t>
      </w:r>
      <w:r w:rsidRPr="00AB5A77">
        <w:rPr>
          <w:rFonts w:cs="Arial"/>
        </w:rPr>
        <w:t xml:space="preserve">Kay Palan, Elodie Gentina and Isabelle Muratore, ‘Adolescent consumption autonomy: a cross-cultural examination’ (2010) 63 </w:t>
      </w:r>
      <w:r w:rsidRPr="00AB5A77">
        <w:rPr>
          <w:rFonts w:cs="Arial"/>
          <w:i/>
        </w:rPr>
        <w:t>Journal of Business Research</w:t>
      </w:r>
      <w:r w:rsidRPr="00AB5A77">
        <w:rPr>
          <w:rFonts w:cs="Arial"/>
        </w:rPr>
        <w:t>,</w:t>
      </w:r>
      <w:r w:rsidRPr="00B17447">
        <w:rPr>
          <w:rFonts w:cs="Arial"/>
        </w:rPr>
        <w:t xml:space="preserve"> 1347. </w:t>
      </w:r>
    </w:p>
  </w:endnote>
  <w:endnote w:id="246">
    <w:p w14:paraId="37797806" w14:textId="77777777" w:rsidR="00F008D2" w:rsidRPr="005B2362" w:rsidRDefault="00F008D2" w:rsidP="00AA3994">
      <w:pPr>
        <w:spacing w:before="0" w:after="0"/>
        <w:rPr>
          <w:rFonts w:cs="Arial"/>
          <w:sz w:val="20"/>
          <w:szCs w:val="20"/>
        </w:rPr>
      </w:pPr>
      <w:r w:rsidRPr="005B2362">
        <w:rPr>
          <w:rStyle w:val="EndnoteReference"/>
          <w:rFonts w:cs="Arial"/>
          <w:szCs w:val="20"/>
        </w:rPr>
        <w:endnoteRef/>
      </w:r>
      <w:r w:rsidRPr="005B2362">
        <w:rPr>
          <w:rFonts w:cs="Arial"/>
          <w:sz w:val="20"/>
          <w:szCs w:val="20"/>
        </w:rPr>
        <w:t xml:space="preserve"> Elizabeth Thomson and Angus Laing, ‘</w:t>
      </w:r>
      <w:r>
        <w:rPr>
          <w:rFonts w:cs="Arial"/>
          <w:sz w:val="20"/>
          <w:szCs w:val="20"/>
        </w:rPr>
        <w:t>“</w:t>
      </w:r>
      <w:r w:rsidRPr="005B2362">
        <w:rPr>
          <w:rFonts w:cs="Arial"/>
          <w:sz w:val="20"/>
          <w:szCs w:val="20"/>
        </w:rPr>
        <w:t>The Net Generation</w:t>
      </w:r>
      <w:r>
        <w:rPr>
          <w:rFonts w:cs="Arial"/>
          <w:sz w:val="20"/>
          <w:szCs w:val="20"/>
        </w:rPr>
        <w:t>”</w:t>
      </w:r>
      <w:r w:rsidRPr="005B2362">
        <w:rPr>
          <w:rFonts w:cs="Arial"/>
          <w:sz w:val="20"/>
          <w:szCs w:val="20"/>
        </w:rPr>
        <w:t xml:space="preserve">: Children and Young People, the Internet and Online Shopping’ (2003) 19 </w:t>
      </w:r>
      <w:r w:rsidRPr="005B2362">
        <w:rPr>
          <w:rFonts w:cs="Arial"/>
          <w:i/>
          <w:sz w:val="20"/>
          <w:szCs w:val="20"/>
        </w:rPr>
        <w:t>Journal of Marketing Management</w:t>
      </w:r>
      <w:r w:rsidRPr="005B2362">
        <w:rPr>
          <w:rFonts w:cs="Arial"/>
          <w:sz w:val="20"/>
          <w:szCs w:val="20"/>
        </w:rPr>
        <w:t xml:space="preserve">, 500. </w:t>
      </w:r>
    </w:p>
  </w:endnote>
  <w:endnote w:id="247">
    <w:p w14:paraId="49FE437D"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w:t>
      </w:r>
      <w:r w:rsidRPr="004B373A">
        <w:rPr>
          <w:rFonts w:cs="Arial"/>
        </w:rPr>
        <w:t xml:space="preserve">Australian Communications &amp; Media Authority, </w:t>
      </w:r>
      <w:r>
        <w:rPr>
          <w:rFonts w:cs="Arial"/>
        </w:rPr>
        <w:t xml:space="preserve">Newspoll, </w:t>
      </w:r>
      <w:r w:rsidRPr="004B373A">
        <w:rPr>
          <w:rFonts w:cs="Arial"/>
          <w:i/>
        </w:rPr>
        <w:t>Like, post, share: Young Australi</w:t>
      </w:r>
      <w:r>
        <w:rPr>
          <w:rFonts w:cs="Arial"/>
          <w:i/>
        </w:rPr>
        <w:t>an’s experience of social media</w:t>
      </w:r>
      <w:r>
        <w:rPr>
          <w:rFonts w:cs="Arial"/>
        </w:rPr>
        <w:t xml:space="preserve"> (2012)</w:t>
      </w:r>
      <w:r w:rsidRPr="005B2362">
        <w:rPr>
          <w:rFonts w:cs="Arial"/>
        </w:rPr>
        <w:t xml:space="preserve"> 7;</w:t>
      </w:r>
      <w:r>
        <w:rPr>
          <w:rFonts w:cs="Arial"/>
        </w:rPr>
        <w:t xml:space="preserve"> Australian Research Alliance for Children and Youth,</w:t>
      </w:r>
      <w:r w:rsidRPr="005B2362">
        <w:rPr>
          <w:rFonts w:cs="Arial"/>
        </w:rPr>
        <w:t xml:space="preserve"> </w:t>
      </w:r>
      <w:r w:rsidRPr="00AB5A77">
        <w:rPr>
          <w:rFonts w:cs="Arial"/>
          <w:i/>
        </w:rPr>
        <w:t>Young Children and the Media: A Discussion Paper</w:t>
      </w:r>
      <w:r>
        <w:rPr>
          <w:rFonts w:cs="Arial"/>
        </w:rPr>
        <w:t xml:space="preserve"> (</w:t>
      </w:r>
      <w:r w:rsidRPr="005B2362">
        <w:rPr>
          <w:rFonts w:cs="Arial"/>
        </w:rPr>
        <w:t>2010) 3.</w:t>
      </w:r>
    </w:p>
  </w:endnote>
  <w:endnote w:id="248">
    <w:p w14:paraId="3A6FECED"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w:t>
      </w:r>
      <w:r w:rsidRPr="004B373A">
        <w:rPr>
          <w:rFonts w:cs="Arial"/>
        </w:rPr>
        <w:t xml:space="preserve">Australian Communications &amp; Media Authority, </w:t>
      </w:r>
      <w:r>
        <w:rPr>
          <w:rFonts w:cs="Arial"/>
        </w:rPr>
        <w:t xml:space="preserve">Newspoll, </w:t>
      </w:r>
      <w:r w:rsidRPr="004B373A">
        <w:rPr>
          <w:rFonts w:cs="Arial"/>
          <w:i/>
        </w:rPr>
        <w:t>Like, post, share: Young Australi</w:t>
      </w:r>
      <w:r>
        <w:rPr>
          <w:rFonts w:cs="Arial"/>
          <w:i/>
        </w:rPr>
        <w:t>an’s experience of social media</w:t>
      </w:r>
      <w:r>
        <w:rPr>
          <w:rFonts w:cs="Arial"/>
        </w:rPr>
        <w:t xml:space="preserve"> (2012)</w:t>
      </w:r>
      <w:r w:rsidRPr="005B2362">
        <w:rPr>
          <w:rFonts w:cs="Arial"/>
        </w:rPr>
        <w:t xml:space="preserve"> 7</w:t>
      </w:r>
      <w:r>
        <w:rPr>
          <w:rFonts w:cs="Arial"/>
        </w:rPr>
        <w:t>.</w:t>
      </w:r>
    </w:p>
  </w:endnote>
  <w:endnote w:id="249">
    <w:p w14:paraId="72E103C1"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w:t>
      </w:r>
      <w:r w:rsidRPr="004B373A">
        <w:rPr>
          <w:rFonts w:cs="Arial"/>
        </w:rPr>
        <w:t xml:space="preserve">Australian Communications &amp; Media Authority, </w:t>
      </w:r>
      <w:r>
        <w:rPr>
          <w:rFonts w:cs="Arial"/>
        </w:rPr>
        <w:t xml:space="preserve">Newspoll, </w:t>
      </w:r>
      <w:r w:rsidRPr="004B373A">
        <w:rPr>
          <w:rFonts w:cs="Arial"/>
          <w:i/>
        </w:rPr>
        <w:t>Like, post, share: Young Australi</w:t>
      </w:r>
      <w:r>
        <w:rPr>
          <w:rFonts w:cs="Arial"/>
          <w:i/>
        </w:rPr>
        <w:t>an’s experience of social media</w:t>
      </w:r>
      <w:r>
        <w:rPr>
          <w:rFonts w:cs="Arial"/>
        </w:rPr>
        <w:t xml:space="preserve"> (2012)</w:t>
      </w:r>
      <w:r w:rsidRPr="005B2362">
        <w:rPr>
          <w:rFonts w:cs="Arial"/>
        </w:rPr>
        <w:t xml:space="preserve"> 7.</w:t>
      </w:r>
    </w:p>
  </w:endnote>
  <w:endnote w:id="250">
    <w:p w14:paraId="3D5A0424" w14:textId="77777777" w:rsidR="00F008D2" w:rsidRPr="005B2362" w:rsidRDefault="00F008D2" w:rsidP="00AA3994">
      <w:pPr>
        <w:pStyle w:val="EndnoteText"/>
        <w:rPr>
          <w:rFonts w:cs="Arial"/>
        </w:rPr>
      </w:pPr>
      <w:r w:rsidRPr="00F71500">
        <w:rPr>
          <w:rStyle w:val="EndnoteReference"/>
          <w:rFonts w:cs="Arial"/>
        </w:rPr>
        <w:endnoteRef/>
      </w:r>
      <w:r w:rsidRPr="00F71500">
        <w:rPr>
          <w:rFonts w:cs="Arial"/>
        </w:rPr>
        <w:t xml:space="preserve"> Michael Snider, ‘Hey kids! Let’s play adver-games’</w:t>
      </w:r>
      <w:r w:rsidRPr="00AB5A77">
        <w:rPr>
          <w:rFonts w:cs="Arial"/>
        </w:rPr>
        <w:t xml:space="preserve"> (2002) 115(51) </w:t>
      </w:r>
      <w:r w:rsidRPr="00F71500">
        <w:rPr>
          <w:rFonts w:cs="Arial"/>
          <w:i/>
        </w:rPr>
        <w:t>Maclean’s</w:t>
      </w:r>
      <w:r w:rsidRPr="00F71500">
        <w:rPr>
          <w:rFonts w:cs="Arial"/>
        </w:rPr>
        <w:t>, 36-37.</w:t>
      </w:r>
      <w:r w:rsidRPr="005B2362">
        <w:rPr>
          <w:rFonts w:cs="Arial"/>
        </w:rPr>
        <w:t xml:space="preserve"> </w:t>
      </w:r>
    </w:p>
  </w:endnote>
  <w:endnote w:id="251">
    <w:p w14:paraId="415DAAD3" w14:textId="77777777" w:rsidR="00F008D2" w:rsidRPr="005B2362" w:rsidRDefault="00F008D2" w:rsidP="00AA3994">
      <w:pPr>
        <w:spacing w:before="0" w:after="0"/>
        <w:rPr>
          <w:rFonts w:cs="Arial"/>
          <w:sz w:val="20"/>
          <w:szCs w:val="20"/>
        </w:rPr>
      </w:pPr>
      <w:r w:rsidRPr="005B2362">
        <w:rPr>
          <w:rStyle w:val="EndnoteReference"/>
          <w:rFonts w:cs="Arial"/>
          <w:szCs w:val="20"/>
        </w:rPr>
        <w:endnoteRef/>
      </w:r>
      <w:r w:rsidRPr="005B2362">
        <w:rPr>
          <w:rFonts w:cs="Arial"/>
          <w:sz w:val="20"/>
          <w:szCs w:val="20"/>
        </w:rPr>
        <w:t xml:space="preserve"> </w:t>
      </w:r>
      <w:r w:rsidRPr="00A45DF8">
        <w:rPr>
          <w:rFonts w:cs="Arial"/>
          <w:sz w:val="20"/>
          <w:szCs w:val="20"/>
        </w:rPr>
        <w:t>Elizabeth Thomson and Angus Laing, ‘</w:t>
      </w:r>
      <w:r>
        <w:rPr>
          <w:rFonts w:cs="Arial"/>
          <w:sz w:val="20"/>
          <w:szCs w:val="20"/>
        </w:rPr>
        <w:t>“</w:t>
      </w:r>
      <w:r w:rsidRPr="00A45DF8">
        <w:rPr>
          <w:rFonts w:cs="Arial"/>
          <w:sz w:val="20"/>
          <w:szCs w:val="20"/>
        </w:rPr>
        <w:t>The Net Generation</w:t>
      </w:r>
      <w:r>
        <w:rPr>
          <w:rFonts w:cs="Arial"/>
          <w:sz w:val="20"/>
          <w:szCs w:val="20"/>
        </w:rPr>
        <w:t>”</w:t>
      </w:r>
      <w:r w:rsidRPr="00A45DF8">
        <w:rPr>
          <w:rFonts w:cs="Arial"/>
          <w:sz w:val="20"/>
          <w:szCs w:val="20"/>
        </w:rPr>
        <w:t xml:space="preserve">: Children and Young People, the Internet and Online Shopping’ (2003) 19 </w:t>
      </w:r>
      <w:r w:rsidRPr="00A45DF8">
        <w:rPr>
          <w:rFonts w:cs="Arial"/>
          <w:i/>
          <w:sz w:val="20"/>
          <w:szCs w:val="20"/>
        </w:rPr>
        <w:t>Journal of Marketing Management</w:t>
      </w:r>
      <w:r w:rsidRPr="00A45DF8">
        <w:rPr>
          <w:rFonts w:cs="Arial"/>
          <w:sz w:val="20"/>
          <w:szCs w:val="20"/>
        </w:rPr>
        <w:t>, 500.</w:t>
      </w:r>
    </w:p>
  </w:endnote>
  <w:endnote w:id="252">
    <w:p w14:paraId="416F4103" w14:textId="77777777" w:rsidR="00F008D2" w:rsidRPr="005B2362" w:rsidRDefault="00F008D2" w:rsidP="00AA3994">
      <w:pPr>
        <w:spacing w:before="0" w:after="0"/>
        <w:rPr>
          <w:rFonts w:cs="Arial"/>
          <w:sz w:val="20"/>
          <w:szCs w:val="20"/>
        </w:rPr>
      </w:pPr>
      <w:r w:rsidRPr="005B2362">
        <w:rPr>
          <w:rStyle w:val="EndnoteReference"/>
          <w:rFonts w:cs="Arial"/>
          <w:szCs w:val="20"/>
        </w:rPr>
        <w:endnoteRef/>
      </w:r>
      <w:r w:rsidRPr="005B2362">
        <w:rPr>
          <w:rFonts w:cs="Arial"/>
          <w:sz w:val="20"/>
          <w:szCs w:val="20"/>
        </w:rPr>
        <w:t xml:space="preserve"> </w:t>
      </w:r>
      <w:r w:rsidRPr="00A45DF8">
        <w:rPr>
          <w:rFonts w:cs="Arial"/>
          <w:sz w:val="20"/>
          <w:szCs w:val="20"/>
        </w:rPr>
        <w:t>Elizabeth Thomson and Angus Laing, ‘</w:t>
      </w:r>
      <w:r>
        <w:rPr>
          <w:rFonts w:cs="Arial"/>
          <w:sz w:val="20"/>
          <w:szCs w:val="20"/>
        </w:rPr>
        <w:t>“</w:t>
      </w:r>
      <w:r w:rsidRPr="00A45DF8">
        <w:rPr>
          <w:rFonts w:cs="Arial"/>
          <w:sz w:val="20"/>
          <w:szCs w:val="20"/>
        </w:rPr>
        <w:t xml:space="preserve">The Net Generation”: Children and Young People, the Internet and Online Shopping’ (2003) 19 </w:t>
      </w:r>
      <w:r w:rsidRPr="00A45DF8">
        <w:rPr>
          <w:rFonts w:cs="Arial"/>
          <w:i/>
          <w:sz w:val="20"/>
          <w:szCs w:val="20"/>
        </w:rPr>
        <w:t>Journal of Marketing Management</w:t>
      </w:r>
      <w:r w:rsidRPr="00A45DF8">
        <w:rPr>
          <w:rFonts w:cs="Arial"/>
          <w:sz w:val="20"/>
          <w:szCs w:val="20"/>
        </w:rPr>
        <w:t>, 495.</w:t>
      </w:r>
    </w:p>
  </w:endnote>
  <w:endnote w:id="253">
    <w:p w14:paraId="641DDA31" w14:textId="77777777" w:rsidR="00F008D2" w:rsidRPr="005B2362" w:rsidRDefault="00F008D2" w:rsidP="00AA3994">
      <w:pPr>
        <w:pStyle w:val="EndnoteText"/>
        <w:rPr>
          <w:rFonts w:cs="Arial"/>
        </w:rPr>
      </w:pPr>
      <w:r w:rsidRPr="005B2362">
        <w:rPr>
          <w:rStyle w:val="EndnoteReference"/>
          <w:rFonts w:cs="Arial"/>
        </w:rPr>
        <w:endnoteRef/>
      </w:r>
      <w:r>
        <w:rPr>
          <w:rFonts w:cs="Arial"/>
        </w:rPr>
        <w:t xml:space="preserve"> </w:t>
      </w:r>
      <w:r w:rsidRPr="005B2362">
        <w:rPr>
          <w:rFonts w:cs="Arial"/>
        </w:rPr>
        <w:t>C</w:t>
      </w:r>
      <w:r>
        <w:rPr>
          <w:rFonts w:cs="Arial"/>
        </w:rPr>
        <w:t xml:space="preserve">ommonwealth </w:t>
      </w:r>
      <w:r w:rsidRPr="005B2362">
        <w:rPr>
          <w:rFonts w:cs="Arial"/>
        </w:rPr>
        <w:t>C</w:t>
      </w:r>
      <w:r>
        <w:rPr>
          <w:rFonts w:cs="Arial"/>
        </w:rPr>
        <w:t xml:space="preserve">onsumer </w:t>
      </w:r>
      <w:r w:rsidRPr="005B2362">
        <w:rPr>
          <w:rFonts w:cs="Arial"/>
        </w:rPr>
        <w:t>A</w:t>
      </w:r>
      <w:r>
        <w:rPr>
          <w:rFonts w:cs="Arial"/>
        </w:rPr>
        <w:t xml:space="preserve">ffairs </w:t>
      </w:r>
      <w:r w:rsidRPr="005B2362">
        <w:rPr>
          <w:rFonts w:cs="Arial"/>
        </w:rPr>
        <w:t>A</w:t>
      </w:r>
      <w:r>
        <w:rPr>
          <w:rFonts w:cs="Arial"/>
        </w:rPr>
        <w:t xml:space="preserve">dvisory </w:t>
      </w:r>
      <w:r w:rsidRPr="005B2362">
        <w:rPr>
          <w:rFonts w:cs="Arial"/>
        </w:rPr>
        <w:t>C</w:t>
      </w:r>
      <w:r>
        <w:rPr>
          <w:rFonts w:cs="Arial"/>
        </w:rPr>
        <w:t>ouncil</w:t>
      </w:r>
      <w:r w:rsidRPr="005B2362">
        <w:rPr>
          <w:rFonts w:cs="Arial"/>
        </w:rPr>
        <w:t xml:space="preserve">, </w:t>
      </w:r>
      <w:r w:rsidRPr="005B2362">
        <w:rPr>
          <w:rFonts w:cs="Arial"/>
          <w:i/>
        </w:rPr>
        <w:t>App purchases by Australian consumers on mobile and handheld devices</w:t>
      </w:r>
      <w:r>
        <w:rPr>
          <w:rFonts w:cs="Arial"/>
        </w:rPr>
        <w:t xml:space="preserve">: </w:t>
      </w:r>
      <w:r w:rsidRPr="00B860A4">
        <w:rPr>
          <w:rFonts w:cs="Arial"/>
          <w:i/>
        </w:rPr>
        <w:t>Inquiry report</w:t>
      </w:r>
      <w:r w:rsidRPr="005B2362">
        <w:rPr>
          <w:rFonts w:cs="Arial"/>
        </w:rPr>
        <w:t xml:space="preserve"> </w:t>
      </w:r>
      <w:r>
        <w:rPr>
          <w:rFonts w:cs="Arial"/>
        </w:rPr>
        <w:t>(</w:t>
      </w:r>
      <w:r w:rsidRPr="005B2362">
        <w:rPr>
          <w:rFonts w:cs="Arial"/>
        </w:rPr>
        <w:t>2013</w:t>
      </w:r>
      <w:r>
        <w:rPr>
          <w:rFonts w:cs="Arial"/>
        </w:rPr>
        <w:t>) 4.</w:t>
      </w:r>
    </w:p>
  </w:endnote>
  <w:endnote w:id="254">
    <w:p w14:paraId="68487C4A" w14:textId="77777777" w:rsidR="00F008D2" w:rsidRPr="005B2362" w:rsidRDefault="00F008D2" w:rsidP="00AA3994">
      <w:pPr>
        <w:pStyle w:val="EndnoteText"/>
        <w:rPr>
          <w:rFonts w:cs="Arial"/>
        </w:rPr>
      </w:pPr>
      <w:r w:rsidRPr="005B2362">
        <w:rPr>
          <w:rStyle w:val="EndnoteReference"/>
          <w:rFonts w:cs="Arial"/>
        </w:rPr>
        <w:endnoteRef/>
      </w:r>
      <w:r>
        <w:rPr>
          <w:rFonts w:cs="Arial"/>
        </w:rPr>
        <w:t xml:space="preserve"> </w:t>
      </w:r>
      <w:r w:rsidRPr="005B2362">
        <w:rPr>
          <w:rFonts w:cs="Arial"/>
        </w:rPr>
        <w:t>C</w:t>
      </w:r>
      <w:r>
        <w:rPr>
          <w:rFonts w:cs="Arial"/>
        </w:rPr>
        <w:t xml:space="preserve">ommonwealth </w:t>
      </w:r>
      <w:r w:rsidRPr="005B2362">
        <w:rPr>
          <w:rFonts w:cs="Arial"/>
        </w:rPr>
        <w:t>C</w:t>
      </w:r>
      <w:r>
        <w:rPr>
          <w:rFonts w:cs="Arial"/>
        </w:rPr>
        <w:t xml:space="preserve">onsumer </w:t>
      </w:r>
      <w:r w:rsidRPr="005B2362">
        <w:rPr>
          <w:rFonts w:cs="Arial"/>
        </w:rPr>
        <w:t>A</w:t>
      </w:r>
      <w:r>
        <w:rPr>
          <w:rFonts w:cs="Arial"/>
        </w:rPr>
        <w:t xml:space="preserve">ffairs </w:t>
      </w:r>
      <w:r w:rsidRPr="005B2362">
        <w:rPr>
          <w:rFonts w:cs="Arial"/>
        </w:rPr>
        <w:t>A</w:t>
      </w:r>
      <w:r>
        <w:rPr>
          <w:rFonts w:cs="Arial"/>
        </w:rPr>
        <w:t xml:space="preserve">dvisory </w:t>
      </w:r>
      <w:r w:rsidRPr="005B2362">
        <w:rPr>
          <w:rFonts w:cs="Arial"/>
        </w:rPr>
        <w:t>C</w:t>
      </w:r>
      <w:r>
        <w:rPr>
          <w:rFonts w:cs="Arial"/>
        </w:rPr>
        <w:t>ouncil</w:t>
      </w:r>
      <w:r w:rsidRPr="005B2362">
        <w:rPr>
          <w:rFonts w:cs="Arial"/>
        </w:rPr>
        <w:t xml:space="preserve">, </w:t>
      </w:r>
      <w:r w:rsidRPr="005B2362">
        <w:rPr>
          <w:rFonts w:cs="Arial"/>
          <w:i/>
        </w:rPr>
        <w:t>App purchases by Australian consumers on mobile and handheld devices</w:t>
      </w:r>
      <w:r>
        <w:rPr>
          <w:rFonts w:cs="Arial"/>
        </w:rPr>
        <w:t xml:space="preserve">: </w:t>
      </w:r>
      <w:r w:rsidRPr="00B860A4">
        <w:rPr>
          <w:rFonts w:cs="Arial"/>
          <w:i/>
        </w:rPr>
        <w:t>Inquiry report</w:t>
      </w:r>
      <w:r w:rsidRPr="005B2362">
        <w:rPr>
          <w:rFonts w:cs="Arial"/>
        </w:rPr>
        <w:t xml:space="preserve"> </w:t>
      </w:r>
      <w:r>
        <w:rPr>
          <w:rFonts w:cs="Arial"/>
        </w:rPr>
        <w:t>(</w:t>
      </w:r>
      <w:r w:rsidRPr="005B2362">
        <w:rPr>
          <w:rFonts w:cs="Arial"/>
        </w:rPr>
        <w:t>2013</w:t>
      </w:r>
      <w:r>
        <w:rPr>
          <w:rFonts w:cs="Arial"/>
        </w:rPr>
        <w:t>) vii.</w:t>
      </w:r>
    </w:p>
  </w:endnote>
  <w:endnote w:id="255">
    <w:p w14:paraId="3FD511B4"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Grace Chung and Sara Grimes, ‘Data Mining the Kids: Surveillance and Market research Strategies in Children’s Online Games’ (2005) 30 </w:t>
      </w:r>
      <w:r w:rsidRPr="005B2362">
        <w:rPr>
          <w:rFonts w:cs="Arial"/>
          <w:i/>
        </w:rPr>
        <w:t>Canadian Journal of Communication</w:t>
      </w:r>
      <w:r w:rsidRPr="005B2362">
        <w:rPr>
          <w:rFonts w:cs="Arial"/>
        </w:rPr>
        <w:t>, 528.</w:t>
      </w:r>
    </w:p>
  </w:endnote>
  <w:endnote w:id="256">
    <w:p w14:paraId="6C14F2AA"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Kathryn Montgomery, ‘Digital kids: The new on-line children’s consumer culture’ in Dorothy Singer and Jeremy Singer (eds) </w:t>
      </w:r>
      <w:r w:rsidRPr="005B2362">
        <w:rPr>
          <w:rFonts w:cs="Arial"/>
          <w:i/>
        </w:rPr>
        <w:t xml:space="preserve">Handbook of children and the media </w:t>
      </w:r>
      <w:r w:rsidRPr="005B2362">
        <w:rPr>
          <w:rFonts w:cs="Arial"/>
        </w:rPr>
        <w:t>(Sage Publications, 2000) 635.</w:t>
      </w:r>
    </w:p>
  </w:endnote>
  <w:endnote w:id="257">
    <w:p w14:paraId="7AAE6083"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Grace Chung and Sara Grimes, ‘Data Mining the Kids: Surveillance and Market research Strategies in Children’s Online Games’ (2005) 30 </w:t>
      </w:r>
      <w:r w:rsidRPr="005B2362">
        <w:rPr>
          <w:rFonts w:cs="Arial"/>
          <w:i/>
        </w:rPr>
        <w:t>Canadian Journal of Communication</w:t>
      </w:r>
      <w:r w:rsidRPr="005B2362">
        <w:rPr>
          <w:rFonts w:cs="Arial"/>
        </w:rPr>
        <w:t>, 528.</w:t>
      </w:r>
      <w:r>
        <w:rPr>
          <w:rFonts w:cs="Arial"/>
        </w:rPr>
        <w:t xml:space="preserve"> </w:t>
      </w:r>
    </w:p>
  </w:endnote>
  <w:endnote w:id="258">
    <w:p w14:paraId="0EB96C11"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Sara Grimes, ‘Persistent and Emerging Questions about the Use of End-Use License Agreements in Children’s Online Games and Virtual World’ (2013) 46(3) </w:t>
      </w:r>
      <w:r w:rsidRPr="005B2362">
        <w:rPr>
          <w:rFonts w:cs="Arial"/>
          <w:i/>
        </w:rPr>
        <w:t>UBC Law Review</w:t>
      </w:r>
      <w:r w:rsidRPr="005B2362">
        <w:rPr>
          <w:rFonts w:cs="Arial"/>
        </w:rPr>
        <w:t xml:space="preserve"> 725.</w:t>
      </w:r>
    </w:p>
  </w:endnote>
  <w:endnote w:id="259">
    <w:p w14:paraId="7A737FFE"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Sara Grimes, ‘Persistent and Emerging Questions about the Use of End-Use License Agreements in Children’s Online Games and Virtual World’ (2013) 46(3)</w:t>
      </w:r>
      <w:r>
        <w:rPr>
          <w:rFonts w:cs="Arial"/>
        </w:rPr>
        <w:t xml:space="preserve"> </w:t>
      </w:r>
      <w:r w:rsidRPr="005B2362">
        <w:rPr>
          <w:rFonts w:cs="Arial"/>
          <w:i/>
        </w:rPr>
        <w:t>UBC Law Review</w:t>
      </w:r>
      <w:r>
        <w:rPr>
          <w:rFonts w:cs="Arial"/>
        </w:rPr>
        <w:t>, 736</w:t>
      </w:r>
      <w:r w:rsidRPr="005B2362">
        <w:rPr>
          <w:rFonts w:cs="Arial"/>
        </w:rPr>
        <w:t>.</w:t>
      </w:r>
    </w:p>
  </w:endnote>
  <w:endnote w:id="260">
    <w:p w14:paraId="3C023FD7" w14:textId="77777777" w:rsidR="00F008D2" w:rsidRPr="005B2362" w:rsidRDefault="00F008D2" w:rsidP="00AA3994">
      <w:pPr>
        <w:pStyle w:val="EndnoteText"/>
        <w:rPr>
          <w:rFonts w:cs="Arial"/>
        </w:rPr>
      </w:pPr>
      <w:r w:rsidRPr="00A573CE">
        <w:rPr>
          <w:rStyle w:val="EndnoteReference"/>
          <w:rFonts w:cs="Arial"/>
        </w:rPr>
        <w:endnoteRef/>
      </w:r>
      <w:r w:rsidRPr="00A573CE">
        <w:rPr>
          <w:rFonts w:cs="Arial"/>
        </w:rPr>
        <w:t xml:space="preserve"> Office of the Children’s Commissioner and Amplify,</w:t>
      </w:r>
      <w:r w:rsidRPr="00A573CE">
        <w:rPr>
          <w:rFonts w:cs="Arial"/>
          <w:i/>
        </w:rPr>
        <w:t xml:space="preserve"> Children, young people and the commercial world</w:t>
      </w:r>
      <w:r w:rsidRPr="00A573CE">
        <w:rPr>
          <w:rFonts w:cs="Arial"/>
        </w:rPr>
        <w:t xml:space="preserve"> (2011) 19.</w:t>
      </w:r>
    </w:p>
  </w:endnote>
  <w:endnote w:id="261">
    <w:p w14:paraId="3D57EBA7"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Peter Lunt</w:t>
      </w:r>
      <w:r>
        <w:rPr>
          <w:rFonts w:cs="Arial"/>
        </w:rPr>
        <w:t xml:space="preserve">, </w:t>
      </w:r>
      <w:r w:rsidRPr="005B2362">
        <w:rPr>
          <w:rFonts w:cs="Arial"/>
        </w:rPr>
        <w:t xml:space="preserve">Economic and Social Research Council, </w:t>
      </w:r>
      <w:r w:rsidRPr="00AB5A77">
        <w:rPr>
          <w:rFonts w:cs="Arial"/>
          <w:i/>
        </w:rPr>
        <w:t>The Virtual Consumer</w:t>
      </w:r>
      <w:r>
        <w:rPr>
          <w:rFonts w:cs="Arial"/>
        </w:rPr>
        <w:t xml:space="preserve"> </w:t>
      </w:r>
      <w:r w:rsidRPr="005B2362">
        <w:rPr>
          <w:rFonts w:cs="Arial"/>
        </w:rPr>
        <w:t>(2002) 6.</w:t>
      </w:r>
    </w:p>
  </w:endnote>
  <w:endnote w:id="262">
    <w:p w14:paraId="70F8499F" w14:textId="77777777" w:rsidR="00F008D2" w:rsidRPr="005B2362" w:rsidRDefault="00F008D2" w:rsidP="00AA3994">
      <w:pPr>
        <w:spacing w:before="0" w:after="0"/>
        <w:rPr>
          <w:rFonts w:cs="Arial"/>
          <w:sz w:val="20"/>
          <w:szCs w:val="20"/>
        </w:rPr>
      </w:pPr>
      <w:r w:rsidRPr="005B2362">
        <w:rPr>
          <w:rStyle w:val="EndnoteReference"/>
          <w:rFonts w:cs="Arial"/>
          <w:szCs w:val="20"/>
        </w:rPr>
        <w:endnoteRef/>
      </w:r>
      <w:r w:rsidRPr="005B2362">
        <w:rPr>
          <w:rFonts w:cs="Arial"/>
          <w:sz w:val="20"/>
          <w:szCs w:val="20"/>
        </w:rPr>
        <w:t xml:space="preserve"> Elizabeth Thomson and Angus Laing, ‘</w:t>
      </w:r>
      <w:r>
        <w:rPr>
          <w:rFonts w:cs="Arial"/>
          <w:sz w:val="20"/>
          <w:szCs w:val="20"/>
        </w:rPr>
        <w:t>“</w:t>
      </w:r>
      <w:r w:rsidRPr="005B2362">
        <w:rPr>
          <w:rFonts w:cs="Arial"/>
          <w:sz w:val="20"/>
          <w:szCs w:val="20"/>
        </w:rPr>
        <w:t>The Net Generation</w:t>
      </w:r>
      <w:r>
        <w:rPr>
          <w:rFonts w:cs="Arial"/>
          <w:sz w:val="20"/>
          <w:szCs w:val="20"/>
        </w:rPr>
        <w:t>”</w:t>
      </w:r>
      <w:r w:rsidRPr="005B2362">
        <w:rPr>
          <w:rFonts w:cs="Arial"/>
          <w:sz w:val="20"/>
          <w:szCs w:val="20"/>
        </w:rPr>
        <w:t xml:space="preserve">: Children and Young People, the Internet and Online Shopping’ (2003) 19 </w:t>
      </w:r>
      <w:r w:rsidRPr="005B2362">
        <w:rPr>
          <w:rFonts w:cs="Arial"/>
          <w:i/>
          <w:sz w:val="20"/>
          <w:szCs w:val="20"/>
        </w:rPr>
        <w:t>Journal of Marketing Management</w:t>
      </w:r>
      <w:r w:rsidRPr="005B2362">
        <w:rPr>
          <w:rFonts w:cs="Arial"/>
          <w:sz w:val="20"/>
          <w:szCs w:val="20"/>
        </w:rPr>
        <w:t xml:space="preserve">, 502. </w:t>
      </w:r>
    </w:p>
  </w:endnote>
  <w:endnote w:id="263">
    <w:p w14:paraId="002D3E72" w14:textId="77777777" w:rsidR="00F008D2" w:rsidRPr="005B2362" w:rsidRDefault="00F008D2" w:rsidP="00AA3994">
      <w:pPr>
        <w:spacing w:before="0" w:after="0"/>
        <w:rPr>
          <w:rFonts w:cs="Arial"/>
          <w:sz w:val="20"/>
          <w:szCs w:val="20"/>
        </w:rPr>
      </w:pPr>
      <w:r w:rsidRPr="005B2362">
        <w:rPr>
          <w:rStyle w:val="EndnoteReference"/>
          <w:rFonts w:cs="Arial"/>
          <w:szCs w:val="20"/>
        </w:rPr>
        <w:endnoteRef/>
      </w:r>
      <w:r w:rsidRPr="005B2362">
        <w:rPr>
          <w:rFonts w:cs="Arial"/>
          <w:sz w:val="20"/>
          <w:szCs w:val="20"/>
        </w:rPr>
        <w:t xml:space="preserve"> Elizabeth Thomson and Angus Laing, ‘</w:t>
      </w:r>
      <w:r>
        <w:rPr>
          <w:rFonts w:cs="Arial"/>
          <w:sz w:val="20"/>
          <w:szCs w:val="20"/>
        </w:rPr>
        <w:t>“</w:t>
      </w:r>
      <w:r w:rsidRPr="005B2362">
        <w:rPr>
          <w:rFonts w:cs="Arial"/>
          <w:sz w:val="20"/>
          <w:szCs w:val="20"/>
        </w:rPr>
        <w:t>The Net Generation</w:t>
      </w:r>
      <w:r>
        <w:rPr>
          <w:rFonts w:cs="Arial"/>
          <w:sz w:val="20"/>
          <w:szCs w:val="20"/>
        </w:rPr>
        <w:t>”</w:t>
      </w:r>
      <w:r w:rsidRPr="005B2362">
        <w:rPr>
          <w:rFonts w:cs="Arial"/>
          <w:sz w:val="20"/>
          <w:szCs w:val="20"/>
        </w:rPr>
        <w:t xml:space="preserve">: Children and Young People, the Internet and Online Shopping’ (2003) 19 </w:t>
      </w:r>
      <w:r w:rsidRPr="005B2362">
        <w:rPr>
          <w:rFonts w:cs="Arial"/>
          <w:i/>
          <w:sz w:val="20"/>
          <w:szCs w:val="20"/>
        </w:rPr>
        <w:t>Journal of Marketing Management</w:t>
      </w:r>
      <w:r w:rsidRPr="005B2362">
        <w:rPr>
          <w:rFonts w:cs="Arial"/>
          <w:sz w:val="20"/>
          <w:szCs w:val="20"/>
        </w:rPr>
        <w:t xml:space="preserve">, 502. </w:t>
      </w:r>
    </w:p>
  </w:endnote>
  <w:endnote w:id="264">
    <w:p w14:paraId="62C13B42"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Louise Kelly, Gayle Kerr and Judy Drennan, ‘Avoidance of Advertising in Social Networking Sites: The Teenage Perspective’ (2010)</w:t>
      </w:r>
      <w:r>
        <w:rPr>
          <w:rFonts w:cs="Arial"/>
        </w:rPr>
        <w:t xml:space="preserve"> 10(2)</w:t>
      </w:r>
      <w:r w:rsidRPr="005B2362">
        <w:rPr>
          <w:rFonts w:cs="Arial"/>
        </w:rPr>
        <w:t xml:space="preserve"> </w:t>
      </w:r>
      <w:r w:rsidRPr="005B2362">
        <w:rPr>
          <w:rFonts w:cs="Arial"/>
          <w:i/>
        </w:rPr>
        <w:t>Journal of interactive Advertising</w:t>
      </w:r>
      <w:r>
        <w:rPr>
          <w:rFonts w:cs="Arial"/>
        </w:rPr>
        <w:t xml:space="preserve">, </w:t>
      </w:r>
      <w:r w:rsidRPr="005B2362">
        <w:rPr>
          <w:rFonts w:cs="Arial"/>
        </w:rPr>
        <w:t>21.</w:t>
      </w:r>
    </w:p>
  </w:endnote>
  <w:endnote w:id="265">
    <w:p w14:paraId="2A0B3463"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Adam Cohen, ‘Spies Among Us’, </w:t>
      </w:r>
      <w:r w:rsidRPr="005B2362">
        <w:rPr>
          <w:rFonts w:cs="Arial"/>
          <w:i/>
        </w:rPr>
        <w:t xml:space="preserve">Time </w:t>
      </w:r>
      <w:r w:rsidRPr="005B2362">
        <w:rPr>
          <w:rFonts w:cs="Arial"/>
        </w:rPr>
        <w:t>(online), 31 July 2000</w:t>
      </w:r>
      <w:r>
        <w:rPr>
          <w:rFonts w:cs="Arial"/>
        </w:rPr>
        <w:t xml:space="preserve"> &lt;</w:t>
      </w:r>
      <w:hyperlink r:id="rId105" w:history="1">
        <w:r w:rsidRPr="00C76F3E">
          <w:rPr>
            <w:rStyle w:val="Hyperlink"/>
            <w:rFonts w:cs="Arial"/>
          </w:rPr>
          <w:t>http://content.time.com/time/world/article/0,8599,2050979,00.html</w:t>
        </w:r>
      </w:hyperlink>
      <w:r>
        <w:rPr>
          <w:rFonts w:cs="Arial"/>
        </w:rPr>
        <w:t>&gt;.</w:t>
      </w:r>
    </w:p>
  </w:endnote>
  <w:endnote w:id="266">
    <w:p w14:paraId="0AE580ED"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Sandra</w:t>
      </w:r>
      <w:r>
        <w:rPr>
          <w:rFonts w:cs="Arial"/>
        </w:rPr>
        <w:t xml:space="preserve"> </w:t>
      </w:r>
      <w:r w:rsidRPr="005B2362">
        <w:rPr>
          <w:rFonts w:cs="Arial"/>
        </w:rPr>
        <w:t>Calvert, ‘Children as Consumers: Advertising and Marketing’</w:t>
      </w:r>
      <w:r>
        <w:rPr>
          <w:rFonts w:cs="Arial"/>
        </w:rPr>
        <w:t xml:space="preserve"> </w:t>
      </w:r>
      <w:r w:rsidRPr="005B2362">
        <w:rPr>
          <w:rFonts w:cs="Arial"/>
        </w:rPr>
        <w:t>(2008)</w:t>
      </w:r>
      <w:r>
        <w:rPr>
          <w:rFonts w:cs="Arial"/>
        </w:rPr>
        <w:t xml:space="preserve"> 18(1)</w:t>
      </w:r>
      <w:r w:rsidRPr="005B2362">
        <w:rPr>
          <w:rFonts w:cs="Arial"/>
        </w:rPr>
        <w:t xml:space="preserve"> </w:t>
      </w:r>
      <w:r w:rsidRPr="00AB5A77">
        <w:rPr>
          <w:rFonts w:cs="Arial"/>
          <w:i/>
        </w:rPr>
        <w:t>The Future of Children</w:t>
      </w:r>
      <w:r w:rsidRPr="005B2362">
        <w:rPr>
          <w:rFonts w:cs="Arial"/>
        </w:rPr>
        <w:t xml:space="preserve"> </w:t>
      </w:r>
      <w:r>
        <w:rPr>
          <w:rFonts w:cs="Arial"/>
        </w:rPr>
        <w:t>205</w:t>
      </w:r>
      <w:r w:rsidRPr="005B2362">
        <w:rPr>
          <w:rFonts w:cs="Arial"/>
        </w:rPr>
        <w:t>, 211.</w:t>
      </w:r>
    </w:p>
  </w:endnote>
  <w:endnote w:id="267">
    <w:p w14:paraId="218FB81A"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Sandra</w:t>
      </w:r>
      <w:r>
        <w:rPr>
          <w:rFonts w:cs="Arial"/>
        </w:rPr>
        <w:t xml:space="preserve"> </w:t>
      </w:r>
      <w:r w:rsidRPr="005B2362">
        <w:rPr>
          <w:rFonts w:cs="Arial"/>
        </w:rPr>
        <w:t>Calvert, ‘Children as Consumers: Advertising and Marketing’</w:t>
      </w:r>
      <w:r>
        <w:rPr>
          <w:rFonts w:cs="Arial"/>
        </w:rPr>
        <w:t xml:space="preserve"> </w:t>
      </w:r>
      <w:r w:rsidRPr="005B2362">
        <w:rPr>
          <w:rFonts w:cs="Arial"/>
        </w:rPr>
        <w:t>(2008)</w:t>
      </w:r>
      <w:r>
        <w:rPr>
          <w:rFonts w:cs="Arial"/>
        </w:rPr>
        <w:t xml:space="preserve"> 18(1)</w:t>
      </w:r>
      <w:r w:rsidRPr="005B2362">
        <w:rPr>
          <w:rFonts w:cs="Arial"/>
        </w:rPr>
        <w:t xml:space="preserve"> </w:t>
      </w:r>
      <w:r w:rsidRPr="00B860A4">
        <w:rPr>
          <w:rFonts w:cs="Arial"/>
          <w:i/>
        </w:rPr>
        <w:t>The Future of Children</w:t>
      </w:r>
      <w:r w:rsidRPr="005B2362">
        <w:rPr>
          <w:rFonts w:cs="Arial"/>
        </w:rPr>
        <w:t xml:space="preserve"> </w:t>
      </w:r>
      <w:r>
        <w:rPr>
          <w:rFonts w:cs="Arial"/>
        </w:rPr>
        <w:t>205</w:t>
      </w:r>
      <w:r w:rsidRPr="005B2362">
        <w:rPr>
          <w:rFonts w:cs="Arial"/>
        </w:rPr>
        <w:t xml:space="preserve">, 212. </w:t>
      </w:r>
    </w:p>
  </w:endnote>
  <w:endnote w:id="268">
    <w:p w14:paraId="2196732C" w14:textId="77777777" w:rsidR="00F008D2" w:rsidRDefault="00F008D2" w:rsidP="00AA3994">
      <w:pPr>
        <w:pStyle w:val="EndnoteText"/>
      </w:pPr>
      <w:r>
        <w:rPr>
          <w:rStyle w:val="EndnoteReference"/>
        </w:rPr>
        <w:endnoteRef/>
      </w:r>
      <w:r>
        <w:t xml:space="preserve"> </w:t>
      </w:r>
      <w:r w:rsidRPr="005B2362">
        <w:rPr>
          <w:rFonts w:cs="Arial"/>
        </w:rPr>
        <w:t>Sandra</w:t>
      </w:r>
      <w:r>
        <w:rPr>
          <w:rFonts w:cs="Arial"/>
        </w:rPr>
        <w:t xml:space="preserve"> </w:t>
      </w:r>
      <w:r w:rsidRPr="005B2362">
        <w:rPr>
          <w:rFonts w:cs="Arial"/>
        </w:rPr>
        <w:t>Calvert, ‘Children as Consumers: Advertising and Marketing’</w:t>
      </w:r>
      <w:r>
        <w:rPr>
          <w:rFonts w:cs="Arial"/>
        </w:rPr>
        <w:t xml:space="preserve"> </w:t>
      </w:r>
      <w:r w:rsidRPr="005B2362">
        <w:rPr>
          <w:rFonts w:cs="Arial"/>
        </w:rPr>
        <w:t>(2008)</w:t>
      </w:r>
      <w:r>
        <w:rPr>
          <w:rFonts w:cs="Arial"/>
        </w:rPr>
        <w:t xml:space="preserve"> 18(1)</w:t>
      </w:r>
      <w:r w:rsidRPr="005B2362">
        <w:rPr>
          <w:rFonts w:cs="Arial"/>
        </w:rPr>
        <w:t xml:space="preserve"> </w:t>
      </w:r>
      <w:r w:rsidRPr="00B860A4">
        <w:rPr>
          <w:rFonts w:cs="Arial"/>
          <w:i/>
        </w:rPr>
        <w:t>The Future of Children</w:t>
      </w:r>
      <w:r w:rsidRPr="005B2362">
        <w:rPr>
          <w:rFonts w:cs="Arial"/>
        </w:rPr>
        <w:t xml:space="preserve"> </w:t>
      </w:r>
      <w:r>
        <w:rPr>
          <w:rFonts w:cs="Arial"/>
        </w:rPr>
        <w:t>205, 209.</w:t>
      </w:r>
    </w:p>
  </w:endnote>
  <w:endnote w:id="269">
    <w:p w14:paraId="23CD1B87" w14:textId="77777777" w:rsidR="00F008D2" w:rsidRDefault="00F008D2" w:rsidP="00AA3994">
      <w:pPr>
        <w:pStyle w:val="EndnoteText"/>
      </w:pPr>
      <w:r>
        <w:rPr>
          <w:rStyle w:val="EndnoteReference"/>
        </w:rPr>
        <w:endnoteRef/>
      </w:r>
      <w:r>
        <w:t xml:space="preserve"> </w:t>
      </w:r>
      <w:r w:rsidRPr="005B2362">
        <w:rPr>
          <w:rFonts w:cs="Arial"/>
        </w:rPr>
        <w:t>Sandra</w:t>
      </w:r>
      <w:r>
        <w:rPr>
          <w:rFonts w:cs="Arial"/>
        </w:rPr>
        <w:t xml:space="preserve"> </w:t>
      </w:r>
      <w:r w:rsidRPr="005B2362">
        <w:rPr>
          <w:rFonts w:cs="Arial"/>
        </w:rPr>
        <w:t>Calvert, ‘Children as Consumers: Advertising and Marketing’</w:t>
      </w:r>
      <w:r>
        <w:rPr>
          <w:rFonts w:cs="Arial"/>
        </w:rPr>
        <w:t xml:space="preserve"> </w:t>
      </w:r>
      <w:r w:rsidRPr="005B2362">
        <w:rPr>
          <w:rFonts w:cs="Arial"/>
        </w:rPr>
        <w:t>(2008)</w:t>
      </w:r>
      <w:r>
        <w:rPr>
          <w:rFonts w:cs="Arial"/>
        </w:rPr>
        <w:t xml:space="preserve"> 18(1)</w:t>
      </w:r>
      <w:r w:rsidRPr="005B2362">
        <w:rPr>
          <w:rFonts w:cs="Arial"/>
        </w:rPr>
        <w:t xml:space="preserve"> </w:t>
      </w:r>
      <w:r w:rsidRPr="00B860A4">
        <w:rPr>
          <w:rFonts w:cs="Arial"/>
          <w:i/>
        </w:rPr>
        <w:t>The Future of Children</w:t>
      </w:r>
      <w:r w:rsidRPr="005B2362">
        <w:rPr>
          <w:rFonts w:cs="Arial"/>
        </w:rPr>
        <w:t xml:space="preserve"> </w:t>
      </w:r>
      <w:r>
        <w:rPr>
          <w:rFonts w:cs="Arial"/>
        </w:rPr>
        <w:t>205, 212.</w:t>
      </w:r>
    </w:p>
  </w:endnote>
  <w:endnote w:id="270">
    <w:p w14:paraId="0EA5DAE5" w14:textId="77777777" w:rsidR="00F008D2" w:rsidRDefault="00F008D2" w:rsidP="00AA3994">
      <w:pPr>
        <w:pStyle w:val="EndnoteText"/>
      </w:pPr>
      <w:r>
        <w:rPr>
          <w:rStyle w:val="EndnoteReference"/>
        </w:rPr>
        <w:endnoteRef/>
      </w:r>
      <w:r>
        <w:t xml:space="preserve"> </w:t>
      </w:r>
      <w:r w:rsidRPr="005B2362">
        <w:rPr>
          <w:rFonts w:cs="Arial"/>
        </w:rPr>
        <w:t>Sandra</w:t>
      </w:r>
      <w:r>
        <w:rPr>
          <w:rFonts w:cs="Arial"/>
        </w:rPr>
        <w:t xml:space="preserve"> </w:t>
      </w:r>
      <w:r w:rsidRPr="005B2362">
        <w:rPr>
          <w:rFonts w:cs="Arial"/>
        </w:rPr>
        <w:t>Calvert, ‘Children as Consumers: Advertising and Marketing’</w:t>
      </w:r>
      <w:r>
        <w:rPr>
          <w:rFonts w:cs="Arial"/>
        </w:rPr>
        <w:t xml:space="preserve"> </w:t>
      </w:r>
      <w:r w:rsidRPr="005B2362">
        <w:rPr>
          <w:rFonts w:cs="Arial"/>
        </w:rPr>
        <w:t>(2008)</w:t>
      </w:r>
      <w:r>
        <w:rPr>
          <w:rFonts w:cs="Arial"/>
        </w:rPr>
        <w:t xml:space="preserve"> 18(1)</w:t>
      </w:r>
      <w:r w:rsidRPr="005B2362">
        <w:rPr>
          <w:rFonts w:cs="Arial"/>
        </w:rPr>
        <w:t xml:space="preserve"> </w:t>
      </w:r>
      <w:r w:rsidRPr="00B860A4">
        <w:rPr>
          <w:rFonts w:cs="Arial"/>
          <w:i/>
        </w:rPr>
        <w:t>The Future of Children</w:t>
      </w:r>
      <w:r w:rsidRPr="005B2362">
        <w:rPr>
          <w:rFonts w:cs="Arial"/>
        </w:rPr>
        <w:t xml:space="preserve"> </w:t>
      </w:r>
      <w:r>
        <w:rPr>
          <w:rFonts w:cs="Arial"/>
        </w:rPr>
        <w:t>205, 212.</w:t>
      </w:r>
    </w:p>
  </w:endnote>
  <w:endnote w:id="271">
    <w:p w14:paraId="0BCB364C" w14:textId="77777777" w:rsidR="00F008D2" w:rsidRDefault="00F008D2" w:rsidP="00AA3994">
      <w:pPr>
        <w:pStyle w:val="EndnoteText"/>
      </w:pPr>
      <w:r>
        <w:rPr>
          <w:rStyle w:val="EndnoteReference"/>
        </w:rPr>
        <w:endnoteRef/>
      </w:r>
      <w:r>
        <w:t xml:space="preserve"> </w:t>
      </w:r>
      <w:r w:rsidRPr="00A45DF8">
        <w:rPr>
          <w:rFonts w:cs="Arial"/>
        </w:rPr>
        <w:t xml:space="preserve">Sandra Calvert, ‘Children as Consumers: Advertising and Marketing’ (2008) 18(1) </w:t>
      </w:r>
      <w:r w:rsidRPr="00A45DF8">
        <w:rPr>
          <w:rFonts w:cs="Arial"/>
          <w:i/>
        </w:rPr>
        <w:t>The Future of Children</w:t>
      </w:r>
      <w:r w:rsidRPr="00A45DF8">
        <w:rPr>
          <w:rFonts w:cs="Arial"/>
        </w:rPr>
        <w:t xml:space="preserve">, 210; Sandra Calvert, ‘Future Faces of Selling to Children’ in E Palmer and B Young (eds) </w:t>
      </w:r>
      <w:r w:rsidRPr="00A45DF8">
        <w:rPr>
          <w:rFonts w:cs="Arial"/>
          <w:i/>
        </w:rPr>
        <w:t>The Faces of Televisual Media</w:t>
      </w:r>
      <w:r w:rsidRPr="00A45DF8">
        <w:rPr>
          <w:rFonts w:cs="Arial"/>
          <w:color w:val="000000"/>
          <w:lang w:val="en"/>
        </w:rPr>
        <w:t>:</w:t>
      </w:r>
      <w:r w:rsidRPr="00A45DF8">
        <w:rPr>
          <w:rFonts w:cs="Arial"/>
          <w:i/>
          <w:color w:val="000000"/>
          <w:lang w:val="en"/>
        </w:rPr>
        <w:t xml:space="preserve"> Teaching, violence, selling to children</w:t>
      </w:r>
      <w:r w:rsidRPr="00A45DF8">
        <w:rPr>
          <w:rFonts w:cs="Arial"/>
          <w:color w:val="000000"/>
          <w:lang w:val="en"/>
        </w:rPr>
        <w:t xml:space="preserve"> (Hillsdale, N.J, </w:t>
      </w:r>
      <w:r w:rsidRPr="00A45DF8">
        <w:rPr>
          <w:rFonts w:cs="Arial"/>
        </w:rPr>
        <w:t>2003) 347.</w:t>
      </w:r>
    </w:p>
  </w:endnote>
  <w:endnote w:id="272">
    <w:p w14:paraId="0DEEB071" w14:textId="77777777" w:rsidR="00F008D2" w:rsidRPr="005B2362" w:rsidRDefault="00F008D2" w:rsidP="00AA3994">
      <w:pPr>
        <w:pStyle w:val="EndnoteText"/>
        <w:rPr>
          <w:rFonts w:cs="Arial"/>
        </w:rPr>
      </w:pPr>
      <w:r w:rsidRPr="005B2362">
        <w:rPr>
          <w:rStyle w:val="EndnoteReference"/>
          <w:rFonts w:cs="Arial"/>
        </w:rPr>
        <w:endnoteRef/>
      </w:r>
      <w:r>
        <w:rPr>
          <w:rFonts w:cs="Arial"/>
        </w:rPr>
        <w:t xml:space="preserve"> </w:t>
      </w:r>
      <w:r w:rsidRPr="005B2362">
        <w:rPr>
          <w:rFonts w:cs="Arial"/>
        </w:rPr>
        <w:t xml:space="preserve">Grace Chung and Sara Grimes, ‘Data Mining the Kids: Surveillance and Market research Strategies in Children’s Online Games’ (2005) 30 </w:t>
      </w:r>
      <w:r w:rsidRPr="005B2362">
        <w:rPr>
          <w:rFonts w:cs="Arial"/>
          <w:i/>
        </w:rPr>
        <w:t>Canadian Journal of Communication</w:t>
      </w:r>
      <w:r w:rsidRPr="005B2362">
        <w:rPr>
          <w:rFonts w:cs="Arial"/>
        </w:rPr>
        <w:t>,</w:t>
      </w:r>
      <w:r>
        <w:rPr>
          <w:rFonts w:cs="Arial"/>
        </w:rPr>
        <w:t xml:space="preserve"> 532. </w:t>
      </w:r>
    </w:p>
  </w:endnote>
  <w:endnote w:id="273">
    <w:p w14:paraId="18F3A6AF" w14:textId="77777777" w:rsidR="00F008D2" w:rsidRPr="005B2362" w:rsidRDefault="00F008D2" w:rsidP="00AA3994">
      <w:pPr>
        <w:pStyle w:val="EndnoteText"/>
        <w:rPr>
          <w:rFonts w:cs="Arial"/>
        </w:rPr>
      </w:pPr>
      <w:r w:rsidRPr="005B2362">
        <w:rPr>
          <w:rStyle w:val="EndnoteReference"/>
          <w:rFonts w:cs="Arial"/>
        </w:rPr>
        <w:endnoteRef/>
      </w:r>
      <w:r>
        <w:rPr>
          <w:rFonts w:cs="Arial"/>
        </w:rPr>
        <w:t xml:space="preserve"> </w:t>
      </w:r>
      <w:r w:rsidRPr="005B2362">
        <w:rPr>
          <w:rFonts w:cs="Arial"/>
        </w:rPr>
        <w:t xml:space="preserve">Grace Chung and Sara Grimes, ‘Data Mining the Kids: Surveillance and Market research Strategies in Children’s Online Games’ (2005) 30 </w:t>
      </w:r>
      <w:r w:rsidRPr="005B2362">
        <w:rPr>
          <w:rFonts w:cs="Arial"/>
          <w:i/>
        </w:rPr>
        <w:t>Canadian Journal of Communication</w:t>
      </w:r>
      <w:r w:rsidRPr="005B2362">
        <w:rPr>
          <w:rFonts w:cs="Arial"/>
        </w:rPr>
        <w:t>,</w:t>
      </w:r>
      <w:r>
        <w:rPr>
          <w:rFonts w:cs="Arial"/>
        </w:rPr>
        <w:t xml:space="preserve"> 532. </w:t>
      </w:r>
    </w:p>
  </w:endnote>
  <w:endnote w:id="274">
    <w:p w14:paraId="564E53ED" w14:textId="77777777" w:rsidR="00F008D2" w:rsidRPr="005B2362" w:rsidRDefault="00F008D2" w:rsidP="00AA3994">
      <w:pPr>
        <w:autoSpaceDE w:val="0"/>
        <w:autoSpaceDN w:val="0"/>
        <w:adjustRightInd w:val="0"/>
        <w:spacing w:before="0" w:after="0"/>
        <w:rPr>
          <w:rFonts w:cs="Arial"/>
        </w:rPr>
      </w:pPr>
      <w:r w:rsidRPr="005B2362">
        <w:rPr>
          <w:rStyle w:val="EndnoteReference"/>
          <w:rFonts w:cs="Arial"/>
          <w:szCs w:val="20"/>
        </w:rPr>
        <w:endnoteRef/>
      </w:r>
      <w:r w:rsidRPr="005B2362">
        <w:rPr>
          <w:rFonts w:cs="Arial"/>
          <w:sz w:val="20"/>
          <w:szCs w:val="20"/>
        </w:rPr>
        <w:t xml:space="preserve"> K Rajani Kanth, ‘Catch them young with advergaming’</w:t>
      </w:r>
      <w:r>
        <w:rPr>
          <w:rFonts w:cs="Arial"/>
          <w:sz w:val="20"/>
          <w:szCs w:val="20"/>
        </w:rPr>
        <w:t>,</w:t>
      </w:r>
      <w:r w:rsidRPr="005B2362">
        <w:rPr>
          <w:rFonts w:cs="Arial"/>
          <w:sz w:val="20"/>
          <w:szCs w:val="20"/>
        </w:rPr>
        <w:t xml:space="preserve"> </w:t>
      </w:r>
      <w:r w:rsidRPr="005B2362">
        <w:rPr>
          <w:rFonts w:cs="Arial"/>
          <w:i/>
          <w:sz w:val="20"/>
          <w:szCs w:val="20"/>
        </w:rPr>
        <w:t xml:space="preserve">The Business Standard </w:t>
      </w:r>
      <w:r w:rsidRPr="005B2362">
        <w:rPr>
          <w:rFonts w:cs="Arial"/>
          <w:sz w:val="20"/>
          <w:szCs w:val="20"/>
        </w:rPr>
        <w:t>(online), 7 January 2010, &lt;</w:t>
      </w:r>
      <w:hyperlink r:id="rId106" w:history="1">
        <w:r w:rsidRPr="00C76F3E">
          <w:rPr>
            <w:rStyle w:val="Hyperlink"/>
            <w:rFonts w:cs="Arial"/>
            <w:sz w:val="20"/>
            <w:szCs w:val="20"/>
          </w:rPr>
          <w:t>http://www.business-standard.com/india/news/catch-them-youngadvergaming/</w:t>
        </w:r>
        <w:r w:rsidRPr="00EB03F8">
          <w:rPr>
            <w:rStyle w:val="Hyperlink"/>
            <w:rFonts w:cs="Arial"/>
            <w:sz w:val="20"/>
            <w:szCs w:val="20"/>
          </w:rPr>
          <w:t>381926/</w:t>
        </w:r>
      </w:hyperlink>
      <w:r w:rsidRPr="00EB03F8">
        <w:rPr>
          <w:rStyle w:val="Hyperlink"/>
          <w:sz w:val="20"/>
          <w:szCs w:val="20"/>
        </w:rPr>
        <w:t>&gt;.</w:t>
      </w:r>
      <w:r>
        <w:rPr>
          <w:rFonts w:cs="Arial"/>
        </w:rPr>
        <w:t xml:space="preserve"> </w:t>
      </w:r>
    </w:p>
  </w:endnote>
  <w:endnote w:id="275">
    <w:p w14:paraId="15F68876"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Mrá</w:t>
      </w:r>
      <w:r w:rsidRPr="005B2362">
        <w:rPr>
          <w:rFonts w:cs="Arial"/>
          <w:iCs/>
        </w:rPr>
        <w:t>ček Pavel and Mucha Martin, ‘Application of Knowledge in Advergaming as a Possible Source of Competitive Advantage, (2011)</w:t>
      </w:r>
      <w:r>
        <w:rPr>
          <w:rFonts w:cs="Arial"/>
          <w:iCs/>
        </w:rPr>
        <w:t xml:space="preserve"> 3</w:t>
      </w:r>
      <w:r w:rsidRPr="005B2362">
        <w:rPr>
          <w:rFonts w:cs="Arial"/>
          <w:iCs/>
        </w:rPr>
        <w:t xml:space="preserve"> </w:t>
      </w:r>
      <w:r w:rsidRPr="005B2362">
        <w:rPr>
          <w:rFonts w:cs="Arial"/>
          <w:i/>
          <w:iCs/>
        </w:rPr>
        <w:t>Journal of Competitiveness</w:t>
      </w:r>
      <w:r w:rsidRPr="005B2362">
        <w:rPr>
          <w:rFonts w:cs="Arial"/>
          <w:iCs/>
        </w:rPr>
        <w:t>, 110.</w:t>
      </w:r>
    </w:p>
  </w:endnote>
  <w:endnote w:id="276">
    <w:p w14:paraId="2DDDD6C8" w14:textId="77777777" w:rsidR="00F008D2" w:rsidRPr="00696DEB" w:rsidRDefault="00F008D2" w:rsidP="00AA3994">
      <w:pPr>
        <w:autoSpaceDE w:val="0"/>
        <w:autoSpaceDN w:val="0"/>
        <w:adjustRightInd w:val="0"/>
        <w:spacing w:before="0" w:after="0"/>
        <w:rPr>
          <w:rFonts w:cs="Arial"/>
          <w:sz w:val="20"/>
          <w:szCs w:val="20"/>
        </w:rPr>
      </w:pPr>
      <w:r w:rsidRPr="005B2362">
        <w:rPr>
          <w:rStyle w:val="EndnoteReference"/>
          <w:rFonts w:cs="Arial"/>
          <w:szCs w:val="20"/>
        </w:rPr>
        <w:endnoteRef/>
      </w:r>
      <w:r w:rsidRPr="005B2362">
        <w:rPr>
          <w:rFonts w:cs="Arial"/>
          <w:sz w:val="20"/>
          <w:szCs w:val="20"/>
        </w:rPr>
        <w:t xml:space="preserve"> K Rajani Kanth, ‘Catch them young with advergaming’</w:t>
      </w:r>
      <w:r>
        <w:rPr>
          <w:rFonts w:cs="Arial"/>
          <w:sz w:val="20"/>
          <w:szCs w:val="20"/>
        </w:rPr>
        <w:t>,</w:t>
      </w:r>
      <w:r w:rsidRPr="005B2362">
        <w:rPr>
          <w:rFonts w:cs="Arial"/>
          <w:sz w:val="20"/>
          <w:szCs w:val="20"/>
        </w:rPr>
        <w:t xml:space="preserve"> </w:t>
      </w:r>
      <w:r w:rsidRPr="005B2362">
        <w:rPr>
          <w:rFonts w:cs="Arial"/>
          <w:i/>
          <w:sz w:val="20"/>
          <w:szCs w:val="20"/>
        </w:rPr>
        <w:t xml:space="preserve">The Business Standard </w:t>
      </w:r>
      <w:r w:rsidRPr="005B2362">
        <w:rPr>
          <w:rFonts w:cs="Arial"/>
          <w:sz w:val="20"/>
          <w:szCs w:val="20"/>
        </w:rPr>
        <w:t>(online), 7 January 2010, &lt;</w:t>
      </w:r>
      <w:hyperlink r:id="rId107" w:history="1">
        <w:r w:rsidRPr="00C76F3E">
          <w:rPr>
            <w:rStyle w:val="Hyperlink"/>
            <w:rFonts w:cs="Arial"/>
            <w:sz w:val="20"/>
            <w:szCs w:val="20"/>
          </w:rPr>
          <w:t>http://www.business-standard.com/india/news/catch-them-youngadvergaming/</w:t>
        </w:r>
        <w:r w:rsidRPr="007B3834">
          <w:rPr>
            <w:rStyle w:val="Hyperlink"/>
            <w:rFonts w:cs="Arial"/>
            <w:sz w:val="20"/>
            <w:szCs w:val="20"/>
          </w:rPr>
          <w:t>381926/</w:t>
        </w:r>
      </w:hyperlink>
      <w:r w:rsidRPr="005B2362">
        <w:rPr>
          <w:rFonts w:cs="Arial"/>
        </w:rPr>
        <w:t>&gt;</w:t>
      </w:r>
      <w:r>
        <w:rPr>
          <w:rFonts w:cs="Arial"/>
        </w:rPr>
        <w:t>.</w:t>
      </w:r>
    </w:p>
  </w:endnote>
  <w:endnote w:id="277">
    <w:p w14:paraId="32858E2C"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Sara Grimes and Leslie Shade, ‘Neopian economics of play: children’s cyberpets and online communities as immersive advertising in NeoPets.com’ (2005)</w:t>
      </w:r>
      <w:r>
        <w:rPr>
          <w:rFonts w:cs="Arial"/>
        </w:rPr>
        <w:t xml:space="preserve"> 1(2)</w:t>
      </w:r>
      <w:r w:rsidRPr="005B2362">
        <w:rPr>
          <w:rFonts w:cs="Arial"/>
        </w:rPr>
        <w:t xml:space="preserve"> </w:t>
      </w:r>
      <w:r w:rsidRPr="005B2362">
        <w:rPr>
          <w:rFonts w:cs="Arial"/>
          <w:i/>
        </w:rPr>
        <w:t>International Journal of Media and Cultural Politics</w:t>
      </w:r>
      <w:r>
        <w:rPr>
          <w:rFonts w:cs="Arial"/>
        </w:rPr>
        <w:t xml:space="preserve">, 183. </w:t>
      </w:r>
    </w:p>
  </w:endnote>
  <w:endnote w:id="278">
    <w:p w14:paraId="48AC0DD1"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Sara Grimes and Leslie Shade, ‘Neopian economics of play: children’s cyberpets and online communities as immersive advertising in NeoPets.com’ (2005)</w:t>
      </w:r>
      <w:r>
        <w:rPr>
          <w:rFonts w:cs="Arial"/>
        </w:rPr>
        <w:t xml:space="preserve"> 1(2)</w:t>
      </w:r>
      <w:r w:rsidRPr="005B2362">
        <w:rPr>
          <w:rFonts w:cs="Arial"/>
        </w:rPr>
        <w:t xml:space="preserve"> </w:t>
      </w:r>
      <w:r w:rsidRPr="005B2362">
        <w:rPr>
          <w:rFonts w:cs="Arial"/>
          <w:i/>
        </w:rPr>
        <w:t>International Journal of Media and Cultural Politics</w:t>
      </w:r>
      <w:r w:rsidRPr="005B2362">
        <w:rPr>
          <w:rFonts w:cs="Arial"/>
        </w:rPr>
        <w:t>, 182.</w:t>
      </w:r>
    </w:p>
  </w:endnote>
  <w:endnote w:id="279">
    <w:p w14:paraId="0B9AF0FB"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Sara Grimes and Leslie Shade, ‘Neopian economics of play: children’s cyberpets and online communities as immersive advertising in NeoPets.com’ (2005)</w:t>
      </w:r>
      <w:r>
        <w:rPr>
          <w:rFonts w:cs="Arial"/>
        </w:rPr>
        <w:t xml:space="preserve"> 1(2)</w:t>
      </w:r>
      <w:r w:rsidRPr="005B2362">
        <w:rPr>
          <w:rFonts w:cs="Arial"/>
        </w:rPr>
        <w:t xml:space="preserve"> </w:t>
      </w:r>
      <w:r w:rsidRPr="005B2362">
        <w:rPr>
          <w:rFonts w:cs="Arial"/>
          <w:i/>
        </w:rPr>
        <w:t>International Journal of Media and Cultural Politics</w:t>
      </w:r>
      <w:r w:rsidRPr="005B2362">
        <w:rPr>
          <w:rFonts w:cs="Arial"/>
        </w:rPr>
        <w:t>, 182.</w:t>
      </w:r>
    </w:p>
  </w:endnote>
  <w:endnote w:id="280">
    <w:p w14:paraId="521B8FCB"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Sara Grimes and Leslie Shade, ‘Neopian economics of play: children’s cyberpets and online communities as immersive advertising in NeoPets.com’ (2005)</w:t>
      </w:r>
      <w:r>
        <w:rPr>
          <w:rFonts w:cs="Arial"/>
        </w:rPr>
        <w:t xml:space="preserve"> 1(2)</w:t>
      </w:r>
      <w:r w:rsidRPr="005B2362">
        <w:rPr>
          <w:rFonts w:cs="Arial"/>
        </w:rPr>
        <w:t xml:space="preserve"> </w:t>
      </w:r>
      <w:r w:rsidRPr="005B2362">
        <w:rPr>
          <w:rFonts w:cs="Arial"/>
          <w:i/>
        </w:rPr>
        <w:t>International Journal of Media and Cultural Politics</w:t>
      </w:r>
      <w:r w:rsidRPr="005B2362">
        <w:rPr>
          <w:rFonts w:cs="Arial"/>
        </w:rPr>
        <w:t>, 182.</w:t>
      </w:r>
    </w:p>
  </w:endnote>
  <w:endnote w:id="281">
    <w:p w14:paraId="06684AF2"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Sara Grimes and Leslie Shade, ‘Neopian economics of play: children’s cyberpets and online communities as immersive advertising in NeoPets.com’ (2005)</w:t>
      </w:r>
      <w:r>
        <w:rPr>
          <w:rFonts w:cs="Arial"/>
        </w:rPr>
        <w:t xml:space="preserve"> 1(2)</w:t>
      </w:r>
      <w:r w:rsidRPr="005B2362">
        <w:rPr>
          <w:rFonts w:cs="Arial"/>
        </w:rPr>
        <w:t xml:space="preserve"> </w:t>
      </w:r>
      <w:r w:rsidRPr="005B2362">
        <w:rPr>
          <w:rFonts w:cs="Arial"/>
          <w:i/>
        </w:rPr>
        <w:t>International Journal of Media and Cultural Politics</w:t>
      </w:r>
      <w:r w:rsidRPr="005B2362">
        <w:rPr>
          <w:rFonts w:cs="Arial"/>
        </w:rPr>
        <w:t>, 182.</w:t>
      </w:r>
    </w:p>
  </w:endnote>
  <w:endnote w:id="282">
    <w:p w14:paraId="6A0FE47A"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Elizabeth Thomson and Angus Laing, ‘</w:t>
      </w:r>
      <w:r>
        <w:rPr>
          <w:rFonts w:cs="Arial"/>
        </w:rPr>
        <w:t>“</w:t>
      </w:r>
      <w:r w:rsidRPr="005B2362">
        <w:rPr>
          <w:rFonts w:cs="Arial"/>
        </w:rPr>
        <w:t>The Net Generation</w:t>
      </w:r>
      <w:r>
        <w:rPr>
          <w:rFonts w:cs="Arial"/>
        </w:rPr>
        <w:t>”</w:t>
      </w:r>
      <w:r w:rsidRPr="005B2362">
        <w:rPr>
          <w:rFonts w:cs="Arial"/>
        </w:rPr>
        <w:t xml:space="preserve">: Children and Young People, the Internet and Online Shopping’ (2003) 19 </w:t>
      </w:r>
      <w:r w:rsidRPr="005B2362">
        <w:rPr>
          <w:rFonts w:cs="Arial"/>
          <w:i/>
        </w:rPr>
        <w:t>Journal of Marketing Management</w:t>
      </w:r>
      <w:r w:rsidRPr="005B2362">
        <w:rPr>
          <w:rFonts w:cs="Arial"/>
        </w:rPr>
        <w:t>, 501.</w:t>
      </w:r>
    </w:p>
  </w:endnote>
  <w:endnote w:id="283">
    <w:p w14:paraId="7EBD0FDB"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w:t>
      </w:r>
      <w:r w:rsidRPr="00AB5A77">
        <w:rPr>
          <w:rFonts w:cs="Arial"/>
        </w:rPr>
        <w:t xml:space="preserve">Deborah John, ‘Consumer Socialisation of Children: a Retrospective Look at Twenty Years of Research’ (1999) 26 (3) </w:t>
      </w:r>
      <w:r w:rsidRPr="0094062F">
        <w:rPr>
          <w:rFonts w:cs="Arial"/>
          <w:i/>
        </w:rPr>
        <w:t>Journal of Consumer Research</w:t>
      </w:r>
      <w:r>
        <w:rPr>
          <w:rFonts w:cs="Arial"/>
          <w:i/>
        </w:rPr>
        <w:t>,</w:t>
      </w:r>
      <w:r>
        <w:rPr>
          <w:rFonts w:cs="Arial"/>
        </w:rPr>
        <w:t xml:space="preserve"> 187.</w:t>
      </w:r>
    </w:p>
  </w:endnote>
  <w:endnote w:id="284">
    <w:p w14:paraId="36164835"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C</w:t>
      </w:r>
      <w:r>
        <w:rPr>
          <w:rFonts w:cs="Arial"/>
        </w:rPr>
        <w:t xml:space="preserve">ommonwealth </w:t>
      </w:r>
      <w:r w:rsidRPr="005B2362">
        <w:rPr>
          <w:rFonts w:cs="Arial"/>
        </w:rPr>
        <w:t>C</w:t>
      </w:r>
      <w:r>
        <w:rPr>
          <w:rFonts w:cs="Arial"/>
        </w:rPr>
        <w:t xml:space="preserve">onsumer </w:t>
      </w:r>
      <w:r w:rsidRPr="005B2362">
        <w:rPr>
          <w:rFonts w:cs="Arial"/>
        </w:rPr>
        <w:t>A</w:t>
      </w:r>
      <w:r>
        <w:rPr>
          <w:rFonts w:cs="Arial"/>
        </w:rPr>
        <w:t xml:space="preserve">ffairs </w:t>
      </w:r>
      <w:r w:rsidRPr="005B2362">
        <w:rPr>
          <w:rFonts w:cs="Arial"/>
        </w:rPr>
        <w:t>A</w:t>
      </w:r>
      <w:r>
        <w:rPr>
          <w:rFonts w:cs="Arial"/>
        </w:rPr>
        <w:t xml:space="preserve">dvisory </w:t>
      </w:r>
      <w:r w:rsidRPr="005B2362">
        <w:rPr>
          <w:rFonts w:cs="Arial"/>
        </w:rPr>
        <w:t>C</w:t>
      </w:r>
      <w:r>
        <w:rPr>
          <w:rFonts w:cs="Arial"/>
        </w:rPr>
        <w:t>ouncil</w:t>
      </w:r>
      <w:r w:rsidRPr="005B2362">
        <w:rPr>
          <w:rFonts w:cs="Arial"/>
        </w:rPr>
        <w:t xml:space="preserve">, </w:t>
      </w:r>
      <w:r w:rsidRPr="005B2362">
        <w:rPr>
          <w:rFonts w:cs="Arial"/>
          <w:i/>
        </w:rPr>
        <w:t>App purchases by Australian consumers on mobile and handheld devices</w:t>
      </w:r>
      <w:r>
        <w:rPr>
          <w:rFonts w:cs="Arial"/>
        </w:rPr>
        <w:t xml:space="preserve">: </w:t>
      </w:r>
      <w:r w:rsidRPr="00B860A4">
        <w:rPr>
          <w:rFonts w:cs="Arial"/>
          <w:i/>
        </w:rPr>
        <w:t>Inquiry report</w:t>
      </w:r>
      <w:r w:rsidRPr="005B2362">
        <w:rPr>
          <w:rFonts w:cs="Arial"/>
        </w:rPr>
        <w:t xml:space="preserve"> </w:t>
      </w:r>
      <w:r>
        <w:rPr>
          <w:rFonts w:cs="Arial"/>
        </w:rPr>
        <w:t>(</w:t>
      </w:r>
      <w:r w:rsidRPr="005B2362">
        <w:rPr>
          <w:rFonts w:cs="Arial"/>
        </w:rPr>
        <w:t>2013</w:t>
      </w:r>
      <w:r>
        <w:rPr>
          <w:rFonts w:cs="Arial"/>
        </w:rPr>
        <w:t>)</w:t>
      </w:r>
      <w:r w:rsidRPr="005B2362">
        <w:rPr>
          <w:rFonts w:cs="Arial"/>
        </w:rPr>
        <w:t xml:space="preserve"> vii.  </w:t>
      </w:r>
    </w:p>
  </w:endnote>
  <w:endnote w:id="285">
    <w:p w14:paraId="0FDCF8A4"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Sandra</w:t>
      </w:r>
      <w:r>
        <w:rPr>
          <w:rFonts w:cs="Arial"/>
        </w:rPr>
        <w:t xml:space="preserve"> </w:t>
      </w:r>
      <w:r w:rsidRPr="005B2362">
        <w:rPr>
          <w:rFonts w:cs="Arial"/>
        </w:rPr>
        <w:t>Calvert, ‘Children as Consumers: Advertising and Marketing’</w:t>
      </w:r>
      <w:r>
        <w:rPr>
          <w:rFonts w:cs="Arial"/>
        </w:rPr>
        <w:t xml:space="preserve"> </w:t>
      </w:r>
      <w:r w:rsidRPr="005B2362">
        <w:rPr>
          <w:rFonts w:cs="Arial"/>
        </w:rPr>
        <w:t>(2008)</w:t>
      </w:r>
      <w:r>
        <w:rPr>
          <w:rFonts w:cs="Arial"/>
        </w:rPr>
        <w:t xml:space="preserve"> 18(1)</w:t>
      </w:r>
      <w:r w:rsidRPr="005B2362">
        <w:rPr>
          <w:rFonts w:cs="Arial"/>
        </w:rPr>
        <w:t xml:space="preserve"> </w:t>
      </w:r>
      <w:r w:rsidRPr="00B860A4">
        <w:rPr>
          <w:rFonts w:cs="Arial"/>
          <w:i/>
        </w:rPr>
        <w:t>The Future of Children</w:t>
      </w:r>
      <w:r w:rsidRPr="005B2362">
        <w:rPr>
          <w:rFonts w:cs="Arial"/>
        </w:rPr>
        <w:t>, 224.</w:t>
      </w:r>
    </w:p>
  </w:endnote>
  <w:endnote w:id="286">
    <w:p w14:paraId="2B3B67D2" w14:textId="77777777" w:rsidR="00F008D2" w:rsidRDefault="00F008D2" w:rsidP="00AA3994">
      <w:pPr>
        <w:pStyle w:val="EndnoteText"/>
      </w:pPr>
      <w:r>
        <w:rPr>
          <w:rStyle w:val="EndnoteReference"/>
        </w:rPr>
        <w:endnoteRef/>
      </w:r>
      <w:r>
        <w:t xml:space="preserve"> </w:t>
      </w:r>
      <w:r w:rsidRPr="005B2362">
        <w:rPr>
          <w:rFonts w:cs="Arial"/>
        </w:rPr>
        <w:t>Sandra</w:t>
      </w:r>
      <w:r>
        <w:rPr>
          <w:rFonts w:cs="Arial"/>
        </w:rPr>
        <w:t xml:space="preserve"> </w:t>
      </w:r>
      <w:r w:rsidRPr="005B2362">
        <w:rPr>
          <w:rFonts w:cs="Arial"/>
        </w:rPr>
        <w:t>Calvert, ‘Children as Consumers: Advertising and Marketing’</w:t>
      </w:r>
      <w:r>
        <w:rPr>
          <w:rFonts w:cs="Arial"/>
        </w:rPr>
        <w:t xml:space="preserve"> </w:t>
      </w:r>
      <w:r w:rsidRPr="005B2362">
        <w:rPr>
          <w:rFonts w:cs="Arial"/>
        </w:rPr>
        <w:t>(2008)</w:t>
      </w:r>
      <w:r>
        <w:rPr>
          <w:rFonts w:cs="Arial"/>
        </w:rPr>
        <w:t xml:space="preserve"> 18(1)</w:t>
      </w:r>
      <w:r w:rsidRPr="005B2362">
        <w:rPr>
          <w:rFonts w:cs="Arial"/>
        </w:rPr>
        <w:t xml:space="preserve"> </w:t>
      </w:r>
      <w:r w:rsidRPr="00B860A4">
        <w:rPr>
          <w:rFonts w:cs="Arial"/>
          <w:i/>
        </w:rPr>
        <w:t>The Future of Children</w:t>
      </w:r>
      <w:r>
        <w:rPr>
          <w:rFonts w:cs="Arial"/>
        </w:rPr>
        <w:t>, 209.</w:t>
      </w:r>
    </w:p>
  </w:endnote>
  <w:endnote w:id="287">
    <w:p w14:paraId="210ABEA1"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Grace Chung and Sara Grimes, ‘Data Mining the Kids: Surveillance and Market research Strategies in Children’s Online Games’ (2005) 30 </w:t>
      </w:r>
      <w:r w:rsidRPr="005B2362">
        <w:rPr>
          <w:rFonts w:cs="Arial"/>
          <w:i/>
        </w:rPr>
        <w:t>Canadian Journal of Communication</w:t>
      </w:r>
      <w:r w:rsidRPr="005B2362">
        <w:rPr>
          <w:rFonts w:cs="Arial"/>
        </w:rPr>
        <w:t>, 528.</w:t>
      </w:r>
    </w:p>
  </w:endnote>
  <w:endnote w:id="288">
    <w:p w14:paraId="343FEA13"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Daniel Cook, ‘Exchange Value as Pedagogy in Children’s Leisure: Moral Panics in Children’s Culture at Century’s End’ (2001)</w:t>
      </w:r>
      <w:r>
        <w:rPr>
          <w:rFonts w:cs="Arial"/>
        </w:rPr>
        <w:t xml:space="preserve"> 23</w:t>
      </w:r>
      <w:r w:rsidRPr="005B2362">
        <w:rPr>
          <w:rFonts w:cs="Arial"/>
        </w:rPr>
        <w:t xml:space="preserve"> </w:t>
      </w:r>
      <w:r w:rsidRPr="005B2362">
        <w:rPr>
          <w:rFonts w:cs="Arial"/>
          <w:i/>
        </w:rPr>
        <w:t>Leisure Sciences</w:t>
      </w:r>
      <w:r w:rsidRPr="005B2362">
        <w:rPr>
          <w:rFonts w:cs="Arial"/>
        </w:rPr>
        <w:t xml:space="preserve">, </w:t>
      </w:r>
      <w:r w:rsidRPr="00B66382">
        <w:rPr>
          <w:rFonts w:cs="Arial"/>
        </w:rPr>
        <w:t>82</w:t>
      </w:r>
      <w:r w:rsidRPr="005B2362">
        <w:rPr>
          <w:rFonts w:cs="Arial"/>
        </w:rPr>
        <w:t>.</w:t>
      </w:r>
    </w:p>
  </w:endnote>
  <w:endnote w:id="289">
    <w:p w14:paraId="1303AE9A"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Sara Grimes and Leslie Shade, ‘Neopian economics of play: children’s cyberpets and online communities as immersive advertising in NeoPets.com’ (2005)</w:t>
      </w:r>
      <w:r>
        <w:rPr>
          <w:rFonts w:cs="Arial"/>
        </w:rPr>
        <w:t xml:space="preserve"> 1(2)</w:t>
      </w:r>
      <w:r w:rsidRPr="005B2362">
        <w:rPr>
          <w:rFonts w:cs="Arial"/>
        </w:rPr>
        <w:t xml:space="preserve"> </w:t>
      </w:r>
      <w:r w:rsidRPr="005B2362">
        <w:rPr>
          <w:rFonts w:cs="Arial"/>
          <w:i/>
        </w:rPr>
        <w:t>International Journal of Media and Cultural Politics</w:t>
      </w:r>
      <w:r w:rsidRPr="005B2362">
        <w:rPr>
          <w:rFonts w:cs="Arial"/>
        </w:rPr>
        <w:t>, 190.</w:t>
      </w:r>
    </w:p>
  </w:endnote>
  <w:endnote w:id="290">
    <w:p w14:paraId="0F4DF94E"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Sandra</w:t>
      </w:r>
      <w:r>
        <w:rPr>
          <w:rFonts w:cs="Arial"/>
        </w:rPr>
        <w:t xml:space="preserve"> </w:t>
      </w:r>
      <w:r w:rsidRPr="005B2362">
        <w:rPr>
          <w:rFonts w:cs="Arial"/>
        </w:rPr>
        <w:t>Calvert, ‘Children as Consumers: Advertising and Marketing’</w:t>
      </w:r>
      <w:r>
        <w:rPr>
          <w:rFonts w:cs="Arial"/>
        </w:rPr>
        <w:t xml:space="preserve"> </w:t>
      </w:r>
      <w:r w:rsidRPr="005B2362">
        <w:rPr>
          <w:rFonts w:cs="Arial"/>
        </w:rPr>
        <w:t>(2008)</w:t>
      </w:r>
      <w:r>
        <w:rPr>
          <w:rFonts w:cs="Arial"/>
        </w:rPr>
        <w:t xml:space="preserve"> 18(1)</w:t>
      </w:r>
      <w:r w:rsidRPr="005B2362">
        <w:rPr>
          <w:rFonts w:cs="Arial"/>
        </w:rPr>
        <w:t xml:space="preserve"> </w:t>
      </w:r>
      <w:r w:rsidRPr="00B860A4">
        <w:rPr>
          <w:rFonts w:cs="Arial"/>
          <w:i/>
        </w:rPr>
        <w:t>The Future of Children</w:t>
      </w:r>
      <w:r>
        <w:rPr>
          <w:rFonts w:cs="Arial"/>
        </w:rPr>
        <w:t>, 211</w:t>
      </w:r>
      <w:r w:rsidRPr="005B2362">
        <w:rPr>
          <w:rFonts w:cs="Arial"/>
        </w:rPr>
        <w:t>.</w:t>
      </w:r>
    </w:p>
  </w:endnote>
  <w:endnote w:id="291">
    <w:p w14:paraId="3D61D105"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Sara Grimes and Leslie Shade, ‘Neopian economics of play: children’s cyberpets and online communities as immersive advertising in NeoPets.com’ (2005)</w:t>
      </w:r>
      <w:r>
        <w:rPr>
          <w:rFonts w:cs="Arial"/>
        </w:rPr>
        <w:t xml:space="preserve"> 1(2)</w:t>
      </w:r>
      <w:r w:rsidRPr="005B2362">
        <w:rPr>
          <w:rFonts w:cs="Arial"/>
        </w:rPr>
        <w:t xml:space="preserve"> </w:t>
      </w:r>
      <w:r w:rsidRPr="005B2362">
        <w:rPr>
          <w:rFonts w:cs="Arial"/>
          <w:i/>
        </w:rPr>
        <w:t>International Journal of Media and Cultural Politics</w:t>
      </w:r>
      <w:r w:rsidRPr="005B2362">
        <w:rPr>
          <w:rFonts w:cs="Arial"/>
        </w:rPr>
        <w:t xml:space="preserve">, 192. </w:t>
      </w:r>
    </w:p>
  </w:endnote>
  <w:endnote w:id="292">
    <w:p w14:paraId="6C9C82AF"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Sandra</w:t>
      </w:r>
      <w:r>
        <w:rPr>
          <w:rFonts w:cs="Arial"/>
        </w:rPr>
        <w:t xml:space="preserve"> </w:t>
      </w:r>
      <w:r w:rsidRPr="005B2362">
        <w:rPr>
          <w:rFonts w:cs="Arial"/>
        </w:rPr>
        <w:t>Calvert, ‘Children as Consumers: Advertising and Marketing’</w:t>
      </w:r>
      <w:r>
        <w:rPr>
          <w:rFonts w:cs="Arial"/>
        </w:rPr>
        <w:t xml:space="preserve"> </w:t>
      </w:r>
      <w:r w:rsidRPr="005B2362">
        <w:rPr>
          <w:rFonts w:cs="Arial"/>
        </w:rPr>
        <w:t>(2008)</w:t>
      </w:r>
      <w:r>
        <w:rPr>
          <w:rFonts w:cs="Arial"/>
        </w:rPr>
        <w:t xml:space="preserve"> 18(1)</w:t>
      </w:r>
      <w:r w:rsidRPr="005B2362">
        <w:rPr>
          <w:rFonts w:cs="Arial"/>
        </w:rPr>
        <w:t xml:space="preserve"> </w:t>
      </w:r>
      <w:r w:rsidRPr="00B860A4">
        <w:rPr>
          <w:rFonts w:cs="Arial"/>
          <w:i/>
        </w:rPr>
        <w:t>The Future of Children</w:t>
      </w:r>
      <w:r w:rsidRPr="005B2362">
        <w:rPr>
          <w:rFonts w:cs="Arial"/>
        </w:rPr>
        <w:t>, 210.</w:t>
      </w:r>
    </w:p>
  </w:endnote>
  <w:endnote w:id="293">
    <w:p w14:paraId="4B4E538F"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Grace Chung and Sara Grimes, ‘Data Mining the Kids: Surveillance and Market research Strategies in Children’s Online Games’ (2005) 30 </w:t>
      </w:r>
      <w:r w:rsidRPr="005B2362">
        <w:rPr>
          <w:rFonts w:cs="Arial"/>
          <w:i/>
        </w:rPr>
        <w:t>Canadian Journal of Communication</w:t>
      </w:r>
      <w:r w:rsidRPr="005B2362">
        <w:rPr>
          <w:rFonts w:cs="Arial"/>
        </w:rPr>
        <w:t>, 533.</w:t>
      </w:r>
    </w:p>
  </w:endnote>
  <w:endnote w:id="294">
    <w:p w14:paraId="16E862A7"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Grace Chung and Sara Grimes, ‘Data Mining the Kids: Surveillance and Market research Strategies in Children’s Online Games’ (2005) 30 </w:t>
      </w:r>
      <w:r w:rsidRPr="005B2362">
        <w:rPr>
          <w:rFonts w:cs="Arial"/>
          <w:i/>
        </w:rPr>
        <w:t>Canadian Journal of Communication</w:t>
      </w:r>
      <w:r w:rsidRPr="005B2362">
        <w:rPr>
          <w:rFonts w:cs="Arial"/>
        </w:rPr>
        <w:t>, 533.</w:t>
      </w:r>
    </w:p>
  </w:endnote>
  <w:endnote w:id="295">
    <w:p w14:paraId="6C1D6201"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Grace Chung and Sara Grimes, ‘Data Mining the Kids: Surveillance and Market research Strategies in Children’s Online Games’ (2005) 30 </w:t>
      </w:r>
      <w:r w:rsidRPr="005B2362">
        <w:rPr>
          <w:rFonts w:cs="Arial"/>
          <w:i/>
        </w:rPr>
        <w:t>Canadian Journal of Communication</w:t>
      </w:r>
      <w:r>
        <w:rPr>
          <w:rFonts w:cs="Arial"/>
        </w:rPr>
        <w:t>,</w:t>
      </w:r>
      <w:r w:rsidRPr="005B2362">
        <w:rPr>
          <w:rFonts w:cs="Arial"/>
        </w:rPr>
        <w:t xml:space="preserve"> 540.</w:t>
      </w:r>
    </w:p>
  </w:endnote>
  <w:endnote w:id="296">
    <w:p w14:paraId="3E45A930"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Laurie Lee, ‘Defining Privacy: Freedom in a Democratic Constitutional State’ (2002) </w:t>
      </w:r>
      <w:r>
        <w:rPr>
          <w:rFonts w:cs="Arial"/>
        </w:rPr>
        <w:t xml:space="preserve">46(4) </w:t>
      </w:r>
      <w:r w:rsidRPr="005B2362">
        <w:rPr>
          <w:rFonts w:cs="Arial"/>
          <w:i/>
        </w:rPr>
        <w:t>Journal of Broadcasting and Electronic Media</w:t>
      </w:r>
      <w:r>
        <w:rPr>
          <w:rFonts w:cs="Arial"/>
        </w:rPr>
        <w:t xml:space="preserve">, 647. </w:t>
      </w:r>
    </w:p>
  </w:endnote>
  <w:endnote w:id="297">
    <w:p w14:paraId="117874C6" w14:textId="77777777" w:rsidR="00F008D2" w:rsidRPr="005B2362" w:rsidRDefault="00F008D2" w:rsidP="00AA3994">
      <w:pPr>
        <w:spacing w:before="0" w:after="0"/>
        <w:rPr>
          <w:rFonts w:cs="Arial"/>
          <w:sz w:val="20"/>
          <w:szCs w:val="20"/>
        </w:rPr>
      </w:pPr>
      <w:r w:rsidRPr="005B2362">
        <w:rPr>
          <w:rStyle w:val="EndnoteReference"/>
          <w:rFonts w:cs="Arial"/>
          <w:szCs w:val="20"/>
        </w:rPr>
        <w:endnoteRef/>
      </w:r>
      <w:r w:rsidRPr="005B2362">
        <w:rPr>
          <w:rFonts w:cs="Arial"/>
          <w:sz w:val="20"/>
          <w:szCs w:val="20"/>
        </w:rPr>
        <w:t xml:space="preserve"> Elizabeth Thomson and Angus Laing, ‘</w:t>
      </w:r>
      <w:r>
        <w:rPr>
          <w:rFonts w:cs="Arial"/>
          <w:sz w:val="20"/>
          <w:szCs w:val="20"/>
        </w:rPr>
        <w:t>“</w:t>
      </w:r>
      <w:r w:rsidRPr="005B2362">
        <w:rPr>
          <w:rFonts w:cs="Arial"/>
          <w:sz w:val="20"/>
          <w:szCs w:val="20"/>
        </w:rPr>
        <w:t>The Net Generation</w:t>
      </w:r>
      <w:r>
        <w:rPr>
          <w:rFonts w:cs="Arial"/>
          <w:sz w:val="20"/>
          <w:szCs w:val="20"/>
        </w:rPr>
        <w:t>”</w:t>
      </w:r>
      <w:r w:rsidRPr="005B2362">
        <w:rPr>
          <w:rFonts w:cs="Arial"/>
          <w:sz w:val="20"/>
          <w:szCs w:val="20"/>
        </w:rPr>
        <w:t xml:space="preserve">: Children and Young People, the Internet and Online Shopping’ (2003) 19 </w:t>
      </w:r>
      <w:r w:rsidRPr="005B2362">
        <w:rPr>
          <w:rFonts w:cs="Arial"/>
          <w:i/>
          <w:sz w:val="20"/>
          <w:szCs w:val="20"/>
        </w:rPr>
        <w:t>Journal of Marketing Management</w:t>
      </w:r>
      <w:r w:rsidRPr="005B2362">
        <w:rPr>
          <w:rFonts w:cs="Arial"/>
        </w:rPr>
        <w:t xml:space="preserve">, </w:t>
      </w:r>
      <w:r w:rsidRPr="005B2362">
        <w:rPr>
          <w:rFonts w:cs="Arial"/>
          <w:sz w:val="20"/>
          <w:szCs w:val="20"/>
        </w:rPr>
        <w:t xml:space="preserve">502. </w:t>
      </w:r>
    </w:p>
  </w:endnote>
  <w:endnote w:id="298">
    <w:p w14:paraId="55249DB4"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Sara Grimes and Leslie Shade, ‘Neopian economics of play: children’s cyberpets and online communities as immersive advertising in NeoPets.com’ (2005)</w:t>
      </w:r>
      <w:r>
        <w:rPr>
          <w:rFonts w:cs="Arial"/>
        </w:rPr>
        <w:t xml:space="preserve"> 1(2)</w:t>
      </w:r>
      <w:r w:rsidRPr="005B2362">
        <w:rPr>
          <w:rFonts w:cs="Arial"/>
        </w:rPr>
        <w:t xml:space="preserve"> </w:t>
      </w:r>
      <w:r w:rsidRPr="005B2362">
        <w:rPr>
          <w:rFonts w:cs="Arial"/>
          <w:i/>
        </w:rPr>
        <w:t>International Journal of Media and Cultural Politics</w:t>
      </w:r>
      <w:r w:rsidRPr="005B2362">
        <w:rPr>
          <w:rFonts w:cs="Arial"/>
        </w:rPr>
        <w:t>, 182.</w:t>
      </w:r>
    </w:p>
  </w:endnote>
  <w:endnote w:id="299">
    <w:p w14:paraId="78C2F10E"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Sara Grimes and Leslie Shade, ‘Neopian economics of play: children’s cyberpets and online communities as immersive advertising in NeoPets.com’ (2005)</w:t>
      </w:r>
      <w:r>
        <w:rPr>
          <w:rFonts w:cs="Arial"/>
        </w:rPr>
        <w:t xml:space="preserve"> 1(2)</w:t>
      </w:r>
      <w:r w:rsidRPr="005B2362">
        <w:rPr>
          <w:rFonts w:cs="Arial"/>
        </w:rPr>
        <w:t xml:space="preserve"> </w:t>
      </w:r>
      <w:r w:rsidRPr="005B2362">
        <w:rPr>
          <w:rFonts w:cs="Arial"/>
          <w:i/>
        </w:rPr>
        <w:t>International Journal of Media and Cultural Politics</w:t>
      </w:r>
      <w:r w:rsidRPr="005B2362">
        <w:rPr>
          <w:rFonts w:cs="Arial"/>
        </w:rPr>
        <w:t>, 182.</w:t>
      </w:r>
      <w:r>
        <w:rPr>
          <w:rFonts w:cs="Arial"/>
        </w:rPr>
        <w:t xml:space="preserve"> </w:t>
      </w:r>
    </w:p>
  </w:endnote>
  <w:endnote w:id="300">
    <w:p w14:paraId="69A6B127"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Sara Grimes, ‘Persistent and Emerging Questions about the Use of End-Use License Agreements in Children’s Online Games and Virtual World’ (2013) 46(3) </w:t>
      </w:r>
      <w:r w:rsidRPr="005B2362">
        <w:rPr>
          <w:rFonts w:cs="Arial"/>
          <w:i/>
        </w:rPr>
        <w:t>UBC Law Review</w:t>
      </w:r>
      <w:r>
        <w:rPr>
          <w:rFonts w:cs="Arial"/>
          <w:i/>
        </w:rPr>
        <w:t>,</w:t>
      </w:r>
      <w:r w:rsidRPr="005B2362">
        <w:rPr>
          <w:rFonts w:cs="Arial"/>
        </w:rPr>
        <w:t xml:space="preserve"> 727. </w:t>
      </w:r>
    </w:p>
  </w:endnote>
  <w:endnote w:id="301">
    <w:p w14:paraId="3AE703CE"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Patti Valkenburg and Joanne Cantor, ‘The Development of a child into a consumer’ (2002) 22(1) </w:t>
      </w:r>
      <w:r w:rsidRPr="005B2362">
        <w:rPr>
          <w:rFonts w:cs="Arial"/>
          <w:i/>
        </w:rPr>
        <w:t>Journal of Applied Developmental Psychology</w:t>
      </w:r>
      <w:r w:rsidRPr="005B2362">
        <w:rPr>
          <w:rFonts w:cs="Arial"/>
        </w:rPr>
        <w:t xml:space="preserve">, </w:t>
      </w:r>
      <w:r>
        <w:rPr>
          <w:rFonts w:cs="Arial"/>
        </w:rPr>
        <w:t>69-70</w:t>
      </w:r>
      <w:r w:rsidRPr="005B2362">
        <w:rPr>
          <w:rFonts w:cs="Arial"/>
        </w:rPr>
        <w:t>.</w:t>
      </w:r>
    </w:p>
  </w:endnote>
  <w:endnote w:id="302">
    <w:p w14:paraId="4B89B91F"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Grace Chung and Sara Grimes, ‘Data Mining the Kids: Surveillance and Market research Strategies in Children’s Online Games’ (2005) 30 </w:t>
      </w:r>
      <w:r w:rsidRPr="005B2362">
        <w:rPr>
          <w:rFonts w:cs="Arial"/>
          <w:i/>
        </w:rPr>
        <w:t>Canadian Journal of Communication</w:t>
      </w:r>
      <w:r>
        <w:rPr>
          <w:rFonts w:cs="Arial"/>
        </w:rPr>
        <w:t>,</w:t>
      </w:r>
      <w:r w:rsidRPr="005B2362">
        <w:rPr>
          <w:rFonts w:cs="Arial"/>
        </w:rPr>
        <w:t xml:space="preserve"> 531; Christian Sandvig, ‘Public Internet access for young children in the inner city: Evidence to inform access subsidy and content regulation’ (2000) 19(2) </w:t>
      </w:r>
      <w:r w:rsidRPr="005B2362">
        <w:rPr>
          <w:rFonts w:cs="Arial"/>
          <w:i/>
        </w:rPr>
        <w:t>The Information Society</w:t>
      </w:r>
      <w:r>
        <w:rPr>
          <w:rFonts w:cs="Arial"/>
          <w:i/>
        </w:rPr>
        <w:t>,</w:t>
      </w:r>
      <w:r w:rsidRPr="005B2362">
        <w:rPr>
          <w:rFonts w:cs="Arial"/>
          <w:i/>
        </w:rPr>
        <w:t xml:space="preserve"> </w:t>
      </w:r>
      <w:r w:rsidRPr="005B2362">
        <w:rPr>
          <w:rFonts w:cs="Arial"/>
        </w:rPr>
        <w:t xml:space="preserve">171; Joseph Turow, </w:t>
      </w:r>
      <w:r w:rsidRPr="005B2362">
        <w:rPr>
          <w:rFonts w:cs="Arial"/>
          <w:i/>
          <w:iCs/>
        </w:rPr>
        <w:t>Privacy policies on children’s websites: Do they play by the rules?</w:t>
      </w:r>
      <w:r w:rsidRPr="005B2362">
        <w:rPr>
          <w:rFonts w:cs="Arial"/>
          <w:iCs/>
        </w:rPr>
        <w:t xml:space="preserve"> (</w:t>
      </w:r>
      <w:r w:rsidRPr="005B2362">
        <w:rPr>
          <w:rFonts w:cs="Arial"/>
        </w:rPr>
        <w:t>Annenberg Public Policy Centre of the University of Pennsylvania,</w:t>
      </w:r>
      <w:r w:rsidRPr="005B2362">
        <w:rPr>
          <w:rFonts w:cs="Arial"/>
          <w:iCs/>
        </w:rPr>
        <w:t xml:space="preserve"> 2001); </w:t>
      </w:r>
      <w:r w:rsidRPr="005B2362">
        <w:rPr>
          <w:rFonts w:cs="Arial"/>
        </w:rPr>
        <w:t xml:space="preserve">Ellen Seiter, </w:t>
      </w:r>
      <w:r w:rsidRPr="005B2362">
        <w:rPr>
          <w:rFonts w:cs="Arial"/>
          <w:i/>
        </w:rPr>
        <w:t>The Internet playground: Children’s access, entertainment, and mis-education</w:t>
      </w:r>
      <w:r w:rsidRPr="005B2362">
        <w:rPr>
          <w:rFonts w:cs="Arial"/>
        </w:rPr>
        <w:t xml:space="preserve"> (Peter Lang, 2005); Sonia Livingstone, ‘The changing nature and uses of media literacy’ (2003) 4 </w:t>
      </w:r>
      <w:r w:rsidRPr="005B2362">
        <w:rPr>
          <w:rFonts w:cs="Arial"/>
          <w:i/>
        </w:rPr>
        <w:t>Media@LSE Electronic Working Papers</w:t>
      </w:r>
      <w:r w:rsidRPr="005B2362">
        <w:rPr>
          <w:rFonts w:cs="Arial"/>
        </w:rPr>
        <w:t xml:space="preserve"> &lt;</w:t>
      </w:r>
      <w:hyperlink r:id="rId108" w:history="1">
        <w:r w:rsidRPr="00C76F3E">
          <w:rPr>
            <w:rStyle w:val="Hyperlink"/>
            <w:rFonts w:cs="Arial"/>
          </w:rPr>
          <w:t>http://eprints.lse.ac.uk/13476/1/The_changing_nature_and_uses_of_media_literacy.pdf</w:t>
        </w:r>
      </w:hyperlink>
      <w:r w:rsidRPr="005B2362">
        <w:rPr>
          <w:rFonts w:cs="Arial"/>
        </w:rPr>
        <w:t xml:space="preserve">&gt;. </w:t>
      </w:r>
    </w:p>
  </w:endnote>
  <w:endnote w:id="303">
    <w:p w14:paraId="7D8FB871"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Grace Chung and Sara Grimes, ‘Data Mining the Kids: Surveillance and Market research Strategies in Children’s Online Games’ (2005) 30 </w:t>
      </w:r>
      <w:r w:rsidRPr="005B2362">
        <w:rPr>
          <w:rFonts w:cs="Arial"/>
          <w:i/>
        </w:rPr>
        <w:t>Canadian Journal of Communication</w:t>
      </w:r>
      <w:r w:rsidRPr="005B2362">
        <w:rPr>
          <w:rFonts w:cs="Arial"/>
        </w:rPr>
        <w:t xml:space="preserve">, 531; Christian Sandvig, ‘Public Internet access for young children in the inner city: Evidence to inform access subsidy and content regulation’ (2000) 19(2) </w:t>
      </w:r>
      <w:r w:rsidRPr="005B2362">
        <w:rPr>
          <w:rFonts w:cs="Arial"/>
          <w:i/>
        </w:rPr>
        <w:t>The Information Society</w:t>
      </w:r>
      <w:r>
        <w:rPr>
          <w:rFonts w:cs="Arial"/>
          <w:i/>
        </w:rPr>
        <w:t>,</w:t>
      </w:r>
      <w:r w:rsidRPr="005B2362">
        <w:rPr>
          <w:rFonts w:cs="Arial"/>
          <w:i/>
        </w:rPr>
        <w:t xml:space="preserve"> </w:t>
      </w:r>
      <w:r w:rsidRPr="005B2362">
        <w:rPr>
          <w:rFonts w:cs="Arial"/>
        </w:rPr>
        <w:t xml:space="preserve">171; Joseph Turow, </w:t>
      </w:r>
      <w:r w:rsidRPr="005B2362">
        <w:rPr>
          <w:rFonts w:cs="Arial"/>
          <w:i/>
          <w:iCs/>
        </w:rPr>
        <w:t>Privacy policies on children’s websites: Do they play by the rules?</w:t>
      </w:r>
      <w:r w:rsidRPr="005B2362">
        <w:rPr>
          <w:rFonts w:cs="Arial"/>
          <w:iCs/>
        </w:rPr>
        <w:t xml:space="preserve"> (</w:t>
      </w:r>
      <w:r w:rsidRPr="005B2362">
        <w:rPr>
          <w:rFonts w:cs="Arial"/>
        </w:rPr>
        <w:t>Annenberg Public Policy Centre of the University of Pennsylvania,</w:t>
      </w:r>
      <w:r w:rsidRPr="005B2362">
        <w:rPr>
          <w:rFonts w:cs="Arial"/>
          <w:iCs/>
        </w:rPr>
        <w:t xml:space="preserve"> 2001); </w:t>
      </w:r>
      <w:r w:rsidRPr="005B2362">
        <w:rPr>
          <w:rFonts w:cs="Arial"/>
        </w:rPr>
        <w:t xml:space="preserve">Ellen Seiter, </w:t>
      </w:r>
      <w:r w:rsidRPr="005B2362">
        <w:rPr>
          <w:rFonts w:cs="Arial"/>
          <w:i/>
        </w:rPr>
        <w:t>The Internet playground: Children’s access, entertainment, and mis-education</w:t>
      </w:r>
      <w:r w:rsidRPr="005B2362">
        <w:rPr>
          <w:rFonts w:cs="Arial"/>
        </w:rPr>
        <w:t xml:space="preserve"> (Peter Lang, 2005); Sonia Livingstone, ‘The changing nature and uses of media literacy’ (2003) 4 </w:t>
      </w:r>
      <w:r w:rsidRPr="005B2362">
        <w:rPr>
          <w:rFonts w:cs="Arial"/>
          <w:i/>
        </w:rPr>
        <w:t>Media@LSE Electronic Working Papers</w:t>
      </w:r>
      <w:r w:rsidRPr="005B2362">
        <w:rPr>
          <w:rFonts w:cs="Arial"/>
        </w:rPr>
        <w:t xml:space="preserve"> &lt;</w:t>
      </w:r>
      <w:hyperlink r:id="rId109" w:history="1">
        <w:r w:rsidRPr="00C76F3E">
          <w:rPr>
            <w:rStyle w:val="Hyperlink"/>
            <w:rFonts w:cs="Arial"/>
          </w:rPr>
          <w:t>http://eprints.lse.ac.uk/13476/1/The_changing_nature_and_uses_of_media_literacy.pdf</w:t>
        </w:r>
      </w:hyperlink>
      <w:r w:rsidRPr="005B2362">
        <w:rPr>
          <w:rFonts w:cs="Arial"/>
        </w:rPr>
        <w:t>&gt;.</w:t>
      </w:r>
    </w:p>
  </w:endnote>
  <w:endnote w:id="304">
    <w:p w14:paraId="0DA3D39F"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Daniel Cook, ‘Exchange Value as Pedagogy in Children’s Leisure: Moral Panics in Children’s Culture at Century’s End’ (2001)</w:t>
      </w:r>
      <w:r>
        <w:rPr>
          <w:rFonts w:cs="Arial"/>
        </w:rPr>
        <w:t xml:space="preserve"> 23</w:t>
      </w:r>
      <w:r w:rsidRPr="005B2362">
        <w:rPr>
          <w:rFonts w:cs="Arial"/>
        </w:rPr>
        <w:t xml:space="preserve"> </w:t>
      </w:r>
      <w:r w:rsidRPr="005B2362">
        <w:rPr>
          <w:rFonts w:cs="Arial"/>
          <w:i/>
        </w:rPr>
        <w:t>Leisure Sciences</w:t>
      </w:r>
      <w:r>
        <w:rPr>
          <w:rFonts w:cs="Arial"/>
        </w:rPr>
        <w:t>, 82.</w:t>
      </w:r>
    </w:p>
  </w:endnote>
  <w:endnote w:id="305">
    <w:p w14:paraId="60FA24F2" w14:textId="77777777" w:rsidR="00F008D2" w:rsidRDefault="00F008D2" w:rsidP="00AA3994">
      <w:pPr>
        <w:pStyle w:val="EndnoteText"/>
      </w:pPr>
      <w:r>
        <w:rPr>
          <w:rStyle w:val="EndnoteReference"/>
        </w:rPr>
        <w:endnoteRef/>
      </w:r>
      <w:r>
        <w:t xml:space="preserve"> </w:t>
      </w:r>
      <w:r w:rsidRPr="005B2362">
        <w:rPr>
          <w:rFonts w:cs="Arial"/>
        </w:rPr>
        <w:t xml:space="preserve">Grace Chung and Sara Grimes, ‘Data Mining the Kids: Surveillance and Market research Strategies in Children’s Online Games’ (2005) 30 </w:t>
      </w:r>
      <w:r w:rsidRPr="005B2362">
        <w:rPr>
          <w:rFonts w:cs="Arial"/>
          <w:i/>
        </w:rPr>
        <w:t>Canadian Journal of Communication</w:t>
      </w:r>
      <w:r>
        <w:rPr>
          <w:rFonts w:cs="Arial"/>
        </w:rPr>
        <w:t>, 542-44.</w:t>
      </w:r>
    </w:p>
  </w:endnote>
  <w:endnote w:id="306">
    <w:p w14:paraId="77683BDE"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Grace Chung and Sara Grimes, ‘Data Mining the Kids: Surveillance and Market research Strategies in Children’s Online Games’ (2005) 30 </w:t>
      </w:r>
      <w:r w:rsidRPr="005B2362">
        <w:rPr>
          <w:rFonts w:cs="Arial"/>
          <w:i/>
        </w:rPr>
        <w:t>Canadian Journal of Communication</w:t>
      </w:r>
      <w:r w:rsidRPr="005B2362">
        <w:rPr>
          <w:rFonts w:cs="Arial"/>
        </w:rPr>
        <w:t>, 536-537.</w:t>
      </w:r>
    </w:p>
  </w:endnote>
  <w:endnote w:id="307">
    <w:p w14:paraId="74CD9953"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Sara Grimes, ‘Persistent and emerging questions about the use of end-use license agreements in children’s online games and virtual world’ (2013) 46(3) </w:t>
      </w:r>
      <w:r w:rsidRPr="005B2362">
        <w:rPr>
          <w:rFonts w:cs="Arial"/>
          <w:i/>
        </w:rPr>
        <w:t>UBC Law Review</w:t>
      </w:r>
      <w:r w:rsidRPr="005B2362">
        <w:rPr>
          <w:rFonts w:cs="Arial"/>
        </w:rPr>
        <w:t>, 736.</w:t>
      </w:r>
    </w:p>
  </w:endnote>
  <w:endnote w:id="308">
    <w:p w14:paraId="0E7FF1BA"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Sara Grimes, ‘Persistent and emerging questions about the use of end-use license agreements in children’s online games and virtual world’ (2013) 46(3) </w:t>
      </w:r>
      <w:r w:rsidRPr="005B2362">
        <w:rPr>
          <w:rFonts w:cs="Arial"/>
          <w:i/>
        </w:rPr>
        <w:t>UBC Law Review</w:t>
      </w:r>
      <w:r w:rsidRPr="005B2362">
        <w:rPr>
          <w:rFonts w:cs="Arial"/>
        </w:rPr>
        <w:t>, 730.</w:t>
      </w:r>
    </w:p>
  </w:endnote>
  <w:endnote w:id="309">
    <w:p w14:paraId="5D6927B0"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Sara Grimes, ‘Persistent and emerging questions about the use of end-use license agreements in children’s online games and virtual world’ (2013) 46(3) </w:t>
      </w:r>
      <w:r w:rsidRPr="005B2362">
        <w:rPr>
          <w:rFonts w:cs="Arial"/>
          <w:i/>
        </w:rPr>
        <w:t>UBC Law Review</w:t>
      </w:r>
      <w:r w:rsidRPr="005B2362">
        <w:rPr>
          <w:rFonts w:cs="Arial"/>
        </w:rPr>
        <w:t>, 688-689.</w:t>
      </w:r>
    </w:p>
  </w:endnote>
  <w:endnote w:id="310">
    <w:p w14:paraId="262470D8" w14:textId="77777777" w:rsidR="00F008D2" w:rsidRPr="005B2362" w:rsidRDefault="00F008D2" w:rsidP="00AA3994">
      <w:pPr>
        <w:autoSpaceDE w:val="0"/>
        <w:autoSpaceDN w:val="0"/>
        <w:adjustRightInd w:val="0"/>
        <w:spacing w:before="0" w:after="0"/>
        <w:rPr>
          <w:rFonts w:cs="Arial"/>
          <w:b/>
          <w:bCs/>
          <w:sz w:val="20"/>
          <w:szCs w:val="20"/>
        </w:rPr>
      </w:pPr>
      <w:r w:rsidRPr="005B2362">
        <w:rPr>
          <w:rStyle w:val="EndnoteReference"/>
          <w:rFonts w:cs="Arial"/>
          <w:szCs w:val="20"/>
        </w:rPr>
        <w:endnoteRef/>
      </w:r>
      <w:r w:rsidRPr="005B2362">
        <w:rPr>
          <w:rFonts w:cs="Arial"/>
          <w:sz w:val="20"/>
          <w:szCs w:val="20"/>
        </w:rPr>
        <w:t xml:space="preserve"> Sara Grimes, ‘Persistent and emerging questions about the use of end-use license agreements in children’s online games and virtual world’ (2013) 46(3) </w:t>
      </w:r>
      <w:r w:rsidRPr="005B2362">
        <w:rPr>
          <w:rFonts w:cs="Arial"/>
          <w:i/>
          <w:sz w:val="20"/>
          <w:szCs w:val="20"/>
        </w:rPr>
        <w:t>UBC Law Review</w:t>
      </w:r>
      <w:r w:rsidRPr="005B2362">
        <w:rPr>
          <w:rFonts w:cs="Arial"/>
          <w:sz w:val="20"/>
          <w:szCs w:val="20"/>
        </w:rPr>
        <w:t xml:space="preserve">, 690; Sonia Livingstone, ‘Taking Risky Opportunities in Youthful Content Creation: Teenagers' Use of Social Networking Sites for Intimacy, Privacy and Self-Expression’ </w:t>
      </w:r>
      <w:r w:rsidRPr="005B2362">
        <w:rPr>
          <w:rFonts w:cs="Arial"/>
          <w:bCs/>
          <w:sz w:val="20"/>
          <w:szCs w:val="20"/>
        </w:rPr>
        <w:t xml:space="preserve">(2008) 10(3) </w:t>
      </w:r>
      <w:r w:rsidRPr="005B2362">
        <w:rPr>
          <w:rFonts w:cs="Arial"/>
          <w:i/>
          <w:sz w:val="20"/>
          <w:szCs w:val="20"/>
        </w:rPr>
        <w:t xml:space="preserve">New Media </w:t>
      </w:r>
      <w:r w:rsidRPr="005B2362">
        <w:rPr>
          <w:rFonts w:cs="Arial"/>
          <w:bCs/>
          <w:i/>
          <w:sz w:val="20"/>
          <w:szCs w:val="20"/>
        </w:rPr>
        <w:t xml:space="preserve">&amp; </w:t>
      </w:r>
      <w:r w:rsidRPr="005B2362">
        <w:rPr>
          <w:rFonts w:cs="Arial"/>
          <w:i/>
          <w:sz w:val="20"/>
          <w:szCs w:val="20"/>
        </w:rPr>
        <w:t>Society</w:t>
      </w:r>
      <w:r>
        <w:rPr>
          <w:rFonts w:cs="Arial"/>
          <w:i/>
          <w:sz w:val="20"/>
          <w:szCs w:val="20"/>
        </w:rPr>
        <w:t>,</w:t>
      </w:r>
      <w:r w:rsidRPr="005B2362">
        <w:rPr>
          <w:rFonts w:cs="Arial"/>
          <w:sz w:val="20"/>
          <w:szCs w:val="20"/>
        </w:rPr>
        <w:t xml:space="preserve"> </w:t>
      </w:r>
      <w:r w:rsidRPr="005B2362">
        <w:rPr>
          <w:rFonts w:cs="Arial"/>
          <w:bCs/>
          <w:sz w:val="20"/>
          <w:szCs w:val="20"/>
        </w:rPr>
        <w:t>393;</w:t>
      </w:r>
      <w:r w:rsidRPr="005B2362">
        <w:rPr>
          <w:rFonts w:cs="Arial"/>
          <w:b/>
          <w:bCs/>
          <w:sz w:val="20"/>
          <w:szCs w:val="20"/>
        </w:rPr>
        <w:t xml:space="preserve"> </w:t>
      </w:r>
      <w:r w:rsidRPr="005B2362">
        <w:rPr>
          <w:rFonts w:cs="Arial"/>
          <w:sz w:val="20"/>
          <w:szCs w:val="20"/>
        </w:rPr>
        <w:t xml:space="preserve">Joseph Turow, </w:t>
      </w:r>
      <w:r w:rsidRPr="005B2362">
        <w:rPr>
          <w:rFonts w:cs="Arial"/>
          <w:i/>
          <w:iCs/>
          <w:color w:val="101010"/>
          <w:sz w:val="20"/>
          <w:szCs w:val="20"/>
        </w:rPr>
        <w:t>Privacy policies on children’s websites: Do they play by the rules?</w:t>
      </w:r>
      <w:r w:rsidRPr="005B2362">
        <w:rPr>
          <w:rFonts w:cs="Arial"/>
          <w:iCs/>
          <w:color w:val="101010"/>
          <w:sz w:val="20"/>
          <w:szCs w:val="20"/>
        </w:rPr>
        <w:t xml:space="preserve"> (</w:t>
      </w:r>
      <w:r w:rsidRPr="005B2362">
        <w:rPr>
          <w:rFonts w:cs="Arial"/>
          <w:color w:val="101010"/>
          <w:sz w:val="20"/>
          <w:szCs w:val="20"/>
        </w:rPr>
        <w:t>Annenberg Public Policy Centre of the University of Pennsylvania,</w:t>
      </w:r>
      <w:r w:rsidRPr="005B2362">
        <w:rPr>
          <w:rFonts w:cs="Arial"/>
          <w:iCs/>
          <w:color w:val="101010"/>
          <w:sz w:val="20"/>
          <w:szCs w:val="20"/>
        </w:rPr>
        <w:t xml:space="preserve"> 2001).</w:t>
      </w:r>
    </w:p>
  </w:endnote>
  <w:endnote w:id="311">
    <w:p w14:paraId="5F09C324" w14:textId="77777777" w:rsidR="00F008D2" w:rsidRDefault="00F008D2" w:rsidP="00AA3994">
      <w:pPr>
        <w:pStyle w:val="EndnoteText"/>
      </w:pPr>
      <w:r>
        <w:rPr>
          <w:rStyle w:val="EndnoteReference"/>
        </w:rPr>
        <w:endnoteRef/>
      </w:r>
      <w:r>
        <w:t xml:space="preserve"> </w:t>
      </w:r>
      <w:r w:rsidRPr="005B2362">
        <w:rPr>
          <w:rFonts w:cs="Arial"/>
        </w:rPr>
        <w:t xml:space="preserve">Sara Grimes, ‘Persistent and emerging questions about the use of end-use license agreements in children’s online games and virtual world’ (2013) 46(3) </w:t>
      </w:r>
      <w:r w:rsidRPr="005B2362">
        <w:rPr>
          <w:rFonts w:cs="Arial"/>
          <w:i/>
        </w:rPr>
        <w:t>UBC Law Review</w:t>
      </w:r>
      <w:r w:rsidRPr="005B2362">
        <w:rPr>
          <w:rFonts w:cs="Arial"/>
        </w:rPr>
        <w:t>,</w:t>
      </w:r>
      <w:r>
        <w:rPr>
          <w:rFonts w:cs="Arial"/>
        </w:rPr>
        <w:t xml:space="preserve"> 710.</w:t>
      </w:r>
    </w:p>
  </w:endnote>
  <w:endnote w:id="312">
    <w:p w14:paraId="14903085"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w:t>
      </w:r>
      <w:r w:rsidRPr="004B373A">
        <w:rPr>
          <w:rFonts w:cs="Arial"/>
        </w:rPr>
        <w:t xml:space="preserve">Australian Government, Australian Communications &amp; Media Authority, </w:t>
      </w:r>
      <w:r>
        <w:rPr>
          <w:rFonts w:cs="Arial"/>
        </w:rPr>
        <w:t xml:space="preserve">Newspoll, </w:t>
      </w:r>
      <w:r w:rsidRPr="004B373A">
        <w:rPr>
          <w:rFonts w:cs="Arial"/>
          <w:i/>
        </w:rPr>
        <w:t>Like, post, share: Young Australi</w:t>
      </w:r>
      <w:r>
        <w:rPr>
          <w:rFonts w:cs="Arial"/>
          <w:i/>
        </w:rPr>
        <w:t>an’s experience of social media</w:t>
      </w:r>
      <w:r>
        <w:rPr>
          <w:rFonts w:cs="Arial"/>
        </w:rPr>
        <w:t xml:space="preserve"> (2012)</w:t>
      </w:r>
      <w:r w:rsidRPr="005B2362">
        <w:rPr>
          <w:rFonts w:cs="Arial"/>
        </w:rPr>
        <w:t xml:space="preserve"> 6</w:t>
      </w:r>
      <w:r>
        <w:rPr>
          <w:rFonts w:cs="Arial"/>
        </w:rPr>
        <w:t>.</w:t>
      </w:r>
      <w:r w:rsidRPr="005B2362">
        <w:rPr>
          <w:rFonts w:cs="Arial"/>
        </w:rPr>
        <w:t xml:space="preserve"> </w:t>
      </w:r>
    </w:p>
  </w:endnote>
  <w:endnote w:id="313">
    <w:p w14:paraId="7AA21C21"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C</w:t>
      </w:r>
      <w:r>
        <w:rPr>
          <w:rFonts w:cs="Arial"/>
        </w:rPr>
        <w:t xml:space="preserve">ommonwealth </w:t>
      </w:r>
      <w:r w:rsidRPr="005B2362">
        <w:rPr>
          <w:rFonts w:cs="Arial"/>
        </w:rPr>
        <w:t>C</w:t>
      </w:r>
      <w:r>
        <w:rPr>
          <w:rFonts w:cs="Arial"/>
        </w:rPr>
        <w:t xml:space="preserve">onsumer </w:t>
      </w:r>
      <w:r w:rsidRPr="005B2362">
        <w:rPr>
          <w:rFonts w:cs="Arial"/>
        </w:rPr>
        <w:t>A</w:t>
      </w:r>
      <w:r>
        <w:rPr>
          <w:rFonts w:cs="Arial"/>
        </w:rPr>
        <w:t xml:space="preserve">ffairs </w:t>
      </w:r>
      <w:r w:rsidRPr="005B2362">
        <w:rPr>
          <w:rFonts w:cs="Arial"/>
        </w:rPr>
        <w:t>A</w:t>
      </w:r>
      <w:r>
        <w:rPr>
          <w:rFonts w:cs="Arial"/>
        </w:rPr>
        <w:t xml:space="preserve">dvisory </w:t>
      </w:r>
      <w:r w:rsidRPr="005B2362">
        <w:rPr>
          <w:rFonts w:cs="Arial"/>
        </w:rPr>
        <w:t>C</w:t>
      </w:r>
      <w:r>
        <w:rPr>
          <w:rFonts w:cs="Arial"/>
        </w:rPr>
        <w:t>ouncil</w:t>
      </w:r>
      <w:r w:rsidRPr="005B2362">
        <w:rPr>
          <w:rFonts w:cs="Arial"/>
        </w:rPr>
        <w:t xml:space="preserve">, </w:t>
      </w:r>
      <w:r w:rsidRPr="005B2362">
        <w:rPr>
          <w:rFonts w:cs="Arial"/>
          <w:i/>
        </w:rPr>
        <w:t>App purchases by Australian consumers on mobile and handheld devices</w:t>
      </w:r>
      <w:r>
        <w:rPr>
          <w:rFonts w:cs="Arial"/>
        </w:rPr>
        <w:t xml:space="preserve">: </w:t>
      </w:r>
      <w:r w:rsidRPr="00B860A4">
        <w:rPr>
          <w:rFonts w:cs="Arial"/>
          <w:i/>
        </w:rPr>
        <w:t>Inquiry report</w:t>
      </w:r>
      <w:r w:rsidRPr="005B2362">
        <w:rPr>
          <w:rFonts w:cs="Arial"/>
        </w:rPr>
        <w:t xml:space="preserve"> </w:t>
      </w:r>
      <w:r>
        <w:rPr>
          <w:rFonts w:cs="Arial"/>
        </w:rPr>
        <w:t>(</w:t>
      </w:r>
      <w:r w:rsidRPr="005B2362">
        <w:rPr>
          <w:rFonts w:cs="Arial"/>
        </w:rPr>
        <w:t>2013</w:t>
      </w:r>
      <w:r>
        <w:rPr>
          <w:rFonts w:cs="Arial"/>
        </w:rPr>
        <w:t>)</w:t>
      </w:r>
      <w:r w:rsidRPr="005B2362">
        <w:rPr>
          <w:rFonts w:cs="Arial"/>
        </w:rPr>
        <w:t xml:space="preserve"> vii.</w:t>
      </w:r>
    </w:p>
  </w:endnote>
  <w:endnote w:id="314">
    <w:p w14:paraId="381E1892"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C</w:t>
      </w:r>
      <w:r>
        <w:rPr>
          <w:rFonts w:cs="Arial"/>
        </w:rPr>
        <w:t xml:space="preserve">ommonwealth </w:t>
      </w:r>
      <w:r w:rsidRPr="005B2362">
        <w:rPr>
          <w:rFonts w:cs="Arial"/>
        </w:rPr>
        <w:t>C</w:t>
      </w:r>
      <w:r>
        <w:rPr>
          <w:rFonts w:cs="Arial"/>
        </w:rPr>
        <w:t xml:space="preserve">onsumer </w:t>
      </w:r>
      <w:r w:rsidRPr="005B2362">
        <w:rPr>
          <w:rFonts w:cs="Arial"/>
        </w:rPr>
        <w:t>A</w:t>
      </w:r>
      <w:r>
        <w:rPr>
          <w:rFonts w:cs="Arial"/>
        </w:rPr>
        <w:t xml:space="preserve">ffairs </w:t>
      </w:r>
      <w:r w:rsidRPr="005B2362">
        <w:rPr>
          <w:rFonts w:cs="Arial"/>
        </w:rPr>
        <w:t>A</w:t>
      </w:r>
      <w:r>
        <w:rPr>
          <w:rFonts w:cs="Arial"/>
        </w:rPr>
        <w:t xml:space="preserve">dvisory </w:t>
      </w:r>
      <w:r w:rsidRPr="005B2362">
        <w:rPr>
          <w:rFonts w:cs="Arial"/>
        </w:rPr>
        <w:t>C</w:t>
      </w:r>
      <w:r>
        <w:rPr>
          <w:rFonts w:cs="Arial"/>
        </w:rPr>
        <w:t>ouncil</w:t>
      </w:r>
      <w:r w:rsidRPr="005B2362">
        <w:rPr>
          <w:rFonts w:cs="Arial"/>
        </w:rPr>
        <w:t xml:space="preserve">, </w:t>
      </w:r>
      <w:r w:rsidRPr="005B2362">
        <w:rPr>
          <w:rFonts w:cs="Arial"/>
          <w:i/>
        </w:rPr>
        <w:t>App purchases by Australian consumers on mobile and handheld devices</w:t>
      </w:r>
      <w:r>
        <w:rPr>
          <w:rFonts w:cs="Arial"/>
        </w:rPr>
        <w:t xml:space="preserve">: </w:t>
      </w:r>
      <w:r w:rsidRPr="00B860A4">
        <w:rPr>
          <w:rFonts w:cs="Arial"/>
          <w:i/>
        </w:rPr>
        <w:t>Inquiry report</w:t>
      </w:r>
      <w:r w:rsidRPr="005B2362">
        <w:rPr>
          <w:rFonts w:cs="Arial"/>
        </w:rPr>
        <w:t xml:space="preserve"> </w:t>
      </w:r>
      <w:r>
        <w:rPr>
          <w:rFonts w:cs="Arial"/>
        </w:rPr>
        <w:t>(</w:t>
      </w:r>
      <w:r w:rsidRPr="005B2362">
        <w:rPr>
          <w:rFonts w:cs="Arial"/>
        </w:rPr>
        <w:t>2013</w:t>
      </w:r>
      <w:r>
        <w:rPr>
          <w:rFonts w:cs="Arial"/>
        </w:rPr>
        <w:t>)</w:t>
      </w:r>
      <w:r w:rsidRPr="005B2362">
        <w:rPr>
          <w:rFonts w:cs="Arial"/>
        </w:rPr>
        <w:t xml:space="preserve"> 6.</w:t>
      </w:r>
    </w:p>
  </w:endnote>
  <w:endnote w:id="315">
    <w:p w14:paraId="75A1792B"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C</w:t>
      </w:r>
      <w:r>
        <w:rPr>
          <w:rFonts w:cs="Arial"/>
        </w:rPr>
        <w:t xml:space="preserve">ommonwealth </w:t>
      </w:r>
      <w:r w:rsidRPr="005B2362">
        <w:rPr>
          <w:rFonts w:cs="Arial"/>
        </w:rPr>
        <w:t>C</w:t>
      </w:r>
      <w:r>
        <w:rPr>
          <w:rFonts w:cs="Arial"/>
        </w:rPr>
        <w:t xml:space="preserve">onsumer </w:t>
      </w:r>
      <w:r w:rsidRPr="005B2362">
        <w:rPr>
          <w:rFonts w:cs="Arial"/>
        </w:rPr>
        <w:t>A</w:t>
      </w:r>
      <w:r>
        <w:rPr>
          <w:rFonts w:cs="Arial"/>
        </w:rPr>
        <w:t xml:space="preserve">ffairs </w:t>
      </w:r>
      <w:r w:rsidRPr="005B2362">
        <w:rPr>
          <w:rFonts w:cs="Arial"/>
        </w:rPr>
        <w:t>A</w:t>
      </w:r>
      <w:r>
        <w:rPr>
          <w:rFonts w:cs="Arial"/>
        </w:rPr>
        <w:t xml:space="preserve">dvisory </w:t>
      </w:r>
      <w:r w:rsidRPr="005B2362">
        <w:rPr>
          <w:rFonts w:cs="Arial"/>
        </w:rPr>
        <w:t>C</w:t>
      </w:r>
      <w:r>
        <w:rPr>
          <w:rFonts w:cs="Arial"/>
        </w:rPr>
        <w:t>ouncil</w:t>
      </w:r>
      <w:r w:rsidRPr="005B2362">
        <w:rPr>
          <w:rFonts w:cs="Arial"/>
        </w:rPr>
        <w:t xml:space="preserve">, </w:t>
      </w:r>
      <w:r w:rsidRPr="005B2362">
        <w:rPr>
          <w:rFonts w:cs="Arial"/>
          <w:i/>
        </w:rPr>
        <w:t>App purchases by Australian consumers on mobile and handheld devices</w:t>
      </w:r>
      <w:r>
        <w:rPr>
          <w:rFonts w:cs="Arial"/>
        </w:rPr>
        <w:t xml:space="preserve">: </w:t>
      </w:r>
      <w:r w:rsidRPr="00B860A4">
        <w:rPr>
          <w:rFonts w:cs="Arial"/>
          <w:i/>
        </w:rPr>
        <w:t>Inquiry report</w:t>
      </w:r>
      <w:r w:rsidRPr="005B2362">
        <w:rPr>
          <w:rFonts w:cs="Arial"/>
        </w:rPr>
        <w:t xml:space="preserve"> </w:t>
      </w:r>
      <w:r>
        <w:rPr>
          <w:rFonts w:cs="Arial"/>
        </w:rPr>
        <w:t>(</w:t>
      </w:r>
      <w:r w:rsidRPr="005B2362">
        <w:rPr>
          <w:rFonts w:cs="Arial"/>
        </w:rPr>
        <w:t>2013</w:t>
      </w:r>
      <w:r>
        <w:rPr>
          <w:rFonts w:cs="Arial"/>
        </w:rPr>
        <w:t>)</w:t>
      </w:r>
      <w:r w:rsidRPr="005B2362">
        <w:rPr>
          <w:rFonts w:cs="Arial"/>
        </w:rPr>
        <w:t xml:space="preserve"> vii.  </w:t>
      </w:r>
    </w:p>
  </w:endnote>
  <w:endnote w:id="316">
    <w:p w14:paraId="4EB2688C"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CHOICE, Submission to Commonwealth Consumer Affairs Advisory Council, </w:t>
      </w:r>
      <w:r w:rsidRPr="005B2362">
        <w:rPr>
          <w:rFonts w:cs="Arial"/>
          <w:i/>
        </w:rPr>
        <w:t>App purchases by Australian consumers on mobile and handheld devices</w:t>
      </w:r>
      <w:r>
        <w:rPr>
          <w:rFonts w:cs="Arial"/>
        </w:rPr>
        <w:t xml:space="preserve">: </w:t>
      </w:r>
      <w:r w:rsidRPr="00B860A4">
        <w:rPr>
          <w:rFonts w:cs="Arial"/>
          <w:i/>
        </w:rPr>
        <w:t>Inquiry report</w:t>
      </w:r>
      <w:r w:rsidRPr="005B2362">
        <w:rPr>
          <w:rFonts w:cs="Arial"/>
        </w:rPr>
        <w:t>, February 2013, 5.</w:t>
      </w:r>
    </w:p>
  </w:endnote>
  <w:endnote w:id="317">
    <w:p w14:paraId="2D619B80" w14:textId="77777777" w:rsidR="00F008D2" w:rsidRDefault="00F008D2" w:rsidP="00AA3994">
      <w:pPr>
        <w:pStyle w:val="EndnoteText"/>
      </w:pPr>
      <w:r>
        <w:rPr>
          <w:rStyle w:val="EndnoteReference"/>
        </w:rPr>
        <w:endnoteRef/>
      </w:r>
      <w:r>
        <w:t xml:space="preserve"> </w:t>
      </w:r>
      <w:r w:rsidRPr="005B2362">
        <w:rPr>
          <w:rFonts w:cs="Arial"/>
        </w:rPr>
        <w:t>C</w:t>
      </w:r>
      <w:r>
        <w:rPr>
          <w:rFonts w:cs="Arial"/>
        </w:rPr>
        <w:t xml:space="preserve">ommonwealth </w:t>
      </w:r>
      <w:r w:rsidRPr="005B2362">
        <w:rPr>
          <w:rFonts w:cs="Arial"/>
        </w:rPr>
        <w:t>C</w:t>
      </w:r>
      <w:r>
        <w:rPr>
          <w:rFonts w:cs="Arial"/>
        </w:rPr>
        <w:t xml:space="preserve">onsumer </w:t>
      </w:r>
      <w:r w:rsidRPr="005B2362">
        <w:rPr>
          <w:rFonts w:cs="Arial"/>
        </w:rPr>
        <w:t>A</w:t>
      </w:r>
      <w:r>
        <w:rPr>
          <w:rFonts w:cs="Arial"/>
        </w:rPr>
        <w:t xml:space="preserve">ffairs </w:t>
      </w:r>
      <w:r w:rsidRPr="005B2362">
        <w:rPr>
          <w:rFonts w:cs="Arial"/>
        </w:rPr>
        <w:t>A</w:t>
      </w:r>
      <w:r>
        <w:rPr>
          <w:rFonts w:cs="Arial"/>
        </w:rPr>
        <w:t xml:space="preserve">dvisory </w:t>
      </w:r>
      <w:r w:rsidRPr="005B2362">
        <w:rPr>
          <w:rFonts w:cs="Arial"/>
        </w:rPr>
        <w:t>C</w:t>
      </w:r>
      <w:r>
        <w:rPr>
          <w:rFonts w:cs="Arial"/>
        </w:rPr>
        <w:t>ouncil</w:t>
      </w:r>
      <w:r w:rsidRPr="005B2362">
        <w:rPr>
          <w:rFonts w:cs="Arial"/>
        </w:rPr>
        <w:t xml:space="preserve">, </w:t>
      </w:r>
      <w:r w:rsidRPr="005B2362">
        <w:rPr>
          <w:rFonts w:cs="Arial"/>
          <w:i/>
        </w:rPr>
        <w:t>App purchases by Australian consumers on mobile and handheld devices</w:t>
      </w:r>
      <w:r>
        <w:rPr>
          <w:rFonts w:cs="Arial"/>
        </w:rPr>
        <w:t xml:space="preserve">: </w:t>
      </w:r>
      <w:r w:rsidRPr="00B860A4">
        <w:rPr>
          <w:rFonts w:cs="Arial"/>
          <w:i/>
        </w:rPr>
        <w:t>Inquiry report</w:t>
      </w:r>
      <w:r w:rsidRPr="005B2362">
        <w:rPr>
          <w:rFonts w:cs="Arial"/>
        </w:rPr>
        <w:t xml:space="preserve"> </w:t>
      </w:r>
      <w:r>
        <w:rPr>
          <w:rFonts w:cs="Arial"/>
        </w:rPr>
        <w:t>(</w:t>
      </w:r>
      <w:r w:rsidRPr="005B2362">
        <w:rPr>
          <w:rFonts w:cs="Arial"/>
        </w:rPr>
        <w:t>2013</w:t>
      </w:r>
      <w:r>
        <w:rPr>
          <w:rFonts w:cs="Arial"/>
        </w:rPr>
        <w:t>) 16.</w:t>
      </w:r>
    </w:p>
  </w:endnote>
  <w:endnote w:id="318">
    <w:p w14:paraId="149752C5"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C</w:t>
      </w:r>
      <w:r>
        <w:rPr>
          <w:rFonts w:cs="Arial"/>
        </w:rPr>
        <w:t xml:space="preserve">ommonwealth </w:t>
      </w:r>
      <w:r w:rsidRPr="005B2362">
        <w:rPr>
          <w:rFonts w:cs="Arial"/>
        </w:rPr>
        <w:t>C</w:t>
      </w:r>
      <w:r>
        <w:rPr>
          <w:rFonts w:cs="Arial"/>
        </w:rPr>
        <w:t xml:space="preserve">onsumer </w:t>
      </w:r>
      <w:r w:rsidRPr="005B2362">
        <w:rPr>
          <w:rFonts w:cs="Arial"/>
        </w:rPr>
        <w:t>A</w:t>
      </w:r>
      <w:r>
        <w:rPr>
          <w:rFonts w:cs="Arial"/>
        </w:rPr>
        <w:t xml:space="preserve">ffairs </w:t>
      </w:r>
      <w:r w:rsidRPr="005B2362">
        <w:rPr>
          <w:rFonts w:cs="Arial"/>
        </w:rPr>
        <w:t>A</w:t>
      </w:r>
      <w:r>
        <w:rPr>
          <w:rFonts w:cs="Arial"/>
        </w:rPr>
        <w:t xml:space="preserve">dvisory </w:t>
      </w:r>
      <w:r w:rsidRPr="005B2362">
        <w:rPr>
          <w:rFonts w:cs="Arial"/>
        </w:rPr>
        <w:t>C</w:t>
      </w:r>
      <w:r>
        <w:rPr>
          <w:rFonts w:cs="Arial"/>
        </w:rPr>
        <w:t>ouncil</w:t>
      </w:r>
      <w:r w:rsidRPr="005B2362">
        <w:rPr>
          <w:rFonts w:cs="Arial"/>
        </w:rPr>
        <w:t xml:space="preserve">, </w:t>
      </w:r>
      <w:r w:rsidRPr="005B2362">
        <w:rPr>
          <w:rFonts w:cs="Arial"/>
          <w:i/>
        </w:rPr>
        <w:t>App purchases by Australian consumers on mobile and handheld devices</w:t>
      </w:r>
      <w:r>
        <w:rPr>
          <w:rFonts w:cs="Arial"/>
        </w:rPr>
        <w:t xml:space="preserve">: </w:t>
      </w:r>
      <w:r w:rsidRPr="00B860A4">
        <w:rPr>
          <w:rFonts w:cs="Arial"/>
          <w:i/>
        </w:rPr>
        <w:t>Inquiry report</w:t>
      </w:r>
      <w:r w:rsidRPr="005B2362">
        <w:rPr>
          <w:rFonts w:cs="Arial"/>
        </w:rPr>
        <w:t xml:space="preserve"> </w:t>
      </w:r>
      <w:r>
        <w:rPr>
          <w:rFonts w:cs="Arial"/>
        </w:rPr>
        <w:t>(</w:t>
      </w:r>
      <w:r w:rsidRPr="005B2362">
        <w:rPr>
          <w:rFonts w:cs="Arial"/>
        </w:rPr>
        <w:t>2013</w:t>
      </w:r>
      <w:r>
        <w:rPr>
          <w:rFonts w:cs="Arial"/>
        </w:rPr>
        <w:t>)</w:t>
      </w:r>
      <w:r w:rsidRPr="005B2362">
        <w:rPr>
          <w:rFonts w:cs="Arial"/>
        </w:rPr>
        <w:t xml:space="preserve"> 45.</w:t>
      </w:r>
    </w:p>
  </w:endnote>
  <w:endnote w:id="319">
    <w:p w14:paraId="0C4F1E2B"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C</w:t>
      </w:r>
      <w:r>
        <w:rPr>
          <w:rFonts w:cs="Arial"/>
        </w:rPr>
        <w:t xml:space="preserve">ommonwealth </w:t>
      </w:r>
      <w:r w:rsidRPr="005B2362">
        <w:rPr>
          <w:rFonts w:cs="Arial"/>
        </w:rPr>
        <w:t>C</w:t>
      </w:r>
      <w:r>
        <w:rPr>
          <w:rFonts w:cs="Arial"/>
        </w:rPr>
        <w:t xml:space="preserve">onsumer </w:t>
      </w:r>
      <w:r w:rsidRPr="005B2362">
        <w:rPr>
          <w:rFonts w:cs="Arial"/>
        </w:rPr>
        <w:t>A</w:t>
      </w:r>
      <w:r>
        <w:rPr>
          <w:rFonts w:cs="Arial"/>
        </w:rPr>
        <w:t xml:space="preserve">ffairs </w:t>
      </w:r>
      <w:r w:rsidRPr="005B2362">
        <w:rPr>
          <w:rFonts w:cs="Arial"/>
        </w:rPr>
        <w:t>A</w:t>
      </w:r>
      <w:r>
        <w:rPr>
          <w:rFonts w:cs="Arial"/>
        </w:rPr>
        <w:t xml:space="preserve">dvisory </w:t>
      </w:r>
      <w:r w:rsidRPr="005B2362">
        <w:rPr>
          <w:rFonts w:cs="Arial"/>
        </w:rPr>
        <w:t>C</w:t>
      </w:r>
      <w:r>
        <w:rPr>
          <w:rFonts w:cs="Arial"/>
        </w:rPr>
        <w:t>ouncil</w:t>
      </w:r>
      <w:r w:rsidRPr="005B2362">
        <w:rPr>
          <w:rFonts w:cs="Arial"/>
        </w:rPr>
        <w:t xml:space="preserve">, </w:t>
      </w:r>
      <w:r w:rsidRPr="005B2362">
        <w:rPr>
          <w:rFonts w:cs="Arial"/>
          <w:i/>
        </w:rPr>
        <w:t>App purchases by Australian consumers on mobile and handheld devices</w:t>
      </w:r>
      <w:r>
        <w:rPr>
          <w:rFonts w:cs="Arial"/>
        </w:rPr>
        <w:t xml:space="preserve">: </w:t>
      </w:r>
      <w:r w:rsidRPr="00B860A4">
        <w:rPr>
          <w:rFonts w:cs="Arial"/>
          <w:i/>
        </w:rPr>
        <w:t>Inquiry report</w:t>
      </w:r>
      <w:r w:rsidRPr="005B2362">
        <w:rPr>
          <w:rFonts w:cs="Arial"/>
        </w:rPr>
        <w:t xml:space="preserve"> </w:t>
      </w:r>
      <w:r>
        <w:rPr>
          <w:rFonts w:cs="Arial"/>
        </w:rPr>
        <w:t>(</w:t>
      </w:r>
      <w:r w:rsidRPr="005B2362">
        <w:rPr>
          <w:rFonts w:cs="Arial"/>
        </w:rPr>
        <w:t>2013</w:t>
      </w:r>
      <w:r>
        <w:rPr>
          <w:rFonts w:cs="Arial"/>
        </w:rPr>
        <w:t>)</w:t>
      </w:r>
      <w:r w:rsidRPr="005B2362">
        <w:rPr>
          <w:rFonts w:cs="Arial"/>
        </w:rPr>
        <w:t xml:space="preserve"> 45.</w:t>
      </w:r>
    </w:p>
  </w:endnote>
  <w:endnote w:id="320">
    <w:p w14:paraId="52451FDA"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C</w:t>
      </w:r>
      <w:r>
        <w:rPr>
          <w:rFonts w:cs="Arial"/>
        </w:rPr>
        <w:t xml:space="preserve">ommonwealth </w:t>
      </w:r>
      <w:r w:rsidRPr="005B2362">
        <w:rPr>
          <w:rFonts w:cs="Arial"/>
        </w:rPr>
        <w:t>C</w:t>
      </w:r>
      <w:r>
        <w:rPr>
          <w:rFonts w:cs="Arial"/>
        </w:rPr>
        <w:t xml:space="preserve">onsumer </w:t>
      </w:r>
      <w:r w:rsidRPr="005B2362">
        <w:rPr>
          <w:rFonts w:cs="Arial"/>
        </w:rPr>
        <w:t>A</w:t>
      </w:r>
      <w:r>
        <w:rPr>
          <w:rFonts w:cs="Arial"/>
        </w:rPr>
        <w:t xml:space="preserve">ffairs </w:t>
      </w:r>
      <w:r w:rsidRPr="005B2362">
        <w:rPr>
          <w:rFonts w:cs="Arial"/>
        </w:rPr>
        <w:t>A</w:t>
      </w:r>
      <w:r>
        <w:rPr>
          <w:rFonts w:cs="Arial"/>
        </w:rPr>
        <w:t xml:space="preserve">dvisory </w:t>
      </w:r>
      <w:r w:rsidRPr="005B2362">
        <w:rPr>
          <w:rFonts w:cs="Arial"/>
        </w:rPr>
        <w:t>C</w:t>
      </w:r>
      <w:r>
        <w:rPr>
          <w:rFonts w:cs="Arial"/>
        </w:rPr>
        <w:t>ouncil</w:t>
      </w:r>
      <w:r w:rsidRPr="005B2362">
        <w:rPr>
          <w:rFonts w:cs="Arial"/>
        </w:rPr>
        <w:t xml:space="preserve">, </w:t>
      </w:r>
      <w:r w:rsidRPr="005B2362">
        <w:rPr>
          <w:rFonts w:cs="Arial"/>
          <w:i/>
        </w:rPr>
        <w:t>App purchases by Australian consumers on mobile and handheld devices</w:t>
      </w:r>
      <w:r>
        <w:rPr>
          <w:rFonts w:cs="Arial"/>
        </w:rPr>
        <w:t xml:space="preserve">: </w:t>
      </w:r>
      <w:r w:rsidRPr="00B860A4">
        <w:rPr>
          <w:rFonts w:cs="Arial"/>
          <w:i/>
        </w:rPr>
        <w:t>Inquiry report</w:t>
      </w:r>
      <w:r w:rsidRPr="005B2362">
        <w:rPr>
          <w:rFonts w:cs="Arial"/>
        </w:rPr>
        <w:t xml:space="preserve"> </w:t>
      </w:r>
      <w:r>
        <w:rPr>
          <w:rFonts w:cs="Arial"/>
        </w:rPr>
        <w:t>(</w:t>
      </w:r>
      <w:r w:rsidRPr="005B2362">
        <w:rPr>
          <w:rFonts w:cs="Arial"/>
        </w:rPr>
        <w:t>2013</w:t>
      </w:r>
      <w:r>
        <w:rPr>
          <w:rFonts w:cs="Arial"/>
        </w:rPr>
        <w:t>)</w:t>
      </w:r>
      <w:r w:rsidRPr="005B2362">
        <w:rPr>
          <w:rFonts w:cs="Arial"/>
        </w:rPr>
        <w:t xml:space="preserve"> 45.</w:t>
      </w:r>
    </w:p>
  </w:endnote>
  <w:endnote w:id="321">
    <w:p w14:paraId="40E3CBEE"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UNICEF, Save the Children, Global Compact, </w:t>
      </w:r>
      <w:r w:rsidRPr="005B2362">
        <w:rPr>
          <w:rFonts w:cs="Arial"/>
          <w:i/>
        </w:rPr>
        <w:t>How Business Affects Us: Children and young people share their perspectives on how business impacts on their lives and communities</w:t>
      </w:r>
      <w:r w:rsidRPr="005B2362">
        <w:rPr>
          <w:rFonts w:cs="Arial"/>
        </w:rPr>
        <w:t xml:space="preserve"> (2011) 12. </w:t>
      </w:r>
    </w:p>
  </w:endnote>
  <w:endnote w:id="322">
    <w:p w14:paraId="7E134C37"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Amandine Garde, ‘Advertising Regulation and Protection of Children-Consumers in the European Union: In the Best Interest of...Commercial Operators?’ (2011) 19 </w:t>
      </w:r>
      <w:r w:rsidRPr="005B2362">
        <w:rPr>
          <w:rFonts w:cs="Arial"/>
          <w:i/>
        </w:rPr>
        <w:t>International Journal of Children’s Rights</w:t>
      </w:r>
      <w:r w:rsidRPr="005B2362">
        <w:rPr>
          <w:rFonts w:cs="Arial"/>
        </w:rPr>
        <w:t>, 536.</w:t>
      </w:r>
    </w:p>
  </w:endnote>
  <w:endnote w:id="323">
    <w:p w14:paraId="455FC341"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Amandine Garde, ‘Advertising Regulation and Protection of Children-Consumers in the European Union: In the Best Interest of...Commercial Operators?’ (2011) 19 </w:t>
      </w:r>
      <w:r w:rsidRPr="005B2362">
        <w:rPr>
          <w:rFonts w:cs="Arial"/>
          <w:i/>
        </w:rPr>
        <w:t>International Journal of Children’s Rights</w:t>
      </w:r>
      <w:r>
        <w:rPr>
          <w:rFonts w:cs="Arial"/>
        </w:rPr>
        <w:t>,</w:t>
      </w:r>
      <w:r w:rsidRPr="005B2362">
        <w:rPr>
          <w:rFonts w:cs="Arial"/>
          <w:i/>
        </w:rPr>
        <w:t xml:space="preserve"> </w:t>
      </w:r>
      <w:r w:rsidRPr="005B2362">
        <w:rPr>
          <w:rFonts w:cs="Arial"/>
        </w:rPr>
        <w:t>536.</w:t>
      </w:r>
    </w:p>
  </w:endnote>
  <w:endnote w:id="324">
    <w:p w14:paraId="05D27666"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Amandine Garde, ‘Advertising Regulation and Protection of Children-Consumers in the European Union: In the Best Interest of...Commercial Operators?’ (2011) 19 </w:t>
      </w:r>
      <w:r w:rsidRPr="005B2362">
        <w:rPr>
          <w:rFonts w:cs="Arial"/>
          <w:i/>
        </w:rPr>
        <w:t>International Journal of Children’s Rights</w:t>
      </w:r>
      <w:r>
        <w:rPr>
          <w:rFonts w:cs="Arial"/>
        </w:rPr>
        <w:t xml:space="preserve">, </w:t>
      </w:r>
      <w:r w:rsidRPr="005B2362">
        <w:rPr>
          <w:rFonts w:cs="Arial"/>
        </w:rPr>
        <w:t xml:space="preserve">537; Corinna Hawkes, ‘Self-Regulation of food advertising: What it can, could and cannot do to discourage unhealthy eating habits among children’ (2005) 30 </w:t>
      </w:r>
      <w:r w:rsidRPr="005B2362">
        <w:rPr>
          <w:rFonts w:cs="Arial"/>
          <w:i/>
        </w:rPr>
        <w:t>British Nutrition Foundation Bulletin</w:t>
      </w:r>
      <w:r w:rsidRPr="005B2362">
        <w:rPr>
          <w:rFonts w:cs="Arial"/>
        </w:rPr>
        <w:t>, 380.</w:t>
      </w:r>
    </w:p>
  </w:endnote>
  <w:endnote w:id="325">
    <w:p w14:paraId="7614DC1A"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Amandine Garde, ‘Advertising Regulation and Protection of Children-Consumers in the European Union: In the Best Interest of...Commercial Operators?’ (2011) 19 </w:t>
      </w:r>
      <w:r w:rsidRPr="005B2362">
        <w:rPr>
          <w:rFonts w:cs="Arial"/>
          <w:i/>
        </w:rPr>
        <w:t>International Journal of Children’s Rights</w:t>
      </w:r>
      <w:r w:rsidRPr="005B2362">
        <w:rPr>
          <w:rFonts w:cs="Arial"/>
        </w:rPr>
        <w:t xml:space="preserve">, 537; Corinna Hawkes, ‘Self-Regulation of food advertising: What it can, could and cannot do to discourage unhealthy eating habits among children’ (2005) 30 </w:t>
      </w:r>
      <w:r w:rsidRPr="005B2362">
        <w:rPr>
          <w:rFonts w:cs="Arial"/>
          <w:i/>
        </w:rPr>
        <w:t>British Nutrition Foundation Bulletin</w:t>
      </w:r>
      <w:r w:rsidRPr="005B2362">
        <w:rPr>
          <w:rFonts w:cs="Arial"/>
        </w:rPr>
        <w:t>, 380.</w:t>
      </w:r>
    </w:p>
  </w:endnote>
  <w:endnote w:id="326">
    <w:p w14:paraId="194CC25D"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Amandine Garde, ‘Advertising Regulation and Protection of Children-Consumers in the European Union: In the Best Interest of...Commercial Operators?’ (2011) 19 </w:t>
      </w:r>
      <w:r w:rsidRPr="005B2362">
        <w:rPr>
          <w:rFonts w:cs="Arial"/>
          <w:i/>
        </w:rPr>
        <w:t>International Journal of Children’s Rights</w:t>
      </w:r>
      <w:r>
        <w:rPr>
          <w:rFonts w:cs="Arial"/>
        </w:rPr>
        <w:t xml:space="preserve">, </w:t>
      </w:r>
      <w:r w:rsidRPr="005B2362">
        <w:rPr>
          <w:rFonts w:cs="Arial"/>
        </w:rPr>
        <w:t xml:space="preserve">537; Corinna Hawkes, ‘Self-Regulation of food advertising: What it can, could and cannot do to discourage unhealthy eating habits among children’ (2005) 30 </w:t>
      </w:r>
      <w:r w:rsidRPr="005B2362">
        <w:rPr>
          <w:rFonts w:cs="Arial"/>
          <w:i/>
        </w:rPr>
        <w:t>British Nutrition Foundation Bulletin</w:t>
      </w:r>
      <w:r>
        <w:rPr>
          <w:rFonts w:cs="Arial"/>
          <w:i/>
        </w:rPr>
        <w:t>,</w:t>
      </w:r>
      <w:r w:rsidRPr="005B2362">
        <w:rPr>
          <w:rFonts w:cs="Arial"/>
          <w:i/>
        </w:rPr>
        <w:t xml:space="preserve"> </w:t>
      </w:r>
      <w:r w:rsidRPr="005B2362">
        <w:rPr>
          <w:rFonts w:cs="Arial"/>
        </w:rPr>
        <w:t>374.</w:t>
      </w:r>
    </w:p>
  </w:endnote>
  <w:endnote w:id="327">
    <w:p w14:paraId="30C9396F"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Amandine Garde, ‘Advertising Regulation and Protection of Children-Consumers in the European Union: In the Best Interest of...Commercial Operators?’ (2011) 19 </w:t>
      </w:r>
      <w:r w:rsidRPr="005B2362">
        <w:rPr>
          <w:rFonts w:cs="Arial"/>
          <w:i/>
        </w:rPr>
        <w:t>International Journal of Children’s Rights</w:t>
      </w:r>
      <w:r>
        <w:rPr>
          <w:rFonts w:cs="Arial"/>
        </w:rPr>
        <w:t xml:space="preserve">, </w:t>
      </w:r>
      <w:r w:rsidRPr="005B2362">
        <w:rPr>
          <w:rFonts w:cs="Arial"/>
        </w:rPr>
        <w:t>537.</w:t>
      </w:r>
    </w:p>
  </w:endnote>
  <w:endnote w:id="328">
    <w:p w14:paraId="32AD3463"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Amandine Garde, ‘Advertising Regulation and Protection of Children-Consumers in the European Union: In the Best Interest of...Commercial Operators?’ (2011) 19 </w:t>
      </w:r>
      <w:r w:rsidRPr="005B2362">
        <w:rPr>
          <w:rFonts w:cs="Arial"/>
          <w:i/>
        </w:rPr>
        <w:t>International Journal of Children’s Rights</w:t>
      </w:r>
      <w:r>
        <w:rPr>
          <w:rFonts w:cs="Arial"/>
        </w:rPr>
        <w:t xml:space="preserve">, </w:t>
      </w:r>
      <w:r w:rsidRPr="005B2362">
        <w:rPr>
          <w:rFonts w:cs="Arial"/>
        </w:rPr>
        <w:t>537.</w:t>
      </w:r>
    </w:p>
  </w:endnote>
  <w:endnote w:id="329">
    <w:p w14:paraId="39BF845F"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Amandine Garde, ‘Advertising Regulation and Protection of Children-Consumers in the European Union: In the Best Interest of...Commercial Operators?’ (2011) 19 </w:t>
      </w:r>
      <w:r w:rsidRPr="005B2362">
        <w:rPr>
          <w:rFonts w:cs="Arial"/>
          <w:i/>
        </w:rPr>
        <w:t>International Journal of Children’s Rights</w:t>
      </w:r>
      <w:r>
        <w:rPr>
          <w:rFonts w:cs="Arial"/>
        </w:rPr>
        <w:t xml:space="preserve">, </w:t>
      </w:r>
      <w:r w:rsidRPr="005B2362">
        <w:rPr>
          <w:rFonts w:cs="Arial"/>
        </w:rPr>
        <w:t>537-538.</w:t>
      </w:r>
    </w:p>
  </w:endnote>
  <w:endnote w:id="330">
    <w:p w14:paraId="0345F227"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Grace Chung and Sara Grimes, ‘Data Mining the Kids: Surveillance and Market research Strategies in Children’s Online Games’ (2005) 30 </w:t>
      </w:r>
      <w:r w:rsidRPr="005B2362">
        <w:rPr>
          <w:rFonts w:cs="Arial"/>
          <w:i/>
        </w:rPr>
        <w:t>Canadian Journal of Communication</w:t>
      </w:r>
      <w:r>
        <w:rPr>
          <w:rFonts w:cs="Arial"/>
        </w:rPr>
        <w:t>,</w:t>
      </w:r>
      <w:r w:rsidRPr="005B2362">
        <w:rPr>
          <w:rFonts w:cs="Arial"/>
        </w:rPr>
        <w:t xml:space="preserve"> 543. </w:t>
      </w:r>
    </w:p>
  </w:endnote>
  <w:endnote w:id="331">
    <w:p w14:paraId="2D677A24"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Grace Chung and Sara Grimes, ‘Data Mining the Kids: Surveillance and Market research Strategies in Children’s Online Games’ (2005) 30 </w:t>
      </w:r>
      <w:r w:rsidRPr="005B2362">
        <w:rPr>
          <w:rFonts w:cs="Arial"/>
          <w:i/>
        </w:rPr>
        <w:t>Canadian Journal of Communication</w:t>
      </w:r>
      <w:r>
        <w:rPr>
          <w:rFonts w:cs="Arial"/>
        </w:rPr>
        <w:t>,</w:t>
      </w:r>
      <w:r w:rsidRPr="005B2362">
        <w:rPr>
          <w:rFonts w:cs="Arial"/>
        </w:rPr>
        <w:t xml:space="preserve"> 543.</w:t>
      </w:r>
    </w:p>
  </w:endnote>
  <w:endnote w:id="332">
    <w:p w14:paraId="75C584DA"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Grace Chung and Sara Grimes, ‘Data Mining the Kids: Surveillance and Market research Strategies in Children’s Online Games’ (2005) 30 </w:t>
      </w:r>
      <w:r w:rsidRPr="005B2362">
        <w:rPr>
          <w:rFonts w:cs="Arial"/>
          <w:i/>
        </w:rPr>
        <w:t>Canadian Journal of Communication</w:t>
      </w:r>
      <w:r>
        <w:rPr>
          <w:rFonts w:cs="Arial"/>
        </w:rPr>
        <w:t>,</w:t>
      </w:r>
      <w:r w:rsidRPr="005B2362">
        <w:rPr>
          <w:rFonts w:cs="Arial"/>
        </w:rPr>
        <w:t xml:space="preserve"> 543.</w:t>
      </w:r>
    </w:p>
  </w:endnote>
  <w:endnote w:id="333">
    <w:p w14:paraId="3586A4DE"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Grace Chung and Sara Grimes, ‘Data Mining the Kids: Surveillance and Market research Strategies in Children’s Online Games’ (2005) 30 </w:t>
      </w:r>
      <w:r w:rsidRPr="005B2362">
        <w:rPr>
          <w:rFonts w:cs="Arial"/>
          <w:i/>
        </w:rPr>
        <w:t>Canadian Journal of Communication</w:t>
      </w:r>
      <w:r>
        <w:rPr>
          <w:rFonts w:cs="Arial"/>
        </w:rPr>
        <w:t>,</w:t>
      </w:r>
      <w:r w:rsidRPr="005B2362">
        <w:rPr>
          <w:rFonts w:cs="Arial"/>
        </w:rPr>
        <w:t xml:space="preserve"> 543.</w:t>
      </w:r>
    </w:p>
  </w:endnote>
  <w:endnote w:id="334">
    <w:p w14:paraId="096FB44A"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Grace Chung and Sara Grimes, ‘Data Mining the Kids: Surveillance and Market research Strategies in Children’s Online Games’ (2005) 30 </w:t>
      </w:r>
      <w:r w:rsidRPr="005B2362">
        <w:rPr>
          <w:rFonts w:cs="Arial"/>
          <w:i/>
        </w:rPr>
        <w:t>Canadian Journal of Communication</w:t>
      </w:r>
      <w:r>
        <w:rPr>
          <w:rFonts w:cs="Arial"/>
        </w:rPr>
        <w:t>,</w:t>
      </w:r>
      <w:r w:rsidRPr="005B2362">
        <w:rPr>
          <w:rFonts w:cs="Arial"/>
        </w:rPr>
        <w:t xml:space="preserve"> 534; See </w:t>
      </w:r>
      <w:r w:rsidRPr="005B2362">
        <w:rPr>
          <w:rFonts w:cs="Arial"/>
          <w:i/>
        </w:rPr>
        <w:t xml:space="preserve">Children’s Online Privacy Protection Act of 1998, </w:t>
      </w:r>
      <w:r w:rsidRPr="00507907">
        <w:rPr>
          <w:rFonts w:cs="Arial"/>
        </w:rPr>
        <w:t>15 USC §§ 6501</w:t>
      </w:r>
      <w:r w:rsidRPr="005B2362">
        <w:rPr>
          <w:rFonts w:cs="Arial"/>
        </w:rPr>
        <w:t>-6506 (1998).</w:t>
      </w:r>
    </w:p>
  </w:endnote>
  <w:endnote w:id="335">
    <w:p w14:paraId="1D6433FB"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w:t>
      </w:r>
      <w:r w:rsidRPr="005B2362">
        <w:rPr>
          <w:rFonts w:cs="Arial"/>
          <w:i/>
        </w:rPr>
        <w:t xml:space="preserve">Children’s Online Privacy Protection Act of 1998, </w:t>
      </w:r>
      <w:r w:rsidRPr="005B2362">
        <w:rPr>
          <w:rFonts w:cs="Arial"/>
        </w:rPr>
        <w:t>15 USC § 6502(b)(1)(A) (1998).</w:t>
      </w:r>
    </w:p>
  </w:endnote>
  <w:endnote w:id="336">
    <w:p w14:paraId="282AE765"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Grace Chung and Sara Grimes, ‘Data Mining the Kids: Surveillance and Market research Strategies in Children’s Online Games’ (2005) 30 </w:t>
      </w:r>
      <w:r w:rsidRPr="005B2362">
        <w:rPr>
          <w:rFonts w:cs="Arial"/>
          <w:i/>
        </w:rPr>
        <w:t>Canadian Journal of Communication</w:t>
      </w:r>
      <w:r>
        <w:rPr>
          <w:rFonts w:cs="Arial"/>
        </w:rPr>
        <w:t>,</w:t>
      </w:r>
      <w:r w:rsidRPr="005B2362">
        <w:rPr>
          <w:rFonts w:cs="Arial"/>
        </w:rPr>
        <w:t xml:space="preserve"> 534; </w:t>
      </w:r>
      <w:r w:rsidRPr="005B2362">
        <w:rPr>
          <w:rFonts w:cs="Arial"/>
          <w:i/>
        </w:rPr>
        <w:t xml:space="preserve">Children’s Online Privacy Protection Act of 1998, </w:t>
      </w:r>
      <w:r w:rsidRPr="005B2362">
        <w:rPr>
          <w:rFonts w:cs="Arial"/>
        </w:rPr>
        <w:t xml:space="preserve">15 USC </w:t>
      </w:r>
      <w:r w:rsidRPr="0094062F">
        <w:rPr>
          <w:rFonts w:cs="Arial"/>
        </w:rPr>
        <w:t>§</w:t>
      </w:r>
      <w:r w:rsidRPr="005B2362">
        <w:rPr>
          <w:rFonts w:cs="Arial"/>
        </w:rPr>
        <w:t xml:space="preserve"> 6502(b)(1)(B) (1998).</w:t>
      </w:r>
    </w:p>
  </w:endnote>
  <w:endnote w:id="337">
    <w:p w14:paraId="10FBE4E9" w14:textId="77777777" w:rsidR="00F008D2" w:rsidRDefault="00F008D2" w:rsidP="00AA3994">
      <w:pPr>
        <w:pStyle w:val="EndnoteText"/>
      </w:pPr>
      <w:r>
        <w:rPr>
          <w:rStyle w:val="EndnoteReference"/>
        </w:rPr>
        <w:endnoteRef/>
      </w:r>
      <w:r>
        <w:t xml:space="preserve"> </w:t>
      </w:r>
      <w:r w:rsidRPr="00A45DF8">
        <w:rPr>
          <w:rStyle w:val="Hyperlink"/>
          <w:rFonts w:cs="Arial"/>
          <w:i/>
          <w:color w:val="auto"/>
          <w:u w:val="none"/>
        </w:rPr>
        <w:t xml:space="preserve">Draft </w:t>
      </w:r>
      <w:r w:rsidRPr="00A45DF8">
        <w:rPr>
          <w:rFonts w:cs="Arial"/>
          <w:i/>
        </w:rPr>
        <w:t>General Data Protection Regulation 2012</w:t>
      </w:r>
      <w:r w:rsidRPr="00A45DF8">
        <w:rPr>
          <w:rFonts w:cs="Arial"/>
        </w:rPr>
        <w:t xml:space="preserve"> (EU) articles 7, 8 (not yet in force).</w:t>
      </w:r>
    </w:p>
  </w:endnote>
  <w:endnote w:id="338">
    <w:p w14:paraId="2A89829B" w14:textId="77777777" w:rsidR="00F008D2" w:rsidRPr="00EF7A3C" w:rsidRDefault="00F008D2" w:rsidP="00AA3994">
      <w:pPr>
        <w:pStyle w:val="EndnoteText"/>
        <w:rPr>
          <w:rFonts w:cs="Arial"/>
        </w:rPr>
      </w:pPr>
      <w:r>
        <w:rPr>
          <w:rStyle w:val="EndnoteReference"/>
        </w:rPr>
        <w:endnoteRef/>
      </w:r>
      <w:r>
        <w:t xml:space="preserve"> </w:t>
      </w:r>
      <w:r w:rsidRPr="00A45DF8">
        <w:rPr>
          <w:rStyle w:val="Hyperlink"/>
          <w:rFonts w:cs="Arial"/>
          <w:i/>
          <w:color w:val="auto"/>
          <w:u w:val="none"/>
        </w:rPr>
        <w:t xml:space="preserve">Draft </w:t>
      </w:r>
      <w:r w:rsidRPr="00A45DF8">
        <w:rPr>
          <w:rFonts w:cs="Arial"/>
          <w:i/>
        </w:rPr>
        <w:t>General Data Protection Regulation 2012</w:t>
      </w:r>
      <w:r w:rsidRPr="00A45DF8">
        <w:rPr>
          <w:rFonts w:cs="Arial"/>
        </w:rPr>
        <w:t xml:space="preserve"> (EU) articles 7, 8 (not yet in force).</w:t>
      </w:r>
    </w:p>
  </w:endnote>
  <w:endnote w:id="339">
    <w:p w14:paraId="7864447B" w14:textId="77777777" w:rsidR="00F008D2" w:rsidRDefault="00F008D2" w:rsidP="00AA3994">
      <w:pPr>
        <w:pStyle w:val="EndnoteText"/>
      </w:pPr>
      <w:r>
        <w:rPr>
          <w:rStyle w:val="EndnoteReference"/>
        </w:rPr>
        <w:endnoteRef/>
      </w:r>
      <w:r>
        <w:t xml:space="preserve"> </w:t>
      </w:r>
      <w:r w:rsidRPr="00A45DF8">
        <w:rPr>
          <w:rFonts w:cs="Arial"/>
        </w:rPr>
        <w:t>The Hong Kong Office of the Privacy Commissioner for Personal Data issued a guidance note in April 2014 in relation to the collection of personal over the Internet. It notes that organisations should take special care, use simple language and encourage childre</w:t>
      </w:r>
      <w:r>
        <w:rPr>
          <w:rFonts w:cs="Arial"/>
        </w:rPr>
        <w:t>n to consult with their parents</w:t>
      </w:r>
      <w:r w:rsidRPr="00A45DF8">
        <w:rPr>
          <w:rFonts w:cs="Arial"/>
        </w:rPr>
        <w:t xml:space="preserve"> when collecting the personal data of children. See </w:t>
      </w:r>
      <w:r w:rsidRPr="00A45DF8">
        <w:rPr>
          <w:rStyle w:val="selectable"/>
          <w:rFonts w:cs="Arial"/>
          <w:color w:val="000000"/>
          <w:lang w:val="en"/>
        </w:rPr>
        <w:t>Office of the Privacy Commissioner for Personal Data, Hong Kong, 'Guidance For Data Users On The Collection And Use Of Personal Data Through The Internet' (2014).</w:t>
      </w:r>
    </w:p>
  </w:endnote>
  <w:endnote w:id="340">
    <w:p w14:paraId="39A40A29" w14:textId="77777777" w:rsidR="00F008D2" w:rsidRDefault="00F008D2" w:rsidP="00AA3994">
      <w:pPr>
        <w:pStyle w:val="EndnoteText"/>
      </w:pPr>
      <w:r>
        <w:rPr>
          <w:rStyle w:val="EndnoteReference"/>
        </w:rPr>
        <w:endnoteRef/>
      </w:r>
      <w:r>
        <w:t xml:space="preserve"> </w:t>
      </w:r>
      <w:r w:rsidRPr="00A45DF8">
        <w:rPr>
          <w:rFonts w:cs="Arial"/>
        </w:rPr>
        <w:t xml:space="preserve">See </w:t>
      </w:r>
      <w:r w:rsidRPr="00A45DF8">
        <w:rPr>
          <w:rFonts w:cs="Arial"/>
          <w:i/>
          <w:color w:val="363336"/>
          <w:lang w:val="en-US"/>
        </w:rPr>
        <w:t>Personal Data Protection Act</w:t>
      </w:r>
      <w:r w:rsidRPr="00A45DF8">
        <w:rPr>
          <w:rFonts w:cs="Arial"/>
          <w:color w:val="363336"/>
          <w:lang w:val="en-US"/>
        </w:rPr>
        <w:t xml:space="preserve"> 2012 (Singapore);</w:t>
      </w:r>
      <w:r w:rsidRPr="00A45DF8">
        <w:rPr>
          <w:rFonts w:cs="Arial"/>
        </w:rPr>
        <w:t xml:space="preserve"> </w:t>
      </w:r>
      <w:r w:rsidRPr="00A45DF8">
        <w:rPr>
          <w:rFonts w:cs="Arial"/>
          <w:i/>
        </w:rPr>
        <w:t xml:space="preserve">Personal Data (Privacy) Ordinance </w:t>
      </w:r>
      <w:r w:rsidRPr="00A45DF8">
        <w:rPr>
          <w:rFonts w:cs="Arial"/>
        </w:rPr>
        <w:t xml:space="preserve">2005 (Hong Kong); </w:t>
      </w:r>
      <w:r w:rsidRPr="00A45DF8">
        <w:rPr>
          <w:rFonts w:cs="Arial"/>
          <w:i/>
        </w:rPr>
        <w:t xml:space="preserve">Privacy Act </w:t>
      </w:r>
      <w:r w:rsidRPr="00A45DF8">
        <w:rPr>
          <w:rFonts w:cs="Arial"/>
        </w:rPr>
        <w:t xml:space="preserve">1993 (NZ); </w:t>
      </w:r>
      <w:r w:rsidRPr="00A45DF8">
        <w:rPr>
          <w:rFonts w:cs="Arial"/>
          <w:i/>
        </w:rPr>
        <w:t>Personal Information Protection and Electronic Document Act</w:t>
      </w:r>
      <w:r w:rsidRPr="00A45DF8">
        <w:rPr>
          <w:rFonts w:cs="Arial"/>
        </w:rPr>
        <w:t xml:space="preserve"> 2000 (Canada).</w:t>
      </w:r>
    </w:p>
  </w:endnote>
  <w:endnote w:id="341">
    <w:p w14:paraId="65269AE3"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Tara Collins, </w:t>
      </w:r>
      <w:r>
        <w:rPr>
          <w:rFonts w:cs="Arial"/>
        </w:rPr>
        <w:t>‘</w:t>
      </w:r>
      <w:r w:rsidRPr="005B2362">
        <w:rPr>
          <w:rFonts w:cs="Arial"/>
        </w:rPr>
        <w:t xml:space="preserve">The relationship between children’s rights and business’ (2014) 18(6) </w:t>
      </w:r>
      <w:r w:rsidRPr="005B2362">
        <w:rPr>
          <w:rFonts w:cs="Arial"/>
          <w:i/>
        </w:rPr>
        <w:t>The International Journal of Human Rights</w:t>
      </w:r>
      <w:r>
        <w:rPr>
          <w:rFonts w:cs="Arial"/>
        </w:rPr>
        <w:t>,</w:t>
      </w:r>
      <w:r w:rsidRPr="005B2362">
        <w:rPr>
          <w:rFonts w:cs="Arial"/>
        </w:rPr>
        <w:t xml:space="preserve"> 606; UNICEF, Child and Youth Finance International, </w:t>
      </w:r>
      <w:r w:rsidRPr="005B2362">
        <w:rPr>
          <w:rFonts w:cs="Arial"/>
          <w:i/>
        </w:rPr>
        <w:t xml:space="preserve">Beyond the Promotional Piggybank: Towards Children as Stakeholders </w:t>
      </w:r>
      <w:r w:rsidRPr="005B2362">
        <w:rPr>
          <w:rFonts w:cs="Arial"/>
        </w:rPr>
        <w:t>(2013)</w:t>
      </w:r>
      <w:r>
        <w:rPr>
          <w:rFonts w:cs="Arial"/>
        </w:rPr>
        <w:t>.</w:t>
      </w:r>
    </w:p>
  </w:endnote>
  <w:endnote w:id="342">
    <w:p w14:paraId="1510E80F" w14:textId="77777777" w:rsidR="00F008D2" w:rsidRPr="005B2362" w:rsidRDefault="00F008D2" w:rsidP="00AA3994">
      <w:pPr>
        <w:pStyle w:val="EndnoteText"/>
        <w:rPr>
          <w:rFonts w:cs="Arial"/>
        </w:rPr>
      </w:pPr>
      <w:r w:rsidRPr="005B2362">
        <w:rPr>
          <w:rStyle w:val="EndnoteReference"/>
          <w:rFonts w:cs="Arial"/>
        </w:rPr>
        <w:endnoteRef/>
      </w:r>
      <w:r w:rsidRPr="005B2362">
        <w:rPr>
          <w:rFonts w:cs="Arial"/>
        </w:rPr>
        <w:t xml:space="preserve"> Eva Lievens, ‘Risk-reducing regulatory strategies for protecting minors in social networks’ (2011) 13(6) </w:t>
      </w:r>
      <w:r w:rsidRPr="005B2362">
        <w:rPr>
          <w:rFonts w:cs="Arial"/>
          <w:i/>
        </w:rPr>
        <w:t>Info</w:t>
      </w:r>
      <w:r w:rsidRPr="005B2362">
        <w:rPr>
          <w:rFonts w:cs="Arial"/>
        </w:rPr>
        <w:t>, 48; Vivienne Reading, ‘Think before you post! How to make social networking sites safer for children and teenagers?’ (Speech delivered at Safer Internet Day, Strasbourg, 9 February 2010) &lt;</w:t>
      </w:r>
      <w:hyperlink r:id="rId110" w:history="1">
        <w:r w:rsidRPr="00C76F3E">
          <w:rPr>
            <w:rStyle w:val="Hyperlink"/>
            <w:rFonts w:cs="Arial"/>
          </w:rPr>
          <w:t>http://europa.eu/rapid/press-release_SPEECH-10-22_en.pdf</w:t>
        </w:r>
      </w:hyperlink>
      <w:r w:rsidRPr="005B2362">
        <w:rPr>
          <w:rFonts w:cs="Arial"/>
        </w:rPr>
        <w:t xml:space="preserve">&gt;. </w:t>
      </w:r>
    </w:p>
  </w:endnote>
  <w:endnote w:id="343">
    <w:p w14:paraId="44A34903" w14:textId="77777777" w:rsidR="00F008D2" w:rsidRDefault="00F008D2" w:rsidP="00AA3994">
      <w:pPr>
        <w:pStyle w:val="EndnoteText"/>
      </w:pPr>
      <w:r>
        <w:rPr>
          <w:rStyle w:val="EndnoteReference"/>
        </w:rPr>
        <w:endnoteRef/>
      </w:r>
      <w:r>
        <w:t xml:space="preserve"> </w:t>
      </w:r>
      <w:r w:rsidRPr="005B2362">
        <w:rPr>
          <w:rFonts w:cs="Arial"/>
        </w:rPr>
        <w:t>Sandra</w:t>
      </w:r>
      <w:r>
        <w:rPr>
          <w:rFonts w:cs="Arial"/>
        </w:rPr>
        <w:t xml:space="preserve"> </w:t>
      </w:r>
      <w:r w:rsidRPr="005B2362">
        <w:rPr>
          <w:rFonts w:cs="Arial"/>
        </w:rPr>
        <w:t>Calvert, ‘Children as Consumers: Advertising and Marketing’</w:t>
      </w:r>
      <w:r>
        <w:rPr>
          <w:rFonts w:cs="Arial"/>
        </w:rPr>
        <w:t xml:space="preserve"> </w:t>
      </w:r>
      <w:r w:rsidRPr="005B2362">
        <w:rPr>
          <w:rFonts w:cs="Arial"/>
        </w:rPr>
        <w:t>(2008)</w:t>
      </w:r>
      <w:r>
        <w:rPr>
          <w:rFonts w:cs="Arial"/>
        </w:rPr>
        <w:t xml:space="preserve"> 18(1)</w:t>
      </w:r>
      <w:r w:rsidRPr="005B2362">
        <w:rPr>
          <w:rFonts w:cs="Arial"/>
        </w:rPr>
        <w:t xml:space="preserve"> </w:t>
      </w:r>
      <w:r w:rsidRPr="00B860A4">
        <w:rPr>
          <w:rFonts w:cs="Arial"/>
          <w:i/>
        </w:rPr>
        <w:t>The Future of Children</w:t>
      </w:r>
      <w:r>
        <w:rPr>
          <w:rFonts w:cs="Arial"/>
        </w:rPr>
        <w:t>, 224.</w:t>
      </w:r>
    </w:p>
  </w:endnote>
  <w:endnote w:id="344">
    <w:p w14:paraId="4734CF75" w14:textId="77777777" w:rsidR="00F008D2" w:rsidRDefault="00F008D2" w:rsidP="00AA3994">
      <w:pPr>
        <w:pStyle w:val="EndnoteText"/>
      </w:pPr>
      <w:r>
        <w:rPr>
          <w:rStyle w:val="EndnoteReference"/>
        </w:rPr>
        <w:endnoteRef/>
      </w:r>
      <w:r>
        <w:t xml:space="preserve"> </w:t>
      </w:r>
      <w:r w:rsidRPr="005B2362">
        <w:rPr>
          <w:rFonts w:cs="Arial"/>
        </w:rPr>
        <w:t>Sandra</w:t>
      </w:r>
      <w:r>
        <w:rPr>
          <w:rFonts w:cs="Arial"/>
        </w:rPr>
        <w:t xml:space="preserve"> </w:t>
      </w:r>
      <w:r w:rsidRPr="005B2362">
        <w:rPr>
          <w:rFonts w:cs="Arial"/>
        </w:rPr>
        <w:t>Calvert, ‘Children as Consumers: Advertising and Marketing’</w:t>
      </w:r>
      <w:r>
        <w:rPr>
          <w:rFonts w:cs="Arial"/>
        </w:rPr>
        <w:t xml:space="preserve"> </w:t>
      </w:r>
      <w:r w:rsidRPr="005B2362">
        <w:rPr>
          <w:rFonts w:cs="Arial"/>
        </w:rPr>
        <w:t>(2008)</w:t>
      </w:r>
      <w:r>
        <w:rPr>
          <w:rFonts w:cs="Arial"/>
        </w:rPr>
        <w:t xml:space="preserve"> 18(1)</w:t>
      </w:r>
      <w:r w:rsidRPr="005B2362">
        <w:rPr>
          <w:rFonts w:cs="Arial"/>
        </w:rPr>
        <w:t xml:space="preserve"> </w:t>
      </w:r>
      <w:r w:rsidRPr="00B860A4">
        <w:rPr>
          <w:rFonts w:cs="Arial"/>
          <w:i/>
        </w:rPr>
        <w:t>The Future of Children</w:t>
      </w:r>
      <w:r>
        <w:rPr>
          <w:rFonts w:cs="Arial"/>
        </w:rPr>
        <w:t>, 224.</w:t>
      </w:r>
    </w:p>
  </w:endnote>
  <w:endnote w:id="345">
    <w:p w14:paraId="50078D66" w14:textId="77777777" w:rsidR="00F008D2" w:rsidRDefault="00F008D2" w:rsidP="00AA3994">
      <w:pPr>
        <w:pStyle w:val="EndnoteText"/>
      </w:pPr>
      <w:r>
        <w:rPr>
          <w:rStyle w:val="EndnoteReference"/>
        </w:rPr>
        <w:endnoteRef/>
      </w:r>
      <w:r>
        <w:t xml:space="preserve"> </w:t>
      </w:r>
      <w:r w:rsidRPr="005B2362">
        <w:rPr>
          <w:rFonts w:cs="Arial"/>
        </w:rPr>
        <w:t>Sandra</w:t>
      </w:r>
      <w:r>
        <w:rPr>
          <w:rFonts w:cs="Arial"/>
        </w:rPr>
        <w:t xml:space="preserve"> </w:t>
      </w:r>
      <w:r w:rsidRPr="005B2362">
        <w:rPr>
          <w:rFonts w:cs="Arial"/>
        </w:rPr>
        <w:t>Calvert, ‘Children as Consumers: Advertising and Marketing’</w:t>
      </w:r>
      <w:r>
        <w:rPr>
          <w:rFonts w:cs="Arial"/>
        </w:rPr>
        <w:t xml:space="preserve"> </w:t>
      </w:r>
      <w:r w:rsidRPr="005B2362">
        <w:rPr>
          <w:rFonts w:cs="Arial"/>
        </w:rPr>
        <w:t>(2008)</w:t>
      </w:r>
      <w:r>
        <w:rPr>
          <w:rFonts w:cs="Arial"/>
        </w:rPr>
        <w:t xml:space="preserve"> 18(1)</w:t>
      </w:r>
      <w:r w:rsidRPr="005B2362">
        <w:rPr>
          <w:rFonts w:cs="Arial"/>
        </w:rPr>
        <w:t xml:space="preserve"> </w:t>
      </w:r>
      <w:r w:rsidRPr="00B860A4">
        <w:rPr>
          <w:rFonts w:cs="Arial"/>
          <w:i/>
        </w:rPr>
        <w:t>The Future of Children</w:t>
      </w:r>
      <w:r>
        <w:rPr>
          <w:rFonts w:cs="Arial"/>
        </w:rPr>
        <w:t>, 224.</w:t>
      </w:r>
    </w:p>
  </w:endnote>
  <w:endnote w:id="346">
    <w:p w14:paraId="4CC87059" w14:textId="77777777" w:rsidR="00F008D2" w:rsidRDefault="00F008D2" w:rsidP="00AA3994">
      <w:pPr>
        <w:pStyle w:val="EndnoteText"/>
      </w:pPr>
      <w:r>
        <w:rPr>
          <w:rStyle w:val="EndnoteReference"/>
        </w:rPr>
        <w:endnoteRef/>
      </w:r>
      <w:r>
        <w:t xml:space="preserve"> </w:t>
      </w:r>
      <w:r w:rsidRPr="005B2362">
        <w:rPr>
          <w:rFonts w:cs="Arial"/>
        </w:rPr>
        <w:t>Sandra</w:t>
      </w:r>
      <w:r>
        <w:rPr>
          <w:rFonts w:cs="Arial"/>
        </w:rPr>
        <w:t xml:space="preserve"> </w:t>
      </w:r>
      <w:r w:rsidRPr="005B2362">
        <w:rPr>
          <w:rFonts w:cs="Arial"/>
        </w:rPr>
        <w:t>Calvert, ‘Children as Consumers: Advertising and Marketing’</w:t>
      </w:r>
      <w:r>
        <w:rPr>
          <w:rFonts w:cs="Arial"/>
        </w:rPr>
        <w:t xml:space="preserve"> </w:t>
      </w:r>
      <w:r w:rsidRPr="005B2362">
        <w:rPr>
          <w:rFonts w:cs="Arial"/>
        </w:rPr>
        <w:t>(2008)</w:t>
      </w:r>
      <w:r>
        <w:rPr>
          <w:rFonts w:cs="Arial"/>
        </w:rPr>
        <w:t xml:space="preserve"> 18(1)</w:t>
      </w:r>
      <w:r w:rsidRPr="005B2362">
        <w:rPr>
          <w:rFonts w:cs="Arial"/>
        </w:rPr>
        <w:t xml:space="preserve"> </w:t>
      </w:r>
      <w:r w:rsidRPr="00B860A4">
        <w:rPr>
          <w:rFonts w:cs="Arial"/>
          <w:i/>
        </w:rPr>
        <w:t>The Future of Children</w:t>
      </w:r>
      <w:r>
        <w:rPr>
          <w:rFonts w:cs="Arial"/>
        </w:rPr>
        <w:t>, 224.</w:t>
      </w:r>
    </w:p>
  </w:endnote>
  <w:endnote w:id="347">
    <w:p w14:paraId="408AEE8F" w14:textId="77777777" w:rsidR="00F008D2" w:rsidRPr="00DC687C" w:rsidRDefault="00F008D2" w:rsidP="00AA3994">
      <w:pPr>
        <w:pStyle w:val="EndnoteText"/>
      </w:pPr>
      <w:r w:rsidRPr="00DC687C">
        <w:rPr>
          <w:rStyle w:val="EndnoteReference"/>
        </w:rPr>
        <w:endnoteRef/>
      </w:r>
      <w:r w:rsidRPr="00DC687C">
        <w:t xml:space="preserve"> </w:t>
      </w:r>
      <w:r w:rsidRPr="00DC687C">
        <w:rPr>
          <w:rFonts w:cs="Arial"/>
        </w:rPr>
        <w:t xml:space="preserve">Sandra Calvert, ‘Children as Consumers: Advertising and Marketing’ (2008) 18(1) </w:t>
      </w:r>
      <w:r w:rsidRPr="00DC687C">
        <w:rPr>
          <w:rFonts w:cs="Arial"/>
          <w:i/>
        </w:rPr>
        <w:t>The Future of Children</w:t>
      </w:r>
      <w:r>
        <w:rPr>
          <w:rFonts w:cs="Arial"/>
          <w:i/>
        </w:rPr>
        <w:t>,</w:t>
      </w:r>
      <w:r w:rsidRPr="00DC687C">
        <w:rPr>
          <w:rFonts w:cs="Arial"/>
        </w:rPr>
        <w:t xml:space="preserve"> 212; D Thornburg and H. S. Lin (eds), Youth, Pornography, and the Internet (Washington, D.C.: National Academies Press, 2002) 102.</w:t>
      </w:r>
    </w:p>
  </w:endnote>
  <w:endnote w:id="348">
    <w:p w14:paraId="2CEEB0D4" w14:textId="77777777" w:rsidR="00F008D2" w:rsidRPr="00DC687C" w:rsidRDefault="00F008D2" w:rsidP="00AA3994">
      <w:pPr>
        <w:pStyle w:val="EndnoteText"/>
        <w:rPr>
          <w:rFonts w:cs="Arial"/>
        </w:rPr>
      </w:pPr>
      <w:r w:rsidRPr="00DC687C">
        <w:rPr>
          <w:rStyle w:val="EndnoteReference"/>
          <w:rFonts w:cs="Arial"/>
        </w:rPr>
        <w:endnoteRef/>
      </w:r>
      <w:r w:rsidRPr="00DC687C">
        <w:rPr>
          <w:rFonts w:cs="Arial"/>
        </w:rPr>
        <w:t xml:space="preserve"> Grace Chung and Sara Grimes, ‘Data Mining the Kids: Surveillance and Market research Strategies in Children’s Online Games’ (2005) 30 </w:t>
      </w:r>
      <w:r w:rsidRPr="00DC687C">
        <w:rPr>
          <w:rFonts w:cs="Arial"/>
          <w:i/>
        </w:rPr>
        <w:t>Canadian Journal of Communication</w:t>
      </w:r>
      <w:r w:rsidRPr="00DC687C">
        <w:rPr>
          <w:rFonts w:cs="Arial"/>
        </w:rPr>
        <w:t>, 542.</w:t>
      </w:r>
    </w:p>
  </w:endnote>
  <w:endnote w:id="349">
    <w:p w14:paraId="5C02766D" w14:textId="77777777" w:rsidR="00F008D2" w:rsidRPr="00DC687C" w:rsidRDefault="00F008D2" w:rsidP="00AA3994">
      <w:pPr>
        <w:pStyle w:val="EndnoteText"/>
        <w:rPr>
          <w:rFonts w:cs="Arial"/>
        </w:rPr>
      </w:pPr>
      <w:r w:rsidRPr="00DC687C">
        <w:rPr>
          <w:rStyle w:val="EndnoteReference"/>
          <w:rFonts w:cs="Arial"/>
        </w:rPr>
        <w:endnoteRef/>
      </w:r>
      <w:r w:rsidRPr="00DC687C">
        <w:rPr>
          <w:rFonts w:cs="Arial"/>
        </w:rPr>
        <w:t xml:space="preserve"> Grace Chung and Sara Grimes, ‘Data Mining the Kids: Surveillance and Market research Strategies in Children’s Online Games’ (2005) 30 </w:t>
      </w:r>
      <w:r w:rsidRPr="00DC687C">
        <w:rPr>
          <w:rFonts w:cs="Arial"/>
          <w:i/>
        </w:rPr>
        <w:t>Canadian Journal of Communication</w:t>
      </w:r>
      <w:r w:rsidRPr="00DC687C">
        <w:rPr>
          <w:rFonts w:cs="Arial"/>
        </w:rPr>
        <w:t>, 542.</w:t>
      </w:r>
    </w:p>
  </w:endnote>
  <w:endnote w:id="350">
    <w:p w14:paraId="65862364" w14:textId="77777777" w:rsidR="00F008D2" w:rsidRPr="00DC687C" w:rsidRDefault="00F008D2" w:rsidP="00AA3994">
      <w:pPr>
        <w:pStyle w:val="EndnoteText"/>
      </w:pPr>
      <w:r w:rsidRPr="00DC687C">
        <w:rPr>
          <w:rStyle w:val="EndnoteReference"/>
        </w:rPr>
        <w:endnoteRef/>
      </w:r>
      <w:r w:rsidRPr="00DC687C">
        <w:t xml:space="preserve"> </w:t>
      </w:r>
      <w:r w:rsidRPr="00DC687C">
        <w:rPr>
          <w:rFonts w:cs="Arial"/>
        </w:rPr>
        <w:t xml:space="preserve">Commonwealth Consumer Affairs Advisory Council, </w:t>
      </w:r>
      <w:r w:rsidRPr="00DC687C">
        <w:rPr>
          <w:rFonts w:cs="Arial"/>
          <w:i/>
        </w:rPr>
        <w:t>App purchases by Australian consumers on mobile and handheld devices</w:t>
      </w:r>
      <w:r w:rsidRPr="00DC687C">
        <w:rPr>
          <w:rFonts w:cs="Arial"/>
        </w:rPr>
        <w:t xml:space="preserve">: </w:t>
      </w:r>
      <w:r w:rsidRPr="00DC687C">
        <w:rPr>
          <w:rFonts w:cs="Arial"/>
          <w:i/>
        </w:rPr>
        <w:t>Inquiry report</w:t>
      </w:r>
      <w:r w:rsidRPr="00DC687C">
        <w:rPr>
          <w:rFonts w:cs="Arial"/>
        </w:rPr>
        <w:t xml:space="preserve"> (2013) 25-</w:t>
      </w:r>
      <w:r>
        <w:rPr>
          <w:rFonts w:cs="Arial"/>
        </w:rPr>
        <w:t>2</w:t>
      </w:r>
      <w:r w:rsidRPr="00DC687C">
        <w:rPr>
          <w:rFonts w:cs="Arial"/>
        </w:rPr>
        <w:t>6.</w:t>
      </w:r>
    </w:p>
  </w:endnote>
  <w:endnote w:id="351">
    <w:p w14:paraId="66088D77" w14:textId="77777777" w:rsidR="00F008D2" w:rsidRPr="00DC687C" w:rsidRDefault="00F008D2" w:rsidP="00AA3994">
      <w:pPr>
        <w:pStyle w:val="EndnoteText"/>
      </w:pPr>
      <w:r w:rsidRPr="00DC687C">
        <w:rPr>
          <w:rStyle w:val="EndnoteReference"/>
        </w:rPr>
        <w:endnoteRef/>
      </w:r>
      <w:r w:rsidRPr="00DC687C">
        <w:t xml:space="preserve"> </w:t>
      </w:r>
      <w:r w:rsidRPr="00DC687C">
        <w:rPr>
          <w:rFonts w:cs="Arial"/>
        </w:rPr>
        <w:t xml:space="preserve">Australian Law Reform Commission, </w:t>
      </w:r>
      <w:r w:rsidRPr="00DC687C">
        <w:rPr>
          <w:rFonts w:cs="Arial"/>
          <w:i/>
        </w:rPr>
        <w:t>For Your Information: Australian Privacy Law and Practice,</w:t>
      </w:r>
      <w:r>
        <w:rPr>
          <w:rFonts w:cs="Arial"/>
          <w:i/>
        </w:rPr>
        <w:t xml:space="preserve"> </w:t>
      </w:r>
      <w:r w:rsidRPr="00DC687C">
        <w:rPr>
          <w:rFonts w:cs="Arial"/>
        </w:rPr>
        <w:t>Report No 108 (2008) 67.14.</w:t>
      </w:r>
    </w:p>
  </w:endnote>
  <w:endnote w:id="352">
    <w:p w14:paraId="7127FBC6" w14:textId="77777777" w:rsidR="00F008D2" w:rsidRPr="00DC687C" w:rsidRDefault="00F008D2" w:rsidP="00AA3994">
      <w:pPr>
        <w:pStyle w:val="EndnoteText"/>
      </w:pPr>
      <w:r w:rsidRPr="00DC687C">
        <w:rPr>
          <w:rStyle w:val="EndnoteReference"/>
        </w:rPr>
        <w:endnoteRef/>
      </w:r>
      <w:r w:rsidRPr="00DC687C">
        <w:t xml:space="preserve"> </w:t>
      </w:r>
      <w:r w:rsidRPr="00DC687C">
        <w:rPr>
          <w:rFonts w:cs="Arial"/>
        </w:rPr>
        <w:t>Australian Law Reform Commission</w:t>
      </w:r>
      <w:r w:rsidRPr="00DC687C">
        <w:rPr>
          <w:rFonts w:cs="Arial"/>
          <w:i/>
        </w:rPr>
        <w:t>, For Your Information: Australian Privacy Law and Practice,</w:t>
      </w:r>
      <w:r w:rsidRPr="00DC687C">
        <w:rPr>
          <w:rFonts w:cs="Arial"/>
        </w:rPr>
        <w:t xml:space="preserve"> Report No 108 (2008) 68.1, 68.3.</w:t>
      </w:r>
    </w:p>
  </w:endnote>
  <w:endnote w:id="353">
    <w:p w14:paraId="25F2CA33" w14:textId="77777777" w:rsidR="00F008D2" w:rsidRPr="00DC687C" w:rsidRDefault="00F008D2" w:rsidP="00AA3994">
      <w:pPr>
        <w:pStyle w:val="EndnoteText"/>
      </w:pPr>
      <w:r w:rsidRPr="00DC687C">
        <w:rPr>
          <w:rStyle w:val="EndnoteReference"/>
        </w:rPr>
        <w:endnoteRef/>
      </w:r>
      <w:r w:rsidRPr="00DC687C">
        <w:t xml:space="preserve"> </w:t>
      </w:r>
      <w:r w:rsidRPr="00DC687C">
        <w:rPr>
          <w:rFonts w:cs="Arial"/>
          <w:i/>
        </w:rPr>
        <w:t xml:space="preserve">Secretary of the Department of Health and Community Services v JWB and SMB </w:t>
      </w:r>
      <w:r w:rsidRPr="00DC687C">
        <w:rPr>
          <w:rFonts w:cs="Arial"/>
        </w:rPr>
        <w:t>(1992) 175 CLR 218, 26.</w:t>
      </w:r>
    </w:p>
  </w:endnote>
  <w:endnote w:id="354">
    <w:p w14:paraId="6E43D653" w14:textId="77777777" w:rsidR="00F008D2" w:rsidRPr="00DC687C" w:rsidRDefault="00F008D2" w:rsidP="00AA3994">
      <w:pPr>
        <w:pStyle w:val="EndnoteText"/>
      </w:pPr>
      <w:r w:rsidRPr="00DC687C">
        <w:rPr>
          <w:rStyle w:val="EndnoteReference"/>
        </w:rPr>
        <w:endnoteRef/>
      </w:r>
      <w:r w:rsidRPr="00DC687C">
        <w:t xml:space="preserve"> </w:t>
      </w:r>
      <w:r w:rsidRPr="00DC687C">
        <w:rPr>
          <w:rFonts w:cs="Arial"/>
          <w:i/>
        </w:rPr>
        <w:t xml:space="preserve">Secretary of the Department of Health and Community Services v JWB and SMB </w:t>
      </w:r>
      <w:r w:rsidRPr="00DC687C">
        <w:rPr>
          <w:rFonts w:cs="Arial"/>
        </w:rPr>
        <w:t>(1992) 175 CLR 218, 6.</w:t>
      </w:r>
    </w:p>
  </w:endnote>
  <w:endnote w:id="355">
    <w:p w14:paraId="3B821927" w14:textId="77777777" w:rsidR="00F008D2" w:rsidRPr="00DC687C" w:rsidRDefault="00F008D2" w:rsidP="00AA3994">
      <w:pPr>
        <w:pStyle w:val="EndnoteText"/>
      </w:pPr>
      <w:r w:rsidRPr="00DC687C">
        <w:rPr>
          <w:rStyle w:val="EndnoteReference"/>
        </w:rPr>
        <w:endnoteRef/>
      </w:r>
      <w:r w:rsidRPr="00DC687C">
        <w:t xml:space="preserve"> </w:t>
      </w:r>
      <w:r w:rsidRPr="00DC687C">
        <w:rPr>
          <w:rFonts w:cs="Arial"/>
          <w:i/>
        </w:rPr>
        <w:t xml:space="preserve">Secretary of the Department of Health and Community Services v JWB and SMB </w:t>
      </w:r>
      <w:r w:rsidRPr="00DC687C">
        <w:rPr>
          <w:rFonts w:cs="Arial"/>
        </w:rPr>
        <w:t>(1992) 175 CLR 218, 8.</w:t>
      </w:r>
    </w:p>
  </w:endnote>
  <w:endnote w:id="356">
    <w:p w14:paraId="090BAF55" w14:textId="77777777" w:rsidR="00F008D2" w:rsidRPr="00DC687C" w:rsidRDefault="00F008D2" w:rsidP="00AA3994">
      <w:pPr>
        <w:pStyle w:val="EndnoteText"/>
      </w:pPr>
      <w:r w:rsidRPr="00DC687C">
        <w:rPr>
          <w:rStyle w:val="EndnoteReference"/>
        </w:rPr>
        <w:endnoteRef/>
      </w:r>
      <w:r w:rsidRPr="00DC687C">
        <w:t xml:space="preserve"> </w:t>
      </w:r>
      <w:r w:rsidRPr="00DC687C">
        <w:rPr>
          <w:rFonts w:cs="Arial"/>
        </w:rPr>
        <w:t xml:space="preserve">Australian Law Reform Commission, </w:t>
      </w:r>
      <w:r w:rsidRPr="00DC687C">
        <w:rPr>
          <w:rFonts w:cs="Arial"/>
          <w:i/>
        </w:rPr>
        <w:t>For Your Information: Australian Privacy Law and Practice.</w:t>
      </w:r>
      <w:r w:rsidRPr="00DC687C">
        <w:rPr>
          <w:rFonts w:cs="Arial"/>
        </w:rPr>
        <w:t xml:space="preserve"> Report No 108 (2008) 26.106.</w:t>
      </w:r>
    </w:p>
  </w:endnote>
  <w:endnote w:id="357">
    <w:p w14:paraId="20521245" w14:textId="77777777" w:rsidR="00F008D2" w:rsidRPr="00DC687C" w:rsidRDefault="00F008D2" w:rsidP="00AA3994">
      <w:pPr>
        <w:pStyle w:val="EndnoteText"/>
      </w:pPr>
      <w:r w:rsidRPr="00DC687C">
        <w:rPr>
          <w:rStyle w:val="EndnoteReference"/>
        </w:rPr>
        <w:endnoteRef/>
      </w:r>
      <w:r w:rsidRPr="00DC687C">
        <w:t xml:space="preserve"> </w:t>
      </w:r>
      <w:r w:rsidRPr="00DC687C">
        <w:rPr>
          <w:rFonts w:cs="Arial"/>
        </w:rPr>
        <w:t xml:space="preserve">Australian Law Reform Commission, </w:t>
      </w:r>
      <w:r w:rsidRPr="00DC687C">
        <w:rPr>
          <w:rFonts w:cs="Arial"/>
          <w:i/>
        </w:rPr>
        <w:t>For Your Information: Australian Privacy Law and Practice</w:t>
      </w:r>
      <w:r w:rsidRPr="00DC687C">
        <w:rPr>
          <w:rFonts w:cs="Arial"/>
        </w:rPr>
        <w:t>. Report No 108 (2008) 26.107.</w:t>
      </w:r>
    </w:p>
  </w:endnote>
  <w:endnote w:id="358">
    <w:p w14:paraId="07939200" w14:textId="77777777" w:rsidR="00F008D2" w:rsidRPr="00DC687C" w:rsidRDefault="00F008D2" w:rsidP="00AA3994">
      <w:pPr>
        <w:pStyle w:val="EndnoteText"/>
      </w:pPr>
      <w:r w:rsidRPr="00DC687C">
        <w:rPr>
          <w:rStyle w:val="EndnoteReference"/>
        </w:rPr>
        <w:endnoteRef/>
      </w:r>
      <w:r w:rsidRPr="00DC687C">
        <w:t xml:space="preserve"> </w:t>
      </w:r>
      <w:r w:rsidRPr="00DC687C">
        <w:rPr>
          <w:rFonts w:cs="Arial"/>
        </w:rPr>
        <w:t xml:space="preserve">Australian Law Reform Commission, </w:t>
      </w:r>
      <w:r w:rsidRPr="00DC687C">
        <w:rPr>
          <w:rFonts w:cs="Arial"/>
          <w:i/>
        </w:rPr>
        <w:t>For Your Information: Australian Privacy Law and Practice</w:t>
      </w:r>
      <w:r w:rsidRPr="00DC687C">
        <w:rPr>
          <w:rFonts w:cs="Arial"/>
        </w:rPr>
        <w:t>.  Report No 108 (2008) 69.38.</w:t>
      </w:r>
    </w:p>
  </w:endnote>
  <w:endnote w:id="359">
    <w:p w14:paraId="4354AE91" w14:textId="77777777" w:rsidR="00F008D2" w:rsidRPr="00DC687C" w:rsidRDefault="00F008D2" w:rsidP="00AA3994">
      <w:pPr>
        <w:pStyle w:val="EndnoteText"/>
      </w:pPr>
      <w:r w:rsidRPr="00DC687C">
        <w:rPr>
          <w:rStyle w:val="EndnoteReference"/>
        </w:rPr>
        <w:endnoteRef/>
      </w:r>
      <w:r w:rsidRPr="00DC687C">
        <w:t xml:space="preserve"> </w:t>
      </w:r>
      <w:r w:rsidRPr="00DC687C">
        <w:rPr>
          <w:rFonts w:cs="Arial"/>
        </w:rPr>
        <w:t xml:space="preserve">Australian Law Reform Commission, </w:t>
      </w:r>
      <w:r w:rsidRPr="00DC687C">
        <w:rPr>
          <w:rFonts w:cs="Arial"/>
          <w:i/>
        </w:rPr>
        <w:t>For Your Information: Australian Privacy Law and Practice.</w:t>
      </w:r>
      <w:r w:rsidRPr="00DC687C">
        <w:rPr>
          <w:rFonts w:cs="Arial"/>
        </w:rPr>
        <w:t xml:space="preserve">  Report No 108 (2008) 68.1, 68.3.</w:t>
      </w:r>
    </w:p>
  </w:endnote>
  <w:endnote w:id="360">
    <w:p w14:paraId="22B9BCBB" w14:textId="77777777" w:rsidR="00F008D2" w:rsidRPr="00DC687C" w:rsidRDefault="00F008D2" w:rsidP="00AA3994">
      <w:pPr>
        <w:pStyle w:val="EndnoteText"/>
      </w:pPr>
      <w:r w:rsidRPr="00DC687C">
        <w:rPr>
          <w:rStyle w:val="EndnoteReference"/>
        </w:rPr>
        <w:endnoteRef/>
      </w:r>
      <w:r w:rsidRPr="00DC687C">
        <w:t xml:space="preserve"> </w:t>
      </w:r>
      <w:r w:rsidRPr="00DC687C">
        <w:rPr>
          <w:rFonts w:cs="Arial"/>
        </w:rPr>
        <w:t xml:space="preserve">Australian Law Reform Commission, </w:t>
      </w:r>
      <w:r w:rsidRPr="00DC687C">
        <w:rPr>
          <w:rFonts w:cs="Arial"/>
          <w:i/>
        </w:rPr>
        <w:t>For Your Information: Australian Privacy Law and Practice.</w:t>
      </w:r>
      <w:r w:rsidRPr="00DC687C">
        <w:rPr>
          <w:rFonts w:cs="Arial"/>
        </w:rPr>
        <w:t xml:space="preserve"> Report No 108 (2008) 68.1, 68.3.</w:t>
      </w:r>
    </w:p>
  </w:endnote>
  <w:endnote w:id="361">
    <w:p w14:paraId="4A8A136C" w14:textId="77777777" w:rsidR="00F008D2" w:rsidRPr="00DC687C" w:rsidRDefault="00F008D2" w:rsidP="00AA3994">
      <w:pPr>
        <w:pStyle w:val="EndnoteText"/>
      </w:pPr>
      <w:r w:rsidRPr="00DC687C">
        <w:rPr>
          <w:rStyle w:val="EndnoteReference"/>
        </w:rPr>
        <w:endnoteRef/>
      </w:r>
      <w:r w:rsidRPr="00DC687C">
        <w:t xml:space="preserve"> </w:t>
      </w:r>
      <w:r w:rsidRPr="00DC687C">
        <w:rPr>
          <w:rStyle w:val="selectable"/>
          <w:rFonts w:cs="Arial"/>
          <w:color w:val="000000"/>
          <w:lang w:val="en"/>
        </w:rPr>
        <w:t>Australian Government, 'Australian Government First Stage Response To Australian Law Reform Commission Report 108 For Your Information' (Australian Privacy Law and Practice, 2009)</w:t>
      </w:r>
      <w:r w:rsidRPr="00DC687C">
        <w:rPr>
          <w:rFonts w:cs="Arial"/>
        </w:rPr>
        <w:t xml:space="preserve">. </w:t>
      </w:r>
    </w:p>
  </w:endnote>
  <w:endnote w:id="362">
    <w:p w14:paraId="2E17E6A2" w14:textId="77777777" w:rsidR="00F008D2" w:rsidRPr="00DC687C" w:rsidRDefault="00F008D2" w:rsidP="00AA3994">
      <w:pPr>
        <w:pStyle w:val="EndnoteText"/>
      </w:pPr>
      <w:r w:rsidRPr="00DC687C">
        <w:rPr>
          <w:rStyle w:val="EndnoteReference"/>
        </w:rPr>
        <w:endnoteRef/>
      </w:r>
      <w:r w:rsidRPr="00DC687C">
        <w:t xml:space="preserve"> Australian Law Reform Commission, </w:t>
      </w:r>
      <w:r w:rsidRPr="00DC687C">
        <w:rPr>
          <w:i/>
        </w:rPr>
        <w:t xml:space="preserve">Serious Invasions of Privacy in the Digital Era, </w:t>
      </w:r>
      <w:r w:rsidRPr="00DC687C">
        <w:t xml:space="preserve">Report No 123 (2014) 74. </w:t>
      </w:r>
    </w:p>
  </w:endnote>
  <w:endnote w:id="363">
    <w:p w14:paraId="58A59863" w14:textId="77777777" w:rsidR="00F008D2" w:rsidRDefault="00F008D2" w:rsidP="00AA2C8B">
      <w:pPr>
        <w:pStyle w:val="EndnoteText"/>
      </w:pPr>
      <w:r>
        <w:rPr>
          <w:rStyle w:val="EndnoteReference"/>
        </w:rPr>
        <w:endnoteRef/>
      </w:r>
      <w:r>
        <w:t xml:space="preserve"> Office of the Australian Information Commissioner, ‘Australian Privacy Principles guidelines’ B.58</w:t>
      </w:r>
    </w:p>
  </w:endnote>
  <w:endnote w:id="364">
    <w:p w14:paraId="65F7AADE" w14:textId="77777777" w:rsidR="00F008D2" w:rsidRDefault="00F008D2" w:rsidP="00AA3994">
      <w:pPr>
        <w:pStyle w:val="EndnoteText"/>
      </w:pPr>
      <w:r>
        <w:rPr>
          <w:rStyle w:val="EndnoteReference"/>
        </w:rPr>
        <w:endnoteRef/>
      </w:r>
      <w:r>
        <w:t xml:space="preserve"> </w:t>
      </w:r>
      <w:r w:rsidRPr="00615ED1">
        <w:t>Office of the Australian Information Commissioner, ‘Survey of child-targeted websites and apps reveals progress on privacy protection, but parental involvement still the key’ (Privacy media release, 03 September 2015) 1 &lt;</w:t>
      </w:r>
      <w:hyperlink r:id="rId111" w:history="1">
        <w:r w:rsidRPr="00615ED1">
          <w:rPr>
            <w:rStyle w:val="Hyperlink"/>
            <w:color w:val="auto"/>
          </w:rPr>
          <w:t>http://www.oaic.gov.au/news-and-events/media-releases/privacy-media-releases/survey-of-child-targeted-websites-and-apps-reveals-progress-on-privacy-protection-but-parental-involvement-still-the-key</w:t>
        </w:r>
      </w:hyperlink>
      <w:r>
        <w:rPr>
          <w:rStyle w:val="Hyperlink"/>
          <w:color w:val="auto"/>
        </w:rPr>
        <w:t>&gt;.</w:t>
      </w:r>
    </w:p>
  </w:endnote>
  <w:endnote w:id="365">
    <w:p w14:paraId="6962F491" w14:textId="77777777" w:rsidR="00F008D2" w:rsidRDefault="00F008D2" w:rsidP="00AA3994">
      <w:pPr>
        <w:pStyle w:val="EndnoteText"/>
      </w:pPr>
      <w:r>
        <w:rPr>
          <w:rStyle w:val="EndnoteReference"/>
        </w:rPr>
        <w:endnoteRef/>
      </w:r>
      <w:r>
        <w:t xml:space="preserve"> </w:t>
      </w:r>
      <w:r w:rsidRPr="00615ED1">
        <w:t>Office of the Australian Information Commissioner, ‘Survey of child-targeted websites and apps reveals progress on privacy protection, but parental involvement still the key’ (Privacy media release, 03 September 2015) 1 &lt;</w:t>
      </w:r>
      <w:hyperlink r:id="rId112" w:history="1">
        <w:r w:rsidRPr="00615ED1">
          <w:rPr>
            <w:rStyle w:val="Hyperlink"/>
            <w:color w:val="auto"/>
          </w:rPr>
          <w:t>http://www.oaic.gov.au/news-and-events/media-releases/privacy-media-releases/survey-of-child-targeted-websites-and-apps-reveals-progress-on-privacy-protection-but-parental-involvement-still-the-key</w:t>
        </w:r>
      </w:hyperlink>
      <w:r>
        <w:rPr>
          <w:rStyle w:val="Hyperlink"/>
          <w:color w:val="auto"/>
        </w:rPr>
        <w:t>&gt;.</w:t>
      </w:r>
    </w:p>
  </w:endnote>
  <w:endnote w:id="366">
    <w:p w14:paraId="144D4A6D" w14:textId="77777777" w:rsidR="00F008D2" w:rsidRDefault="00F008D2" w:rsidP="00AA3994">
      <w:pPr>
        <w:pStyle w:val="EndnoteText"/>
      </w:pPr>
      <w:r>
        <w:rPr>
          <w:rStyle w:val="EndnoteReference"/>
        </w:rPr>
        <w:endnoteRef/>
      </w:r>
      <w:r>
        <w:t xml:space="preserve"> </w:t>
      </w:r>
      <w:r w:rsidRPr="00615ED1">
        <w:t>Office of the Australian Information Commissioner, ‘Survey of child-targeted websites and apps reveals progress on privacy protection, but parental involvement still the key’ (Privacy media release, 03 September 2015) 1 &lt;</w:t>
      </w:r>
      <w:hyperlink r:id="rId113" w:history="1">
        <w:r w:rsidRPr="00615ED1">
          <w:rPr>
            <w:rStyle w:val="Hyperlink"/>
            <w:color w:val="auto"/>
          </w:rPr>
          <w:t>http://www.oaic.gov.au/news-and-events/media-releases/privacy-media-releases/survey-of-child-targeted-websites-and-apps-reveals-progress-on-privacy-protection-but-parental-involvement-still-the-key</w:t>
        </w:r>
      </w:hyperlink>
      <w:r>
        <w:rPr>
          <w:rStyle w:val="Hyperlink"/>
          <w:color w:val="auto"/>
        </w:rPr>
        <w:t>&gt;.</w:t>
      </w:r>
    </w:p>
  </w:endnote>
  <w:endnote w:id="367">
    <w:p w14:paraId="742CF2B7" w14:textId="77777777" w:rsidR="00F008D2" w:rsidRDefault="00F008D2" w:rsidP="00AA3994">
      <w:pPr>
        <w:pStyle w:val="EndnoteText"/>
      </w:pPr>
      <w:r>
        <w:rPr>
          <w:rStyle w:val="EndnoteReference"/>
        </w:rPr>
        <w:endnoteRef/>
      </w:r>
      <w:r>
        <w:t xml:space="preserve"> </w:t>
      </w:r>
      <w:r w:rsidRPr="00615ED1">
        <w:t>Office of the Australian Information Commissioner, ‘Survey of child-targeted websites and apps reveals progress on privacy protection, but parental involvement still the key’ (Privacy media release, 03 September 2015) 1 &lt;</w:t>
      </w:r>
      <w:hyperlink r:id="rId114" w:history="1">
        <w:r w:rsidRPr="00615ED1">
          <w:rPr>
            <w:rStyle w:val="Hyperlink"/>
            <w:color w:val="auto"/>
          </w:rPr>
          <w:t>http://www.oaic.gov.au/news-and-events/media-releases/privacy-media-releases/survey-of-child-targeted-websites-and-apps-reveals-progress-on-privacy-protection-but-parental-involvement-still-the-key</w:t>
        </w:r>
      </w:hyperlink>
      <w:r>
        <w:rPr>
          <w:rStyle w:val="Hyperlink"/>
          <w:color w:val="auto"/>
        </w:rPr>
        <w:t>&gt;.</w:t>
      </w:r>
    </w:p>
  </w:endnote>
  <w:endnote w:id="368">
    <w:p w14:paraId="7B683C61" w14:textId="77777777" w:rsidR="00F008D2" w:rsidRDefault="00F008D2" w:rsidP="00AA3994">
      <w:pPr>
        <w:pStyle w:val="EndnoteText"/>
      </w:pPr>
      <w:r>
        <w:rPr>
          <w:rStyle w:val="EndnoteReference"/>
        </w:rPr>
        <w:endnoteRef/>
      </w:r>
      <w:r>
        <w:t xml:space="preserve"> </w:t>
      </w:r>
      <w:r w:rsidRPr="00615ED1">
        <w:t>Office of the Australian Information Commissioner, ‘Survey of child-targeted websites and apps reveals progress on privacy protection, but parental involvement still the key’ (Privacy media release, 03 September 2015) 1 &lt;</w:t>
      </w:r>
      <w:hyperlink r:id="rId115" w:history="1">
        <w:r w:rsidRPr="00615ED1">
          <w:rPr>
            <w:rStyle w:val="Hyperlink"/>
            <w:color w:val="auto"/>
          </w:rPr>
          <w:t>http://www.oaic.gov.au/news-and-events/media-releases/privacy-media-releases/survey-of-child-targeted-websites-and-apps-reveals-progress-on-privacy-protection-but-parental-involvement-still-the-key</w:t>
        </w:r>
      </w:hyperlink>
      <w:r>
        <w:rPr>
          <w:rStyle w:val="Hyperlink"/>
          <w:color w:val="auto"/>
        </w:rPr>
        <w:t>&gt;.</w:t>
      </w:r>
    </w:p>
  </w:endnote>
  <w:endnote w:id="369">
    <w:p w14:paraId="68E156A3" w14:textId="77777777" w:rsidR="00F008D2" w:rsidRDefault="00F008D2" w:rsidP="00AA3994">
      <w:pPr>
        <w:pStyle w:val="EndnoteText"/>
      </w:pPr>
      <w:r>
        <w:rPr>
          <w:rStyle w:val="EndnoteReference"/>
        </w:rPr>
        <w:endnoteRef/>
      </w:r>
      <w:r>
        <w:t xml:space="preserve"> </w:t>
      </w:r>
      <w:r w:rsidRPr="00615ED1">
        <w:t>Office of the Australian Information Commissioner, ‘Survey of child-targeted websites and apps reveals progress on privacy protection, but parental involvement still the key’ (Privacy media release, 03 September 2015) 1 &lt;</w:t>
      </w:r>
      <w:hyperlink r:id="rId116" w:history="1">
        <w:r w:rsidRPr="00615ED1">
          <w:rPr>
            <w:rStyle w:val="Hyperlink"/>
            <w:color w:val="auto"/>
          </w:rPr>
          <w:t>http://www.oaic.gov.au/news-and-events/media-releases/privacy-media-releases/survey-of-child-targeted-websites-and-apps-reveals-progress-on-privacy-protection-but-parental-involvement-still-the-key</w:t>
        </w:r>
      </w:hyperlink>
      <w:r>
        <w:rPr>
          <w:rStyle w:val="Hyperlink"/>
          <w:color w:val="auto"/>
        </w:rPr>
        <w:t>&gt;.</w:t>
      </w:r>
    </w:p>
  </w:endnote>
  <w:endnote w:id="370">
    <w:p w14:paraId="27C59FBB" w14:textId="77777777" w:rsidR="00F008D2" w:rsidRDefault="00F008D2" w:rsidP="00AA3994">
      <w:pPr>
        <w:pStyle w:val="EndnoteText"/>
      </w:pPr>
      <w:r>
        <w:rPr>
          <w:rStyle w:val="EndnoteReference"/>
        </w:rPr>
        <w:endnoteRef/>
      </w:r>
      <w:r>
        <w:t xml:space="preserve"> </w:t>
      </w:r>
      <w:r w:rsidRPr="00615ED1">
        <w:t>Office of the Australian Information Commissioner, ‘Survey of child-targeted websites and apps reveals progress on privacy protection, but parental involvement still the key’ (Privacy media release, 03 September 2015) 1 &lt;</w:t>
      </w:r>
      <w:hyperlink r:id="rId117" w:history="1">
        <w:r w:rsidRPr="00615ED1">
          <w:rPr>
            <w:rStyle w:val="Hyperlink"/>
            <w:color w:val="auto"/>
          </w:rPr>
          <w:t>http://www.oaic.gov.au/news-and-events/media-releases/privacy-media-releases/survey-of-child-targeted-websites-and-apps-reveals-progress-on-privacy-protection-but-parental-involvement-still-the-key</w:t>
        </w:r>
      </w:hyperlink>
      <w:r>
        <w:rPr>
          <w:rStyle w:val="Hyperlink"/>
          <w:color w:val="auto"/>
        </w:rPr>
        <w:t>&gt;.</w:t>
      </w:r>
    </w:p>
  </w:endnote>
  <w:endnote w:id="371">
    <w:p w14:paraId="638D8DB7" w14:textId="77777777" w:rsidR="00F008D2" w:rsidRDefault="00F008D2" w:rsidP="00AA3994">
      <w:pPr>
        <w:pStyle w:val="EndnoteText"/>
      </w:pPr>
      <w:r>
        <w:rPr>
          <w:rStyle w:val="EndnoteReference"/>
        </w:rPr>
        <w:endnoteRef/>
      </w:r>
      <w:r>
        <w:t xml:space="preserve"> </w:t>
      </w:r>
      <w:r w:rsidRPr="00CC7D46">
        <w:t>I would like to sincerely thank King &amp; Wood Mallesons for its support in the preparation of this section.</w:t>
      </w:r>
    </w:p>
  </w:endnote>
  <w:endnote w:id="372">
    <w:p w14:paraId="48829BF1" w14:textId="77777777" w:rsidR="00F008D2" w:rsidRPr="00DC687C" w:rsidRDefault="00F008D2" w:rsidP="00AA3994">
      <w:pPr>
        <w:pStyle w:val="EndnoteText"/>
      </w:pPr>
      <w:r w:rsidRPr="00DC687C">
        <w:rPr>
          <w:rStyle w:val="EndnoteReference"/>
        </w:rPr>
        <w:endnoteRef/>
      </w:r>
      <w:r w:rsidRPr="00DC687C">
        <w:t xml:space="preserve"> </w:t>
      </w:r>
      <w:r w:rsidRPr="00DC687C">
        <w:rPr>
          <w:rFonts w:cs="Arial"/>
        </w:rPr>
        <w:t xml:space="preserve">Some of the cases that constitute the common law in this context include </w:t>
      </w:r>
      <w:r w:rsidRPr="00DC687C">
        <w:rPr>
          <w:rFonts w:cs="Arial"/>
          <w:i/>
        </w:rPr>
        <w:t xml:space="preserve">Zouch d Abbot and Hallet v Parsons </w:t>
      </w:r>
      <w:r w:rsidRPr="00DC687C">
        <w:rPr>
          <w:rFonts w:cs="Arial"/>
        </w:rPr>
        <w:t xml:space="preserve">9 ER 1103; </w:t>
      </w:r>
      <w:r w:rsidRPr="00DC687C">
        <w:rPr>
          <w:rFonts w:cs="Arial"/>
          <w:i/>
        </w:rPr>
        <w:t>Nash v Inman</w:t>
      </w:r>
      <w:r w:rsidRPr="00DC687C">
        <w:rPr>
          <w:rFonts w:cs="Arial"/>
        </w:rPr>
        <w:t xml:space="preserve"> [1908] 2 KB 1.</w:t>
      </w:r>
    </w:p>
  </w:endnote>
  <w:endnote w:id="373">
    <w:p w14:paraId="55A54D0F" w14:textId="77777777" w:rsidR="00F008D2" w:rsidRPr="00DC687C" w:rsidRDefault="00F008D2" w:rsidP="00AA3994">
      <w:pPr>
        <w:pStyle w:val="EndnoteText"/>
        <w:rPr>
          <w:rFonts w:cs="Arial"/>
        </w:rPr>
      </w:pPr>
      <w:r w:rsidRPr="00DC687C">
        <w:rPr>
          <w:rStyle w:val="EndnoteReference"/>
        </w:rPr>
        <w:endnoteRef/>
      </w:r>
      <w:r w:rsidRPr="00DC687C">
        <w:t xml:space="preserve"> </w:t>
      </w:r>
      <w:r w:rsidRPr="00DC687C">
        <w:rPr>
          <w:rFonts w:cs="Arial"/>
        </w:rPr>
        <w:t xml:space="preserve">See </w:t>
      </w:r>
      <w:r w:rsidRPr="00DC687C">
        <w:rPr>
          <w:rFonts w:cs="Arial"/>
          <w:i/>
          <w:iCs/>
        </w:rPr>
        <w:t>Minors (Property and Contracts) Act 1970</w:t>
      </w:r>
      <w:r w:rsidRPr="00DC687C">
        <w:rPr>
          <w:rFonts w:cs="Arial"/>
        </w:rPr>
        <w:t xml:space="preserve"> (NSW) s 9; </w:t>
      </w:r>
      <w:r w:rsidRPr="00DC687C">
        <w:rPr>
          <w:rFonts w:cs="Arial"/>
          <w:i/>
          <w:iCs/>
        </w:rPr>
        <w:t>Age of Majority Act 1977</w:t>
      </w:r>
      <w:r w:rsidRPr="00DC687C">
        <w:rPr>
          <w:rFonts w:cs="Arial"/>
        </w:rPr>
        <w:t xml:space="preserve"> (Vic) s 3; </w:t>
      </w:r>
      <w:r w:rsidRPr="00DC687C">
        <w:rPr>
          <w:rFonts w:cs="Arial"/>
          <w:i/>
          <w:iCs/>
        </w:rPr>
        <w:t>Law Reform Act 1995</w:t>
      </w:r>
      <w:r w:rsidRPr="00DC687C">
        <w:rPr>
          <w:rFonts w:cs="Arial"/>
        </w:rPr>
        <w:t xml:space="preserve"> (Qld) s 17; </w:t>
      </w:r>
      <w:r w:rsidRPr="00DC687C">
        <w:rPr>
          <w:rFonts w:cs="Arial"/>
          <w:i/>
          <w:iCs/>
        </w:rPr>
        <w:t>Age of Majority Act</w:t>
      </w:r>
      <w:r w:rsidRPr="00DC687C">
        <w:rPr>
          <w:rFonts w:cs="Arial"/>
        </w:rPr>
        <w:t xml:space="preserve"> (NT) s 4; </w:t>
      </w:r>
      <w:r w:rsidRPr="00DC687C">
        <w:rPr>
          <w:rFonts w:cs="Arial"/>
          <w:i/>
          <w:iCs/>
        </w:rPr>
        <w:t>Age of Majority Act 1972</w:t>
      </w:r>
      <w:r w:rsidRPr="00DC687C">
        <w:rPr>
          <w:rFonts w:cs="Arial"/>
        </w:rPr>
        <w:t xml:space="preserve"> (WA) s.5; </w:t>
      </w:r>
      <w:r w:rsidRPr="00DC687C">
        <w:rPr>
          <w:rFonts w:cs="Arial"/>
          <w:i/>
          <w:iCs/>
        </w:rPr>
        <w:t>Age of Majority (Reduction) Act 1971</w:t>
      </w:r>
      <w:r w:rsidRPr="00DC687C">
        <w:rPr>
          <w:rFonts w:cs="Arial"/>
        </w:rPr>
        <w:t xml:space="preserve"> (SA) s 3; </w:t>
      </w:r>
      <w:r w:rsidRPr="00DC687C">
        <w:rPr>
          <w:rFonts w:cs="Arial"/>
          <w:i/>
          <w:iCs/>
        </w:rPr>
        <w:t>Age of Majority Act 1973</w:t>
      </w:r>
      <w:r w:rsidRPr="00DC687C">
        <w:rPr>
          <w:rFonts w:cs="Arial"/>
        </w:rPr>
        <w:t xml:space="preserve"> (Tas) s 3; </w:t>
      </w:r>
      <w:r w:rsidRPr="00DC687C">
        <w:rPr>
          <w:rFonts w:cs="Arial"/>
          <w:i/>
          <w:iCs/>
        </w:rPr>
        <w:t>Age of Majority Act 1974</w:t>
      </w:r>
      <w:r w:rsidRPr="00DC687C">
        <w:rPr>
          <w:rFonts w:cs="Arial"/>
        </w:rPr>
        <w:t xml:space="preserve"> (ACT) s 5.</w:t>
      </w:r>
    </w:p>
  </w:endnote>
  <w:endnote w:id="374">
    <w:p w14:paraId="418A107D" w14:textId="77777777" w:rsidR="00F008D2" w:rsidRPr="00DC687C" w:rsidRDefault="00F008D2" w:rsidP="00AA3994">
      <w:pPr>
        <w:pStyle w:val="EndnoteText"/>
        <w:rPr>
          <w:rFonts w:cs="Arial"/>
        </w:rPr>
      </w:pPr>
      <w:r w:rsidRPr="00DC687C">
        <w:rPr>
          <w:rStyle w:val="EndnoteReference"/>
        </w:rPr>
        <w:endnoteRef/>
      </w:r>
      <w:r w:rsidRPr="00DC687C">
        <w:t xml:space="preserve"> </w:t>
      </w:r>
      <w:r w:rsidRPr="00DC687C">
        <w:rPr>
          <w:rFonts w:cs="Arial"/>
        </w:rPr>
        <w:t xml:space="preserve">Law that has been developed on the basis of the cumulative decisions made by courts (whether these decisions are binding depends on whether a lower or higher/superior court has made the decision). </w:t>
      </w:r>
      <w:r w:rsidRPr="00DC687C">
        <w:rPr>
          <w:rStyle w:val="selectable"/>
          <w:rFonts w:cs="Arial"/>
          <w:color w:val="000000"/>
          <w:lang w:val="en"/>
        </w:rPr>
        <w:t xml:space="preserve">R. A Hughes, G. W. G Leane and Andrew Clarke, </w:t>
      </w:r>
      <w:r w:rsidRPr="00DC687C">
        <w:rPr>
          <w:rStyle w:val="selectable"/>
          <w:rFonts w:cs="Arial"/>
          <w:i/>
          <w:iCs/>
          <w:color w:val="000000"/>
          <w:lang w:val="en"/>
        </w:rPr>
        <w:t>Australian Legal Institutions</w:t>
      </w:r>
      <w:r w:rsidRPr="00DC687C">
        <w:rPr>
          <w:rStyle w:val="selectable"/>
          <w:rFonts w:cs="Arial"/>
          <w:color w:val="000000"/>
          <w:lang w:val="en"/>
        </w:rPr>
        <w:t xml:space="preserve"> (Lawbook Co., 2003) 50. </w:t>
      </w:r>
    </w:p>
  </w:endnote>
  <w:endnote w:id="375">
    <w:p w14:paraId="68A775A8" w14:textId="77777777" w:rsidR="00F008D2" w:rsidRPr="00DC687C" w:rsidRDefault="00F008D2" w:rsidP="00AA3994">
      <w:pPr>
        <w:pStyle w:val="EndnoteText"/>
      </w:pPr>
      <w:r w:rsidRPr="00DC687C">
        <w:rPr>
          <w:rStyle w:val="EndnoteReference"/>
        </w:rPr>
        <w:endnoteRef/>
      </w:r>
      <w:r w:rsidRPr="00DC687C">
        <w:t xml:space="preserve"> </w:t>
      </w:r>
      <w:r w:rsidRPr="00DC687C">
        <w:rPr>
          <w:rFonts w:cs="Arial"/>
          <w:i/>
        </w:rPr>
        <w:t xml:space="preserve">Zouch d Abbot and Hallet v Parsons </w:t>
      </w:r>
      <w:r w:rsidRPr="00DC687C">
        <w:rPr>
          <w:rFonts w:cs="Arial"/>
        </w:rPr>
        <w:t>(1765) 97 ER 1103.</w:t>
      </w:r>
    </w:p>
  </w:endnote>
  <w:endnote w:id="376">
    <w:p w14:paraId="7B599D99" w14:textId="77777777" w:rsidR="00F008D2" w:rsidRPr="00DC687C" w:rsidRDefault="00F008D2" w:rsidP="00AA3994">
      <w:pPr>
        <w:pStyle w:val="EndnoteText"/>
      </w:pPr>
      <w:r w:rsidRPr="00DC687C">
        <w:rPr>
          <w:rStyle w:val="EndnoteReference"/>
        </w:rPr>
        <w:endnoteRef/>
      </w:r>
      <w:r w:rsidRPr="00DC687C">
        <w:t xml:space="preserve"> </w:t>
      </w:r>
      <w:r w:rsidRPr="00DC687C">
        <w:rPr>
          <w:rFonts w:cs="Arial"/>
          <w:i/>
        </w:rPr>
        <w:t>Nash v Inman</w:t>
      </w:r>
      <w:r w:rsidRPr="00DC687C">
        <w:rPr>
          <w:rFonts w:cs="Arial"/>
        </w:rPr>
        <w:t xml:space="preserve"> [1908] 2 KB 1.</w:t>
      </w:r>
    </w:p>
  </w:endnote>
  <w:endnote w:id="377">
    <w:p w14:paraId="37FFE22E" w14:textId="77777777" w:rsidR="00F008D2" w:rsidRPr="00DC687C" w:rsidRDefault="00F008D2" w:rsidP="00AA3994">
      <w:pPr>
        <w:pStyle w:val="EndnoteText"/>
        <w:rPr>
          <w:rFonts w:cs="Arial"/>
        </w:rPr>
      </w:pPr>
      <w:r w:rsidRPr="00DC687C">
        <w:rPr>
          <w:rStyle w:val="EndnoteReference"/>
        </w:rPr>
        <w:endnoteRef/>
      </w:r>
      <w:r w:rsidRPr="00DC687C">
        <w:t xml:space="preserve"> </w:t>
      </w:r>
      <w:r w:rsidRPr="00DC687C">
        <w:rPr>
          <w:rFonts w:cs="Arial"/>
        </w:rPr>
        <w:t xml:space="preserve">See </w:t>
      </w:r>
      <w:r w:rsidRPr="00DC687C">
        <w:rPr>
          <w:rFonts w:cs="Arial"/>
          <w:i/>
        </w:rPr>
        <w:t>Goods Act 1958</w:t>
      </w:r>
      <w:r w:rsidRPr="00DC687C">
        <w:rPr>
          <w:rFonts w:cs="Arial"/>
        </w:rPr>
        <w:t xml:space="preserve"> (Vic); </w:t>
      </w:r>
      <w:r w:rsidRPr="00DC687C">
        <w:rPr>
          <w:rFonts w:cs="Arial"/>
          <w:i/>
        </w:rPr>
        <w:t>Sale of Goods Act 1896</w:t>
      </w:r>
      <w:r w:rsidRPr="00DC687C">
        <w:rPr>
          <w:rFonts w:cs="Arial"/>
        </w:rPr>
        <w:t xml:space="preserve"> (Qld); </w:t>
      </w:r>
      <w:r w:rsidRPr="00DC687C">
        <w:rPr>
          <w:rFonts w:cs="Arial"/>
          <w:i/>
        </w:rPr>
        <w:t>Sale of Goods Act 1895</w:t>
      </w:r>
      <w:r w:rsidRPr="00DC687C">
        <w:rPr>
          <w:rFonts w:cs="Arial"/>
        </w:rPr>
        <w:t xml:space="preserve"> (SA); </w:t>
      </w:r>
      <w:r w:rsidRPr="00DC687C">
        <w:rPr>
          <w:rFonts w:cs="Arial"/>
          <w:i/>
        </w:rPr>
        <w:t>Sale of Goods Act 1896</w:t>
      </w:r>
      <w:r w:rsidRPr="00DC687C">
        <w:rPr>
          <w:rFonts w:cs="Arial"/>
        </w:rPr>
        <w:t xml:space="preserve"> (Tas); </w:t>
      </w:r>
      <w:r w:rsidRPr="00DC687C">
        <w:rPr>
          <w:rFonts w:cs="Arial"/>
          <w:i/>
        </w:rPr>
        <w:t>Sale of Goods Act 1895</w:t>
      </w:r>
      <w:r w:rsidRPr="00DC687C">
        <w:rPr>
          <w:rFonts w:cs="Arial"/>
        </w:rPr>
        <w:t xml:space="preserve"> (WA); </w:t>
      </w:r>
      <w:r w:rsidRPr="00DC687C">
        <w:rPr>
          <w:rFonts w:cs="Arial"/>
          <w:i/>
        </w:rPr>
        <w:t>Sale of Goods Act 1954</w:t>
      </w:r>
      <w:r w:rsidRPr="00DC687C">
        <w:rPr>
          <w:rFonts w:cs="Arial"/>
        </w:rPr>
        <w:t xml:space="preserve"> (ACT); and </w:t>
      </w:r>
      <w:r w:rsidRPr="00DC687C">
        <w:rPr>
          <w:rFonts w:cs="Arial"/>
          <w:i/>
        </w:rPr>
        <w:t>Sale of Goods Act 1972</w:t>
      </w:r>
      <w:r w:rsidRPr="00DC687C">
        <w:rPr>
          <w:rFonts w:cs="Arial"/>
        </w:rPr>
        <w:t xml:space="preserve"> (WA).</w:t>
      </w:r>
    </w:p>
  </w:endnote>
  <w:endnote w:id="378">
    <w:p w14:paraId="6E94D241" w14:textId="77777777" w:rsidR="00F008D2" w:rsidRPr="00DC687C" w:rsidRDefault="00F008D2" w:rsidP="00AA3994">
      <w:pPr>
        <w:pStyle w:val="EndnoteText"/>
      </w:pPr>
      <w:r w:rsidRPr="00DC687C">
        <w:rPr>
          <w:rStyle w:val="EndnoteReference"/>
        </w:rPr>
        <w:endnoteRef/>
      </w:r>
      <w:r w:rsidRPr="00DC687C">
        <w:t xml:space="preserve"> </w:t>
      </w:r>
      <w:r w:rsidRPr="00DC687C">
        <w:rPr>
          <w:rFonts w:cs="Arial"/>
          <w:i/>
        </w:rPr>
        <w:t>Minors (Property and Contracts) Act 1970</w:t>
      </w:r>
      <w:r w:rsidRPr="00DC687C">
        <w:rPr>
          <w:rFonts w:cs="Arial"/>
        </w:rPr>
        <w:t xml:space="preserve"> (NSW) s 17, 19.</w:t>
      </w:r>
    </w:p>
  </w:endnote>
  <w:endnote w:id="379">
    <w:p w14:paraId="5E52F5C2" w14:textId="77777777" w:rsidR="00F008D2" w:rsidRPr="00DC687C" w:rsidRDefault="00F008D2" w:rsidP="00AA3994">
      <w:pPr>
        <w:pStyle w:val="EndnoteText"/>
        <w:rPr>
          <w:rFonts w:cs="Arial"/>
        </w:rPr>
      </w:pPr>
      <w:r w:rsidRPr="00DC687C">
        <w:rPr>
          <w:rStyle w:val="EndnoteReference"/>
        </w:rPr>
        <w:endnoteRef/>
      </w:r>
      <w:r w:rsidRPr="00DC687C">
        <w:t xml:space="preserve"> </w:t>
      </w:r>
      <w:r>
        <w:t xml:space="preserve">The </w:t>
      </w:r>
      <w:r w:rsidRPr="00377454">
        <w:rPr>
          <w:i/>
        </w:rPr>
        <w:t>Australian Consumer Law</w:t>
      </w:r>
      <w:r>
        <w:t xml:space="preserve"> is contained in Schedule 2 of the </w:t>
      </w:r>
      <w:r w:rsidRPr="00DC687C">
        <w:rPr>
          <w:rFonts w:cs="Arial"/>
          <w:i/>
        </w:rPr>
        <w:t>Competition and Consumer Act 2010</w:t>
      </w:r>
      <w:r w:rsidRPr="00DC687C">
        <w:rPr>
          <w:rFonts w:cs="Arial"/>
        </w:rPr>
        <w:t xml:space="preserve"> (Cth).</w:t>
      </w:r>
      <w:r>
        <w:rPr>
          <w:rFonts w:cs="Arial"/>
        </w:rPr>
        <w:t xml:space="preserve">  Legislation in each State and Territory applies the </w:t>
      </w:r>
      <w:r>
        <w:rPr>
          <w:rFonts w:cs="Arial"/>
          <w:i/>
        </w:rPr>
        <w:t>Competition and Consumer Act</w:t>
      </w:r>
      <w:r>
        <w:rPr>
          <w:rFonts w:cs="Arial"/>
        </w:rPr>
        <w:t xml:space="preserve"> as a law of that State or Territory – see </w:t>
      </w:r>
      <w:r>
        <w:rPr>
          <w:rFonts w:cs="Arial"/>
          <w:i/>
        </w:rPr>
        <w:t xml:space="preserve">Fair Trading Act 1987 </w:t>
      </w:r>
      <w:r>
        <w:rPr>
          <w:rFonts w:cs="Arial"/>
        </w:rPr>
        <w:t xml:space="preserve">(NSW), </w:t>
      </w:r>
      <w:r>
        <w:rPr>
          <w:rFonts w:cs="Arial"/>
          <w:i/>
        </w:rPr>
        <w:t>Fair Trading Act 1999</w:t>
      </w:r>
      <w:r>
        <w:rPr>
          <w:rFonts w:cs="Arial"/>
        </w:rPr>
        <w:t xml:space="preserve"> (Vic), </w:t>
      </w:r>
      <w:r>
        <w:rPr>
          <w:rFonts w:cs="Arial"/>
          <w:i/>
        </w:rPr>
        <w:t>Fair Trading (Australian Consumer Law) Act 1992</w:t>
      </w:r>
      <w:r>
        <w:rPr>
          <w:rFonts w:cs="Arial"/>
        </w:rPr>
        <w:t xml:space="preserve"> (ACT), </w:t>
      </w:r>
      <w:r>
        <w:rPr>
          <w:rFonts w:cs="Arial"/>
          <w:i/>
        </w:rPr>
        <w:t>Fair Trading Act 1989</w:t>
      </w:r>
      <w:r>
        <w:rPr>
          <w:rFonts w:cs="Arial"/>
        </w:rPr>
        <w:t xml:space="preserve"> (Qld), </w:t>
      </w:r>
      <w:r>
        <w:rPr>
          <w:rFonts w:cs="Arial"/>
          <w:i/>
        </w:rPr>
        <w:t>Fair Trading Act 1987</w:t>
      </w:r>
      <w:r>
        <w:rPr>
          <w:rFonts w:cs="Arial"/>
        </w:rPr>
        <w:t xml:space="preserve"> (SA), </w:t>
      </w:r>
      <w:r>
        <w:rPr>
          <w:rFonts w:cs="Arial"/>
          <w:i/>
        </w:rPr>
        <w:t>Fair Trading Act 2010</w:t>
      </w:r>
      <w:r>
        <w:rPr>
          <w:rFonts w:cs="Arial"/>
        </w:rPr>
        <w:t xml:space="preserve"> (WA), </w:t>
      </w:r>
      <w:r>
        <w:rPr>
          <w:rFonts w:cs="Arial"/>
          <w:i/>
        </w:rPr>
        <w:t>Consumer Affairs and Fair Trading Act</w:t>
      </w:r>
      <w:r>
        <w:rPr>
          <w:rFonts w:cs="Arial"/>
        </w:rPr>
        <w:t xml:space="preserve"> (NT), </w:t>
      </w:r>
      <w:r>
        <w:rPr>
          <w:rFonts w:cs="Arial"/>
          <w:i/>
        </w:rPr>
        <w:t xml:space="preserve">Australian Consumer Law (Tasmania) Act 2010 </w:t>
      </w:r>
      <w:r>
        <w:rPr>
          <w:rFonts w:cs="Arial"/>
        </w:rPr>
        <w:t>(Tas).</w:t>
      </w:r>
    </w:p>
  </w:endnote>
  <w:endnote w:id="380">
    <w:p w14:paraId="2FAAEDEB" w14:textId="77777777" w:rsidR="00F008D2" w:rsidRDefault="00F008D2" w:rsidP="00AA3994">
      <w:pPr>
        <w:pStyle w:val="EndnoteText"/>
      </w:pPr>
      <w:r w:rsidRPr="00DC687C">
        <w:rPr>
          <w:rStyle w:val="EndnoteReference"/>
        </w:rPr>
        <w:endnoteRef/>
      </w:r>
      <w:r w:rsidRPr="00DC687C">
        <w:t xml:space="preserve"> </w:t>
      </w:r>
      <w:r>
        <w:rPr>
          <w:rFonts w:cs="Arial"/>
          <w:i/>
        </w:rPr>
        <w:t>Australian Consumer Law</w:t>
      </w:r>
      <w:r w:rsidRPr="00DC687C">
        <w:rPr>
          <w:rFonts w:cs="Arial"/>
        </w:rPr>
        <w:t xml:space="preserve"> </w:t>
      </w:r>
      <w:r w:rsidRPr="00DC687C">
        <w:t>s</w:t>
      </w:r>
      <w:r>
        <w:t xml:space="preserve">s 18, </w:t>
      </w:r>
      <w:r w:rsidRPr="00DC687C">
        <w:t>2</w:t>
      </w:r>
      <w:r>
        <w:t>3</w:t>
      </w:r>
      <w:r w:rsidRPr="00DC687C">
        <w:t>.</w:t>
      </w:r>
    </w:p>
  </w:endnote>
  <w:endnote w:id="381">
    <w:p w14:paraId="4B760D10" w14:textId="77777777" w:rsidR="00F008D2" w:rsidRDefault="00F008D2" w:rsidP="00AA3994">
      <w:pPr>
        <w:pStyle w:val="EndnoteText"/>
      </w:pPr>
      <w:r>
        <w:rPr>
          <w:rStyle w:val="EndnoteReference"/>
        </w:rPr>
        <w:endnoteRef/>
      </w:r>
      <w:r>
        <w:t xml:space="preserve"> </w:t>
      </w:r>
      <w:r>
        <w:rPr>
          <w:rFonts w:cs="Arial"/>
          <w:bCs/>
          <w:i/>
        </w:rPr>
        <w:t>Australian Consumer Law</w:t>
      </w:r>
      <w:r w:rsidRPr="00A45DF8">
        <w:rPr>
          <w:rFonts w:cs="Arial"/>
          <w:bCs/>
        </w:rPr>
        <w:t xml:space="preserve"> s 24.</w:t>
      </w:r>
    </w:p>
  </w:endnote>
  <w:endnote w:id="382">
    <w:p w14:paraId="0ADFFD9A" w14:textId="77777777" w:rsidR="00F008D2" w:rsidRPr="00512E49" w:rsidRDefault="00F008D2" w:rsidP="00AA3994">
      <w:pPr>
        <w:pStyle w:val="FootnoteText"/>
        <w:rPr>
          <w:rFonts w:cs="Arial"/>
        </w:rPr>
      </w:pPr>
      <w:r>
        <w:rPr>
          <w:rStyle w:val="EndnoteReference"/>
        </w:rPr>
        <w:endnoteRef/>
      </w:r>
      <w:r>
        <w:t xml:space="preserve"> </w:t>
      </w:r>
      <w:r w:rsidRPr="00A45DF8">
        <w:rPr>
          <w:rFonts w:cs="Arial"/>
          <w:i/>
        </w:rPr>
        <w:t>Parkdale Custom Build Furniture Pty Ltd v Puxu Pty Ltd</w:t>
      </w:r>
      <w:r w:rsidRPr="00A45DF8">
        <w:rPr>
          <w:rFonts w:cs="Arial"/>
        </w:rPr>
        <w:t xml:space="preserve"> </w:t>
      </w:r>
      <w:r>
        <w:rPr>
          <w:rFonts w:cs="Arial"/>
        </w:rPr>
        <w:t>(1982) 149 CLR 191</w:t>
      </w:r>
      <w:r w:rsidRPr="00A45DF8">
        <w:rPr>
          <w:rFonts w:cs="Arial"/>
        </w:rPr>
        <w:t xml:space="preserve"> and more recently </w:t>
      </w:r>
      <w:r w:rsidRPr="00A45DF8">
        <w:rPr>
          <w:rFonts w:cs="Arial"/>
          <w:i/>
        </w:rPr>
        <w:t>Campbell v Backoffice Investments Pty Ltd</w:t>
      </w:r>
      <w:r>
        <w:rPr>
          <w:rFonts w:cs="Arial"/>
        </w:rPr>
        <w:t xml:space="preserve"> (2009) 259 ALR 402.</w:t>
      </w:r>
    </w:p>
  </w:endnote>
  <w:endnote w:id="383">
    <w:p w14:paraId="4E10A7CE" w14:textId="77777777" w:rsidR="00F008D2" w:rsidRDefault="00F008D2" w:rsidP="00AA3994">
      <w:pPr>
        <w:pStyle w:val="FootnoteText"/>
      </w:pPr>
      <w:r>
        <w:rPr>
          <w:rStyle w:val="EndnoteReference"/>
        </w:rPr>
        <w:endnoteRef/>
      </w:r>
      <w:r>
        <w:t xml:space="preserve"> </w:t>
      </w:r>
      <w:r w:rsidRPr="00A45DF8">
        <w:rPr>
          <w:rFonts w:cs="Arial"/>
          <w:i/>
        </w:rPr>
        <w:t>Parkdale Custom Build Furniture Pty Ltd v Puxu Pty Ltd</w:t>
      </w:r>
      <w:r w:rsidRPr="00A45DF8">
        <w:rPr>
          <w:rFonts w:cs="Arial"/>
        </w:rPr>
        <w:t xml:space="preserve"> </w:t>
      </w:r>
      <w:r>
        <w:rPr>
          <w:rFonts w:cs="Arial"/>
        </w:rPr>
        <w:t>(1982) 149 CLR 191</w:t>
      </w:r>
      <w:r w:rsidRPr="00A45DF8">
        <w:rPr>
          <w:rFonts w:cs="Arial"/>
        </w:rPr>
        <w:t xml:space="preserve"> and more recently </w:t>
      </w:r>
      <w:r w:rsidRPr="00A45DF8">
        <w:rPr>
          <w:rFonts w:cs="Arial"/>
          <w:i/>
        </w:rPr>
        <w:t>Campbell v Backoffice Investments Pty Ltd</w:t>
      </w:r>
      <w:r>
        <w:rPr>
          <w:rFonts w:cs="Arial"/>
        </w:rPr>
        <w:t xml:space="preserve"> (2009) 259 ALR 402.</w:t>
      </w:r>
    </w:p>
  </w:endnote>
  <w:endnote w:id="384">
    <w:p w14:paraId="70025FC7" w14:textId="77777777" w:rsidR="00F008D2" w:rsidRDefault="00F008D2" w:rsidP="00AA3994">
      <w:pPr>
        <w:pStyle w:val="EndnoteText"/>
      </w:pPr>
      <w:r>
        <w:rPr>
          <w:rStyle w:val="EndnoteReference"/>
        </w:rPr>
        <w:endnoteRef/>
      </w:r>
      <w:r>
        <w:t xml:space="preserve"> </w:t>
      </w:r>
      <w:r w:rsidRPr="00A45DF8">
        <w:rPr>
          <w:rFonts w:cs="Arial"/>
        </w:rPr>
        <w:t xml:space="preserve">A test case on this point, </w:t>
      </w:r>
      <w:r w:rsidRPr="00A45DF8">
        <w:rPr>
          <w:rFonts w:cs="Arial"/>
          <w:i/>
        </w:rPr>
        <w:t>ACCC v Valve Corp</w:t>
      </w:r>
      <w:r>
        <w:rPr>
          <w:rFonts w:cs="Arial"/>
          <w:i/>
        </w:rPr>
        <w:t>oration</w:t>
      </w:r>
      <w:r w:rsidRPr="00A45DF8">
        <w:rPr>
          <w:rFonts w:cs="Arial"/>
        </w:rPr>
        <w:t>, is presently before the Federal Court.</w:t>
      </w:r>
    </w:p>
  </w:endnote>
  <w:endnote w:id="385">
    <w:p w14:paraId="26213C3F" w14:textId="77777777" w:rsidR="00F008D2" w:rsidRPr="00512E49" w:rsidRDefault="00F008D2" w:rsidP="00AA3994">
      <w:pPr>
        <w:pStyle w:val="EndnoteText"/>
        <w:rPr>
          <w:rFonts w:cs="Arial"/>
        </w:rPr>
      </w:pPr>
      <w:r>
        <w:rPr>
          <w:rStyle w:val="EndnoteReference"/>
        </w:rPr>
        <w:endnoteRef/>
      </w:r>
      <w:r>
        <w:t xml:space="preserve"> </w:t>
      </w:r>
      <w:r w:rsidRPr="00A45DF8">
        <w:rPr>
          <w:rFonts w:cs="Arial"/>
        </w:rPr>
        <w:t xml:space="preserve">See </w:t>
      </w:r>
      <w:r w:rsidRPr="00A45DF8">
        <w:rPr>
          <w:rFonts w:cs="Arial"/>
          <w:i/>
        </w:rPr>
        <w:t>Australian Competition &amp; Consumer Commission (ACCC) v Chen</w:t>
      </w:r>
      <w:r w:rsidRPr="00A45DF8">
        <w:rPr>
          <w:rFonts w:cs="Arial"/>
        </w:rPr>
        <w:t xml:space="preserve"> (2003) 132 FCR 309, in which a US resident operated websites that falsely purported to offer tickets to Sydney Opera House productions and to be affiliated with the Sydney Opera House Trust. The Court held that such representations constituted misleading and deceptive conduct under the </w:t>
      </w:r>
      <w:r w:rsidRPr="00A45DF8">
        <w:rPr>
          <w:rFonts w:cs="Arial"/>
          <w:i/>
        </w:rPr>
        <w:t>Trade Practices Act</w:t>
      </w:r>
      <w:r w:rsidRPr="00A45DF8">
        <w:rPr>
          <w:rFonts w:cs="Arial"/>
        </w:rPr>
        <w:t xml:space="preserve"> </w:t>
      </w:r>
      <w:r w:rsidRPr="00A45DF8">
        <w:rPr>
          <w:rFonts w:cs="Arial"/>
          <w:i/>
        </w:rPr>
        <w:t>1974</w:t>
      </w:r>
      <w:r>
        <w:rPr>
          <w:rFonts w:cs="Arial"/>
        </w:rPr>
        <w:t xml:space="preserve"> (Cth).</w:t>
      </w:r>
    </w:p>
  </w:endnote>
  <w:endnote w:id="386">
    <w:p w14:paraId="6411068A" w14:textId="77777777" w:rsidR="00F008D2" w:rsidRDefault="00F008D2" w:rsidP="00AA3994">
      <w:pPr>
        <w:pStyle w:val="EndnoteText"/>
      </w:pPr>
      <w:r>
        <w:rPr>
          <w:rStyle w:val="EndnoteReference"/>
        </w:rPr>
        <w:endnoteRef/>
      </w:r>
      <w:r>
        <w:t xml:space="preserve"> Financial Rights Legal Centre (NSW), Telephone consultation with the Australian Human Rights Commission, </w:t>
      </w:r>
      <w:r w:rsidRPr="00972C1D">
        <w:rPr>
          <w:i/>
        </w:rPr>
        <w:t>National Children’s Commissioner’s examination of business and children’s rights</w:t>
      </w:r>
      <w:r>
        <w:t xml:space="preserve">, 2015; Consumer Action Law Centre (Vic.), Telephone consultation with the Australian Human Rights Commission, </w:t>
      </w:r>
      <w:r w:rsidRPr="00972C1D">
        <w:rPr>
          <w:i/>
        </w:rPr>
        <w:t>National Children’s Commissioner’s examination of business and children’s rights</w:t>
      </w:r>
      <w:r>
        <w:t xml:space="preserve">, 2015; CARE Financial Counselling and Consumer Law Centre (ACT), Telephone consultation with the Australian Human Rights Commission, </w:t>
      </w:r>
      <w:r w:rsidRPr="00972C1D">
        <w:rPr>
          <w:i/>
        </w:rPr>
        <w:t>National Children’s Commissioner’s examination of business and children’s rights</w:t>
      </w:r>
      <w:r>
        <w:t>, 2015.</w:t>
      </w:r>
    </w:p>
  </w:endnote>
  <w:endnote w:id="387">
    <w:p w14:paraId="7C34CB2C" w14:textId="77777777" w:rsidR="00F008D2" w:rsidRDefault="00F008D2" w:rsidP="00AA3994">
      <w:pPr>
        <w:pStyle w:val="EndnoteText"/>
      </w:pPr>
      <w:r>
        <w:rPr>
          <w:rStyle w:val="EndnoteReference"/>
        </w:rPr>
        <w:endnoteRef/>
      </w:r>
      <w:r>
        <w:t xml:space="preserve"> Telecommunications Industry Ombudsman (Cth.), Telephone consultation with the Australian Human Rights Commission, </w:t>
      </w:r>
      <w:r w:rsidRPr="00972C1D">
        <w:rPr>
          <w:i/>
        </w:rPr>
        <w:t>National Children’s Commissioner’s examination of business and children’s rights</w:t>
      </w:r>
      <w:r>
        <w:t>, 2015.</w:t>
      </w:r>
    </w:p>
  </w:endnote>
  <w:endnote w:id="388">
    <w:p w14:paraId="10635E88" w14:textId="77777777" w:rsidR="00F008D2" w:rsidRDefault="00F008D2" w:rsidP="00AA3994">
      <w:pPr>
        <w:pStyle w:val="EndnoteText"/>
      </w:pPr>
      <w:r>
        <w:rPr>
          <w:rStyle w:val="EndnoteReference"/>
        </w:rPr>
        <w:endnoteRef/>
      </w:r>
      <w:r>
        <w:t xml:space="preserve">Financial Rights Legal Centre (NSW), Telephone consultation with the Australian Human Rights Commission, </w:t>
      </w:r>
      <w:r w:rsidRPr="00972C1D">
        <w:rPr>
          <w:i/>
        </w:rPr>
        <w:t>National Children’s Commissioner’s examination of business and children’s rights</w:t>
      </w:r>
      <w:r>
        <w:t xml:space="preserve">, 2015. </w:t>
      </w:r>
    </w:p>
  </w:endnote>
  <w:endnote w:id="389">
    <w:p w14:paraId="33CA822A" w14:textId="77777777" w:rsidR="00F008D2" w:rsidRDefault="00F008D2" w:rsidP="00B67BDF">
      <w:pPr>
        <w:pStyle w:val="EndnoteText"/>
      </w:pPr>
      <w:r>
        <w:rPr>
          <w:rStyle w:val="EndnoteReference"/>
        </w:rPr>
        <w:endnoteRef/>
      </w:r>
      <w:r>
        <w:t xml:space="preserve"> Holroyd High School, Consultation with the Australian Human Rights Commission, </w:t>
      </w:r>
      <w:r w:rsidRPr="00972C1D">
        <w:rPr>
          <w:i/>
        </w:rPr>
        <w:t>National Children’s Commissioner’s examination of business and children’s rights</w:t>
      </w:r>
      <w:r>
        <w:t>, 2015.</w:t>
      </w:r>
    </w:p>
  </w:endnote>
  <w:endnote w:id="390">
    <w:p w14:paraId="1D3ED8F2" w14:textId="77777777" w:rsidR="00F008D2" w:rsidRDefault="00F008D2" w:rsidP="00B67BDF">
      <w:pPr>
        <w:pStyle w:val="EndnoteText"/>
      </w:pPr>
      <w:r>
        <w:rPr>
          <w:rStyle w:val="EndnoteReference"/>
        </w:rPr>
        <w:endnoteRef/>
      </w:r>
      <w:r>
        <w:t xml:space="preserve"> Marrickville West Primary School, Consultation with the Australian Human Rights Commission, </w:t>
      </w:r>
      <w:r w:rsidRPr="00972C1D">
        <w:rPr>
          <w:i/>
        </w:rPr>
        <w:t>National Children’s Commissioner’s examination of business and children’s rights</w:t>
      </w:r>
      <w:r>
        <w:t>, 2015.</w:t>
      </w:r>
    </w:p>
  </w:endnote>
  <w:endnote w:id="391">
    <w:p w14:paraId="22A756ED" w14:textId="77777777" w:rsidR="00F008D2" w:rsidRDefault="00F008D2" w:rsidP="008E681F">
      <w:pPr>
        <w:pStyle w:val="EndnoteText"/>
      </w:pPr>
      <w:r>
        <w:rPr>
          <w:rStyle w:val="EndnoteReference"/>
        </w:rPr>
        <w:endnoteRef/>
      </w:r>
      <w:r>
        <w:t xml:space="preserve"> Marrickville West Primary School, Consultation with the Australian Human Rights Commission, </w:t>
      </w:r>
      <w:r w:rsidRPr="00972C1D">
        <w:rPr>
          <w:i/>
        </w:rPr>
        <w:t>National Children’s Commissioner’s examination of business and children’s rights</w:t>
      </w:r>
      <w:r>
        <w:t>, 2015.</w:t>
      </w:r>
    </w:p>
  </w:endnote>
  <w:endnote w:id="392">
    <w:p w14:paraId="04618F41" w14:textId="77777777" w:rsidR="00F008D2" w:rsidRPr="00FA4921" w:rsidRDefault="00F008D2" w:rsidP="00AA3994">
      <w:pPr>
        <w:pStyle w:val="EndnoteText"/>
        <w:rPr>
          <w:lang w:val="en-US"/>
        </w:rPr>
      </w:pPr>
      <w:r>
        <w:rPr>
          <w:rStyle w:val="EndnoteReference"/>
        </w:rPr>
        <w:endnoteRef/>
      </w:r>
      <w:r>
        <w:t xml:space="preserve"> </w:t>
      </w:r>
      <w:r>
        <w:rPr>
          <w:lang w:val="en-US"/>
        </w:rPr>
        <w:t>Committee on the Rights of the Child, General Comment No. 16 on State obligations regarding the impact of the business sector on children’s rights, UN Doc CRC/C/GC/16 (April 2013), [19].</w:t>
      </w:r>
    </w:p>
  </w:endnote>
  <w:endnote w:id="393">
    <w:p w14:paraId="2DC160A5"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Pr>
          <w:rFonts w:cs="Arial"/>
          <w:i/>
        </w:rPr>
        <w:t>General Comment No.14</w:t>
      </w:r>
      <w:r w:rsidRPr="005B2362">
        <w:rPr>
          <w:rFonts w:cs="Arial"/>
          <w:i/>
        </w:rPr>
        <w:t xml:space="preserve"> on </w:t>
      </w:r>
      <w:r>
        <w:rPr>
          <w:rFonts w:cs="Arial"/>
          <w:i/>
        </w:rPr>
        <w:t>the right of the child to have his or her best interests taken as a primary consideration</w:t>
      </w:r>
      <w:r w:rsidRPr="005B2362">
        <w:rPr>
          <w:rFonts w:cs="Arial"/>
        </w:rPr>
        <w:t>, UN Doc C</w:t>
      </w:r>
      <w:r>
        <w:rPr>
          <w:rFonts w:cs="Arial"/>
        </w:rPr>
        <w:t>RC/C/GC/14 (May 2013), [14].</w:t>
      </w:r>
    </w:p>
  </w:endnote>
  <w:endnote w:id="394">
    <w:p w14:paraId="6EA55DF9" w14:textId="77777777" w:rsidR="00F008D2" w:rsidRDefault="00F008D2" w:rsidP="00AA3994">
      <w:pPr>
        <w:pStyle w:val="EndnoteText"/>
      </w:pPr>
      <w:r>
        <w:rPr>
          <w:rStyle w:val="EndnoteReference"/>
        </w:rPr>
        <w:endnoteRef/>
      </w:r>
      <w:r>
        <w:t xml:space="preserve"> HighWater Theatre, Consultation with the Australian Human Rights Commission, </w:t>
      </w:r>
      <w:r w:rsidRPr="00972C1D">
        <w:rPr>
          <w:i/>
        </w:rPr>
        <w:t>National Children’s Commissioner’s examination of business and children’s rights</w:t>
      </w:r>
      <w:r>
        <w:t>, 2015.</w:t>
      </w:r>
    </w:p>
  </w:endnote>
  <w:endnote w:id="395">
    <w:p w14:paraId="591316F6"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sidRPr="005B2362">
        <w:rPr>
          <w:rFonts w:cs="Arial"/>
          <w:i/>
        </w:rPr>
        <w:t>General Comment No.16 on State obligations regarding the impact of the business sector on children’s rights</w:t>
      </w:r>
      <w:r w:rsidRPr="005B2362">
        <w:rPr>
          <w:rFonts w:cs="Arial"/>
        </w:rPr>
        <w:t>, UN Doc C</w:t>
      </w:r>
      <w:r>
        <w:rPr>
          <w:rFonts w:cs="Arial"/>
        </w:rPr>
        <w:t>RC/C/GC/16 (April 2013) [19].</w:t>
      </w:r>
    </w:p>
  </w:endnote>
  <w:endnote w:id="396">
    <w:p w14:paraId="4C64BECC"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Pr>
          <w:rFonts w:cs="Arial"/>
          <w:i/>
        </w:rPr>
        <w:t>General Comment No.14</w:t>
      </w:r>
      <w:r w:rsidRPr="005B2362">
        <w:rPr>
          <w:rFonts w:cs="Arial"/>
          <w:i/>
        </w:rPr>
        <w:t xml:space="preserve"> on </w:t>
      </w:r>
      <w:r>
        <w:rPr>
          <w:rFonts w:cs="Arial"/>
          <w:i/>
        </w:rPr>
        <w:t>the right of the child to have his or her best interests taken as a primary consideration</w:t>
      </w:r>
      <w:r w:rsidRPr="005B2362">
        <w:rPr>
          <w:rFonts w:cs="Arial"/>
        </w:rPr>
        <w:t>, UN Doc C</w:t>
      </w:r>
      <w:r>
        <w:rPr>
          <w:rFonts w:cs="Arial"/>
        </w:rPr>
        <w:t>RC/C/GC/14 (May 2013) [14].</w:t>
      </w:r>
    </w:p>
  </w:endnote>
  <w:endnote w:id="397">
    <w:p w14:paraId="4FF8735F" w14:textId="77777777" w:rsidR="00F008D2" w:rsidRDefault="00F008D2" w:rsidP="00AA3994">
      <w:pPr>
        <w:pStyle w:val="EndnoteText"/>
      </w:pPr>
      <w:r>
        <w:rPr>
          <w:rStyle w:val="EndnoteReference"/>
        </w:rPr>
        <w:endnoteRef/>
      </w:r>
      <w:r>
        <w:t xml:space="preserve"> </w:t>
      </w:r>
      <w:r w:rsidRPr="005B2362">
        <w:rPr>
          <w:rFonts w:cs="Arial"/>
          <w:i/>
        </w:rPr>
        <w:t>Convention on the Rights of the Child</w:t>
      </w:r>
      <w:r w:rsidRPr="005B2362">
        <w:rPr>
          <w:rFonts w:cs="Arial"/>
        </w:rPr>
        <w:t>, opened for signature 20 November 1989, 44/25, (entered int</w:t>
      </w:r>
      <w:r>
        <w:rPr>
          <w:rFonts w:cs="Arial"/>
        </w:rPr>
        <w:t>o force 2 September 1990), art 17</w:t>
      </w:r>
      <w:r w:rsidRPr="005B2362">
        <w:rPr>
          <w:rFonts w:cs="Arial"/>
        </w:rPr>
        <w:t xml:space="preserve">.  </w:t>
      </w:r>
    </w:p>
  </w:endnote>
  <w:endnote w:id="398">
    <w:p w14:paraId="096EE67F" w14:textId="77777777" w:rsidR="00F008D2" w:rsidRDefault="00F008D2" w:rsidP="00AA3994">
      <w:pPr>
        <w:pStyle w:val="EndnoteText"/>
      </w:pPr>
      <w:r>
        <w:rPr>
          <w:rStyle w:val="EndnoteReference"/>
        </w:rPr>
        <w:endnoteRef/>
      </w:r>
      <w:r>
        <w:t xml:space="preserve"> </w:t>
      </w:r>
      <w:r w:rsidRPr="005B2362">
        <w:rPr>
          <w:rFonts w:cs="Arial"/>
          <w:i/>
        </w:rPr>
        <w:t>Convention on the Rights of the Child</w:t>
      </w:r>
      <w:r w:rsidRPr="005B2362">
        <w:rPr>
          <w:rFonts w:cs="Arial"/>
        </w:rPr>
        <w:t>, opened for signature 20 November 1989, 44/25, (entered int</w:t>
      </w:r>
      <w:r>
        <w:rPr>
          <w:rFonts w:cs="Arial"/>
        </w:rPr>
        <w:t>o force 2 September 1990), art 17(e)</w:t>
      </w:r>
      <w:r w:rsidRPr="005B2362">
        <w:rPr>
          <w:rFonts w:cs="Arial"/>
        </w:rPr>
        <w:t xml:space="preserve">.  </w:t>
      </w:r>
    </w:p>
  </w:endnote>
  <w:endnote w:id="399">
    <w:p w14:paraId="7E8D4796" w14:textId="77777777" w:rsidR="00F008D2" w:rsidRDefault="00F008D2" w:rsidP="00AA3994">
      <w:pPr>
        <w:pStyle w:val="EndnoteText"/>
      </w:pPr>
      <w:r>
        <w:rPr>
          <w:rStyle w:val="EndnoteReference"/>
        </w:rPr>
        <w:endnoteRef/>
      </w:r>
      <w:r>
        <w:t xml:space="preserve"> </w:t>
      </w:r>
      <w:r w:rsidRPr="005B2362">
        <w:rPr>
          <w:rFonts w:cs="Arial"/>
          <w:i/>
        </w:rPr>
        <w:t>Convention on the Rights of the Child</w:t>
      </w:r>
      <w:r w:rsidRPr="005B2362">
        <w:rPr>
          <w:rFonts w:cs="Arial"/>
        </w:rPr>
        <w:t>, opened for signature 20 November 1989, 44/25, (entered int</w:t>
      </w:r>
      <w:r>
        <w:rPr>
          <w:rFonts w:cs="Arial"/>
        </w:rPr>
        <w:t>o force 2 September 1990), art 16</w:t>
      </w:r>
      <w:r w:rsidRPr="005B2362">
        <w:rPr>
          <w:rFonts w:cs="Arial"/>
        </w:rPr>
        <w:t xml:space="preserve">.  </w:t>
      </w:r>
    </w:p>
  </w:endnote>
  <w:endnote w:id="400">
    <w:p w14:paraId="1FAD147C" w14:textId="77777777" w:rsidR="00F008D2" w:rsidRDefault="00F008D2" w:rsidP="00732BD5">
      <w:pPr>
        <w:pStyle w:val="EndnoteText"/>
      </w:pPr>
      <w:r>
        <w:rPr>
          <w:rStyle w:val="EndnoteReference"/>
        </w:rPr>
        <w:endnoteRef/>
      </w:r>
      <w:r>
        <w:t xml:space="preserve"> Holroyd High School, Consultation with the Australian Human Rights Commission, </w:t>
      </w:r>
      <w:r w:rsidRPr="00972C1D">
        <w:rPr>
          <w:i/>
        </w:rPr>
        <w:t>National Children’s Commissioner’s examination of business and children’s rights</w:t>
      </w:r>
      <w:r>
        <w:t>, 2015.</w:t>
      </w:r>
    </w:p>
  </w:endnote>
  <w:endnote w:id="401">
    <w:p w14:paraId="5DD2172B"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Pr>
          <w:rFonts w:cs="Arial"/>
          <w:i/>
        </w:rPr>
        <w:t>General Comment No.12</w:t>
      </w:r>
      <w:r w:rsidRPr="005B2362">
        <w:rPr>
          <w:rFonts w:cs="Arial"/>
          <w:i/>
        </w:rPr>
        <w:t xml:space="preserve"> on </w:t>
      </w:r>
      <w:r>
        <w:rPr>
          <w:rFonts w:cs="Arial"/>
          <w:i/>
        </w:rPr>
        <w:t>the right of the child to be heard</w:t>
      </w:r>
      <w:r w:rsidRPr="005B2362">
        <w:rPr>
          <w:rFonts w:cs="Arial"/>
        </w:rPr>
        <w:t>, UN Doc C</w:t>
      </w:r>
      <w:r>
        <w:rPr>
          <w:rFonts w:cs="Arial"/>
        </w:rPr>
        <w:t>RC/C/GC/12 (July 2009) [82].</w:t>
      </w:r>
    </w:p>
  </w:endnote>
  <w:endnote w:id="402">
    <w:p w14:paraId="5FCFBE10"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Pr>
          <w:rFonts w:cs="Arial"/>
          <w:i/>
        </w:rPr>
        <w:t>General Comment No.12</w:t>
      </w:r>
      <w:r w:rsidRPr="005B2362">
        <w:rPr>
          <w:rFonts w:cs="Arial"/>
          <w:i/>
        </w:rPr>
        <w:t xml:space="preserve"> on </w:t>
      </w:r>
      <w:r>
        <w:rPr>
          <w:rFonts w:cs="Arial"/>
          <w:i/>
        </w:rPr>
        <w:t>the right of the child to be heard</w:t>
      </w:r>
      <w:r w:rsidRPr="005B2362">
        <w:rPr>
          <w:rFonts w:cs="Arial"/>
        </w:rPr>
        <w:t>, UN Doc C</w:t>
      </w:r>
      <w:r>
        <w:rPr>
          <w:rFonts w:cs="Arial"/>
        </w:rPr>
        <w:t>RC/C/GC/12 (July 2009) [82].</w:t>
      </w:r>
    </w:p>
  </w:endnote>
  <w:endnote w:id="403">
    <w:p w14:paraId="6F3B8B11" w14:textId="77777777" w:rsidR="00F008D2" w:rsidRDefault="00F008D2" w:rsidP="00A14079">
      <w:pPr>
        <w:pStyle w:val="EndnoteText"/>
      </w:pPr>
      <w:r>
        <w:rPr>
          <w:rStyle w:val="EndnoteReference"/>
        </w:rPr>
        <w:endnoteRef/>
      </w:r>
      <w:r>
        <w:t xml:space="preserve"> Canterbury Boys High School, Consultation with the Australian Human Rights Commission, </w:t>
      </w:r>
      <w:r w:rsidRPr="00972C1D">
        <w:rPr>
          <w:i/>
        </w:rPr>
        <w:t>National Children’s Commissioner’s examination of business and children’s rights</w:t>
      </w:r>
      <w:r>
        <w:t>, 2015.</w:t>
      </w:r>
    </w:p>
  </w:endnote>
  <w:endnote w:id="404">
    <w:p w14:paraId="0E71A916" w14:textId="77777777" w:rsidR="00F008D2" w:rsidRDefault="00F008D2" w:rsidP="00AA3994">
      <w:pPr>
        <w:pStyle w:val="EndnoteText"/>
      </w:pPr>
      <w:r>
        <w:rPr>
          <w:rStyle w:val="EndnoteReference"/>
        </w:rPr>
        <w:endnoteRef/>
      </w:r>
      <w:r>
        <w:t xml:space="preserve"> </w:t>
      </w:r>
      <w:r w:rsidRPr="005B2362">
        <w:rPr>
          <w:rFonts w:cs="Arial"/>
          <w:i/>
        </w:rPr>
        <w:t>Convention on the Rights of the Child</w:t>
      </w:r>
      <w:r w:rsidRPr="005B2362">
        <w:rPr>
          <w:rFonts w:cs="Arial"/>
        </w:rPr>
        <w:t>, opened for signature 20 November 1989, 44/25, (entered int</w:t>
      </w:r>
      <w:r>
        <w:rPr>
          <w:rFonts w:cs="Arial"/>
        </w:rPr>
        <w:t>o force 2 September 1990), art 16</w:t>
      </w:r>
      <w:r w:rsidRPr="005B2362">
        <w:rPr>
          <w:rFonts w:cs="Arial"/>
        </w:rPr>
        <w:t xml:space="preserve">.  </w:t>
      </w:r>
    </w:p>
  </w:endnote>
  <w:endnote w:id="405">
    <w:p w14:paraId="39705BC7"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Pr>
          <w:rFonts w:cs="Arial"/>
          <w:i/>
        </w:rPr>
        <w:t>General Comment No.12</w:t>
      </w:r>
      <w:r w:rsidRPr="005B2362">
        <w:rPr>
          <w:rFonts w:cs="Arial"/>
          <w:i/>
        </w:rPr>
        <w:t xml:space="preserve"> on </w:t>
      </w:r>
      <w:r>
        <w:rPr>
          <w:rFonts w:cs="Arial"/>
          <w:i/>
        </w:rPr>
        <w:t>the right of the child to be heard</w:t>
      </w:r>
      <w:r w:rsidRPr="005B2362">
        <w:rPr>
          <w:rFonts w:cs="Arial"/>
        </w:rPr>
        <w:t>, UN Doc C</w:t>
      </w:r>
      <w:r>
        <w:rPr>
          <w:rFonts w:cs="Arial"/>
        </w:rPr>
        <w:t>RC/C/GC/12 (July 2009) [82].</w:t>
      </w:r>
    </w:p>
  </w:endnote>
  <w:endnote w:id="406">
    <w:p w14:paraId="30C49393" w14:textId="77777777" w:rsidR="00F008D2" w:rsidRPr="007726FE" w:rsidRDefault="00F008D2" w:rsidP="00A14079">
      <w:pPr>
        <w:pStyle w:val="EndnoteText"/>
      </w:pPr>
      <w:r>
        <w:rPr>
          <w:rStyle w:val="EndnoteReference"/>
        </w:rPr>
        <w:endnoteRef/>
      </w:r>
      <w:r>
        <w:t xml:space="preserve"> Keilor Heights Primary School, Consultation with the Australian Human Rights Commission, </w:t>
      </w:r>
      <w:r w:rsidRPr="00972C1D">
        <w:rPr>
          <w:i/>
        </w:rPr>
        <w:t>National Children’s Commissioner’s examination of business and children’s rights</w:t>
      </w:r>
      <w:r>
        <w:t>, 2015.</w:t>
      </w:r>
    </w:p>
  </w:endnote>
  <w:endnote w:id="407">
    <w:p w14:paraId="5F192CF7" w14:textId="77777777" w:rsidR="00F008D2" w:rsidRDefault="00F008D2" w:rsidP="004224B6">
      <w:pPr>
        <w:pStyle w:val="EndnoteText"/>
      </w:pPr>
      <w:r>
        <w:rPr>
          <w:rStyle w:val="EndnoteReference"/>
        </w:rPr>
        <w:endnoteRef/>
      </w:r>
      <w:r>
        <w:t xml:space="preserve"> Marrickville West Primary School, Consultation with the Australian Human Rights Commission, </w:t>
      </w:r>
      <w:r w:rsidRPr="00972C1D">
        <w:rPr>
          <w:i/>
        </w:rPr>
        <w:t>National Children’s Commissioner’s examination of business and children’s rights</w:t>
      </w:r>
      <w:r>
        <w:t>, 2015.</w:t>
      </w:r>
    </w:p>
  </w:endnote>
  <w:endnote w:id="408">
    <w:p w14:paraId="34309A6D"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Pr>
          <w:rFonts w:cs="Arial"/>
          <w:i/>
        </w:rPr>
        <w:t>General Comment No.12</w:t>
      </w:r>
      <w:r w:rsidRPr="005B2362">
        <w:rPr>
          <w:rFonts w:cs="Arial"/>
          <w:i/>
        </w:rPr>
        <w:t xml:space="preserve"> on </w:t>
      </w:r>
      <w:r>
        <w:rPr>
          <w:rFonts w:cs="Arial"/>
          <w:i/>
        </w:rPr>
        <w:t>the right of the child to be heard</w:t>
      </w:r>
      <w:r w:rsidRPr="005B2362">
        <w:rPr>
          <w:rFonts w:cs="Arial"/>
        </w:rPr>
        <w:t>, UN Doc C</w:t>
      </w:r>
      <w:r>
        <w:rPr>
          <w:rFonts w:cs="Arial"/>
        </w:rPr>
        <w:t>RC/C/GC/12 (July 2009) [82].</w:t>
      </w:r>
    </w:p>
  </w:endnote>
  <w:endnote w:id="409">
    <w:p w14:paraId="47A105DD" w14:textId="77777777" w:rsidR="00F008D2" w:rsidRDefault="00F008D2" w:rsidP="00AA3994">
      <w:pPr>
        <w:pStyle w:val="EndnoteText"/>
      </w:pPr>
      <w:r>
        <w:rPr>
          <w:rStyle w:val="EndnoteReference"/>
        </w:rPr>
        <w:endnoteRef/>
      </w:r>
      <w:r>
        <w:t xml:space="preserve"> </w:t>
      </w:r>
      <w:r w:rsidRPr="005B2362">
        <w:rPr>
          <w:rFonts w:cs="Arial"/>
          <w:i/>
        </w:rPr>
        <w:t>Convention on the Rights of the Child</w:t>
      </w:r>
      <w:r w:rsidRPr="005B2362">
        <w:rPr>
          <w:rFonts w:cs="Arial"/>
        </w:rPr>
        <w:t>, opened for signature 20 November 1989, 44/25, (entered int</w:t>
      </w:r>
      <w:r>
        <w:rPr>
          <w:rFonts w:cs="Arial"/>
        </w:rPr>
        <w:t>o force 2 September 1990) art 16</w:t>
      </w:r>
      <w:r w:rsidRPr="005B2362">
        <w:rPr>
          <w:rFonts w:cs="Arial"/>
        </w:rPr>
        <w:t xml:space="preserve">.  </w:t>
      </w:r>
    </w:p>
  </w:endnote>
  <w:endnote w:id="410">
    <w:p w14:paraId="076AC6F4"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Pr>
          <w:rFonts w:cs="Arial"/>
          <w:i/>
        </w:rPr>
        <w:t>General Comment No.12</w:t>
      </w:r>
      <w:r w:rsidRPr="005B2362">
        <w:rPr>
          <w:rFonts w:cs="Arial"/>
          <w:i/>
        </w:rPr>
        <w:t xml:space="preserve"> on </w:t>
      </w:r>
      <w:r>
        <w:rPr>
          <w:rFonts w:cs="Arial"/>
          <w:i/>
        </w:rPr>
        <w:t>the right of the child to be heard</w:t>
      </w:r>
      <w:r w:rsidRPr="005B2362">
        <w:rPr>
          <w:rFonts w:cs="Arial"/>
        </w:rPr>
        <w:t>, UN Doc C</w:t>
      </w:r>
      <w:r>
        <w:rPr>
          <w:rFonts w:cs="Arial"/>
        </w:rPr>
        <w:t>RC/C/GC/12 (July 2009) [48].</w:t>
      </w:r>
    </w:p>
  </w:endnote>
  <w:endnote w:id="411">
    <w:p w14:paraId="638A8AF9" w14:textId="77777777" w:rsidR="00F008D2" w:rsidRDefault="00F008D2" w:rsidP="004224B6">
      <w:pPr>
        <w:pStyle w:val="EndnoteText"/>
      </w:pPr>
      <w:r>
        <w:rPr>
          <w:rStyle w:val="EndnoteReference"/>
        </w:rPr>
        <w:endnoteRef/>
      </w:r>
      <w:r>
        <w:t xml:space="preserve"> Holroyd High School, Consultation with the Australian Human Rights Commission, </w:t>
      </w:r>
      <w:r w:rsidRPr="00972C1D">
        <w:rPr>
          <w:i/>
        </w:rPr>
        <w:t>National Children’s Commissioner’s examination of business and children’s rights</w:t>
      </w:r>
      <w:r>
        <w:t>, 2015.</w:t>
      </w:r>
    </w:p>
  </w:endnote>
  <w:endnote w:id="412">
    <w:p w14:paraId="16C5DAF8" w14:textId="77777777" w:rsidR="00F008D2" w:rsidRDefault="00F008D2" w:rsidP="004224B6">
      <w:pPr>
        <w:pStyle w:val="EndnoteText"/>
      </w:pPr>
      <w:r>
        <w:rPr>
          <w:rStyle w:val="EndnoteReference"/>
        </w:rPr>
        <w:endnoteRef/>
      </w:r>
      <w:r>
        <w:t xml:space="preserve"> Canterbury Boys High School, Consultation with the Australian Human Rights Commission, </w:t>
      </w:r>
      <w:r w:rsidRPr="00972C1D">
        <w:rPr>
          <w:i/>
        </w:rPr>
        <w:t>National Children’s Commissioner’s examination of business and children’s rights</w:t>
      </w:r>
      <w:r>
        <w:t>, 2015.</w:t>
      </w:r>
    </w:p>
  </w:endnote>
  <w:endnote w:id="413">
    <w:p w14:paraId="4E1F1358"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Pr>
          <w:rFonts w:cs="Arial"/>
          <w:i/>
        </w:rPr>
        <w:t>General Comment No.12</w:t>
      </w:r>
      <w:r w:rsidRPr="005B2362">
        <w:rPr>
          <w:rFonts w:cs="Arial"/>
          <w:i/>
        </w:rPr>
        <w:t xml:space="preserve"> on </w:t>
      </w:r>
      <w:r>
        <w:rPr>
          <w:rFonts w:cs="Arial"/>
          <w:i/>
        </w:rPr>
        <w:t>the right of the child to be heard</w:t>
      </w:r>
      <w:r w:rsidRPr="005B2362">
        <w:rPr>
          <w:rFonts w:cs="Arial"/>
        </w:rPr>
        <w:t>, UN Doc C</w:t>
      </w:r>
      <w:r>
        <w:rPr>
          <w:rFonts w:cs="Arial"/>
        </w:rPr>
        <w:t>RC/C/GC/12 (July 2009) [82].</w:t>
      </w:r>
    </w:p>
  </w:endnote>
  <w:endnote w:id="414">
    <w:p w14:paraId="1935FC20"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Pr>
          <w:rFonts w:cs="Arial"/>
          <w:i/>
        </w:rPr>
        <w:t>General Comment No.12</w:t>
      </w:r>
      <w:r w:rsidRPr="005B2362">
        <w:rPr>
          <w:rFonts w:cs="Arial"/>
          <w:i/>
        </w:rPr>
        <w:t xml:space="preserve"> on </w:t>
      </w:r>
      <w:r>
        <w:rPr>
          <w:rFonts w:cs="Arial"/>
          <w:i/>
        </w:rPr>
        <w:t>the right of the child to be heard</w:t>
      </w:r>
      <w:r w:rsidRPr="005B2362">
        <w:rPr>
          <w:rFonts w:cs="Arial"/>
        </w:rPr>
        <w:t>, UN Doc C</w:t>
      </w:r>
      <w:r>
        <w:rPr>
          <w:rFonts w:cs="Arial"/>
        </w:rPr>
        <w:t>RC/C/GC/12 (July 2009) [82].</w:t>
      </w:r>
    </w:p>
  </w:endnote>
  <w:endnote w:id="415">
    <w:p w14:paraId="47161358"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sidRPr="005B2362">
        <w:rPr>
          <w:rFonts w:cs="Arial"/>
          <w:i/>
        </w:rPr>
        <w:t>General Comment No.16 on State obligations regarding the impact of the business sector on children’s rights</w:t>
      </w:r>
      <w:r w:rsidRPr="005B2362">
        <w:rPr>
          <w:rFonts w:cs="Arial"/>
        </w:rPr>
        <w:t>, UN Doc C</w:t>
      </w:r>
      <w:r>
        <w:rPr>
          <w:rFonts w:cs="Arial"/>
        </w:rPr>
        <w:t>RC/C/GC/16 (April 2013) [22].</w:t>
      </w:r>
    </w:p>
  </w:endnote>
  <w:endnote w:id="416">
    <w:p w14:paraId="6BD02903" w14:textId="77777777" w:rsidR="00F008D2" w:rsidRDefault="00F008D2" w:rsidP="001F360D">
      <w:pPr>
        <w:pStyle w:val="EndnoteText"/>
      </w:pPr>
      <w:r>
        <w:rPr>
          <w:rStyle w:val="EndnoteReference"/>
        </w:rPr>
        <w:endnoteRef/>
      </w:r>
      <w:r>
        <w:t xml:space="preserve"> Keilor Heights Primary School, Consultation with the Australian Human Rights Commission, </w:t>
      </w:r>
      <w:r w:rsidRPr="00972C1D">
        <w:rPr>
          <w:i/>
        </w:rPr>
        <w:t>National Children’s Commissioner’s examination of business and children’s rights</w:t>
      </w:r>
      <w:r>
        <w:t>, 2015.</w:t>
      </w:r>
    </w:p>
  </w:endnote>
  <w:endnote w:id="417">
    <w:p w14:paraId="6BEC3903" w14:textId="77777777" w:rsidR="00F008D2" w:rsidRDefault="00F008D2" w:rsidP="001F360D">
      <w:pPr>
        <w:pStyle w:val="EndnoteText"/>
      </w:pPr>
      <w:r>
        <w:rPr>
          <w:rStyle w:val="EndnoteReference"/>
        </w:rPr>
        <w:endnoteRef/>
      </w:r>
      <w:r>
        <w:t xml:space="preserve"> Holroyd High School, Consultation with the Australian Human Rights Commission, </w:t>
      </w:r>
      <w:r w:rsidRPr="00972C1D">
        <w:rPr>
          <w:i/>
        </w:rPr>
        <w:t>National Children’s Commissioner’s examination of business and children’s rights</w:t>
      </w:r>
      <w:r>
        <w:t>, 2015.</w:t>
      </w:r>
    </w:p>
  </w:endnote>
  <w:endnote w:id="418">
    <w:p w14:paraId="3B80396A" w14:textId="77777777" w:rsidR="00F008D2" w:rsidRDefault="00F008D2" w:rsidP="00AA3994">
      <w:pPr>
        <w:pStyle w:val="EndnoteText"/>
      </w:pPr>
      <w:r>
        <w:rPr>
          <w:rStyle w:val="EndnoteReference"/>
        </w:rPr>
        <w:endnoteRef/>
      </w:r>
      <w:r>
        <w:t xml:space="preserve"> YMCA Victoria, Consultation with the Australian Human Rights Commission, </w:t>
      </w:r>
      <w:r w:rsidRPr="00972C1D">
        <w:rPr>
          <w:i/>
        </w:rPr>
        <w:t>National Children’s Commissioner’s examination of business and children’s rights</w:t>
      </w:r>
      <w:r>
        <w:t>, 2015.</w:t>
      </w:r>
    </w:p>
  </w:endnote>
  <w:endnote w:id="419">
    <w:p w14:paraId="41275F84" w14:textId="77777777" w:rsidR="00F008D2" w:rsidRDefault="00F008D2" w:rsidP="00AA3994">
      <w:pPr>
        <w:pStyle w:val="EndnoteText"/>
      </w:pPr>
      <w:r>
        <w:rPr>
          <w:rStyle w:val="EndnoteReference"/>
        </w:rPr>
        <w:endnoteRef/>
      </w:r>
      <w:r>
        <w:t xml:space="preserve"> </w:t>
      </w:r>
      <w:r>
        <w:rPr>
          <w:rFonts w:cs="Arial"/>
        </w:rPr>
        <w:t>Committee o</w:t>
      </w:r>
      <w:r w:rsidRPr="005B2362">
        <w:rPr>
          <w:rFonts w:cs="Arial"/>
        </w:rPr>
        <w:t xml:space="preserve">n the Rights of the Child, </w:t>
      </w:r>
      <w:r>
        <w:rPr>
          <w:rFonts w:cs="Arial"/>
          <w:i/>
        </w:rPr>
        <w:t>General Comment No.14</w:t>
      </w:r>
      <w:r w:rsidRPr="005B2362">
        <w:rPr>
          <w:rFonts w:cs="Arial"/>
          <w:i/>
        </w:rPr>
        <w:t xml:space="preserve"> on </w:t>
      </w:r>
      <w:r>
        <w:rPr>
          <w:rFonts w:cs="Arial"/>
          <w:i/>
        </w:rPr>
        <w:t>the right of the child to have his or her best interests taken as a primary consideration</w:t>
      </w:r>
      <w:r w:rsidRPr="005B2362">
        <w:rPr>
          <w:rFonts w:cs="Arial"/>
        </w:rPr>
        <w:t>, UN Doc C</w:t>
      </w:r>
      <w:r>
        <w:rPr>
          <w:rFonts w:cs="Arial"/>
        </w:rPr>
        <w:t>RC/C/GC/14 (May 2013) [14].</w:t>
      </w:r>
    </w:p>
  </w:endnote>
  <w:endnote w:id="420">
    <w:p w14:paraId="24CE2993" w14:textId="7EB8923C" w:rsidR="00F008D2" w:rsidRDefault="00F008D2" w:rsidP="000D1D92">
      <w:pPr>
        <w:pStyle w:val="EndnoteText"/>
      </w:pPr>
      <w:r>
        <w:rPr>
          <w:rStyle w:val="EndnoteReference"/>
        </w:rPr>
        <w:endnoteRef/>
      </w:r>
      <w:r>
        <w:t xml:space="preserve"> Child participant in consultation workshop, Australian Human Rights Commission, </w:t>
      </w:r>
      <w:r>
        <w:rPr>
          <w:i/>
        </w:rPr>
        <w:t>National Children’s Commissioner’s national listening tour (The Big Banter)</w:t>
      </w:r>
      <w:r>
        <w:t xml:space="preserve"> (2013)</w:t>
      </w:r>
      <w:r w:rsidRPr="00E25B6D">
        <w:t>.</w:t>
      </w:r>
    </w:p>
  </w:endnote>
  <w:endnote w:id="421">
    <w:p w14:paraId="141DC4F8" w14:textId="77777777" w:rsidR="00F008D2" w:rsidRDefault="00F008D2" w:rsidP="000D1D92">
      <w:pPr>
        <w:pStyle w:val="EndnoteText"/>
      </w:pPr>
      <w:r>
        <w:rPr>
          <w:rStyle w:val="EndnoteReference"/>
        </w:rPr>
        <w:endnoteRef/>
      </w:r>
      <w:r>
        <w:t xml:space="preserve"> New South Wales Government, </w:t>
      </w:r>
      <w:r w:rsidRPr="003737E7">
        <w:rPr>
          <w:i/>
        </w:rPr>
        <w:t>It Stops Here - Standing Together To End Domestic And Family Violence In NSW</w:t>
      </w:r>
      <w:r>
        <w:t xml:space="preserve"> </w:t>
      </w:r>
      <w:r w:rsidRPr="00C225A1">
        <w:t>(</w:t>
      </w:r>
      <w:r>
        <w:t>2014) 6.</w:t>
      </w:r>
    </w:p>
  </w:endnote>
  <w:endnote w:id="422">
    <w:p w14:paraId="551A2C65" w14:textId="77777777" w:rsidR="00F008D2" w:rsidRPr="00B23028" w:rsidRDefault="00F008D2" w:rsidP="000D1D92">
      <w:pPr>
        <w:pStyle w:val="EndnoteText"/>
        <w:rPr>
          <w:lang w:val="en-US"/>
        </w:rPr>
      </w:pPr>
      <w:r>
        <w:rPr>
          <w:rStyle w:val="EndnoteReference"/>
        </w:rPr>
        <w:endnoteRef/>
      </w:r>
      <w:r>
        <w:t xml:space="preserve"> M Henderson, </w:t>
      </w:r>
      <w:r w:rsidRPr="00324BD8">
        <w:rPr>
          <w:i/>
        </w:rPr>
        <w:t>Growing Up with Domestic Violence: The Voices of Resilience</w:t>
      </w:r>
      <w:r>
        <w:t xml:space="preserve"> (Master of Health Science in Psychology Thesis, Massey University, Manawatu, New Zealand, 2013) 9. &lt;</w:t>
      </w:r>
      <w:hyperlink r:id="rId118" w:history="1">
        <w:r w:rsidRPr="00D6108C">
          <w:rPr>
            <w:rStyle w:val="Hyperlink"/>
          </w:rPr>
          <w:t>http://www.abstract.lib-ebook.com/a1-medicine/1547858-1-a-thesis-presented-partial-fulfilment-the-requirements-for-the-deg.php</w:t>
        </w:r>
      </w:hyperlink>
      <w:r>
        <w:t>&gt;</w:t>
      </w:r>
    </w:p>
  </w:endnote>
  <w:endnote w:id="423">
    <w:p w14:paraId="6825F169" w14:textId="77777777" w:rsidR="00F008D2" w:rsidRDefault="00F008D2" w:rsidP="000D1D92">
      <w:pPr>
        <w:pStyle w:val="EndnoteText"/>
        <w:jc w:val="both"/>
      </w:pPr>
      <w:r>
        <w:rPr>
          <w:rStyle w:val="EndnoteReference"/>
        </w:rPr>
        <w:endnoteRef/>
      </w:r>
      <w:r>
        <w:t xml:space="preserve"> </w:t>
      </w:r>
      <w:r w:rsidRPr="00891604">
        <w:t xml:space="preserve">Australian Human Rights Commission, </w:t>
      </w:r>
      <w:r w:rsidRPr="00891604">
        <w:rPr>
          <w:i/>
        </w:rPr>
        <w:t xml:space="preserve">Children’s Rights Report 2013 </w:t>
      </w:r>
      <w:r w:rsidRPr="00891604">
        <w:t>(2013) 85.</w:t>
      </w:r>
    </w:p>
  </w:endnote>
  <w:endnote w:id="424">
    <w:p w14:paraId="12AB375E" w14:textId="77777777" w:rsidR="00F008D2" w:rsidRPr="00332FB0" w:rsidRDefault="00F008D2" w:rsidP="000D1D92">
      <w:pPr>
        <w:pStyle w:val="EndnoteText"/>
        <w:jc w:val="both"/>
      </w:pPr>
      <w:r w:rsidRPr="00F64A64">
        <w:rPr>
          <w:rStyle w:val="EndnoteReference"/>
        </w:rPr>
        <w:endnoteRef/>
      </w:r>
      <w:r w:rsidRPr="00F64A64">
        <w:t xml:space="preserve"> </w:t>
      </w:r>
      <w:r>
        <w:rPr>
          <w:i/>
        </w:rPr>
        <w:t xml:space="preserve">Discussion, </w:t>
      </w:r>
      <w:r>
        <w:t>Roundtable, National Children’s Commissioner’s examination of intentional self-harm in children, (2014)</w:t>
      </w:r>
    </w:p>
  </w:endnote>
  <w:endnote w:id="425">
    <w:p w14:paraId="4D77CC0B" w14:textId="77777777" w:rsidR="00F008D2" w:rsidRDefault="00F008D2" w:rsidP="000D1D92">
      <w:pPr>
        <w:pStyle w:val="EndnoteText"/>
        <w:jc w:val="both"/>
      </w:pPr>
      <w:r>
        <w:rPr>
          <w:rStyle w:val="EndnoteReference"/>
        </w:rPr>
        <w:endnoteRef/>
      </w:r>
      <w:r>
        <w:t xml:space="preserve"> </w:t>
      </w:r>
      <w:r w:rsidRPr="00891604">
        <w:t xml:space="preserve">Australian Crime Commission, </w:t>
      </w:r>
      <w:r w:rsidRPr="00891604">
        <w:rPr>
          <w:i/>
        </w:rPr>
        <w:t xml:space="preserve">The Final Report of the National Indigenous Intelligence Task Force 2006-2014 </w:t>
      </w:r>
      <w:r w:rsidRPr="00891604">
        <w:t>(2014) 11.</w:t>
      </w:r>
    </w:p>
  </w:endnote>
  <w:endnote w:id="426">
    <w:p w14:paraId="07DB92FF" w14:textId="77777777" w:rsidR="00F008D2" w:rsidRDefault="00F008D2" w:rsidP="000D1D92">
      <w:pPr>
        <w:pStyle w:val="EndnoteText"/>
        <w:jc w:val="both"/>
      </w:pPr>
      <w:r>
        <w:rPr>
          <w:rStyle w:val="EndnoteReference"/>
        </w:rPr>
        <w:endnoteRef/>
      </w:r>
      <w:r>
        <w:t xml:space="preserve"> Australian Human Rights Commission, </w:t>
      </w:r>
      <w:r>
        <w:rPr>
          <w:i/>
        </w:rPr>
        <w:t xml:space="preserve">Children’s Rights Report 2014 </w:t>
      </w:r>
      <w:r>
        <w:t>(2014) 66.</w:t>
      </w:r>
    </w:p>
  </w:endnote>
  <w:endnote w:id="427">
    <w:p w14:paraId="0DA301AE" w14:textId="77777777" w:rsidR="00F008D2" w:rsidRPr="00813C6D" w:rsidRDefault="00F008D2" w:rsidP="000D1D92">
      <w:pPr>
        <w:pStyle w:val="EndnoteText"/>
      </w:pPr>
      <w:r>
        <w:rPr>
          <w:rStyle w:val="EndnoteReference"/>
        </w:rPr>
        <w:endnoteRef/>
      </w:r>
      <w:r>
        <w:t xml:space="preserve"> </w:t>
      </w:r>
      <w:r w:rsidRPr="00EE4C18">
        <w:t>Austra</w:t>
      </w:r>
      <w:r w:rsidRPr="00370588">
        <w:t xml:space="preserve">lian Bureau of Statistics, </w:t>
      </w:r>
      <w:r w:rsidRPr="0049445A">
        <w:t>‘</w:t>
      </w:r>
      <w:r w:rsidRPr="00A33846">
        <w:t>Directory of Family and Domestic Violence Statistics</w:t>
      </w:r>
      <w:r w:rsidRPr="00EE4C18">
        <w:t xml:space="preserve"> </w:t>
      </w:r>
      <w:r w:rsidRPr="00370588">
        <w:t xml:space="preserve">– Defining Family and Domestic Violence’ (4533.0, 3 October 2013) </w:t>
      </w:r>
      <w:r>
        <w:t>&lt;</w:t>
      </w:r>
      <w:hyperlink r:id="rId119" w:history="1">
        <w:r w:rsidRPr="00D6108C">
          <w:rPr>
            <w:rStyle w:val="Hyperlink"/>
          </w:rPr>
          <w:t>http://www.abs.gov.au/ausstats/abs@.nsf/Lookup/4533.0Main+Features72013</w:t>
        </w:r>
      </w:hyperlink>
      <w:r>
        <w:t>&gt;</w:t>
      </w:r>
    </w:p>
  </w:endnote>
  <w:endnote w:id="428">
    <w:p w14:paraId="418416CD" w14:textId="77777777" w:rsidR="00F008D2" w:rsidRDefault="00F008D2" w:rsidP="000D1D92">
      <w:pPr>
        <w:pStyle w:val="EndnoteText"/>
      </w:pPr>
      <w:r w:rsidRPr="000A0E75">
        <w:rPr>
          <w:rStyle w:val="EndnoteReference"/>
        </w:rPr>
        <w:endnoteRef/>
      </w:r>
      <w:r w:rsidRPr="000A0E75">
        <w:t xml:space="preserve"> Australian Bureau of Statistics, ‘Directory of Family and Domestic Violence Statistics – Defining</w:t>
      </w:r>
      <w:r w:rsidRPr="00370588">
        <w:t xml:space="preserve"> Family and Domestic Violence’ (4533.0, 3 October 2013) </w:t>
      </w:r>
      <w:r>
        <w:t>&lt;</w:t>
      </w:r>
      <w:hyperlink r:id="rId120" w:history="1">
        <w:r w:rsidRPr="00D6108C">
          <w:rPr>
            <w:rStyle w:val="Hyperlink"/>
          </w:rPr>
          <w:t>http://www.abs.gov.au/ausstats/abs@.nsf/Lookup/4533.0Main+Features72013</w:t>
        </w:r>
      </w:hyperlink>
      <w:r>
        <w:t>&gt;</w:t>
      </w:r>
    </w:p>
  </w:endnote>
  <w:endnote w:id="429">
    <w:p w14:paraId="036B7EDB" w14:textId="77777777" w:rsidR="00F008D2" w:rsidRPr="00BA23E3" w:rsidRDefault="00F008D2" w:rsidP="000D1D92">
      <w:pPr>
        <w:pStyle w:val="EndnoteText"/>
        <w:jc w:val="both"/>
        <w:rPr>
          <w:lang w:val="en-US"/>
        </w:rPr>
      </w:pPr>
      <w:r w:rsidRPr="00BA23E3">
        <w:rPr>
          <w:rStyle w:val="EndnoteReference"/>
        </w:rPr>
        <w:endnoteRef/>
      </w:r>
      <w:r w:rsidRPr="00BA23E3">
        <w:t xml:space="preserve"> Department of Social Services</w:t>
      </w:r>
      <w:r w:rsidRPr="00A33846">
        <w:t xml:space="preserve"> (Cth), </w:t>
      </w:r>
      <w:r w:rsidRPr="00A33846">
        <w:rPr>
          <w:i/>
        </w:rPr>
        <w:t>National Framework for Protecting Australia’s Children 2009-2020</w:t>
      </w:r>
      <w:r>
        <w:t xml:space="preserve"> (2009) 21; </w:t>
      </w:r>
      <w:r w:rsidRPr="00BA23E3">
        <w:t>Department of Social Services</w:t>
      </w:r>
      <w:r w:rsidRPr="00A33846">
        <w:t xml:space="preserve"> (Cth), </w:t>
      </w:r>
      <w:r w:rsidRPr="00A33846">
        <w:rPr>
          <w:i/>
        </w:rPr>
        <w:t>National Plan to Reduce Violence against Women and their Children 2010-2022</w:t>
      </w:r>
      <w:r w:rsidRPr="00A33846">
        <w:t xml:space="preserve"> (2011) 7.</w:t>
      </w:r>
    </w:p>
  </w:endnote>
  <w:endnote w:id="430">
    <w:p w14:paraId="4DEE5CDE" w14:textId="77777777" w:rsidR="00F008D2" w:rsidRPr="00BA23E3" w:rsidRDefault="00F008D2" w:rsidP="000D1D92">
      <w:pPr>
        <w:pStyle w:val="EndnoteText"/>
        <w:jc w:val="both"/>
        <w:rPr>
          <w:lang w:val="en-US"/>
        </w:rPr>
      </w:pPr>
      <w:r w:rsidRPr="00BA23E3">
        <w:rPr>
          <w:rStyle w:val="EndnoteReference"/>
        </w:rPr>
        <w:endnoteRef/>
      </w:r>
      <w:r w:rsidRPr="00BA23E3">
        <w:t xml:space="preserve"> Department of Social Services</w:t>
      </w:r>
      <w:r w:rsidRPr="00A33846">
        <w:t xml:space="preserve"> (Cth), </w:t>
      </w:r>
      <w:r w:rsidRPr="00A33846">
        <w:rPr>
          <w:i/>
        </w:rPr>
        <w:t>National Framework for Protecting Australia’s Children 2009-2020</w:t>
      </w:r>
      <w:r>
        <w:t xml:space="preserve"> (2009) 21; </w:t>
      </w:r>
      <w:r w:rsidRPr="00BA23E3">
        <w:t>Department of Social Services</w:t>
      </w:r>
      <w:r w:rsidRPr="00A33846">
        <w:t xml:space="preserve"> (Cth), </w:t>
      </w:r>
      <w:r w:rsidRPr="00A33846">
        <w:rPr>
          <w:i/>
        </w:rPr>
        <w:t>National Plan to Reduce Violence against Women and their Children 2010-2022</w:t>
      </w:r>
      <w:r w:rsidRPr="00A33846">
        <w:t xml:space="preserve"> (2011) 10</w:t>
      </w:r>
      <w:r w:rsidRPr="00A33846">
        <w:rPr>
          <w:lang w:val="en-US"/>
        </w:rPr>
        <w:t>.</w:t>
      </w:r>
    </w:p>
  </w:endnote>
  <w:endnote w:id="431">
    <w:p w14:paraId="4C6D8B29" w14:textId="77777777" w:rsidR="00F008D2" w:rsidRPr="00BA23E3" w:rsidRDefault="00F008D2" w:rsidP="000D1D92">
      <w:pPr>
        <w:pStyle w:val="EndnoteText"/>
        <w:jc w:val="both"/>
      </w:pPr>
      <w:r w:rsidRPr="00BA23E3">
        <w:rPr>
          <w:rStyle w:val="EndnoteReference"/>
        </w:rPr>
        <w:endnoteRef/>
      </w:r>
      <w:r w:rsidRPr="00BA23E3">
        <w:t xml:space="preserve"> </w:t>
      </w:r>
      <w:r w:rsidRPr="00A33846">
        <w:t xml:space="preserve">Department of Social Services (Cth), </w:t>
      </w:r>
      <w:r w:rsidRPr="00A33846">
        <w:rPr>
          <w:i/>
        </w:rPr>
        <w:t xml:space="preserve">National Plan to Reduce Violence against Women and their Children 2010-2022 - Second Action Plan 2013-2016, Moving Ahead </w:t>
      </w:r>
      <w:r w:rsidRPr="00A33846">
        <w:t>(2014) 2.</w:t>
      </w:r>
    </w:p>
  </w:endnote>
  <w:endnote w:id="432">
    <w:p w14:paraId="21808DEC" w14:textId="77777777" w:rsidR="00F008D2" w:rsidRPr="00400BD0" w:rsidRDefault="00F008D2" w:rsidP="000D1D92">
      <w:pPr>
        <w:pStyle w:val="EndnoteText"/>
        <w:jc w:val="both"/>
        <w:rPr>
          <w:lang w:val="en-US"/>
        </w:rPr>
      </w:pPr>
      <w:r w:rsidRPr="00BA23E3">
        <w:rPr>
          <w:rStyle w:val="EndnoteReference"/>
        </w:rPr>
        <w:endnoteRef/>
      </w:r>
      <w:r w:rsidRPr="00BA23E3">
        <w:t xml:space="preserve"> </w:t>
      </w:r>
      <w:r w:rsidRPr="00A33846">
        <w:t xml:space="preserve">Department of Social Services (Cth), </w:t>
      </w:r>
      <w:r w:rsidRPr="00A33846">
        <w:rPr>
          <w:i/>
        </w:rPr>
        <w:t>National Plan to Reduce Violence against Women and their Children 2010-2022</w:t>
      </w:r>
      <w:r w:rsidRPr="00A33846">
        <w:t xml:space="preserve"> (2011) 10</w:t>
      </w:r>
      <w:r w:rsidRPr="00A33846">
        <w:rPr>
          <w:lang w:val="en-US"/>
        </w:rPr>
        <w:t>.</w:t>
      </w:r>
    </w:p>
  </w:endnote>
  <w:endnote w:id="433">
    <w:p w14:paraId="5BD14B08" w14:textId="77777777" w:rsidR="00F008D2" w:rsidRDefault="00F008D2" w:rsidP="000D1D92">
      <w:pPr>
        <w:pStyle w:val="EndnoteText"/>
      </w:pPr>
      <w:r w:rsidRPr="00EE4C18">
        <w:rPr>
          <w:rStyle w:val="EndnoteReference"/>
        </w:rPr>
        <w:endnoteRef/>
      </w:r>
      <w:r w:rsidRPr="00EE4C18">
        <w:t xml:space="preserve"> Prime Minister, ‘Addressing Violence Against Women and their Children’ (Media Release, 27 June 2014) </w:t>
      </w:r>
      <w:r>
        <w:t>&lt;</w:t>
      </w:r>
      <w:hyperlink r:id="rId121" w:history="1">
        <w:r w:rsidRPr="00D6108C">
          <w:rPr>
            <w:rStyle w:val="Hyperlink"/>
          </w:rPr>
          <w:t>http://www.liberal.org.au/latest-news/2014/06/27/prime-minister-joint-press-release-addressing-violence-against-women-and</w:t>
        </w:r>
      </w:hyperlink>
      <w:r>
        <w:t>&gt;.</w:t>
      </w:r>
    </w:p>
  </w:endnote>
  <w:endnote w:id="434">
    <w:p w14:paraId="073869DF" w14:textId="77777777" w:rsidR="00F008D2" w:rsidRDefault="00F008D2" w:rsidP="000D1D92">
      <w:pPr>
        <w:pStyle w:val="EndnoteText"/>
        <w:jc w:val="both"/>
      </w:pPr>
      <w:r w:rsidRPr="00EE4C18">
        <w:rPr>
          <w:rStyle w:val="EndnoteReference"/>
        </w:rPr>
        <w:endnoteRef/>
      </w:r>
      <w:r w:rsidRPr="00EE4C18">
        <w:t xml:space="preserve"> </w:t>
      </w:r>
      <w:r w:rsidRPr="00B6781F">
        <w:t xml:space="preserve">The Council of Australian Governments, </w:t>
      </w:r>
      <w:r w:rsidRPr="00B6781F">
        <w:rPr>
          <w:i/>
        </w:rPr>
        <w:t>COAG Communique</w:t>
      </w:r>
      <w:r w:rsidRPr="00B6781F">
        <w:t>, (17 April 2015) &lt;</w:t>
      </w:r>
      <w:hyperlink r:id="rId122" w:history="1">
        <w:r w:rsidRPr="00B6781F">
          <w:rPr>
            <w:rStyle w:val="Hyperlink"/>
          </w:rPr>
          <w:t>https://www.coag.gov.au/node/522</w:t>
        </w:r>
      </w:hyperlink>
      <w:r w:rsidRPr="00B6781F">
        <w:t>&gt;.</w:t>
      </w:r>
    </w:p>
  </w:endnote>
  <w:endnote w:id="435">
    <w:p w14:paraId="1A423C12" w14:textId="77777777" w:rsidR="00F008D2" w:rsidRDefault="00F008D2" w:rsidP="000D1D92">
      <w:pPr>
        <w:pStyle w:val="EndnoteText"/>
      </w:pPr>
      <w:r w:rsidRPr="00AB0361">
        <w:rPr>
          <w:rStyle w:val="EndnoteReference"/>
        </w:rPr>
        <w:endnoteRef/>
      </w:r>
      <w:r w:rsidRPr="00AB0361">
        <w:t xml:space="preserve"> The Education Council, </w:t>
      </w:r>
      <w:r w:rsidRPr="00AB0361">
        <w:rPr>
          <w:i/>
        </w:rPr>
        <w:t>Communique,</w:t>
      </w:r>
      <w:r w:rsidRPr="00AB0361">
        <w:t xml:space="preserve"> (18 September 2015 &lt; http://www.scseec.edu.au/#null on 21 September 2015&gt;.</w:t>
      </w:r>
    </w:p>
  </w:endnote>
  <w:endnote w:id="436">
    <w:p w14:paraId="7A0750E2" w14:textId="77777777" w:rsidR="00F008D2" w:rsidRPr="00614663" w:rsidRDefault="00F008D2" w:rsidP="000D1D92">
      <w:pPr>
        <w:pStyle w:val="EndnoteText"/>
      </w:pPr>
      <w:r>
        <w:rPr>
          <w:rStyle w:val="EndnoteReference"/>
        </w:rPr>
        <w:endnoteRef/>
      </w:r>
      <w:r>
        <w:t xml:space="preserve"> L Bartels, ‘Emerging issues in domestic/family violence research’ (Research Paper No 10, Research in Practice Report, Australian Institute of Criminology, 2010) &lt;</w:t>
      </w:r>
      <w:hyperlink r:id="rId123" w:history="1">
        <w:r w:rsidRPr="00D6108C">
          <w:rPr>
            <w:rStyle w:val="Hyperlink"/>
          </w:rPr>
          <w:t>http://www.aic.gov.au/publications/current%20series/rip/1-10/10.html</w:t>
        </w:r>
      </w:hyperlink>
      <w:r>
        <w:t xml:space="preserve">&gt;. </w:t>
      </w:r>
    </w:p>
  </w:endnote>
  <w:endnote w:id="437">
    <w:p w14:paraId="05B6DFD9" w14:textId="77777777" w:rsidR="00F008D2" w:rsidRPr="000A0E75" w:rsidRDefault="00F008D2" w:rsidP="000D1D92">
      <w:pPr>
        <w:pStyle w:val="EndnoteText"/>
      </w:pPr>
      <w:r>
        <w:rPr>
          <w:rStyle w:val="EndnoteReference"/>
        </w:rPr>
        <w:endnoteRef/>
      </w:r>
      <w:r>
        <w:t xml:space="preserve"> </w:t>
      </w:r>
      <w:r w:rsidRPr="00A33846">
        <w:t xml:space="preserve">Australian Bureau of Statistics, ‘Personal Safety, Australia, 2012 </w:t>
      </w:r>
      <w:r w:rsidRPr="00EE4C18">
        <w:t xml:space="preserve">– </w:t>
      </w:r>
      <w:r w:rsidRPr="00370588">
        <w:t>Experience of Partner Violence’</w:t>
      </w:r>
      <w:r w:rsidRPr="00A33846">
        <w:rPr>
          <w:i/>
        </w:rPr>
        <w:t xml:space="preserve">, </w:t>
      </w:r>
      <w:r w:rsidRPr="00A33846">
        <w:t>(4906.0, 11 December 2013)</w:t>
      </w:r>
      <w:r>
        <w:t xml:space="preserve"> </w:t>
      </w:r>
      <w:r w:rsidRPr="000A0E75">
        <w:t>&lt;</w:t>
      </w:r>
      <w:hyperlink r:id="rId124" w:history="1">
        <w:r w:rsidRPr="000A0E75">
          <w:rPr>
            <w:rStyle w:val="Hyperlink"/>
          </w:rPr>
          <w:t>http://www.abs.gov.au/ausstats/abs@.nsf/Lookup/4906.0Chapter7002012</w:t>
        </w:r>
      </w:hyperlink>
      <w:r w:rsidRPr="000A0E75">
        <w:t>&gt;.</w:t>
      </w:r>
    </w:p>
  </w:endnote>
  <w:endnote w:id="438">
    <w:p w14:paraId="53B6311E" w14:textId="77777777" w:rsidR="00F008D2" w:rsidRPr="000A0E75" w:rsidRDefault="00F008D2" w:rsidP="000D1D92">
      <w:pPr>
        <w:pStyle w:val="EndnoteText"/>
      </w:pPr>
      <w:r w:rsidRPr="000A0E75">
        <w:rPr>
          <w:rStyle w:val="EndnoteReference"/>
        </w:rPr>
        <w:endnoteRef/>
      </w:r>
      <w:r w:rsidRPr="000A0E75">
        <w:t xml:space="preserve"> </w:t>
      </w:r>
      <w:r w:rsidRPr="00A33846">
        <w:t xml:space="preserve">Australian Bureau of Statistics, ‘Personal Safety, Australia, 2012 </w:t>
      </w:r>
      <w:r w:rsidRPr="000A0E75">
        <w:t>– Experience of Partner Violence’</w:t>
      </w:r>
      <w:r w:rsidRPr="00A33846">
        <w:rPr>
          <w:i/>
        </w:rPr>
        <w:t xml:space="preserve">, </w:t>
      </w:r>
      <w:r w:rsidRPr="00A33846">
        <w:t>(4906.0, 11 December 2013) table 28 &lt;</w:t>
      </w:r>
      <w:hyperlink r:id="rId125" w:history="1">
        <w:r w:rsidRPr="000A0E75">
          <w:rPr>
            <w:rStyle w:val="Hyperlink"/>
          </w:rPr>
          <w:t>http://www.abs.gov.au/AUSSTATS/abs@.nsf/DetailsPage/4906.02012?OpenDocument</w:t>
        </w:r>
      </w:hyperlink>
      <w:r w:rsidRPr="000A0E75">
        <w:t>&gt;</w:t>
      </w:r>
      <w:r w:rsidRPr="00A33846">
        <w:t xml:space="preserve">. </w:t>
      </w:r>
    </w:p>
  </w:endnote>
  <w:endnote w:id="439">
    <w:p w14:paraId="0F8728F6" w14:textId="77777777" w:rsidR="00F008D2" w:rsidRDefault="00F008D2" w:rsidP="000D1D92">
      <w:pPr>
        <w:pStyle w:val="EndnoteText"/>
      </w:pPr>
      <w:r w:rsidRPr="000A0E75">
        <w:rPr>
          <w:rStyle w:val="EndnoteReference"/>
        </w:rPr>
        <w:endnoteRef/>
      </w:r>
      <w:r w:rsidRPr="000A0E75">
        <w:t xml:space="preserve"> P Pinheiro, Independent Expert for the United Nations Secretary-General’s Study on Violence</w:t>
      </w:r>
      <w:r w:rsidRPr="00D45730">
        <w:t xml:space="preserve"> against Children, </w:t>
      </w:r>
      <w:r w:rsidRPr="00D45730">
        <w:rPr>
          <w:i/>
        </w:rPr>
        <w:t>World Report on Violence Against Children</w:t>
      </w:r>
      <w:r w:rsidRPr="00D45730">
        <w:t>, GA Res 62/141</w:t>
      </w:r>
      <w:r w:rsidRPr="00D45730">
        <w:rPr>
          <w:i/>
        </w:rPr>
        <w:t xml:space="preserve"> </w:t>
      </w:r>
      <w:r w:rsidRPr="00D45730">
        <w:t>(11 October 2006) 70</w:t>
      </w:r>
      <w:r w:rsidRPr="00CF69C1">
        <w:t xml:space="preserve"> </w:t>
      </w:r>
      <w:r>
        <w:t>&lt;</w:t>
      </w:r>
      <w:hyperlink r:id="rId126" w:history="1">
        <w:r w:rsidRPr="00D6108C">
          <w:rPr>
            <w:rStyle w:val="Hyperlink"/>
          </w:rPr>
          <w:t>http://www.ohchr.org/EN/HRBodies/CRC/Study/Pages/StudyViolenceChildren.aspx</w:t>
        </w:r>
      </w:hyperlink>
      <w:r>
        <w:t xml:space="preserve"> &gt;.</w:t>
      </w:r>
    </w:p>
  </w:endnote>
  <w:endnote w:id="440">
    <w:p w14:paraId="4F3B2FC5" w14:textId="77777777" w:rsidR="00F008D2" w:rsidRPr="00073B6A" w:rsidRDefault="00F008D2" w:rsidP="000D1D92">
      <w:pPr>
        <w:pStyle w:val="EndnoteText"/>
      </w:pPr>
      <w:r>
        <w:rPr>
          <w:rStyle w:val="EndnoteReference"/>
        </w:rPr>
        <w:endnoteRef/>
      </w:r>
      <w:r>
        <w:t xml:space="preserve"> K Richards, ‘Children’s exposure to domestic violence in Australia’ (Research Paper No 419, Trends and Issues in Crime and Criminal Justice, Australian Institute of Criminology, 2011) 3</w:t>
      </w:r>
      <w:r w:rsidRPr="003D7654">
        <w:t xml:space="preserve"> </w:t>
      </w:r>
      <w:r>
        <w:t>&lt;</w:t>
      </w:r>
      <w:hyperlink r:id="rId127" w:history="1">
        <w:r w:rsidRPr="00D6108C">
          <w:rPr>
            <w:rStyle w:val="Hyperlink"/>
          </w:rPr>
          <w:t>http://aic.gov.au/publications/current%20series/tandi/401-420/tandi419.html</w:t>
        </w:r>
      </w:hyperlink>
      <w:r>
        <w:t>&gt;.</w:t>
      </w:r>
    </w:p>
  </w:endnote>
  <w:endnote w:id="441">
    <w:p w14:paraId="2CA48092" w14:textId="77777777" w:rsidR="00F008D2" w:rsidRPr="003E7548" w:rsidRDefault="00F008D2" w:rsidP="000D1D92">
      <w:pPr>
        <w:pStyle w:val="EndnoteText"/>
      </w:pPr>
      <w:r>
        <w:rPr>
          <w:rStyle w:val="EndnoteReference"/>
        </w:rPr>
        <w:endnoteRef/>
      </w:r>
      <w:r>
        <w:t xml:space="preserve"> S Holt, H Buckley and S Whelan, ‘The impact of exposure to domestic violence on children and young people: a review of the literature’ (2008) 32 </w:t>
      </w:r>
      <w:r>
        <w:rPr>
          <w:i/>
        </w:rPr>
        <w:t>Child Abuse and Neglect</w:t>
      </w:r>
      <w:r>
        <w:t xml:space="preserve"> 797, 810. &lt;</w:t>
      </w:r>
      <w:hyperlink r:id="rId128" w:history="1">
        <w:r w:rsidRPr="00D6108C">
          <w:rPr>
            <w:rStyle w:val="Hyperlink"/>
          </w:rPr>
          <w:t>http://www.researchgate.net/publication/23219462_The_impact_of_exposure_to_domestic_violence_on_children_and_young_people_A_review_of_the_literature</w:t>
        </w:r>
      </w:hyperlink>
      <w:r>
        <w:t>&gt;</w:t>
      </w:r>
    </w:p>
  </w:endnote>
  <w:endnote w:id="442">
    <w:p w14:paraId="3DE51903" w14:textId="77777777" w:rsidR="00F008D2" w:rsidRDefault="00F008D2" w:rsidP="000D1D92">
      <w:pPr>
        <w:pStyle w:val="EndnoteText"/>
      </w:pPr>
      <w:r>
        <w:rPr>
          <w:rStyle w:val="EndnoteReference"/>
        </w:rPr>
        <w:endnoteRef/>
      </w:r>
      <w:r>
        <w:t xml:space="preserve"> K </w:t>
      </w:r>
      <w:r w:rsidRPr="003C71AA">
        <w:t>Richards, ‘Children’s exposure to domestic violence in Australia’ (Research Paper No 419, Trends and Issues in Crime and Criminal Justice, Australian Institute of Criminology, 2011) 3</w:t>
      </w:r>
      <w:r>
        <w:t xml:space="preserve"> &lt;</w:t>
      </w:r>
      <w:hyperlink r:id="rId129" w:history="1">
        <w:r w:rsidRPr="00D6108C">
          <w:rPr>
            <w:rStyle w:val="Hyperlink"/>
          </w:rPr>
          <w:t>http://aic.gov.au/publications/current%20series/tandi/401-420/tandi419.html</w:t>
        </w:r>
      </w:hyperlink>
      <w:r>
        <w:t>&gt;.</w:t>
      </w:r>
    </w:p>
  </w:endnote>
  <w:endnote w:id="443">
    <w:p w14:paraId="18FD55DE" w14:textId="77777777" w:rsidR="00F008D2" w:rsidRDefault="00F008D2" w:rsidP="000D1D92">
      <w:pPr>
        <w:pStyle w:val="EndnoteText"/>
      </w:pPr>
      <w:r>
        <w:rPr>
          <w:rStyle w:val="EndnoteReference"/>
        </w:rPr>
        <w:endnoteRef/>
      </w:r>
      <w:r>
        <w:t xml:space="preserve"> K </w:t>
      </w:r>
      <w:r w:rsidRPr="003C71AA">
        <w:t>Richards, ‘Children’s exposure to domestic violence in Australia’ (Research Paper No 419, Trends and Issues in Crime and Criminal Justice, Australian I</w:t>
      </w:r>
      <w:r>
        <w:t>nstitute of Criminology, 2011) 2</w:t>
      </w:r>
      <w:r w:rsidRPr="003D7654">
        <w:t xml:space="preserve"> </w:t>
      </w:r>
      <w:r>
        <w:t>&lt;</w:t>
      </w:r>
      <w:hyperlink r:id="rId130" w:history="1">
        <w:r w:rsidRPr="00D6108C">
          <w:rPr>
            <w:rStyle w:val="Hyperlink"/>
          </w:rPr>
          <w:t>http://aic.gov.au/publications/current%20series/tandi/401-420/tandi419.html</w:t>
        </w:r>
      </w:hyperlink>
      <w:r>
        <w:t>&gt;.</w:t>
      </w:r>
    </w:p>
  </w:endnote>
  <w:endnote w:id="444">
    <w:p w14:paraId="49D3EDF4" w14:textId="77777777" w:rsidR="00F008D2" w:rsidRPr="00136BA2" w:rsidRDefault="00F008D2" w:rsidP="000D1D92">
      <w:pPr>
        <w:pStyle w:val="EndnoteText"/>
      </w:pPr>
      <w:r>
        <w:rPr>
          <w:rStyle w:val="EndnoteReference"/>
        </w:rPr>
        <w:endnoteRef/>
      </w:r>
      <w:r>
        <w:t xml:space="preserve"> Australian Institute of Health and Welfare, </w:t>
      </w:r>
      <w:r>
        <w:rPr>
          <w:i/>
        </w:rPr>
        <w:t xml:space="preserve">Child Protection 2013-14 </w:t>
      </w:r>
      <w:r>
        <w:t>(2015), 22</w:t>
      </w:r>
      <w:r w:rsidRPr="00BE42DF">
        <w:t xml:space="preserve"> </w:t>
      </w:r>
      <w:r>
        <w:t>&lt;</w:t>
      </w:r>
      <w:hyperlink r:id="rId131" w:history="1">
        <w:r w:rsidRPr="00C76DBA">
          <w:rPr>
            <w:rStyle w:val="Hyperlink"/>
          </w:rPr>
          <w:t>http://www.aihw.gov.au/publication-detail/?id=60129550762</w:t>
        </w:r>
      </w:hyperlink>
      <w:r>
        <w:t>&gt;.</w:t>
      </w:r>
    </w:p>
  </w:endnote>
  <w:endnote w:id="445">
    <w:p w14:paraId="625C8E58" w14:textId="77777777" w:rsidR="00F008D2" w:rsidRDefault="00F008D2" w:rsidP="000D1D92">
      <w:pPr>
        <w:pStyle w:val="EndnoteText"/>
      </w:pPr>
      <w:r>
        <w:rPr>
          <w:rStyle w:val="EndnoteReference"/>
        </w:rPr>
        <w:endnoteRef/>
      </w:r>
      <w:r>
        <w:t xml:space="preserve"> </w:t>
      </w:r>
      <w:r w:rsidRPr="00C21DB9">
        <w:t xml:space="preserve">Tasmanian Government, Submission No 13 to Australian Human Rights Commission, </w:t>
      </w:r>
      <w:r w:rsidRPr="00C21DB9">
        <w:rPr>
          <w:i/>
          <w:iCs/>
        </w:rPr>
        <w:t>National Children’s Commissioner’s examination into children affected by family and domestic violence,</w:t>
      </w:r>
      <w:r w:rsidRPr="00C21DB9">
        <w:t xml:space="preserve"> 1.</w:t>
      </w:r>
    </w:p>
  </w:endnote>
  <w:endnote w:id="446">
    <w:p w14:paraId="13CDA49B" w14:textId="77777777" w:rsidR="00F008D2" w:rsidRDefault="00F008D2" w:rsidP="000D1D92">
      <w:pPr>
        <w:pStyle w:val="EndnoteText"/>
      </w:pPr>
      <w:r>
        <w:rPr>
          <w:rStyle w:val="EndnoteReference"/>
        </w:rPr>
        <w:endnoteRef/>
      </w:r>
      <w:r>
        <w:t xml:space="preserve"> </w:t>
      </w:r>
      <w:r w:rsidRPr="00132FF5">
        <w:t>Australian Bureau of Statistics, ‘</w:t>
      </w:r>
      <w:r>
        <w:t>Crime Victimisation, Australia, 2013-14’ 4530.0, 17 February 2015. &lt;</w:t>
      </w:r>
      <w:r w:rsidRPr="00FA488A">
        <w:t>http://www.abs.gov.au/ausstats/abs@.nsf/Lookup/by%20Subject/4530.0~2013-14~Main%20Features~Introduction~10002</w:t>
      </w:r>
      <w:r>
        <w:t>&gt;.</w:t>
      </w:r>
    </w:p>
  </w:endnote>
  <w:endnote w:id="447">
    <w:p w14:paraId="53309198" w14:textId="77777777" w:rsidR="00F008D2" w:rsidRDefault="00F008D2" w:rsidP="000D1D92">
      <w:pPr>
        <w:pStyle w:val="EndnoteText"/>
      </w:pPr>
      <w:r>
        <w:rPr>
          <w:rStyle w:val="EndnoteReference"/>
        </w:rPr>
        <w:endnoteRef/>
      </w:r>
      <w:r>
        <w:t xml:space="preserve"> </w:t>
      </w:r>
      <w:r w:rsidRPr="00132FF5">
        <w:t>Australian Bureau of Statistics, ‘</w:t>
      </w:r>
      <w:r>
        <w:t>Crime Victimisation, Australia, 2012-13’ 4530.0, 12 February 2014. &lt;</w:t>
      </w:r>
      <w:r w:rsidRPr="00FA488A">
        <w:t>http://www.abs.gov.au/ausstats/abs@.nsf/Lookup/4530.0main+features100022012-13</w:t>
      </w:r>
      <w:r>
        <w:t>&gt;.</w:t>
      </w:r>
    </w:p>
  </w:endnote>
  <w:endnote w:id="448">
    <w:p w14:paraId="094E5268" w14:textId="77777777" w:rsidR="00F008D2" w:rsidRPr="00BC6293" w:rsidRDefault="00F008D2" w:rsidP="000D1D92">
      <w:pPr>
        <w:pStyle w:val="EndnoteText"/>
      </w:pPr>
      <w:r>
        <w:rPr>
          <w:rStyle w:val="EndnoteReference"/>
        </w:rPr>
        <w:endnoteRef/>
      </w:r>
      <w:r>
        <w:t xml:space="preserve"> Western Australian Police: Office of Assistant Commissioner Judicial Services, Submission No 118 to </w:t>
      </w:r>
      <w:r w:rsidRPr="00017256">
        <w:t>Senate Finance and Public Administration References Committee</w:t>
      </w:r>
      <w:r>
        <w:t xml:space="preserve">, </w:t>
      </w:r>
      <w:r>
        <w:rPr>
          <w:i/>
        </w:rPr>
        <w:t xml:space="preserve">Inquiry into Domestic Violence in Australia, </w:t>
      </w:r>
      <w:r>
        <w:t>12 August 2014, 4 &lt;</w:t>
      </w:r>
      <w:hyperlink r:id="rId132" w:history="1">
        <w:r w:rsidRPr="00D6108C">
          <w:rPr>
            <w:rStyle w:val="Hyperlink"/>
          </w:rPr>
          <w:t>http://www.aph.gov.au/Parliamentary_Business/Committees/Senate/Finance_and_Public_Administration/Domestic_Violence/Submissions</w:t>
        </w:r>
      </w:hyperlink>
      <w:r>
        <w:t>&gt;.</w:t>
      </w:r>
    </w:p>
  </w:endnote>
  <w:endnote w:id="449">
    <w:p w14:paraId="1CBC1F9F" w14:textId="77777777" w:rsidR="00F008D2" w:rsidRPr="00AE0DBF" w:rsidRDefault="00F008D2" w:rsidP="000D1D92">
      <w:pPr>
        <w:pStyle w:val="EndnoteText"/>
        <w:rPr>
          <w:lang w:val="en-US"/>
        </w:rPr>
      </w:pPr>
      <w:r>
        <w:rPr>
          <w:rStyle w:val="EndnoteReference"/>
        </w:rPr>
        <w:endnoteRef/>
      </w:r>
      <w:r>
        <w:t xml:space="preserve"> </w:t>
      </w:r>
      <w:r>
        <w:rPr>
          <w:lang w:val="en-US"/>
        </w:rPr>
        <w:t xml:space="preserve">Australian Institute of Health and Welfare, </w:t>
      </w:r>
      <w:r w:rsidRPr="00C5253B">
        <w:rPr>
          <w:i/>
          <w:lang w:val="en-US"/>
        </w:rPr>
        <w:t>Specialist Homelessne</w:t>
      </w:r>
      <w:r>
        <w:rPr>
          <w:i/>
          <w:lang w:val="en-US"/>
        </w:rPr>
        <w:t>s</w:t>
      </w:r>
      <w:r w:rsidRPr="00C5253B">
        <w:rPr>
          <w:i/>
          <w:lang w:val="en-US"/>
        </w:rPr>
        <w:t>s Services</w:t>
      </w:r>
      <w:r>
        <w:rPr>
          <w:i/>
          <w:lang w:val="en-US"/>
        </w:rPr>
        <w:t xml:space="preserve"> 2013-14, </w:t>
      </w:r>
      <w:r>
        <w:rPr>
          <w:lang w:val="en-US"/>
        </w:rPr>
        <w:t>(2014) Cat No. HOU 276</w:t>
      </w:r>
    </w:p>
  </w:endnote>
  <w:endnote w:id="450">
    <w:p w14:paraId="7815E74E" w14:textId="77777777" w:rsidR="00F008D2" w:rsidRDefault="00F008D2" w:rsidP="000D1D92">
      <w:pPr>
        <w:pStyle w:val="EndnoteText"/>
      </w:pPr>
      <w:r w:rsidRPr="000A0E75">
        <w:rPr>
          <w:rStyle w:val="EndnoteReference"/>
        </w:rPr>
        <w:endnoteRef/>
      </w:r>
      <w:r w:rsidRPr="000A0E75">
        <w:t xml:space="preserve"> </w:t>
      </w:r>
      <w:r>
        <w:t xml:space="preserve">Sue </w:t>
      </w:r>
      <w:r w:rsidRPr="000A0E75">
        <w:t xml:space="preserve">Gordon, </w:t>
      </w:r>
      <w:r>
        <w:t xml:space="preserve">Kay </w:t>
      </w:r>
      <w:r w:rsidRPr="000A0E75">
        <w:t xml:space="preserve">Hallahan </w:t>
      </w:r>
      <w:r>
        <w:t>and Darryl</w:t>
      </w:r>
      <w:r w:rsidRPr="000A0E75">
        <w:t xml:space="preserve"> Henry, </w:t>
      </w:r>
      <w:r w:rsidRPr="00A33846">
        <w:t xml:space="preserve">Department of Premier and Cabinet (WA), </w:t>
      </w:r>
      <w:r w:rsidRPr="00A33846">
        <w:rPr>
          <w:i/>
        </w:rPr>
        <w:t xml:space="preserve">Putting the picture together, Inquiry into Response by Government Agencies to Complaints of Family Violence and Child Abuse in Aboriginal Communities </w:t>
      </w:r>
      <w:r w:rsidRPr="00A33846">
        <w:t>(2002) 48.</w:t>
      </w:r>
    </w:p>
  </w:endnote>
  <w:endnote w:id="451">
    <w:p w14:paraId="7B57A5A6" w14:textId="77777777" w:rsidR="00F008D2" w:rsidRPr="000A0E75" w:rsidRDefault="00F008D2" w:rsidP="000D1D92">
      <w:pPr>
        <w:pStyle w:val="EndnoteText"/>
      </w:pPr>
      <w:r w:rsidRPr="000A0E75">
        <w:rPr>
          <w:rStyle w:val="EndnoteReference"/>
        </w:rPr>
        <w:endnoteRef/>
      </w:r>
      <w:r w:rsidRPr="000A0E75">
        <w:t xml:space="preserve"> </w:t>
      </w:r>
      <w:r w:rsidRPr="00A33846">
        <w:t xml:space="preserve">Productivity Commission, </w:t>
      </w:r>
      <w:r w:rsidRPr="00A33846">
        <w:rPr>
          <w:i/>
          <w:iCs/>
        </w:rPr>
        <w:t xml:space="preserve">Overcoming Indigenous Disadvantage - Key Indicators 2014 </w:t>
      </w:r>
      <w:r w:rsidRPr="00A33846">
        <w:t>(2014) 93.</w:t>
      </w:r>
    </w:p>
  </w:endnote>
  <w:endnote w:id="452">
    <w:p w14:paraId="6C7ADD7E" w14:textId="77777777" w:rsidR="00F008D2" w:rsidRPr="000A0E75" w:rsidRDefault="00F008D2" w:rsidP="000D1D92">
      <w:pPr>
        <w:pStyle w:val="EndnoteText"/>
        <w:rPr>
          <w:lang w:val="en-US"/>
        </w:rPr>
      </w:pPr>
      <w:r w:rsidRPr="000A0E75">
        <w:rPr>
          <w:rStyle w:val="EndnoteReference"/>
        </w:rPr>
        <w:endnoteRef/>
      </w:r>
      <w:r w:rsidRPr="000A0E75">
        <w:t xml:space="preserve"> </w:t>
      </w:r>
      <w:r w:rsidRPr="00A33846">
        <w:t xml:space="preserve">Productivity Commission, </w:t>
      </w:r>
      <w:r w:rsidRPr="00A33846">
        <w:rPr>
          <w:i/>
          <w:iCs/>
        </w:rPr>
        <w:t xml:space="preserve">Overcoming Indigenous Disadvantage - Key Indicators 2014 </w:t>
      </w:r>
      <w:r w:rsidRPr="00A33846">
        <w:t>(2014)</w:t>
      </w:r>
      <w:r w:rsidRPr="000A0E75">
        <w:t xml:space="preserve"> 95.</w:t>
      </w:r>
    </w:p>
  </w:endnote>
  <w:endnote w:id="453">
    <w:p w14:paraId="40902548" w14:textId="77777777" w:rsidR="00F008D2" w:rsidRPr="000A0E75" w:rsidRDefault="00F008D2" w:rsidP="000D1D92">
      <w:pPr>
        <w:pStyle w:val="EndnoteText"/>
        <w:rPr>
          <w:lang w:val="en-US"/>
        </w:rPr>
      </w:pPr>
      <w:r w:rsidRPr="000A0E75">
        <w:rPr>
          <w:rStyle w:val="EndnoteReference"/>
        </w:rPr>
        <w:endnoteRef/>
      </w:r>
      <w:r w:rsidRPr="000A0E75">
        <w:t xml:space="preserve"> </w:t>
      </w:r>
      <w:r w:rsidRPr="00A33846">
        <w:t xml:space="preserve">Productivity Commission, </w:t>
      </w:r>
      <w:r w:rsidRPr="00A33846">
        <w:rPr>
          <w:i/>
          <w:iCs/>
        </w:rPr>
        <w:t xml:space="preserve">Overcoming Indigenous Disadvantage - Key Indicators 2014 </w:t>
      </w:r>
      <w:r w:rsidRPr="00A33846">
        <w:t xml:space="preserve">(2014) </w:t>
      </w:r>
      <w:r w:rsidRPr="000A0E75">
        <w:t>95.</w:t>
      </w:r>
    </w:p>
  </w:endnote>
  <w:endnote w:id="454">
    <w:p w14:paraId="74F31465" w14:textId="77777777" w:rsidR="00F008D2" w:rsidRPr="000A0E75" w:rsidRDefault="00F008D2" w:rsidP="000D1D92">
      <w:pPr>
        <w:pStyle w:val="EndnoteText"/>
        <w:rPr>
          <w:lang w:val="en-US"/>
        </w:rPr>
      </w:pPr>
      <w:r w:rsidRPr="000A0E75">
        <w:rPr>
          <w:rStyle w:val="EndnoteReference"/>
        </w:rPr>
        <w:endnoteRef/>
      </w:r>
      <w:r w:rsidRPr="000A0E75">
        <w:t xml:space="preserve"> </w:t>
      </w:r>
      <w:r w:rsidRPr="00A33846">
        <w:t xml:space="preserve">Productivity Commission, </w:t>
      </w:r>
      <w:r w:rsidRPr="00A33846">
        <w:rPr>
          <w:i/>
          <w:iCs/>
        </w:rPr>
        <w:t xml:space="preserve">Overcoming Indigenous Disadvantage - Key Indicators 2014 </w:t>
      </w:r>
      <w:r w:rsidRPr="00A33846">
        <w:t xml:space="preserve">(2014) </w:t>
      </w:r>
      <w:r w:rsidRPr="000A0E75">
        <w:t>95.</w:t>
      </w:r>
    </w:p>
  </w:endnote>
  <w:endnote w:id="455">
    <w:p w14:paraId="2C624D58" w14:textId="77777777" w:rsidR="00F008D2" w:rsidRPr="004C0323" w:rsidRDefault="00F008D2" w:rsidP="000D1D92">
      <w:pPr>
        <w:pStyle w:val="EndnoteText"/>
        <w:rPr>
          <w:lang w:val="en-US"/>
        </w:rPr>
      </w:pPr>
      <w:r w:rsidRPr="000A0E75">
        <w:rPr>
          <w:rStyle w:val="EndnoteReference"/>
        </w:rPr>
        <w:endnoteRef/>
      </w:r>
      <w:r w:rsidRPr="000A0E75">
        <w:t xml:space="preserve"> </w:t>
      </w:r>
      <w:r w:rsidRPr="00A33846">
        <w:t xml:space="preserve">Productivity Commission, </w:t>
      </w:r>
      <w:r w:rsidRPr="00A33846">
        <w:rPr>
          <w:i/>
          <w:iCs/>
        </w:rPr>
        <w:t xml:space="preserve">Overcoming Indigenous Disadvantage - Key Indicators 2014 </w:t>
      </w:r>
      <w:r w:rsidRPr="00A33846">
        <w:t xml:space="preserve">(2014) </w:t>
      </w:r>
      <w:r w:rsidRPr="000A0E75">
        <w:t>95.</w:t>
      </w:r>
    </w:p>
  </w:endnote>
  <w:endnote w:id="456">
    <w:p w14:paraId="523DFD1D" w14:textId="77777777" w:rsidR="00F008D2" w:rsidRDefault="00F008D2" w:rsidP="000D1D92">
      <w:pPr>
        <w:pStyle w:val="EndnoteText"/>
      </w:pPr>
      <w:r w:rsidRPr="000A0E75">
        <w:rPr>
          <w:rStyle w:val="EndnoteReference"/>
        </w:rPr>
        <w:endnoteRef/>
      </w:r>
      <w:r w:rsidRPr="000A0E75">
        <w:t xml:space="preserve"> </w:t>
      </w:r>
      <w:r w:rsidRPr="00A33846">
        <w:t xml:space="preserve">Australian Institute of Health and Welfare, </w:t>
      </w:r>
      <w:r w:rsidRPr="00A33846">
        <w:rPr>
          <w:i/>
        </w:rPr>
        <w:t>Child Protection Australia 2013-14</w:t>
      </w:r>
      <w:r w:rsidRPr="00A33846">
        <w:t xml:space="preserve"> (2015) 15 </w:t>
      </w:r>
      <w:hyperlink r:id="rId133" w:history="1">
        <w:r w:rsidRPr="00A33846">
          <w:rPr>
            <w:rStyle w:val="Hyperlink"/>
          </w:rPr>
          <w:t>http://www.aihw.gov.au/WorkArea/DownloadAsset.aspx?id=60129550859</w:t>
        </w:r>
      </w:hyperlink>
      <w:r w:rsidRPr="000A0E75">
        <w:rPr>
          <w:rStyle w:val="Hyperlink"/>
        </w:rPr>
        <w:t>.</w:t>
      </w:r>
    </w:p>
  </w:endnote>
  <w:endnote w:id="457">
    <w:p w14:paraId="2F241AB4" w14:textId="77777777" w:rsidR="00F008D2" w:rsidRPr="000F0BB1" w:rsidRDefault="00F008D2" w:rsidP="000D1D92">
      <w:pPr>
        <w:pStyle w:val="EndnoteText"/>
        <w:rPr>
          <w:lang w:val="en-US"/>
        </w:rPr>
      </w:pPr>
      <w:r>
        <w:rPr>
          <w:rStyle w:val="EndnoteReference"/>
        </w:rPr>
        <w:endnoteRef/>
      </w:r>
      <w:r>
        <w:t xml:space="preserve"> </w:t>
      </w:r>
      <w:r w:rsidRPr="00A33846">
        <w:t>S</w:t>
      </w:r>
      <w:r>
        <w:t xml:space="preserve"> </w:t>
      </w:r>
      <w:r w:rsidRPr="00A33846">
        <w:t>Tayton et al, Australian Institute of Family Studies,</w:t>
      </w:r>
      <w:r w:rsidRPr="00A33846">
        <w:rPr>
          <w:i/>
        </w:rPr>
        <w:t xml:space="preserve"> Groups and communities at risk of domestic and family violence: A review and evaluation of domestic and family violence prevention and early intervention services focusing on at-risk groups and communities</w:t>
      </w:r>
      <w:r w:rsidRPr="00A33846">
        <w:t xml:space="preserve"> (2014)</w:t>
      </w:r>
      <w:r w:rsidRPr="000A0E75">
        <w:t xml:space="preserve"> ix.</w:t>
      </w:r>
    </w:p>
  </w:endnote>
  <w:endnote w:id="458">
    <w:p w14:paraId="172124B7" w14:textId="77777777" w:rsidR="00F008D2" w:rsidRPr="005105EC" w:rsidRDefault="00F008D2" w:rsidP="000D1D92">
      <w:pPr>
        <w:pStyle w:val="EndnoteText"/>
        <w:rPr>
          <w:lang w:val="en-US"/>
        </w:rPr>
      </w:pPr>
      <w:r>
        <w:rPr>
          <w:rStyle w:val="EndnoteReference"/>
        </w:rPr>
        <w:endnoteRef/>
      </w:r>
      <w:r>
        <w:t xml:space="preserve"> </w:t>
      </w:r>
      <w:r>
        <w:rPr>
          <w:lang w:val="en-US"/>
        </w:rPr>
        <w:t xml:space="preserve">Tracy Cussen and Willow Bryant, ‘Domestic/family homicide in Australia’ </w:t>
      </w:r>
      <w:r w:rsidRPr="000A0E75">
        <w:rPr>
          <w:lang w:val="en-US"/>
        </w:rPr>
        <w:t xml:space="preserve">(Research Paper No </w:t>
      </w:r>
      <w:r>
        <w:rPr>
          <w:lang w:val="en-US"/>
        </w:rPr>
        <w:t>38</w:t>
      </w:r>
      <w:r w:rsidRPr="000A0E75">
        <w:rPr>
          <w:lang w:val="en-US"/>
        </w:rPr>
        <w:t>, Research in Practice Report, Australian Institute of Criminology, 201</w:t>
      </w:r>
      <w:r>
        <w:rPr>
          <w:lang w:val="en-US"/>
        </w:rPr>
        <w:t>5) 2 &lt;</w:t>
      </w:r>
      <w:hyperlink r:id="rId134" w:history="1">
        <w:r w:rsidRPr="00005063">
          <w:rPr>
            <w:rStyle w:val="Hyperlink"/>
            <w:lang w:val="en-US"/>
          </w:rPr>
          <w:t>http://www.aic.gov.au/publications/current%20series/rip/21-40/rip38.html</w:t>
        </w:r>
      </w:hyperlink>
      <w:r>
        <w:rPr>
          <w:lang w:val="en-US"/>
        </w:rPr>
        <w:t>&gt;.</w:t>
      </w:r>
    </w:p>
  </w:endnote>
  <w:endnote w:id="459">
    <w:p w14:paraId="6D8A323B" w14:textId="77777777" w:rsidR="00F008D2" w:rsidRPr="005105EC" w:rsidRDefault="00F008D2" w:rsidP="000D1D92">
      <w:pPr>
        <w:pStyle w:val="EndnoteText"/>
        <w:rPr>
          <w:lang w:val="en-US"/>
        </w:rPr>
      </w:pPr>
      <w:r>
        <w:rPr>
          <w:rStyle w:val="EndnoteReference"/>
        </w:rPr>
        <w:endnoteRef/>
      </w:r>
      <w:r>
        <w:t xml:space="preserve"> </w:t>
      </w:r>
      <w:r>
        <w:rPr>
          <w:lang w:val="en-US"/>
        </w:rPr>
        <w:t xml:space="preserve">Tracy Cussen and Willow Bryant, ‘Domestic/family homicide in Australia’ </w:t>
      </w:r>
      <w:r w:rsidRPr="000A0E75">
        <w:rPr>
          <w:lang w:val="en-US"/>
        </w:rPr>
        <w:t xml:space="preserve">(Research Paper No </w:t>
      </w:r>
      <w:r>
        <w:rPr>
          <w:lang w:val="en-US"/>
        </w:rPr>
        <w:t>38</w:t>
      </w:r>
      <w:r w:rsidRPr="000A0E75">
        <w:rPr>
          <w:lang w:val="en-US"/>
        </w:rPr>
        <w:t>, Research in Practice Report, Australian Institute of Criminology, 201</w:t>
      </w:r>
      <w:r>
        <w:rPr>
          <w:lang w:val="en-US"/>
        </w:rPr>
        <w:t>5) 4 &lt;</w:t>
      </w:r>
      <w:hyperlink r:id="rId135" w:history="1">
        <w:r w:rsidRPr="00005063">
          <w:rPr>
            <w:rStyle w:val="Hyperlink"/>
            <w:lang w:val="en-US"/>
          </w:rPr>
          <w:t>http://www.aic.gov.au/publications/current%20series/rip/21-40/rip38.html</w:t>
        </w:r>
      </w:hyperlink>
      <w:r>
        <w:rPr>
          <w:lang w:val="en-US"/>
        </w:rPr>
        <w:t>&gt;.</w:t>
      </w:r>
    </w:p>
  </w:endnote>
  <w:endnote w:id="460">
    <w:p w14:paraId="69B5F2A6" w14:textId="77777777" w:rsidR="00F008D2" w:rsidRPr="005105EC" w:rsidRDefault="00F008D2" w:rsidP="000D1D92">
      <w:pPr>
        <w:pStyle w:val="EndnoteText"/>
        <w:rPr>
          <w:lang w:val="en-US"/>
        </w:rPr>
      </w:pPr>
      <w:r>
        <w:rPr>
          <w:rStyle w:val="EndnoteReference"/>
        </w:rPr>
        <w:endnoteRef/>
      </w:r>
      <w:r>
        <w:t xml:space="preserve"> </w:t>
      </w:r>
      <w:r>
        <w:rPr>
          <w:lang w:val="en-US"/>
        </w:rPr>
        <w:t xml:space="preserve">Tracy Cussen and Willow Bryant, ‘Domestic/family homicide in Australia’ </w:t>
      </w:r>
      <w:r w:rsidRPr="000A0E75">
        <w:rPr>
          <w:lang w:val="en-US"/>
        </w:rPr>
        <w:t xml:space="preserve">(Research Paper No </w:t>
      </w:r>
      <w:r>
        <w:rPr>
          <w:lang w:val="en-US"/>
        </w:rPr>
        <w:t>38</w:t>
      </w:r>
      <w:r w:rsidRPr="000A0E75">
        <w:rPr>
          <w:lang w:val="en-US"/>
        </w:rPr>
        <w:t>, Research in Practice Report, Australian Institute of Criminology, 201</w:t>
      </w:r>
      <w:r>
        <w:rPr>
          <w:lang w:val="en-US"/>
        </w:rPr>
        <w:t>5) 4 &lt;</w:t>
      </w:r>
      <w:hyperlink r:id="rId136" w:history="1">
        <w:r w:rsidRPr="00005063">
          <w:rPr>
            <w:rStyle w:val="Hyperlink"/>
            <w:lang w:val="en-US"/>
          </w:rPr>
          <w:t>http://www.aic.gov.au/publications/current%20series/rip/21-40/rip38.html</w:t>
        </w:r>
      </w:hyperlink>
      <w:r>
        <w:rPr>
          <w:lang w:val="en-US"/>
        </w:rPr>
        <w:t>&gt;.</w:t>
      </w:r>
    </w:p>
  </w:endnote>
  <w:endnote w:id="461">
    <w:p w14:paraId="042AB5D5" w14:textId="77777777" w:rsidR="00F008D2" w:rsidRPr="005105EC" w:rsidRDefault="00F008D2" w:rsidP="000D1D92">
      <w:pPr>
        <w:pStyle w:val="EndnoteText"/>
        <w:rPr>
          <w:lang w:val="en-US"/>
        </w:rPr>
      </w:pPr>
      <w:r>
        <w:rPr>
          <w:rStyle w:val="EndnoteReference"/>
        </w:rPr>
        <w:endnoteRef/>
      </w:r>
      <w:r>
        <w:t xml:space="preserve"> </w:t>
      </w:r>
      <w:r>
        <w:rPr>
          <w:lang w:val="en-US"/>
        </w:rPr>
        <w:t xml:space="preserve">Tracy Cussen and Willow Bryant, ‘Domestic/family homicide in Australia’ </w:t>
      </w:r>
      <w:r w:rsidRPr="000A0E75">
        <w:rPr>
          <w:lang w:val="en-US"/>
        </w:rPr>
        <w:t xml:space="preserve">(Research Paper No </w:t>
      </w:r>
      <w:r>
        <w:rPr>
          <w:lang w:val="en-US"/>
        </w:rPr>
        <w:t>38</w:t>
      </w:r>
      <w:r w:rsidRPr="000A0E75">
        <w:rPr>
          <w:lang w:val="en-US"/>
        </w:rPr>
        <w:t>, Research in Practice Report, Australian Institute of Criminology, 201</w:t>
      </w:r>
      <w:r>
        <w:rPr>
          <w:lang w:val="en-US"/>
        </w:rPr>
        <w:t>5) 5 &lt;</w:t>
      </w:r>
      <w:hyperlink r:id="rId137" w:history="1">
        <w:r w:rsidRPr="00005063">
          <w:rPr>
            <w:rStyle w:val="Hyperlink"/>
            <w:lang w:val="en-US"/>
          </w:rPr>
          <w:t>http://www.aic.gov.au/publications/current%20series/rip/21-40/rip38.html</w:t>
        </w:r>
      </w:hyperlink>
      <w:r>
        <w:rPr>
          <w:lang w:val="en-US"/>
        </w:rPr>
        <w:t>&gt;.</w:t>
      </w:r>
    </w:p>
  </w:endnote>
  <w:endnote w:id="462">
    <w:p w14:paraId="758E5297" w14:textId="77777777" w:rsidR="00F008D2" w:rsidRPr="00126905" w:rsidRDefault="00F008D2" w:rsidP="000D1D92">
      <w:pPr>
        <w:pStyle w:val="EndnoteText"/>
        <w:rPr>
          <w:lang w:val="en-US"/>
        </w:rPr>
      </w:pPr>
      <w:r>
        <w:rPr>
          <w:rStyle w:val="EndnoteReference"/>
        </w:rPr>
        <w:endnoteRef/>
      </w:r>
      <w:r>
        <w:t xml:space="preserve"> </w:t>
      </w:r>
      <w:r>
        <w:rPr>
          <w:lang w:val="en-US"/>
        </w:rPr>
        <w:t xml:space="preserve">Tracy Cussen and Willow Bryant, ‘Domestic/family homicide in Australia’ </w:t>
      </w:r>
      <w:r w:rsidRPr="000A0E75">
        <w:rPr>
          <w:lang w:val="en-US"/>
        </w:rPr>
        <w:t xml:space="preserve">(Research Paper No </w:t>
      </w:r>
      <w:r>
        <w:rPr>
          <w:lang w:val="en-US"/>
        </w:rPr>
        <w:t>38</w:t>
      </w:r>
      <w:r w:rsidRPr="000A0E75">
        <w:rPr>
          <w:lang w:val="en-US"/>
        </w:rPr>
        <w:t>, Research in Practice Report, Australian Institute of Criminology, 201</w:t>
      </w:r>
      <w:r>
        <w:rPr>
          <w:lang w:val="en-US"/>
        </w:rPr>
        <w:t>5) 6 &lt;</w:t>
      </w:r>
      <w:hyperlink r:id="rId138" w:history="1">
        <w:r w:rsidRPr="00005063">
          <w:rPr>
            <w:rStyle w:val="Hyperlink"/>
            <w:lang w:val="en-US"/>
          </w:rPr>
          <w:t>http://www.aic.gov.au/publications/current%20series/rip/21-40/rip38.html</w:t>
        </w:r>
      </w:hyperlink>
      <w:r>
        <w:rPr>
          <w:lang w:val="en-US"/>
        </w:rPr>
        <w:t>&gt;.</w:t>
      </w:r>
    </w:p>
  </w:endnote>
  <w:endnote w:id="463">
    <w:p w14:paraId="70035D1E" w14:textId="77777777" w:rsidR="00F008D2" w:rsidRDefault="00F008D2" w:rsidP="000D1D92">
      <w:pPr>
        <w:pStyle w:val="EndnoteText"/>
      </w:pPr>
      <w:r>
        <w:rPr>
          <w:rStyle w:val="EndnoteReference"/>
        </w:rPr>
        <w:endnoteRef/>
      </w:r>
      <w:r>
        <w:t xml:space="preserve"> See for example </w:t>
      </w:r>
      <w:r w:rsidRPr="008E074C">
        <w:t xml:space="preserve">The 2006 World Report on Violence against Children for the United Nations Secretary-General (the UN World Report) </w:t>
      </w:r>
      <w:r>
        <w:t xml:space="preserve">: P </w:t>
      </w:r>
      <w:r w:rsidRPr="0066045E">
        <w:t>Pinheiro, Independent Expert for the United Nations Secretary-General’s Study on Violence against Children, World Report on Violence Against Children, GA Res 62/141 (11 October 2006) 70. &lt;</w:t>
      </w:r>
      <w:hyperlink r:id="rId139" w:history="1">
        <w:r w:rsidRPr="00D6108C">
          <w:rPr>
            <w:rStyle w:val="Hyperlink"/>
          </w:rPr>
          <w:t>http://www.ohchr.org/EN/HRBodies/CRC/Study/Pages/StudyViolenceChildren.aspx</w:t>
        </w:r>
      </w:hyperlink>
      <w:r w:rsidRPr="0066045E">
        <w:t>&gt;</w:t>
      </w:r>
      <w:r>
        <w:t>.</w:t>
      </w:r>
    </w:p>
  </w:endnote>
  <w:endnote w:id="464">
    <w:p w14:paraId="4C184840" w14:textId="77777777" w:rsidR="00F008D2" w:rsidRDefault="00F008D2" w:rsidP="000D1D92">
      <w:pPr>
        <w:pStyle w:val="EndnoteText"/>
      </w:pPr>
      <w:r>
        <w:rPr>
          <w:rStyle w:val="EndnoteReference"/>
        </w:rPr>
        <w:endnoteRef/>
      </w:r>
      <w:r>
        <w:t xml:space="preserve"> </w:t>
      </w:r>
      <w:r w:rsidRPr="008B011A">
        <w:t>Committee on the Rights of the Child,</w:t>
      </w:r>
      <w:r>
        <w:t xml:space="preserve"> </w:t>
      </w:r>
      <w:r w:rsidRPr="008B011A">
        <w:rPr>
          <w:i/>
          <w:iCs/>
        </w:rPr>
        <w:t xml:space="preserve">Concluding </w:t>
      </w:r>
      <w:r>
        <w:rPr>
          <w:i/>
          <w:iCs/>
        </w:rPr>
        <w:t>O</w:t>
      </w:r>
      <w:r w:rsidRPr="008B011A">
        <w:rPr>
          <w:i/>
          <w:iCs/>
        </w:rPr>
        <w:t>bservations</w:t>
      </w:r>
      <w:r w:rsidRPr="000905C8">
        <w:rPr>
          <w:i/>
        </w:rPr>
        <w:t xml:space="preserve"> </w:t>
      </w:r>
      <w:r w:rsidRPr="000C3E16">
        <w:rPr>
          <w:i/>
        </w:rPr>
        <w:t>of the Committee on the Rights of the Child</w:t>
      </w:r>
      <w:r w:rsidRPr="008B011A">
        <w:rPr>
          <w:i/>
          <w:iCs/>
        </w:rPr>
        <w:t>: Australia</w:t>
      </w:r>
      <w:r w:rsidRPr="008B011A">
        <w:t>, 60</w:t>
      </w:r>
      <w:r w:rsidRPr="008B011A">
        <w:rPr>
          <w:vertAlign w:val="superscript"/>
        </w:rPr>
        <w:t>th</w:t>
      </w:r>
      <w:r>
        <w:t xml:space="preserve"> </w:t>
      </w:r>
      <w:r w:rsidRPr="008B011A">
        <w:t xml:space="preserve">sess, UN Doc CRC/C/AUS/CO/4 (28 August 2012) </w:t>
      </w:r>
      <w:r>
        <w:t>[</w:t>
      </w:r>
      <w:r w:rsidRPr="008B011A">
        <w:t>46</w:t>
      </w:r>
      <w:r>
        <w:t>]</w:t>
      </w:r>
      <w:r w:rsidRPr="008B011A">
        <w:t>.</w:t>
      </w:r>
    </w:p>
  </w:endnote>
  <w:endnote w:id="465">
    <w:p w14:paraId="5A989EEF" w14:textId="77777777" w:rsidR="00F008D2" w:rsidRDefault="00F008D2" w:rsidP="000D1D92">
      <w:pPr>
        <w:pStyle w:val="EndnoteText"/>
      </w:pPr>
      <w:r>
        <w:rPr>
          <w:rStyle w:val="EndnoteReference"/>
        </w:rPr>
        <w:endnoteRef/>
      </w:r>
      <w:r>
        <w:t xml:space="preserve"> </w:t>
      </w:r>
      <w:r>
        <w:rPr>
          <w:i/>
          <w:iCs/>
        </w:rPr>
        <w:t>Convention on the Rights of the Child</w:t>
      </w:r>
      <w:r>
        <w:t>, opened for signature 20 November 1989,</w:t>
      </w:r>
      <w:r w:rsidRPr="00A311F7">
        <w:t xml:space="preserve"> 1577 UNTS 3</w:t>
      </w:r>
      <w:r>
        <w:t xml:space="preserve"> </w:t>
      </w:r>
      <w:r w:rsidRPr="000C7AD8">
        <w:t>(entered into force 2 September 1990)</w:t>
      </w:r>
      <w:r>
        <w:t xml:space="preserve"> Article 19.</w:t>
      </w:r>
    </w:p>
  </w:endnote>
  <w:endnote w:id="466">
    <w:p w14:paraId="2C160EF1" w14:textId="77777777" w:rsidR="00F008D2" w:rsidRDefault="00F008D2" w:rsidP="000D1D92">
      <w:pPr>
        <w:pStyle w:val="EndnoteText"/>
      </w:pPr>
      <w:r>
        <w:rPr>
          <w:rStyle w:val="EndnoteReference"/>
        </w:rPr>
        <w:endnoteRef/>
      </w:r>
      <w:r>
        <w:t xml:space="preserve"> Committee on the Rights of the Child, </w:t>
      </w:r>
      <w:r>
        <w:rPr>
          <w:i/>
        </w:rPr>
        <w:t>General Comment No 13: The right of the child to freedom from all forms of violence</w:t>
      </w:r>
      <w:r>
        <w:t>, 56</w:t>
      </w:r>
      <w:r w:rsidRPr="00E652DC">
        <w:rPr>
          <w:vertAlign w:val="superscript"/>
        </w:rPr>
        <w:t>th</w:t>
      </w:r>
      <w:r>
        <w:t xml:space="preserve"> sess, UN Doc CRC/C/GC/13 (18 April 2011) [59–63].</w:t>
      </w:r>
    </w:p>
  </w:endnote>
  <w:endnote w:id="467">
    <w:p w14:paraId="6547FE67" w14:textId="77777777" w:rsidR="00F008D2" w:rsidRDefault="00F008D2" w:rsidP="000D1D92">
      <w:pPr>
        <w:pStyle w:val="EndnoteText"/>
      </w:pPr>
      <w:r>
        <w:rPr>
          <w:rStyle w:val="EndnoteReference"/>
        </w:rPr>
        <w:endnoteRef/>
      </w:r>
      <w:r>
        <w:t xml:space="preserve"> Committee on the Rights of the Child, </w:t>
      </w:r>
      <w:r>
        <w:rPr>
          <w:i/>
        </w:rPr>
        <w:t>General Comment No 13: The right of the child to freedom from all forms of violence</w:t>
      </w:r>
      <w:r>
        <w:t>, 56</w:t>
      </w:r>
      <w:r w:rsidRPr="00E652DC">
        <w:rPr>
          <w:vertAlign w:val="superscript"/>
        </w:rPr>
        <w:t>th</w:t>
      </w:r>
      <w:r>
        <w:t xml:space="preserve"> sess, UN Doc CRC/C/GC/13 (18 April 2011) [45–57].</w:t>
      </w:r>
    </w:p>
  </w:endnote>
  <w:endnote w:id="468">
    <w:p w14:paraId="15F7A0DE" w14:textId="77777777" w:rsidR="00F008D2" w:rsidRPr="00B45766" w:rsidRDefault="00F008D2" w:rsidP="000D1D92">
      <w:pPr>
        <w:pStyle w:val="EndnoteText"/>
        <w:rPr>
          <w:lang w:val="en-US"/>
        </w:rPr>
      </w:pPr>
      <w:r>
        <w:rPr>
          <w:rStyle w:val="EndnoteReference"/>
        </w:rPr>
        <w:endnoteRef/>
      </w:r>
      <w:r>
        <w:t xml:space="preserve"> Committee on the Rights of the Child, </w:t>
      </w:r>
      <w:r>
        <w:rPr>
          <w:i/>
        </w:rPr>
        <w:t>General Comment No 8: The right of the child to protection from corporal punishment and other cruel or degrading forms of punishment</w:t>
      </w:r>
      <w:r>
        <w:t>, 42</w:t>
      </w:r>
      <w:r w:rsidRPr="0080372C">
        <w:rPr>
          <w:vertAlign w:val="superscript"/>
        </w:rPr>
        <w:t>nd</w:t>
      </w:r>
      <w:r>
        <w:t xml:space="preserve"> sess, UN Doc CRC/C/GC/8 (2 March 2007) [46].</w:t>
      </w:r>
    </w:p>
  </w:endnote>
  <w:endnote w:id="469">
    <w:p w14:paraId="57E32A41" w14:textId="77777777" w:rsidR="00F008D2" w:rsidRPr="00A83E98" w:rsidRDefault="00F008D2" w:rsidP="000D1D92">
      <w:pPr>
        <w:pStyle w:val="EndnoteText"/>
        <w:rPr>
          <w:lang w:val="en-US"/>
        </w:rPr>
      </w:pPr>
      <w:r>
        <w:rPr>
          <w:rStyle w:val="EndnoteReference"/>
        </w:rPr>
        <w:endnoteRef/>
      </w:r>
      <w:r>
        <w:t xml:space="preserve"> </w:t>
      </w:r>
      <w:r>
        <w:rPr>
          <w:lang w:val="en-US"/>
        </w:rPr>
        <w:t>Australian Bureau of Statistics, ‘</w:t>
      </w:r>
      <w:r w:rsidRPr="00A33846">
        <w:rPr>
          <w:lang w:val="en-US"/>
        </w:rPr>
        <w:t>Bridging the data gaps for family, domestic and sexual violence</w:t>
      </w:r>
      <w:r>
        <w:rPr>
          <w:lang w:val="en-US"/>
        </w:rPr>
        <w:t>’ (4529.0.00.002, 25 November 2013) &lt;</w:t>
      </w:r>
      <w:hyperlink r:id="rId140" w:history="1">
        <w:r w:rsidRPr="00D6108C">
          <w:rPr>
            <w:rStyle w:val="Hyperlink"/>
            <w:lang w:val="en-US"/>
          </w:rPr>
          <w:t>http://www.abs.gov.au/ausstats/abs@.nsf/mf/4529.0.00.002</w:t>
        </w:r>
      </w:hyperlink>
      <w:r>
        <w:rPr>
          <w:lang w:val="en-US"/>
        </w:rPr>
        <w:t>&gt;.</w:t>
      </w:r>
    </w:p>
  </w:endnote>
  <w:endnote w:id="470">
    <w:p w14:paraId="40D8F600" w14:textId="77777777" w:rsidR="00F008D2" w:rsidRDefault="00F008D2" w:rsidP="000D1D92">
      <w:pPr>
        <w:pStyle w:val="EndnoteText"/>
      </w:pPr>
      <w:r>
        <w:rPr>
          <w:rStyle w:val="EndnoteReference"/>
        </w:rPr>
        <w:endnoteRef/>
      </w:r>
      <w:r>
        <w:t xml:space="preserve"> Australian Bureau of Statistics, ‘</w:t>
      </w:r>
      <w:r w:rsidRPr="00667D5C">
        <w:t>Recorded Crime - Victims, Australia, 2013</w:t>
      </w:r>
      <w:r>
        <w:t xml:space="preserve"> – Explanatory Notes’ (</w:t>
      </w:r>
      <w:r w:rsidRPr="00667D5C">
        <w:t>4510.0</w:t>
      </w:r>
      <w:r>
        <w:t>, 26 June 2014) [17-21] &lt;</w:t>
      </w:r>
      <w:hyperlink r:id="rId141" w:history="1">
        <w:r w:rsidRPr="00EA5D8E">
          <w:rPr>
            <w:rStyle w:val="Hyperlink"/>
          </w:rPr>
          <w:t>http://www.abs.gov.au/AUSSTATS/abs@.nsf/Lookup/4510.0Explanatory%20Notes12013?OpenDocument</w:t>
        </w:r>
      </w:hyperlink>
      <w:r>
        <w:t>&gt;.</w:t>
      </w:r>
    </w:p>
  </w:endnote>
  <w:endnote w:id="471">
    <w:p w14:paraId="5E62378A" w14:textId="77777777" w:rsidR="00F008D2" w:rsidRDefault="00F008D2" w:rsidP="000D1D92">
      <w:pPr>
        <w:pStyle w:val="EndnoteText"/>
      </w:pPr>
      <w:r>
        <w:rPr>
          <w:rStyle w:val="EndnoteReference"/>
        </w:rPr>
        <w:endnoteRef/>
      </w:r>
      <w:r>
        <w:t xml:space="preserve"> Email from ABS National Centre for Crime and Justice Statistics to Australian Human Rights Commission, 13 March 2015.</w:t>
      </w:r>
    </w:p>
  </w:endnote>
  <w:endnote w:id="472">
    <w:p w14:paraId="78F9854B" w14:textId="77777777" w:rsidR="00F008D2" w:rsidRDefault="00F008D2" w:rsidP="000D1D92">
      <w:pPr>
        <w:pStyle w:val="EndnoteText"/>
      </w:pPr>
      <w:r>
        <w:rPr>
          <w:rStyle w:val="EndnoteReference"/>
        </w:rPr>
        <w:endnoteRef/>
      </w:r>
      <w:r>
        <w:t xml:space="preserve"> Australian Bureau of Statistics, ‘</w:t>
      </w:r>
      <w:r w:rsidRPr="000C467D">
        <w:t>Personal Safety, Australia, 201</w:t>
      </w:r>
      <w:r>
        <w:t>2 – Introduction’ (4906.0, 11 December 2013) &lt;</w:t>
      </w:r>
      <w:hyperlink r:id="rId142" w:history="1">
        <w:r w:rsidRPr="00EA5D8E">
          <w:rPr>
            <w:rStyle w:val="Hyperlink"/>
          </w:rPr>
          <w:t>http://www.abs.gov.au/ausstats/abs@.nsf/Lookup/4906.0Chapter1002012</w:t>
        </w:r>
      </w:hyperlink>
      <w:r>
        <w:t>&gt;.</w:t>
      </w:r>
    </w:p>
  </w:endnote>
  <w:endnote w:id="473">
    <w:p w14:paraId="177B781F" w14:textId="77777777" w:rsidR="00F008D2" w:rsidRPr="00E7430E" w:rsidRDefault="00F008D2" w:rsidP="000D1D92">
      <w:pPr>
        <w:pStyle w:val="EndnoteText"/>
        <w:rPr>
          <w:rFonts w:cs="Arial"/>
          <w:lang w:val="en-US"/>
        </w:rPr>
      </w:pPr>
      <w:r w:rsidRPr="00E7430E">
        <w:rPr>
          <w:rStyle w:val="EndnoteReference"/>
          <w:rFonts w:cs="Arial"/>
        </w:rPr>
        <w:endnoteRef/>
      </w:r>
      <w:r w:rsidRPr="00E7430E">
        <w:rPr>
          <w:rFonts w:cs="Arial"/>
        </w:rPr>
        <w:t xml:space="preserve"> D</w:t>
      </w:r>
      <w:r>
        <w:rPr>
          <w:rFonts w:cs="Arial"/>
        </w:rPr>
        <w:t>ale</w:t>
      </w:r>
      <w:r w:rsidRPr="00E7430E">
        <w:rPr>
          <w:rFonts w:cs="Arial"/>
        </w:rPr>
        <w:t xml:space="preserve"> </w:t>
      </w:r>
      <w:r w:rsidRPr="00E7430E">
        <w:rPr>
          <w:rFonts w:cs="Arial"/>
          <w:lang w:val="en-US"/>
        </w:rPr>
        <w:t>Bagshaw</w:t>
      </w:r>
      <w:r>
        <w:rPr>
          <w:rFonts w:cs="Arial"/>
          <w:lang w:val="en-US"/>
        </w:rPr>
        <w:t xml:space="preserve"> et al, </w:t>
      </w:r>
      <w:r w:rsidRPr="00E7430E">
        <w:rPr>
          <w:rFonts w:cs="Arial"/>
          <w:lang w:val="en-US"/>
        </w:rPr>
        <w:t>University of South Australia</w:t>
      </w:r>
      <w:r>
        <w:rPr>
          <w:rFonts w:cs="Arial"/>
          <w:lang w:val="en-US"/>
        </w:rPr>
        <w:t xml:space="preserve">, </w:t>
      </w:r>
      <w:r w:rsidRPr="00A33846">
        <w:rPr>
          <w:rFonts w:cs="Arial"/>
          <w:i/>
          <w:lang w:val="en-US"/>
        </w:rPr>
        <w:t>Reshaping Responses to Domestic Violence: Final Report</w:t>
      </w:r>
      <w:r w:rsidRPr="00E7430E">
        <w:rPr>
          <w:rFonts w:cs="Arial"/>
          <w:lang w:val="en-US"/>
        </w:rPr>
        <w:t xml:space="preserve"> </w:t>
      </w:r>
      <w:r>
        <w:rPr>
          <w:rFonts w:cs="Arial"/>
          <w:lang w:val="en-US"/>
        </w:rPr>
        <w:t>(</w:t>
      </w:r>
      <w:r w:rsidRPr="00E7430E">
        <w:rPr>
          <w:rFonts w:cs="Arial"/>
          <w:lang w:val="en-US"/>
        </w:rPr>
        <w:t>2000</w:t>
      </w:r>
      <w:r>
        <w:rPr>
          <w:rFonts w:cs="Arial"/>
          <w:lang w:val="en-US"/>
        </w:rPr>
        <w:t>) 68.</w:t>
      </w:r>
    </w:p>
  </w:endnote>
  <w:endnote w:id="474">
    <w:p w14:paraId="76BC0A0F" w14:textId="77777777" w:rsidR="00F008D2" w:rsidRPr="00D6579F" w:rsidRDefault="00F008D2" w:rsidP="000D1D92">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8</w:t>
      </w:r>
      <w:r w:rsidRPr="00E4369B">
        <w:t>.</w:t>
      </w:r>
    </w:p>
  </w:endnote>
  <w:endnote w:id="475">
    <w:p w14:paraId="26DAE89F" w14:textId="77777777" w:rsidR="00F008D2" w:rsidRPr="00E4369B" w:rsidRDefault="00F008D2" w:rsidP="000D1D92">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3</w:t>
      </w:r>
      <w:r w:rsidRPr="00E4369B">
        <w:t>.</w:t>
      </w:r>
    </w:p>
  </w:endnote>
  <w:endnote w:id="476">
    <w:p w14:paraId="371AE950" w14:textId="77777777" w:rsidR="00F008D2" w:rsidRPr="00E45EB0" w:rsidRDefault="00F008D2" w:rsidP="000D1D92">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4</w:t>
      </w:r>
      <w:r w:rsidRPr="00E4369B">
        <w:t xml:space="preserve">. </w:t>
      </w:r>
    </w:p>
  </w:endnote>
  <w:endnote w:id="477">
    <w:p w14:paraId="1E757BD4" w14:textId="77777777" w:rsidR="00F008D2" w:rsidRPr="00A95C86" w:rsidRDefault="00F008D2" w:rsidP="000D1D92">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4</w:t>
      </w:r>
      <w:r w:rsidRPr="00E4369B">
        <w:t xml:space="preserve">. </w:t>
      </w:r>
    </w:p>
  </w:endnote>
  <w:endnote w:id="478">
    <w:p w14:paraId="1C1C3EB9" w14:textId="77777777" w:rsidR="00F008D2" w:rsidRDefault="00F008D2" w:rsidP="000D1D92">
      <w:pPr>
        <w:pStyle w:val="EndnoteText"/>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3–4</w:t>
      </w:r>
      <w:r w:rsidRPr="00E4369B">
        <w:t xml:space="preserve">. </w:t>
      </w:r>
    </w:p>
  </w:endnote>
  <w:endnote w:id="479">
    <w:p w14:paraId="029EF65C" w14:textId="77777777" w:rsidR="00F008D2" w:rsidRPr="005F1FCD" w:rsidRDefault="00F008D2" w:rsidP="000D1D92">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3</w:t>
      </w:r>
      <w:r w:rsidRPr="00E4369B">
        <w:t>.</w:t>
      </w:r>
    </w:p>
  </w:endnote>
  <w:endnote w:id="480">
    <w:p w14:paraId="275DCEE9" w14:textId="77777777" w:rsidR="00F008D2" w:rsidRDefault="00F008D2" w:rsidP="000D1D92">
      <w:pPr>
        <w:pStyle w:val="EndnoteText"/>
      </w:pPr>
      <w:r>
        <w:rPr>
          <w:rStyle w:val="EndnoteReference"/>
        </w:rPr>
        <w:endnoteRef/>
      </w:r>
      <w:r>
        <w:t xml:space="preserve"> See Appendix 8.</w:t>
      </w:r>
    </w:p>
  </w:endnote>
  <w:endnote w:id="481">
    <w:p w14:paraId="54D78FEC" w14:textId="77777777" w:rsidR="00F008D2" w:rsidRDefault="00F008D2" w:rsidP="000D1D92">
      <w:pPr>
        <w:pStyle w:val="EndnoteText"/>
      </w:pPr>
      <w:r>
        <w:rPr>
          <w:rStyle w:val="EndnoteReference"/>
        </w:rPr>
        <w:endnoteRef/>
      </w:r>
      <w:r>
        <w:t xml:space="preserve"> See Appendix 9.</w:t>
      </w:r>
    </w:p>
  </w:endnote>
  <w:endnote w:id="482">
    <w:p w14:paraId="6CB921F4" w14:textId="77777777" w:rsidR="00F008D2" w:rsidRDefault="00F008D2" w:rsidP="000D1D92">
      <w:pPr>
        <w:pStyle w:val="EndnoteText"/>
      </w:pPr>
      <w:r>
        <w:rPr>
          <w:rStyle w:val="EndnoteReference"/>
        </w:rPr>
        <w:endnoteRef/>
      </w:r>
      <w:r>
        <w:t xml:space="preserve"> See Appendix 10.</w:t>
      </w:r>
    </w:p>
  </w:endnote>
  <w:endnote w:id="483">
    <w:p w14:paraId="155889F3" w14:textId="77777777" w:rsidR="00F008D2" w:rsidRDefault="00F008D2" w:rsidP="000D1D92">
      <w:pPr>
        <w:pStyle w:val="EndnoteText"/>
      </w:pPr>
      <w:r>
        <w:rPr>
          <w:rStyle w:val="EndnoteReference"/>
        </w:rPr>
        <w:endnoteRef/>
      </w:r>
      <w:r>
        <w:t xml:space="preserve"> See Appendix 11.</w:t>
      </w:r>
    </w:p>
  </w:endnote>
  <w:endnote w:id="484">
    <w:p w14:paraId="00B0EFF2" w14:textId="77777777" w:rsidR="00F008D2" w:rsidRPr="00D277C7" w:rsidRDefault="00F008D2" w:rsidP="000D1D92">
      <w:pPr>
        <w:pStyle w:val="EndnoteText"/>
        <w:rPr>
          <w:lang w:val="en-US"/>
        </w:rPr>
      </w:pPr>
      <w:r>
        <w:rPr>
          <w:rStyle w:val="EndnoteReference"/>
        </w:rPr>
        <w:endnoteRef/>
      </w:r>
      <w:r>
        <w:t xml:space="preserve"> </w:t>
      </w:r>
      <w:r>
        <w:rPr>
          <w:lang w:val="en"/>
        </w:rPr>
        <w:t>Janet Phillips and Penny Vandenbroek, ‘Domestic, family and sexual violence in Australia: an overview of the issues’ (Research Paper Series</w:t>
      </w:r>
      <w:r w:rsidRPr="008C425F">
        <w:rPr>
          <w:lang w:val="en"/>
        </w:rPr>
        <w:t xml:space="preserve"> 2014–15</w:t>
      </w:r>
      <w:r>
        <w:rPr>
          <w:lang w:val="en"/>
        </w:rPr>
        <w:t>, Parliamentary Library, Parliament of Australia, 2014) 1</w:t>
      </w:r>
      <w:r>
        <w:t xml:space="preserve"> </w:t>
      </w:r>
      <w:hyperlink r:id="rId143" w:history="1">
        <w:r w:rsidRPr="00D6108C">
          <w:rPr>
            <w:rStyle w:val="Hyperlink"/>
            <w:lang w:val="en"/>
          </w:rPr>
          <w:t>http://www.aph.gov.au/About_Parliament/Parliamentary_Departments/Parliamentary_Library/pubs/rp/rp1415/ViolenceAust</w:t>
        </w:r>
      </w:hyperlink>
      <w:r>
        <w:rPr>
          <w:lang w:val="en"/>
        </w:rPr>
        <w:t>&gt;.</w:t>
      </w:r>
    </w:p>
  </w:endnote>
  <w:endnote w:id="485">
    <w:p w14:paraId="1EF1C107" w14:textId="77777777" w:rsidR="00F008D2" w:rsidRDefault="00F008D2" w:rsidP="000D1D92">
      <w:pPr>
        <w:pStyle w:val="EndnoteText"/>
      </w:pPr>
      <w:r>
        <w:rPr>
          <w:rStyle w:val="EndnoteReference"/>
        </w:rPr>
        <w:endnoteRef/>
      </w:r>
      <w:r>
        <w:t xml:space="preserve"> </w:t>
      </w:r>
      <w:r w:rsidRPr="00A42570">
        <w:t xml:space="preserve">Queensland Government, </w:t>
      </w:r>
      <w:r w:rsidRPr="00A33846">
        <w:rPr>
          <w:i/>
        </w:rPr>
        <w:t>Not Now, Not Ever – Putting an End to Domestic and Family Violence in Queensland</w:t>
      </w:r>
      <w:r>
        <w:t xml:space="preserve"> (2015) 71 &lt;</w:t>
      </w:r>
      <w:hyperlink r:id="rId144" w:history="1">
        <w:r w:rsidRPr="00D6108C">
          <w:rPr>
            <w:rStyle w:val="Hyperlink"/>
          </w:rPr>
          <w:t>https://www.qld.gov.au/community/getting-support-health-social-issue/dfv-read-report-recommendation/index.html</w:t>
        </w:r>
      </w:hyperlink>
      <w:r>
        <w:t>&gt;.</w:t>
      </w:r>
    </w:p>
  </w:endnote>
  <w:endnote w:id="486">
    <w:p w14:paraId="3B86E02B" w14:textId="77777777" w:rsidR="00F008D2" w:rsidRDefault="00F008D2" w:rsidP="000D1D92">
      <w:pPr>
        <w:pStyle w:val="EndnoteText"/>
      </w:pPr>
      <w:r>
        <w:rPr>
          <w:rStyle w:val="EndnoteReference"/>
        </w:rPr>
        <w:endnoteRef/>
      </w:r>
      <w:r>
        <w:t xml:space="preserve"> Australian Bureau of Statistics, </w:t>
      </w:r>
      <w:r w:rsidRPr="00A33846">
        <w:rPr>
          <w:i/>
        </w:rPr>
        <w:t>Defining the Data Challenge for Family, Domestic and Sexual Violence, 2013</w:t>
      </w:r>
      <w:r>
        <w:t xml:space="preserve"> (</w:t>
      </w:r>
      <w:r w:rsidRPr="0083541E">
        <w:t>2013</w:t>
      </w:r>
      <w:r>
        <w:t xml:space="preserve">) 3. </w:t>
      </w:r>
    </w:p>
  </w:endnote>
  <w:endnote w:id="487">
    <w:p w14:paraId="4052A08F" w14:textId="77777777" w:rsidR="00F008D2" w:rsidRPr="00607DA5" w:rsidRDefault="00F008D2" w:rsidP="000D1D92">
      <w:pPr>
        <w:pStyle w:val="EndnoteText"/>
      </w:pPr>
      <w:r>
        <w:rPr>
          <w:rStyle w:val="EndnoteReference"/>
        </w:rPr>
        <w:endnoteRef/>
      </w:r>
      <w:r>
        <w:t xml:space="preserve"> National Aboriginal and Torres Strait Islander Legal Services (NATSILS), Submission No 10 to Australian Human Rights Commission, </w:t>
      </w:r>
      <w:r>
        <w:rPr>
          <w:i/>
        </w:rPr>
        <w:t xml:space="preserve">National Children’s Commissioner’s examination into children affected by family and domestic violence, </w:t>
      </w:r>
      <w:r w:rsidRPr="00FE544C">
        <w:t>1 June 2015</w:t>
      </w:r>
      <w:r>
        <w:t>, 9.</w:t>
      </w:r>
    </w:p>
  </w:endnote>
  <w:endnote w:id="488">
    <w:p w14:paraId="3CE66252" w14:textId="77777777" w:rsidR="00F008D2" w:rsidRPr="00263FE8" w:rsidRDefault="00F008D2" w:rsidP="000D1D92">
      <w:pPr>
        <w:pStyle w:val="EndnoteText"/>
        <w:jc w:val="both"/>
        <w:rPr>
          <w:lang w:val="en-US"/>
        </w:rPr>
      </w:pPr>
      <w:r>
        <w:rPr>
          <w:rStyle w:val="EndnoteReference"/>
        </w:rPr>
        <w:endnoteRef/>
      </w:r>
      <w:r>
        <w:t xml:space="preserve"> National Aboriginal and Torres Strait Islander Legal Services (NATSILS), Submission No 10 to Australian Human Rights Commission, </w:t>
      </w:r>
      <w:r>
        <w:rPr>
          <w:i/>
        </w:rPr>
        <w:t xml:space="preserve">National Children’s Commissioner’s examination into children affected by family and domestic violence, </w:t>
      </w:r>
      <w:r w:rsidRPr="00FE544C">
        <w:t>1 June 2015</w:t>
      </w:r>
      <w:r>
        <w:t>, 18.</w:t>
      </w:r>
    </w:p>
  </w:endnote>
  <w:endnote w:id="489">
    <w:p w14:paraId="6D56AB7E" w14:textId="77777777" w:rsidR="00F008D2" w:rsidRPr="00B07A37" w:rsidRDefault="00F008D2" w:rsidP="000D1D92">
      <w:pPr>
        <w:pStyle w:val="EndnoteText"/>
        <w:jc w:val="both"/>
        <w:rPr>
          <w:lang w:val="en-US"/>
        </w:rPr>
      </w:pPr>
      <w:r>
        <w:rPr>
          <w:rStyle w:val="EndnoteReference"/>
        </w:rPr>
        <w:endnoteRef/>
      </w:r>
      <w:r>
        <w:t xml:space="preserve"> </w:t>
      </w:r>
      <w:r>
        <w:rPr>
          <w:lang w:val="en-US"/>
        </w:rPr>
        <w:t xml:space="preserve">Relationships Australia (NSW), Submission No 36 </w:t>
      </w:r>
      <w:r>
        <w:t xml:space="preserve">to Australian Human Rights Commission, </w:t>
      </w:r>
      <w:r>
        <w:rPr>
          <w:i/>
        </w:rPr>
        <w:t xml:space="preserve">National Children’s Commissioner’s examination into children affected by family and domestic violence, </w:t>
      </w:r>
      <w:r w:rsidRPr="00A33846">
        <w:t>17 June</w:t>
      </w:r>
      <w:r>
        <w:rPr>
          <w:i/>
        </w:rPr>
        <w:t xml:space="preserve"> </w:t>
      </w:r>
      <w:r>
        <w:t xml:space="preserve">2015, </w:t>
      </w:r>
      <w:r>
        <w:rPr>
          <w:lang w:val="en-US"/>
        </w:rPr>
        <w:t>5.</w:t>
      </w:r>
    </w:p>
  </w:endnote>
  <w:endnote w:id="490">
    <w:p w14:paraId="30FDFA75" w14:textId="77777777" w:rsidR="00F008D2" w:rsidRPr="00A9495D" w:rsidRDefault="00F008D2" w:rsidP="000D1D92">
      <w:pPr>
        <w:pStyle w:val="EndnoteText"/>
        <w:jc w:val="both"/>
        <w:rPr>
          <w:lang w:val="en-US"/>
        </w:rPr>
      </w:pPr>
      <w:r>
        <w:rPr>
          <w:rStyle w:val="EndnoteReference"/>
        </w:rPr>
        <w:endnoteRef/>
      </w:r>
      <w:r>
        <w:t xml:space="preserve"> </w:t>
      </w:r>
      <w:r>
        <w:rPr>
          <w:lang w:val="en-US"/>
        </w:rPr>
        <w:t xml:space="preserve">Children with Disability Australia, </w:t>
      </w:r>
      <w:r>
        <w:rPr>
          <w:rFonts w:cs="Arial"/>
        </w:rPr>
        <w:t xml:space="preserve">Submission No 19 </w:t>
      </w:r>
      <w:r>
        <w:t xml:space="preserve">to Australian Human Rights Commission, </w:t>
      </w:r>
      <w:r>
        <w:rPr>
          <w:i/>
        </w:rPr>
        <w:t xml:space="preserve">National Children’s Commissioner’s examination into children affected by family and domestic violence, </w:t>
      </w:r>
      <w:r>
        <w:t>11 June 2015,</w:t>
      </w:r>
      <w:r w:rsidDel="003A07DF">
        <w:rPr>
          <w:lang w:val="en-US"/>
        </w:rPr>
        <w:t xml:space="preserve"> </w:t>
      </w:r>
      <w:r>
        <w:rPr>
          <w:rFonts w:cs="Arial"/>
        </w:rPr>
        <w:t>1.</w:t>
      </w:r>
    </w:p>
  </w:endnote>
  <w:endnote w:id="491">
    <w:p w14:paraId="1A7E33BF" w14:textId="77777777" w:rsidR="00F008D2" w:rsidRPr="000D0035" w:rsidRDefault="00F008D2" w:rsidP="000D1D92">
      <w:pPr>
        <w:pStyle w:val="EndnoteText"/>
        <w:rPr>
          <w:lang w:val="en-US"/>
        </w:rPr>
      </w:pPr>
      <w:r>
        <w:rPr>
          <w:rStyle w:val="EndnoteReference"/>
        </w:rPr>
        <w:endnoteRef/>
      </w:r>
      <w:r>
        <w:t xml:space="preserve"> </w:t>
      </w:r>
      <w:r w:rsidRPr="00872F87">
        <w:t>Andrew Jackomos, Commissioner for Aboriginal Children and Young people (Victoria)</w:t>
      </w:r>
      <w:r>
        <w:t xml:space="preserve">, </w:t>
      </w:r>
      <w:r w:rsidRPr="008029D3">
        <w:rPr>
          <w:lang w:val="en-US"/>
        </w:rPr>
        <w:t xml:space="preserve">Submission </w:t>
      </w:r>
      <w:r>
        <w:rPr>
          <w:lang w:val="en-US"/>
        </w:rPr>
        <w:t>No 35</w:t>
      </w:r>
      <w:r w:rsidRPr="008029D3">
        <w:rPr>
          <w:lang w:val="en-US"/>
        </w:rPr>
        <w:t xml:space="preserve"> </w:t>
      </w:r>
      <w:r w:rsidRPr="008029D3">
        <w:t xml:space="preserve">to Australian Human Rights Commission, </w:t>
      </w:r>
      <w:r w:rsidRPr="008029D3">
        <w:rPr>
          <w:i/>
        </w:rPr>
        <w:t>National Children’s Commissioner’s examination into children affected b</w:t>
      </w:r>
      <w:r>
        <w:rPr>
          <w:i/>
        </w:rPr>
        <w:t>y family and domestic violence</w:t>
      </w:r>
      <w:r>
        <w:t>, 15 June 2015, 6</w:t>
      </w:r>
      <w:r w:rsidRPr="008029D3">
        <w:rPr>
          <w:lang w:val="en-US"/>
        </w:rPr>
        <w:t>.</w:t>
      </w:r>
    </w:p>
  </w:endnote>
  <w:endnote w:id="492">
    <w:p w14:paraId="7693E6AC" w14:textId="77777777" w:rsidR="00F008D2" w:rsidRPr="00A751F6" w:rsidRDefault="00F008D2" w:rsidP="000D1D92">
      <w:pPr>
        <w:pStyle w:val="EndnoteText"/>
        <w:rPr>
          <w:lang w:val="en-US"/>
        </w:rPr>
      </w:pPr>
      <w:r>
        <w:rPr>
          <w:rStyle w:val="EndnoteReference"/>
        </w:rPr>
        <w:endnoteRef/>
      </w:r>
      <w:r>
        <w:t xml:space="preserve"> </w:t>
      </w:r>
      <w:r w:rsidRPr="008C7DF3">
        <w:t>National Aboriginal and Torres Strait Islander Women’s Alliance (NATSIWA)</w:t>
      </w:r>
      <w:r>
        <w:t xml:space="preserve">, </w:t>
      </w:r>
      <w:r w:rsidRPr="008029D3">
        <w:rPr>
          <w:lang w:val="en-US"/>
        </w:rPr>
        <w:t xml:space="preserve">Submission </w:t>
      </w:r>
      <w:r>
        <w:rPr>
          <w:lang w:val="en-US"/>
        </w:rPr>
        <w:t xml:space="preserve">No 42 </w:t>
      </w:r>
      <w:r w:rsidRPr="008029D3">
        <w:t xml:space="preserve">to Australian Human Rights Commission, </w:t>
      </w:r>
      <w:r w:rsidRPr="008029D3">
        <w:rPr>
          <w:i/>
        </w:rPr>
        <w:t>National Children’s Commissioner’s examination into children affected b</w:t>
      </w:r>
      <w:r>
        <w:rPr>
          <w:i/>
        </w:rPr>
        <w:t>y family and domestic violence</w:t>
      </w:r>
      <w:r>
        <w:t>, 23 June 2015, 17</w:t>
      </w:r>
      <w:r w:rsidRPr="008029D3">
        <w:rPr>
          <w:lang w:val="en-US"/>
        </w:rPr>
        <w:t>.</w:t>
      </w:r>
    </w:p>
  </w:endnote>
  <w:endnote w:id="493">
    <w:p w14:paraId="23054ED8" w14:textId="77777777" w:rsidR="00F008D2" w:rsidRPr="0025523A" w:rsidRDefault="00F008D2" w:rsidP="000D1D92">
      <w:pPr>
        <w:pStyle w:val="EndnoteText"/>
        <w:rPr>
          <w:lang w:val="en-US"/>
        </w:rPr>
      </w:pPr>
      <w:r>
        <w:rPr>
          <w:rStyle w:val="EndnoteReference"/>
        </w:rPr>
        <w:endnoteRef/>
      </w:r>
      <w:r>
        <w:t xml:space="preserve"> </w:t>
      </w:r>
      <w:r w:rsidRPr="00F170F0">
        <w:t>Aboriginal Family Law Services</w:t>
      </w:r>
      <w:r>
        <w:t xml:space="preserve"> (WA), </w:t>
      </w:r>
      <w:r w:rsidRPr="008029D3">
        <w:rPr>
          <w:lang w:val="en-US"/>
        </w:rPr>
        <w:t xml:space="preserve">Submission </w:t>
      </w:r>
      <w:r>
        <w:rPr>
          <w:lang w:val="en-US"/>
        </w:rPr>
        <w:t>No 29</w:t>
      </w:r>
      <w:r w:rsidRPr="008029D3">
        <w:rPr>
          <w:lang w:val="en-US"/>
        </w:rPr>
        <w:t xml:space="preserve"> </w:t>
      </w:r>
      <w:r w:rsidRPr="008029D3">
        <w:t xml:space="preserve">to Australian Human Rights Commission, </w:t>
      </w:r>
      <w:r w:rsidRPr="008029D3">
        <w:rPr>
          <w:i/>
        </w:rPr>
        <w:t>National Children’s Commissioner’s examination into children affected b</w:t>
      </w:r>
      <w:r>
        <w:rPr>
          <w:i/>
        </w:rPr>
        <w:t>y family and domestic violence</w:t>
      </w:r>
      <w:r>
        <w:t>, 15 June 2015, 12</w:t>
      </w:r>
      <w:r w:rsidRPr="008029D3">
        <w:rPr>
          <w:lang w:val="en-US"/>
        </w:rPr>
        <w:t>.</w:t>
      </w:r>
    </w:p>
  </w:endnote>
  <w:endnote w:id="494">
    <w:p w14:paraId="1DAE7FC6" w14:textId="77777777" w:rsidR="00F008D2" w:rsidRPr="00FE544C" w:rsidRDefault="00F008D2" w:rsidP="000D1D92">
      <w:pPr>
        <w:pStyle w:val="EndnoteText"/>
        <w:rPr>
          <w:lang w:val="en-US"/>
        </w:rPr>
      </w:pPr>
      <w:r>
        <w:rPr>
          <w:rStyle w:val="EndnoteReference"/>
        </w:rPr>
        <w:endnoteRef/>
      </w:r>
      <w:r>
        <w:t xml:space="preserve"> </w:t>
      </w:r>
      <w:r w:rsidRPr="00FE544C">
        <w:t>National Aboriginal and Torres Strait Islander Services (NATSILS), Submission</w:t>
      </w:r>
      <w:r>
        <w:t xml:space="preserve"> No</w:t>
      </w:r>
      <w:r w:rsidRPr="00FE544C">
        <w:t xml:space="preserve"> 10 to Australian Human Rights Commission, National Children’s Commissioner’s examination into children affected by family and domestic violence, 1 June 2015, 19.</w:t>
      </w:r>
    </w:p>
  </w:endnote>
  <w:endnote w:id="495">
    <w:p w14:paraId="4A689776" w14:textId="77777777" w:rsidR="00F008D2" w:rsidRPr="0054742E" w:rsidRDefault="00F008D2" w:rsidP="000D1D92">
      <w:pPr>
        <w:pStyle w:val="EndnoteText"/>
        <w:rPr>
          <w:lang w:val="en-US"/>
        </w:rPr>
      </w:pPr>
      <w:r>
        <w:rPr>
          <w:rStyle w:val="EndnoteReference"/>
        </w:rPr>
        <w:endnoteRef/>
      </w:r>
      <w:r>
        <w:t xml:space="preserve"> </w:t>
      </w:r>
      <w:r w:rsidRPr="00F16B66">
        <w:t>National LGBTI Health Alliance</w:t>
      </w:r>
      <w:r>
        <w:t xml:space="preserve">, </w:t>
      </w:r>
      <w:r>
        <w:rPr>
          <w:lang w:val="en-US"/>
        </w:rPr>
        <w:t>Submission No 49</w:t>
      </w:r>
      <w:r w:rsidRPr="00F76AEE">
        <w:rPr>
          <w:lang w:val="en-US"/>
        </w:rPr>
        <w:t xml:space="preserve"> </w:t>
      </w:r>
      <w:r w:rsidRPr="00F76AEE">
        <w:t>to</w:t>
      </w:r>
      <w:r>
        <w:t xml:space="preserve"> Australian Human Rights Commission, </w:t>
      </w:r>
      <w:r>
        <w:rPr>
          <w:i/>
        </w:rPr>
        <w:t xml:space="preserve">National Children’s Commissioner’s examination into children affected by family and domestic violence, </w:t>
      </w:r>
      <w:r>
        <w:t xml:space="preserve">21 July 2015, </w:t>
      </w:r>
      <w:r>
        <w:rPr>
          <w:lang w:val="en-US"/>
        </w:rPr>
        <w:t>7.</w:t>
      </w:r>
    </w:p>
  </w:endnote>
  <w:endnote w:id="496">
    <w:p w14:paraId="29875D1D" w14:textId="77777777" w:rsidR="00F008D2" w:rsidRDefault="00F008D2" w:rsidP="000D1D92">
      <w:pPr>
        <w:pStyle w:val="EndnoteText"/>
        <w:jc w:val="both"/>
      </w:pPr>
      <w:r>
        <w:rPr>
          <w:rStyle w:val="EndnoteReference"/>
        </w:rPr>
        <w:endnoteRef/>
      </w:r>
      <w:r w:rsidRPr="00836B28">
        <w:t xml:space="preserve">Australian Bureau of Statistics, </w:t>
      </w:r>
      <w:r w:rsidRPr="00836B28">
        <w:rPr>
          <w:i/>
        </w:rPr>
        <w:t>Defining the Data Challenge for Family, Domestic and Sexual Violence, Australia</w:t>
      </w:r>
      <w:r>
        <w:t xml:space="preserve">, </w:t>
      </w:r>
      <w:r w:rsidRPr="00A33846">
        <w:rPr>
          <w:i/>
        </w:rPr>
        <w:t>2013</w:t>
      </w:r>
      <w:r>
        <w:t xml:space="preserve"> (2013)</w:t>
      </w:r>
      <w:r w:rsidRPr="002C5FE5">
        <w:t xml:space="preserve"> 9</w:t>
      </w:r>
      <w:r>
        <w:t>.</w:t>
      </w:r>
    </w:p>
  </w:endnote>
  <w:endnote w:id="497">
    <w:p w14:paraId="490BF3CE" w14:textId="77777777" w:rsidR="00F008D2" w:rsidRPr="005904B8" w:rsidRDefault="00F008D2" w:rsidP="000D1D92">
      <w:pPr>
        <w:pStyle w:val="EndnoteText"/>
        <w:jc w:val="both"/>
      </w:pPr>
      <w:r>
        <w:rPr>
          <w:rStyle w:val="EndnoteReference"/>
        </w:rPr>
        <w:endnoteRef/>
      </w:r>
      <w:r>
        <w:t xml:space="preserve"> </w:t>
      </w:r>
      <w:r w:rsidRPr="00836B28">
        <w:t>Australian Bureau of Statistics</w:t>
      </w:r>
      <w:r>
        <w:t>,</w:t>
      </w:r>
      <w:r w:rsidDel="00B46023">
        <w:t xml:space="preserve"> </w:t>
      </w:r>
      <w:r>
        <w:t xml:space="preserve">‘ABS releases a foundation for improved family and domestic violence statistics’ (Media Release, 139/2014, 30 September 2014). </w:t>
      </w:r>
    </w:p>
  </w:endnote>
  <w:endnote w:id="498">
    <w:p w14:paraId="6A95109B" w14:textId="77777777" w:rsidR="00F008D2" w:rsidRDefault="00F008D2" w:rsidP="000D1D92">
      <w:pPr>
        <w:pStyle w:val="EndnoteText"/>
      </w:pPr>
      <w:r>
        <w:rPr>
          <w:rStyle w:val="EndnoteReference"/>
        </w:rPr>
        <w:endnoteRef/>
      </w:r>
      <w:r>
        <w:t xml:space="preserve"> </w:t>
      </w:r>
      <w:r w:rsidRPr="00836B28">
        <w:t xml:space="preserve">Australian Bureau of Statistics, </w:t>
      </w:r>
      <w:r w:rsidRPr="00836B28">
        <w:rPr>
          <w:i/>
        </w:rPr>
        <w:t>Defining the Data Challenge for Family, Domestic and Sexual Violence, Australia</w:t>
      </w:r>
      <w:r>
        <w:t xml:space="preserve">, </w:t>
      </w:r>
      <w:r w:rsidRPr="00212D3C">
        <w:rPr>
          <w:i/>
        </w:rPr>
        <w:t>2013</w:t>
      </w:r>
      <w:r>
        <w:t xml:space="preserve"> (2013) </w:t>
      </w:r>
      <w:r w:rsidRPr="00895A48">
        <w:t>6</w:t>
      </w:r>
      <w:r>
        <w:t>.</w:t>
      </w:r>
    </w:p>
  </w:endnote>
  <w:endnote w:id="499">
    <w:p w14:paraId="73AB044A" w14:textId="77777777" w:rsidR="00F008D2" w:rsidRDefault="00F008D2" w:rsidP="000D1D92">
      <w:pPr>
        <w:pStyle w:val="EndnoteText"/>
      </w:pPr>
      <w:r>
        <w:rPr>
          <w:rStyle w:val="EndnoteReference"/>
        </w:rPr>
        <w:endnoteRef/>
      </w:r>
      <w:r>
        <w:t xml:space="preserve"> </w:t>
      </w:r>
      <w:r w:rsidRPr="00836B28">
        <w:t xml:space="preserve">Australian Bureau of Statistics, </w:t>
      </w:r>
      <w:r w:rsidRPr="00836B28">
        <w:rPr>
          <w:i/>
        </w:rPr>
        <w:t>Defining the Data Challenge for Family, Domestic and Sexual Violence, Australia</w:t>
      </w:r>
      <w:r>
        <w:t xml:space="preserve">, </w:t>
      </w:r>
      <w:r w:rsidRPr="00212D3C">
        <w:rPr>
          <w:i/>
        </w:rPr>
        <w:t>2013</w:t>
      </w:r>
      <w:r>
        <w:t xml:space="preserve"> (2013) </w:t>
      </w:r>
      <w:r w:rsidRPr="00895A48">
        <w:t>2</w:t>
      </w:r>
      <w:r>
        <w:t>.</w:t>
      </w:r>
    </w:p>
  </w:endnote>
  <w:endnote w:id="500">
    <w:p w14:paraId="02D08000" w14:textId="77777777" w:rsidR="00F008D2" w:rsidRPr="007C024A" w:rsidRDefault="00F008D2" w:rsidP="000D1D92">
      <w:pPr>
        <w:pStyle w:val="EndnoteText"/>
        <w:rPr>
          <w:lang w:val="en-US"/>
        </w:rPr>
      </w:pPr>
      <w:r>
        <w:rPr>
          <w:rStyle w:val="EndnoteReference"/>
        </w:rPr>
        <w:endnoteRef/>
      </w:r>
      <w:r>
        <w:t xml:space="preserve"> </w:t>
      </w:r>
      <w:r w:rsidRPr="00212D3C">
        <w:t xml:space="preserve">Australian Bureau of Statistics, </w:t>
      </w:r>
      <w:r w:rsidRPr="00212D3C">
        <w:rPr>
          <w:i/>
        </w:rPr>
        <w:t>Foundation for a National Data Collection and Reporting Framework for family, domestic and sexual violence: Summary</w:t>
      </w:r>
      <w:r w:rsidRPr="00212D3C">
        <w:t xml:space="preserve"> (2014) 2. </w:t>
      </w:r>
    </w:p>
  </w:endnote>
  <w:endnote w:id="501">
    <w:p w14:paraId="13CB2FE2" w14:textId="77777777" w:rsidR="00F008D2" w:rsidRPr="005904B8" w:rsidRDefault="00F008D2" w:rsidP="000D1D92">
      <w:pPr>
        <w:pStyle w:val="EndnoteText"/>
      </w:pPr>
      <w:r>
        <w:rPr>
          <w:rStyle w:val="EndnoteReference"/>
        </w:rPr>
        <w:endnoteRef/>
      </w:r>
      <w:r>
        <w:t xml:space="preserve"> </w:t>
      </w:r>
      <w:r w:rsidRPr="00836B28">
        <w:t>Australian Bureau of Statistics</w:t>
      </w:r>
      <w:r>
        <w:t>,</w:t>
      </w:r>
      <w:r w:rsidDel="00B46023">
        <w:t xml:space="preserve"> </w:t>
      </w:r>
      <w:r>
        <w:t xml:space="preserve">‘ABS releases a foundation for improved family and domestic violence statistics’ (Media Release, 139/2014, 30 September 2014). </w:t>
      </w:r>
    </w:p>
  </w:endnote>
  <w:endnote w:id="502">
    <w:p w14:paraId="74F8A733" w14:textId="77777777" w:rsidR="00F008D2" w:rsidRPr="007C024A" w:rsidRDefault="00F008D2" w:rsidP="000D1D92">
      <w:pPr>
        <w:pStyle w:val="EndnoteText"/>
        <w:rPr>
          <w:lang w:val="en-US"/>
        </w:rPr>
      </w:pPr>
      <w:r>
        <w:rPr>
          <w:rStyle w:val="EndnoteReference"/>
        </w:rPr>
        <w:endnoteRef/>
      </w:r>
      <w:r>
        <w:t xml:space="preserve"> Australian Bureau of Statistics ‘Foundation for a National Data Collection and Reporting Framework for family, domestic and sexual violence, 2014 – The Way Forward’ (</w:t>
      </w:r>
      <w:r w:rsidRPr="001D3BD9">
        <w:t>4529.0.00.003</w:t>
      </w:r>
      <w:r>
        <w:t>, 30 November 2014) &lt;</w:t>
      </w:r>
      <w:hyperlink r:id="rId145" w:history="1">
        <w:r w:rsidRPr="0028701A">
          <w:rPr>
            <w:rStyle w:val="Hyperlink"/>
          </w:rPr>
          <w:t>http://www.abs.gov.au/ausstats/abs@.nsf/Lookup/by%20Subject/4529.0.00.003~2014~Main%20Features~The%20Way%20Forward~8</w:t>
        </w:r>
      </w:hyperlink>
      <w:r>
        <w:t>&gt;</w:t>
      </w:r>
    </w:p>
  </w:endnote>
  <w:endnote w:id="503">
    <w:p w14:paraId="023345EB" w14:textId="77777777" w:rsidR="00F008D2" w:rsidRPr="005904B8" w:rsidRDefault="00F008D2" w:rsidP="000D1D92">
      <w:pPr>
        <w:pStyle w:val="EndnoteText"/>
        <w:jc w:val="both"/>
      </w:pPr>
      <w:r>
        <w:rPr>
          <w:rStyle w:val="EndnoteReference"/>
        </w:rPr>
        <w:endnoteRef/>
      </w:r>
      <w:r>
        <w:t xml:space="preserve"> </w:t>
      </w:r>
      <w:r w:rsidRPr="00836B28">
        <w:t>Australian Bureau of Statistics</w:t>
      </w:r>
      <w:r>
        <w:t>,</w:t>
      </w:r>
      <w:r w:rsidDel="00B46023">
        <w:t xml:space="preserve"> </w:t>
      </w:r>
      <w:r>
        <w:t xml:space="preserve">‘ABS releases a foundation for improved family and domestic violence statistics’ (Media Release, 139/2014, 30 September 2014). </w:t>
      </w:r>
    </w:p>
  </w:endnote>
  <w:endnote w:id="504">
    <w:p w14:paraId="040DFB8D" w14:textId="77777777" w:rsidR="00F008D2" w:rsidRPr="005904B8" w:rsidRDefault="00F008D2" w:rsidP="000D1D92">
      <w:pPr>
        <w:pStyle w:val="EndnoteText"/>
        <w:jc w:val="both"/>
      </w:pPr>
      <w:r w:rsidRPr="001071D7">
        <w:rPr>
          <w:rStyle w:val="EndnoteReference"/>
        </w:rPr>
        <w:endnoteRef/>
      </w:r>
      <w:r w:rsidRPr="001071D7">
        <w:t xml:space="preserve"> </w:t>
      </w:r>
      <w:r w:rsidRPr="00B00E18">
        <w:t xml:space="preserve">Australian Bureau of Statistics, </w:t>
      </w:r>
      <w:r w:rsidRPr="00A33846">
        <w:rPr>
          <w:i/>
        </w:rPr>
        <w:t>Foundation for a National Data Collection and Reporting Framework for family, domestic and sexual violence: Summary</w:t>
      </w:r>
      <w:r w:rsidRPr="001071D7">
        <w:t xml:space="preserve"> </w:t>
      </w:r>
      <w:r w:rsidRPr="00A33846">
        <w:t>(</w:t>
      </w:r>
      <w:r w:rsidRPr="001071D7">
        <w:t>2014</w:t>
      </w:r>
      <w:r w:rsidRPr="00A33846">
        <w:t>)</w:t>
      </w:r>
      <w:r w:rsidRPr="001071D7">
        <w:t xml:space="preserve"> 2</w:t>
      </w:r>
      <w:r>
        <w:t xml:space="preserve">; Senate Finance and Public Administration References Committee, Parliament of Australia, </w:t>
      </w:r>
      <w:r>
        <w:rPr>
          <w:i/>
        </w:rPr>
        <w:t xml:space="preserve">Domestic Violence in Australia: Interim Report, </w:t>
      </w:r>
      <w:r>
        <w:t>(2015), 1.52</w:t>
      </w:r>
    </w:p>
  </w:endnote>
  <w:endnote w:id="505">
    <w:p w14:paraId="27780606" w14:textId="77777777" w:rsidR="00F008D2" w:rsidRPr="007F6F7C" w:rsidRDefault="00F008D2" w:rsidP="000D1D92">
      <w:pPr>
        <w:pStyle w:val="EndnoteText"/>
        <w:rPr>
          <w:lang w:val="en-US"/>
        </w:rPr>
      </w:pPr>
      <w:r>
        <w:rPr>
          <w:rStyle w:val="EndnoteReference"/>
        </w:rPr>
        <w:endnoteRef/>
      </w:r>
      <w:r>
        <w:t xml:space="preserve"> </w:t>
      </w:r>
      <w:r>
        <w:rPr>
          <w:lang w:val="en-US"/>
        </w:rPr>
        <w:t xml:space="preserve">New South Wales Government, </w:t>
      </w:r>
      <w:r w:rsidRPr="00F76AEE">
        <w:rPr>
          <w:lang w:val="en-US"/>
        </w:rPr>
        <w:t>Submission</w:t>
      </w:r>
      <w:r>
        <w:rPr>
          <w:lang w:val="en-US"/>
        </w:rPr>
        <w:t xml:space="preserve"> No</w:t>
      </w:r>
      <w:r w:rsidRPr="00F76AEE">
        <w:rPr>
          <w:lang w:val="en-US"/>
        </w:rPr>
        <w:t xml:space="preserve"> 51 </w:t>
      </w:r>
      <w:r w:rsidRPr="00F76AEE">
        <w:t>to</w:t>
      </w:r>
      <w:r>
        <w:t xml:space="preserve"> Australian Human Rights Commission, </w:t>
      </w:r>
      <w:r>
        <w:rPr>
          <w:i/>
        </w:rPr>
        <w:t xml:space="preserve">National Children’s Commissioner’s examination into children affected by family and domestic violence, </w:t>
      </w:r>
      <w:r>
        <w:t>28 July 2015,</w:t>
      </w:r>
      <w:r>
        <w:rPr>
          <w:lang w:val="en-US"/>
        </w:rPr>
        <w:t xml:space="preserve"> 2.</w:t>
      </w:r>
    </w:p>
  </w:endnote>
  <w:endnote w:id="506">
    <w:p w14:paraId="428BEEAF" w14:textId="77777777" w:rsidR="00F008D2" w:rsidRPr="002F7093" w:rsidRDefault="00F008D2" w:rsidP="000D1D92">
      <w:pPr>
        <w:pStyle w:val="EndnoteText"/>
        <w:rPr>
          <w:lang w:val="en-US"/>
        </w:rPr>
      </w:pPr>
      <w:r>
        <w:rPr>
          <w:rStyle w:val="EndnoteReference"/>
        </w:rPr>
        <w:endnoteRef/>
      </w:r>
      <w:r>
        <w:t xml:space="preserve"> </w:t>
      </w:r>
      <w:r>
        <w:rPr>
          <w:lang w:val="en-US"/>
        </w:rPr>
        <w:t xml:space="preserve">New South Wales Government, </w:t>
      </w:r>
      <w:r w:rsidRPr="00F76AEE">
        <w:rPr>
          <w:lang w:val="en-US"/>
        </w:rPr>
        <w:t>Submission</w:t>
      </w:r>
      <w:r>
        <w:rPr>
          <w:lang w:val="en-US"/>
        </w:rPr>
        <w:t xml:space="preserve"> No</w:t>
      </w:r>
      <w:r w:rsidRPr="00F76AEE">
        <w:rPr>
          <w:lang w:val="en-US"/>
        </w:rPr>
        <w:t xml:space="preserve"> 51 </w:t>
      </w:r>
      <w:r w:rsidRPr="00F76AEE">
        <w:t>to</w:t>
      </w:r>
      <w:r>
        <w:t xml:space="preserve"> Australian Human Rights Commission, </w:t>
      </w:r>
      <w:r>
        <w:rPr>
          <w:i/>
        </w:rPr>
        <w:t xml:space="preserve">National Children’s Commissioner’s examination into children affected by family and domestic violence, </w:t>
      </w:r>
      <w:r>
        <w:t>28 July 2015,</w:t>
      </w:r>
      <w:r>
        <w:rPr>
          <w:lang w:val="en-US"/>
        </w:rPr>
        <w:t xml:space="preserve"> 11.</w:t>
      </w:r>
    </w:p>
  </w:endnote>
  <w:endnote w:id="507">
    <w:p w14:paraId="0D508A5A" w14:textId="77777777" w:rsidR="00F008D2" w:rsidRPr="004D12E9" w:rsidRDefault="00F008D2" w:rsidP="000D1D92">
      <w:pPr>
        <w:pStyle w:val="EndnoteText"/>
        <w:jc w:val="both"/>
        <w:rPr>
          <w:lang w:val="en-US"/>
        </w:rPr>
      </w:pPr>
      <w:r>
        <w:rPr>
          <w:rStyle w:val="EndnoteReference"/>
        </w:rPr>
        <w:endnoteRef/>
      </w:r>
      <w:r>
        <w:t xml:space="preserve"> </w:t>
      </w:r>
      <w:r w:rsidRPr="00F81D87">
        <w:t>Andrew Johnson, Advocate for Children and Young People NSW</w:t>
      </w:r>
      <w:r>
        <w:t>,</w:t>
      </w:r>
      <w:r>
        <w:rPr>
          <w:lang w:val="en-US"/>
        </w:rPr>
        <w:t xml:space="preserve"> Submission No 11 </w:t>
      </w:r>
      <w:r>
        <w:t xml:space="preserve">to Australian Human Rights Commission, </w:t>
      </w:r>
      <w:r>
        <w:rPr>
          <w:i/>
        </w:rPr>
        <w:t xml:space="preserve">National Children’s Commissioner’s examination into children affected by family and domestic violence, </w:t>
      </w:r>
      <w:r w:rsidRPr="00A33846">
        <w:t xml:space="preserve">1 June </w:t>
      </w:r>
      <w:r w:rsidRPr="001071D7">
        <w:t>2015</w:t>
      </w:r>
      <w:r>
        <w:t xml:space="preserve">, </w:t>
      </w:r>
      <w:r>
        <w:rPr>
          <w:lang w:val="en-US"/>
        </w:rPr>
        <w:t>2.</w:t>
      </w:r>
    </w:p>
  </w:endnote>
  <w:endnote w:id="508">
    <w:p w14:paraId="65D86786" w14:textId="77777777" w:rsidR="00F008D2" w:rsidRPr="00E7430E" w:rsidRDefault="00F008D2" w:rsidP="000D1D92">
      <w:pPr>
        <w:pStyle w:val="EndnoteText"/>
        <w:jc w:val="both"/>
        <w:rPr>
          <w:rFonts w:cs="Arial"/>
          <w:lang w:val="en-US"/>
        </w:rPr>
      </w:pPr>
      <w:r w:rsidRPr="00E7430E">
        <w:rPr>
          <w:rStyle w:val="EndnoteReference"/>
          <w:rFonts w:cs="Arial"/>
        </w:rPr>
        <w:endnoteRef/>
      </w:r>
      <w:r w:rsidRPr="00E7430E">
        <w:rPr>
          <w:rFonts w:cs="Arial"/>
        </w:rPr>
        <w:t xml:space="preserve"> N Stanley</w:t>
      </w:r>
      <w:r>
        <w:rPr>
          <w:rFonts w:cs="Arial"/>
        </w:rPr>
        <w:t>,</w:t>
      </w:r>
      <w:r w:rsidRPr="00E7430E">
        <w:rPr>
          <w:rFonts w:cs="Arial"/>
        </w:rPr>
        <w:t xml:space="preserve"> </w:t>
      </w:r>
      <w:r w:rsidRPr="00E7430E">
        <w:rPr>
          <w:rFonts w:cs="Arial"/>
          <w:i/>
          <w:iCs/>
        </w:rPr>
        <w:t xml:space="preserve">Children Experiencing Domestic Violence: A Research Review </w:t>
      </w:r>
      <w:r>
        <w:rPr>
          <w:rFonts w:cs="Arial"/>
          <w:iCs/>
        </w:rPr>
        <w:t>(</w:t>
      </w:r>
      <w:r w:rsidRPr="00E7430E">
        <w:rPr>
          <w:rFonts w:cs="Arial"/>
        </w:rPr>
        <w:t xml:space="preserve">Dartington: </w:t>
      </w:r>
      <w:r>
        <w:rPr>
          <w:rFonts w:cs="Arial"/>
          <w:bCs/>
        </w:rPr>
        <w:t>R</w:t>
      </w:r>
      <w:r w:rsidRPr="00E7430E">
        <w:rPr>
          <w:rFonts w:cs="Arial"/>
          <w:bCs/>
        </w:rPr>
        <w:t xml:space="preserve">esearch in </w:t>
      </w:r>
      <w:r>
        <w:rPr>
          <w:rFonts w:cs="Arial"/>
          <w:bCs/>
        </w:rPr>
        <w:t>P</w:t>
      </w:r>
      <w:r w:rsidRPr="00E7430E">
        <w:rPr>
          <w:rFonts w:cs="Arial"/>
          <w:bCs/>
        </w:rPr>
        <w:t>ractice</w:t>
      </w:r>
      <w:r>
        <w:rPr>
          <w:rFonts w:cs="Arial"/>
          <w:bCs/>
        </w:rPr>
        <w:t>,</w:t>
      </w:r>
      <w:r w:rsidRPr="00E7430E">
        <w:rPr>
          <w:rFonts w:cs="Arial"/>
          <w:bCs/>
        </w:rPr>
        <w:t xml:space="preserve"> </w:t>
      </w:r>
      <w:r w:rsidRPr="00E7430E">
        <w:rPr>
          <w:rFonts w:cs="Arial"/>
        </w:rPr>
        <w:t>2011</w:t>
      </w:r>
      <w:r>
        <w:rPr>
          <w:rFonts w:cs="Arial"/>
        </w:rPr>
        <w:t>)</w:t>
      </w:r>
      <w:r w:rsidRPr="00E7430E">
        <w:rPr>
          <w:rFonts w:cs="Arial"/>
        </w:rPr>
        <w:t xml:space="preserve"> 7.</w:t>
      </w:r>
    </w:p>
  </w:endnote>
  <w:endnote w:id="509">
    <w:p w14:paraId="3A086ECD" w14:textId="77777777" w:rsidR="00F008D2" w:rsidRPr="00BD74A5" w:rsidRDefault="00F008D2" w:rsidP="000D1D92">
      <w:pPr>
        <w:pStyle w:val="EndnoteText"/>
        <w:rPr>
          <w:lang w:val="en-US"/>
        </w:rPr>
      </w:pPr>
      <w:r>
        <w:rPr>
          <w:rStyle w:val="EndnoteReference"/>
        </w:rPr>
        <w:endnoteRef/>
      </w:r>
      <w:r>
        <w:t xml:space="preserve"> </w:t>
      </w:r>
      <w:r w:rsidRPr="004079F2">
        <w:t>Melbourne Research Alliance to End Violence Against Women and their Children, University of Melbourne</w:t>
      </w:r>
      <w:r>
        <w:t>,</w:t>
      </w:r>
      <w:r w:rsidRPr="005B2A9B">
        <w:t xml:space="preserve"> </w:t>
      </w:r>
      <w:r>
        <w:t xml:space="preserve">Submission No 18 </w:t>
      </w:r>
      <w:r w:rsidRPr="00422F51">
        <w:t xml:space="preserve">to Australian Human Rights Commission, </w:t>
      </w:r>
      <w:r w:rsidRPr="0082462D">
        <w:rPr>
          <w:i/>
        </w:rPr>
        <w:t>National Children’s Commissioner’s examination into children affected by family and domestic violence</w:t>
      </w:r>
      <w:r>
        <w:t>, 9 June 2015</w:t>
      </w:r>
      <w:r w:rsidRPr="00422F51">
        <w:t>,</w:t>
      </w:r>
      <w:r>
        <w:rPr>
          <w:lang w:val="en-US"/>
        </w:rPr>
        <w:t xml:space="preserve"> 10.</w:t>
      </w:r>
    </w:p>
  </w:endnote>
  <w:endnote w:id="510">
    <w:p w14:paraId="708F7042" w14:textId="77777777" w:rsidR="00F008D2" w:rsidRDefault="00F008D2" w:rsidP="000D1D92">
      <w:pPr>
        <w:pStyle w:val="EndnoteText"/>
        <w:jc w:val="both"/>
      </w:pPr>
      <w:r>
        <w:rPr>
          <w:rStyle w:val="EndnoteReference"/>
        </w:rPr>
        <w:endnoteRef/>
      </w:r>
      <w:r>
        <w:t xml:space="preserve"> Kristy McKellar, Submission 59 to Australian Human Rights Commission, </w:t>
      </w:r>
      <w:r>
        <w:rPr>
          <w:i/>
        </w:rPr>
        <w:t xml:space="preserve">National Children’s Commissioner’s examination into children affected by family and domestic violence, </w:t>
      </w:r>
      <w:r>
        <w:t xml:space="preserve">13 September </w:t>
      </w:r>
      <w:r w:rsidRPr="001071D7">
        <w:t>2015</w:t>
      </w:r>
      <w:r>
        <w:rPr>
          <w:lang w:val="en-US"/>
        </w:rPr>
        <w:t>.</w:t>
      </w:r>
    </w:p>
  </w:endnote>
  <w:endnote w:id="511">
    <w:p w14:paraId="49D2803F" w14:textId="77777777" w:rsidR="00F008D2" w:rsidRPr="007C024A" w:rsidRDefault="00F008D2" w:rsidP="000D1D92">
      <w:pPr>
        <w:pStyle w:val="EndnoteText"/>
        <w:rPr>
          <w:lang w:val="en-US"/>
        </w:rPr>
      </w:pPr>
      <w:r>
        <w:rPr>
          <w:rStyle w:val="EndnoteReference"/>
        </w:rPr>
        <w:endnoteRef/>
      </w:r>
      <w:r>
        <w:t xml:space="preserve"> </w:t>
      </w:r>
      <w:r w:rsidRPr="00EC3AC7">
        <w:t>Australian Bureau of Statistics ‘Foundation for a National Data Collection and Reporting Framework for family, domestic and sexual violence, 2014 –</w:t>
      </w:r>
      <w:r>
        <w:t xml:space="preserve"> Key Data Items: Sex</w:t>
      </w:r>
      <w:r w:rsidRPr="00EC3AC7">
        <w:t>’ (4529.0.00.003, 30 November 2014) &lt;</w:t>
      </w:r>
      <w:hyperlink r:id="rId146" w:history="1">
        <w:r w:rsidRPr="0028701A">
          <w:rPr>
            <w:rStyle w:val="Hyperlink"/>
          </w:rPr>
          <w:t>http://www.abs.gov.au/ausstats/abs@.nsf/Lookup/4529.0.00.003main+features52014</w:t>
        </w:r>
      </w:hyperlink>
      <w:r w:rsidRPr="00EC3AC7">
        <w:t>&gt;</w:t>
      </w:r>
      <w:r>
        <w:t>.</w:t>
      </w:r>
    </w:p>
  </w:endnote>
  <w:endnote w:id="512">
    <w:p w14:paraId="2B8EDCDC" w14:textId="77777777" w:rsidR="00F008D2" w:rsidRPr="007C024A" w:rsidRDefault="00F008D2" w:rsidP="000D1D92">
      <w:pPr>
        <w:pStyle w:val="EndnoteText"/>
        <w:rPr>
          <w:lang w:val="en-US"/>
        </w:rPr>
      </w:pPr>
      <w:r>
        <w:rPr>
          <w:rStyle w:val="EndnoteReference"/>
        </w:rPr>
        <w:endnoteRef/>
      </w:r>
      <w:r>
        <w:t xml:space="preserve"> </w:t>
      </w:r>
      <w:r w:rsidRPr="00EC3AC7">
        <w:t>Australian Bureau of Statistics ‘Foundation for a National Data Collection and Reporting Framework for family, domestic and sexual violence, 2014 – Key Data Items: Sex’ (4529.0.00.003, 30 November 2014) &lt;</w:t>
      </w:r>
      <w:hyperlink r:id="rId147" w:history="1">
        <w:r w:rsidRPr="00EC3AC7">
          <w:rPr>
            <w:rStyle w:val="Hyperlink"/>
          </w:rPr>
          <w:t>http://www.abs.gov.au/ausstats/abs@.nsf/Lookup/4529.0.00.003main+features52014</w:t>
        </w:r>
      </w:hyperlink>
      <w:r w:rsidRPr="00EC3AC7">
        <w:t>&gt;</w:t>
      </w:r>
      <w:r>
        <w:t>.</w:t>
      </w:r>
    </w:p>
  </w:endnote>
  <w:endnote w:id="513">
    <w:p w14:paraId="22BBB3F3" w14:textId="77777777" w:rsidR="00F008D2" w:rsidRPr="0066368D" w:rsidRDefault="00F008D2" w:rsidP="000D1D92">
      <w:pPr>
        <w:pStyle w:val="EndnoteText"/>
        <w:rPr>
          <w:bCs/>
        </w:rPr>
      </w:pPr>
      <w:r>
        <w:rPr>
          <w:rStyle w:val="EndnoteReference"/>
        </w:rPr>
        <w:endnoteRef/>
      </w:r>
      <w:r>
        <w:t xml:space="preserve"> </w:t>
      </w:r>
      <w:r w:rsidRPr="001C7A0D">
        <w:t xml:space="preserve">Senate </w:t>
      </w:r>
      <w:r w:rsidRPr="00FF0757">
        <w:t>Finance and Public Administration Refer</w:t>
      </w:r>
      <w:r>
        <w:t xml:space="preserve">ences Committee, Parliament of Australia, </w:t>
      </w:r>
      <w:r w:rsidRPr="00212D3C">
        <w:rPr>
          <w:i/>
        </w:rPr>
        <w:t>Domestic violence in Australia</w:t>
      </w:r>
      <w:r>
        <w:t xml:space="preserve"> (2015) ix &lt;</w:t>
      </w:r>
      <w:hyperlink r:id="rId148" w:history="1">
        <w:r w:rsidRPr="0028701A">
          <w:rPr>
            <w:rStyle w:val="Hyperlink"/>
          </w:rPr>
          <w:t>http://www.aph.gov.au/Parliamentary_Business/Committees/Senate/Finance_and_Public_Administration/Domestic_Violence/Report</w:t>
        </w:r>
      </w:hyperlink>
      <w:r>
        <w:t>&gt;</w:t>
      </w:r>
      <w:r w:rsidRPr="00FF0757">
        <w:t>.</w:t>
      </w:r>
    </w:p>
  </w:endnote>
  <w:endnote w:id="514">
    <w:p w14:paraId="15F32475" w14:textId="77777777" w:rsidR="00F008D2" w:rsidRPr="0066368D" w:rsidRDefault="00F008D2" w:rsidP="000D1D92">
      <w:pPr>
        <w:pStyle w:val="EndnoteText"/>
        <w:rPr>
          <w:bCs/>
        </w:rPr>
      </w:pPr>
      <w:r>
        <w:rPr>
          <w:rStyle w:val="EndnoteReference"/>
        </w:rPr>
        <w:endnoteRef/>
      </w:r>
      <w:r>
        <w:t xml:space="preserve"> </w:t>
      </w:r>
      <w:r w:rsidRPr="003A07DF">
        <w:rPr>
          <w:bCs/>
        </w:rPr>
        <w:t xml:space="preserve">Senate Finance and Public Administration References Committee, Parliament of Australia, </w:t>
      </w:r>
      <w:r w:rsidRPr="003A07DF">
        <w:rPr>
          <w:bCs/>
          <w:i/>
        </w:rPr>
        <w:t>Domestic violence in Australia</w:t>
      </w:r>
      <w:r w:rsidRPr="003A07DF">
        <w:rPr>
          <w:bCs/>
        </w:rPr>
        <w:t xml:space="preserve"> (2015) ix &lt;</w:t>
      </w:r>
      <w:hyperlink r:id="rId149" w:history="1">
        <w:r w:rsidRPr="003A07DF">
          <w:rPr>
            <w:rStyle w:val="Hyperlink"/>
            <w:bCs/>
          </w:rPr>
          <w:t>http://www.aph.gov.au/Parliamentary_Business/Committees/Senate/Finance_and_Public_Administration/Domestic_Violence/Report</w:t>
        </w:r>
      </w:hyperlink>
      <w:r w:rsidRPr="003A07DF">
        <w:rPr>
          <w:bCs/>
        </w:rPr>
        <w:t>&gt;.</w:t>
      </w:r>
    </w:p>
  </w:endnote>
  <w:endnote w:id="515">
    <w:p w14:paraId="2BCA524E" w14:textId="77777777" w:rsidR="00F008D2" w:rsidRDefault="00F008D2" w:rsidP="000D1D92">
      <w:pPr>
        <w:pStyle w:val="EndnoteText"/>
      </w:pPr>
      <w:r>
        <w:rPr>
          <w:rStyle w:val="EndnoteReference"/>
        </w:rPr>
        <w:endnoteRef/>
      </w:r>
      <w:r>
        <w:t xml:space="preserve"> S Jeffries, R </w:t>
      </w:r>
      <w:r w:rsidRPr="00D4581D">
        <w:t>Fi</w:t>
      </w:r>
      <w:r>
        <w:t>eld and C E W Bond, ‘</w:t>
      </w:r>
      <w:r w:rsidRPr="00D4581D">
        <w:t>Protecting Australia’s Children: A Cross-Jurisdictional Review of Domestic Violen</w:t>
      </w:r>
      <w:r>
        <w:t>ce Protection Order Legislation’ (2015)</w:t>
      </w:r>
      <w:r w:rsidRPr="00D4581D">
        <w:t xml:space="preserve"> </w:t>
      </w:r>
      <w:r w:rsidRPr="00F5057B">
        <w:rPr>
          <w:i/>
        </w:rPr>
        <w:t>Psychiatry, Psychology and Law</w:t>
      </w:r>
      <w:r>
        <w:t>, 2 &lt;</w:t>
      </w:r>
      <w:hyperlink r:id="rId150" w:history="1">
        <w:r w:rsidRPr="0028701A">
          <w:rPr>
            <w:rStyle w:val="Hyperlink"/>
          </w:rPr>
          <w:t>http://dx.doi.org.ezproxy.lib.uts.edu.au/10.1080/13218719.2015.1015204</w:t>
        </w:r>
      </w:hyperlink>
      <w:r>
        <w:t>&gt;.</w:t>
      </w:r>
    </w:p>
  </w:endnote>
  <w:endnote w:id="516">
    <w:p w14:paraId="0BC43DDA" w14:textId="77777777" w:rsidR="00F008D2" w:rsidRDefault="00F008D2" w:rsidP="000D1D92">
      <w:pPr>
        <w:pStyle w:val="EndnoteText"/>
      </w:pPr>
      <w:r>
        <w:rPr>
          <w:rStyle w:val="EndnoteReference"/>
        </w:rPr>
        <w:endnoteRef/>
      </w:r>
      <w:r>
        <w:t xml:space="preserve"> </w:t>
      </w:r>
      <w:r w:rsidRPr="002E7B37">
        <w:t xml:space="preserve">K Richards, ‘Children’s exposure to domestic violence in Australia’ (Research Paper No 419, Trends and Issues in Crime and Criminal Justice, Australian Institute of Criminology, 2011) </w:t>
      </w:r>
      <w:r>
        <w:t>1</w:t>
      </w:r>
      <w:r w:rsidRPr="002E7B37">
        <w:t xml:space="preserve"> &lt;</w:t>
      </w:r>
      <w:hyperlink r:id="rId151" w:history="1">
        <w:r w:rsidRPr="002E7B37">
          <w:rPr>
            <w:rStyle w:val="Hyperlink"/>
          </w:rPr>
          <w:t>http://aic.gov.au/publications/current%20series/tandi/401-420/tandi419.html</w:t>
        </w:r>
      </w:hyperlink>
      <w:r w:rsidRPr="002E7B37">
        <w:t>&gt;.</w:t>
      </w:r>
    </w:p>
  </w:endnote>
  <w:endnote w:id="517">
    <w:p w14:paraId="02857A90" w14:textId="77777777" w:rsidR="00F008D2" w:rsidRDefault="00F008D2" w:rsidP="000D1D92">
      <w:pPr>
        <w:pStyle w:val="EndnoteText"/>
      </w:pPr>
      <w:r>
        <w:rPr>
          <w:rStyle w:val="EndnoteReference"/>
        </w:rPr>
        <w:endnoteRef/>
      </w:r>
      <w:r>
        <w:t xml:space="preserve"> </w:t>
      </w:r>
      <w:r w:rsidRPr="002E7B37">
        <w:t xml:space="preserve">K Richards, ‘Children’s exposure to domestic violence in Australia’ (Research Paper No 419, Trends and Issues in Crime and Criminal Justice, Australian Institute of Criminology, 2011) </w:t>
      </w:r>
      <w:r>
        <w:t>1–2</w:t>
      </w:r>
    </w:p>
    <w:p w14:paraId="55BB99CA" w14:textId="77777777" w:rsidR="00F008D2" w:rsidRPr="00933E37" w:rsidRDefault="00F008D2" w:rsidP="000D1D92">
      <w:pPr>
        <w:pStyle w:val="EndnoteText"/>
        <w:rPr>
          <w:lang w:val="en-US"/>
        </w:rPr>
      </w:pPr>
      <w:r w:rsidRPr="002E7B37">
        <w:t>&lt;</w:t>
      </w:r>
      <w:hyperlink r:id="rId152" w:history="1">
        <w:r w:rsidRPr="002E7B37">
          <w:rPr>
            <w:rStyle w:val="Hyperlink"/>
          </w:rPr>
          <w:t>http://aic.gov.au/publications/current%20series/tandi/401-420/tandi419.html</w:t>
        </w:r>
      </w:hyperlink>
      <w:r w:rsidRPr="002E7B37">
        <w:t>&gt;.</w:t>
      </w:r>
    </w:p>
  </w:endnote>
  <w:endnote w:id="518">
    <w:p w14:paraId="1907AC0F" w14:textId="77777777" w:rsidR="00F008D2" w:rsidRPr="00376CEA" w:rsidRDefault="00F008D2" w:rsidP="000D1D92">
      <w:pPr>
        <w:pStyle w:val="EndnoteText"/>
      </w:pPr>
      <w:r>
        <w:rPr>
          <w:rStyle w:val="EndnoteReference"/>
        </w:rPr>
        <w:endnoteRef/>
      </w:r>
      <w:r>
        <w:t xml:space="preserve"> The Royal Australian &amp; New Zealand College of Psychiatrists </w:t>
      </w:r>
      <w:r w:rsidRPr="002E7B37">
        <w:t>(RANZCP)</w:t>
      </w:r>
      <w:r>
        <w:t xml:space="preserve">, Submission </w:t>
      </w:r>
      <w:r w:rsidRPr="00987342">
        <w:t>No</w:t>
      </w:r>
      <w:r>
        <w:t xml:space="preserve"> </w:t>
      </w:r>
      <w:r w:rsidRPr="00987342">
        <w:t>37 to</w:t>
      </w:r>
      <w:r>
        <w:t xml:space="preserve"> Australian Human Rights Commission, </w:t>
      </w:r>
      <w:r>
        <w:rPr>
          <w:i/>
        </w:rPr>
        <w:t xml:space="preserve">National Children’s Commissioner’s examination into children affected by family and domestic violence, </w:t>
      </w:r>
      <w:r>
        <w:t>17 June 2015, 5.</w:t>
      </w:r>
    </w:p>
  </w:endnote>
  <w:endnote w:id="519">
    <w:p w14:paraId="5660857A" w14:textId="77777777" w:rsidR="00F008D2" w:rsidRPr="0054382B" w:rsidRDefault="00F008D2" w:rsidP="000D1D92">
      <w:pPr>
        <w:pStyle w:val="EndnoteText"/>
      </w:pPr>
      <w:r>
        <w:rPr>
          <w:rStyle w:val="EndnoteReference"/>
        </w:rPr>
        <w:endnoteRef/>
      </w:r>
      <w:r>
        <w:t xml:space="preserve"> S Jeffries, R </w:t>
      </w:r>
      <w:r w:rsidRPr="00D4581D">
        <w:t>Fi</w:t>
      </w:r>
      <w:r>
        <w:t>eld and C E W Bond, ‘</w:t>
      </w:r>
      <w:r w:rsidRPr="00D4581D">
        <w:t>Protecting Australia’s Children: A Cross-Jurisdictional Review of Domestic Violen</w:t>
      </w:r>
      <w:r>
        <w:t>ce Protection Order Legislation’ (2015)</w:t>
      </w:r>
      <w:r w:rsidRPr="00D4581D">
        <w:t xml:space="preserve"> </w:t>
      </w:r>
      <w:r w:rsidRPr="00F5057B">
        <w:rPr>
          <w:i/>
        </w:rPr>
        <w:t>Psychiatry, Psychology and Law</w:t>
      </w:r>
      <w:r>
        <w:t>, 1 &lt;</w:t>
      </w:r>
      <w:hyperlink r:id="rId153" w:history="1">
        <w:r w:rsidRPr="0028701A">
          <w:rPr>
            <w:rStyle w:val="Hyperlink"/>
          </w:rPr>
          <w:t>http://dx.doi.org.ezproxy.lib.uts.edu.au/10.1080/13218719.2015.1015204</w:t>
        </w:r>
      </w:hyperlink>
      <w:r>
        <w:t>&gt;.</w:t>
      </w:r>
    </w:p>
  </w:endnote>
  <w:endnote w:id="520">
    <w:p w14:paraId="4FED84D7" w14:textId="77777777" w:rsidR="00F008D2" w:rsidRPr="006A7CD0" w:rsidRDefault="00F008D2" w:rsidP="000D1D92">
      <w:pPr>
        <w:pStyle w:val="EndnoteText"/>
        <w:rPr>
          <w:lang w:val="en-US"/>
        </w:rPr>
      </w:pPr>
      <w:r w:rsidRPr="00B00E18">
        <w:rPr>
          <w:rStyle w:val="EndnoteReference"/>
        </w:rPr>
        <w:endnoteRef/>
      </w:r>
      <w:r w:rsidRPr="00B00E18">
        <w:t xml:space="preserve"> </w:t>
      </w:r>
      <w:r w:rsidRPr="00B00E18">
        <w:rPr>
          <w:lang w:val="en-US"/>
        </w:rPr>
        <w:t>M</w:t>
      </w:r>
      <w:r w:rsidRPr="00D54275">
        <w:rPr>
          <w:lang w:val="en-US"/>
        </w:rPr>
        <w:t xml:space="preserve"> Eriksson, L Bruno and E Nasman, </w:t>
      </w:r>
      <w:r w:rsidRPr="00A33846">
        <w:rPr>
          <w:i/>
          <w:lang w:val="en-US"/>
        </w:rPr>
        <w:t>Domestic Violence, Family Law and School: Children’s Right to Participation, Protection and Provision</w:t>
      </w:r>
      <w:r w:rsidRPr="00B00E18">
        <w:rPr>
          <w:lang w:val="en-US"/>
        </w:rPr>
        <w:t xml:space="preserve"> </w:t>
      </w:r>
      <w:r>
        <w:rPr>
          <w:lang w:val="en-US"/>
        </w:rPr>
        <w:t>(</w:t>
      </w:r>
      <w:r w:rsidRPr="00B00E18">
        <w:rPr>
          <w:lang w:val="en-US"/>
        </w:rPr>
        <w:t>Palgrave Macmillan, 2013</w:t>
      </w:r>
      <w:r>
        <w:rPr>
          <w:lang w:val="en-US"/>
        </w:rPr>
        <w:t>)</w:t>
      </w:r>
      <w:r w:rsidRPr="00B00E18">
        <w:rPr>
          <w:lang w:val="en-US"/>
        </w:rPr>
        <w:t xml:space="preserve"> 19.</w:t>
      </w:r>
    </w:p>
  </w:endnote>
  <w:endnote w:id="521">
    <w:p w14:paraId="660E1F0B" w14:textId="77777777" w:rsidR="00F008D2" w:rsidRPr="00376CEA" w:rsidRDefault="00F008D2" w:rsidP="000D1D92">
      <w:pPr>
        <w:pStyle w:val="EndnoteText"/>
      </w:pPr>
      <w:r>
        <w:rPr>
          <w:rStyle w:val="EndnoteReference"/>
        </w:rPr>
        <w:endnoteRef/>
      </w:r>
      <w:r>
        <w:t xml:space="preserve"> The Royal Australian &amp; New Zealand College of Psychiatrists </w:t>
      </w:r>
      <w:r w:rsidRPr="002E7B37">
        <w:t>(RANZCP)</w:t>
      </w:r>
      <w:r>
        <w:t xml:space="preserve">, Submission </w:t>
      </w:r>
      <w:r w:rsidRPr="00987342">
        <w:t>No</w:t>
      </w:r>
      <w:r>
        <w:t xml:space="preserve"> </w:t>
      </w:r>
      <w:r w:rsidRPr="00987342">
        <w:t>37 to</w:t>
      </w:r>
      <w:r>
        <w:t xml:space="preserve"> Australian Human Rights Commission, </w:t>
      </w:r>
      <w:r>
        <w:rPr>
          <w:i/>
        </w:rPr>
        <w:t xml:space="preserve">National Children’s Commissioner’s examination into children affected by family and domestic violence, </w:t>
      </w:r>
      <w:r>
        <w:t>17 June 2015, 5.</w:t>
      </w:r>
    </w:p>
  </w:endnote>
  <w:endnote w:id="522">
    <w:p w14:paraId="46C9DB43" w14:textId="77777777" w:rsidR="00F008D2" w:rsidRPr="002C3A68" w:rsidRDefault="00F008D2" w:rsidP="000D1D92">
      <w:pPr>
        <w:pStyle w:val="EndnoteText"/>
        <w:rPr>
          <w:lang w:val="en-US"/>
        </w:rPr>
      </w:pPr>
      <w:r>
        <w:rPr>
          <w:rStyle w:val="EndnoteReference"/>
        </w:rPr>
        <w:endnoteRef/>
      </w:r>
      <w:r>
        <w:t xml:space="preserve"> Relationships Australia, Submission No 26 to Australian Human Rights Commission, </w:t>
      </w:r>
      <w:r>
        <w:rPr>
          <w:i/>
        </w:rPr>
        <w:t xml:space="preserve">National Children’s Commissioner’s examination into children affected by family and domestic violence, </w:t>
      </w:r>
      <w:r>
        <w:t>11 June 2015, 3.</w:t>
      </w:r>
    </w:p>
  </w:endnote>
  <w:endnote w:id="523">
    <w:p w14:paraId="48ED7341" w14:textId="77777777" w:rsidR="00F008D2" w:rsidRPr="0054382B" w:rsidRDefault="00F008D2" w:rsidP="000D1D92">
      <w:pPr>
        <w:pStyle w:val="EndnoteText"/>
      </w:pPr>
      <w:r>
        <w:rPr>
          <w:rStyle w:val="EndnoteReference"/>
        </w:rPr>
        <w:endnoteRef/>
      </w:r>
      <w:r>
        <w:t xml:space="preserve"> S Jeffries, R </w:t>
      </w:r>
      <w:r w:rsidRPr="00D4581D">
        <w:t>Fi</w:t>
      </w:r>
      <w:r>
        <w:t>eld and C E W Bond, ‘</w:t>
      </w:r>
      <w:r w:rsidRPr="00D4581D">
        <w:t>Protecting Australia’s Children: A Cross-Jurisdictional Review of Domestic Violen</w:t>
      </w:r>
      <w:r>
        <w:t>ce Protection Order Legislation’ (2015)</w:t>
      </w:r>
      <w:r w:rsidRPr="00D4581D">
        <w:t xml:space="preserve"> </w:t>
      </w:r>
      <w:r w:rsidRPr="00F5057B">
        <w:rPr>
          <w:i/>
        </w:rPr>
        <w:t>Psychiatry, Psychology and Law</w:t>
      </w:r>
      <w:r>
        <w:t>, 1 &lt;</w:t>
      </w:r>
      <w:hyperlink r:id="rId154" w:history="1">
        <w:r w:rsidRPr="0028701A">
          <w:rPr>
            <w:rStyle w:val="Hyperlink"/>
          </w:rPr>
          <w:t>http://dx.doi.org.ezproxy.lib.uts.edu.au/10.1080/13218719.2015.1015204</w:t>
        </w:r>
      </w:hyperlink>
      <w:r>
        <w:t>&gt;.</w:t>
      </w:r>
    </w:p>
  </w:endnote>
  <w:endnote w:id="524">
    <w:p w14:paraId="586B5D41" w14:textId="77777777" w:rsidR="00F008D2" w:rsidRDefault="00F008D2" w:rsidP="000D1D92">
      <w:pPr>
        <w:pStyle w:val="EndnoteText"/>
      </w:pPr>
      <w:r>
        <w:rPr>
          <w:rStyle w:val="EndnoteReference"/>
        </w:rPr>
        <w:endnoteRef/>
      </w:r>
      <w:r>
        <w:t xml:space="preserve"> </w:t>
      </w:r>
      <w:r w:rsidRPr="002E7B37">
        <w:t xml:space="preserve">K Richards, ‘Children’s exposure to domestic violence in Australia’ (Research Paper No 419, Trends and Issues in Crime and Criminal Justice, Australian Institute of Criminology, 2011) </w:t>
      </w:r>
      <w:r>
        <w:t>2</w:t>
      </w:r>
    </w:p>
    <w:p w14:paraId="29E55BE2" w14:textId="77777777" w:rsidR="00F008D2" w:rsidRPr="00820494" w:rsidRDefault="00F008D2" w:rsidP="000D1D92">
      <w:pPr>
        <w:pStyle w:val="EndnoteText"/>
        <w:rPr>
          <w:lang w:val="en-US"/>
        </w:rPr>
      </w:pPr>
      <w:r w:rsidRPr="002E7B37">
        <w:t>&lt;</w:t>
      </w:r>
      <w:hyperlink r:id="rId155" w:history="1">
        <w:r w:rsidRPr="002E7B37">
          <w:rPr>
            <w:rStyle w:val="Hyperlink"/>
          </w:rPr>
          <w:t>http://aic.gov.au/publications/current%20series/tandi/401-420/tandi419.html</w:t>
        </w:r>
      </w:hyperlink>
      <w:r w:rsidRPr="002E7B37">
        <w:t>&gt;.</w:t>
      </w:r>
    </w:p>
  </w:endnote>
  <w:endnote w:id="525">
    <w:p w14:paraId="5F02BBB3" w14:textId="77777777" w:rsidR="00F008D2" w:rsidRDefault="00F008D2" w:rsidP="000D1D92">
      <w:pPr>
        <w:pStyle w:val="EndnoteText"/>
      </w:pPr>
      <w:r>
        <w:rPr>
          <w:rStyle w:val="EndnoteReference"/>
        </w:rPr>
        <w:endnoteRef/>
      </w:r>
      <w:r>
        <w:t xml:space="preserve"> </w:t>
      </w:r>
      <w:r w:rsidRPr="002E7B37">
        <w:t xml:space="preserve">K Richards, ‘Children’s exposure to domestic violence in Australia’ (Research Paper No 419, Trends and Issues in Crime and Criminal Justice, Australian Institute of Criminology, 2011) </w:t>
      </w:r>
      <w:r>
        <w:t>2</w:t>
      </w:r>
    </w:p>
    <w:p w14:paraId="06E7B0A0" w14:textId="77777777" w:rsidR="00F008D2" w:rsidRDefault="00F008D2" w:rsidP="000D1D92">
      <w:pPr>
        <w:pStyle w:val="EndnoteText"/>
      </w:pPr>
      <w:r w:rsidRPr="002E7B37">
        <w:t>&lt;</w:t>
      </w:r>
      <w:hyperlink r:id="rId156" w:history="1">
        <w:r w:rsidRPr="002E7B37">
          <w:rPr>
            <w:rStyle w:val="Hyperlink"/>
          </w:rPr>
          <w:t>http://aic.gov.au/publications/current%20series/tandi/401-420/tandi419.html</w:t>
        </w:r>
      </w:hyperlink>
      <w:r w:rsidRPr="002E7B37">
        <w:t>&gt;.</w:t>
      </w:r>
    </w:p>
  </w:endnote>
  <w:endnote w:id="526">
    <w:p w14:paraId="016FA180" w14:textId="77777777" w:rsidR="00F008D2" w:rsidRPr="00BD74A5" w:rsidRDefault="00F008D2" w:rsidP="000D1D92">
      <w:pPr>
        <w:pStyle w:val="EndnoteText"/>
        <w:rPr>
          <w:lang w:val="en-US"/>
        </w:rPr>
      </w:pPr>
      <w:r>
        <w:rPr>
          <w:rStyle w:val="EndnoteReference"/>
        </w:rPr>
        <w:endnoteRef/>
      </w:r>
      <w:r>
        <w:t xml:space="preserve"> </w:t>
      </w:r>
      <w:r w:rsidRPr="004079F2">
        <w:t>Melbourne Research Alliance to End Violence Against Women and their Children, University of Melbourne</w:t>
      </w:r>
      <w:r>
        <w:t>,</w:t>
      </w:r>
      <w:r w:rsidRPr="005B2A9B">
        <w:t xml:space="preserve"> </w:t>
      </w:r>
      <w:r>
        <w:t xml:space="preserve">Submission 18 </w:t>
      </w:r>
      <w:r w:rsidRPr="00422F51">
        <w:t xml:space="preserve">to Australian Human Rights Commission, </w:t>
      </w:r>
      <w:r w:rsidRPr="0082462D">
        <w:rPr>
          <w:i/>
        </w:rPr>
        <w:t>National Children’s Commissioner’s examination into children affected by family and domestic violence</w:t>
      </w:r>
      <w:r>
        <w:t>, 9 June 2015</w:t>
      </w:r>
      <w:r w:rsidRPr="00422F51">
        <w:t>,</w:t>
      </w:r>
      <w:r>
        <w:rPr>
          <w:lang w:val="en-US"/>
        </w:rPr>
        <w:t xml:space="preserve"> 7.</w:t>
      </w:r>
    </w:p>
  </w:endnote>
  <w:endnote w:id="527">
    <w:p w14:paraId="329367E5" w14:textId="77777777" w:rsidR="00F008D2" w:rsidRPr="00441545" w:rsidRDefault="00F008D2" w:rsidP="000D1D92">
      <w:pPr>
        <w:pStyle w:val="EndnoteText"/>
        <w:rPr>
          <w:lang w:val="en-US"/>
        </w:rPr>
      </w:pPr>
      <w:r>
        <w:rPr>
          <w:rStyle w:val="EndnoteReference"/>
        </w:rPr>
        <w:endnoteRef/>
      </w:r>
      <w:r>
        <w:t xml:space="preserve"> </w:t>
      </w:r>
      <w:r w:rsidRPr="004079F2">
        <w:t>Melbourne Research Alliance to End Violence Against Women and their Children, University of Melbourne</w:t>
      </w:r>
      <w:r>
        <w:t>,</w:t>
      </w:r>
      <w:r w:rsidRPr="005B2A9B">
        <w:t xml:space="preserve"> </w:t>
      </w:r>
      <w:r>
        <w:t xml:space="preserve">Submission 18 </w:t>
      </w:r>
      <w:r w:rsidRPr="00422F51">
        <w:t xml:space="preserve">to Australian Human Rights Commission, </w:t>
      </w:r>
      <w:r w:rsidRPr="0082462D">
        <w:rPr>
          <w:i/>
        </w:rPr>
        <w:t>National Children’s Commissioner’s examination into children affected by family and domestic violence</w:t>
      </w:r>
      <w:r>
        <w:t>, 9 June 2015</w:t>
      </w:r>
      <w:r w:rsidRPr="00422F51">
        <w:t>,</w:t>
      </w:r>
      <w:r>
        <w:rPr>
          <w:lang w:val="en-US"/>
        </w:rPr>
        <w:t xml:space="preserve"> 7.</w:t>
      </w:r>
    </w:p>
  </w:endnote>
  <w:endnote w:id="528">
    <w:p w14:paraId="5C057F1A" w14:textId="77777777" w:rsidR="00F008D2" w:rsidRPr="00441545" w:rsidRDefault="00F008D2" w:rsidP="000D1D92">
      <w:pPr>
        <w:pStyle w:val="EndnoteText"/>
        <w:rPr>
          <w:lang w:val="en-US"/>
        </w:rPr>
      </w:pPr>
      <w:r>
        <w:rPr>
          <w:rStyle w:val="EndnoteReference"/>
        </w:rPr>
        <w:endnoteRef/>
      </w:r>
      <w:r>
        <w:t xml:space="preserve"> </w:t>
      </w:r>
      <w:r w:rsidRPr="004079F2">
        <w:t>Melbourne Research Alliance to End Violence Against Women and their Children, University of Melbourne</w:t>
      </w:r>
      <w:r>
        <w:t>,</w:t>
      </w:r>
      <w:r w:rsidRPr="005B2A9B">
        <w:t xml:space="preserve"> </w:t>
      </w:r>
      <w:r>
        <w:t xml:space="preserve">Submission 18 </w:t>
      </w:r>
      <w:r w:rsidRPr="00422F51">
        <w:t xml:space="preserve">to Australian Human Rights Commission, </w:t>
      </w:r>
      <w:r w:rsidRPr="0082462D">
        <w:rPr>
          <w:i/>
        </w:rPr>
        <w:t>National Children’s Commissioner’s examination into children affected by family and domestic violence</w:t>
      </w:r>
      <w:r>
        <w:t>, 9 June 2015</w:t>
      </w:r>
      <w:r w:rsidRPr="00422F51">
        <w:t>,</w:t>
      </w:r>
      <w:r>
        <w:rPr>
          <w:lang w:val="en-US"/>
        </w:rPr>
        <w:t xml:space="preserve"> 7.</w:t>
      </w:r>
    </w:p>
  </w:endnote>
  <w:endnote w:id="529">
    <w:p w14:paraId="59E9F5A7" w14:textId="77777777" w:rsidR="00F008D2" w:rsidRPr="00B849F0" w:rsidRDefault="00F008D2" w:rsidP="000D1D92">
      <w:pPr>
        <w:pStyle w:val="EndnoteText"/>
        <w:rPr>
          <w:lang w:val="en-US"/>
        </w:rPr>
      </w:pPr>
      <w:r>
        <w:rPr>
          <w:rStyle w:val="EndnoteReference"/>
        </w:rPr>
        <w:endnoteRef/>
      </w:r>
      <w:r>
        <w:t xml:space="preserve"> </w:t>
      </w:r>
      <w:r w:rsidRPr="00AC1CA4">
        <w:t xml:space="preserve">Department of Premier and Cabinet (NSW), </w:t>
      </w:r>
      <w:r w:rsidRPr="00AC1CA4">
        <w:rPr>
          <w:i/>
        </w:rPr>
        <w:t xml:space="preserve">Report of the </w:t>
      </w:r>
      <w:r w:rsidRPr="00AC1CA4">
        <w:rPr>
          <w:rFonts w:cs="Arial"/>
          <w:i/>
        </w:rPr>
        <w:t>Special Commission of Inquiry into Child Protection Services in NSW – Vol 3</w:t>
      </w:r>
      <w:r w:rsidRPr="00AC1CA4">
        <w:rPr>
          <w:rFonts w:cs="Arial"/>
        </w:rPr>
        <w:t xml:space="preserve"> (2008) 699.</w:t>
      </w:r>
    </w:p>
  </w:endnote>
  <w:endnote w:id="530">
    <w:p w14:paraId="7F81EAB8" w14:textId="77777777" w:rsidR="00F008D2" w:rsidRPr="00985C45" w:rsidRDefault="00F008D2" w:rsidP="000D1D92">
      <w:pPr>
        <w:pStyle w:val="EndnoteText"/>
        <w:rPr>
          <w:lang w:val="en-US"/>
        </w:rPr>
      </w:pPr>
      <w:r>
        <w:rPr>
          <w:rStyle w:val="EndnoteReference"/>
        </w:rPr>
        <w:endnoteRef/>
      </w:r>
      <w:r>
        <w:t xml:space="preserve"> Leah Bromfield, Fiona Arney, and Daryl Higgins, ‘Contemporary issues in child protection intake, referral and family support’ in Alan </w:t>
      </w:r>
      <w:r w:rsidRPr="00313328">
        <w:t>Hayes,</w:t>
      </w:r>
      <w:r>
        <w:t xml:space="preserve"> and Daryl Higgins</w:t>
      </w:r>
      <w:r w:rsidRPr="00313328">
        <w:t xml:space="preserve"> (</w:t>
      </w:r>
      <w:r>
        <w:t>e</w:t>
      </w:r>
      <w:r w:rsidRPr="00313328">
        <w:t xml:space="preserve">ds) </w:t>
      </w:r>
      <w:r w:rsidRPr="00F71DE3">
        <w:rPr>
          <w:i/>
        </w:rPr>
        <w:t>Families, policy and the law: Selected essays on contemporary issues for Australia</w:t>
      </w:r>
      <w:r w:rsidRPr="00313328">
        <w:t xml:space="preserve"> (Australian Institute of Family Studies</w:t>
      </w:r>
      <w:r>
        <w:t>,</w:t>
      </w:r>
      <w:r w:rsidRPr="00313328">
        <w:t xml:space="preserve"> </w:t>
      </w:r>
      <w:r>
        <w:t>2014)</w:t>
      </w:r>
      <w:r>
        <w:rPr>
          <w:i/>
        </w:rPr>
        <w:t xml:space="preserve"> </w:t>
      </w:r>
      <w:r w:rsidRPr="00A33846">
        <w:t>12</w:t>
      </w:r>
      <w:r w:rsidRPr="00B00E18">
        <w:t>3.</w:t>
      </w:r>
    </w:p>
  </w:endnote>
  <w:endnote w:id="531">
    <w:p w14:paraId="361699FE" w14:textId="77777777" w:rsidR="00F008D2" w:rsidRPr="00D52E4B" w:rsidRDefault="00F008D2" w:rsidP="000D1D92">
      <w:pPr>
        <w:pStyle w:val="EndnoteText"/>
        <w:rPr>
          <w:lang w:val="en-US"/>
        </w:rPr>
      </w:pPr>
      <w:r>
        <w:rPr>
          <w:rStyle w:val="EndnoteReference"/>
        </w:rPr>
        <w:endnoteRef/>
      </w:r>
      <w:r>
        <w:t xml:space="preserve"> </w:t>
      </w:r>
      <w:r w:rsidRPr="000B7DB6">
        <w:t>No To Violence Male Family Violence Prevention Association</w:t>
      </w:r>
      <w:r>
        <w:t xml:space="preserve">, </w:t>
      </w:r>
      <w:r w:rsidRPr="008029D3">
        <w:rPr>
          <w:lang w:val="en-US"/>
        </w:rPr>
        <w:t xml:space="preserve">Submission </w:t>
      </w:r>
      <w:r>
        <w:rPr>
          <w:lang w:val="en-US"/>
        </w:rPr>
        <w:t>No 27</w:t>
      </w:r>
      <w:r w:rsidRPr="008029D3">
        <w:rPr>
          <w:lang w:val="en-US"/>
        </w:rPr>
        <w:t xml:space="preserve"> </w:t>
      </w:r>
      <w:r w:rsidRPr="008029D3">
        <w:t xml:space="preserve">to Australian Human Rights Commission, </w:t>
      </w:r>
      <w:r w:rsidRPr="008029D3">
        <w:rPr>
          <w:i/>
        </w:rPr>
        <w:t>National Children’s Commissioner’s examination into children affected b</w:t>
      </w:r>
      <w:r>
        <w:rPr>
          <w:i/>
        </w:rPr>
        <w:t>y family and domestic violence</w:t>
      </w:r>
      <w:r>
        <w:t xml:space="preserve">, 15 June 2015, </w:t>
      </w:r>
      <w:r>
        <w:rPr>
          <w:lang w:val="en-US"/>
        </w:rPr>
        <w:t>2</w:t>
      </w:r>
      <w:r w:rsidRPr="008029D3">
        <w:rPr>
          <w:lang w:val="en-US"/>
        </w:rPr>
        <w:t>.</w:t>
      </w:r>
    </w:p>
  </w:endnote>
  <w:endnote w:id="532">
    <w:p w14:paraId="1C1E7693" w14:textId="77777777" w:rsidR="00F008D2" w:rsidRPr="00280763" w:rsidRDefault="00F008D2" w:rsidP="000D1D92">
      <w:pPr>
        <w:pStyle w:val="EndnoteText"/>
        <w:rPr>
          <w:lang w:val="en-US"/>
        </w:rPr>
      </w:pPr>
      <w:r>
        <w:rPr>
          <w:rStyle w:val="EndnoteReference"/>
        </w:rPr>
        <w:endnoteRef/>
      </w:r>
      <w:r>
        <w:t xml:space="preserve"> </w:t>
      </w:r>
      <w:r>
        <w:rPr>
          <w:lang w:val="en-US"/>
        </w:rPr>
        <w:t>C</w:t>
      </w:r>
      <w:r w:rsidRPr="00280763">
        <w:rPr>
          <w:lang w:val="en-US"/>
        </w:rPr>
        <w:t xml:space="preserve"> Humphreys</w:t>
      </w:r>
      <w:r>
        <w:rPr>
          <w:lang w:val="en-US"/>
        </w:rPr>
        <w:t>,</w:t>
      </w:r>
      <w:r w:rsidRPr="00280763">
        <w:rPr>
          <w:lang w:val="en-US"/>
        </w:rPr>
        <w:t xml:space="preserve"> </w:t>
      </w:r>
      <w:r>
        <w:rPr>
          <w:lang w:val="en-US"/>
        </w:rPr>
        <w:t>‘</w:t>
      </w:r>
      <w:r w:rsidRPr="00280763">
        <w:rPr>
          <w:lang w:val="en-US"/>
        </w:rPr>
        <w:t xml:space="preserve">Domestic </w:t>
      </w:r>
      <w:r>
        <w:rPr>
          <w:lang w:val="en-US"/>
        </w:rPr>
        <w:t xml:space="preserve">violence and child protection: </w:t>
      </w:r>
      <w:r w:rsidRPr="00280763">
        <w:rPr>
          <w:lang w:val="en-US"/>
        </w:rPr>
        <w:t>challe</w:t>
      </w:r>
      <w:r>
        <w:rPr>
          <w:lang w:val="en-US"/>
        </w:rPr>
        <w:t xml:space="preserve">nging directions for practice’ (Issues Paper 13, </w:t>
      </w:r>
      <w:r w:rsidRPr="00280763">
        <w:rPr>
          <w:lang w:val="en-US"/>
        </w:rPr>
        <w:t>Australian Domestic and Fami</w:t>
      </w:r>
      <w:r>
        <w:rPr>
          <w:lang w:val="en-US"/>
        </w:rPr>
        <w:t>ly Violence Clearinghouse, 2007) 1.</w:t>
      </w:r>
    </w:p>
  </w:endnote>
  <w:endnote w:id="533">
    <w:p w14:paraId="57B79BF3" w14:textId="77777777" w:rsidR="00F008D2" w:rsidRPr="004723F3" w:rsidRDefault="00F008D2" w:rsidP="000D1D92">
      <w:pPr>
        <w:pStyle w:val="EndnoteText"/>
        <w:rPr>
          <w:lang w:val="en-US"/>
        </w:rPr>
      </w:pPr>
      <w:r>
        <w:rPr>
          <w:rStyle w:val="EndnoteReference"/>
        </w:rPr>
        <w:endnoteRef/>
      </w:r>
      <w:r>
        <w:t xml:space="preserve"> National Aboriginal and Torres Strait Islander Legal Services (NATSILS), Submission No 10 to Australian Human Rights Commission, </w:t>
      </w:r>
      <w:r>
        <w:rPr>
          <w:i/>
        </w:rPr>
        <w:t xml:space="preserve">National Children’s Commissioner’s examination into children affected by family and domestic violence, </w:t>
      </w:r>
      <w:r w:rsidRPr="00FE544C">
        <w:t>1 June 2015</w:t>
      </w:r>
      <w:r>
        <w:t>, 12.</w:t>
      </w:r>
    </w:p>
  </w:endnote>
  <w:endnote w:id="534">
    <w:p w14:paraId="39E69C1C" w14:textId="77777777" w:rsidR="00F008D2" w:rsidRPr="00F26087" w:rsidRDefault="00F008D2" w:rsidP="000D1D92">
      <w:pPr>
        <w:pStyle w:val="EndnoteText"/>
        <w:rPr>
          <w:lang w:val="en-US"/>
        </w:rPr>
      </w:pPr>
      <w:r>
        <w:rPr>
          <w:rStyle w:val="EndnoteReference"/>
        </w:rPr>
        <w:endnoteRef/>
      </w:r>
      <w:r>
        <w:t xml:space="preserve"> Australian Psychological Society, Submission No 38 to the Australian Human Rights Commission, </w:t>
      </w:r>
      <w:r>
        <w:rPr>
          <w:i/>
        </w:rPr>
        <w:t xml:space="preserve">National Children’s Commissioner’s examination into children affected by family and domestic violence, </w:t>
      </w:r>
      <w:r>
        <w:t>17 June 2015, 19.</w:t>
      </w:r>
    </w:p>
  </w:endnote>
  <w:endnote w:id="535">
    <w:p w14:paraId="5EFFA80D" w14:textId="77777777" w:rsidR="00F008D2" w:rsidRDefault="00F008D2" w:rsidP="000D1D92">
      <w:pPr>
        <w:pStyle w:val="EndnoteText"/>
      </w:pPr>
      <w:r>
        <w:rPr>
          <w:rStyle w:val="EndnoteReference"/>
        </w:rPr>
        <w:endnoteRef/>
      </w:r>
      <w:r>
        <w:t xml:space="preserve"> Ramona Alaggia et al, ‘Does differential response make a difference: examining domestic violence cases in child protection services’ (2015) 20(1) </w:t>
      </w:r>
      <w:r>
        <w:rPr>
          <w:i/>
        </w:rPr>
        <w:t>Child and Family Social Work</w:t>
      </w:r>
      <w:r w:rsidRPr="00A33846">
        <w:t>,</w:t>
      </w:r>
      <w:r>
        <w:rPr>
          <w:i/>
        </w:rPr>
        <w:t xml:space="preserve"> </w:t>
      </w:r>
      <w:r>
        <w:t>84.</w:t>
      </w:r>
    </w:p>
  </w:endnote>
  <w:endnote w:id="536">
    <w:p w14:paraId="10DED850" w14:textId="77777777" w:rsidR="00F008D2" w:rsidRPr="007757EB" w:rsidRDefault="00F008D2" w:rsidP="000D1D92">
      <w:pPr>
        <w:pStyle w:val="EndnoteText"/>
      </w:pPr>
      <w:r>
        <w:rPr>
          <w:rStyle w:val="EndnoteReference"/>
        </w:rPr>
        <w:endnoteRef/>
      </w:r>
      <w:r>
        <w:t xml:space="preserve"> Leah Bromfield, Fiona Arney, and Daryl Higgins, ‘Contemporary issues in child protection intake, referral and family support’ in Alan </w:t>
      </w:r>
      <w:r w:rsidRPr="00313328">
        <w:t>Hayes,</w:t>
      </w:r>
      <w:r>
        <w:t xml:space="preserve"> and Daryl Higgins</w:t>
      </w:r>
      <w:r w:rsidRPr="00313328">
        <w:t xml:space="preserve"> (</w:t>
      </w:r>
      <w:r>
        <w:t>e</w:t>
      </w:r>
      <w:r w:rsidRPr="00313328">
        <w:t xml:space="preserve">ds) </w:t>
      </w:r>
      <w:r w:rsidRPr="00F71DE3">
        <w:rPr>
          <w:i/>
        </w:rPr>
        <w:t>Families, policy and the law: Selected essays on contemporary issues for Australia</w:t>
      </w:r>
      <w:r w:rsidRPr="00313328">
        <w:t xml:space="preserve"> (Australian Institute of Family Studies</w:t>
      </w:r>
      <w:r>
        <w:t>,</w:t>
      </w:r>
      <w:r w:rsidRPr="00313328">
        <w:t xml:space="preserve"> </w:t>
      </w:r>
      <w:r>
        <w:t>2014)</w:t>
      </w:r>
      <w:r>
        <w:rPr>
          <w:i/>
        </w:rPr>
        <w:t xml:space="preserve"> </w:t>
      </w:r>
      <w:r w:rsidRPr="00212D3C">
        <w:t>123.</w:t>
      </w:r>
    </w:p>
  </w:endnote>
  <w:endnote w:id="537">
    <w:p w14:paraId="501D2384" w14:textId="77777777" w:rsidR="00F008D2" w:rsidRPr="007410D0" w:rsidRDefault="00F008D2" w:rsidP="000D1D92">
      <w:pPr>
        <w:pStyle w:val="EndnoteText"/>
        <w:rPr>
          <w:lang w:val="en-US"/>
        </w:rPr>
      </w:pPr>
      <w:r>
        <w:rPr>
          <w:rStyle w:val="EndnoteReference"/>
        </w:rPr>
        <w:endnoteRef/>
      </w:r>
      <w:r>
        <w:t xml:space="preserve"> Leah Bromfield, Fiona Arney, and Daryl Higgins, ‘Contemporary issues in child protection intake, referral and family support’ in Alan </w:t>
      </w:r>
      <w:r w:rsidRPr="00313328">
        <w:t>Hayes,</w:t>
      </w:r>
      <w:r>
        <w:t xml:space="preserve"> and Daryl Higgins</w:t>
      </w:r>
      <w:r w:rsidRPr="00313328">
        <w:t xml:space="preserve"> (</w:t>
      </w:r>
      <w:r>
        <w:t>e</w:t>
      </w:r>
      <w:r w:rsidRPr="00313328">
        <w:t xml:space="preserve">ds) </w:t>
      </w:r>
      <w:r w:rsidRPr="00F71DE3">
        <w:rPr>
          <w:i/>
        </w:rPr>
        <w:t>Families, policy and the law: Selected essays on contemporary issues for Australia</w:t>
      </w:r>
      <w:r w:rsidRPr="00313328">
        <w:t xml:space="preserve"> (Australian Institute of Family Studies</w:t>
      </w:r>
      <w:r>
        <w:t>,</w:t>
      </w:r>
      <w:r w:rsidRPr="00313328">
        <w:t xml:space="preserve"> </w:t>
      </w:r>
      <w:r>
        <w:t>2014)</w:t>
      </w:r>
      <w:r>
        <w:rPr>
          <w:i/>
        </w:rPr>
        <w:t xml:space="preserve"> </w:t>
      </w:r>
      <w:r w:rsidRPr="00212D3C">
        <w:t>12</w:t>
      </w:r>
      <w:r>
        <w:t>4</w:t>
      </w:r>
      <w:r w:rsidRPr="00212D3C">
        <w:t>.</w:t>
      </w:r>
    </w:p>
  </w:endnote>
  <w:endnote w:id="538">
    <w:p w14:paraId="08E87079" w14:textId="77777777" w:rsidR="00F008D2" w:rsidRPr="00C9473C" w:rsidRDefault="00F008D2" w:rsidP="000D1D92">
      <w:pPr>
        <w:pStyle w:val="EndnoteText"/>
        <w:rPr>
          <w:lang w:val="en-US"/>
        </w:rPr>
      </w:pPr>
      <w:r>
        <w:rPr>
          <w:rStyle w:val="EndnoteReference"/>
        </w:rPr>
        <w:endnoteRef/>
      </w:r>
      <w:r>
        <w:t xml:space="preserve"> Ramona Alaggia et al, ‘Does differential response make a difference: examining domestic violence cases in child protection services’ (2015) 20(1) </w:t>
      </w:r>
      <w:r>
        <w:rPr>
          <w:i/>
        </w:rPr>
        <w:t>Child and Family Social Work</w:t>
      </w:r>
      <w:r w:rsidRPr="00212D3C">
        <w:t>,</w:t>
      </w:r>
      <w:r>
        <w:rPr>
          <w:i/>
        </w:rPr>
        <w:t xml:space="preserve"> </w:t>
      </w:r>
      <w:r>
        <w:t>84.</w:t>
      </w:r>
    </w:p>
  </w:endnote>
  <w:endnote w:id="539">
    <w:p w14:paraId="582F8C8D" w14:textId="77777777" w:rsidR="00F008D2" w:rsidRPr="00441545" w:rsidRDefault="00F008D2" w:rsidP="000D1D92">
      <w:pPr>
        <w:pStyle w:val="EndnoteText"/>
        <w:rPr>
          <w:lang w:val="en-US"/>
        </w:rPr>
      </w:pPr>
      <w:r>
        <w:rPr>
          <w:rStyle w:val="EndnoteReference"/>
        </w:rPr>
        <w:endnoteRef/>
      </w:r>
      <w:r>
        <w:t xml:space="preserve"> </w:t>
      </w:r>
      <w:r w:rsidRPr="004079F2">
        <w:t>Melbourne Research Alliance to End Violence Against Women and their Children, University of Melbourne</w:t>
      </w:r>
      <w:r>
        <w:t>,</w:t>
      </w:r>
      <w:r w:rsidRPr="005B2A9B">
        <w:t xml:space="preserve"> </w:t>
      </w:r>
      <w:r>
        <w:t xml:space="preserve">Submission No 18 </w:t>
      </w:r>
      <w:r w:rsidRPr="00422F51">
        <w:t xml:space="preserve">to Australian Human Rights Commission, </w:t>
      </w:r>
      <w:r w:rsidRPr="0082462D">
        <w:rPr>
          <w:i/>
        </w:rPr>
        <w:t>National Children’s Commissioner’s examination into children affected by family and domestic violence</w:t>
      </w:r>
      <w:r>
        <w:t>, 9 June 2015</w:t>
      </w:r>
      <w:r w:rsidRPr="00422F51">
        <w:t>,</w:t>
      </w:r>
      <w:r>
        <w:rPr>
          <w:lang w:val="en-US"/>
        </w:rPr>
        <w:t xml:space="preserve"> 7.</w:t>
      </w:r>
    </w:p>
  </w:endnote>
  <w:endnote w:id="540">
    <w:p w14:paraId="332FD8B6" w14:textId="77777777" w:rsidR="00F008D2" w:rsidRPr="002D1EAE" w:rsidRDefault="00F008D2" w:rsidP="000D1D92">
      <w:pPr>
        <w:pStyle w:val="EndnoteText"/>
        <w:rPr>
          <w:lang w:val="en-US"/>
        </w:rPr>
      </w:pPr>
      <w:r>
        <w:rPr>
          <w:rStyle w:val="EndnoteReference"/>
        </w:rPr>
        <w:endnoteRef/>
      </w:r>
      <w:r>
        <w:t xml:space="preserve"> </w:t>
      </w:r>
      <w:r w:rsidRPr="002E7B37">
        <w:t xml:space="preserve">K Richards, ‘Children’s exposure to domestic violence in Australia’ (Research Paper No 419, Trends and Issues in Crime and Criminal Justice, Australian Institute of Criminology, 2011) </w:t>
      </w:r>
      <w:r>
        <w:t>3</w:t>
      </w:r>
      <w:r w:rsidRPr="002E7B37">
        <w:t xml:space="preserve"> &lt;</w:t>
      </w:r>
      <w:hyperlink r:id="rId157" w:history="1">
        <w:r w:rsidRPr="002E7B37">
          <w:rPr>
            <w:rStyle w:val="Hyperlink"/>
          </w:rPr>
          <w:t>http://aic.gov.au/publications/current%20series/tandi/401-420/tandi419.html</w:t>
        </w:r>
      </w:hyperlink>
      <w:r w:rsidRPr="002E7B37">
        <w:t>&gt;.</w:t>
      </w:r>
    </w:p>
  </w:endnote>
  <w:endnote w:id="541">
    <w:p w14:paraId="4D998FA3" w14:textId="77777777" w:rsidR="00F008D2" w:rsidRPr="00F05E27" w:rsidRDefault="00F008D2" w:rsidP="000D1D92">
      <w:pPr>
        <w:pStyle w:val="EndnoteText"/>
        <w:jc w:val="both"/>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10</w:t>
      </w:r>
      <w:r w:rsidRPr="00E4369B">
        <w:t xml:space="preserve">. </w:t>
      </w:r>
    </w:p>
  </w:endnote>
  <w:endnote w:id="542">
    <w:p w14:paraId="17285209" w14:textId="77777777" w:rsidR="00F008D2" w:rsidRPr="00E7430E" w:rsidRDefault="00F008D2" w:rsidP="000D1D92">
      <w:pPr>
        <w:autoSpaceDE w:val="0"/>
        <w:autoSpaceDN w:val="0"/>
        <w:adjustRightInd w:val="0"/>
        <w:spacing w:before="0" w:after="0"/>
        <w:jc w:val="both"/>
        <w:rPr>
          <w:rFonts w:cs="Arial"/>
          <w:i/>
          <w:iCs/>
          <w:sz w:val="20"/>
          <w:szCs w:val="20"/>
        </w:rPr>
      </w:pPr>
      <w:r w:rsidRPr="00E7430E">
        <w:rPr>
          <w:rStyle w:val="EndnoteReference"/>
          <w:rFonts w:cs="Arial"/>
        </w:rPr>
        <w:endnoteRef/>
      </w:r>
      <w:r w:rsidRPr="00E7430E">
        <w:rPr>
          <w:rFonts w:cs="Arial"/>
        </w:rPr>
        <w:t xml:space="preserve"> </w:t>
      </w:r>
      <w:r w:rsidRPr="00A33846">
        <w:rPr>
          <w:rFonts w:cs="Arial"/>
          <w:sz w:val="20"/>
          <w:szCs w:val="20"/>
        </w:rPr>
        <w:t xml:space="preserve">N Stanley, </w:t>
      </w:r>
      <w:r w:rsidRPr="00A33846">
        <w:rPr>
          <w:rFonts w:cs="Arial"/>
          <w:i/>
          <w:iCs/>
          <w:sz w:val="20"/>
          <w:szCs w:val="20"/>
        </w:rPr>
        <w:t xml:space="preserve">Children Experiencing Domestic Violence: A Research Review </w:t>
      </w:r>
      <w:r w:rsidRPr="00A33846">
        <w:rPr>
          <w:rFonts w:cs="Arial"/>
          <w:iCs/>
          <w:sz w:val="20"/>
          <w:szCs w:val="20"/>
        </w:rPr>
        <w:t>(</w:t>
      </w:r>
      <w:r w:rsidRPr="00A33846">
        <w:rPr>
          <w:rFonts w:cs="Arial"/>
          <w:sz w:val="20"/>
          <w:szCs w:val="20"/>
        </w:rPr>
        <w:t xml:space="preserve">Dartington: </w:t>
      </w:r>
      <w:r w:rsidRPr="00A33846">
        <w:rPr>
          <w:rFonts w:cs="Arial"/>
          <w:bCs/>
          <w:sz w:val="20"/>
          <w:szCs w:val="20"/>
        </w:rPr>
        <w:t xml:space="preserve">Research in Practice, </w:t>
      </w:r>
      <w:r w:rsidRPr="00A33846">
        <w:rPr>
          <w:rFonts w:cs="Arial"/>
          <w:sz w:val="20"/>
          <w:szCs w:val="20"/>
        </w:rPr>
        <w:t xml:space="preserve">2011) </w:t>
      </w:r>
      <w:r>
        <w:rPr>
          <w:rFonts w:cs="Arial"/>
          <w:sz w:val="20"/>
          <w:szCs w:val="20"/>
        </w:rPr>
        <w:t>26</w:t>
      </w:r>
      <w:r w:rsidRPr="00A33846">
        <w:rPr>
          <w:rFonts w:cs="Arial"/>
          <w:sz w:val="20"/>
          <w:szCs w:val="20"/>
        </w:rPr>
        <w:t>.</w:t>
      </w:r>
    </w:p>
  </w:endnote>
  <w:endnote w:id="543">
    <w:p w14:paraId="00DFD361" w14:textId="77777777" w:rsidR="00F008D2" w:rsidRPr="00043E9C" w:rsidRDefault="00F008D2" w:rsidP="000D1D92">
      <w:pPr>
        <w:autoSpaceDE w:val="0"/>
        <w:autoSpaceDN w:val="0"/>
        <w:adjustRightInd w:val="0"/>
        <w:spacing w:before="0" w:after="0"/>
        <w:jc w:val="both"/>
        <w:rPr>
          <w:rFonts w:ascii="InfoTextBook-Italic" w:hAnsi="InfoTextBook-Italic" w:cs="InfoTextBook-Italic"/>
          <w:i/>
          <w:iCs/>
          <w:sz w:val="20"/>
          <w:szCs w:val="20"/>
        </w:rPr>
      </w:pPr>
      <w:r w:rsidRPr="00E7430E">
        <w:rPr>
          <w:rStyle w:val="EndnoteReference"/>
          <w:rFonts w:cs="Arial"/>
        </w:rPr>
        <w:endnoteRef/>
      </w:r>
      <w:r w:rsidRPr="00E7430E">
        <w:rPr>
          <w:rFonts w:cs="Arial"/>
        </w:rPr>
        <w:t xml:space="preserve"> </w:t>
      </w:r>
      <w:r w:rsidRPr="00212D3C">
        <w:rPr>
          <w:rFonts w:cs="Arial"/>
          <w:sz w:val="20"/>
          <w:szCs w:val="20"/>
        </w:rPr>
        <w:t xml:space="preserve">N Stanley, </w:t>
      </w:r>
      <w:r w:rsidRPr="00212D3C">
        <w:rPr>
          <w:rFonts w:cs="Arial"/>
          <w:i/>
          <w:iCs/>
          <w:sz w:val="20"/>
          <w:szCs w:val="20"/>
        </w:rPr>
        <w:t xml:space="preserve">Children Experiencing Domestic Violence: A Research Review </w:t>
      </w:r>
      <w:r w:rsidRPr="00212D3C">
        <w:rPr>
          <w:rFonts w:cs="Arial"/>
          <w:iCs/>
          <w:sz w:val="20"/>
          <w:szCs w:val="20"/>
        </w:rPr>
        <w:t>(</w:t>
      </w:r>
      <w:r w:rsidRPr="00212D3C">
        <w:rPr>
          <w:rFonts w:cs="Arial"/>
          <w:sz w:val="20"/>
          <w:szCs w:val="20"/>
        </w:rPr>
        <w:t xml:space="preserve">Dartington: </w:t>
      </w:r>
      <w:r w:rsidRPr="00212D3C">
        <w:rPr>
          <w:rFonts w:cs="Arial"/>
          <w:bCs/>
          <w:sz w:val="20"/>
          <w:szCs w:val="20"/>
        </w:rPr>
        <w:t xml:space="preserve">Research in Practice, </w:t>
      </w:r>
      <w:r w:rsidRPr="00212D3C">
        <w:rPr>
          <w:rFonts w:cs="Arial"/>
          <w:sz w:val="20"/>
          <w:szCs w:val="20"/>
        </w:rPr>
        <w:t xml:space="preserve">2011) </w:t>
      </w:r>
      <w:r>
        <w:rPr>
          <w:rFonts w:cs="Arial"/>
          <w:sz w:val="20"/>
          <w:szCs w:val="20"/>
        </w:rPr>
        <w:t>27</w:t>
      </w:r>
      <w:r w:rsidRPr="00212D3C">
        <w:rPr>
          <w:rFonts w:cs="Arial"/>
          <w:sz w:val="20"/>
          <w:szCs w:val="20"/>
        </w:rPr>
        <w:t>.</w:t>
      </w:r>
    </w:p>
  </w:endnote>
  <w:endnote w:id="544">
    <w:p w14:paraId="25BCD4E1" w14:textId="77777777" w:rsidR="00F008D2" w:rsidRPr="00492BEA" w:rsidRDefault="00F008D2" w:rsidP="000D1D92">
      <w:pPr>
        <w:pStyle w:val="EndnoteText"/>
        <w:jc w:val="both"/>
        <w:rPr>
          <w:lang w:val="en-US"/>
        </w:rPr>
      </w:pPr>
      <w:r>
        <w:rPr>
          <w:rStyle w:val="EndnoteReference"/>
        </w:rPr>
        <w:endnoteRef/>
      </w:r>
      <w:r>
        <w:t xml:space="preserve"> Families Australia, Submission No 22 to the Australian Human Rights Commission, </w:t>
      </w:r>
      <w:r>
        <w:rPr>
          <w:i/>
        </w:rPr>
        <w:t xml:space="preserve">National Children’s Commissioner’s examination into children affected by family and domestic violence, </w:t>
      </w:r>
      <w:r>
        <w:t>15 June 2015, 9,13.</w:t>
      </w:r>
    </w:p>
  </w:endnote>
  <w:endnote w:id="545">
    <w:p w14:paraId="583F8EC2" w14:textId="77777777" w:rsidR="00F008D2" w:rsidRPr="00E7430E" w:rsidRDefault="00F008D2" w:rsidP="000D1D92">
      <w:pPr>
        <w:pStyle w:val="EndnoteText"/>
        <w:jc w:val="both"/>
        <w:rPr>
          <w:rFonts w:cs="Arial"/>
          <w:lang w:val="en-US"/>
        </w:rPr>
      </w:pPr>
      <w:r w:rsidRPr="00E7430E">
        <w:rPr>
          <w:rStyle w:val="EndnoteReference"/>
          <w:rFonts w:cs="Arial"/>
        </w:rPr>
        <w:endnoteRef/>
      </w:r>
      <w:r w:rsidRPr="00E7430E">
        <w:rPr>
          <w:rFonts w:cs="Arial"/>
        </w:rPr>
        <w:t xml:space="preserve"> </w:t>
      </w:r>
      <w:r w:rsidRPr="00212D3C">
        <w:rPr>
          <w:rFonts w:cs="Arial"/>
        </w:rPr>
        <w:t xml:space="preserve">N Stanley, </w:t>
      </w:r>
      <w:r w:rsidRPr="00212D3C">
        <w:rPr>
          <w:rFonts w:cs="Arial"/>
          <w:i/>
          <w:iCs/>
        </w:rPr>
        <w:t xml:space="preserve">Children Experiencing Domestic Violence: A Research Review </w:t>
      </w:r>
      <w:r w:rsidRPr="00212D3C">
        <w:rPr>
          <w:rFonts w:cs="Arial"/>
          <w:iCs/>
        </w:rPr>
        <w:t>(</w:t>
      </w:r>
      <w:r w:rsidRPr="00212D3C">
        <w:rPr>
          <w:rFonts w:cs="Arial"/>
        </w:rPr>
        <w:t xml:space="preserve">Dartington: </w:t>
      </w:r>
      <w:r w:rsidRPr="00212D3C">
        <w:rPr>
          <w:rFonts w:cs="Arial"/>
          <w:bCs/>
        </w:rPr>
        <w:t xml:space="preserve">Research in Practice, </w:t>
      </w:r>
      <w:r w:rsidRPr="00212D3C">
        <w:rPr>
          <w:rFonts w:cs="Arial"/>
        </w:rPr>
        <w:t xml:space="preserve">2011) </w:t>
      </w:r>
      <w:r>
        <w:rPr>
          <w:rFonts w:cs="Arial"/>
        </w:rPr>
        <w:t>34</w:t>
      </w:r>
      <w:r w:rsidRPr="00212D3C">
        <w:rPr>
          <w:rFonts w:cs="Arial"/>
        </w:rPr>
        <w:t>.</w:t>
      </w:r>
    </w:p>
  </w:endnote>
  <w:endnote w:id="546">
    <w:p w14:paraId="195497B6" w14:textId="77777777" w:rsidR="00F008D2" w:rsidRPr="007F6F7C" w:rsidRDefault="00F008D2" w:rsidP="000D1D92">
      <w:pPr>
        <w:pStyle w:val="EndnoteText"/>
        <w:jc w:val="both"/>
        <w:rPr>
          <w:lang w:val="en-US"/>
        </w:rPr>
      </w:pPr>
      <w:r>
        <w:rPr>
          <w:rStyle w:val="EndnoteReference"/>
        </w:rPr>
        <w:endnoteRef/>
      </w:r>
      <w:r>
        <w:t xml:space="preserve"> </w:t>
      </w:r>
      <w:r>
        <w:rPr>
          <w:lang w:val="en-US"/>
        </w:rPr>
        <w:t xml:space="preserve">New South Wales Government, Submission No </w:t>
      </w:r>
      <w:r w:rsidRPr="00F76AEE">
        <w:rPr>
          <w:lang w:val="en-US"/>
        </w:rPr>
        <w:t>51</w:t>
      </w:r>
      <w:r>
        <w:rPr>
          <w:lang w:val="en-US"/>
        </w:rPr>
        <w:t xml:space="preserve"> </w:t>
      </w:r>
      <w:r>
        <w:t xml:space="preserve">to Australian Human Rights Commission, </w:t>
      </w:r>
      <w:r>
        <w:rPr>
          <w:i/>
        </w:rPr>
        <w:t xml:space="preserve">National Children’s Commissioner’s examination into children affected by family and domestic violence, </w:t>
      </w:r>
      <w:r>
        <w:t>28 July 2015,</w:t>
      </w:r>
      <w:r>
        <w:rPr>
          <w:lang w:val="en-US"/>
        </w:rPr>
        <w:t xml:space="preserve"> 2.</w:t>
      </w:r>
    </w:p>
  </w:endnote>
  <w:endnote w:id="547">
    <w:p w14:paraId="5D4CDA36" w14:textId="77777777" w:rsidR="00F008D2" w:rsidRPr="00F26087" w:rsidRDefault="00F008D2" w:rsidP="000D1D92">
      <w:pPr>
        <w:pStyle w:val="EndnoteText"/>
        <w:rPr>
          <w:lang w:val="en-US"/>
        </w:rPr>
      </w:pPr>
      <w:r>
        <w:rPr>
          <w:rStyle w:val="EndnoteReference"/>
        </w:rPr>
        <w:endnoteRef/>
      </w:r>
      <w:r>
        <w:t xml:space="preserve"> Australian Psychological Society, Submission No 38 to the Australian Human Rights Commission, </w:t>
      </w:r>
      <w:r>
        <w:rPr>
          <w:i/>
        </w:rPr>
        <w:t xml:space="preserve">National Children’s Commissioner’s examination into children affected by family and domestic violence, </w:t>
      </w:r>
      <w:r>
        <w:t>17 June 2015, 19.</w:t>
      </w:r>
    </w:p>
  </w:endnote>
  <w:endnote w:id="548">
    <w:p w14:paraId="685C3330" w14:textId="77777777" w:rsidR="00F008D2" w:rsidRPr="00376CEA" w:rsidRDefault="00F008D2" w:rsidP="000D1D92">
      <w:pPr>
        <w:pStyle w:val="EndnoteText"/>
      </w:pPr>
      <w:r>
        <w:rPr>
          <w:rStyle w:val="EndnoteReference"/>
        </w:rPr>
        <w:endnoteRef/>
      </w:r>
      <w:r>
        <w:t xml:space="preserve"> The Royal Australian &amp; New Zealand College of Psychiatrists </w:t>
      </w:r>
      <w:r w:rsidRPr="002E7B37">
        <w:t>(RANZCP)</w:t>
      </w:r>
      <w:r>
        <w:t xml:space="preserve">, Submission </w:t>
      </w:r>
      <w:r w:rsidRPr="00987342">
        <w:t>No</w:t>
      </w:r>
      <w:r>
        <w:t xml:space="preserve"> </w:t>
      </w:r>
      <w:r w:rsidRPr="00987342">
        <w:t>37 to</w:t>
      </w:r>
      <w:r>
        <w:t xml:space="preserve"> Australian Human Rights Commission, </w:t>
      </w:r>
      <w:r>
        <w:rPr>
          <w:i/>
        </w:rPr>
        <w:t xml:space="preserve">National Children’s Commissioner’s examination into children affected by family and domestic violence, </w:t>
      </w:r>
      <w:r>
        <w:t>17 June 2015, 5.</w:t>
      </w:r>
    </w:p>
  </w:endnote>
  <w:endnote w:id="549">
    <w:p w14:paraId="3424B605" w14:textId="77777777" w:rsidR="00F008D2" w:rsidRPr="00E7430E" w:rsidRDefault="00F008D2" w:rsidP="000D1D92">
      <w:pPr>
        <w:pStyle w:val="EndnoteText"/>
        <w:jc w:val="both"/>
        <w:rPr>
          <w:rFonts w:cs="Arial"/>
          <w:lang w:val="en-US"/>
        </w:rPr>
      </w:pPr>
      <w:r w:rsidRPr="00E7430E">
        <w:rPr>
          <w:rStyle w:val="EndnoteReference"/>
          <w:rFonts w:cs="Arial"/>
        </w:rPr>
        <w:endnoteRef/>
      </w:r>
      <w:r w:rsidRPr="00E7430E">
        <w:rPr>
          <w:rFonts w:cs="Arial"/>
        </w:rPr>
        <w:t xml:space="preserve"> </w:t>
      </w:r>
      <w:r w:rsidRPr="00212D3C">
        <w:rPr>
          <w:rFonts w:cs="Arial"/>
        </w:rPr>
        <w:t xml:space="preserve">N Stanley, </w:t>
      </w:r>
      <w:r w:rsidRPr="00212D3C">
        <w:rPr>
          <w:rFonts w:cs="Arial"/>
          <w:i/>
          <w:iCs/>
        </w:rPr>
        <w:t xml:space="preserve">Children Experiencing Domestic Violence: A Research Review </w:t>
      </w:r>
      <w:r w:rsidRPr="00212D3C">
        <w:rPr>
          <w:rFonts w:cs="Arial"/>
          <w:iCs/>
        </w:rPr>
        <w:t>(</w:t>
      </w:r>
      <w:r w:rsidRPr="00212D3C">
        <w:rPr>
          <w:rFonts w:cs="Arial"/>
        </w:rPr>
        <w:t xml:space="preserve">Dartington: </w:t>
      </w:r>
      <w:r w:rsidRPr="00212D3C">
        <w:rPr>
          <w:rFonts w:cs="Arial"/>
          <w:bCs/>
        </w:rPr>
        <w:t xml:space="preserve">Research in Practice, </w:t>
      </w:r>
      <w:r w:rsidRPr="00212D3C">
        <w:rPr>
          <w:rFonts w:cs="Arial"/>
        </w:rPr>
        <w:t xml:space="preserve">2011) </w:t>
      </w:r>
      <w:r>
        <w:rPr>
          <w:rFonts w:cs="Arial"/>
        </w:rPr>
        <w:t>34</w:t>
      </w:r>
      <w:r w:rsidRPr="00212D3C">
        <w:rPr>
          <w:rFonts w:cs="Arial"/>
        </w:rPr>
        <w:t>.</w:t>
      </w:r>
    </w:p>
  </w:endnote>
  <w:endnote w:id="550">
    <w:p w14:paraId="7F67A1C6" w14:textId="77777777" w:rsidR="00F008D2" w:rsidRPr="009B5EB8" w:rsidRDefault="00F008D2" w:rsidP="000D1D92">
      <w:pPr>
        <w:pStyle w:val="EndnoteText"/>
        <w:jc w:val="both"/>
        <w:rPr>
          <w:lang w:val="en-US"/>
        </w:rPr>
      </w:pPr>
      <w:r w:rsidRPr="00EA44E8">
        <w:rPr>
          <w:rStyle w:val="EndnoteReference"/>
        </w:rPr>
        <w:endnoteRef/>
      </w:r>
      <w:r w:rsidRPr="00EA44E8">
        <w:t xml:space="preserve"> </w:t>
      </w:r>
      <w:r w:rsidRPr="00EA44E8">
        <w:rPr>
          <w:lang w:val="en-US"/>
        </w:rPr>
        <w:t xml:space="preserve">J Spangaro and J Ruane, University of NSW, </w:t>
      </w:r>
      <w:r w:rsidRPr="00EA44E8">
        <w:rPr>
          <w:i/>
          <w:lang w:val="en-US"/>
        </w:rPr>
        <w:t>Health Interventions for Family and Domestic violence: A Literature Review</w:t>
      </w:r>
      <w:r w:rsidRPr="00EA44E8">
        <w:rPr>
          <w:lang w:val="en-US"/>
        </w:rPr>
        <w:t xml:space="preserve"> (2014) 57 &lt;</w:t>
      </w:r>
      <w:hyperlink r:id="rId158" w:history="1">
        <w:r w:rsidRPr="0028701A">
          <w:rPr>
            <w:rStyle w:val="Hyperlink"/>
            <w:lang w:val="en-US"/>
          </w:rPr>
          <w:t>http://www.kidsfamilies.health.nsw.gov.au/publications/health-interventions-for-family-and-domestic-violence-a-literature-review/</w:t>
        </w:r>
      </w:hyperlink>
      <w:r>
        <w:rPr>
          <w:lang w:val="en-US"/>
        </w:rPr>
        <w:t>&gt;.</w:t>
      </w:r>
    </w:p>
  </w:endnote>
  <w:endnote w:id="551">
    <w:p w14:paraId="45B61F77" w14:textId="77777777" w:rsidR="00F008D2" w:rsidRPr="00E7430E" w:rsidRDefault="00F008D2" w:rsidP="000D1D92">
      <w:pPr>
        <w:pStyle w:val="EndnoteText"/>
        <w:jc w:val="both"/>
        <w:rPr>
          <w:rFonts w:cs="Arial"/>
          <w:lang w:val="en-US"/>
        </w:rPr>
      </w:pPr>
      <w:r w:rsidRPr="00E7430E">
        <w:rPr>
          <w:rStyle w:val="EndnoteReference"/>
          <w:rFonts w:cs="Arial"/>
        </w:rPr>
        <w:endnoteRef/>
      </w:r>
      <w:r w:rsidRPr="00E7430E">
        <w:rPr>
          <w:rFonts w:cs="Arial"/>
        </w:rPr>
        <w:t xml:space="preserve"> </w:t>
      </w:r>
      <w:r w:rsidRPr="00212D3C">
        <w:rPr>
          <w:rFonts w:cs="Arial"/>
        </w:rPr>
        <w:t xml:space="preserve">N Stanley, </w:t>
      </w:r>
      <w:r w:rsidRPr="00212D3C">
        <w:rPr>
          <w:rFonts w:cs="Arial"/>
          <w:i/>
          <w:iCs/>
        </w:rPr>
        <w:t xml:space="preserve">Children Experiencing Domestic Violence: A Research Review </w:t>
      </w:r>
      <w:r w:rsidRPr="00212D3C">
        <w:rPr>
          <w:rFonts w:cs="Arial"/>
          <w:iCs/>
        </w:rPr>
        <w:t>(</w:t>
      </w:r>
      <w:r w:rsidRPr="00212D3C">
        <w:rPr>
          <w:rFonts w:cs="Arial"/>
        </w:rPr>
        <w:t xml:space="preserve">Dartington: </w:t>
      </w:r>
      <w:r w:rsidRPr="00212D3C">
        <w:rPr>
          <w:rFonts w:cs="Arial"/>
          <w:bCs/>
        </w:rPr>
        <w:t xml:space="preserve">Research in Practice, </w:t>
      </w:r>
      <w:r w:rsidRPr="00212D3C">
        <w:rPr>
          <w:rFonts w:cs="Arial"/>
        </w:rPr>
        <w:t xml:space="preserve">2011) </w:t>
      </w:r>
      <w:r>
        <w:rPr>
          <w:rFonts w:cs="Arial"/>
        </w:rPr>
        <w:t>34</w:t>
      </w:r>
      <w:r w:rsidRPr="00212D3C">
        <w:rPr>
          <w:rFonts w:cs="Arial"/>
        </w:rPr>
        <w:t>.</w:t>
      </w:r>
    </w:p>
  </w:endnote>
  <w:endnote w:id="552">
    <w:p w14:paraId="76E1FFDA" w14:textId="77777777" w:rsidR="00F008D2" w:rsidRPr="00E7430E" w:rsidRDefault="00F008D2" w:rsidP="000D1D92">
      <w:pPr>
        <w:pStyle w:val="EndnoteText"/>
        <w:jc w:val="both"/>
        <w:rPr>
          <w:rFonts w:cs="Arial"/>
          <w:lang w:val="en-US"/>
        </w:rPr>
      </w:pPr>
      <w:r w:rsidRPr="00E7430E">
        <w:rPr>
          <w:rStyle w:val="EndnoteReference"/>
          <w:rFonts w:cs="Arial"/>
        </w:rPr>
        <w:endnoteRef/>
      </w:r>
      <w:r w:rsidRPr="00E7430E">
        <w:rPr>
          <w:rFonts w:cs="Arial"/>
        </w:rPr>
        <w:t xml:space="preserve"> </w:t>
      </w:r>
      <w:r w:rsidRPr="00212D3C">
        <w:rPr>
          <w:rFonts w:cs="Arial"/>
        </w:rPr>
        <w:t xml:space="preserve">N Stanley, </w:t>
      </w:r>
      <w:r w:rsidRPr="00212D3C">
        <w:rPr>
          <w:rFonts w:cs="Arial"/>
          <w:i/>
          <w:iCs/>
        </w:rPr>
        <w:t xml:space="preserve">Children Experiencing Domestic Violence: A Research Review </w:t>
      </w:r>
      <w:r w:rsidRPr="00212D3C">
        <w:rPr>
          <w:rFonts w:cs="Arial"/>
          <w:iCs/>
        </w:rPr>
        <w:t>(</w:t>
      </w:r>
      <w:r w:rsidRPr="00212D3C">
        <w:rPr>
          <w:rFonts w:cs="Arial"/>
        </w:rPr>
        <w:t xml:space="preserve">Dartington: </w:t>
      </w:r>
      <w:r w:rsidRPr="00212D3C">
        <w:rPr>
          <w:rFonts w:cs="Arial"/>
          <w:bCs/>
        </w:rPr>
        <w:t xml:space="preserve">Research in Practice, </w:t>
      </w:r>
      <w:r w:rsidRPr="00212D3C">
        <w:rPr>
          <w:rFonts w:cs="Arial"/>
        </w:rPr>
        <w:t xml:space="preserve">2011) </w:t>
      </w:r>
      <w:r>
        <w:rPr>
          <w:rFonts w:cs="Arial"/>
        </w:rPr>
        <w:t>34</w:t>
      </w:r>
      <w:r w:rsidRPr="00212D3C">
        <w:rPr>
          <w:rFonts w:cs="Arial"/>
        </w:rPr>
        <w:t>.</w:t>
      </w:r>
    </w:p>
  </w:endnote>
  <w:endnote w:id="553">
    <w:p w14:paraId="5721566A" w14:textId="77777777" w:rsidR="00F008D2" w:rsidRPr="00E7430E" w:rsidRDefault="00F008D2" w:rsidP="000D1D92">
      <w:pPr>
        <w:pStyle w:val="EndnoteText"/>
        <w:jc w:val="both"/>
        <w:rPr>
          <w:rFonts w:cs="Arial"/>
        </w:rPr>
      </w:pPr>
      <w:r w:rsidRPr="00E7430E">
        <w:rPr>
          <w:rStyle w:val="EndnoteReference"/>
          <w:rFonts w:cs="Arial"/>
        </w:rPr>
        <w:endnoteRef/>
      </w:r>
      <w:r w:rsidRPr="00E7430E">
        <w:rPr>
          <w:rFonts w:cs="Arial"/>
        </w:rPr>
        <w:t xml:space="preserve"> </w:t>
      </w:r>
      <w:r w:rsidRPr="00212D3C">
        <w:rPr>
          <w:rFonts w:cs="Arial"/>
        </w:rPr>
        <w:t xml:space="preserve">N Stanley, </w:t>
      </w:r>
      <w:r w:rsidRPr="00212D3C">
        <w:rPr>
          <w:rFonts w:cs="Arial"/>
          <w:i/>
          <w:iCs/>
        </w:rPr>
        <w:t xml:space="preserve">Children Experiencing Domestic Violence: A Research Review </w:t>
      </w:r>
      <w:r w:rsidRPr="00212D3C">
        <w:rPr>
          <w:rFonts w:cs="Arial"/>
          <w:iCs/>
        </w:rPr>
        <w:t>(</w:t>
      </w:r>
      <w:r w:rsidRPr="00212D3C">
        <w:rPr>
          <w:rFonts w:cs="Arial"/>
        </w:rPr>
        <w:t xml:space="preserve">Dartington: </w:t>
      </w:r>
      <w:r w:rsidRPr="00212D3C">
        <w:rPr>
          <w:rFonts w:cs="Arial"/>
          <w:bCs/>
        </w:rPr>
        <w:t xml:space="preserve">Research in Practice, </w:t>
      </w:r>
      <w:r w:rsidRPr="00212D3C">
        <w:rPr>
          <w:rFonts w:cs="Arial"/>
        </w:rPr>
        <w:t xml:space="preserve">2011) </w:t>
      </w:r>
      <w:r>
        <w:rPr>
          <w:rFonts w:cs="Arial"/>
        </w:rPr>
        <w:t>35</w:t>
      </w:r>
      <w:r w:rsidRPr="00212D3C">
        <w:rPr>
          <w:rFonts w:cs="Arial"/>
        </w:rPr>
        <w:t>.</w:t>
      </w:r>
    </w:p>
  </w:endnote>
  <w:endnote w:id="554">
    <w:p w14:paraId="34FD030A" w14:textId="77777777" w:rsidR="00F008D2" w:rsidRPr="00E7430E" w:rsidRDefault="00F008D2" w:rsidP="000D1D92">
      <w:pPr>
        <w:autoSpaceDE w:val="0"/>
        <w:autoSpaceDN w:val="0"/>
        <w:adjustRightInd w:val="0"/>
        <w:spacing w:before="0" w:after="0"/>
        <w:rPr>
          <w:rFonts w:cs="Arial"/>
          <w:i/>
          <w:iCs/>
          <w:sz w:val="20"/>
          <w:szCs w:val="20"/>
        </w:rPr>
      </w:pPr>
      <w:r w:rsidRPr="00E7430E">
        <w:rPr>
          <w:rStyle w:val="EndnoteReference"/>
          <w:rFonts w:cs="Arial"/>
        </w:rPr>
        <w:endnoteRef/>
      </w:r>
      <w:r w:rsidRPr="00E7430E">
        <w:rPr>
          <w:rFonts w:cs="Arial"/>
        </w:rPr>
        <w:t xml:space="preserve"> </w:t>
      </w:r>
      <w:r w:rsidRPr="00B00E18">
        <w:rPr>
          <w:rFonts w:cs="Arial"/>
          <w:sz w:val="20"/>
          <w:szCs w:val="20"/>
        </w:rPr>
        <w:t xml:space="preserve">N Stanley, </w:t>
      </w:r>
      <w:r w:rsidRPr="00B00E18">
        <w:rPr>
          <w:rFonts w:cs="Arial"/>
          <w:i/>
          <w:iCs/>
          <w:sz w:val="20"/>
          <w:szCs w:val="20"/>
        </w:rPr>
        <w:t>Children Experie</w:t>
      </w:r>
      <w:r w:rsidRPr="00246477">
        <w:rPr>
          <w:rFonts w:cs="Arial"/>
          <w:i/>
          <w:iCs/>
          <w:sz w:val="20"/>
          <w:szCs w:val="20"/>
        </w:rPr>
        <w:t xml:space="preserve">ncing Domestic Violence: A Research Review </w:t>
      </w:r>
      <w:r w:rsidRPr="00246477">
        <w:rPr>
          <w:rFonts w:cs="Arial"/>
          <w:iCs/>
          <w:sz w:val="20"/>
          <w:szCs w:val="20"/>
        </w:rPr>
        <w:t>(</w:t>
      </w:r>
      <w:r w:rsidRPr="00246477">
        <w:rPr>
          <w:rFonts w:cs="Arial"/>
          <w:sz w:val="20"/>
          <w:szCs w:val="20"/>
        </w:rPr>
        <w:t xml:space="preserve">Dartington: </w:t>
      </w:r>
      <w:r w:rsidRPr="00246477">
        <w:rPr>
          <w:rFonts w:cs="Arial"/>
          <w:bCs/>
          <w:sz w:val="20"/>
          <w:szCs w:val="20"/>
        </w:rPr>
        <w:t xml:space="preserve">Research in Practice, </w:t>
      </w:r>
      <w:r w:rsidRPr="00246477">
        <w:rPr>
          <w:rFonts w:cs="Arial"/>
          <w:sz w:val="20"/>
          <w:szCs w:val="20"/>
        </w:rPr>
        <w:t xml:space="preserve">2011) </w:t>
      </w:r>
      <w:r>
        <w:rPr>
          <w:rFonts w:cs="Arial"/>
          <w:sz w:val="20"/>
          <w:szCs w:val="20"/>
        </w:rPr>
        <w:t>26</w:t>
      </w:r>
      <w:r w:rsidRPr="00B00E18">
        <w:rPr>
          <w:rFonts w:cs="Arial"/>
          <w:sz w:val="20"/>
          <w:szCs w:val="20"/>
        </w:rPr>
        <w:t>.</w:t>
      </w:r>
    </w:p>
  </w:endnote>
  <w:endnote w:id="555">
    <w:p w14:paraId="696A6B00" w14:textId="77777777" w:rsidR="00F008D2" w:rsidRDefault="00F008D2" w:rsidP="000D1D92">
      <w:pPr>
        <w:pStyle w:val="EndnoteText"/>
      </w:pPr>
      <w:r>
        <w:rPr>
          <w:rStyle w:val="EndnoteReference"/>
        </w:rPr>
        <w:endnoteRef/>
      </w:r>
      <w:r>
        <w:t xml:space="preserve"> Anita Morris et al, ‘Extending the Reach: A Timely and Tailored Response to Children who Experience Family Violence’ (2011) 24 (8) </w:t>
      </w:r>
      <w:r w:rsidRPr="00A33846">
        <w:rPr>
          <w:i/>
        </w:rPr>
        <w:t>Parity</w:t>
      </w:r>
      <w:r>
        <w:t>, 38.</w:t>
      </w:r>
    </w:p>
  </w:endnote>
  <w:endnote w:id="556">
    <w:p w14:paraId="3297CD12" w14:textId="77777777" w:rsidR="00F008D2" w:rsidRPr="00E7430E" w:rsidRDefault="00F008D2" w:rsidP="000D1D92">
      <w:pPr>
        <w:pStyle w:val="EndnoteText"/>
        <w:jc w:val="both"/>
        <w:rPr>
          <w:rFonts w:cs="Arial"/>
          <w:lang w:val="en-US"/>
        </w:rPr>
      </w:pPr>
      <w:r w:rsidRPr="00E7430E">
        <w:rPr>
          <w:rStyle w:val="EndnoteReference"/>
          <w:rFonts w:cs="Arial"/>
        </w:rPr>
        <w:endnoteRef/>
      </w:r>
      <w:r w:rsidRPr="00E7430E">
        <w:rPr>
          <w:rFonts w:cs="Arial"/>
        </w:rPr>
        <w:t xml:space="preserve"> </w:t>
      </w:r>
      <w:r w:rsidRPr="00212D3C">
        <w:rPr>
          <w:rFonts w:cs="Arial"/>
        </w:rPr>
        <w:t xml:space="preserve">N Stanley, </w:t>
      </w:r>
      <w:r w:rsidRPr="00212D3C">
        <w:rPr>
          <w:rFonts w:cs="Arial"/>
          <w:i/>
          <w:iCs/>
        </w:rPr>
        <w:t xml:space="preserve">Children Experiencing Domestic Violence: A Research Review </w:t>
      </w:r>
      <w:r w:rsidRPr="00212D3C">
        <w:rPr>
          <w:rFonts w:cs="Arial"/>
          <w:iCs/>
        </w:rPr>
        <w:t>(</w:t>
      </w:r>
      <w:r w:rsidRPr="00212D3C">
        <w:rPr>
          <w:rFonts w:cs="Arial"/>
        </w:rPr>
        <w:t xml:space="preserve">Dartington: </w:t>
      </w:r>
      <w:r w:rsidRPr="00212D3C">
        <w:rPr>
          <w:rFonts w:cs="Arial"/>
          <w:bCs/>
        </w:rPr>
        <w:t xml:space="preserve">Research in Practice, </w:t>
      </w:r>
      <w:r w:rsidRPr="00212D3C">
        <w:rPr>
          <w:rFonts w:cs="Arial"/>
        </w:rPr>
        <w:t xml:space="preserve">2011) </w:t>
      </w:r>
      <w:r>
        <w:rPr>
          <w:rFonts w:cs="Arial"/>
        </w:rPr>
        <w:t>29</w:t>
      </w:r>
      <w:r w:rsidRPr="00212D3C">
        <w:rPr>
          <w:rFonts w:cs="Arial"/>
        </w:rPr>
        <w:t>.</w:t>
      </w:r>
    </w:p>
  </w:endnote>
  <w:endnote w:id="557">
    <w:p w14:paraId="04A2FEDD" w14:textId="77777777" w:rsidR="00F008D2" w:rsidRPr="00542F13" w:rsidRDefault="00F008D2" w:rsidP="000D1D92">
      <w:pPr>
        <w:pStyle w:val="EndnoteText"/>
        <w:jc w:val="both"/>
        <w:rPr>
          <w:lang w:val="en-US"/>
        </w:rPr>
      </w:pPr>
      <w:r w:rsidRPr="00E7430E">
        <w:rPr>
          <w:rStyle w:val="EndnoteReference"/>
          <w:rFonts w:cs="Arial"/>
        </w:rPr>
        <w:endnoteRef/>
      </w:r>
      <w:r w:rsidRPr="00E7430E">
        <w:rPr>
          <w:rFonts w:cs="Arial"/>
        </w:rPr>
        <w:t xml:space="preserve"> </w:t>
      </w:r>
      <w:r w:rsidRPr="00212D3C">
        <w:rPr>
          <w:rFonts w:cs="Arial"/>
        </w:rPr>
        <w:t xml:space="preserve">N Stanley, </w:t>
      </w:r>
      <w:r w:rsidRPr="00212D3C">
        <w:rPr>
          <w:rFonts w:cs="Arial"/>
          <w:i/>
          <w:iCs/>
        </w:rPr>
        <w:t xml:space="preserve">Children Experiencing Domestic Violence: A Research Review </w:t>
      </w:r>
      <w:r w:rsidRPr="00212D3C">
        <w:rPr>
          <w:rFonts w:cs="Arial"/>
          <w:iCs/>
        </w:rPr>
        <w:t>(</w:t>
      </w:r>
      <w:r w:rsidRPr="00212D3C">
        <w:rPr>
          <w:rFonts w:cs="Arial"/>
        </w:rPr>
        <w:t xml:space="preserve">Dartington: </w:t>
      </w:r>
      <w:r w:rsidRPr="00212D3C">
        <w:rPr>
          <w:rFonts w:cs="Arial"/>
          <w:bCs/>
        </w:rPr>
        <w:t xml:space="preserve">Research in Practice, </w:t>
      </w:r>
      <w:r w:rsidRPr="00212D3C">
        <w:rPr>
          <w:rFonts w:cs="Arial"/>
        </w:rPr>
        <w:t xml:space="preserve">2011) </w:t>
      </w:r>
      <w:r>
        <w:rPr>
          <w:rFonts w:cs="Arial"/>
        </w:rPr>
        <w:t>27</w:t>
      </w:r>
      <w:r w:rsidRPr="00212D3C">
        <w:rPr>
          <w:rFonts w:cs="Arial"/>
        </w:rPr>
        <w:t>.</w:t>
      </w:r>
    </w:p>
  </w:endnote>
  <w:endnote w:id="558">
    <w:p w14:paraId="7C181728" w14:textId="77777777" w:rsidR="00F008D2" w:rsidRPr="00E7430E" w:rsidRDefault="00F008D2" w:rsidP="000D1D92">
      <w:pPr>
        <w:autoSpaceDE w:val="0"/>
        <w:autoSpaceDN w:val="0"/>
        <w:adjustRightInd w:val="0"/>
        <w:spacing w:before="0" w:after="0"/>
        <w:jc w:val="both"/>
        <w:rPr>
          <w:rFonts w:cs="Arial"/>
          <w:i/>
          <w:iCs/>
          <w:sz w:val="20"/>
          <w:szCs w:val="20"/>
        </w:rPr>
      </w:pPr>
      <w:r w:rsidRPr="00E7430E">
        <w:rPr>
          <w:rStyle w:val="EndnoteReference"/>
          <w:rFonts w:cs="Arial"/>
        </w:rPr>
        <w:endnoteRef/>
      </w:r>
      <w:r w:rsidRPr="00E7430E">
        <w:rPr>
          <w:rFonts w:cs="Arial"/>
        </w:rPr>
        <w:t xml:space="preserve"> </w:t>
      </w:r>
      <w:r w:rsidRPr="00B00E18">
        <w:rPr>
          <w:rFonts w:cs="Arial"/>
          <w:sz w:val="20"/>
          <w:szCs w:val="20"/>
        </w:rPr>
        <w:t xml:space="preserve">N Stanley, </w:t>
      </w:r>
      <w:r w:rsidRPr="00B00E18">
        <w:rPr>
          <w:rFonts w:cs="Arial"/>
          <w:i/>
          <w:iCs/>
          <w:sz w:val="20"/>
          <w:szCs w:val="20"/>
        </w:rPr>
        <w:t xml:space="preserve">Children Experiencing Domestic Violence: A Research Review </w:t>
      </w:r>
      <w:r w:rsidRPr="00D54275">
        <w:rPr>
          <w:rFonts w:cs="Arial"/>
          <w:iCs/>
          <w:sz w:val="20"/>
          <w:szCs w:val="20"/>
        </w:rPr>
        <w:t>(</w:t>
      </w:r>
      <w:r w:rsidRPr="00D54275">
        <w:rPr>
          <w:rFonts w:cs="Arial"/>
          <w:sz w:val="20"/>
          <w:szCs w:val="20"/>
        </w:rPr>
        <w:t xml:space="preserve">Dartington: </w:t>
      </w:r>
      <w:r w:rsidRPr="00D54275">
        <w:rPr>
          <w:rFonts w:cs="Arial"/>
          <w:bCs/>
          <w:sz w:val="20"/>
          <w:szCs w:val="20"/>
        </w:rPr>
        <w:t xml:space="preserve">Research in Practice, </w:t>
      </w:r>
      <w:r w:rsidRPr="00D54275">
        <w:rPr>
          <w:rFonts w:cs="Arial"/>
          <w:sz w:val="20"/>
          <w:szCs w:val="20"/>
        </w:rPr>
        <w:t xml:space="preserve">2011) </w:t>
      </w:r>
      <w:r>
        <w:rPr>
          <w:rFonts w:cs="Arial"/>
          <w:sz w:val="20"/>
          <w:szCs w:val="20"/>
        </w:rPr>
        <w:t>3</w:t>
      </w:r>
      <w:r w:rsidRPr="00B00E18">
        <w:rPr>
          <w:rFonts w:cs="Arial"/>
          <w:sz w:val="20"/>
          <w:szCs w:val="20"/>
        </w:rPr>
        <w:t>.</w:t>
      </w:r>
    </w:p>
  </w:endnote>
  <w:endnote w:id="559">
    <w:p w14:paraId="433D668C" w14:textId="77777777" w:rsidR="00F008D2" w:rsidRPr="00E7430E" w:rsidRDefault="00F008D2" w:rsidP="000D1D92">
      <w:pPr>
        <w:autoSpaceDE w:val="0"/>
        <w:autoSpaceDN w:val="0"/>
        <w:adjustRightInd w:val="0"/>
        <w:spacing w:before="0" w:after="0"/>
        <w:jc w:val="both"/>
        <w:rPr>
          <w:rFonts w:cs="Arial"/>
          <w:i/>
          <w:iCs/>
          <w:sz w:val="20"/>
          <w:szCs w:val="20"/>
        </w:rPr>
      </w:pPr>
      <w:r w:rsidRPr="00E7430E">
        <w:rPr>
          <w:rStyle w:val="EndnoteReference"/>
          <w:rFonts w:cs="Arial"/>
        </w:rPr>
        <w:endnoteRef/>
      </w:r>
      <w:r w:rsidRPr="00E7430E">
        <w:rPr>
          <w:rFonts w:cs="Arial"/>
        </w:rPr>
        <w:t xml:space="preserve"> </w:t>
      </w:r>
      <w:r w:rsidRPr="00212D3C">
        <w:rPr>
          <w:rFonts w:cs="Arial"/>
          <w:sz w:val="20"/>
          <w:szCs w:val="20"/>
        </w:rPr>
        <w:t xml:space="preserve">N Stanley, </w:t>
      </w:r>
      <w:r w:rsidRPr="00212D3C">
        <w:rPr>
          <w:rFonts w:cs="Arial"/>
          <w:i/>
          <w:iCs/>
          <w:sz w:val="20"/>
          <w:szCs w:val="20"/>
        </w:rPr>
        <w:t xml:space="preserve">Children Experiencing Domestic Violence: A Research Review </w:t>
      </w:r>
      <w:r w:rsidRPr="00212D3C">
        <w:rPr>
          <w:rFonts w:cs="Arial"/>
          <w:iCs/>
          <w:sz w:val="20"/>
          <w:szCs w:val="20"/>
        </w:rPr>
        <w:t>(</w:t>
      </w:r>
      <w:r w:rsidRPr="00212D3C">
        <w:rPr>
          <w:rFonts w:cs="Arial"/>
          <w:sz w:val="20"/>
          <w:szCs w:val="20"/>
        </w:rPr>
        <w:t xml:space="preserve">Dartington: </w:t>
      </w:r>
      <w:r w:rsidRPr="00212D3C">
        <w:rPr>
          <w:rFonts w:cs="Arial"/>
          <w:bCs/>
          <w:sz w:val="20"/>
          <w:szCs w:val="20"/>
        </w:rPr>
        <w:t xml:space="preserve">Research in Practice, </w:t>
      </w:r>
      <w:r w:rsidRPr="00212D3C">
        <w:rPr>
          <w:rFonts w:cs="Arial"/>
          <w:sz w:val="20"/>
          <w:szCs w:val="20"/>
        </w:rPr>
        <w:t xml:space="preserve">2011) </w:t>
      </w:r>
      <w:r>
        <w:rPr>
          <w:rFonts w:cs="Arial"/>
          <w:sz w:val="20"/>
          <w:szCs w:val="20"/>
        </w:rPr>
        <w:t>6</w:t>
      </w:r>
      <w:r w:rsidRPr="00212D3C">
        <w:rPr>
          <w:rFonts w:cs="Arial"/>
          <w:sz w:val="20"/>
          <w:szCs w:val="20"/>
        </w:rPr>
        <w:t>.</w:t>
      </w:r>
    </w:p>
  </w:endnote>
  <w:endnote w:id="560">
    <w:p w14:paraId="2593DD01" w14:textId="77777777" w:rsidR="00F008D2" w:rsidRPr="001317EC" w:rsidRDefault="00F008D2" w:rsidP="000D1D92">
      <w:pPr>
        <w:pStyle w:val="EndnoteText"/>
        <w:jc w:val="both"/>
        <w:rPr>
          <w:lang w:val="en-US"/>
        </w:rPr>
      </w:pPr>
      <w:r>
        <w:rPr>
          <w:rStyle w:val="EndnoteReference"/>
        </w:rPr>
        <w:endnoteRef/>
      </w:r>
      <w:r>
        <w:t xml:space="preserve"> </w:t>
      </w:r>
      <w:r w:rsidRPr="00D54275">
        <w:t>Australian Institute of Family Studies (AIFS) and Australia’s National Research Organisation for Women’s Safety (ANROWS)</w:t>
      </w:r>
      <w:r>
        <w:t xml:space="preserve">, </w:t>
      </w:r>
      <w:r>
        <w:rPr>
          <w:rFonts w:cs="Arial"/>
        </w:rPr>
        <w:t xml:space="preserve">Submission No 6 </w:t>
      </w:r>
      <w:r>
        <w:t xml:space="preserve">to Australian Human Rights Commission, </w:t>
      </w:r>
      <w:r>
        <w:rPr>
          <w:i/>
        </w:rPr>
        <w:t xml:space="preserve">National Children’s Commissioner’s examination into children affected by family and domestic violence, </w:t>
      </w:r>
      <w:r>
        <w:t xml:space="preserve">29 May </w:t>
      </w:r>
      <w:r w:rsidRPr="00422F51">
        <w:t>2015,</w:t>
      </w:r>
      <w:r>
        <w:t xml:space="preserve"> </w:t>
      </w:r>
      <w:r>
        <w:rPr>
          <w:rFonts w:cs="Arial"/>
        </w:rPr>
        <w:t>18.</w:t>
      </w:r>
    </w:p>
  </w:endnote>
  <w:endnote w:id="561">
    <w:p w14:paraId="34924887" w14:textId="77777777" w:rsidR="00F008D2" w:rsidRPr="001317EC" w:rsidRDefault="00F008D2" w:rsidP="000D1D92">
      <w:pPr>
        <w:pStyle w:val="EndnoteText"/>
        <w:jc w:val="both"/>
        <w:rPr>
          <w:lang w:val="en-US"/>
        </w:rPr>
      </w:pPr>
      <w:r>
        <w:rPr>
          <w:rStyle w:val="EndnoteReference"/>
        </w:rPr>
        <w:endnoteRef/>
      </w:r>
      <w:r>
        <w:t xml:space="preserve"> </w:t>
      </w:r>
      <w:r w:rsidRPr="00D54275">
        <w:t>Australian Institute of Family Studies (AIFS) and Australia’s National Research Organisation for Women’s Safety (ANROWS)</w:t>
      </w:r>
      <w:r>
        <w:t xml:space="preserve">, </w:t>
      </w:r>
      <w:r>
        <w:rPr>
          <w:rFonts w:cs="Arial"/>
        </w:rPr>
        <w:t xml:space="preserve">Submission No 6 </w:t>
      </w:r>
      <w:r>
        <w:t xml:space="preserve">to Australian Human Rights Commission, </w:t>
      </w:r>
      <w:r>
        <w:rPr>
          <w:i/>
        </w:rPr>
        <w:t xml:space="preserve">National Children’s Commissioner’s examination into children affected by family and domestic violence, </w:t>
      </w:r>
      <w:r>
        <w:t xml:space="preserve">29 May </w:t>
      </w:r>
      <w:r w:rsidRPr="00422F51">
        <w:t>2015,</w:t>
      </w:r>
      <w:r>
        <w:t xml:space="preserve"> 5</w:t>
      </w:r>
      <w:r>
        <w:rPr>
          <w:rFonts w:cs="Arial"/>
        </w:rPr>
        <w:t>.</w:t>
      </w:r>
    </w:p>
  </w:endnote>
  <w:endnote w:id="562">
    <w:p w14:paraId="6AF542B9" w14:textId="77777777" w:rsidR="00F008D2" w:rsidRPr="00851499" w:rsidRDefault="00F008D2" w:rsidP="000D1D92">
      <w:pPr>
        <w:pStyle w:val="EndnoteText"/>
        <w:jc w:val="both"/>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8</w:t>
      </w:r>
      <w:r w:rsidRPr="00E4369B">
        <w:t xml:space="preserve">. </w:t>
      </w:r>
    </w:p>
  </w:endnote>
  <w:endnote w:id="563">
    <w:p w14:paraId="5E0DB1AF" w14:textId="77777777" w:rsidR="00F008D2" w:rsidRPr="00A2152F" w:rsidRDefault="00F008D2" w:rsidP="000D1D92">
      <w:pPr>
        <w:pStyle w:val="EndnoteText"/>
        <w:jc w:val="both"/>
        <w:rPr>
          <w:lang w:val="en-US"/>
        </w:rPr>
      </w:pPr>
      <w:r>
        <w:rPr>
          <w:rStyle w:val="EndnoteReference"/>
        </w:rPr>
        <w:endnoteRef/>
      </w:r>
      <w:r>
        <w:t xml:space="preserve"> </w:t>
      </w:r>
      <w:r w:rsidRPr="00D73476">
        <w:rPr>
          <w:rFonts w:cs="Arial"/>
        </w:rPr>
        <w:t>National Aboriginal &amp; Torres Strait Islander Women’s Alliance</w:t>
      </w:r>
      <w:r>
        <w:rPr>
          <w:rFonts w:cs="Arial"/>
        </w:rPr>
        <w:t xml:space="preserve"> (NATSIWA), Submission No 42 </w:t>
      </w:r>
      <w:r>
        <w:t xml:space="preserve">to Australian Human Rights Commission, </w:t>
      </w:r>
      <w:r>
        <w:rPr>
          <w:i/>
        </w:rPr>
        <w:t xml:space="preserve">National Children’s Commissioner’s examination into children affected by family and domestic violence, </w:t>
      </w:r>
      <w:r>
        <w:t xml:space="preserve">23 June 2015, </w:t>
      </w:r>
      <w:r>
        <w:rPr>
          <w:rFonts w:cs="Arial"/>
        </w:rPr>
        <w:t>2.</w:t>
      </w:r>
    </w:p>
  </w:endnote>
  <w:endnote w:id="564">
    <w:p w14:paraId="4E6677CA" w14:textId="77777777" w:rsidR="00F008D2" w:rsidRPr="00873286" w:rsidRDefault="00F008D2" w:rsidP="000D1D92">
      <w:pPr>
        <w:pStyle w:val="EndnoteText"/>
        <w:jc w:val="both"/>
        <w:rPr>
          <w:lang w:val="en-US"/>
        </w:rPr>
      </w:pPr>
      <w:r>
        <w:rPr>
          <w:rStyle w:val="EndnoteReference"/>
        </w:rPr>
        <w:endnoteRef/>
      </w:r>
      <w:r>
        <w:t xml:space="preserve"> </w:t>
      </w:r>
      <w:r>
        <w:rPr>
          <w:rFonts w:cs="Arial"/>
        </w:rPr>
        <w:t xml:space="preserve">Aboriginal Family Law Services (WA), Submission No 29 </w:t>
      </w:r>
      <w:r>
        <w:t xml:space="preserve">to Australian Human Rights Commission, </w:t>
      </w:r>
      <w:r>
        <w:rPr>
          <w:i/>
        </w:rPr>
        <w:t xml:space="preserve">National Children’s Commissioner’s examination into children affected by family and domestic violence, </w:t>
      </w:r>
      <w:r>
        <w:t xml:space="preserve">15 June 2015, </w:t>
      </w:r>
      <w:r>
        <w:rPr>
          <w:rFonts w:cs="Arial"/>
        </w:rPr>
        <w:t>7.</w:t>
      </w:r>
    </w:p>
  </w:endnote>
  <w:endnote w:id="565">
    <w:p w14:paraId="4C0E6BD4" w14:textId="77777777" w:rsidR="00F008D2" w:rsidRPr="00D458D5" w:rsidRDefault="00F008D2" w:rsidP="000D1D92">
      <w:pPr>
        <w:pStyle w:val="EndnoteText"/>
        <w:jc w:val="both"/>
        <w:rPr>
          <w:lang w:val="en-US"/>
        </w:rPr>
      </w:pPr>
      <w:r>
        <w:rPr>
          <w:rStyle w:val="EndnoteReference"/>
        </w:rPr>
        <w:endnoteRef/>
      </w:r>
      <w:r>
        <w:t xml:space="preserve"> </w:t>
      </w:r>
      <w:r w:rsidRPr="00630200">
        <w:t>inTouch Multicultural Centre against Family Violence</w:t>
      </w:r>
      <w:r>
        <w:rPr>
          <w:rFonts w:cs="Arial"/>
        </w:rPr>
        <w:t xml:space="preserve">, Submission No 3 </w:t>
      </w:r>
      <w:r>
        <w:t xml:space="preserve">to Australian Human Rights Commission, </w:t>
      </w:r>
      <w:r>
        <w:rPr>
          <w:i/>
        </w:rPr>
        <w:t xml:space="preserve">National Children’s Commissioner’s examination into children affected by family and domestic violence, </w:t>
      </w:r>
      <w:r>
        <w:t xml:space="preserve">15 May 2015, </w:t>
      </w:r>
      <w:r>
        <w:rPr>
          <w:rFonts w:cs="Arial"/>
        </w:rPr>
        <w:t>2.</w:t>
      </w:r>
    </w:p>
  </w:endnote>
  <w:endnote w:id="566">
    <w:p w14:paraId="604B8FFC" w14:textId="77777777" w:rsidR="00F008D2" w:rsidRPr="00A9495D" w:rsidRDefault="00F008D2" w:rsidP="000D1D92">
      <w:pPr>
        <w:pStyle w:val="EndnoteText"/>
        <w:jc w:val="both"/>
        <w:rPr>
          <w:lang w:val="en-US"/>
        </w:rPr>
      </w:pPr>
      <w:r>
        <w:rPr>
          <w:rStyle w:val="EndnoteReference"/>
        </w:rPr>
        <w:endnoteRef/>
      </w:r>
      <w:r>
        <w:t xml:space="preserve"> </w:t>
      </w:r>
      <w:r>
        <w:rPr>
          <w:lang w:val="en-US"/>
        </w:rPr>
        <w:t xml:space="preserve">Children with Disability Australia, </w:t>
      </w:r>
      <w:r>
        <w:rPr>
          <w:rFonts w:cs="Arial"/>
        </w:rPr>
        <w:t xml:space="preserve">Submission No 19 </w:t>
      </w:r>
      <w:r>
        <w:t xml:space="preserve">to Australian Human Rights Commission, </w:t>
      </w:r>
      <w:r>
        <w:rPr>
          <w:i/>
        </w:rPr>
        <w:t xml:space="preserve">National Children’s Commissioner’s examination into children affected by family and domestic violence, </w:t>
      </w:r>
      <w:r>
        <w:t xml:space="preserve">11 June 2015, </w:t>
      </w:r>
      <w:r>
        <w:rPr>
          <w:rFonts w:cs="Arial"/>
        </w:rPr>
        <w:t>1.</w:t>
      </w:r>
    </w:p>
  </w:endnote>
  <w:endnote w:id="567">
    <w:p w14:paraId="4DDFACEF" w14:textId="77777777" w:rsidR="00F008D2" w:rsidRPr="00F26087" w:rsidRDefault="00F008D2" w:rsidP="000D1D92">
      <w:pPr>
        <w:pStyle w:val="EndnoteText"/>
        <w:jc w:val="both"/>
        <w:rPr>
          <w:lang w:val="en-US"/>
        </w:rPr>
      </w:pPr>
      <w:r>
        <w:rPr>
          <w:rStyle w:val="EndnoteReference"/>
        </w:rPr>
        <w:endnoteRef/>
      </w:r>
      <w:r>
        <w:t xml:space="preserve"> Australian Psychological Society, Submission No 38 to the Australian Human Rights Commission, </w:t>
      </w:r>
      <w:r>
        <w:rPr>
          <w:i/>
        </w:rPr>
        <w:t xml:space="preserve">National Children’s Commissioner’s examination into children affected by family and domestic violence, </w:t>
      </w:r>
      <w:r>
        <w:t>17 June 2015, 10.</w:t>
      </w:r>
    </w:p>
  </w:endnote>
  <w:endnote w:id="568">
    <w:p w14:paraId="18FA265E" w14:textId="77777777" w:rsidR="00F008D2" w:rsidRPr="00244BC2" w:rsidRDefault="00F008D2" w:rsidP="000D1D92">
      <w:pPr>
        <w:pStyle w:val="EndnoteText"/>
        <w:jc w:val="both"/>
        <w:rPr>
          <w:lang w:val="en-US"/>
        </w:rPr>
      </w:pPr>
      <w:r>
        <w:rPr>
          <w:rStyle w:val="EndnoteReference"/>
        </w:rPr>
        <w:endnoteRef/>
      </w:r>
      <w:r>
        <w:t xml:space="preserve"> </w:t>
      </w:r>
      <w:r w:rsidRPr="00D54275">
        <w:t>Australian Institute of Family Studies (AIFS) and Australia’s National Research Organisation for Women’s Safety (ANROWS)</w:t>
      </w:r>
      <w:r>
        <w:t xml:space="preserve">, </w:t>
      </w:r>
      <w:r>
        <w:rPr>
          <w:rFonts w:cs="Arial"/>
        </w:rPr>
        <w:t xml:space="preserve">Submission No 6 </w:t>
      </w:r>
      <w:r>
        <w:t xml:space="preserve">to Australian Human Rights Commission, </w:t>
      </w:r>
      <w:r>
        <w:rPr>
          <w:i/>
        </w:rPr>
        <w:t xml:space="preserve">National Children’s Commissioner’s examination into children affected by family and domestic violence, </w:t>
      </w:r>
      <w:r>
        <w:t xml:space="preserve">29 May </w:t>
      </w:r>
      <w:r w:rsidRPr="00422F51">
        <w:t>2015,</w:t>
      </w:r>
      <w:r>
        <w:t xml:space="preserve"> 5</w:t>
      </w:r>
      <w:r>
        <w:rPr>
          <w:rFonts w:cs="Arial"/>
        </w:rPr>
        <w:t>.</w:t>
      </w:r>
    </w:p>
  </w:endnote>
  <w:endnote w:id="569">
    <w:p w14:paraId="4F9E99F2" w14:textId="77777777" w:rsidR="00F008D2" w:rsidRPr="00162A9C" w:rsidRDefault="00F008D2" w:rsidP="000D1D92">
      <w:pPr>
        <w:pStyle w:val="EndnoteText"/>
        <w:rPr>
          <w:lang w:val="en-US"/>
        </w:rPr>
      </w:pPr>
      <w:r>
        <w:rPr>
          <w:rStyle w:val="EndnoteReference"/>
        </w:rPr>
        <w:endnoteRef/>
      </w:r>
      <w:r>
        <w:t xml:space="preserve"> </w:t>
      </w:r>
      <w:r w:rsidRPr="000079F7">
        <w:t>Belinda Fehlberg</w:t>
      </w:r>
      <w:r>
        <w:t>,</w:t>
      </w:r>
      <w:r w:rsidRPr="005B2A9B">
        <w:t xml:space="preserve"> </w:t>
      </w:r>
      <w:r>
        <w:t xml:space="preserve">Attachment 2.1 </w:t>
      </w:r>
      <w:r w:rsidRPr="00422F51">
        <w:t xml:space="preserve">to Australian Human Rights Commission, </w:t>
      </w:r>
      <w:r w:rsidRPr="0082462D">
        <w:rPr>
          <w:i/>
        </w:rPr>
        <w:t>National Children’s Commissioner’s examination into children affected by family and domestic violence</w:t>
      </w:r>
      <w:r>
        <w:t>, 8 May 2015</w:t>
      </w:r>
      <w:r w:rsidRPr="00422F51">
        <w:t>,</w:t>
      </w:r>
      <w:r>
        <w:rPr>
          <w:lang w:val="en-US"/>
        </w:rPr>
        <w:t xml:space="preserve"> 153.</w:t>
      </w:r>
    </w:p>
  </w:endnote>
  <w:endnote w:id="570">
    <w:p w14:paraId="1284C2CA" w14:textId="77777777" w:rsidR="00F008D2" w:rsidRPr="003A70C5" w:rsidRDefault="00F008D2" w:rsidP="000D1D92">
      <w:pPr>
        <w:pStyle w:val="EndnoteText"/>
        <w:rPr>
          <w:lang w:val="en-US"/>
        </w:rPr>
      </w:pPr>
      <w:r>
        <w:rPr>
          <w:rStyle w:val="EndnoteReference"/>
        </w:rPr>
        <w:endnoteRef/>
      </w:r>
      <w:r>
        <w:t xml:space="preserve"> </w:t>
      </w:r>
      <w:r w:rsidRPr="0082462D">
        <w:t>Royal Australian and New Zealand College of Psychiatrists (RANZCP)</w:t>
      </w:r>
      <w:r>
        <w:t xml:space="preserve">, </w:t>
      </w:r>
      <w:r w:rsidRPr="00422F51">
        <w:t>Submission</w:t>
      </w:r>
      <w:r>
        <w:t xml:space="preserve"> No</w:t>
      </w:r>
      <w:r w:rsidRPr="00422F51">
        <w:t xml:space="preserve"> </w:t>
      </w:r>
      <w:r>
        <w:t>37</w:t>
      </w:r>
      <w:r w:rsidRPr="00422F51">
        <w:t xml:space="preserve"> to Australian Human Rights Commission, </w:t>
      </w:r>
      <w:r w:rsidRPr="0082462D">
        <w:rPr>
          <w:i/>
        </w:rPr>
        <w:t>National Children’s Commissioner’s examination into children affected by family and domestic violence</w:t>
      </w:r>
      <w:r>
        <w:t xml:space="preserve">, 17 June </w:t>
      </w:r>
      <w:r w:rsidRPr="00422F51">
        <w:t xml:space="preserve">2015, </w:t>
      </w:r>
      <w:r>
        <w:t>16</w:t>
      </w:r>
      <w:r w:rsidRPr="00422F51">
        <w:t>.</w:t>
      </w:r>
    </w:p>
  </w:endnote>
  <w:endnote w:id="571">
    <w:p w14:paraId="0A318C1D" w14:textId="77777777" w:rsidR="00F008D2" w:rsidRPr="00AA45EA" w:rsidRDefault="00F008D2" w:rsidP="000D1D92">
      <w:pPr>
        <w:pStyle w:val="EndnoteText"/>
        <w:jc w:val="both"/>
        <w:rPr>
          <w:lang w:val="en-US"/>
        </w:rPr>
      </w:pPr>
      <w:r>
        <w:rPr>
          <w:rStyle w:val="EndnoteReference"/>
        </w:rPr>
        <w:endnoteRef/>
      </w:r>
      <w:r>
        <w:t xml:space="preserve"> </w:t>
      </w:r>
      <w:r w:rsidRPr="00D54275">
        <w:t>Australian Institute of Family Studies (AIFS) and Australia’s National Research Organisation for Women’s Safety (ANROWS)</w:t>
      </w:r>
      <w:r>
        <w:t xml:space="preserve">, </w:t>
      </w:r>
      <w:r>
        <w:rPr>
          <w:rFonts w:cs="Arial"/>
        </w:rPr>
        <w:t xml:space="preserve">Submission No 6 </w:t>
      </w:r>
      <w:r>
        <w:t xml:space="preserve">to Australian Human Rights Commission, </w:t>
      </w:r>
      <w:r>
        <w:rPr>
          <w:i/>
        </w:rPr>
        <w:t xml:space="preserve">National Children’s Commissioner’s examination into children affected by family and domestic violence, </w:t>
      </w:r>
      <w:r>
        <w:t xml:space="preserve">29 May </w:t>
      </w:r>
      <w:r w:rsidRPr="00422F51">
        <w:t>2015,</w:t>
      </w:r>
      <w:r>
        <w:t xml:space="preserve"> 18</w:t>
      </w:r>
      <w:r>
        <w:rPr>
          <w:rFonts w:cs="Arial"/>
        </w:rPr>
        <w:t>.</w:t>
      </w:r>
    </w:p>
  </w:endnote>
  <w:endnote w:id="572">
    <w:p w14:paraId="29D8E803" w14:textId="77777777" w:rsidR="00F008D2" w:rsidRPr="00DF0C13" w:rsidRDefault="00F008D2" w:rsidP="000D1D92">
      <w:pPr>
        <w:pStyle w:val="EndnoteText"/>
        <w:rPr>
          <w:lang w:val="en-US"/>
        </w:rPr>
      </w:pPr>
      <w:r>
        <w:rPr>
          <w:rStyle w:val="EndnoteReference"/>
        </w:rPr>
        <w:endnoteRef/>
      </w:r>
      <w:r>
        <w:t xml:space="preserve"> </w:t>
      </w:r>
      <w:r w:rsidRPr="005B2A9B">
        <w:t>Department of Children and Families</w:t>
      </w:r>
      <w:r>
        <w:t xml:space="preserve"> (NT),</w:t>
      </w:r>
      <w:r w:rsidRPr="005B2A9B">
        <w:t xml:space="preserve"> </w:t>
      </w:r>
      <w:r w:rsidRPr="00422F51">
        <w:t xml:space="preserve">Submission </w:t>
      </w:r>
      <w:r>
        <w:t xml:space="preserve">No 52 </w:t>
      </w:r>
      <w:r w:rsidRPr="00422F51">
        <w:t xml:space="preserve">to Australian Human Rights Commission, </w:t>
      </w:r>
      <w:r w:rsidRPr="0082462D">
        <w:rPr>
          <w:i/>
        </w:rPr>
        <w:t>National Children’s Commissioner’s examination into children affected by family and domestic violence</w:t>
      </w:r>
      <w:r>
        <w:t xml:space="preserve">, 4 August </w:t>
      </w:r>
      <w:r w:rsidRPr="00422F51">
        <w:t xml:space="preserve">2015, </w:t>
      </w:r>
      <w:r>
        <w:rPr>
          <w:lang w:val="en-US"/>
        </w:rPr>
        <w:t>7.</w:t>
      </w:r>
    </w:p>
  </w:endnote>
  <w:endnote w:id="573">
    <w:p w14:paraId="01498CC4" w14:textId="77777777" w:rsidR="00F008D2" w:rsidRPr="00AB0361" w:rsidRDefault="00F008D2" w:rsidP="000D1D92">
      <w:pPr>
        <w:pStyle w:val="EndnoteText"/>
        <w:jc w:val="both"/>
        <w:rPr>
          <w:rFonts w:cs="Arial"/>
        </w:rPr>
      </w:pPr>
      <w:r w:rsidRPr="00AB0361">
        <w:rPr>
          <w:rStyle w:val="EndnoteReference"/>
          <w:rFonts w:cs="Arial"/>
        </w:rPr>
        <w:endnoteRef/>
      </w:r>
      <w:r w:rsidRPr="00AB0361">
        <w:rPr>
          <w:rFonts w:cs="Arial"/>
        </w:rPr>
        <w:t xml:space="preserve"> N Stanley, </w:t>
      </w:r>
      <w:r w:rsidRPr="00AB0361">
        <w:rPr>
          <w:rFonts w:cs="Arial"/>
          <w:i/>
          <w:iCs/>
        </w:rPr>
        <w:t xml:space="preserve">Children Experiencing Domestic Violence: A Research Review </w:t>
      </w:r>
      <w:r w:rsidRPr="00AB0361">
        <w:rPr>
          <w:rFonts w:cs="Arial"/>
          <w:iCs/>
        </w:rPr>
        <w:t>(</w:t>
      </w:r>
      <w:r w:rsidRPr="00AB0361">
        <w:rPr>
          <w:rFonts w:cs="Arial"/>
        </w:rPr>
        <w:t xml:space="preserve">Dartington: </w:t>
      </w:r>
      <w:r w:rsidRPr="00AB0361">
        <w:rPr>
          <w:rFonts w:cs="Arial"/>
          <w:bCs/>
        </w:rPr>
        <w:t xml:space="preserve">Research in Practice, </w:t>
      </w:r>
      <w:r w:rsidRPr="00AB0361">
        <w:rPr>
          <w:rFonts w:cs="Arial"/>
        </w:rPr>
        <w:t>2011) 36.</w:t>
      </w:r>
    </w:p>
  </w:endnote>
  <w:endnote w:id="574">
    <w:p w14:paraId="7DA9EE3A" w14:textId="77777777" w:rsidR="00F008D2" w:rsidRPr="005B0438" w:rsidRDefault="00F008D2" w:rsidP="000D1D92">
      <w:pPr>
        <w:pStyle w:val="EndnoteText"/>
        <w:rPr>
          <w:lang w:val="en-US"/>
        </w:rPr>
      </w:pPr>
      <w:r w:rsidRPr="00AB0361">
        <w:rPr>
          <w:rStyle w:val="EndnoteReference"/>
        </w:rPr>
        <w:endnoteRef/>
      </w:r>
      <w:r w:rsidRPr="00AB0361">
        <w:t xml:space="preserve"> ALSWH and MatCH are conducted collaboratively by staff and investigators based at the University of Newcastle and the University of Queensland. ALSWH is funded by the Australian Government Department of Health until 30 June 2016 and MatCH is funded by a National Health and Medical Research Council project grant (2014-2017), led by Professor Gita Mishra (University of Queensland ALSWH Director).</w:t>
      </w:r>
    </w:p>
  </w:endnote>
  <w:endnote w:id="575">
    <w:p w14:paraId="7B251BA8" w14:textId="77777777" w:rsidR="00F008D2" w:rsidRPr="008D2DFB" w:rsidRDefault="00F008D2" w:rsidP="000D1D92">
      <w:pPr>
        <w:pStyle w:val="EndnoteText"/>
        <w:rPr>
          <w:i/>
        </w:rPr>
      </w:pPr>
      <w:r w:rsidRPr="007C14E0">
        <w:rPr>
          <w:rStyle w:val="EndnoteReference"/>
        </w:rPr>
        <w:endnoteRef/>
      </w:r>
      <w:r w:rsidRPr="007C14E0">
        <w:t xml:space="preserve"> </w:t>
      </w:r>
      <w:r>
        <w:t xml:space="preserve">St Vincent de Paul, Submission No 9 to Australian Human Rights Commission, </w:t>
      </w:r>
      <w:r>
        <w:rPr>
          <w:i/>
        </w:rPr>
        <w:t>National Children’s Commissioner’s examination into children affected by family and domestic violence,</w:t>
      </w:r>
      <w:r w:rsidRPr="007C14E0">
        <w:t xml:space="preserve"> 5</w:t>
      </w:r>
      <w:r w:rsidRPr="007C14E0">
        <w:rPr>
          <w:rFonts w:cs="Arial"/>
        </w:rPr>
        <w:t>;</w:t>
      </w:r>
      <w:r>
        <w:rPr>
          <w:rFonts w:cs="Arial"/>
        </w:rPr>
        <w:t xml:space="preserve"> </w:t>
      </w:r>
      <w:r>
        <w:t xml:space="preserve">Save the Children, Submission No 7 to Australian Human Rights Commission, </w:t>
      </w:r>
      <w:r>
        <w:rPr>
          <w:i/>
        </w:rPr>
        <w:t>National Children’s Commissioner’s examination into children affected by family and domestic violence,</w:t>
      </w:r>
      <w:r>
        <w:rPr>
          <w:rFonts w:cs="Arial"/>
        </w:rPr>
        <w:t xml:space="preserve"> 11; </w:t>
      </w:r>
      <w:r>
        <w:t xml:space="preserve">National Rural Health Alliance (NHRA), Submission No 12 to Australian Human Rights Commission, </w:t>
      </w:r>
      <w:r>
        <w:rPr>
          <w:i/>
        </w:rPr>
        <w:t xml:space="preserve">National Children’s Commissioner’s examination into children affected by family and domestic violence, </w:t>
      </w:r>
      <w:r>
        <w:rPr>
          <w:rFonts w:cs="Arial"/>
        </w:rPr>
        <w:t xml:space="preserve">9   </w:t>
      </w:r>
    </w:p>
  </w:endnote>
  <w:endnote w:id="576">
    <w:p w14:paraId="59A2F9AF" w14:textId="77777777" w:rsidR="00F008D2" w:rsidRPr="005321A4" w:rsidRDefault="00F008D2" w:rsidP="000D1D92">
      <w:pPr>
        <w:pStyle w:val="EndnoteText"/>
        <w:rPr>
          <w:lang w:val="en-US"/>
        </w:rPr>
      </w:pPr>
      <w:r>
        <w:rPr>
          <w:rStyle w:val="EndnoteReference"/>
        </w:rPr>
        <w:endnoteRef/>
      </w:r>
      <w:r>
        <w:t xml:space="preserve"> </w:t>
      </w:r>
      <w:r>
        <w:rPr>
          <w:lang w:val="en-US"/>
        </w:rPr>
        <w:t xml:space="preserve">Australian Psychological Society, Submission No 38 to </w:t>
      </w:r>
      <w:r w:rsidRPr="005335C9">
        <w:rPr>
          <w:lang w:val="en-US"/>
        </w:rPr>
        <w:t>Australian Human Rights Commission</w:t>
      </w:r>
      <w:r>
        <w:rPr>
          <w:lang w:val="en-US"/>
        </w:rPr>
        <w:t xml:space="preserve">, </w:t>
      </w:r>
      <w:r>
        <w:rPr>
          <w:i/>
          <w:lang w:val="en-US"/>
        </w:rPr>
        <w:t>National Children’s Commissioner’s examination into children affected by family and domestic violence</w:t>
      </w:r>
      <w:r>
        <w:rPr>
          <w:lang w:val="en-US"/>
        </w:rPr>
        <w:t>, 2015, 13.</w:t>
      </w:r>
    </w:p>
  </w:endnote>
  <w:endnote w:id="577">
    <w:p w14:paraId="5C519FF0" w14:textId="77777777" w:rsidR="00F008D2" w:rsidRPr="002C32DA" w:rsidRDefault="00F008D2" w:rsidP="000D1D92">
      <w:pPr>
        <w:pStyle w:val="EndnoteText"/>
      </w:pPr>
      <w:r w:rsidRPr="002C32DA">
        <w:rPr>
          <w:rStyle w:val="EndnoteReference"/>
        </w:rPr>
        <w:endnoteRef/>
      </w:r>
      <w:r w:rsidRPr="002C32DA">
        <w:t xml:space="preserve"> Families Australia, Submission No 22 to Australian Human Rights Commission, </w:t>
      </w:r>
      <w:r w:rsidRPr="002C32DA">
        <w:rPr>
          <w:i/>
        </w:rPr>
        <w:t xml:space="preserve">National Children’s Commissioner’s examination into children affected by family and domestic violence, </w:t>
      </w:r>
      <w:r w:rsidRPr="002C32DA">
        <w:t>15 June 2015, 4.</w:t>
      </w:r>
    </w:p>
  </w:endnote>
  <w:endnote w:id="578">
    <w:p w14:paraId="4271B392" w14:textId="77777777" w:rsidR="00F008D2" w:rsidRDefault="00F008D2" w:rsidP="000D1D92">
      <w:pPr>
        <w:pStyle w:val="EndnoteText"/>
      </w:pPr>
      <w:r w:rsidRPr="002C32DA">
        <w:rPr>
          <w:rStyle w:val="EndnoteReference"/>
        </w:rPr>
        <w:endnoteRef/>
      </w:r>
      <w:r w:rsidRPr="002C32DA">
        <w:t xml:space="preserve"> </w:t>
      </w:r>
      <w:r>
        <w:t>Aboriginal Family Law Services</w:t>
      </w:r>
      <w:r w:rsidRPr="002C32DA">
        <w:t xml:space="preserve">, Submission No </w:t>
      </w:r>
      <w:r>
        <w:t xml:space="preserve">29 to </w:t>
      </w:r>
      <w:r w:rsidRPr="002C32DA">
        <w:t xml:space="preserve">Australian Human Rights Commission, </w:t>
      </w:r>
      <w:r w:rsidRPr="002C32DA">
        <w:rPr>
          <w:i/>
        </w:rPr>
        <w:t xml:space="preserve">National Children’s Commissioner’s examination into children affected by family and domestic violence, </w:t>
      </w:r>
      <w:r>
        <w:t>15 June 2014</w:t>
      </w:r>
      <w:r w:rsidRPr="002C32DA">
        <w:t xml:space="preserve">, </w:t>
      </w:r>
      <w:r>
        <w:t>9</w:t>
      </w:r>
      <w:r w:rsidRPr="002C32DA">
        <w:t>.</w:t>
      </w:r>
    </w:p>
  </w:endnote>
  <w:endnote w:id="579">
    <w:p w14:paraId="1F02CBC5" w14:textId="77777777" w:rsidR="00F008D2" w:rsidRDefault="00F008D2" w:rsidP="000D1D92">
      <w:pPr>
        <w:pStyle w:val="EndnoteText"/>
      </w:pPr>
      <w:r w:rsidRPr="00481CB6">
        <w:rPr>
          <w:rStyle w:val="EndnoteReference"/>
        </w:rPr>
        <w:endnoteRef/>
      </w:r>
      <w:r w:rsidRPr="00481CB6">
        <w:t xml:space="preserve"> Berry Street, Submission No 40 to Australian Human Rights Commission, </w:t>
      </w:r>
      <w:r w:rsidRPr="00481CB6">
        <w:rPr>
          <w:i/>
        </w:rPr>
        <w:t>National Children’s Commissioner’s examination into children affected by family and domestic violence</w:t>
      </w:r>
      <w:r w:rsidRPr="00481CB6">
        <w:t>, 19 June 2015, 42.</w:t>
      </w:r>
    </w:p>
  </w:endnote>
  <w:endnote w:id="580">
    <w:p w14:paraId="49501557" w14:textId="77777777" w:rsidR="00F008D2" w:rsidRDefault="00F008D2" w:rsidP="000D1D92">
      <w:pPr>
        <w:pStyle w:val="EndnoteText"/>
      </w:pPr>
      <w:r w:rsidRPr="00210530">
        <w:rPr>
          <w:rStyle w:val="EndnoteReference"/>
        </w:rPr>
        <w:endnoteRef/>
      </w:r>
      <w:r w:rsidRPr="00210530">
        <w:t xml:space="preserve"> Department for Child Protection and Family Support</w:t>
      </w:r>
      <w:r>
        <w:t xml:space="preserve"> (WA)</w:t>
      </w:r>
      <w:r w:rsidRPr="00210530">
        <w:t xml:space="preserve">, Attachment 34.1 to Australian Human Rights Commission, </w:t>
      </w:r>
      <w:r w:rsidRPr="00210530">
        <w:rPr>
          <w:i/>
        </w:rPr>
        <w:t xml:space="preserve">National Children’s Commissioner’s examination into children affected by family and domestic violence, </w:t>
      </w:r>
      <w:r w:rsidRPr="00210530">
        <w:t>16 June 2015, 10.</w:t>
      </w:r>
    </w:p>
  </w:endnote>
  <w:endnote w:id="581">
    <w:p w14:paraId="204F7D1B" w14:textId="77777777" w:rsidR="00F008D2" w:rsidRPr="00E609E9" w:rsidRDefault="00F008D2" w:rsidP="000D1D92">
      <w:pPr>
        <w:pStyle w:val="EndnoteText"/>
        <w:rPr>
          <w:lang w:val="en-US"/>
        </w:rPr>
      </w:pPr>
      <w:r>
        <w:rPr>
          <w:rStyle w:val="EndnoteReference"/>
        </w:rPr>
        <w:endnoteRef/>
      </w:r>
      <w:r>
        <w:t xml:space="preserve"> </w:t>
      </w:r>
      <w:r w:rsidRPr="00E609E9">
        <w:t xml:space="preserve">Berry Street, Submission No 40 to Australian Human Rights Commission, </w:t>
      </w:r>
      <w:r w:rsidRPr="00E609E9">
        <w:rPr>
          <w:i/>
        </w:rPr>
        <w:t>National Children’s Commissioner’s examination into children affected by family and domestic violence</w:t>
      </w:r>
      <w:r w:rsidRPr="00E609E9">
        <w:t xml:space="preserve"> , 19 June 2015, </w:t>
      </w:r>
      <w:r w:rsidRPr="00E609E9">
        <w:rPr>
          <w:lang w:val="en-US"/>
        </w:rPr>
        <w:t>43</w:t>
      </w:r>
    </w:p>
  </w:endnote>
  <w:endnote w:id="582">
    <w:p w14:paraId="247F27C3" w14:textId="77777777" w:rsidR="00F008D2" w:rsidRDefault="00F008D2" w:rsidP="000D1D92">
      <w:pPr>
        <w:pStyle w:val="EndnoteText"/>
      </w:pPr>
      <w:r w:rsidRPr="00E609E9">
        <w:rPr>
          <w:rStyle w:val="EndnoteReference"/>
        </w:rPr>
        <w:endnoteRef/>
      </w:r>
      <w:r w:rsidRPr="00E609E9">
        <w:t xml:space="preserve"> Berry Street, Berry Street, Submission No 40 to Australian Human Rights Commission, </w:t>
      </w:r>
      <w:r w:rsidRPr="00E609E9">
        <w:rPr>
          <w:i/>
        </w:rPr>
        <w:t>National Children’s Commissioner’s examination into children affected by family and domestic violence</w:t>
      </w:r>
      <w:r w:rsidRPr="00E609E9">
        <w:t>, 19 June 2015, 43.</w:t>
      </w:r>
    </w:p>
  </w:endnote>
  <w:endnote w:id="583">
    <w:p w14:paraId="3D252B19" w14:textId="77777777" w:rsidR="00F008D2" w:rsidRDefault="00F008D2" w:rsidP="000D1D92">
      <w:pPr>
        <w:pStyle w:val="EndnoteText"/>
      </w:pPr>
      <w:r>
        <w:rPr>
          <w:rStyle w:val="EndnoteReference"/>
        </w:rPr>
        <w:endnoteRef/>
      </w:r>
      <w:r>
        <w:t xml:space="preserve"> Senate Standing Committee on Finance and Public Administration, Parliament of Australia, </w:t>
      </w:r>
      <w:r w:rsidRPr="003C1C37">
        <w:rPr>
          <w:i/>
        </w:rPr>
        <w:t>Domestic violence in Australia</w:t>
      </w:r>
      <w:r>
        <w:t xml:space="preserve">: </w:t>
      </w:r>
      <w:r>
        <w:rPr>
          <w:i/>
        </w:rPr>
        <w:t>Interim Report</w:t>
      </w:r>
      <w:r>
        <w:t>, (</w:t>
      </w:r>
      <w:r w:rsidRPr="00FF0757">
        <w:t>2015</w:t>
      </w:r>
      <w:r>
        <w:t>), 10.73.</w:t>
      </w:r>
    </w:p>
  </w:endnote>
  <w:endnote w:id="584">
    <w:p w14:paraId="55F32DF4" w14:textId="77777777" w:rsidR="00F008D2" w:rsidRDefault="00F008D2" w:rsidP="000D1D92">
      <w:pPr>
        <w:pStyle w:val="EndnoteText"/>
      </w:pPr>
      <w:r>
        <w:rPr>
          <w:rStyle w:val="EndnoteReference"/>
        </w:rPr>
        <w:endnoteRef/>
      </w:r>
      <w:r>
        <w:t xml:space="preserve"> Dawn House Women’s Refugee North Territory, Submission 48 to Australian Human Rights Commission, </w:t>
      </w:r>
      <w:r>
        <w:rPr>
          <w:i/>
        </w:rPr>
        <w:t xml:space="preserve">National Children’s Commissioner’s examination into children affected by family and domestic violence, </w:t>
      </w:r>
      <w:r>
        <w:t>8.</w:t>
      </w:r>
    </w:p>
  </w:endnote>
  <w:endnote w:id="585">
    <w:p w14:paraId="6D36DB9B" w14:textId="77777777" w:rsidR="00F008D2" w:rsidRDefault="00F008D2" w:rsidP="000D1D92">
      <w:pPr>
        <w:pStyle w:val="EndnoteText"/>
      </w:pPr>
      <w:r>
        <w:rPr>
          <w:rStyle w:val="EndnoteReference"/>
        </w:rPr>
        <w:endnoteRef/>
      </w:r>
      <w:r>
        <w:t xml:space="preserve"> Dawn House Women’s Refugee North Territory, Submission 48 to Australian Human Rights Commission, </w:t>
      </w:r>
      <w:r>
        <w:rPr>
          <w:i/>
        </w:rPr>
        <w:t xml:space="preserve">National Children’s Commissioner’s examination into children affected by family and domestic violence, </w:t>
      </w:r>
      <w:r>
        <w:t>8.</w:t>
      </w:r>
    </w:p>
  </w:endnote>
  <w:endnote w:id="586">
    <w:p w14:paraId="6C93ADB6" w14:textId="77777777" w:rsidR="00F008D2" w:rsidRDefault="00F008D2" w:rsidP="000D1D92">
      <w:pPr>
        <w:pStyle w:val="EndnoteText"/>
      </w:pPr>
      <w:r>
        <w:rPr>
          <w:rStyle w:val="EndnoteReference"/>
        </w:rPr>
        <w:endnoteRef/>
      </w:r>
      <w:r>
        <w:t xml:space="preserve"> New South Wales Government, Submission No 51 to Australian Human Rights Commission, </w:t>
      </w:r>
      <w:r>
        <w:rPr>
          <w:i/>
        </w:rPr>
        <w:t xml:space="preserve">National Children’s Commissioner’s examination into children affected by family and domestic violence, </w:t>
      </w:r>
      <w:r>
        <w:t>7.</w:t>
      </w:r>
    </w:p>
  </w:endnote>
  <w:endnote w:id="587">
    <w:p w14:paraId="787C083D" w14:textId="77777777" w:rsidR="00F008D2" w:rsidRDefault="00F008D2" w:rsidP="000D1D92">
      <w:pPr>
        <w:pStyle w:val="EndnoteText"/>
      </w:pPr>
      <w:r>
        <w:rPr>
          <w:rStyle w:val="EndnoteReference"/>
        </w:rPr>
        <w:endnoteRef/>
      </w:r>
      <w:r>
        <w:t xml:space="preserve"> </w:t>
      </w:r>
      <w:r w:rsidRPr="00807A3B">
        <w:t xml:space="preserve">Berry Street, Submission No 40 to Australian Human Rights Commission, </w:t>
      </w:r>
      <w:r w:rsidRPr="00807A3B">
        <w:rPr>
          <w:i/>
        </w:rPr>
        <w:t>National Children’s</w:t>
      </w:r>
      <w:r w:rsidRPr="0082462D">
        <w:rPr>
          <w:i/>
        </w:rPr>
        <w:t xml:space="preserve"> Commissioner’s examination into children affected by family and domestic violence</w:t>
      </w:r>
      <w:r>
        <w:t xml:space="preserve">, 19 June </w:t>
      </w:r>
      <w:r w:rsidRPr="00422F51">
        <w:t xml:space="preserve">2015, </w:t>
      </w:r>
      <w:r>
        <w:t xml:space="preserve">32. </w:t>
      </w:r>
    </w:p>
    <w:p w14:paraId="4955065E" w14:textId="77777777" w:rsidR="00F008D2" w:rsidRDefault="00F008D2" w:rsidP="000D1D92">
      <w:pPr>
        <w:pStyle w:val="EndnoteText"/>
      </w:pPr>
      <w:r>
        <w:rPr>
          <w:rStyle w:val="EndnoteReference"/>
        </w:rPr>
        <w:endnoteRef/>
      </w:r>
      <w:r>
        <w:t xml:space="preserve"> </w:t>
      </w:r>
      <w:r>
        <w:rPr>
          <w:lang w:val="en-US"/>
        </w:rPr>
        <w:t xml:space="preserve">New South Wales Government, </w:t>
      </w:r>
      <w:r w:rsidRPr="00F76AEE">
        <w:rPr>
          <w:lang w:val="en-US"/>
        </w:rPr>
        <w:t>Submission</w:t>
      </w:r>
      <w:r>
        <w:rPr>
          <w:lang w:val="en-US"/>
        </w:rPr>
        <w:t xml:space="preserve"> No</w:t>
      </w:r>
      <w:r w:rsidRPr="00F76AEE">
        <w:rPr>
          <w:lang w:val="en-US"/>
        </w:rPr>
        <w:t xml:space="preserve"> 51 </w:t>
      </w:r>
      <w:r w:rsidRPr="00F76AEE">
        <w:t>to</w:t>
      </w:r>
      <w:r>
        <w:t xml:space="preserve"> Australian Human Rights Commission, </w:t>
      </w:r>
      <w:r>
        <w:rPr>
          <w:i/>
        </w:rPr>
        <w:t xml:space="preserve">National Children’s Commissioner’s examination into children affected by family and domestic violence, </w:t>
      </w:r>
      <w:r>
        <w:t>28 July 2015,</w:t>
      </w:r>
      <w:r>
        <w:rPr>
          <w:lang w:val="en-US"/>
        </w:rPr>
        <w:t xml:space="preserve"> </w:t>
      </w:r>
      <w:r>
        <w:t>12.</w:t>
      </w:r>
    </w:p>
  </w:endnote>
  <w:endnote w:id="588">
    <w:p w14:paraId="5DE227E0" w14:textId="77777777" w:rsidR="00F008D2" w:rsidRDefault="00F008D2" w:rsidP="000D1D92">
      <w:pPr>
        <w:pStyle w:val="EndnoteText"/>
      </w:pPr>
      <w:r>
        <w:rPr>
          <w:rStyle w:val="EndnoteReference"/>
        </w:rPr>
        <w:endnoteRef/>
      </w:r>
      <w:r>
        <w:t xml:space="preserve"> </w:t>
      </w:r>
      <w:r w:rsidRPr="00807A3B">
        <w:t xml:space="preserve">Berry Street, Submission No 40 to Australian Human Rights Commission, </w:t>
      </w:r>
      <w:r w:rsidRPr="00807A3B">
        <w:rPr>
          <w:i/>
        </w:rPr>
        <w:t>National Children’s</w:t>
      </w:r>
      <w:r w:rsidRPr="0082462D">
        <w:rPr>
          <w:i/>
        </w:rPr>
        <w:t xml:space="preserve"> Commissioner’s examination into children affected by family and domestic violence</w:t>
      </w:r>
      <w:r>
        <w:t xml:space="preserve">, 19 June </w:t>
      </w:r>
      <w:r w:rsidRPr="00422F51">
        <w:t xml:space="preserve">2015, </w:t>
      </w:r>
      <w:r>
        <w:t xml:space="preserve">32. </w:t>
      </w:r>
    </w:p>
    <w:p w14:paraId="4820B383" w14:textId="77777777" w:rsidR="00F008D2" w:rsidRDefault="00F008D2" w:rsidP="000D1D92">
      <w:pPr>
        <w:pStyle w:val="EndnoteText"/>
      </w:pPr>
      <w:r>
        <w:rPr>
          <w:rStyle w:val="EndnoteReference"/>
        </w:rPr>
        <w:endnoteRef/>
      </w:r>
      <w:r>
        <w:t xml:space="preserve"> </w:t>
      </w:r>
      <w:r>
        <w:rPr>
          <w:lang w:val="en-US"/>
        </w:rPr>
        <w:t xml:space="preserve">New South Wales Government, </w:t>
      </w:r>
      <w:r w:rsidRPr="00F76AEE">
        <w:rPr>
          <w:lang w:val="en-US"/>
        </w:rPr>
        <w:t>Submission</w:t>
      </w:r>
      <w:r>
        <w:rPr>
          <w:lang w:val="en-US"/>
        </w:rPr>
        <w:t xml:space="preserve"> No</w:t>
      </w:r>
      <w:r w:rsidRPr="00F76AEE">
        <w:rPr>
          <w:lang w:val="en-US"/>
        </w:rPr>
        <w:t xml:space="preserve"> 51 </w:t>
      </w:r>
      <w:r w:rsidRPr="00F76AEE">
        <w:t>to</w:t>
      </w:r>
      <w:r>
        <w:t xml:space="preserve"> Australian Human Rights Commission, </w:t>
      </w:r>
      <w:r>
        <w:rPr>
          <w:i/>
        </w:rPr>
        <w:t xml:space="preserve">National Children’s Commissioner’s examination into children affected by family and domestic violence, </w:t>
      </w:r>
      <w:r>
        <w:t>28 July 2015,</w:t>
      </w:r>
      <w:r>
        <w:rPr>
          <w:lang w:val="en-US"/>
        </w:rPr>
        <w:t xml:space="preserve"> </w:t>
      </w:r>
      <w:r>
        <w:t>56.</w:t>
      </w:r>
    </w:p>
  </w:endnote>
  <w:endnote w:id="589">
    <w:p w14:paraId="29937B16" w14:textId="77777777" w:rsidR="00F008D2" w:rsidRDefault="00F008D2" w:rsidP="000D1D92">
      <w:pPr>
        <w:pStyle w:val="EndnoteText"/>
      </w:pPr>
      <w:r>
        <w:rPr>
          <w:rStyle w:val="EndnoteReference"/>
        </w:rPr>
        <w:endnoteRef/>
      </w:r>
      <w:r>
        <w:t xml:space="preserve"> </w:t>
      </w:r>
      <w:r w:rsidRPr="00C370E4">
        <w:t xml:space="preserve">Emma Gierschick, Submission No 50 to Australian Human Rights Commission, National Children’s Commissioner’s examination into children affected by family and domestic violence, 27 July 2015, </w:t>
      </w:r>
      <w:r>
        <w:t>10</w:t>
      </w:r>
      <w:r w:rsidRPr="00C370E4">
        <w:t>.</w:t>
      </w:r>
    </w:p>
  </w:endnote>
  <w:endnote w:id="590">
    <w:p w14:paraId="19E5D44F" w14:textId="77777777" w:rsidR="00F008D2" w:rsidRPr="00CC4F00" w:rsidRDefault="00F008D2" w:rsidP="000D1D92">
      <w:pPr>
        <w:pStyle w:val="EndnoteText"/>
        <w:jc w:val="both"/>
        <w:rPr>
          <w:lang w:val="en-US"/>
        </w:rPr>
      </w:pPr>
      <w:r>
        <w:rPr>
          <w:rStyle w:val="EndnoteReference"/>
        </w:rPr>
        <w:endnoteRef/>
      </w:r>
      <w:r>
        <w:t xml:space="preserve"> </w:t>
      </w:r>
      <w:r>
        <w:rPr>
          <w:lang w:val="en-US"/>
        </w:rPr>
        <w:t xml:space="preserve">New South Wales Government, </w:t>
      </w:r>
      <w:r w:rsidRPr="00F76AEE">
        <w:rPr>
          <w:lang w:val="en-US"/>
        </w:rPr>
        <w:t>Submission</w:t>
      </w:r>
      <w:r>
        <w:rPr>
          <w:lang w:val="en-US"/>
        </w:rPr>
        <w:t xml:space="preserve"> No</w:t>
      </w:r>
      <w:r w:rsidRPr="00F76AEE">
        <w:rPr>
          <w:lang w:val="en-US"/>
        </w:rPr>
        <w:t xml:space="preserve"> 51 </w:t>
      </w:r>
      <w:r w:rsidRPr="00F76AEE">
        <w:t>to</w:t>
      </w:r>
      <w:r>
        <w:t xml:space="preserve"> Australian Human Rights Commission, </w:t>
      </w:r>
      <w:r>
        <w:rPr>
          <w:i/>
        </w:rPr>
        <w:t xml:space="preserve">National Children’s Commissioner’s examination into children affected by family and domestic violence, </w:t>
      </w:r>
      <w:r>
        <w:t>28 July 2015,</w:t>
      </w:r>
      <w:r>
        <w:rPr>
          <w:lang w:val="en-US"/>
        </w:rPr>
        <w:t xml:space="preserve"> 7.</w:t>
      </w:r>
    </w:p>
  </w:endnote>
  <w:endnote w:id="591">
    <w:p w14:paraId="210EA1F5" w14:textId="77777777" w:rsidR="00F008D2" w:rsidRPr="00E7430E" w:rsidRDefault="00F008D2" w:rsidP="000D1D92">
      <w:pPr>
        <w:pStyle w:val="EndnoteText"/>
        <w:jc w:val="both"/>
        <w:rPr>
          <w:rFonts w:cs="Arial"/>
        </w:rPr>
      </w:pPr>
      <w:r w:rsidRPr="00E7430E">
        <w:rPr>
          <w:rStyle w:val="EndnoteReference"/>
          <w:rFonts w:cs="Arial"/>
        </w:rPr>
        <w:endnoteRef/>
      </w:r>
      <w:r w:rsidRPr="00E7430E">
        <w:rPr>
          <w:rFonts w:cs="Arial"/>
        </w:rPr>
        <w:t xml:space="preserve"> </w:t>
      </w:r>
      <w:r w:rsidRPr="00212D3C">
        <w:rPr>
          <w:rFonts w:cs="Arial"/>
        </w:rPr>
        <w:t xml:space="preserve">N Stanley, </w:t>
      </w:r>
      <w:r w:rsidRPr="00212D3C">
        <w:rPr>
          <w:rFonts w:cs="Arial"/>
          <w:i/>
          <w:iCs/>
        </w:rPr>
        <w:t xml:space="preserve">Children Experiencing Domestic Violence: A Research Review </w:t>
      </w:r>
      <w:r w:rsidRPr="00212D3C">
        <w:rPr>
          <w:rFonts w:cs="Arial"/>
          <w:iCs/>
        </w:rPr>
        <w:t>(</w:t>
      </w:r>
      <w:r w:rsidRPr="00212D3C">
        <w:rPr>
          <w:rFonts w:cs="Arial"/>
        </w:rPr>
        <w:t xml:space="preserve">Dartington: </w:t>
      </w:r>
      <w:r w:rsidRPr="00212D3C">
        <w:rPr>
          <w:rFonts w:cs="Arial"/>
          <w:bCs/>
        </w:rPr>
        <w:t xml:space="preserve">Research in Practice, </w:t>
      </w:r>
      <w:r w:rsidRPr="00212D3C">
        <w:rPr>
          <w:rFonts w:cs="Arial"/>
        </w:rPr>
        <w:t xml:space="preserve">2011) </w:t>
      </w:r>
      <w:r>
        <w:rPr>
          <w:rFonts w:cs="Arial"/>
        </w:rPr>
        <w:t>38</w:t>
      </w:r>
      <w:r w:rsidRPr="00212D3C">
        <w:rPr>
          <w:rFonts w:cs="Arial"/>
        </w:rPr>
        <w:t>.</w:t>
      </w:r>
    </w:p>
  </w:endnote>
  <w:endnote w:id="592">
    <w:p w14:paraId="496803E1" w14:textId="77777777" w:rsidR="00F008D2" w:rsidRPr="001B1AF7" w:rsidRDefault="00F008D2" w:rsidP="000D1D92">
      <w:pPr>
        <w:pStyle w:val="EndnoteText"/>
        <w:rPr>
          <w:lang w:val="en-US"/>
        </w:rPr>
      </w:pPr>
      <w:r>
        <w:rPr>
          <w:rStyle w:val="EndnoteReference"/>
        </w:rPr>
        <w:endnoteRef/>
      </w:r>
      <w:r>
        <w:t xml:space="preserve"> Relationships Australia, Submission No 26 to Australian Human Rights Commission, </w:t>
      </w:r>
      <w:r>
        <w:rPr>
          <w:i/>
        </w:rPr>
        <w:t xml:space="preserve">National Children’s Commissioner’s examination into children affected by family and domestic violence, </w:t>
      </w:r>
      <w:r>
        <w:t>11 June 2015, 8.</w:t>
      </w:r>
    </w:p>
  </w:endnote>
  <w:endnote w:id="593">
    <w:p w14:paraId="36699A58" w14:textId="77777777" w:rsidR="00F008D2" w:rsidRPr="00710BAB" w:rsidRDefault="00F008D2" w:rsidP="000D1D92">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9</w:t>
      </w:r>
      <w:r w:rsidRPr="00E4369B">
        <w:t xml:space="preserve">. </w:t>
      </w:r>
    </w:p>
  </w:endnote>
  <w:endnote w:id="594">
    <w:p w14:paraId="0C52E003" w14:textId="77777777" w:rsidR="00F008D2" w:rsidRPr="002F344D" w:rsidRDefault="00F008D2" w:rsidP="000D1D92">
      <w:pPr>
        <w:pStyle w:val="EndnoteText"/>
        <w:rPr>
          <w:lang w:val="en-US"/>
        </w:rPr>
      </w:pPr>
      <w:r>
        <w:rPr>
          <w:rStyle w:val="EndnoteReference"/>
        </w:rPr>
        <w:endnoteRef/>
      </w:r>
      <w:r>
        <w:t xml:space="preserve"> </w:t>
      </w:r>
      <w:r w:rsidRPr="004079F2">
        <w:t>Melbourne Research Alliance to End Violence Against Women and their Children, University of Melbourne</w:t>
      </w:r>
      <w:r>
        <w:t>,</w:t>
      </w:r>
      <w:r w:rsidRPr="005B2A9B">
        <w:t xml:space="preserve"> </w:t>
      </w:r>
      <w:r>
        <w:t xml:space="preserve">Submission No 18 </w:t>
      </w:r>
      <w:r w:rsidRPr="00422F51">
        <w:t xml:space="preserve">to Australian Human Rights Commission, </w:t>
      </w:r>
      <w:r w:rsidRPr="0082462D">
        <w:rPr>
          <w:i/>
        </w:rPr>
        <w:t>National Children’s Commissioner’s examination into children affected by family and domestic violence</w:t>
      </w:r>
      <w:r>
        <w:t>, 9 June 2015</w:t>
      </w:r>
      <w:r w:rsidRPr="00422F51">
        <w:t>,</w:t>
      </w:r>
      <w:r>
        <w:rPr>
          <w:lang w:val="en-US"/>
        </w:rPr>
        <w:t xml:space="preserve"> 9.</w:t>
      </w:r>
    </w:p>
  </w:endnote>
  <w:endnote w:id="595">
    <w:p w14:paraId="626895D9" w14:textId="77777777" w:rsidR="00F008D2" w:rsidRPr="00261AA5" w:rsidRDefault="00F008D2" w:rsidP="000D1D92">
      <w:pPr>
        <w:pStyle w:val="EndnoteText"/>
        <w:rPr>
          <w:lang w:val="en-US"/>
        </w:rPr>
      </w:pPr>
      <w:r>
        <w:rPr>
          <w:rStyle w:val="EndnoteReference"/>
        </w:rPr>
        <w:endnoteRef/>
      </w:r>
      <w:r w:rsidRPr="00261AA5">
        <w:t xml:space="preserve"> </w:t>
      </w:r>
      <w:r>
        <w:t xml:space="preserve">Relationships Australia, Submission No 26 to Australian Human Rights Commission, </w:t>
      </w:r>
      <w:r>
        <w:rPr>
          <w:i/>
        </w:rPr>
        <w:t xml:space="preserve">National Children’s Commissioner’s examination into children affected by family and domestic violence, </w:t>
      </w:r>
      <w:r>
        <w:t>11 June 2015, 19.</w:t>
      </w:r>
    </w:p>
  </w:endnote>
  <w:endnote w:id="596">
    <w:p w14:paraId="61499FF7" w14:textId="77777777" w:rsidR="00F008D2" w:rsidRPr="005C125E" w:rsidRDefault="00F008D2" w:rsidP="000D1D92">
      <w:pPr>
        <w:pStyle w:val="EndnoteText"/>
        <w:rPr>
          <w:lang w:val="en-US"/>
        </w:rPr>
      </w:pPr>
      <w:r>
        <w:rPr>
          <w:rStyle w:val="EndnoteReference"/>
        </w:rPr>
        <w:endnoteRef/>
      </w:r>
      <w:r>
        <w:t xml:space="preserve"> </w:t>
      </w:r>
      <w:r w:rsidRPr="00191F43">
        <w:t>Judith Lumley Centre, La Trobe University</w:t>
      </w:r>
      <w:r>
        <w:t xml:space="preserve">, </w:t>
      </w:r>
      <w:r w:rsidRPr="008029D3">
        <w:rPr>
          <w:lang w:val="en-US"/>
        </w:rPr>
        <w:t xml:space="preserve">Submission </w:t>
      </w:r>
      <w:r>
        <w:rPr>
          <w:lang w:val="en-US"/>
        </w:rPr>
        <w:t>No 30</w:t>
      </w:r>
      <w:r w:rsidRPr="008029D3">
        <w:rPr>
          <w:lang w:val="en-US"/>
        </w:rPr>
        <w:t xml:space="preserve"> </w:t>
      </w:r>
      <w:r w:rsidRPr="008029D3">
        <w:t xml:space="preserve">to Australian Human Rights Commission, </w:t>
      </w:r>
      <w:r w:rsidRPr="008029D3">
        <w:rPr>
          <w:i/>
        </w:rPr>
        <w:t>National Children’s Commissioner’s examination into children affected b</w:t>
      </w:r>
      <w:r>
        <w:rPr>
          <w:i/>
        </w:rPr>
        <w:t>y family and domestic violence</w:t>
      </w:r>
      <w:r>
        <w:t xml:space="preserve">, 15 June 2015, </w:t>
      </w:r>
      <w:r>
        <w:rPr>
          <w:lang w:val="en-US"/>
        </w:rPr>
        <w:t>6</w:t>
      </w:r>
      <w:r w:rsidRPr="008029D3">
        <w:rPr>
          <w:lang w:val="en-US"/>
        </w:rPr>
        <w:t>.</w:t>
      </w:r>
    </w:p>
  </w:endnote>
  <w:endnote w:id="597">
    <w:p w14:paraId="608AA36A" w14:textId="77777777" w:rsidR="00F008D2" w:rsidRPr="006E4632" w:rsidRDefault="00F008D2" w:rsidP="000D1D92">
      <w:pPr>
        <w:pStyle w:val="EndnoteText"/>
        <w:rPr>
          <w:lang w:val="en-US"/>
        </w:rPr>
      </w:pPr>
      <w:r>
        <w:rPr>
          <w:rStyle w:val="EndnoteReference"/>
        </w:rPr>
        <w:endnoteRef/>
      </w:r>
      <w:r>
        <w:t xml:space="preserve"> </w:t>
      </w:r>
      <w:r w:rsidRPr="00314E61">
        <w:t>Dawn House Women’s refuge, Northern Territory</w:t>
      </w:r>
      <w:r>
        <w:t xml:space="preserve">, </w:t>
      </w:r>
      <w:r w:rsidRPr="008029D3">
        <w:rPr>
          <w:lang w:val="en-US"/>
        </w:rPr>
        <w:t xml:space="preserve">Submission </w:t>
      </w:r>
      <w:r>
        <w:rPr>
          <w:lang w:val="en-US"/>
        </w:rPr>
        <w:t>No 48</w:t>
      </w:r>
      <w:r w:rsidRPr="008029D3">
        <w:rPr>
          <w:lang w:val="en-US"/>
        </w:rPr>
        <w:t xml:space="preserve"> </w:t>
      </w:r>
      <w:r w:rsidRPr="008029D3">
        <w:t xml:space="preserve">to Australian Human Rights Commission, </w:t>
      </w:r>
      <w:r w:rsidRPr="008029D3">
        <w:rPr>
          <w:i/>
        </w:rPr>
        <w:t>National Children’s Commissioner’s examination into children affected b</w:t>
      </w:r>
      <w:r>
        <w:rPr>
          <w:i/>
        </w:rPr>
        <w:t>y family and domestic violence</w:t>
      </w:r>
      <w:r>
        <w:t xml:space="preserve">, 15 July 2015, </w:t>
      </w:r>
      <w:r>
        <w:rPr>
          <w:lang w:val="en-US"/>
        </w:rPr>
        <w:t>6</w:t>
      </w:r>
      <w:r w:rsidRPr="008029D3">
        <w:rPr>
          <w:lang w:val="en-US"/>
        </w:rPr>
        <w:t>.</w:t>
      </w:r>
    </w:p>
  </w:endnote>
  <w:endnote w:id="598">
    <w:p w14:paraId="41AC0DCC" w14:textId="77777777" w:rsidR="00F008D2" w:rsidRDefault="00F008D2" w:rsidP="000D1D92">
      <w:pPr>
        <w:pStyle w:val="EndnoteText"/>
      </w:pPr>
      <w:r>
        <w:rPr>
          <w:rStyle w:val="EndnoteReference"/>
        </w:rPr>
        <w:endnoteRef/>
      </w:r>
      <w:r>
        <w:t xml:space="preserve"> </w:t>
      </w:r>
      <w:r w:rsidRPr="00920DDC">
        <w:t>Public Health Association of Australia (PHAA)</w:t>
      </w:r>
      <w:r>
        <w:t xml:space="preserve">, Submission No 8 to the Australian Human Rights Commission, </w:t>
      </w:r>
      <w:r>
        <w:rPr>
          <w:i/>
        </w:rPr>
        <w:t xml:space="preserve">National Children’s Commissioner’s examination into children affected by family and domestic violence, </w:t>
      </w:r>
      <w:r>
        <w:t>29 May 2015, 9.</w:t>
      </w:r>
    </w:p>
  </w:endnote>
  <w:endnote w:id="599">
    <w:p w14:paraId="009A215B" w14:textId="77777777" w:rsidR="00F008D2" w:rsidRPr="00985951" w:rsidRDefault="00F008D2" w:rsidP="000D1D92">
      <w:pPr>
        <w:pStyle w:val="EndnoteText"/>
        <w:rPr>
          <w:lang w:val="en-US"/>
        </w:rPr>
      </w:pPr>
      <w:r>
        <w:rPr>
          <w:rStyle w:val="EndnoteReference"/>
        </w:rPr>
        <w:endnoteRef/>
      </w:r>
      <w:r>
        <w:t xml:space="preserve"> </w:t>
      </w:r>
      <w:r>
        <w:rPr>
          <w:lang w:val="en-US"/>
        </w:rPr>
        <w:t>Boystown, Submission 14, p.10</w:t>
      </w:r>
    </w:p>
  </w:endnote>
  <w:endnote w:id="600">
    <w:p w14:paraId="33FE5628" w14:textId="77777777" w:rsidR="00F008D2" w:rsidRDefault="00F008D2" w:rsidP="000D1D92">
      <w:pPr>
        <w:pStyle w:val="EndnoteText"/>
      </w:pPr>
      <w:r w:rsidRPr="004C16D1">
        <w:rPr>
          <w:rStyle w:val="EndnoteReference"/>
        </w:rPr>
        <w:endnoteRef/>
      </w:r>
      <w:r w:rsidRPr="004C16D1">
        <w:t xml:space="preserve"> Wendy Bunston, </w:t>
      </w:r>
      <w:r>
        <w:t xml:space="preserve">Submission No 4, Attachment A, to the Australian Human Rights Commission, </w:t>
      </w:r>
      <w:r>
        <w:rPr>
          <w:i/>
        </w:rPr>
        <w:t>National Children’s Commissioner’s examination into children affected by family and domestic violence,</w:t>
      </w:r>
      <w:r>
        <w:t xml:space="preserve"> 2015, 1-2.</w:t>
      </w:r>
    </w:p>
  </w:endnote>
  <w:endnote w:id="601">
    <w:p w14:paraId="3F3C1BEB" w14:textId="77777777" w:rsidR="00F008D2" w:rsidRDefault="00F008D2" w:rsidP="000D1D92">
      <w:pPr>
        <w:pStyle w:val="EndnoteText"/>
      </w:pPr>
      <w:r w:rsidRPr="004C16D1">
        <w:rPr>
          <w:rStyle w:val="EndnoteReference"/>
        </w:rPr>
        <w:endnoteRef/>
      </w:r>
      <w:r w:rsidRPr="004C16D1">
        <w:t xml:space="preserve"> Wendy Bunston, </w:t>
      </w:r>
      <w:r>
        <w:t xml:space="preserve">Submission No 4, Attachment A, to the Australian Human Rights Commission, </w:t>
      </w:r>
      <w:r>
        <w:rPr>
          <w:i/>
        </w:rPr>
        <w:t>National Children’s Commissioner’s examination into children affected by family and domestic violence,</w:t>
      </w:r>
      <w:r>
        <w:t xml:space="preserve"> 2015, 1-2.</w:t>
      </w:r>
    </w:p>
  </w:endnote>
  <w:endnote w:id="602">
    <w:p w14:paraId="0007CE1F" w14:textId="77777777" w:rsidR="00F008D2" w:rsidRPr="00822B59" w:rsidRDefault="00F008D2" w:rsidP="000D1D92">
      <w:pPr>
        <w:pStyle w:val="EndnoteText"/>
        <w:rPr>
          <w:i/>
        </w:rPr>
      </w:pPr>
      <w:r>
        <w:rPr>
          <w:rStyle w:val="EndnoteReference"/>
        </w:rPr>
        <w:endnoteRef/>
      </w:r>
      <w:r>
        <w:t xml:space="preserve"> Australian Institute of Family Studies (AIFS) and Australia’s National Research Organisation for Women’s Safety (ANROWS), Submission No 6 to Australian Human Rights Commission, </w:t>
      </w:r>
      <w:r>
        <w:rPr>
          <w:i/>
        </w:rPr>
        <w:t>National Children’s Commissioner’s examination into children affected by family and domestic violence,</w:t>
      </w:r>
      <w:r>
        <w:t>18.</w:t>
      </w:r>
    </w:p>
  </w:endnote>
  <w:endnote w:id="603">
    <w:p w14:paraId="467B187C" w14:textId="77777777" w:rsidR="00F008D2" w:rsidRPr="00A35970" w:rsidRDefault="00F008D2" w:rsidP="000D1D92">
      <w:pPr>
        <w:pStyle w:val="EndnoteText"/>
        <w:jc w:val="both"/>
        <w:rPr>
          <w:lang w:val="en-US"/>
        </w:rPr>
      </w:pPr>
      <w:r>
        <w:rPr>
          <w:rStyle w:val="EndnoteReference"/>
        </w:rPr>
        <w:endnoteRef/>
      </w:r>
      <w:r>
        <w:t xml:space="preserve"> Leah Bromfield, Fiona Arney, and Daryl Higgins, ‘Contemporary issues in child protection intake, referral and family support’ in Alan </w:t>
      </w:r>
      <w:r w:rsidRPr="00313328">
        <w:t>Hayes,</w:t>
      </w:r>
      <w:r>
        <w:t xml:space="preserve"> and Daryl Higgins</w:t>
      </w:r>
      <w:r w:rsidRPr="00313328">
        <w:t xml:space="preserve"> (</w:t>
      </w:r>
      <w:r>
        <w:t>e</w:t>
      </w:r>
      <w:r w:rsidRPr="00313328">
        <w:t xml:space="preserve">ds) </w:t>
      </w:r>
      <w:r w:rsidRPr="00F71DE3">
        <w:rPr>
          <w:i/>
        </w:rPr>
        <w:t>Families, policy and the law: Selected essays on contemporary issues for Australia</w:t>
      </w:r>
      <w:r w:rsidRPr="00313328">
        <w:t xml:space="preserve"> (Australian Institute of Family Studies</w:t>
      </w:r>
      <w:r>
        <w:t>,</w:t>
      </w:r>
      <w:r w:rsidRPr="00313328">
        <w:t xml:space="preserve"> </w:t>
      </w:r>
      <w:r>
        <w:t>2014)</w:t>
      </w:r>
      <w:r>
        <w:rPr>
          <w:i/>
        </w:rPr>
        <w:t xml:space="preserve"> </w:t>
      </w:r>
      <w:r>
        <w:t>127</w:t>
      </w:r>
      <w:r w:rsidRPr="00212D3C">
        <w:t>.</w:t>
      </w:r>
    </w:p>
  </w:endnote>
  <w:endnote w:id="604">
    <w:p w14:paraId="7B6720BD" w14:textId="77777777" w:rsidR="00F008D2" w:rsidRPr="00344B89" w:rsidRDefault="00F008D2" w:rsidP="000D1D92">
      <w:pPr>
        <w:pStyle w:val="EndnoteText"/>
        <w:jc w:val="both"/>
        <w:rPr>
          <w:lang w:val="en-US"/>
        </w:rPr>
      </w:pPr>
      <w:r>
        <w:rPr>
          <w:rStyle w:val="EndnoteReference"/>
        </w:rPr>
        <w:endnoteRef/>
      </w:r>
      <w:r>
        <w:t xml:space="preserve"> </w:t>
      </w:r>
      <w:r w:rsidRPr="00D54275">
        <w:t>Australian Institute of Family Studies (AIFS) and Australia’s National Research Organisation for Women’s Safety (ANROWS)</w:t>
      </w:r>
      <w:r>
        <w:t xml:space="preserve">, </w:t>
      </w:r>
      <w:r>
        <w:rPr>
          <w:rFonts w:cs="Arial"/>
        </w:rPr>
        <w:t xml:space="preserve">Submission No 6 </w:t>
      </w:r>
      <w:r>
        <w:t xml:space="preserve">to Australian Human Rights Commission, </w:t>
      </w:r>
      <w:r>
        <w:rPr>
          <w:i/>
        </w:rPr>
        <w:t xml:space="preserve">National Children’s Commissioner’s examination into children affected by family and domestic violence, </w:t>
      </w:r>
      <w:r>
        <w:t xml:space="preserve">29 May </w:t>
      </w:r>
      <w:r w:rsidRPr="00422F51">
        <w:t>2015,</w:t>
      </w:r>
      <w:r>
        <w:t xml:space="preserve"> 16</w:t>
      </w:r>
      <w:r>
        <w:rPr>
          <w:rFonts w:cs="Arial"/>
        </w:rPr>
        <w:t>.</w:t>
      </w:r>
    </w:p>
  </w:endnote>
  <w:endnote w:id="605">
    <w:p w14:paraId="3E5FFC61" w14:textId="77777777" w:rsidR="00F008D2" w:rsidRPr="00E7430E" w:rsidRDefault="00F008D2" w:rsidP="000D1D92">
      <w:pPr>
        <w:pStyle w:val="EndnoteText"/>
        <w:jc w:val="both"/>
        <w:rPr>
          <w:rFonts w:cs="Arial"/>
          <w:lang w:val="en-US"/>
        </w:rPr>
      </w:pPr>
      <w:r w:rsidRPr="00E7430E">
        <w:rPr>
          <w:rStyle w:val="EndnoteReference"/>
          <w:rFonts w:cs="Arial"/>
        </w:rPr>
        <w:endnoteRef/>
      </w:r>
      <w:r w:rsidRPr="00E7430E">
        <w:rPr>
          <w:rFonts w:cs="Arial"/>
        </w:rPr>
        <w:t xml:space="preserve"> </w:t>
      </w:r>
      <w:r w:rsidRPr="00212D3C">
        <w:rPr>
          <w:rFonts w:cs="Arial"/>
        </w:rPr>
        <w:t xml:space="preserve">N Stanley, </w:t>
      </w:r>
      <w:r w:rsidRPr="00212D3C">
        <w:rPr>
          <w:rFonts w:cs="Arial"/>
          <w:i/>
          <w:iCs/>
        </w:rPr>
        <w:t xml:space="preserve">Children Experiencing Domestic Violence: A Research Review </w:t>
      </w:r>
      <w:r w:rsidRPr="00212D3C">
        <w:rPr>
          <w:rFonts w:cs="Arial"/>
          <w:iCs/>
        </w:rPr>
        <w:t>(</w:t>
      </w:r>
      <w:r w:rsidRPr="00212D3C">
        <w:rPr>
          <w:rFonts w:cs="Arial"/>
        </w:rPr>
        <w:t xml:space="preserve">Dartington: </w:t>
      </w:r>
      <w:r w:rsidRPr="00212D3C">
        <w:rPr>
          <w:rFonts w:cs="Arial"/>
          <w:bCs/>
        </w:rPr>
        <w:t xml:space="preserve">Research in Practice, </w:t>
      </w:r>
      <w:r w:rsidRPr="00212D3C">
        <w:rPr>
          <w:rFonts w:cs="Arial"/>
        </w:rPr>
        <w:t xml:space="preserve">2011) </w:t>
      </w:r>
      <w:r>
        <w:rPr>
          <w:rFonts w:cs="Arial"/>
        </w:rPr>
        <w:t>6</w:t>
      </w:r>
      <w:r w:rsidRPr="00212D3C">
        <w:rPr>
          <w:rFonts w:cs="Arial"/>
        </w:rPr>
        <w:t>.</w:t>
      </w:r>
    </w:p>
  </w:endnote>
  <w:endnote w:id="606">
    <w:p w14:paraId="0361E9B0" w14:textId="77777777" w:rsidR="00F008D2" w:rsidRPr="00E7430E" w:rsidRDefault="00F008D2" w:rsidP="000D1D92">
      <w:pPr>
        <w:pStyle w:val="EndnoteText"/>
        <w:jc w:val="both"/>
        <w:rPr>
          <w:rFonts w:cs="Arial"/>
        </w:rPr>
      </w:pPr>
      <w:r w:rsidRPr="00E7430E">
        <w:rPr>
          <w:rStyle w:val="EndnoteReference"/>
          <w:rFonts w:cs="Arial"/>
        </w:rPr>
        <w:endnoteRef/>
      </w:r>
      <w:r w:rsidRPr="00E7430E">
        <w:rPr>
          <w:rFonts w:cs="Arial"/>
        </w:rPr>
        <w:t xml:space="preserve"> </w:t>
      </w:r>
      <w:r w:rsidRPr="00212D3C">
        <w:rPr>
          <w:rFonts w:cs="Arial"/>
        </w:rPr>
        <w:t xml:space="preserve">N Stanley, </w:t>
      </w:r>
      <w:r w:rsidRPr="00212D3C">
        <w:rPr>
          <w:rFonts w:cs="Arial"/>
          <w:i/>
          <w:iCs/>
        </w:rPr>
        <w:t xml:space="preserve">Children Experiencing Domestic Violence: A Research Review </w:t>
      </w:r>
      <w:r w:rsidRPr="00212D3C">
        <w:rPr>
          <w:rFonts w:cs="Arial"/>
          <w:iCs/>
        </w:rPr>
        <w:t>(</w:t>
      </w:r>
      <w:r w:rsidRPr="00212D3C">
        <w:rPr>
          <w:rFonts w:cs="Arial"/>
        </w:rPr>
        <w:t xml:space="preserve">Dartington: </w:t>
      </w:r>
      <w:r w:rsidRPr="00212D3C">
        <w:rPr>
          <w:rFonts w:cs="Arial"/>
          <w:bCs/>
        </w:rPr>
        <w:t xml:space="preserve">Research in Practice, </w:t>
      </w:r>
      <w:r w:rsidRPr="00212D3C">
        <w:rPr>
          <w:rFonts w:cs="Arial"/>
        </w:rPr>
        <w:t xml:space="preserve">2011) </w:t>
      </w:r>
      <w:r>
        <w:rPr>
          <w:rFonts w:cs="Arial"/>
        </w:rPr>
        <w:t>37</w:t>
      </w:r>
      <w:r w:rsidRPr="00212D3C">
        <w:rPr>
          <w:rFonts w:cs="Arial"/>
        </w:rPr>
        <w:t>.</w:t>
      </w:r>
    </w:p>
  </w:endnote>
  <w:endnote w:id="607">
    <w:p w14:paraId="5E4EAD3F" w14:textId="77777777" w:rsidR="00F008D2" w:rsidRPr="00376067" w:rsidRDefault="00F008D2" w:rsidP="000D1D92">
      <w:pPr>
        <w:pStyle w:val="EndnoteText"/>
      </w:pPr>
      <w:r w:rsidRPr="00B36C6E">
        <w:rPr>
          <w:rStyle w:val="EndnoteReference"/>
        </w:rPr>
        <w:endnoteRef/>
      </w:r>
      <w:r w:rsidRPr="00B36C6E">
        <w:t xml:space="preserve"> Australian Research Council, ARC Grants Search, Project ID LP130100172, Project summary &lt;https://rms.arc.gov.au/RMS/Report/Download/Report/d6b15b2b-3a50-4021-8e6f-6c7ef1cba553/0&gt;.</w:t>
      </w:r>
    </w:p>
  </w:endnote>
  <w:endnote w:id="608">
    <w:p w14:paraId="0B593F74" w14:textId="77777777" w:rsidR="00F008D2" w:rsidRDefault="00F008D2" w:rsidP="000D1D92">
      <w:pPr>
        <w:pStyle w:val="EndnoteText"/>
      </w:pPr>
      <w:r>
        <w:rPr>
          <w:rStyle w:val="EndnoteReference"/>
        </w:rPr>
        <w:endnoteRef/>
      </w:r>
      <w:r>
        <w:t xml:space="preserve"> Relationships Australia, Submission 26 to Australian Human Rights Commission, </w:t>
      </w:r>
      <w:r>
        <w:rPr>
          <w:i/>
        </w:rPr>
        <w:t>National Children’s Commissioner’s examination into children affected by family and domestic violence,</w:t>
      </w:r>
      <w:r>
        <w:t>14.</w:t>
      </w:r>
    </w:p>
  </w:endnote>
  <w:endnote w:id="609">
    <w:p w14:paraId="79E3F863" w14:textId="77777777" w:rsidR="00F008D2" w:rsidRPr="00460242" w:rsidRDefault="00F008D2" w:rsidP="000D1D92">
      <w:pPr>
        <w:pStyle w:val="EndnoteText"/>
        <w:rPr>
          <w:i/>
        </w:rPr>
      </w:pPr>
      <w:r>
        <w:rPr>
          <w:rStyle w:val="EndnoteReference"/>
        </w:rPr>
        <w:endnoteRef/>
      </w:r>
      <w:r>
        <w:t xml:space="preserve"> Melbourne Research Alliance to End Violence Against Women and their Children, University of Melbourne, Submission 18 to Australian Human Rights Commission, </w:t>
      </w:r>
      <w:r>
        <w:rPr>
          <w:i/>
        </w:rPr>
        <w:t xml:space="preserve">National Children’s Commissioner’s examination into children affected by family and domestic violence, </w:t>
      </w:r>
      <w:r>
        <w:t>2.</w:t>
      </w:r>
    </w:p>
  </w:endnote>
  <w:endnote w:id="610">
    <w:p w14:paraId="39BCF775" w14:textId="77777777" w:rsidR="00F008D2" w:rsidRDefault="00F008D2" w:rsidP="000D1D92">
      <w:pPr>
        <w:pStyle w:val="EndnoteText"/>
      </w:pPr>
      <w:r>
        <w:rPr>
          <w:rStyle w:val="EndnoteReference"/>
        </w:rPr>
        <w:endnoteRef/>
      </w:r>
      <w:r>
        <w:t xml:space="preserve"> </w:t>
      </w:r>
      <w:r>
        <w:rPr>
          <w:lang w:val="en-US"/>
        </w:rPr>
        <w:t xml:space="preserve">Relationships Australia (NSW), Submission No 36 </w:t>
      </w:r>
      <w:r>
        <w:t xml:space="preserve">to Australian Human Rights Commission, </w:t>
      </w:r>
      <w:r>
        <w:rPr>
          <w:i/>
        </w:rPr>
        <w:t xml:space="preserve">National Children’s Commissioner’s examination into children affected by family and domestic violence, </w:t>
      </w:r>
      <w:r w:rsidRPr="00A33846">
        <w:t>17 June</w:t>
      </w:r>
      <w:r>
        <w:rPr>
          <w:i/>
        </w:rPr>
        <w:t xml:space="preserve"> </w:t>
      </w:r>
      <w:r>
        <w:t>2015, 18.</w:t>
      </w:r>
    </w:p>
  </w:endnote>
  <w:endnote w:id="611">
    <w:p w14:paraId="216E2955" w14:textId="77777777" w:rsidR="00F008D2" w:rsidRPr="00EE5553" w:rsidRDefault="00F008D2" w:rsidP="000D1D92">
      <w:pPr>
        <w:pStyle w:val="EndnoteText"/>
        <w:rPr>
          <w:lang w:val="en-US"/>
        </w:rPr>
      </w:pPr>
      <w:r>
        <w:rPr>
          <w:rStyle w:val="EndnoteReference"/>
        </w:rPr>
        <w:endnoteRef/>
      </w:r>
      <w:r>
        <w:t xml:space="preserve"> </w:t>
      </w:r>
      <w:r>
        <w:rPr>
          <w:lang w:val="en-US"/>
        </w:rPr>
        <w:t xml:space="preserve">Relationships Australia (NSW), Submission No 36 </w:t>
      </w:r>
      <w:r>
        <w:t xml:space="preserve">to Australian Human Rights Commission, </w:t>
      </w:r>
      <w:r>
        <w:rPr>
          <w:i/>
        </w:rPr>
        <w:t xml:space="preserve">National Children’s Commissioner’s examination into children affected by family and domestic violence, </w:t>
      </w:r>
      <w:r w:rsidRPr="00A33846">
        <w:t>17 June</w:t>
      </w:r>
      <w:r>
        <w:rPr>
          <w:i/>
        </w:rPr>
        <w:t xml:space="preserve"> </w:t>
      </w:r>
      <w:r>
        <w:t xml:space="preserve">2015, </w:t>
      </w:r>
      <w:r>
        <w:rPr>
          <w:lang w:val="en-US"/>
        </w:rPr>
        <w:t>19.</w:t>
      </w:r>
    </w:p>
  </w:endnote>
  <w:endnote w:id="612">
    <w:p w14:paraId="1A3475F3" w14:textId="77777777" w:rsidR="00F008D2" w:rsidRPr="003563BA" w:rsidRDefault="00F008D2" w:rsidP="000D1D92">
      <w:pPr>
        <w:pStyle w:val="EndnoteText"/>
        <w:rPr>
          <w:lang w:val="en-US"/>
        </w:rPr>
      </w:pPr>
      <w:r>
        <w:rPr>
          <w:rStyle w:val="EndnoteReference"/>
        </w:rPr>
        <w:endnoteRef/>
      </w:r>
      <w:r>
        <w:t xml:space="preserve"> </w:t>
      </w:r>
      <w:r>
        <w:rPr>
          <w:lang w:val="en-US"/>
        </w:rPr>
        <w:t xml:space="preserve">North Australian Aboriginal Family Legal Service, </w:t>
      </w:r>
      <w:r>
        <w:rPr>
          <w:rFonts w:cs="Arial"/>
        </w:rPr>
        <w:t xml:space="preserve">Submission No 46 </w:t>
      </w:r>
      <w:r>
        <w:t xml:space="preserve">to Australian Human Rights Commission, </w:t>
      </w:r>
      <w:r>
        <w:rPr>
          <w:i/>
        </w:rPr>
        <w:t xml:space="preserve">National Children’s Commissioner’s examination into children affected by family and domestic violence, </w:t>
      </w:r>
      <w:r>
        <w:t>2015, 8</w:t>
      </w:r>
      <w:r>
        <w:rPr>
          <w:lang w:val="en-US"/>
        </w:rPr>
        <w:t>.</w:t>
      </w:r>
    </w:p>
  </w:endnote>
  <w:endnote w:id="613">
    <w:p w14:paraId="699DBD79" w14:textId="77777777" w:rsidR="00F008D2" w:rsidRPr="00263780" w:rsidRDefault="00F008D2" w:rsidP="000D1D92">
      <w:pPr>
        <w:pStyle w:val="EndnoteText"/>
      </w:pPr>
      <w:r>
        <w:rPr>
          <w:rStyle w:val="EndnoteReference"/>
        </w:rPr>
        <w:endnoteRef/>
      </w:r>
      <w:r>
        <w:t xml:space="preserve"> Australian Association of Social Workers (AASW), Submission No 5 to Australian Human Rights Commission to Australia, </w:t>
      </w:r>
      <w:r>
        <w:rPr>
          <w:i/>
        </w:rPr>
        <w:t xml:space="preserve">National Children’s Commissioner’s examination into children affected by family and domestic violence, </w:t>
      </w:r>
      <w:r>
        <w:t>4</w:t>
      </w:r>
    </w:p>
  </w:endnote>
  <w:endnote w:id="614">
    <w:p w14:paraId="637AAEC2" w14:textId="77777777" w:rsidR="00F008D2" w:rsidRDefault="00F008D2" w:rsidP="000D1D92">
      <w:pPr>
        <w:pStyle w:val="EndnoteText"/>
      </w:pPr>
      <w:r>
        <w:rPr>
          <w:rStyle w:val="EndnoteReference"/>
        </w:rPr>
        <w:endnoteRef/>
      </w:r>
      <w:r>
        <w:t xml:space="preserve"> Australian Association of Social Workers (AASW), Submission No 5 to Australian Human Rights Commission, </w:t>
      </w:r>
      <w:r>
        <w:rPr>
          <w:i/>
        </w:rPr>
        <w:t xml:space="preserve">National Children’s Commissioner’s examination into children affected by family and domestic violence, </w:t>
      </w:r>
      <w:r>
        <w:t>4.</w:t>
      </w:r>
    </w:p>
  </w:endnote>
  <w:endnote w:id="615">
    <w:p w14:paraId="748F4694" w14:textId="77777777" w:rsidR="00F008D2" w:rsidRDefault="00F008D2" w:rsidP="000D1D92">
      <w:pPr>
        <w:pStyle w:val="EndnoteText"/>
      </w:pPr>
      <w:r>
        <w:rPr>
          <w:rStyle w:val="EndnoteReference"/>
        </w:rPr>
        <w:endnoteRef/>
      </w:r>
      <w:r>
        <w:t xml:space="preserve"> Department of Child Protection and Family Support (WA), </w:t>
      </w:r>
      <w:r>
        <w:rPr>
          <w:lang w:val="en-US"/>
        </w:rPr>
        <w:t>Attachment No 34.3</w:t>
      </w:r>
      <w:r w:rsidRPr="00F76AEE">
        <w:rPr>
          <w:lang w:val="en-US"/>
        </w:rPr>
        <w:t xml:space="preserve"> </w:t>
      </w:r>
      <w:r w:rsidRPr="00F76AEE">
        <w:t>to</w:t>
      </w:r>
      <w:r>
        <w:t xml:space="preserve"> Australian Human Rights Commission, </w:t>
      </w:r>
      <w:r>
        <w:rPr>
          <w:i/>
        </w:rPr>
        <w:t>National Children’s Commissioner’s examination into children affected by family and domestic violence,</w:t>
      </w:r>
      <w:r>
        <w:t>16.</w:t>
      </w:r>
    </w:p>
  </w:endnote>
  <w:endnote w:id="616">
    <w:p w14:paraId="37939081" w14:textId="77777777" w:rsidR="00F008D2" w:rsidRDefault="00F008D2" w:rsidP="000D1D92">
      <w:pPr>
        <w:pStyle w:val="EndnoteText"/>
      </w:pPr>
      <w:r>
        <w:rPr>
          <w:rStyle w:val="EndnoteReference"/>
        </w:rPr>
        <w:endnoteRef/>
      </w:r>
      <w:r>
        <w:t xml:space="preserve"> CITATION PLEASE: </w:t>
      </w:r>
      <w:r w:rsidRPr="00AA5821">
        <w:t>https://rms.arc.gov.au/RMS/Report/Download/Report/d6b15b2b-3a50-4021-8e6f-6c7ef1cba553/0</w:t>
      </w:r>
    </w:p>
  </w:endnote>
  <w:endnote w:id="617">
    <w:p w14:paraId="331B7EB4" w14:textId="77777777" w:rsidR="00F008D2" w:rsidRDefault="00F008D2" w:rsidP="000D1D92">
      <w:pPr>
        <w:pStyle w:val="EndnoteText"/>
      </w:pPr>
      <w:r>
        <w:rPr>
          <w:rStyle w:val="EndnoteReference"/>
        </w:rPr>
        <w:endnoteRef/>
      </w:r>
      <w:r>
        <w:t xml:space="preserve"> Melbourne Research Alliance to End Violence Against Women and Their Children, University of Melbourne, </w:t>
      </w:r>
      <w:r w:rsidRPr="00F76AEE">
        <w:rPr>
          <w:lang w:val="en-US"/>
        </w:rPr>
        <w:t>Submission</w:t>
      </w:r>
      <w:r>
        <w:rPr>
          <w:lang w:val="en-US"/>
        </w:rPr>
        <w:t xml:space="preserve"> No</w:t>
      </w:r>
      <w:r w:rsidRPr="00F76AEE">
        <w:rPr>
          <w:lang w:val="en-US"/>
        </w:rPr>
        <w:t xml:space="preserve"> </w:t>
      </w:r>
      <w:r>
        <w:rPr>
          <w:lang w:val="en-US"/>
        </w:rPr>
        <w:t>18</w:t>
      </w:r>
      <w:r w:rsidRPr="00F76AEE">
        <w:rPr>
          <w:lang w:val="en-US"/>
        </w:rPr>
        <w:t xml:space="preserve"> </w:t>
      </w:r>
      <w:r w:rsidRPr="00F76AEE">
        <w:t>to</w:t>
      </w:r>
      <w:r>
        <w:t xml:space="preserve"> Australian Human Rights Commission, </w:t>
      </w:r>
      <w:r>
        <w:rPr>
          <w:i/>
        </w:rPr>
        <w:t>National Children’s Commissioner’s examination into children affected by family and domestic violence,</w:t>
      </w:r>
      <w:r>
        <w:t xml:space="preserve"> 6.</w:t>
      </w:r>
    </w:p>
  </w:endnote>
  <w:endnote w:id="618">
    <w:p w14:paraId="40D89110" w14:textId="77777777" w:rsidR="00F008D2" w:rsidRPr="000C61A3" w:rsidRDefault="00F008D2" w:rsidP="000D1D92">
      <w:pPr>
        <w:pStyle w:val="EndnoteText"/>
        <w:rPr>
          <w:lang w:val="en-US"/>
        </w:rPr>
      </w:pPr>
      <w:r>
        <w:rPr>
          <w:rStyle w:val="EndnoteReference"/>
        </w:rPr>
        <w:endnoteRef/>
      </w:r>
      <w:r>
        <w:t xml:space="preserve"> Leah Bromfield, Fiona Arney, and Daryl Higgins, ‘Contemporary issues in child protection intake, referral and family support’ in Alan </w:t>
      </w:r>
      <w:r w:rsidRPr="00313328">
        <w:t>Hayes,</w:t>
      </w:r>
      <w:r>
        <w:t xml:space="preserve"> and Daryl Higgins</w:t>
      </w:r>
      <w:r w:rsidRPr="00313328">
        <w:t xml:space="preserve"> (</w:t>
      </w:r>
      <w:r>
        <w:t>e</w:t>
      </w:r>
      <w:r w:rsidRPr="00313328">
        <w:t xml:space="preserve">ds) </w:t>
      </w:r>
      <w:r>
        <w:rPr>
          <w:i/>
        </w:rPr>
        <w:t>Families, Policy and the Law: Selected E</w:t>
      </w:r>
      <w:r w:rsidRPr="00F71DE3">
        <w:rPr>
          <w:i/>
        </w:rPr>
        <w:t xml:space="preserve">ssays </w:t>
      </w:r>
      <w:r>
        <w:rPr>
          <w:i/>
        </w:rPr>
        <w:t>on Contemporary I</w:t>
      </w:r>
      <w:r w:rsidRPr="00F71DE3">
        <w:rPr>
          <w:i/>
        </w:rPr>
        <w:t>ssues for Australia</w:t>
      </w:r>
      <w:r w:rsidRPr="00313328">
        <w:t xml:space="preserve"> (Australian Institute of Family Studies</w:t>
      </w:r>
      <w:r>
        <w:t>,</w:t>
      </w:r>
      <w:r w:rsidRPr="00313328">
        <w:t xml:space="preserve"> </w:t>
      </w:r>
      <w:r>
        <w:t>2014)</w:t>
      </w:r>
      <w:r>
        <w:rPr>
          <w:i/>
        </w:rPr>
        <w:t xml:space="preserve"> </w:t>
      </w:r>
      <w:r w:rsidRPr="00212D3C">
        <w:t>12</w:t>
      </w:r>
      <w:r>
        <w:t>7</w:t>
      </w:r>
      <w:r w:rsidRPr="00212D3C">
        <w:t>.</w:t>
      </w:r>
    </w:p>
  </w:endnote>
  <w:endnote w:id="619">
    <w:p w14:paraId="4F41EC34" w14:textId="77777777" w:rsidR="00F008D2" w:rsidRDefault="00F008D2" w:rsidP="000D1D92">
      <w:pPr>
        <w:pStyle w:val="EndnoteText"/>
      </w:pPr>
      <w:r>
        <w:rPr>
          <w:rStyle w:val="EndnoteReference"/>
        </w:rPr>
        <w:endnoteRef/>
      </w:r>
      <w:r>
        <w:t xml:space="preserve"> </w:t>
      </w:r>
      <w:r>
        <w:rPr>
          <w:rStyle w:val="EndnoteReference"/>
        </w:rPr>
        <w:endnoteRef/>
      </w:r>
      <w:r>
        <w:t xml:space="preserve"> Save the Children</w:t>
      </w:r>
      <w:r w:rsidRPr="00825C50">
        <w:t xml:space="preserve">, Submission </w:t>
      </w:r>
      <w:r>
        <w:t>No 7</w:t>
      </w:r>
      <w:r w:rsidRPr="00825C50">
        <w:t xml:space="preserve"> to Australian Human Rights Commission, National Children’s Commissioner’s examination into children affected by family and d</w:t>
      </w:r>
      <w:r>
        <w:t>omestic violence, 11 June 2015,12</w:t>
      </w:r>
    </w:p>
  </w:endnote>
  <w:endnote w:id="620">
    <w:p w14:paraId="2F0F551E" w14:textId="77777777" w:rsidR="00F008D2" w:rsidRDefault="00F008D2" w:rsidP="000D1D92">
      <w:pPr>
        <w:pStyle w:val="EndnoteText"/>
      </w:pPr>
      <w:r>
        <w:rPr>
          <w:rStyle w:val="EndnoteReference"/>
        </w:rPr>
        <w:endnoteRef/>
      </w:r>
      <w:r>
        <w:t xml:space="preserve"> </w:t>
      </w:r>
      <w:r w:rsidRPr="00825C50">
        <w:t xml:space="preserve">Relationships Australia, Submission </w:t>
      </w:r>
      <w:r>
        <w:t xml:space="preserve">No </w:t>
      </w:r>
      <w:r w:rsidRPr="00825C50">
        <w:t>26 to Australian Human Rights Commission, National Children’s Commissioner’s examination into children affected by family and d</w:t>
      </w:r>
      <w:r>
        <w:t>omestic violence, 11 June 2015, 21.</w:t>
      </w:r>
    </w:p>
  </w:endnote>
  <w:endnote w:id="621">
    <w:p w14:paraId="7A412BA6" w14:textId="77777777" w:rsidR="00F008D2" w:rsidRDefault="00F008D2" w:rsidP="000D1D92">
      <w:pPr>
        <w:pStyle w:val="EndnoteText"/>
      </w:pPr>
      <w:r w:rsidRPr="00807A3B">
        <w:rPr>
          <w:rStyle w:val="EndnoteReference"/>
        </w:rPr>
        <w:endnoteRef/>
      </w:r>
      <w:r w:rsidRPr="00807A3B">
        <w:t xml:space="preserve"> Berry Street, Submission No 40 to Australian Human Rights Commission, </w:t>
      </w:r>
      <w:r w:rsidRPr="00807A3B">
        <w:rPr>
          <w:i/>
        </w:rPr>
        <w:t>National Children’s</w:t>
      </w:r>
      <w:r w:rsidRPr="0082462D">
        <w:rPr>
          <w:i/>
        </w:rPr>
        <w:t xml:space="preserve"> Commissioner’s examination into children affected by family and domestic violence</w:t>
      </w:r>
      <w:r>
        <w:t xml:space="preserve">, 19 June </w:t>
      </w:r>
      <w:r w:rsidRPr="00422F51">
        <w:t xml:space="preserve">2015, </w:t>
      </w:r>
      <w:r>
        <w:t xml:space="preserve">32. </w:t>
      </w:r>
    </w:p>
  </w:endnote>
  <w:endnote w:id="622">
    <w:p w14:paraId="313471A6" w14:textId="77777777" w:rsidR="00F008D2" w:rsidRPr="007F6F7C" w:rsidRDefault="00F008D2" w:rsidP="000D1D92">
      <w:pPr>
        <w:pStyle w:val="EndnoteText"/>
        <w:jc w:val="both"/>
        <w:rPr>
          <w:lang w:val="en-US"/>
        </w:rPr>
      </w:pPr>
      <w:r>
        <w:rPr>
          <w:rStyle w:val="EndnoteReference"/>
        </w:rPr>
        <w:endnoteRef/>
      </w:r>
      <w:r>
        <w:t xml:space="preserve"> </w:t>
      </w:r>
      <w:r>
        <w:rPr>
          <w:lang w:val="en-US"/>
        </w:rPr>
        <w:t xml:space="preserve">New South Wales Government, </w:t>
      </w:r>
      <w:r w:rsidRPr="00F76AEE">
        <w:rPr>
          <w:lang w:val="en-US"/>
        </w:rPr>
        <w:t>Submission</w:t>
      </w:r>
      <w:r>
        <w:rPr>
          <w:lang w:val="en-US"/>
        </w:rPr>
        <w:t xml:space="preserve"> No</w:t>
      </w:r>
      <w:r w:rsidRPr="00F76AEE">
        <w:rPr>
          <w:lang w:val="en-US"/>
        </w:rPr>
        <w:t xml:space="preserve"> 51 </w:t>
      </w:r>
      <w:r w:rsidRPr="00F76AEE">
        <w:t>to</w:t>
      </w:r>
      <w:r>
        <w:t xml:space="preserve"> Australian Human Rights Commission, </w:t>
      </w:r>
      <w:r>
        <w:rPr>
          <w:i/>
        </w:rPr>
        <w:t xml:space="preserve">National Children’s Commissioner’s examination into children affected by family and domestic violence, </w:t>
      </w:r>
      <w:r>
        <w:t>28 July 2015,</w:t>
      </w:r>
      <w:r>
        <w:rPr>
          <w:lang w:val="en-US"/>
        </w:rPr>
        <w:t xml:space="preserve"> 7.</w:t>
      </w:r>
    </w:p>
  </w:endnote>
  <w:endnote w:id="623">
    <w:p w14:paraId="43F8A7F9" w14:textId="77777777" w:rsidR="00F008D2" w:rsidRDefault="00F008D2" w:rsidP="000D1D92">
      <w:pPr>
        <w:pStyle w:val="EndnoteText"/>
      </w:pPr>
      <w:r>
        <w:rPr>
          <w:rStyle w:val="EndnoteReference"/>
        </w:rPr>
        <w:endnoteRef/>
      </w:r>
      <w:r>
        <w:t xml:space="preserve"> Australian Institute of Family Studies (AIFS) and Australia’s National Research Organisation for Women’s Safety (ANROWS), </w:t>
      </w:r>
      <w:r w:rsidRPr="00F76AEE">
        <w:rPr>
          <w:lang w:val="en-US"/>
        </w:rPr>
        <w:t>Submission</w:t>
      </w:r>
      <w:r>
        <w:rPr>
          <w:lang w:val="en-US"/>
        </w:rPr>
        <w:t xml:space="preserve"> No 6</w:t>
      </w:r>
      <w:r w:rsidRPr="00F76AEE">
        <w:rPr>
          <w:lang w:val="en-US"/>
        </w:rPr>
        <w:t xml:space="preserve"> </w:t>
      </w:r>
      <w:r w:rsidRPr="00F76AEE">
        <w:t>to</w:t>
      </w:r>
      <w:r>
        <w:t xml:space="preserve"> Australian Human Rights Commission, </w:t>
      </w:r>
      <w:r>
        <w:rPr>
          <w:i/>
        </w:rPr>
        <w:t>National Children’s Commissioner’s examination into children affected by family and domestic violence,</w:t>
      </w:r>
      <w:r>
        <w:t>, AIFS and ANROWS, 2015, 17.</w:t>
      </w:r>
    </w:p>
  </w:endnote>
  <w:endnote w:id="624">
    <w:p w14:paraId="3550DDEA" w14:textId="77777777" w:rsidR="00F008D2" w:rsidRDefault="00F008D2" w:rsidP="000D1D92">
      <w:pPr>
        <w:pStyle w:val="EndnoteText"/>
      </w:pPr>
      <w:r>
        <w:rPr>
          <w:rStyle w:val="EndnoteReference"/>
        </w:rPr>
        <w:endnoteRef/>
      </w:r>
      <w:r>
        <w:t xml:space="preserve"> Australian Institute of Family Studies (AIFS) and Australia’s National Research Organisation for Women’s Safety (ANROWS), </w:t>
      </w:r>
      <w:r w:rsidRPr="00F76AEE">
        <w:rPr>
          <w:lang w:val="en-US"/>
        </w:rPr>
        <w:t>Submission</w:t>
      </w:r>
      <w:r>
        <w:rPr>
          <w:lang w:val="en-US"/>
        </w:rPr>
        <w:t xml:space="preserve"> No 6</w:t>
      </w:r>
      <w:r w:rsidRPr="00F76AEE">
        <w:rPr>
          <w:lang w:val="en-US"/>
        </w:rPr>
        <w:t xml:space="preserve"> </w:t>
      </w:r>
      <w:r w:rsidRPr="00F76AEE">
        <w:t>to</w:t>
      </w:r>
      <w:r>
        <w:t xml:space="preserve"> Australian Human Rights Commission, </w:t>
      </w:r>
      <w:r>
        <w:rPr>
          <w:i/>
        </w:rPr>
        <w:t>National Children’s Commissioner’s examination into children affected by family and domestic violence,</w:t>
      </w:r>
      <w:r>
        <w:t>, AIFS and ANROWS, 17-18.</w:t>
      </w:r>
    </w:p>
  </w:endnote>
  <w:endnote w:id="625">
    <w:p w14:paraId="7A5E2768" w14:textId="77777777" w:rsidR="00F008D2" w:rsidRDefault="00F008D2" w:rsidP="000D1D92">
      <w:pPr>
        <w:pStyle w:val="EndnoteText"/>
        <w:jc w:val="both"/>
      </w:pPr>
      <w:r w:rsidRPr="00F37572">
        <w:rPr>
          <w:rStyle w:val="EndnoteReference"/>
        </w:rPr>
        <w:endnoteRef/>
      </w:r>
      <w:r w:rsidRPr="00F37572">
        <w:t xml:space="preserve"> </w:t>
      </w:r>
      <w:r w:rsidRPr="00A33846">
        <w:t>Council of Australian Governments, ‘Communiqué</w:t>
      </w:r>
      <w:r>
        <w:t xml:space="preserve"> – </w:t>
      </w:r>
      <w:r w:rsidRPr="00ED7B6B">
        <w:t xml:space="preserve">COAG </w:t>
      </w:r>
      <w:r>
        <w:t xml:space="preserve">Special Meeting’ </w:t>
      </w:r>
      <w:r w:rsidRPr="00A33846">
        <w:t>(</w:t>
      </w:r>
      <w:r>
        <w:t>40</w:t>
      </w:r>
      <w:r w:rsidRPr="00A33846">
        <w:rPr>
          <w:vertAlign w:val="superscript"/>
        </w:rPr>
        <w:t>th</w:t>
      </w:r>
      <w:r>
        <w:t xml:space="preserve"> </w:t>
      </w:r>
      <w:r w:rsidRPr="00A33846">
        <w:t>COAG Meeting, 23 July 2015) 1 &lt;</w:t>
      </w:r>
      <w:hyperlink r:id="rId159" w:history="1">
        <w:r w:rsidRPr="00F37572">
          <w:rPr>
            <w:rStyle w:val="Hyperlink"/>
          </w:rPr>
          <w:t>https://www.coag.gov.au/node/524</w:t>
        </w:r>
      </w:hyperlink>
      <w:r w:rsidRPr="00F37572">
        <w:t>&gt;.</w:t>
      </w:r>
    </w:p>
  </w:endnote>
  <w:endnote w:id="626">
    <w:p w14:paraId="091AB2FA" w14:textId="77777777" w:rsidR="00F008D2" w:rsidRDefault="00F008D2" w:rsidP="000D1D92">
      <w:pPr>
        <w:pStyle w:val="EndnoteText"/>
      </w:pPr>
      <w:r>
        <w:rPr>
          <w:rStyle w:val="EndnoteReference"/>
        </w:rPr>
        <w:endnoteRef/>
      </w:r>
      <w:r>
        <w:t xml:space="preserve"> J Ireland, ‘National $30 million campaign to tackle domestic violence’, </w:t>
      </w:r>
      <w:r>
        <w:rPr>
          <w:i/>
        </w:rPr>
        <w:t xml:space="preserve">The Sydney Morning Herald, </w:t>
      </w:r>
      <w:r>
        <w:t>(Sydney), 5 March 2015</w:t>
      </w:r>
    </w:p>
  </w:endnote>
  <w:endnote w:id="627">
    <w:p w14:paraId="6050CD67" w14:textId="77777777" w:rsidR="00F008D2" w:rsidRDefault="00F008D2" w:rsidP="000D1D92">
      <w:pPr>
        <w:pStyle w:val="EndnoteText"/>
      </w:pPr>
      <w:r>
        <w:rPr>
          <w:rStyle w:val="EndnoteReference"/>
        </w:rPr>
        <w:endnoteRef/>
      </w:r>
      <w:r>
        <w:t xml:space="preserve"> Australian Association of Social Workers (AASW), </w:t>
      </w:r>
      <w:r w:rsidRPr="00F76AEE">
        <w:rPr>
          <w:lang w:val="en-US"/>
        </w:rPr>
        <w:t>Submission</w:t>
      </w:r>
      <w:r>
        <w:rPr>
          <w:lang w:val="en-US"/>
        </w:rPr>
        <w:t xml:space="preserve"> No</w:t>
      </w:r>
      <w:r w:rsidRPr="00F76AEE">
        <w:rPr>
          <w:lang w:val="en-US"/>
        </w:rPr>
        <w:t xml:space="preserve"> 5 </w:t>
      </w:r>
      <w:r w:rsidRPr="00F76AEE">
        <w:t>to</w:t>
      </w:r>
      <w:r>
        <w:t xml:space="preserve"> Australian Human Rights Commission, </w:t>
      </w:r>
      <w:r>
        <w:rPr>
          <w:i/>
        </w:rPr>
        <w:t>National Children’s Commissioner’s examination into children affected by family and domestic violence,</w:t>
      </w:r>
      <w:r>
        <w:t xml:space="preserve"> 27 May 2015, 4. </w:t>
      </w:r>
    </w:p>
  </w:endnote>
  <w:endnote w:id="628">
    <w:p w14:paraId="16E4C52F" w14:textId="77777777" w:rsidR="00F008D2" w:rsidRPr="0098140B" w:rsidRDefault="00F008D2" w:rsidP="000D1D92">
      <w:pPr>
        <w:pStyle w:val="EndnoteText"/>
        <w:rPr>
          <w:lang w:val="en-US"/>
        </w:rPr>
      </w:pPr>
      <w:r w:rsidRPr="00E609E9">
        <w:rPr>
          <w:rStyle w:val="EndnoteReference"/>
        </w:rPr>
        <w:endnoteRef/>
      </w:r>
      <w:r w:rsidRPr="00E609E9">
        <w:t xml:space="preserve"> </w:t>
      </w:r>
      <w:r w:rsidRPr="00E609E9">
        <w:rPr>
          <w:lang w:val="en-US"/>
        </w:rPr>
        <w:t>Hall</w:t>
      </w:r>
      <w:r w:rsidRPr="00FB49F7">
        <w:rPr>
          <w:lang w:val="en-US"/>
        </w:rPr>
        <w:t xml:space="preserve"> and Partners (Open Mind), </w:t>
      </w:r>
      <w:r w:rsidRPr="00FB49F7">
        <w:rPr>
          <w:i/>
          <w:lang w:val="en-US"/>
        </w:rPr>
        <w:t>The Line Campaign: Summary of Research Outcomes</w:t>
      </w:r>
      <w:r w:rsidRPr="00FB49F7">
        <w:rPr>
          <w:lang w:val="en-US"/>
        </w:rPr>
        <w:t xml:space="preserve">, May 2015, 4 </w:t>
      </w:r>
    </w:p>
  </w:endnote>
  <w:endnote w:id="629">
    <w:p w14:paraId="616D4A9A" w14:textId="77777777" w:rsidR="00F008D2" w:rsidRDefault="00F008D2" w:rsidP="000D1D92">
      <w:pPr>
        <w:pStyle w:val="EndnoteText"/>
      </w:pPr>
      <w:r>
        <w:rPr>
          <w:rStyle w:val="EndnoteReference"/>
        </w:rPr>
        <w:endnoteRef/>
      </w:r>
      <w:r>
        <w:t xml:space="preserve"> VicHealth media release, ‘Many Young People Ready To Attribute Blame To Victims and Think Tracking a Partner is Acceptable’, (Media Release, 24 September 2015) at </w:t>
      </w:r>
      <w:r w:rsidRPr="002130AD">
        <w:t>https://www.vichealth.vic.gov.au/media-and-resources/media-releases/many-young-people-ready-to-attribute-blame-to-victims-and-think-tracking-a-partner-is-acceptable</w:t>
      </w:r>
    </w:p>
  </w:endnote>
  <w:endnote w:id="630">
    <w:p w14:paraId="38D3EE6E" w14:textId="77777777" w:rsidR="00F008D2" w:rsidRDefault="00F008D2" w:rsidP="000D1D92">
      <w:pPr>
        <w:pStyle w:val="EndnoteText"/>
      </w:pPr>
      <w:r>
        <w:rPr>
          <w:rStyle w:val="EndnoteReference"/>
        </w:rPr>
        <w:endnoteRef/>
      </w:r>
      <w:r>
        <w:t xml:space="preserve"> </w:t>
      </w:r>
      <w:r w:rsidRPr="00825C50">
        <w:t xml:space="preserve">Relationships Australia, Submission </w:t>
      </w:r>
      <w:r>
        <w:t xml:space="preserve">No </w:t>
      </w:r>
      <w:r w:rsidRPr="00825C50">
        <w:t>26 to Australian Human Rights Commission, National Children’s Commissioner’s examination into children affected by family and domestic violence, 11 June 2015, 21.</w:t>
      </w:r>
    </w:p>
  </w:endnote>
  <w:endnote w:id="631">
    <w:p w14:paraId="356ECECC" w14:textId="77777777" w:rsidR="00F008D2" w:rsidRPr="001406FE" w:rsidRDefault="00F008D2" w:rsidP="000D1D92">
      <w:pPr>
        <w:pStyle w:val="EndnoteText"/>
        <w:rPr>
          <w:lang w:val="en-US"/>
        </w:rPr>
      </w:pPr>
      <w:r>
        <w:rPr>
          <w:rStyle w:val="EndnoteReference"/>
        </w:rPr>
        <w:endnoteRef/>
      </w:r>
      <w:r>
        <w:t xml:space="preserve"> </w:t>
      </w:r>
      <w:r>
        <w:rPr>
          <w:lang w:val="en-US"/>
        </w:rPr>
        <w:t xml:space="preserve">Menzies School of Health Research, Centre for Child Development and Education, Submission No 47 </w:t>
      </w:r>
      <w:r>
        <w:t xml:space="preserve">to Australian Human Rights Commission, </w:t>
      </w:r>
      <w:r>
        <w:rPr>
          <w:i/>
        </w:rPr>
        <w:t>National Children’s Commissioner’s examination into children affected by family and domestic violence</w:t>
      </w:r>
      <w:r>
        <w:t>, 2015, 49.</w:t>
      </w:r>
    </w:p>
  </w:endnote>
  <w:endnote w:id="632">
    <w:p w14:paraId="770043F8" w14:textId="77777777" w:rsidR="00F008D2" w:rsidRPr="0049786F" w:rsidRDefault="00F008D2" w:rsidP="000D1D92">
      <w:pPr>
        <w:pStyle w:val="EndnoteText"/>
        <w:jc w:val="both"/>
        <w:rPr>
          <w:lang w:val="en-US"/>
        </w:rPr>
      </w:pPr>
      <w:r>
        <w:rPr>
          <w:rStyle w:val="EndnoteReference"/>
        </w:rPr>
        <w:endnoteRef/>
      </w:r>
      <w:r w:rsidRPr="0049786F">
        <w:t xml:space="preserve"> </w:t>
      </w:r>
      <w:r>
        <w:rPr>
          <w:rFonts w:cs="Arial"/>
        </w:rPr>
        <w:t xml:space="preserve">Aboriginal Family Law Services (WA), Submission No 29 </w:t>
      </w:r>
      <w:r>
        <w:t xml:space="preserve">to Australian Human Rights Commission, </w:t>
      </w:r>
      <w:r>
        <w:rPr>
          <w:i/>
        </w:rPr>
        <w:t xml:space="preserve">National Children’s Commissioner’s examination into children affected by family and domestic violence, </w:t>
      </w:r>
      <w:r>
        <w:t xml:space="preserve">15 June 2015, </w:t>
      </w:r>
      <w:r>
        <w:rPr>
          <w:rFonts w:cs="Arial"/>
        </w:rPr>
        <w:t>1</w:t>
      </w:r>
      <w:r>
        <w:rPr>
          <w:lang w:val="en-US"/>
        </w:rPr>
        <w:t>1.</w:t>
      </w:r>
    </w:p>
  </w:endnote>
  <w:endnote w:id="633">
    <w:p w14:paraId="603C7575" w14:textId="77777777" w:rsidR="00F008D2" w:rsidRPr="000556E2" w:rsidRDefault="00F008D2" w:rsidP="000D1D92">
      <w:pPr>
        <w:pStyle w:val="EndnoteText"/>
        <w:rPr>
          <w:lang w:val="en-US"/>
        </w:rPr>
      </w:pPr>
      <w:r>
        <w:rPr>
          <w:rStyle w:val="EndnoteReference"/>
        </w:rPr>
        <w:endnoteRef/>
      </w:r>
      <w:r>
        <w:t xml:space="preserve"> </w:t>
      </w:r>
      <w:r>
        <w:rPr>
          <w:lang w:val="en-US"/>
        </w:rPr>
        <w:t xml:space="preserve">National LGBTI Health Alliance, Submission No 49 </w:t>
      </w:r>
      <w:r>
        <w:t xml:space="preserve">to Australian Human Rights Commission, </w:t>
      </w:r>
      <w:r>
        <w:rPr>
          <w:i/>
        </w:rPr>
        <w:t>National Children’s Commissioner’s examination into children affected by family and domestic violence,</w:t>
      </w:r>
      <w:r>
        <w:t xml:space="preserve"> 2015, 9.</w:t>
      </w:r>
    </w:p>
  </w:endnote>
  <w:endnote w:id="634">
    <w:p w14:paraId="0A72E6CB" w14:textId="77777777" w:rsidR="00F008D2" w:rsidRDefault="00F008D2" w:rsidP="000D1D92">
      <w:pPr>
        <w:pStyle w:val="EndnoteText"/>
      </w:pPr>
      <w:r>
        <w:rPr>
          <w:rStyle w:val="EndnoteReference"/>
        </w:rPr>
        <w:endnoteRef/>
      </w:r>
      <w:r>
        <w:t xml:space="preserve"> New South Wales Government, Submission No 51 to Australian Human Rights Commission, </w:t>
      </w:r>
      <w:r>
        <w:rPr>
          <w:i/>
        </w:rPr>
        <w:t xml:space="preserve">National Children’s Commissioner’s examination into children affected by family and domestic violence, </w:t>
      </w:r>
      <w:r>
        <w:t>10.</w:t>
      </w:r>
    </w:p>
  </w:endnote>
  <w:endnote w:id="635">
    <w:p w14:paraId="750CB2B0" w14:textId="77777777" w:rsidR="00F008D2" w:rsidRDefault="00F008D2" w:rsidP="000D1D92">
      <w:pPr>
        <w:pStyle w:val="EndnoteText"/>
      </w:pPr>
      <w:r>
        <w:rPr>
          <w:rStyle w:val="EndnoteReference"/>
        </w:rPr>
        <w:endnoteRef/>
      </w:r>
      <w:r>
        <w:t xml:space="preserve"> Senate Standing Committee on Finance and Public Administration, Parliament of Australia, </w:t>
      </w:r>
      <w:r w:rsidRPr="003C1C37">
        <w:rPr>
          <w:i/>
        </w:rPr>
        <w:t>Domestic violence in Australia</w:t>
      </w:r>
      <w:r>
        <w:t xml:space="preserve">: </w:t>
      </w:r>
      <w:r>
        <w:rPr>
          <w:i/>
        </w:rPr>
        <w:t>Interim Report</w:t>
      </w:r>
      <w:r>
        <w:t>, (</w:t>
      </w:r>
      <w:r w:rsidRPr="00FF0757">
        <w:t>2015</w:t>
      </w:r>
      <w:r>
        <w:t>), 191</w:t>
      </w:r>
      <w:r w:rsidRPr="00FF0757">
        <w:t>.</w:t>
      </w:r>
    </w:p>
  </w:endnote>
  <w:endnote w:id="636">
    <w:p w14:paraId="03300BF1" w14:textId="77777777" w:rsidR="00F008D2" w:rsidRDefault="00F008D2" w:rsidP="000D1D92">
      <w:pPr>
        <w:pStyle w:val="EndnoteText"/>
      </w:pPr>
      <w:r>
        <w:rPr>
          <w:rStyle w:val="EndnoteReference"/>
        </w:rPr>
        <w:endnoteRef/>
      </w:r>
      <w:r>
        <w:t xml:space="preserve"> Senate Standing Committee on Finance and Public Administration, Parliament of Australia, </w:t>
      </w:r>
      <w:r w:rsidRPr="003C1C37">
        <w:rPr>
          <w:i/>
        </w:rPr>
        <w:t>Domestic violence in Australia</w:t>
      </w:r>
      <w:r>
        <w:t xml:space="preserve">: </w:t>
      </w:r>
      <w:r>
        <w:rPr>
          <w:i/>
        </w:rPr>
        <w:t>Interim Report</w:t>
      </w:r>
      <w:r>
        <w:t>, (</w:t>
      </w:r>
      <w:r w:rsidRPr="00FF0757">
        <w:t>2015</w:t>
      </w:r>
      <w:r>
        <w:t>),</w:t>
      </w:r>
      <w:r w:rsidRPr="00FF0757">
        <w:t xml:space="preserve"> ix.</w:t>
      </w:r>
    </w:p>
  </w:endnote>
  <w:endnote w:id="637">
    <w:p w14:paraId="6546D5B8" w14:textId="77777777" w:rsidR="00F008D2" w:rsidRDefault="00F008D2" w:rsidP="000D1D92">
      <w:pPr>
        <w:pStyle w:val="EndnoteText"/>
      </w:pPr>
      <w:r>
        <w:rPr>
          <w:rStyle w:val="EndnoteReference"/>
        </w:rPr>
        <w:endnoteRef/>
      </w:r>
      <w:r>
        <w:t xml:space="preserve"> Australian Institute of Family Studies (AIFS) and Australia’s National Research Organisation for Women’s Safety Ltd. (ANROWS), </w:t>
      </w:r>
      <w:r>
        <w:rPr>
          <w:rFonts w:cs="Arial"/>
        </w:rPr>
        <w:t xml:space="preserve">Submission No 6 </w:t>
      </w:r>
      <w:r>
        <w:t xml:space="preserve">to Australian Human Rights Commission, </w:t>
      </w:r>
      <w:r>
        <w:rPr>
          <w:i/>
        </w:rPr>
        <w:t>National Children’s Commissioner’s examination into children affected by family and domestic violence</w:t>
      </w:r>
      <w:r>
        <w:t>, 17.</w:t>
      </w:r>
    </w:p>
  </w:endnote>
  <w:endnote w:id="638">
    <w:p w14:paraId="6981E463" w14:textId="77777777" w:rsidR="00F008D2" w:rsidRPr="005D622F" w:rsidRDefault="00F008D2" w:rsidP="000D1D92">
      <w:pPr>
        <w:pStyle w:val="EndnoteText"/>
        <w:rPr>
          <w:lang w:val="en-US"/>
        </w:rPr>
      </w:pPr>
      <w:r>
        <w:rPr>
          <w:rStyle w:val="EndnoteReference"/>
        </w:rPr>
        <w:endnoteRef/>
      </w:r>
      <w:r>
        <w:t xml:space="preserve"> </w:t>
      </w:r>
      <w:r>
        <w:rPr>
          <w:lang w:val="en-US"/>
        </w:rPr>
        <w:t xml:space="preserve">New South Wales Government, </w:t>
      </w:r>
      <w:r>
        <w:rPr>
          <w:rFonts w:cs="Arial"/>
        </w:rPr>
        <w:t xml:space="preserve">Submission No 51 </w:t>
      </w:r>
      <w:r>
        <w:t xml:space="preserve">to Australian Human Rights Commission, </w:t>
      </w:r>
      <w:r>
        <w:rPr>
          <w:i/>
        </w:rPr>
        <w:t>National Children’s Commissioner’s examination into children affected by family and domestic violence</w:t>
      </w:r>
      <w:r>
        <w:rPr>
          <w:lang w:val="en-US"/>
        </w:rPr>
        <w:t>, 10.</w:t>
      </w:r>
    </w:p>
  </w:endnote>
  <w:endnote w:id="639">
    <w:p w14:paraId="37239410" w14:textId="77777777" w:rsidR="00F008D2" w:rsidRPr="00294A68" w:rsidRDefault="00F008D2" w:rsidP="000D1D92">
      <w:pPr>
        <w:pStyle w:val="EndnoteText"/>
        <w:jc w:val="both"/>
        <w:rPr>
          <w:lang w:val="en-US"/>
        </w:rPr>
      </w:pPr>
      <w:r>
        <w:rPr>
          <w:rStyle w:val="EndnoteReference"/>
        </w:rPr>
        <w:endnoteRef/>
      </w:r>
      <w:r>
        <w:t xml:space="preserve"> </w:t>
      </w:r>
      <w:r>
        <w:rPr>
          <w:lang w:val="en-US"/>
        </w:rPr>
        <w:t xml:space="preserve">North Australian Aboriginal Family Legal Service, </w:t>
      </w:r>
      <w:r>
        <w:rPr>
          <w:rFonts w:cs="Arial"/>
        </w:rPr>
        <w:t xml:space="preserve">Submission No 46 </w:t>
      </w:r>
      <w:r>
        <w:t xml:space="preserve">to Australian Human Rights Commission, </w:t>
      </w:r>
      <w:r>
        <w:rPr>
          <w:i/>
        </w:rPr>
        <w:t>National Children’s Commissioner’s examination into children affected by family and domestic violence,</w:t>
      </w:r>
      <w:r>
        <w:rPr>
          <w:lang w:val="en-US"/>
        </w:rPr>
        <w:t xml:space="preserve"> 2015, 8.</w:t>
      </w:r>
    </w:p>
  </w:endnote>
  <w:endnote w:id="640">
    <w:p w14:paraId="6AF40B71" w14:textId="77777777" w:rsidR="00F008D2" w:rsidRPr="00C925C3" w:rsidRDefault="00F008D2" w:rsidP="000D1D92">
      <w:pPr>
        <w:pStyle w:val="EndnoteText"/>
        <w:rPr>
          <w:highlight w:val="yellow"/>
        </w:rPr>
      </w:pPr>
      <w:r w:rsidRPr="00117265">
        <w:rPr>
          <w:rStyle w:val="EndnoteReference"/>
        </w:rPr>
        <w:endnoteRef/>
      </w:r>
      <w:r w:rsidRPr="00117265">
        <w:t xml:space="preserve"> Michael Flood and Vicki Kendrick, ‘An evaluation of the LOVEBiTES and Respectful Relationships Programs in a Sydney school’ (NAPCAN and University of Wollongong, 2012) 3 &lt;http://growingrespect.org.au/what-we-do/research-evaluation/previous-research/&gt;.</w:t>
      </w:r>
    </w:p>
  </w:endnote>
  <w:endnote w:id="641">
    <w:p w14:paraId="2F67E1E4" w14:textId="77777777" w:rsidR="00F008D2" w:rsidRDefault="00F008D2" w:rsidP="000D1D92">
      <w:pPr>
        <w:pStyle w:val="EndnoteText"/>
      </w:pPr>
      <w:r w:rsidRPr="00117265">
        <w:rPr>
          <w:rStyle w:val="EndnoteReference"/>
        </w:rPr>
        <w:endnoteRef/>
      </w:r>
      <w:r w:rsidRPr="00117265">
        <w:t xml:space="preserve"> Michael Flood and Vicki Kendrick, ‘An evaluation of the LOVEBiTES and Respectful Relationships Programs in a Sydney school’ (NAPCAN and University of Wollongong, 2012) 3 &lt;http://growingrespect.org.au/what-we-do/research-evaluation/previous-research/&gt;.</w:t>
      </w:r>
    </w:p>
  </w:endnote>
  <w:endnote w:id="642">
    <w:p w14:paraId="3F51BAC6" w14:textId="77777777" w:rsidR="00F008D2" w:rsidRDefault="00F008D2" w:rsidP="000D1D92">
      <w:pPr>
        <w:pStyle w:val="EndnoteText"/>
      </w:pPr>
      <w:r w:rsidRPr="00AE0DBF">
        <w:rPr>
          <w:rStyle w:val="EndnoteReference"/>
        </w:rPr>
        <w:endnoteRef/>
      </w:r>
      <w:r w:rsidRPr="00AE0DBF">
        <w:t xml:space="preserve"> Prime Minister’s Office (Cth), ‘Transcript of joint press conference: women’s safety package to stop the violence’</w:t>
      </w:r>
      <w:r>
        <w:t>, 24 September 2015</w:t>
      </w:r>
      <w:r w:rsidRPr="00AE0DBF">
        <w:t xml:space="preserve"> (</w:t>
      </w:r>
      <w:r>
        <w:t>the Hon. Malcolm Turnbull MP, Prime Minister, Senator the Hon Michaelia Cash, Minister for Women, Rosy Batty, Ken Lay, Chief Commissioner of Police (Vic)</w:t>
      </w:r>
      <w:r w:rsidRPr="00AE0DBF">
        <w:t>) &lt;</w:t>
      </w:r>
      <w:r w:rsidRPr="00C533A9">
        <w:t>https://www.pm.gov.au/media/2015-09-24/transcript-joint-press-conference-womens-safety-package-stop-violence&gt;.</w:t>
      </w:r>
    </w:p>
  </w:endnote>
  <w:endnote w:id="643">
    <w:p w14:paraId="3D771AB1" w14:textId="77777777" w:rsidR="00F008D2" w:rsidRDefault="00F008D2" w:rsidP="000D1D92">
      <w:pPr>
        <w:pStyle w:val="EndnoteText"/>
        <w:jc w:val="both"/>
      </w:pPr>
      <w:r>
        <w:rPr>
          <w:rStyle w:val="EndnoteReference"/>
        </w:rPr>
        <w:endnoteRef/>
      </w:r>
      <w:r>
        <w:t xml:space="preserve"> Women’s Legal Services NSW, </w:t>
      </w:r>
      <w:r>
        <w:rPr>
          <w:rFonts w:cs="Arial"/>
        </w:rPr>
        <w:t xml:space="preserve">Submission No 33 </w:t>
      </w:r>
      <w:r>
        <w:t xml:space="preserve">to Australian Human Rights Commission, </w:t>
      </w:r>
      <w:r>
        <w:rPr>
          <w:i/>
        </w:rPr>
        <w:t xml:space="preserve">National Children’s Commissioner’s examination into children affected by family and domestic violence, </w:t>
      </w:r>
      <w:r>
        <w:t>16 June 2015, 3–4.</w:t>
      </w:r>
    </w:p>
  </w:endnote>
  <w:endnote w:id="644">
    <w:p w14:paraId="1D47CD32" w14:textId="77777777" w:rsidR="00F008D2" w:rsidRDefault="00F008D2" w:rsidP="000D1D92">
      <w:pPr>
        <w:pStyle w:val="EndnoteText"/>
      </w:pPr>
      <w:r>
        <w:rPr>
          <w:rStyle w:val="EndnoteReference"/>
        </w:rPr>
        <w:endnoteRef/>
      </w:r>
      <w:r>
        <w:t xml:space="preserve"> </w:t>
      </w:r>
      <w:r w:rsidRPr="00607F7F">
        <w:t>Berry Street</w:t>
      </w:r>
      <w:r>
        <w:t xml:space="preserve">, </w:t>
      </w:r>
      <w:r w:rsidRPr="00422F51">
        <w:t xml:space="preserve">Submission </w:t>
      </w:r>
      <w:r>
        <w:t>No 40</w:t>
      </w:r>
      <w:r w:rsidRPr="00422F51">
        <w:t xml:space="preserve"> to Australian Human Rights Commission, </w:t>
      </w:r>
      <w:r w:rsidRPr="0082462D">
        <w:rPr>
          <w:i/>
        </w:rPr>
        <w:t>National Children’s Commissioner’s examination into children affected by family and domestic violence</w:t>
      </w:r>
      <w:r>
        <w:t xml:space="preserve">, 19 June </w:t>
      </w:r>
      <w:r w:rsidRPr="00422F51">
        <w:t xml:space="preserve">2015, </w:t>
      </w:r>
      <w:r>
        <w:t>22.</w:t>
      </w:r>
    </w:p>
  </w:endnote>
  <w:endnote w:id="645">
    <w:p w14:paraId="6697C949" w14:textId="77777777" w:rsidR="00F008D2" w:rsidRDefault="00F008D2" w:rsidP="000D1D92">
      <w:pPr>
        <w:pStyle w:val="EndnoteText"/>
      </w:pPr>
      <w:r>
        <w:rPr>
          <w:rStyle w:val="EndnoteReference"/>
        </w:rPr>
        <w:endnoteRef/>
      </w:r>
      <w:r>
        <w:t xml:space="preserve"> Queensland Family and Child Commission, Submission No 16</w:t>
      </w:r>
      <w:r w:rsidRPr="00422F51">
        <w:t xml:space="preserve"> to Australian Human Rights Commission, </w:t>
      </w:r>
      <w:r w:rsidRPr="0082462D">
        <w:rPr>
          <w:i/>
        </w:rPr>
        <w:t>National Children’s Commissioner’s examination into children affected by family and domestic violence</w:t>
      </w:r>
      <w:r>
        <w:t xml:space="preserve">, 3 June </w:t>
      </w:r>
      <w:r w:rsidRPr="00422F51">
        <w:t xml:space="preserve">2015, </w:t>
      </w:r>
      <w:r>
        <w:t xml:space="preserve">9. </w:t>
      </w:r>
    </w:p>
  </w:endnote>
  <w:endnote w:id="646">
    <w:p w14:paraId="6811D25B" w14:textId="77777777" w:rsidR="00F008D2" w:rsidRDefault="00F008D2" w:rsidP="000D1D92">
      <w:pPr>
        <w:pStyle w:val="EndnoteText"/>
      </w:pPr>
      <w:r>
        <w:rPr>
          <w:rStyle w:val="EndnoteReference"/>
        </w:rPr>
        <w:endnoteRef/>
      </w:r>
      <w:r>
        <w:t xml:space="preserve"> Australian Psychological Society, Submission No 38 to the Australian Human Rights Commission, </w:t>
      </w:r>
      <w:r>
        <w:rPr>
          <w:i/>
        </w:rPr>
        <w:t xml:space="preserve">National Children’s Commissioner’s examination into children affected by family and domestic violence, </w:t>
      </w:r>
      <w:r>
        <w:t>17 June 2015, 11–14.</w:t>
      </w:r>
    </w:p>
  </w:endnote>
  <w:endnote w:id="647">
    <w:p w14:paraId="0EBFC8ED" w14:textId="77777777" w:rsidR="00F008D2" w:rsidRDefault="00F008D2" w:rsidP="000D1D92">
      <w:pPr>
        <w:pStyle w:val="EndnoteText"/>
      </w:pPr>
      <w:r>
        <w:rPr>
          <w:rStyle w:val="EndnoteReference"/>
        </w:rPr>
        <w:endnoteRef/>
      </w:r>
      <w:r>
        <w:t xml:space="preserve"> </w:t>
      </w:r>
      <w:r w:rsidRPr="004079F2">
        <w:t>Melbourne Research Alliance to End Violence Against Women and their Children, University of Melbourne</w:t>
      </w:r>
      <w:r>
        <w:t>,</w:t>
      </w:r>
      <w:r w:rsidRPr="005B2A9B">
        <w:t xml:space="preserve"> </w:t>
      </w:r>
      <w:r>
        <w:t xml:space="preserve">Submission No 18 </w:t>
      </w:r>
      <w:r w:rsidRPr="00422F51">
        <w:t xml:space="preserve">to Australian Human Rights Commission, </w:t>
      </w:r>
      <w:r w:rsidRPr="0082462D">
        <w:rPr>
          <w:i/>
        </w:rPr>
        <w:t>National Children’s Commissioner’s examination into children affected by family and domestic violence</w:t>
      </w:r>
      <w:r>
        <w:t>, 9 June 2015</w:t>
      </w:r>
      <w:r w:rsidRPr="00422F51">
        <w:t>,</w:t>
      </w:r>
      <w:r>
        <w:rPr>
          <w:lang w:val="en-US"/>
        </w:rPr>
        <w:t xml:space="preserve"> 7–8, 10</w:t>
      </w:r>
      <w:r>
        <w:t>.</w:t>
      </w:r>
    </w:p>
  </w:endnote>
  <w:endnote w:id="648">
    <w:p w14:paraId="6E8BD3BB" w14:textId="77777777" w:rsidR="00F008D2" w:rsidRPr="00A33846" w:rsidRDefault="00F008D2" w:rsidP="000D1D92">
      <w:pPr>
        <w:pStyle w:val="EndnoteText"/>
        <w:rPr>
          <w:lang w:val="en-US"/>
        </w:rPr>
      </w:pPr>
      <w:r>
        <w:rPr>
          <w:rStyle w:val="EndnoteReference"/>
        </w:rPr>
        <w:endnoteRef/>
      </w:r>
      <w:r>
        <w:t xml:space="preserve"> Families Australia, Submission No 22 to the Australian Human Rights Commission, </w:t>
      </w:r>
      <w:r>
        <w:rPr>
          <w:i/>
        </w:rPr>
        <w:t xml:space="preserve">National Children’s Commissioner’s examination into children affected by family and domestic violence, </w:t>
      </w:r>
      <w:r>
        <w:t>15 June 2015, 10.</w:t>
      </w:r>
    </w:p>
  </w:endnote>
  <w:endnote w:id="649">
    <w:p w14:paraId="0546B083" w14:textId="77777777" w:rsidR="00F008D2" w:rsidRDefault="00F008D2" w:rsidP="000D1D92">
      <w:pPr>
        <w:pStyle w:val="EndnoteText"/>
      </w:pPr>
      <w:r>
        <w:rPr>
          <w:rStyle w:val="EndnoteReference"/>
        </w:rPr>
        <w:endnoteRef/>
      </w:r>
      <w:r>
        <w:t xml:space="preserve"> </w:t>
      </w:r>
      <w:r w:rsidRPr="00D77108">
        <w:t>Department for Child Protection and Family Support</w:t>
      </w:r>
      <w:r>
        <w:t xml:space="preserve"> (WA), Attachment 34.1 to Australian Human Rights Commission, </w:t>
      </w:r>
      <w:r>
        <w:rPr>
          <w:i/>
        </w:rPr>
        <w:t xml:space="preserve">National Children’s Commissioner’s examination into children affected by family and domestic violence, </w:t>
      </w:r>
      <w:r>
        <w:t>16 June 2015, 8.</w:t>
      </w:r>
    </w:p>
  </w:endnote>
  <w:endnote w:id="650">
    <w:p w14:paraId="03EE4392" w14:textId="77777777" w:rsidR="00F008D2" w:rsidRDefault="00F008D2" w:rsidP="000D1D92">
      <w:pPr>
        <w:pStyle w:val="EndnoteText"/>
      </w:pPr>
      <w:r>
        <w:rPr>
          <w:rStyle w:val="EndnoteReference"/>
        </w:rPr>
        <w:endnoteRef/>
      </w:r>
      <w:r>
        <w:t xml:space="preserve"> Patricia Easteal, Attachment 1.2 to Australian Human Rights Commission, </w:t>
      </w:r>
      <w:r>
        <w:rPr>
          <w:i/>
        </w:rPr>
        <w:t xml:space="preserve">National Children’s Commissioner’s examination into children affected by family and domestic violence, </w:t>
      </w:r>
      <w:r>
        <w:t xml:space="preserve">1 May 2015, 21. </w:t>
      </w:r>
    </w:p>
  </w:endnote>
  <w:endnote w:id="651">
    <w:p w14:paraId="66A2F16F" w14:textId="77777777" w:rsidR="00F008D2" w:rsidRDefault="00F008D2" w:rsidP="000D1D92">
      <w:pPr>
        <w:pStyle w:val="EndnoteText"/>
      </w:pPr>
      <w:r>
        <w:rPr>
          <w:rStyle w:val="EndnoteReference"/>
        </w:rPr>
        <w:endnoteRef/>
      </w:r>
      <w:r>
        <w:t xml:space="preserve"> </w:t>
      </w:r>
      <w:r w:rsidRPr="00825C50">
        <w:t xml:space="preserve">Relationships Australia, Submission </w:t>
      </w:r>
      <w:r>
        <w:t xml:space="preserve">No </w:t>
      </w:r>
      <w:r w:rsidRPr="00825C50">
        <w:t xml:space="preserve">26 to Australian Human Rights Commission, </w:t>
      </w:r>
      <w:r w:rsidRPr="00E06D5C">
        <w:rPr>
          <w:i/>
        </w:rPr>
        <w:t>National Children’s Commissioner’s examination into children affected by family and domestic violence</w:t>
      </w:r>
      <w:r w:rsidRPr="00825C50">
        <w:t xml:space="preserve">, 11 June 2015, </w:t>
      </w:r>
      <w:r>
        <w:t>6</w:t>
      </w:r>
      <w:r w:rsidRPr="00825C50">
        <w:t>.</w:t>
      </w:r>
    </w:p>
  </w:endnote>
  <w:endnote w:id="652">
    <w:p w14:paraId="14150E69" w14:textId="77777777" w:rsidR="00F008D2" w:rsidRDefault="00F008D2" w:rsidP="000D1D92">
      <w:pPr>
        <w:pStyle w:val="EndnoteText"/>
      </w:pPr>
      <w:r>
        <w:rPr>
          <w:rStyle w:val="EndnoteReference"/>
        </w:rPr>
        <w:endnoteRef/>
      </w:r>
      <w:r>
        <w:t xml:space="preserve"> Queensland Family and Child Commission, Submission No 16</w:t>
      </w:r>
      <w:r w:rsidRPr="00422F51">
        <w:t xml:space="preserve"> to Australian Human Rights Commission, </w:t>
      </w:r>
      <w:r w:rsidRPr="0082462D">
        <w:rPr>
          <w:i/>
        </w:rPr>
        <w:t>National Children’s Commissioner’s examination into children affected by family and domestic violence</w:t>
      </w:r>
      <w:r>
        <w:t xml:space="preserve">, 3 June </w:t>
      </w:r>
      <w:r w:rsidRPr="00422F51">
        <w:t xml:space="preserve">2015, </w:t>
      </w:r>
      <w:r>
        <w:t>9.</w:t>
      </w:r>
    </w:p>
  </w:endnote>
  <w:endnote w:id="653">
    <w:p w14:paraId="06D698E1" w14:textId="77777777" w:rsidR="00F008D2" w:rsidRPr="00A33846" w:rsidRDefault="00F008D2" w:rsidP="000D1D92">
      <w:pPr>
        <w:pStyle w:val="EndnoteText"/>
        <w:rPr>
          <w:lang w:val="en-US"/>
        </w:rPr>
      </w:pPr>
      <w:r>
        <w:rPr>
          <w:rStyle w:val="EndnoteReference"/>
        </w:rPr>
        <w:endnoteRef/>
      </w:r>
      <w:r>
        <w:t xml:space="preserve"> </w:t>
      </w:r>
      <w:r w:rsidRPr="0014436B">
        <w:rPr>
          <w:lang w:val="en-US"/>
        </w:rPr>
        <w:t>C Humphreys, ‘Domestic violence and child protection: challenging directions for practice’ (Issues Paper 13, Australian Domestic and Family Violence Clearinghouse, 2007) 13, 19, 21.</w:t>
      </w:r>
    </w:p>
  </w:endnote>
  <w:endnote w:id="654">
    <w:p w14:paraId="71B3B532" w14:textId="77777777" w:rsidR="00F008D2" w:rsidRPr="002E2EF2" w:rsidRDefault="00F008D2" w:rsidP="000D1D92">
      <w:pPr>
        <w:pStyle w:val="EndnoteText"/>
      </w:pPr>
      <w:r>
        <w:rPr>
          <w:rStyle w:val="EndnoteReference"/>
        </w:rPr>
        <w:endnoteRef/>
      </w:r>
      <w:r>
        <w:t xml:space="preserve"> </w:t>
      </w:r>
      <w:r w:rsidRPr="009D5EC0">
        <w:t>Melbourne Research Alliance to End Violence Against Women and their Children, University of Melbourne</w:t>
      </w:r>
      <w:r>
        <w:t xml:space="preserve">, Attachment 18.1 </w:t>
      </w:r>
      <w:r w:rsidRPr="00422F51">
        <w:t xml:space="preserve">to Australian Human Rights Commission, </w:t>
      </w:r>
      <w:r w:rsidRPr="0082462D">
        <w:rPr>
          <w:i/>
        </w:rPr>
        <w:t>National Children’s Commissioner’s examination into children affected by family and domestic violence</w:t>
      </w:r>
      <w:r>
        <w:t>, 9 June 2015</w:t>
      </w:r>
      <w:r w:rsidRPr="00422F51">
        <w:t>,</w:t>
      </w:r>
      <w:r>
        <w:rPr>
          <w:lang w:val="en-US"/>
        </w:rPr>
        <w:t xml:space="preserve"> 1–9</w:t>
      </w:r>
      <w:r>
        <w:t>.</w:t>
      </w:r>
    </w:p>
  </w:endnote>
  <w:endnote w:id="655">
    <w:p w14:paraId="163B279E" w14:textId="77777777" w:rsidR="00F008D2" w:rsidRDefault="00F008D2" w:rsidP="000D1D92">
      <w:pPr>
        <w:pStyle w:val="EndnoteText"/>
      </w:pPr>
      <w:r>
        <w:rPr>
          <w:rStyle w:val="EndnoteReference"/>
        </w:rPr>
        <w:endnoteRef/>
      </w:r>
      <w:r>
        <w:t xml:space="preserve"> Women’s Legal Services Queensland, Submission No 23 </w:t>
      </w:r>
      <w:r w:rsidRPr="00422F51">
        <w:t xml:space="preserve">to Australian Human Rights Commission, </w:t>
      </w:r>
      <w:r w:rsidRPr="0082462D">
        <w:rPr>
          <w:i/>
        </w:rPr>
        <w:t>National Children’s Commissioner’s examination into children affected by family and domestic violence</w:t>
      </w:r>
      <w:r>
        <w:t>, 15 June 2015, 6–8.</w:t>
      </w:r>
    </w:p>
  </w:endnote>
  <w:endnote w:id="656">
    <w:p w14:paraId="766B93F7" w14:textId="77777777" w:rsidR="00F008D2" w:rsidRDefault="00F008D2" w:rsidP="000D1D92">
      <w:pPr>
        <w:pStyle w:val="EndnoteText"/>
      </w:pPr>
      <w:r>
        <w:rPr>
          <w:rStyle w:val="EndnoteReference"/>
        </w:rPr>
        <w:endnoteRef/>
      </w:r>
      <w:r>
        <w:t xml:space="preserve"> Confidential, Submission 39 </w:t>
      </w:r>
      <w:r w:rsidRPr="00422F51">
        <w:t xml:space="preserve">to Australian Human Rights Commission, </w:t>
      </w:r>
      <w:r w:rsidRPr="0082462D">
        <w:rPr>
          <w:i/>
        </w:rPr>
        <w:t>National Children’s Commissioner’s examination into children affected by family and domestic violence</w:t>
      </w:r>
      <w:r>
        <w:t>, 18 June 2015.</w:t>
      </w:r>
    </w:p>
  </w:endnote>
  <w:endnote w:id="657">
    <w:p w14:paraId="18185415" w14:textId="77777777" w:rsidR="00F008D2" w:rsidRPr="00A33846" w:rsidRDefault="00F008D2" w:rsidP="000D1D92">
      <w:pPr>
        <w:pStyle w:val="EndnoteText"/>
        <w:rPr>
          <w:lang w:val="en-US"/>
        </w:rPr>
      </w:pPr>
      <w:r>
        <w:rPr>
          <w:rStyle w:val="EndnoteReference"/>
        </w:rPr>
        <w:endnoteRef/>
      </w:r>
      <w:r>
        <w:t xml:space="preserve"> </w:t>
      </w:r>
      <w:r w:rsidRPr="00D349DD">
        <w:t xml:space="preserve">Melbourne Research Alliance to End Violence Against Women and their Children, University of Melbourne, Submission No 18 to Australian Human Rights Commission, </w:t>
      </w:r>
      <w:r w:rsidRPr="00D349DD">
        <w:rPr>
          <w:i/>
        </w:rPr>
        <w:t>National Children’s Commissioner’s examination into children affected by family and domestic violence</w:t>
      </w:r>
      <w:r w:rsidRPr="00D349DD">
        <w:t>, 9 June 2015,</w:t>
      </w:r>
      <w:r>
        <w:rPr>
          <w:lang w:val="en-US"/>
        </w:rPr>
        <w:t xml:space="preserve"> 3</w:t>
      </w:r>
      <w:r w:rsidRPr="00D349DD">
        <w:rPr>
          <w:lang w:val="en-US"/>
        </w:rPr>
        <w:t>.</w:t>
      </w:r>
    </w:p>
  </w:endnote>
  <w:endnote w:id="658">
    <w:p w14:paraId="785E6C16" w14:textId="77777777" w:rsidR="00F008D2" w:rsidRPr="002F7093" w:rsidRDefault="00F008D2" w:rsidP="000D1D92">
      <w:pPr>
        <w:pStyle w:val="EndnoteText"/>
        <w:jc w:val="both"/>
        <w:rPr>
          <w:lang w:val="en-US"/>
        </w:rPr>
      </w:pPr>
      <w:r>
        <w:rPr>
          <w:rStyle w:val="EndnoteReference"/>
        </w:rPr>
        <w:endnoteRef/>
      </w:r>
      <w:r>
        <w:t xml:space="preserve"> </w:t>
      </w:r>
      <w:r>
        <w:rPr>
          <w:lang w:val="en-US"/>
        </w:rPr>
        <w:t xml:space="preserve">New South Wales Government, </w:t>
      </w:r>
      <w:r w:rsidRPr="00F76AEE">
        <w:rPr>
          <w:lang w:val="en-US"/>
        </w:rPr>
        <w:t>Submission</w:t>
      </w:r>
      <w:r>
        <w:rPr>
          <w:lang w:val="en-US"/>
        </w:rPr>
        <w:t xml:space="preserve"> No</w:t>
      </w:r>
      <w:r w:rsidRPr="00F76AEE">
        <w:rPr>
          <w:lang w:val="en-US"/>
        </w:rPr>
        <w:t xml:space="preserve"> 51 </w:t>
      </w:r>
      <w:r w:rsidRPr="00F76AEE">
        <w:t>to</w:t>
      </w:r>
      <w:r>
        <w:t xml:space="preserve"> Australian Human Rights Commission, </w:t>
      </w:r>
      <w:r>
        <w:rPr>
          <w:i/>
        </w:rPr>
        <w:t xml:space="preserve">National Children’s Commissioner’s examination into children affected by family and domestic violence, </w:t>
      </w:r>
      <w:r>
        <w:t>28 July 2015,</w:t>
      </w:r>
      <w:r>
        <w:rPr>
          <w:lang w:val="en-US"/>
        </w:rPr>
        <w:t xml:space="preserve"> 9.</w:t>
      </w:r>
    </w:p>
  </w:endnote>
  <w:endnote w:id="659">
    <w:p w14:paraId="59658C9D" w14:textId="77777777" w:rsidR="00F008D2" w:rsidRDefault="00F008D2" w:rsidP="000D1D92">
      <w:pPr>
        <w:pStyle w:val="EndnoteText"/>
      </w:pPr>
      <w:r>
        <w:rPr>
          <w:rStyle w:val="EndnoteReference"/>
        </w:rPr>
        <w:endnoteRef/>
      </w:r>
      <w:r>
        <w:t xml:space="preserve"> Australian Association of Social Workers (AASW), </w:t>
      </w:r>
      <w:r w:rsidRPr="00F76AEE">
        <w:rPr>
          <w:lang w:val="en-US"/>
        </w:rPr>
        <w:t>Submission</w:t>
      </w:r>
      <w:r>
        <w:rPr>
          <w:lang w:val="en-US"/>
        </w:rPr>
        <w:t xml:space="preserve"> No</w:t>
      </w:r>
      <w:r w:rsidRPr="00F76AEE">
        <w:rPr>
          <w:lang w:val="en-US"/>
        </w:rPr>
        <w:t xml:space="preserve"> 5 </w:t>
      </w:r>
      <w:r w:rsidRPr="00F76AEE">
        <w:t>to</w:t>
      </w:r>
      <w:r>
        <w:t xml:space="preserve"> Australian Human Rights Commission, </w:t>
      </w:r>
      <w:r>
        <w:rPr>
          <w:i/>
        </w:rPr>
        <w:t>National Children’s Commissioner’s examination into children affected by family and domestic violence,</w:t>
      </w:r>
      <w:r>
        <w:t xml:space="preserve"> 27 May 2015, 4.</w:t>
      </w:r>
    </w:p>
  </w:endnote>
  <w:endnote w:id="660">
    <w:p w14:paraId="27D0505B" w14:textId="77777777" w:rsidR="00F008D2" w:rsidRDefault="00F008D2" w:rsidP="000D1D92">
      <w:pPr>
        <w:pStyle w:val="EndnoteText"/>
        <w:jc w:val="both"/>
      </w:pPr>
      <w:r>
        <w:rPr>
          <w:rStyle w:val="EndnoteReference"/>
        </w:rPr>
        <w:endnoteRef/>
      </w:r>
      <w:r>
        <w:t xml:space="preserve"> Kristy McKellar, Submission 59 to Australian Human Rights Commission, </w:t>
      </w:r>
      <w:r>
        <w:rPr>
          <w:i/>
        </w:rPr>
        <w:t xml:space="preserve">National Children’s Commissioner’s examination into children affected by family and domestic violence, </w:t>
      </w:r>
      <w:r>
        <w:t xml:space="preserve">13 September </w:t>
      </w:r>
      <w:r w:rsidRPr="001071D7">
        <w:t>2015</w:t>
      </w:r>
      <w:r>
        <w:rPr>
          <w:lang w:val="en-US"/>
        </w:rPr>
        <w:t>.</w:t>
      </w:r>
    </w:p>
  </w:endnote>
  <w:endnote w:id="661">
    <w:p w14:paraId="7DA78D6B" w14:textId="77777777" w:rsidR="00F008D2" w:rsidRPr="00A33846" w:rsidRDefault="00F008D2" w:rsidP="000D1D92">
      <w:pPr>
        <w:pStyle w:val="EndnoteText"/>
        <w:jc w:val="both"/>
      </w:pPr>
      <w:r>
        <w:rPr>
          <w:rStyle w:val="EndnoteReference"/>
        </w:rPr>
        <w:endnoteRef/>
      </w:r>
      <w:r>
        <w:t xml:space="preserve"> </w:t>
      </w:r>
      <w:r w:rsidRPr="000215A6">
        <w:t>Belinda Fehlberg</w:t>
      </w:r>
      <w:r>
        <w:t xml:space="preserve">, Attachment 2.1 </w:t>
      </w:r>
      <w:r w:rsidRPr="00F76AEE">
        <w:t>to</w:t>
      </w:r>
      <w:r>
        <w:t xml:space="preserve"> Australian Human Rights Commission, </w:t>
      </w:r>
      <w:r>
        <w:rPr>
          <w:i/>
        </w:rPr>
        <w:t>National Children’s Commissioner’s examination into children affected by family and domestic violence,</w:t>
      </w:r>
      <w:r>
        <w:t xml:space="preserve"> 7 May 2015, 154.</w:t>
      </w:r>
    </w:p>
  </w:endnote>
  <w:endnote w:id="662">
    <w:p w14:paraId="1091779E" w14:textId="32F26BB0" w:rsidR="00F008D2" w:rsidRPr="001A5BDA" w:rsidRDefault="00F008D2" w:rsidP="00795CDB">
      <w:pPr>
        <w:pStyle w:val="EndnoteText"/>
        <w:rPr>
          <w:lang w:val="en-US"/>
        </w:rPr>
      </w:pPr>
      <w:r>
        <w:rPr>
          <w:rStyle w:val="EndnoteReference"/>
        </w:rPr>
        <w:endnoteRef/>
      </w:r>
      <w:r>
        <w:t xml:space="preserve"> </w:t>
      </w:r>
      <w:r>
        <w:rPr>
          <w:lang w:val="en-US"/>
        </w:rPr>
        <w:t xml:space="preserve">Australian Institute of Family Studies, </w:t>
      </w:r>
      <w:r>
        <w:rPr>
          <w:i/>
          <w:lang w:val="en-US"/>
        </w:rPr>
        <w:t>Evaluation of the 2012 family violence amendments – synthesis report</w:t>
      </w:r>
      <w:r>
        <w:rPr>
          <w:lang w:val="en-US"/>
        </w:rPr>
        <w:t xml:space="preserve"> (2015) 8 &lt;</w:t>
      </w:r>
      <w:r w:rsidRPr="001A5BDA">
        <w:rPr>
          <w:lang w:val="en-US"/>
        </w:rPr>
        <w:t>https://aifs.gov.au/publications/evaluation-2012-family-violence-amendments</w:t>
      </w:r>
      <w:r>
        <w:rPr>
          <w:lang w:val="en-US"/>
        </w:rPr>
        <w:t>&gt;.</w:t>
      </w:r>
    </w:p>
  </w:endnote>
  <w:endnote w:id="663">
    <w:p w14:paraId="6B411556" w14:textId="15CE97D2" w:rsidR="00F008D2" w:rsidRPr="001A5BDA" w:rsidRDefault="00F008D2">
      <w:pPr>
        <w:pStyle w:val="EndnoteText"/>
        <w:rPr>
          <w:lang w:val="en-US"/>
        </w:rPr>
      </w:pPr>
      <w:r>
        <w:rPr>
          <w:rStyle w:val="EndnoteReference"/>
        </w:rPr>
        <w:endnoteRef/>
      </w:r>
      <w:r>
        <w:t xml:space="preserve"> </w:t>
      </w:r>
      <w:r>
        <w:rPr>
          <w:lang w:val="en-US"/>
        </w:rPr>
        <w:t xml:space="preserve">Australian Institute of Family Studies, </w:t>
      </w:r>
      <w:r>
        <w:rPr>
          <w:i/>
          <w:lang w:val="en-US"/>
        </w:rPr>
        <w:t>Evaluation of the 2012 family violence amendments – synthesis report</w:t>
      </w:r>
      <w:r>
        <w:rPr>
          <w:lang w:val="en-US"/>
        </w:rPr>
        <w:t xml:space="preserve"> (2015) 8.4 Summary &lt;</w:t>
      </w:r>
      <w:r w:rsidRPr="001A5BDA">
        <w:rPr>
          <w:lang w:val="en-US"/>
        </w:rPr>
        <w:t>https://aifs.gov.au/publications/evaluation-2012-family-violence-amendments</w:t>
      </w:r>
      <w:r>
        <w:rPr>
          <w:lang w:val="en-US"/>
        </w:rPr>
        <w:t>&gt;.</w:t>
      </w:r>
    </w:p>
  </w:endnote>
  <w:endnote w:id="664">
    <w:p w14:paraId="1FE94453" w14:textId="77777777" w:rsidR="00F008D2" w:rsidRPr="00A33846" w:rsidRDefault="00F008D2" w:rsidP="000D1D92">
      <w:pPr>
        <w:pStyle w:val="EndnoteText"/>
      </w:pPr>
      <w:r>
        <w:rPr>
          <w:rStyle w:val="EndnoteReference"/>
        </w:rPr>
        <w:endnoteRef/>
      </w:r>
      <w:r>
        <w:t xml:space="preserve"> Family Court of Australia, </w:t>
      </w:r>
      <w:r w:rsidRPr="00A33846">
        <w:rPr>
          <w:i/>
        </w:rPr>
        <w:t>Child abuse allegations</w:t>
      </w:r>
      <w:r>
        <w:t xml:space="preserve"> (1 April 2015) &lt;</w:t>
      </w:r>
      <w:hyperlink r:id="rId160" w:history="1">
        <w:r w:rsidRPr="0028701A">
          <w:rPr>
            <w:rStyle w:val="Hyperlink"/>
          </w:rPr>
          <w:t>http://www.familycourt.gov.au/wps/wcm/connect/fcoaweb/family-law-matters/family-violence/child-abuse-allegations/</w:t>
        </w:r>
      </w:hyperlink>
      <w:r>
        <w:t>&gt;.</w:t>
      </w:r>
    </w:p>
  </w:endnote>
  <w:endnote w:id="665">
    <w:p w14:paraId="52EEE0C5" w14:textId="77777777" w:rsidR="00F008D2" w:rsidRDefault="00F008D2" w:rsidP="000D1D92">
      <w:pPr>
        <w:pStyle w:val="EndnoteText"/>
      </w:pPr>
      <w:r>
        <w:rPr>
          <w:rStyle w:val="EndnoteReference"/>
        </w:rPr>
        <w:endnoteRef/>
      </w:r>
      <w:r>
        <w:t xml:space="preserve"> Patricia Easteal, Attachment 1.1 to Australian Human Rights Commission, </w:t>
      </w:r>
      <w:r>
        <w:rPr>
          <w:i/>
        </w:rPr>
        <w:t xml:space="preserve">National Children’s Commissioner’s examination into children affected by family and domestic violence, </w:t>
      </w:r>
      <w:r>
        <w:t xml:space="preserve">1 May 2015, 75. </w:t>
      </w:r>
    </w:p>
  </w:endnote>
  <w:endnote w:id="666">
    <w:p w14:paraId="3131BD62" w14:textId="77777777" w:rsidR="00F008D2" w:rsidRDefault="00F008D2" w:rsidP="000D1D92">
      <w:pPr>
        <w:pStyle w:val="EndnoteText"/>
      </w:pPr>
      <w:r>
        <w:rPr>
          <w:rStyle w:val="EndnoteReference"/>
        </w:rPr>
        <w:endnoteRef/>
      </w:r>
      <w:r>
        <w:t xml:space="preserve"> </w:t>
      </w:r>
      <w:r w:rsidRPr="00A33846">
        <w:t>Family Court of Australia</w:t>
      </w:r>
      <w:r>
        <w:t xml:space="preserve">, </w:t>
      </w:r>
      <w:r w:rsidRPr="00A33846">
        <w:rPr>
          <w:i/>
        </w:rPr>
        <w:t>Annual Report 2013-14</w:t>
      </w:r>
      <w:r>
        <w:t xml:space="preserve"> (2014) 74.</w:t>
      </w:r>
    </w:p>
  </w:endnote>
  <w:endnote w:id="667">
    <w:p w14:paraId="5C3B2DF2" w14:textId="77777777" w:rsidR="00F008D2" w:rsidRDefault="00F008D2" w:rsidP="000D1D92">
      <w:pPr>
        <w:pStyle w:val="EndnoteText"/>
      </w:pPr>
      <w:r>
        <w:rPr>
          <w:rStyle w:val="EndnoteReference"/>
        </w:rPr>
        <w:endnoteRef/>
      </w:r>
      <w:r>
        <w:t xml:space="preserve"> Patricia Easteal, Attachment 1.1 to Australian Human Rights Commission, </w:t>
      </w:r>
      <w:r>
        <w:rPr>
          <w:i/>
        </w:rPr>
        <w:t xml:space="preserve">National Children’s Commissioner’s examination into children affected by family and domestic violence, </w:t>
      </w:r>
      <w:r>
        <w:t xml:space="preserve">1 May 2015, 75. </w:t>
      </w:r>
    </w:p>
  </w:endnote>
  <w:endnote w:id="668">
    <w:p w14:paraId="655E727B" w14:textId="77777777" w:rsidR="00F008D2" w:rsidRDefault="00F008D2" w:rsidP="000D1D92">
      <w:pPr>
        <w:pStyle w:val="EndnoteText"/>
      </w:pPr>
      <w:r>
        <w:rPr>
          <w:rStyle w:val="EndnoteReference"/>
        </w:rPr>
        <w:endnoteRef/>
      </w:r>
      <w:r>
        <w:t xml:space="preserve"> Patricia Easteal, Attachment 1.1 to Australian Human Rights Commission, </w:t>
      </w:r>
      <w:r>
        <w:rPr>
          <w:i/>
        </w:rPr>
        <w:t xml:space="preserve">National Children’s Commissioner’s examination into children affected by family and domestic violence, </w:t>
      </w:r>
      <w:r>
        <w:t>1 May 2015, 77.</w:t>
      </w:r>
    </w:p>
  </w:endnote>
  <w:endnote w:id="669">
    <w:p w14:paraId="735AC327" w14:textId="77777777" w:rsidR="00F008D2" w:rsidRPr="000035B1" w:rsidRDefault="00F008D2" w:rsidP="000D1D92">
      <w:pPr>
        <w:pStyle w:val="EndnoteText"/>
        <w:rPr>
          <w:lang w:val="en-US"/>
        </w:rPr>
      </w:pPr>
      <w:r>
        <w:rPr>
          <w:rStyle w:val="EndnoteReference"/>
        </w:rPr>
        <w:endnoteRef/>
      </w:r>
      <w:r>
        <w:t xml:space="preserve"> </w:t>
      </w:r>
      <w:r w:rsidRPr="000035B1">
        <w:t>Family Law Council</w:t>
      </w:r>
      <w:r>
        <w:t xml:space="preserve">, Attorney-General’s Department (Cth), </w:t>
      </w:r>
      <w:r w:rsidRPr="00A33846">
        <w:rPr>
          <w:i/>
        </w:rPr>
        <w:t>Interim Report on Families with Complex Needs and the Intersection of the Family Law and Child Protection Systems</w:t>
      </w:r>
      <w:r>
        <w:t xml:space="preserve"> (2015) </w:t>
      </w:r>
      <w:r w:rsidRPr="000035B1">
        <w:t>95.</w:t>
      </w:r>
    </w:p>
  </w:endnote>
  <w:endnote w:id="670">
    <w:p w14:paraId="7BFDB3A3" w14:textId="77777777" w:rsidR="00F008D2" w:rsidRPr="004F1488" w:rsidRDefault="00F008D2" w:rsidP="000D1D92">
      <w:pPr>
        <w:pStyle w:val="EndnoteText"/>
        <w:rPr>
          <w:lang w:val="en-US"/>
        </w:rPr>
      </w:pPr>
      <w:r>
        <w:rPr>
          <w:rStyle w:val="EndnoteReference"/>
        </w:rPr>
        <w:endnoteRef/>
      </w:r>
      <w:r>
        <w:t xml:space="preserve"> </w:t>
      </w:r>
      <w:r w:rsidRPr="000035B1">
        <w:t>Family Law Council</w:t>
      </w:r>
      <w:r>
        <w:t xml:space="preserve">, Attorney-General’s Department (Cth), </w:t>
      </w:r>
      <w:r w:rsidRPr="00212D3C">
        <w:rPr>
          <w:i/>
        </w:rPr>
        <w:t>Interim Report on Families with Complex Needs and the Intersection of the Family Law and Child Protection Systems</w:t>
      </w:r>
      <w:r>
        <w:t xml:space="preserve"> (2015) 33</w:t>
      </w:r>
      <w:r w:rsidRPr="000035B1">
        <w:t>.</w:t>
      </w:r>
    </w:p>
  </w:endnote>
  <w:endnote w:id="671">
    <w:p w14:paraId="4EE179D0" w14:textId="77777777" w:rsidR="00F008D2" w:rsidRPr="00C25DFA" w:rsidRDefault="00F008D2" w:rsidP="000D1D92">
      <w:pPr>
        <w:pStyle w:val="EndnoteText"/>
        <w:rPr>
          <w:lang w:val="en-US"/>
        </w:rPr>
      </w:pPr>
      <w:r>
        <w:rPr>
          <w:rStyle w:val="EndnoteReference"/>
        </w:rPr>
        <w:endnoteRef/>
      </w:r>
      <w:r>
        <w:t xml:space="preserve"> </w:t>
      </w:r>
      <w:r w:rsidRPr="000035B1">
        <w:t>Family Law Council</w:t>
      </w:r>
      <w:r>
        <w:t xml:space="preserve">, Attorney-General’s Department (Cth), </w:t>
      </w:r>
      <w:r w:rsidRPr="00212D3C">
        <w:rPr>
          <w:i/>
        </w:rPr>
        <w:t>Interim Report on Families with Complex Needs and the Intersection of the Family Law and Child Protection Systems</w:t>
      </w:r>
      <w:r>
        <w:t xml:space="preserve"> (2015) </w:t>
      </w:r>
      <w:r w:rsidRPr="004979BB">
        <w:t>107.</w:t>
      </w:r>
    </w:p>
  </w:endnote>
  <w:endnote w:id="672">
    <w:p w14:paraId="3B0AF54F" w14:textId="77777777" w:rsidR="00F008D2" w:rsidRPr="004459EB" w:rsidRDefault="00F008D2" w:rsidP="000D1D92">
      <w:pPr>
        <w:pStyle w:val="EndnoteText"/>
        <w:rPr>
          <w:lang w:val="en-US"/>
        </w:rPr>
      </w:pPr>
      <w:r>
        <w:rPr>
          <w:rStyle w:val="EndnoteReference"/>
        </w:rPr>
        <w:endnoteRef/>
      </w:r>
      <w:r>
        <w:t xml:space="preserve"> </w:t>
      </w:r>
      <w:r w:rsidRPr="000035B1">
        <w:t>Family Law Council</w:t>
      </w:r>
      <w:r>
        <w:t xml:space="preserve">, Attorney-General’s Department (Cth), </w:t>
      </w:r>
      <w:r w:rsidRPr="00212D3C">
        <w:rPr>
          <w:i/>
        </w:rPr>
        <w:t>Interim Report on Families with Complex Needs and the Intersection of the Family Law and Child Protection Systems</w:t>
      </w:r>
      <w:r>
        <w:t xml:space="preserve"> (2015) </w:t>
      </w:r>
      <w:r w:rsidRPr="000035B1">
        <w:t>95.</w:t>
      </w:r>
    </w:p>
  </w:endnote>
  <w:endnote w:id="673">
    <w:p w14:paraId="5776122E" w14:textId="77777777" w:rsidR="00F008D2" w:rsidRDefault="00F008D2" w:rsidP="000D1D92">
      <w:pPr>
        <w:pStyle w:val="EndnoteText"/>
        <w:jc w:val="both"/>
      </w:pPr>
      <w:r>
        <w:rPr>
          <w:rStyle w:val="EndnoteReference"/>
        </w:rPr>
        <w:endnoteRef/>
      </w:r>
      <w:r>
        <w:t xml:space="preserve"> </w:t>
      </w:r>
      <w:r w:rsidRPr="00212D3C">
        <w:t>Family Court of Australia</w:t>
      </w:r>
      <w:r>
        <w:t xml:space="preserve">, </w:t>
      </w:r>
      <w:r w:rsidRPr="00212D3C">
        <w:rPr>
          <w:i/>
        </w:rPr>
        <w:t>Annual Report 2013-14</w:t>
      </w:r>
      <w:r>
        <w:t xml:space="preserve"> (2014) 113.</w:t>
      </w:r>
    </w:p>
  </w:endnote>
  <w:endnote w:id="674">
    <w:p w14:paraId="67A449D2" w14:textId="77777777" w:rsidR="00F008D2" w:rsidRPr="00A33846" w:rsidRDefault="00F008D2" w:rsidP="000D1D92">
      <w:pPr>
        <w:pStyle w:val="EndnoteText"/>
        <w:jc w:val="both"/>
        <w:rPr>
          <w:highlight w:val="yellow"/>
        </w:rPr>
      </w:pPr>
      <w:r w:rsidRPr="002E1342">
        <w:rPr>
          <w:rStyle w:val="EndnoteReference"/>
        </w:rPr>
        <w:endnoteRef/>
      </w:r>
      <w:r w:rsidRPr="002E1342">
        <w:t xml:space="preserve"> Family Court of Australia, </w:t>
      </w:r>
      <w:r w:rsidRPr="002E1342">
        <w:rPr>
          <w:i/>
        </w:rPr>
        <w:t xml:space="preserve">Family Court Bulletin </w:t>
      </w:r>
      <w:r w:rsidRPr="002E1342">
        <w:t xml:space="preserve">(2014) 15 (December) </w:t>
      </w:r>
      <w:r>
        <w:t>4.</w:t>
      </w:r>
    </w:p>
  </w:endnote>
  <w:endnote w:id="675">
    <w:p w14:paraId="24B0F8B3" w14:textId="77777777" w:rsidR="00F008D2" w:rsidRDefault="00F008D2" w:rsidP="000D1D92">
      <w:pPr>
        <w:pStyle w:val="EndnoteText"/>
      </w:pPr>
      <w:r>
        <w:rPr>
          <w:rStyle w:val="EndnoteReference"/>
        </w:rPr>
        <w:endnoteRef/>
      </w:r>
      <w:r>
        <w:t xml:space="preserve"> </w:t>
      </w:r>
      <w:r w:rsidRPr="00207BA7">
        <w:t>No funding was available for this project.</w:t>
      </w:r>
    </w:p>
  </w:endnote>
  <w:endnote w:id="676">
    <w:p w14:paraId="3441A4B9" w14:textId="77777777" w:rsidR="00F008D2" w:rsidRPr="001C6238" w:rsidRDefault="00F008D2" w:rsidP="000D1D92">
      <w:pPr>
        <w:pStyle w:val="EndnoteText"/>
        <w:jc w:val="both"/>
        <w:rPr>
          <w:highlight w:val="yellow"/>
        </w:rPr>
      </w:pPr>
      <w:r w:rsidRPr="005A22A0">
        <w:rPr>
          <w:rStyle w:val="EndnoteReference"/>
        </w:rPr>
        <w:endnoteRef/>
      </w:r>
      <w:r w:rsidRPr="005A22A0">
        <w:t xml:space="preserve"> </w:t>
      </w:r>
      <w:r w:rsidRPr="00E016A1">
        <w:t>X.</w:t>
      </w:r>
      <w:r>
        <w:t xml:space="preserve"> </w:t>
      </w:r>
      <w:r w:rsidRPr="00E016A1">
        <w:t>Lin, C</w:t>
      </w:r>
      <w:r>
        <w:t>.</w:t>
      </w:r>
      <w:r w:rsidRPr="00E016A1">
        <w:t xml:space="preserve"> Bryant, J</w:t>
      </w:r>
      <w:r>
        <w:t>.</w:t>
      </w:r>
      <w:r w:rsidRPr="00E016A1">
        <w:t xml:space="preserve"> Boldero and B.</w:t>
      </w:r>
      <w:r>
        <w:t xml:space="preserve"> </w:t>
      </w:r>
      <w:r w:rsidRPr="00E016A1">
        <w:t>Dow, ‘Older parent-child relationships from the older person’s perspective: A comparison of Australian-born people and Chinese immigrant, (Paper presented at the 13</w:t>
      </w:r>
      <w:r w:rsidRPr="00E016A1">
        <w:rPr>
          <w:vertAlign w:val="superscript"/>
        </w:rPr>
        <w:t>th</w:t>
      </w:r>
      <w:r w:rsidRPr="00E016A1">
        <w:t xml:space="preserve"> Australian Institute of Family Studies Conference), Melbourne, 30 July 2014, Slide 9.</w:t>
      </w:r>
    </w:p>
  </w:endnote>
  <w:endnote w:id="677">
    <w:p w14:paraId="555921CD" w14:textId="77777777" w:rsidR="00F008D2" w:rsidRPr="0038145B" w:rsidRDefault="00F008D2" w:rsidP="000D1D92">
      <w:pPr>
        <w:pStyle w:val="EndnoteText"/>
        <w:rPr>
          <w:lang w:val="en-US"/>
        </w:rPr>
      </w:pPr>
      <w:r>
        <w:rPr>
          <w:rStyle w:val="EndnoteReference"/>
        </w:rPr>
        <w:endnoteRef/>
      </w:r>
      <w:r>
        <w:t xml:space="preserve"> </w:t>
      </w:r>
      <w:r w:rsidRPr="0038145B">
        <w:t xml:space="preserve">Family Court of Australia </w:t>
      </w:r>
      <w:r>
        <w:t>and</w:t>
      </w:r>
      <w:r w:rsidRPr="0038145B">
        <w:t xml:space="preserve"> Federal Circuit Court of Australia</w:t>
      </w:r>
      <w:r>
        <w:t>,</w:t>
      </w:r>
      <w:r w:rsidRPr="0038145B">
        <w:t xml:space="preserve"> </w:t>
      </w:r>
      <w:r w:rsidRPr="00A33846">
        <w:rPr>
          <w:i/>
        </w:rPr>
        <w:t>Family Court of Australia &amp; Federal Circuit Court of Australia – Family Violence Plan 2014–16</w:t>
      </w:r>
      <w:r>
        <w:t xml:space="preserve"> (2014) </w:t>
      </w:r>
      <w:r w:rsidRPr="0038145B">
        <w:t>2.</w:t>
      </w:r>
    </w:p>
  </w:endnote>
  <w:endnote w:id="678">
    <w:p w14:paraId="57729215" w14:textId="77777777" w:rsidR="00F008D2" w:rsidRPr="00AE0DBF" w:rsidRDefault="00F008D2" w:rsidP="000D1D92">
      <w:pPr>
        <w:pStyle w:val="EndnoteText"/>
      </w:pPr>
      <w:r>
        <w:rPr>
          <w:rStyle w:val="EndnoteReference"/>
        </w:rPr>
        <w:endnoteRef/>
      </w:r>
      <w:r>
        <w:t xml:space="preserve"> Australian Bureau of Statistics, ‘ABS releases a foundation for improved family and domestic </w:t>
      </w:r>
      <w:r w:rsidRPr="00AE0DBF">
        <w:t>violence statistics’ (Media Release, 139/2014, 30 September 2014).</w:t>
      </w:r>
    </w:p>
  </w:endnote>
  <w:endnote w:id="679">
    <w:p w14:paraId="615B1CF3" w14:textId="77777777" w:rsidR="00F008D2" w:rsidRPr="00AE0DBF" w:rsidRDefault="00F008D2" w:rsidP="000D1D92">
      <w:pPr>
        <w:pStyle w:val="EndnoteText"/>
      </w:pPr>
      <w:r w:rsidRPr="00AE0DBF">
        <w:rPr>
          <w:rStyle w:val="EndnoteReference"/>
        </w:rPr>
        <w:endnoteRef/>
      </w:r>
      <w:r w:rsidRPr="00AE0DBF">
        <w:t xml:space="preserve"> Email from ABS National Centre for Crime and Justice Statistics to Australian Human Rights Commission, 17 March 2015.</w:t>
      </w:r>
    </w:p>
  </w:endnote>
  <w:endnote w:id="680">
    <w:p w14:paraId="7F7270A3" w14:textId="77777777" w:rsidR="00F008D2" w:rsidRDefault="00F008D2" w:rsidP="000D1D92">
      <w:pPr>
        <w:pStyle w:val="EndnoteText"/>
      </w:pPr>
      <w:r w:rsidRPr="00AE0DBF">
        <w:rPr>
          <w:rStyle w:val="EndnoteReference"/>
        </w:rPr>
        <w:endnoteRef/>
      </w:r>
      <w:r w:rsidRPr="00AE0DBF">
        <w:t xml:space="preserve"> Email from ABS National Centre for Crime and Justice Statistics to Australian Human Rights Commission</w:t>
      </w:r>
      <w:r>
        <w:t>, 17 March 2015.</w:t>
      </w:r>
    </w:p>
  </w:endnote>
  <w:endnote w:id="681">
    <w:p w14:paraId="64581FAA" w14:textId="77777777" w:rsidR="00F008D2" w:rsidRDefault="00F008D2" w:rsidP="000D1D92">
      <w:pPr>
        <w:pStyle w:val="EndnoteText"/>
      </w:pPr>
      <w:r>
        <w:rPr>
          <w:rStyle w:val="EndnoteReference"/>
        </w:rPr>
        <w:endnoteRef/>
      </w:r>
      <w:r>
        <w:t xml:space="preserve"> Australian Bureau of Statistics, ‘</w:t>
      </w:r>
      <w:r w:rsidRPr="002E1342">
        <w:t>Recorded Crime - Victims, Australia, 2014</w:t>
      </w:r>
      <w:r>
        <w:t xml:space="preserve"> – Explanatory Notes’ (</w:t>
      </w:r>
      <w:r w:rsidRPr="002E1342">
        <w:t>4510.0</w:t>
      </w:r>
      <w:r>
        <w:t>, 22 July 2015) [60] &lt;</w:t>
      </w:r>
      <w:hyperlink r:id="rId161" w:history="1">
        <w:r w:rsidRPr="00EA5D8E">
          <w:rPr>
            <w:rStyle w:val="Hyperlink"/>
          </w:rPr>
          <w:t>http://www.abs.gov.au/AUSSTATS/abs@.nsf/Latestproducts/4510.0Explanatory%20Notes12014?opendocument&amp;tabname=Notes&amp;prodno=4510.0&amp;issue=2014&amp;num=&amp;view</w:t>
        </w:r>
      </w:hyperlink>
      <w:r>
        <w:t>&gt;.</w:t>
      </w:r>
    </w:p>
  </w:endnote>
  <w:endnote w:id="682">
    <w:p w14:paraId="23C39FBD" w14:textId="77777777" w:rsidR="00F008D2" w:rsidRPr="00A95C86" w:rsidRDefault="00F008D2" w:rsidP="000D1D92">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4.</w:t>
      </w:r>
    </w:p>
  </w:endnote>
  <w:endnote w:id="683">
    <w:p w14:paraId="22D3ED7A" w14:textId="77777777" w:rsidR="00F008D2" w:rsidRPr="00A95C86" w:rsidRDefault="00F008D2" w:rsidP="000D1D92">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4</w:t>
      </w:r>
      <w:r w:rsidRPr="00E4369B">
        <w:t>.</w:t>
      </w:r>
    </w:p>
  </w:endnote>
  <w:endnote w:id="684">
    <w:p w14:paraId="374A36AA" w14:textId="77777777" w:rsidR="00F008D2" w:rsidRPr="00E7430E" w:rsidRDefault="00F008D2" w:rsidP="000D1D92">
      <w:pPr>
        <w:pStyle w:val="EndnoteText"/>
        <w:jc w:val="both"/>
        <w:rPr>
          <w:rFonts w:cs="Arial"/>
        </w:rPr>
      </w:pPr>
      <w:r w:rsidRPr="00E7430E">
        <w:rPr>
          <w:rStyle w:val="EndnoteReference"/>
          <w:rFonts w:cs="Arial"/>
        </w:rPr>
        <w:endnoteRef/>
      </w:r>
      <w:r w:rsidRPr="00E7430E">
        <w:rPr>
          <w:rFonts w:cs="Arial"/>
        </w:rPr>
        <w:t xml:space="preserve"> </w:t>
      </w:r>
      <w:r w:rsidRPr="00212D3C">
        <w:rPr>
          <w:rFonts w:cs="Arial"/>
        </w:rPr>
        <w:t xml:space="preserve">N Stanley, </w:t>
      </w:r>
      <w:r w:rsidRPr="00212D3C">
        <w:rPr>
          <w:rFonts w:cs="Arial"/>
          <w:i/>
          <w:iCs/>
        </w:rPr>
        <w:t xml:space="preserve">Children Experiencing Domestic Violence: A Research Review </w:t>
      </w:r>
      <w:r w:rsidRPr="00212D3C">
        <w:rPr>
          <w:rFonts w:cs="Arial"/>
          <w:iCs/>
        </w:rPr>
        <w:t>(</w:t>
      </w:r>
      <w:r w:rsidRPr="00212D3C">
        <w:rPr>
          <w:rFonts w:cs="Arial"/>
        </w:rPr>
        <w:t xml:space="preserve">Dartington: </w:t>
      </w:r>
      <w:r w:rsidRPr="00212D3C">
        <w:rPr>
          <w:rFonts w:cs="Arial"/>
          <w:bCs/>
        </w:rPr>
        <w:t xml:space="preserve">Research in Practice, </w:t>
      </w:r>
      <w:r w:rsidRPr="00212D3C">
        <w:rPr>
          <w:rFonts w:cs="Arial"/>
        </w:rPr>
        <w:t xml:space="preserve">2011) </w:t>
      </w:r>
      <w:r w:rsidRPr="00E7430E">
        <w:rPr>
          <w:rFonts w:cs="Arial"/>
        </w:rPr>
        <w:t>42.</w:t>
      </w:r>
    </w:p>
  </w:endnote>
  <w:endnote w:id="685">
    <w:p w14:paraId="351FED54" w14:textId="77777777" w:rsidR="00F008D2" w:rsidRPr="00D63ED6" w:rsidRDefault="00F008D2" w:rsidP="000D1D92">
      <w:pPr>
        <w:pStyle w:val="EndnoteText"/>
      </w:pPr>
      <w:r w:rsidRPr="001C7C9D">
        <w:rPr>
          <w:rStyle w:val="EndnoteReference"/>
        </w:rPr>
        <w:endnoteRef/>
      </w:r>
      <w:r w:rsidRPr="001C7C9D">
        <w:t xml:space="preserve"> Centre on the Developing Child, Harvard University, </w:t>
      </w:r>
      <w:r w:rsidRPr="001C7C9D">
        <w:rPr>
          <w:i/>
        </w:rPr>
        <w:t xml:space="preserve">InBrief: The Impact of Early Adversity on Children’s Development </w:t>
      </w:r>
      <w:r w:rsidRPr="001C7C9D">
        <w:t>(2007) &lt;</w:t>
      </w:r>
      <w:hyperlink r:id="rId162" w:history="1">
        <w:r w:rsidRPr="001C7C9D">
          <w:rPr>
            <w:rStyle w:val="Hyperlink"/>
          </w:rPr>
          <w:t>http://developingchild.harvard.edu/resources/inbrief-the-impact-of-early-adversity-on-childrens-development/</w:t>
        </w:r>
      </w:hyperlink>
      <w:r w:rsidRPr="001C7C9D">
        <w:t>&gt;.</w:t>
      </w:r>
    </w:p>
  </w:endnote>
  <w:endnote w:id="686">
    <w:p w14:paraId="24E073A1" w14:textId="77777777" w:rsidR="00F008D2" w:rsidRDefault="00F008D2" w:rsidP="000D1D92">
      <w:pPr>
        <w:pStyle w:val="EndnoteText"/>
        <w:jc w:val="both"/>
      </w:pPr>
      <w:r>
        <w:rPr>
          <w:rStyle w:val="EndnoteReference"/>
        </w:rPr>
        <w:endnoteRef/>
      </w:r>
      <w:r>
        <w:t xml:space="preserve"> Kristy McKellar, Submission 59 to Australian Human Rights Commission, </w:t>
      </w:r>
      <w:r>
        <w:rPr>
          <w:i/>
        </w:rPr>
        <w:t xml:space="preserve">National Children’s Commissioner’s examination into children affected by family and domestic violence, </w:t>
      </w:r>
      <w:r>
        <w:t xml:space="preserve">13 September </w:t>
      </w:r>
      <w:r w:rsidRPr="001071D7">
        <w:t>2015</w:t>
      </w:r>
      <w:r>
        <w:rPr>
          <w:lang w:val="en-US"/>
        </w:rPr>
        <w:t>.</w:t>
      </w:r>
    </w:p>
  </w:endnote>
  <w:endnote w:id="687">
    <w:p w14:paraId="51C09F3C" w14:textId="77777777" w:rsidR="00F008D2" w:rsidRDefault="00F008D2" w:rsidP="000D1D92">
      <w:pPr>
        <w:autoSpaceDE w:val="0"/>
        <w:autoSpaceDN w:val="0"/>
        <w:adjustRightInd w:val="0"/>
        <w:spacing w:before="0" w:after="0"/>
      </w:pPr>
      <w:r>
        <w:rPr>
          <w:rStyle w:val="EndnoteReference"/>
        </w:rPr>
        <w:endnoteRef/>
      </w:r>
      <w:r>
        <w:t xml:space="preserve"> </w:t>
      </w:r>
      <w:r>
        <w:rPr>
          <w:rFonts w:ascii="ArialMT" w:hAnsi="ArialMT" w:cs="ArialMT"/>
          <w:sz w:val="20"/>
          <w:szCs w:val="20"/>
        </w:rPr>
        <w:t xml:space="preserve">Australian Institute of Health and Welfare, </w:t>
      </w:r>
      <w:r w:rsidRPr="00A33846">
        <w:rPr>
          <w:rFonts w:ascii="ArialMT" w:hAnsi="ArialMT" w:cs="ArialMT"/>
          <w:i/>
          <w:sz w:val="20"/>
          <w:szCs w:val="20"/>
        </w:rPr>
        <w:t>Screening for domestic violence during pregnancy: options for future reporting in the National Perinatal Data Collection</w:t>
      </w:r>
      <w:r>
        <w:rPr>
          <w:rFonts w:ascii="ArialMT" w:hAnsi="ArialMT" w:cs="ArialMT"/>
          <w:sz w:val="20"/>
          <w:szCs w:val="20"/>
        </w:rPr>
        <w:t xml:space="preserve"> (2015) </w:t>
      </w:r>
      <w:r w:rsidRPr="00A33846">
        <w:rPr>
          <w:rFonts w:ascii="ArialMT" w:hAnsi="ArialMT" w:cs="ArialMT"/>
          <w:sz w:val="20"/>
          <w:szCs w:val="20"/>
        </w:rPr>
        <w:t>2.</w:t>
      </w:r>
    </w:p>
  </w:endnote>
  <w:endnote w:id="688">
    <w:p w14:paraId="65A9A007" w14:textId="77777777" w:rsidR="00F008D2" w:rsidRPr="00FB4EC6" w:rsidRDefault="00F008D2" w:rsidP="000D1D92">
      <w:pPr>
        <w:autoSpaceDE w:val="0"/>
        <w:autoSpaceDN w:val="0"/>
        <w:adjustRightInd w:val="0"/>
        <w:spacing w:before="0" w:after="0"/>
        <w:rPr>
          <w:lang w:val="en-US"/>
        </w:rPr>
      </w:pPr>
      <w:r>
        <w:rPr>
          <w:rStyle w:val="EndnoteReference"/>
        </w:rPr>
        <w:endnoteRef/>
      </w:r>
      <w:r>
        <w:t xml:space="preserve"> </w:t>
      </w:r>
      <w:r>
        <w:rPr>
          <w:rFonts w:ascii="ArialMT" w:hAnsi="ArialMT" w:cs="ArialMT"/>
          <w:sz w:val="20"/>
          <w:szCs w:val="20"/>
        </w:rPr>
        <w:t xml:space="preserve">Australian Institute of Health and Welfare, </w:t>
      </w:r>
      <w:r w:rsidRPr="00212D3C">
        <w:rPr>
          <w:rFonts w:ascii="ArialMT" w:hAnsi="ArialMT" w:cs="ArialMT"/>
          <w:i/>
          <w:sz w:val="20"/>
          <w:szCs w:val="20"/>
        </w:rPr>
        <w:t>Screening for domestic violence during pregnancy: options for future reporting in the National Perinatal Data Collection</w:t>
      </w:r>
      <w:r>
        <w:rPr>
          <w:rFonts w:ascii="ArialMT" w:hAnsi="ArialMT" w:cs="ArialMT"/>
          <w:sz w:val="20"/>
          <w:szCs w:val="20"/>
        </w:rPr>
        <w:t xml:space="preserve"> (2015) </w:t>
      </w:r>
      <w:r w:rsidRPr="00212D3C">
        <w:rPr>
          <w:rFonts w:ascii="ArialMT" w:hAnsi="ArialMT" w:cs="ArialMT"/>
          <w:sz w:val="20"/>
          <w:szCs w:val="20"/>
        </w:rPr>
        <w:t>2.</w:t>
      </w:r>
    </w:p>
  </w:endnote>
  <w:endnote w:id="689">
    <w:p w14:paraId="376D2793" w14:textId="77777777" w:rsidR="00F008D2" w:rsidRPr="000F0C53" w:rsidRDefault="00F008D2" w:rsidP="000D1D92">
      <w:pPr>
        <w:pStyle w:val="EndnoteText"/>
      </w:pPr>
      <w:r>
        <w:rPr>
          <w:rStyle w:val="EndnoteReference"/>
        </w:rPr>
        <w:endnoteRef/>
      </w:r>
      <w:r>
        <w:t xml:space="preserve"> </w:t>
      </w:r>
      <w:r w:rsidRPr="000F0C53">
        <w:t>Email from Sharon Cooke to Commissioner Mitchell, National Children’s Commissioner,16 August 2015.</w:t>
      </w:r>
    </w:p>
  </w:endnote>
  <w:endnote w:id="690">
    <w:p w14:paraId="719415FB" w14:textId="77777777" w:rsidR="00F008D2" w:rsidRPr="003A70C5" w:rsidRDefault="00F008D2" w:rsidP="000D1D92">
      <w:pPr>
        <w:pStyle w:val="EndnoteText"/>
        <w:rPr>
          <w:lang w:val="en-US"/>
        </w:rPr>
      </w:pPr>
      <w:r>
        <w:rPr>
          <w:rStyle w:val="EndnoteReference"/>
        </w:rPr>
        <w:endnoteRef/>
      </w:r>
      <w:r>
        <w:t xml:space="preserve"> </w:t>
      </w:r>
      <w:r w:rsidRPr="0082462D">
        <w:t>Royal Australian and New Zealand College of Psychiatrists (RANZCP)</w:t>
      </w:r>
      <w:r>
        <w:t xml:space="preserve">, </w:t>
      </w:r>
      <w:r w:rsidRPr="00422F51">
        <w:t xml:space="preserve">Submission </w:t>
      </w:r>
      <w:r>
        <w:t>No 37</w:t>
      </w:r>
      <w:r w:rsidRPr="00422F51">
        <w:t xml:space="preserve"> to Australian Human Rights Commission, </w:t>
      </w:r>
      <w:r w:rsidRPr="0082462D">
        <w:rPr>
          <w:i/>
        </w:rPr>
        <w:t>National Children’s Commissioner’s examination into children affected by family and domestic violence</w:t>
      </w:r>
      <w:r>
        <w:t xml:space="preserve">, 17 June </w:t>
      </w:r>
      <w:r w:rsidRPr="00422F51">
        <w:t xml:space="preserve">2015, </w:t>
      </w:r>
      <w:r>
        <w:t>3</w:t>
      </w:r>
      <w:r w:rsidRPr="00422F51">
        <w:t>.</w:t>
      </w:r>
    </w:p>
  </w:endnote>
  <w:endnote w:id="691">
    <w:p w14:paraId="591C2762" w14:textId="77777777" w:rsidR="00F008D2" w:rsidRPr="000F7D43" w:rsidRDefault="00F008D2" w:rsidP="000D1D92">
      <w:pPr>
        <w:autoSpaceDE w:val="0"/>
        <w:autoSpaceDN w:val="0"/>
        <w:adjustRightInd w:val="0"/>
        <w:spacing w:before="0" w:after="0"/>
        <w:rPr>
          <w:rFonts w:ascii="ArialMT" w:hAnsi="ArialMT" w:cs="ArialMT"/>
          <w:sz w:val="20"/>
          <w:szCs w:val="20"/>
        </w:rPr>
      </w:pPr>
      <w:r>
        <w:rPr>
          <w:rStyle w:val="EndnoteReference"/>
        </w:rPr>
        <w:endnoteRef/>
      </w:r>
      <w:r>
        <w:t xml:space="preserve"> </w:t>
      </w:r>
      <w:r>
        <w:rPr>
          <w:rFonts w:ascii="ArialMT" w:hAnsi="ArialMT" w:cs="ArialMT"/>
          <w:sz w:val="20"/>
          <w:szCs w:val="20"/>
        </w:rPr>
        <w:t xml:space="preserve">Australian Institute of Health and Welfare, </w:t>
      </w:r>
      <w:r w:rsidRPr="00212D3C">
        <w:rPr>
          <w:rFonts w:ascii="ArialMT" w:hAnsi="ArialMT" w:cs="ArialMT"/>
          <w:i/>
          <w:sz w:val="20"/>
          <w:szCs w:val="20"/>
        </w:rPr>
        <w:t>Screening for domestic violence during pregnancy: options for future reporting in the National Perinatal Data Collection</w:t>
      </w:r>
      <w:r>
        <w:rPr>
          <w:rFonts w:ascii="ArialMT" w:hAnsi="ArialMT" w:cs="ArialMT"/>
          <w:sz w:val="20"/>
          <w:szCs w:val="20"/>
        </w:rPr>
        <w:t xml:space="preserve"> (2015)</w:t>
      </w:r>
      <w:r w:rsidRPr="00212D3C">
        <w:rPr>
          <w:rFonts w:ascii="ArialMT" w:hAnsi="ArialMT" w:cs="ArialMT"/>
          <w:sz w:val="20"/>
          <w:szCs w:val="20"/>
        </w:rPr>
        <w:t>.</w:t>
      </w:r>
    </w:p>
  </w:endnote>
  <w:endnote w:id="692">
    <w:p w14:paraId="281FB557" w14:textId="77777777" w:rsidR="00F008D2" w:rsidRPr="005E5127" w:rsidRDefault="00F008D2" w:rsidP="000D1D92">
      <w:pPr>
        <w:pStyle w:val="EndnoteText"/>
        <w:jc w:val="both"/>
        <w:rPr>
          <w:lang w:val="en-US"/>
        </w:rPr>
      </w:pPr>
      <w:r>
        <w:rPr>
          <w:rStyle w:val="EndnoteReference"/>
        </w:rPr>
        <w:endnoteRef/>
      </w:r>
      <w:r>
        <w:t xml:space="preserve"> </w:t>
      </w:r>
      <w:r>
        <w:rPr>
          <w:rFonts w:cs="Arial"/>
        </w:rPr>
        <w:t xml:space="preserve">Emma Gierschick, Submission No 50 </w:t>
      </w:r>
      <w:r>
        <w:t xml:space="preserve">to Australian Human Rights Commission, </w:t>
      </w:r>
      <w:r>
        <w:rPr>
          <w:i/>
        </w:rPr>
        <w:t xml:space="preserve">National Children’s Commissioner’s examination into children affected by family and domestic violence, </w:t>
      </w:r>
      <w:r w:rsidRPr="00A33846">
        <w:t xml:space="preserve">27 July </w:t>
      </w:r>
      <w:r w:rsidRPr="00523AB5">
        <w:t>2015</w:t>
      </w:r>
      <w:r>
        <w:t xml:space="preserve">, </w:t>
      </w:r>
      <w:r>
        <w:rPr>
          <w:rFonts w:cs="Arial"/>
        </w:rPr>
        <w:t>31.</w:t>
      </w:r>
    </w:p>
  </w:endnote>
  <w:endnote w:id="693">
    <w:p w14:paraId="637CA32B" w14:textId="77777777" w:rsidR="00F008D2" w:rsidRPr="00C570B6" w:rsidRDefault="00F008D2" w:rsidP="000D1D92">
      <w:pPr>
        <w:pStyle w:val="EndnoteText"/>
        <w:rPr>
          <w:lang w:val="en-US"/>
        </w:rPr>
      </w:pPr>
      <w:r>
        <w:rPr>
          <w:rStyle w:val="EndnoteReference"/>
        </w:rPr>
        <w:endnoteRef/>
      </w:r>
      <w:r>
        <w:t xml:space="preserve"> </w:t>
      </w:r>
      <w:r>
        <w:rPr>
          <w:rFonts w:cs="Arial"/>
        </w:rPr>
        <w:t>Department for Child Protection and Family Support (WA),</w:t>
      </w:r>
      <w:r>
        <w:t xml:space="preserve"> </w:t>
      </w:r>
      <w:r>
        <w:rPr>
          <w:rFonts w:cs="Arial"/>
        </w:rPr>
        <w:t xml:space="preserve">Submission No 34 </w:t>
      </w:r>
      <w:r>
        <w:t xml:space="preserve">to Australian Human Rights Commission, </w:t>
      </w:r>
      <w:r>
        <w:rPr>
          <w:i/>
        </w:rPr>
        <w:t xml:space="preserve">National Children’s Commissioner’s examination into children affected by family and domestic violence, </w:t>
      </w:r>
      <w:r>
        <w:t xml:space="preserve">16 June 2015, </w:t>
      </w:r>
      <w:r>
        <w:rPr>
          <w:rFonts w:cs="Arial"/>
        </w:rPr>
        <w:t xml:space="preserve">2; </w:t>
      </w:r>
      <w:r w:rsidRPr="0082462D">
        <w:t>Royal Australian and New Zealand College of Psychiatrists (RANZCP)</w:t>
      </w:r>
      <w:r>
        <w:t xml:space="preserve">, </w:t>
      </w:r>
      <w:r w:rsidRPr="00422F51">
        <w:t>Submission</w:t>
      </w:r>
      <w:r>
        <w:t xml:space="preserve"> No</w:t>
      </w:r>
      <w:r w:rsidRPr="00422F51">
        <w:t xml:space="preserve"> </w:t>
      </w:r>
      <w:r>
        <w:t>37</w:t>
      </w:r>
      <w:r w:rsidRPr="00422F51">
        <w:t xml:space="preserve"> to Australian Human Rights Commission, </w:t>
      </w:r>
      <w:r w:rsidRPr="0082462D">
        <w:rPr>
          <w:i/>
        </w:rPr>
        <w:t>National Children’s Commissioner’s examination into children affected by family and domestic violence</w:t>
      </w:r>
      <w:r>
        <w:t xml:space="preserve">, 17 June </w:t>
      </w:r>
      <w:r w:rsidRPr="00422F51">
        <w:t xml:space="preserve">2015, </w:t>
      </w:r>
      <w:r>
        <w:t xml:space="preserve">5; </w:t>
      </w:r>
      <w:r w:rsidRPr="004079F2">
        <w:t>Melbourne Research Alliance to End Violence Against Women and their Children, University of Melbourne</w:t>
      </w:r>
      <w:r>
        <w:t>,</w:t>
      </w:r>
      <w:r w:rsidRPr="005B2A9B">
        <w:t xml:space="preserve"> </w:t>
      </w:r>
      <w:r>
        <w:t xml:space="preserve">Submission No 18 </w:t>
      </w:r>
      <w:r w:rsidRPr="00422F51">
        <w:t xml:space="preserve">to Australian Human Rights Commission, </w:t>
      </w:r>
      <w:r w:rsidRPr="0082462D">
        <w:rPr>
          <w:i/>
        </w:rPr>
        <w:t>National Children’s Commissioner’s examination into children affected by family and domestic violence</w:t>
      </w:r>
      <w:r>
        <w:t>, 9 June 2015</w:t>
      </w:r>
      <w:r w:rsidRPr="00422F51">
        <w:t>,</w:t>
      </w:r>
      <w:r>
        <w:rPr>
          <w:lang w:val="en-US"/>
        </w:rPr>
        <w:t xml:space="preserve"> 10.</w:t>
      </w:r>
    </w:p>
  </w:endnote>
  <w:endnote w:id="694">
    <w:p w14:paraId="3F8C9D49" w14:textId="77777777" w:rsidR="00F008D2" w:rsidRPr="00915E85" w:rsidRDefault="00F008D2" w:rsidP="000D1D92">
      <w:pPr>
        <w:pStyle w:val="EndnoteText"/>
        <w:rPr>
          <w:lang w:val="en-US"/>
        </w:rPr>
      </w:pPr>
      <w:r>
        <w:rPr>
          <w:rStyle w:val="EndnoteReference"/>
        </w:rPr>
        <w:endnoteRef/>
      </w:r>
      <w:r>
        <w:t xml:space="preserve"> Families</w:t>
      </w:r>
      <w:r w:rsidRPr="0051084E">
        <w:t xml:space="preserve"> Australia</w:t>
      </w:r>
      <w:r>
        <w:t xml:space="preserve">, </w:t>
      </w:r>
      <w:r w:rsidRPr="008029D3">
        <w:rPr>
          <w:lang w:val="en-US"/>
        </w:rPr>
        <w:t xml:space="preserve">Submission </w:t>
      </w:r>
      <w:r>
        <w:rPr>
          <w:lang w:val="en-US"/>
        </w:rPr>
        <w:t>No 22</w:t>
      </w:r>
      <w:r w:rsidRPr="008029D3">
        <w:rPr>
          <w:lang w:val="en-US"/>
        </w:rPr>
        <w:t xml:space="preserve"> </w:t>
      </w:r>
      <w:r w:rsidRPr="008029D3">
        <w:t xml:space="preserve">to Australian Human Rights Commission, </w:t>
      </w:r>
      <w:r w:rsidRPr="008029D3">
        <w:rPr>
          <w:i/>
        </w:rPr>
        <w:t>National Children’s Commissioner’s examination into children affected b</w:t>
      </w:r>
      <w:r>
        <w:rPr>
          <w:i/>
        </w:rPr>
        <w:t>y family and domestic violence</w:t>
      </w:r>
      <w:r>
        <w:t xml:space="preserve">, 15 June 2015, 5–6. </w:t>
      </w:r>
    </w:p>
  </w:endnote>
  <w:endnote w:id="695">
    <w:p w14:paraId="107ACC3E" w14:textId="77777777" w:rsidR="00F008D2" w:rsidRDefault="00F008D2" w:rsidP="000D1D92">
      <w:pPr>
        <w:pStyle w:val="EndnoteText"/>
      </w:pPr>
      <w:r>
        <w:rPr>
          <w:rStyle w:val="EndnoteReference"/>
        </w:rPr>
        <w:endnoteRef/>
      </w:r>
      <w:r>
        <w:t xml:space="preserve"> </w:t>
      </w:r>
      <w:r w:rsidRPr="001D4516">
        <w:t>Australian Association for Infant Mental Health, West Australian Branch</w:t>
      </w:r>
      <w:r>
        <w:t xml:space="preserve">, </w:t>
      </w:r>
      <w:r w:rsidRPr="00422F51">
        <w:t xml:space="preserve">Submission </w:t>
      </w:r>
      <w:r>
        <w:t>No 58</w:t>
      </w:r>
      <w:r w:rsidRPr="00422F51">
        <w:t xml:space="preserve"> to Australian Human Rights Commission, </w:t>
      </w:r>
      <w:r w:rsidRPr="0082462D">
        <w:rPr>
          <w:i/>
        </w:rPr>
        <w:t>National Children’s Commissioner’s examination into children affected by family and domestic violence</w:t>
      </w:r>
      <w:r>
        <w:t xml:space="preserve">, 28 August </w:t>
      </w:r>
      <w:r w:rsidRPr="00422F51">
        <w:t xml:space="preserve">2015, </w:t>
      </w:r>
      <w:r>
        <w:t>2</w:t>
      </w:r>
      <w:r w:rsidRPr="00422F51">
        <w:t>.</w:t>
      </w:r>
    </w:p>
  </w:endnote>
  <w:endnote w:id="696">
    <w:p w14:paraId="51FA2E61" w14:textId="77777777" w:rsidR="00F008D2" w:rsidRPr="00162A9C" w:rsidRDefault="00F008D2" w:rsidP="000D1D92">
      <w:pPr>
        <w:pStyle w:val="EndnoteText"/>
        <w:rPr>
          <w:lang w:val="en-US"/>
        </w:rPr>
      </w:pPr>
      <w:r>
        <w:rPr>
          <w:rStyle w:val="EndnoteReference"/>
        </w:rPr>
        <w:endnoteRef/>
      </w:r>
      <w:r>
        <w:t xml:space="preserve"> </w:t>
      </w:r>
      <w:r w:rsidRPr="000079F7">
        <w:t>Belinda Fehlberg</w:t>
      </w:r>
      <w:r>
        <w:t>,</w:t>
      </w:r>
      <w:r w:rsidRPr="005B2A9B">
        <w:t xml:space="preserve"> </w:t>
      </w:r>
      <w:r>
        <w:t xml:space="preserve">Attachment 2.1 </w:t>
      </w:r>
      <w:r w:rsidRPr="00422F51">
        <w:t xml:space="preserve">to Australian Human Rights Commission, </w:t>
      </w:r>
      <w:r w:rsidRPr="0082462D">
        <w:rPr>
          <w:i/>
        </w:rPr>
        <w:t>National Children’s Commissioner’s examination into children affected by family and domestic violence</w:t>
      </w:r>
      <w:r>
        <w:t>, 8 May 2015</w:t>
      </w:r>
      <w:r w:rsidRPr="00422F51">
        <w:t>,</w:t>
      </w:r>
      <w:r>
        <w:rPr>
          <w:lang w:val="en-US"/>
        </w:rPr>
        <w:t xml:space="preserve"> 152.</w:t>
      </w:r>
    </w:p>
  </w:endnote>
  <w:endnote w:id="697">
    <w:p w14:paraId="05D22080" w14:textId="77777777" w:rsidR="00F008D2" w:rsidRDefault="00F008D2" w:rsidP="000D1D92">
      <w:pPr>
        <w:pStyle w:val="EndnoteText"/>
      </w:pPr>
      <w:r>
        <w:rPr>
          <w:rStyle w:val="EndnoteReference"/>
        </w:rPr>
        <w:endnoteRef/>
      </w:r>
      <w:r>
        <w:t xml:space="preserve"> </w:t>
      </w:r>
      <w:r w:rsidRPr="00132FF5">
        <w:t>Australian Bureau of Statistics, ‘Recorded Crime - Victims, Australia, 2013 – Explanator</w:t>
      </w:r>
      <w:r>
        <w:t>y Notes’ 4510.0, 26 June 2014, 2 &lt;</w:t>
      </w:r>
      <w:hyperlink r:id="rId163" w:history="1">
        <w:r w:rsidRPr="00EA5D8E">
          <w:rPr>
            <w:rStyle w:val="Hyperlink"/>
          </w:rPr>
          <w:t>http://www.abs.gov.au/AUSSTATS/abs@.nsf/Lookup/4510.0Explanatory%20Notes12013?OpenDocument</w:t>
        </w:r>
      </w:hyperlink>
      <w:r>
        <w:t>&gt;.</w:t>
      </w:r>
    </w:p>
  </w:endnote>
  <w:endnote w:id="698">
    <w:p w14:paraId="69357922" w14:textId="77777777" w:rsidR="00F008D2" w:rsidRPr="001C6CD5" w:rsidRDefault="00F008D2" w:rsidP="000D1D92">
      <w:pPr>
        <w:pStyle w:val="EndnoteText"/>
      </w:pPr>
      <w:r>
        <w:rPr>
          <w:rStyle w:val="EndnoteReference"/>
        </w:rPr>
        <w:endnoteRef/>
      </w:r>
      <w:r>
        <w:t xml:space="preserve"> Department of Human Services (Vic), </w:t>
      </w:r>
      <w:r w:rsidRPr="00807A3B">
        <w:rPr>
          <w:i/>
        </w:rPr>
        <w:t>Taskforce 1000</w:t>
      </w:r>
      <w:r>
        <w:t xml:space="preserve"> </w:t>
      </w:r>
      <w:r w:rsidRPr="009D16C1">
        <w:t>(</w:t>
      </w:r>
      <w:r>
        <w:t>2015</w:t>
      </w:r>
      <w:r w:rsidRPr="009D16C1">
        <w:t xml:space="preserve">) </w:t>
      </w:r>
      <w:r>
        <w:t>&lt;</w:t>
      </w:r>
      <w:hyperlink r:id="rId164" w:history="1">
        <w:r w:rsidRPr="00EA5D8E">
          <w:rPr>
            <w:rStyle w:val="Hyperlink"/>
          </w:rPr>
          <w:t>http://www.dhs.vic.gov.au/about-the-department/plans,-programs-and-projects/projects-and-initiatives/children,-youth-and-family-services/taskforce-1000</w:t>
        </w:r>
      </w:hyperlink>
      <w:r>
        <w:t>&gt;.</w:t>
      </w:r>
    </w:p>
  </w:endnote>
  <w:endnote w:id="699">
    <w:p w14:paraId="4374F4C1" w14:textId="77777777" w:rsidR="00F008D2" w:rsidRPr="000D0035" w:rsidRDefault="00F008D2" w:rsidP="000D1D92">
      <w:pPr>
        <w:pStyle w:val="EndnoteText"/>
        <w:rPr>
          <w:lang w:val="en-US"/>
        </w:rPr>
      </w:pPr>
      <w:r>
        <w:rPr>
          <w:rStyle w:val="EndnoteReference"/>
        </w:rPr>
        <w:endnoteRef/>
      </w:r>
      <w:r>
        <w:t xml:space="preserve"> </w:t>
      </w:r>
      <w:r w:rsidRPr="00872F87">
        <w:t>Andrew Jackomos, Commissioner for Aboriginal Children and Young people (Victoria)</w:t>
      </w:r>
      <w:r>
        <w:t xml:space="preserve">, </w:t>
      </w:r>
      <w:r w:rsidRPr="008029D3">
        <w:rPr>
          <w:lang w:val="en-US"/>
        </w:rPr>
        <w:t xml:space="preserve">Submission </w:t>
      </w:r>
      <w:r>
        <w:rPr>
          <w:lang w:val="en-US"/>
        </w:rPr>
        <w:t>No 35</w:t>
      </w:r>
      <w:r w:rsidRPr="008029D3">
        <w:rPr>
          <w:lang w:val="en-US"/>
        </w:rPr>
        <w:t xml:space="preserve"> </w:t>
      </w:r>
      <w:r w:rsidRPr="008029D3">
        <w:t xml:space="preserve">to Australian Human Rights Commission, </w:t>
      </w:r>
      <w:r w:rsidRPr="008029D3">
        <w:rPr>
          <w:i/>
        </w:rPr>
        <w:t>National Children’s Commissioner’s examination into children affected b</w:t>
      </w:r>
      <w:r>
        <w:rPr>
          <w:i/>
        </w:rPr>
        <w:t>y family and domestic violence</w:t>
      </w:r>
      <w:r>
        <w:t>, 15 June 2015, 5</w:t>
      </w:r>
      <w:r w:rsidRPr="008029D3">
        <w:rPr>
          <w:lang w:val="en-US"/>
        </w:rPr>
        <w:t>.</w:t>
      </w:r>
    </w:p>
  </w:endnote>
  <w:endnote w:id="700">
    <w:p w14:paraId="78DE5D10" w14:textId="77777777" w:rsidR="00F008D2" w:rsidRPr="00E03D1D" w:rsidRDefault="00F008D2" w:rsidP="000D1D92">
      <w:pPr>
        <w:autoSpaceDE w:val="0"/>
        <w:autoSpaceDN w:val="0"/>
        <w:adjustRightInd w:val="0"/>
        <w:spacing w:before="0" w:after="0"/>
        <w:jc w:val="both"/>
        <w:rPr>
          <w:rFonts w:ascii="MuseoSans-300" w:hAnsi="MuseoSans-300" w:cs="MuseoSans-300"/>
          <w:sz w:val="20"/>
          <w:szCs w:val="20"/>
        </w:rPr>
      </w:pPr>
      <w:r w:rsidRPr="003779E2">
        <w:rPr>
          <w:rStyle w:val="EndnoteReference"/>
        </w:rPr>
        <w:endnoteRef/>
      </w:r>
      <w:r w:rsidRPr="003779E2">
        <w:t xml:space="preserve"> </w:t>
      </w:r>
      <w:r w:rsidRPr="003779E2">
        <w:rPr>
          <w:sz w:val="20"/>
          <w:szCs w:val="20"/>
        </w:rPr>
        <w:t xml:space="preserve">Kerry Arabena et al, </w:t>
      </w:r>
      <w:r w:rsidRPr="003779E2">
        <w:rPr>
          <w:i/>
          <w:sz w:val="20"/>
          <w:szCs w:val="20"/>
        </w:rPr>
        <w:t>University of Melbourne, Making the World of Difference: The First 1000 Days Scientific - Symposium Report</w:t>
      </w:r>
      <w:r w:rsidRPr="003779E2">
        <w:rPr>
          <w:sz w:val="20"/>
          <w:szCs w:val="20"/>
        </w:rPr>
        <w:t xml:space="preserve"> (2015) 31.</w:t>
      </w:r>
    </w:p>
  </w:endnote>
  <w:endnote w:id="701">
    <w:p w14:paraId="05A51D8F" w14:textId="77777777" w:rsidR="00F008D2" w:rsidRPr="00345744" w:rsidRDefault="00F008D2" w:rsidP="000D1D92">
      <w:pPr>
        <w:spacing w:before="0" w:after="0"/>
        <w:rPr>
          <w:sz w:val="20"/>
          <w:szCs w:val="20"/>
        </w:rPr>
      </w:pPr>
      <w:r w:rsidRPr="00753927">
        <w:rPr>
          <w:rStyle w:val="EndnoteReference"/>
          <w:szCs w:val="20"/>
        </w:rPr>
        <w:endnoteRef/>
      </w:r>
      <w:r w:rsidRPr="00753927">
        <w:rPr>
          <w:sz w:val="20"/>
          <w:szCs w:val="20"/>
        </w:rPr>
        <w:t xml:space="preserve"> </w:t>
      </w:r>
      <w:r w:rsidRPr="00482E44">
        <w:rPr>
          <w:sz w:val="20"/>
          <w:szCs w:val="20"/>
        </w:rPr>
        <w:t>Catherine Esposito</w:t>
      </w:r>
      <w:r>
        <w:rPr>
          <w:sz w:val="20"/>
          <w:szCs w:val="20"/>
        </w:rPr>
        <w:t xml:space="preserve">, </w:t>
      </w:r>
      <w:r w:rsidRPr="00753927">
        <w:rPr>
          <w:sz w:val="20"/>
          <w:szCs w:val="20"/>
        </w:rPr>
        <w:t>NSW Family and Community Services</w:t>
      </w:r>
      <w:r>
        <w:rPr>
          <w:sz w:val="20"/>
          <w:szCs w:val="20"/>
        </w:rPr>
        <w:t xml:space="preserve">, </w:t>
      </w:r>
      <w:r w:rsidRPr="00753927">
        <w:rPr>
          <w:i/>
          <w:sz w:val="20"/>
          <w:szCs w:val="20"/>
        </w:rPr>
        <w:t xml:space="preserve">Child sexual abuse and disclosure: What does the research tell us? </w:t>
      </w:r>
      <w:r>
        <w:rPr>
          <w:sz w:val="20"/>
          <w:szCs w:val="20"/>
        </w:rPr>
        <w:t>(2015), 13 &lt;</w:t>
      </w:r>
      <w:hyperlink r:id="rId165" w:history="1">
        <w:r w:rsidRPr="00EA5D8E">
          <w:rPr>
            <w:rStyle w:val="Hyperlink"/>
            <w:sz w:val="20"/>
            <w:szCs w:val="20"/>
          </w:rPr>
          <w:t>http://www.facs.nsw.gov.au/__data/assets/file/0003/306426/Literature_Review_How_Children_Disclose_Sexual_Abuse.pdf</w:t>
        </w:r>
      </w:hyperlink>
      <w:r>
        <w:rPr>
          <w:sz w:val="20"/>
          <w:szCs w:val="20"/>
        </w:rPr>
        <w:t>&gt;.</w:t>
      </w:r>
    </w:p>
  </w:endnote>
  <w:endnote w:id="702">
    <w:p w14:paraId="2A6BBC69" w14:textId="77777777" w:rsidR="00F008D2" w:rsidRPr="00710BAB" w:rsidRDefault="00F008D2" w:rsidP="000D1D92">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xml:space="preserve">, 2 June 2015, </w:t>
      </w:r>
      <w:r>
        <w:rPr>
          <w:lang w:val="en-US"/>
        </w:rPr>
        <w:t>15.</w:t>
      </w:r>
    </w:p>
  </w:endnote>
  <w:endnote w:id="703">
    <w:p w14:paraId="0227CA3C" w14:textId="77777777" w:rsidR="00F008D2" w:rsidRDefault="00F008D2" w:rsidP="000D1D92">
      <w:pPr>
        <w:pStyle w:val="EndnoteText"/>
      </w:pPr>
      <w:r>
        <w:rPr>
          <w:rStyle w:val="EndnoteReference"/>
        </w:rPr>
        <w:endnoteRef/>
      </w:r>
      <w:r>
        <w:t xml:space="preserve"> </w:t>
      </w:r>
      <w:r w:rsidRPr="00447042">
        <w:t>Australian Psychological Society</w:t>
      </w:r>
      <w:r>
        <w:t xml:space="preserve">, </w:t>
      </w:r>
      <w:r w:rsidRPr="008029D3">
        <w:rPr>
          <w:lang w:val="en-US"/>
        </w:rPr>
        <w:t xml:space="preserve">Submission </w:t>
      </w:r>
      <w:r>
        <w:rPr>
          <w:lang w:val="en-US"/>
        </w:rPr>
        <w:t>No 38</w:t>
      </w:r>
      <w:r w:rsidRPr="008029D3">
        <w:rPr>
          <w:lang w:val="en-US"/>
        </w:rPr>
        <w:t xml:space="preserve"> </w:t>
      </w:r>
      <w:r w:rsidRPr="008029D3">
        <w:t xml:space="preserve">to Australian Human Rights Commission, </w:t>
      </w:r>
      <w:r w:rsidRPr="008029D3">
        <w:rPr>
          <w:i/>
        </w:rPr>
        <w:t>National Children’s Commissioner’s examination into children affected b</w:t>
      </w:r>
      <w:r>
        <w:rPr>
          <w:i/>
        </w:rPr>
        <w:t>y family and domestic violence</w:t>
      </w:r>
      <w:r>
        <w:t xml:space="preserve">, 17 June 2015, </w:t>
      </w:r>
      <w:r>
        <w:rPr>
          <w:lang w:val="en-US"/>
        </w:rPr>
        <w:t>7–8</w:t>
      </w:r>
      <w:r w:rsidRPr="008029D3">
        <w:rPr>
          <w:lang w:val="en-US"/>
        </w:rPr>
        <w:t>.</w:t>
      </w:r>
    </w:p>
  </w:endnote>
  <w:endnote w:id="704">
    <w:p w14:paraId="4B861B37" w14:textId="77777777" w:rsidR="00F008D2" w:rsidRDefault="00F008D2" w:rsidP="000D1D92">
      <w:pPr>
        <w:pStyle w:val="EndnoteText"/>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13.</w:t>
      </w:r>
    </w:p>
  </w:endnote>
  <w:endnote w:id="705">
    <w:p w14:paraId="72CEE864" w14:textId="77777777" w:rsidR="00F008D2" w:rsidRDefault="00F008D2" w:rsidP="000D1D92">
      <w:pPr>
        <w:pStyle w:val="EndnoteText"/>
      </w:pPr>
      <w:r>
        <w:rPr>
          <w:rStyle w:val="EndnoteReference"/>
        </w:rPr>
        <w:endnoteRef/>
      </w:r>
      <w:r>
        <w:t xml:space="preserve"> </w:t>
      </w:r>
      <w:r w:rsidRPr="00D858DA">
        <w:t>Australia’s National Research Organisation for Women’s Safety (ANROWS)</w:t>
      </w:r>
      <w:r>
        <w:t xml:space="preserve">, </w:t>
      </w:r>
      <w:r w:rsidRPr="00F34089">
        <w:rPr>
          <w:i/>
        </w:rPr>
        <w:t>National Research Agenda to Reduce Violence against Women and their Children</w:t>
      </w:r>
      <w:r>
        <w:t xml:space="preserve"> (</w:t>
      </w:r>
      <w:r w:rsidRPr="00D858DA">
        <w:t>2014</w:t>
      </w:r>
      <w:r>
        <w:t>)</w:t>
      </w:r>
      <w:r w:rsidRPr="00D858DA">
        <w:t xml:space="preserve"> 21</w:t>
      </w:r>
      <w:r>
        <w:t xml:space="preserve"> &lt;</w:t>
      </w:r>
      <w:hyperlink r:id="rId166" w:history="1">
        <w:r w:rsidRPr="00EA5D8E">
          <w:rPr>
            <w:rStyle w:val="Hyperlink"/>
          </w:rPr>
          <w:t>http://anrows.org.au/about/national-research-agenda</w:t>
        </w:r>
      </w:hyperlink>
      <w:r>
        <w:t>&gt;</w:t>
      </w:r>
      <w:r w:rsidRPr="00D858DA">
        <w:t>.</w:t>
      </w:r>
    </w:p>
  </w:endnote>
  <w:endnote w:id="706">
    <w:p w14:paraId="06B64C40" w14:textId="77777777" w:rsidR="00F008D2" w:rsidRDefault="00F008D2" w:rsidP="000D1D92">
      <w:pPr>
        <w:pStyle w:val="EndnoteText"/>
      </w:pPr>
      <w:r>
        <w:rPr>
          <w:rStyle w:val="EndnoteReference"/>
        </w:rPr>
        <w:endnoteRef/>
      </w:r>
      <w:r>
        <w:t xml:space="preserve"> </w:t>
      </w:r>
      <w:r w:rsidRPr="001618F8">
        <w:t>Department of Children and Families</w:t>
      </w:r>
      <w:r>
        <w:t xml:space="preserve"> (NT), </w:t>
      </w:r>
      <w:r w:rsidRPr="008029D3">
        <w:rPr>
          <w:lang w:val="en-US"/>
        </w:rPr>
        <w:t>Submission</w:t>
      </w:r>
      <w:r>
        <w:rPr>
          <w:lang w:val="en-US"/>
        </w:rPr>
        <w:t xml:space="preserve"> No</w:t>
      </w:r>
      <w:r w:rsidRPr="008029D3">
        <w:rPr>
          <w:lang w:val="en-US"/>
        </w:rPr>
        <w:t xml:space="preserve"> </w:t>
      </w:r>
      <w:r>
        <w:rPr>
          <w:lang w:val="en-US"/>
        </w:rPr>
        <w:t xml:space="preserve">52 </w:t>
      </w:r>
      <w:r w:rsidRPr="008029D3">
        <w:t xml:space="preserve">to Australian Human Rights Commission, </w:t>
      </w:r>
      <w:r w:rsidRPr="008029D3">
        <w:rPr>
          <w:i/>
        </w:rPr>
        <w:t>National Children’s Commissioner’s examination into children affected b</w:t>
      </w:r>
      <w:r>
        <w:rPr>
          <w:i/>
        </w:rPr>
        <w:t>y family and domestic violence</w:t>
      </w:r>
      <w:r>
        <w:t>, 4 August 2015, 5</w:t>
      </w:r>
      <w:r w:rsidRPr="008029D3">
        <w:rPr>
          <w:lang w:val="en-US"/>
        </w:rPr>
        <w:t>.</w:t>
      </w:r>
    </w:p>
  </w:endnote>
  <w:endnote w:id="707">
    <w:p w14:paraId="1A97F9E9" w14:textId="77777777" w:rsidR="00F008D2" w:rsidRDefault="00F008D2" w:rsidP="000D1D92">
      <w:pPr>
        <w:pStyle w:val="EndnoteText"/>
      </w:pPr>
      <w:r>
        <w:rPr>
          <w:rStyle w:val="EndnoteReference"/>
        </w:rPr>
        <w:endnoteRef/>
      </w:r>
      <w:r>
        <w:t xml:space="preserve"> </w:t>
      </w:r>
      <w:r w:rsidRPr="008029D3">
        <w:t>Relationships Australia</w:t>
      </w:r>
      <w:r>
        <w:t xml:space="preserve">, </w:t>
      </w:r>
      <w:r w:rsidRPr="008029D3">
        <w:rPr>
          <w:lang w:val="en-US"/>
        </w:rPr>
        <w:t xml:space="preserve">Submission </w:t>
      </w:r>
      <w:r>
        <w:rPr>
          <w:lang w:val="en-US"/>
        </w:rPr>
        <w:t>No 2</w:t>
      </w:r>
      <w:r w:rsidRPr="008029D3">
        <w:rPr>
          <w:lang w:val="en-US"/>
        </w:rPr>
        <w:t xml:space="preserve">6 </w:t>
      </w:r>
      <w:r w:rsidRPr="008029D3">
        <w:t xml:space="preserve">to Australian Human Rights Commission, </w:t>
      </w:r>
      <w:r w:rsidRPr="008029D3">
        <w:rPr>
          <w:i/>
        </w:rPr>
        <w:t>National Children’s Commissioner’s examination into children affected b</w:t>
      </w:r>
      <w:r>
        <w:rPr>
          <w:i/>
        </w:rPr>
        <w:t>y family and domestic violence</w:t>
      </w:r>
      <w:r>
        <w:t xml:space="preserve">, 11 June 2015, </w:t>
      </w:r>
      <w:r>
        <w:rPr>
          <w:lang w:val="en-US"/>
        </w:rPr>
        <w:t>20</w:t>
      </w:r>
      <w:r w:rsidRPr="008029D3">
        <w:rPr>
          <w:lang w:val="en-US"/>
        </w:rPr>
        <w:t>.</w:t>
      </w:r>
      <w:r w:rsidRPr="00061283">
        <w:t xml:space="preserve"> </w:t>
      </w:r>
    </w:p>
  </w:endnote>
  <w:endnote w:id="708">
    <w:p w14:paraId="535B1E22" w14:textId="77777777" w:rsidR="00F008D2" w:rsidRPr="00F34089" w:rsidRDefault="00F008D2" w:rsidP="000D1D92">
      <w:pPr>
        <w:pStyle w:val="EndnoteText"/>
      </w:pPr>
      <w:r>
        <w:rPr>
          <w:rStyle w:val="EndnoteReference"/>
        </w:rPr>
        <w:endnoteRef/>
      </w:r>
      <w:r>
        <w:t xml:space="preserve"> </w:t>
      </w:r>
      <w:r w:rsidRPr="00D54275">
        <w:t>Australian Institute of Family Studies (AIFS) and Australia’s National Research Organisation for Women’s Safety (ANROWS)</w:t>
      </w:r>
      <w:r>
        <w:t xml:space="preserve">, </w:t>
      </w:r>
      <w:r>
        <w:rPr>
          <w:rFonts w:cs="Arial"/>
        </w:rPr>
        <w:t xml:space="preserve">Submission No 6 </w:t>
      </w:r>
      <w:r>
        <w:t xml:space="preserve">to Australian Human Rights Commission, </w:t>
      </w:r>
      <w:r>
        <w:rPr>
          <w:i/>
        </w:rPr>
        <w:t xml:space="preserve">National Children’s Commissioner’s examination into children affected by family and domestic violence, </w:t>
      </w:r>
      <w:r>
        <w:t xml:space="preserve">29 May </w:t>
      </w:r>
      <w:r w:rsidRPr="00422F51">
        <w:t>2015,</w:t>
      </w:r>
      <w:r>
        <w:t xml:space="preserve"> 18</w:t>
      </w:r>
      <w:r>
        <w:rPr>
          <w:rFonts w:cs="Arial"/>
        </w:rPr>
        <w:t>.</w:t>
      </w:r>
    </w:p>
  </w:endnote>
  <w:endnote w:id="709">
    <w:p w14:paraId="699FEAEC" w14:textId="77777777" w:rsidR="00F008D2" w:rsidRPr="00AA45EA" w:rsidRDefault="00F008D2" w:rsidP="000D1D92">
      <w:pPr>
        <w:pStyle w:val="EndnoteText"/>
        <w:jc w:val="both"/>
        <w:rPr>
          <w:lang w:val="en-US"/>
        </w:rPr>
      </w:pPr>
      <w:r>
        <w:rPr>
          <w:rStyle w:val="EndnoteReference"/>
        </w:rPr>
        <w:endnoteRef/>
      </w:r>
      <w:r>
        <w:t xml:space="preserve"> </w:t>
      </w:r>
      <w:r w:rsidRPr="00D54275">
        <w:t>Australian Institute of Family Studies (AIFS) and Australia’s National Research Organisation for Women’s Safety (ANROWS)</w:t>
      </w:r>
      <w:r>
        <w:t xml:space="preserve">, </w:t>
      </w:r>
      <w:r>
        <w:rPr>
          <w:rFonts w:cs="Arial"/>
        </w:rPr>
        <w:t xml:space="preserve">Submission No 6 </w:t>
      </w:r>
      <w:r>
        <w:t xml:space="preserve">to Australian Human Rights Commission, </w:t>
      </w:r>
      <w:r>
        <w:rPr>
          <w:i/>
        </w:rPr>
        <w:t xml:space="preserve">National Children’s Commissioner’s examination into children affected by family and domestic violence, </w:t>
      </w:r>
      <w:r>
        <w:t xml:space="preserve">29 May </w:t>
      </w:r>
      <w:r w:rsidRPr="00422F51">
        <w:t>2015,</w:t>
      </w:r>
      <w:r>
        <w:t xml:space="preserve"> 18</w:t>
      </w:r>
      <w:r>
        <w:rPr>
          <w:rFonts w:cs="Arial"/>
        </w:rPr>
        <w:t>.</w:t>
      </w:r>
    </w:p>
  </w:endnote>
  <w:endnote w:id="710">
    <w:p w14:paraId="6A5072D9" w14:textId="77777777" w:rsidR="00F008D2" w:rsidRDefault="00F008D2" w:rsidP="00A90ED5">
      <w:pPr>
        <w:pStyle w:val="EndnoteText"/>
      </w:pPr>
      <w:r>
        <w:rPr>
          <w:rStyle w:val="EndnoteReference"/>
        </w:rPr>
        <w:endnoteRef/>
      </w:r>
      <w:r>
        <w:t xml:space="preserve"> Australian Bureau of Statistics, ‘</w:t>
      </w:r>
      <w:r w:rsidRPr="002E1342">
        <w:t>Recorded Crime - Victims, Australia, 2014</w:t>
      </w:r>
      <w:r>
        <w:t xml:space="preserve"> – Introduction’ (</w:t>
      </w:r>
      <w:r w:rsidRPr="002E1342">
        <w:t>4510.0</w:t>
      </w:r>
      <w:r>
        <w:t>, 22 July 2015) &lt;</w:t>
      </w:r>
      <w:hyperlink r:id="rId167" w:history="1">
        <w:r w:rsidRPr="00EA5D8E">
          <w:rPr>
            <w:rStyle w:val="Hyperlink"/>
          </w:rPr>
          <w:t>http://www.abs.gov.au/ausstats/abs@.nsf/Lookup/by%20Subject/4510.0~2014~Main%20Features~Introduction~3</w:t>
        </w:r>
      </w:hyperlink>
      <w:r>
        <w:t>&gt;.</w:t>
      </w:r>
    </w:p>
  </w:endnote>
  <w:endnote w:id="711">
    <w:p w14:paraId="2B52E572" w14:textId="77777777" w:rsidR="00F008D2" w:rsidRDefault="00F008D2" w:rsidP="00A90ED5">
      <w:pPr>
        <w:pStyle w:val="EndnoteText"/>
      </w:pPr>
      <w:r>
        <w:rPr>
          <w:rStyle w:val="EndnoteReference"/>
        </w:rPr>
        <w:endnoteRef/>
      </w:r>
      <w:r>
        <w:t xml:space="preserve"> Australian Bureau of Statistics, ‘</w:t>
      </w:r>
      <w:r w:rsidRPr="002E1342">
        <w:t>Recorded Crime - Victims, Australia, 2014</w:t>
      </w:r>
      <w:r>
        <w:t xml:space="preserve"> – Glossary’ (</w:t>
      </w:r>
      <w:r w:rsidRPr="002E1342">
        <w:t>4510.0</w:t>
      </w:r>
      <w:r>
        <w:t>, 22 July 2015) &lt;</w:t>
      </w:r>
      <w:hyperlink r:id="rId168" w:history="1">
        <w:r w:rsidRPr="00EA5D8E">
          <w:rPr>
            <w:rStyle w:val="Hyperlink"/>
          </w:rPr>
          <w:t>http://www.abs.gov.au/AUSSTATS/abs@.nsf/Latestproducts/4510.0Glossary12014?opendocument&amp;tabname=Notes&amp;prodno=4510.0&amp;issue=2014&amp;num=&amp;view</w:t>
        </w:r>
      </w:hyperlink>
      <w:r>
        <w:t>&gt;</w:t>
      </w:r>
    </w:p>
  </w:endnote>
  <w:endnote w:id="712">
    <w:p w14:paraId="26390E7F" w14:textId="77777777" w:rsidR="00F008D2" w:rsidRDefault="00F008D2" w:rsidP="00A90ED5">
      <w:pPr>
        <w:pStyle w:val="EndnoteText"/>
      </w:pPr>
      <w:r>
        <w:rPr>
          <w:rStyle w:val="EndnoteReference"/>
        </w:rPr>
        <w:endnoteRef/>
      </w:r>
      <w:r>
        <w:t xml:space="preserve"> Australian Bureau of Statistics, ‘</w:t>
      </w:r>
      <w:r w:rsidRPr="002E1342">
        <w:t>Recorded Crime - Victims, Australia, 2014</w:t>
      </w:r>
      <w:r>
        <w:t xml:space="preserve"> – Glossary’ (</w:t>
      </w:r>
      <w:r w:rsidRPr="002E1342">
        <w:t>4510.0</w:t>
      </w:r>
      <w:r>
        <w:t>, 22 July 2015) &lt;</w:t>
      </w:r>
      <w:hyperlink r:id="rId169" w:history="1">
        <w:r w:rsidRPr="00EA5D8E">
          <w:rPr>
            <w:rStyle w:val="Hyperlink"/>
          </w:rPr>
          <w:t>http://www.abs.gov.au/AUSSTATS/abs@.nsf/Latestproducts/4510.0Glossary12014?opendocument&amp;tabname=Notes&amp;prodno=4510.0&amp;issue=2014&amp;num=&amp;view</w:t>
        </w:r>
      </w:hyperlink>
      <w:r>
        <w:t>&gt;</w:t>
      </w:r>
    </w:p>
  </w:endnote>
  <w:endnote w:id="713">
    <w:p w14:paraId="75EDEDEF" w14:textId="77777777" w:rsidR="00F008D2" w:rsidRDefault="00F008D2" w:rsidP="00A90ED5">
      <w:pPr>
        <w:pStyle w:val="EndnoteText"/>
      </w:pPr>
      <w:r>
        <w:rPr>
          <w:rStyle w:val="EndnoteReference"/>
        </w:rPr>
        <w:endnoteRef/>
      </w:r>
      <w:r>
        <w:t xml:space="preserve"> Australian Bureau of Statistics, ‘</w:t>
      </w:r>
      <w:r w:rsidRPr="002E1342">
        <w:t>Recorded Crime - Victims, Australia, 2014</w:t>
      </w:r>
      <w:r>
        <w:t xml:space="preserve"> – Glossary’ (</w:t>
      </w:r>
      <w:r w:rsidRPr="002E1342">
        <w:t>4510.0</w:t>
      </w:r>
      <w:r>
        <w:t>, 22 July 2015) &lt;</w:t>
      </w:r>
      <w:hyperlink r:id="rId170" w:history="1">
        <w:r w:rsidRPr="00EA5D8E">
          <w:rPr>
            <w:rStyle w:val="Hyperlink"/>
          </w:rPr>
          <w:t>http://www.abs.gov.au/AUSSTATS/abs@.nsf/Latestproducts/4510.0Glossary12014?opendocument&amp;tabname=Notes&amp;prodno=4510.0&amp;issue=2014&amp;num=&amp;view</w:t>
        </w:r>
      </w:hyperlink>
      <w:r>
        <w:t>&gt;</w:t>
      </w:r>
    </w:p>
  </w:endnote>
  <w:endnote w:id="714">
    <w:p w14:paraId="43CDD4D2" w14:textId="77777777" w:rsidR="00F008D2" w:rsidRDefault="00F008D2" w:rsidP="00A90ED5">
      <w:pPr>
        <w:pStyle w:val="EndnoteText"/>
      </w:pPr>
      <w:r>
        <w:rPr>
          <w:rStyle w:val="EndnoteReference"/>
        </w:rPr>
        <w:endnoteRef/>
      </w:r>
      <w:r>
        <w:t xml:space="preserve"> Australian Bureau of Statistics, ‘</w:t>
      </w:r>
      <w:r w:rsidRPr="002E1342">
        <w:t>Recorded Crime - Victims, Australia, 2014</w:t>
      </w:r>
      <w:r>
        <w:t xml:space="preserve"> – Explanatory Notes’ (</w:t>
      </w:r>
      <w:r w:rsidRPr="002E1342">
        <w:t>4510.0</w:t>
      </w:r>
      <w:r>
        <w:t>, 22 July 2015) [18] &lt;</w:t>
      </w:r>
      <w:hyperlink r:id="rId171" w:history="1">
        <w:r w:rsidRPr="00EA5D8E">
          <w:rPr>
            <w:rStyle w:val="Hyperlink"/>
          </w:rPr>
          <w:t>http://www.abs.gov.au/AUSSTATS/abs@.nsf/Latestproducts/4510.0Explanatory%20Notes12014?opendocument&amp;tabname=Notes&amp;prodno=4510.0&amp;issue=2014&amp;num=&amp;view</w:t>
        </w:r>
      </w:hyperlink>
      <w:r>
        <w:t>&gt;.</w:t>
      </w:r>
    </w:p>
  </w:endnote>
  <w:endnote w:id="715">
    <w:p w14:paraId="4A6A64D0" w14:textId="77777777" w:rsidR="00F008D2" w:rsidRDefault="00F008D2" w:rsidP="00A90ED5">
      <w:pPr>
        <w:pStyle w:val="EndnoteText"/>
      </w:pPr>
      <w:r>
        <w:rPr>
          <w:rStyle w:val="EndnoteReference"/>
        </w:rPr>
        <w:endnoteRef/>
      </w:r>
      <w:r>
        <w:t xml:space="preserve"> Australian Bureau of Statistics, ‘</w:t>
      </w:r>
      <w:r w:rsidRPr="002E1342">
        <w:t>Recorded Crime - Victims, Australia, 2014</w:t>
      </w:r>
      <w:r>
        <w:t xml:space="preserve"> – Glossary’ (</w:t>
      </w:r>
      <w:r w:rsidRPr="002E1342">
        <w:t>4510.0</w:t>
      </w:r>
      <w:r>
        <w:t>, 22 July 2015) &lt;</w:t>
      </w:r>
      <w:hyperlink r:id="rId172" w:history="1">
        <w:r w:rsidRPr="00EA5D8E">
          <w:rPr>
            <w:rStyle w:val="Hyperlink"/>
          </w:rPr>
          <w:t>http://www.abs.gov.au/AUSSTATS/abs@.nsf/Latestproducts/4510.0Glossary12014?opendocument&amp;tabname=Notes&amp;prodno=4510.0&amp;issue=2014&amp;num=&amp;view</w:t>
        </w:r>
      </w:hyperlink>
      <w:r>
        <w:t>&gt;</w:t>
      </w:r>
    </w:p>
  </w:endnote>
  <w:endnote w:id="716">
    <w:p w14:paraId="6EAA684F" w14:textId="77777777" w:rsidR="00F008D2" w:rsidRDefault="00F008D2" w:rsidP="00A90ED5">
      <w:pPr>
        <w:pStyle w:val="EndnoteText"/>
      </w:pPr>
      <w:r>
        <w:rPr>
          <w:rStyle w:val="EndnoteReference"/>
        </w:rPr>
        <w:endnoteRef/>
      </w:r>
      <w:r>
        <w:t xml:space="preserve"> Australian Bureau of Statistics, ‘</w:t>
      </w:r>
      <w:r w:rsidRPr="002E1342">
        <w:t>Recorded Crime - Victims, Australia, 2014</w:t>
      </w:r>
      <w:r>
        <w:t xml:space="preserve"> – Explanatory Notes’ (</w:t>
      </w:r>
      <w:r w:rsidRPr="002E1342">
        <w:t>4510.0</w:t>
      </w:r>
      <w:r>
        <w:t>, 22 July 2015) [60] &lt;</w:t>
      </w:r>
      <w:hyperlink r:id="rId173" w:history="1">
        <w:r w:rsidRPr="00EA5D8E">
          <w:rPr>
            <w:rStyle w:val="Hyperlink"/>
          </w:rPr>
          <w:t>http://www.abs.gov.au/AUSSTATS/abs@.nsf/Latestproducts/4510.0Explanatory%20Notes12014?opendocument&amp;tabname=Notes&amp;prodno=4510.0&amp;issue=2014&amp;num=&amp;view</w:t>
        </w:r>
      </w:hyperlink>
      <w:r>
        <w:t>&gt;.</w:t>
      </w:r>
    </w:p>
  </w:endnote>
  <w:endnote w:id="717">
    <w:p w14:paraId="1A709C5B" w14:textId="77777777" w:rsidR="00F008D2" w:rsidRDefault="00F008D2" w:rsidP="00A90ED5">
      <w:pPr>
        <w:pStyle w:val="EndnoteText"/>
      </w:pPr>
      <w:r>
        <w:rPr>
          <w:rStyle w:val="EndnoteReference"/>
        </w:rPr>
        <w:endnoteRef/>
      </w:r>
      <w:r>
        <w:t xml:space="preserve"> Australian Bureau of Statistics, ‘</w:t>
      </w:r>
      <w:r w:rsidRPr="002E1342">
        <w:t>Recorded Crime - Victims, Australia, 2014</w:t>
      </w:r>
      <w:r>
        <w:t xml:space="preserve"> – Glossary’ (</w:t>
      </w:r>
      <w:r w:rsidRPr="002E1342">
        <w:t>4510.0</w:t>
      </w:r>
      <w:r>
        <w:t>, 22 July 2015) &lt;</w:t>
      </w:r>
      <w:hyperlink r:id="rId174" w:history="1">
        <w:r w:rsidRPr="00EA5D8E">
          <w:rPr>
            <w:rStyle w:val="Hyperlink"/>
          </w:rPr>
          <w:t>http://www.abs.gov.au/AUSSTATS/abs@.nsf/Latestproducts/4510.0Glossary12014?opendocument&amp;tabname=Notes&amp;prodno=4510.0&amp;issue=2014&amp;num=&amp;view</w:t>
        </w:r>
      </w:hyperlink>
      <w:r>
        <w:t>&gt;</w:t>
      </w:r>
    </w:p>
  </w:endnote>
  <w:endnote w:id="718">
    <w:p w14:paraId="6D2B1A0F" w14:textId="77777777" w:rsidR="00F008D2" w:rsidRDefault="00F008D2" w:rsidP="00A90ED5">
      <w:pPr>
        <w:pStyle w:val="EndnoteText"/>
      </w:pPr>
      <w:r>
        <w:rPr>
          <w:rStyle w:val="EndnoteReference"/>
        </w:rPr>
        <w:endnoteRef/>
      </w:r>
      <w:r>
        <w:t xml:space="preserve"> Australian Bureau of Statistics, ‘</w:t>
      </w:r>
      <w:r w:rsidRPr="002E1342">
        <w:t>Recorded Crime - Victims, Australia, 2014</w:t>
      </w:r>
      <w:r>
        <w:t xml:space="preserve"> – Explanatory Notes’ (</w:t>
      </w:r>
      <w:r w:rsidRPr="002E1342">
        <w:t>4510.0</w:t>
      </w:r>
      <w:r>
        <w:t>, 22 July 2015) [17–21]</w:t>
      </w:r>
    </w:p>
    <w:p w14:paraId="2993AAD6" w14:textId="77777777" w:rsidR="00F008D2" w:rsidRDefault="00F008D2" w:rsidP="00A90ED5">
      <w:pPr>
        <w:pStyle w:val="EndnoteText"/>
      </w:pPr>
      <w:r>
        <w:t>&lt;</w:t>
      </w:r>
      <w:hyperlink r:id="rId175" w:history="1">
        <w:r w:rsidRPr="00EA5D8E">
          <w:rPr>
            <w:rStyle w:val="Hyperlink"/>
          </w:rPr>
          <w:t>http://www.abs.gov.au/AUSSTATS/abs@.nsf/Latestproducts/4510.0Explanatory%20Notes12014?opendocument&amp;tabname=Notes&amp;prodno=4510.0&amp;issue=2014&amp;num=&amp;view</w:t>
        </w:r>
      </w:hyperlink>
      <w:r>
        <w:t>&gt;.</w:t>
      </w:r>
    </w:p>
  </w:endnote>
  <w:endnote w:id="719">
    <w:p w14:paraId="210D911C" w14:textId="77777777" w:rsidR="00F008D2" w:rsidRDefault="00F008D2" w:rsidP="00A90ED5">
      <w:pPr>
        <w:pStyle w:val="EndnoteText"/>
      </w:pPr>
      <w:r>
        <w:rPr>
          <w:rStyle w:val="EndnoteReference"/>
        </w:rPr>
        <w:endnoteRef/>
      </w:r>
      <w:r>
        <w:t xml:space="preserve"> Australian Bureau of Statistics, ‘</w:t>
      </w:r>
      <w:r w:rsidRPr="000C467D">
        <w:t>Personal Safety, Australia, 201</w:t>
      </w:r>
      <w:r>
        <w:t>2 – Introduction’ (4906.0, 11 December 2013) &lt;</w:t>
      </w:r>
      <w:hyperlink r:id="rId176" w:history="1">
        <w:r w:rsidRPr="00EA5D8E">
          <w:rPr>
            <w:rStyle w:val="Hyperlink"/>
          </w:rPr>
          <w:t>http://www.abs.gov.au/ausstats/abs@.nsf/Lookup/4906.0Chapter1002012</w:t>
        </w:r>
      </w:hyperlink>
      <w:r>
        <w:t>&gt;.</w:t>
      </w:r>
    </w:p>
  </w:endnote>
  <w:endnote w:id="720">
    <w:p w14:paraId="2084AFF2" w14:textId="77777777" w:rsidR="00F008D2" w:rsidRDefault="00F008D2" w:rsidP="00A90ED5">
      <w:pPr>
        <w:pStyle w:val="EndnoteText"/>
      </w:pPr>
      <w:r>
        <w:rPr>
          <w:rStyle w:val="EndnoteReference"/>
        </w:rPr>
        <w:endnoteRef/>
      </w:r>
      <w:r>
        <w:t xml:space="preserve"> Australian Bureau of Statistics, ‘</w:t>
      </w:r>
      <w:r w:rsidRPr="000C467D">
        <w:t>Personal Safety, Australia, 201</w:t>
      </w:r>
      <w:r>
        <w:t>2 – Technical Notes’ (4906.0, 11 December 2013) [1] &lt;</w:t>
      </w:r>
      <w:hyperlink r:id="rId177" w:history="1">
        <w:r w:rsidRPr="00EA5D8E">
          <w:rPr>
            <w:rStyle w:val="Hyperlink"/>
          </w:rPr>
          <w:t>http://www.abs.gov.au/ausstats/abs@.nsf/Lookup/4906.0Technical+Note12012</w:t>
        </w:r>
      </w:hyperlink>
      <w:r>
        <w:t>&gt;.</w:t>
      </w:r>
    </w:p>
  </w:endnote>
  <w:endnote w:id="721">
    <w:p w14:paraId="1D5EA96A" w14:textId="77777777" w:rsidR="00F008D2" w:rsidRDefault="00F008D2" w:rsidP="00A90ED5">
      <w:pPr>
        <w:pStyle w:val="EndnoteText"/>
      </w:pPr>
      <w:r>
        <w:rPr>
          <w:rStyle w:val="EndnoteReference"/>
        </w:rPr>
        <w:endnoteRef/>
      </w:r>
      <w:r>
        <w:t xml:space="preserve"> Australian Bureau of Statistics, ‘</w:t>
      </w:r>
      <w:r w:rsidRPr="000C467D">
        <w:t>Personal Safety, Australia, 201</w:t>
      </w:r>
      <w:r>
        <w:t>2 – Introduction’ (4906.0, 11 December 2013) &lt;</w:t>
      </w:r>
      <w:hyperlink r:id="rId178" w:history="1">
        <w:r w:rsidRPr="00EA5D8E">
          <w:rPr>
            <w:rStyle w:val="Hyperlink"/>
          </w:rPr>
          <w:t>http://www.abs.gov.au/ausstats/abs@.nsf/Lookup/4906.0Chapter1002012</w:t>
        </w:r>
      </w:hyperlink>
      <w:r>
        <w:t>&gt;.</w:t>
      </w:r>
    </w:p>
  </w:endnote>
  <w:endnote w:id="722">
    <w:p w14:paraId="5395FA75" w14:textId="77777777" w:rsidR="00F008D2" w:rsidRDefault="00F008D2" w:rsidP="00A90ED5">
      <w:pPr>
        <w:pStyle w:val="EndnoteText"/>
      </w:pPr>
      <w:r>
        <w:rPr>
          <w:rStyle w:val="EndnoteReference"/>
        </w:rPr>
        <w:endnoteRef/>
      </w:r>
      <w:r>
        <w:t xml:space="preserve"> Australian Bureau of Statistics, ‘</w:t>
      </w:r>
      <w:r w:rsidRPr="000C467D">
        <w:t>Personal Safety, Australia, 201</w:t>
      </w:r>
      <w:r>
        <w:t>2 – Introduction’ (4906.0, 11 December 2013) &lt;</w:t>
      </w:r>
      <w:hyperlink r:id="rId179" w:history="1">
        <w:r w:rsidRPr="00EA5D8E">
          <w:rPr>
            <w:rStyle w:val="Hyperlink"/>
          </w:rPr>
          <w:t>http://www.abs.gov.au/ausstats/abs@.nsf/Lookup/4906.0Chapter1002012</w:t>
        </w:r>
      </w:hyperlink>
      <w:r>
        <w:t>&gt;.</w:t>
      </w:r>
    </w:p>
  </w:endnote>
  <w:endnote w:id="723">
    <w:p w14:paraId="3BB64820" w14:textId="77777777" w:rsidR="00F008D2" w:rsidRDefault="00F008D2" w:rsidP="00A90ED5">
      <w:pPr>
        <w:pStyle w:val="EndnoteText"/>
      </w:pPr>
      <w:r>
        <w:rPr>
          <w:rStyle w:val="EndnoteReference"/>
        </w:rPr>
        <w:endnoteRef/>
      </w:r>
      <w:r>
        <w:t xml:space="preserve"> Australian Bureau of Statistics, ‘</w:t>
      </w:r>
      <w:r w:rsidRPr="000C467D">
        <w:t>Personal Safety, Australia, 201</w:t>
      </w:r>
      <w:r>
        <w:t>2 – Glossary’ (4906.0, 11 December 2013) &lt;</w:t>
      </w:r>
      <w:hyperlink r:id="rId180" w:history="1">
        <w:r w:rsidRPr="00EA5D8E">
          <w:rPr>
            <w:rStyle w:val="Hyperlink"/>
          </w:rPr>
          <w:t>http://www.abs.gov.au/AUSSTATS/abs@.nsf/Latestproducts/4906.0Glossary12012?opendocument&amp;tabname=Notes&amp;prodno=4906.0&amp;issue=2012&amp;num=&amp;view</w:t>
        </w:r>
      </w:hyperlink>
      <w:r>
        <w:t>&gt;.</w:t>
      </w:r>
    </w:p>
  </w:endnote>
  <w:endnote w:id="724">
    <w:p w14:paraId="5AF9C37F" w14:textId="77777777" w:rsidR="00F008D2" w:rsidRDefault="00F008D2" w:rsidP="00A90ED5">
      <w:pPr>
        <w:pStyle w:val="EndnoteText"/>
      </w:pPr>
      <w:r>
        <w:rPr>
          <w:rStyle w:val="EndnoteReference"/>
        </w:rPr>
        <w:endnoteRef/>
      </w:r>
      <w:r>
        <w:t xml:space="preserve"> Australian Bureau of Statistics, ‘</w:t>
      </w:r>
      <w:r w:rsidRPr="000C467D">
        <w:t>Personal Safety, Australia, 201</w:t>
      </w:r>
      <w:r>
        <w:t>2 – Glossary’ (4906.0, 11 December 2013) &lt;</w:t>
      </w:r>
      <w:hyperlink r:id="rId181" w:history="1">
        <w:r w:rsidRPr="00EA5D8E">
          <w:rPr>
            <w:rStyle w:val="Hyperlink"/>
          </w:rPr>
          <w:t>http://www.abs.gov.au/AUSSTATS/abs@.nsf/Latestproducts/4906.0Glossary12012?opendocument&amp;tabname=Notes&amp;prodno=4906.0&amp;issue=2012&amp;num=&amp;view</w:t>
        </w:r>
      </w:hyperlink>
      <w:r>
        <w:t>&gt;.</w:t>
      </w:r>
    </w:p>
  </w:endnote>
  <w:endnote w:id="725">
    <w:p w14:paraId="3ACDD11A" w14:textId="77777777" w:rsidR="00F008D2" w:rsidRDefault="00F008D2" w:rsidP="00A90ED5">
      <w:pPr>
        <w:pStyle w:val="EndnoteText"/>
      </w:pPr>
      <w:r>
        <w:rPr>
          <w:rStyle w:val="EndnoteReference"/>
        </w:rPr>
        <w:endnoteRef/>
      </w:r>
      <w:r>
        <w:t xml:space="preserve"> Australian Bureau of Statistics, ‘</w:t>
      </w:r>
      <w:r w:rsidRPr="000C467D">
        <w:t>Personal Safety, Australia, 201</w:t>
      </w:r>
      <w:r>
        <w:t>2 – Glossary’ (4906.0, 11 December 2013) &lt;</w:t>
      </w:r>
      <w:hyperlink r:id="rId182" w:history="1">
        <w:r w:rsidRPr="00EA5D8E">
          <w:rPr>
            <w:rStyle w:val="Hyperlink"/>
          </w:rPr>
          <w:t>http://www.abs.gov.au/AUSSTATS/abs@.nsf/Latestproducts/4906.0Glossary12012?opendocument&amp;tabname=Notes&amp;prodno=4906.0&amp;issue=2012&amp;num=&amp;view</w:t>
        </w:r>
      </w:hyperlink>
      <w:r>
        <w:t>&gt;.</w:t>
      </w:r>
    </w:p>
  </w:endnote>
  <w:endnote w:id="726">
    <w:p w14:paraId="04DBB6DA" w14:textId="77777777" w:rsidR="00F008D2" w:rsidRDefault="00F008D2" w:rsidP="00A90ED5">
      <w:pPr>
        <w:pStyle w:val="EndnoteText"/>
      </w:pPr>
      <w:r w:rsidRPr="00894A66">
        <w:rPr>
          <w:rStyle w:val="EndnoteReference"/>
        </w:rPr>
        <w:endnoteRef/>
      </w:r>
      <w:r w:rsidRPr="00894A66">
        <w:t xml:space="preserve"> Australian Bureau of Statistics, ‘Personal Safety, Australia, 2012 – Glossary’ (4906.0, 11 December</w:t>
      </w:r>
      <w:r>
        <w:t xml:space="preserve"> 2013) &lt;</w:t>
      </w:r>
      <w:hyperlink r:id="rId183" w:history="1">
        <w:r w:rsidRPr="00EA5D8E">
          <w:rPr>
            <w:rStyle w:val="Hyperlink"/>
          </w:rPr>
          <w:t>http://www.abs.gov.au/AUSSTATS/abs@.nsf/Latestproducts/4906.0Glossary12012?opendocument&amp;tabname=Notes&amp;prodno=4906.0&amp;issue=2012&amp;num=&amp;view</w:t>
        </w:r>
      </w:hyperlink>
      <w:r>
        <w:t>&gt;.</w:t>
      </w:r>
    </w:p>
  </w:endnote>
  <w:endnote w:id="727">
    <w:p w14:paraId="7C028BF4" w14:textId="77777777" w:rsidR="00F008D2" w:rsidRPr="003449BE" w:rsidRDefault="00F008D2" w:rsidP="00A90ED5">
      <w:pPr>
        <w:pStyle w:val="EndnoteText"/>
      </w:pPr>
      <w:r w:rsidRPr="003449BE">
        <w:rPr>
          <w:rStyle w:val="EndnoteReference"/>
        </w:rPr>
        <w:endnoteRef/>
      </w:r>
      <w:r w:rsidRPr="003449BE">
        <w:t xml:space="preserve"> Personal communication via email on 10 September 2015 with ABS. </w:t>
      </w:r>
    </w:p>
  </w:endnote>
  <w:endnote w:id="728">
    <w:p w14:paraId="08C009C7" w14:textId="77777777" w:rsidR="00F008D2" w:rsidRDefault="00F008D2" w:rsidP="00A90ED5">
      <w:pPr>
        <w:pStyle w:val="EndnoteText"/>
      </w:pPr>
      <w:r w:rsidRPr="003449BE">
        <w:rPr>
          <w:rStyle w:val="EndnoteReference"/>
        </w:rPr>
        <w:endnoteRef/>
      </w:r>
      <w:r w:rsidRPr="003449BE">
        <w:t xml:space="preserve"> Personal communication via email on 10 September 2015 with ABS.</w:t>
      </w:r>
      <w:r>
        <w:t xml:space="preserve"> </w:t>
      </w:r>
    </w:p>
  </w:endnote>
  <w:endnote w:id="729">
    <w:p w14:paraId="4A43CDC4" w14:textId="77777777" w:rsidR="00F008D2" w:rsidRPr="00001517" w:rsidRDefault="00F008D2" w:rsidP="00A90ED5">
      <w:pPr>
        <w:pStyle w:val="EndnoteText"/>
        <w:rPr>
          <w:lang w:val="en-US"/>
        </w:rPr>
      </w:pPr>
      <w:r>
        <w:rPr>
          <w:rStyle w:val="EndnoteReference"/>
        </w:rPr>
        <w:endnoteRef/>
      </w:r>
      <w:r>
        <w:t xml:space="preserve"> </w:t>
      </w:r>
      <w:r w:rsidRPr="00E4161A">
        <w:t>National Centre for Longitudinal Data,</w:t>
      </w:r>
      <w:r>
        <w:t xml:space="preserve"> Submission No 62 </w:t>
      </w:r>
      <w:r w:rsidRPr="00F76AEE">
        <w:t>to</w:t>
      </w:r>
      <w:r>
        <w:t xml:space="preserve"> Australian Human Rights Commission, </w:t>
      </w:r>
      <w:r>
        <w:rPr>
          <w:i/>
        </w:rPr>
        <w:t xml:space="preserve">National Children’s Commissioner’s examination into children affected by family and domestic violence, </w:t>
      </w:r>
      <w:r>
        <w:t xml:space="preserve">8 September 2015, </w:t>
      </w:r>
      <w:r w:rsidRPr="00001517">
        <w:t>2.</w:t>
      </w:r>
    </w:p>
  </w:endnote>
  <w:endnote w:id="730">
    <w:p w14:paraId="2639B411" w14:textId="77777777" w:rsidR="00F008D2" w:rsidRPr="00001517" w:rsidRDefault="00F008D2" w:rsidP="00A90ED5">
      <w:pPr>
        <w:pStyle w:val="EndnoteText"/>
        <w:rPr>
          <w:lang w:val="en-US"/>
        </w:rPr>
      </w:pPr>
      <w:r>
        <w:rPr>
          <w:rStyle w:val="EndnoteReference"/>
        </w:rPr>
        <w:endnoteRef/>
      </w:r>
      <w:r>
        <w:t xml:space="preserve"> </w:t>
      </w:r>
      <w:r w:rsidRPr="00E4161A">
        <w:t>National Centre for Longitudinal Data, Submission No 62 to Australian Human Rights Commission, National Children’s Commissioner’s examination into children affected by family and domestic violence, 8 September 2015, 2.</w:t>
      </w:r>
    </w:p>
  </w:endnote>
  <w:endnote w:id="731">
    <w:p w14:paraId="0EBDBE2E" w14:textId="77777777" w:rsidR="00F008D2" w:rsidRPr="00D6579F" w:rsidRDefault="00F008D2" w:rsidP="00A90ED5">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8</w:t>
      </w:r>
      <w:r w:rsidRPr="00E4369B">
        <w:t>.</w:t>
      </w:r>
    </w:p>
  </w:endnote>
  <w:endnote w:id="732">
    <w:p w14:paraId="2035A190" w14:textId="77777777" w:rsidR="00F008D2" w:rsidRPr="00E4369B" w:rsidRDefault="00F008D2" w:rsidP="00A90ED5">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3</w:t>
      </w:r>
      <w:r w:rsidRPr="00E4369B">
        <w:t>.</w:t>
      </w:r>
    </w:p>
  </w:endnote>
  <w:endnote w:id="733">
    <w:p w14:paraId="4483C34A" w14:textId="77777777" w:rsidR="00F008D2" w:rsidRPr="00E45EB0" w:rsidRDefault="00F008D2" w:rsidP="00A90ED5">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4</w:t>
      </w:r>
      <w:r w:rsidRPr="00E4369B">
        <w:t xml:space="preserve">. </w:t>
      </w:r>
    </w:p>
  </w:endnote>
  <w:endnote w:id="734">
    <w:p w14:paraId="0DE7CDA5" w14:textId="77777777" w:rsidR="00F008D2" w:rsidRPr="00886BF1" w:rsidRDefault="00F008D2" w:rsidP="00A90ED5">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8</w:t>
      </w:r>
      <w:r w:rsidRPr="00E4369B">
        <w:t xml:space="preserve">. </w:t>
      </w:r>
    </w:p>
  </w:endnote>
  <w:endnote w:id="735">
    <w:p w14:paraId="10C8EBAA" w14:textId="77777777" w:rsidR="00F008D2" w:rsidRPr="00C64CAB" w:rsidRDefault="00F008D2" w:rsidP="00A90ED5">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4</w:t>
      </w:r>
      <w:r w:rsidRPr="00E4369B">
        <w:t xml:space="preserve">. </w:t>
      </w:r>
    </w:p>
  </w:endnote>
  <w:endnote w:id="736">
    <w:p w14:paraId="07059F7E" w14:textId="77777777" w:rsidR="00F008D2" w:rsidRDefault="00F008D2" w:rsidP="00A90ED5">
      <w:pPr>
        <w:pStyle w:val="EndnoteText"/>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4</w:t>
      </w:r>
      <w:r w:rsidRPr="00E4369B">
        <w:t xml:space="preserve">. </w:t>
      </w:r>
    </w:p>
  </w:endnote>
  <w:endnote w:id="737">
    <w:p w14:paraId="7DC46A3B" w14:textId="77777777" w:rsidR="00F008D2" w:rsidRPr="0090704F" w:rsidRDefault="00F008D2" w:rsidP="00A90ED5">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6</w:t>
      </w:r>
      <w:r w:rsidRPr="00E4369B">
        <w:t>.</w:t>
      </w:r>
    </w:p>
  </w:endnote>
  <w:endnote w:id="738">
    <w:p w14:paraId="732C41E1" w14:textId="77777777" w:rsidR="00F008D2" w:rsidRPr="00A33846" w:rsidRDefault="00F008D2" w:rsidP="00A90ED5">
      <w:pPr>
        <w:pStyle w:val="EndnoteText"/>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5</w:t>
      </w:r>
      <w:r w:rsidRPr="00E4369B">
        <w:t>.</w:t>
      </w:r>
    </w:p>
  </w:endnote>
  <w:endnote w:id="739">
    <w:p w14:paraId="03E85D09" w14:textId="77777777" w:rsidR="00F008D2" w:rsidRPr="00A33846" w:rsidRDefault="00F008D2" w:rsidP="00A90ED5">
      <w:pPr>
        <w:pStyle w:val="EndnoteText"/>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6</w:t>
      </w:r>
      <w:r w:rsidRPr="00E4369B">
        <w:t>.</w:t>
      </w:r>
    </w:p>
  </w:endnote>
  <w:endnote w:id="740">
    <w:p w14:paraId="0445E556" w14:textId="77777777" w:rsidR="00F008D2" w:rsidRPr="00810AC6" w:rsidRDefault="00F008D2" w:rsidP="00A90ED5">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6</w:t>
      </w:r>
      <w:r w:rsidRPr="00E4369B">
        <w:t>.</w:t>
      </w:r>
    </w:p>
  </w:endnote>
  <w:endnote w:id="741">
    <w:p w14:paraId="087BB72A" w14:textId="77777777" w:rsidR="00F008D2" w:rsidRPr="00810AC6" w:rsidRDefault="00F008D2" w:rsidP="00A90ED5">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6</w:t>
      </w:r>
      <w:r w:rsidRPr="00E4369B">
        <w:t>.</w:t>
      </w:r>
    </w:p>
  </w:endnote>
  <w:endnote w:id="742">
    <w:p w14:paraId="0D2E6C1A" w14:textId="77777777" w:rsidR="00F008D2" w:rsidRPr="002601B3" w:rsidRDefault="00F008D2" w:rsidP="00A90ED5">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7</w:t>
      </w:r>
      <w:r w:rsidRPr="00E4369B">
        <w:t>.</w:t>
      </w:r>
    </w:p>
  </w:endnote>
  <w:endnote w:id="743">
    <w:p w14:paraId="48F5CA81" w14:textId="77777777" w:rsidR="00F008D2" w:rsidRPr="0067327F" w:rsidRDefault="00F008D2" w:rsidP="00A90ED5">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6</w:t>
      </w:r>
      <w:r w:rsidRPr="00E4369B">
        <w:t>.</w:t>
      </w:r>
    </w:p>
  </w:endnote>
  <w:endnote w:id="744">
    <w:p w14:paraId="1866A563" w14:textId="77777777" w:rsidR="00F008D2" w:rsidRPr="00ED3853" w:rsidRDefault="00F008D2" w:rsidP="00A90ED5">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4.</w:t>
      </w:r>
    </w:p>
  </w:endnote>
  <w:endnote w:id="745">
    <w:p w14:paraId="34E3775F" w14:textId="77777777" w:rsidR="00F008D2" w:rsidRPr="006126DB" w:rsidRDefault="00F008D2" w:rsidP="00A90ED5">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8</w:t>
      </w:r>
      <w:r w:rsidRPr="00E4369B">
        <w:t>.</w:t>
      </w:r>
    </w:p>
  </w:endnote>
  <w:endnote w:id="746">
    <w:p w14:paraId="15673807" w14:textId="77777777" w:rsidR="00F008D2" w:rsidRPr="00874A74" w:rsidRDefault="00F008D2" w:rsidP="00A90ED5">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7</w:t>
      </w:r>
      <w:r w:rsidRPr="00E4369B">
        <w:t>.</w:t>
      </w:r>
    </w:p>
  </w:endnote>
  <w:endnote w:id="747">
    <w:p w14:paraId="33DD2715" w14:textId="77777777" w:rsidR="00F008D2" w:rsidRPr="00AC4829" w:rsidRDefault="00F008D2" w:rsidP="00A90ED5">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7</w:t>
      </w:r>
      <w:r w:rsidRPr="00E4369B">
        <w:t>.</w:t>
      </w:r>
    </w:p>
  </w:endnote>
  <w:endnote w:id="748">
    <w:p w14:paraId="46310F7E" w14:textId="77777777" w:rsidR="00F008D2" w:rsidRPr="00111FF6" w:rsidRDefault="00F008D2" w:rsidP="00A90ED5">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7</w:t>
      </w:r>
      <w:r w:rsidRPr="00E4369B">
        <w:t>.</w:t>
      </w:r>
    </w:p>
  </w:endnote>
  <w:endnote w:id="749">
    <w:p w14:paraId="632C3DD2" w14:textId="77777777" w:rsidR="00F008D2" w:rsidRPr="00D43CB4" w:rsidRDefault="00F008D2" w:rsidP="00A90ED5">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6</w:t>
      </w:r>
      <w:r w:rsidRPr="00E4369B">
        <w:t>.</w:t>
      </w:r>
    </w:p>
  </w:endnote>
  <w:endnote w:id="750">
    <w:p w14:paraId="334C9474" w14:textId="77777777" w:rsidR="00F008D2" w:rsidRPr="00975471" w:rsidRDefault="00F008D2" w:rsidP="00A90ED5">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12.</w:t>
      </w:r>
    </w:p>
  </w:endnote>
  <w:endnote w:id="751">
    <w:p w14:paraId="1BE806F3" w14:textId="77777777" w:rsidR="00F008D2" w:rsidRPr="005F5DBF" w:rsidRDefault="00F008D2" w:rsidP="00A90ED5">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12.</w:t>
      </w:r>
    </w:p>
  </w:endnote>
  <w:endnote w:id="752">
    <w:p w14:paraId="2F5F65D4" w14:textId="77777777" w:rsidR="00F008D2" w:rsidRPr="00F70867" w:rsidRDefault="00F008D2" w:rsidP="00A90ED5">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12.</w:t>
      </w:r>
    </w:p>
  </w:endnote>
  <w:endnote w:id="753">
    <w:p w14:paraId="79D24FC7" w14:textId="77777777" w:rsidR="00F008D2" w:rsidRPr="00714481" w:rsidRDefault="00F008D2" w:rsidP="00A90ED5">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13.</w:t>
      </w:r>
    </w:p>
  </w:endnote>
  <w:endnote w:id="754">
    <w:p w14:paraId="144B765D" w14:textId="77777777" w:rsidR="00F008D2" w:rsidRPr="003C69CF" w:rsidRDefault="00F008D2" w:rsidP="00A90ED5">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12.</w:t>
      </w:r>
    </w:p>
  </w:endnote>
  <w:endnote w:id="755">
    <w:p w14:paraId="2E088502" w14:textId="77777777" w:rsidR="00F008D2" w:rsidRPr="003C69CF" w:rsidRDefault="00F008D2" w:rsidP="00A90ED5">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12.</w:t>
      </w:r>
    </w:p>
  </w:endnote>
  <w:endnote w:id="756">
    <w:p w14:paraId="17E3728C" w14:textId="77777777" w:rsidR="00F008D2" w:rsidRPr="008F7FED" w:rsidRDefault="00F008D2" w:rsidP="00A90ED5">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8.</w:t>
      </w:r>
    </w:p>
  </w:endnote>
  <w:endnote w:id="757">
    <w:p w14:paraId="0BAE3004" w14:textId="77777777" w:rsidR="00F008D2" w:rsidRPr="00946FDE" w:rsidRDefault="00F008D2" w:rsidP="00A90ED5">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8</w:t>
      </w:r>
    </w:p>
  </w:endnote>
  <w:endnote w:id="758">
    <w:p w14:paraId="3474C40C" w14:textId="77777777" w:rsidR="00F008D2" w:rsidRPr="00B502FE" w:rsidRDefault="00F008D2" w:rsidP="00A90ED5">
      <w:pPr>
        <w:pStyle w:val="EndnoteText"/>
        <w:rPr>
          <w:lang w:val="en-US"/>
        </w:rPr>
      </w:pPr>
      <w:r>
        <w:rPr>
          <w:rStyle w:val="EndnoteReference"/>
        </w:rPr>
        <w:endnoteRef/>
      </w:r>
      <w:r>
        <w:t xml:space="preserve"> </w:t>
      </w:r>
      <w:r w:rsidRPr="00E4369B">
        <w:t>BoysTown</w:t>
      </w:r>
      <w:r>
        <w:t xml:space="preserve"> (Kids Helpline), Submission No 14 </w:t>
      </w:r>
      <w:r w:rsidRPr="00422F51">
        <w:t xml:space="preserve">to Australian Human Rights Commission, </w:t>
      </w:r>
      <w:r w:rsidRPr="0082462D">
        <w:rPr>
          <w:i/>
        </w:rPr>
        <w:t>National Children’s Commissioner’s examination into children affected by family and domestic violence</w:t>
      </w:r>
      <w:r>
        <w:t>, 2 June 2015, 8</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GQFXIJ+HelveticaNeue">
    <w:altName w:val="Helvetica Neue"/>
    <w:panose1 w:val="00000000000000000000"/>
    <w:charset w:val="00"/>
    <w:family w:val="swiss"/>
    <w:notTrueType/>
    <w:pitch w:val="default"/>
    <w:sig w:usb0="00000003" w:usb1="00000000" w:usb2="00000000" w:usb3="00000000" w:csb0="00000001" w:csb1="00000000"/>
  </w:font>
  <w:font w:name="Meta-Normal">
    <w:altName w:val="Meta-Normal"/>
    <w:panose1 w:val="00000000000000000000"/>
    <w:charset w:val="00"/>
    <w:family w:val="swiss"/>
    <w:notTrueType/>
    <w:pitch w:val="default"/>
    <w:sig w:usb0="00000003" w:usb1="00000000" w:usb2="00000000" w:usb3="00000000" w:csb0="00000001" w:csb1="00000000"/>
  </w:font>
  <w:font w:name="Lucida Grande">
    <w:charset w:val="00"/>
    <w:family w:val="auto"/>
    <w:pitch w:val="variable"/>
    <w:sig w:usb0="E1000AEF" w:usb1="5000A1FF" w:usb2="00000000" w:usb3="00000000" w:csb0="000001B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A00002EF" w:usb1="4000207B" w:usb2="00000000" w:usb3="00000000" w:csb0="0000019F" w:csb1="00000000"/>
  </w:font>
  <w:font w:name="ArialUnicodeMS">
    <w:altName w:val="Arial Unicode MS"/>
    <w:charset w:val="00"/>
    <w:family w:val="roman"/>
    <w:pitch w:val="default"/>
  </w:font>
  <w:font w:name="Helvetica 55 Roman">
    <w:altName w:val="Helvetica 55 Roman"/>
    <w:panose1 w:val="00000000000000000000"/>
    <w:charset w:val="00"/>
    <w:family w:val="swiss"/>
    <w:notTrueType/>
    <w:pitch w:val="default"/>
    <w:sig w:usb0="00000003" w:usb1="00000000" w:usb2="00000000" w:usb3="00000000" w:csb0="00000001" w:csb1="00000000"/>
  </w:font>
  <w:font w:name="TT60o00">
    <w:altName w:val="Cambria"/>
    <w:panose1 w:val="00000000000000000000"/>
    <w:charset w:val="00"/>
    <w:family w:val="auto"/>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InfoTextBook-Italic">
    <w:altName w:val="Cambria"/>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Helvetica Neue">
    <w:altName w:val="Times New Roman"/>
    <w:panose1 w:val="00000000000000000000"/>
    <w:charset w:val="00"/>
    <w:family w:val="roman"/>
    <w:notTrueType/>
    <w:pitch w:val="default"/>
  </w:font>
  <w:font w:name="Trade Gothic LT Std Light">
    <w:altName w:val="Trade Gothic LT Std Light"/>
    <w:panose1 w:val="00000000000000000000"/>
    <w:charset w:val="00"/>
    <w:family w:val="swiss"/>
    <w:notTrueType/>
    <w:pitch w:val="default"/>
    <w:sig w:usb0="00000003" w:usb1="00000000" w:usb2="00000000" w:usb3="00000000" w:csb0="00000001" w:csb1="00000000"/>
  </w:font>
  <w:font w:name="MuseoSans-300">
    <w:altName w:val="Cambria"/>
    <w:panose1 w:val="00000000000000000000"/>
    <w:charset w:val="00"/>
    <w:family w:val="swiss"/>
    <w:notTrueType/>
    <w:pitch w:val="default"/>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LucidaGrande">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A5BEA4" w14:textId="77777777" w:rsidR="00F008D2" w:rsidRPr="0090165F" w:rsidRDefault="00F008D2" w:rsidP="00162A8D">
    <w:pPr>
      <w:pStyle w:val="Footer"/>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7FC78C" w14:textId="77777777" w:rsidR="00F008D2" w:rsidRPr="004A187B" w:rsidRDefault="00F008D2" w:rsidP="008B23BC">
    <w:pPr>
      <w:pStyle w:val="Footer"/>
    </w:pPr>
    <w:r>
      <w:rPr>
        <w:noProof/>
      </w:rPr>
      <mc:AlternateContent>
        <mc:Choice Requires="wps">
          <w:drawing>
            <wp:anchor distT="0" distB="0" distL="114300" distR="114300" simplePos="0" relativeHeight="251660288" behindDoc="0" locked="0" layoutInCell="1" allowOverlap="1" wp14:anchorId="607F1FC7" wp14:editId="07F30F21">
              <wp:simplePos x="0" y="0"/>
              <wp:positionH relativeFrom="column">
                <wp:posOffset>-548005</wp:posOffset>
              </wp:positionH>
              <wp:positionV relativeFrom="paragraph">
                <wp:posOffset>-1339215</wp:posOffset>
              </wp:positionV>
              <wp:extent cx="6071235" cy="906780"/>
              <wp:effectExtent l="0" t="0" r="5715" b="762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71235" cy="906780"/>
                      </a:xfrm>
                      <a:prstGeom prst="rect">
                        <a:avLst/>
                      </a:prstGeom>
                      <a:noFill/>
                      <a:ln w="6350">
                        <a:noFill/>
                      </a:ln>
                      <a:effectLst/>
                    </wps:spPr>
                    <wps:txbx>
                      <w:txbxContent>
                        <w:p w14:paraId="7D06F0DC" w14:textId="77777777" w:rsidR="00F008D2" w:rsidRPr="0003606D" w:rsidRDefault="00F008D2" w:rsidP="00730BD2">
                          <w:pPr>
                            <w:pStyle w:val="coveraddress"/>
                          </w:pPr>
                          <w:r w:rsidRPr="0003606D">
                            <w:t>ABN 47 996 232 602</w:t>
                          </w:r>
                        </w:p>
                        <w:p w14:paraId="0E5331A5" w14:textId="77777777" w:rsidR="00F008D2" w:rsidRPr="0003606D" w:rsidRDefault="00F008D2" w:rsidP="00730BD2">
                          <w:pPr>
                            <w:pStyle w:val="coveraddress"/>
                          </w:pPr>
                          <w:r w:rsidRPr="0003606D">
                            <w:t>Level 3, 175 Pitt Street, Sydney NSW 2000</w:t>
                          </w:r>
                        </w:p>
                        <w:p w14:paraId="28A43506" w14:textId="77777777" w:rsidR="00F008D2" w:rsidRPr="0003606D" w:rsidRDefault="00F008D2" w:rsidP="00730BD2">
                          <w:pPr>
                            <w:pStyle w:val="coveraddress"/>
                          </w:pPr>
                          <w:r w:rsidRPr="0003606D">
                            <w:t>GPO Box 5218, Sydney NSW 2001</w:t>
                          </w:r>
                        </w:p>
                        <w:p w14:paraId="3E92F5DB" w14:textId="77777777" w:rsidR="00F008D2" w:rsidRPr="0003606D" w:rsidRDefault="00F008D2" w:rsidP="00730BD2">
                          <w:pPr>
                            <w:pStyle w:val="coveraddress"/>
                          </w:pPr>
                          <w:r w:rsidRPr="0003606D">
                            <w:t>General enquiries 1300 369 711</w:t>
                          </w:r>
                        </w:p>
                        <w:p w14:paraId="26EEA1C2" w14:textId="77777777" w:rsidR="00F008D2" w:rsidRPr="0003606D" w:rsidRDefault="00F008D2" w:rsidP="00730BD2">
                          <w:pPr>
                            <w:pStyle w:val="coveraddress"/>
                          </w:pPr>
                          <w:r w:rsidRPr="0003606D">
                            <w:t>Complaints info line 1300 656 419</w:t>
                          </w:r>
                        </w:p>
                        <w:p w14:paraId="2BC06918" w14:textId="77777777" w:rsidR="00F008D2" w:rsidRPr="0003606D" w:rsidRDefault="00F008D2" w:rsidP="00730BD2">
                          <w:pPr>
                            <w:pStyle w:val="coveraddress"/>
                          </w:pPr>
                          <w:r w:rsidRPr="0003606D">
                            <w:t>TTY 1800 620 241</w:t>
                          </w:r>
                        </w:p>
                        <w:p w14:paraId="0F8C7A7D" w14:textId="77777777" w:rsidR="00F008D2" w:rsidRPr="00B63D24" w:rsidRDefault="00F008D2" w:rsidP="00730BD2">
                          <w:pPr>
                            <w:pStyle w:val="Footer"/>
                          </w:pPr>
                          <w:r w:rsidRPr="00B63D24">
                            <w:tab/>
                          </w:r>
                        </w:p>
                        <w:p w14:paraId="1B43CCCD" w14:textId="77777777" w:rsidR="00F008D2" w:rsidRPr="00B63D24" w:rsidRDefault="00F008D2" w:rsidP="00B63D24">
                          <w:pPr>
                            <w:pStyle w:val="Foo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07F1FC7" id="_x0000_t202" coordsize="21600,21600" o:spt="202" path="m,l,21600r21600,l21600,xe">
              <v:stroke joinstyle="miter"/>
              <v:path gradientshapeok="t" o:connecttype="rect"/>
            </v:shapetype>
            <v:shape id="Text Box 9" o:spid="_x0000_s1032" type="#_x0000_t202" style="position:absolute;margin-left:-43.15pt;margin-top:-105.45pt;width:478.05pt;height:71.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RBnMwIAAGgEAAAOAAAAZHJzL2Uyb0RvYy54bWysVN9v2jAQfp+0/8Hy+0igKi0RoWKtmCah&#10;thJUfTaODdFsn2cbEvbX7+wktOr2NO3FOfu++/ndZX7XakVOwvkaTEnHo5wSYThUtdmX9GW7+nJL&#10;iQ/MVEyBESU9C0/vFp8/zRtbiAkcQFXCEXRifNHYkh5CsEWWeX4QmvkRWGFQKcFpFvDq9lnlWIPe&#10;tcomeT7NGnCVdcCF9/j60CnpIvmXUvDwJKUXgaiSYm4hnS6du3hmizkr9o7ZQ837NNg/ZKFZbTDo&#10;xdUDC4wcXf2HK11zBx5kGHHQGUhZc5FqwGrG+YdqNgdmRaoFm+PtpU3+/7nlj6dnR+qqpDNKDNNI&#10;0Va0gXyFlsxidxrrCwRtLMJCi8/IcqrU2zXwHx4h2TtMZ+ARHbvRSqfjF+skaIgEnC9Nj1E4Pk7z&#10;m/Hk6poSjrpZPr25Taxkb9bW+fBNgCZRKKlDUlMG7LT2IcZnxQCJwQysaqUSscqQBiNcXefJ4KJB&#10;C2UiVqQR6d3EMrrMoxTaXdvXv4PqjOU76MbHW76qMZU18+GZOZwXLAx3IDzhIRVgSOglSg7gfv3t&#10;PeKRRtRS0uD8ldT/PDInKFHfDRIch3UQ3CDsBsEc9T3gSI9xuyxPIhq4oAZROtCvuBrLGAVVzHCM&#10;VdIwiPeh2wJcLS6WywTCkbQsrM3G8oHl2Nht+8qc7bsfkLdHGCaTFR9I6LAdDctjAFknhmJDuy72&#10;44LjnIjrVy/uy/t7Qr39IBa/AQAA//8DAFBLAwQUAAYACAAAACEAOcnz0OEAAAAMAQAADwAAAGRy&#10;cy9kb3ducmV2LnhtbEyPQU/DMAyF70j8h8hI3LakQ6u60nRCSIgTQmyAOGaNabs1Tmmytvx7zAlu&#10;tt/T8/eK7ew6MeIQWk8akqUCgVR521Kt4XX/sMhAhGjIms4TavjGANvy8qIwufUTveC4i7XgEAq5&#10;0dDE2OdShqpBZ8LS90isffrBmcjrUEs7mInDXSdXSqXSmZb4Q2N6vG+wOu3OTsPePx6P07sav57X&#10;9PaB66dTHaPW11fz3S2IiHP8M8MvPqNDyUwHfyYbRKdhkaU3bOVhlagNCLZk6YbbHPiUZgnIspD/&#10;S5Q/AAAA//8DAFBLAQItABQABgAIAAAAIQC2gziS/gAAAOEBAAATAAAAAAAAAAAAAAAAAAAAAABb&#10;Q29udGVudF9UeXBlc10ueG1sUEsBAi0AFAAGAAgAAAAhADj9If/WAAAAlAEAAAsAAAAAAAAAAAAA&#10;AAAALwEAAF9yZWxzLy5yZWxzUEsBAi0AFAAGAAgAAAAhAIaVEGczAgAAaAQAAA4AAAAAAAAAAAAA&#10;AAAALgIAAGRycy9lMm9Eb2MueG1sUEsBAi0AFAAGAAgAAAAhADnJ89DhAAAADAEAAA8AAAAAAAAA&#10;AAAAAAAAjQQAAGRycy9kb3ducmV2LnhtbFBLBQYAAAAABAAEAPMAAACbBQAAAAA=&#10;" filled="f" stroked="f" strokeweight=".5pt">
              <v:path arrowok="t"/>
              <v:textbox inset="0,0,0,0">
                <w:txbxContent>
                  <w:p w14:paraId="7D06F0DC" w14:textId="77777777" w:rsidR="00F008D2" w:rsidRPr="0003606D" w:rsidRDefault="00F008D2" w:rsidP="00730BD2">
                    <w:pPr>
                      <w:pStyle w:val="coveraddress"/>
                    </w:pPr>
                    <w:r w:rsidRPr="0003606D">
                      <w:t>ABN 47 996 232 602</w:t>
                    </w:r>
                  </w:p>
                  <w:p w14:paraId="0E5331A5" w14:textId="77777777" w:rsidR="00F008D2" w:rsidRPr="0003606D" w:rsidRDefault="00F008D2" w:rsidP="00730BD2">
                    <w:pPr>
                      <w:pStyle w:val="coveraddress"/>
                    </w:pPr>
                    <w:r w:rsidRPr="0003606D">
                      <w:t>Level 3, 175 Pitt Street, Sydney NSW 2000</w:t>
                    </w:r>
                  </w:p>
                  <w:p w14:paraId="28A43506" w14:textId="77777777" w:rsidR="00F008D2" w:rsidRPr="0003606D" w:rsidRDefault="00F008D2" w:rsidP="00730BD2">
                    <w:pPr>
                      <w:pStyle w:val="coveraddress"/>
                    </w:pPr>
                    <w:r w:rsidRPr="0003606D">
                      <w:t>GPO Box 5218, Sydney NSW 2001</w:t>
                    </w:r>
                  </w:p>
                  <w:p w14:paraId="3E92F5DB" w14:textId="77777777" w:rsidR="00F008D2" w:rsidRPr="0003606D" w:rsidRDefault="00F008D2" w:rsidP="00730BD2">
                    <w:pPr>
                      <w:pStyle w:val="coveraddress"/>
                    </w:pPr>
                    <w:r w:rsidRPr="0003606D">
                      <w:t>General enquiries 1300 369 711</w:t>
                    </w:r>
                  </w:p>
                  <w:p w14:paraId="26EEA1C2" w14:textId="77777777" w:rsidR="00F008D2" w:rsidRPr="0003606D" w:rsidRDefault="00F008D2" w:rsidP="00730BD2">
                    <w:pPr>
                      <w:pStyle w:val="coveraddress"/>
                    </w:pPr>
                    <w:r w:rsidRPr="0003606D">
                      <w:t>Complaints info line 1300 656 419</w:t>
                    </w:r>
                  </w:p>
                  <w:p w14:paraId="2BC06918" w14:textId="77777777" w:rsidR="00F008D2" w:rsidRPr="0003606D" w:rsidRDefault="00F008D2" w:rsidP="00730BD2">
                    <w:pPr>
                      <w:pStyle w:val="coveraddress"/>
                    </w:pPr>
                    <w:r w:rsidRPr="0003606D">
                      <w:t>TTY 1800 620 241</w:t>
                    </w:r>
                  </w:p>
                  <w:p w14:paraId="0F8C7A7D" w14:textId="77777777" w:rsidR="00F008D2" w:rsidRPr="00B63D24" w:rsidRDefault="00F008D2" w:rsidP="00730BD2">
                    <w:pPr>
                      <w:pStyle w:val="Footer"/>
                    </w:pPr>
                    <w:r w:rsidRPr="00B63D24">
                      <w:tab/>
                    </w:r>
                  </w:p>
                  <w:p w14:paraId="1B43CCCD" w14:textId="77777777" w:rsidR="00F008D2" w:rsidRPr="00B63D24" w:rsidRDefault="00F008D2" w:rsidP="00B63D24">
                    <w:pPr>
                      <w:pStyle w:val="Footer"/>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7945F7" w14:textId="77777777" w:rsidR="00F008D2" w:rsidRPr="0090165F" w:rsidRDefault="00F008D2" w:rsidP="00162A8D">
    <w:pPr>
      <w:pStyle w:val="Footer"/>
      <w:jc w:val="right"/>
    </w:pPr>
    <w:r>
      <w:rPr>
        <w:rStyle w:val="PageNumber"/>
      </w:rPr>
      <w:fldChar w:fldCharType="begin"/>
    </w:r>
    <w:r>
      <w:rPr>
        <w:rStyle w:val="PageNumber"/>
      </w:rPr>
      <w:instrText xml:space="preserve"> PAGE </w:instrText>
    </w:r>
    <w:r>
      <w:rPr>
        <w:rStyle w:val="PageNumber"/>
      </w:rPr>
      <w:fldChar w:fldCharType="separate"/>
    </w:r>
    <w:r w:rsidR="0086430A">
      <w:rPr>
        <w:rStyle w:val="PageNumber"/>
        <w:noProof/>
      </w:rPr>
      <w:t>2</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45DF675" w14:textId="77777777" w:rsidR="00F008D2" w:rsidRDefault="00F008D2" w:rsidP="00F14C6D">
      <w:r>
        <w:separator/>
      </w:r>
    </w:p>
  </w:footnote>
  <w:footnote w:type="continuationSeparator" w:id="0">
    <w:p w14:paraId="1D394B79" w14:textId="77777777" w:rsidR="00F008D2" w:rsidRDefault="00F008D2"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762077" w14:textId="77777777" w:rsidR="00F008D2" w:rsidRDefault="0086430A">
    <w:pPr>
      <w:pStyle w:val="Header"/>
    </w:pPr>
    <w:r>
      <w:rPr>
        <w:noProof/>
      </w:rPr>
      <w:pict w14:anchorId="20859FE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8" o:spid="_x0000_s2050" type="#_x0000_t75" style="position:absolute;margin-left:0;margin-top:0;width:595.65pt;height:870.15pt;z-index:-251660288;mso-position-horizontal:center;mso-position-horizontal-relative:margin;mso-position-vertical:center;mso-position-vertical-relative:margin" o:allowincell="f">
          <v:imagedata r:id="rId1" o:title="MS word cover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1C6CF4" w14:textId="77777777" w:rsidR="00F008D2" w:rsidRPr="00D27262" w:rsidRDefault="0086430A" w:rsidP="002B1B65">
    <w:pPr>
      <w:spacing w:before="0" w:after="0"/>
      <w:jc w:val="right"/>
      <w:rPr>
        <w:sz w:val="22"/>
        <w:szCs w:val="22"/>
      </w:rPr>
    </w:pPr>
    <w:r>
      <w:rPr>
        <w:noProof/>
        <w:sz w:val="22"/>
        <w:szCs w:val="22"/>
      </w:rPr>
      <w:pict w14:anchorId="4154F3A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9" o:spid="_x0000_s2051" type="#_x0000_t75" style="position:absolute;left:0;text-align:left;margin-left:0;margin-top:0;width:595.65pt;height:870.15pt;z-index:-251659264;mso-position-horizontal:center;mso-position-horizontal-relative:margin;mso-position-vertical:center;mso-position-vertical-relative:margin" o:allowincell="f">
          <v:imagedata r:id="rId1" o:title="MS word cover1"/>
          <w10:wrap anchorx="margin" anchory="margin"/>
        </v:shape>
      </w:pict>
    </w:r>
    <w:r w:rsidR="00F008D2" w:rsidRPr="00D27262">
      <w:rPr>
        <w:sz w:val="22"/>
        <w:szCs w:val="22"/>
      </w:rPr>
      <w:t>Au</w:t>
    </w:r>
    <w:r w:rsidR="00F008D2">
      <w:rPr>
        <w:sz w:val="22"/>
        <w:szCs w:val="22"/>
      </w:rPr>
      <w:t>stralian Human Rights Commission</w:t>
    </w:r>
  </w:p>
  <w:p w14:paraId="288CAE93" w14:textId="77777777" w:rsidR="00F008D2" w:rsidRDefault="00F008D2" w:rsidP="002B1B65">
    <w:pPr>
      <w:pStyle w:val="Footer"/>
      <w:jc w:val="right"/>
      <w:rPr>
        <w:i/>
        <w:szCs w:val="22"/>
      </w:rPr>
    </w:pPr>
    <w:r w:rsidRPr="00D27262">
      <w:rPr>
        <w:b/>
        <w:i/>
        <w:szCs w:val="22"/>
      </w:rPr>
      <w:t>Short document title</w:t>
    </w:r>
    <w:r w:rsidRPr="00D27262">
      <w:rPr>
        <w:i/>
        <w:szCs w:val="22"/>
      </w:rPr>
      <w:t xml:space="preserve">, </w:t>
    </w:r>
    <w:r>
      <w:rPr>
        <w:i/>
        <w:szCs w:val="22"/>
      </w:rPr>
      <w:t>Short description – Date</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F008D2" w:rsidRPr="00B85DD4" w14:paraId="04E7EA15" w14:textId="77777777" w:rsidTr="00165E3C">
      <w:trPr>
        <w:trHeight w:val="1276"/>
      </w:trPr>
      <w:tc>
        <w:tcPr>
          <w:tcW w:w="1508" w:type="dxa"/>
        </w:tcPr>
        <w:p w14:paraId="32DE91F8" w14:textId="77777777" w:rsidR="00F008D2" w:rsidRPr="00B85DD4" w:rsidRDefault="00F008D2" w:rsidP="00B520BC">
          <w:pPr>
            <w:pStyle w:val="Header"/>
            <w:tabs>
              <w:tab w:val="left" w:pos="4686"/>
              <w:tab w:val="left" w:pos="7088"/>
              <w:tab w:val="left" w:pos="7242"/>
            </w:tabs>
            <w:ind w:left="-108"/>
            <w:rPr>
              <w:rFonts w:cs="ArialMT"/>
              <w:b/>
              <w:spacing w:val="-20"/>
            </w:rPr>
          </w:pPr>
        </w:p>
      </w:tc>
      <w:tc>
        <w:tcPr>
          <w:tcW w:w="2688" w:type="dxa"/>
          <w:vAlign w:val="center"/>
        </w:tcPr>
        <w:p w14:paraId="1F92A2C6" w14:textId="77777777" w:rsidR="00F008D2" w:rsidRPr="00B85DD4" w:rsidRDefault="00F008D2" w:rsidP="002B1B65">
          <w:pPr>
            <w:spacing w:before="0" w:after="0"/>
            <w:rPr>
              <w:rFonts w:cs="ArialMT"/>
              <w:i/>
              <w:color w:val="808080"/>
              <w:sz w:val="17"/>
            </w:rPr>
          </w:pPr>
        </w:p>
      </w:tc>
      <w:tc>
        <w:tcPr>
          <w:tcW w:w="2302" w:type="dxa"/>
        </w:tcPr>
        <w:p w14:paraId="577B4AF0" w14:textId="77777777" w:rsidR="00F008D2" w:rsidRPr="00B85DD4" w:rsidRDefault="00F008D2" w:rsidP="00B520BC">
          <w:pPr>
            <w:pStyle w:val="HeaderFooter"/>
            <w:rPr>
              <w:b/>
              <w:spacing w:val="-20"/>
              <w:sz w:val="40"/>
            </w:rPr>
          </w:pPr>
        </w:p>
      </w:tc>
      <w:tc>
        <w:tcPr>
          <w:tcW w:w="2130" w:type="dxa"/>
        </w:tcPr>
        <w:p w14:paraId="2FF6BE31" w14:textId="77777777" w:rsidR="00F008D2" w:rsidRPr="00B85DD4" w:rsidRDefault="00F008D2" w:rsidP="00B520BC">
          <w:pPr>
            <w:pStyle w:val="HeaderFooter"/>
            <w:rPr>
              <w:b/>
              <w:spacing w:val="-20"/>
              <w:sz w:val="40"/>
            </w:rPr>
          </w:pPr>
        </w:p>
      </w:tc>
      <w:tc>
        <w:tcPr>
          <w:tcW w:w="1721" w:type="dxa"/>
        </w:tcPr>
        <w:p w14:paraId="27EB31F2" w14:textId="77777777" w:rsidR="00F008D2" w:rsidRPr="00B85DD4" w:rsidRDefault="00F008D2" w:rsidP="00B520BC">
          <w:pPr>
            <w:pStyle w:val="HeaderFooter"/>
            <w:spacing w:before="227" w:after="340"/>
            <w:rPr>
              <w:b/>
              <w:spacing w:val="-20"/>
              <w:sz w:val="40"/>
            </w:rPr>
          </w:pPr>
        </w:p>
      </w:tc>
    </w:tr>
  </w:tbl>
  <w:p w14:paraId="500BE0F3" w14:textId="77777777" w:rsidR="00F008D2" w:rsidRDefault="0086430A">
    <w:pPr>
      <w:pStyle w:val="Header"/>
    </w:pPr>
    <w:r>
      <w:rPr>
        <w:rFonts w:cs="ArialMT"/>
        <w:b/>
        <w:noProof/>
        <w:spacing w:val="-20"/>
      </w:rPr>
      <w:pict w14:anchorId="731536F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7" o:spid="_x0000_s2056" type="#_x0000_t75" style="position:absolute;margin-left:-71.05pt;margin-top:-116pt;width:595.65pt;height:870.15pt;z-index:-251661312;mso-position-horizontal-relative:margin;mso-position-vertical-relative:margin" o:allowincell="f">
          <v:imagedata r:id="rId1" o:title="MS word cover1"/>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0E8B65" w14:textId="77777777" w:rsidR="00F008D2" w:rsidRDefault="0086430A">
    <w:pPr>
      <w:pStyle w:val="Header"/>
    </w:pPr>
    <w:r>
      <w:rPr>
        <w:noProof/>
      </w:rPr>
      <w:pict w14:anchorId="299B7FA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1" o:spid="_x0000_s2053" type="#_x0000_t75" style="position:absolute;margin-left:0;margin-top:0;width:595.65pt;height:870.15pt;z-index:-251657216;mso-position-horizontal:center;mso-position-horizontal-relative:margin;mso-position-vertical:center;mso-position-vertical-relative:margin" o:allowincell="f">
          <v:imagedata r:id="rId1" o:title="MS word cover1"/>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A73A21" w14:textId="77777777" w:rsidR="00F008D2" w:rsidRPr="00D27262" w:rsidRDefault="00F008D2" w:rsidP="00B34946">
    <w:pPr>
      <w:spacing w:before="0" w:after="60"/>
      <w:jc w:val="right"/>
      <w:rPr>
        <w:sz w:val="22"/>
        <w:szCs w:val="22"/>
      </w:rPr>
    </w:pPr>
    <w:r w:rsidRPr="00D27262">
      <w:rPr>
        <w:sz w:val="22"/>
        <w:szCs w:val="22"/>
      </w:rPr>
      <w:t>Au</w:t>
    </w:r>
    <w:r>
      <w:rPr>
        <w:sz w:val="22"/>
        <w:szCs w:val="22"/>
      </w:rPr>
      <w:t>stralian Human Rights Commission</w:t>
    </w:r>
  </w:p>
  <w:p w14:paraId="596E02FE" w14:textId="77777777" w:rsidR="00F008D2" w:rsidRPr="001E5676" w:rsidRDefault="00F008D2" w:rsidP="002F4CE1">
    <w:pPr>
      <w:pStyle w:val="Footer"/>
      <w:spacing w:after="240"/>
      <w:jc w:val="right"/>
      <w:rPr>
        <w:i/>
        <w:sz w:val="18"/>
        <w:szCs w:val="18"/>
      </w:rPr>
    </w:pPr>
    <w:r>
      <w:rPr>
        <w:b/>
        <w:i/>
        <w:sz w:val="18"/>
        <w:szCs w:val="18"/>
      </w:rPr>
      <w:t>Children’s Rights Report 2015</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F008D2" w:rsidRPr="00B85DD4" w14:paraId="627CABD7" w14:textId="77777777" w:rsidTr="002B1B65">
      <w:trPr>
        <w:trHeight w:val="1603"/>
      </w:trPr>
      <w:tc>
        <w:tcPr>
          <w:tcW w:w="1508" w:type="dxa"/>
        </w:tcPr>
        <w:p w14:paraId="36BA0BD1" w14:textId="77777777" w:rsidR="00F008D2" w:rsidRPr="00B85DD4" w:rsidRDefault="00F008D2" w:rsidP="00B520BC">
          <w:pPr>
            <w:pStyle w:val="Header"/>
            <w:tabs>
              <w:tab w:val="left" w:pos="4686"/>
              <w:tab w:val="left" w:pos="7088"/>
              <w:tab w:val="left" w:pos="7242"/>
            </w:tabs>
            <w:ind w:left="-108"/>
            <w:rPr>
              <w:rFonts w:cs="ArialMT"/>
              <w:b/>
              <w:spacing w:val="-20"/>
            </w:rPr>
          </w:pPr>
          <w:r w:rsidRPr="00140274">
            <w:rPr>
              <w:rFonts w:cs="ArialMT"/>
              <w:b/>
              <w:noProof/>
              <w:spacing w:val="-20"/>
            </w:rPr>
            <w:drawing>
              <wp:inline distT="0" distB="0" distL="0" distR="0" wp14:anchorId="4D7C4198" wp14:editId="32ED3298">
                <wp:extent cx="819785" cy="819785"/>
                <wp:effectExtent l="0" t="0" r="0" b="0"/>
                <wp:docPr id="673" name="Picture 2" descr="Description: HREOC-Globe_PMS_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HREOC-Globe_PMS_PO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9785" cy="819785"/>
                        </a:xfrm>
                        <a:prstGeom prst="rect">
                          <a:avLst/>
                        </a:prstGeom>
                        <a:noFill/>
                        <a:ln>
                          <a:noFill/>
                        </a:ln>
                      </pic:spPr>
                    </pic:pic>
                  </a:graphicData>
                </a:graphic>
              </wp:inline>
            </w:drawing>
          </w:r>
        </w:p>
      </w:tc>
      <w:tc>
        <w:tcPr>
          <w:tcW w:w="2688" w:type="dxa"/>
          <w:vAlign w:val="center"/>
        </w:tcPr>
        <w:p w14:paraId="1A642EE4" w14:textId="77777777" w:rsidR="00F008D2" w:rsidRPr="00D36BB2" w:rsidRDefault="00F008D2" w:rsidP="002B1B65">
          <w:pPr>
            <w:pStyle w:val="LogoType"/>
            <w:pBdr>
              <w:bottom w:val="single" w:sz="4" w:space="1" w:color="808080"/>
            </w:pBdr>
            <w:spacing w:line="240" w:lineRule="auto"/>
          </w:pPr>
          <w:r w:rsidRPr="00D36BB2">
            <w:t>Australian</w:t>
          </w:r>
        </w:p>
        <w:p w14:paraId="1067A2C5" w14:textId="77777777" w:rsidR="00F008D2" w:rsidRPr="00D36BB2" w:rsidRDefault="00F008D2" w:rsidP="002B1B65">
          <w:pPr>
            <w:pStyle w:val="LogoType"/>
            <w:pBdr>
              <w:bottom w:val="single" w:sz="4" w:space="1" w:color="808080"/>
            </w:pBdr>
            <w:spacing w:line="240" w:lineRule="auto"/>
          </w:pPr>
          <w:r w:rsidRPr="00D36BB2">
            <w:t>Human Rights</w:t>
          </w:r>
        </w:p>
        <w:p w14:paraId="72DC0D0C" w14:textId="77777777" w:rsidR="00F008D2" w:rsidRPr="00D36BB2" w:rsidRDefault="00F008D2" w:rsidP="002B1B65">
          <w:pPr>
            <w:pStyle w:val="LogoType"/>
            <w:pBdr>
              <w:bottom w:val="single" w:sz="4" w:space="1" w:color="808080"/>
            </w:pBdr>
            <w:spacing w:line="240" w:lineRule="auto"/>
          </w:pPr>
          <w:r w:rsidRPr="00D36BB2">
            <w:t>Commission</w:t>
          </w:r>
        </w:p>
        <w:p w14:paraId="7EED6903" w14:textId="77777777" w:rsidR="00F008D2" w:rsidRPr="00B85DD4" w:rsidRDefault="00F008D2" w:rsidP="002B1B65">
          <w:pPr>
            <w:spacing w:before="0" w:after="0"/>
            <w:rPr>
              <w:rFonts w:cs="ArialMT"/>
              <w:i/>
              <w:color w:val="808080"/>
              <w:sz w:val="17"/>
            </w:rPr>
          </w:pPr>
          <w:r w:rsidRPr="00B85DD4">
            <w:rPr>
              <w:rFonts w:cs="ArialMT"/>
              <w:i/>
              <w:color w:val="808080"/>
              <w:sz w:val="17"/>
            </w:rPr>
            <w:t>everyone, everywhere, everyday</w:t>
          </w:r>
        </w:p>
      </w:tc>
      <w:tc>
        <w:tcPr>
          <w:tcW w:w="2302" w:type="dxa"/>
        </w:tcPr>
        <w:p w14:paraId="74E28868" w14:textId="77777777" w:rsidR="00F008D2" w:rsidRPr="00B85DD4" w:rsidRDefault="00F008D2" w:rsidP="00B520BC">
          <w:pPr>
            <w:pStyle w:val="HeaderFooter"/>
            <w:rPr>
              <w:b/>
              <w:spacing w:val="-20"/>
              <w:sz w:val="40"/>
            </w:rPr>
          </w:pPr>
        </w:p>
      </w:tc>
      <w:tc>
        <w:tcPr>
          <w:tcW w:w="2130" w:type="dxa"/>
        </w:tcPr>
        <w:p w14:paraId="3197E269" w14:textId="77777777" w:rsidR="00F008D2" w:rsidRPr="00B85DD4" w:rsidRDefault="00F008D2" w:rsidP="00B520BC">
          <w:pPr>
            <w:pStyle w:val="HeaderFooter"/>
            <w:rPr>
              <w:b/>
              <w:spacing w:val="-20"/>
              <w:sz w:val="40"/>
            </w:rPr>
          </w:pPr>
        </w:p>
      </w:tc>
      <w:tc>
        <w:tcPr>
          <w:tcW w:w="1721" w:type="dxa"/>
        </w:tcPr>
        <w:p w14:paraId="2AD5ADE3" w14:textId="77777777" w:rsidR="00F008D2" w:rsidRPr="00B85DD4" w:rsidRDefault="00F008D2" w:rsidP="00B520BC">
          <w:pPr>
            <w:pStyle w:val="HeaderFooter"/>
            <w:spacing w:before="227" w:after="340"/>
            <w:rPr>
              <w:b/>
              <w:spacing w:val="-20"/>
              <w:sz w:val="40"/>
            </w:rPr>
          </w:pPr>
        </w:p>
      </w:tc>
    </w:tr>
  </w:tbl>
  <w:p w14:paraId="63D930CB" w14:textId="77777777" w:rsidR="00F008D2" w:rsidRDefault="0086430A">
    <w:pPr>
      <w:pStyle w:val="Header"/>
    </w:pPr>
    <w:r>
      <w:rPr>
        <w:rFonts w:cs="ArialMT"/>
        <w:b/>
        <w:noProof/>
        <w:spacing w:val="-20"/>
      </w:rPr>
      <w:pict w14:anchorId="50BACAE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0" o:spid="_x0000_s2055" type="#_x0000_t75" style="position:absolute;margin-left:0;margin-top:0;width:595.65pt;height:870.15pt;z-index:-251658240;mso-position-horizontal:center;mso-position-horizontal-relative:margin;mso-position-vertical:center;mso-position-vertical-relative:margin" o:allowincell="f">
          <v:imagedata r:id="rId2" o:title="MS word cover1"/>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785881"/>
    <w:multiLevelType w:val="multilevel"/>
    <w:tmpl w:val="F0C2FAC6"/>
    <w:lvl w:ilvl="0">
      <w:start w:val="1"/>
      <w:numFmt w:val="decimal"/>
      <w:pStyle w:val="Heading1"/>
      <w:lvlText w:val="Chapter %1"/>
      <w:lvlJc w:val="left"/>
      <w:pPr>
        <w:tabs>
          <w:tab w:val="num" w:pos="851"/>
        </w:tabs>
        <w:ind w:left="2155" w:hanging="2155"/>
      </w:pPr>
      <w:rPr>
        <w:rFonts w:ascii="Arial" w:hAnsi="Arial" w:hint="default"/>
        <w:b/>
        <w:i w:val="0"/>
        <w:sz w:val="36"/>
      </w:rPr>
    </w:lvl>
    <w:lvl w:ilvl="1">
      <w:start w:val="1"/>
      <w:numFmt w:val="decimal"/>
      <w:pStyle w:val="Heading2"/>
      <w:lvlText w:val="%1.%2"/>
      <w:lvlJc w:val="left"/>
      <w:pPr>
        <w:tabs>
          <w:tab w:val="num" w:pos="851"/>
        </w:tabs>
        <w:ind w:left="851" w:hanging="851"/>
      </w:pPr>
      <w:rPr>
        <w:rFonts w:hint="default"/>
      </w:rPr>
    </w:lvl>
    <w:lvl w:ilvl="2">
      <w:start w:val="1"/>
      <w:numFmt w:val="decimal"/>
      <w:pStyle w:val="Heading3"/>
      <w:lvlText w:val="%1.%2.%3"/>
      <w:lvlJc w:val="left"/>
      <w:pPr>
        <w:tabs>
          <w:tab w:val="num" w:pos="851"/>
        </w:tabs>
        <w:ind w:left="851" w:hanging="851"/>
      </w:pPr>
      <w:rPr>
        <w:rFonts w:hint="default"/>
      </w:rPr>
    </w:lvl>
    <w:lvl w:ilvl="3">
      <w:start w:val="1"/>
      <w:numFmt w:val="decimal"/>
      <w:pStyle w:val="Heading4"/>
      <w:lvlText w:val="%1.%2.%3.%4"/>
      <w:lvlJc w:val="left"/>
      <w:pPr>
        <w:tabs>
          <w:tab w:val="num" w:pos="851"/>
        </w:tabs>
        <w:ind w:left="851" w:hanging="851"/>
      </w:pPr>
      <w:rPr>
        <w:rFonts w:hint="default"/>
      </w:rPr>
    </w:lvl>
    <w:lvl w:ilvl="4">
      <w:start w:val="1"/>
      <w:numFmt w:val="upperLetter"/>
      <w:pStyle w:val="Heading5"/>
      <w:lvlText w:val="%5"/>
      <w:lvlJc w:val="left"/>
      <w:pPr>
        <w:tabs>
          <w:tab w:val="num" w:pos="0"/>
        </w:tabs>
        <w:ind w:left="1008" w:hanging="1008"/>
      </w:pPr>
      <w:rPr>
        <w:rFonts w:ascii="Arial" w:hAnsi="Arial" w:hint="default"/>
        <w:b/>
        <w:i w:val="0"/>
        <w:caps w:val="0"/>
        <w:strike w:val="0"/>
        <w:dstrike w:val="0"/>
        <w:vanish w:val="0"/>
        <w:color w:val="auto"/>
        <w:sz w:val="24"/>
        <w:vertAlign w:val="baseline"/>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11" w15:restartNumberingAfterBreak="0">
    <w:nsid w:val="02F64488"/>
    <w:multiLevelType w:val="hybridMultilevel"/>
    <w:tmpl w:val="DFD0DC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3917609"/>
    <w:multiLevelType w:val="hybridMultilevel"/>
    <w:tmpl w:val="1E5AD8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4FA2C11"/>
    <w:multiLevelType w:val="hybridMultilevel"/>
    <w:tmpl w:val="9EF6B04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4" w15:restartNumberingAfterBreak="0">
    <w:nsid w:val="07962DDE"/>
    <w:multiLevelType w:val="hybridMultilevel"/>
    <w:tmpl w:val="227AEB10"/>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09000178"/>
    <w:multiLevelType w:val="hybridMultilevel"/>
    <w:tmpl w:val="01AA40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096D4328"/>
    <w:multiLevelType w:val="hybridMultilevel"/>
    <w:tmpl w:val="4560EC76"/>
    <w:lvl w:ilvl="0" w:tplc="0C090001">
      <w:start w:val="1"/>
      <w:numFmt w:val="bullet"/>
      <w:lvlText w:val=""/>
      <w:lvlJc w:val="left"/>
      <w:pPr>
        <w:ind w:left="788" w:hanging="360"/>
      </w:pPr>
      <w:rPr>
        <w:rFonts w:ascii="Symbol" w:hAnsi="Symbol" w:hint="default"/>
      </w:rPr>
    </w:lvl>
    <w:lvl w:ilvl="1" w:tplc="0C090003" w:tentative="1">
      <w:start w:val="1"/>
      <w:numFmt w:val="bullet"/>
      <w:lvlText w:val="o"/>
      <w:lvlJc w:val="left"/>
      <w:pPr>
        <w:ind w:left="1508" w:hanging="360"/>
      </w:pPr>
      <w:rPr>
        <w:rFonts w:ascii="Courier New" w:hAnsi="Courier New" w:cs="Courier New" w:hint="default"/>
      </w:rPr>
    </w:lvl>
    <w:lvl w:ilvl="2" w:tplc="0C090005" w:tentative="1">
      <w:start w:val="1"/>
      <w:numFmt w:val="bullet"/>
      <w:lvlText w:val=""/>
      <w:lvlJc w:val="left"/>
      <w:pPr>
        <w:ind w:left="2228" w:hanging="360"/>
      </w:pPr>
      <w:rPr>
        <w:rFonts w:ascii="Wingdings" w:hAnsi="Wingdings" w:hint="default"/>
      </w:rPr>
    </w:lvl>
    <w:lvl w:ilvl="3" w:tplc="0C090001" w:tentative="1">
      <w:start w:val="1"/>
      <w:numFmt w:val="bullet"/>
      <w:lvlText w:val=""/>
      <w:lvlJc w:val="left"/>
      <w:pPr>
        <w:ind w:left="2948" w:hanging="360"/>
      </w:pPr>
      <w:rPr>
        <w:rFonts w:ascii="Symbol" w:hAnsi="Symbol" w:hint="default"/>
      </w:rPr>
    </w:lvl>
    <w:lvl w:ilvl="4" w:tplc="0C090003" w:tentative="1">
      <w:start w:val="1"/>
      <w:numFmt w:val="bullet"/>
      <w:lvlText w:val="o"/>
      <w:lvlJc w:val="left"/>
      <w:pPr>
        <w:ind w:left="3668" w:hanging="360"/>
      </w:pPr>
      <w:rPr>
        <w:rFonts w:ascii="Courier New" w:hAnsi="Courier New" w:cs="Courier New" w:hint="default"/>
      </w:rPr>
    </w:lvl>
    <w:lvl w:ilvl="5" w:tplc="0C090005" w:tentative="1">
      <w:start w:val="1"/>
      <w:numFmt w:val="bullet"/>
      <w:lvlText w:val=""/>
      <w:lvlJc w:val="left"/>
      <w:pPr>
        <w:ind w:left="4388" w:hanging="360"/>
      </w:pPr>
      <w:rPr>
        <w:rFonts w:ascii="Wingdings" w:hAnsi="Wingdings" w:hint="default"/>
      </w:rPr>
    </w:lvl>
    <w:lvl w:ilvl="6" w:tplc="0C090001" w:tentative="1">
      <w:start w:val="1"/>
      <w:numFmt w:val="bullet"/>
      <w:lvlText w:val=""/>
      <w:lvlJc w:val="left"/>
      <w:pPr>
        <w:ind w:left="5108" w:hanging="360"/>
      </w:pPr>
      <w:rPr>
        <w:rFonts w:ascii="Symbol" w:hAnsi="Symbol" w:hint="default"/>
      </w:rPr>
    </w:lvl>
    <w:lvl w:ilvl="7" w:tplc="0C090003" w:tentative="1">
      <w:start w:val="1"/>
      <w:numFmt w:val="bullet"/>
      <w:lvlText w:val="o"/>
      <w:lvlJc w:val="left"/>
      <w:pPr>
        <w:ind w:left="5828" w:hanging="360"/>
      </w:pPr>
      <w:rPr>
        <w:rFonts w:ascii="Courier New" w:hAnsi="Courier New" w:cs="Courier New" w:hint="default"/>
      </w:rPr>
    </w:lvl>
    <w:lvl w:ilvl="8" w:tplc="0C090005" w:tentative="1">
      <w:start w:val="1"/>
      <w:numFmt w:val="bullet"/>
      <w:lvlText w:val=""/>
      <w:lvlJc w:val="left"/>
      <w:pPr>
        <w:ind w:left="6548" w:hanging="360"/>
      </w:pPr>
      <w:rPr>
        <w:rFonts w:ascii="Wingdings" w:hAnsi="Wingdings" w:hint="default"/>
      </w:rPr>
    </w:lvl>
  </w:abstractNum>
  <w:abstractNum w:abstractNumId="17" w15:restartNumberingAfterBreak="0">
    <w:nsid w:val="0B6C730C"/>
    <w:multiLevelType w:val="hybridMultilevel"/>
    <w:tmpl w:val="DECCE6E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8" w15:restartNumberingAfterBreak="0">
    <w:nsid w:val="0BCF2AAA"/>
    <w:multiLevelType w:val="hybridMultilevel"/>
    <w:tmpl w:val="03A89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0C9F716F"/>
    <w:multiLevelType w:val="hybridMultilevel"/>
    <w:tmpl w:val="1C4CEDD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0" w15:restartNumberingAfterBreak="0">
    <w:nsid w:val="0E272504"/>
    <w:multiLevelType w:val="hybridMultilevel"/>
    <w:tmpl w:val="DF6CB0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0E2726E9"/>
    <w:multiLevelType w:val="hybridMultilevel"/>
    <w:tmpl w:val="FD6CB8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0E894584"/>
    <w:multiLevelType w:val="hybridMultilevel"/>
    <w:tmpl w:val="26A608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142F77E1"/>
    <w:multiLevelType w:val="hybridMultilevel"/>
    <w:tmpl w:val="77464F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16DF2036"/>
    <w:multiLevelType w:val="hybridMultilevel"/>
    <w:tmpl w:val="C69E4B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18BF189B"/>
    <w:multiLevelType w:val="hybridMultilevel"/>
    <w:tmpl w:val="319CB2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1BC91D67"/>
    <w:multiLevelType w:val="hybridMultilevel"/>
    <w:tmpl w:val="7ACEA3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1DCB237C"/>
    <w:multiLevelType w:val="hybridMultilevel"/>
    <w:tmpl w:val="F6E2FC0A"/>
    <w:lvl w:ilvl="0" w:tplc="A32EC982">
      <w:start w:val="1"/>
      <w:numFmt w:val="decimal"/>
      <w:pStyle w:val="SubmissionNormal"/>
      <w:lvlText w:val="%1."/>
      <w:lvlJc w:val="left"/>
      <w:pPr>
        <w:tabs>
          <w:tab w:val="num" w:pos="720"/>
        </w:tabs>
        <w:ind w:left="720" w:hanging="360"/>
      </w:pPr>
      <w:rPr>
        <w:rFonts w:hint="default"/>
      </w:r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8" w15:restartNumberingAfterBreak="0">
    <w:nsid w:val="1E485E55"/>
    <w:multiLevelType w:val="hybridMultilevel"/>
    <w:tmpl w:val="D90AE1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1ED17C14"/>
    <w:multiLevelType w:val="hybridMultilevel"/>
    <w:tmpl w:val="A5926CF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0" w15:restartNumberingAfterBreak="0">
    <w:nsid w:val="205E67C3"/>
    <w:multiLevelType w:val="hybridMultilevel"/>
    <w:tmpl w:val="03541DE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1" w15:restartNumberingAfterBreak="0">
    <w:nsid w:val="213A6227"/>
    <w:multiLevelType w:val="hybridMultilevel"/>
    <w:tmpl w:val="8D325E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3" w15:restartNumberingAfterBreak="0">
    <w:nsid w:val="229C042B"/>
    <w:multiLevelType w:val="hybridMultilevel"/>
    <w:tmpl w:val="3790F3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264F67BB"/>
    <w:multiLevelType w:val="hybridMultilevel"/>
    <w:tmpl w:val="992E07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26A6557C"/>
    <w:multiLevelType w:val="hybridMultilevel"/>
    <w:tmpl w:val="85AA3D10"/>
    <w:lvl w:ilvl="0" w:tplc="26AE6A38">
      <w:numFmt w:val="bullet"/>
      <w:lvlText w:val="•"/>
      <w:lvlJc w:val="left"/>
      <w:pPr>
        <w:ind w:left="720" w:hanging="360"/>
      </w:pPr>
      <w:rPr>
        <w:rFonts w:ascii="Calibri" w:eastAsiaTheme="minorEastAsia"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26B079FE"/>
    <w:multiLevelType w:val="hybridMultilevel"/>
    <w:tmpl w:val="CA549A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2B7E3AC3"/>
    <w:multiLevelType w:val="hybridMultilevel"/>
    <w:tmpl w:val="F8D6ED1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8" w15:restartNumberingAfterBreak="0">
    <w:nsid w:val="2D0E2986"/>
    <w:multiLevelType w:val="hybridMultilevel"/>
    <w:tmpl w:val="54082E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2E053825"/>
    <w:multiLevelType w:val="hybridMultilevel"/>
    <w:tmpl w:val="540CCB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2E827406"/>
    <w:multiLevelType w:val="hybridMultilevel"/>
    <w:tmpl w:val="B0BA43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2EB75F9A"/>
    <w:multiLevelType w:val="hybridMultilevel"/>
    <w:tmpl w:val="CD90A1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34125CFC"/>
    <w:multiLevelType w:val="hybridMultilevel"/>
    <w:tmpl w:val="FB8496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35096813"/>
    <w:multiLevelType w:val="hybridMultilevel"/>
    <w:tmpl w:val="D2E08B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3510538E"/>
    <w:multiLevelType w:val="hybridMultilevel"/>
    <w:tmpl w:val="75FA96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3583134F"/>
    <w:multiLevelType w:val="hybridMultilevel"/>
    <w:tmpl w:val="AE3825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35A3631D"/>
    <w:multiLevelType w:val="hybridMultilevel"/>
    <w:tmpl w:val="3E2218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36EC309A"/>
    <w:multiLevelType w:val="hybridMultilevel"/>
    <w:tmpl w:val="5F2EBB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371151AD"/>
    <w:multiLevelType w:val="hybridMultilevel"/>
    <w:tmpl w:val="4F8C334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9" w15:restartNumberingAfterBreak="0">
    <w:nsid w:val="371F5455"/>
    <w:multiLevelType w:val="hybridMultilevel"/>
    <w:tmpl w:val="71E629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3D982304"/>
    <w:multiLevelType w:val="hybridMultilevel"/>
    <w:tmpl w:val="C3BEF3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3EB85138"/>
    <w:multiLevelType w:val="hybridMultilevel"/>
    <w:tmpl w:val="0B0AE9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3" w15:restartNumberingAfterBreak="0">
    <w:nsid w:val="3FE14985"/>
    <w:multiLevelType w:val="hybridMultilevel"/>
    <w:tmpl w:val="4140C2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409141B0"/>
    <w:multiLevelType w:val="hybridMultilevel"/>
    <w:tmpl w:val="8A2412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41366423"/>
    <w:multiLevelType w:val="hybridMultilevel"/>
    <w:tmpl w:val="A54A9C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452C5941"/>
    <w:multiLevelType w:val="multilevel"/>
    <w:tmpl w:val="FB3823E0"/>
    <w:lvl w:ilvl="0">
      <w:start w:val="1"/>
      <w:numFmt w:val="decimal"/>
      <w:lvlText w:val="%1."/>
      <w:lvlJc w:val="left"/>
      <w:pPr>
        <w:ind w:left="720" w:hanging="360"/>
      </w:pPr>
    </w:lvl>
    <w:lvl w:ilvl="1">
      <w:start w:val="7"/>
      <w:numFmt w:val="decimal"/>
      <w:isLgl/>
      <w:lvlText w:val="%1.%2"/>
      <w:lvlJc w:val="left"/>
      <w:pPr>
        <w:ind w:left="1004"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7" w15:restartNumberingAfterBreak="0">
    <w:nsid w:val="46197721"/>
    <w:multiLevelType w:val="hybridMultilevel"/>
    <w:tmpl w:val="F6387DF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58" w15:restartNumberingAfterBreak="0">
    <w:nsid w:val="492E39AC"/>
    <w:multiLevelType w:val="hybridMultilevel"/>
    <w:tmpl w:val="60F633D4"/>
    <w:lvl w:ilvl="0" w:tplc="0C090001">
      <w:start w:val="1"/>
      <w:numFmt w:val="bullet"/>
      <w:lvlText w:val=""/>
      <w:lvlJc w:val="left"/>
      <w:pPr>
        <w:ind w:left="788" w:hanging="360"/>
      </w:pPr>
      <w:rPr>
        <w:rFonts w:ascii="Symbol" w:hAnsi="Symbol" w:hint="default"/>
      </w:rPr>
    </w:lvl>
    <w:lvl w:ilvl="1" w:tplc="0C090003" w:tentative="1">
      <w:start w:val="1"/>
      <w:numFmt w:val="bullet"/>
      <w:lvlText w:val="o"/>
      <w:lvlJc w:val="left"/>
      <w:pPr>
        <w:ind w:left="1508" w:hanging="360"/>
      </w:pPr>
      <w:rPr>
        <w:rFonts w:ascii="Courier New" w:hAnsi="Courier New" w:cs="Courier New" w:hint="default"/>
      </w:rPr>
    </w:lvl>
    <w:lvl w:ilvl="2" w:tplc="0C090005" w:tentative="1">
      <w:start w:val="1"/>
      <w:numFmt w:val="bullet"/>
      <w:lvlText w:val=""/>
      <w:lvlJc w:val="left"/>
      <w:pPr>
        <w:ind w:left="2228" w:hanging="360"/>
      </w:pPr>
      <w:rPr>
        <w:rFonts w:ascii="Wingdings" w:hAnsi="Wingdings" w:hint="default"/>
      </w:rPr>
    </w:lvl>
    <w:lvl w:ilvl="3" w:tplc="0C090001" w:tentative="1">
      <w:start w:val="1"/>
      <w:numFmt w:val="bullet"/>
      <w:lvlText w:val=""/>
      <w:lvlJc w:val="left"/>
      <w:pPr>
        <w:ind w:left="2948" w:hanging="360"/>
      </w:pPr>
      <w:rPr>
        <w:rFonts w:ascii="Symbol" w:hAnsi="Symbol" w:hint="default"/>
      </w:rPr>
    </w:lvl>
    <w:lvl w:ilvl="4" w:tplc="0C090003" w:tentative="1">
      <w:start w:val="1"/>
      <w:numFmt w:val="bullet"/>
      <w:lvlText w:val="o"/>
      <w:lvlJc w:val="left"/>
      <w:pPr>
        <w:ind w:left="3668" w:hanging="360"/>
      </w:pPr>
      <w:rPr>
        <w:rFonts w:ascii="Courier New" w:hAnsi="Courier New" w:cs="Courier New" w:hint="default"/>
      </w:rPr>
    </w:lvl>
    <w:lvl w:ilvl="5" w:tplc="0C090005" w:tentative="1">
      <w:start w:val="1"/>
      <w:numFmt w:val="bullet"/>
      <w:lvlText w:val=""/>
      <w:lvlJc w:val="left"/>
      <w:pPr>
        <w:ind w:left="4388" w:hanging="360"/>
      </w:pPr>
      <w:rPr>
        <w:rFonts w:ascii="Wingdings" w:hAnsi="Wingdings" w:hint="default"/>
      </w:rPr>
    </w:lvl>
    <w:lvl w:ilvl="6" w:tplc="0C090001" w:tentative="1">
      <w:start w:val="1"/>
      <w:numFmt w:val="bullet"/>
      <w:lvlText w:val=""/>
      <w:lvlJc w:val="left"/>
      <w:pPr>
        <w:ind w:left="5108" w:hanging="360"/>
      </w:pPr>
      <w:rPr>
        <w:rFonts w:ascii="Symbol" w:hAnsi="Symbol" w:hint="default"/>
      </w:rPr>
    </w:lvl>
    <w:lvl w:ilvl="7" w:tplc="0C090003" w:tentative="1">
      <w:start w:val="1"/>
      <w:numFmt w:val="bullet"/>
      <w:lvlText w:val="o"/>
      <w:lvlJc w:val="left"/>
      <w:pPr>
        <w:ind w:left="5828" w:hanging="360"/>
      </w:pPr>
      <w:rPr>
        <w:rFonts w:ascii="Courier New" w:hAnsi="Courier New" w:cs="Courier New" w:hint="default"/>
      </w:rPr>
    </w:lvl>
    <w:lvl w:ilvl="8" w:tplc="0C090005" w:tentative="1">
      <w:start w:val="1"/>
      <w:numFmt w:val="bullet"/>
      <w:lvlText w:val=""/>
      <w:lvlJc w:val="left"/>
      <w:pPr>
        <w:ind w:left="6548" w:hanging="360"/>
      </w:pPr>
      <w:rPr>
        <w:rFonts w:ascii="Wingdings" w:hAnsi="Wingdings" w:hint="default"/>
      </w:rPr>
    </w:lvl>
  </w:abstractNum>
  <w:abstractNum w:abstractNumId="59"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0"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61" w15:restartNumberingAfterBreak="0">
    <w:nsid w:val="50BE4F8A"/>
    <w:multiLevelType w:val="hybridMultilevel"/>
    <w:tmpl w:val="5486209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2" w15:restartNumberingAfterBreak="0">
    <w:nsid w:val="53203460"/>
    <w:multiLevelType w:val="hybridMultilevel"/>
    <w:tmpl w:val="EFECE8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56F665AE"/>
    <w:multiLevelType w:val="hybridMultilevel"/>
    <w:tmpl w:val="1C962E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57A6569F"/>
    <w:multiLevelType w:val="hybridMultilevel"/>
    <w:tmpl w:val="BD863A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15:restartNumberingAfterBreak="0">
    <w:nsid w:val="57F52C69"/>
    <w:multiLevelType w:val="hybridMultilevel"/>
    <w:tmpl w:val="EDE047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6" w15:restartNumberingAfterBreak="0">
    <w:nsid w:val="5AC74006"/>
    <w:multiLevelType w:val="hybridMultilevel"/>
    <w:tmpl w:val="6276ABA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5B6333B8"/>
    <w:multiLevelType w:val="hybridMultilevel"/>
    <w:tmpl w:val="E1D66B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5CDA53B2"/>
    <w:multiLevelType w:val="hybridMultilevel"/>
    <w:tmpl w:val="1CE28B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9" w15:restartNumberingAfterBreak="0">
    <w:nsid w:val="5F230BD2"/>
    <w:multiLevelType w:val="hybridMultilevel"/>
    <w:tmpl w:val="4E48A9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0" w15:restartNumberingAfterBreak="0">
    <w:nsid w:val="612A429B"/>
    <w:multiLevelType w:val="hybridMultilevel"/>
    <w:tmpl w:val="FFE0B76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71" w15:restartNumberingAfterBreak="0">
    <w:nsid w:val="637012C6"/>
    <w:multiLevelType w:val="hybridMultilevel"/>
    <w:tmpl w:val="ADFC11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15:restartNumberingAfterBreak="0">
    <w:nsid w:val="68136441"/>
    <w:multiLevelType w:val="hybridMultilevel"/>
    <w:tmpl w:val="B380EB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3" w15:restartNumberingAfterBreak="0">
    <w:nsid w:val="6839235C"/>
    <w:multiLevelType w:val="hybridMultilevel"/>
    <w:tmpl w:val="60AE67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4" w15:restartNumberingAfterBreak="0">
    <w:nsid w:val="696640DF"/>
    <w:multiLevelType w:val="hybridMultilevel"/>
    <w:tmpl w:val="C850296E"/>
    <w:lvl w:ilvl="0" w:tplc="B0E867D6">
      <w:start w:val="1"/>
      <w:numFmt w:val="bullet"/>
      <w:lvlText w:val=""/>
      <w:lvlJc w:val="left"/>
      <w:pPr>
        <w:ind w:left="720" w:hanging="360"/>
      </w:pPr>
      <w:rPr>
        <w:rFonts w:ascii="Symbol" w:hAnsi="Symbol" w:hint="default"/>
        <w:sz w:val="22"/>
        <w:szCs w:val="22"/>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5" w15:restartNumberingAfterBreak="0">
    <w:nsid w:val="69EF3F53"/>
    <w:multiLevelType w:val="hybridMultilevel"/>
    <w:tmpl w:val="4E7656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15:restartNumberingAfterBreak="0">
    <w:nsid w:val="6A3A0051"/>
    <w:multiLevelType w:val="hybridMultilevel"/>
    <w:tmpl w:val="9B72F1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7" w15:restartNumberingAfterBreak="0">
    <w:nsid w:val="6CD753A9"/>
    <w:multiLevelType w:val="hybridMultilevel"/>
    <w:tmpl w:val="698C9C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8" w15:restartNumberingAfterBreak="0">
    <w:nsid w:val="6D6877F8"/>
    <w:multiLevelType w:val="hybridMultilevel"/>
    <w:tmpl w:val="4F3885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9" w15:restartNumberingAfterBreak="0">
    <w:nsid w:val="709B42DF"/>
    <w:multiLevelType w:val="hybridMultilevel"/>
    <w:tmpl w:val="2CFE54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0" w15:restartNumberingAfterBreak="0">
    <w:nsid w:val="712736FE"/>
    <w:multiLevelType w:val="hybridMultilevel"/>
    <w:tmpl w:val="F1D2CA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1" w15:restartNumberingAfterBreak="0">
    <w:nsid w:val="73206B4E"/>
    <w:multiLevelType w:val="hybridMultilevel"/>
    <w:tmpl w:val="AC42E22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2" w15:restartNumberingAfterBreak="0">
    <w:nsid w:val="7458126C"/>
    <w:multiLevelType w:val="hybridMultilevel"/>
    <w:tmpl w:val="DA4649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74617211"/>
    <w:multiLevelType w:val="hybridMultilevel"/>
    <w:tmpl w:val="770A427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84" w15:restartNumberingAfterBreak="0">
    <w:nsid w:val="77095497"/>
    <w:multiLevelType w:val="hybridMultilevel"/>
    <w:tmpl w:val="CEEA727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5" w15:restartNumberingAfterBreak="0">
    <w:nsid w:val="79557C14"/>
    <w:multiLevelType w:val="hybridMultilevel"/>
    <w:tmpl w:val="A9221E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6" w15:restartNumberingAfterBreak="0">
    <w:nsid w:val="7A696C70"/>
    <w:multiLevelType w:val="hybridMultilevel"/>
    <w:tmpl w:val="9A2299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7" w15:restartNumberingAfterBreak="0">
    <w:nsid w:val="7AAE3ECC"/>
    <w:multiLevelType w:val="hybridMultilevel"/>
    <w:tmpl w:val="74B85728"/>
    <w:lvl w:ilvl="0" w:tplc="02109E90">
      <w:start w:val="1"/>
      <w:numFmt w:val="bullet"/>
      <w:lvlText w:val=""/>
      <w:lvlJc w:val="left"/>
      <w:pPr>
        <w:ind w:left="720" w:hanging="360"/>
      </w:pPr>
      <w:rPr>
        <w:rFonts w:ascii="Symbol" w:hAnsi="Symbol" w:hint="default"/>
        <w:sz w:val="22"/>
        <w:szCs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8" w15:restartNumberingAfterBreak="0">
    <w:nsid w:val="7C21601F"/>
    <w:multiLevelType w:val="hybridMultilevel"/>
    <w:tmpl w:val="4DB8ECFA"/>
    <w:lvl w:ilvl="0" w:tplc="A9EAE3A8">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9" w15:restartNumberingAfterBreak="0">
    <w:nsid w:val="7C785836"/>
    <w:multiLevelType w:val="hybridMultilevel"/>
    <w:tmpl w:val="D2DCFB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0" w15:restartNumberingAfterBreak="0">
    <w:nsid w:val="7C9E7E57"/>
    <w:multiLevelType w:val="hybridMultilevel"/>
    <w:tmpl w:val="55809E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1" w15:restartNumberingAfterBreak="0">
    <w:nsid w:val="7D4A515B"/>
    <w:multiLevelType w:val="hybridMultilevel"/>
    <w:tmpl w:val="B6DC85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2" w15:restartNumberingAfterBreak="0">
    <w:nsid w:val="7E33475F"/>
    <w:multiLevelType w:val="hybridMultilevel"/>
    <w:tmpl w:val="91A04C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60"/>
  </w:num>
  <w:num w:numId="12">
    <w:abstractNumId w:val="52"/>
  </w:num>
  <w:num w:numId="13">
    <w:abstractNumId w:val="32"/>
  </w:num>
  <w:num w:numId="14">
    <w:abstractNumId w:val="27"/>
  </w:num>
  <w:num w:numId="15">
    <w:abstractNumId w:val="10"/>
  </w:num>
  <w:num w:numId="16">
    <w:abstractNumId w:val="84"/>
  </w:num>
  <w:num w:numId="17">
    <w:abstractNumId w:val="42"/>
  </w:num>
  <w:num w:numId="18">
    <w:abstractNumId w:val="40"/>
  </w:num>
  <w:num w:numId="19">
    <w:abstractNumId w:val="59"/>
  </w:num>
  <w:num w:numId="20">
    <w:abstractNumId w:val="11"/>
  </w:num>
  <w:num w:numId="21">
    <w:abstractNumId w:val="53"/>
  </w:num>
  <w:num w:numId="22">
    <w:abstractNumId w:val="44"/>
  </w:num>
  <w:num w:numId="23">
    <w:abstractNumId w:val="18"/>
  </w:num>
  <w:num w:numId="24">
    <w:abstractNumId w:val="76"/>
  </w:num>
  <w:num w:numId="25">
    <w:abstractNumId w:val="75"/>
  </w:num>
  <w:num w:numId="26">
    <w:abstractNumId w:val="35"/>
  </w:num>
  <w:num w:numId="27">
    <w:abstractNumId w:val="45"/>
  </w:num>
  <w:num w:numId="28">
    <w:abstractNumId w:val="14"/>
  </w:num>
  <w:num w:numId="29">
    <w:abstractNumId w:val="87"/>
  </w:num>
  <w:num w:numId="30">
    <w:abstractNumId w:val="70"/>
  </w:num>
  <w:num w:numId="31">
    <w:abstractNumId w:val="17"/>
  </w:num>
  <w:num w:numId="32">
    <w:abstractNumId w:val="19"/>
  </w:num>
  <w:num w:numId="33">
    <w:abstractNumId w:val="13"/>
  </w:num>
  <w:num w:numId="34">
    <w:abstractNumId w:val="73"/>
  </w:num>
  <w:num w:numId="35">
    <w:abstractNumId w:val="29"/>
  </w:num>
  <w:num w:numId="36">
    <w:abstractNumId w:val="56"/>
  </w:num>
  <w:num w:numId="37">
    <w:abstractNumId w:val="61"/>
  </w:num>
  <w:num w:numId="38">
    <w:abstractNumId w:val="88"/>
  </w:num>
  <w:num w:numId="39">
    <w:abstractNumId w:val="46"/>
  </w:num>
  <w:num w:numId="40">
    <w:abstractNumId w:val="66"/>
  </w:num>
  <w:num w:numId="41">
    <w:abstractNumId w:val="28"/>
  </w:num>
  <w:num w:numId="42">
    <w:abstractNumId w:val="21"/>
  </w:num>
  <w:num w:numId="43">
    <w:abstractNumId w:val="74"/>
  </w:num>
  <w:num w:numId="44">
    <w:abstractNumId w:val="48"/>
  </w:num>
  <w:num w:numId="45">
    <w:abstractNumId w:val="81"/>
  </w:num>
  <w:num w:numId="46">
    <w:abstractNumId w:val="64"/>
  </w:num>
  <w:num w:numId="47">
    <w:abstractNumId w:val="12"/>
  </w:num>
  <w:num w:numId="48">
    <w:abstractNumId w:val="55"/>
  </w:num>
  <w:num w:numId="49">
    <w:abstractNumId w:val="39"/>
  </w:num>
  <w:num w:numId="50">
    <w:abstractNumId w:val="86"/>
  </w:num>
  <w:num w:numId="51">
    <w:abstractNumId w:val="22"/>
  </w:num>
  <w:num w:numId="52">
    <w:abstractNumId w:val="24"/>
  </w:num>
  <w:num w:numId="53">
    <w:abstractNumId w:val="77"/>
  </w:num>
  <w:num w:numId="54">
    <w:abstractNumId w:val="33"/>
  </w:num>
  <w:num w:numId="55">
    <w:abstractNumId w:val="43"/>
  </w:num>
  <w:num w:numId="56">
    <w:abstractNumId w:val="36"/>
  </w:num>
  <w:num w:numId="57">
    <w:abstractNumId w:val="91"/>
  </w:num>
  <w:num w:numId="58">
    <w:abstractNumId w:val="34"/>
  </w:num>
  <w:num w:numId="59">
    <w:abstractNumId w:val="62"/>
  </w:num>
  <w:num w:numId="60">
    <w:abstractNumId w:val="67"/>
  </w:num>
  <w:num w:numId="61">
    <w:abstractNumId w:val="16"/>
  </w:num>
  <w:num w:numId="62">
    <w:abstractNumId w:val="83"/>
  </w:num>
  <w:num w:numId="63">
    <w:abstractNumId w:val="71"/>
  </w:num>
  <w:num w:numId="64">
    <w:abstractNumId w:val="65"/>
  </w:num>
  <w:num w:numId="65">
    <w:abstractNumId w:val="80"/>
  </w:num>
  <w:num w:numId="66">
    <w:abstractNumId w:val="58"/>
  </w:num>
  <w:num w:numId="67">
    <w:abstractNumId w:val="38"/>
  </w:num>
  <w:num w:numId="68">
    <w:abstractNumId w:val="69"/>
  </w:num>
  <w:num w:numId="69">
    <w:abstractNumId w:val="23"/>
  </w:num>
  <w:num w:numId="70">
    <w:abstractNumId w:val="78"/>
  </w:num>
  <w:num w:numId="71">
    <w:abstractNumId w:val="92"/>
  </w:num>
  <w:num w:numId="72">
    <w:abstractNumId w:val="20"/>
  </w:num>
  <w:num w:numId="73">
    <w:abstractNumId w:val="49"/>
  </w:num>
  <w:num w:numId="74">
    <w:abstractNumId w:val="54"/>
  </w:num>
  <w:num w:numId="75">
    <w:abstractNumId w:val="63"/>
  </w:num>
  <w:num w:numId="76">
    <w:abstractNumId w:val="31"/>
  </w:num>
  <w:num w:numId="77">
    <w:abstractNumId w:val="50"/>
  </w:num>
  <w:num w:numId="78">
    <w:abstractNumId w:val="89"/>
  </w:num>
  <w:num w:numId="79">
    <w:abstractNumId w:val="47"/>
  </w:num>
  <w:num w:numId="80">
    <w:abstractNumId w:val="90"/>
  </w:num>
  <w:num w:numId="81">
    <w:abstractNumId w:val="72"/>
  </w:num>
  <w:num w:numId="82">
    <w:abstractNumId w:val="79"/>
  </w:num>
  <w:num w:numId="83">
    <w:abstractNumId w:val="26"/>
  </w:num>
  <w:num w:numId="84">
    <w:abstractNumId w:val="51"/>
  </w:num>
  <w:num w:numId="85">
    <w:abstractNumId w:val="82"/>
  </w:num>
  <w:num w:numId="86">
    <w:abstractNumId w:val="41"/>
  </w:num>
  <w:num w:numId="87">
    <w:abstractNumId w:val="15"/>
  </w:num>
  <w:num w:numId="88">
    <w:abstractNumId w:val="68"/>
  </w:num>
  <w:num w:numId="89">
    <w:abstractNumId w:val="25"/>
  </w:num>
  <w:num w:numId="90">
    <w:abstractNumId w:val="37"/>
  </w:num>
  <w:num w:numId="91">
    <w:abstractNumId w:val="57"/>
  </w:num>
  <w:num w:numId="92">
    <w:abstractNumId w:val="30"/>
  </w:num>
  <w:num w:numId="93">
    <w:abstractNumId w:val="85"/>
  </w:num>
  <w:numIdMacAtCleanup w:val="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57"/>
    <o:shapelayout v:ext="edit">
      <o:idmap v:ext="edit" data="2"/>
    </o:shapelayout>
  </w:hdrShapeDefaults>
  <w:footnotePr>
    <w:footnote w:id="-1"/>
    <w:footnote w:id="0"/>
  </w:footnotePr>
  <w:endnotePr>
    <w:pos w:val="sectEnd"/>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4316"/>
    <w:rsid w:val="0000365A"/>
    <w:rsid w:val="00015289"/>
    <w:rsid w:val="00016638"/>
    <w:rsid w:val="00025254"/>
    <w:rsid w:val="00026EEB"/>
    <w:rsid w:val="00027437"/>
    <w:rsid w:val="000379B5"/>
    <w:rsid w:val="00042C8A"/>
    <w:rsid w:val="000579B1"/>
    <w:rsid w:val="00057A0E"/>
    <w:rsid w:val="00070247"/>
    <w:rsid w:val="000744AA"/>
    <w:rsid w:val="0007612E"/>
    <w:rsid w:val="0008216F"/>
    <w:rsid w:val="00092E8A"/>
    <w:rsid w:val="000958FB"/>
    <w:rsid w:val="000A04FB"/>
    <w:rsid w:val="000A1DB8"/>
    <w:rsid w:val="000A239E"/>
    <w:rsid w:val="000A48AC"/>
    <w:rsid w:val="000B0A5D"/>
    <w:rsid w:val="000B0E2A"/>
    <w:rsid w:val="000B14CA"/>
    <w:rsid w:val="000B25CA"/>
    <w:rsid w:val="000B64BF"/>
    <w:rsid w:val="000B6BDC"/>
    <w:rsid w:val="000C4378"/>
    <w:rsid w:val="000C5FE3"/>
    <w:rsid w:val="000C7937"/>
    <w:rsid w:val="000D08E3"/>
    <w:rsid w:val="000D1D92"/>
    <w:rsid w:val="000D73CC"/>
    <w:rsid w:val="000E130A"/>
    <w:rsid w:val="000E5008"/>
    <w:rsid w:val="000F0F41"/>
    <w:rsid w:val="000F2091"/>
    <w:rsid w:val="000F2B88"/>
    <w:rsid w:val="00101D76"/>
    <w:rsid w:val="00107C87"/>
    <w:rsid w:val="00113512"/>
    <w:rsid w:val="00127373"/>
    <w:rsid w:val="001332CA"/>
    <w:rsid w:val="00134774"/>
    <w:rsid w:val="00140274"/>
    <w:rsid w:val="00145BB7"/>
    <w:rsid w:val="00151263"/>
    <w:rsid w:val="00162A8D"/>
    <w:rsid w:val="00165E3C"/>
    <w:rsid w:val="001715AD"/>
    <w:rsid w:val="00171732"/>
    <w:rsid w:val="00173F83"/>
    <w:rsid w:val="00173FB5"/>
    <w:rsid w:val="00175FFD"/>
    <w:rsid w:val="001820B0"/>
    <w:rsid w:val="00183F34"/>
    <w:rsid w:val="00190C0D"/>
    <w:rsid w:val="00196F57"/>
    <w:rsid w:val="001A5BDA"/>
    <w:rsid w:val="001A6DCE"/>
    <w:rsid w:val="001B0353"/>
    <w:rsid w:val="001B0A2E"/>
    <w:rsid w:val="001B5E8F"/>
    <w:rsid w:val="001C1F8B"/>
    <w:rsid w:val="001D3E48"/>
    <w:rsid w:val="001E12CF"/>
    <w:rsid w:val="001E2CF5"/>
    <w:rsid w:val="001E5676"/>
    <w:rsid w:val="001F0C3F"/>
    <w:rsid w:val="001F2BBB"/>
    <w:rsid w:val="001F360D"/>
    <w:rsid w:val="001F69FB"/>
    <w:rsid w:val="001F6D70"/>
    <w:rsid w:val="00200677"/>
    <w:rsid w:val="00202039"/>
    <w:rsid w:val="002028CE"/>
    <w:rsid w:val="002048CF"/>
    <w:rsid w:val="00207236"/>
    <w:rsid w:val="00215705"/>
    <w:rsid w:val="0022499A"/>
    <w:rsid w:val="002256BB"/>
    <w:rsid w:val="0022654F"/>
    <w:rsid w:val="002301B1"/>
    <w:rsid w:val="00231ED1"/>
    <w:rsid w:val="00234434"/>
    <w:rsid w:val="00242624"/>
    <w:rsid w:val="00243307"/>
    <w:rsid w:val="0024557E"/>
    <w:rsid w:val="00247959"/>
    <w:rsid w:val="002521C1"/>
    <w:rsid w:val="002522CF"/>
    <w:rsid w:val="00267D4E"/>
    <w:rsid w:val="00272DD5"/>
    <w:rsid w:val="00275C03"/>
    <w:rsid w:val="002809BF"/>
    <w:rsid w:val="00283AB8"/>
    <w:rsid w:val="002863D7"/>
    <w:rsid w:val="0028672A"/>
    <w:rsid w:val="002873B4"/>
    <w:rsid w:val="00294875"/>
    <w:rsid w:val="002973DE"/>
    <w:rsid w:val="002A267F"/>
    <w:rsid w:val="002B0F6B"/>
    <w:rsid w:val="002B1B65"/>
    <w:rsid w:val="002B2EF5"/>
    <w:rsid w:val="002C1866"/>
    <w:rsid w:val="002C38E7"/>
    <w:rsid w:val="002C4A3B"/>
    <w:rsid w:val="002E1661"/>
    <w:rsid w:val="002E30E0"/>
    <w:rsid w:val="002E7FD6"/>
    <w:rsid w:val="002F46A1"/>
    <w:rsid w:val="002F4C1C"/>
    <w:rsid w:val="002F4CE1"/>
    <w:rsid w:val="002F5C2F"/>
    <w:rsid w:val="00300F22"/>
    <w:rsid w:val="003036FD"/>
    <w:rsid w:val="00304A37"/>
    <w:rsid w:val="00310ED4"/>
    <w:rsid w:val="00312301"/>
    <w:rsid w:val="0031492A"/>
    <w:rsid w:val="0031522F"/>
    <w:rsid w:val="00316C1A"/>
    <w:rsid w:val="00317FA0"/>
    <w:rsid w:val="00321840"/>
    <w:rsid w:val="00323C73"/>
    <w:rsid w:val="003243AE"/>
    <w:rsid w:val="00331141"/>
    <w:rsid w:val="00335A2C"/>
    <w:rsid w:val="00344758"/>
    <w:rsid w:val="003449BE"/>
    <w:rsid w:val="003455FC"/>
    <w:rsid w:val="00347142"/>
    <w:rsid w:val="00354AA1"/>
    <w:rsid w:val="003565A8"/>
    <w:rsid w:val="003566EA"/>
    <w:rsid w:val="003575AF"/>
    <w:rsid w:val="00366829"/>
    <w:rsid w:val="00372C79"/>
    <w:rsid w:val="003735B7"/>
    <w:rsid w:val="00377B04"/>
    <w:rsid w:val="003A09B4"/>
    <w:rsid w:val="003B2D20"/>
    <w:rsid w:val="003B4324"/>
    <w:rsid w:val="003B5A3B"/>
    <w:rsid w:val="003B7164"/>
    <w:rsid w:val="003C501F"/>
    <w:rsid w:val="003F7BF2"/>
    <w:rsid w:val="004053D1"/>
    <w:rsid w:val="0041068B"/>
    <w:rsid w:val="00410D46"/>
    <w:rsid w:val="00413960"/>
    <w:rsid w:val="00422417"/>
    <w:rsid w:val="004224B6"/>
    <w:rsid w:val="00424233"/>
    <w:rsid w:val="00427826"/>
    <w:rsid w:val="004333C4"/>
    <w:rsid w:val="004375C0"/>
    <w:rsid w:val="00440C68"/>
    <w:rsid w:val="00442634"/>
    <w:rsid w:val="00451823"/>
    <w:rsid w:val="00455AA2"/>
    <w:rsid w:val="004712FB"/>
    <w:rsid w:val="00472EFF"/>
    <w:rsid w:val="00474063"/>
    <w:rsid w:val="00476793"/>
    <w:rsid w:val="00477BD6"/>
    <w:rsid w:val="004800BE"/>
    <w:rsid w:val="00482666"/>
    <w:rsid w:val="004833CA"/>
    <w:rsid w:val="00485821"/>
    <w:rsid w:val="004875C6"/>
    <w:rsid w:val="0049472D"/>
    <w:rsid w:val="0049484F"/>
    <w:rsid w:val="004A187B"/>
    <w:rsid w:val="004A2D3C"/>
    <w:rsid w:val="004B4BE8"/>
    <w:rsid w:val="004B620D"/>
    <w:rsid w:val="004C7412"/>
    <w:rsid w:val="004D04BF"/>
    <w:rsid w:val="004D3B06"/>
    <w:rsid w:val="004E0DFF"/>
    <w:rsid w:val="004F0023"/>
    <w:rsid w:val="004F1C7C"/>
    <w:rsid w:val="004F61F7"/>
    <w:rsid w:val="00500549"/>
    <w:rsid w:val="00507BE9"/>
    <w:rsid w:val="00507EC0"/>
    <w:rsid w:val="005123F0"/>
    <w:rsid w:val="005132EE"/>
    <w:rsid w:val="00513540"/>
    <w:rsid w:val="005136CD"/>
    <w:rsid w:val="00513941"/>
    <w:rsid w:val="00513F4F"/>
    <w:rsid w:val="0053051D"/>
    <w:rsid w:val="0053584F"/>
    <w:rsid w:val="00560BF3"/>
    <w:rsid w:val="00564208"/>
    <w:rsid w:val="005667EB"/>
    <w:rsid w:val="0056730F"/>
    <w:rsid w:val="00571CEB"/>
    <w:rsid w:val="0057418F"/>
    <w:rsid w:val="00590E8C"/>
    <w:rsid w:val="00591951"/>
    <w:rsid w:val="00594893"/>
    <w:rsid w:val="00597805"/>
    <w:rsid w:val="005A33DA"/>
    <w:rsid w:val="005B4E3D"/>
    <w:rsid w:val="005C495C"/>
    <w:rsid w:val="005C5D41"/>
    <w:rsid w:val="005D1F34"/>
    <w:rsid w:val="005D383D"/>
    <w:rsid w:val="005D5059"/>
    <w:rsid w:val="005E7E49"/>
    <w:rsid w:val="005F009D"/>
    <w:rsid w:val="005F2183"/>
    <w:rsid w:val="005F34DA"/>
    <w:rsid w:val="005F7541"/>
    <w:rsid w:val="005F7828"/>
    <w:rsid w:val="00607A44"/>
    <w:rsid w:val="00610B79"/>
    <w:rsid w:val="00616FE0"/>
    <w:rsid w:val="00636E3C"/>
    <w:rsid w:val="00636FE7"/>
    <w:rsid w:val="00644976"/>
    <w:rsid w:val="006533E2"/>
    <w:rsid w:val="00654793"/>
    <w:rsid w:val="00662BEE"/>
    <w:rsid w:val="0067743C"/>
    <w:rsid w:val="0068086E"/>
    <w:rsid w:val="006829ED"/>
    <w:rsid w:val="00684616"/>
    <w:rsid w:val="00685F59"/>
    <w:rsid w:val="00693249"/>
    <w:rsid w:val="006970D8"/>
    <w:rsid w:val="006A5F73"/>
    <w:rsid w:val="006A687A"/>
    <w:rsid w:val="006A6BB3"/>
    <w:rsid w:val="006C67A6"/>
    <w:rsid w:val="006D279E"/>
    <w:rsid w:val="006D5EE5"/>
    <w:rsid w:val="006D68F9"/>
    <w:rsid w:val="006E6D3B"/>
    <w:rsid w:val="006E7973"/>
    <w:rsid w:val="006F6917"/>
    <w:rsid w:val="006F7AE8"/>
    <w:rsid w:val="007036A3"/>
    <w:rsid w:val="00706D80"/>
    <w:rsid w:val="0071112F"/>
    <w:rsid w:val="007202CB"/>
    <w:rsid w:val="00727707"/>
    <w:rsid w:val="00730BD2"/>
    <w:rsid w:val="00732BD5"/>
    <w:rsid w:val="0073631C"/>
    <w:rsid w:val="007469A7"/>
    <w:rsid w:val="007540BF"/>
    <w:rsid w:val="0076210B"/>
    <w:rsid w:val="0076347E"/>
    <w:rsid w:val="00767733"/>
    <w:rsid w:val="00770DCB"/>
    <w:rsid w:val="0077207A"/>
    <w:rsid w:val="00775485"/>
    <w:rsid w:val="00792337"/>
    <w:rsid w:val="0079295B"/>
    <w:rsid w:val="007959A3"/>
    <w:rsid w:val="00795CDB"/>
    <w:rsid w:val="007A644A"/>
    <w:rsid w:val="007B54A8"/>
    <w:rsid w:val="007C0AE4"/>
    <w:rsid w:val="007C1817"/>
    <w:rsid w:val="007D74F3"/>
    <w:rsid w:val="007E5B88"/>
    <w:rsid w:val="007E63C4"/>
    <w:rsid w:val="007F0D0B"/>
    <w:rsid w:val="007F1F53"/>
    <w:rsid w:val="007F61B9"/>
    <w:rsid w:val="008007A8"/>
    <w:rsid w:val="008033BC"/>
    <w:rsid w:val="008042D9"/>
    <w:rsid w:val="00810876"/>
    <w:rsid w:val="00814FC0"/>
    <w:rsid w:val="008254A6"/>
    <w:rsid w:val="00826652"/>
    <w:rsid w:val="00832E72"/>
    <w:rsid w:val="008337BE"/>
    <w:rsid w:val="00835B68"/>
    <w:rsid w:val="008405A7"/>
    <w:rsid w:val="00840640"/>
    <w:rsid w:val="00840673"/>
    <w:rsid w:val="00840BEA"/>
    <w:rsid w:val="00842C10"/>
    <w:rsid w:val="00850DA2"/>
    <w:rsid w:val="0085165D"/>
    <w:rsid w:val="0086430A"/>
    <w:rsid w:val="0086587F"/>
    <w:rsid w:val="008724DE"/>
    <w:rsid w:val="00872643"/>
    <w:rsid w:val="00876214"/>
    <w:rsid w:val="00876695"/>
    <w:rsid w:val="0088790E"/>
    <w:rsid w:val="00893305"/>
    <w:rsid w:val="008935E2"/>
    <w:rsid w:val="008A3D57"/>
    <w:rsid w:val="008B23BC"/>
    <w:rsid w:val="008B4819"/>
    <w:rsid w:val="008C045D"/>
    <w:rsid w:val="008C2A31"/>
    <w:rsid w:val="008D7326"/>
    <w:rsid w:val="008E2C94"/>
    <w:rsid w:val="008E3D60"/>
    <w:rsid w:val="008E3F4C"/>
    <w:rsid w:val="008E681F"/>
    <w:rsid w:val="008E691B"/>
    <w:rsid w:val="008E6CB4"/>
    <w:rsid w:val="008E7D14"/>
    <w:rsid w:val="008F6630"/>
    <w:rsid w:val="0090165F"/>
    <w:rsid w:val="00901B82"/>
    <w:rsid w:val="00907EDE"/>
    <w:rsid w:val="00912B09"/>
    <w:rsid w:val="00926B3A"/>
    <w:rsid w:val="0093038B"/>
    <w:rsid w:val="00934EF7"/>
    <w:rsid w:val="00957C72"/>
    <w:rsid w:val="00961FFF"/>
    <w:rsid w:val="00966C2F"/>
    <w:rsid w:val="00972B1A"/>
    <w:rsid w:val="00973CAC"/>
    <w:rsid w:val="0097512B"/>
    <w:rsid w:val="00982B64"/>
    <w:rsid w:val="00990761"/>
    <w:rsid w:val="0099126A"/>
    <w:rsid w:val="009922CF"/>
    <w:rsid w:val="009A3138"/>
    <w:rsid w:val="009B1EFE"/>
    <w:rsid w:val="009C70B1"/>
    <w:rsid w:val="009C7483"/>
    <w:rsid w:val="009C7505"/>
    <w:rsid w:val="009D1695"/>
    <w:rsid w:val="009D1F82"/>
    <w:rsid w:val="009D67F6"/>
    <w:rsid w:val="009E0FE1"/>
    <w:rsid w:val="009E4CF0"/>
    <w:rsid w:val="009F099B"/>
    <w:rsid w:val="009F2764"/>
    <w:rsid w:val="009F2C41"/>
    <w:rsid w:val="009F6831"/>
    <w:rsid w:val="009F70AB"/>
    <w:rsid w:val="009F7E40"/>
    <w:rsid w:val="00A01F6B"/>
    <w:rsid w:val="00A0406E"/>
    <w:rsid w:val="00A07596"/>
    <w:rsid w:val="00A11307"/>
    <w:rsid w:val="00A113E9"/>
    <w:rsid w:val="00A13AF3"/>
    <w:rsid w:val="00A14079"/>
    <w:rsid w:val="00A14457"/>
    <w:rsid w:val="00A15796"/>
    <w:rsid w:val="00A15F34"/>
    <w:rsid w:val="00A1620C"/>
    <w:rsid w:val="00A20CBC"/>
    <w:rsid w:val="00A21388"/>
    <w:rsid w:val="00A27791"/>
    <w:rsid w:val="00A41355"/>
    <w:rsid w:val="00A42890"/>
    <w:rsid w:val="00A43B92"/>
    <w:rsid w:val="00A44F5B"/>
    <w:rsid w:val="00A52881"/>
    <w:rsid w:val="00A54251"/>
    <w:rsid w:val="00A54544"/>
    <w:rsid w:val="00A5639C"/>
    <w:rsid w:val="00A565D2"/>
    <w:rsid w:val="00A6179E"/>
    <w:rsid w:val="00A64316"/>
    <w:rsid w:val="00A71192"/>
    <w:rsid w:val="00A804D9"/>
    <w:rsid w:val="00A83493"/>
    <w:rsid w:val="00A90ED5"/>
    <w:rsid w:val="00A92915"/>
    <w:rsid w:val="00A92F92"/>
    <w:rsid w:val="00A96892"/>
    <w:rsid w:val="00AA2051"/>
    <w:rsid w:val="00AA2C8B"/>
    <w:rsid w:val="00AA3994"/>
    <w:rsid w:val="00AA4A9C"/>
    <w:rsid w:val="00AA5931"/>
    <w:rsid w:val="00AE0B34"/>
    <w:rsid w:val="00AE3185"/>
    <w:rsid w:val="00AE3B97"/>
    <w:rsid w:val="00AE7848"/>
    <w:rsid w:val="00B03243"/>
    <w:rsid w:val="00B165B4"/>
    <w:rsid w:val="00B2374A"/>
    <w:rsid w:val="00B24B1D"/>
    <w:rsid w:val="00B277E0"/>
    <w:rsid w:val="00B33908"/>
    <w:rsid w:val="00B341A4"/>
    <w:rsid w:val="00B34946"/>
    <w:rsid w:val="00B36BA2"/>
    <w:rsid w:val="00B44877"/>
    <w:rsid w:val="00B44CBD"/>
    <w:rsid w:val="00B51505"/>
    <w:rsid w:val="00B517A9"/>
    <w:rsid w:val="00B519FD"/>
    <w:rsid w:val="00B520BC"/>
    <w:rsid w:val="00B524BA"/>
    <w:rsid w:val="00B52852"/>
    <w:rsid w:val="00B55A05"/>
    <w:rsid w:val="00B63D24"/>
    <w:rsid w:val="00B63D90"/>
    <w:rsid w:val="00B67BDF"/>
    <w:rsid w:val="00B70F1C"/>
    <w:rsid w:val="00B733DA"/>
    <w:rsid w:val="00B77005"/>
    <w:rsid w:val="00B77009"/>
    <w:rsid w:val="00B924E6"/>
    <w:rsid w:val="00B96B12"/>
    <w:rsid w:val="00BA262D"/>
    <w:rsid w:val="00BA2D97"/>
    <w:rsid w:val="00BA5698"/>
    <w:rsid w:val="00BC20C4"/>
    <w:rsid w:val="00BC79EB"/>
    <w:rsid w:val="00BD178A"/>
    <w:rsid w:val="00BD4D0A"/>
    <w:rsid w:val="00BD58FF"/>
    <w:rsid w:val="00BD7FCF"/>
    <w:rsid w:val="00BE0641"/>
    <w:rsid w:val="00BF796A"/>
    <w:rsid w:val="00BF7D23"/>
    <w:rsid w:val="00C04F73"/>
    <w:rsid w:val="00C064DC"/>
    <w:rsid w:val="00C12E1E"/>
    <w:rsid w:val="00C1617E"/>
    <w:rsid w:val="00C22C51"/>
    <w:rsid w:val="00C25BDA"/>
    <w:rsid w:val="00C33104"/>
    <w:rsid w:val="00C332D4"/>
    <w:rsid w:val="00C335E7"/>
    <w:rsid w:val="00C370E4"/>
    <w:rsid w:val="00C40B26"/>
    <w:rsid w:val="00C44BBC"/>
    <w:rsid w:val="00C550A3"/>
    <w:rsid w:val="00C7175B"/>
    <w:rsid w:val="00C760C3"/>
    <w:rsid w:val="00C77150"/>
    <w:rsid w:val="00C854D4"/>
    <w:rsid w:val="00C90556"/>
    <w:rsid w:val="00CA0D78"/>
    <w:rsid w:val="00CA4855"/>
    <w:rsid w:val="00CA4B7A"/>
    <w:rsid w:val="00CB24FE"/>
    <w:rsid w:val="00CB666E"/>
    <w:rsid w:val="00CB7B43"/>
    <w:rsid w:val="00CC0C31"/>
    <w:rsid w:val="00CC2BA8"/>
    <w:rsid w:val="00CC40FA"/>
    <w:rsid w:val="00CC7DB1"/>
    <w:rsid w:val="00CD58FD"/>
    <w:rsid w:val="00CE1139"/>
    <w:rsid w:val="00CF3C89"/>
    <w:rsid w:val="00D01D06"/>
    <w:rsid w:val="00D03019"/>
    <w:rsid w:val="00D158F8"/>
    <w:rsid w:val="00D32172"/>
    <w:rsid w:val="00D343FA"/>
    <w:rsid w:val="00D36D62"/>
    <w:rsid w:val="00D36FDD"/>
    <w:rsid w:val="00D418FF"/>
    <w:rsid w:val="00D442FD"/>
    <w:rsid w:val="00D457AC"/>
    <w:rsid w:val="00D51877"/>
    <w:rsid w:val="00D52314"/>
    <w:rsid w:val="00D5428A"/>
    <w:rsid w:val="00D64DFD"/>
    <w:rsid w:val="00D65C76"/>
    <w:rsid w:val="00D734C7"/>
    <w:rsid w:val="00D8018B"/>
    <w:rsid w:val="00D815EB"/>
    <w:rsid w:val="00D94316"/>
    <w:rsid w:val="00DA19E7"/>
    <w:rsid w:val="00DA2F73"/>
    <w:rsid w:val="00DA5F6B"/>
    <w:rsid w:val="00DC3CD3"/>
    <w:rsid w:val="00DC462F"/>
    <w:rsid w:val="00DC64E0"/>
    <w:rsid w:val="00DD6A21"/>
    <w:rsid w:val="00DE57C1"/>
    <w:rsid w:val="00DE60CA"/>
    <w:rsid w:val="00DF1155"/>
    <w:rsid w:val="00DF1C4A"/>
    <w:rsid w:val="00DF6619"/>
    <w:rsid w:val="00E00380"/>
    <w:rsid w:val="00E04B65"/>
    <w:rsid w:val="00E05E66"/>
    <w:rsid w:val="00E0649C"/>
    <w:rsid w:val="00E17C19"/>
    <w:rsid w:val="00E17F93"/>
    <w:rsid w:val="00E23AA4"/>
    <w:rsid w:val="00E24FA3"/>
    <w:rsid w:val="00E26B28"/>
    <w:rsid w:val="00E279B2"/>
    <w:rsid w:val="00E31465"/>
    <w:rsid w:val="00E328CD"/>
    <w:rsid w:val="00E329FB"/>
    <w:rsid w:val="00E36B95"/>
    <w:rsid w:val="00E4003F"/>
    <w:rsid w:val="00E447DB"/>
    <w:rsid w:val="00E458F6"/>
    <w:rsid w:val="00E45954"/>
    <w:rsid w:val="00E51B5E"/>
    <w:rsid w:val="00E573E1"/>
    <w:rsid w:val="00E60C6B"/>
    <w:rsid w:val="00E767C7"/>
    <w:rsid w:val="00E77051"/>
    <w:rsid w:val="00E84AAD"/>
    <w:rsid w:val="00E91F7E"/>
    <w:rsid w:val="00E94B0F"/>
    <w:rsid w:val="00EA44D9"/>
    <w:rsid w:val="00EB2943"/>
    <w:rsid w:val="00EB4D82"/>
    <w:rsid w:val="00EB54B6"/>
    <w:rsid w:val="00EB6A76"/>
    <w:rsid w:val="00EB7E2C"/>
    <w:rsid w:val="00EC3AB3"/>
    <w:rsid w:val="00ED1722"/>
    <w:rsid w:val="00ED275D"/>
    <w:rsid w:val="00EE7E50"/>
    <w:rsid w:val="00F008D2"/>
    <w:rsid w:val="00F03EFD"/>
    <w:rsid w:val="00F068BC"/>
    <w:rsid w:val="00F14C6D"/>
    <w:rsid w:val="00F21E8E"/>
    <w:rsid w:val="00F32C88"/>
    <w:rsid w:val="00F33648"/>
    <w:rsid w:val="00F34BC9"/>
    <w:rsid w:val="00F51BD1"/>
    <w:rsid w:val="00F55E9E"/>
    <w:rsid w:val="00F60D11"/>
    <w:rsid w:val="00F766EA"/>
    <w:rsid w:val="00F77787"/>
    <w:rsid w:val="00F80C0F"/>
    <w:rsid w:val="00F8296D"/>
    <w:rsid w:val="00F82E67"/>
    <w:rsid w:val="00F8302E"/>
    <w:rsid w:val="00F84502"/>
    <w:rsid w:val="00FA2408"/>
    <w:rsid w:val="00FA4916"/>
    <w:rsid w:val="00FC09C5"/>
    <w:rsid w:val="00FC69EE"/>
    <w:rsid w:val="00FD01B5"/>
    <w:rsid w:val="00FD7F10"/>
    <w:rsid w:val="00FE2EC2"/>
    <w:rsid w:val="00FE4A70"/>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7"/>
    <o:shapelayout v:ext="edit">
      <o:idmap v:ext="edit" data="1"/>
    </o:shapelayout>
  </w:shapeDefaults>
  <w:decimalSymbol w:val="."/>
  <w:listSeparator w:val=","/>
  <w14:docId w14:val="094A0BAC"/>
  <w15:docId w15:val="{3CA0C8D2-DC56-4916-8086-A4D18439C4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semiHidden="1" w:unhideWhenUsed="1"/>
    <w:lsdException w:name="index 2" w:locked="1"/>
    <w:lsdException w:name="index 3" w:locked="1"/>
    <w:lsdException w:name="index 4" w:locked="1"/>
    <w:lsdException w:name="index 5" w:locked="1"/>
    <w:lsdException w:name="index 6" w:lock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iPriority="99"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lsdException w:name="List Number 3" w:locked="1" w:semiHidden="1" w:unhideWhenUsed="1"/>
    <w:lsdException w:name="List Number 4" w:locked="1" w:semiHidden="1" w:unhideWhenUsed="1"/>
    <w:lsdException w:name="List Number 5" w:lock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1B65"/>
    <w:pPr>
      <w:spacing w:before="240" w:after="240"/>
    </w:pPr>
    <w:rPr>
      <w:rFonts w:ascii="Arial" w:eastAsia="MS Mincho" w:hAnsi="Arial"/>
      <w:sz w:val="24"/>
      <w:szCs w:val="24"/>
    </w:rPr>
  </w:style>
  <w:style w:type="paragraph" w:styleId="Heading1">
    <w:name w:val="heading 1"/>
    <w:basedOn w:val="Normal"/>
    <w:next w:val="Normal"/>
    <w:link w:val="Heading1Char"/>
    <w:qFormat/>
    <w:rsid w:val="00D94316"/>
    <w:pPr>
      <w:keepNext/>
      <w:keepLines/>
      <w:numPr>
        <w:numId w:val="15"/>
      </w:numPr>
      <w:spacing w:before="360"/>
      <w:outlineLvl w:val="0"/>
    </w:pPr>
    <w:rPr>
      <w:b/>
      <w:bCs/>
      <w:sz w:val="36"/>
      <w:szCs w:val="36"/>
    </w:rPr>
  </w:style>
  <w:style w:type="paragraph" w:styleId="Heading2">
    <w:name w:val="heading 2"/>
    <w:basedOn w:val="Heading1"/>
    <w:next w:val="Normal"/>
    <w:link w:val="Heading2Char"/>
    <w:qFormat/>
    <w:rsid w:val="008007A8"/>
    <w:pPr>
      <w:numPr>
        <w:ilvl w:val="1"/>
      </w:numPr>
      <w:outlineLvl w:val="1"/>
    </w:pPr>
    <w:rPr>
      <w:bCs w:val="0"/>
      <w:i/>
      <w:color w:val="000000"/>
      <w:szCs w:val="26"/>
    </w:rPr>
  </w:style>
  <w:style w:type="paragraph" w:styleId="Heading3">
    <w:name w:val="heading 3"/>
    <w:basedOn w:val="Heading2"/>
    <w:next w:val="Normal"/>
    <w:link w:val="Heading3Char"/>
    <w:qFormat/>
    <w:rsid w:val="00607A44"/>
    <w:pPr>
      <w:numPr>
        <w:ilvl w:val="2"/>
      </w:numPr>
      <w:outlineLvl w:val="2"/>
    </w:pPr>
    <w:rPr>
      <w:bCs/>
      <w:i w:val="0"/>
      <w:color w:val="auto"/>
      <w:sz w:val="24"/>
    </w:rPr>
  </w:style>
  <w:style w:type="paragraph" w:styleId="Heading4">
    <w:name w:val="heading 4"/>
    <w:basedOn w:val="Heading3"/>
    <w:next w:val="Normal"/>
    <w:link w:val="Heading4Char"/>
    <w:qFormat/>
    <w:rsid w:val="00507EC0"/>
    <w:pPr>
      <w:numPr>
        <w:ilvl w:val="3"/>
      </w:numPr>
      <w:outlineLvl w:val="3"/>
    </w:pPr>
    <w:rPr>
      <w:bCs w:val="0"/>
      <w:i/>
      <w:iCs/>
    </w:rPr>
  </w:style>
  <w:style w:type="paragraph" w:styleId="Heading5">
    <w:name w:val="heading 5"/>
    <w:basedOn w:val="Normal"/>
    <w:next w:val="Normal"/>
    <w:link w:val="Heading5Char"/>
    <w:qFormat/>
    <w:locked/>
    <w:rsid w:val="00507EC0"/>
    <w:pPr>
      <w:keepNext/>
      <w:keepLines/>
      <w:numPr>
        <w:ilvl w:val="4"/>
        <w:numId w:val="15"/>
      </w:numPr>
      <w:spacing w:before="200"/>
      <w:outlineLvl w:val="4"/>
    </w:pPr>
    <w:rPr>
      <w:rFonts w:cs="Arial"/>
      <w:b/>
    </w:rPr>
  </w:style>
  <w:style w:type="paragraph" w:styleId="Heading6">
    <w:name w:val="heading 6"/>
    <w:basedOn w:val="Normal"/>
    <w:next w:val="Normal"/>
    <w:link w:val="Heading6Char"/>
    <w:qFormat/>
    <w:locked/>
    <w:rsid w:val="008007A8"/>
    <w:pPr>
      <w:keepNext/>
      <w:keepLines/>
      <w:numPr>
        <w:ilvl w:val="5"/>
        <w:numId w:val="15"/>
      </w:numPr>
      <w:spacing w:before="200"/>
      <w:outlineLvl w:val="5"/>
    </w:pPr>
    <w:rPr>
      <w:rFonts w:ascii="Cambria" w:hAnsi="Cambria"/>
      <w:i/>
      <w:iCs/>
      <w:color w:val="243F60"/>
    </w:rPr>
  </w:style>
  <w:style w:type="paragraph" w:styleId="Heading7">
    <w:name w:val="heading 7"/>
    <w:basedOn w:val="Normal"/>
    <w:next w:val="Normal"/>
    <w:link w:val="Heading7Char"/>
    <w:qFormat/>
    <w:locked/>
    <w:rsid w:val="008007A8"/>
    <w:pPr>
      <w:keepNext/>
      <w:keepLines/>
      <w:numPr>
        <w:ilvl w:val="6"/>
        <w:numId w:val="15"/>
      </w:numPr>
      <w:spacing w:before="200"/>
      <w:outlineLvl w:val="6"/>
    </w:pPr>
    <w:rPr>
      <w:rFonts w:ascii="Cambria" w:hAnsi="Cambria"/>
      <w:i/>
      <w:iCs/>
      <w:color w:val="404040"/>
    </w:rPr>
  </w:style>
  <w:style w:type="paragraph" w:styleId="Heading8">
    <w:name w:val="heading 8"/>
    <w:basedOn w:val="Normal"/>
    <w:next w:val="Normal"/>
    <w:link w:val="Heading8Char"/>
    <w:qFormat/>
    <w:locked/>
    <w:rsid w:val="008007A8"/>
    <w:pPr>
      <w:keepNext/>
      <w:keepLines/>
      <w:numPr>
        <w:ilvl w:val="7"/>
        <w:numId w:val="15"/>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8007A8"/>
    <w:pPr>
      <w:keepNext/>
      <w:keepLines/>
      <w:numPr>
        <w:ilvl w:val="8"/>
        <w:numId w:val="15"/>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D94316"/>
    <w:rPr>
      <w:rFonts w:ascii="Arial" w:eastAsia="MS Mincho" w:hAnsi="Arial"/>
      <w:b/>
      <w:bCs/>
      <w:sz w:val="36"/>
      <w:szCs w:val="36"/>
    </w:rPr>
  </w:style>
  <w:style w:type="character" w:customStyle="1" w:styleId="Heading2Char">
    <w:name w:val="Heading 2 Char"/>
    <w:link w:val="Heading2"/>
    <w:rsid w:val="008007A8"/>
    <w:rPr>
      <w:rFonts w:ascii="Arial" w:eastAsia="MS Mincho" w:hAnsi="Arial"/>
      <w:b/>
      <w:i/>
      <w:color w:val="000000"/>
      <w:sz w:val="36"/>
      <w:szCs w:val="26"/>
    </w:rPr>
  </w:style>
  <w:style w:type="character" w:customStyle="1" w:styleId="Heading3Char">
    <w:name w:val="Heading 3 Char"/>
    <w:link w:val="Heading3"/>
    <w:rsid w:val="00607A44"/>
    <w:rPr>
      <w:rFonts w:ascii="Arial" w:eastAsia="MS Mincho" w:hAnsi="Arial"/>
      <w:b/>
      <w:bCs/>
      <w:sz w:val="24"/>
      <w:szCs w:val="26"/>
    </w:rPr>
  </w:style>
  <w:style w:type="character" w:customStyle="1" w:styleId="Heading4Char">
    <w:name w:val="Heading 4 Char"/>
    <w:link w:val="Heading4"/>
    <w:rsid w:val="00507EC0"/>
    <w:rPr>
      <w:rFonts w:ascii="Arial" w:eastAsia="MS Mincho" w:hAnsi="Arial"/>
      <w:b/>
      <w:i/>
      <w:iCs/>
      <w:sz w:val="24"/>
      <w:szCs w:val="26"/>
    </w:rPr>
  </w:style>
  <w:style w:type="character" w:styleId="Strong">
    <w:name w:val="Strong"/>
    <w:qFormat/>
    <w:locked/>
    <w:rsid w:val="000B0A5D"/>
    <w:rPr>
      <w:b/>
      <w:bCs/>
    </w:rPr>
  </w:style>
  <w:style w:type="character" w:customStyle="1" w:styleId="Heading5Char">
    <w:name w:val="Heading 5 Char"/>
    <w:link w:val="Heading5"/>
    <w:rsid w:val="00507EC0"/>
    <w:rPr>
      <w:rFonts w:ascii="Arial" w:eastAsia="MS Mincho" w:hAnsi="Arial" w:cs="Arial"/>
      <w:b/>
      <w:sz w:val="24"/>
      <w:szCs w:val="24"/>
    </w:rPr>
  </w:style>
  <w:style w:type="character" w:customStyle="1" w:styleId="Heading6Char">
    <w:name w:val="Heading 6 Char"/>
    <w:link w:val="Heading6"/>
    <w:rsid w:val="008007A8"/>
    <w:rPr>
      <w:rFonts w:ascii="Cambria" w:eastAsia="MS Mincho" w:hAnsi="Cambria"/>
      <w:i/>
      <w:iCs/>
      <w:color w:val="243F60"/>
      <w:sz w:val="24"/>
      <w:szCs w:val="24"/>
    </w:rPr>
  </w:style>
  <w:style w:type="character" w:customStyle="1" w:styleId="Heading7Char">
    <w:name w:val="Heading 7 Char"/>
    <w:link w:val="Heading7"/>
    <w:rsid w:val="008007A8"/>
    <w:rPr>
      <w:rFonts w:ascii="Cambria" w:eastAsia="MS Mincho" w:hAnsi="Cambria"/>
      <w:i/>
      <w:iCs/>
      <w:color w:val="404040"/>
      <w:sz w:val="24"/>
      <w:szCs w:val="24"/>
    </w:rPr>
  </w:style>
  <w:style w:type="character" w:customStyle="1" w:styleId="Heading8Char">
    <w:name w:val="Heading 8 Char"/>
    <w:link w:val="Heading8"/>
    <w:rsid w:val="008007A8"/>
    <w:rPr>
      <w:rFonts w:ascii="Cambria" w:eastAsia="MS Mincho" w:hAnsi="Cambria"/>
      <w:color w:val="404040"/>
    </w:rPr>
  </w:style>
  <w:style w:type="character" w:customStyle="1" w:styleId="Heading9Char">
    <w:name w:val="Heading 9 Char"/>
    <w:link w:val="Heading9"/>
    <w:rsid w:val="008007A8"/>
    <w:rPr>
      <w:rFonts w:ascii="Cambria" w:eastAsia="MS Mincho" w:hAnsi="Cambria"/>
      <w:i/>
      <w:iCs/>
      <w:color w:val="404040"/>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34946"/>
    <w:pPr>
      <w:tabs>
        <w:tab w:val="right" w:pos="2835"/>
        <w:tab w:val="right" w:pos="5670"/>
      </w:tabs>
      <w:spacing w:before="0" w:after="60"/>
    </w:pPr>
    <w:rPr>
      <w:color w:val="404040"/>
      <w:sz w:val="16"/>
    </w:rPr>
  </w:style>
  <w:style w:type="character" w:customStyle="1" w:styleId="FooterChar">
    <w:name w:val="Footer Char"/>
    <w:link w:val="Footer"/>
    <w:uiPriority w:val="99"/>
    <w:semiHidden/>
    <w:rsid w:val="00B34946"/>
    <w:rPr>
      <w:rFonts w:ascii="Arial" w:eastAsia="MS Mincho" w:hAnsi="Arial"/>
      <w:color w:val="404040"/>
      <w:sz w:val="16"/>
      <w:szCs w:val="24"/>
    </w:rPr>
  </w:style>
  <w:style w:type="paragraph" w:styleId="TOC3">
    <w:name w:val="toc 3"/>
    <w:basedOn w:val="Normal"/>
    <w:next w:val="Normal"/>
    <w:autoRedefine/>
    <w:uiPriority w:val="39"/>
    <w:qFormat/>
    <w:locked/>
    <w:rsid w:val="00607A44"/>
    <w:pPr>
      <w:spacing w:before="0" w:after="0"/>
      <w:ind w:left="480"/>
    </w:pPr>
    <w:rPr>
      <w:iCs/>
      <w:szCs w:val="20"/>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qFormat/>
    <w:locked/>
    <w:rsid w:val="00607A44"/>
    <w:pPr>
      <w:tabs>
        <w:tab w:val="left" w:pos="1440"/>
        <w:tab w:val="right" w:pos="9060"/>
      </w:tabs>
      <w:spacing w:before="120" w:after="120"/>
    </w:pPr>
    <w:rPr>
      <w:bCs/>
      <w:szCs w:val="20"/>
    </w:rPr>
  </w:style>
  <w:style w:type="paragraph" w:styleId="TOC2">
    <w:name w:val="toc 2"/>
    <w:basedOn w:val="Normal"/>
    <w:next w:val="Normal"/>
    <w:autoRedefine/>
    <w:uiPriority w:val="39"/>
    <w:qFormat/>
    <w:locked/>
    <w:rsid w:val="00972B1A"/>
    <w:pPr>
      <w:spacing w:before="0" w:after="0"/>
      <w:ind w:left="240"/>
    </w:pPr>
    <w:rPr>
      <w:szCs w:val="20"/>
    </w:rPr>
  </w:style>
  <w:style w:type="paragraph" w:styleId="TOC4">
    <w:name w:val="toc 4"/>
    <w:basedOn w:val="Normal"/>
    <w:next w:val="Normal"/>
    <w:autoRedefine/>
    <w:uiPriority w:val="39"/>
    <w:locked/>
    <w:rsid w:val="00814FC0"/>
    <w:pPr>
      <w:spacing w:before="0" w:after="0"/>
      <w:ind w:left="720"/>
    </w:pPr>
    <w:rPr>
      <w:rFonts w:asciiTheme="minorHAnsi" w:hAnsiTheme="minorHAnsi"/>
      <w:sz w:val="18"/>
      <w:szCs w:val="18"/>
    </w:rPr>
  </w:style>
  <w:style w:type="character" w:styleId="Hyperlink">
    <w:name w:val="Hyperlink"/>
    <w:uiPriority w:val="99"/>
    <w:unhideWhenUsed/>
    <w:locked/>
    <w:rsid w:val="0024557E"/>
    <w:rPr>
      <w:color w:val="0000FF"/>
      <w:u w:val="single"/>
    </w:rPr>
  </w:style>
  <w:style w:type="paragraph" w:styleId="TOCHeading">
    <w:name w:val="TOC Heading"/>
    <w:basedOn w:val="Normal"/>
    <w:next w:val="Normal"/>
    <w:uiPriority w:val="39"/>
    <w:qFormat/>
    <w:locked/>
    <w:rsid w:val="007540BF"/>
    <w:pPr>
      <w:spacing w:before="0" w:after="360"/>
    </w:pPr>
    <w:rPr>
      <w:b/>
      <w:color w:val="000000"/>
      <w:lang w:val="en-US" w:eastAsia="en-US"/>
    </w:rPr>
  </w:style>
  <w:style w:type="paragraph" w:styleId="EndnoteText">
    <w:name w:val="endnote text"/>
    <w:basedOn w:val="Normal"/>
    <w:link w:val="EndnoteTextChar1"/>
    <w:rsid w:val="000E130A"/>
    <w:pPr>
      <w:spacing w:before="0" w:after="0"/>
    </w:pPr>
    <w:rPr>
      <w:sz w:val="20"/>
      <w:szCs w:val="20"/>
    </w:rPr>
  </w:style>
  <w:style w:type="character" w:customStyle="1" w:styleId="EndnoteTextChar1">
    <w:name w:val="Endnote Text Char1"/>
    <w:link w:val="EndnoteText"/>
    <w:rsid w:val="000E130A"/>
    <w:rPr>
      <w:rFonts w:ascii="Arial" w:eastAsia="MS Mincho" w:hAnsi="Arial"/>
      <w:lang w:val="en-AU" w:eastAsia="en-AU" w:bidi="ar-SA"/>
    </w:rPr>
  </w:style>
  <w:style w:type="character" w:styleId="EndnoteReference">
    <w:name w:val="endnote reference"/>
    <w:rsid w:val="000A1DB8"/>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C33104"/>
    <w:pPr>
      <w:spacing w:before="120" w:after="120"/>
      <w:jc w:val="right"/>
    </w:pPr>
    <w:rPr>
      <w:color w:val="595959"/>
      <w:sz w:val="26"/>
    </w:rPr>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rsid w:val="000A1DB8"/>
    <w:rPr>
      <w:rFonts w:ascii="Arial" w:hAnsi="Arial"/>
      <w:sz w:val="20"/>
      <w:vertAlign w:val="superscript"/>
    </w:rPr>
  </w:style>
  <w:style w:type="paragraph" w:styleId="FootnoteText">
    <w:name w:val="footnote text"/>
    <w:basedOn w:val="Normal"/>
    <w:link w:val="FootnoteTextChar"/>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1"/>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link w:val="SubtitleChar"/>
    <w:qFormat/>
    <w:locked/>
    <w:rsid w:val="00323C73"/>
    <w:pPr>
      <w:spacing w:before="40" w:after="0"/>
      <w:jc w:val="right"/>
      <w:outlineLvl w:val="1"/>
    </w:pPr>
    <w:rPr>
      <w:rFonts w:cs="Arial"/>
      <w:b/>
      <w:caps/>
      <w:sz w:val="26"/>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FD01B5"/>
    <w:pPr>
      <w:spacing w:line="740" w:lineRule="exact"/>
      <w:contextualSpacing/>
      <w:jc w:val="right"/>
    </w:pPr>
    <w:rPr>
      <w:rFonts w:ascii="Arial" w:hAnsi="Arial"/>
      <w:bCs/>
      <w:color w:val="237BBC"/>
      <w:kern w:val="32"/>
      <w:sz w:val="56"/>
      <w:szCs w:val="32"/>
    </w:rPr>
  </w:style>
  <w:style w:type="paragraph" w:customStyle="1" w:styleId="HeaderFooter">
    <w:name w:val="Header &amp; Footer"/>
    <w:basedOn w:val="Normal"/>
    <w:semiHidden/>
    <w:rsid w:val="00591951"/>
    <w:pPr>
      <w:spacing w:line="200" w:lineRule="exact"/>
      <w:jc w:val="both"/>
    </w:pPr>
    <w:rPr>
      <w:rFonts w:eastAsia="Times New Roman"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hAnsi="Tahoma" w:cs="Tahoma"/>
      <w:sz w:val="16"/>
      <w:szCs w:val="16"/>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locked/>
    <w:rsid w:val="00EB6A76"/>
    <w:rPr>
      <w:rFonts w:ascii="Arial" w:hAnsi="Arial"/>
      <w:lang w:bidi="ar-SA"/>
    </w:rPr>
  </w:style>
  <w:style w:type="character" w:customStyle="1" w:styleId="SubtitleChar">
    <w:name w:val="Subtitle Char"/>
    <w:link w:val="Subtitle"/>
    <w:rsid w:val="00323C73"/>
    <w:rPr>
      <w:rFonts w:ascii="Arial" w:eastAsia="MS Mincho" w:hAnsi="Arial" w:cs="Arial"/>
      <w:b/>
      <w:caps/>
      <w:sz w:val="26"/>
      <w:szCs w:val="24"/>
    </w:rPr>
  </w:style>
  <w:style w:type="paragraph" w:customStyle="1" w:styleId="SubmissionNormal">
    <w:name w:val="Submission Normal"/>
    <w:basedOn w:val="Normal"/>
    <w:link w:val="SubmissionNormalChar"/>
    <w:rsid w:val="00B34946"/>
    <w:pPr>
      <w:numPr>
        <w:numId w:val="14"/>
      </w:numPr>
      <w:tabs>
        <w:tab w:val="clear" w:pos="720"/>
      </w:tabs>
      <w:ind w:hanging="720"/>
    </w:pPr>
    <w:rPr>
      <w:rFonts w:eastAsia="Times New Roman"/>
    </w:rPr>
  </w:style>
  <w:style w:type="character" w:customStyle="1" w:styleId="SubmissionNormalChar">
    <w:name w:val="Submission Normal Char"/>
    <w:link w:val="SubmissionNormal"/>
    <w:rsid w:val="00B34946"/>
    <w:rPr>
      <w:rFonts w:ascii="Arial" w:hAnsi="Arial"/>
      <w:sz w:val="24"/>
      <w:szCs w:val="24"/>
    </w:rPr>
  </w:style>
  <w:style w:type="paragraph" w:customStyle="1" w:styleId="coveraddresses">
    <w:name w:val="cover addresses"/>
    <w:basedOn w:val="Footer"/>
    <w:qFormat/>
    <w:rsid w:val="00730BD2"/>
    <w:pPr>
      <w:spacing w:after="40"/>
    </w:pPr>
    <w:rPr>
      <w:szCs w:val="16"/>
    </w:rPr>
  </w:style>
  <w:style w:type="paragraph" w:customStyle="1" w:styleId="coveraddress">
    <w:name w:val="cover address"/>
    <w:basedOn w:val="coveraddresses"/>
    <w:qFormat/>
    <w:rsid w:val="00730BD2"/>
  </w:style>
  <w:style w:type="paragraph" w:styleId="TOC5">
    <w:name w:val="toc 5"/>
    <w:basedOn w:val="Normal"/>
    <w:next w:val="Normal"/>
    <w:autoRedefine/>
    <w:uiPriority w:val="39"/>
    <w:locked/>
    <w:rsid w:val="00961FFF"/>
    <w:pPr>
      <w:spacing w:before="0" w:after="0"/>
      <w:ind w:left="960"/>
    </w:pPr>
    <w:rPr>
      <w:rFonts w:asciiTheme="minorHAnsi" w:hAnsiTheme="minorHAnsi"/>
      <w:sz w:val="18"/>
      <w:szCs w:val="18"/>
    </w:rPr>
  </w:style>
  <w:style w:type="paragraph" w:styleId="TOC6">
    <w:name w:val="toc 6"/>
    <w:basedOn w:val="Normal"/>
    <w:next w:val="Normal"/>
    <w:autoRedefine/>
    <w:uiPriority w:val="39"/>
    <w:locked/>
    <w:rsid w:val="00961FFF"/>
    <w:pPr>
      <w:spacing w:before="0" w:after="0"/>
      <w:ind w:left="1200"/>
    </w:pPr>
    <w:rPr>
      <w:rFonts w:asciiTheme="minorHAnsi" w:hAnsiTheme="minorHAnsi"/>
      <w:sz w:val="18"/>
      <w:szCs w:val="18"/>
    </w:rPr>
  </w:style>
  <w:style w:type="paragraph" w:styleId="TOC7">
    <w:name w:val="toc 7"/>
    <w:basedOn w:val="Normal"/>
    <w:next w:val="Normal"/>
    <w:autoRedefine/>
    <w:uiPriority w:val="39"/>
    <w:locked/>
    <w:rsid w:val="00961FFF"/>
    <w:pPr>
      <w:spacing w:before="0" w:after="0"/>
      <w:ind w:left="1440"/>
    </w:pPr>
    <w:rPr>
      <w:rFonts w:asciiTheme="minorHAnsi" w:hAnsiTheme="minorHAnsi"/>
      <w:sz w:val="18"/>
      <w:szCs w:val="18"/>
    </w:rPr>
  </w:style>
  <w:style w:type="paragraph" w:styleId="TOC8">
    <w:name w:val="toc 8"/>
    <w:basedOn w:val="Normal"/>
    <w:next w:val="Normal"/>
    <w:autoRedefine/>
    <w:uiPriority w:val="39"/>
    <w:locked/>
    <w:rsid w:val="00961FFF"/>
    <w:pPr>
      <w:spacing w:before="0" w:after="0"/>
      <w:ind w:left="1680"/>
    </w:pPr>
    <w:rPr>
      <w:rFonts w:asciiTheme="minorHAnsi" w:hAnsiTheme="minorHAnsi"/>
      <w:sz w:val="18"/>
      <w:szCs w:val="18"/>
    </w:rPr>
  </w:style>
  <w:style w:type="paragraph" w:styleId="TOC9">
    <w:name w:val="toc 9"/>
    <w:basedOn w:val="Normal"/>
    <w:next w:val="Normal"/>
    <w:autoRedefine/>
    <w:uiPriority w:val="39"/>
    <w:locked/>
    <w:rsid w:val="00961FFF"/>
    <w:pPr>
      <w:spacing w:before="0" w:after="0"/>
      <w:ind w:left="1920"/>
    </w:pPr>
    <w:rPr>
      <w:rFonts w:asciiTheme="minorHAnsi" w:hAnsiTheme="minorHAnsi"/>
      <w:sz w:val="18"/>
      <w:szCs w:val="18"/>
    </w:rPr>
  </w:style>
  <w:style w:type="paragraph" w:styleId="ListParagraph">
    <w:name w:val="List Paragraph"/>
    <w:aliases w:val="List Paragraph1,Recommendation,List Paragraph11,Bullet point,Bullets,NAST Quote,L,CV text,Table text,F5 List Paragraph,Dot pt,List Paragraph111,Medium Grid 1 - Accent 21,Numbered Paragraph,List Paragraph2,NFP GP Bulleted List,FooterText,列"/>
    <w:basedOn w:val="Normal"/>
    <w:link w:val="ListParagraphChar"/>
    <w:uiPriority w:val="34"/>
    <w:qFormat/>
    <w:rsid w:val="0022654F"/>
    <w:pPr>
      <w:ind w:left="720"/>
      <w:contextualSpacing/>
    </w:pPr>
  </w:style>
  <w:style w:type="character" w:customStyle="1" w:styleId="ListParagraphChar">
    <w:name w:val="List Paragraph Char"/>
    <w:aliases w:val="List Paragraph1 Char,Recommendation Char,List Paragraph11 Char,Bullet point Char,Bullets Char,NAST Quote Char,L Char,CV text Char,Table text Char,F5 List Paragraph Char,Dot pt Char,List Paragraph111 Char,Numbered Paragraph Char"/>
    <w:link w:val="ListParagraph"/>
    <w:uiPriority w:val="34"/>
    <w:rsid w:val="0022654F"/>
    <w:rPr>
      <w:rFonts w:ascii="Arial" w:eastAsia="MS Mincho" w:hAnsi="Arial"/>
      <w:sz w:val="24"/>
      <w:szCs w:val="24"/>
    </w:rPr>
  </w:style>
  <w:style w:type="paragraph" w:styleId="CommentText">
    <w:name w:val="annotation text"/>
    <w:basedOn w:val="Normal"/>
    <w:link w:val="CommentTextChar"/>
    <w:unhideWhenUsed/>
    <w:locked/>
    <w:rsid w:val="00442634"/>
    <w:rPr>
      <w:rFonts w:eastAsia="Times New Roman"/>
      <w:sz w:val="20"/>
      <w:szCs w:val="20"/>
    </w:rPr>
  </w:style>
  <w:style w:type="character" w:customStyle="1" w:styleId="CommentTextChar">
    <w:name w:val="Comment Text Char"/>
    <w:basedOn w:val="DefaultParagraphFont"/>
    <w:link w:val="CommentText"/>
    <w:rsid w:val="00442634"/>
    <w:rPr>
      <w:rFonts w:ascii="Arial" w:hAnsi="Arial"/>
    </w:rPr>
  </w:style>
  <w:style w:type="table" w:customStyle="1" w:styleId="GridTable4-Accent11">
    <w:name w:val="Grid Table 4 - Accent 11"/>
    <w:basedOn w:val="TableNormal"/>
    <w:uiPriority w:val="49"/>
    <w:rsid w:val="00442634"/>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numbering" w:customStyle="1" w:styleId="StyleNumbered">
    <w:name w:val="Style Numbered"/>
    <w:basedOn w:val="NoList"/>
    <w:semiHidden/>
    <w:rsid w:val="00AA3994"/>
    <w:pPr>
      <w:numPr>
        <w:numId w:val="19"/>
      </w:numPr>
    </w:pPr>
  </w:style>
  <w:style w:type="paragraph" w:customStyle="1" w:styleId="Contactdetails">
    <w:name w:val="Contact details"/>
    <w:basedOn w:val="Normal"/>
    <w:semiHidden/>
    <w:rsid w:val="00AA3994"/>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eastAsia="Times New Roman" w:hAnsi="ArialMT" w:cs="ArialMT"/>
      <w:sz w:val="20"/>
      <w:lang w:val="en-US" w:bidi="en-US"/>
    </w:rPr>
  </w:style>
  <w:style w:type="character" w:customStyle="1" w:styleId="CharChar9">
    <w:name w:val="Char Char9"/>
    <w:basedOn w:val="DefaultParagraphFont"/>
    <w:semiHidden/>
    <w:locked/>
    <w:rsid w:val="00AA3994"/>
    <w:rPr>
      <w:rFonts w:ascii="Arial" w:hAnsi="Arial"/>
      <w:bCs/>
      <w:i/>
      <w:sz w:val="24"/>
      <w:szCs w:val="26"/>
      <w:lang w:val="en-AU" w:eastAsia="en-AU" w:bidi="ar-SA"/>
    </w:rPr>
  </w:style>
  <w:style w:type="character" w:customStyle="1" w:styleId="CharChar8">
    <w:name w:val="Char Char8"/>
    <w:basedOn w:val="DefaultParagraphFont"/>
    <w:semiHidden/>
    <w:locked/>
    <w:rsid w:val="00AA3994"/>
    <w:rPr>
      <w:rFonts w:ascii="Arial" w:hAnsi="Arial"/>
      <w:iCs/>
      <w:sz w:val="24"/>
      <w:szCs w:val="26"/>
      <w:lang w:val="en-AU" w:eastAsia="en-AU" w:bidi="ar-SA"/>
    </w:rPr>
  </w:style>
  <w:style w:type="character" w:customStyle="1" w:styleId="FootnoteTextChar">
    <w:name w:val="Footnote Text Char"/>
    <w:basedOn w:val="DefaultParagraphFont"/>
    <w:link w:val="FootnoteText"/>
    <w:locked/>
    <w:rsid w:val="00AA3994"/>
    <w:rPr>
      <w:rFonts w:ascii="Arial" w:eastAsia="MS Mincho" w:hAnsi="Arial"/>
    </w:rPr>
  </w:style>
  <w:style w:type="paragraph" w:customStyle="1" w:styleId="Pa6">
    <w:name w:val="Pa6"/>
    <w:basedOn w:val="Normal"/>
    <w:next w:val="Normal"/>
    <w:uiPriority w:val="99"/>
    <w:rsid w:val="00AA3994"/>
    <w:pPr>
      <w:autoSpaceDE w:val="0"/>
      <w:autoSpaceDN w:val="0"/>
      <w:adjustRightInd w:val="0"/>
      <w:spacing w:before="0" w:after="0" w:line="171" w:lineRule="atLeast"/>
    </w:pPr>
    <w:rPr>
      <w:rFonts w:ascii="GQFXIJ+HelveticaNeue" w:eastAsia="Times New Roman" w:hAnsi="GQFXIJ+HelveticaNeue"/>
    </w:rPr>
  </w:style>
  <w:style w:type="character" w:customStyle="1" w:styleId="A13">
    <w:name w:val="A13"/>
    <w:uiPriority w:val="99"/>
    <w:rsid w:val="00AA3994"/>
    <w:rPr>
      <w:rFonts w:cs="GQFXIJ+HelveticaNeue"/>
      <w:color w:val="000000"/>
      <w:sz w:val="10"/>
      <w:szCs w:val="10"/>
    </w:rPr>
  </w:style>
  <w:style w:type="paragraph" w:customStyle="1" w:styleId="Default">
    <w:name w:val="Default"/>
    <w:rsid w:val="00AA3994"/>
    <w:pPr>
      <w:autoSpaceDE w:val="0"/>
      <w:autoSpaceDN w:val="0"/>
      <w:adjustRightInd w:val="0"/>
    </w:pPr>
    <w:rPr>
      <w:rFonts w:ascii="Calibri" w:hAnsi="Calibri" w:cs="Calibri"/>
      <w:color w:val="000000"/>
      <w:sz w:val="24"/>
      <w:szCs w:val="24"/>
    </w:rPr>
  </w:style>
  <w:style w:type="character" w:customStyle="1" w:styleId="A9">
    <w:name w:val="A9"/>
    <w:uiPriority w:val="99"/>
    <w:rsid w:val="00AA3994"/>
    <w:rPr>
      <w:rFonts w:cs="Meta-Normal"/>
      <w:color w:val="000000"/>
      <w:sz w:val="18"/>
      <w:szCs w:val="18"/>
    </w:rPr>
  </w:style>
  <w:style w:type="paragraph" w:customStyle="1" w:styleId="citation-authorstring">
    <w:name w:val="citation-authorstring"/>
    <w:basedOn w:val="Normal"/>
    <w:rsid w:val="00AA3994"/>
    <w:pPr>
      <w:spacing w:before="100" w:beforeAutospacing="1" w:after="100" w:afterAutospacing="1"/>
    </w:pPr>
    <w:rPr>
      <w:rFonts w:ascii="Times New Roman" w:eastAsia="Times New Roman" w:hAnsi="Times New Roman"/>
    </w:rPr>
  </w:style>
  <w:style w:type="character" w:customStyle="1" w:styleId="st1">
    <w:name w:val="st1"/>
    <w:basedOn w:val="DefaultParagraphFont"/>
    <w:rsid w:val="00AA3994"/>
  </w:style>
  <w:style w:type="character" w:customStyle="1" w:styleId="apple-converted-space">
    <w:name w:val="apple-converted-space"/>
    <w:basedOn w:val="DefaultParagraphFont"/>
    <w:rsid w:val="00AA3994"/>
  </w:style>
  <w:style w:type="character" w:styleId="CommentReference">
    <w:name w:val="annotation reference"/>
    <w:basedOn w:val="DefaultParagraphFont"/>
    <w:unhideWhenUsed/>
    <w:locked/>
    <w:rsid w:val="00AA3994"/>
    <w:rPr>
      <w:sz w:val="16"/>
      <w:szCs w:val="16"/>
    </w:rPr>
  </w:style>
  <w:style w:type="paragraph" w:styleId="DocumentMap">
    <w:name w:val="Document Map"/>
    <w:basedOn w:val="Normal"/>
    <w:link w:val="DocumentMapChar"/>
    <w:unhideWhenUsed/>
    <w:locked/>
    <w:rsid w:val="00AA3994"/>
    <w:pPr>
      <w:spacing w:before="0" w:after="0"/>
    </w:pPr>
    <w:rPr>
      <w:rFonts w:ascii="Lucida Grande" w:eastAsia="Times New Roman" w:hAnsi="Lucida Grande" w:cs="Lucida Grande"/>
    </w:rPr>
  </w:style>
  <w:style w:type="character" w:customStyle="1" w:styleId="DocumentMapChar">
    <w:name w:val="Document Map Char"/>
    <w:basedOn w:val="DefaultParagraphFont"/>
    <w:link w:val="DocumentMap"/>
    <w:rsid w:val="00AA3994"/>
    <w:rPr>
      <w:rFonts w:ascii="Lucida Grande" w:hAnsi="Lucida Grande" w:cs="Lucida Grande"/>
      <w:sz w:val="24"/>
      <w:szCs w:val="24"/>
    </w:rPr>
  </w:style>
  <w:style w:type="paragraph" w:styleId="CommentSubject">
    <w:name w:val="annotation subject"/>
    <w:basedOn w:val="CommentText"/>
    <w:next w:val="CommentText"/>
    <w:link w:val="CommentSubjectChar"/>
    <w:unhideWhenUsed/>
    <w:locked/>
    <w:rsid w:val="00AA3994"/>
    <w:rPr>
      <w:b/>
      <w:bCs/>
    </w:rPr>
  </w:style>
  <w:style w:type="character" w:customStyle="1" w:styleId="CommentSubjectChar">
    <w:name w:val="Comment Subject Char"/>
    <w:basedOn w:val="CommentTextChar"/>
    <w:link w:val="CommentSubject"/>
    <w:rsid w:val="00AA3994"/>
    <w:rPr>
      <w:rFonts w:ascii="Arial" w:hAnsi="Arial"/>
      <w:b/>
      <w:bCs/>
    </w:rPr>
  </w:style>
  <w:style w:type="paragraph" w:styleId="Revision">
    <w:name w:val="Revision"/>
    <w:hidden/>
    <w:uiPriority w:val="99"/>
    <w:semiHidden/>
    <w:rsid w:val="00AA3994"/>
    <w:rPr>
      <w:rFonts w:ascii="Arial" w:hAnsi="Arial"/>
      <w:sz w:val="24"/>
      <w:szCs w:val="24"/>
    </w:rPr>
  </w:style>
  <w:style w:type="paragraph" w:styleId="Caption">
    <w:name w:val="caption"/>
    <w:basedOn w:val="Normal"/>
    <w:next w:val="Normal"/>
    <w:unhideWhenUsed/>
    <w:qFormat/>
    <w:locked/>
    <w:rsid w:val="00AA3994"/>
    <w:pPr>
      <w:spacing w:before="0" w:after="200"/>
    </w:pPr>
    <w:rPr>
      <w:i/>
      <w:iCs/>
      <w:color w:val="44546A" w:themeColor="text2"/>
      <w:sz w:val="18"/>
      <w:szCs w:val="18"/>
    </w:rPr>
  </w:style>
  <w:style w:type="character" w:customStyle="1" w:styleId="selectable">
    <w:name w:val="selectable"/>
    <w:basedOn w:val="DefaultParagraphFont"/>
    <w:rsid w:val="00AA3994"/>
  </w:style>
  <w:style w:type="paragraph" w:customStyle="1" w:styleId="Body">
    <w:name w:val="Body"/>
    <w:rsid w:val="00AA3994"/>
    <w:pPr>
      <w:pBdr>
        <w:top w:val="nil"/>
        <w:left w:val="nil"/>
        <w:bottom w:val="nil"/>
        <w:right w:val="nil"/>
        <w:between w:val="nil"/>
        <w:bar w:val="nil"/>
      </w:pBdr>
      <w:spacing w:before="240" w:after="240"/>
    </w:pPr>
    <w:rPr>
      <w:rFonts w:ascii="Arial" w:eastAsia="Arial Unicode MS" w:hAnsi="Arial Unicode MS" w:cs="Arial Unicode MS"/>
      <w:color w:val="000000"/>
      <w:sz w:val="24"/>
      <w:szCs w:val="24"/>
      <w:u w:color="000000"/>
      <w:bdr w:val="nil"/>
    </w:rPr>
  </w:style>
  <w:style w:type="paragraph" w:styleId="TableofFigures">
    <w:name w:val="table of figures"/>
    <w:basedOn w:val="Normal"/>
    <w:next w:val="Normal"/>
    <w:uiPriority w:val="99"/>
    <w:unhideWhenUsed/>
    <w:locked/>
    <w:rsid w:val="009F099B"/>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37367260">
      <w:bodyDiv w:val="1"/>
      <w:marLeft w:val="0"/>
      <w:marRight w:val="0"/>
      <w:marTop w:val="0"/>
      <w:marBottom w:val="0"/>
      <w:divBdr>
        <w:top w:val="none" w:sz="0" w:space="0" w:color="auto"/>
        <w:left w:val="none" w:sz="0" w:space="0" w:color="auto"/>
        <w:bottom w:val="none" w:sz="0" w:space="0" w:color="auto"/>
        <w:right w:val="none" w:sz="0" w:space="0" w:color="auto"/>
      </w:divBdr>
    </w:div>
    <w:div w:id="779758380">
      <w:bodyDiv w:val="1"/>
      <w:marLeft w:val="0"/>
      <w:marRight w:val="0"/>
      <w:marTop w:val="0"/>
      <w:marBottom w:val="0"/>
      <w:divBdr>
        <w:top w:val="none" w:sz="0" w:space="0" w:color="auto"/>
        <w:left w:val="none" w:sz="0" w:space="0" w:color="auto"/>
        <w:bottom w:val="none" w:sz="0" w:space="0" w:color="auto"/>
        <w:right w:val="none" w:sz="0" w:space="0" w:color="auto"/>
      </w:divBdr>
    </w:div>
    <w:div w:id="935017998">
      <w:bodyDiv w:val="1"/>
      <w:marLeft w:val="0"/>
      <w:marRight w:val="0"/>
      <w:marTop w:val="0"/>
      <w:marBottom w:val="0"/>
      <w:divBdr>
        <w:top w:val="none" w:sz="0" w:space="0" w:color="auto"/>
        <w:left w:val="none" w:sz="0" w:space="0" w:color="auto"/>
        <w:bottom w:val="none" w:sz="0" w:space="0" w:color="auto"/>
        <w:right w:val="none" w:sz="0" w:space="0" w:color="auto"/>
      </w:divBdr>
    </w:div>
    <w:div w:id="977101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image" Target="media/image7.png"/><Relationship Id="rId26" Type="http://schemas.openxmlformats.org/officeDocument/2006/relationships/image" Target="media/image15.png"/><Relationship Id="rId39" Type="http://schemas.openxmlformats.org/officeDocument/2006/relationships/image" Target="media/image20.png"/><Relationship Id="rId21" Type="http://schemas.openxmlformats.org/officeDocument/2006/relationships/image" Target="media/image10.png"/><Relationship Id="rId34" Type="http://schemas.openxmlformats.org/officeDocument/2006/relationships/footer" Target="footer3.xml"/><Relationship Id="rId42" Type="http://schemas.openxmlformats.org/officeDocument/2006/relationships/chart" Target="charts/chart1.xml"/><Relationship Id="rId47" Type="http://schemas.openxmlformats.org/officeDocument/2006/relationships/chart" Target="charts/chart6.xml"/><Relationship Id="rId50" Type="http://schemas.openxmlformats.org/officeDocument/2006/relationships/chart" Target="charts/chart9.xml"/><Relationship Id="rId55" Type="http://schemas.openxmlformats.org/officeDocument/2006/relationships/chart" Target="charts/chart14.xml"/><Relationship Id="rId63" Type="http://schemas.openxmlformats.org/officeDocument/2006/relationships/chart" Target="charts/chart22.xml"/><Relationship Id="rId68" Type="http://schemas.openxmlformats.org/officeDocument/2006/relationships/chart" Target="charts/chart27.xml"/><Relationship Id="rId7" Type="http://schemas.openxmlformats.org/officeDocument/2006/relationships/endnotes" Target="endnotes.xml"/><Relationship Id="rId71" Type="http://schemas.openxmlformats.org/officeDocument/2006/relationships/chart" Target="charts/chart30.xml"/><Relationship Id="rId2" Type="http://schemas.openxmlformats.org/officeDocument/2006/relationships/numbering" Target="numbering.xml"/><Relationship Id="rId16" Type="http://schemas.openxmlformats.org/officeDocument/2006/relationships/image" Target="media/image5.png"/><Relationship Id="rId29" Type="http://schemas.openxmlformats.org/officeDocument/2006/relationships/image" Target="media/image18.emf"/><Relationship Id="rId11" Type="http://schemas.openxmlformats.org/officeDocument/2006/relationships/header" Target="header3.xml"/><Relationship Id="rId24" Type="http://schemas.openxmlformats.org/officeDocument/2006/relationships/image" Target="media/image13.png"/><Relationship Id="rId32" Type="http://schemas.openxmlformats.org/officeDocument/2006/relationships/header" Target="header4.xml"/><Relationship Id="rId37" Type="http://schemas.openxmlformats.org/officeDocument/2006/relationships/hyperlink" Target="http://www.1800respect.org.au" TargetMode="External"/><Relationship Id="rId40" Type="http://schemas.openxmlformats.org/officeDocument/2006/relationships/image" Target="media/image21.png"/><Relationship Id="rId45" Type="http://schemas.openxmlformats.org/officeDocument/2006/relationships/chart" Target="charts/chart4.xml"/><Relationship Id="rId53" Type="http://schemas.openxmlformats.org/officeDocument/2006/relationships/chart" Target="charts/chart12.xml"/><Relationship Id="rId58" Type="http://schemas.openxmlformats.org/officeDocument/2006/relationships/chart" Target="charts/chart17.xml"/><Relationship Id="rId66" Type="http://schemas.openxmlformats.org/officeDocument/2006/relationships/chart" Target="charts/chart25.xml"/><Relationship Id="rId7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image" Target="media/image12.png"/><Relationship Id="rId28" Type="http://schemas.openxmlformats.org/officeDocument/2006/relationships/image" Target="media/image17.png"/><Relationship Id="rId36" Type="http://schemas.openxmlformats.org/officeDocument/2006/relationships/hyperlink" Target="http://www.kidshelp.com.au" TargetMode="External"/><Relationship Id="rId49" Type="http://schemas.openxmlformats.org/officeDocument/2006/relationships/chart" Target="charts/chart8.xml"/><Relationship Id="rId57" Type="http://schemas.openxmlformats.org/officeDocument/2006/relationships/chart" Target="charts/chart16.xml"/><Relationship Id="rId61" Type="http://schemas.openxmlformats.org/officeDocument/2006/relationships/chart" Target="charts/chart20.xml"/><Relationship Id="rId10" Type="http://schemas.openxmlformats.org/officeDocument/2006/relationships/footer" Target="footer1.xml"/><Relationship Id="rId19" Type="http://schemas.openxmlformats.org/officeDocument/2006/relationships/image" Target="media/image8.png"/><Relationship Id="rId31" Type="http://schemas.openxmlformats.org/officeDocument/2006/relationships/hyperlink" Target="http://www.humanrights.gov.au/our-work/childrens-rights" TargetMode="External"/><Relationship Id="rId44" Type="http://schemas.openxmlformats.org/officeDocument/2006/relationships/chart" Target="charts/chart3.xml"/><Relationship Id="rId52" Type="http://schemas.openxmlformats.org/officeDocument/2006/relationships/chart" Target="charts/chart11.xml"/><Relationship Id="rId60" Type="http://schemas.openxmlformats.org/officeDocument/2006/relationships/chart" Target="charts/chart19.xml"/><Relationship Id="rId65" Type="http://schemas.openxmlformats.org/officeDocument/2006/relationships/chart" Target="charts/chart24.xml"/><Relationship Id="rId73" Type="http://schemas.openxmlformats.org/officeDocument/2006/relationships/chart" Target="charts/chart32.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3.png"/><Relationship Id="rId22" Type="http://schemas.openxmlformats.org/officeDocument/2006/relationships/image" Target="media/image11.png"/><Relationship Id="rId27" Type="http://schemas.openxmlformats.org/officeDocument/2006/relationships/image" Target="media/image16.png"/><Relationship Id="rId30" Type="http://schemas.openxmlformats.org/officeDocument/2006/relationships/hyperlink" Target="http://www.humanrights.gov.au/" TargetMode="External"/><Relationship Id="rId35" Type="http://schemas.openxmlformats.org/officeDocument/2006/relationships/header" Target="header6.xml"/><Relationship Id="rId43" Type="http://schemas.openxmlformats.org/officeDocument/2006/relationships/chart" Target="charts/chart2.xml"/><Relationship Id="rId48" Type="http://schemas.openxmlformats.org/officeDocument/2006/relationships/chart" Target="charts/chart7.xml"/><Relationship Id="rId56" Type="http://schemas.openxmlformats.org/officeDocument/2006/relationships/chart" Target="charts/chart15.xml"/><Relationship Id="rId64" Type="http://schemas.openxmlformats.org/officeDocument/2006/relationships/chart" Target="charts/chart23.xml"/><Relationship Id="rId69" Type="http://schemas.openxmlformats.org/officeDocument/2006/relationships/chart" Target="charts/chart28.xml"/><Relationship Id="rId8" Type="http://schemas.openxmlformats.org/officeDocument/2006/relationships/header" Target="header1.xml"/><Relationship Id="rId51" Type="http://schemas.openxmlformats.org/officeDocument/2006/relationships/chart" Target="charts/chart10.xml"/><Relationship Id="rId72" Type="http://schemas.openxmlformats.org/officeDocument/2006/relationships/chart" Target="charts/chart31.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image" Target="media/image6.png"/><Relationship Id="rId25" Type="http://schemas.openxmlformats.org/officeDocument/2006/relationships/image" Target="media/image14.png"/><Relationship Id="rId33" Type="http://schemas.openxmlformats.org/officeDocument/2006/relationships/header" Target="header5.xml"/><Relationship Id="rId38" Type="http://schemas.openxmlformats.org/officeDocument/2006/relationships/hyperlink" Target="http://www.mensline.org.au" TargetMode="External"/><Relationship Id="rId46" Type="http://schemas.openxmlformats.org/officeDocument/2006/relationships/chart" Target="charts/chart5.xml"/><Relationship Id="rId59" Type="http://schemas.openxmlformats.org/officeDocument/2006/relationships/chart" Target="charts/chart18.xml"/><Relationship Id="rId67" Type="http://schemas.openxmlformats.org/officeDocument/2006/relationships/chart" Target="charts/chart26.xml"/><Relationship Id="rId20" Type="http://schemas.openxmlformats.org/officeDocument/2006/relationships/image" Target="media/image9.png"/><Relationship Id="rId41" Type="http://schemas.openxmlformats.org/officeDocument/2006/relationships/image" Target="media/image22.tmp"/><Relationship Id="rId54" Type="http://schemas.openxmlformats.org/officeDocument/2006/relationships/chart" Target="charts/chart13.xml"/><Relationship Id="rId62" Type="http://schemas.openxmlformats.org/officeDocument/2006/relationships/chart" Target="charts/chart21.xml"/><Relationship Id="rId70" Type="http://schemas.openxmlformats.org/officeDocument/2006/relationships/chart" Target="charts/chart29.xml"/><Relationship Id="rId7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s>
</file>

<file path=word/_rels/endnotes.xml.rels><?xml version="1.0" encoding="UTF-8" standalone="yes"?>
<Relationships xmlns="http://schemas.openxmlformats.org/package/2006/relationships"><Relationship Id="rId26" Type="http://schemas.openxmlformats.org/officeDocument/2006/relationships/hyperlink" Target="http://www.aihw.gov.au/publication-detail/?id=60129552564" TargetMode="External"/><Relationship Id="rId117" Type="http://schemas.openxmlformats.org/officeDocument/2006/relationships/hyperlink" Target="http://www.oaic.gov.au/news-and-events/media-releases/privacy-media-releases/survey-of-child-targeted-websites-and-apps-reveals-progress-on-privacy-protection-but-parental-involvement-still-the-key" TargetMode="External"/><Relationship Id="rId21" Type="http://schemas.openxmlformats.org/officeDocument/2006/relationships/hyperlink" Target="http://www.aph.gov.au/Parliamentary_Business/Committees/Senate/Legal_and_Constitutional_Affairs/Power_and_Offences_Bill/Submissions" TargetMode="External"/><Relationship Id="rId42" Type="http://schemas.openxmlformats.org/officeDocument/2006/relationships/hyperlink" Target="http://www.aph.gov.au/Parliamentary_Business/Committees/Senate/Legal_and_Constitutional_Affairs/Guardian_for_children/Report" TargetMode="External"/><Relationship Id="rId47" Type="http://schemas.openxmlformats.org/officeDocument/2006/relationships/hyperlink" Target="http://www.liberal.org.au/our-policies" TargetMode="External"/><Relationship Id="rId63" Type="http://schemas.openxmlformats.org/officeDocument/2006/relationships/hyperlink" Target="http://www.aph.gov.au/Parliamentary_Business/Committees/Senate/Legal_and_Constitutional_Affairs/Character_and_Visa_Cancellation_Bill_2014/Submissions" TargetMode="External"/><Relationship Id="rId68" Type="http://schemas.openxmlformats.org/officeDocument/2006/relationships/hyperlink" Target="http://www.aph.gov.au/Parliamentary_Business/Bills_Legislation/Bills_Search_Results/Result?bId=r5345" TargetMode="External"/><Relationship Id="rId84" Type="http://schemas.openxmlformats.org/officeDocument/2006/relationships/hyperlink" Target="http://www.aph.gov.au/Parliamentary_Business/Bills_LEGislation/Bills_Search_Results/Result?bId=r5421" TargetMode="External"/><Relationship Id="rId89" Type="http://schemas.openxmlformats.org/officeDocument/2006/relationships/hyperlink" Target="http://www.aph.gov.au/Parliamentary_Business/Bills_LEGislation/Bills_Search_Results/Result?bId=r5421" TargetMode="External"/><Relationship Id="rId112" Type="http://schemas.openxmlformats.org/officeDocument/2006/relationships/hyperlink" Target="http://www.oaic.gov.au/news-and-events/media-releases/privacy-media-releases/survey-of-child-targeted-websites-and-apps-reveals-progress-on-privacy-protection-but-parental-involvement-still-the-key" TargetMode="External"/><Relationship Id="rId133" Type="http://schemas.openxmlformats.org/officeDocument/2006/relationships/hyperlink" Target="http://www.aihw.gov.au/WorkArea/DownloadAsset.aspx?id=60129550859" TargetMode="External"/><Relationship Id="rId138" Type="http://schemas.openxmlformats.org/officeDocument/2006/relationships/hyperlink" Target="http://www.aic.gov.au/publications/current%20series/rip/21-40/rip38.html" TargetMode="External"/><Relationship Id="rId154" Type="http://schemas.openxmlformats.org/officeDocument/2006/relationships/hyperlink" Target="http://dx.doi.org.ezproxy.lib.uts.edu.au/10.1080/13218719.2015.1015204" TargetMode="External"/><Relationship Id="rId159" Type="http://schemas.openxmlformats.org/officeDocument/2006/relationships/hyperlink" Target="https://www.coag.gov.au/node/524" TargetMode="External"/><Relationship Id="rId175" Type="http://schemas.openxmlformats.org/officeDocument/2006/relationships/hyperlink" Target="http://www.abs.gov.au/AUSSTATS/abs@.nsf/Latestproducts/4510.0Explanatory%20Notes12014?opendocument&amp;tabname=Notes&amp;prodno=4510.0&amp;issue=2014&amp;num=&amp;view" TargetMode="External"/><Relationship Id="rId170" Type="http://schemas.openxmlformats.org/officeDocument/2006/relationships/hyperlink" Target="http://www.abs.gov.au/AUSSTATS/abs@.nsf/Latestproducts/4510.0Glossary12014?opendocument&amp;tabname=Notes&amp;prodno=4510.0&amp;issue=2014&amp;num=&amp;view" TargetMode="External"/><Relationship Id="rId16" Type="http://schemas.openxmlformats.org/officeDocument/2006/relationships/hyperlink" Target="http://www.aph.gov.au/Parliamentary_Business/Committees/Senate/Legal_and_Constitutional_Affairs/Character_and_Visa_Cancellation_Bill_2014/Submissions" TargetMode="External"/><Relationship Id="rId107" Type="http://schemas.openxmlformats.org/officeDocument/2006/relationships/hyperlink" Target="http://www.business-standard.com/india/news/catch-them-youngadvergaming/381926/" TargetMode="External"/><Relationship Id="rId11" Type="http://schemas.openxmlformats.org/officeDocument/2006/relationships/hyperlink" Target="https://www.humanrights.gov.au/our-work/childrens-rights/projects/model-charter-rights-children-and-young-people-detained-youth" TargetMode="External"/><Relationship Id="rId32" Type="http://schemas.openxmlformats.org/officeDocument/2006/relationships/hyperlink" Target="http://www.aph.gov.au/Parliamentary_Business/Committees/Joint/Human_Rights/Guidance_Notes_and_Resources" TargetMode="External"/><Relationship Id="rId37" Type="http://schemas.openxmlformats.org/officeDocument/2006/relationships/hyperlink" Target="http://www.aph.gov.au/Parliamentary_Business/Committees/Senate/Legal_and_Constitutional_Affairs/Guardian_for_children" TargetMode="External"/><Relationship Id="rId53" Type="http://schemas.openxmlformats.org/officeDocument/2006/relationships/hyperlink" Target="http://www.aph.gov.au/Parliamentary_Business/Committees/Senate/Environment_and_Communications/Online_safety/Report" TargetMode="External"/><Relationship Id="rId58" Type="http://schemas.openxmlformats.org/officeDocument/2006/relationships/hyperlink" Target="http://www.aph.gov.au/Parliamentary_Business/Committees/Senate/Legal_and_Constitutional_Affairs/Power_and_Offences_Bill/Submissions" TargetMode="External"/><Relationship Id="rId74" Type="http://schemas.openxmlformats.org/officeDocument/2006/relationships/hyperlink" Target="http://www.aph.gov.au/Parliamentary_Business/Committees/Senate/Legal_and_Constitutional_Affairs/Asylum_Legacy_Caseload_Bill_2014/Report" TargetMode="External"/><Relationship Id="rId79" Type="http://schemas.openxmlformats.org/officeDocument/2006/relationships/hyperlink" Target="http://www.aph.gov.au/Parliamentary_Business/Committees/Senate/Legal_and_Constitutional_Affairs/Australian_Citizenship/Submissions" TargetMode="External"/><Relationship Id="rId102" Type="http://schemas.openxmlformats.org/officeDocument/2006/relationships/hyperlink" Target="http://www.abs.gov.au/ausstats/abs@.nsf/Products/4901.0~Apr+2012~Main+Features~Internet+and+mobile+phones?OpenDocument" TargetMode="External"/><Relationship Id="rId123" Type="http://schemas.openxmlformats.org/officeDocument/2006/relationships/hyperlink" Target="http://www.aic.gov.au/publications/current%20series/rip/1-10/10.html" TargetMode="External"/><Relationship Id="rId128" Type="http://schemas.openxmlformats.org/officeDocument/2006/relationships/hyperlink" Target="http://www.researchgate.net/publication/23219462_The_impact_of_exposure_to_domestic_violence_on_children_and_young_people_A_review_of_the_literature" TargetMode="External"/><Relationship Id="rId144" Type="http://schemas.openxmlformats.org/officeDocument/2006/relationships/hyperlink" Target="https://www.qld.gov.au/community/getting-support-health-social-issue/dfv-read-report-recommendation/index.html" TargetMode="External"/><Relationship Id="rId149" Type="http://schemas.openxmlformats.org/officeDocument/2006/relationships/hyperlink" Target="http://www.aph.gov.au/Parliamentary_Business/Committees/Senate/Finance_and_Public_Administration/Domestic_Violence/Report" TargetMode="External"/><Relationship Id="rId5" Type="http://schemas.openxmlformats.org/officeDocument/2006/relationships/hyperlink" Target="http://www.aihw.gov.au/publication-detail/?id=60129550762" TargetMode="External"/><Relationship Id="rId90" Type="http://schemas.openxmlformats.org/officeDocument/2006/relationships/hyperlink" Target="http://www.aph.gov.au/Parliamentary_Business/Committees/Joint/Intelligence_and_Security/Counter-Terrorism_Legislation_Amendment_Foreign_Fighters_Bill_2014" TargetMode="External"/><Relationship Id="rId95" Type="http://schemas.openxmlformats.org/officeDocument/2006/relationships/hyperlink" Target="https://www.humanrights.gov.au/intervention-court-proceedings-australian-human-rights-commission-guidelines" TargetMode="External"/><Relationship Id="rId160" Type="http://schemas.openxmlformats.org/officeDocument/2006/relationships/hyperlink" Target="http://www.familycourt.gov.au/wps/wcm/connect/fcoaweb/family-law-matters/family-violence/child-abuse-allegations/" TargetMode="External"/><Relationship Id="rId165" Type="http://schemas.openxmlformats.org/officeDocument/2006/relationships/hyperlink" Target="http://www.facs.nsw.gov.au/__data/assets/file/0003/306426/Literature_Review_How_Children_Disclose_Sexual_Abuse.pdf" TargetMode="External"/><Relationship Id="rId181" Type="http://schemas.openxmlformats.org/officeDocument/2006/relationships/hyperlink" Target="http://www.abs.gov.au/AUSSTATS/abs@.nsf/Latestproducts/4906.0Glossary12012?opendocument&amp;tabname=Notes&amp;prodno=4906.0&amp;issue=2012&amp;num=&amp;view" TargetMode="External"/><Relationship Id="rId22" Type="http://schemas.openxmlformats.org/officeDocument/2006/relationships/hyperlink" Target="http://www.aph.gov.au/Parliamentary_Business/Committees/Senate/Finance_and_Public_Administration/Legal_assistance_services/Submissions" TargetMode="External"/><Relationship Id="rId27" Type="http://schemas.openxmlformats.org/officeDocument/2006/relationships/hyperlink" Target="http://www.aihw.gov.au/nyif/" TargetMode="External"/><Relationship Id="rId43" Type="http://schemas.openxmlformats.org/officeDocument/2006/relationships/hyperlink" Target="http://www.aph.gov.au/Parliamentary_Business/Committees/Senate/Legal_and_Constitutional_Affairs/Guardian_for_children/Report" TargetMode="External"/><Relationship Id="rId48" Type="http://schemas.openxmlformats.org/officeDocument/2006/relationships/hyperlink" Target="http://www.aph.gov.au/Parliamentary_Business/Bills_Legislation/Bills_Search_Results/Result?bId=r5387" TargetMode="External"/><Relationship Id="rId64" Type="http://schemas.openxmlformats.org/officeDocument/2006/relationships/hyperlink" Target="http://www.aph.gov.au/Parliamentary_Business/Committees/Senate/Legal_and_Constitutional_Affairs/Character_and_Visa_Cancellation_Bill_2014/Submissions" TargetMode="External"/><Relationship Id="rId69" Type="http://schemas.openxmlformats.org/officeDocument/2006/relationships/hyperlink" Target="http://www.aph.gov.au/Parliamentary_Business/Committees/Senate/Legal_and_Constitutional_Affairs/Asylum_Legacy_Caseload_Bill_2014" TargetMode="External"/><Relationship Id="rId113" Type="http://schemas.openxmlformats.org/officeDocument/2006/relationships/hyperlink" Target="http://www.oaic.gov.au/news-and-events/media-releases/privacy-media-releases/survey-of-child-targeted-websites-and-apps-reveals-progress-on-privacy-protection-but-parental-involvement-still-the-key" TargetMode="External"/><Relationship Id="rId118" Type="http://schemas.openxmlformats.org/officeDocument/2006/relationships/hyperlink" Target="http://www.abstract.lib-ebook.com/a1-medicine/1547858-1-a-thesis-presented-partial-fulfilment-the-requirements-for-the-deg.php" TargetMode="External"/><Relationship Id="rId134" Type="http://schemas.openxmlformats.org/officeDocument/2006/relationships/hyperlink" Target="http://www.aic.gov.au/publications/current%20series/rip/21-40/rip38.html" TargetMode="External"/><Relationship Id="rId139" Type="http://schemas.openxmlformats.org/officeDocument/2006/relationships/hyperlink" Target="http://www.ohchr.org/EN/HRBodies/CRC/Study/Pages/StudyViolenceChildren.aspx" TargetMode="External"/><Relationship Id="rId80" Type="http://schemas.openxmlformats.org/officeDocument/2006/relationships/hyperlink" Target="http://www.aph.gov.au/Parliamentary_Business/Committees/Senate/Legal_and_Constitutional_Affairs/Australian_Citizenship/Report" TargetMode="External"/><Relationship Id="rId85" Type="http://schemas.openxmlformats.org/officeDocument/2006/relationships/hyperlink" Target="http://www.aph.gov.au/Parliamentary_Business/Committees/Senate/Legal_and_Constitutional_Affairs/Biometrics/Report" TargetMode="External"/><Relationship Id="rId150" Type="http://schemas.openxmlformats.org/officeDocument/2006/relationships/hyperlink" Target="http://dx.doi.org.ezproxy.lib.uts.edu.au/10.1080/13218719.2015.1015204" TargetMode="External"/><Relationship Id="rId155" Type="http://schemas.openxmlformats.org/officeDocument/2006/relationships/hyperlink" Target="http://aic.gov.au/publications/current%20series/tandi/401-420/tandi419.html" TargetMode="External"/><Relationship Id="rId171" Type="http://schemas.openxmlformats.org/officeDocument/2006/relationships/hyperlink" Target="http://www.abs.gov.au/AUSSTATS/abs@.nsf/Latestproducts/4510.0Explanatory%20Notes12014?opendocument&amp;tabname=Notes&amp;prodno=4510.0&amp;issue=2014&amp;num=&amp;view" TargetMode="External"/><Relationship Id="rId176" Type="http://schemas.openxmlformats.org/officeDocument/2006/relationships/hyperlink" Target="http://www.abs.gov.au/ausstats/abs@.nsf/Lookup/4906.0Chapter1002012" TargetMode="External"/><Relationship Id="rId12" Type="http://schemas.openxmlformats.org/officeDocument/2006/relationships/hyperlink" Target="http://www.aihw.gov.au/publication-detail/?id=60129550638" TargetMode="External"/><Relationship Id="rId17" Type="http://schemas.openxmlformats.org/officeDocument/2006/relationships/hyperlink" Target="http://www.aph.gov.au/Parliamentary_Business/Committees/Senate/Legal_and_Constitutional_Affairs/Asylum_Legacy_Caseload_Bill_2014/Submissions" TargetMode="External"/><Relationship Id="rId33" Type="http://schemas.openxmlformats.org/officeDocument/2006/relationships/hyperlink" Target="http://www.aph.gov.au/Parliamentary_Business/Committees/Joint/Human_Rights/Guidance_Notes_and_Resources" TargetMode="External"/><Relationship Id="rId38" Type="http://schemas.openxmlformats.org/officeDocument/2006/relationships/hyperlink" Target="http://www.aph.gov.au/Parliamentary_Business/Committees/Senate/Legal_and_Constitutional_Affairs/Guardian_for_children/Submissions" TargetMode="External"/><Relationship Id="rId59" Type="http://schemas.openxmlformats.org/officeDocument/2006/relationships/hyperlink" Target="http://www.aph.gov.au/Parliamentary_Business/Committees/Senate/Legal_and_Constitutional_Affairs/Power_and_Offences_Bill/Report" TargetMode="External"/><Relationship Id="rId103" Type="http://schemas.openxmlformats.org/officeDocument/2006/relationships/hyperlink" Target="http://www.nytimes.com/2011/12/12/technology/one-million-apps-and-counting.html?_r=0" TargetMode="External"/><Relationship Id="rId108" Type="http://schemas.openxmlformats.org/officeDocument/2006/relationships/hyperlink" Target="http://eprints.lse.ac.uk/13476/1/The_changing_nature_and_uses_of_media_literacy.pdf" TargetMode="External"/><Relationship Id="rId124" Type="http://schemas.openxmlformats.org/officeDocument/2006/relationships/hyperlink" Target="http://www.abs.gov.au/ausstats/abs@.nsf/Lookup/4906.0Chapter7002012" TargetMode="External"/><Relationship Id="rId129" Type="http://schemas.openxmlformats.org/officeDocument/2006/relationships/hyperlink" Target="http://aic.gov.au/publications/current%20series/tandi/401-420/tandi419.html" TargetMode="External"/><Relationship Id="rId54" Type="http://schemas.openxmlformats.org/officeDocument/2006/relationships/hyperlink" Target="http://www.aph.gov.au/Parliamentary_Business/Bills_Legislation/Bills_Search_Results/Result?bId=r5387" TargetMode="External"/><Relationship Id="rId70" Type="http://schemas.openxmlformats.org/officeDocument/2006/relationships/hyperlink" Target="http://www.aph.gov.au/Parliamentary_Business/Committees/Senate/Legal_and_Constitutional_Affairs/Asylum_Legacy_Caseload_Bill_2014/Submissions" TargetMode="External"/><Relationship Id="rId75" Type="http://schemas.openxmlformats.org/officeDocument/2006/relationships/hyperlink" Target="http://www.aph.gov.au/Parliamentary_Business/Committees/Senate/Legal_and_Constitutional_Affairs/Asylum_Legacy_Caseload_Bill_2014/Report" TargetMode="External"/><Relationship Id="rId91" Type="http://schemas.openxmlformats.org/officeDocument/2006/relationships/hyperlink" Target="http://www.aph.gov.au/Parliamentary_Business/Committees/Joint/Intelligence_and_Security/Counter-Terrorism_Legislation_Amendment_Foreign_Fighters_Bill_2014/Submissions" TargetMode="External"/><Relationship Id="rId96" Type="http://schemas.openxmlformats.org/officeDocument/2006/relationships/hyperlink" Target="http://www.aph.gov.au/Parliamentary_Business/Committees/Joint/Human_Rights/Guidance_Notes_and_Resources" TargetMode="External"/><Relationship Id="rId140" Type="http://schemas.openxmlformats.org/officeDocument/2006/relationships/hyperlink" Target="http://www.abs.gov.au/ausstats/abs@.nsf/mf/4529.0.00.002" TargetMode="External"/><Relationship Id="rId145" Type="http://schemas.openxmlformats.org/officeDocument/2006/relationships/hyperlink" Target="http://www.abs.gov.au/ausstats/abs@.nsf/Lookup/by%20Subject/4529.0.00.003~2014~Main%20Features~The%20Way%20Forward~8" TargetMode="External"/><Relationship Id="rId161" Type="http://schemas.openxmlformats.org/officeDocument/2006/relationships/hyperlink" Target="http://www.abs.gov.au/AUSSTATS/abs@.nsf/Latestproducts/4510.0Explanatory%20Notes12014?opendocument&amp;tabname=Notes&amp;prodno=4510.0&amp;issue=2014&amp;num=&amp;view" TargetMode="External"/><Relationship Id="rId166" Type="http://schemas.openxmlformats.org/officeDocument/2006/relationships/hyperlink" Target="http://anrows.org.au/about/national-research-agenda" TargetMode="External"/><Relationship Id="rId182" Type="http://schemas.openxmlformats.org/officeDocument/2006/relationships/hyperlink" Target="http://www.abs.gov.au/AUSSTATS/abs@.nsf/Latestproducts/4906.0Glossary12012?opendocument&amp;tabname=Notes&amp;prodno=4906.0&amp;issue=2012&amp;num=&amp;view" TargetMode="External"/><Relationship Id="rId1" Type="http://schemas.openxmlformats.org/officeDocument/2006/relationships/hyperlink" Target="http://www.aihw.gov.au/publication-detail/?id=60129552016" TargetMode="External"/><Relationship Id="rId6" Type="http://schemas.openxmlformats.org/officeDocument/2006/relationships/hyperlink" Target="http://www.aihw.gov.au/publication-detail/?id=60129550762" TargetMode="External"/><Relationship Id="rId23" Type="http://schemas.openxmlformats.org/officeDocument/2006/relationships/hyperlink" Target="http://suicidepreventionaust.org/statement/national-research-action-plan-for-suicide-prevention/" TargetMode="External"/><Relationship Id="rId28" Type="http://schemas.openxmlformats.org/officeDocument/2006/relationships/hyperlink" Target="http://www.aph.gov.au/Parliamentary_Business/Committees/Joint/Human_Rights/Guidance_Notes_and_Resources" TargetMode="External"/><Relationship Id="rId49" Type="http://schemas.openxmlformats.org/officeDocument/2006/relationships/hyperlink" Target="http://www.aph.gov.au/Parliamentary_Business/Bills_Legislation/Bills_Search_Results/Result?bId=r5388" TargetMode="External"/><Relationship Id="rId114" Type="http://schemas.openxmlformats.org/officeDocument/2006/relationships/hyperlink" Target="http://www.oaic.gov.au/news-and-events/media-releases/privacy-media-releases/survey-of-child-targeted-websites-and-apps-reveals-progress-on-privacy-protection-but-parental-involvement-still-the-key" TargetMode="External"/><Relationship Id="rId119" Type="http://schemas.openxmlformats.org/officeDocument/2006/relationships/hyperlink" Target="http://www.abs.gov.au/ausstats/abs@.nsf/Lookup/4533.0Main+Features72013" TargetMode="External"/><Relationship Id="rId44" Type="http://schemas.openxmlformats.org/officeDocument/2006/relationships/hyperlink" Target="http://www.aph.gov.au/Parliamentary_Business/Bills_LEGislation/Bills_Search_Results/Result?bId=s968" TargetMode="External"/><Relationship Id="rId60" Type="http://schemas.openxmlformats.org/officeDocument/2006/relationships/hyperlink" Target="http://www.aph.gov.au/Parliamentary_Business/Bills_Legislation/Bills_Search_Results/Result?bId=r5430" TargetMode="External"/><Relationship Id="rId65" Type="http://schemas.openxmlformats.org/officeDocument/2006/relationships/hyperlink" Target="http://www.aph.gov.au/Parliamentary_Business/Committees/Senate/Legal_and_Constitutional_Affairs/Australian_Citizenship/Report" TargetMode="External"/><Relationship Id="rId81" Type="http://schemas.openxmlformats.org/officeDocument/2006/relationships/hyperlink" Target="http://www.aph.gov.au/Parliamentary_Business/Committees/Senate/Legal_and_Constitutional_Affairs/Australian_Citizenship/Report" TargetMode="External"/><Relationship Id="rId86" Type="http://schemas.openxmlformats.org/officeDocument/2006/relationships/hyperlink" Target="http://www.aph.gov.au/Parliamentary_Business/Committees/Senate/Legal_and_Constitutional_Affairs/Biometrics/Report" TargetMode="External"/><Relationship Id="rId130" Type="http://schemas.openxmlformats.org/officeDocument/2006/relationships/hyperlink" Target="http://aic.gov.au/publications/current%20series/tandi/401-420/tandi419.html" TargetMode="External"/><Relationship Id="rId135" Type="http://schemas.openxmlformats.org/officeDocument/2006/relationships/hyperlink" Target="http://www.aic.gov.au/publications/current%20series/rip/21-40/rip38.html" TargetMode="External"/><Relationship Id="rId151" Type="http://schemas.openxmlformats.org/officeDocument/2006/relationships/hyperlink" Target="http://aic.gov.au/publications/current%20series/tandi/401-420/tandi419.html" TargetMode="External"/><Relationship Id="rId156" Type="http://schemas.openxmlformats.org/officeDocument/2006/relationships/hyperlink" Target="http://aic.gov.au/publications/current%20series/tandi/401-420/tandi419.html" TargetMode="External"/><Relationship Id="rId177" Type="http://schemas.openxmlformats.org/officeDocument/2006/relationships/hyperlink" Target="http://www.abs.gov.au/ausstats/abs@.nsf/Lookup/4906.0Technical+Note12012" TargetMode="External"/><Relationship Id="rId4" Type="http://schemas.openxmlformats.org/officeDocument/2006/relationships/hyperlink" Target="https://www.humanrights.gov.au/our-work/childrens-rights/publications/childrens-rights-report-2014" TargetMode="External"/><Relationship Id="rId9" Type="http://schemas.openxmlformats.org/officeDocument/2006/relationships/hyperlink" Target="http://www.pc.gov.au/research/recurring/report-on-government-services/2015/community-services/child-protection" TargetMode="External"/><Relationship Id="rId172" Type="http://schemas.openxmlformats.org/officeDocument/2006/relationships/hyperlink" Target="http://www.abs.gov.au/AUSSTATS/abs@.nsf/Latestproducts/4510.0Glossary12014?opendocument&amp;tabname=Notes&amp;prodno=4510.0&amp;issue=2014&amp;num=&amp;view" TargetMode="External"/><Relationship Id="rId180" Type="http://schemas.openxmlformats.org/officeDocument/2006/relationships/hyperlink" Target="http://www.abs.gov.au/AUSSTATS/abs@.nsf/Latestproducts/4906.0Glossary12012?opendocument&amp;tabname=Notes&amp;prodno=4906.0&amp;issue=2012&amp;num=&amp;view" TargetMode="External"/><Relationship Id="rId13" Type="http://schemas.openxmlformats.org/officeDocument/2006/relationships/hyperlink" Target="http://www.aihw.gov.au/publication-detail/?id=60129550762" TargetMode="External"/><Relationship Id="rId18" Type="http://schemas.openxmlformats.org/officeDocument/2006/relationships/hyperlink" Target="http://www.aph.gov.au/Parliamentary_Business/Committees/Senate/Legal_and_Constitutional_Affairs/Australian_Citizenship/Submissions" TargetMode="External"/><Relationship Id="rId39" Type="http://schemas.openxmlformats.org/officeDocument/2006/relationships/hyperlink" Target="https://www.humanrights.gov.au/our-work/childrens-rights/publications/childrens-rights-report-2013" TargetMode="External"/><Relationship Id="rId109" Type="http://schemas.openxmlformats.org/officeDocument/2006/relationships/hyperlink" Target="http://eprints.lse.ac.uk/13476/1/The_changing_nature_and_uses_of_media_literacy.pdf" TargetMode="External"/><Relationship Id="rId34" Type="http://schemas.openxmlformats.org/officeDocument/2006/relationships/hyperlink" Target="http://www.aph.gov.au/Parliamentary_Business/Committees/Joint/Human_Rights/Guidance_Notes_and_Resources" TargetMode="External"/><Relationship Id="rId50" Type="http://schemas.openxmlformats.org/officeDocument/2006/relationships/hyperlink" Target="http://www.aph.gov.au/Parliamentary_Business/Bills_Legislation/Bills_Search_Results/Result?bId=r5387" TargetMode="External"/><Relationship Id="rId55" Type="http://schemas.openxmlformats.org/officeDocument/2006/relationships/hyperlink" Target="http://www.aph.gov.au/Parliamentary_Business/Bills_Legislation/Bills_Search_Results/Result?bId=r5388" TargetMode="External"/><Relationship Id="rId76" Type="http://schemas.openxmlformats.org/officeDocument/2006/relationships/hyperlink" Target="http://www.aph.gov.au/Parliamentary_Business/Bills_Legislation/Bills_Search_Results/Result?bId=r5346" TargetMode="External"/><Relationship Id="rId97" Type="http://schemas.openxmlformats.org/officeDocument/2006/relationships/hyperlink" Target="http://www.aph.gov.au/Parliamentary_Business/Committees/Joint/Human_Rights/Guidance_Notes_and_Resources" TargetMode="External"/><Relationship Id="rId104" Type="http://schemas.openxmlformats.org/officeDocument/2006/relationships/hyperlink" Target="http://www.alrc.gov.au/publications/ip-17" TargetMode="External"/><Relationship Id="rId120" Type="http://schemas.openxmlformats.org/officeDocument/2006/relationships/hyperlink" Target="http://www.abs.gov.au/ausstats/abs@.nsf/Lookup/4533.0Main+Features72013" TargetMode="External"/><Relationship Id="rId125" Type="http://schemas.openxmlformats.org/officeDocument/2006/relationships/hyperlink" Target="http://www.abs.gov.au/AUSSTATS/abs@.nsf/DetailsPage/4906.02012?OpenDocument" TargetMode="External"/><Relationship Id="rId141" Type="http://schemas.openxmlformats.org/officeDocument/2006/relationships/hyperlink" Target="http://www.abs.gov.au/AUSSTATS/abs@.nsf/Lookup/4510.0Explanatory%20Notes12013?OpenDocument" TargetMode="External"/><Relationship Id="rId146" Type="http://schemas.openxmlformats.org/officeDocument/2006/relationships/hyperlink" Target="http://www.abs.gov.au/ausstats/abs@.nsf/Lookup/4529.0.00.003main+features52014" TargetMode="External"/><Relationship Id="rId167" Type="http://schemas.openxmlformats.org/officeDocument/2006/relationships/hyperlink" Target="http://www.abs.gov.au/ausstats/abs@.nsf/Lookup/by%20Subject/4510.0~2014~Main%20Features~Introduction~3" TargetMode="External"/><Relationship Id="rId7" Type="http://schemas.openxmlformats.org/officeDocument/2006/relationships/hyperlink" Target="http://www.aihw.gov.au/publication-detail/?id=60129550762" TargetMode="External"/><Relationship Id="rId71" Type="http://schemas.openxmlformats.org/officeDocument/2006/relationships/hyperlink" Target="http://www.aph.gov.au/Parliamentary_Business/Committees/Senate/Legal_and_Constitutional_Affairs/Asylum_Legacy_Caseload_Bill_2014/Submissions" TargetMode="External"/><Relationship Id="rId92" Type="http://schemas.openxmlformats.org/officeDocument/2006/relationships/hyperlink" Target="http://www.aph.gov.au/Parliamentary_Business/Committees/Joint/Intelligence_and_Security/Counter-Terrorism_Legislation_Amendment_Foreign_Fighters_Bill_2014/Submissions" TargetMode="External"/><Relationship Id="rId162" Type="http://schemas.openxmlformats.org/officeDocument/2006/relationships/hyperlink" Target="http://developingchild.harvard.edu/resources/inbrief-the-impact-of-early-adversity-on-childrens-development/" TargetMode="External"/><Relationship Id="rId183" Type="http://schemas.openxmlformats.org/officeDocument/2006/relationships/hyperlink" Target="http://www.abs.gov.au/AUSSTATS/abs@.nsf/Latestproducts/4906.0Glossary12012?opendocument&amp;tabname=Notes&amp;prodno=4906.0&amp;issue=2012&amp;num=&amp;view" TargetMode="External"/><Relationship Id="rId2" Type="http://schemas.openxmlformats.org/officeDocument/2006/relationships/hyperlink" Target="https://www.humanrights.gov.au/our-work/childrens-rights/publications/childrens-rights-report-2014" TargetMode="External"/><Relationship Id="rId29" Type="http://schemas.openxmlformats.org/officeDocument/2006/relationships/hyperlink" Target="http://www.aph.gov.au/Parliamentary_Business/Committees/Joint/Human_Rights/Guidance_Notes_and_Resources" TargetMode="External"/><Relationship Id="rId24" Type="http://schemas.openxmlformats.org/officeDocument/2006/relationships/hyperlink" Target="http://www.abs.gov.au/ausstats/abs@.nsf/mf/3303.0" TargetMode="External"/><Relationship Id="rId40" Type="http://schemas.openxmlformats.org/officeDocument/2006/relationships/hyperlink" Target="https://www.humanrights.gov.au/our-work/asylum-seekers-and-refugees/publications/forgotten-children-national-inquiry-children" TargetMode="External"/><Relationship Id="rId45" Type="http://schemas.openxmlformats.org/officeDocument/2006/relationships/hyperlink" Target="http://www.aph.gov.au/Parliamentary_Business/Bills_Legislation/Bills_Search_Results/Result?bId=r5335" TargetMode="External"/><Relationship Id="rId66" Type="http://schemas.openxmlformats.org/officeDocument/2006/relationships/hyperlink" Target="http://www.aph.gov.au/Parliamentary_Business/Committees/Senate/Legal_and_Constitutional_Affairs/Australian_Citizenship/Report" TargetMode="External"/><Relationship Id="rId87" Type="http://schemas.openxmlformats.org/officeDocument/2006/relationships/hyperlink" Target="http://www.aph.gov.au/Parliamentary_Business/Committees/Senate/Legal_and_Constitutional_Affairs/Biometrics/Report" TargetMode="External"/><Relationship Id="rId110" Type="http://schemas.openxmlformats.org/officeDocument/2006/relationships/hyperlink" Target="http://europa.eu/rapid/press-release_SPEECH-10-22_en.pdf" TargetMode="External"/><Relationship Id="rId115" Type="http://schemas.openxmlformats.org/officeDocument/2006/relationships/hyperlink" Target="http://www.oaic.gov.au/news-and-events/media-releases/privacy-media-releases/survey-of-child-targeted-websites-and-apps-reveals-progress-on-privacy-protection-but-parental-involvement-still-the-key" TargetMode="External"/><Relationship Id="rId131" Type="http://schemas.openxmlformats.org/officeDocument/2006/relationships/hyperlink" Target="http://www.aihw.gov.au/publication-detail/?id=60129550762" TargetMode="External"/><Relationship Id="rId136" Type="http://schemas.openxmlformats.org/officeDocument/2006/relationships/hyperlink" Target="http://www.aic.gov.au/publications/current%20series/rip/21-40/rip38.html" TargetMode="External"/><Relationship Id="rId157" Type="http://schemas.openxmlformats.org/officeDocument/2006/relationships/hyperlink" Target="http://aic.gov.au/publications/current%20series/tandi/401-420/tandi419.html" TargetMode="External"/><Relationship Id="rId178" Type="http://schemas.openxmlformats.org/officeDocument/2006/relationships/hyperlink" Target="http://www.abs.gov.au/ausstats/abs@.nsf/Lookup/4906.0Chapter1002012" TargetMode="External"/><Relationship Id="rId61" Type="http://schemas.openxmlformats.org/officeDocument/2006/relationships/hyperlink" Target="http://www.aph.gov.au/Parliamentary_Business/Committees/Senate/Legal_and_Constitutional_Affairs/Character_and_Visa_Cancellation_Bill_2014" TargetMode="External"/><Relationship Id="rId82" Type="http://schemas.openxmlformats.org/officeDocument/2006/relationships/hyperlink" Target="http://www.aph.gov.au/Parliamentary_Business/Bills_LEGislation/Bills_Search_Results/Result?bId=r5181" TargetMode="External"/><Relationship Id="rId152" Type="http://schemas.openxmlformats.org/officeDocument/2006/relationships/hyperlink" Target="http://aic.gov.au/publications/current%20series/tandi/401-420/tandi419.html" TargetMode="External"/><Relationship Id="rId173" Type="http://schemas.openxmlformats.org/officeDocument/2006/relationships/hyperlink" Target="http://www.abs.gov.au/AUSSTATS/abs@.nsf/Latestproducts/4510.0Explanatory%20Notes12014?opendocument&amp;tabname=Notes&amp;prodno=4510.0&amp;issue=2014&amp;num=&amp;view" TargetMode="External"/><Relationship Id="rId19" Type="http://schemas.openxmlformats.org/officeDocument/2006/relationships/hyperlink" Target="http://www.aph.gov.au/Parliamentary_Business/Committees/Senate/Community_Affairs/Young_people_in_aged_care/Submissions" TargetMode="External"/><Relationship Id="rId14" Type="http://schemas.openxmlformats.org/officeDocument/2006/relationships/hyperlink" Target="http://www.aph.gov.au/Parliamentary_Business/Committees/Joint/Intelligence_and_Security/Counter-Terrorism_Legislation_Amendment_Foreign_Fighters_Bill_2014/Submissions" TargetMode="External"/><Relationship Id="rId30" Type="http://schemas.openxmlformats.org/officeDocument/2006/relationships/hyperlink" Target="http://www.aph.gov.au/Parliamentary_Business/Committees/Joint/Human_Rights/Committee_Membership" TargetMode="External"/><Relationship Id="rId35" Type="http://schemas.openxmlformats.org/officeDocument/2006/relationships/hyperlink" Target="http://www.aph.gov.au/Parliamentary_Business/Committees/Joint/Human_Rights/Completed_inquiries" TargetMode="External"/><Relationship Id="rId56" Type="http://schemas.openxmlformats.org/officeDocument/2006/relationships/hyperlink" Target="http://parlinfo.aph.gov.au/parlInfo/search/display/display.w3p;query=Id%3A%22legislation%2Fems%2Fr5430_ems_eb308543-0f14-43e8-aef5-ccdc42fa0d63%22" TargetMode="External"/><Relationship Id="rId77" Type="http://schemas.openxmlformats.org/officeDocument/2006/relationships/hyperlink" Target="http://www.aph.gov.au/Parliamentary_Business/Committees/Senate/Legal_and_Constitutional_Affairs/Australian_Citizenship" TargetMode="External"/><Relationship Id="rId100" Type="http://schemas.openxmlformats.org/officeDocument/2006/relationships/hyperlink" Target="http://www.abs.gov.au/ausstats/abs@.nsf/Products/4901.0~Apr+2012~Main+Features~Internet+and+mobile+phones?OpenDocument" TargetMode="External"/><Relationship Id="rId105" Type="http://schemas.openxmlformats.org/officeDocument/2006/relationships/hyperlink" Target="http://content.time.com/time/world/article/0,8599,2050979,00.html" TargetMode="External"/><Relationship Id="rId126" Type="http://schemas.openxmlformats.org/officeDocument/2006/relationships/hyperlink" Target="http://www.ohchr.org/EN/HRBodies/CRC/Study/Pages/StudyViolenceChildren.aspx" TargetMode="External"/><Relationship Id="rId147" Type="http://schemas.openxmlformats.org/officeDocument/2006/relationships/hyperlink" Target="http://www.abs.gov.au/ausstats/abs@.nsf/Lookup/4529.0.00.003main+features52014" TargetMode="External"/><Relationship Id="rId168" Type="http://schemas.openxmlformats.org/officeDocument/2006/relationships/hyperlink" Target="http://www.abs.gov.au/AUSSTATS/abs@.nsf/Latestproducts/4510.0Glossary12014?opendocument&amp;tabname=Notes&amp;prodno=4510.0&amp;issue=2014&amp;num=&amp;view" TargetMode="External"/><Relationship Id="rId8" Type="http://schemas.openxmlformats.org/officeDocument/2006/relationships/hyperlink" Target="http://www.aph.gov.au/Parliamentary_Business/Committees/Senate/Community_Affairs/Out_of_home_care/Report" TargetMode="External"/><Relationship Id="rId51" Type="http://schemas.openxmlformats.org/officeDocument/2006/relationships/hyperlink" Target="http://parlinfo.aph.gov.au/parlInfo/search/display/display.w3p;query=Id%3A%22legislation%2Fems%2Fr5387_ems_d2990172-46c7-4b35-9eff-364175a7fbef%22" TargetMode="External"/><Relationship Id="rId72" Type="http://schemas.openxmlformats.org/officeDocument/2006/relationships/hyperlink" Target="http://www.aph.gov.au/Parliamentary_Business/Committees/Senate/Legal_and_Constitutional_Affairs/Asylum_Legacy_Caseload_Bill_2014/Report" TargetMode="External"/><Relationship Id="rId93" Type="http://schemas.openxmlformats.org/officeDocument/2006/relationships/hyperlink" Target="http://www.aph.gov.au/Parliamentary_Business/Committees/Joint/Intelligence_and_Security/Counter-Terrorism_Legislation_Amendment_Foreign_Fighters_Bill_2014/Report1" TargetMode="External"/><Relationship Id="rId98" Type="http://schemas.openxmlformats.org/officeDocument/2006/relationships/hyperlink" Target="http://www.ohchr.org/EN/HRBodies/Pages/TBGeneralComments.aspx" TargetMode="External"/><Relationship Id="rId121" Type="http://schemas.openxmlformats.org/officeDocument/2006/relationships/hyperlink" Target="http://www.liberal.org.au/latest-news/2014/06/27/prime-minister-joint-press-release-addressing-violence-against-women-and" TargetMode="External"/><Relationship Id="rId142" Type="http://schemas.openxmlformats.org/officeDocument/2006/relationships/hyperlink" Target="http://www.abs.gov.au/ausstats/abs@.nsf/Lookup/4906.0Chapter1002012" TargetMode="External"/><Relationship Id="rId163" Type="http://schemas.openxmlformats.org/officeDocument/2006/relationships/hyperlink" Target="http://www.abs.gov.au/AUSSTATS/abs@.nsf/Lookup/4510.0Explanatory%20Notes12013?OpenDocument" TargetMode="External"/><Relationship Id="rId3" Type="http://schemas.openxmlformats.org/officeDocument/2006/relationships/hyperlink" Target="https://www.humanrights.gov.au/our-work/childrens-rights/publications/childrens-rights-report-2014" TargetMode="External"/><Relationship Id="rId25" Type="http://schemas.openxmlformats.org/officeDocument/2006/relationships/hyperlink" Target="https://www.humanrights.gov.au/our-work/childrens-rights/publications/childrens-rights-report-2014" TargetMode="External"/><Relationship Id="rId46" Type="http://schemas.openxmlformats.org/officeDocument/2006/relationships/hyperlink" Target="http://www.aph.gov.au/Parliamentary_Business/Bills_Legislation/Bills_Search_Results/Result?bId=s979" TargetMode="External"/><Relationship Id="rId67" Type="http://schemas.openxmlformats.org/officeDocument/2006/relationships/hyperlink" Target="http://www.aph.gov.au/Parliamentary_Business/Committees/Senate/Legal_and_Constitutional_Affairs/Australian_Citizenship/Report" TargetMode="External"/><Relationship Id="rId116" Type="http://schemas.openxmlformats.org/officeDocument/2006/relationships/hyperlink" Target="http://www.oaic.gov.au/news-and-events/media-releases/privacy-media-releases/survey-of-child-targeted-websites-and-apps-reveals-progress-on-privacy-protection-but-parental-involvement-still-the-key" TargetMode="External"/><Relationship Id="rId137" Type="http://schemas.openxmlformats.org/officeDocument/2006/relationships/hyperlink" Target="http://www.aic.gov.au/publications/current%20series/rip/21-40/rip38.html" TargetMode="External"/><Relationship Id="rId158" Type="http://schemas.openxmlformats.org/officeDocument/2006/relationships/hyperlink" Target="http://www.kidsfamilies.health.nsw.gov.au/publications/health-interventions-for-family-and-domestic-violence-a-literature-review/" TargetMode="External"/><Relationship Id="rId20" Type="http://schemas.openxmlformats.org/officeDocument/2006/relationships/hyperlink" Target="https://www.humanrights.gov.au/submissions/australia-s-second-universal-periodic-review" TargetMode="External"/><Relationship Id="rId41" Type="http://schemas.openxmlformats.org/officeDocument/2006/relationships/hyperlink" Target="http://www.aph.gov.au/Parliamentary_Business/Committees/Senate/Legal_and_Constitutional_Affairs/Guardian_for_children/Report" TargetMode="External"/><Relationship Id="rId62" Type="http://schemas.openxmlformats.org/officeDocument/2006/relationships/hyperlink" Target="http://www.aph.gov.au/Parliamentary_Business/Committees/Senate/Legal_and_Constitutional_Affairs/Character_and_Visa_Cancellation_Bill_2014/Submissions" TargetMode="External"/><Relationship Id="rId83" Type="http://schemas.openxmlformats.org/officeDocument/2006/relationships/hyperlink" Target="http://www.aph.gov.au/Parliamentary_Business/Bills_LEGislation/Bills_Search_Results/Result?bId=r5367" TargetMode="External"/><Relationship Id="rId88" Type="http://schemas.openxmlformats.org/officeDocument/2006/relationships/hyperlink" Target="http://www.aph.gov.au/Parliamentary_Business/Committees/Senate/Legal_and_Constitutional_Affairs/Biometrics/Report" TargetMode="External"/><Relationship Id="rId111" Type="http://schemas.openxmlformats.org/officeDocument/2006/relationships/hyperlink" Target="http://www.oaic.gov.au/news-and-events/media-releases/privacy-media-releases/survey-of-child-targeted-websites-and-apps-reveals-progress-on-privacy-protection-but-parental-involvement-still-the-key" TargetMode="External"/><Relationship Id="rId132" Type="http://schemas.openxmlformats.org/officeDocument/2006/relationships/hyperlink" Target="http://www.aph.gov.au/Parliamentary_Business/Committees/Senate/Finance_and_Public_Administration/Domestic_Violence/Submissions" TargetMode="External"/><Relationship Id="rId153" Type="http://schemas.openxmlformats.org/officeDocument/2006/relationships/hyperlink" Target="http://dx.doi.org.ezproxy.lib.uts.edu.au/10.1080/13218719.2015.1015204" TargetMode="External"/><Relationship Id="rId174" Type="http://schemas.openxmlformats.org/officeDocument/2006/relationships/hyperlink" Target="http://www.abs.gov.au/AUSSTATS/abs@.nsf/Latestproducts/4510.0Glossary12014?opendocument&amp;tabname=Notes&amp;prodno=4510.0&amp;issue=2014&amp;num=&amp;view" TargetMode="External"/><Relationship Id="rId179" Type="http://schemas.openxmlformats.org/officeDocument/2006/relationships/hyperlink" Target="http://www.abs.gov.au/ausstats/abs@.nsf/Lookup/4906.0Chapter1002012" TargetMode="External"/><Relationship Id="rId15" Type="http://schemas.openxmlformats.org/officeDocument/2006/relationships/hyperlink" Target="http://www.aph.gov.au/Parliamentary_Business/Committees/Senate/Legal_and_Constitutional_Affairs/Guardian_for_children/Submissions" TargetMode="External"/><Relationship Id="rId36" Type="http://schemas.openxmlformats.org/officeDocument/2006/relationships/hyperlink" Target="https://www.ag.gov.au/RightsAndProtections/HumanRights/PublicSector/Pages/Toolforassessinghumanrightscompatibility.aspx" TargetMode="External"/><Relationship Id="rId57" Type="http://schemas.openxmlformats.org/officeDocument/2006/relationships/hyperlink" Target="http://www.aph.gov.au/Parliamentary_Business/Committees/Senate/Legal_and_Constitutional_Affairs/Power_and_Offences_Bill" TargetMode="External"/><Relationship Id="rId106" Type="http://schemas.openxmlformats.org/officeDocument/2006/relationships/hyperlink" Target="http://www.business-standard.com/india/news/catch-them-youngadvergaming/381926/" TargetMode="External"/><Relationship Id="rId127" Type="http://schemas.openxmlformats.org/officeDocument/2006/relationships/hyperlink" Target="http://aic.gov.au/publications/current%20series/tandi/401-420/tandi419.html" TargetMode="External"/><Relationship Id="rId10" Type="http://schemas.openxmlformats.org/officeDocument/2006/relationships/hyperlink" Target="http://www.childabuseroyalcommission.gov.au/policy-and-research/working-with-children-checks.aspx" TargetMode="External"/><Relationship Id="rId31" Type="http://schemas.openxmlformats.org/officeDocument/2006/relationships/hyperlink" Target="http://www.aph.gov.au/Parliamentary_Business/Committees/Joint/Human_Rights/Guidance_Notes_and_Resources" TargetMode="External"/><Relationship Id="rId52" Type="http://schemas.openxmlformats.org/officeDocument/2006/relationships/hyperlink" Target="http://www.aph.gov.au/Parliamentary_Business/Committees/Senate/Environment_and_Communications/Online_safety" TargetMode="External"/><Relationship Id="rId73" Type="http://schemas.openxmlformats.org/officeDocument/2006/relationships/hyperlink" Target="http://www.aph.gov.au/Parliamentary_Business/Committees/Senate/Legal_and_Constitutional_Affairs/Asylum_Legacy_Caseload_Bill_2014/Report" TargetMode="External"/><Relationship Id="rId78" Type="http://schemas.openxmlformats.org/officeDocument/2006/relationships/hyperlink" Target="http://www.aph.gov.au/Parliamentary_Business/Committees/Senate/Legal_and_Constitutional_Affairs/Australian_Citizenship/Submissions" TargetMode="External"/><Relationship Id="rId94" Type="http://schemas.openxmlformats.org/officeDocument/2006/relationships/hyperlink" Target="http://www.aph.gov.au/Parliamentary_Business/Bills_LEGislation/Bills_Search_Results/Result?bId=s976" TargetMode="External"/><Relationship Id="rId99" Type="http://schemas.openxmlformats.org/officeDocument/2006/relationships/hyperlink" Target="http://www.alrc.gov.au/publications/ip-17" TargetMode="External"/><Relationship Id="rId101" Type="http://schemas.openxmlformats.org/officeDocument/2006/relationships/hyperlink" Target="http://www.abs.gov.au/ausstats/abs@.nsf/Products/4901.0~Apr+2012~Main+Features~Internet+and+mobile+phones?OpenDocument" TargetMode="External"/><Relationship Id="rId122" Type="http://schemas.openxmlformats.org/officeDocument/2006/relationships/hyperlink" Target="https://www.coag.gov.au/node/522" TargetMode="External"/><Relationship Id="rId143" Type="http://schemas.openxmlformats.org/officeDocument/2006/relationships/hyperlink" Target="http://www.aph.gov.au/About_Parliament/Parliamentary_Departments/Parliamentary_Library/pubs/rp/rp1415/ViolenceAust" TargetMode="External"/><Relationship Id="rId148" Type="http://schemas.openxmlformats.org/officeDocument/2006/relationships/hyperlink" Target="http://www.aph.gov.au/Parliamentary_Business/Committees/Senate/Finance_and_Public_Administration/Domestic_Violence/Report" TargetMode="External"/><Relationship Id="rId164" Type="http://schemas.openxmlformats.org/officeDocument/2006/relationships/hyperlink" Target="http://www.dhs.vic.gov.au/about-the-department/plans,-programs-and-projects/projects-and-initiatives/children,-youth-and-family-services/taskforce-1000" TargetMode="External"/><Relationship Id="rId169" Type="http://schemas.openxmlformats.org/officeDocument/2006/relationships/hyperlink" Target="http://www.abs.gov.au/AUSSTATS/abs@.nsf/Latestproducts/4510.0Glossary12014?opendocument&amp;tabname=Notes&amp;prodno=4510.0&amp;issue=2014&amp;num=&amp;view"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19.jpe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Report.dot"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AHRC-FS-SYD\Groups\SPT\Commission%20Processes\Team%20Work%20Planning%20Space\CRT\9.%20CRR%202015\C4.%20Violence\DATA\ABS\15.09.09%20ABS%20tables%20in%20what%20did%20data%20tell%20us%20section.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AHRC-FS-SYD\Groups\SPT\Commission%20Processes\Team%20Work%20Planning%20Space\CRT\9.%20CRR%202015\C4.%20Violence\DATA\ABS\15.09.09%20ABS%20tables%20in%20what%20did%20data%20tell%20us%20section.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AHRC-FS-SYD\Groups\SPT\Commission%20Processes\Team%20Work%20Planning%20Space\CRT\9.%20CRR%202015\C4.%20Violence\DATA\ABS\15.09.09%20ABS%20tables%20in%20what%20did%20data%20tell%20us%20section.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AHRC-FS-SYD\Groups\SPT\Commission%20Processes\Team%20Work%20Planning%20Space\CRT\9.%20CRR%202015\C4.%20Violence\DATA\ABS\15.09.09%20ABS%20tables%20in%20what%20did%20data%20tell%20us%20section.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AHRC-FS-SYD\Groups\SPT\Commission%20Processes\Team%20Work%20Planning%20Space\CRT\9.%20CRR%202015\C4.%20Violence\DATA\ABS\15.09.09%20ABS%20Recorded%20Crime%20-%20Victims%20data_FINAL%20DRAFT.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AHRC-FS-SYD\Groups\SPT\Commission%20Processes\Team%20Work%20Planning%20Space\CRT\9.%20CRR%202015\C4.%20Violence\DATA\ABS\15.09.09%20ABS%20Recorded%20Crime%20-%20Victims%20data_FINAL%20DRAFT.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AHRC-FS-SYD\Groups\SPT\Commission%20Processes\Team%20Work%20Planning%20Space\CRT\9.%20CRR%202015\C4.%20Violence\DATA\ABS\15.09.09%20ABS%20Recorded%20Crime%20-%20Victims%20data_FINAL%20DRAFT.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AHRC-FS-SYD\Groups\SPT\Commission%20Processes\Team%20Work%20Planning%20Space\CRT\9.%20CRR%202015\C4.%20Violence\DATA\ABS\15.09.09%20ABS%20Recorded%20Crime%20-%20Victims%20data_FINAL%20DRAFT.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AHRC-FS-SYD\Groups\SPT\Commission%20Processes\Team%20Work%20Planning%20Space\CRT\9.%20CRR%202015\C4.%20Violence\DATA\ABS\15.09.09%20ABS%20Recorded%20Crime%20-%20Victims%20data_FINAL%20DRAFT.xlsx"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fileshare\users\ballo\Desktop\AHRC%20data%20completed.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fileshare\users\ballo\Desktop\AHRC%20data%20completed.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fileshare\users\ballo\Desktop\AHRC%20data%20completed.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fileshare\groups\spt\Commission%20Processes\Team%20Work%20Planning%20Space\CRT\9.%20CRR%202015\C4.%20Violence\DATA\ABS\15.09.09%20ABS%20Recorded%20Crime%20-%20Victims%20data_FINAL%20DRAFT%20PART%20TWO.xlsx"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AHRC-FS-SYD\Groups\SPT\Commission%20Processes\Team%20Work%20Planning%20Space\CRT\9.%20CRR%202015\C4.%20Violence\DATA\ABS\15.09.09%20ABS%20Recorded%20Crime%20-%20Victims%20data_FINAL%20DRAFT.xlsx"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AHRC-FS-SYD\Groups\SPT\Commission%20Processes\Team%20Work%20Planning%20Space\CRT\9.%20CRR%202015\C4.%20Violence\DATA\ABS\15.09.09%20ABS%20Recorded%20Crime%20-%20Victims%20data_FINAL%20DRAFT.xlsx"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AHRC-FS-SYD\Groups\SPT\Commission%20Processes\Team%20Work%20Planning%20Space\CRT\9.%20CRR%202015\C4.%20Violence\DATA\ABS\15.09.09%20ABS%20Recorded%20Crime%20-%20Victims%20data_FINAL%20DRAFT.xlsx" TargetMode="External"/></Relationships>
</file>

<file path=word/charts/_rels/chart17.xml.rels><?xml version="1.0" encoding="UTF-8" standalone="yes"?>
<Relationships xmlns="http://schemas.openxmlformats.org/package/2006/relationships"><Relationship Id="rId1" Type="http://schemas.openxmlformats.org/officeDocument/2006/relationships/oleObject" Target="file:///\\AHRC-FS-SYD\Groups\SPT\Commission%20Processes\Team%20Work%20Planning%20Space\CRT\9.%20CRR%202015\C4.%20Violence\DATA\ABS\15.09.09%20ABS%20Recorded%20Crime%20-%20Victims%20data_FINAL%20DRAFT.xlsx" TargetMode="External"/></Relationships>
</file>

<file path=word/charts/_rels/chart18.xml.rels><?xml version="1.0" encoding="UTF-8" standalone="yes"?>
<Relationships xmlns="http://schemas.openxmlformats.org/package/2006/relationships"><Relationship Id="rId1" Type="http://schemas.openxmlformats.org/officeDocument/2006/relationships/oleObject" Target="file:///\\AHRC-FS-SYD\Groups\SPT\Commission%20Processes\Team%20Work%20Planning%20Space\CRT\9.%20CRR%202015\C4.%20Violence\DATA\ABS\15.09.09%20ABS%20Recorded%20Crime%20-%20Victims%20data_FINAL%20DRAFT.xlsx" TargetMode="External"/></Relationships>
</file>

<file path=word/charts/_rels/chart19.xml.rels><?xml version="1.0" encoding="UTF-8" standalone="yes"?>
<Relationships xmlns="http://schemas.openxmlformats.org/package/2006/relationships"><Relationship Id="rId1" Type="http://schemas.openxmlformats.org/officeDocument/2006/relationships/oleObject" Target="file:///\\AHRC-FS-SYD\Groups\SPT\Commission%20Processes\Team%20Work%20Planning%20Space\CRT\9.%20CRR%202015\C4.%20Violence\DATA\ABS\15.09.09%20ABS%20Recorded%20Crime%20-%20Victims%20data_FINAL%20DRAFT.xlsx" TargetMode="External"/></Relationships>
</file>

<file path=word/charts/_rels/chart20.xml.rels><?xml version="1.0" encoding="UTF-8" standalone="yes"?>
<Relationships xmlns="http://schemas.openxmlformats.org/package/2006/relationships"><Relationship Id="rId1" Type="http://schemas.openxmlformats.org/officeDocument/2006/relationships/oleObject" Target="file:///\\AHRC-FS-SYD\Groups\SPT\Commission%20Processes\Team%20Work%20Planning%20Space\CRT\9.%20CRR%202015\C4.%20Violence\DATA\ABS\15.09.09%20ABS%20Recorded%20Crime%20-%20Victims%20data_FINAL%20DRAFT.xlsx" TargetMode="External"/></Relationships>
</file>

<file path=word/charts/_rels/chart21.xml.rels><?xml version="1.0" encoding="UTF-8" standalone="yes"?>
<Relationships xmlns="http://schemas.openxmlformats.org/package/2006/relationships"><Relationship Id="rId1" Type="http://schemas.openxmlformats.org/officeDocument/2006/relationships/oleObject" Target="file:///\\AHRC-FS-SYD\Groups\SPT\Commission%20Processes\Team%20Work%20Planning%20Space\CRT\9.%20CRR%202015\C4.%20Violence\DATA\ABS\15.09.09%20ABS%20Recorded%20Crime%20-%20Victims%20data_FINAL%20DRAFT.xlsx" TargetMode="External"/></Relationships>
</file>

<file path=word/charts/_rels/chart22.xml.rels><?xml version="1.0" encoding="UTF-8" standalone="yes"?>
<Relationships xmlns="http://schemas.openxmlformats.org/package/2006/relationships"><Relationship Id="rId1" Type="http://schemas.openxmlformats.org/officeDocument/2006/relationships/oleObject" Target="file:///\\AHRC-FS-SYD\Groups\SPT\Commission%20Processes\Team%20Work%20Planning%20Space\CRT\9.%20CRR%202015\C4.%20Violence\DATA\ABS\15.09.09%20ABS%20Recorded%20Crime%20-%20Victims%20data_FINAL%20DRAFT.xlsx" TargetMode="External"/></Relationships>
</file>

<file path=word/charts/_rels/chart23.xml.rels><?xml version="1.0" encoding="UTF-8" standalone="yes"?>
<Relationships xmlns="http://schemas.openxmlformats.org/package/2006/relationships"><Relationship Id="rId1" Type="http://schemas.openxmlformats.org/officeDocument/2006/relationships/oleObject" Target="file:///\\fileshare\users\ballo\Desktop\AHRC%20data%20completed.xlsx" TargetMode="External"/></Relationships>
</file>

<file path=word/charts/_rels/chart24.xml.rels><?xml version="1.0" encoding="UTF-8" standalone="yes"?>
<Relationships xmlns="http://schemas.openxmlformats.org/package/2006/relationships"><Relationship Id="rId1" Type="http://schemas.openxmlformats.org/officeDocument/2006/relationships/oleObject" Target="file:///\\fileshare\users\ballo\Desktop\AHRC%20data%20completed.xlsx" TargetMode="External"/></Relationships>
</file>

<file path=word/charts/_rels/chart25.xml.rels><?xml version="1.0" encoding="UTF-8" standalone="yes"?>
<Relationships xmlns="http://schemas.openxmlformats.org/package/2006/relationships"><Relationship Id="rId1" Type="http://schemas.openxmlformats.org/officeDocument/2006/relationships/oleObject" Target="file:///\\fileshare\users\ballo\Desktop\AHRC%20data%20completed.xlsx" TargetMode="External"/></Relationships>
</file>

<file path=word/charts/_rels/chart26.xml.rels><?xml version="1.0" encoding="UTF-8" standalone="yes"?>
<Relationships xmlns="http://schemas.openxmlformats.org/package/2006/relationships"><Relationship Id="rId1" Type="http://schemas.openxmlformats.org/officeDocument/2006/relationships/oleObject" Target="file:///\\fileshare\groups\spt\Commission%20Processes\Team%20Work%20Planning%20Space\CRT\9.%20CRR%202015\C4.%20Violence\DATA\ABS\15.09.09%20ABS%20PSS%20data_FINAL%20DRAFT.xlsx" TargetMode="External"/></Relationships>
</file>

<file path=word/charts/_rels/chart27.xml.rels><?xml version="1.0" encoding="UTF-8" standalone="yes"?>
<Relationships xmlns="http://schemas.openxmlformats.org/package/2006/relationships"><Relationship Id="rId1" Type="http://schemas.openxmlformats.org/officeDocument/2006/relationships/oleObject" Target="file:///\\AHRC-FS-SYD\Groups\SPT\Commission%20Processes\Team%20Work%20Planning%20Space\CRT\9.%20CRR%202015\C4.%20Violence\DATA\ABS\15.09.09%20ABS%20PSS%20data_FINAL%20DRAFT.xlsx" TargetMode="External"/></Relationships>
</file>

<file path=word/charts/_rels/chart28.xml.rels><?xml version="1.0" encoding="UTF-8" standalone="yes"?>
<Relationships xmlns="http://schemas.openxmlformats.org/package/2006/relationships"><Relationship Id="rId1" Type="http://schemas.openxmlformats.org/officeDocument/2006/relationships/oleObject" Target="file:///\\fileshare\groups\spt\Commission%20Processes\Team%20Work%20Planning%20Space\CRT\9.%20CRR%202015\C4.%20Violence\DATA\ABS\15.09.09%20ABS%20PSS%20data_FINAL%20DRAFT.xlsx" TargetMode="External"/></Relationships>
</file>

<file path=word/charts/_rels/chart29.xml.rels><?xml version="1.0" encoding="UTF-8" standalone="yes"?>
<Relationships xmlns="http://schemas.openxmlformats.org/package/2006/relationships"><Relationship Id="rId1" Type="http://schemas.openxmlformats.org/officeDocument/2006/relationships/oleObject" Target="file:///\\AHRC-FS-SYD\Groups\SPT\Commission%20Processes\Team%20Work%20Planning%20Space\CRT\9.%20CRR%202015\C4.%20Violence\DATA\ABS\15.09.09%20ABS%20PSS%20data_FINAL%20DRAFT.xlsx" TargetMode="External"/></Relationships>
</file>

<file path=word/charts/_rels/chart30.xml.rels><?xml version="1.0" encoding="UTF-8" standalone="yes"?>
<Relationships xmlns="http://schemas.openxmlformats.org/package/2006/relationships"><Relationship Id="rId1" Type="http://schemas.openxmlformats.org/officeDocument/2006/relationships/oleObject" Target="file:///\\AHRC-FS-SYD\Groups\SPT\Commission%20Processes\Team%20Work%20Planning%20Space\CRT\9.%20CRR%202015\C4.%20Violence\DATA\ABS\15.09.09%20ABS%20PSS%20data_FINAL%20DRAFT.xlsx" TargetMode="External"/></Relationships>
</file>

<file path=word/charts/_rels/chart31.xml.rels><?xml version="1.0" encoding="UTF-8" standalone="yes"?>
<Relationships xmlns="http://schemas.openxmlformats.org/package/2006/relationships"><Relationship Id="rId1" Type="http://schemas.openxmlformats.org/officeDocument/2006/relationships/oleObject" Target="file:///\\AHRC-FS-SYD\Groups\SPT\Commission%20Processes\Team%20Work%20Planning%20Space\CRT\9.%20CRR%202015\C4.%20Violence\DATA\ABS\15.09.09%20ABS%20PSS%20data_FINAL%20DRAFT.xlsx" TargetMode="External"/></Relationships>
</file>

<file path=word/charts/_rels/chart32.xml.rels><?xml version="1.0" encoding="UTF-8" standalone="yes"?>
<Relationships xmlns="http://schemas.openxmlformats.org/package/2006/relationships"><Relationship Id="rId1" Type="http://schemas.openxmlformats.org/officeDocument/2006/relationships/oleObject" Target="file:///\\fileshare\groups\spt\Commission%20Processes\Team%20Work%20Planning%20Space\CRT\9.%20CRR%202015\C4.%20Violence\DATA\ABS\15.09.09%20ABS%20PSS%20data_FINAL%20DRAFT.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Figure 1: Proportion of child victims who reported the offender was their parent,</a:t>
            </a:r>
            <a:r>
              <a:rPr lang="en-AU" baseline="0"/>
              <a:t> by child victims aged 0 to 9, by the victim's sex and and by Indigenous status (New South Wales, 2010-2013)</a:t>
            </a:r>
            <a:endParaRPr lang="en-AU"/>
          </a:p>
        </c:rich>
      </c:tx>
      <c:overlay val="0"/>
      <c:spPr>
        <a:noFill/>
        <a:ln>
          <a:noFill/>
        </a:ln>
        <a:effectLst/>
      </c:spPr>
    </c:title>
    <c:autoTitleDeleted val="0"/>
    <c:plotArea>
      <c:layout/>
      <c:barChart>
        <c:barDir val="col"/>
        <c:grouping val="stacked"/>
        <c:varyColors val="0"/>
        <c:ser>
          <c:idx val="0"/>
          <c:order val="0"/>
          <c:tx>
            <c:strRef>
              <c:f>Sheet1!$B$11:$B$12</c:f>
              <c:strCache>
                <c:ptCount val="2"/>
                <c:pt idx="1">
                  <c:v>Males 0 to 9</c:v>
                </c:pt>
              </c:strCache>
            </c:strRef>
          </c:tx>
          <c:spPr>
            <a:solidFill>
              <a:schemeClr val="bg1">
                <a:lumMod val="65000"/>
              </a:schemeClr>
            </a:solidFill>
            <a:ln>
              <a:noFill/>
            </a:ln>
            <a:effectLst/>
          </c:spPr>
          <c:invertIfNegative val="0"/>
          <c:dLbls>
            <c:dLbl>
              <c:idx val="0"/>
              <c:tx>
                <c:rich>
                  <a:bodyPr/>
                  <a:lstStyle/>
                  <a:p>
                    <a:fld id="{24407A6F-F890-47CF-8D5C-C2EDADD8FC23}"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1"/>
              <c:tx>
                <c:rich>
                  <a:bodyPr/>
                  <a:lstStyle/>
                  <a:p>
                    <a:fld id="{2DC5397B-C268-4973-86A0-BDABD7CBC57C}"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3"/>
              <c:tx>
                <c:rich>
                  <a:bodyPr/>
                  <a:lstStyle/>
                  <a:p>
                    <a:fld id="{5AD39382-83AC-40E5-B848-7139F9901BBF}"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4"/>
              <c:tx>
                <c:rich>
                  <a:bodyPr/>
                  <a:lstStyle/>
                  <a:p>
                    <a:fld id="{B49EEB10-6351-48BD-8EAC-B24A45A4ED11}"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Sheet1!$A$13:$A$17</c:f>
              <c:strCache>
                <c:ptCount val="5"/>
                <c:pt idx="0">
                  <c:v>Indigenous child victims of physical assault</c:v>
                </c:pt>
                <c:pt idx="1">
                  <c:v>non-Indigenous child victims of physical assault</c:v>
                </c:pt>
                <c:pt idx="3">
                  <c:v>Indigenous child victims of sexual assault</c:v>
                </c:pt>
                <c:pt idx="4">
                  <c:v>non-Indigenous child victims of sexual assault</c:v>
                </c:pt>
              </c:strCache>
            </c:strRef>
          </c:cat>
          <c:val>
            <c:numRef>
              <c:f>Sheet1!$B$13:$B$17</c:f>
              <c:numCache>
                <c:formatCode>General</c:formatCode>
                <c:ptCount val="5"/>
                <c:pt idx="0">
                  <c:v>21.88</c:v>
                </c:pt>
                <c:pt idx="1">
                  <c:v>18.47</c:v>
                </c:pt>
                <c:pt idx="3">
                  <c:v>14.35</c:v>
                </c:pt>
                <c:pt idx="4">
                  <c:v>14.83</c:v>
                </c:pt>
              </c:numCache>
            </c:numRef>
          </c:val>
        </c:ser>
        <c:ser>
          <c:idx val="1"/>
          <c:order val="1"/>
          <c:tx>
            <c:strRef>
              <c:f>Sheet1!$C$11:$C$12</c:f>
              <c:strCache>
                <c:ptCount val="2"/>
                <c:pt idx="1">
                  <c:v>Females 0 to 9</c:v>
                </c:pt>
              </c:strCache>
            </c:strRef>
          </c:tx>
          <c:spPr>
            <a:solidFill>
              <a:schemeClr val="bg2"/>
            </a:solidFill>
            <a:ln>
              <a:noFill/>
            </a:ln>
            <a:effectLst/>
          </c:spPr>
          <c:invertIfNegative val="0"/>
          <c:dLbls>
            <c:dLbl>
              <c:idx val="0"/>
              <c:tx>
                <c:rich>
                  <a:bodyPr/>
                  <a:lstStyle/>
                  <a:p>
                    <a:fld id="{3F8B28D0-A642-4E71-9EFC-39715CC3C26A}"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1"/>
              <c:tx>
                <c:rich>
                  <a:bodyPr/>
                  <a:lstStyle/>
                  <a:p>
                    <a:fld id="{B8E14189-E198-48AA-8E13-1C5C5871367E}"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3"/>
              <c:tx>
                <c:rich>
                  <a:bodyPr/>
                  <a:lstStyle/>
                  <a:p>
                    <a:fld id="{0A405121-27E0-4714-BAD3-06C5A24F9F41}"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4"/>
              <c:tx>
                <c:rich>
                  <a:bodyPr/>
                  <a:lstStyle/>
                  <a:p>
                    <a:fld id="{B5A8034F-2A03-43AC-B4A4-AB0A5BCF3F55}"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Sheet1!$A$13:$A$17</c:f>
              <c:strCache>
                <c:ptCount val="5"/>
                <c:pt idx="0">
                  <c:v>Indigenous child victims of physical assault</c:v>
                </c:pt>
                <c:pt idx="1">
                  <c:v>non-Indigenous child victims of physical assault</c:v>
                </c:pt>
                <c:pt idx="3">
                  <c:v>Indigenous child victims of sexual assault</c:v>
                </c:pt>
                <c:pt idx="4">
                  <c:v>non-Indigenous child victims of sexual assault</c:v>
                </c:pt>
              </c:strCache>
            </c:strRef>
          </c:cat>
          <c:val>
            <c:numRef>
              <c:f>Sheet1!$C$13:$C$17</c:f>
              <c:numCache>
                <c:formatCode>General</c:formatCode>
                <c:ptCount val="5"/>
                <c:pt idx="0">
                  <c:v>17.72</c:v>
                </c:pt>
                <c:pt idx="1">
                  <c:v>14.13</c:v>
                </c:pt>
                <c:pt idx="3">
                  <c:v>33.36</c:v>
                </c:pt>
                <c:pt idx="4">
                  <c:v>36.04</c:v>
                </c:pt>
              </c:numCache>
            </c:numRef>
          </c:val>
        </c:ser>
        <c:dLbls>
          <c:showLegendKey val="0"/>
          <c:showVal val="0"/>
          <c:showCatName val="0"/>
          <c:showSerName val="0"/>
          <c:showPercent val="0"/>
          <c:showBubbleSize val="0"/>
        </c:dLbls>
        <c:gapWidth val="150"/>
        <c:overlap val="100"/>
        <c:axId val="149569288"/>
        <c:axId val="149569680"/>
      </c:barChart>
      <c:catAx>
        <c:axId val="1495692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9569680"/>
        <c:crosses val="autoZero"/>
        <c:auto val="1"/>
        <c:lblAlgn val="ctr"/>
        <c:lblOffset val="100"/>
        <c:noMultiLvlLbl val="0"/>
      </c:catAx>
      <c:valAx>
        <c:axId val="14956968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956928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Figure 2: Estimate</a:t>
            </a:r>
            <a:r>
              <a:rPr lang="en-AU" baseline="0"/>
              <a:t> of Indigenous child population aged 0 to 17 years compared with proportion of police recorded child victims of physical assault and sexual assault aged 0 to 17 years who were Indigenous, by jurisdiction (2010-2013)</a:t>
            </a:r>
            <a:endParaRPr lang="en-AU"/>
          </a:p>
        </c:rich>
      </c:tx>
      <c:overlay val="0"/>
      <c:spPr>
        <a:noFill/>
        <a:ln>
          <a:noFill/>
        </a:ln>
        <a:effectLst/>
      </c:spPr>
    </c:title>
    <c:autoTitleDeleted val="0"/>
    <c:plotArea>
      <c:layout/>
      <c:barChart>
        <c:barDir val="col"/>
        <c:grouping val="clustered"/>
        <c:varyColors val="0"/>
        <c:ser>
          <c:idx val="0"/>
          <c:order val="0"/>
          <c:tx>
            <c:strRef>
              <c:f>Sheet1!$B$30</c:f>
              <c:strCache>
                <c:ptCount val="1"/>
                <c:pt idx="0">
                  <c:v>Estimate of Indigenous child population 0 to 17 years</c:v>
                </c:pt>
              </c:strCache>
            </c:strRef>
          </c:tx>
          <c:spPr>
            <a:solidFill>
              <a:schemeClr val="bg2"/>
            </a:solidFill>
            <a:ln>
              <a:noFill/>
            </a:ln>
            <a:effectLst/>
          </c:spPr>
          <c:invertIfNegative val="0"/>
          <c:dLbls>
            <c:dLbl>
              <c:idx val="0"/>
              <c:tx>
                <c:rich>
                  <a:bodyPr/>
                  <a:lstStyle/>
                  <a:p>
                    <a:fld id="{3C454B8B-05E3-4CCC-AAA5-A35410D7EE49}"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1"/>
              <c:tx>
                <c:rich>
                  <a:bodyPr/>
                  <a:lstStyle/>
                  <a:p>
                    <a:fld id="{E09E9394-9500-47D6-83A4-F39C4566D786}"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2"/>
              <c:tx>
                <c:rich>
                  <a:bodyPr/>
                  <a:lstStyle/>
                  <a:p>
                    <a:fld id="{D090A630-8DD3-4DC0-8AF5-025398CE72C4}"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3"/>
              <c:tx>
                <c:rich>
                  <a:bodyPr/>
                  <a:lstStyle/>
                  <a:p>
                    <a:fld id="{9B4D9B8E-7BF4-424A-86D6-9BD3B9A5BDD0}"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spPr>
              <a:noFill/>
              <a:ln>
                <a:noFill/>
              </a:ln>
              <a:effectLst/>
            </c:spPr>
            <c:txPr>
              <a:bodyPr rot="2700000" spcFirstLastPara="1" vertOverflow="ellipsis"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Sheet1!$A$31:$A$34</c:f>
              <c:strCache>
                <c:ptCount val="4"/>
                <c:pt idx="0">
                  <c:v>New South Wales</c:v>
                </c:pt>
                <c:pt idx="1">
                  <c:v>South Australia</c:v>
                </c:pt>
                <c:pt idx="2">
                  <c:v>Northern Territory</c:v>
                </c:pt>
                <c:pt idx="3">
                  <c:v>Queensland</c:v>
                </c:pt>
              </c:strCache>
            </c:strRef>
          </c:cat>
          <c:val>
            <c:numRef>
              <c:f>Sheet1!$B$31:$B$34</c:f>
              <c:numCache>
                <c:formatCode>General</c:formatCode>
                <c:ptCount val="4"/>
                <c:pt idx="0">
                  <c:v>5.51</c:v>
                </c:pt>
                <c:pt idx="1">
                  <c:v>4.4000000000000004</c:v>
                </c:pt>
                <c:pt idx="2">
                  <c:v>42.94</c:v>
                </c:pt>
                <c:pt idx="3">
                  <c:v>7.79</c:v>
                </c:pt>
              </c:numCache>
            </c:numRef>
          </c:val>
        </c:ser>
        <c:ser>
          <c:idx val="1"/>
          <c:order val="1"/>
          <c:tx>
            <c:strRef>
              <c:f>Sheet1!$C$30</c:f>
              <c:strCache>
                <c:ptCount val="1"/>
                <c:pt idx="0">
                  <c:v>Proportion of child victims of physical assault aged 0 to 17 years who were Indigenous</c:v>
                </c:pt>
              </c:strCache>
            </c:strRef>
          </c:tx>
          <c:spPr>
            <a:solidFill>
              <a:schemeClr val="bg1">
                <a:lumMod val="65000"/>
              </a:schemeClr>
            </a:solidFill>
            <a:ln>
              <a:noFill/>
            </a:ln>
            <a:effectLst/>
          </c:spPr>
          <c:invertIfNegative val="0"/>
          <c:dLbls>
            <c:dLbl>
              <c:idx val="0"/>
              <c:tx>
                <c:rich>
                  <a:bodyPr/>
                  <a:lstStyle/>
                  <a:p>
                    <a:fld id="{384B9B67-1FFF-48FD-99B6-57FF453F7076}"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1"/>
              <c:tx>
                <c:rich>
                  <a:bodyPr/>
                  <a:lstStyle/>
                  <a:p>
                    <a:fld id="{294A2B38-344D-4730-A769-691CC75BBD6A}"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spPr>
              <a:noFill/>
              <a:ln>
                <a:noFill/>
              </a:ln>
              <a:effectLst/>
            </c:spPr>
            <c:txPr>
              <a:bodyPr rot="2700000" spcFirstLastPara="1" vertOverflow="ellipsis"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Sheet1!$A$31:$A$34</c:f>
              <c:strCache>
                <c:ptCount val="4"/>
                <c:pt idx="0">
                  <c:v>New South Wales</c:v>
                </c:pt>
                <c:pt idx="1">
                  <c:v>South Australia</c:v>
                </c:pt>
                <c:pt idx="2">
                  <c:v>Northern Territory</c:v>
                </c:pt>
                <c:pt idx="3">
                  <c:v>Queensland</c:v>
                </c:pt>
              </c:strCache>
            </c:strRef>
          </c:cat>
          <c:val>
            <c:numRef>
              <c:f>Sheet1!$C$31:$C$34</c:f>
              <c:numCache>
                <c:formatCode>General</c:formatCode>
                <c:ptCount val="4"/>
                <c:pt idx="0">
                  <c:v>10.75</c:v>
                </c:pt>
                <c:pt idx="1">
                  <c:v>14.05</c:v>
                </c:pt>
              </c:numCache>
            </c:numRef>
          </c:val>
        </c:ser>
        <c:ser>
          <c:idx val="2"/>
          <c:order val="2"/>
          <c:tx>
            <c:strRef>
              <c:f>Sheet1!$D$30</c:f>
              <c:strCache>
                <c:ptCount val="1"/>
                <c:pt idx="0">
                  <c:v>Proportion of child victims of sexual assault aged 0 to 17 years who were Indigenous</c:v>
                </c:pt>
              </c:strCache>
            </c:strRef>
          </c:tx>
          <c:spPr>
            <a:solidFill>
              <a:schemeClr val="tx1"/>
            </a:solidFill>
            <a:ln>
              <a:noFill/>
            </a:ln>
            <a:effectLst/>
          </c:spPr>
          <c:invertIfNegative val="0"/>
          <c:dLbls>
            <c:dLbl>
              <c:idx val="0"/>
              <c:tx>
                <c:rich>
                  <a:bodyPr/>
                  <a:lstStyle/>
                  <a:p>
                    <a:fld id="{95B4A4F6-75DC-4674-AD21-1A4981F81370}"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2"/>
              <c:tx>
                <c:rich>
                  <a:bodyPr/>
                  <a:lstStyle/>
                  <a:p>
                    <a:fld id="{C18E1B69-0E8B-4C18-99EB-9DC3ADD42475}"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3"/>
              <c:tx>
                <c:rich>
                  <a:bodyPr/>
                  <a:lstStyle/>
                  <a:p>
                    <a:fld id="{415452C3-B15C-4C13-8551-44620AC8690C}"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spPr>
              <a:noFill/>
              <a:ln>
                <a:noFill/>
              </a:ln>
              <a:effectLst/>
            </c:spPr>
            <c:txPr>
              <a:bodyPr rot="2700000" spcFirstLastPara="1" vertOverflow="ellipsis"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Sheet1!$A$31:$A$34</c:f>
              <c:strCache>
                <c:ptCount val="4"/>
                <c:pt idx="0">
                  <c:v>New South Wales</c:v>
                </c:pt>
                <c:pt idx="1">
                  <c:v>South Australia</c:v>
                </c:pt>
                <c:pt idx="2">
                  <c:v>Northern Territory</c:v>
                </c:pt>
                <c:pt idx="3">
                  <c:v>Queensland</c:v>
                </c:pt>
              </c:strCache>
            </c:strRef>
          </c:cat>
          <c:val>
            <c:numRef>
              <c:f>Sheet1!$D$31:$D$34</c:f>
              <c:numCache>
                <c:formatCode>General</c:formatCode>
                <c:ptCount val="4"/>
                <c:pt idx="0">
                  <c:v>11.11</c:v>
                </c:pt>
                <c:pt idx="2">
                  <c:v>78.27</c:v>
                </c:pt>
                <c:pt idx="3">
                  <c:v>11.32</c:v>
                </c:pt>
              </c:numCache>
            </c:numRef>
          </c:val>
        </c:ser>
        <c:dLbls>
          <c:showLegendKey val="0"/>
          <c:showVal val="0"/>
          <c:showCatName val="0"/>
          <c:showSerName val="0"/>
          <c:showPercent val="0"/>
          <c:showBubbleSize val="0"/>
        </c:dLbls>
        <c:gapWidth val="219"/>
        <c:overlap val="-27"/>
        <c:axId val="149570464"/>
        <c:axId val="149570856"/>
      </c:barChart>
      <c:catAx>
        <c:axId val="1495704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9570856"/>
        <c:crosses val="autoZero"/>
        <c:auto val="1"/>
        <c:lblAlgn val="ctr"/>
        <c:lblOffset val="100"/>
        <c:noMultiLvlLbl val="0"/>
      </c:catAx>
      <c:valAx>
        <c:axId val="14957085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957046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Figure 3: Proportion</a:t>
            </a:r>
            <a:r>
              <a:rPr lang="en-AU" baseline="0"/>
              <a:t> of child victims who reported the offender was their sibling, by Indigenous status and by jurisdiction (2010-2013)</a:t>
            </a:r>
            <a:endParaRPr lang="en-AU"/>
          </a:p>
        </c:rich>
      </c:tx>
      <c:overlay val="0"/>
      <c:spPr>
        <a:noFill/>
        <a:ln>
          <a:noFill/>
        </a:ln>
        <a:effectLst/>
      </c:spPr>
    </c:title>
    <c:autoTitleDeleted val="0"/>
    <c:plotArea>
      <c:layout/>
      <c:barChart>
        <c:barDir val="col"/>
        <c:grouping val="clustered"/>
        <c:varyColors val="0"/>
        <c:ser>
          <c:idx val="0"/>
          <c:order val="0"/>
          <c:tx>
            <c:strRef>
              <c:f>Sheet1!$B$39</c:f>
              <c:strCache>
                <c:ptCount val="1"/>
                <c:pt idx="0">
                  <c:v>Proportion of child victims of physical assault who reported the offender was their sibling</c:v>
                </c:pt>
              </c:strCache>
            </c:strRef>
          </c:tx>
          <c:spPr>
            <a:solidFill>
              <a:schemeClr val="bg2"/>
            </a:solidFill>
            <a:ln>
              <a:noFill/>
            </a:ln>
            <a:effectLst/>
          </c:spPr>
          <c:invertIfNegative val="0"/>
          <c:dLbls>
            <c:dLbl>
              <c:idx val="0"/>
              <c:tx>
                <c:rich>
                  <a:bodyPr/>
                  <a:lstStyle/>
                  <a:p>
                    <a:fld id="{53AFA534-EE3B-4A42-B606-B9645D5C6949}"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1"/>
              <c:tx>
                <c:rich>
                  <a:bodyPr/>
                  <a:lstStyle/>
                  <a:p>
                    <a:fld id="{E717EF2E-0BC5-44A5-93D7-054CD140433A}"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2"/>
              <c:tx>
                <c:rich>
                  <a:bodyPr/>
                  <a:lstStyle/>
                  <a:p>
                    <a:fld id="{910D3150-2E4E-48DD-8F48-1B75CE7232B0}"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3"/>
              <c:tx>
                <c:rich>
                  <a:bodyPr/>
                  <a:lstStyle/>
                  <a:p>
                    <a:fld id="{DAE6C021-1AA7-41B2-9A0C-970782FD48CB}"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spPr>
              <a:noFill/>
              <a:ln>
                <a:noFill/>
              </a:ln>
              <a:effectLst/>
            </c:spPr>
            <c:txPr>
              <a:bodyPr rot="2700000" spcFirstLastPara="1" vertOverflow="ellipsis"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Sheet1!$A$40:$A$44</c:f>
              <c:strCache>
                <c:ptCount val="5"/>
                <c:pt idx="0">
                  <c:v>Indigenous child victims in New South Wales</c:v>
                </c:pt>
                <c:pt idx="1">
                  <c:v>non-Indigenous child victims in New South Wales</c:v>
                </c:pt>
                <c:pt idx="2">
                  <c:v>Indigenous child victims in South Australia</c:v>
                </c:pt>
                <c:pt idx="3">
                  <c:v>non-Indigenous child victims in South Australia</c:v>
                </c:pt>
                <c:pt idx="4">
                  <c:v>All child victims in Victoria</c:v>
                </c:pt>
              </c:strCache>
            </c:strRef>
          </c:cat>
          <c:val>
            <c:numRef>
              <c:f>Sheet1!$B$40:$B$44</c:f>
              <c:numCache>
                <c:formatCode>General</c:formatCode>
                <c:ptCount val="5"/>
                <c:pt idx="0">
                  <c:v>13.41</c:v>
                </c:pt>
                <c:pt idx="1">
                  <c:v>11.65</c:v>
                </c:pt>
                <c:pt idx="2">
                  <c:v>7.87</c:v>
                </c:pt>
                <c:pt idx="3">
                  <c:v>6.54</c:v>
                </c:pt>
              </c:numCache>
            </c:numRef>
          </c:val>
        </c:ser>
        <c:ser>
          <c:idx val="1"/>
          <c:order val="1"/>
          <c:tx>
            <c:strRef>
              <c:f>Sheet1!$C$39</c:f>
              <c:strCache>
                <c:ptCount val="1"/>
                <c:pt idx="0">
                  <c:v>Proportion of child victims of sexual assault who reported the offender was their sibling</c:v>
                </c:pt>
              </c:strCache>
            </c:strRef>
          </c:tx>
          <c:spPr>
            <a:solidFill>
              <a:schemeClr val="bg1">
                <a:lumMod val="65000"/>
              </a:schemeClr>
            </a:solidFill>
            <a:ln>
              <a:noFill/>
            </a:ln>
            <a:effectLst/>
          </c:spPr>
          <c:invertIfNegative val="0"/>
          <c:dLbls>
            <c:dLbl>
              <c:idx val="0"/>
              <c:tx>
                <c:rich>
                  <a:bodyPr/>
                  <a:lstStyle/>
                  <a:p>
                    <a:fld id="{D2195611-D670-4C65-8E9B-8A1F466E424C}"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1"/>
              <c:tx>
                <c:rich>
                  <a:bodyPr/>
                  <a:lstStyle/>
                  <a:p>
                    <a:fld id="{FE304567-AE66-4455-8858-70FA9BF07C13}"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4"/>
              <c:tx>
                <c:rich>
                  <a:bodyPr/>
                  <a:lstStyle/>
                  <a:p>
                    <a:fld id="{13301AA5-DB10-4799-80F1-3EF97008B096}"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spPr>
              <a:noFill/>
              <a:ln>
                <a:noFill/>
              </a:ln>
              <a:effectLst/>
            </c:spPr>
            <c:txPr>
              <a:bodyPr rot="2700000" spcFirstLastPara="1" vertOverflow="ellipsis"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Sheet1!$A$40:$A$44</c:f>
              <c:strCache>
                <c:ptCount val="5"/>
                <c:pt idx="0">
                  <c:v>Indigenous child victims in New South Wales</c:v>
                </c:pt>
                <c:pt idx="1">
                  <c:v>non-Indigenous child victims in New South Wales</c:v>
                </c:pt>
                <c:pt idx="2">
                  <c:v>Indigenous child victims in South Australia</c:v>
                </c:pt>
                <c:pt idx="3">
                  <c:v>non-Indigenous child victims in South Australia</c:v>
                </c:pt>
                <c:pt idx="4">
                  <c:v>All child victims in Victoria</c:v>
                </c:pt>
              </c:strCache>
            </c:strRef>
          </c:cat>
          <c:val>
            <c:numRef>
              <c:f>Sheet1!$C$40:$C$44</c:f>
              <c:numCache>
                <c:formatCode>General</c:formatCode>
                <c:ptCount val="5"/>
                <c:pt idx="0">
                  <c:v>6.47</c:v>
                </c:pt>
                <c:pt idx="1">
                  <c:v>5.84</c:v>
                </c:pt>
                <c:pt idx="4">
                  <c:v>7.31</c:v>
                </c:pt>
              </c:numCache>
            </c:numRef>
          </c:val>
        </c:ser>
        <c:dLbls>
          <c:showLegendKey val="0"/>
          <c:showVal val="0"/>
          <c:showCatName val="0"/>
          <c:showSerName val="0"/>
          <c:showPercent val="0"/>
          <c:showBubbleSize val="0"/>
        </c:dLbls>
        <c:gapWidth val="219"/>
        <c:overlap val="-27"/>
        <c:axId val="119760064"/>
        <c:axId val="119759672"/>
      </c:barChart>
      <c:catAx>
        <c:axId val="1197600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9759672"/>
        <c:crosses val="autoZero"/>
        <c:auto val="1"/>
        <c:lblAlgn val="ctr"/>
        <c:lblOffset val="100"/>
        <c:noMultiLvlLbl val="0"/>
      </c:catAx>
      <c:valAx>
        <c:axId val="11975967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976006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Figure 4: Proportion of child victims who reported the offender was their partner, by female child victims aged 15 to 17 years</a:t>
            </a:r>
            <a:r>
              <a:rPr lang="en-AU" baseline="0"/>
              <a:t> and by Indigenous status (New South Wales, 2010-2013)</a:t>
            </a:r>
            <a:endParaRPr lang="en-AU"/>
          </a:p>
        </c:rich>
      </c:tx>
      <c:overlay val="0"/>
      <c:spPr>
        <a:noFill/>
        <a:ln>
          <a:noFill/>
        </a:ln>
        <a:effectLst/>
      </c:spPr>
    </c:title>
    <c:autoTitleDeleted val="0"/>
    <c:plotArea>
      <c:layout/>
      <c:barChart>
        <c:barDir val="col"/>
        <c:grouping val="clustered"/>
        <c:varyColors val="0"/>
        <c:ser>
          <c:idx val="0"/>
          <c:order val="0"/>
          <c:tx>
            <c:strRef>
              <c:f>Sheet1!$B$49</c:f>
              <c:strCache>
                <c:ptCount val="1"/>
                <c:pt idx="0">
                  <c:v>Female victims of physical assault aged 15 to 17</c:v>
                </c:pt>
              </c:strCache>
            </c:strRef>
          </c:tx>
          <c:spPr>
            <a:solidFill>
              <a:schemeClr val="bg2"/>
            </a:solidFill>
            <a:ln>
              <a:noFill/>
            </a:ln>
            <a:effectLst/>
          </c:spPr>
          <c:invertIfNegative val="0"/>
          <c:dLbls>
            <c:dLbl>
              <c:idx val="0"/>
              <c:tx>
                <c:rich>
                  <a:bodyPr/>
                  <a:lstStyle/>
                  <a:p>
                    <a:fld id="{AECA4132-4CB5-40C9-9248-D6637078DBCC}"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1"/>
              <c:tx>
                <c:rich>
                  <a:bodyPr/>
                  <a:lstStyle/>
                  <a:p>
                    <a:fld id="{F80CDDC9-5803-4C87-875D-696EA59DBE2B}"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spPr>
              <a:noFill/>
              <a:ln>
                <a:noFill/>
              </a:ln>
              <a:effectLst/>
            </c:spPr>
            <c:txPr>
              <a:bodyPr rot="2700000" spcFirstLastPara="1" vertOverflow="ellipsis"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Sheet1!$A$50:$A$51</c:f>
              <c:strCache>
                <c:ptCount val="2"/>
                <c:pt idx="0">
                  <c:v>Indigenous child victims</c:v>
                </c:pt>
                <c:pt idx="1">
                  <c:v>non-Indigenous child victims</c:v>
                </c:pt>
              </c:strCache>
            </c:strRef>
          </c:cat>
          <c:val>
            <c:numRef>
              <c:f>Sheet1!$B$50:$B$51</c:f>
              <c:numCache>
                <c:formatCode>General</c:formatCode>
                <c:ptCount val="2"/>
                <c:pt idx="0">
                  <c:v>84.07</c:v>
                </c:pt>
                <c:pt idx="1">
                  <c:v>87.15</c:v>
                </c:pt>
              </c:numCache>
            </c:numRef>
          </c:val>
        </c:ser>
        <c:ser>
          <c:idx val="1"/>
          <c:order val="1"/>
          <c:tx>
            <c:strRef>
              <c:f>Sheet1!$C$49</c:f>
              <c:strCache>
                <c:ptCount val="1"/>
                <c:pt idx="0">
                  <c:v>Female victims of sexual assault aged 15 to 17</c:v>
                </c:pt>
              </c:strCache>
            </c:strRef>
          </c:tx>
          <c:spPr>
            <a:solidFill>
              <a:schemeClr val="bg1">
                <a:lumMod val="65000"/>
              </a:schemeClr>
            </a:solidFill>
            <a:ln>
              <a:noFill/>
            </a:ln>
            <a:effectLst/>
          </c:spPr>
          <c:invertIfNegative val="0"/>
          <c:dLbls>
            <c:dLbl>
              <c:idx val="0"/>
              <c:tx>
                <c:rich>
                  <a:bodyPr/>
                  <a:lstStyle/>
                  <a:p>
                    <a:fld id="{4BA71DF5-7AFF-46B9-82F5-BE222062CEE3}"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1"/>
              <c:tx>
                <c:rich>
                  <a:bodyPr/>
                  <a:lstStyle/>
                  <a:p>
                    <a:fld id="{884B0DD6-851E-4876-8EF7-B79E2BA8E10C}" type="VALUE">
                      <a:rPr lang="en-US"/>
                      <a:pPr/>
                      <a:t>[VALUE]</a:t>
                    </a:fld>
                    <a:r>
                      <a:rPr lang="en-US"/>
                      <a:t>%</a:t>
                    </a:r>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spPr>
              <a:noFill/>
              <a:ln>
                <a:noFill/>
              </a:ln>
              <a:effectLst/>
            </c:spPr>
            <c:txPr>
              <a:bodyPr rot="2700000" spcFirstLastPara="1" vertOverflow="ellipsis"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Sheet1!$A$50:$A$51</c:f>
              <c:strCache>
                <c:ptCount val="2"/>
                <c:pt idx="0">
                  <c:v>Indigenous child victims</c:v>
                </c:pt>
                <c:pt idx="1">
                  <c:v>non-Indigenous child victims</c:v>
                </c:pt>
              </c:strCache>
            </c:strRef>
          </c:cat>
          <c:val>
            <c:numRef>
              <c:f>Sheet1!$C$50:$C$51</c:f>
              <c:numCache>
                <c:formatCode>General</c:formatCode>
                <c:ptCount val="2"/>
                <c:pt idx="0">
                  <c:v>45.34</c:v>
                </c:pt>
                <c:pt idx="1">
                  <c:v>49.68</c:v>
                </c:pt>
              </c:numCache>
            </c:numRef>
          </c:val>
        </c:ser>
        <c:dLbls>
          <c:showLegendKey val="0"/>
          <c:showVal val="0"/>
          <c:showCatName val="0"/>
          <c:showSerName val="0"/>
          <c:showPercent val="0"/>
          <c:showBubbleSize val="0"/>
        </c:dLbls>
        <c:gapWidth val="219"/>
        <c:overlap val="-27"/>
        <c:axId val="119758888"/>
        <c:axId val="149571640"/>
      </c:barChart>
      <c:catAx>
        <c:axId val="1197588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9571640"/>
        <c:crosses val="autoZero"/>
        <c:auto val="1"/>
        <c:lblAlgn val="ctr"/>
        <c:lblOffset val="100"/>
        <c:noMultiLvlLbl val="0"/>
      </c:catAx>
      <c:valAx>
        <c:axId val="14957164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1975888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solidFill>
                  <a:sysClr val="windowText" lastClr="000000"/>
                </a:solidFill>
              </a:rPr>
              <a:t>Figure 1: Number of Aboriginal and Torres Strait Islander</a:t>
            </a:r>
            <a:r>
              <a:rPr lang="en-AU" baseline="0">
                <a:solidFill>
                  <a:sysClr val="windowText" lastClr="000000"/>
                </a:solidFill>
              </a:rPr>
              <a:t> child victims of physical assault, by offender type, by the victim's sex and by the victim's age (New South Wales, 2010-2013)</a:t>
            </a:r>
            <a:endParaRPr lang="en-AU">
              <a:solidFill>
                <a:sysClr val="windowText" lastClr="000000"/>
              </a:solidFill>
            </a:endParaRPr>
          </a:p>
        </c:rich>
      </c:tx>
      <c:overlay val="0"/>
      <c:spPr>
        <a:noFill/>
        <a:ln>
          <a:noFill/>
        </a:ln>
        <a:effectLst/>
      </c:spPr>
    </c:title>
    <c:autoTitleDeleted val="0"/>
    <c:plotArea>
      <c:layout/>
      <c:barChart>
        <c:barDir val="col"/>
        <c:grouping val="clustered"/>
        <c:varyColors val="0"/>
        <c:ser>
          <c:idx val="0"/>
          <c:order val="0"/>
          <c:tx>
            <c:strRef>
              <c:f>'Table 1'!$AS$11</c:f>
              <c:strCache>
                <c:ptCount val="1"/>
                <c:pt idx="0">
                  <c:v>Parent</c:v>
                </c:pt>
              </c:strCache>
            </c:strRef>
          </c:tx>
          <c:spPr>
            <a:pattFill prst="pct20">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1'!$AR$12:$AR$18</c:f>
              <c:strCache>
                <c:ptCount val="7"/>
                <c:pt idx="0">
                  <c:v>Males 0 to 9</c:v>
                </c:pt>
                <c:pt idx="1">
                  <c:v>Males 10 to 14</c:v>
                </c:pt>
                <c:pt idx="2">
                  <c:v>Males 15 to 17</c:v>
                </c:pt>
                <c:pt idx="4">
                  <c:v>Females 0 to 9</c:v>
                </c:pt>
                <c:pt idx="5">
                  <c:v>Females 10 to 14</c:v>
                </c:pt>
                <c:pt idx="6">
                  <c:v>Females 15 to 17</c:v>
                </c:pt>
              </c:strCache>
            </c:strRef>
          </c:cat>
          <c:val>
            <c:numRef>
              <c:f>'Table 1'!$AS$12:$AS$18</c:f>
              <c:numCache>
                <c:formatCode>General</c:formatCode>
                <c:ptCount val="7"/>
                <c:pt idx="0">
                  <c:v>100</c:v>
                </c:pt>
                <c:pt idx="1">
                  <c:v>75</c:v>
                </c:pt>
                <c:pt idx="2">
                  <c:v>35</c:v>
                </c:pt>
                <c:pt idx="4">
                  <c:v>81</c:v>
                </c:pt>
                <c:pt idx="5">
                  <c:v>90</c:v>
                </c:pt>
                <c:pt idx="6">
                  <c:v>76</c:v>
                </c:pt>
              </c:numCache>
            </c:numRef>
          </c:val>
        </c:ser>
        <c:ser>
          <c:idx val="1"/>
          <c:order val="1"/>
          <c:tx>
            <c:strRef>
              <c:f>'Table 1'!$AT$11</c:f>
              <c:strCache>
                <c:ptCount val="1"/>
                <c:pt idx="0">
                  <c:v>Partner</c:v>
                </c:pt>
              </c:strCache>
            </c:strRef>
          </c:tx>
          <c:spPr>
            <a:pattFill prst="pct75">
              <a:fgClr>
                <a:schemeClr val="tx1"/>
              </a:fgClr>
              <a:bgClr>
                <a:schemeClr val="bg1"/>
              </a:bgClr>
            </a:pattFill>
            <a:ln>
              <a:solidFill>
                <a:schemeClr val="tx1"/>
              </a:solidFill>
            </a:ln>
            <a:effectLst/>
          </c:spPr>
          <c:invertIfNegative val="0"/>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4"/>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0">
                <a:spAutoFit/>
              </a:bodyPr>
              <a:lstStyle/>
              <a:p>
                <a:pPr algn="ctr">
                  <a:defRPr lang="en-AU"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1'!$AR$12:$AR$18</c:f>
              <c:strCache>
                <c:ptCount val="7"/>
                <c:pt idx="0">
                  <c:v>Males 0 to 9</c:v>
                </c:pt>
                <c:pt idx="1">
                  <c:v>Males 10 to 14</c:v>
                </c:pt>
                <c:pt idx="2">
                  <c:v>Males 15 to 17</c:v>
                </c:pt>
                <c:pt idx="4">
                  <c:v>Females 0 to 9</c:v>
                </c:pt>
                <c:pt idx="5">
                  <c:v>Females 10 to 14</c:v>
                </c:pt>
                <c:pt idx="6">
                  <c:v>Females 15 to 17</c:v>
                </c:pt>
              </c:strCache>
            </c:strRef>
          </c:cat>
          <c:val>
            <c:numRef>
              <c:f>'Table 1'!$AT$12:$AT$18</c:f>
              <c:numCache>
                <c:formatCode>General</c:formatCode>
                <c:ptCount val="7"/>
                <c:pt idx="0">
                  <c:v>0</c:v>
                </c:pt>
                <c:pt idx="1">
                  <c:v>0</c:v>
                </c:pt>
                <c:pt idx="2">
                  <c:v>21</c:v>
                </c:pt>
                <c:pt idx="4">
                  <c:v>0</c:v>
                </c:pt>
                <c:pt idx="5">
                  <c:v>15</c:v>
                </c:pt>
                <c:pt idx="6">
                  <c:v>190</c:v>
                </c:pt>
              </c:numCache>
            </c:numRef>
          </c:val>
        </c:ser>
        <c:ser>
          <c:idx val="2"/>
          <c:order val="2"/>
          <c:tx>
            <c:strRef>
              <c:f>'Table 1'!$AU$11</c:f>
              <c:strCache>
                <c:ptCount val="1"/>
                <c:pt idx="0">
                  <c:v>Sibling</c:v>
                </c:pt>
              </c:strCache>
            </c:strRef>
          </c:tx>
          <c:spPr>
            <a:solidFill>
              <a:schemeClr val="bg1">
                <a:lumMod val="50000"/>
              </a:schemeClr>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1'!$AR$12:$AR$18</c:f>
              <c:strCache>
                <c:ptCount val="7"/>
                <c:pt idx="0">
                  <c:v>Males 0 to 9</c:v>
                </c:pt>
                <c:pt idx="1">
                  <c:v>Males 10 to 14</c:v>
                </c:pt>
                <c:pt idx="2">
                  <c:v>Males 15 to 17</c:v>
                </c:pt>
                <c:pt idx="4">
                  <c:v>Females 0 to 9</c:v>
                </c:pt>
                <c:pt idx="5">
                  <c:v>Females 10 to 14</c:v>
                </c:pt>
                <c:pt idx="6">
                  <c:v>Females 15 to 17</c:v>
                </c:pt>
              </c:strCache>
            </c:strRef>
          </c:cat>
          <c:val>
            <c:numRef>
              <c:f>'Table 1'!$AU$12:$AU$18</c:f>
              <c:numCache>
                <c:formatCode>General</c:formatCode>
                <c:ptCount val="7"/>
                <c:pt idx="0">
                  <c:v>11</c:v>
                </c:pt>
                <c:pt idx="1">
                  <c:v>49</c:v>
                </c:pt>
                <c:pt idx="2">
                  <c:v>40</c:v>
                </c:pt>
                <c:pt idx="4">
                  <c:v>6</c:v>
                </c:pt>
                <c:pt idx="5">
                  <c:v>55</c:v>
                </c:pt>
                <c:pt idx="6">
                  <c:v>93</c:v>
                </c:pt>
              </c:numCache>
            </c:numRef>
          </c:val>
        </c:ser>
        <c:ser>
          <c:idx val="3"/>
          <c:order val="3"/>
          <c:tx>
            <c:strRef>
              <c:f>'Table 1'!$AV$11</c:f>
              <c:strCache>
                <c:ptCount val="1"/>
                <c:pt idx="0">
                  <c:v>Other family member</c:v>
                </c:pt>
              </c:strCache>
            </c:strRef>
          </c:tx>
          <c:spPr>
            <a:pattFill prst="ltDnDiag">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1'!$AR$12:$AR$18</c:f>
              <c:strCache>
                <c:ptCount val="7"/>
                <c:pt idx="0">
                  <c:v>Males 0 to 9</c:v>
                </c:pt>
                <c:pt idx="1">
                  <c:v>Males 10 to 14</c:v>
                </c:pt>
                <c:pt idx="2">
                  <c:v>Males 15 to 17</c:v>
                </c:pt>
                <c:pt idx="4">
                  <c:v>Females 0 to 9</c:v>
                </c:pt>
                <c:pt idx="5">
                  <c:v>Females 10 to 14</c:v>
                </c:pt>
                <c:pt idx="6">
                  <c:v>Females 15 to 17</c:v>
                </c:pt>
              </c:strCache>
            </c:strRef>
          </c:cat>
          <c:val>
            <c:numRef>
              <c:f>'Table 1'!$AV$12:$AV$18</c:f>
              <c:numCache>
                <c:formatCode>General</c:formatCode>
                <c:ptCount val="7"/>
                <c:pt idx="0">
                  <c:v>41</c:v>
                </c:pt>
                <c:pt idx="1">
                  <c:v>44</c:v>
                </c:pt>
                <c:pt idx="2">
                  <c:v>71</c:v>
                </c:pt>
                <c:pt idx="4">
                  <c:v>25</c:v>
                </c:pt>
                <c:pt idx="5">
                  <c:v>59</c:v>
                </c:pt>
                <c:pt idx="6">
                  <c:v>91</c:v>
                </c:pt>
              </c:numCache>
            </c:numRef>
          </c:val>
        </c:ser>
        <c:ser>
          <c:idx val="4"/>
          <c:order val="4"/>
          <c:tx>
            <c:strRef>
              <c:f>'Table 1'!$AW$11</c:f>
              <c:strCache>
                <c:ptCount val="1"/>
                <c:pt idx="0">
                  <c:v>Non-family member</c:v>
                </c:pt>
              </c:strCache>
            </c:strRef>
          </c:tx>
          <c:spPr>
            <a:solidFill>
              <a:schemeClr val="tx1"/>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1'!$AR$12:$AR$18</c:f>
              <c:strCache>
                <c:ptCount val="7"/>
                <c:pt idx="0">
                  <c:v>Males 0 to 9</c:v>
                </c:pt>
                <c:pt idx="1">
                  <c:v>Males 10 to 14</c:v>
                </c:pt>
                <c:pt idx="2">
                  <c:v>Males 15 to 17</c:v>
                </c:pt>
                <c:pt idx="4">
                  <c:v>Females 0 to 9</c:v>
                </c:pt>
                <c:pt idx="5">
                  <c:v>Females 10 to 14</c:v>
                </c:pt>
                <c:pt idx="6">
                  <c:v>Females 15 to 17</c:v>
                </c:pt>
              </c:strCache>
            </c:strRef>
          </c:cat>
          <c:val>
            <c:numRef>
              <c:f>'Table 1'!$AW$12:$AW$18</c:f>
              <c:numCache>
                <c:formatCode>General</c:formatCode>
                <c:ptCount val="7"/>
                <c:pt idx="0">
                  <c:v>41</c:v>
                </c:pt>
                <c:pt idx="1">
                  <c:v>84</c:v>
                </c:pt>
                <c:pt idx="2">
                  <c:v>100</c:v>
                </c:pt>
                <c:pt idx="4">
                  <c:v>25</c:v>
                </c:pt>
                <c:pt idx="5">
                  <c:v>72</c:v>
                </c:pt>
                <c:pt idx="6">
                  <c:v>164</c:v>
                </c:pt>
              </c:numCache>
            </c:numRef>
          </c:val>
        </c:ser>
        <c:ser>
          <c:idx val="5"/>
          <c:order val="5"/>
          <c:tx>
            <c:strRef>
              <c:f>'Table 1'!$AX$11</c:f>
              <c:strCache>
                <c:ptCount val="1"/>
                <c:pt idx="0">
                  <c:v>Stranger</c:v>
                </c:pt>
              </c:strCache>
            </c:strRef>
          </c:tx>
          <c:spPr>
            <a:solidFill>
              <a:schemeClr val="bg1">
                <a:lumMod val="85000"/>
              </a:schemeClr>
            </a:solidFill>
            <a:ln>
              <a:solidFill>
                <a:schemeClr val="tx1"/>
              </a:solidFill>
            </a:ln>
            <a:effectLst/>
          </c:spPr>
          <c:invertIfNegative val="0"/>
          <c:dLbls>
            <c:dLbl>
              <c:idx val="5"/>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1'!$AR$12:$AR$18</c:f>
              <c:strCache>
                <c:ptCount val="7"/>
                <c:pt idx="0">
                  <c:v>Males 0 to 9</c:v>
                </c:pt>
                <c:pt idx="1">
                  <c:v>Males 10 to 14</c:v>
                </c:pt>
                <c:pt idx="2">
                  <c:v>Males 15 to 17</c:v>
                </c:pt>
                <c:pt idx="4">
                  <c:v>Females 0 to 9</c:v>
                </c:pt>
                <c:pt idx="5">
                  <c:v>Females 10 to 14</c:v>
                </c:pt>
                <c:pt idx="6">
                  <c:v>Females 15 to 17</c:v>
                </c:pt>
              </c:strCache>
            </c:strRef>
          </c:cat>
          <c:val>
            <c:numRef>
              <c:f>'Table 1'!$AX$12:$AX$18</c:f>
              <c:numCache>
                <c:formatCode>General</c:formatCode>
                <c:ptCount val="7"/>
                <c:pt idx="0">
                  <c:v>17</c:v>
                </c:pt>
                <c:pt idx="1">
                  <c:v>9</c:v>
                </c:pt>
                <c:pt idx="2">
                  <c:v>12</c:v>
                </c:pt>
                <c:pt idx="4">
                  <c:v>11</c:v>
                </c:pt>
                <c:pt idx="5">
                  <c:v>0</c:v>
                </c:pt>
                <c:pt idx="6">
                  <c:v>22</c:v>
                </c:pt>
              </c:numCache>
            </c:numRef>
          </c:val>
        </c:ser>
        <c:dLbls>
          <c:showLegendKey val="0"/>
          <c:showVal val="0"/>
          <c:showCatName val="0"/>
          <c:showSerName val="0"/>
          <c:showPercent val="0"/>
          <c:showBubbleSize val="0"/>
        </c:dLbls>
        <c:gapWidth val="219"/>
        <c:overlap val="-27"/>
        <c:axId val="149572816"/>
        <c:axId val="149573208"/>
      </c:barChart>
      <c:catAx>
        <c:axId val="1495728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149573208"/>
        <c:crosses val="autoZero"/>
        <c:auto val="1"/>
        <c:lblAlgn val="ctr"/>
        <c:lblOffset val="100"/>
        <c:noMultiLvlLbl val="0"/>
      </c:catAx>
      <c:valAx>
        <c:axId val="14957320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14957281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solidFill>
                  <a:sysClr val="windowText" lastClr="000000"/>
                </a:solidFill>
              </a:rPr>
              <a:t>Figure 2:</a:t>
            </a:r>
            <a:r>
              <a:rPr lang="en-AU" baseline="0">
                <a:solidFill>
                  <a:sysClr val="windowText" lastClr="000000"/>
                </a:solidFill>
              </a:rPr>
              <a:t> </a:t>
            </a:r>
            <a:r>
              <a:rPr lang="en-AU">
                <a:solidFill>
                  <a:sysClr val="windowText" lastClr="000000"/>
                </a:solidFill>
              </a:rPr>
              <a:t>Number of non-Indigenous</a:t>
            </a:r>
            <a:r>
              <a:rPr lang="en-AU" baseline="0">
                <a:solidFill>
                  <a:sysClr val="windowText" lastClr="000000"/>
                </a:solidFill>
              </a:rPr>
              <a:t> </a:t>
            </a:r>
            <a:r>
              <a:rPr lang="en-AU">
                <a:solidFill>
                  <a:sysClr val="windowText" lastClr="000000"/>
                </a:solidFill>
              </a:rPr>
              <a:t>child victims</a:t>
            </a:r>
            <a:r>
              <a:rPr lang="en-AU" baseline="0">
                <a:solidFill>
                  <a:sysClr val="windowText" lastClr="000000"/>
                </a:solidFill>
              </a:rPr>
              <a:t> of physical assault, by offender type, by the victim's sex and by the victim's age (New South Wales, 2010-2013)</a:t>
            </a:r>
            <a:endParaRPr lang="en-AU">
              <a:solidFill>
                <a:sysClr val="windowText" lastClr="000000"/>
              </a:solidFill>
            </a:endParaRPr>
          </a:p>
        </c:rich>
      </c:tx>
      <c:overlay val="0"/>
      <c:spPr>
        <a:noFill/>
        <a:ln>
          <a:noFill/>
        </a:ln>
        <a:effectLst/>
      </c:spPr>
    </c:title>
    <c:autoTitleDeleted val="0"/>
    <c:plotArea>
      <c:layout/>
      <c:barChart>
        <c:barDir val="col"/>
        <c:grouping val="clustered"/>
        <c:varyColors val="0"/>
        <c:ser>
          <c:idx val="0"/>
          <c:order val="0"/>
          <c:tx>
            <c:strRef>
              <c:f>'Table 1'!$AS$28</c:f>
              <c:strCache>
                <c:ptCount val="1"/>
                <c:pt idx="0">
                  <c:v>Parent</c:v>
                </c:pt>
              </c:strCache>
            </c:strRef>
          </c:tx>
          <c:spPr>
            <a:pattFill prst="pct20">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1'!$AR$29:$AR$35</c:f>
              <c:strCache>
                <c:ptCount val="7"/>
                <c:pt idx="0">
                  <c:v>Males 0 to 9</c:v>
                </c:pt>
                <c:pt idx="1">
                  <c:v>Males 10 to 14</c:v>
                </c:pt>
                <c:pt idx="2">
                  <c:v>Males 15 to 17</c:v>
                </c:pt>
                <c:pt idx="4">
                  <c:v>Females 0 to 9</c:v>
                </c:pt>
                <c:pt idx="5">
                  <c:v>Females 10 to 14</c:v>
                </c:pt>
                <c:pt idx="6">
                  <c:v>Females 15 to 17</c:v>
                </c:pt>
              </c:strCache>
            </c:strRef>
          </c:cat>
          <c:val>
            <c:numRef>
              <c:f>'Table 1'!$AS$29:$AS$35</c:f>
              <c:numCache>
                <c:formatCode>General</c:formatCode>
                <c:ptCount val="7"/>
                <c:pt idx="0">
                  <c:v>945</c:v>
                </c:pt>
                <c:pt idx="1">
                  <c:v>899</c:v>
                </c:pt>
                <c:pt idx="2">
                  <c:v>595</c:v>
                </c:pt>
                <c:pt idx="4">
                  <c:v>723</c:v>
                </c:pt>
                <c:pt idx="5">
                  <c:v>976</c:v>
                </c:pt>
                <c:pt idx="6">
                  <c:v>976</c:v>
                </c:pt>
              </c:numCache>
            </c:numRef>
          </c:val>
        </c:ser>
        <c:ser>
          <c:idx val="1"/>
          <c:order val="1"/>
          <c:tx>
            <c:strRef>
              <c:f>'Table 1'!$AT$28</c:f>
              <c:strCache>
                <c:ptCount val="1"/>
                <c:pt idx="0">
                  <c:v>Partner</c:v>
                </c:pt>
              </c:strCache>
            </c:strRef>
          </c:tx>
          <c:spPr>
            <a:pattFill prst="pct75">
              <a:fgClr>
                <a:schemeClr val="tx1"/>
              </a:fgClr>
              <a:bgClr>
                <a:schemeClr val="bg1"/>
              </a:bgClr>
            </a:pattFill>
            <a:ln>
              <a:solidFill>
                <a:schemeClr val="tx1"/>
              </a:solidFill>
            </a:ln>
            <a:effectLst/>
          </c:spPr>
          <c:invertIfNegative val="0"/>
          <c:dLbls>
            <c:dLbl>
              <c:idx val="0"/>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0">
                <a:spAutoFit/>
              </a:bodyPr>
              <a:lstStyle/>
              <a:p>
                <a:pPr algn="ctr">
                  <a:defRPr lang="en-AU"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1'!$AR$29:$AR$35</c:f>
              <c:strCache>
                <c:ptCount val="7"/>
                <c:pt idx="0">
                  <c:v>Males 0 to 9</c:v>
                </c:pt>
                <c:pt idx="1">
                  <c:v>Males 10 to 14</c:v>
                </c:pt>
                <c:pt idx="2">
                  <c:v>Males 15 to 17</c:v>
                </c:pt>
                <c:pt idx="4">
                  <c:v>Females 0 to 9</c:v>
                </c:pt>
                <c:pt idx="5">
                  <c:v>Females 10 to 14</c:v>
                </c:pt>
                <c:pt idx="6">
                  <c:v>Females 15 to 17</c:v>
                </c:pt>
              </c:strCache>
            </c:strRef>
          </c:cat>
          <c:val>
            <c:numRef>
              <c:f>'Table 1'!$AT$29:$AT$35</c:f>
              <c:numCache>
                <c:formatCode>General</c:formatCode>
                <c:ptCount val="7"/>
                <c:pt idx="0">
                  <c:v>0</c:v>
                </c:pt>
                <c:pt idx="1">
                  <c:v>7</c:v>
                </c:pt>
                <c:pt idx="2">
                  <c:v>47</c:v>
                </c:pt>
                <c:pt idx="4">
                  <c:v>17</c:v>
                </c:pt>
                <c:pt idx="5">
                  <c:v>43</c:v>
                </c:pt>
                <c:pt idx="6">
                  <c:v>773</c:v>
                </c:pt>
              </c:numCache>
            </c:numRef>
          </c:val>
        </c:ser>
        <c:ser>
          <c:idx val="2"/>
          <c:order val="2"/>
          <c:tx>
            <c:strRef>
              <c:f>'Table 1'!$AU$28</c:f>
              <c:strCache>
                <c:ptCount val="1"/>
                <c:pt idx="0">
                  <c:v>Sibling</c:v>
                </c:pt>
              </c:strCache>
            </c:strRef>
          </c:tx>
          <c:spPr>
            <a:solidFill>
              <a:schemeClr val="bg1">
                <a:lumMod val="50000"/>
              </a:schemeClr>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1'!$AR$29:$AR$35</c:f>
              <c:strCache>
                <c:ptCount val="7"/>
                <c:pt idx="0">
                  <c:v>Males 0 to 9</c:v>
                </c:pt>
                <c:pt idx="1">
                  <c:v>Males 10 to 14</c:v>
                </c:pt>
                <c:pt idx="2">
                  <c:v>Males 15 to 17</c:v>
                </c:pt>
                <c:pt idx="4">
                  <c:v>Females 0 to 9</c:v>
                </c:pt>
                <c:pt idx="5">
                  <c:v>Females 10 to 14</c:v>
                </c:pt>
                <c:pt idx="6">
                  <c:v>Females 15 to 17</c:v>
                </c:pt>
              </c:strCache>
            </c:strRef>
          </c:cat>
          <c:val>
            <c:numRef>
              <c:f>'Table 1'!$AU$29:$AU$35</c:f>
              <c:numCache>
                <c:formatCode>General</c:formatCode>
                <c:ptCount val="7"/>
                <c:pt idx="0">
                  <c:v>97</c:v>
                </c:pt>
                <c:pt idx="1">
                  <c:v>332</c:v>
                </c:pt>
                <c:pt idx="2">
                  <c:v>388</c:v>
                </c:pt>
                <c:pt idx="4">
                  <c:v>85</c:v>
                </c:pt>
                <c:pt idx="5">
                  <c:v>273</c:v>
                </c:pt>
                <c:pt idx="6">
                  <c:v>484</c:v>
                </c:pt>
              </c:numCache>
            </c:numRef>
          </c:val>
        </c:ser>
        <c:ser>
          <c:idx val="3"/>
          <c:order val="3"/>
          <c:tx>
            <c:strRef>
              <c:f>'Table 1'!$AV$28</c:f>
              <c:strCache>
                <c:ptCount val="1"/>
                <c:pt idx="0">
                  <c:v>Other family member</c:v>
                </c:pt>
              </c:strCache>
            </c:strRef>
          </c:tx>
          <c:spPr>
            <a:pattFill prst="ltDnDiag">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1'!$AR$29:$AR$35</c:f>
              <c:strCache>
                <c:ptCount val="7"/>
                <c:pt idx="0">
                  <c:v>Males 0 to 9</c:v>
                </c:pt>
                <c:pt idx="1">
                  <c:v>Males 10 to 14</c:v>
                </c:pt>
                <c:pt idx="2">
                  <c:v>Males 15 to 17</c:v>
                </c:pt>
                <c:pt idx="4">
                  <c:v>Females 0 to 9</c:v>
                </c:pt>
                <c:pt idx="5">
                  <c:v>Females 10 to 14</c:v>
                </c:pt>
                <c:pt idx="6">
                  <c:v>Females 15 to 17</c:v>
                </c:pt>
              </c:strCache>
            </c:strRef>
          </c:cat>
          <c:val>
            <c:numRef>
              <c:f>'Table 1'!$AV$29:$AV$35</c:f>
              <c:numCache>
                <c:formatCode>General</c:formatCode>
                <c:ptCount val="7"/>
                <c:pt idx="0">
                  <c:v>189</c:v>
                </c:pt>
                <c:pt idx="1">
                  <c:v>218</c:v>
                </c:pt>
                <c:pt idx="2">
                  <c:v>267</c:v>
                </c:pt>
                <c:pt idx="4">
                  <c:v>129</c:v>
                </c:pt>
                <c:pt idx="5">
                  <c:v>184</c:v>
                </c:pt>
                <c:pt idx="6">
                  <c:v>357</c:v>
                </c:pt>
              </c:numCache>
            </c:numRef>
          </c:val>
        </c:ser>
        <c:ser>
          <c:idx val="4"/>
          <c:order val="4"/>
          <c:tx>
            <c:strRef>
              <c:f>'Table 1'!$AW$28</c:f>
              <c:strCache>
                <c:ptCount val="1"/>
                <c:pt idx="0">
                  <c:v>Non-family member</c:v>
                </c:pt>
              </c:strCache>
            </c:strRef>
          </c:tx>
          <c:spPr>
            <a:solidFill>
              <a:schemeClr val="tx1"/>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1'!$AR$29:$AR$35</c:f>
              <c:strCache>
                <c:ptCount val="7"/>
                <c:pt idx="0">
                  <c:v>Males 0 to 9</c:v>
                </c:pt>
                <c:pt idx="1">
                  <c:v>Males 10 to 14</c:v>
                </c:pt>
                <c:pt idx="2">
                  <c:v>Males 15 to 17</c:v>
                </c:pt>
                <c:pt idx="4">
                  <c:v>Females 0 to 9</c:v>
                </c:pt>
                <c:pt idx="5">
                  <c:v>Females 10 to 14</c:v>
                </c:pt>
                <c:pt idx="6">
                  <c:v>Females 15 to 17</c:v>
                </c:pt>
              </c:strCache>
            </c:strRef>
          </c:cat>
          <c:val>
            <c:numRef>
              <c:f>'Table 1'!$AW$29:$AW$35</c:f>
              <c:numCache>
                <c:formatCode>General</c:formatCode>
                <c:ptCount val="7"/>
                <c:pt idx="0">
                  <c:v>261</c:v>
                </c:pt>
                <c:pt idx="1">
                  <c:v>621</c:v>
                </c:pt>
                <c:pt idx="2">
                  <c:v>1100</c:v>
                </c:pt>
                <c:pt idx="4">
                  <c:v>172</c:v>
                </c:pt>
                <c:pt idx="5">
                  <c:v>461</c:v>
                </c:pt>
                <c:pt idx="6">
                  <c:v>1109</c:v>
                </c:pt>
              </c:numCache>
            </c:numRef>
          </c:val>
        </c:ser>
        <c:ser>
          <c:idx val="5"/>
          <c:order val="5"/>
          <c:tx>
            <c:strRef>
              <c:f>'Table 1'!$AX$28</c:f>
              <c:strCache>
                <c:ptCount val="1"/>
                <c:pt idx="0">
                  <c:v>Stranger</c:v>
                </c:pt>
              </c:strCache>
            </c:strRef>
          </c:tx>
          <c:spPr>
            <a:solidFill>
              <a:schemeClr val="bg1">
                <a:lumMod val="85000"/>
              </a:schemeClr>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1'!$AR$29:$AR$35</c:f>
              <c:strCache>
                <c:ptCount val="7"/>
                <c:pt idx="0">
                  <c:v>Males 0 to 9</c:v>
                </c:pt>
                <c:pt idx="1">
                  <c:v>Males 10 to 14</c:v>
                </c:pt>
                <c:pt idx="2">
                  <c:v>Males 15 to 17</c:v>
                </c:pt>
                <c:pt idx="4">
                  <c:v>Females 0 to 9</c:v>
                </c:pt>
                <c:pt idx="5">
                  <c:v>Females 10 to 14</c:v>
                </c:pt>
                <c:pt idx="6">
                  <c:v>Females 15 to 17</c:v>
                </c:pt>
              </c:strCache>
            </c:strRef>
          </c:cat>
          <c:val>
            <c:numRef>
              <c:f>'Table 1'!$AX$29:$AX$35</c:f>
              <c:numCache>
                <c:formatCode>General</c:formatCode>
                <c:ptCount val="7"/>
                <c:pt idx="0">
                  <c:v>55</c:v>
                </c:pt>
                <c:pt idx="1">
                  <c:v>134</c:v>
                </c:pt>
                <c:pt idx="2">
                  <c:v>432</c:v>
                </c:pt>
                <c:pt idx="4">
                  <c:v>28</c:v>
                </c:pt>
                <c:pt idx="5">
                  <c:v>67</c:v>
                </c:pt>
                <c:pt idx="6">
                  <c:v>195</c:v>
                </c:pt>
              </c:numCache>
            </c:numRef>
          </c:val>
        </c:ser>
        <c:dLbls>
          <c:showLegendKey val="0"/>
          <c:showVal val="0"/>
          <c:showCatName val="0"/>
          <c:showSerName val="0"/>
          <c:showPercent val="0"/>
          <c:showBubbleSize val="0"/>
        </c:dLbls>
        <c:gapWidth val="219"/>
        <c:overlap val="-27"/>
        <c:axId val="49808728"/>
        <c:axId val="49809120"/>
      </c:barChart>
      <c:catAx>
        <c:axId val="4980872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49809120"/>
        <c:crosses val="autoZero"/>
        <c:auto val="1"/>
        <c:lblAlgn val="ctr"/>
        <c:lblOffset val="100"/>
        <c:noMultiLvlLbl val="0"/>
      </c:catAx>
      <c:valAx>
        <c:axId val="4980912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4980872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solidFill>
                  <a:sysClr val="windowText" lastClr="000000"/>
                </a:solidFill>
              </a:rPr>
              <a:t>Figure 3: Number of child victims of physical assault where Aboriginal and Torres Strait Islander status is unknown, by offender type, by the victim's sex and by the victim's age (New South Wales, 2010-2013)</a:t>
            </a:r>
          </a:p>
        </c:rich>
      </c:tx>
      <c:overlay val="0"/>
      <c:spPr>
        <a:noFill/>
        <a:ln>
          <a:noFill/>
        </a:ln>
        <a:effectLst/>
      </c:spPr>
    </c:title>
    <c:autoTitleDeleted val="0"/>
    <c:plotArea>
      <c:layout/>
      <c:barChart>
        <c:barDir val="col"/>
        <c:grouping val="clustered"/>
        <c:varyColors val="0"/>
        <c:ser>
          <c:idx val="0"/>
          <c:order val="0"/>
          <c:tx>
            <c:strRef>
              <c:f>'Table 1'!$AS$45</c:f>
              <c:strCache>
                <c:ptCount val="1"/>
                <c:pt idx="0">
                  <c:v>Parent</c:v>
                </c:pt>
              </c:strCache>
            </c:strRef>
          </c:tx>
          <c:spPr>
            <a:pattFill prst="pct20">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1'!$AR$46:$AR$52</c:f>
              <c:strCache>
                <c:ptCount val="7"/>
                <c:pt idx="0">
                  <c:v>Males 0 to 9</c:v>
                </c:pt>
                <c:pt idx="1">
                  <c:v>Males 10 to 14</c:v>
                </c:pt>
                <c:pt idx="2">
                  <c:v>Males 15 to 17</c:v>
                </c:pt>
                <c:pt idx="4">
                  <c:v>Females 0 to 9</c:v>
                </c:pt>
                <c:pt idx="5">
                  <c:v>Females 10 to 14</c:v>
                </c:pt>
                <c:pt idx="6">
                  <c:v>Females 15 to 17</c:v>
                </c:pt>
              </c:strCache>
            </c:strRef>
          </c:cat>
          <c:val>
            <c:numRef>
              <c:f>'Table 1'!$AS$46:$AS$52</c:f>
              <c:numCache>
                <c:formatCode>General</c:formatCode>
                <c:ptCount val="7"/>
                <c:pt idx="0">
                  <c:v>104</c:v>
                </c:pt>
                <c:pt idx="1">
                  <c:v>85</c:v>
                </c:pt>
                <c:pt idx="2">
                  <c:v>68</c:v>
                </c:pt>
                <c:pt idx="4">
                  <c:v>52</c:v>
                </c:pt>
                <c:pt idx="5">
                  <c:v>88</c:v>
                </c:pt>
                <c:pt idx="6">
                  <c:v>104</c:v>
                </c:pt>
              </c:numCache>
            </c:numRef>
          </c:val>
        </c:ser>
        <c:ser>
          <c:idx val="1"/>
          <c:order val="1"/>
          <c:tx>
            <c:strRef>
              <c:f>'Table 1'!$AT$45</c:f>
              <c:strCache>
                <c:ptCount val="1"/>
                <c:pt idx="0">
                  <c:v>Partner</c:v>
                </c:pt>
              </c:strCache>
            </c:strRef>
          </c:tx>
          <c:spPr>
            <a:pattFill prst="pct75">
              <a:fgClr>
                <a:schemeClr val="tx1"/>
              </a:fgClr>
              <a:bgClr>
                <a:schemeClr val="bg1"/>
              </a:bgClr>
            </a:pattFill>
            <a:ln>
              <a:solidFill>
                <a:schemeClr val="tx1"/>
              </a:solidFill>
            </a:ln>
            <a:effectLst/>
          </c:spPr>
          <c:invertIfNegative val="0"/>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4"/>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0">
                <a:spAutoFit/>
              </a:bodyPr>
              <a:lstStyle/>
              <a:p>
                <a:pPr algn="ctr">
                  <a:defRPr lang="en-AU"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1'!$AR$46:$AR$52</c:f>
              <c:strCache>
                <c:ptCount val="7"/>
                <c:pt idx="0">
                  <c:v>Males 0 to 9</c:v>
                </c:pt>
                <c:pt idx="1">
                  <c:v>Males 10 to 14</c:v>
                </c:pt>
                <c:pt idx="2">
                  <c:v>Males 15 to 17</c:v>
                </c:pt>
                <c:pt idx="4">
                  <c:v>Females 0 to 9</c:v>
                </c:pt>
                <c:pt idx="5">
                  <c:v>Females 10 to 14</c:v>
                </c:pt>
                <c:pt idx="6">
                  <c:v>Females 15 to 17</c:v>
                </c:pt>
              </c:strCache>
            </c:strRef>
          </c:cat>
          <c:val>
            <c:numRef>
              <c:f>'Table 1'!$AT$46:$AT$52</c:f>
              <c:numCache>
                <c:formatCode>General</c:formatCode>
                <c:ptCount val="7"/>
                <c:pt idx="0">
                  <c:v>0</c:v>
                </c:pt>
                <c:pt idx="1">
                  <c:v>0</c:v>
                </c:pt>
                <c:pt idx="2">
                  <c:v>11</c:v>
                </c:pt>
                <c:pt idx="4">
                  <c:v>0</c:v>
                </c:pt>
                <c:pt idx="5">
                  <c:v>5</c:v>
                </c:pt>
                <c:pt idx="6">
                  <c:v>96</c:v>
                </c:pt>
              </c:numCache>
            </c:numRef>
          </c:val>
        </c:ser>
        <c:ser>
          <c:idx val="2"/>
          <c:order val="2"/>
          <c:tx>
            <c:strRef>
              <c:f>'Table 1'!$AU$45</c:f>
              <c:strCache>
                <c:ptCount val="1"/>
                <c:pt idx="0">
                  <c:v>Sibling</c:v>
                </c:pt>
              </c:strCache>
            </c:strRef>
          </c:tx>
          <c:spPr>
            <a:solidFill>
              <a:schemeClr val="bg1">
                <a:lumMod val="50000"/>
              </a:schemeClr>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1'!$AR$46:$AR$52</c:f>
              <c:strCache>
                <c:ptCount val="7"/>
                <c:pt idx="0">
                  <c:v>Males 0 to 9</c:v>
                </c:pt>
                <c:pt idx="1">
                  <c:v>Males 10 to 14</c:v>
                </c:pt>
                <c:pt idx="2">
                  <c:v>Males 15 to 17</c:v>
                </c:pt>
                <c:pt idx="4">
                  <c:v>Females 0 to 9</c:v>
                </c:pt>
                <c:pt idx="5">
                  <c:v>Females 10 to 14</c:v>
                </c:pt>
                <c:pt idx="6">
                  <c:v>Females 15 to 17</c:v>
                </c:pt>
              </c:strCache>
            </c:strRef>
          </c:cat>
          <c:val>
            <c:numRef>
              <c:f>'Table 1'!$AU$46:$AU$52</c:f>
              <c:numCache>
                <c:formatCode>General</c:formatCode>
                <c:ptCount val="7"/>
                <c:pt idx="0">
                  <c:v>7</c:v>
                </c:pt>
                <c:pt idx="1">
                  <c:v>34</c:v>
                </c:pt>
                <c:pt idx="2">
                  <c:v>35</c:v>
                </c:pt>
                <c:pt idx="4">
                  <c:v>10</c:v>
                </c:pt>
                <c:pt idx="5">
                  <c:v>30</c:v>
                </c:pt>
                <c:pt idx="6">
                  <c:v>51</c:v>
                </c:pt>
              </c:numCache>
            </c:numRef>
          </c:val>
        </c:ser>
        <c:ser>
          <c:idx val="3"/>
          <c:order val="3"/>
          <c:tx>
            <c:strRef>
              <c:f>'Table 1'!$AV$45</c:f>
              <c:strCache>
                <c:ptCount val="1"/>
                <c:pt idx="0">
                  <c:v>Other family member</c:v>
                </c:pt>
              </c:strCache>
            </c:strRef>
          </c:tx>
          <c:spPr>
            <a:pattFill prst="ltDnDiag">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1'!$AR$46:$AR$52</c:f>
              <c:strCache>
                <c:ptCount val="7"/>
                <c:pt idx="0">
                  <c:v>Males 0 to 9</c:v>
                </c:pt>
                <c:pt idx="1">
                  <c:v>Males 10 to 14</c:v>
                </c:pt>
                <c:pt idx="2">
                  <c:v>Males 15 to 17</c:v>
                </c:pt>
                <c:pt idx="4">
                  <c:v>Females 0 to 9</c:v>
                </c:pt>
                <c:pt idx="5">
                  <c:v>Females 10 to 14</c:v>
                </c:pt>
                <c:pt idx="6">
                  <c:v>Females 15 to 17</c:v>
                </c:pt>
              </c:strCache>
            </c:strRef>
          </c:cat>
          <c:val>
            <c:numRef>
              <c:f>'Table 1'!$AV$46:$AV$52</c:f>
              <c:numCache>
                <c:formatCode>General</c:formatCode>
                <c:ptCount val="7"/>
                <c:pt idx="0">
                  <c:v>19</c:v>
                </c:pt>
                <c:pt idx="1">
                  <c:v>18</c:v>
                </c:pt>
                <c:pt idx="2">
                  <c:v>28</c:v>
                </c:pt>
                <c:pt idx="4">
                  <c:v>3</c:v>
                </c:pt>
                <c:pt idx="5">
                  <c:v>23</c:v>
                </c:pt>
                <c:pt idx="6">
                  <c:v>36</c:v>
                </c:pt>
              </c:numCache>
            </c:numRef>
          </c:val>
        </c:ser>
        <c:ser>
          <c:idx val="4"/>
          <c:order val="4"/>
          <c:tx>
            <c:strRef>
              <c:f>'Table 1'!$AW$45</c:f>
              <c:strCache>
                <c:ptCount val="1"/>
                <c:pt idx="0">
                  <c:v>Non-family member</c:v>
                </c:pt>
              </c:strCache>
            </c:strRef>
          </c:tx>
          <c:spPr>
            <a:solidFill>
              <a:schemeClr val="tx1"/>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1'!$AR$46:$AR$52</c:f>
              <c:strCache>
                <c:ptCount val="7"/>
                <c:pt idx="0">
                  <c:v>Males 0 to 9</c:v>
                </c:pt>
                <c:pt idx="1">
                  <c:v>Males 10 to 14</c:v>
                </c:pt>
                <c:pt idx="2">
                  <c:v>Males 15 to 17</c:v>
                </c:pt>
                <c:pt idx="4">
                  <c:v>Females 0 to 9</c:v>
                </c:pt>
                <c:pt idx="5">
                  <c:v>Females 10 to 14</c:v>
                </c:pt>
                <c:pt idx="6">
                  <c:v>Females 15 to 17</c:v>
                </c:pt>
              </c:strCache>
            </c:strRef>
          </c:cat>
          <c:val>
            <c:numRef>
              <c:f>'Table 1'!$AW$46:$AW$52</c:f>
              <c:numCache>
                <c:formatCode>General</c:formatCode>
                <c:ptCount val="7"/>
                <c:pt idx="0">
                  <c:v>28</c:v>
                </c:pt>
                <c:pt idx="1">
                  <c:v>62</c:v>
                </c:pt>
                <c:pt idx="2">
                  <c:v>132</c:v>
                </c:pt>
                <c:pt idx="4">
                  <c:v>15</c:v>
                </c:pt>
                <c:pt idx="5">
                  <c:v>58</c:v>
                </c:pt>
                <c:pt idx="6">
                  <c:v>128</c:v>
                </c:pt>
              </c:numCache>
            </c:numRef>
          </c:val>
        </c:ser>
        <c:ser>
          <c:idx val="5"/>
          <c:order val="5"/>
          <c:tx>
            <c:strRef>
              <c:f>'Table 1'!$AX$45</c:f>
              <c:strCache>
                <c:ptCount val="1"/>
                <c:pt idx="0">
                  <c:v>Stranger</c:v>
                </c:pt>
              </c:strCache>
            </c:strRef>
          </c:tx>
          <c:spPr>
            <a:solidFill>
              <a:schemeClr val="bg1">
                <a:lumMod val="85000"/>
              </a:schemeClr>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1'!$AR$46:$AR$52</c:f>
              <c:strCache>
                <c:ptCount val="7"/>
                <c:pt idx="0">
                  <c:v>Males 0 to 9</c:v>
                </c:pt>
                <c:pt idx="1">
                  <c:v>Males 10 to 14</c:v>
                </c:pt>
                <c:pt idx="2">
                  <c:v>Males 15 to 17</c:v>
                </c:pt>
                <c:pt idx="4">
                  <c:v>Females 0 to 9</c:v>
                </c:pt>
                <c:pt idx="5">
                  <c:v>Females 10 to 14</c:v>
                </c:pt>
                <c:pt idx="6">
                  <c:v>Females 15 to 17</c:v>
                </c:pt>
              </c:strCache>
            </c:strRef>
          </c:cat>
          <c:val>
            <c:numRef>
              <c:f>'Table 1'!$AX$46:$AX$52</c:f>
              <c:numCache>
                <c:formatCode>General</c:formatCode>
                <c:ptCount val="7"/>
                <c:pt idx="0">
                  <c:v>6</c:v>
                </c:pt>
                <c:pt idx="1">
                  <c:v>11</c:v>
                </c:pt>
                <c:pt idx="2">
                  <c:v>36</c:v>
                </c:pt>
                <c:pt idx="4">
                  <c:v>3</c:v>
                </c:pt>
                <c:pt idx="5">
                  <c:v>6</c:v>
                </c:pt>
                <c:pt idx="6">
                  <c:v>15</c:v>
                </c:pt>
              </c:numCache>
            </c:numRef>
          </c:val>
        </c:ser>
        <c:dLbls>
          <c:showLegendKey val="0"/>
          <c:showVal val="0"/>
          <c:showCatName val="0"/>
          <c:showSerName val="0"/>
          <c:showPercent val="0"/>
          <c:showBubbleSize val="0"/>
        </c:dLbls>
        <c:gapWidth val="219"/>
        <c:overlap val="-27"/>
        <c:axId val="49809904"/>
        <c:axId val="49810296"/>
      </c:barChart>
      <c:catAx>
        <c:axId val="498099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49810296"/>
        <c:crosses val="autoZero"/>
        <c:auto val="1"/>
        <c:lblAlgn val="ctr"/>
        <c:lblOffset val="100"/>
        <c:noMultiLvlLbl val="0"/>
      </c:catAx>
      <c:valAx>
        <c:axId val="4981029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4980990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solidFill>
                  <a:sysClr val="windowText" lastClr="000000"/>
                </a:solidFill>
              </a:rPr>
              <a:t>Figure 4: Number of Aboriginal and Torres Strait Islander child victims of physical assault, by offender type, by the victim's sex and by the victim's age (South Australia, 2010-2013)</a:t>
            </a:r>
          </a:p>
        </c:rich>
      </c:tx>
      <c:overlay val="0"/>
      <c:spPr>
        <a:noFill/>
        <a:ln>
          <a:noFill/>
        </a:ln>
        <a:effectLst/>
      </c:spPr>
    </c:title>
    <c:autoTitleDeleted val="0"/>
    <c:plotArea>
      <c:layout/>
      <c:barChart>
        <c:barDir val="col"/>
        <c:grouping val="clustered"/>
        <c:varyColors val="0"/>
        <c:ser>
          <c:idx val="0"/>
          <c:order val="0"/>
          <c:tx>
            <c:strRef>
              <c:f>'Table 2'!$AS$11</c:f>
              <c:strCache>
                <c:ptCount val="1"/>
                <c:pt idx="0">
                  <c:v>Parent</c:v>
                </c:pt>
              </c:strCache>
            </c:strRef>
          </c:tx>
          <c:spPr>
            <a:pattFill prst="pct20">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2'!$AR$12:$AR$18</c:f>
              <c:strCache>
                <c:ptCount val="7"/>
                <c:pt idx="0">
                  <c:v>Males 0 to 9</c:v>
                </c:pt>
                <c:pt idx="1">
                  <c:v>Males 10 to 14</c:v>
                </c:pt>
                <c:pt idx="2">
                  <c:v>Males 15 to 17</c:v>
                </c:pt>
                <c:pt idx="4">
                  <c:v>Females 0 to 9</c:v>
                </c:pt>
                <c:pt idx="5">
                  <c:v>Females 10 to 14</c:v>
                </c:pt>
                <c:pt idx="6">
                  <c:v>Females 15 to 17</c:v>
                </c:pt>
              </c:strCache>
            </c:strRef>
          </c:cat>
          <c:val>
            <c:numRef>
              <c:f>'Table 2'!$AS$12:$AS$18</c:f>
              <c:numCache>
                <c:formatCode>#,##0</c:formatCode>
                <c:ptCount val="7"/>
                <c:pt idx="0">
                  <c:v>29</c:v>
                </c:pt>
                <c:pt idx="1">
                  <c:v>35</c:v>
                </c:pt>
                <c:pt idx="2">
                  <c:v>14</c:v>
                </c:pt>
                <c:pt idx="4">
                  <c:v>27</c:v>
                </c:pt>
                <c:pt idx="5">
                  <c:v>42</c:v>
                </c:pt>
                <c:pt idx="6">
                  <c:v>24</c:v>
                </c:pt>
              </c:numCache>
            </c:numRef>
          </c:val>
        </c:ser>
        <c:ser>
          <c:idx val="1"/>
          <c:order val="1"/>
          <c:tx>
            <c:strRef>
              <c:f>'Table 2'!$AT$11</c:f>
              <c:strCache>
                <c:ptCount val="1"/>
                <c:pt idx="0">
                  <c:v>Partner</c:v>
                </c:pt>
              </c:strCache>
            </c:strRef>
          </c:tx>
          <c:spPr>
            <a:pattFill prst="pct75">
              <a:fgClr>
                <a:schemeClr val="tx1"/>
              </a:fgClr>
              <a:bgClr>
                <a:schemeClr val="bg1"/>
              </a:bgClr>
            </a:pattFill>
            <a:ln>
              <a:solidFill>
                <a:schemeClr val="tx1"/>
              </a:solidFill>
            </a:ln>
            <a:effectLst/>
          </c:spPr>
          <c:invertIfNegative val="0"/>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4"/>
              <c:delete val="1"/>
              <c:extLst>
                <c:ext xmlns:c15="http://schemas.microsoft.com/office/drawing/2012/chart" uri="{CE6537A1-D6FC-4f65-9D91-7224C49458BB}"/>
              </c:extLst>
            </c:dLbl>
            <c:dLbl>
              <c:idx val="5"/>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0">
                <a:spAutoFit/>
              </a:bodyPr>
              <a:lstStyle/>
              <a:p>
                <a:pPr algn="ctr">
                  <a:defRPr lang="en-AU"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2'!$AR$12:$AR$18</c:f>
              <c:strCache>
                <c:ptCount val="7"/>
                <c:pt idx="0">
                  <c:v>Males 0 to 9</c:v>
                </c:pt>
                <c:pt idx="1">
                  <c:v>Males 10 to 14</c:v>
                </c:pt>
                <c:pt idx="2">
                  <c:v>Males 15 to 17</c:v>
                </c:pt>
                <c:pt idx="4">
                  <c:v>Females 0 to 9</c:v>
                </c:pt>
                <c:pt idx="5">
                  <c:v>Females 10 to 14</c:v>
                </c:pt>
                <c:pt idx="6">
                  <c:v>Females 15 to 17</c:v>
                </c:pt>
              </c:strCache>
            </c:strRef>
          </c:cat>
          <c:val>
            <c:numRef>
              <c:f>'Table 2'!$AT$12:$AT$18</c:f>
              <c:numCache>
                <c:formatCode>#,##0</c:formatCode>
                <c:ptCount val="7"/>
                <c:pt idx="0">
                  <c:v>0</c:v>
                </c:pt>
                <c:pt idx="1">
                  <c:v>0</c:v>
                </c:pt>
                <c:pt idx="2">
                  <c:v>3</c:v>
                </c:pt>
                <c:pt idx="4">
                  <c:v>0</c:v>
                </c:pt>
                <c:pt idx="5">
                  <c:v>0</c:v>
                </c:pt>
                <c:pt idx="6">
                  <c:v>46</c:v>
                </c:pt>
              </c:numCache>
            </c:numRef>
          </c:val>
        </c:ser>
        <c:ser>
          <c:idx val="2"/>
          <c:order val="2"/>
          <c:tx>
            <c:strRef>
              <c:f>'Table 2'!$AU$11</c:f>
              <c:strCache>
                <c:ptCount val="1"/>
                <c:pt idx="0">
                  <c:v>Sibling</c:v>
                </c:pt>
              </c:strCache>
            </c:strRef>
          </c:tx>
          <c:spPr>
            <a:solidFill>
              <a:schemeClr val="bg1">
                <a:lumMod val="50000"/>
              </a:schemeClr>
            </a:solidFill>
            <a:ln>
              <a:solidFill>
                <a:schemeClr val="tx1"/>
              </a:solidFill>
            </a:ln>
            <a:effectLst/>
          </c:spPr>
          <c:invertIfNegative val="0"/>
          <c:dLbls>
            <c:dLbl>
              <c:idx val="4"/>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2'!$AR$12:$AR$18</c:f>
              <c:strCache>
                <c:ptCount val="7"/>
                <c:pt idx="0">
                  <c:v>Males 0 to 9</c:v>
                </c:pt>
                <c:pt idx="1">
                  <c:v>Males 10 to 14</c:v>
                </c:pt>
                <c:pt idx="2">
                  <c:v>Males 15 to 17</c:v>
                </c:pt>
                <c:pt idx="4">
                  <c:v>Females 0 to 9</c:v>
                </c:pt>
                <c:pt idx="5">
                  <c:v>Females 10 to 14</c:v>
                </c:pt>
                <c:pt idx="6">
                  <c:v>Females 15 to 17</c:v>
                </c:pt>
              </c:strCache>
            </c:strRef>
          </c:cat>
          <c:val>
            <c:numRef>
              <c:f>'Table 2'!$AU$12:$AU$18</c:f>
              <c:numCache>
                <c:formatCode>#,##0</c:formatCode>
                <c:ptCount val="7"/>
                <c:pt idx="0">
                  <c:v>3</c:v>
                </c:pt>
                <c:pt idx="1">
                  <c:v>9</c:v>
                </c:pt>
                <c:pt idx="2">
                  <c:v>10</c:v>
                </c:pt>
                <c:pt idx="4">
                  <c:v>0</c:v>
                </c:pt>
                <c:pt idx="5">
                  <c:v>6</c:v>
                </c:pt>
                <c:pt idx="6">
                  <c:v>6</c:v>
                </c:pt>
              </c:numCache>
            </c:numRef>
          </c:val>
        </c:ser>
        <c:ser>
          <c:idx val="3"/>
          <c:order val="3"/>
          <c:tx>
            <c:strRef>
              <c:f>'Table 2'!$AV$11</c:f>
              <c:strCache>
                <c:ptCount val="1"/>
                <c:pt idx="0">
                  <c:v>Other family member</c:v>
                </c:pt>
              </c:strCache>
            </c:strRef>
          </c:tx>
          <c:spPr>
            <a:pattFill prst="ltDnDiag">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2'!$AR$12:$AR$18</c:f>
              <c:strCache>
                <c:ptCount val="7"/>
                <c:pt idx="0">
                  <c:v>Males 0 to 9</c:v>
                </c:pt>
                <c:pt idx="1">
                  <c:v>Males 10 to 14</c:v>
                </c:pt>
                <c:pt idx="2">
                  <c:v>Males 15 to 17</c:v>
                </c:pt>
                <c:pt idx="4">
                  <c:v>Females 0 to 9</c:v>
                </c:pt>
                <c:pt idx="5">
                  <c:v>Females 10 to 14</c:v>
                </c:pt>
                <c:pt idx="6">
                  <c:v>Females 15 to 17</c:v>
                </c:pt>
              </c:strCache>
            </c:strRef>
          </c:cat>
          <c:val>
            <c:numRef>
              <c:f>'Table 2'!$AV$12:$AV$18</c:f>
              <c:numCache>
                <c:formatCode>#,##0</c:formatCode>
                <c:ptCount val="7"/>
                <c:pt idx="0">
                  <c:v>10</c:v>
                </c:pt>
                <c:pt idx="1">
                  <c:v>10</c:v>
                </c:pt>
                <c:pt idx="2">
                  <c:v>11</c:v>
                </c:pt>
                <c:pt idx="4">
                  <c:v>6</c:v>
                </c:pt>
                <c:pt idx="5">
                  <c:v>3</c:v>
                </c:pt>
                <c:pt idx="6">
                  <c:v>9</c:v>
                </c:pt>
              </c:numCache>
            </c:numRef>
          </c:val>
        </c:ser>
        <c:ser>
          <c:idx val="4"/>
          <c:order val="4"/>
          <c:tx>
            <c:strRef>
              <c:f>'Table 2'!$AW$11</c:f>
              <c:strCache>
                <c:ptCount val="1"/>
                <c:pt idx="0">
                  <c:v>Non-family member</c:v>
                </c:pt>
              </c:strCache>
            </c:strRef>
          </c:tx>
          <c:spPr>
            <a:solidFill>
              <a:schemeClr val="tx1"/>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2'!$AR$12:$AR$18</c:f>
              <c:strCache>
                <c:ptCount val="7"/>
                <c:pt idx="0">
                  <c:v>Males 0 to 9</c:v>
                </c:pt>
                <c:pt idx="1">
                  <c:v>Males 10 to 14</c:v>
                </c:pt>
                <c:pt idx="2">
                  <c:v>Males 15 to 17</c:v>
                </c:pt>
                <c:pt idx="4">
                  <c:v>Females 0 to 9</c:v>
                </c:pt>
                <c:pt idx="5">
                  <c:v>Females 10 to 14</c:v>
                </c:pt>
                <c:pt idx="6">
                  <c:v>Females 15 to 17</c:v>
                </c:pt>
              </c:strCache>
            </c:strRef>
          </c:cat>
          <c:val>
            <c:numRef>
              <c:f>'Table 2'!$AW$12:$AW$18</c:f>
              <c:numCache>
                <c:formatCode>#,##0</c:formatCode>
                <c:ptCount val="7"/>
                <c:pt idx="0">
                  <c:v>6</c:v>
                </c:pt>
                <c:pt idx="1">
                  <c:v>11</c:v>
                </c:pt>
                <c:pt idx="2">
                  <c:v>21</c:v>
                </c:pt>
                <c:pt idx="4">
                  <c:v>3</c:v>
                </c:pt>
                <c:pt idx="5">
                  <c:v>17</c:v>
                </c:pt>
                <c:pt idx="6">
                  <c:v>47</c:v>
                </c:pt>
              </c:numCache>
            </c:numRef>
          </c:val>
        </c:ser>
        <c:ser>
          <c:idx val="5"/>
          <c:order val="5"/>
          <c:tx>
            <c:strRef>
              <c:f>'Table 2'!$AX$11</c:f>
              <c:strCache>
                <c:ptCount val="1"/>
                <c:pt idx="0">
                  <c:v>Stranger</c:v>
                </c:pt>
              </c:strCache>
            </c:strRef>
          </c:tx>
          <c:spPr>
            <a:solidFill>
              <a:schemeClr val="bg1">
                <a:lumMod val="85000"/>
              </a:schemeClr>
            </a:solidFill>
            <a:ln>
              <a:solidFill>
                <a:schemeClr val="tx1"/>
              </a:solidFill>
            </a:ln>
            <a:effectLst/>
          </c:spPr>
          <c:invertIfNegative val="0"/>
          <c:dLbls>
            <c:dLbl>
              <c:idx val="0"/>
              <c:delete val="1"/>
              <c:extLst>
                <c:ext xmlns:c15="http://schemas.microsoft.com/office/drawing/2012/chart" uri="{CE6537A1-D6FC-4f65-9D91-7224C49458BB}"/>
              </c:extLst>
            </c:dLbl>
            <c:dLbl>
              <c:idx val="4"/>
              <c:delete val="1"/>
              <c:extLst>
                <c:ext xmlns:c15="http://schemas.microsoft.com/office/drawing/2012/chart" uri="{CE6537A1-D6FC-4f65-9D91-7224C49458BB}"/>
              </c:extLst>
            </c:dLbl>
            <c:dLbl>
              <c:idx val="5"/>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2'!$AR$12:$AR$18</c:f>
              <c:strCache>
                <c:ptCount val="7"/>
                <c:pt idx="0">
                  <c:v>Males 0 to 9</c:v>
                </c:pt>
                <c:pt idx="1">
                  <c:v>Males 10 to 14</c:v>
                </c:pt>
                <c:pt idx="2">
                  <c:v>Males 15 to 17</c:v>
                </c:pt>
                <c:pt idx="4">
                  <c:v>Females 0 to 9</c:v>
                </c:pt>
                <c:pt idx="5">
                  <c:v>Females 10 to 14</c:v>
                </c:pt>
                <c:pt idx="6">
                  <c:v>Females 15 to 17</c:v>
                </c:pt>
              </c:strCache>
            </c:strRef>
          </c:cat>
          <c:val>
            <c:numRef>
              <c:f>'Table 2'!$AX$12:$AX$18</c:f>
              <c:numCache>
                <c:formatCode>#,##0</c:formatCode>
                <c:ptCount val="7"/>
                <c:pt idx="0">
                  <c:v>0</c:v>
                </c:pt>
                <c:pt idx="1">
                  <c:v>3</c:v>
                </c:pt>
                <c:pt idx="2">
                  <c:v>6</c:v>
                </c:pt>
                <c:pt idx="4">
                  <c:v>0</c:v>
                </c:pt>
                <c:pt idx="5">
                  <c:v>0</c:v>
                </c:pt>
                <c:pt idx="6">
                  <c:v>9</c:v>
                </c:pt>
              </c:numCache>
            </c:numRef>
          </c:val>
        </c:ser>
        <c:dLbls>
          <c:showLegendKey val="0"/>
          <c:showVal val="0"/>
          <c:showCatName val="0"/>
          <c:showSerName val="0"/>
          <c:showPercent val="0"/>
          <c:showBubbleSize val="0"/>
        </c:dLbls>
        <c:gapWidth val="219"/>
        <c:overlap val="-27"/>
        <c:axId val="49811472"/>
        <c:axId val="49811864"/>
      </c:barChart>
      <c:catAx>
        <c:axId val="498114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49811864"/>
        <c:crosses val="autoZero"/>
        <c:auto val="1"/>
        <c:lblAlgn val="ctr"/>
        <c:lblOffset val="100"/>
        <c:noMultiLvlLbl val="0"/>
      </c:catAx>
      <c:valAx>
        <c:axId val="49811864"/>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4981147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solidFill>
                  <a:sysClr val="windowText" lastClr="000000"/>
                </a:solidFill>
              </a:rPr>
              <a:t>Figure 5: Number of non-Indigenous child victims</a:t>
            </a:r>
            <a:r>
              <a:rPr lang="en-AU" baseline="0">
                <a:solidFill>
                  <a:sysClr val="windowText" lastClr="000000"/>
                </a:solidFill>
              </a:rPr>
              <a:t> of physical assault, by offender type, by the victim's sex and by the victim's age (South Australia, 2010-2013)</a:t>
            </a:r>
            <a:endParaRPr lang="en-AU">
              <a:solidFill>
                <a:sysClr val="windowText" lastClr="000000"/>
              </a:solidFill>
            </a:endParaRPr>
          </a:p>
        </c:rich>
      </c:tx>
      <c:overlay val="0"/>
      <c:spPr>
        <a:noFill/>
        <a:ln>
          <a:noFill/>
        </a:ln>
        <a:effectLst/>
      </c:spPr>
    </c:title>
    <c:autoTitleDeleted val="0"/>
    <c:plotArea>
      <c:layout/>
      <c:barChart>
        <c:barDir val="col"/>
        <c:grouping val="clustered"/>
        <c:varyColors val="0"/>
        <c:ser>
          <c:idx val="0"/>
          <c:order val="0"/>
          <c:tx>
            <c:strRef>
              <c:f>'Table 2'!$AS$28</c:f>
              <c:strCache>
                <c:ptCount val="1"/>
                <c:pt idx="0">
                  <c:v>Parent</c:v>
                </c:pt>
              </c:strCache>
            </c:strRef>
          </c:tx>
          <c:spPr>
            <a:pattFill prst="pct20">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2'!$AR$29:$AR$35</c:f>
              <c:strCache>
                <c:ptCount val="7"/>
                <c:pt idx="0">
                  <c:v>Males 0 to 9</c:v>
                </c:pt>
                <c:pt idx="1">
                  <c:v>Males 10 to 14</c:v>
                </c:pt>
                <c:pt idx="2">
                  <c:v>Males 15 to 17</c:v>
                </c:pt>
                <c:pt idx="4">
                  <c:v>Females 0 to 9</c:v>
                </c:pt>
                <c:pt idx="5">
                  <c:v>Females 10 to 14</c:v>
                </c:pt>
                <c:pt idx="6">
                  <c:v>Females 15 to 17</c:v>
                </c:pt>
              </c:strCache>
            </c:strRef>
          </c:cat>
          <c:val>
            <c:numRef>
              <c:f>'Table 2'!$AS$29:$AS$35</c:f>
              <c:numCache>
                <c:formatCode>General</c:formatCode>
                <c:ptCount val="7"/>
                <c:pt idx="0">
                  <c:v>209</c:v>
                </c:pt>
                <c:pt idx="1">
                  <c:v>223</c:v>
                </c:pt>
                <c:pt idx="2">
                  <c:v>140</c:v>
                </c:pt>
                <c:pt idx="4">
                  <c:v>144</c:v>
                </c:pt>
                <c:pt idx="5">
                  <c:v>240</c:v>
                </c:pt>
                <c:pt idx="6">
                  <c:v>194</c:v>
                </c:pt>
              </c:numCache>
            </c:numRef>
          </c:val>
        </c:ser>
        <c:ser>
          <c:idx val="1"/>
          <c:order val="1"/>
          <c:tx>
            <c:strRef>
              <c:f>'Table 2'!$AT$28</c:f>
              <c:strCache>
                <c:ptCount val="1"/>
                <c:pt idx="0">
                  <c:v>Partner</c:v>
                </c:pt>
              </c:strCache>
            </c:strRef>
          </c:tx>
          <c:spPr>
            <a:pattFill prst="pct75">
              <a:fgClr>
                <a:schemeClr val="tx1"/>
              </a:fgClr>
              <a:bgClr>
                <a:schemeClr val="bg1"/>
              </a:bgClr>
            </a:pattFill>
            <a:ln>
              <a:solidFill>
                <a:schemeClr val="tx1"/>
              </a:solidFill>
            </a:ln>
            <a:effectLst/>
          </c:spPr>
          <c:invertIfNegative val="0"/>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4"/>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0">
                <a:spAutoFit/>
              </a:bodyPr>
              <a:lstStyle/>
              <a:p>
                <a:pPr algn="ctr">
                  <a:defRPr lang="en-AU"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2'!$AR$29:$AR$35</c:f>
              <c:strCache>
                <c:ptCount val="7"/>
                <c:pt idx="0">
                  <c:v>Males 0 to 9</c:v>
                </c:pt>
                <c:pt idx="1">
                  <c:v>Males 10 to 14</c:v>
                </c:pt>
                <c:pt idx="2">
                  <c:v>Males 15 to 17</c:v>
                </c:pt>
                <c:pt idx="4">
                  <c:v>Females 0 to 9</c:v>
                </c:pt>
                <c:pt idx="5">
                  <c:v>Females 10 to 14</c:v>
                </c:pt>
                <c:pt idx="6">
                  <c:v>Females 15 to 17</c:v>
                </c:pt>
              </c:strCache>
            </c:strRef>
          </c:cat>
          <c:val>
            <c:numRef>
              <c:f>'Table 2'!$AT$29:$AT$35</c:f>
              <c:numCache>
                <c:formatCode>General</c:formatCode>
                <c:ptCount val="7"/>
                <c:pt idx="0">
                  <c:v>0</c:v>
                </c:pt>
                <c:pt idx="1">
                  <c:v>0</c:v>
                </c:pt>
                <c:pt idx="2">
                  <c:v>12</c:v>
                </c:pt>
                <c:pt idx="4">
                  <c:v>0</c:v>
                </c:pt>
                <c:pt idx="5">
                  <c:v>3</c:v>
                </c:pt>
                <c:pt idx="6">
                  <c:v>138</c:v>
                </c:pt>
              </c:numCache>
            </c:numRef>
          </c:val>
        </c:ser>
        <c:ser>
          <c:idx val="2"/>
          <c:order val="2"/>
          <c:tx>
            <c:strRef>
              <c:f>'Table 2'!$AU$28</c:f>
              <c:strCache>
                <c:ptCount val="1"/>
                <c:pt idx="0">
                  <c:v>Sibling</c:v>
                </c:pt>
              </c:strCache>
            </c:strRef>
          </c:tx>
          <c:spPr>
            <a:solidFill>
              <a:schemeClr val="bg1">
                <a:lumMod val="50000"/>
              </a:schemeClr>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2'!$AR$29:$AR$35</c:f>
              <c:strCache>
                <c:ptCount val="7"/>
                <c:pt idx="0">
                  <c:v>Males 0 to 9</c:v>
                </c:pt>
                <c:pt idx="1">
                  <c:v>Males 10 to 14</c:v>
                </c:pt>
                <c:pt idx="2">
                  <c:v>Males 15 to 17</c:v>
                </c:pt>
                <c:pt idx="4">
                  <c:v>Females 0 to 9</c:v>
                </c:pt>
                <c:pt idx="5">
                  <c:v>Females 10 to 14</c:v>
                </c:pt>
                <c:pt idx="6">
                  <c:v>Females 15 to 17</c:v>
                </c:pt>
              </c:strCache>
            </c:strRef>
          </c:cat>
          <c:val>
            <c:numRef>
              <c:f>'Table 2'!$AU$29:$AU$35</c:f>
              <c:numCache>
                <c:formatCode>General</c:formatCode>
                <c:ptCount val="7"/>
                <c:pt idx="0">
                  <c:v>10</c:v>
                </c:pt>
                <c:pt idx="1">
                  <c:v>20</c:v>
                </c:pt>
                <c:pt idx="2">
                  <c:v>41</c:v>
                </c:pt>
                <c:pt idx="4">
                  <c:v>3</c:v>
                </c:pt>
                <c:pt idx="5">
                  <c:v>37</c:v>
                </c:pt>
                <c:pt idx="6">
                  <c:v>56</c:v>
                </c:pt>
              </c:numCache>
            </c:numRef>
          </c:val>
        </c:ser>
        <c:ser>
          <c:idx val="3"/>
          <c:order val="3"/>
          <c:tx>
            <c:strRef>
              <c:f>'Table 2'!$AV$28</c:f>
              <c:strCache>
                <c:ptCount val="1"/>
                <c:pt idx="0">
                  <c:v>Other family member</c:v>
                </c:pt>
              </c:strCache>
            </c:strRef>
          </c:tx>
          <c:spPr>
            <a:pattFill prst="ltDnDiag">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2'!$AR$29:$AR$35</c:f>
              <c:strCache>
                <c:ptCount val="7"/>
                <c:pt idx="0">
                  <c:v>Males 0 to 9</c:v>
                </c:pt>
                <c:pt idx="1">
                  <c:v>Males 10 to 14</c:v>
                </c:pt>
                <c:pt idx="2">
                  <c:v>Males 15 to 17</c:v>
                </c:pt>
                <c:pt idx="4">
                  <c:v>Females 0 to 9</c:v>
                </c:pt>
                <c:pt idx="5">
                  <c:v>Females 10 to 14</c:v>
                </c:pt>
                <c:pt idx="6">
                  <c:v>Females 15 to 17</c:v>
                </c:pt>
              </c:strCache>
            </c:strRef>
          </c:cat>
          <c:val>
            <c:numRef>
              <c:f>'Table 2'!$AV$29:$AV$35</c:f>
              <c:numCache>
                <c:formatCode>General</c:formatCode>
                <c:ptCount val="7"/>
                <c:pt idx="0">
                  <c:v>22</c:v>
                </c:pt>
                <c:pt idx="1">
                  <c:v>21</c:v>
                </c:pt>
                <c:pt idx="2">
                  <c:v>18</c:v>
                </c:pt>
                <c:pt idx="4">
                  <c:v>10</c:v>
                </c:pt>
                <c:pt idx="5">
                  <c:v>13</c:v>
                </c:pt>
                <c:pt idx="6">
                  <c:v>15</c:v>
                </c:pt>
              </c:numCache>
            </c:numRef>
          </c:val>
        </c:ser>
        <c:ser>
          <c:idx val="4"/>
          <c:order val="4"/>
          <c:tx>
            <c:strRef>
              <c:f>'Table 2'!$AW$28</c:f>
              <c:strCache>
                <c:ptCount val="1"/>
                <c:pt idx="0">
                  <c:v>Non-family member</c:v>
                </c:pt>
              </c:strCache>
            </c:strRef>
          </c:tx>
          <c:spPr>
            <a:solidFill>
              <a:schemeClr val="tx1"/>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2'!$AR$29:$AR$35</c:f>
              <c:strCache>
                <c:ptCount val="7"/>
                <c:pt idx="0">
                  <c:v>Males 0 to 9</c:v>
                </c:pt>
                <c:pt idx="1">
                  <c:v>Males 10 to 14</c:v>
                </c:pt>
                <c:pt idx="2">
                  <c:v>Males 15 to 17</c:v>
                </c:pt>
                <c:pt idx="4">
                  <c:v>Females 0 to 9</c:v>
                </c:pt>
                <c:pt idx="5">
                  <c:v>Females 10 to 14</c:v>
                </c:pt>
                <c:pt idx="6">
                  <c:v>Females 15 to 17</c:v>
                </c:pt>
              </c:strCache>
            </c:strRef>
          </c:cat>
          <c:val>
            <c:numRef>
              <c:f>'Table 2'!$AW$29:$AW$35</c:f>
              <c:numCache>
                <c:formatCode>General</c:formatCode>
                <c:ptCount val="7"/>
                <c:pt idx="0">
                  <c:v>44</c:v>
                </c:pt>
                <c:pt idx="1">
                  <c:v>101</c:v>
                </c:pt>
                <c:pt idx="2">
                  <c:v>210</c:v>
                </c:pt>
                <c:pt idx="4">
                  <c:v>20</c:v>
                </c:pt>
                <c:pt idx="5">
                  <c:v>62</c:v>
                </c:pt>
                <c:pt idx="6">
                  <c:v>266</c:v>
                </c:pt>
              </c:numCache>
            </c:numRef>
          </c:val>
        </c:ser>
        <c:ser>
          <c:idx val="5"/>
          <c:order val="5"/>
          <c:tx>
            <c:strRef>
              <c:f>'Table 2'!$AX$28</c:f>
              <c:strCache>
                <c:ptCount val="1"/>
                <c:pt idx="0">
                  <c:v>Stranger</c:v>
                </c:pt>
              </c:strCache>
            </c:strRef>
          </c:tx>
          <c:spPr>
            <a:solidFill>
              <a:schemeClr val="bg1">
                <a:lumMod val="85000"/>
              </a:schemeClr>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2'!$AR$29:$AR$35</c:f>
              <c:strCache>
                <c:ptCount val="7"/>
                <c:pt idx="0">
                  <c:v>Males 0 to 9</c:v>
                </c:pt>
                <c:pt idx="1">
                  <c:v>Males 10 to 14</c:v>
                </c:pt>
                <c:pt idx="2">
                  <c:v>Males 15 to 17</c:v>
                </c:pt>
                <c:pt idx="4">
                  <c:v>Females 0 to 9</c:v>
                </c:pt>
                <c:pt idx="5">
                  <c:v>Females 10 to 14</c:v>
                </c:pt>
                <c:pt idx="6">
                  <c:v>Females 15 to 17</c:v>
                </c:pt>
              </c:strCache>
            </c:strRef>
          </c:cat>
          <c:val>
            <c:numRef>
              <c:f>'Table 2'!$AX$29:$AX$35</c:f>
              <c:numCache>
                <c:formatCode>General</c:formatCode>
                <c:ptCount val="7"/>
                <c:pt idx="0">
                  <c:v>8</c:v>
                </c:pt>
                <c:pt idx="1">
                  <c:v>21</c:v>
                </c:pt>
                <c:pt idx="2">
                  <c:v>98</c:v>
                </c:pt>
                <c:pt idx="4">
                  <c:v>10</c:v>
                </c:pt>
                <c:pt idx="5">
                  <c:v>11</c:v>
                </c:pt>
                <c:pt idx="6">
                  <c:v>51</c:v>
                </c:pt>
              </c:numCache>
            </c:numRef>
          </c:val>
        </c:ser>
        <c:dLbls>
          <c:showLegendKey val="0"/>
          <c:showVal val="0"/>
          <c:showCatName val="0"/>
          <c:showSerName val="0"/>
          <c:showPercent val="0"/>
          <c:showBubbleSize val="0"/>
        </c:dLbls>
        <c:gapWidth val="219"/>
        <c:overlap val="-27"/>
        <c:axId val="49812256"/>
        <c:axId val="49812648"/>
      </c:barChart>
      <c:catAx>
        <c:axId val="4981225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49812648"/>
        <c:crosses val="autoZero"/>
        <c:auto val="1"/>
        <c:lblAlgn val="ctr"/>
        <c:lblOffset val="100"/>
        <c:noMultiLvlLbl val="0"/>
      </c:catAx>
      <c:valAx>
        <c:axId val="4981264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4981225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solidFill>
                  <a:sysClr val="windowText" lastClr="000000"/>
                </a:solidFill>
              </a:rPr>
              <a:t>Figure 6: Number of child victims of physical assault where Aboriginal and Torres Strait Islander status is unknown, by offender type, by the victim's sex and by the victim's age (South Australia, 2010-2013)</a:t>
            </a:r>
          </a:p>
        </c:rich>
      </c:tx>
      <c:overlay val="0"/>
      <c:spPr>
        <a:noFill/>
        <a:ln>
          <a:noFill/>
        </a:ln>
        <a:effectLst/>
      </c:spPr>
    </c:title>
    <c:autoTitleDeleted val="0"/>
    <c:plotArea>
      <c:layout/>
      <c:barChart>
        <c:barDir val="col"/>
        <c:grouping val="clustered"/>
        <c:varyColors val="0"/>
        <c:ser>
          <c:idx val="0"/>
          <c:order val="0"/>
          <c:tx>
            <c:strRef>
              <c:f>'Table 2'!$AV$45</c:f>
              <c:strCache>
                <c:ptCount val="1"/>
                <c:pt idx="0">
                  <c:v>Parent</c:v>
                </c:pt>
              </c:strCache>
            </c:strRef>
          </c:tx>
          <c:spPr>
            <a:pattFill prst="pct20">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2'!$AU$46:$AU$48,'Table 2'!$AU$50,'Table 2'!$AU$51:$AU$53)</c:f>
              <c:strCache>
                <c:ptCount val="7"/>
                <c:pt idx="0">
                  <c:v>Males 0 to 9</c:v>
                </c:pt>
                <c:pt idx="1">
                  <c:v>Males 10 to 14</c:v>
                </c:pt>
                <c:pt idx="2">
                  <c:v>Males 15 to 17</c:v>
                </c:pt>
                <c:pt idx="4">
                  <c:v>Females 0 to 9</c:v>
                </c:pt>
                <c:pt idx="5">
                  <c:v>Females 10 to 14</c:v>
                </c:pt>
                <c:pt idx="6">
                  <c:v>Females 15 to 17</c:v>
                </c:pt>
              </c:strCache>
            </c:strRef>
          </c:cat>
          <c:val>
            <c:numRef>
              <c:f>('Table 2'!$AV$46:$AV$48,'Table 2'!$AV$50,'Table 2'!$AV$51:$AV$53)</c:f>
              <c:numCache>
                <c:formatCode>General</c:formatCode>
                <c:ptCount val="7"/>
                <c:pt idx="0">
                  <c:v>12</c:v>
                </c:pt>
                <c:pt idx="1">
                  <c:v>3</c:v>
                </c:pt>
                <c:pt idx="2">
                  <c:v>3</c:v>
                </c:pt>
                <c:pt idx="4">
                  <c:v>8</c:v>
                </c:pt>
                <c:pt idx="5">
                  <c:v>10</c:v>
                </c:pt>
                <c:pt idx="6">
                  <c:v>3</c:v>
                </c:pt>
              </c:numCache>
            </c:numRef>
          </c:val>
        </c:ser>
        <c:ser>
          <c:idx val="1"/>
          <c:order val="1"/>
          <c:tx>
            <c:strRef>
              <c:f>'Table 2'!$AW$45</c:f>
              <c:strCache>
                <c:ptCount val="1"/>
                <c:pt idx="0">
                  <c:v>Partner</c:v>
                </c:pt>
              </c:strCache>
            </c:strRef>
          </c:tx>
          <c:spPr>
            <a:pattFill prst="pct75">
              <a:fgClr>
                <a:schemeClr val="tx1"/>
              </a:fgClr>
              <a:bgClr>
                <a:schemeClr val="bg1"/>
              </a:bgClr>
            </a:pattFill>
            <a:ln>
              <a:solidFill>
                <a:schemeClr val="tx1"/>
              </a:solidFill>
            </a:ln>
            <a:effectLst/>
          </c:spPr>
          <c:invertIfNegative val="0"/>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2"/>
              <c:delete val="1"/>
              <c:extLst>
                <c:ext xmlns:c15="http://schemas.microsoft.com/office/drawing/2012/chart" uri="{CE6537A1-D6FC-4f65-9D91-7224C49458BB}"/>
              </c:extLst>
            </c:dLbl>
            <c:dLbl>
              <c:idx val="4"/>
              <c:delete val="1"/>
              <c:extLst>
                <c:ext xmlns:c15="http://schemas.microsoft.com/office/drawing/2012/chart" uri="{CE6537A1-D6FC-4f65-9D91-7224C49458BB}"/>
              </c:extLst>
            </c:dLbl>
            <c:dLbl>
              <c:idx val="5"/>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0">
                <a:spAutoFit/>
              </a:bodyPr>
              <a:lstStyle/>
              <a:p>
                <a:pPr algn="ctr">
                  <a:defRPr lang="en-AU"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2'!$AU$46:$AU$48,'Table 2'!$AU$50,'Table 2'!$AU$51:$AU$53)</c:f>
              <c:strCache>
                <c:ptCount val="7"/>
                <c:pt idx="0">
                  <c:v>Males 0 to 9</c:v>
                </c:pt>
                <c:pt idx="1">
                  <c:v>Males 10 to 14</c:v>
                </c:pt>
                <c:pt idx="2">
                  <c:v>Males 15 to 17</c:v>
                </c:pt>
                <c:pt idx="4">
                  <c:v>Females 0 to 9</c:v>
                </c:pt>
                <c:pt idx="5">
                  <c:v>Females 10 to 14</c:v>
                </c:pt>
                <c:pt idx="6">
                  <c:v>Females 15 to 17</c:v>
                </c:pt>
              </c:strCache>
            </c:strRef>
          </c:cat>
          <c:val>
            <c:numRef>
              <c:f>('Table 2'!$AW$46:$AW$48,'Table 2'!$AW$50,'Table 2'!$AW$51:$AW$53)</c:f>
              <c:numCache>
                <c:formatCode>General</c:formatCode>
                <c:ptCount val="7"/>
                <c:pt idx="0">
                  <c:v>0</c:v>
                </c:pt>
                <c:pt idx="1">
                  <c:v>0</c:v>
                </c:pt>
                <c:pt idx="2">
                  <c:v>0</c:v>
                </c:pt>
                <c:pt idx="4">
                  <c:v>0</c:v>
                </c:pt>
                <c:pt idx="5">
                  <c:v>0</c:v>
                </c:pt>
                <c:pt idx="6">
                  <c:v>6</c:v>
                </c:pt>
              </c:numCache>
            </c:numRef>
          </c:val>
        </c:ser>
        <c:ser>
          <c:idx val="2"/>
          <c:order val="2"/>
          <c:tx>
            <c:strRef>
              <c:f>'Table 2'!$AX$45</c:f>
              <c:strCache>
                <c:ptCount val="1"/>
                <c:pt idx="0">
                  <c:v>Sibling</c:v>
                </c:pt>
              </c:strCache>
            </c:strRef>
          </c:tx>
          <c:spPr>
            <a:solidFill>
              <a:schemeClr val="bg1">
                <a:lumMod val="50000"/>
              </a:schemeClr>
            </a:solidFill>
            <a:ln>
              <a:solidFill>
                <a:schemeClr val="tx1"/>
              </a:solidFill>
            </a:ln>
            <a:effectLst/>
          </c:spPr>
          <c:invertIfNegative val="0"/>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2"/>
              <c:delete val="1"/>
              <c:extLst>
                <c:ext xmlns:c15="http://schemas.microsoft.com/office/drawing/2012/chart" uri="{CE6537A1-D6FC-4f65-9D91-7224C49458BB}"/>
              </c:extLst>
            </c:dLbl>
            <c:dLbl>
              <c:idx val="4"/>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2'!$AU$46:$AU$48,'Table 2'!$AU$50,'Table 2'!$AU$51:$AU$53)</c:f>
              <c:strCache>
                <c:ptCount val="7"/>
                <c:pt idx="0">
                  <c:v>Males 0 to 9</c:v>
                </c:pt>
                <c:pt idx="1">
                  <c:v>Males 10 to 14</c:v>
                </c:pt>
                <c:pt idx="2">
                  <c:v>Males 15 to 17</c:v>
                </c:pt>
                <c:pt idx="4">
                  <c:v>Females 0 to 9</c:v>
                </c:pt>
                <c:pt idx="5">
                  <c:v>Females 10 to 14</c:v>
                </c:pt>
                <c:pt idx="6">
                  <c:v>Females 15 to 17</c:v>
                </c:pt>
              </c:strCache>
            </c:strRef>
          </c:cat>
          <c:val>
            <c:numRef>
              <c:f>('Table 2'!$AX$46:$AX$48,'Table 2'!$AX$50,'Table 2'!$AX$51:$AX$53)</c:f>
              <c:numCache>
                <c:formatCode>General</c:formatCode>
                <c:ptCount val="7"/>
                <c:pt idx="0">
                  <c:v>0</c:v>
                </c:pt>
                <c:pt idx="1">
                  <c:v>0</c:v>
                </c:pt>
                <c:pt idx="2">
                  <c:v>0</c:v>
                </c:pt>
                <c:pt idx="4">
                  <c:v>0</c:v>
                </c:pt>
                <c:pt idx="5">
                  <c:v>6</c:v>
                </c:pt>
                <c:pt idx="6">
                  <c:v>3</c:v>
                </c:pt>
              </c:numCache>
            </c:numRef>
          </c:val>
        </c:ser>
        <c:ser>
          <c:idx val="3"/>
          <c:order val="3"/>
          <c:tx>
            <c:strRef>
              <c:f>'Table 2'!$AY$45</c:f>
              <c:strCache>
                <c:ptCount val="1"/>
                <c:pt idx="0">
                  <c:v>Other family member</c:v>
                </c:pt>
              </c:strCache>
            </c:strRef>
          </c:tx>
          <c:spPr>
            <a:pattFill prst="ltDnDiag">
              <a:fgClr>
                <a:schemeClr val="tx1"/>
              </a:fgClr>
              <a:bgClr>
                <a:schemeClr val="bg1"/>
              </a:bgClr>
            </a:pattFill>
            <a:ln>
              <a:solidFill>
                <a:schemeClr val="tx1"/>
              </a:solidFill>
            </a:ln>
            <a:effectLst/>
          </c:spPr>
          <c:invertIfNegative val="0"/>
          <c:dLbls>
            <c:dLbl>
              <c:idx val="1"/>
              <c:delete val="1"/>
              <c:extLst>
                <c:ext xmlns:c15="http://schemas.microsoft.com/office/drawing/2012/chart" uri="{CE6537A1-D6FC-4f65-9D91-7224C49458BB}"/>
              </c:extLst>
            </c:dLbl>
            <c:dLbl>
              <c:idx val="2"/>
              <c:delete val="1"/>
              <c:extLst>
                <c:ext xmlns:c15="http://schemas.microsoft.com/office/drawing/2012/chart" uri="{CE6537A1-D6FC-4f65-9D91-7224C49458BB}"/>
              </c:extLst>
            </c:dLbl>
            <c:dLbl>
              <c:idx val="4"/>
              <c:delete val="1"/>
              <c:extLst>
                <c:ext xmlns:c15="http://schemas.microsoft.com/office/drawing/2012/chart" uri="{CE6537A1-D6FC-4f65-9D91-7224C49458BB}"/>
              </c:extLst>
            </c:dLbl>
            <c:dLbl>
              <c:idx val="5"/>
              <c:delete val="1"/>
              <c:extLst>
                <c:ext xmlns:c15="http://schemas.microsoft.com/office/drawing/2012/chart" uri="{CE6537A1-D6FC-4f65-9D91-7224C49458BB}"/>
              </c:extLst>
            </c:dLbl>
            <c:dLbl>
              <c:idx val="6"/>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2'!$AU$46:$AU$48,'Table 2'!$AU$50,'Table 2'!$AU$51:$AU$53)</c:f>
              <c:strCache>
                <c:ptCount val="7"/>
                <c:pt idx="0">
                  <c:v>Males 0 to 9</c:v>
                </c:pt>
                <c:pt idx="1">
                  <c:v>Males 10 to 14</c:v>
                </c:pt>
                <c:pt idx="2">
                  <c:v>Males 15 to 17</c:v>
                </c:pt>
                <c:pt idx="4">
                  <c:v>Females 0 to 9</c:v>
                </c:pt>
                <c:pt idx="5">
                  <c:v>Females 10 to 14</c:v>
                </c:pt>
                <c:pt idx="6">
                  <c:v>Females 15 to 17</c:v>
                </c:pt>
              </c:strCache>
            </c:strRef>
          </c:cat>
          <c:val>
            <c:numRef>
              <c:f>('Table 2'!$AY$46:$AY$48,'Table 2'!$AY$50,'Table 2'!$AY$51:$AY$53)</c:f>
              <c:numCache>
                <c:formatCode>General</c:formatCode>
                <c:ptCount val="7"/>
                <c:pt idx="0">
                  <c:v>3</c:v>
                </c:pt>
                <c:pt idx="1">
                  <c:v>0</c:v>
                </c:pt>
                <c:pt idx="2">
                  <c:v>0</c:v>
                </c:pt>
                <c:pt idx="4">
                  <c:v>0</c:v>
                </c:pt>
                <c:pt idx="5">
                  <c:v>0</c:v>
                </c:pt>
                <c:pt idx="6">
                  <c:v>0</c:v>
                </c:pt>
              </c:numCache>
            </c:numRef>
          </c:val>
        </c:ser>
        <c:ser>
          <c:idx val="4"/>
          <c:order val="4"/>
          <c:tx>
            <c:strRef>
              <c:f>'Table 2'!$AZ$45</c:f>
              <c:strCache>
                <c:ptCount val="1"/>
                <c:pt idx="0">
                  <c:v>Non-family member</c:v>
                </c:pt>
              </c:strCache>
            </c:strRef>
          </c:tx>
          <c:spPr>
            <a:solidFill>
              <a:schemeClr val="tx1"/>
            </a:solidFill>
            <a:ln>
              <a:solidFill>
                <a:schemeClr val="tx1"/>
              </a:solidFill>
            </a:ln>
            <a:effectLst/>
          </c:spPr>
          <c:invertIfNegative val="0"/>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5"/>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2'!$AU$46:$AU$48,'Table 2'!$AU$50,'Table 2'!$AU$51:$AU$53)</c:f>
              <c:strCache>
                <c:ptCount val="7"/>
                <c:pt idx="0">
                  <c:v>Males 0 to 9</c:v>
                </c:pt>
                <c:pt idx="1">
                  <c:v>Males 10 to 14</c:v>
                </c:pt>
                <c:pt idx="2">
                  <c:v>Males 15 to 17</c:v>
                </c:pt>
                <c:pt idx="4">
                  <c:v>Females 0 to 9</c:v>
                </c:pt>
                <c:pt idx="5">
                  <c:v>Females 10 to 14</c:v>
                </c:pt>
                <c:pt idx="6">
                  <c:v>Females 15 to 17</c:v>
                </c:pt>
              </c:strCache>
            </c:strRef>
          </c:cat>
          <c:val>
            <c:numRef>
              <c:f>('Table 2'!$AZ$46:$AZ$48,'Table 2'!$AZ$50,'Table 2'!$AZ$51:$AZ$53)</c:f>
              <c:numCache>
                <c:formatCode>General</c:formatCode>
                <c:ptCount val="7"/>
                <c:pt idx="0">
                  <c:v>0</c:v>
                </c:pt>
                <c:pt idx="1">
                  <c:v>0</c:v>
                </c:pt>
                <c:pt idx="2">
                  <c:v>7</c:v>
                </c:pt>
                <c:pt idx="4">
                  <c:v>6</c:v>
                </c:pt>
                <c:pt idx="5">
                  <c:v>0</c:v>
                </c:pt>
                <c:pt idx="6">
                  <c:v>6</c:v>
                </c:pt>
              </c:numCache>
            </c:numRef>
          </c:val>
        </c:ser>
        <c:ser>
          <c:idx val="5"/>
          <c:order val="5"/>
          <c:tx>
            <c:strRef>
              <c:f>'Table 2'!$BA$45</c:f>
              <c:strCache>
                <c:ptCount val="1"/>
                <c:pt idx="0">
                  <c:v>Stranger</c:v>
                </c:pt>
              </c:strCache>
            </c:strRef>
          </c:tx>
          <c:spPr>
            <a:solidFill>
              <a:schemeClr val="bg1">
                <a:lumMod val="85000"/>
              </a:schemeClr>
            </a:solidFill>
            <a:ln>
              <a:solidFill>
                <a:schemeClr val="tx1"/>
              </a:solidFill>
            </a:ln>
            <a:effectLst/>
          </c:spPr>
          <c:invertIfNegative val="0"/>
          <c:dLbls>
            <c:dLbl>
              <c:idx val="4"/>
              <c:delete val="1"/>
              <c:extLst>
                <c:ext xmlns:c15="http://schemas.microsoft.com/office/drawing/2012/chart" uri="{CE6537A1-D6FC-4f65-9D91-7224C49458BB}"/>
              </c:extLst>
            </c:dLbl>
            <c:dLbl>
              <c:idx val="5"/>
              <c:delete val="1"/>
              <c:extLst>
                <c:ext xmlns:c15="http://schemas.microsoft.com/office/drawing/2012/chart" uri="{CE6537A1-D6FC-4f65-9D91-7224C49458BB}"/>
              </c:extLst>
            </c:dLbl>
            <c:dLbl>
              <c:idx val="6"/>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2'!$AU$46:$AU$48,'Table 2'!$AU$50,'Table 2'!$AU$51:$AU$53)</c:f>
              <c:strCache>
                <c:ptCount val="7"/>
                <c:pt idx="0">
                  <c:v>Males 0 to 9</c:v>
                </c:pt>
                <c:pt idx="1">
                  <c:v>Males 10 to 14</c:v>
                </c:pt>
                <c:pt idx="2">
                  <c:v>Males 15 to 17</c:v>
                </c:pt>
                <c:pt idx="4">
                  <c:v>Females 0 to 9</c:v>
                </c:pt>
                <c:pt idx="5">
                  <c:v>Females 10 to 14</c:v>
                </c:pt>
                <c:pt idx="6">
                  <c:v>Females 15 to 17</c:v>
                </c:pt>
              </c:strCache>
            </c:strRef>
          </c:cat>
          <c:val>
            <c:numRef>
              <c:f>('Table 2'!$BA$46:$BA$48,'Table 2'!$BA$50,'Table 2'!$BA$51:$BA$53)</c:f>
              <c:numCache>
                <c:formatCode>General</c:formatCode>
                <c:ptCount val="7"/>
                <c:pt idx="0">
                  <c:v>3</c:v>
                </c:pt>
                <c:pt idx="1">
                  <c:v>3</c:v>
                </c:pt>
                <c:pt idx="2">
                  <c:v>6</c:v>
                </c:pt>
                <c:pt idx="4">
                  <c:v>0</c:v>
                </c:pt>
                <c:pt idx="5">
                  <c:v>0</c:v>
                </c:pt>
                <c:pt idx="6">
                  <c:v>0</c:v>
                </c:pt>
              </c:numCache>
            </c:numRef>
          </c:val>
        </c:ser>
        <c:dLbls>
          <c:showLegendKey val="0"/>
          <c:showVal val="0"/>
          <c:showCatName val="0"/>
          <c:showSerName val="0"/>
          <c:showPercent val="0"/>
          <c:showBubbleSize val="0"/>
        </c:dLbls>
        <c:gapWidth val="219"/>
        <c:overlap val="-27"/>
        <c:axId val="49813432"/>
        <c:axId val="49813824"/>
      </c:barChart>
      <c:catAx>
        <c:axId val="4981343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49813824"/>
        <c:crosses val="autoZero"/>
        <c:auto val="1"/>
        <c:lblAlgn val="ctr"/>
        <c:lblOffset val="100"/>
        <c:noMultiLvlLbl val="0"/>
      </c:catAx>
      <c:valAx>
        <c:axId val="4981382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4981343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solidFill>
                  <a:sysClr val="windowText" lastClr="000000"/>
                </a:solidFill>
              </a:rPr>
              <a:t>Figure 7: Number of Aboriginal and Torres Strait Islander child victims of physical assault, by offender type, by the victim's sex and by the victim's age (Northern Territory, 2010-2013)</a:t>
            </a:r>
          </a:p>
        </c:rich>
      </c:tx>
      <c:overlay val="0"/>
      <c:spPr>
        <a:noFill/>
        <a:ln>
          <a:noFill/>
        </a:ln>
        <a:effectLst/>
      </c:spPr>
    </c:title>
    <c:autoTitleDeleted val="0"/>
    <c:plotArea>
      <c:layout/>
      <c:barChart>
        <c:barDir val="col"/>
        <c:grouping val="clustered"/>
        <c:varyColors val="0"/>
        <c:ser>
          <c:idx val="0"/>
          <c:order val="0"/>
          <c:tx>
            <c:strRef>
              <c:f>'Table 3'!$AQ$11</c:f>
              <c:strCache>
                <c:ptCount val="1"/>
                <c:pt idx="0">
                  <c:v>Parent</c:v>
                </c:pt>
              </c:strCache>
            </c:strRef>
          </c:tx>
          <c:spPr>
            <a:pattFill prst="pct20">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3'!$AP$12:$AP$14,'Table 3'!$AP$16:$AP$19)</c:f>
              <c:strCache>
                <c:ptCount val="7"/>
                <c:pt idx="0">
                  <c:v>Males 0 to 9</c:v>
                </c:pt>
                <c:pt idx="1">
                  <c:v>Males 10 to 14</c:v>
                </c:pt>
                <c:pt idx="2">
                  <c:v>Males 15 to 17</c:v>
                </c:pt>
                <c:pt idx="4">
                  <c:v>Females 0 to 9</c:v>
                </c:pt>
                <c:pt idx="5">
                  <c:v>Females 10 to 14</c:v>
                </c:pt>
                <c:pt idx="6">
                  <c:v>Females 15 to 17</c:v>
                </c:pt>
              </c:strCache>
            </c:strRef>
          </c:cat>
          <c:val>
            <c:numRef>
              <c:f>('Table 3'!$AQ$12:$AQ$14,'Table 3'!$AQ$16:$AQ$19)</c:f>
              <c:numCache>
                <c:formatCode>General</c:formatCode>
                <c:ptCount val="7"/>
                <c:pt idx="0">
                  <c:v>42</c:v>
                </c:pt>
                <c:pt idx="1">
                  <c:v>18</c:v>
                </c:pt>
                <c:pt idx="2">
                  <c:v>6</c:v>
                </c:pt>
                <c:pt idx="4">
                  <c:v>25</c:v>
                </c:pt>
                <c:pt idx="5">
                  <c:v>21</c:v>
                </c:pt>
                <c:pt idx="6">
                  <c:v>13</c:v>
                </c:pt>
              </c:numCache>
            </c:numRef>
          </c:val>
        </c:ser>
        <c:ser>
          <c:idx val="1"/>
          <c:order val="1"/>
          <c:tx>
            <c:strRef>
              <c:f>'Table 3'!$AR$11</c:f>
              <c:strCache>
                <c:ptCount val="1"/>
                <c:pt idx="0">
                  <c:v>Partner</c:v>
                </c:pt>
              </c:strCache>
            </c:strRef>
          </c:tx>
          <c:spPr>
            <a:pattFill prst="pct75">
              <a:fgClr>
                <a:schemeClr val="tx1"/>
              </a:fgClr>
              <a:bgClr>
                <a:schemeClr val="bg1"/>
              </a:bgClr>
            </a:pattFill>
            <a:ln>
              <a:solidFill>
                <a:schemeClr val="tx1"/>
              </a:solidFill>
            </a:ln>
            <a:effectLst/>
          </c:spPr>
          <c:invertIfNegative val="0"/>
          <c:dLbls>
            <c:dLbl>
              <c:idx val="0"/>
              <c:delete val="1"/>
              <c:extLst>
                <c:ext xmlns:c15="http://schemas.microsoft.com/office/drawing/2012/chart" uri="{CE6537A1-D6FC-4f65-9D91-7224C49458BB}"/>
              </c:extLst>
            </c:dLbl>
            <c:dLbl>
              <c:idx val="4"/>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0">
                <a:spAutoFit/>
              </a:bodyPr>
              <a:lstStyle/>
              <a:p>
                <a:pPr algn="ctr">
                  <a:defRPr lang="en-AU"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3'!$AP$12:$AP$14,'Table 3'!$AP$16:$AP$19)</c:f>
              <c:strCache>
                <c:ptCount val="7"/>
                <c:pt idx="0">
                  <c:v>Males 0 to 9</c:v>
                </c:pt>
                <c:pt idx="1">
                  <c:v>Males 10 to 14</c:v>
                </c:pt>
                <c:pt idx="2">
                  <c:v>Males 15 to 17</c:v>
                </c:pt>
                <c:pt idx="4">
                  <c:v>Females 0 to 9</c:v>
                </c:pt>
                <c:pt idx="5">
                  <c:v>Females 10 to 14</c:v>
                </c:pt>
                <c:pt idx="6">
                  <c:v>Females 15 to 17</c:v>
                </c:pt>
              </c:strCache>
            </c:strRef>
          </c:cat>
          <c:val>
            <c:numRef>
              <c:f>('Table 3'!$AR$12:$AR$14,'Table 3'!$AR$16:$AR$19)</c:f>
              <c:numCache>
                <c:formatCode>General</c:formatCode>
                <c:ptCount val="7"/>
                <c:pt idx="0">
                  <c:v>0</c:v>
                </c:pt>
                <c:pt idx="1">
                  <c:v>3</c:v>
                </c:pt>
                <c:pt idx="2">
                  <c:v>4</c:v>
                </c:pt>
                <c:pt idx="4">
                  <c:v>0</c:v>
                </c:pt>
                <c:pt idx="5">
                  <c:v>17</c:v>
                </c:pt>
                <c:pt idx="6">
                  <c:v>157</c:v>
                </c:pt>
              </c:numCache>
            </c:numRef>
          </c:val>
        </c:ser>
        <c:ser>
          <c:idx val="2"/>
          <c:order val="2"/>
          <c:tx>
            <c:strRef>
              <c:f>'Table 3'!$AS$11</c:f>
              <c:strCache>
                <c:ptCount val="1"/>
                <c:pt idx="0">
                  <c:v>Other family member</c:v>
                </c:pt>
              </c:strCache>
            </c:strRef>
          </c:tx>
          <c:spPr>
            <a:solidFill>
              <a:schemeClr val="bg1">
                <a:lumMod val="50000"/>
              </a:schemeClr>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3'!$AP$12:$AP$14,'Table 3'!$AP$16:$AP$19)</c:f>
              <c:strCache>
                <c:ptCount val="7"/>
                <c:pt idx="0">
                  <c:v>Males 0 to 9</c:v>
                </c:pt>
                <c:pt idx="1">
                  <c:v>Males 10 to 14</c:v>
                </c:pt>
                <c:pt idx="2">
                  <c:v>Males 15 to 17</c:v>
                </c:pt>
                <c:pt idx="4">
                  <c:v>Females 0 to 9</c:v>
                </c:pt>
                <c:pt idx="5">
                  <c:v>Females 10 to 14</c:v>
                </c:pt>
                <c:pt idx="6">
                  <c:v>Females 15 to 17</c:v>
                </c:pt>
              </c:strCache>
            </c:strRef>
          </c:cat>
          <c:val>
            <c:numRef>
              <c:f>('Table 3'!$AS$12:$AS$14,'Table 3'!$AS$16:$AS$19)</c:f>
              <c:numCache>
                <c:formatCode>General</c:formatCode>
                <c:ptCount val="7"/>
                <c:pt idx="0">
                  <c:v>44</c:v>
                </c:pt>
                <c:pt idx="1">
                  <c:v>17</c:v>
                </c:pt>
                <c:pt idx="2">
                  <c:v>12</c:v>
                </c:pt>
                <c:pt idx="4">
                  <c:v>31</c:v>
                </c:pt>
                <c:pt idx="5">
                  <c:v>32</c:v>
                </c:pt>
                <c:pt idx="6">
                  <c:v>57</c:v>
                </c:pt>
              </c:numCache>
            </c:numRef>
          </c:val>
        </c:ser>
        <c:ser>
          <c:idx val="3"/>
          <c:order val="3"/>
          <c:tx>
            <c:strRef>
              <c:f>'Table 3'!$AT$11</c:f>
              <c:strCache>
                <c:ptCount val="1"/>
                <c:pt idx="0">
                  <c:v>Non-family member</c:v>
                </c:pt>
              </c:strCache>
            </c:strRef>
          </c:tx>
          <c:spPr>
            <a:pattFill prst="ltDnDiag">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3'!$AP$12:$AP$14,'Table 3'!$AP$16:$AP$19)</c:f>
              <c:strCache>
                <c:ptCount val="7"/>
                <c:pt idx="0">
                  <c:v>Males 0 to 9</c:v>
                </c:pt>
                <c:pt idx="1">
                  <c:v>Males 10 to 14</c:v>
                </c:pt>
                <c:pt idx="2">
                  <c:v>Males 15 to 17</c:v>
                </c:pt>
                <c:pt idx="4">
                  <c:v>Females 0 to 9</c:v>
                </c:pt>
                <c:pt idx="5">
                  <c:v>Females 10 to 14</c:v>
                </c:pt>
                <c:pt idx="6">
                  <c:v>Females 15 to 17</c:v>
                </c:pt>
              </c:strCache>
            </c:strRef>
          </c:cat>
          <c:val>
            <c:numRef>
              <c:f>('Table 3'!$AT$12:$AT$14,'Table 3'!$AT$16:$AT$19)</c:f>
              <c:numCache>
                <c:formatCode>General</c:formatCode>
                <c:ptCount val="7"/>
                <c:pt idx="0">
                  <c:v>3</c:v>
                </c:pt>
                <c:pt idx="1">
                  <c:v>13</c:v>
                </c:pt>
                <c:pt idx="2">
                  <c:v>14</c:v>
                </c:pt>
                <c:pt idx="4">
                  <c:v>3</c:v>
                </c:pt>
                <c:pt idx="5">
                  <c:v>22</c:v>
                </c:pt>
                <c:pt idx="6">
                  <c:v>50</c:v>
                </c:pt>
              </c:numCache>
            </c:numRef>
          </c:val>
        </c:ser>
        <c:ser>
          <c:idx val="4"/>
          <c:order val="4"/>
          <c:tx>
            <c:strRef>
              <c:f>'Table 3'!$AU$11</c:f>
              <c:strCache>
                <c:ptCount val="1"/>
                <c:pt idx="0">
                  <c:v>Stranger</c:v>
                </c:pt>
              </c:strCache>
            </c:strRef>
          </c:tx>
          <c:spPr>
            <a:solidFill>
              <a:schemeClr val="tx1"/>
            </a:solidFill>
            <a:ln>
              <a:solidFill>
                <a:schemeClr val="tx1"/>
              </a:solidFill>
            </a:ln>
            <a:effectLst/>
          </c:spPr>
          <c:invertIfNegative val="0"/>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4"/>
              <c:delete val="1"/>
              <c:extLst>
                <c:ext xmlns:c15="http://schemas.microsoft.com/office/drawing/2012/chart" uri="{CE6537A1-D6FC-4f65-9D91-7224C49458BB}"/>
              </c:extLst>
            </c:dLbl>
            <c:dLbl>
              <c:idx val="5"/>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3'!$AP$12:$AP$14,'Table 3'!$AP$16:$AP$19)</c:f>
              <c:strCache>
                <c:ptCount val="7"/>
                <c:pt idx="0">
                  <c:v>Males 0 to 9</c:v>
                </c:pt>
                <c:pt idx="1">
                  <c:v>Males 10 to 14</c:v>
                </c:pt>
                <c:pt idx="2">
                  <c:v>Males 15 to 17</c:v>
                </c:pt>
                <c:pt idx="4">
                  <c:v>Females 0 to 9</c:v>
                </c:pt>
                <c:pt idx="5">
                  <c:v>Females 10 to 14</c:v>
                </c:pt>
                <c:pt idx="6">
                  <c:v>Females 15 to 17</c:v>
                </c:pt>
              </c:strCache>
            </c:strRef>
          </c:cat>
          <c:val>
            <c:numRef>
              <c:f>('Table 3'!$AU$12:$AU$14,'Table 3'!$AU$16:$AU$19)</c:f>
              <c:numCache>
                <c:formatCode>General</c:formatCode>
                <c:ptCount val="7"/>
                <c:pt idx="0">
                  <c:v>0</c:v>
                </c:pt>
                <c:pt idx="1">
                  <c:v>0</c:v>
                </c:pt>
                <c:pt idx="2">
                  <c:v>6</c:v>
                </c:pt>
                <c:pt idx="4">
                  <c:v>0</c:v>
                </c:pt>
                <c:pt idx="5">
                  <c:v>0</c:v>
                </c:pt>
                <c:pt idx="6">
                  <c:v>9</c:v>
                </c:pt>
              </c:numCache>
            </c:numRef>
          </c:val>
        </c:ser>
        <c:dLbls>
          <c:showLegendKey val="0"/>
          <c:showVal val="0"/>
          <c:showCatName val="0"/>
          <c:showSerName val="0"/>
          <c:showPercent val="0"/>
          <c:showBubbleSize val="0"/>
        </c:dLbls>
        <c:gapWidth val="219"/>
        <c:overlap val="-27"/>
        <c:axId val="49814608"/>
        <c:axId val="49815000"/>
      </c:barChart>
      <c:catAx>
        <c:axId val="498146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49815000"/>
        <c:crosses val="autoZero"/>
        <c:auto val="1"/>
        <c:lblAlgn val="ctr"/>
        <c:lblOffset val="100"/>
        <c:noMultiLvlLbl val="0"/>
      </c:catAx>
      <c:valAx>
        <c:axId val="4981500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498146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solidFill>
                  <a:sysClr val="windowText" lastClr="000000"/>
                </a:solidFill>
              </a:rPr>
              <a:t>Figure 8: Number of non-Indigenous child victims of physical assault, by offender type, by the victim's sex and by the victim's age (Northern Territory, 2010-2013)</a:t>
            </a:r>
          </a:p>
        </c:rich>
      </c:tx>
      <c:overlay val="0"/>
      <c:spPr>
        <a:noFill/>
        <a:ln>
          <a:noFill/>
        </a:ln>
        <a:effectLst/>
      </c:spPr>
    </c:title>
    <c:autoTitleDeleted val="0"/>
    <c:plotArea>
      <c:layout/>
      <c:barChart>
        <c:barDir val="col"/>
        <c:grouping val="clustered"/>
        <c:varyColors val="0"/>
        <c:ser>
          <c:idx val="0"/>
          <c:order val="0"/>
          <c:tx>
            <c:strRef>
              <c:f>'Table 3'!$AQ$28</c:f>
              <c:strCache>
                <c:ptCount val="1"/>
                <c:pt idx="0">
                  <c:v>Parent</c:v>
                </c:pt>
              </c:strCache>
            </c:strRef>
          </c:tx>
          <c:spPr>
            <a:pattFill prst="pct20">
              <a:fgClr>
                <a:schemeClr val="tx1"/>
              </a:fgClr>
              <a:bgClr>
                <a:schemeClr val="bg1"/>
              </a:bgClr>
            </a:pattFill>
            <a:ln>
              <a:solidFill>
                <a:schemeClr val="tx1"/>
              </a:solidFill>
            </a:ln>
            <a:effectLst/>
          </c:spPr>
          <c:invertIfNegative val="0"/>
          <c:dLbls>
            <c:dLbl>
              <c:idx val="3"/>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3'!$AP$29:$AP$31,'Table 3'!$AP$34:$AP$36)</c:f>
              <c:strCache>
                <c:ptCount val="6"/>
                <c:pt idx="0">
                  <c:v>Males 0 to 9</c:v>
                </c:pt>
                <c:pt idx="1">
                  <c:v>Males 10 to 14</c:v>
                </c:pt>
                <c:pt idx="2">
                  <c:v>Males 15 to 17</c:v>
                </c:pt>
                <c:pt idx="3">
                  <c:v>Females 0 to 9</c:v>
                </c:pt>
                <c:pt idx="4">
                  <c:v>Females 10 to 14</c:v>
                </c:pt>
                <c:pt idx="5">
                  <c:v>Females 15 to 17</c:v>
                </c:pt>
              </c:strCache>
            </c:strRef>
          </c:cat>
          <c:val>
            <c:numRef>
              <c:f>('Table 3'!$AQ$29:$AQ$31,'Table 3'!$AQ$34:$AQ$36)</c:f>
              <c:numCache>
                <c:formatCode>General</c:formatCode>
                <c:ptCount val="6"/>
                <c:pt idx="0">
                  <c:v>3</c:v>
                </c:pt>
                <c:pt idx="1">
                  <c:v>6</c:v>
                </c:pt>
                <c:pt idx="2">
                  <c:v>6</c:v>
                </c:pt>
                <c:pt idx="3">
                  <c:v>0</c:v>
                </c:pt>
                <c:pt idx="4">
                  <c:v>3</c:v>
                </c:pt>
                <c:pt idx="5">
                  <c:v>12</c:v>
                </c:pt>
              </c:numCache>
            </c:numRef>
          </c:val>
        </c:ser>
        <c:ser>
          <c:idx val="1"/>
          <c:order val="1"/>
          <c:tx>
            <c:strRef>
              <c:f>'Table 3'!$AR$28</c:f>
              <c:strCache>
                <c:ptCount val="1"/>
                <c:pt idx="0">
                  <c:v>Partner</c:v>
                </c:pt>
              </c:strCache>
            </c:strRef>
          </c:tx>
          <c:spPr>
            <a:pattFill prst="pct75">
              <a:fgClr>
                <a:schemeClr val="tx1"/>
              </a:fgClr>
              <a:bgClr>
                <a:schemeClr val="bg1"/>
              </a:bgClr>
            </a:pattFill>
            <a:ln>
              <a:solidFill>
                <a:schemeClr val="tx1"/>
              </a:solidFill>
            </a:ln>
            <a:effectLst/>
          </c:spPr>
          <c:invertIfNegative val="0"/>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2"/>
              <c:delete val="1"/>
              <c:extLst>
                <c:ext xmlns:c15="http://schemas.microsoft.com/office/drawing/2012/chart" uri="{CE6537A1-D6FC-4f65-9D91-7224C49458BB}"/>
              </c:extLst>
            </c:dLbl>
            <c:dLbl>
              <c:idx val="3"/>
              <c:delete val="1"/>
              <c:extLst>
                <c:ext xmlns:c15="http://schemas.microsoft.com/office/drawing/2012/chart" uri="{CE6537A1-D6FC-4f65-9D91-7224C49458BB}"/>
              </c:extLst>
            </c:dLbl>
            <c:dLbl>
              <c:idx val="4"/>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0">
                <a:spAutoFit/>
              </a:bodyPr>
              <a:lstStyle/>
              <a:p>
                <a:pPr algn="ctr">
                  <a:defRPr lang="en-AU"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3'!$AP$29:$AP$31,'Table 3'!$AP$34:$AP$36)</c:f>
              <c:strCache>
                <c:ptCount val="6"/>
                <c:pt idx="0">
                  <c:v>Males 0 to 9</c:v>
                </c:pt>
                <c:pt idx="1">
                  <c:v>Males 10 to 14</c:v>
                </c:pt>
                <c:pt idx="2">
                  <c:v>Males 15 to 17</c:v>
                </c:pt>
                <c:pt idx="3">
                  <c:v>Females 0 to 9</c:v>
                </c:pt>
                <c:pt idx="4">
                  <c:v>Females 10 to 14</c:v>
                </c:pt>
                <c:pt idx="5">
                  <c:v>Females 15 to 17</c:v>
                </c:pt>
              </c:strCache>
            </c:strRef>
          </c:cat>
          <c:val>
            <c:numRef>
              <c:f>('Table 3'!$AR$29:$AR$31,'Table 3'!$AR$34:$AR$36)</c:f>
              <c:numCache>
                <c:formatCode>General</c:formatCode>
                <c:ptCount val="6"/>
                <c:pt idx="0">
                  <c:v>0</c:v>
                </c:pt>
                <c:pt idx="1">
                  <c:v>0</c:v>
                </c:pt>
                <c:pt idx="2">
                  <c:v>0</c:v>
                </c:pt>
                <c:pt idx="3">
                  <c:v>0</c:v>
                </c:pt>
                <c:pt idx="4">
                  <c:v>0</c:v>
                </c:pt>
                <c:pt idx="5">
                  <c:v>15</c:v>
                </c:pt>
              </c:numCache>
            </c:numRef>
          </c:val>
        </c:ser>
        <c:ser>
          <c:idx val="2"/>
          <c:order val="2"/>
          <c:tx>
            <c:strRef>
              <c:f>'Table 3'!$AS$28</c:f>
              <c:strCache>
                <c:ptCount val="1"/>
                <c:pt idx="0">
                  <c:v>Other family member</c:v>
                </c:pt>
              </c:strCache>
            </c:strRef>
          </c:tx>
          <c:spPr>
            <a:solidFill>
              <a:schemeClr val="bg1">
                <a:lumMod val="50000"/>
              </a:schemeClr>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3'!$AP$29:$AP$31,'Table 3'!$AP$34:$AP$36)</c:f>
              <c:strCache>
                <c:ptCount val="6"/>
                <c:pt idx="0">
                  <c:v>Males 0 to 9</c:v>
                </c:pt>
                <c:pt idx="1">
                  <c:v>Males 10 to 14</c:v>
                </c:pt>
                <c:pt idx="2">
                  <c:v>Males 15 to 17</c:v>
                </c:pt>
                <c:pt idx="3">
                  <c:v>Females 0 to 9</c:v>
                </c:pt>
                <c:pt idx="4">
                  <c:v>Females 10 to 14</c:v>
                </c:pt>
                <c:pt idx="5">
                  <c:v>Females 15 to 17</c:v>
                </c:pt>
              </c:strCache>
            </c:strRef>
          </c:cat>
          <c:val>
            <c:numRef>
              <c:f>('Table 3'!$AS$29:$AS$31,'Table 3'!$AS$34:$AS$36)</c:f>
              <c:numCache>
                <c:formatCode>General</c:formatCode>
                <c:ptCount val="6"/>
                <c:pt idx="0">
                  <c:v>10</c:v>
                </c:pt>
                <c:pt idx="1">
                  <c:v>7</c:v>
                </c:pt>
                <c:pt idx="2">
                  <c:v>9</c:v>
                </c:pt>
                <c:pt idx="3">
                  <c:v>3</c:v>
                </c:pt>
                <c:pt idx="4">
                  <c:v>14</c:v>
                </c:pt>
                <c:pt idx="5">
                  <c:v>3</c:v>
                </c:pt>
              </c:numCache>
            </c:numRef>
          </c:val>
        </c:ser>
        <c:ser>
          <c:idx val="3"/>
          <c:order val="3"/>
          <c:tx>
            <c:strRef>
              <c:f>'Table 3'!$AT$28</c:f>
              <c:strCache>
                <c:ptCount val="1"/>
                <c:pt idx="0">
                  <c:v>Non-family member</c:v>
                </c:pt>
              </c:strCache>
            </c:strRef>
          </c:tx>
          <c:spPr>
            <a:pattFill prst="ltDnDiag">
              <a:fgClr>
                <a:schemeClr val="tx1"/>
              </a:fgClr>
              <a:bgClr>
                <a:schemeClr val="bg1"/>
              </a:bgClr>
            </a:pattFill>
            <a:ln>
              <a:solidFill>
                <a:schemeClr val="tx1"/>
              </a:solidFill>
            </a:ln>
            <a:effectLst/>
          </c:spPr>
          <c:invertIfNegative val="0"/>
          <c:dLbls>
            <c:dLbl>
              <c:idx val="3"/>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3'!$AP$29:$AP$31,'Table 3'!$AP$34:$AP$36)</c:f>
              <c:strCache>
                <c:ptCount val="6"/>
                <c:pt idx="0">
                  <c:v>Males 0 to 9</c:v>
                </c:pt>
                <c:pt idx="1">
                  <c:v>Males 10 to 14</c:v>
                </c:pt>
                <c:pt idx="2">
                  <c:v>Males 15 to 17</c:v>
                </c:pt>
                <c:pt idx="3">
                  <c:v>Females 0 to 9</c:v>
                </c:pt>
                <c:pt idx="4">
                  <c:v>Females 10 to 14</c:v>
                </c:pt>
                <c:pt idx="5">
                  <c:v>Females 15 to 17</c:v>
                </c:pt>
              </c:strCache>
            </c:strRef>
          </c:cat>
          <c:val>
            <c:numRef>
              <c:f>('Table 3'!$AT$29:$AT$31,'Table 3'!$AT$34:$AT$36)</c:f>
              <c:numCache>
                <c:formatCode>General</c:formatCode>
                <c:ptCount val="6"/>
                <c:pt idx="0">
                  <c:v>3</c:v>
                </c:pt>
                <c:pt idx="1">
                  <c:v>7</c:v>
                </c:pt>
                <c:pt idx="2">
                  <c:v>9</c:v>
                </c:pt>
                <c:pt idx="3">
                  <c:v>0</c:v>
                </c:pt>
                <c:pt idx="4">
                  <c:v>3</c:v>
                </c:pt>
                <c:pt idx="5">
                  <c:v>13</c:v>
                </c:pt>
              </c:numCache>
            </c:numRef>
          </c:val>
        </c:ser>
        <c:ser>
          <c:idx val="4"/>
          <c:order val="4"/>
          <c:tx>
            <c:strRef>
              <c:f>'Table 3'!$AU$28</c:f>
              <c:strCache>
                <c:ptCount val="1"/>
                <c:pt idx="0">
                  <c:v>Stranger</c:v>
                </c:pt>
              </c:strCache>
            </c:strRef>
          </c:tx>
          <c:spPr>
            <a:solidFill>
              <a:schemeClr val="tx1"/>
            </a:solidFill>
            <a:ln>
              <a:solidFill>
                <a:schemeClr val="tx1"/>
              </a:solidFill>
            </a:ln>
            <a:effectLst/>
          </c:spPr>
          <c:invertIfNegative val="0"/>
          <c:dLbls>
            <c:dLbl>
              <c:idx val="1"/>
              <c:delete val="1"/>
              <c:extLst>
                <c:ext xmlns:c15="http://schemas.microsoft.com/office/drawing/2012/chart" uri="{CE6537A1-D6FC-4f65-9D91-7224C49458BB}"/>
              </c:extLst>
            </c:dLbl>
            <c:dLbl>
              <c:idx val="4"/>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3'!$AP$29:$AP$31,'Table 3'!$AP$34:$AP$36)</c:f>
              <c:strCache>
                <c:ptCount val="6"/>
                <c:pt idx="0">
                  <c:v>Males 0 to 9</c:v>
                </c:pt>
                <c:pt idx="1">
                  <c:v>Males 10 to 14</c:v>
                </c:pt>
                <c:pt idx="2">
                  <c:v>Males 15 to 17</c:v>
                </c:pt>
                <c:pt idx="3">
                  <c:v>Females 0 to 9</c:v>
                </c:pt>
                <c:pt idx="4">
                  <c:v>Females 10 to 14</c:v>
                </c:pt>
                <c:pt idx="5">
                  <c:v>Females 15 to 17</c:v>
                </c:pt>
              </c:strCache>
            </c:strRef>
          </c:cat>
          <c:val>
            <c:numRef>
              <c:f>('Table 3'!$AU$29:$AU$31,'Table 3'!$AU$34:$AU$36)</c:f>
              <c:numCache>
                <c:formatCode>General</c:formatCode>
                <c:ptCount val="6"/>
                <c:pt idx="0">
                  <c:v>3</c:v>
                </c:pt>
                <c:pt idx="1">
                  <c:v>0</c:v>
                </c:pt>
                <c:pt idx="2">
                  <c:v>3</c:v>
                </c:pt>
                <c:pt idx="3">
                  <c:v>3</c:v>
                </c:pt>
                <c:pt idx="4">
                  <c:v>0</c:v>
                </c:pt>
                <c:pt idx="5">
                  <c:v>9</c:v>
                </c:pt>
              </c:numCache>
            </c:numRef>
          </c:val>
        </c:ser>
        <c:dLbls>
          <c:showLegendKey val="0"/>
          <c:showVal val="0"/>
          <c:showCatName val="0"/>
          <c:showSerName val="0"/>
          <c:showPercent val="0"/>
          <c:showBubbleSize val="0"/>
        </c:dLbls>
        <c:gapWidth val="219"/>
        <c:overlap val="-27"/>
        <c:axId val="49815784"/>
        <c:axId val="49816176"/>
      </c:barChart>
      <c:catAx>
        <c:axId val="4981578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49816176"/>
        <c:crosses val="autoZero"/>
        <c:auto val="1"/>
        <c:lblAlgn val="ctr"/>
        <c:lblOffset val="100"/>
        <c:noMultiLvlLbl val="0"/>
      </c:catAx>
      <c:valAx>
        <c:axId val="4981617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4981578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u="none" strike="noStrike" baseline="0" smtClean="0"/>
              <a:t>Figure 9: Number of child victims of physical assault where Aboriginal and Torres Strait Islander status is unknown, by offender type, by the victim's sex and by the victim's age (Northern Territory, 2010-2013)</a:t>
            </a:r>
            <a:endParaRPr lang="en-AU">
              <a:solidFill>
                <a:sysClr val="windowText" lastClr="000000"/>
              </a:solidFill>
            </a:endParaRPr>
          </a:p>
        </c:rich>
      </c:tx>
      <c:overlay val="0"/>
      <c:spPr>
        <a:noFill/>
        <a:ln>
          <a:noFill/>
        </a:ln>
        <a:effectLst/>
      </c:spPr>
    </c:title>
    <c:autoTitleDeleted val="0"/>
    <c:plotArea>
      <c:layout/>
      <c:barChart>
        <c:barDir val="col"/>
        <c:grouping val="clustered"/>
        <c:varyColors val="0"/>
        <c:ser>
          <c:idx val="0"/>
          <c:order val="0"/>
          <c:tx>
            <c:strRef>
              <c:f>'Table 3'!$AQ$45</c:f>
              <c:strCache>
                <c:ptCount val="1"/>
                <c:pt idx="0">
                  <c:v>Parent</c:v>
                </c:pt>
              </c:strCache>
            </c:strRef>
          </c:tx>
          <c:spPr>
            <a:pattFill prst="pct20">
              <a:fgClr>
                <a:schemeClr val="tx1"/>
              </a:fgClr>
              <a:bgClr>
                <a:schemeClr val="bg1"/>
              </a:bgClr>
            </a:pattFill>
            <a:ln>
              <a:solidFill>
                <a:schemeClr val="tx1"/>
              </a:solidFill>
            </a:ln>
            <a:effectLst/>
          </c:spPr>
          <c:invertIfNegative val="0"/>
          <c:dLbls>
            <c:dLbl>
              <c:idx val="0"/>
              <c:delete val="1"/>
              <c:extLst>
                <c:ext xmlns:c15="http://schemas.microsoft.com/office/drawing/2012/chart" uri="{CE6537A1-D6FC-4f65-9D91-7224C49458BB}"/>
              </c:extLst>
            </c:dLbl>
            <c:dLbl>
              <c:idx val="2"/>
              <c:delete val="1"/>
              <c:extLst>
                <c:ext xmlns:c15="http://schemas.microsoft.com/office/drawing/2012/chart" uri="{CE6537A1-D6FC-4f65-9D91-7224C49458BB}"/>
              </c:extLst>
            </c:dLbl>
            <c:dLbl>
              <c:idx val="5"/>
              <c:delete val="1"/>
              <c:extLst>
                <c:ext xmlns:c15="http://schemas.microsoft.com/office/drawing/2012/chart" uri="{CE6537A1-D6FC-4f65-9D91-7224C49458BB}"/>
              </c:extLst>
            </c:dLbl>
            <c:dLbl>
              <c:idx val="6"/>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3'!$AP$46:$AP$48,'Table 3'!$AP$49:$AP$52)</c:f>
              <c:strCache>
                <c:ptCount val="7"/>
                <c:pt idx="0">
                  <c:v>Males 0 to 9</c:v>
                </c:pt>
                <c:pt idx="1">
                  <c:v>Males 10 to 14</c:v>
                </c:pt>
                <c:pt idx="2">
                  <c:v>Males 15 to 17</c:v>
                </c:pt>
                <c:pt idx="4">
                  <c:v>Females 0 to 9</c:v>
                </c:pt>
                <c:pt idx="5">
                  <c:v>Females 10 to 14</c:v>
                </c:pt>
                <c:pt idx="6">
                  <c:v>Females 15 to 17</c:v>
                </c:pt>
              </c:strCache>
            </c:strRef>
          </c:cat>
          <c:val>
            <c:numRef>
              <c:f>('Table 3'!$AQ$46:$AQ$48,'Table 3'!$AQ$49:$AQ$52)</c:f>
              <c:numCache>
                <c:formatCode>General</c:formatCode>
                <c:ptCount val="7"/>
                <c:pt idx="0">
                  <c:v>0</c:v>
                </c:pt>
                <c:pt idx="1">
                  <c:v>3</c:v>
                </c:pt>
                <c:pt idx="2">
                  <c:v>0</c:v>
                </c:pt>
                <c:pt idx="4">
                  <c:v>6</c:v>
                </c:pt>
                <c:pt idx="5">
                  <c:v>0</c:v>
                </c:pt>
                <c:pt idx="6">
                  <c:v>0</c:v>
                </c:pt>
              </c:numCache>
            </c:numRef>
          </c:val>
        </c:ser>
        <c:ser>
          <c:idx val="1"/>
          <c:order val="1"/>
          <c:tx>
            <c:strRef>
              <c:f>'Table 3'!$AR$45</c:f>
              <c:strCache>
                <c:ptCount val="1"/>
                <c:pt idx="0">
                  <c:v>Partner</c:v>
                </c:pt>
              </c:strCache>
            </c:strRef>
          </c:tx>
          <c:spPr>
            <a:pattFill prst="pct75">
              <a:fgClr>
                <a:schemeClr val="tx1"/>
              </a:fgClr>
              <a:bgClr>
                <a:schemeClr val="bg1"/>
              </a:bgClr>
            </a:pattFill>
            <a:ln>
              <a:solidFill>
                <a:schemeClr val="tx1"/>
              </a:solidFill>
            </a:ln>
            <a:effectLst/>
          </c:spPr>
          <c:invertIfNegative val="0"/>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2"/>
              <c:delete val="1"/>
              <c:extLst>
                <c:ext xmlns:c15="http://schemas.microsoft.com/office/drawing/2012/chart" uri="{CE6537A1-D6FC-4f65-9D91-7224C49458BB}"/>
              </c:extLst>
            </c:dLbl>
            <c:dLbl>
              <c:idx val="4"/>
              <c:delete val="1"/>
              <c:extLst>
                <c:ext xmlns:c15="http://schemas.microsoft.com/office/drawing/2012/chart" uri="{CE6537A1-D6FC-4f65-9D91-7224C49458BB}"/>
              </c:extLst>
            </c:dLbl>
            <c:dLbl>
              <c:idx val="5"/>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0">
                <a:spAutoFit/>
              </a:bodyPr>
              <a:lstStyle/>
              <a:p>
                <a:pPr algn="ctr">
                  <a:defRPr lang="en-AU"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3'!$AP$46:$AP$48,'Table 3'!$AP$49:$AP$52)</c:f>
              <c:strCache>
                <c:ptCount val="7"/>
                <c:pt idx="0">
                  <c:v>Males 0 to 9</c:v>
                </c:pt>
                <c:pt idx="1">
                  <c:v>Males 10 to 14</c:v>
                </c:pt>
                <c:pt idx="2">
                  <c:v>Males 15 to 17</c:v>
                </c:pt>
                <c:pt idx="4">
                  <c:v>Females 0 to 9</c:v>
                </c:pt>
                <c:pt idx="5">
                  <c:v>Females 10 to 14</c:v>
                </c:pt>
                <c:pt idx="6">
                  <c:v>Females 15 to 17</c:v>
                </c:pt>
              </c:strCache>
            </c:strRef>
          </c:cat>
          <c:val>
            <c:numRef>
              <c:f>('Table 3'!$AR$46:$AR$48,'Table 3'!$AR$49:$AR$52)</c:f>
              <c:numCache>
                <c:formatCode>General</c:formatCode>
                <c:ptCount val="7"/>
                <c:pt idx="0">
                  <c:v>0</c:v>
                </c:pt>
                <c:pt idx="1">
                  <c:v>0</c:v>
                </c:pt>
                <c:pt idx="2">
                  <c:v>0</c:v>
                </c:pt>
                <c:pt idx="4">
                  <c:v>0</c:v>
                </c:pt>
                <c:pt idx="5">
                  <c:v>0</c:v>
                </c:pt>
                <c:pt idx="6">
                  <c:v>8</c:v>
                </c:pt>
              </c:numCache>
            </c:numRef>
          </c:val>
        </c:ser>
        <c:ser>
          <c:idx val="2"/>
          <c:order val="2"/>
          <c:tx>
            <c:strRef>
              <c:f>'Table 3'!$AS$45</c:f>
              <c:strCache>
                <c:ptCount val="1"/>
                <c:pt idx="0">
                  <c:v>Other family member</c:v>
                </c:pt>
              </c:strCache>
            </c:strRef>
          </c:tx>
          <c:spPr>
            <a:solidFill>
              <a:schemeClr val="bg1">
                <a:lumMod val="50000"/>
              </a:schemeClr>
            </a:solidFill>
            <a:ln>
              <a:solidFill>
                <a:schemeClr val="tx1"/>
              </a:solidFill>
            </a:ln>
            <a:effectLst/>
          </c:spPr>
          <c:invertIfNegative val="0"/>
          <c:dLbls>
            <c:dLbl>
              <c:idx val="1"/>
              <c:delete val="1"/>
              <c:extLst>
                <c:ext xmlns:c15="http://schemas.microsoft.com/office/drawing/2012/chart" uri="{CE6537A1-D6FC-4f65-9D91-7224C49458BB}"/>
              </c:extLst>
            </c:dLbl>
            <c:dLbl>
              <c:idx val="4"/>
              <c:delete val="1"/>
              <c:extLst>
                <c:ext xmlns:c15="http://schemas.microsoft.com/office/drawing/2012/chart" uri="{CE6537A1-D6FC-4f65-9D91-7224C49458BB}"/>
              </c:extLst>
            </c:dLbl>
            <c:dLbl>
              <c:idx val="5"/>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3'!$AP$46:$AP$48,'Table 3'!$AP$49:$AP$52)</c:f>
              <c:strCache>
                <c:ptCount val="7"/>
                <c:pt idx="0">
                  <c:v>Males 0 to 9</c:v>
                </c:pt>
                <c:pt idx="1">
                  <c:v>Males 10 to 14</c:v>
                </c:pt>
                <c:pt idx="2">
                  <c:v>Males 15 to 17</c:v>
                </c:pt>
                <c:pt idx="4">
                  <c:v>Females 0 to 9</c:v>
                </c:pt>
                <c:pt idx="5">
                  <c:v>Females 10 to 14</c:v>
                </c:pt>
                <c:pt idx="6">
                  <c:v>Females 15 to 17</c:v>
                </c:pt>
              </c:strCache>
            </c:strRef>
          </c:cat>
          <c:val>
            <c:numRef>
              <c:f>('Table 3'!$AS$46:$AS$48,'Table 3'!$AS$49:$AS$52)</c:f>
              <c:numCache>
                <c:formatCode>General</c:formatCode>
                <c:ptCount val="7"/>
                <c:pt idx="0">
                  <c:v>3</c:v>
                </c:pt>
                <c:pt idx="1">
                  <c:v>0</c:v>
                </c:pt>
                <c:pt idx="2">
                  <c:v>3</c:v>
                </c:pt>
                <c:pt idx="4">
                  <c:v>0</c:v>
                </c:pt>
                <c:pt idx="5">
                  <c:v>0</c:v>
                </c:pt>
                <c:pt idx="6">
                  <c:v>3</c:v>
                </c:pt>
              </c:numCache>
            </c:numRef>
          </c:val>
        </c:ser>
        <c:ser>
          <c:idx val="3"/>
          <c:order val="3"/>
          <c:tx>
            <c:strRef>
              <c:f>'Table 3'!$AT$45</c:f>
              <c:strCache>
                <c:ptCount val="1"/>
                <c:pt idx="0">
                  <c:v>Non-family member</c:v>
                </c:pt>
              </c:strCache>
            </c:strRef>
          </c:tx>
          <c:spPr>
            <a:pattFill prst="ltDnDiag">
              <a:fgClr>
                <a:schemeClr val="tx1"/>
              </a:fgClr>
              <a:bgClr>
                <a:schemeClr val="bg1"/>
              </a:bgClr>
            </a:pattFill>
            <a:ln>
              <a:solidFill>
                <a:schemeClr val="tx1"/>
              </a:solidFill>
            </a:ln>
            <a:effectLst/>
          </c:spPr>
          <c:invertIfNegative val="0"/>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2"/>
              <c:delete val="1"/>
              <c:extLst>
                <c:ext xmlns:c15="http://schemas.microsoft.com/office/drawing/2012/chart" uri="{CE6537A1-D6FC-4f65-9D91-7224C49458BB}"/>
              </c:extLst>
            </c:dLbl>
            <c:dLbl>
              <c:idx val="4"/>
              <c:delete val="1"/>
              <c:extLst>
                <c:ext xmlns:c15="http://schemas.microsoft.com/office/drawing/2012/chart" uri="{CE6537A1-D6FC-4f65-9D91-7224C49458BB}"/>
              </c:extLst>
            </c:dLbl>
            <c:dLbl>
              <c:idx val="5"/>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3'!$AP$46:$AP$48,'Table 3'!$AP$49:$AP$52)</c:f>
              <c:strCache>
                <c:ptCount val="7"/>
                <c:pt idx="0">
                  <c:v>Males 0 to 9</c:v>
                </c:pt>
                <c:pt idx="1">
                  <c:v>Males 10 to 14</c:v>
                </c:pt>
                <c:pt idx="2">
                  <c:v>Males 15 to 17</c:v>
                </c:pt>
                <c:pt idx="4">
                  <c:v>Females 0 to 9</c:v>
                </c:pt>
                <c:pt idx="5">
                  <c:v>Females 10 to 14</c:v>
                </c:pt>
                <c:pt idx="6">
                  <c:v>Females 15 to 17</c:v>
                </c:pt>
              </c:strCache>
            </c:strRef>
          </c:cat>
          <c:val>
            <c:numRef>
              <c:f>('Table 3'!$AT$46:$AT$48,'Table 3'!$AT$49:$AT$52)</c:f>
              <c:numCache>
                <c:formatCode>General</c:formatCode>
                <c:ptCount val="7"/>
                <c:pt idx="0">
                  <c:v>0</c:v>
                </c:pt>
                <c:pt idx="1">
                  <c:v>0</c:v>
                </c:pt>
                <c:pt idx="2">
                  <c:v>0</c:v>
                </c:pt>
                <c:pt idx="4">
                  <c:v>0</c:v>
                </c:pt>
                <c:pt idx="5">
                  <c:v>0</c:v>
                </c:pt>
                <c:pt idx="6">
                  <c:v>6</c:v>
                </c:pt>
              </c:numCache>
            </c:numRef>
          </c:val>
        </c:ser>
        <c:ser>
          <c:idx val="4"/>
          <c:order val="4"/>
          <c:tx>
            <c:strRef>
              <c:f>'Table 3'!$AU$45</c:f>
              <c:strCache>
                <c:ptCount val="1"/>
                <c:pt idx="0">
                  <c:v>Stranger</c:v>
                </c:pt>
              </c:strCache>
            </c:strRef>
          </c:tx>
          <c:spPr>
            <a:solidFill>
              <a:schemeClr val="tx1"/>
            </a:solidFill>
            <a:ln>
              <a:solidFill>
                <a:schemeClr val="tx1"/>
              </a:solidFill>
            </a:ln>
            <a:effectLst/>
          </c:spPr>
          <c:invertIfNegative val="0"/>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2"/>
              <c:delete val="1"/>
              <c:extLst>
                <c:ext xmlns:c15="http://schemas.microsoft.com/office/drawing/2012/chart" uri="{CE6537A1-D6FC-4f65-9D91-7224C49458BB}"/>
              </c:extLst>
            </c:dLbl>
            <c:dLbl>
              <c:idx val="4"/>
              <c:delete val="1"/>
              <c:extLst>
                <c:ext xmlns:c15="http://schemas.microsoft.com/office/drawing/2012/chart" uri="{CE6537A1-D6FC-4f65-9D91-7224C49458BB}"/>
              </c:extLst>
            </c:dLbl>
            <c:dLbl>
              <c:idx val="5"/>
              <c:delete val="1"/>
              <c:extLst>
                <c:ext xmlns:c15="http://schemas.microsoft.com/office/drawing/2012/chart" uri="{CE6537A1-D6FC-4f65-9D91-7224C49458BB}"/>
              </c:extLst>
            </c:dLbl>
            <c:dLbl>
              <c:idx val="6"/>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3'!$AP$46:$AP$48,'Table 3'!$AP$49:$AP$52)</c:f>
              <c:strCache>
                <c:ptCount val="7"/>
                <c:pt idx="0">
                  <c:v>Males 0 to 9</c:v>
                </c:pt>
                <c:pt idx="1">
                  <c:v>Males 10 to 14</c:v>
                </c:pt>
                <c:pt idx="2">
                  <c:v>Males 15 to 17</c:v>
                </c:pt>
                <c:pt idx="4">
                  <c:v>Females 0 to 9</c:v>
                </c:pt>
                <c:pt idx="5">
                  <c:v>Females 10 to 14</c:v>
                </c:pt>
                <c:pt idx="6">
                  <c:v>Females 15 to 17</c:v>
                </c:pt>
              </c:strCache>
            </c:strRef>
          </c:cat>
          <c:val>
            <c:numRef>
              <c:f>('Table 3'!$AU$46:$AU$48,'Table 3'!$AU$49:$AU$52)</c:f>
              <c:numCache>
                <c:formatCode>General</c:formatCode>
                <c:ptCount val="7"/>
                <c:pt idx="0">
                  <c:v>0</c:v>
                </c:pt>
                <c:pt idx="1">
                  <c:v>0</c:v>
                </c:pt>
                <c:pt idx="2">
                  <c:v>0</c:v>
                </c:pt>
                <c:pt idx="4">
                  <c:v>0</c:v>
                </c:pt>
                <c:pt idx="5">
                  <c:v>0</c:v>
                </c:pt>
                <c:pt idx="6">
                  <c:v>0</c:v>
                </c:pt>
              </c:numCache>
            </c:numRef>
          </c:val>
        </c:ser>
        <c:dLbls>
          <c:showLegendKey val="0"/>
          <c:showVal val="0"/>
          <c:showCatName val="0"/>
          <c:showSerName val="0"/>
          <c:showPercent val="0"/>
          <c:showBubbleSize val="0"/>
        </c:dLbls>
        <c:gapWidth val="219"/>
        <c:overlap val="-27"/>
        <c:axId val="50418264"/>
        <c:axId val="50418656"/>
      </c:barChart>
      <c:catAx>
        <c:axId val="504182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0418656"/>
        <c:crosses val="autoZero"/>
        <c:auto val="1"/>
        <c:lblAlgn val="ctr"/>
        <c:lblOffset val="100"/>
        <c:noMultiLvlLbl val="0"/>
      </c:catAx>
      <c:valAx>
        <c:axId val="5041865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041826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solidFill>
                  <a:sysClr val="windowText" lastClr="000000"/>
                </a:solidFill>
              </a:rPr>
              <a:t>Figure 10: Number of child victims of physical assault, by offender type, by the victim's sex</a:t>
            </a:r>
            <a:r>
              <a:rPr lang="en-AU" baseline="0">
                <a:solidFill>
                  <a:sysClr val="windowText" lastClr="000000"/>
                </a:solidFill>
              </a:rPr>
              <a:t> and by the victim's age (Australian Capital Territory, 2010-2013)</a:t>
            </a:r>
            <a:endParaRPr lang="en-AU">
              <a:solidFill>
                <a:sysClr val="windowText" lastClr="000000"/>
              </a:solidFill>
            </a:endParaRPr>
          </a:p>
        </c:rich>
      </c:tx>
      <c:overlay val="0"/>
      <c:spPr>
        <a:noFill/>
        <a:ln>
          <a:noFill/>
        </a:ln>
        <a:effectLst/>
      </c:spPr>
    </c:title>
    <c:autoTitleDeleted val="0"/>
    <c:plotArea>
      <c:layout/>
      <c:barChart>
        <c:barDir val="col"/>
        <c:grouping val="clustered"/>
        <c:varyColors val="0"/>
        <c:ser>
          <c:idx val="0"/>
          <c:order val="0"/>
          <c:tx>
            <c:strRef>
              <c:f>'Table 4'!$AO$10</c:f>
              <c:strCache>
                <c:ptCount val="1"/>
                <c:pt idx="0">
                  <c:v>Parent</c:v>
                </c:pt>
              </c:strCache>
            </c:strRef>
          </c:tx>
          <c:spPr>
            <a:pattFill prst="pct20">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4'!$AN$11:$AN$17</c:f>
              <c:strCache>
                <c:ptCount val="7"/>
                <c:pt idx="0">
                  <c:v>Males 0 to 9</c:v>
                </c:pt>
                <c:pt idx="1">
                  <c:v>Males 10 to 14</c:v>
                </c:pt>
                <c:pt idx="2">
                  <c:v>Males 15 to 17</c:v>
                </c:pt>
                <c:pt idx="4">
                  <c:v>Females 0 to 9</c:v>
                </c:pt>
                <c:pt idx="5">
                  <c:v>Females 10 to 14</c:v>
                </c:pt>
                <c:pt idx="6">
                  <c:v>Females 15 to 17</c:v>
                </c:pt>
              </c:strCache>
            </c:strRef>
          </c:cat>
          <c:val>
            <c:numRef>
              <c:f>'Table 4'!$AO$11:$AO$17</c:f>
              <c:numCache>
                <c:formatCode>General</c:formatCode>
                <c:ptCount val="7"/>
                <c:pt idx="0">
                  <c:v>40</c:v>
                </c:pt>
                <c:pt idx="1">
                  <c:v>53</c:v>
                </c:pt>
                <c:pt idx="2">
                  <c:v>16</c:v>
                </c:pt>
                <c:pt idx="4">
                  <c:v>36</c:v>
                </c:pt>
                <c:pt idx="5">
                  <c:v>47</c:v>
                </c:pt>
                <c:pt idx="6">
                  <c:v>42</c:v>
                </c:pt>
              </c:numCache>
            </c:numRef>
          </c:val>
        </c:ser>
        <c:ser>
          <c:idx val="1"/>
          <c:order val="1"/>
          <c:tx>
            <c:strRef>
              <c:f>'Table 4'!$AP$10</c:f>
              <c:strCache>
                <c:ptCount val="1"/>
                <c:pt idx="0">
                  <c:v>Partner</c:v>
                </c:pt>
              </c:strCache>
            </c:strRef>
          </c:tx>
          <c:spPr>
            <a:pattFill prst="pct75">
              <a:fgClr>
                <a:schemeClr val="tx1"/>
              </a:fgClr>
              <a:bgClr>
                <a:schemeClr val="bg1"/>
              </a:bgClr>
            </a:pattFill>
            <a:ln>
              <a:solidFill>
                <a:schemeClr val="tx1"/>
              </a:solidFill>
            </a:ln>
            <a:effectLst/>
          </c:spPr>
          <c:invertIfNegative val="0"/>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4"/>
              <c:delete val="1"/>
              <c:extLst>
                <c:ext xmlns:c15="http://schemas.microsoft.com/office/drawing/2012/chart" uri="{CE6537A1-D6FC-4f65-9D91-7224C49458BB}"/>
              </c:extLst>
            </c:dLbl>
            <c:dLbl>
              <c:idx val="5"/>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0">
                <a:spAutoFit/>
              </a:bodyPr>
              <a:lstStyle/>
              <a:p>
                <a:pPr algn="ctr">
                  <a:defRPr lang="en-AU"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4'!$AN$11:$AN$17</c:f>
              <c:strCache>
                <c:ptCount val="7"/>
                <c:pt idx="0">
                  <c:v>Males 0 to 9</c:v>
                </c:pt>
                <c:pt idx="1">
                  <c:v>Males 10 to 14</c:v>
                </c:pt>
                <c:pt idx="2">
                  <c:v>Males 15 to 17</c:v>
                </c:pt>
                <c:pt idx="4">
                  <c:v>Females 0 to 9</c:v>
                </c:pt>
                <c:pt idx="5">
                  <c:v>Females 10 to 14</c:v>
                </c:pt>
                <c:pt idx="6">
                  <c:v>Females 15 to 17</c:v>
                </c:pt>
              </c:strCache>
            </c:strRef>
          </c:cat>
          <c:val>
            <c:numRef>
              <c:f>'Table 4'!$AP$11:$AP$17</c:f>
              <c:numCache>
                <c:formatCode>General</c:formatCode>
                <c:ptCount val="7"/>
                <c:pt idx="0">
                  <c:v>0</c:v>
                </c:pt>
                <c:pt idx="1">
                  <c:v>0</c:v>
                </c:pt>
                <c:pt idx="2">
                  <c:v>3</c:v>
                </c:pt>
                <c:pt idx="4">
                  <c:v>0</c:v>
                </c:pt>
                <c:pt idx="5">
                  <c:v>0</c:v>
                </c:pt>
                <c:pt idx="6">
                  <c:v>20</c:v>
                </c:pt>
              </c:numCache>
            </c:numRef>
          </c:val>
        </c:ser>
        <c:ser>
          <c:idx val="2"/>
          <c:order val="2"/>
          <c:tx>
            <c:strRef>
              <c:f>'Table 4'!$AQ$10</c:f>
              <c:strCache>
                <c:ptCount val="1"/>
                <c:pt idx="0">
                  <c:v>Other family member</c:v>
                </c:pt>
              </c:strCache>
            </c:strRef>
          </c:tx>
          <c:spPr>
            <a:solidFill>
              <a:schemeClr val="bg1">
                <a:lumMod val="50000"/>
              </a:schemeClr>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4'!$AN$11:$AN$17</c:f>
              <c:strCache>
                <c:ptCount val="7"/>
                <c:pt idx="0">
                  <c:v>Males 0 to 9</c:v>
                </c:pt>
                <c:pt idx="1">
                  <c:v>Males 10 to 14</c:v>
                </c:pt>
                <c:pt idx="2">
                  <c:v>Males 15 to 17</c:v>
                </c:pt>
                <c:pt idx="4">
                  <c:v>Females 0 to 9</c:v>
                </c:pt>
                <c:pt idx="5">
                  <c:v>Females 10 to 14</c:v>
                </c:pt>
                <c:pt idx="6">
                  <c:v>Females 15 to 17</c:v>
                </c:pt>
              </c:strCache>
            </c:strRef>
          </c:cat>
          <c:val>
            <c:numRef>
              <c:f>'Table 4'!$AQ$11:$AQ$17</c:f>
              <c:numCache>
                <c:formatCode>General</c:formatCode>
                <c:ptCount val="7"/>
                <c:pt idx="0">
                  <c:v>3</c:v>
                </c:pt>
                <c:pt idx="1">
                  <c:v>11</c:v>
                </c:pt>
                <c:pt idx="2">
                  <c:v>12</c:v>
                </c:pt>
                <c:pt idx="4">
                  <c:v>6</c:v>
                </c:pt>
                <c:pt idx="5">
                  <c:v>18</c:v>
                </c:pt>
                <c:pt idx="6">
                  <c:v>17</c:v>
                </c:pt>
              </c:numCache>
            </c:numRef>
          </c:val>
        </c:ser>
        <c:ser>
          <c:idx val="3"/>
          <c:order val="3"/>
          <c:tx>
            <c:strRef>
              <c:f>'Table 4'!$AR$10</c:f>
              <c:strCache>
                <c:ptCount val="1"/>
                <c:pt idx="0">
                  <c:v>Non-family member</c:v>
                </c:pt>
              </c:strCache>
            </c:strRef>
          </c:tx>
          <c:spPr>
            <a:pattFill prst="ltDnDiag">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4'!$AN$11:$AN$17</c:f>
              <c:strCache>
                <c:ptCount val="7"/>
                <c:pt idx="0">
                  <c:v>Males 0 to 9</c:v>
                </c:pt>
                <c:pt idx="1">
                  <c:v>Males 10 to 14</c:v>
                </c:pt>
                <c:pt idx="2">
                  <c:v>Males 15 to 17</c:v>
                </c:pt>
                <c:pt idx="4">
                  <c:v>Females 0 to 9</c:v>
                </c:pt>
                <c:pt idx="5">
                  <c:v>Females 10 to 14</c:v>
                </c:pt>
                <c:pt idx="6">
                  <c:v>Females 15 to 17</c:v>
                </c:pt>
              </c:strCache>
            </c:strRef>
          </c:cat>
          <c:val>
            <c:numRef>
              <c:f>'Table 4'!$AR$11:$AR$17</c:f>
              <c:numCache>
                <c:formatCode>General</c:formatCode>
                <c:ptCount val="7"/>
                <c:pt idx="0">
                  <c:v>9</c:v>
                </c:pt>
                <c:pt idx="1">
                  <c:v>13</c:v>
                </c:pt>
                <c:pt idx="2">
                  <c:v>22</c:v>
                </c:pt>
                <c:pt idx="4">
                  <c:v>6</c:v>
                </c:pt>
                <c:pt idx="5">
                  <c:v>15</c:v>
                </c:pt>
                <c:pt idx="6">
                  <c:v>41</c:v>
                </c:pt>
              </c:numCache>
            </c:numRef>
          </c:val>
        </c:ser>
        <c:ser>
          <c:idx val="4"/>
          <c:order val="4"/>
          <c:tx>
            <c:strRef>
              <c:f>'Table 4'!$AS$10</c:f>
              <c:strCache>
                <c:ptCount val="1"/>
                <c:pt idx="0">
                  <c:v>Stranger</c:v>
                </c:pt>
              </c:strCache>
            </c:strRef>
          </c:tx>
          <c:spPr>
            <a:solidFill>
              <a:schemeClr val="tx1"/>
            </a:solidFill>
            <a:ln>
              <a:solidFill>
                <a:schemeClr val="tx1"/>
              </a:solidFill>
            </a:ln>
            <a:effectLst/>
          </c:spPr>
          <c:invertIfNegative val="0"/>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2"/>
              <c:delete val="1"/>
              <c:extLst>
                <c:ext xmlns:c15="http://schemas.microsoft.com/office/drawing/2012/chart" uri="{CE6537A1-D6FC-4f65-9D91-7224C49458BB}"/>
              </c:extLst>
            </c:dLbl>
            <c:dLbl>
              <c:idx val="4"/>
              <c:delete val="1"/>
              <c:extLst>
                <c:ext xmlns:c15="http://schemas.microsoft.com/office/drawing/2012/chart" uri="{CE6537A1-D6FC-4f65-9D91-7224C49458BB}"/>
              </c:extLst>
            </c:dLbl>
            <c:dLbl>
              <c:idx val="5"/>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4'!$AN$11:$AN$17</c:f>
              <c:strCache>
                <c:ptCount val="7"/>
                <c:pt idx="0">
                  <c:v>Males 0 to 9</c:v>
                </c:pt>
                <c:pt idx="1">
                  <c:v>Males 10 to 14</c:v>
                </c:pt>
                <c:pt idx="2">
                  <c:v>Males 15 to 17</c:v>
                </c:pt>
                <c:pt idx="4">
                  <c:v>Females 0 to 9</c:v>
                </c:pt>
                <c:pt idx="5">
                  <c:v>Females 10 to 14</c:v>
                </c:pt>
                <c:pt idx="6">
                  <c:v>Females 15 to 17</c:v>
                </c:pt>
              </c:strCache>
            </c:strRef>
          </c:cat>
          <c:val>
            <c:numRef>
              <c:f>'Table 4'!$AS$11:$AS$17</c:f>
              <c:numCache>
                <c:formatCode>General</c:formatCode>
                <c:ptCount val="7"/>
                <c:pt idx="0">
                  <c:v>0</c:v>
                </c:pt>
                <c:pt idx="1">
                  <c:v>0</c:v>
                </c:pt>
                <c:pt idx="2">
                  <c:v>0</c:v>
                </c:pt>
                <c:pt idx="4">
                  <c:v>0</c:v>
                </c:pt>
                <c:pt idx="5">
                  <c:v>0</c:v>
                </c:pt>
                <c:pt idx="6">
                  <c:v>3</c:v>
                </c:pt>
              </c:numCache>
            </c:numRef>
          </c:val>
        </c:ser>
        <c:dLbls>
          <c:showLegendKey val="0"/>
          <c:showVal val="0"/>
          <c:showCatName val="0"/>
          <c:showSerName val="0"/>
          <c:showPercent val="0"/>
          <c:showBubbleSize val="0"/>
        </c:dLbls>
        <c:gapWidth val="219"/>
        <c:overlap val="-27"/>
        <c:axId val="50419440"/>
        <c:axId val="50419832"/>
      </c:barChart>
      <c:catAx>
        <c:axId val="504194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0419832"/>
        <c:crosses val="autoZero"/>
        <c:auto val="1"/>
        <c:lblAlgn val="ctr"/>
        <c:lblOffset val="100"/>
        <c:noMultiLvlLbl val="0"/>
      </c:catAx>
      <c:valAx>
        <c:axId val="5041983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041944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solidFill>
                  <a:sysClr val="windowText" lastClr="000000"/>
                </a:solidFill>
              </a:rPr>
              <a:t>Figure</a:t>
            </a:r>
            <a:r>
              <a:rPr lang="en-AU" baseline="0">
                <a:solidFill>
                  <a:sysClr val="windowText" lastClr="000000"/>
                </a:solidFill>
              </a:rPr>
              <a:t> 11: Number of Aboriginal and Torres Strait Islander child victims of sexual assault, by offender type, by the victim's sex and by the victim's age (New South Wales, 2010-2013)</a:t>
            </a:r>
            <a:endParaRPr lang="en-AU">
              <a:solidFill>
                <a:sysClr val="windowText" lastClr="000000"/>
              </a:solidFill>
            </a:endParaRPr>
          </a:p>
        </c:rich>
      </c:tx>
      <c:overlay val="0"/>
      <c:spPr>
        <a:noFill/>
        <a:ln>
          <a:noFill/>
        </a:ln>
        <a:effectLst/>
      </c:spPr>
    </c:title>
    <c:autoTitleDeleted val="0"/>
    <c:plotArea>
      <c:layout/>
      <c:barChart>
        <c:barDir val="col"/>
        <c:grouping val="clustered"/>
        <c:varyColors val="0"/>
        <c:ser>
          <c:idx val="0"/>
          <c:order val="0"/>
          <c:tx>
            <c:strRef>
              <c:f>'Table 5'!$AS$12</c:f>
              <c:strCache>
                <c:ptCount val="1"/>
                <c:pt idx="0">
                  <c:v>Parent</c:v>
                </c:pt>
              </c:strCache>
            </c:strRef>
          </c:tx>
          <c:spPr>
            <a:pattFill prst="pct20">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5'!$AR$13:$AR$19</c:f>
              <c:strCache>
                <c:ptCount val="7"/>
                <c:pt idx="0">
                  <c:v>Males 0 to 9</c:v>
                </c:pt>
                <c:pt idx="1">
                  <c:v>Males 10 to 14</c:v>
                </c:pt>
                <c:pt idx="2">
                  <c:v>Males 15 to 17</c:v>
                </c:pt>
                <c:pt idx="4">
                  <c:v>Females 0 to 9</c:v>
                </c:pt>
                <c:pt idx="5">
                  <c:v>Females 10 to 14</c:v>
                </c:pt>
                <c:pt idx="6">
                  <c:v>Females 15 to 17</c:v>
                </c:pt>
              </c:strCache>
            </c:strRef>
          </c:cat>
          <c:val>
            <c:numRef>
              <c:f>'Table 5'!$AS$13:$AS$19</c:f>
              <c:numCache>
                <c:formatCode>General</c:formatCode>
                <c:ptCount val="7"/>
                <c:pt idx="0">
                  <c:v>30</c:v>
                </c:pt>
                <c:pt idx="1">
                  <c:v>14</c:v>
                </c:pt>
                <c:pt idx="2">
                  <c:v>6</c:v>
                </c:pt>
                <c:pt idx="4">
                  <c:v>76</c:v>
                </c:pt>
                <c:pt idx="5">
                  <c:v>57</c:v>
                </c:pt>
                <c:pt idx="6">
                  <c:v>26</c:v>
                </c:pt>
              </c:numCache>
            </c:numRef>
          </c:val>
        </c:ser>
        <c:ser>
          <c:idx val="1"/>
          <c:order val="1"/>
          <c:tx>
            <c:strRef>
              <c:f>'Table 5'!$AT$12</c:f>
              <c:strCache>
                <c:ptCount val="1"/>
                <c:pt idx="0">
                  <c:v>Partner</c:v>
                </c:pt>
              </c:strCache>
            </c:strRef>
          </c:tx>
          <c:spPr>
            <a:pattFill prst="pct75">
              <a:fgClr>
                <a:schemeClr val="tx1"/>
              </a:fgClr>
              <a:bgClr>
                <a:schemeClr val="bg1"/>
              </a:bgClr>
            </a:pattFill>
            <a:ln>
              <a:solidFill>
                <a:schemeClr val="tx1"/>
              </a:solidFill>
            </a:ln>
            <a:effectLst/>
          </c:spPr>
          <c:invertIfNegative val="0"/>
          <c:dLbls>
            <c:dLbl>
              <c:idx val="0"/>
              <c:delete val="1"/>
              <c:extLst>
                <c:ext xmlns:c15="http://schemas.microsoft.com/office/drawing/2012/chart" uri="{CE6537A1-D6FC-4f65-9D91-7224C49458BB}"/>
              </c:extLst>
            </c:dLbl>
            <c:dLbl>
              <c:idx val="4"/>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0">
                <a:spAutoFit/>
              </a:bodyPr>
              <a:lstStyle/>
              <a:p>
                <a:pPr algn="ctr">
                  <a:defRPr lang="en-AU"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5'!$AR$13:$AR$19</c:f>
              <c:strCache>
                <c:ptCount val="7"/>
                <c:pt idx="0">
                  <c:v>Males 0 to 9</c:v>
                </c:pt>
                <c:pt idx="1">
                  <c:v>Males 10 to 14</c:v>
                </c:pt>
                <c:pt idx="2">
                  <c:v>Males 15 to 17</c:v>
                </c:pt>
                <c:pt idx="4">
                  <c:v>Females 0 to 9</c:v>
                </c:pt>
                <c:pt idx="5">
                  <c:v>Females 10 to 14</c:v>
                </c:pt>
                <c:pt idx="6">
                  <c:v>Females 15 to 17</c:v>
                </c:pt>
              </c:strCache>
            </c:strRef>
          </c:cat>
          <c:val>
            <c:numRef>
              <c:f>'Table 5'!$AT$13:$AT$19</c:f>
              <c:numCache>
                <c:formatCode>General</c:formatCode>
                <c:ptCount val="7"/>
                <c:pt idx="0">
                  <c:v>0</c:v>
                </c:pt>
                <c:pt idx="1">
                  <c:v>3</c:v>
                </c:pt>
                <c:pt idx="2">
                  <c:v>3</c:v>
                </c:pt>
                <c:pt idx="4">
                  <c:v>0</c:v>
                </c:pt>
                <c:pt idx="5">
                  <c:v>41</c:v>
                </c:pt>
                <c:pt idx="6">
                  <c:v>39</c:v>
                </c:pt>
              </c:numCache>
            </c:numRef>
          </c:val>
        </c:ser>
        <c:ser>
          <c:idx val="2"/>
          <c:order val="2"/>
          <c:tx>
            <c:strRef>
              <c:f>'Table 5'!$AU$12</c:f>
              <c:strCache>
                <c:ptCount val="1"/>
                <c:pt idx="0">
                  <c:v>Sibling</c:v>
                </c:pt>
              </c:strCache>
            </c:strRef>
          </c:tx>
          <c:spPr>
            <a:solidFill>
              <a:schemeClr val="bg1">
                <a:lumMod val="50000"/>
              </a:schemeClr>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5'!$AR$13:$AR$19</c:f>
              <c:strCache>
                <c:ptCount val="7"/>
                <c:pt idx="0">
                  <c:v>Males 0 to 9</c:v>
                </c:pt>
                <c:pt idx="1">
                  <c:v>Males 10 to 14</c:v>
                </c:pt>
                <c:pt idx="2">
                  <c:v>Males 15 to 17</c:v>
                </c:pt>
                <c:pt idx="4">
                  <c:v>Females 0 to 9</c:v>
                </c:pt>
                <c:pt idx="5">
                  <c:v>Females 10 to 14</c:v>
                </c:pt>
                <c:pt idx="6">
                  <c:v>Females 15 to 17</c:v>
                </c:pt>
              </c:strCache>
            </c:strRef>
          </c:cat>
          <c:val>
            <c:numRef>
              <c:f>'Table 5'!$AU$13:$AU$19</c:f>
              <c:numCache>
                <c:formatCode>General</c:formatCode>
                <c:ptCount val="7"/>
                <c:pt idx="0">
                  <c:v>17</c:v>
                </c:pt>
                <c:pt idx="1">
                  <c:v>9</c:v>
                </c:pt>
                <c:pt idx="2">
                  <c:v>3</c:v>
                </c:pt>
                <c:pt idx="4">
                  <c:v>29</c:v>
                </c:pt>
                <c:pt idx="5">
                  <c:v>20</c:v>
                </c:pt>
                <c:pt idx="6">
                  <c:v>6</c:v>
                </c:pt>
              </c:numCache>
            </c:numRef>
          </c:val>
        </c:ser>
        <c:ser>
          <c:idx val="3"/>
          <c:order val="3"/>
          <c:tx>
            <c:strRef>
              <c:f>'Table 5'!$AV$12</c:f>
              <c:strCache>
                <c:ptCount val="1"/>
                <c:pt idx="0">
                  <c:v>Other family member</c:v>
                </c:pt>
              </c:strCache>
            </c:strRef>
          </c:tx>
          <c:spPr>
            <a:pattFill prst="ltDnDiag">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5'!$AR$13:$AR$19</c:f>
              <c:strCache>
                <c:ptCount val="7"/>
                <c:pt idx="0">
                  <c:v>Males 0 to 9</c:v>
                </c:pt>
                <c:pt idx="1">
                  <c:v>Males 10 to 14</c:v>
                </c:pt>
                <c:pt idx="2">
                  <c:v>Males 15 to 17</c:v>
                </c:pt>
                <c:pt idx="4">
                  <c:v>Females 0 to 9</c:v>
                </c:pt>
                <c:pt idx="5">
                  <c:v>Females 10 to 14</c:v>
                </c:pt>
                <c:pt idx="6">
                  <c:v>Females 15 to 17</c:v>
                </c:pt>
              </c:strCache>
            </c:strRef>
          </c:cat>
          <c:val>
            <c:numRef>
              <c:f>'Table 5'!$AV$13:$AV$19</c:f>
              <c:numCache>
                <c:formatCode>General</c:formatCode>
                <c:ptCount val="7"/>
                <c:pt idx="0">
                  <c:v>27</c:v>
                </c:pt>
                <c:pt idx="1">
                  <c:v>10</c:v>
                </c:pt>
                <c:pt idx="2">
                  <c:v>9</c:v>
                </c:pt>
                <c:pt idx="4">
                  <c:v>86</c:v>
                </c:pt>
                <c:pt idx="5">
                  <c:v>60</c:v>
                </c:pt>
                <c:pt idx="6">
                  <c:v>46</c:v>
                </c:pt>
              </c:numCache>
            </c:numRef>
          </c:val>
        </c:ser>
        <c:ser>
          <c:idx val="4"/>
          <c:order val="4"/>
          <c:tx>
            <c:strRef>
              <c:f>'Table 5'!$AW$12</c:f>
              <c:strCache>
                <c:ptCount val="1"/>
                <c:pt idx="0">
                  <c:v>Non-family member</c:v>
                </c:pt>
              </c:strCache>
            </c:strRef>
          </c:tx>
          <c:spPr>
            <a:solidFill>
              <a:schemeClr val="tx1"/>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5'!$AR$13:$AR$19</c:f>
              <c:strCache>
                <c:ptCount val="7"/>
                <c:pt idx="0">
                  <c:v>Males 0 to 9</c:v>
                </c:pt>
                <c:pt idx="1">
                  <c:v>Males 10 to 14</c:v>
                </c:pt>
                <c:pt idx="2">
                  <c:v>Males 15 to 17</c:v>
                </c:pt>
                <c:pt idx="4">
                  <c:v>Females 0 to 9</c:v>
                </c:pt>
                <c:pt idx="5">
                  <c:v>Females 10 to 14</c:v>
                </c:pt>
                <c:pt idx="6">
                  <c:v>Females 15 to 17</c:v>
                </c:pt>
              </c:strCache>
            </c:strRef>
          </c:cat>
          <c:val>
            <c:numRef>
              <c:f>'Table 5'!$AW$13:$AW$19</c:f>
              <c:numCache>
                <c:formatCode>General</c:formatCode>
                <c:ptCount val="7"/>
                <c:pt idx="0">
                  <c:v>45</c:v>
                </c:pt>
                <c:pt idx="1">
                  <c:v>53</c:v>
                </c:pt>
                <c:pt idx="2">
                  <c:v>18</c:v>
                </c:pt>
                <c:pt idx="4">
                  <c:v>77</c:v>
                </c:pt>
                <c:pt idx="5">
                  <c:v>222</c:v>
                </c:pt>
                <c:pt idx="6">
                  <c:v>110</c:v>
                </c:pt>
              </c:numCache>
            </c:numRef>
          </c:val>
        </c:ser>
        <c:ser>
          <c:idx val="5"/>
          <c:order val="5"/>
          <c:tx>
            <c:strRef>
              <c:f>'Table 5'!$AX$12</c:f>
              <c:strCache>
                <c:ptCount val="1"/>
                <c:pt idx="0">
                  <c:v>Stranger</c:v>
                </c:pt>
              </c:strCache>
            </c:strRef>
          </c:tx>
          <c:spPr>
            <a:solidFill>
              <a:schemeClr val="bg1">
                <a:lumMod val="85000"/>
              </a:schemeClr>
            </a:solidFill>
            <a:ln>
              <a:solidFill>
                <a:schemeClr val="tx1"/>
              </a:solidFill>
            </a:ln>
            <a:effectLst/>
          </c:spPr>
          <c:invertIfNegative val="0"/>
          <c:dLbls>
            <c:dLbl>
              <c:idx val="0"/>
              <c:delete val="1"/>
              <c:extLst>
                <c:ext xmlns:c15="http://schemas.microsoft.com/office/drawing/2012/chart" uri="{CE6537A1-D6FC-4f65-9D91-7224C49458BB}"/>
              </c:extLst>
            </c:dLbl>
            <c:dLbl>
              <c:idx val="2"/>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5'!$AR$13:$AR$19</c:f>
              <c:strCache>
                <c:ptCount val="7"/>
                <c:pt idx="0">
                  <c:v>Males 0 to 9</c:v>
                </c:pt>
                <c:pt idx="1">
                  <c:v>Males 10 to 14</c:v>
                </c:pt>
                <c:pt idx="2">
                  <c:v>Males 15 to 17</c:v>
                </c:pt>
                <c:pt idx="4">
                  <c:v>Females 0 to 9</c:v>
                </c:pt>
                <c:pt idx="5">
                  <c:v>Females 10 to 14</c:v>
                </c:pt>
                <c:pt idx="6">
                  <c:v>Females 15 to 17</c:v>
                </c:pt>
              </c:strCache>
            </c:strRef>
          </c:cat>
          <c:val>
            <c:numRef>
              <c:f>'Table 5'!$AX$13:$AX$19</c:f>
              <c:numCache>
                <c:formatCode>General</c:formatCode>
                <c:ptCount val="7"/>
                <c:pt idx="0">
                  <c:v>0</c:v>
                </c:pt>
                <c:pt idx="1">
                  <c:v>4</c:v>
                </c:pt>
                <c:pt idx="2">
                  <c:v>0</c:v>
                </c:pt>
                <c:pt idx="4">
                  <c:v>6</c:v>
                </c:pt>
                <c:pt idx="5">
                  <c:v>17</c:v>
                </c:pt>
                <c:pt idx="6">
                  <c:v>14</c:v>
                </c:pt>
              </c:numCache>
            </c:numRef>
          </c:val>
        </c:ser>
        <c:dLbls>
          <c:showLegendKey val="0"/>
          <c:showVal val="0"/>
          <c:showCatName val="0"/>
          <c:showSerName val="0"/>
          <c:showPercent val="0"/>
          <c:showBubbleSize val="0"/>
        </c:dLbls>
        <c:gapWidth val="219"/>
        <c:overlap val="-27"/>
        <c:axId val="50420616"/>
        <c:axId val="50421008"/>
      </c:barChart>
      <c:catAx>
        <c:axId val="504206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0421008"/>
        <c:crosses val="autoZero"/>
        <c:auto val="1"/>
        <c:lblAlgn val="ctr"/>
        <c:lblOffset val="100"/>
        <c:noMultiLvlLbl val="0"/>
      </c:catAx>
      <c:valAx>
        <c:axId val="5042100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042061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solidFill>
                  <a:sysClr val="windowText" lastClr="000000"/>
                </a:solidFill>
              </a:rPr>
              <a:t>Figure 12: Number of non-Indigenous child victims of sexual assault, by offender type, by the victim's sex and by the victim's age (New South Wales, 2010-2013)</a:t>
            </a:r>
          </a:p>
        </c:rich>
      </c:tx>
      <c:overlay val="0"/>
      <c:spPr>
        <a:noFill/>
        <a:ln>
          <a:noFill/>
        </a:ln>
        <a:effectLst/>
      </c:spPr>
    </c:title>
    <c:autoTitleDeleted val="0"/>
    <c:plotArea>
      <c:layout/>
      <c:barChart>
        <c:barDir val="col"/>
        <c:grouping val="clustered"/>
        <c:varyColors val="0"/>
        <c:ser>
          <c:idx val="0"/>
          <c:order val="0"/>
          <c:tx>
            <c:strRef>
              <c:f>'Table 5'!$AS$29</c:f>
              <c:strCache>
                <c:ptCount val="1"/>
                <c:pt idx="0">
                  <c:v>Parent</c:v>
                </c:pt>
              </c:strCache>
            </c:strRef>
          </c:tx>
          <c:spPr>
            <a:pattFill prst="pct20">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5'!$AR$30:$AR$36</c:f>
              <c:strCache>
                <c:ptCount val="7"/>
                <c:pt idx="0">
                  <c:v>Males 0 to 9</c:v>
                </c:pt>
                <c:pt idx="1">
                  <c:v>Males 10 to 14</c:v>
                </c:pt>
                <c:pt idx="2">
                  <c:v>Males 15 to 17</c:v>
                </c:pt>
                <c:pt idx="4">
                  <c:v>Females 0 to 9</c:v>
                </c:pt>
                <c:pt idx="5">
                  <c:v>Females 10 to 14</c:v>
                </c:pt>
                <c:pt idx="6">
                  <c:v>Females 15 to 17</c:v>
                </c:pt>
              </c:strCache>
            </c:strRef>
          </c:cat>
          <c:val>
            <c:numRef>
              <c:f>'Table 5'!$AS$30:$AS$36</c:f>
              <c:numCache>
                <c:formatCode>General</c:formatCode>
                <c:ptCount val="7"/>
                <c:pt idx="0">
                  <c:v>279</c:v>
                </c:pt>
                <c:pt idx="1">
                  <c:v>87</c:v>
                </c:pt>
                <c:pt idx="2">
                  <c:v>43</c:v>
                </c:pt>
                <c:pt idx="4">
                  <c:v>678</c:v>
                </c:pt>
                <c:pt idx="5">
                  <c:v>509</c:v>
                </c:pt>
                <c:pt idx="6">
                  <c:v>285</c:v>
                </c:pt>
              </c:numCache>
            </c:numRef>
          </c:val>
        </c:ser>
        <c:ser>
          <c:idx val="1"/>
          <c:order val="1"/>
          <c:tx>
            <c:strRef>
              <c:f>'Table 5'!$AT$29</c:f>
              <c:strCache>
                <c:ptCount val="1"/>
                <c:pt idx="0">
                  <c:v>Partner</c:v>
                </c:pt>
              </c:strCache>
            </c:strRef>
          </c:tx>
          <c:spPr>
            <a:pattFill prst="pct75">
              <a:fgClr>
                <a:schemeClr val="tx1"/>
              </a:fgClr>
              <a:bgClr>
                <a:schemeClr val="bg1"/>
              </a:bgClr>
            </a:pattFill>
            <a:ln>
              <a:solidFill>
                <a:schemeClr val="tx1"/>
              </a:solidFill>
            </a:ln>
            <a:effectLst/>
          </c:spPr>
          <c:invertIfNegative val="0"/>
          <c:dLbls>
            <c:dLbl>
              <c:idx val="0"/>
              <c:delete val="1"/>
              <c:extLst>
                <c:ext xmlns:c15="http://schemas.microsoft.com/office/drawing/2012/chart" uri="{CE6537A1-D6FC-4f65-9D91-7224C49458BB}"/>
              </c:extLst>
            </c:dLbl>
            <c:dLbl>
              <c:idx val="4"/>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0">
                <a:spAutoFit/>
              </a:bodyPr>
              <a:lstStyle/>
              <a:p>
                <a:pPr algn="ctr">
                  <a:defRPr lang="en-AU"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5'!$AR$30:$AR$36</c:f>
              <c:strCache>
                <c:ptCount val="7"/>
                <c:pt idx="0">
                  <c:v>Males 0 to 9</c:v>
                </c:pt>
                <c:pt idx="1">
                  <c:v>Males 10 to 14</c:v>
                </c:pt>
                <c:pt idx="2">
                  <c:v>Males 15 to 17</c:v>
                </c:pt>
                <c:pt idx="4">
                  <c:v>Females 0 to 9</c:v>
                </c:pt>
                <c:pt idx="5">
                  <c:v>Females 10 to 14</c:v>
                </c:pt>
                <c:pt idx="6">
                  <c:v>Females 15 to 17</c:v>
                </c:pt>
              </c:strCache>
            </c:strRef>
          </c:cat>
          <c:val>
            <c:numRef>
              <c:f>'Table 5'!$AT$30:$AT$36</c:f>
              <c:numCache>
                <c:formatCode>General</c:formatCode>
                <c:ptCount val="7"/>
                <c:pt idx="0">
                  <c:v>0</c:v>
                </c:pt>
                <c:pt idx="1">
                  <c:v>20</c:v>
                </c:pt>
                <c:pt idx="2">
                  <c:v>18</c:v>
                </c:pt>
                <c:pt idx="4">
                  <c:v>0</c:v>
                </c:pt>
                <c:pt idx="5">
                  <c:v>279</c:v>
                </c:pt>
                <c:pt idx="6">
                  <c:v>313</c:v>
                </c:pt>
              </c:numCache>
            </c:numRef>
          </c:val>
        </c:ser>
        <c:ser>
          <c:idx val="2"/>
          <c:order val="2"/>
          <c:tx>
            <c:strRef>
              <c:f>'Table 5'!$AU$29</c:f>
              <c:strCache>
                <c:ptCount val="1"/>
                <c:pt idx="0">
                  <c:v>Sibling</c:v>
                </c:pt>
              </c:strCache>
            </c:strRef>
          </c:tx>
          <c:spPr>
            <a:solidFill>
              <a:schemeClr val="bg1">
                <a:lumMod val="50000"/>
              </a:schemeClr>
            </a:solidFill>
            <a:ln>
              <a:solidFill>
                <a:schemeClr val="tx1"/>
              </a:solidFill>
            </a:ln>
            <a:effectLst/>
          </c:spPr>
          <c:invertIfNegative val="0"/>
          <c:dLbls>
            <c:dLbl>
              <c:idx val="0"/>
              <c:layout>
                <c:manualLayout>
                  <c:x val="0"/>
                  <c:y val="1.32129486897158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5'!$AR$30:$AR$36</c:f>
              <c:strCache>
                <c:ptCount val="7"/>
                <c:pt idx="0">
                  <c:v>Males 0 to 9</c:v>
                </c:pt>
                <c:pt idx="1">
                  <c:v>Males 10 to 14</c:v>
                </c:pt>
                <c:pt idx="2">
                  <c:v>Males 15 to 17</c:v>
                </c:pt>
                <c:pt idx="4">
                  <c:v>Females 0 to 9</c:v>
                </c:pt>
                <c:pt idx="5">
                  <c:v>Females 10 to 14</c:v>
                </c:pt>
                <c:pt idx="6">
                  <c:v>Females 15 to 17</c:v>
                </c:pt>
              </c:strCache>
            </c:strRef>
          </c:cat>
          <c:val>
            <c:numRef>
              <c:f>'Table 5'!$AU$30:$AU$36</c:f>
              <c:numCache>
                <c:formatCode>General</c:formatCode>
                <c:ptCount val="7"/>
                <c:pt idx="0">
                  <c:v>101</c:v>
                </c:pt>
                <c:pt idx="1">
                  <c:v>49</c:v>
                </c:pt>
                <c:pt idx="2">
                  <c:v>5</c:v>
                </c:pt>
                <c:pt idx="4">
                  <c:v>196</c:v>
                </c:pt>
                <c:pt idx="5">
                  <c:v>132</c:v>
                </c:pt>
                <c:pt idx="6">
                  <c:v>63</c:v>
                </c:pt>
              </c:numCache>
            </c:numRef>
          </c:val>
        </c:ser>
        <c:ser>
          <c:idx val="3"/>
          <c:order val="3"/>
          <c:tx>
            <c:strRef>
              <c:f>'Table 5'!$AV$29</c:f>
              <c:strCache>
                <c:ptCount val="1"/>
                <c:pt idx="0">
                  <c:v>Other family member</c:v>
                </c:pt>
              </c:strCache>
            </c:strRef>
          </c:tx>
          <c:spPr>
            <a:pattFill prst="ltDnDiag">
              <a:fgClr>
                <a:schemeClr val="tx1"/>
              </a:fgClr>
              <a:bgClr>
                <a:schemeClr val="bg1"/>
              </a:bgClr>
            </a:pattFill>
            <a:ln>
              <a:solidFill>
                <a:schemeClr val="tx1"/>
              </a:solidFill>
            </a:ln>
            <a:effectLst/>
          </c:spPr>
          <c:invertIfNegative val="0"/>
          <c:dLbls>
            <c:dLbl>
              <c:idx val="4"/>
              <c:layout>
                <c:manualLayout>
                  <c:x val="-4.4101433296582998E-3"/>
                  <c:y val="1.3212948689715899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5'!$AR$30:$AR$36</c:f>
              <c:strCache>
                <c:ptCount val="7"/>
                <c:pt idx="0">
                  <c:v>Males 0 to 9</c:v>
                </c:pt>
                <c:pt idx="1">
                  <c:v>Males 10 to 14</c:v>
                </c:pt>
                <c:pt idx="2">
                  <c:v>Males 15 to 17</c:v>
                </c:pt>
                <c:pt idx="4">
                  <c:v>Females 0 to 9</c:v>
                </c:pt>
                <c:pt idx="5">
                  <c:v>Females 10 to 14</c:v>
                </c:pt>
                <c:pt idx="6">
                  <c:v>Females 15 to 17</c:v>
                </c:pt>
              </c:strCache>
            </c:strRef>
          </c:cat>
          <c:val>
            <c:numRef>
              <c:f>'Table 5'!$AV$30:$AV$36</c:f>
              <c:numCache>
                <c:formatCode>General</c:formatCode>
                <c:ptCount val="7"/>
                <c:pt idx="0">
                  <c:v>226</c:v>
                </c:pt>
                <c:pt idx="1">
                  <c:v>96</c:v>
                </c:pt>
                <c:pt idx="2">
                  <c:v>32</c:v>
                </c:pt>
                <c:pt idx="4">
                  <c:v>503</c:v>
                </c:pt>
                <c:pt idx="5">
                  <c:v>375</c:v>
                </c:pt>
                <c:pt idx="6">
                  <c:v>215</c:v>
                </c:pt>
              </c:numCache>
            </c:numRef>
          </c:val>
        </c:ser>
        <c:ser>
          <c:idx val="4"/>
          <c:order val="4"/>
          <c:tx>
            <c:strRef>
              <c:f>'Table 5'!$AW$29</c:f>
              <c:strCache>
                <c:ptCount val="1"/>
                <c:pt idx="0">
                  <c:v>Non-family member</c:v>
                </c:pt>
              </c:strCache>
            </c:strRef>
          </c:tx>
          <c:spPr>
            <a:solidFill>
              <a:schemeClr val="tx1"/>
            </a:solidFill>
            <a:ln>
              <a:solidFill>
                <a:schemeClr val="tx1"/>
              </a:solidFill>
            </a:ln>
            <a:effectLst/>
          </c:spPr>
          <c:invertIfNegative val="0"/>
          <c:dLbls>
            <c:dLbl>
              <c:idx val="0"/>
              <c:layout>
                <c:manualLayout>
                  <c:x val="8.8202866593164297E-3"/>
                  <c:y val="8.8086324598106204E-3"/>
                </c:manualLayout>
              </c:layout>
              <c:showLegendKey val="0"/>
              <c:showVal val="1"/>
              <c:showCatName val="0"/>
              <c:showSerName val="0"/>
              <c:showPercent val="0"/>
              <c:showBubbleSize val="0"/>
              <c:extLst>
                <c:ext xmlns:c15="http://schemas.microsoft.com/office/drawing/2012/chart" uri="{CE6537A1-D6FC-4f65-9D91-7224C49458BB}"/>
              </c:extLst>
            </c:dLbl>
            <c:dLbl>
              <c:idx val="4"/>
              <c:layout>
                <c:manualLayout>
                  <c:x val="4.4101433296581298E-3"/>
                  <c:y val="2.2021581149526501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5'!$AR$30:$AR$36</c:f>
              <c:strCache>
                <c:ptCount val="7"/>
                <c:pt idx="0">
                  <c:v>Males 0 to 9</c:v>
                </c:pt>
                <c:pt idx="1">
                  <c:v>Males 10 to 14</c:v>
                </c:pt>
                <c:pt idx="2">
                  <c:v>Males 15 to 17</c:v>
                </c:pt>
                <c:pt idx="4">
                  <c:v>Females 0 to 9</c:v>
                </c:pt>
                <c:pt idx="5">
                  <c:v>Females 10 to 14</c:v>
                </c:pt>
                <c:pt idx="6">
                  <c:v>Females 15 to 17</c:v>
                </c:pt>
              </c:strCache>
            </c:strRef>
          </c:cat>
          <c:val>
            <c:numRef>
              <c:f>'Table 5'!$AW$30:$AW$36</c:f>
              <c:numCache>
                <c:formatCode>General</c:formatCode>
                <c:ptCount val="7"/>
                <c:pt idx="0">
                  <c:v>338</c:v>
                </c:pt>
                <c:pt idx="1">
                  <c:v>307</c:v>
                </c:pt>
                <c:pt idx="2">
                  <c:v>149</c:v>
                </c:pt>
                <c:pt idx="4">
                  <c:v>578</c:v>
                </c:pt>
                <c:pt idx="5">
                  <c:v>1357</c:v>
                </c:pt>
                <c:pt idx="6">
                  <c:v>1103</c:v>
                </c:pt>
              </c:numCache>
            </c:numRef>
          </c:val>
        </c:ser>
        <c:ser>
          <c:idx val="5"/>
          <c:order val="5"/>
          <c:tx>
            <c:strRef>
              <c:f>'Table 5'!$AX$29</c:f>
              <c:strCache>
                <c:ptCount val="1"/>
                <c:pt idx="0">
                  <c:v>Stranger</c:v>
                </c:pt>
              </c:strCache>
            </c:strRef>
          </c:tx>
          <c:spPr>
            <a:solidFill>
              <a:schemeClr val="bg1">
                <a:lumMod val="85000"/>
              </a:schemeClr>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5'!$AR$30:$AR$36</c:f>
              <c:strCache>
                <c:ptCount val="7"/>
                <c:pt idx="0">
                  <c:v>Males 0 to 9</c:v>
                </c:pt>
                <c:pt idx="1">
                  <c:v>Males 10 to 14</c:v>
                </c:pt>
                <c:pt idx="2">
                  <c:v>Males 15 to 17</c:v>
                </c:pt>
                <c:pt idx="4">
                  <c:v>Females 0 to 9</c:v>
                </c:pt>
                <c:pt idx="5">
                  <c:v>Females 10 to 14</c:v>
                </c:pt>
                <c:pt idx="6">
                  <c:v>Females 15 to 17</c:v>
                </c:pt>
              </c:strCache>
            </c:strRef>
          </c:cat>
          <c:val>
            <c:numRef>
              <c:f>'Table 5'!$AX$30:$AX$36</c:f>
              <c:numCache>
                <c:formatCode>General</c:formatCode>
                <c:ptCount val="7"/>
                <c:pt idx="0">
                  <c:v>17</c:v>
                </c:pt>
                <c:pt idx="1">
                  <c:v>12</c:v>
                </c:pt>
                <c:pt idx="2">
                  <c:v>12</c:v>
                </c:pt>
                <c:pt idx="4">
                  <c:v>23</c:v>
                </c:pt>
                <c:pt idx="5">
                  <c:v>80</c:v>
                </c:pt>
                <c:pt idx="6">
                  <c:v>126</c:v>
                </c:pt>
              </c:numCache>
            </c:numRef>
          </c:val>
        </c:ser>
        <c:dLbls>
          <c:showLegendKey val="0"/>
          <c:showVal val="0"/>
          <c:showCatName val="0"/>
          <c:showSerName val="0"/>
          <c:showPercent val="0"/>
          <c:showBubbleSize val="0"/>
        </c:dLbls>
        <c:gapWidth val="219"/>
        <c:overlap val="-27"/>
        <c:axId val="50421792"/>
        <c:axId val="50422184"/>
      </c:barChart>
      <c:catAx>
        <c:axId val="504217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0422184"/>
        <c:crosses val="autoZero"/>
        <c:auto val="1"/>
        <c:lblAlgn val="ctr"/>
        <c:lblOffset val="100"/>
        <c:noMultiLvlLbl val="0"/>
      </c:catAx>
      <c:valAx>
        <c:axId val="5042218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042179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solidFill>
                  <a:sysClr val="windowText" lastClr="000000"/>
                </a:solidFill>
              </a:rPr>
              <a:t>Figure</a:t>
            </a:r>
            <a:r>
              <a:rPr lang="en-AU" baseline="0">
                <a:solidFill>
                  <a:sysClr val="windowText" lastClr="000000"/>
                </a:solidFill>
              </a:rPr>
              <a:t> 13: Number of child victims of sexual assault where Aboriginal and Torres Strait Islander status is unknown, by offender type, by the victim's sex and by the victim's age (New South Wales, 2010-2013)</a:t>
            </a:r>
            <a:endParaRPr lang="en-AU">
              <a:solidFill>
                <a:sysClr val="windowText" lastClr="000000"/>
              </a:solidFill>
            </a:endParaRPr>
          </a:p>
        </c:rich>
      </c:tx>
      <c:overlay val="0"/>
      <c:spPr>
        <a:noFill/>
        <a:ln>
          <a:noFill/>
        </a:ln>
        <a:effectLst/>
      </c:spPr>
    </c:title>
    <c:autoTitleDeleted val="0"/>
    <c:plotArea>
      <c:layout/>
      <c:barChart>
        <c:barDir val="col"/>
        <c:grouping val="clustered"/>
        <c:varyColors val="0"/>
        <c:ser>
          <c:idx val="0"/>
          <c:order val="0"/>
          <c:tx>
            <c:strRef>
              <c:f>'Table 5'!$AS$46</c:f>
              <c:strCache>
                <c:ptCount val="1"/>
                <c:pt idx="0">
                  <c:v>Parent</c:v>
                </c:pt>
              </c:strCache>
            </c:strRef>
          </c:tx>
          <c:spPr>
            <a:pattFill prst="pct20">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5'!$AR$47:$AR$53</c:f>
              <c:strCache>
                <c:ptCount val="7"/>
                <c:pt idx="0">
                  <c:v>Males 0 to 9</c:v>
                </c:pt>
                <c:pt idx="1">
                  <c:v>Males 10 to 14</c:v>
                </c:pt>
                <c:pt idx="2">
                  <c:v>Males 15 to 17</c:v>
                </c:pt>
                <c:pt idx="4">
                  <c:v>Females 0 to 9</c:v>
                </c:pt>
                <c:pt idx="5">
                  <c:v>Females 10 to 14</c:v>
                </c:pt>
                <c:pt idx="6">
                  <c:v>Females 15 to 17</c:v>
                </c:pt>
              </c:strCache>
            </c:strRef>
          </c:cat>
          <c:val>
            <c:numRef>
              <c:f>'Table 5'!$AS$47:$AS$53</c:f>
              <c:numCache>
                <c:formatCode>General</c:formatCode>
                <c:ptCount val="7"/>
                <c:pt idx="0">
                  <c:v>26</c:v>
                </c:pt>
                <c:pt idx="1">
                  <c:v>8</c:v>
                </c:pt>
                <c:pt idx="2">
                  <c:v>6</c:v>
                </c:pt>
                <c:pt idx="4">
                  <c:v>55</c:v>
                </c:pt>
                <c:pt idx="5">
                  <c:v>56</c:v>
                </c:pt>
                <c:pt idx="6">
                  <c:v>37</c:v>
                </c:pt>
              </c:numCache>
            </c:numRef>
          </c:val>
        </c:ser>
        <c:ser>
          <c:idx val="1"/>
          <c:order val="1"/>
          <c:tx>
            <c:strRef>
              <c:f>'Table 5'!$AT$46</c:f>
              <c:strCache>
                <c:ptCount val="1"/>
                <c:pt idx="0">
                  <c:v>Partner</c:v>
                </c:pt>
              </c:strCache>
            </c:strRef>
          </c:tx>
          <c:spPr>
            <a:pattFill prst="pct75">
              <a:fgClr>
                <a:schemeClr val="tx1"/>
              </a:fgClr>
              <a:bgClr>
                <a:schemeClr val="bg1"/>
              </a:bgClr>
            </a:pattFill>
            <a:ln>
              <a:solidFill>
                <a:schemeClr val="tx1"/>
              </a:solidFill>
            </a:ln>
            <a:effectLst/>
          </c:spPr>
          <c:invertIfNegative val="0"/>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4"/>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0">
                <a:spAutoFit/>
              </a:bodyPr>
              <a:lstStyle/>
              <a:p>
                <a:pPr algn="ctr">
                  <a:defRPr lang="en-AU"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5'!$AR$47:$AR$53</c:f>
              <c:strCache>
                <c:ptCount val="7"/>
                <c:pt idx="0">
                  <c:v>Males 0 to 9</c:v>
                </c:pt>
                <c:pt idx="1">
                  <c:v>Males 10 to 14</c:v>
                </c:pt>
                <c:pt idx="2">
                  <c:v>Males 15 to 17</c:v>
                </c:pt>
                <c:pt idx="4">
                  <c:v>Females 0 to 9</c:v>
                </c:pt>
                <c:pt idx="5">
                  <c:v>Females 10 to 14</c:v>
                </c:pt>
                <c:pt idx="6">
                  <c:v>Females 15 to 17</c:v>
                </c:pt>
              </c:strCache>
            </c:strRef>
          </c:cat>
          <c:val>
            <c:numRef>
              <c:f>'Table 5'!$AT$47:$AT$53</c:f>
              <c:numCache>
                <c:formatCode>General</c:formatCode>
                <c:ptCount val="7"/>
                <c:pt idx="0">
                  <c:v>0</c:v>
                </c:pt>
                <c:pt idx="1">
                  <c:v>0</c:v>
                </c:pt>
                <c:pt idx="2">
                  <c:v>3</c:v>
                </c:pt>
                <c:pt idx="4">
                  <c:v>0</c:v>
                </c:pt>
                <c:pt idx="5">
                  <c:v>32</c:v>
                </c:pt>
                <c:pt idx="6">
                  <c:v>47</c:v>
                </c:pt>
              </c:numCache>
            </c:numRef>
          </c:val>
        </c:ser>
        <c:ser>
          <c:idx val="2"/>
          <c:order val="2"/>
          <c:tx>
            <c:strRef>
              <c:f>'Table 5'!$AU$46</c:f>
              <c:strCache>
                <c:ptCount val="1"/>
                <c:pt idx="0">
                  <c:v>Sibling</c:v>
                </c:pt>
              </c:strCache>
            </c:strRef>
          </c:tx>
          <c:spPr>
            <a:solidFill>
              <a:schemeClr val="bg1">
                <a:lumMod val="50000"/>
              </a:schemeClr>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5'!$AR$47:$AR$53</c:f>
              <c:strCache>
                <c:ptCount val="7"/>
                <c:pt idx="0">
                  <c:v>Males 0 to 9</c:v>
                </c:pt>
                <c:pt idx="1">
                  <c:v>Males 10 to 14</c:v>
                </c:pt>
                <c:pt idx="2">
                  <c:v>Males 15 to 17</c:v>
                </c:pt>
                <c:pt idx="4">
                  <c:v>Females 0 to 9</c:v>
                </c:pt>
                <c:pt idx="5">
                  <c:v>Females 10 to 14</c:v>
                </c:pt>
                <c:pt idx="6">
                  <c:v>Females 15 to 17</c:v>
                </c:pt>
              </c:strCache>
            </c:strRef>
          </c:cat>
          <c:val>
            <c:numRef>
              <c:f>'Table 5'!$AU$47:$AU$53</c:f>
              <c:numCache>
                <c:formatCode>General</c:formatCode>
                <c:ptCount val="7"/>
                <c:pt idx="0">
                  <c:v>12</c:v>
                </c:pt>
                <c:pt idx="1">
                  <c:v>9</c:v>
                </c:pt>
                <c:pt idx="2">
                  <c:v>3</c:v>
                </c:pt>
                <c:pt idx="4">
                  <c:v>27</c:v>
                </c:pt>
                <c:pt idx="5">
                  <c:v>23</c:v>
                </c:pt>
                <c:pt idx="6">
                  <c:v>10</c:v>
                </c:pt>
              </c:numCache>
            </c:numRef>
          </c:val>
        </c:ser>
        <c:ser>
          <c:idx val="3"/>
          <c:order val="3"/>
          <c:tx>
            <c:strRef>
              <c:f>'Table 5'!$AV$46</c:f>
              <c:strCache>
                <c:ptCount val="1"/>
                <c:pt idx="0">
                  <c:v>Other family member</c:v>
                </c:pt>
              </c:strCache>
            </c:strRef>
          </c:tx>
          <c:spPr>
            <a:pattFill prst="ltDnDiag">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5'!$AR$47:$AR$53</c:f>
              <c:strCache>
                <c:ptCount val="7"/>
                <c:pt idx="0">
                  <c:v>Males 0 to 9</c:v>
                </c:pt>
                <c:pt idx="1">
                  <c:v>Males 10 to 14</c:v>
                </c:pt>
                <c:pt idx="2">
                  <c:v>Males 15 to 17</c:v>
                </c:pt>
                <c:pt idx="4">
                  <c:v>Females 0 to 9</c:v>
                </c:pt>
                <c:pt idx="5">
                  <c:v>Females 10 to 14</c:v>
                </c:pt>
                <c:pt idx="6">
                  <c:v>Females 15 to 17</c:v>
                </c:pt>
              </c:strCache>
            </c:strRef>
          </c:cat>
          <c:val>
            <c:numRef>
              <c:f>'Table 5'!$AV$47:$AV$53</c:f>
              <c:numCache>
                <c:formatCode>General</c:formatCode>
                <c:ptCount val="7"/>
                <c:pt idx="0">
                  <c:v>32</c:v>
                </c:pt>
                <c:pt idx="1">
                  <c:v>11</c:v>
                </c:pt>
                <c:pt idx="2">
                  <c:v>3</c:v>
                </c:pt>
                <c:pt idx="4">
                  <c:v>48</c:v>
                </c:pt>
                <c:pt idx="5">
                  <c:v>38</c:v>
                </c:pt>
                <c:pt idx="6">
                  <c:v>22</c:v>
                </c:pt>
              </c:numCache>
            </c:numRef>
          </c:val>
        </c:ser>
        <c:ser>
          <c:idx val="4"/>
          <c:order val="4"/>
          <c:tx>
            <c:strRef>
              <c:f>'Table 5'!$AW$46</c:f>
              <c:strCache>
                <c:ptCount val="1"/>
                <c:pt idx="0">
                  <c:v>Non-family member</c:v>
                </c:pt>
              </c:strCache>
            </c:strRef>
          </c:tx>
          <c:spPr>
            <a:solidFill>
              <a:schemeClr val="tx1"/>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5'!$AR$47:$AR$53</c:f>
              <c:strCache>
                <c:ptCount val="7"/>
                <c:pt idx="0">
                  <c:v>Males 0 to 9</c:v>
                </c:pt>
                <c:pt idx="1">
                  <c:v>Males 10 to 14</c:v>
                </c:pt>
                <c:pt idx="2">
                  <c:v>Males 15 to 17</c:v>
                </c:pt>
                <c:pt idx="4">
                  <c:v>Females 0 to 9</c:v>
                </c:pt>
                <c:pt idx="5">
                  <c:v>Females 10 to 14</c:v>
                </c:pt>
                <c:pt idx="6">
                  <c:v>Females 15 to 17</c:v>
                </c:pt>
              </c:strCache>
            </c:strRef>
          </c:cat>
          <c:val>
            <c:numRef>
              <c:f>'Table 5'!$AW$47:$AW$53</c:f>
              <c:numCache>
                <c:formatCode>General</c:formatCode>
                <c:ptCount val="7"/>
                <c:pt idx="0">
                  <c:v>39</c:v>
                </c:pt>
                <c:pt idx="1">
                  <c:v>31</c:v>
                </c:pt>
                <c:pt idx="2">
                  <c:v>18</c:v>
                </c:pt>
                <c:pt idx="4">
                  <c:v>54</c:v>
                </c:pt>
                <c:pt idx="5">
                  <c:v>127</c:v>
                </c:pt>
                <c:pt idx="6">
                  <c:v>98</c:v>
                </c:pt>
              </c:numCache>
            </c:numRef>
          </c:val>
        </c:ser>
        <c:ser>
          <c:idx val="5"/>
          <c:order val="5"/>
          <c:tx>
            <c:strRef>
              <c:f>'Table 5'!$AX$46</c:f>
              <c:strCache>
                <c:ptCount val="1"/>
                <c:pt idx="0">
                  <c:v>Stranger</c:v>
                </c:pt>
              </c:strCache>
            </c:strRef>
          </c:tx>
          <c:spPr>
            <a:solidFill>
              <a:schemeClr val="bg1">
                <a:lumMod val="85000"/>
              </a:schemeClr>
            </a:solidFill>
            <a:ln>
              <a:solidFill>
                <a:schemeClr val="tx1"/>
              </a:solidFill>
            </a:ln>
            <a:effectLst/>
          </c:spPr>
          <c:invertIfNegative val="0"/>
          <c:dLbls>
            <c:dLbl>
              <c:idx val="0"/>
              <c:delete val="1"/>
              <c:extLst>
                <c:ext xmlns:c15="http://schemas.microsoft.com/office/drawing/2012/chart" uri="{CE6537A1-D6FC-4f65-9D91-7224C49458BB}"/>
              </c:extLst>
            </c:dLbl>
            <c:dLbl>
              <c:idx val="2"/>
              <c:delete val="1"/>
              <c:extLst>
                <c:ext xmlns:c15="http://schemas.microsoft.com/office/drawing/2012/chart" uri="{CE6537A1-D6FC-4f65-9D91-7224C49458BB}"/>
              </c:extLst>
            </c:dLbl>
            <c:dLbl>
              <c:idx val="4"/>
              <c:delete val="1"/>
              <c:extLst>
                <c:ext xmlns:c15="http://schemas.microsoft.com/office/drawing/2012/chart" uri="{CE6537A1-D6FC-4f65-9D91-7224C49458BB}"/>
              </c:extLst>
            </c:dLbl>
            <c:dLbl>
              <c:idx val="5"/>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5'!$AR$47:$AR$53</c:f>
              <c:strCache>
                <c:ptCount val="7"/>
                <c:pt idx="0">
                  <c:v>Males 0 to 9</c:v>
                </c:pt>
                <c:pt idx="1">
                  <c:v>Males 10 to 14</c:v>
                </c:pt>
                <c:pt idx="2">
                  <c:v>Males 15 to 17</c:v>
                </c:pt>
                <c:pt idx="4">
                  <c:v>Females 0 to 9</c:v>
                </c:pt>
                <c:pt idx="5">
                  <c:v>Females 10 to 14</c:v>
                </c:pt>
                <c:pt idx="6">
                  <c:v>Females 15 to 17</c:v>
                </c:pt>
              </c:strCache>
            </c:strRef>
          </c:cat>
          <c:val>
            <c:numRef>
              <c:f>'Table 5'!$AX$47:$AX$53</c:f>
              <c:numCache>
                <c:formatCode>General</c:formatCode>
                <c:ptCount val="7"/>
                <c:pt idx="0">
                  <c:v>0</c:v>
                </c:pt>
                <c:pt idx="1">
                  <c:v>3</c:v>
                </c:pt>
                <c:pt idx="2">
                  <c:v>0</c:v>
                </c:pt>
                <c:pt idx="4">
                  <c:v>0</c:v>
                </c:pt>
                <c:pt idx="5">
                  <c:v>0</c:v>
                </c:pt>
                <c:pt idx="6">
                  <c:v>15</c:v>
                </c:pt>
              </c:numCache>
            </c:numRef>
          </c:val>
        </c:ser>
        <c:dLbls>
          <c:showLegendKey val="0"/>
          <c:showVal val="0"/>
          <c:showCatName val="0"/>
          <c:showSerName val="0"/>
          <c:showPercent val="0"/>
          <c:showBubbleSize val="0"/>
        </c:dLbls>
        <c:gapWidth val="219"/>
        <c:overlap val="-27"/>
        <c:axId val="50422576"/>
        <c:axId val="50422968"/>
      </c:barChart>
      <c:catAx>
        <c:axId val="504225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0422968"/>
        <c:crosses val="autoZero"/>
        <c:auto val="1"/>
        <c:lblAlgn val="ctr"/>
        <c:lblOffset val="100"/>
        <c:noMultiLvlLbl val="0"/>
      </c:catAx>
      <c:valAx>
        <c:axId val="5042296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042257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solidFill>
                  <a:sysClr val="windowText" lastClr="000000"/>
                </a:solidFill>
              </a:rPr>
              <a:t>Figure</a:t>
            </a:r>
            <a:r>
              <a:rPr lang="en-AU" baseline="0">
                <a:solidFill>
                  <a:sysClr val="windowText" lastClr="000000"/>
                </a:solidFill>
              </a:rPr>
              <a:t> 14: Number of Aboriginal and Torres Strait Islander child victims of sexual assault, by offender type, by the victim's sex and by the victim's age (Queensland, 2010-2013)</a:t>
            </a:r>
            <a:endParaRPr lang="en-AU">
              <a:solidFill>
                <a:sysClr val="windowText" lastClr="000000"/>
              </a:solidFill>
            </a:endParaRPr>
          </a:p>
        </c:rich>
      </c:tx>
      <c:overlay val="0"/>
      <c:spPr>
        <a:noFill/>
        <a:ln>
          <a:noFill/>
        </a:ln>
        <a:effectLst/>
      </c:spPr>
    </c:title>
    <c:autoTitleDeleted val="0"/>
    <c:plotArea>
      <c:layout/>
      <c:barChart>
        <c:barDir val="col"/>
        <c:grouping val="clustered"/>
        <c:varyColors val="0"/>
        <c:ser>
          <c:idx val="0"/>
          <c:order val="0"/>
          <c:tx>
            <c:strRef>
              <c:f>'Table 7'!$AO$11</c:f>
              <c:strCache>
                <c:ptCount val="1"/>
                <c:pt idx="0">
                  <c:v>Parent</c:v>
                </c:pt>
              </c:strCache>
            </c:strRef>
          </c:tx>
          <c:spPr>
            <a:pattFill prst="pct20">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7'!$AN$12:$AN$18</c:f>
              <c:strCache>
                <c:ptCount val="7"/>
                <c:pt idx="0">
                  <c:v>Males 0 to 9</c:v>
                </c:pt>
                <c:pt idx="1">
                  <c:v>Males 10 to 14</c:v>
                </c:pt>
                <c:pt idx="2">
                  <c:v>Males 15 to 17</c:v>
                </c:pt>
                <c:pt idx="4">
                  <c:v>Females 0 to 9</c:v>
                </c:pt>
                <c:pt idx="5">
                  <c:v>Females 10 to 14</c:v>
                </c:pt>
                <c:pt idx="6">
                  <c:v>Females 15 to 17</c:v>
                </c:pt>
              </c:strCache>
            </c:strRef>
          </c:cat>
          <c:val>
            <c:numRef>
              <c:f>'Table 7'!$AO$12:$AO$18</c:f>
              <c:numCache>
                <c:formatCode>General</c:formatCode>
                <c:ptCount val="7"/>
                <c:pt idx="0">
                  <c:v>13</c:v>
                </c:pt>
                <c:pt idx="1">
                  <c:v>4</c:v>
                </c:pt>
                <c:pt idx="2">
                  <c:v>3</c:v>
                </c:pt>
                <c:pt idx="4">
                  <c:v>11</c:v>
                </c:pt>
                <c:pt idx="5">
                  <c:v>43</c:v>
                </c:pt>
                <c:pt idx="6">
                  <c:v>12</c:v>
                </c:pt>
              </c:numCache>
            </c:numRef>
          </c:val>
        </c:ser>
        <c:ser>
          <c:idx val="1"/>
          <c:order val="1"/>
          <c:tx>
            <c:strRef>
              <c:f>'Table 7'!$AP$11</c:f>
              <c:strCache>
                <c:ptCount val="1"/>
                <c:pt idx="0">
                  <c:v>Partner</c:v>
                </c:pt>
              </c:strCache>
            </c:strRef>
          </c:tx>
          <c:spPr>
            <a:pattFill prst="pct75">
              <a:fgClr>
                <a:schemeClr val="tx1"/>
              </a:fgClr>
              <a:bgClr>
                <a:schemeClr val="bg1"/>
              </a:bgClr>
            </a:pattFill>
            <a:ln>
              <a:solidFill>
                <a:schemeClr val="tx1"/>
              </a:solidFill>
            </a:ln>
            <a:effectLst/>
          </c:spPr>
          <c:invertIfNegative val="0"/>
          <c:dLbls>
            <c:dLbl>
              <c:idx val="0"/>
              <c:delete val="1"/>
              <c:extLst>
                <c:ext xmlns:c15="http://schemas.microsoft.com/office/drawing/2012/chart" uri="{CE6537A1-D6FC-4f65-9D91-7224C49458BB}"/>
              </c:extLst>
            </c:dLbl>
            <c:dLbl>
              <c:idx val="4"/>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0">
                <a:spAutoFit/>
              </a:bodyPr>
              <a:lstStyle/>
              <a:p>
                <a:pPr algn="ctr">
                  <a:defRPr lang="en-AU"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7'!$AN$12:$AN$18</c:f>
              <c:strCache>
                <c:ptCount val="7"/>
                <c:pt idx="0">
                  <c:v>Males 0 to 9</c:v>
                </c:pt>
                <c:pt idx="1">
                  <c:v>Males 10 to 14</c:v>
                </c:pt>
                <c:pt idx="2">
                  <c:v>Males 15 to 17</c:v>
                </c:pt>
                <c:pt idx="4">
                  <c:v>Females 0 to 9</c:v>
                </c:pt>
                <c:pt idx="5">
                  <c:v>Females 10 to 14</c:v>
                </c:pt>
                <c:pt idx="6">
                  <c:v>Females 15 to 17</c:v>
                </c:pt>
              </c:strCache>
            </c:strRef>
          </c:cat>
          <c:val>
            <c:numRef>
              <c:f>'Table 7'!$AP$12:$AP$18</c:f>
              <c:numCache>
                <c:formatCode>General</c:formatCode>
                <c:ptCount val="7"/>
                <c:pt idx="0">
                  <c:v>0</c:v>
                </c:pt>
                <c:pt idx="1">
                  <c:v>3</c:v>
                </c:pt>
                <c:pt idx="2">
                  <c:v>6</c:v>
                </c:pt>
                <c:pt idx="4">
                  <c:v>0</c:v>
                </c:pt>
                <c:pt idx="5">
                  <c:v>30</c:v>
                </c:pt>
                <c:pt idx="6">
                  <c:v>37</c:v>
                </c:pt>
              </c:numCache>
            </c:numRef>
          </c:val>
        </c:ser>
        <c:ser>
          <c:idx val="2"/>
          <c:order val="2"/>
          <c:tx>
            <c:strRef>
              <c:f>'Table 7'!$AQ$11</c:f>
              <c:strCache>
                <c:ptCount val="1"/>
                <c:pt idx="0">
                  <c:v>Other family member</c:v>
                </c:pt>
              </c:strCache>
            </c:strRef>
          </c:tx>
          <c:spPr>
            <a:solidFill>
              <a:schemeClr val="bg1">
                <a:lumMod val="50000"/>
              </a:schemeClr>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7'!$AN$12:$AN$18</c:f>
              <c:strCache>
                <c:ptCount val="7"/>
                <c:pt idx="0">
                  <c:v>Males 0 to 9</c:v>
                </c:pt>
                <c:pt idx="1">
                  <c:v>Males 10 to 14</c:v>
                </c:pt>
                <c:pt idx="2">
                  <c:v>Males 15 to 17</c:v>
                </c:pt>
                <c:pt idx="4">
                  <c:v>Females 0 to 9</c:v>
                </c:pt>
                <c:pt idx="5">
                  <c:v>Females 10 to 14</c:v>
                </c:pt>
                <c:pt idx="6">
                  <c:v>Females 15 to 17</c:v>
                </c:pt>
              </c:strCache>
            </c:strRef>
          </c:cat>
          <c:val>
            <c:numRef>
              <c:f>'Table 7'!$AQ$12:$AQ$18</c:f>
              <c:numCache>
                <c:formatCode>General</c:formatCode>
                <c:ptCount val="7"/>
                <c:pt idx="0">
                  <c:v>17</c:v>
                </c:pt>
                <c:pt idx="1">
                  <c:v>6</c:v>
                </c:pt>
                <c:pt idx="2">
                  <c:v>3</c:v>
                </c:pt>
                <c:pt idx="4">
                  <c:v>56</c:v>
                </c:pt>
                <c:pt idx="5">
                  <c:v>90</c:v>
                </c:pt>
                <c:pt idx="6">
                  <c:v>44</c:v>
                </c:pt>
              </c:numCache>
            </c:numRef>
          </c:val>
        </c:ser>
        <c:ser>
          <c:idx val="3"/>
          <c:order val="3"/>
          <c:tx>
            <c:strRef>
              <c:f>'Table 7'!$AR$11</c:f>
              <c:strCache>
                <c:ptCount val="1"/>
                <c:pt idx="0">
                  <c:v>Non-family member</c:v>
                </c:pt>
              </c:strCache>
            </c:strRef>
          </c:tx>
          <c:spPr>
            <a:pattFill prst="ltDnDiag">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7'!$AN$12:$AN$18</c:f>
              <c:strCache>
                <c:ptCount val="7"/>
                <c:pt idx="0">
                  <c:v>Males 0 to 9</c:v>
                </c:pt>
                <c:pt idx="1">
                  <c:v>Males 10 to 14</c:v>
                </c:pt>
                <c:pt idx="2">
                  <c:v>Males 15 to 17</c:v>
                </c:pt>
                <c:pt idx="4">
                  <c:v>Females 0 to 9</c:v>
                </c:pt>
                <c:pt idx="5">
                  <c:v>Females 10 to 14</c:v>
                </c:pt>
                <c:pt idx="6">
                  <c:v>Females 15 to 17</c:v>
                </c:pt>
              </c:strCache>
            </c:strRef>
          </c:cat>
          <c:val>
            <c:numRef>
              <c:f>'Table 7'!$AR$12:$AR$18</c:f>
              <c:numCache>
                <c:formatCode>General</c:formatCode>
                <c:ptCount val="7"/>
                <c:pt idx="0">
                  <c:v>24</c:v>
                </c:pt>
                <c:pt idx="1">
                  <c:v>28</c:v>
                </c:pt>
                <c:pt idx="2">
                  <c:v>9</c:v>
                </c:pt>
                <c:pt idx="4">
                  <c:v>40</c:v>
                </c:pt>
                <c:pt idx="5">
                  <c:v>139</c:v>
                </c:pt>
                <c:pt idx="6">
                  <c:v>86</c:v>
                </c:pt>
              </c:numCache>
            </c:numRef>
          </c:val>
        </c:ser>
        <c:ser>
          <c:idx val="4"/>
          <c:order val="4"/>
          <c:tx>
            <c:strRef>
              <c:f>'Table 7'!$AS$11</c:f>
              <c:strCache>
                <c:ptCount val="1"/>
                <c:pt idx="0">
                  <c:v>Stranger</c:v>
                </c:pt>
              </c:strCache>
            </c:strRef>
          </c:tx>
          <c:spPr>
            <a:solidFill>
              <a:schemeClr val="tx1"/>
            </a:solidFill>
            <a:ln>
              <a:solidFill>
                <a:schemeClr val="tx1"/>
              </a:solidFill>
            </a:ln>
            <a:effectLst/>
          </c:spPr>
          <c:invertIfNegative val="0"/>
          <c:dLbls>
            <c:dLbl>
              <c:idx val="2"/>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7'!$AN$12:$AN$18</c:f>
              <c:strCache>
                <c:ptCount val="7"/>
                <c:pt idx="0">
                  <c:v>Males 0 to 9</c:v>
                </c:pt>
                <c:pt idx="1">
                  <c:v>Males 10 to 14</c:v>
                </c:pt>
                <c:pt idx="2">
                  <c:v>Males 15 to 17</c:v>
                </c:pt>
                <c:pt idx="4">
                  <c:v>Females 0 to 9</c:v>
                </c:pt>
                <c:pt idx="5">
                  <c:v>Females 10 to 14</c:v>
                </c:pt>
                <c:pt idx="6">
                  <c:v>Females 15 to 17</c:v>
                </c:pt>
              </c:strCache>
            </c:strRef>
          </c:cat>
          <c:val>
            <c:numRef>
              <c:f>'Table 7'!$AS$12:$AS$18</c:f>
              <c:numCache>
                <c:formatCode>General</c:formatCode>
                <c:ptCount val="7"/>
                <c:pt idx="0">
                  <c:v>6</c:v>
                </c:pt>
                <c:pt idx="1">
                  <c:v>13</c:v>
                </c:pt>
                <c:pt idx="2">
                  <c:v>0</c:v>
                </c:pt>
                <c:pt idx="4">
                  <c:v>34</c:v>
                </c:pt>
                <c:pt idx="5">
                  <c:v>63</c:v>
                </c:pt>
                <c:pt idx="6">
                  <c:v>37</c:v>
                </c:pt>
              </c:numCache>
            </c:numRef>
          </c:val>
        </c:ser>
        <c:dLbls>
          <c:showLegendKey val="0"/>
          <c:showVal val="0"/>
          <c:showCatName val="0"/>
          <c:showSerName val="0"/>
          <c:showPercent val="0"/>
          <c:showBubbleSize val="0"/>
        </c:dLbls>
        <c:gapWidth val="219"/>
        <c:overlap val="-27"/>
        <c:axId val="50423360"/>
        <c:axId val="50423752"/>
      </c:barChart>
      <c:catAx>
        <c:axId val="5042336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0423752"/>
        <c:crosses val="autoZero"/>
        <c:auto val="1"/>
        <c:lblAlgn val="ctr"/>
        <c:lblOffset val="100"/>
        <c:noMultiLvlLbl val="0"/>
      </c:catAx>
      <c:valAx>
        <c:axId val="5042375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042336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solidFill>
                  <a:sysClr val="windowText" lastClr="000000"/>
                </a:solidFill>
              </a:rPr>
              <a:t>Figure 15: Number of non-Indigenous child victims of sexual assault, by offender type, by the victim's sex and by the victim's age (Queensland,</a:t>
            </a:r>
            <a:r>
              <a:rPr lang="en-AU" baseline="0">
                <a:solidFill>
                  <a:sysClr val="windowText" lastClr="000000"/>
                </a:solidFill>
              </a:rPr>
              <a:t> 2010-2013)</a:t>
            </a:r>
            <a:endParaRPr lang="en-AU">
              <a:solidFill>
                <a:sysClr val="windowText" lastClr="000000"/>
              </a:solidFill>
            </a:endParaRPr>
          </a:p>
        </c:rich>
      </c:tx>
      <c:overlay val="0"/>
      <c:spPr>
        <a:noFill/>
        <a:ln>
          <a:noFill/>
        </a:ln>
        <a:effectLst/>
      </c:spPr>
    </c:title>
    <c:autoTitleDeleted val="0"/>
    <c:plotArea>
      <c:layout/>
      <c:barChart>
        <c:barDir val="col"/>
        <c:grouping val="clustered"/>
        <c:varyColors val="0"/>
        <c:ser>
          <c:idx val="0"/>
          <c:order val="0"/>
          <c:tx>
            <c:strRef>
              <c:f>'Table 7'!$AO$28</c:f>
              <c:strCache>
                <c:ptCount val="1"/>
                <c:pt idx="0">
                  <c:v>Parent</c:v>
                </c:pt>
              </c:strCache>
            </c:strRef>
          </c:tx>
          <c:spPr>
            <a:pattFill prst="pct20">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7'!$AN$29:$AN$35</c:f>
              <c:strCache>
                <c:ptCount val="7"/>
                <c:pt idx="0">
                  <c:v>Males 0 to 9</c:v>
                </c:pt>
                <c:pt idx="1">
                  <c:v>Males 10 to 14</c:v>
                </c:pt>
                <c:pt idx="2">
                  <c:v>Males 15 to 17</c:v>
                </c:pt>
                <c:pt idx="4">
                  <c:v>Females 0 to 9</c:v>
                </c:pt>
                <c:pt idx="5">
                  <c:v>Females 10 to 14</c:v>
                </c:pt>
                <c:pt idx="6">
                  <c:v>Females 15 to 17</c:v>
                </c:pt>
              </c:strCache>
            </c:strRef>
          </c:cat>
          <c:val>
            <c:numRef>
              <c:f>'Table 7'!$AO$29:$AO$35</c:f>
              <c:numCache>
                <c:formatCode>General</c:formatCode>
                <c:ptCount val="7"/>
                <c:pt idx="0">
                  <c:v>71</c:v>
                </c:pt>
                <c:pt idx="1">
                  <c:v>51</c:v>
                </c:pt>
                <c:pt idx="2">
                  <c:v>9</c:v>
                </c:pt>
                <c:pt idx="4">
                  <c:v>195</c:v>
                </c:pt>
                <c:pt idx="5">
                  <c:v>269</c:v>
                </c:pt>
                <c:pt idx="6">
                  <c:v>201</c:v>
                </c:pt>
              </c:numCache>
            </c:numRef>
          </c:val>
        </c:ser>
        <c:ser>
          <c:idx val="1"/>
          <c:order val="1"/>
          <c:tx>
            <c:strRef>
              <c:f>'Table 7'!$AP$28</c:f>
              <c:strCache>
                <c:ptCount val="1"/>
                <c:pt idx="0">
                  <c:v>Partner</c:v>
                </c:pt>
              </c:strCache>
            </c:strRef>
          </c:tx>
          <c:spPr>
            <a:pattFill prst="pct75">
              <a:fgClr>
                <a:schemeClr val="tx1"/>
              </a:fgClr>
              <a:bgClr>
                <a:schemeClr val="bg1"/>
              </a:bgClr>
            </a:pattFill>
            <a:ln>
              <a:solidFill>
                <a:schemeClr val="tx1"/>
              </a:solidFill>
            </a:ln>
            <a:effectLst/>
          </c:spPr>
          <c:invertIfNegative val="0"/>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4"/>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0">
                <a:spAutoFit/>
              </a:bodyPr>
              <a:lstStyle/>
              <a:p>
                <a:pPr algn="ctr">
                  <a:defRPr lang="en-AU"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7'!$AN$29:$AN$35</c:f>
              <c:strCache>
                <c:ptCount val="7"/>
                <c:pt idx="0">
                  <c:v>Males 0 to 9</c:v>
                </c:pt>
                <c:pt idx="1">
                  <c:v>Males 10 to 14</c:v>
                </c:pt>
                <c:pt idx="2">
                  <c:v>Males 15 to 17</c:v>
                </c:pt>
                <c:pt idx="4">
                  <c:v>Females 0 to 9</c:v>
                </c:pt>
                <c:pt idx="5">
                  <c:v>Females 10 to 14</c:v>
                </c:pt>
                <c:pt idx="6">
                  <c:v>Females 15 to 17</c:v>
                </c:pt>
              </c:strCache>
            </c:strRef>
          </c:cat>
          <c:val>
            <c:numRef>
              <c:f>'Table 7'!$AP$29:$AP$35</c:f>
              <c:numCache>
                <c:formatCode>General</c:formatCode>
                <c:ptCount val="7"/>
                <c:pt idx="0">
                  <c:v>0</c:v>
                </c:pt>
                <c:pt idx="1">
                  <c:v>0</c:v>
                </c:pt>
                <c:pt idx="2">
                  <c:v>21</c:v>
                </c:pt>
                <c:pt idx="4">
                  <c:v>0</c:v>
                </c:pt>
                <c:pt idx="5">
                  <c:v>81</c:v>
                </c:pt>
                <c:pt idx="6">
                  <c:v>156</c:v>
                </c:pt>
              </c:numCache>
            </c:numRef>
          </c:val>
        </c:ser>
        <c:ser>
          <c:idx val="2"/>
          <c:order val="2"/>
          <c:tx>
            <c:strRef>
              <c:f>'Table 7'!$AQ$28</c:f>
              <c:strCache>
                <c:ptCount val="1"/>
                <c:pt idx="0">
                  <c:v>Other family member</c:v>
                </c:pt>
              </c:strCache>
            </c:strRef>
          </c:tx>
          <c:spPr>
            <a:solidFill>
              <a:schemeClr val="bg1">
                <a:lumMod val="50000"/>
              </a:schemeClr>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7'!$AN$29:$AN$35</c:f>
              <c:strCache>
                <c:ptCount val="7"/>
                <c:pt idx="0">
                  <c:v>Males 0 to 9</c:v>
                </c:pt>
                <c:pt idx="1">
                  <c:v>Males 10 to 14</c:v>
                </c:pt>
                <c:pt idx="2">
                  <c:v>Males 15 to 17</c:v>
                </c:pt>
                <c:pt idx="4">
                  <c:v>Females 0 to 9</c:v>
                </c:pt>
                <c:pt idx="5">
                  <c:v>Females 10 to 14</c:v>
                </c:pt>
                <c:pt idx="6">
                  <c:v>Females 15 to 17</c:v>
                </c:pt>
              </c:strCache>
            </c:strRef>
          </c:cat>
          <c:val>
            <c:numRef>
              <c:f>'Table 7'!$AQ$29:$AQ$35</c:f>
              <c:numCache>
                <c:formatCode>General</c:formatCode>
                <c:ptCount val="7"/>
                <c:pt idx="0">
                  <c:v>151</c:v>
                </c:pt>
                <c:pt idx="1">
                  <c:v>56</c:v>
                </c:pt>
                <c:pt idx="2">
                  <c:v>17</c:v>
                </c:pt>
                <c:pt idx="4">
                  <c:v>344</c:v>
                </c:pt>
                <c:pt idx="5">
                  <c:v>335</c:v>
                </c:pt>
                <c:pt idx="6">
                  <c:v>180</c:v>
                </c:pt>
              </c:numCache>
            </c:numRef>
          </c:val>
        </c:ser>
        <c:ser>
          <c:idx val="3"/>
          <c:order val="3"/>
          <c:tx>
            <c:strRef>
              <c:f>'Table 7'!$AR$28</c:f>
              <c:strCache>
                <c:ptCount val="1"/>
                <c:pt idx="0">
                  <c:v>Non-family member</c:v>
                </c:pt>
              </c:strCache>
            </c:strRef>
          </c:tx>
          <c:spPr>
            <a:pattFill prst="ltDnDiag">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7'!$AN$29:$AN$35</c:f>
              <c:strCache>
                <c:ptCount val="7"/>
                <c:pt idx="0">
                  <c:v>Males 0 to 9</c:v>
                </c:pt>
                <c:pt idx="1">
                  <c:v>Males 10 to 14</c:v>
                </c:pt>
                <c:pt idx="2">
                  <c:v>Males 15 to 17</c:v>
                </c:pt>
                <c:pt idx="4">
                  <c:v>Females 0 to 9</c:v>
                </c:pt>
                <c:pt idx="5">
                  <c:v>Females 10 to 14</c:v>
                </c:pt>
                <c:pt idx="6">
                  <c:v>Females 15 to 17</c:v>
                </c:pt>
              </c:strCache>
            </c:strRef>
          </c:cat>
          <c:val>
            <c:numRef>
              <c:f>'Table 7'!$AR$29:$AR$35</c:f>
              <c:numCache>
                <c:formatCode>General</c:formatCode>
                <c:ptCount val="7"/>
                <c:pt idx="0">
                  <c:v>150</c:v>
                </c:pt>
                <c:pt idx="1">
                  <c:v>203</c:v>
                </c:pt>
                <c:pt idx="2">
                  <c:v>101</c:v>
                </c:pt>
                <c:pt idx="4">
                  <c:v>341</c:v>
                </c:pt>
                <c:pt idx="5">
                  <c:v>773</c:v>
                </c:pt>
                <c:pt idx="6">
                  <c:v>618</c:v>
                </c:pt>
              </c:numCache>
            </c:numRef>
          </c:val>
        </c:ser>
        <c:ser>
          <c:idx val="4"/>
          <c:order val="4"/>
          <c:tx>
            <c:strRef>
              <c:f>'Table 7'!$AS$28</c:f>
              <c:strCache>
                <c:ptCount val="1"/>
                <c:pt idx="0">
                  <c:v>Stranger</c:v>
                </c:pt>
              </c:strCache>
            </c:strRef>
          </c:tx>
          <c:spPr>
            <a:solidFill>
              <a:schemeClr val="tx1"/>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7'!$AN$29:$AN$35</c:f>
              <c:strCache>
                <c:ptCount val="7"/>
                <c:pt idx="0">
                  <c:v>Males 0 to 9</c:v>
                </c:pt>
                <c:pt idx="1">
                  <c:v>Males 10 to 14</c:v>
                </c:pt>
                <c:pt idx="2">
                  <c:v>Males 15 to 17</c:v>
                </c:pt>
                <c:pt idx="4">
                  <c:v>Females 0 to 9</c:v>
                </c:pt>
                <c:pt idx="5">
                  <c:v>Females 10 to 14</c:v>
                </c:pt>
                <c:pt idx="6">
                  <c:v>Females 15 to 17</c:v>
                </c:pt>
              </c:strCache>
            </c:strRef>
          </c:cat>
          <c:val>
            <c:numRef>
              <c:f>'Table 7'!$AS$29:$AS$35</c:f>
              <c:numCache>
                <c:formatCode>General</c:formatCode>
                <c:ptCount val="7"/>
                <c:pt idx="0">
                  <c:v>47</c:v>
                </c:pt>
                <c:pt idx="1">
                  <c:v>53</c:v>
                </c:pt>
                <c:pt idx="2">
                  <c:v>23</c:v>
                </c:pt>
                <c:pt idx="4">
                  <c:v>118</c:v>
                </c:pt>
                <c:pt idx="5">
                  <c:v>309</c:v>
                </c:pt>
                <c:pt idx="6">
                  <c:v>225</c:v>
                </c:pt>
              </c:numCache>
            </c:numRef>
          </c:val>
        </c:ser>
        <c:dLbls>
          <c:showLegendKey val="0"/>
          <c:showVal val="0"/>
          <c:showCatName val="0"/>
          <c:showSerName val="0"/>
          <c:showPercent val="0"/>
          <c:showBubbleSize val="0"/>
        </c:dLbls>
        <c:gapWidth val="219"/>
        <c:overlap val="-27"/>
        <c:axId val="50424928"/>
        <c:axId val="51316504"/>
      </c:barChart>
      <c:catAx>
        <c:axId val="5042492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1316504"/>
        <c:crosses val="autoZero"/>
        <c:auto val="1"/>
        <c:lblAlgn val="ctr"/>
        <c:lblOffset val="100"/>
        <c:noMultiLvlLbl val="0"/>
      </c:catAx>
      <c:valAx>
        <c:axId val="5131650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042492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solidFill>
                  <a:sysClr val="windowText" lastClr="000000"/>
                </a:solidFill>
              </a:rPr>
              <a:t>Figure 16: Number of</a:t>
            </a:r>
            <a:r>
              <a:rPr lang="en-AU" baseline="0">
                <a:solidFill>
                  <a:sysClr val="windowText" lastClr="000000"/>
                </a:solidFill>
              </a:rPr>
              <a:t> child victims of sexual assault where Aboriginal and Torres Strait Islander status is unknown, by offender type, by the victim's sex and by the victim's age (Queensland, 2010-2013)</a:t>
            </a:r>
            <a:endParaRPr lang="en-AU">
              <a:solidFill>
                <a:sysClr val="windowText" lastClr="000000"/>
              </a:solidFill>
            </a:endParaRPr>
          </a:p>
        </c:rich>
      </c:tx>
      <c:overlay val="0"/>
      <c:spPr>
        <a:noFill/>
        <a:ln>
          <a:noFill/>
        </a:ln>
        <a:effectLst/>
      </c:spPr>
    </c:title>
    <c:autoTitleDeleted val="0"/>
    <c:plotArea>
      <c:layout/>
      <c:barChart>
        <c:barDir val="col"/>
        <c:grouping val="clustered"/>
        <c:varyColors val="0"/>
        <c:ser>
          <c:idx val="0"/>
          <c:order val="0"/>
          <c:tx>
            <c:strRef>
              <c:f>'Table 7'!$AO$45</c:f>
              <c:strCache>
                <c:ptCount val="1"/>
                <c:pt idx="0">
                  <c:v>Parent</c:v>
                </c:pt>
              </c:strCache>
            </c:strRef>
          </c:tx>
          <c:spPr>
            <a:pattFill prst="pct20">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7'!$AN$46:$AN$52</c:f>
              <c:strCache>
                <c:ptCount val="7"/>
                <c:pt idx="0">
                  <c:v>Males 0 to 9</c:v>
                </c:pt>
                <c:pt idx="1">
                  <c:v>Males 10 to 14</c:v>
                </c:pt>
                <c:pt idx="2">
                  <c:v>Males 15 to 17</c:v>
                </c:pt>
                <c:pt idx="4">
                  <c:v>Females 0 to 9</c:v>
                </c:pt>
                <c:pt idx="5">
                  <c:v>Females 10 to 14</c:v>
                </c:pt>
                <c:pt idx="6">
                  <c:v>Females 15 to 17</c:v>
                </c:pt>
              </c:strCache>
            </c:strRef>
          </c:cat>
          <c:val>
            <c:numRef>
              <c:f>'Table 7'!$AO$46:$AO$52</c:f>
              <c:numCache>
                <c:formatCode>General</c:formatCode>
                <c:ptCount val="7"/>
                <c:pt idx="0">
                  <c:v>50</c:v>
                </c:pt>
                <c:pt idx="1">
                  <c:v>12</c:v>
                </c:pt>
                <c:pt idx="2">
                  <c:v>3</c:v>
                </c:pt>
                <c:pt idx="4">
                  <c:v>110</c:v>
                </c:pt>
                <c:pt idx="5">
                  <c:v>79</c:v>
                </c:pt>
                <c:pt idx="6">
                  <c:v>41</c:v>
                </c:pt>
              </c:numCache>
            </c:numRef>
          </c:val>
        </c:ser>
        <c:ser>
          <c:idx val="1"/>
          <c:order val="1"/>
          <c:tx>
            <c:strRef>
              <c:f>'Table 7'!$AP$45</c:f>
              <c:strCache>
                <c:ptCount val="1"/>
                <c:pt idx="0">
                  <c:v>Partner</c:v>
                </c:pt>
              </c:strCache>
            </c:strRef>
          </c:tx>
          <c:spPr>
            <a:pattFill prst="pct75">
              <a:fgClr>
                <a:schemeClr val="tx1"/>
              </a:fgClr>
              <a:bgClr>
                <a:schemeClr val="bg1"/>
              </a:bgClr>
            </a:pattFill>
            <a:ln>
              <a:solidFill>
                <a:schemeClr val="tx1"/>
              </a:solidFill>
            </a:ln>
            <a:effectLst/>
          </c:spPr>
          <c:invertIfNegative val="0"/>
          <c:dLbls>
            <c:dLbl>
              <c:idx val="0"/>
              <c:delete val="1"/>
              <c:extLst>
                <c:ext xmlns:c15="http://schemas.microsoft.com/office/drawing/2012/chart" uri="{CE6537A1-D6FC-4f65-9D91-7224C49458BB}"/>
              </c:extLst>
            </c:dLbl>
            <c:dLbl>
              <c:idx val="4"/>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0">
                <a:spAutoFit/>
              </a:bodyPr>
              <a:lstStyle/>
              <a:p>
                <a:pPr algn="ctr">
                  <a:defRPr lang="en-AU"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7'!$AN$46:$AN$52</c:f>
              <c:strCache>
                <c:ptCount val="7"/>
                <c:pt idx="0">
                  <c:v>Males 0 to 9</c:v>
                </c:pt>
                <c:pt idx="1">
                  <c:v>Males 10 to 14</c:v>
                </c:pt>
                <c:pt idx="2">
                  <c:v>Males 15 to 17</c:v>
                </c:pt>
                <c:pt idx="4">
                  <c:v>Females 0 to 9</c:v>
                </c:pt>
                <c:pt idx="5">
                  <c:v>Females 10 to 14</c:v>
                </c:pt>
                <c:pt idx="6">
                  <c:v>Females 15 to 17</c:v>
                </c:pt>
              </c:strCache>
            </c:strRef>
          </c:cat>
          <c:val>
            <c:numRef>
              <c:f>'Table 7'!$AP$46:$AP$52</c:f>
              <c:numCache>
                <c:formatCode>General</c:formatCode>
                <c:ptCount val="7"/>
                <c:pt idx="0">
                  <c:v>0</c:v>
                </c:pt>
                <c:pt idx="1">
                  <c:v>3</c:v>
                </c:pt>
                <c:pt idx="2">
                  <c:v>3</c:v>
                </c:pt>
                <c:pt idx="4">
                  <c:v>0</c:v>
                </c:pt>
                <c:pt idx="5">
                  <c:v>20</c:v>
                </c:pt>
                <c:pt idx="6">
                  <c:v>38</c:v>
                </c:pt>
              </c:numCache>
            </c:numRef>
          </c:val>
        </c:ser>
        <c:ser>
          <c:idx val="2"/>
          <c:order val="2"/>
          <c:tx>
            <c:strRef>
              <c:f>'Table 7'!$AQ$45</c:f>
              <c:strCache>
                <c:ptCount val="1"/>
                <c:pt idx="0">
                  <c:v>Other family member</c:v>
                </c:pt>
              </c:strCache>
            </c:strRef>
          </c:tx>
          <c:spPr>
            <a:solidFill>
              <a:schemeClr val="bg1">
                <a:lumMod val="50000"/>
              </a:schemeClr>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7'!$AN$46:$AN$52</c:f>
              <c:strCache>
                <c:ptCount val="7"/>
                <c:pt idx="0">
                  <c:v>Males 0 to 9</c:v>
                </c:pt>
                <c:pt idx="1">
                  <c:v>Males 10 to 14</c:v>
                </c:pt>
                <c:pt idx="2">
                  <c:v>Males 15 to 17</c:v>
                </c:pt>
                <c:pt idx="4">
                  <c:v>Females 0 to 9</c:v>
                </c:pt>
                <c:pt idx="5">
                  <c:v>Females 10 to 14</c:v>
                </c:pt>
                <c:pt idx="6">
                  <c:v>Females 15 to 17</c:v>
                </c:pt>
              </c:strCache>
            </c:strRef>
          </c:cat>
          <c:val>
            <c:numRef>
              <c:f>'Table 7'!$AQ$46:$AQ$52</c:f>
              <c:numCache>
                <c:formatCode>General</c:formatCode>
                <c:ptCount val="7"/>
                <c:pt idx="0">
                  <c:v>64</c:v>
                </c:pt>
                <c:pt idx="1">
                  <c:v>18</c:v>
                </c:pt>
                <c:pt idx="2">
                  <c:v>6</c:v>
                </c:pt>
                <c:pt idx="4">
                  <c:v>155</c:v>
                </c:pt>
                <c:pt idx="5">
                  <c:v>86</c:v>
                </c:pt>
                <c:pt idx="6">
                  <c:v>33</c:v>
                </c:pt>
              </c:numCache>
            </c:numRef>
          </c:val>
        </c:ser>
        <c:ser>
          <c:idx val="3"/>
          <c:order val="3"/>
          <c:tx>
            <c:strRef>
              <c:f>'Table 7'!$AR$45</c:f>
              <c:strCache>
                <c:ptCount val="1"/>
                <c:pt idx="0">
                  <c:v>Non-family member</c:v>
                </c:pt>
              </c:strCache>
            </c:strRef>
          </c:tx>
          <c:spPr>
            <a:pattFill prst="ltDnDiag">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7'!$AN$46:$AN$52</c:f>
              <c:strCache>
                <c:ptCount val="7"/>
                <c:pt idx="0">
                  <c:v>Males 0 to 9</c:v>
                </c:pt>
                <c:pt idx="1">
                  <c:v>Males 10 to 14</c:v>
                </c:pt>
                <c:pt idx="2">
                  <c:v>Males 15 to 17</c:v>
                </c:pt>
                <c:pt idx="4">
                  <c:v>Females 0 to 9</c:v>
                </c:pt>
                <c:pt idx="5">
                  <c:v>Females 10 to 14</c:v>
                </c:pt>
                <c:pt idx="6">
                  <c:v>Females 15 to 17</c:v>
                </c:pt>
              </c:strCache>
            </c:strRef>
          </c:cat>
          <c:val>
            <c:numRef>
              <c:f>'Table 7'!$AR$46:$AR$52</c:f>
              <c:numCache>
                <c:formatCode>General</c:formatCode>
                <c:ptCount val="7"/>
                <c:pt idx="0">
                  <c:v>72</c:v>
                </c:pt>
                <c:pt idx="1">
                  <c:v>49</c:v>
                </c:pt>
                <c:pt idx="2">
                  <c:v>20</c:v>
                </c:pt>
                <c:pt idx="4">
                  <c:v>121</c:v>
                </c:pt>
                <c:pt idx="5">
                  <c:v>170</c:v>
                </c:pt>
                <c:pt idx="6">
                  <c:v>101</c:v>
                </c:pt>
              </c:numCache>
            </c:numRef>
          </c:val>
        </c:ser>
        <c:ser>
          <c:idx val="4"/>
          <c:order val="4"/>
          <c:tx>
            <c:strRef>
              <c:f>'Table 7'!$AS$45</c:f>
              <c:strCache>
                <c:ptCount val="1"/>
                <c:pt idx="0">
                  <c:v>Stranger</c:v>
                </c:pt>
              </c:strCache>
            </c:strRef>
          </c:tx>
          <c:spPr>
            <a:solidFill>
              <a:schemeClr val="tx1"/>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7'!$AN$46:$AN$52</c:f>
              <c:strCache>
                <c:ptCount val="7"/>
                <c:pt idx="0">
                  <c:v>Males 0 to 9</c:v>
                </c:pt>
                <c:pt idx="1">
                  <c:v>Males 10 to 14</c:v>
                </c:pt>
                <c:pt idx="2">
                  <c:v>Males 15 to 17</c:v>
                </c:pt>
                <c:pt idx="4">
                  <c:v>Females 0 to 9</c:v>
                </c:pt>
                <c:pt idx="5">
                  <c:v>Females 10 to 14</c:v>
                </c:pt>
                <c:pt idx="6">
                  <c:v>Females 15 to 17</c:v>
                </c:pt>
              </c:strCache>
            </c:strRef>
          </c:cat>
          <c:val>
            <c:numRef>
              <c:f>'Table 7'!$AS$46:$AS$52</c:f>
              <c:numCache>
                <c:formatCode>General</c:formatCode>
                <c:ptCount val="7"/>
                <c:pt idx="0">
                  <c:v>47</c:v>
                </c:pt>
                <c:pt idx="1">
                  <c:v>20</c:v>
                </c:pt>
                <c:pt idx="2">
                  <c:v>11</c:v>
                </c:pt>
                <c:pt idx="4">
                  <c:v>68</c:v>
                </c:pt>
                <c:pt idx="5">
                  <c:v>91</c:v>
                </c:pt>
                <c:pt idx="6">
                  <c:v>63</c:v>
                </c:pt>
              </c:numCache>
            </c:numRef>
          </c:val>
        </c:ser>
        <c:dLbls>
          <c:showLegendKey val="0"/>
          <c:showVal val="0"/>
          <c:showCatName val="0"/>
          <c:showSerName val="0"/>
          <c:showPercent val="0"/>
          <c:showBubbleSize val="0"/>
        </c:dLbls>
        <c:gapWidth val="219"/>
        <c:overlap val="-27"/>
        <c:axId val="51317680"/>
        <c:axId val="51318072"/>
      </c:barChart>
      <c:catAx>
        <c:axId val="513176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1318072"/>
        <c:crosses val="autoZero"/>
        <c:auto val="1"/>
        <c:lblAlgn val="ctr"/>
        <c:lblOffset val="100"/>
        <c:noMultiLvlLbl val="0"/>
      </c:catAx>
      <c:valAx>
        <c:axId val="5131807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131768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solidFill>
                  <a:sysClr val="windowText" lastClr="000000"/>
                </a:solidFill>
              </a:rPr>
              <a:t>Figure 17: Number of</a:t>
            </a:r>
            <a:r>
              <a:rPr lang="en-AU" baseline="0">
                <a:solidFill>
                  <a:sysClr val="windowText" lastClr="000000"/>
                </a:solidFill>
              </a:rPr>
              <a:t> child victims of sexual assault, by offender type, by the victim's sex and by the victim's age (Victoria, 2010-2013)</a:t>
            </a:r>
            <a:endParaRPr lang="en-AU">
              <a:solidFill>
                <a:sysClr val="windowText" lastClr="000000"/>
              </a:solidFill>
            </a:endParaRPr>
          </a:p>
        </c:rich>
      </c:tx>
      <c:overlay val="0"/>
      <c:spPr>
        <a:noFill/>
        <a:ln>
          <a:noFill/>
        </a:ln>
        <a:effectLst/>
      </c:spPr>
    </c:title>
    <c:autoTitleDeleted val="0"/>
    <c:plotArea>
      <c:layout/>
      <c:barChart>
        <c:barDir val="col"/>
        <c:grouping val="clustered"/>
        <c:varyColors val="0"/>
        <c:ser>
          <c:idx val="0"/>
          <c:order val="0"/>
          <c:tx>
            <c:strRef>
              <c:f>'Table 6'!$AS$10</c:f>
              <c:strCache>
                <c:ptCount val="1"/>
                <c:pt idx="0">
                  <c:v>Parent</c:v>
                </c:pt>
              </c:strCache>
            </c:strRef>
          </c:tx>
          <c:spPr>
            <a:pattFill prst="pct20">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6'!$AR$11:$AR$17</c:f>
              <c:strCache>
                <c:ptCount val="7"/>
                <c:pt idx="0">
                  <c:v>Males 0 to 9</c:v>
                </c:pt>
                <c:pt idx="1">
                  <c:v>Males 10 to 14</c:v>
                </c:pt>
                <c:pt idx="2">
                  <c:v>Males 15 to 17</c:v>
                </c:pt>
                <c:pt idx="4">
                  <c:v>Females 0 to 9</c:v>
                </c:pt>
                <c:pt idx="5">
                  <c:v>Females 10 to 14</c:v>
                </c:pt>
                <c:pt idx="6">
                  <c:v>Females 15 to 17</c:v>
                </c:pt>
              </c:strCache>
            </c:strRef>
          </c:cat>
          <c:val>
            <c:numRef>
              <c:f>'Table 6'!$AS$11:$AS$17</c:f>
              <c:numCache>
                <c:formatCode>General</c:formatCode>
                <c:ptCount val="7"/>
                <c:pt idx="0">
                  <c:v>62</c:v>
                </c:pt>
                <c:pt idx="1">
                  <c:v>39</c:v>
                </c:pt>
                <c:pt idx="2">
                  <c:v>27</c:v>
                </c:pt>
                <c:pt idx="4">
                  <c:v>187</c:v>
                </c:pt>
                <c:pt idx="5">
                  <c:v>316</c:v>
                </c:pt>
                <c:pt idx="6">
                  <c:v>257</c:v>
                </c:pt>
              </c:numCache>
            </c:numRef>
          </c:val>
        </c:ser>
        <c:ser>
          <c:idx val="1"/>
          <c:order val="1"/>
          <c:tx>
            <c:strRef>
              <c:f>'Table 6'!$AT$10</c:f>
              <c:strCache>
                <c:ptCount val="1"/>
                <c:pt idx="0">
                  <c:v>Partner</c:v>
                </c:pt>
              </c:strCache>
            </c:strRef>
          </c:tx>
          <c:spPr>
            <a:pattFill prst="pct75">
              <a:fgClr>
                <a:schemeClr val="tx1"/>
              </a:fgClr>
              <a:bgClr>
                <a:schemeClr val="bg1"/>
              </a:bgClr>
            </a:pattFill>
            <a:ln>
              <a:solidFill>
                <a:schemeClr val="tx1"/>
              </a:solidFill>
            </a:ln>
            <a:effectLst/>
          </c:spPr>
          <c:invertIfNegative val="0"/>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2"/>
              <c:delete val="1"/>
              <c:extLst>
                <c:ext xmlns:c15="http://schemas.microsoft.com/office/drawing/2012/chart" uri="{CE6537A1-D6FC-4f65-9D91-7224C49458BB}"/>
              </c:extLst>
            </c:dLbl>
            <c:dLbl>
              <c:idx val="4"/>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0">
                <a:spAutoFit/>
              </a:bodyPr>
              <a:lstStyle/>
              <a:p>
                <a:pPr algn="ctr">
                  <a:defRPr lang="en-AU"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6'!$AR$11:$AR$17</c:f>
              <c:strCache>
                <c:ptCount val="7"/>
                <c:pt idx="0">
                  <c:v>Males 0 to 9</c:v>
                </c:pt>
                <c:pt idx="1">
                  <c:v>Males 10 to 14</c:v>
                </c:pt>
                <c:pt idx="2">
                  <c:v>Males 15 to 17</c:v>
                </c:pt>
                <c:pt idx="4">
                  <c:v>Females 0 to 9</c:v>
                </c:pt>
                <c:pt idx="5">
                  <c:v>Females 10 to 14</c:v>
                </c:pt>
                <c:pt idx="6">
                  <c:v>Females 15 to 17</c:v>
                </c:pt>
              </c:strCache>
            </c:strRef>
          </c:cat>
          <c:val>
            <c:numRef>
              <c:f>'Table 6'!$AT$11:$AT$17</c:f>
              <c:numCache>
                <c:formatCode>General</c:formatCode>
                <c:ptCount val="7"/>
                <c:pt idx="0">
                  <c:v>0</c:v>
                </c:pt>
                <c:pt idx="1">
                  <c:v>0</c:v>
                </c:pt>
                <c:pt idx="2">
                  <c:v>0</c:v>
                </c:pt>
                <c:pt idx="4">
                  <c:v>0</c:v>
                </c:pt>
                <c:pt idx="5">
                  <c:v>23</c:v>
                </c:pt>
                <c:pt idx="6">
                  <c:v>91</c:v>
                </c:pt>
              </c:numCache>
            </c:numRef>
          </c:val>
        </c:ser>
        <c:ser>
          <c:idx val="2"/>
          <c:order val="2"/>
          <c:tx>
            <c:strRef>
              <c:f>'Table 6'!$AU$10</c:f>
              <c:strCache>
                <c:ptCount val="1"/>
                <c:pt idx="0">
                  <c:v>Sibling</c:v>
                </c:pt>
              </c:strCache>
            </c:strRef>
          </c:tx>
          <c:spPr>
            <a:solidFill>
              <a:schemeClr val="bg1">
                <a:lumMod val="50000"/>
              </a:schemeClr>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6'!$AR$11:$AR$17</c:f>
              <c:strCache>
                <c:ptCount val="7"/>
                <c:pt idx="0">
                  <c:v>Males 0 to 9</c:v>
                </c:pt>
                <c:pt idx="1">
                  <c:v>Males 10 to 14</c:v>
                </c:pt>
                <c:pt idx="2">
                  <c:v>Males 15 to 17</c:v>
                </c:pt>
                <c:pt idx="4">
                  <c:v>Females 0 to 9</c:v>
                </c:pt>
                <c:pt idx="5">
                  <c:v>Females 10 to 14</c:v>
                </c:pt>
                <c:pt idx="6">
                  <c:v>Females 15 to 17</c:v>
                </c:pt>
              </c:strCache>
            </c:strRef>
          </c:cat>
          <c:val>
            <c:numRef>
              <c:f>'Table 6'!$AU$11:$AU$17</c:f>
              <c:numCache>
                <c:formatCode>General</c:formatCode>
                <c:ptCount val="7"/>
                <c:pt idx="0">
                  <c:v>56</c:v>
                </c:pt>
                <c:pt idx="1">
                  <c:v>24</c:v>
                </c:pt>
                <c:pt idx="2">
                  <c:v>6</c:v>
                </c:pt>
                <c:pt idx="4">
                  <c:v>114</c:v>
                </c:pt>
                <c:pt idx="5">
                  <c:v>107</c:v>
                </c:pt>
                <c:pt idx="6">
                  <c:v>49</c:v>
                </c:pt>
              </c:numCache>
            </c:numRef>
          </c:val>
        </c:ser>
        <c:ser>
          <c:idx val="3"/>
          <c:order val="3"/>
          <c:tx>
            <c:strRef>
              <c:f>'Table 6'!$AV$10</c:f>
              <c:strCache>
                <c:ptCount val="1"/>
                <c:pt idx="0">
                  <c:v>Other family member</c:v>
                </c:pt>
              </c:strCache>
            </c:strRef>
          </c:tx>
          <c:spPr>
            <a:pattFill prst="ltDnDiag">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6'!$AR$11:$AR$17</c:f>
              <c:strCache>
                <c:ptCount val="7"/>
                <c:pt idx="0">
                  <c:v>Males 0 to 9</c:v>
                </c:pt>
                <c:pt idx="1">
                  <c:v>Males 10 to 14</c:v>
                </c:pt>
                <c:pt idx="2">
                  <c:v>Males 15 to 17</c:v>
                </c:pt>
                <c:pt idx="4">
                  <c:v>Females 0 to 9</c:v>
                </c:pt>
                <c:pt idx="5">
                  <c:v>Females 10 to 14</c:v>
                </c:pt>
                <c:pt idx="6">
                  <c:v>Females 15 to 17</c:v>
                </c:pt>
              </c:strCache>
            </c:strRef>
          </c:cat>
          <c:val>
            <c:numRef>
              <c:f>'Table 6'!$AV$11:$AV$17</c:f>
              <c:numCache>
                <c:formatCode>General</c:formatCode>
                <c:ptCount val="7"/>
                <c:pt idx="0">
                  <c:v>57</c:v>
                </c:pt>
                <c:pt idx="1">
                  <c:v>33</c:v>
                </c:pt>
                <c:pt idx="2">
                  <c:v>17</c:v>
                </c:pt>
                <c:pt idx="4">
                  <c:v>163</c:v>
                </c:pt>
                <c:pt idx="5">
                  <c:v>292</c:v>
                </c:pt>
                <c:pt idx="6">
                  <c:v>237</c:v>
                </c:pt>
              </c:numCache>
            </c:numRef>
          </c:val>
        </c:ser>
        <c:ser>
          <c:idx val="4"/>
          <c:order val="4"/>
          <c:tx>
            <c:strRef>
              <c:f>'Table 6'!$AW$10</c:f>
              <c:strCache>
                <c:ptCount val="1"/>
                <c:pt idx="0">
                  <c:v>Non-family member</c:v>
                </c:pt>
              </c:strCache>
            </c:strRef>
          </c:tx>
          <c:spPr>
            <a:solidFill>
              <a:schemeClr val="tx1"/>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6'!$AR$11:$AR$17</c:f>
              <c:strCache>
                <c:ptCount val="7"/>
                <c:pt idx="0">
                  <c:v>Males 0 to 9</c:v>
                </c:pt>
                <c:pt idx="1">
                  <c:v>Males 10 to 14</c:v>
                </c:pt>
                <c:pt idx="2">
                  <c:v>Males 15 to 17</c:v>
                </c:pt>
                <c:pt idx="4">
                  <c:v>Females 0 to 9</c:v>
                </c:pt>
                <c:pt idx="5">
                  <c:v>Females 10 to 14</c:v>
                </c:pt>
                <c:pt idx="6">
                  <c:v>Females 15 to 17</c:v>
                </c:pt>
              </c:strCache>
            </c:strRef>
          </c:cat>
          <c:val>
            <c:numRef>
              <c:f>'Table 6'!$AW$11:$AW$17</c:f>
              <c:numCache>
                <c:formatCode>General</c:formatCode>
                <c:ptCount val="7"/>
                <c:pt idx="0">
                  <c:v>130</c:v>
                </c:pt>
                <c:pt idx="1">
                  <c:v>207</c:v>
                </c:pt>
                <c:pt idx="2">
                  <c:v>106</c:v>
                </c:pt>
                <c:pt idx="4">
                  <c:v>268</c:v>
                </c:pt>
                <c:pt idx="5">
                  <c:v>701</c:v>
                </c:pt>
                <c:pt idx="6">
                  <c:v>874</c:v>
                </c:pt>
              </c:numCache>
            </c:numRef>
          </c:val>
        </c:ser>
        <c:ser>
          <c:idx val="5"/>
          <c:order val="5"/>
          <c:tx>
            <c:strRef>
              <c:f>'Table 6'!$AX$10</c:f>
              <c:strCache>
                <c:ptCount val="1"/>
                <c:pt idx="0">
                  <c:v>Stranger</c:v>
                </c:pt>
              </c:strCache>
            </c:strRef>
          </c:tx>
          <c:spPr>
            <a:solidFill>
              <a:schemeClr val="bg1">
                <a:lumMod val="85000"/>
              </a:schemeClr>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6'!$AR$11:$AR$17</c:f>
              <c:strCache>
                <c:ptCount val="7"/>
                <c:pt idx="0">
                  <c:v>Males 0 to 9</c:v>
                </c:pt>
                <c:pt idx="1">
                  <c:v>Males 10 to 14</c:v>
                </c:pt>
                <c:pt idx="2">
                  <c:v>Males 15 to 17</c:v>
                </c:pt>
                <c:pt idx="4">
                  <c:v>Females 0 to 9</c:v>
                </c:pt>
                <c:pt idx="5">
                  <c:v>Females 10 to 14</c:v>
                </c:pt>
                <c:pt idx="6">
                  <c:v>Females 15 to 17</c:v>
                </c:pt>
              </c:strCache>
            </c:strRef>
          </c:cat>
          <c:val>
            <c:numRef>
              <c:f>'Table 6'!$AX$11:$AX$17</c:f>
              <c:numCache>
                <c:formatCode>General</c:formatCode>
                <c:ptCount val="7"/>
                <c:pt idx="0">
                  <c:v>6</c:v>
                </c:pt>
                <c:pt idx="1">
                  <c:v>12</c:v>
                </c:pt>
                <c:pt idx="2">
                  <c:v>8</c:v>
                </c:pt>
                <c:pt idx="4">
                  <c:v>30</c:v>
                </c:pt>
                <c:pt idx="5">
                  <c:v>78</c:v>
                </c:pt>
                <c:pt idx="6">
                  <c:v>126</c:v>
                </c:pt>
              </c:numCache>
            </c:numRef>
          </c:val>
        </c:ser>
        <c:dLbls>
          <c:showLegendKey val="0"/>
          <c:showVal val="0"/>
          <c:showCatName val="0"/>
          <c:showSerName val="0"/>
          <c:showPercent val="0"/>
          <c:showBubbleSize val="0"/>
        </c:dLbls>
        <c:gapWidth val="219"/>
        <c:overlap val="-27"/>
        <c:axId val="51318464"/>
        <c:axId val="51318856"/>
      </c:barChart>
      <c:catAx>
        <c:axId val="513184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1318856"/>
        <c:crosses val="autoZero"/>
        <c:auto val="1"/>
        <c:lblAlgn val="ctr"/>
        <c:lblOffset val="100"/>
        <c:noMultiLvlLbl val="0"/>
      </c:catAx>
      <c:valAx>
        <c:axId val="5131885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131846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baseline="0">
                <a:effectLst/>
              </a:rPr>
              <a:t>Figure 18: Number of child victims of sexual assault, by offender type, by the victim's sex and by the victim's age (South Australia, 2010-2013)</a:t>
            </a:r>
            <a:endParaRPr lang="en-AU" sz="1400">
              <a:effectLst/>
            </a:endParaRPr>
          </a:p>
        </c:rich>
      </c:tx>
      <c:overlay val="0"/>
      <c:spPr>
        <a:noFill/>
        <a:ln>
          <a:noFill/>
        </a:ln>
        <a:effectLst/>
      </c:spPr>
    </c:title>
    <c:autoTitleDeleted val="0"/>
    <c:plotArea>
      <c:layout/>
      <c:barChart>
        <c:barDir val="col"/>
        <c:grouping val="clustered"/>
        <c:varyColors val="0"/>
        <c:ser>
          <c:idx val="0"/>
          <c:order val="0"/>
          <c:tx>
            <c:strRef>
              <c:f>'Table 8'!$AO$10</c:f>
              <c:strCache>
                <c:ptCount val="1"/>
                <c:pt idx="0">
                  <c:v>Parent</c:v>
                </c:pt>
              </c:strCache>
            </c:strRef>
          </c:tx>
          <c:spPr>
            <a:pattFill prst="pct20">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8'!$AN$11:$AN$17</c:f>
              <c:strCache>
                <c:ptCount val="7"/>
                <c:pt idx="0">
                  <c:v>Males 0 to 9</c:v>
                </c:pt>
                <c:pt idx="1">
                  <c:v>Males 10 to 14</c:v>
                </c:pt>
                <c:pt idx="2">
                  <c:v>Males 15 to 17</c:v>
                </c:pt>
                <c:pt idx="4">
                  <c:v>Females 0 to 9</c:v>
                </c:pt>
                <c:pt idx="5">
                  <c:v>Females 10 to 14</c:v>
                </c:pt>
                <c:pt idx="6">
                  <c:v>Females 15 to 17</c:v>
                </c:pt>
              </c:strCache>
            </c:strRef>
          </c:cat>
          <c:val>
            <c:numRef>
              <c:f>'Table 8'!$AO$11:$AO$17</c:f>
              <c:numCache>
                <c:formatCode>General</c:formatCode>
                <c:ptCount val="7"/>
                <c:pt idx="0">
                  <c:v>23</c:v>
                </c:pt>
                <c:pt idx="1">
                  <c:v>6</c:v>
                </c:pt>
                <c:pt idx="2">
                  <c:v>6</c:v>
                </c:pt>
                <c:pt idx="4">
                  <c:v>67</c:v>
                </c:pt>
                <c:pt idx="5">
                  <c:v>110</c:v>
                </c:pt>
                <c:pt idx="6">
                  <c:v>73</c:v>
                </c:pt>
              </c:numCache>
            </c:numRef>
          </c:val>
        </c:ser>
        <c:ser>
          <c:idx val="1"/>
          <c:order val="1"/>
          <c:tx>
            <c:strRef>
              <c:f>'Table 8'!$AP$10</c:f>
              <c:strCache>
                <c:ptCount val="1"/>
                <c:pt idx="0">
                  <c:v>Partner</c:v>
                </c:pt>
              </c:strCache>
            </c:strRef>
          </c:tx>
          <c:spPr>
            <a:pattFill prst="pct75">
              <a:fgClr>
                <a:schemeClr val="tx1"/>
              </a:fgClr>
              <a:bgClr>
                <a:schemeClr val="bg1"/>
              </a:bgClr>
            </a:pattFill>
            <a:ln>
              <a:solidFill>
                <a:schemeClr val="tx1"/>
              </a:solidFill>
            </a:ln>
            <a:effectLst/>
          </c:spPr>
          <c:invertIfNegative val="0"/>
          <c:dLbls>
            <c:dLbl>
              <c:idx val="0"/>
              <c:delete val="1"/>
              <c:extLst>
                <c:ext xmlns:c15="http://schemas.microsoft.com/office/drawing/2012/chart" uri="{CE6537A1-D6FC-4f65-9D91-7224C49458BB}"/>
              </c:extLst>
            </c:dLbl>
            <c:dLbl>
              <c:idx val="4"/>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0">
                <a:spAutoFit/>
              </a:bodyPr>
              <a:lstStyle/>
              <a:p>
                <a:pPr algn="ctr">
                  <a:defRPr lang="en-AU"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8'!$AN$11:$AN$17</c:f>
              <c:strCache>
                <c:ptCount val="7"/>
                <c:pt idx="0">
                  <c:v>Males 0 to 9</c:v>
                </c:pt>
                <c:pt idx="1">
                  <c:v>Males 10 to 14</c:v>
                </c:pt>
                <c:pt idx="2">
                  <c:v>Males 15 to 17</c:v>
                </c:pt>
                <c:pt idx="4">
                  <c:v>Females 0 to 9</c:v>
                </c:pt>
                <c:pt idx="5">
                  <c:v>Females 10 to 14</c:v>
                </c:pt>
                <c:pt idx="6">
                  <c:v>Females 15 to 17</c:v>
                </c:pt>
              </c:strCache>
            </c:strRef>
          </c:cat>
          <c:val>
            <c:numRef>
              <c:f>'Table 8'!$AP$11:$AP$17</c:f>
              <c:numCache>
                <c:formatCode>General</c:formatCode>
                <c:ptCount val="7"/>
                <c:pt idx="0">
                  <c:v>0</c:v>
                </c:pt>
                <c:pt idx="1">
                  <c:v>6</c:v>
                </c:pt>
                <c:pt idx="2">
                  <c:v>4</c:v>
                </c:pt>
                <c:pt idx="4">
                  <c:v>0</c:v>
                </c:pt>
                <c:pt idx="5">
                  <c:v>36</c:v>
                </c:pt>
                <c:pt idx="6">
                  <c:v>106</c:v>
                </c:pt>
              </c:numCache>
            </c:numRef>
          </c:val>
        </c:ser>
        <c:ser>
          <c:idx val="2"/>
          <c:order val="2"/>
          <c:tx>
            <c:strRef>
              <c:f>'Table 8'!$AQ$10</c:f>
              <c:strCache>
                <c:ptCount val="1"/>
                <c:pt idx="0">
                  <c:v>Other family member</c:v>
                </c:pt>
              </c:strCache>
            </c:strRef>
          </c:tx>
          <c:spPr>
            <a:solidFill>
              <a:schemeClr val="bg1">
                <a:lumMod val="50000"/>
              </a:schemeClr>
            </a:solid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8'!$AN$11:$AN$17</c:f>
              <c:strCache>
                <c:ptCount val="7"/>
                <c:pt idx="0">
                  <c:v>Males 0 to 9</c:v>
                </c:pt>
                <c:pt idx="1">
                  <c:v>Males 10 to 14</c:v>
                </c:pt>
                <c:pt idx="2">
                  <c:v>Males 15 to 17</c:v>
                </c:pt>
                <c:pt idx="4">
                  <c:v>Females 0 to 9</c:v>
                </c:pt>
                <c:pt idx="5">
                  <c:v>Females 10 to 14</c:v>
                </c:pt>
                <c:pt idx="6">
                  <c:v>Females 15 to 17</c:v>
                </c:pt>
              </c:strCache>
            </c:strRef>
          </c:cat>
          <c:val>
            <c:numRef>
              <c:f>'Table 8'!$AQ$11:$AQ$17</c:f>
              <c:numCache>
                <c:formatCode>General</c:formatCode>
                <c:ptCount val="7"/>
                <c:pt idx="0">
                  <c:v>39</c:v>
                </c:pt>
                <c:pt idx="1">
                  <c:v>24</c:v>
                </c:pt>
                <c:pt idx="2">
                  <c:v>9</c:v>
                </c:pt>
                <c:pt idx="4">
                  <c:v>80</c:v>
                </c:pt>
                <c:pt idx="5">
                  <c:v>93</c:v>
                </c:pt>
                <c:pt idx="6">
                  <c:v>49</c:v>
                </c:pt>
              </c:numCache>
            </c:numRef>
          </c:val>
        </c:ser>
        <c:ser>
          <c:idx val="3"/>
          <c:order val="3"/>
          <c:tx>
            <c:strRef>
              <c:f>'Table 8'!$AR$10</c:f>
              <c:strCache>
                <c:ptCount val="1"/>
                <c:pt idx="0">
                  <c:v>Non-family member</c:v>
                </c:pt>
              </c:strCache>
            </c:strRef>
          </c:tx>
          <c:spPr>
            <a:pattFill prst="ltDnDiag">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8'!$AN$11:$AN$17</c:f>
              <c:strCache>
                <c:ptCount val="7"/>
                <c:pt idx="0">
                  <c:v>Males 0 to 9</c:v>
                </c:pt>
                <c:pt idx="1">
                  <c:v>Males 10 to 14</c:v>
                </c:pt>
                <c:pt idx="2">
                  <c:v>Males 15 to 17</c:v>
                </c:pt>
                <c:pt idx="4">
                  <c:v>Females 0 to 9</c:v>
                </c:pt>
                <c:pt idx="5">
                  <c:v>Females 10 to 14</c:v>
                </c:pt>
                <c:pt idx="6">
                  <c:v>Females 15 to 17</c:v>
                </c:pt>
              </c:strCache>
            </c:strRef>
          </c:cat>
          <c:val>
            <c:numRef>
              <c:f>'Table 8'!$AR$11:$AR$17</c:f>
              <c:numCache>
                <c:formatCode>General</c:formatCode>
                <c:ptCount val="7"/>
                <c:pt idx="0">
                  <c:v>41</c:v>
                </c:pt>
                <c:pt idx="1">
                  <c:v>60</c:v>
                </c:pt>
                <c:pt idx="2">
                  <c:v>42</c:v>
                </c:pt>
                <c:pt idx="4">
                  <c:v>93</c:v>
                </c:pt>
                <c:pt idx="5">
                  <c:v>262</c:v>
                </c:pt>
                <c:pt idx="6">
                  <c:v>263</c:v>
                </c:pt>
              </c:numCache>
            </c:numRef>
          </c:val>
        </c:ser>
        <c:ser>
          <c:idx val="4"/>
          <c:order val="4"/>
          <c:tx>
            <c:strRef>
              <c:f>'Table 8'!$AS$10</c:f>
              <c:strCache>
                <c:ptCount val="1"/>
                <c:pt idx="0">
                  <c:v>Stranger</c:v>
                </c:pt>
              </c:strCache>
            </c:strRef>
          </c:tx>
          <c:spPr>
            <a:solidFill>
              <a:schemeClr val="tx1"/>
            </a:solidFill>
            <a:ln>
              <a:solidFill>
                <a:schemeClr val="tx1"/>
              </a:solidFill>
            </a:ln>
            <a:effectLst/>
          </c:spPr>
          <c:invertIfNegative val="0"/>
          <c:dLbls>
            <c:dLbl>
              <c:idx val="1"/>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8'!$AN$11:$AN$17</c:f>
              <c:strCache>
                <c:ptCount val="7"/>
                <c:pt idx="0">
                  <c:v>Males 0 to 9</c:v>
                </c:pt>
                <c:pt idx="1">
                  <c:v>Males 10 to 14</c:v>
                </c:pt>
                <c:pt idx="2">
                  <c:v>Males 15 to 17</c:v>
                </c:pt>
                <c:pt idx="4">
                  <c:v>Females 0 to 9</c:v>
                </c:pt>
                <c:pt idx="5">
                  <c:v>Females 10 to 14</c:v>
                </c:pt>
                <c:pt idx="6">
                  <c:v>Females 15 to 17</c:v>
                </c:pt>
              </c:strCache>
            </c:strRef>
          </c:cat>
          <c:val>
            <c:numRef>
              <c:f>'Table 8'!$AS$11:$AS$17</c:f>
              <c:numCache>
                <c:formatCode>General</c:formatCode>
                <c:ptCount val="7"/>
                <c:pt idx="0">
                  <c:v>9</c:v>
                </c:pt>
                <c:pt idx="1">
                  <c:v>0</c:v>
                </c:pt>
                <c:pt idx="2">
                  <c:v>6</c:v>
                </c:pt>
                <c:pt idx="4">
                  <c:v>7</c:v>
                </c:pt>
                <c:pt idx="5">
                  <c:v>23</c:v>
                </c:pt>
                <c:pt idx="6">
                  <c:v>32</c:v>
                </c:pt>
              </c:numCache>
            </c:numRef>
          </c:val>
        </c:ser>
        <c:dLbls>
          <c:showLegendKey val="0"/>
          <c:showVal val="0"/>
          <c:showCatName val="0"/>
          <c:showSerName val="0"/>
          <c:showPercent val="0"/>
          <c:showBubbleSize val="0"/>
        </c:dLbls>
        <c:gapWidth val="219"/>
        <c:overlap val="-27"/>
        <c:axId val="51319640"/>
        <c:axId val="51320032"/>
      </c:barChart>
      <c:catAx>
        <c:axId val="513196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1320032"/>
        <c:crosses val="autoZero"/>
        <c:auto val="1"/>
        <c:lblAlgn val="ctr"/>
        <c:lblOffset val="100"/>
        <c:noMultiLvlLbl val="0"/>
      </c:catAx>
      <c:valAx>
        <c:axId val="5132003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131964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baseline="0">
                <a:effectLst/>
              </a:rPr>
              <a:t>Figure 19: Number of child victims of sexual assault, by offender type, by the victim's sex and by the victim's age (Tasmania, 2010-2013)</a:t>
            </a:r>
            <a:endParaRPr lang="en-AU" sz="1400">
              <a:effectLst/>
            </a:endParaRPr>
          </a:p>
        </c:rich>
      </c:tx>
      <c:overlay val="0"/>
      <c:spPr>
        <a:noFill/>
        <a:ln>
          <a:noFill/>
        </a:ln>
        <a:effectLst/>
      </c:spPr>
    </c:title>
    <c:autoTitleDeleted val="0"/>
    <c:plotArea>
      <c:layout/>
      <c:barChart>
        <c:barDir val="col"/>
        <c:grouping val="clustered"/>
        <c:varyColors val="0"/>
        <c:ser>
          <c:idx val="0"/>
          <c:order val="0"/>
          <c:tx>
            <c:strRef>
              <c:f>'Table 9'!$AB$11</c:f>
              <c:strCache>
                <c:ptCount val="1"/>
                <c:pt idx="0">
                  <c:v>Family member</c:v>
                </c:pt>
              </c:strCache>
            </c:strRef>
          </c:tx>
          <c:spPr>
            <a:pattFill prst="pct20">
              <a:fgClr>
                <a:schemeClr val="tx1"/>
              </a:fgClr>
              <a:bgClr>
                <a:schemeClr val="bg1"/>
              </a:bgClr>
            </a:pattFill>
            <a:ln>
              <a:solidFill>
                <a:schemeClr val="tx1"/>
              </a:solidFill>
            </a:ln>
            <a:effectLst/>
          </c:spPr>
          <c:invertIfNegative val="0"/>
          <c:dLbls>
            <c:dLbl>
              <c:idx val="2"/>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9'!$AA$12:$AA$14,'Table 9'!$AA$16:$AA$19)</c:f>
              <c:strCache>
                <c:ptCount val="7"/>
                <c:pt idx="0">
                  <c:v>Males 0 to 9</c:v>
                </c:pt>
                <c:pt idx="1">
                  <c:v>Males 10 to 14</c:v>
                </c:pt>
                <c:pt idx="2">
                  <c:v>Males 15 to 17</c:v>
                </c:pt>
                <c:pt idx="4">
                  <c:v>Females 0 to 9</c:v>
                </c:pt>
                <c:pt idx="5">
                  <c:v>Females 10 to 14</c:v>
                </c:pt>
                <c:pt idx="6">
                  <c:v>Females 15 to 17</c:v>
                </c:pt>
              </c:strCache>
            </c:strRef>
          </c:cat>
          <c:val>
            <c:numRef>
              <c:f>('Table 9'!$AB$12:$AB$14,'Table 9'!$AB$16:$AB$19)</c:f>
              <c:numCache>
                <c:formatCode>General</c:formatCode>
                <c:ptCount val="7"/>
                <c:pt idx="0">
                  <c:v>13</c:v>
                </c:pt>
                <c:pt idx="1">
                  <c:v>3</c:v>
                </c:pt>
                <c:pt idx="2">
                  <c:v>0</c:v>
                </c:pt>
                <c:pt idx="4">
                  <c:v>38</c:v>
                </c:pt>
                <c:pt idx="5">
                  <c:v>35</c:v>
                </c:pt>
                <c:pt idx="6">
                  <c:v>31</c:v>
                </c:pt>
              </c:numCache>
            </c:numRef>
          </c:val>
        </c:ser>
        <c:ser>
          <c:idx val="1"/>
          <c:order val="1"/>
          <c:tx>
            <c:strRef>
              <c:f>'Table 9'!$AC$11</c:f>
              <c:strCache>
                <c:ptCount val="1"/>
                <c:pt idx="0">
                  <c:v>Non-family member</c:v>
                </c:pt>
              </c:strCache>
            </c:strRef>
          </c:tx>
          <c:spPr>
            <a:pattFill prst="pct75">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0">
                <a:spAutoFit/>
              </a:bodyPr>
              <a:lstStyle/>
              <a:p>
                <a:pPr algn="ctr">
                  <a:defRPr lang="en-AU"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9'!$AA$12:$AA$14,'Table 9'!$AA$16:$AA$19)</c:f>
              <c:strCache>
                <c:ptCount val="7"/>
                <c:pt idx="0">
                  <c:v>Males 0 to 9</c:v>
                </c:pt>
                <c:pt idx="1">
                  <c:v>Males 10 to 14</c:v>
                </c:pt>
                <c:pt idx="2">
                  <c:v>Males 15 to 17</c:v>
                </c:pt>
                <c:pt idx="4">
                  <c:v>Females 0 to 9</c:v>
                </c:pt>
                <c:pt idx="5">
                  <c:v>Females 10 to 14</c:v>
                </c:pt>
                <c:pt idx="6">
                  <c:v>Females 15 to 17</c:v>
                </c:pt>
              </c:strCache>
            </c:strRef>
          </c:cat>
          <c:val>
            <c:numRef>
              <c:f>('Table 9'!$AC$12:$AC$14,'Table 9'!$AC$16:$AC$19)</c:f>
              <c:numCache>
                <c:formatCode>General</c:formatCode>
                <c:ptCount val="7"/>
                <c:pt idx="0">
                  <c:v>9</c:v>
                </c:pt>
                <c:pt idx="1">
                  <c:v>9</c:v>
                </c:pt>
                <c:pt idx="2">
                  <c:v>3</c:v>
                </c:pt>
                <c:pt idx="4">
                  <c:v>20</c:v>
                </c:pt>
                <c:pt idx="5">
                  <c:v>29</c:v>
                </c:pt>
                <c:pt idx="6">
                  <c:v>49</c:v>
                </c:pt>
              </c:numCache>
            </c:numRef>
          </c:val>
        </c:ser>
        <c:ser>
          <c:idx val="2"/>
          <c:order val="2"/>
          <c:tx>
            <c:strRef>
              <c:f>'Table 9'!$AD$11</c:f>
              <c:strCache>
                <c:ptCount val="1"/>
                <c:pt idx="0">
                  <c:v>Stranger</c:v>
                </c:pt>
              </c:strCache>
            </c:strRef>
          </c:tx>
          <c:spPr>
            <a:solidFill>
              <a:schemeClr val="bg1">
                <a:lumMod val="50000"/>
              </a:schemeClr>
            </a:solidFill>
            <a:ln>
              <a:solidFill>
                <a:schemeClr val="tx1"/>
              </a:solidFill>
            </a:ln>
            <a:effectLst/>
          </c:spPr>
          <c:invertIfNegative val="0"/>
          <c:dLbls>
            <c:dLbl>
              <c:idx val="1"/>
              <c:delete val="1"/>
              <c:extLst>
                <c:ext xmlns:c15="http://schemas.microsoft.com/office/drawing/2012/chart" uri="{CE6537A1-D6FC-4f65-9D91-7224C49458BB}"/>
              </c:extLst>
            </c:dLbl>
            <c:dLbl>
              <c:idx val="2"/>
              <c:delete val="1"/>
              <c:extLst>
                <c:ext xmlns:c15="http://schemas.microsoft.com/office/drawing/2012/chart" uri="{CE6537A1-D6FC-4f65-9D91-7224C49458BB}"/>
              </c:extLst>
            </c:dLbl>
            <c:dLbl>
              <c:idx val="4"/>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9'!$AA$12:$AA$14,'Table 9'!$AA$16:$AA$19)</c:f>
              <c:strCache>
                <c:ptCount val="7"/>
                <c:pt idx="0">
                  <c:v>Males 0 to 9</c:v>
                </c:pt>
                <c:pt idx="1">
                  <c:v>Males 10 to 14</c:v>
                </c:pt>
                <c:pt idx="2">
                  <c:v>Males 15 to 17</c:v>
                </c:pt>
                <c:pt idx="4">
                  <c:v>Females 0 to 9</c:v>
                </c:pt>
                <c:pt idx="5">
                  <c:v>Females 10 to 14</c:v>
                </c:pt>
                <c:pt idx="6">
                  <c:v>Females 15 to 17</c:v>
                </c:pt>
              </c:strCache>
            </c:strRef>
          </c:cat>
          <c:val>
            <c:numRef>
              <c:f>('Table 9'!$AD$12:$AD$14,'Table 9'!$AD$16:$AD$19)</c:f>
              <c:numCache>
                <c:formatCode>General</c:formatCode>
                <c:ptCount val="7"/>
                <c:pt idx="0">
                  <c:v>3</c:v>
                </c:pt>
                <c:pt idx="1">
                  <c:v>0</c:v>
                </c:pt>
                <c:pt idx="2">
                  <c:v>0</c:v>
                </c:pt>
                <c:pt idx="4">
                  <c:v>0</c:v>
                </c:pt>
                <c:pt idx="5">
                  <c:v>3</c:v>
                </c:pt>
                <c:pt idx="6">
                  <c:v>10</c:v>
                </c:pt>
              </c:numCache>
            </c:numRef>
          </c:val>
        </c:ser>
        <c:dLbls>
          <c:showLegendKey val="0"/>
          <c:showVal val="0"/>
          <c:showCatName val="0"/>
          <c:showSerName val="0"/>
          <c:showPercent val="0"/>
          <c:showBubbleSize val="0"/>
        </c:dLbls>
        <c:gapWidth val="219"/>
        <c:overlap val="-27"/>
        <c:axId val="51320816"/>
        <c:axId val="51321208"/>
      </c:barChart>
      <c:catAx>
        <c:axId val="513208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1321208"/>
        <c:crosses val="autoZero"/>
        <c:auto val="1"/>
        <c:lblAlgn val="ctr"/>
        <c:lblOffset val="100"/>
        <c:noMultiLvlLbl val="0"/>
      </c:catAx>
      <c:valAx>
        <c:axId val="5132120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132081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baseline="0">
                <a:effectLst/>
              </a:rPr>
              <a:t>Figure 20: Number of child victims of sexual assault, by offender type, by the victim's sex and by the victim's age (Northern Territory, 2010-2013)</a:t>
            </a:r>
            <a:endParaRPr lang="en-AU" sz="1400">
              <a:effectLst/>
            </a:endParaRPr>
          </a:p>
        </c:rich>
      </c:tx>
      <c:overlay val="0"/>
      <c:spPr>
        <a:noFill/>
        <a:ln>
          <a:noFill/>
        </a:ln>
        <a:effectLst/>
      </c:spPr>
    </c:title>
    <c:autoTitleDeleted val="0"/>
    <c:plotArea>
      <c:layout/>
      <c:barChart>
        <c:barDir val="col"/>
        <c:grouping val="clustered"/>
        <c:varyColors val="0"/>
        <c:ser>
          <c:idx val="0"/>
          <c:order val="0"/>
          <c:tx>
            <c:strRef>
              <c:f>'Table 9'!$AB$28</c:f>
              <c:strCache>
                <c:ptCount val="1"/>
                <c:pt idx="0">
                  <c:v>Family member</c:v>
                </c:pt>
              </c:strCache>
            </c:strRef>
          </c:tx>
          <c:spPr>
            <a:pattFill prst="pct20">
              <a:fgClr>
                <a:schemeClr val="tx1"/>
              </a:fgClr>
              <a:bgClr>
                <a:schemeClr val="bg1"/>
              </a:bgClr>
            </a:pattFill>
            <a:ln>
              <a:solidFill>
                <a:schemeClr val="tx1"/>
              </a:solidFill>
            </a:ln>
            <a:effectLst/>
          </c:spPr>
          <c:invertIfNegative val="0"/>
          <c:dLbls>
            <c:dLbl>
              <c:idx val="2"/>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9'!$AA$29:$AA$31,'Table 9'!$AA$33:$AA$36)</c:f>
              <c:strCache>
                <c:ptCount val="7"/>
                <c:pt idx="0">
                  <c:v>Males 0 to 9</c:v>
                </c:pt>
                <c:pt idx="1">
                  <c:v>Males 10 to 14</c:v>
                </c:pt>
                <c:pt idx="2">
                  <c:v>Males 15 to 17</c:v>
                </c:pt>
                <c:pt idx="4">
                  <c:v>Females 0 to 9</c:v>
                </c:pt>
                <c:pt idx="5">
                  <c:v>Females 10 to 14</c:v>
                </c:pt>
                <c:pt idx="6">
                  <c:v>Females 15 to 17</c:v>
                </c:pt>
              </c:strCache>
            </c:strRef>
          </c:cat>
          <c:val>
            <c:numRef>
              <c:f>('Table 9'!$AB$29:$AB$31,'Table 9'!$AB$33:$AB$36)</c:f>
              <c:numCache>
                <c:formatCode>General</c:formatCode>
                <c:ptCount val="7"/>
                <c:pt idx="0">
                  <c:v>8</c:v>
                </c:pt>
                <c:pt idx="1">
                  <c:v>3</c:v>
                </c:pt>
                <c:pt idx="2">
                  <c:v>0</c:v>
                </c:pt>
                <c:pt idx="4">
                  <c:v>28</c:v>
                </c:pt>
                <c:pt idx="5">
                  <c:v>32</c:v>
                </c:pt>
                <c:pt idx="6">
                  <c:v>24</c:v>
                </c:pt>
              </c:numCache>
            </c:numRef>
          </c:val>
        </c:ser>
        <c:ser>
          <c:idx val="1"/>
          <c:order val="1"/>
          <c:tx>
            <c:strRef>
              <c:f>'Table 9'!$AC$28</c:f>
              <c:strCache>
                <c:ptCount val="1"/>
                <c:pt idx="0">
                  <c:v>Non-family member</c:v>
                </c:pt>
              </c:strCache>
            </c:strRef>
          </c:tx>
          <c:spPr>
            <a:pattFill prst="pct75">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0">
                <a:spAutoFit/>
              </a:bodyPr>
              <a:lstStyle/>
              <a:p>
                <a:pPr algn="ctr">
                  <a:defRPr lang="en-AU"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9'!$AA$29:$AA$31,'Table 9'!$AA$33:$AA$36)</c:f>
              <c:strCache>
                <c:ptCount val="7"/>
                <c:pt idx="0">
                  <c:v>Males 0 to 9</c:v>
                </c:pt>
                <c:pt idx="1">
                  <c:v>Males 10 to 14</c:v>
                </c:pt>
                <c:pt idx="2">
                  <c:v>Males 15 to 17</c:v>
                </c:pt>
                <c:pt idx="4">
                  <c:v>Females 0 to 9</c:v>
                </c:pt>
                <c:pt idx="5">
                  <c:v>Females 10 to 14</c:v>
                </c:pt>
                <c:pt idx="6">
                  <c:v>Females 15 to 17</c:v>
                </c:pt>
              </c:strCache>
            </c:strRef>
          </c:cat>
          <c:val>
            <c:numRef>
              <c:f>('Table 9'!$AC$29:$AC$31,'Table 9'!$AC$33:$AC$36)</c:f>
              <c:numCache>
                <c:formatCode>General</c:formatCode>
                <c:ptCount val="7"/>
                <c:pt idx="0">
                  <c:v>6</c:v>
                </c:pt>
                <c:pt idx="1">
                  <c:v>11</c:v>
                </c:pt>
                <c:pt idx="2">
                  <c:v>3</c:v>
                </c:pt>
                <c:pt idx="4">
                  <c:v>22</c:v>
                </c:pt>
                <c:pt idx="5">
                  <c:v>60</c:v>
                </c:pt>
                <c:pt idx="6">
                  <c:v>44</c:v>
                </c:pt>
              </c:numCache>
            </c:numRef>
          </c:val>
        </c:ser>
        <c:ser>
          <c:idx val="2"/>
          <c:order val="2"/>
          <c:tx>
            <c:strRef>
              <c:f>'Table 9'!$AD$28</c:f>
              <c:strCache>
                <c:ptCount val="1"/>
                <c:pt idx="0">
                  <c:v>Stranger</c:v>
                </c:pt>
              </c:strCache>
            </c:strRef>
          </c:tx>
          <c:spPr>
            <a:solidFill>
              <a:schemeClr val="bg1">
                <a:lumMod val="50000"/>
              </a:schemeClr>
            </a:solidFill>
            <a:ln>
              <a:solidFill>
                <a:schemeClr val="tx1"/>
              </a:solidFill>
            </a:ln>
            <a:effectLst/>
          </c:spPr>
          <c:invertIfNegative val="0"/>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2"/>
              <c:delete val="1"/>
              <c:extLst>
                <c:ext xmlns:c15="http://schemas.microsoft.com/office/drawing/2012/chart" uri="{CE6537A1-D6FC-4f65-9D91-7224C49458BB}"/>
              </c:extLst>
            </c:dLbl>
            <c:dLbl>
              <c:idx val="4"/>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9'!$AA$29:$AA$31,'Table 9'!$AA$33:$AA$36)</c:f>
              <c:strCache>
                <c:ptCount val="7"/>
                <c:pt idx="0">
                  <c:v>Males 0 to 9</c:v>
                </c:pt>
                <c:pt idx="1">
                  <c:v>Males 10 to 14</c:v>
                </c:pt>
                <c:pt idx="2">
                  <c:v>Males 15 to 17</c:v>
                </c:pt>
                <c:pt idx="4">
                  <c:v>Females 0 to 9</c:v>
                </c:pt>
                <c:pt idx="5">
                  <c:v>Females 10 to 14</c:v>
                </c:pt>
                <c:pt idx="6">
                  <c:v>Females 15 to 17</c:v>
                </c:pt>
              </c:strCache>
            </c:strRef>
          </c:cat>
          <c:val>
            <c:numRef>
              <c:f>('Table 9'!$AD$29:$AD$31,'Table 9'!$AD$33:$AD$36)</c:f>
              <c:numCache>
                <c:formatCode>General</c:formatCode>
                <c:ptCount val="7"/>
                <c:pt idx="0">
                  <c:v>0</c:v>
                </c:pt>
                <c:pt idx="1">
                  <c:v>0</c:v>
                </c:pt>
                <c:pt idx="2">
                  <c:v>0</c:v>
                </c:pt>
                <c:pt idx="4">
                  <c:v>0</c:v>
                </c:pt>
                <c:pt idx="5">
                  <c:v>3</c:v>
                </c:pt>
                <c:pt idx="6">
                  <c:v>4</c:v>
                </c:pt>
              </c:numCache>
            </c:numRef>
          </c:val>
        </c:ser>
        <c:dLbls>
          <c:showLegendKey val="0"/>
          <c:showVal val="0"/>
          <c:showCatName val="0"/>
          <c:showSerName val="0"/>
          <c:showPercent val="0"/>
          <c:showBubbleSize val="0"/>
        </c:dLbls>
        <c:gapWidth val="219"/>
        <c:overlap val="-27"/>
        <c:axId val="51321992"/>
        <c:axId val="51322384"/>
      </c:barChart>
      <c:catAx>
        <c:axId val="513219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1322384"/>
        <c:crosses val="autoZero"/>
        <c:auto val="1"/>
        <c:lblAlgn val="ctr"/>
        <c:lblOffset val="100"/>
        <c:noMultiLvlLbl val="0"/>
      </c:catAx>
      <c:valAx>
        <c:axId val="5132238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132199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baseline="0">
                <a:effectLst/>
              </a:rPr>
              <a:t>Figure 21: Number of child victims of sexual assault, by offender type, by the victim's sex and by the victim's age (Australian Capital Territory, 2010-2013)</a:t>
            </a:r>
            <a:endParaRPr lang="en-AU" sz="1400">
              <a:effectLst/>
            </a:endParaRPr>
          </a:p>
        </c:rich>
      </c:tx>
      <c:overlay val="0"/>
      <c:spPr>
        <a:noFill/>
        <a:ln>
          <a:noFill/>
        </a:ln>
        <a:effectLst/>
      </c:spPr>
    </c:title>
    <c:autoTitleDeleted val="0"/>
    <c:plotArea>
      <c:layout/>
      <c:barChart>
        <c:barDir val="col"/>
        <c:grouping val="clustered"/>
        <c:varyColors val="0"/>
        <c:ser>
          <c:idx val="0"/>
          <c:order val="0"/>
          <c:tx>
            <c:strRef>
              <c:f>'Table 9'!$AB$45</c:f>
              <c:strCache>
                <c:ptCount val="1"/>
                <c:pt idx="0">
                  <c:v>Family member</c:v>
                </c:pt>
              </c:strCache>
            </c:strRef>
          </c:tx>
          <c:spPr>
            <a:pattFill prst="pct20">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9'!$AA$46:$AA$48,'Table 9'!$AA$50:$AA$53)</c:f>
              <c:strCache>
                <c:ptCount val="7"/>
                <c:pt idx="0">
                  <c:v>Males 0 to 9</c:v>
                </c:pt>
                <c:pt idx="1">
                  <c:v>Males 10 to 14</c:v>
                </c:pt>
                <c:pt idx="2">
                  <c:v>Males 15 to 17</c:v>
                </c:pt>
                <c:pt idx="4">
                  <c:v>Females 0 to 9</c:v>
                </c:pt>
                <c:pt idx="5">
                  <c:v>Females 10 to 14</c:v>
                </c:pt>
                <c:pt idx="6">
                  <c:v>Females 15 to 17</c:v>
                </c:pt>
              </c:strCache>
            </c:strRef>
          </c:cat>
          <c:val>
            <c:numRef>
              <c:f>('Table 9'!$AB$46:$AB$48,'Table 9'!$AB$50:$AB$53)</c:f>
              <c:numCache>
                <c:formatCode>General</c:formatCode>
                <c:ptCount val="7"/>
                <c:pt idx="0">
                  <c:v>6</c:v>
                </c:pt>
                <c:pt idx="1">
                  <c:v>6</c:v>
                </c:pt>
                <c:pt idx="2">
                  <c:v>3</c:v>
                </c:pt>
                <c:pt idx="4">
                  <c:v>34</c:v>
                </c:pt>
                <c:pt idx="5">
                  <c:v>31</c:v>
                </c:pt>
                <c:pt idx="6">
                  <c:v>16</c:v>
                </c:pt>
              </c:numCache>
            </c:numRef>
          </c:val>
        </c:ser>
        <c:ser>
          <c:idx val="1"/>
          <c:order val="1"/>
          <c:tx>
            <c:strRef>
              <c:f>'Table 9'!$AC$45</c:f>
              <c:strCache>
                <c:ptCount val="1"/>
                <c:pt idx="0">
                  <c:v>Non-family member</c:v>
                </c:pt>
              </c:strCache>
            </c:strRef>
          </c:tx>
          <c:spPr>
            <a:pattFill prst="pct75">
              <a:fgClr>
                <a:schemeClr val="tx1"/>
              </a:fgClr>
              <a:bgClr>
                <a:schemeClr val="bg1"/>
              </a:bgClr>
            </a:pattFill>
            <a:ln>
              <a:solidFill>
                <a:schemeClr val="tx1"/>
              </a:solidFill>
            </a:ln>
            <a:effectLst/>
          </c:spPr>
          <c:invertIfNegative val="0"/>
          <c:dLbls>
            <c:spPr>
              <a:noFill/>
              <a:ln>
                <a:noFill/>
              </a:ln>
              <a:effectLst/>
            </c:spPr>
            <c:txPr>
              <a:bodyPr rot="-2700000" spcFirstLastPara="1" vertOverflow="ellipsis" wrap="square" lIns="38100" tIns="19050" rIns="38100" bIns="19050" anchor="ctr" anchorCtr="0">
                <a:spAutoFit/>
              </a:bodyPr>
              <a:lstStyle/>
              <a:p>
                <a:pPr algn="ctr">
                  <a:defRPr lang="en-AU"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9'!$AA$46:$AA$48,'Table 9'!$AA$50:$AA$53)</c:f>
              <c:strCache>
                <c:ptCount val="7"/>
                <c:pt idx="0">
                  <c:v>Males 0 to 9</c:v>
                </c:pt>
                <c:pt idx="1">
                  <c:v>Males 10 to 14</c:v>
                </c:pt>
                <c:pt idx="2">
                  <c:v>Males 15 to 17</c:v>
                </c:pt>
                <c:pt idx="4">
                  <c:v>Females 0 to 9</c:v>
                </c:pt>
                <c:pt idx="5">
                  <c:v>Females 10 to 14</c:v>
                </c:pt>
                <c:pt idx="6">
                  <c:v>Females 15 to 17</c:v>
                </c:pt>
              </c:strCache>
            </c:strRef>
          </c:cat>
          <c:val>
            <c:numRef>
              <c:f>('Table 9'!$AC$46:$AC$48,'Table 9'!$AC$50:$AC$53)</c:f>
              <c:numCache>
                <c:formatCode>General</c:formatCode>
                <c:ptCount val="7"/>
                <c:pt idx="0">
                  <c:v>3</c:v>
                </c:pt>
                <c:pt idx="1">
                  <c:v>9</c:v>
                </c:pt>
                <c:pt idx="2">
                  <c:v>6</c:v>
                </c:pt>
                <c:pt idx="4">
                  <c:v>18</c:v>
                </c:pt>
                <c:pt idx="5">
                  <c:v>51</c:v>
                </c:pt>
                <c:pt idx="6">
                  <c:v>55</c:v>
                </c:pt>
              </c:numCache>
            </c:numRef>
          </c:val>
        </c:ser>
        <c:ser>
          <c:idx val="2"/>
          <c:order val="2"/>
          <c:tx>
            <c:strRef>
              <c:f>'Table 9'!$AD$45</c:f>
              <c:strCache>
                <c:ptCount val="1"/>
                <c:pt idx="0">
                  <c:v>Stranger</c:v>
                </c:pt>
              </c:strCache>
            </c:strRef>
          </c:tx>
          <c:spPr>
            <a:solidFill>
              <a:schemeClr val="bg1">
                <a:lumMod val="50000"/>
              </a:schemeClr>
            </a:solidFill>
            <a:ln>
              <a:solidFill>
                <a:schemeClr val="tx1"/>
              </a:solidFill>
            </a:ln>
            <a:effectLst/>
          </c:spPr>
          <c:invertIfNegative val="0"/>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2"/>
              <c:delete val="1"/>
              <c:extLst>
                <c:ext xmlns:c15="http://schemas.microsoft.com/office/drawing/2012/chart" uri="{CE6537A1-D6FC-4f65-9D91-7224C49458BB}"/>
              </c:extLst>
            </c:dLbl>
            <c:dLbl>
              <c:idx val="4"/>
              <c:delete val="1"/>
              <c:extLst>
                <c:ext xmlns:c15="http://schemas.microsoft.com/office/drawing/2012/chart" uri="{CE6537A1-D6FC-4f65-9D91-7224C49458BB}"/>
              </c:extLst>
            </c:dLbl>
            <c:dLbl>
              <c:idx val="6"/>
              <c:delete val="1"/>
              <c:extLst>
                <c:ext xmlns:c15="http://schemas.microsoft.com/office/drawing/2012/chart" uri="{CE6537A1-D6FC-4f65-9D91-7224C49458BB}"/>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9'!$AA$46:$AA$48,'Table 9'!$AA$50:$AA$53)</c:f>
              <c:strCache>
                <c:ptCount val="7"/>
                <c:pt idx="0">
                  <c:v>Males 0 to 9</c:v>
                </c:pt>
                <c:pt idx="1">
                  <c:v>Males 10 to 14</c:v>
                </c:pt>
                <c:pt idx="2">
                  <c:v>Males 15 to 17</c:v>
                </c:pt>
                <c:pt idx="4">
                  <c:v>Females 0 to 9</c:v>
                </c:pt>
                <c:pt idx="5">
                  <c:v>Females 10 to 14</c:v>
                </c:pt>
                <c:pt idx="6">
                  <c:v>Females 15 to 17</c:v>
                </c:pt>
              </c:strCache>
            </c:strRef>
          </c:cat>
          <c:val>
            <c:numRef>
              <c:f>('Table 9'!$AD$46:$AD$48,'Table 9'!$AD$50:$AD$53)</c:f>
              <c:numCache>
                <c:formatCode>General</c:formatCode>
                <c:ptCount val="7"/>
                <c:pt idx="0">
                  <c:v>0</c:v>
                </c:pt>
                <c:pt idx="1">
                  <c:v>0</c:v>
                </c:pt>
                <c:pt idx="2">
                  <c:v>0</c:v>
                </c:pt>
                <c:pt idx="4">
                  <c:v>0</c:v>
                </c:pt>
                <c:pt idx="5">
                  <c:v>3</c:v>
                </c:pt>
                <c:pt idx="6">
                  <c:v>0</c:v>
                </c:pt>
              </c:numCache>
            </c:numRef>
          </c:val>
        </c:ser>
        <c:dLbls>
          <c:showLegendKey val="0"/>
          <c:showVal val="0"/>
          <c:showCatName val="0"/>
          <c:showSerName val="0"/>
          <c:showPercent val="0"/>
          <c:showBubbleSize val="0"/>
        </c:dLbls>
        <c:gapWidth val="219"/>
        <c:overlap val="-27"/>
        <c:axId val="51323168"/>
        <c:axId val="51323560"/>
      </c:barChart>
      <c:catAx>
        <c:axId val="513231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1323560"/>
        <c:crosses val="autoZero"/>
        <c:auto val="1"/>
        <c:lblAlgn val="ctr"/>
        <c:lblOffset val="100"/>
        <c:noMultiLvlLbl val="0"/>
      </c:catAx>
      <c:valAx>
        <c:axId val="5132356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5132316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u="none" strike="noStrike" baseline="0">
                <a:effectLst/>
              </a:rPr>
              <a:t>Figure 1: Estimated number of adult men who first experienced physical abuse as a child by a parent, by the victim's age at the first incident of physical abuse</a:t>
            </a:r>
            <a:endParaRPr lang="en-AU">
              <a:solidFill>
                <a:sysClr val="windowText" lastClr="000000"/>
              </a:solidFill>
            </a:endParaRPr>
          </a:p>
        </c:rich>
      </c:tx>
      <c:overlay val="0"/>
      <c:spPr>
        <a:noFill/>
        <a:ln>
          <a:noFill/>
        </a:ln>
        <a:effectLst/>
      </c:spPr>
    </c:title>
    <c:autoTitleDeleted val="0"/>
    <c:plotArea>
      <c:layout/>
      <c:barChart>
        <c:barDir val="col"/>
        <c:grouping val="clustered"/>
        <c:varyColors val="0"/>
        <c:ser>
          <c:idx val="0"/>
          <c:order val="0"/>
          <c:tx>
            <c:strRef>
              <c:f>'Table 11'!$G$9</c:f>
              <c:strCache>
                <c:ptCount val="1"/>
                <c:pt idx="0">
                  <c:v>Parent</c:v>
                </c:pt>
              </c:strCache>
            </c:strRef>
          </c:tx>
          <c:spPr>
            <a:pattFill prst="pct20">
              <a:fgClr>
                <a:schemeClr val="tx1"/>
              </a:fgClr>
              <a:bgClr>
                <a:schemeClr val="bg1"/>
              </a:bgClr>
            </a:pattFill>
            <a:ln>
              <a:solidFill>
                <a:schemeClr val="tx1"/>
              </a:solidFill>
            </a:ln>
            <a:effectLst/>
          </c:spPr>
          <c:invertIfNegative val="0"/>
          <c:dLbls>
            <c:dLbl>
              <c:idx val="3"/>
              <c:tx>
                <c:rich>
                  <a:bodyPr/>
                  <a:lstStyle/>
                  <a:p>
                    <a:r>
                      <a:rPr lang="en-US"/>
                      <a:t>*</a:t>
                    </a:r>
                    <a:fld id="{CFB5E85E-2BF7-4CA7-93C7-5A24A2A22831}" type="VALUE">
                      <a:rPr lang="en-US"/>
                      <a:pPr/>
                      <a:t>[VALUE]</a:t>
                    </a:fld>
                    <a:endParaRPr lang="en-US"/>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11'!$F$10:$F$13</c:f>
              <c:strCache>
                <c:ptCount val="4"/>
                <c:pt idx="0">
                  <c:v>Males under 4</c:v>
                </c:pt>
                <c:pt idx="1">
                  <c:v>Males 4 to 9</c:v>
                </c:pt>
                <c:pt idx="2">
                  <c:v>Males 10 to 11</c:v>
                </c:pt>
                <c:pt idx="3">
                  <c:v>Males 12 to 14</c:v>
                </c:pt>
              </c:strCache>
            </c:strRef>
          </c:cat>
          <c:val>
            <c:numRef>
              <c:f>'Table 11'!$G$10:$G$13</c:f>
              <c:numCache>
                <c:formatCode>#,##0.0</c:formatCode>
                <c:ptCount val="4"/>
                <c:pt idx="0">
                  <c:v>33.5</c:v>
                </c:pt>
                <c:pt idx="1">
                  <c:v>302</c:v>
                </c:pt>
                <c:pt idx="2">
                  <c:v>84.9</c:v>
                </c:pt>
                <c:pt idx="3">
                  <c:v>40.700000000000003</c:v>
                </c:pt>
              </c:numCache>
            </c:numRef>
          </c:val>
        </c:ser>
        <c:dLbls>
          <c:showLegendKey val="0"/>
          <c:showVal val="0"/>
          <c:showCatName val="0"/>
          <c:showSerName val="0"/>
          <c:showPercent val="0"/>
          <c:showBubbleSize val="0"/>
        </c:dLbls>
        <c:gapWidth val="219"/>
        <c:overlap val="-27"/>
        <c:axId val="149226064"/>
        <c:axId val="149226456"/>
      </c:barChart>
      <c:catAx>
        <c:axId val="1492260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149226456"/>
        <c:crosses val="autoZero"/>
        <c:auto val="1"/>
        <c:lblAlgn val="ctr"/>
        <c:lblOffset val="100"/>
        <c:noMultiLvlLbl val="0"/>
      </c:catAx>
      <c:valAx>
        <c:axId val="149226456"/>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'000</a:t>
                </a:r>
              </a:p>
            </c:rich>
          </c:tx>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14922606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u="none" strike="noStrike" baseline="0">
                <a:effectLst/>
              </a:rPr>
              <a:t>Figure 2: Estimated number of adult men who first experienced physical abuse as a child, by perpetrator type</a:t>
            </a:r>
            <a:endParaRPr lang="en-AU">
              <a:solidFill>
                <a:sysClr val="windowText" lastClr="000000"/>
              </a:solidFill>
            </a:endParaRPr>
          </a:p>
        </c:rich>
      </c:tx>
      <c:overlay val="0"/>
      <c:spPr>
        <a:noFill/>
        <a:ln>
          <a:noFill/>
        </a:ln>
        <a:effectLst/>
      </c:spPr>
    </c:title>
    <c:autoTitleDeleted val="0"/>
    <c:plotArea>
      <c:layout/>
      <c:barChart>
        <c:barDir val="col"/>
        <c:grouping val="clustered"/>
        <c:varyColors val="0"/>
        <c:ser>
          <c:idx val="0"/>
          <c:order val="0"/>
          <c:tx>
            <c:strRef>
              <c:f>'Table 10'!$F$11</c:f>
              <c:strCache>
                <c:ptCount val="1"/>
                <c:pt idx="0">
                  <c:v>Males 0 to 14</c:v>
                </c:pt>
              </c:strCache>
            </c:strRef>
          </c:tx>
          <c:spPr>
            <a:pattFill prst="pct20">
              <a:fgClr>
                <a:schemeClr val="tx1"/>
              </a:fgClr>
              <a:bgClr>
                <a:schemeClr val="bg1"/>
              </a:bgClr>
            </a:pattFill>
            <a:ln>
              <a:solidFill>
                <a:schemeClr val="tx1"/>
              </a:solidFill>
            </a:ln>
            <a:effectLst/>
          </c:spPr>
          <c:invertIfNegative val="0"/>
          <c:dLbls>
            <c:dLbl>
              <c:idx val="2"/>
              <c:tx>
                <c:rich>
                  <a:bodyPr/>
                  <a:lstStyle/>
                  <a:p>
                    <a:r>
                      <a:rPr lang="en-US"/>
                      <a:t>*</a:t>
                    </a:r>
                    <a:fld id="{90F71715-8731-4ED0-8E94-6B473192A869}" type="VALUE">
                      <a:rPr lang="en-US"/>
                      <a:pPr/>
                      <a:t>[VALUE]</a:t>
                    </a:fld>
                    <a:endParaRPr lang="en-US"/>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3"/>
              <c:tx>
                <c:rich>
                  <a:bodyPr/>
                  <a:lstStyle/>
                  <a:p>
                    <a:r>
                      <a:rPr lang="en-US"/>
                      <a:t>*</a:t>
                    </a:r>
                    <a:fld id="{CFB5E85E-2BF7-4CA7-93C7-5A24A2A22831}" type="VALUE">
                      <a:rPr lang="en-US"/>
                      <a:pPr/>
                      <a:t>[VALUE]</a:t>
                    </a:fld>
                    <a:endParaRPr lang="en-US"/>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5"/>
              <c:tx>
                <c:rich>
                  <a:bodyPr/>
                  <a:lstStyle/>
                  <a:p>
                    <a:fld id="{12228457-4C17-43A9-8929-79E011F30440}" type="VALUE">
                      <a:rPr lang="en-US"/>
                      <a:pPr/>
                      <a:t>[VALUE]</a:t>
                    </a:fld>
                    <a:endParaRPr lang="en-AU"/>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8"/>
              <c:tx>
                <c:rich>
                  <a:bodyPr/>
                  <a:lstStyle/>
                  <a:p>
                    <a:r>
                      <a:rPr lang="en-US"/>
                      <a:t>*</a:t>
                    </a:r>
                    <a:fld id="{FA33F384-7586-4D56-98A4-4CE04A91D713}" type="VALUE">
                      <a:rPr lang="en-US"/>
                      <a:pPr/>
                      <a:t>[VALUE]</a:t>
                    </a:fld>
                    <a:endParaRPr lang="en-US"/>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10'!$E$12:$E$17</c:f>
              <c:strCache>
                <c:ptCount val="6"/>
                <c:pt idx="0">
                  <c:v>Father</c:v>
                </c:pt>
                <c:pt idx="1">
                  <c:v>Mother</c:v>
                </c:pt>
                <c:pt idx="2">
                  <c:v>Sibling</c:v>
                </c:pt>
                <c:pt idx="3">
                  <c:v>Other relative or in-law</c:v>
                </c:pt>
                <c:pt idx="4">
                  <c:v>Other known person</c:v>
                </c:pt>
                <c:pt idx="5">
                  <c:v>Stranger</c:v>
                </c:pt>
              </c:strCache>
            </c:strRef>
          </c:cat>
          <c:val>
            <c:numRef>
              <c:f>'Table 10'!$F$12:$F$17</c:f>
              <c:numCache>
                <c:formatCode>#,##0.0</c:formatCode>
                <c:ptCount val="6"/>
                <c:pt idx="0">
                  <c:v>476.2</c:v>
                </c:pt>
                <c:pt idx="1">
                  <c:v>133.19999999999999</c:v>
                </c:pt>
                <c:pt idx="2">
                  <c:v>47.8</c:v>
                </c:pt>
                <c:pt idx="3">
                  <c:v>17.899999999999999</c:v>
                </c:pt>
                <c:pt idx="4">
                  <c:v>189.9</c:v>
                </c:pt>
                <c:pt idx="5">
                  <c:v>66.7</c:v>
                </c:pt>
              </c:numCache>
            </c:numRef>
          </c:val>
        </c:ser>
        <c:dLbls>
          <c:showLegendKey val="0"/>
          <c:showVal val="0"/>
          <c:showCatName val="0"/>
          <c:showSerName val="0"/>
          <c:showPercent val="0"/>
          <c:showBubbleSize val="0"/>
        </c:dLbls>
        <c:gapWidth val="219"/>
        <c:overlap val="-27"/>
        <c:axId val="149227240"/>
        <c:axId val="149227632"/>
      </c:barChart>
      <c:catAx>
        <c:axId val="1492272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149227632"/>
        <c:crosses val="autoZero"/>
        <c:auto val="1"/>
        <c:lblAlgn val="ctr"/>
        <c:lblOffset val="100"/>
        <c:noMultiLvlLbl val="0"/>
      </c:catAx>
      <c:valAx>
        <c:axId val="149227632"/>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'000</a:t>
                </a:r>
              </a:p>
            </c:rich>
          </c:tx>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14922724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u="none" strike="noStrike" baseline="0">
                <a:effectLst/>
              </a:rPr>
              <a:t>Figure 3: Estimated number of adult women who first experienced physical abuse as a child by a parent, by the victim's age at the first incident of physical abuse</a:t>
            </a:r>
            <a:endParaRPr lang="en-AU">
              <a:solidFill>
                <a:sysClr val="windowText" lastClr="000000"/>
              </a:solidFill>
            </a:endParaRPr>
          </a:p>
        </c:rich>
      </c:tx>
      <c:overlay val="0"/>
      <c:spPr>
        <a:noFill/>
        <a:ln>
          <a:noFill/>
        </a:ln>
        <a:effectLst/>
      </c:spPr>
    </c:title>
    <c:autoTitleDeleted val="0"/>
    <c:plotArea>
      <c:layout/>
      <c:barChart>
        <c:barDir val="col"/>
        <c:grouping val="clustered"/>
        <c:varyColors val="0"/>
        <c:ser>
          <c:idx val="0"/>
          <c:order val="0"/>
          <c:tx>
            <c:strRef>
              <c:f>'Table 11'!$G$31</c:f>
              <c:strCache>
                <c:ptCount val="1"/>
                <c:pt idx="0">
                  <c:v>Father</c:v>
                </c:pt>
              </c:strCache>
            </c:strRef>
          </c:tx>
          <c:spPr>
            <a:pattFill prst="pct20">
              <a:fgClr>
                <a:schemeClr val="tx1"/>
              </a:fgClr>
              <a:bgClr>
                <a:schemeClr val="bg1"/>
              </a:bgClr>
            </a:pattFill>
            <a:ln>
              <a:solidFill>
                <a:schemeClr val="tx1"/>
              </a:solidFill>
            </a:ln>
            <a:effectLst/>
          </c:spPr>
          <c:invertIfNegative val="0"/>
          <c:dLbls>
            <c:dLbl>
              <c:idx val="3"/>
              <c:tx>
                <c:rich>
                  <a:bodyPr/>
                  <a:lstStyle/>
                  <a:p>
                    <a:fld id="{CFB5E85E-2BF7-4CA7-93C7-5A24A2A22831}" type="VALUE">
                      <a:rPr lang="en-US"/>
                      <a:pPr/>
                      <a:t>[VALUE]</a:t>
                    </a:fld>
                    <a:endParaRPr lang="en-AU"/>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11'!$F$32:$F$35</c:f>
              <c:strCache>
                <c:ptCount val="4"/>
                <c:pt idx="0">
                  <c:v>Females under 4</c:v>
                </c:pt>
                <c:pt idx="1">
                  <c:v>Females 4 to 9</c:v>
                </c:pt>
                <c:pt idx="2">
                  <c:v>Females 10 to 11</c:v>
                </c:pt>
                <c:pt idx="3">
                  <c:v>Females 12 to 14</c:v>
                </c:pt>
              </c:strCache>
            </c:strRef>
          </c:cat>
          <c:val>
            <c:numRef>
              <c:f>'Table 11'!$G$32:$G$35</c:f>
              <c:numCache>
                <c:formatCode>#,##0.0</c:formatCode>
                <c:ptCount val="4"/>
                <c:pt idx="0">
                  <c:v>37.9</c:v>
                </c:pt>
                <c:pt idx="1">
                  <c:v>246.9</c:v>
                </c:pt>
                <c:pt idx="2">
                  <c:v>56</c:v>
                </c:pt>
                <c:pt idx="3">
                  <c:v>68</c:v>
                </c:pt>
              </c:numCache>
            </c:numRef>
          </c:val>
        </c:ser>
        <c:ser>
          <c:idx val="1"/>
          <c:order val="1"/>
          <c:tx>
            <c:strRef>
              <c:f>'Table 11'!$H$31</c:f>
              <c:strCache>
                <c:ptCount val="1"/>
                <c:pt idx="0">
                  <c:v>Mother</c:v>
                </c:pt>
              </c:strCache>
            </c:strRef>
          </c:tx>
          <c:spPr>
            <a:pattFill prst="pct75">
              <a:fgClr>
                <a:schemeClr val="tx1"/>
              </a:fgClr>
              <a:bgClr>
                <a:schemeClr val="bg1"/>
              </a:bgClr>
            </a:pattFill>
            <a:ln>
              <a:solidFill>
                <a:schemeClr val="tx1"/>
              </a:solidFill>
            </a:ln>
            <a:effectLst/>
          </c:spPr>
          <c:invertIfNegative val="0"/>
          <c:dLbls>
            <c:dLbl>
              <c:idx val="3"/>
              <c:tx>
                <c:rich>
                  <a:bodyPr/>
                  <a:lstStyle/>
                  <a:p>
                    <a:fld id="{20499AC6-1923-4A6C-B0DA-A9261BB2B005}" type="VALUE">
                      <a:rPr lang="en-US"/>
                      <a:pPr/>
                      <a:t>[VALUE]</a:t>
                    </a:fld>
                    <a:endParaRPr lang="en-AU"/>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spPr>
              <a:noFill/>
              <a:ln>
                <a:noFill/>
              </a:ln>
              <a:effectLst/>
            </c:spPr>
            <c:txPr>
              <a:bodyPr rot="-2700000" spcFirstLastPara="1" vertOverflow="ellipsis" wrap="square" lIns="38100" tIns="19050" rIns="38100" bIns="19050" anchor="ctr" anchorCtr="0">
                <a:spAutoFit/>
              </a:bodyPr>
              <a:lstStyle/>
              <a:p>
                <a:pPr algn="ctr">
                  <a:defRPr lang="en-AU"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11'!$F$32:$F$35</c:f>
              <c:strCache>
                <c:ptCount val="4"/>
                <c:pt idx="0">
                  <c:v>Females under 4</c:v>
                </c:pt>
                <c:pt idx="1">
                  <c:v>Females 4 to 9</c:v>
                </c:pt>
                <c:pt idx="2">
                  <c:v>Females 10 to 11</c:v>
                </c:pt>
                <c:pt idx="3">
                  <c:v>Females 12 to 14</c:v>
                </c:pt>
              </c:strCache>
            </c:strRef>
          </c:cat>
          <c:val>
            <c:numRef>
              <c:f>'Table 11'!$H$32:$H$35</c:f>
              <c:numCache>
                <c:formatCode>#,##0.0</c:formatCode>
                <c:ptCount val="4"/>
                <c:pt idx="0">
                  <c:v>41.2</c:v>
                </c:pt>
                <c:pt idx="1">
                  <c:v>190</c:v>
                </c:pt>
                <c:pt idx="2">
                  <c:v>33.4</c:v>
                </c:pt>
                <c:pt idx="3">
                  <c:v>35.4</c:v>
                </c:pt>
              </c:numCache>
            </c:numRef>
          </c:val>
        </c:ser>
        <c:dLbls>
          <c:showLegendKey val="0"/>
          <c:showVal val="0"/>
          <c:showCatName val="0"/>
          <c:showSerName val="0"/>
          <c:showPercent val="0"/>
          <c:showBubbleSize val="0"/>
        </c:dLbls>
        <c:gapWidth val="219"/>
        <c:overlap val="-27"/>
        <c:axId val="149228416"/>
        <c:axId val="149228808"/>
      </c:barChart>
      <c:catAx>
        <c:axId val="1492284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149228808"/>
        <c:crosses val="autoZero"/>
        <c:auto val="1"/>
        <c:lblAlgn val="ctr"/>
        <c:lblOffset val="100"/>
        <c:noMultiLvlLbl val="0"/>
      </c:catAx>
      <c:valAx>
        <c:axId val="14922880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'000</a:t>
                </a:r>
              </a:p>
            </c:rich>
          </c:tx>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14922841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u="none" strike="noStrike" baseline="0">
                <a:effectLst/>
              </a:rPr>
              <a:t>Figure 4: Estimated number of adult women who first experienced physical abuse as a child, by perpetrator type</a:t>
            </a:r>
            <a:endParaRPr lang="en-AU">
              <a:solidFill>
                <a:sysClr val="windowText" lastClr="000000"/>
              </a:solidFill>
            </a:endParaRPr>
          </a:p>
        </c:rich>
      </c:tx>
      <c:overlay val="0"/>
      <c:spPr>
        <a:noFill/>
        <a:ln>
          <a:noFill/>
        </a:ln>
        <a:effectLst/>
      </c:spPr>
    </c:title>
    <c:autoTitleDeleted val="0"/>
    <c:plotArea>
      <c:layout/>
      <c:barChart>
        <c:barDir val="col"/>
        <c:grouping val="clustered"/>
        <c:varyColors val="0"/>
        <c:ser>
          <c:idx val="0"/>
          <c:order val="0"/>
          <c:tx>
            <c:strRef>
              <c:f>'Table 10'!$F$38</c:f>
              <c:strCache>
                <c:ptCount val="1"/>
                <c:pt idx="0">
                  <c:v>Females 0 to 14</c:v>
                </c:pt>
              </c:strCache>
            </c:strRef>
          </c:tx>
          <c:spPr>
            <a:pattFill prst="pct20">
              <a:fgClr>
                <a:schemeClr val="tx1"/>
              </a:fgClr>
              <a:bgClr>
                <a:schemeClr val="bg1"/>
              </a:bgClr>
            </a:pattFill>
            <a:ln>
              <a:solidFill>
                <a:schemeClr val="tx1"/>
              </a:solidFill>
            </a:ln>
            <a:effectLst/>
          </c:spPr>
          <c:invertIfNegative val="0"/>
          <c:dLbls>
            <c:dLbl>
              <c:idx val="3"/>
              <c:tx>
                <c:rich>
                  <a:bodyPr/>
                  <a:lstStyle/>
                  <a:p>
                    <a:fld id="{CFB5E85E-2BF7-4CA7-93C7-5A24A2A22831}" type="VALUE">
                      <a:rPr lang="en-US"/>
                      <a:pPr/>
                      <a:t>[VALUE]</a:t>
                    </a:fld>
                    <a:endParaRPr lang="en-AU"/>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5"/>
              <c:tx>
                <c:rich>
                  <a:bodyPr/>
                  <a:lstStyle/>
                  <a:p>
                    <a:r>
                      <a:rPr lang="en-US"/>
                      <a:t>*</a:t>
                    </a:r>
                    <a:fld id="{12228457-4C17-43A9-8929-79E011F30440}" type="VALUE">
                      <a:rPr lang="en-US"/>
                      <a:pPr/>
                      <a:t>[VALUE]</a:t>
                    </a:fld>
                    <a:endParaRPr lang="en-US"/>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8"/>
              <c:tx>
                <c:rich>
                  <a:bodyPr/>
                  <a:lstStyle/>
                  <a:p>
                    <a:r>
                      <a:rPr lang="en-US"/>
                      <a:t>*</a:t>
                    </a:r>
                    <a:fld id="{FA33F384-7586-4D56-98A4-4CE04A91D713}" type="VALUE">
                      <a:rPr lang="en-US"/>
                      <a:pPr/>
                      <a:t>[VALUE]</a:t>
                    </a:fld>
                    <a:endParaRPr lang="en-US"/>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10'!$E$39:$E$47</c:f>
              <c:strCache>
                <c:ptCount val="9"/>
                <c:pt idx="0">
                  <c:v>Father</c:v>
                </c:pt>
                <c:pt idx="1">
                  <c:v>Stepfather</c:v>
                </c:pt>
                <c:pt idx="2">
                  <c:v>Mother</c:v>
                </c:pt>
                <c:pt idx="3">
                  <c:v>Stepmother</c:v>
                </c:pt>
                <c:pt idx="4">
                  <c:v>Brother/stepbrother</c:v>
                </c:pt>
                <c:pt idx="5">
                  <c:v>Sister/stepsister</c:v>
                </c:pt>
                <c:pt idx="6">
                  <c:v>Other relative or in-law</c:v>
                </c:pt>
                <c:pt idx="7">
                  <c:v>Other known person</c:v>
                </c:pt>
                <c:pt idx="8">
                  <c:v>Stranger</c:v>
                </c:pt>
              </c:strCache>
            </c:strRef>
          </c:cat>
          <c:val>
            <c:numRef>
              <c:f>'Table 10'!$F$39:$F$47</c:f>
              <c:numCache>
                <c:formatCode>#,##0.0</c:formatCode>
                <c:ptCount val="9"/>
                <c:pt idx="0">
                  <c:v>431.9</c:v>
                </c:pt>
                <c:pt idx="1">
                  <c:v>67.900000000000006</c:v>
                </c:pt>
                <c:pt idx="2">
                  <c:v>318.60000000000002</c:v>
                </c:pt>
                <c:pt idx="3">
                  <c:v>17.7</c:v>
                </c:pt>
                <c:pt idx="4">
                  <c:v>45.1</c:v>
                </c:pt>
                <c:pt idx="5">
                  <c:v>10.5</c:v>
                </c:pt>
                <c:pt idx="6">
                  <c:v>57.4</c:v>
                </c:pt>
                <c:pt idx="7">
                  <c:v>92.4</c:v>
                </c:pt>
                <c:pt idx="8">
                  <c:v>12.7</c:v>
                </c:pt>
              </c:numCache>
            </c:numRef>
          </c:val>
        </c:ser>
        <c:dLbls>
          <c:showLegendKey val="0"/>
          <c:showVal val="0"/>
          <c:showCatName val="0"/>
          <c:showSerName val="0"/>
          <c:showPercent val="0"/>
          <c:showBubbleSize val="0"/>
        </c:dLbls>
        <c:gapWidth val="219"/>
        <c:overlap val="-27"/>
        <c:axId val="149229592"/>
        <c:axId val="149229984"/>
      </c:barChart>
      <c:catAx>
        <c:axId val="1492295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149229984"/>
        <c:crosses val="autoZero"/>
        <c:auto val="1"/>
        <c:lblAlgn val="ctr"/>
        <c:lblOffset val="100"/>
        <c:noMultiLvlLbl val="0"/>
      </c:catAx>
      <c:valAx>
        <c:axId val="14922998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'000</a:t>
                </a:r>
              </a:p>
            </c:rich>
          </c:tx>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149229592"/>
        <c:crosses val="autoZero"/>
        <c:crossBetween val="between"/>
        <c:majorUnit val="100"/>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u="none" strike="noStrike" baseline="0">
                <a:effectLst/>
              </a:rPr>
              <a:t>Figure 5: Estimated number of adult men who first experienced sexual abuse as a child, by perpetrator type</a:t>
            </a:r>
            <a:endParaRPr lang="en-AU">
              <a:solidFill>
                <a:sysClr val="windowText" lastClr="000000"/>
              </a:solidFill>
            </a:endParaRPr>
          </a:p>
        </c:rich>
      </c:tx>
      <c:overlay val="0"/>
      <c:spPr>
        <a:noFill/>
        <a:ln>
          <a:noFill/>
        </a:ln>
        <a:effectLst/>
      </c:spPr>
    </c:title>
    <c:autoTitleDeleted val="0"/>
    <c:plotArea>
      <c:layout/>
      <c:barChart>
        <c:barDir val="col"/>
        <c:grouping val="clustered"/>
        <c:varyColors val="0"/>
        <c:ser>
          <c:idx val="0"/>
          <c:order val="0"/>
          <c:tx>
            <c:strRef>
              <c:f>'Table 10'!$F$24</c:f>
              <c:strCache>
                <c:ptCount val="1"/>
                <c:pt idx="0">
                  <c:v>Males 0 to 14</c:v>
                </c:pt>
              </c:strCache>
            </c:strRef>
          </c:tx>
          <c:spPr>
            <a:pattFill prst="pct20">
              <a:fgClr>
                <a:schemeClr val="tx1"/>
              </a:fgClr>
              <a:bgClr>
                <a:schemeClr val="bg1"/>
              </a:bgClr>
            </a:pattFill>
            <a:ln>
              <a:solidFill>
                <a:schemeClr val="tx1"/>
              </a:solidFill>
            </a:ln>
            <a:effectLst/>
          </c:spPr>
          <c:invertIfNegative val="0"/>
          <c:dLbls>
            <c:dLbl>
              <c:idx val="2"/>
              <c:tx>
                <c:rich>
                  <a:bodyPr/>
                  <a:lstStyle/>
                  <a:p>
                    <a:fld id="{90F71715-8731-4ED0-8E94-6B473192A869}" type="VALUE">
                      <a:rPr lang="en-US"/>
                      <a:pPr/>
                      <a:t>[VALUE]</a:t>
                    </a:fld>
                    <a:endParaRPr lang="en-AU"/>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3"/>
              <c:tx>
                <c:rich>
                  <a:bodyPr/>
                  <a:lstStyle/>
                  <a:p>
                    <a:r>
                      <a:rPr lang="en-US"/>
                      <a:t>*</a:t>
                    </a:r>
                    <a:fld id="{CFB5E85E-2BF7-4CA7-93C7-5A24A2A22831}" type="VALUE">
                      <a:rPr lang="en-US"/>
                      <a:pPr/>
                      <a:t>[VALUE]</a:t>
                    </a:fld>
                    <a:endParaRPr lang="en-US"/>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5"/>
              <c:tx>
                <c:rich>
                  <a:bodyPr/>
                  <a:lstStyle/>
                  <a:p>
                    <a:fld id="{12228457-4C17-43A9-8929-79E011F30440}" type="VALUE">
                      <a:rPr lang="en-US"/>
                      <a:pPr/>
                      <a:t>[VALUE]</a:t>
                    </a:fld>
                    <a:endParaRPr lang="en-AU"/>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8"/>
              <c:tx>
                <c:rich>
                  <a:bodyPr/>
                  <a:lstStyle/>
                  <a:p>
                    <a:r>
                      <a:rPr lang="en-US"/>
                      <a:t>*</a:t>
                    </a:r>
                    <a:fld id="{FA33F384-7586-4D56-98A4-4CE04A91D713}" type="VALUE">
                      <a:rPr lang="en-US"/>
                      <a:pPr/>
                      <a:t>[VALUE]</a:t>
                    </a:fld>
                    <a:endParaRPr lang="en-US"/>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10'!$E$25:$E$27</c:f>
              <c:strCache>
                <c:ptCount val="3"/>
                <c:pt idx="0">
                  <c:v>Family member</c:v>
                </c:pt>
                <c:pt idx="1">
                  <c:v>Other known person</c:v>
                </c:pt>
                <c:pt idx="2">
                  <c:v>Stranger</c:v>
                </c:pt>
              </c:strCache>
            </c:strRef>
          </c:cat>
          <c:val>
            <c:numRef>
              <c:f>'Table 10'!$F$25:$F$27</c:f>
              <c:numCache>
                <c:formatCode>#,##0.0</c:formatCode>
                <c:ptCount val="3"/>
                <c:pt idx="0">
                  <c:v>97.8</c:v>
                </c:pt>
                <c:pt idx="1">
                  <c:v>215.6</c:v>
                </c:pt>
                <c:pt idx="2">
                  <c:v>49.9</c:v>
                </c:pt>
              </c:numCache>
            </c:numRef>
          </c:val>
        </c:ser>
        <c:dLbls>
          <c:showLegendKey val="0"/>
          <c:showVal val="0"/>
          <c:showCatName val="0"/>
          <c:showSerName val="0"/>
          <c:showPercent val="0"/>
          <c:showBubbleSize val="0"/>
        </c:dLbls>
        <c:gapWidth val="219"/>
        <c:overlap val="-27"/>
        <c:axId val="149230768"/>
        <c:axId val="149231160"/>
      </c:barChart>
      <c:catAx>
        <c:axId val="1492307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149231160"/>
        <c:crosses val="autoZero"/>
        <c:auto val="1"/>
        <c:lblAlgn val="ctr"/>
        <c:lblOffset val="100"/>
        <c:noMultiLvlLbl val="0"/>
      </c:catAx>
      <c:valAx>
        <c:axId val="14923116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b="1"/>
                  <a:t>'000</a:t>
                </a:r>
              </a:p>
            </c:rich>
          </c:tx>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14923076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solidFill>
                  <a:sysClr val="windowText" lastClr="000000"/>
                </a:solidFill>
              </a:rPr>
              <a:t>Figure 6: Estimated number of adult women who first experienced sexual abuse as a child, by perpertrator type</a:t>
            </a:r>
          </a:p>
        </c:rich>
      </c:tx>
      <c:overlay val="0"/>
      <c:spPr>
        <a:noFill/>
        <a:ln>
          <a:noFill/>
        </a:ln>
        <a:effectLst/>
      </c:spPr>
    </c:title>
    <c:autoTitleDeleted val="0"/>
    <c:plotArea>
      <c:layout/>
      <c:barChart>
        <c:barDir val="col"/>
        <c:grouping val="clustered"/>
        <c:varyColors val="0"/>
        <c:ser>
          <c:idx val="0"/>
          <c:order val="0"/>
          <c:tx>
            <c:strRef>
              <c:f>'Table 10'!$F$59</c:f>
              <c:strCache>
                <c:ptCount val="1"/>
                <c:pt idx="0">
                  <c:v>Females 0 to 14</c:v>
                </c:pt>
              </c:strCache>
            </c:strRef>
          </c:tx>
          <c:spPr>
            <a:pattFill prst="pct20">
              <a:fgClr>
                <a:schemeClr val="tx1"/>
              </a:fgClr>
              <a:bgClr>
                <a:schemeClr val="bg1"/>
              </a:bgClr>
            </a:pattFill>
            <a:ln>
              <a:solidFill>
                <a:schemeClr val="tx1"/>
              </a:solidFill>
            </a:ln>
            <a:effectLst/>
          </c:spPr>
          <c:invertIfNegative val="0"/>
          <c:dLbls>
            <c:dLbl>
              <c:idx val="2"/>
              <c:tx>
                <c:rich>
                  <a:bodyPr/>
                  <a:lstStyle/>
                  <a:p>
                    <a:r>
                      <a:rPr lang="en-US"/>
                      <a:t>*</a:t>
                    </a:r>
                    <a:fld id="{44AC1A22-961A-4E3D-BB68-DBC298DB65AF}" type="VALUE">
                      <a:rPr lang="en-US"/>
                      <a:pPr/>
                      <a:t>[VALUE]</a:t>
                    </a:fld>
                    <a:endParaRPr lang="en-US"/>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3"/>
              <c:tx>
                <c:rich>
                  <a:bodyPr/>
                  <a:lstStyle/>
                  <a:p>
                    <a:fld id="{CFB5E85E-2BF7-4CA7-93C7-5A24A2A22831}" type="VALUE">
                      <a:rPr lang="en-US"/>
                      <a:pPr/>
                      <a:t>[VALUE]</a:t>
                    </a:fld>
                    <a:endParaRPr lang="en-AU"/>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4"/>
              <c:tx>
                <c:rich>
                  <a:bodyPr/>
                  <a:lstStyle/>
                  <a:p>
                    <a:r>
                      <a:rPr lang="en-US"/>
                      <a:t>**</a:t>
                    </a:r>
                    <a:fld id="{105B0BF3-7145-4D69-AB84-2723D91C47E8}" type="VALUE">
                      <a:rPr lang="en-US"/>
                      <a:pPr/>
                      <a:t>[VALUE]</a:t>
                    </a:fld>
                    <a:endParaRPr lang="en-US"/>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5"/>
              <c:tx>
                <c:rich>
                  <a:bodyPr/>
                  <a:lstStyle/>
                  <a:p>
                    <a:fld id="{12228457-4C17-43A9-8929-79E011F30440}" type="VALUE">
                      <a:rPr lang="en-US"/>
                      <a:pPr/>
                      <a:t>[VALUE]</a:t>
                    </a:fld>
                    <a:endParaRPr lang="en-AU"/>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6"/>
              <c:tx>
                <c:rich>
                  <a:bodyPr/>
                  <a:lstStyle/>
                  <a:p>
                    <a:r>
                      <a:rPr lang="en-US"/>
                      <a:t>**</a:t>
                    </a:r>
                    <a:fld id="{A0B4A9FA-E618-4551-8D48-10A6E4E3E937}" type="VALUE">
                      <a:rPr lang="en-US"/>
                      <a:pPr/>
                      <a:t>[VALUE]</a:t>
                    </a:fld>
                    <a:endParaRPr lang="en-US"/>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8"/>
              <c:tx>
                <c:rich>
                  <a:bodyPr/>
                  <a:lstStyle/>
                  <a:p>
                    <a:fld id="{FA33F384-7586-4D56-98A4-4CE04A91D713}" type="VALUE">
                      <a:rPr lang="en-US"/>
                      <a:pPr/>
                      <a:t>[VALUE]</a:t>
                    </a:fld>
                    <a:endParaRPr lang="en-AU"/>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9"/>
              <c:tx>
                <c:rich>
                  <a:bodyPr/>
                  <a:lstStyle/>
                  <a:p>
                    <a:r>
                      <a:rPr lang="en-US"/>
                      <a:t>**</a:t>
                    </a:r>
                    <a:fld id="{A91FDFEA-4D77-4992-A381-A93CF3271D61}" type="VALUE">
                      <a:rPr lang="en-US"/>
                      <a:pPr/>
                      <a:t>[VALUE]</a:t>
                    </a:fld>
                    <a:endParaRPr lang="en-US"/>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10'!$E$60:$E$69</c:f>
              <c:strCache>
                <c:ptCount val="10"/>
                <c:pt idx="0">
                  <c:v>Father</c:v>
                </c:pt>
                <c:pt idx="1">
                  <c:v>Stepfather</c:v>
                </c:pt>
                <c:pt idx="2">
                  <c:v>Total mother</c:v>
                </c:pt>
                <c:pt idx="3">
                  <c:v>Brother/stepbrother</c:v>
                </c:pt>
                <c:pt idx="4">
                  <c:v>Sister/stepsister</c:v>
                </c:pt>
                <c:pt idx="5">
                  <c:v>Male relative or in-law</c:v>
                </c:pt>
                <c:pt idx="6">
                  <c:v>Female relative or in-law</c:v>
                </c:pt>
                <c:pt idx="7">
                  <c:v>Other known person</c:v>
                </c:pt>
                <c:pt idx="8">
                  <c:v>Stranger</c:v>
                </c:pt>
                <c:pt idx="9">
                  <c:v>Don't know/refusal</c:v>
                </c:pt>
              </c:strCache>
            </c:strRef>
          </c:cat>
          <c:val>
            <c:numRef>
              <c:f>'Table 10'!$F$60:$F$69</c:f>
              <c:numCache>
                <c:formatCode>#,##0.0</c:formatCode>
                <c:ptCount val="10"/>
                <c:pt idx="0">
                  <c:v>90.3</c:v>
                </c:pt>
                <c:pt idx="1">
                  <c:v>60.4</c:v>
                </c:pt>
                <c:pt idx="2">
                  <c:v>5.6</c:v>
                </c:pt>
                <c:pt idx="3">
                  <c:v>74.5</c:v>
                </c:pt>
                <c:pt idx="4">
                  <c:v>2.2999999999999998</c:v>
                </c:pt>
                <c:pt idx="5">
                  <c:v>296</c:v>
                </c:pt>
                <c:pt idx="6">
                  <c:v>5.8</c:v>
                </c:pt>
                <c:pt idx="7">
                  <c:v>489.4</c:v>
                </c:pt>
                <c:pt idx="8">
                  <c:v>115.7</c:v>
                </c:pt>
                <c:pt idx="9">
                  <c:v>2</c:v>
                </c:pt>
              </c:numCache>
            </c:numRef>
          </c:val>
        </c:ser>
        <c:dLbls>
          <c:showLegendKey val="0"/>
          <c:showVal val="0"/>
          <c:showCatName val="0"/>
          <c:showSerName val="0"/>
          <c:showPercent val="0"/>
          <c:showBubbleSize val="0"/>
        </c:dLbls>
        <c:gapWidth val="219"/>
        <c:overlap val="-27"/>
        <c:axId val="149231944"/>
        <c:axId val="149232336"/>
      </c:barChart>
      <c:catAx>
        <c:axId val="14923194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149232336"/>
        <c:crosses val="autoZero"/>
        <c:auto val="1"/>
        <c:lblAlgn val="ctr"/>
        <c:lblOffset val="100"/>
        <c:noMultiLvlLbl val="0"/>
      </c:catAx>
      <c:valAx>
        <c:axId val="149232336"/>
        <c:scaling>
          <c:orientation val="minMax"/>
          <c:max val="525"/>
          <c:min val="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'000</a:t>
                </a:r>
              </a:p>
            </c:rich>
          </c:tx>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149231944"/>
        <c:crosses val="autoZero"/>
        <c:crossBetween val="between"/>
        <c:majorUnit val="100"/>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sz="1400" b="0" i="0" u="none" strike="noStrike" baseline="0">
                <a:effectLst/>
              </a:rPr>
              <a:t>Figure 7: Estimated number of adult women who first experienced sexual abuse as a child, by perpetrator type and by the victim's age at the first incident of sexual abuse</a:t>
            </a:r>
            <a:endParaRPr lang="en-AU">
              <a:solidFill>
                <a:sysClr val="windowText" lastClr="000000"/>
              </a:solidFill>
            </a:endParaRPr>
          </a:p>
        </c:rich>
      </c:tx>
      <c:overlay val="0"/>
      <c:spPr>
        <a:noFill/>
        <a:ln>
          <a:noFill/>
        </a:ln>
        <a:effectLst/>
      </c:spPr>
    </c:title>
    <c:autoTitleDeleted val="0"/>
    <c:plotArea>
      <c:layout/>
      <c:barChart>
        <c:barDir val="col"/>
        <c:grouping val="clustered"/>
        <c:varyColors val="0"/>
        <c:ser>
          <c:idx val="0"/>
          <c:order val="0"/>
          <c:tx>
            <c:strRef>
              <c:f>'Table 11'!$F$60</c:f>
              <c:strCache>
                <c:ptCount val="1"/>
                <c:pt idx="0">
                  <c:v>Father/stepfather</c:v>
                </c:pt>
              </c:strCache>
            </c:strRef>
          </c:tx>
          <c:spPr>
            <a:pattFill prst="pct20">
              <a:fgClr>
                <a:schemeClr val="tx1"/>
              </a:fgClr>
              <a:bgClr>
                <a:schemeClr val="bg1"/>
              </a:bgClr>
            </a:pattFill>
            <a:ln>
              <a:solidFill>
                <a:schemeClr val="tx1"/>
              </a:solidFill>
            </a:ln>
            <a:effectLst/>
          </c:spPr>
          <c:invertIfNegative val="0"/>
          <c:dLbls>
            <c:dLbl>
              <c:idx val="0"/>
              <c:tx>
                <c:rich>
                  <a:bodyPr/>
                  <a:lstStyle/>
                  <a:p>
                    <a:r>
                      <a:rPr lang="en-US"/>
                      <a:t>*</a:t>
                    </a:r>
                    <a:fld id="{6AC04C29-BB13-47D3-9F80-8FAD36509C8A}" type="VALUE">
                      <a:rPr lang="en-US"/>
                      <a:pPr/>
                      <a:t>[VALUE]</a:t>
                    </a:fld>
                    <a:endParaRPr lang="en-US"/>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11'!$E$61:$E$64</c:f>
              <c:strCache>
                <c:ptCount val="4"/>
                <c:pt idx="0">
                  <c:v>Females under 4</c:v>
                </c:pt>
                <c:pt idx="1">
                  <c:v>Females 4 to 9</c:v>
                </c:pt>
                <c:pt idx="2">
                  <c:v>Females 10 to 11</c:v>
                </c:pt>
                <c:pt idx="3">
                  <c:v>Females 12 to 14</c:v>
                </c:pt>
              </c:strCache>
            </c:strRef>
          </c:cat>
          <c:val>
            <c:numRef>
              <c:f>'Table 11'!$F$61:$F$64</c:f>
              <c:numCache>
                <c:formatCode>#,##0.0</c:formatCode>
                <c:ptCount val="4"/>
                <c:pt idx="0">
                  <c:v>17.8</c:v>
                </c:pt>
                <c:pt idx="1">
                  <c:v>62.7</c:v>
                </c:pt>
                <c:pt idx="2">
                  <c:v>35.700000000000003</c:v>
                </c:pt>
                <c:pt idx="3">
                  <c:v>31</c:v>
                </c:pt>
              </c:numCache>
            </c:numRef>
          </c:val>
        </c:ser>
        <c:ser>
          <c:idx val="1"/>
          <c:order val="1"/>
          <c:tx>
            <c:strRef>
              <c:f>'Table 11'!$G$60</c:f>
              <c:strCache>
                <c:ptCount val="1"/>
                <c:pt idx="0">
                  <c:v>Brother/stepbrother</c:v>
                </c:pt>
              </c:strCache>
            </c:strRef>
          </c:tx>
          <c:spPr>
            <a:pattFill prst="pct75">
              <a:fgClr>
                <a:schemeClr val="tx1"/>
              </a:fgClr>
              <a:bgClr>
                <a:schemeClr val="bg1"/>
              </a:bgClr>
            </a:pattFill>
            <a:ln>
              <a:solidFill>
                <a:schemeClr val="tx1"/>
              </a:solidFill>
            </a:ln>
            <a:effectLst/>
          </c:spPr>
          <c:invertIfNegative val="0"/>
          <c:dLbls>
            <c:dLbl>
              <c:idx val="0"/>
              <c:tx>
                <c:rich>
                  <a:bodyPr/>
                  <a:lstStyle/>
                  <a:p>
                    <a:r>
                      <a:rPr lang="en-US"/>
                      <a:t>*</a:t>
                    </a:r>
                    <a:fld id="{2D529A02-3A8A-4BCC-B6D1-179E4B8D1D5B}" type="VALUE">
                      <a:rPr lang="en-US"/>
                      <a:pPr/>
                      <a:t>[VALUE]</a:t>
                    </a:fld>
                    <a:endParaRPr lang="en-US"/>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2"/>
              <c:tx>
                <c:rich>
                  <a:bodyPr/>
                  <a:lstStyle/>
                  <a:p>
                    <a:r>
                      <a:rPr lang="en-US"/>
                      <a:t>*</a:t>
                    </a:r>
                    <a:fld id="{D352C90D-5DC4-4A9C-87C8-18B5E78B9741}" type="VALUE">
                      <a:rPr lang="en-US"/>
                      <a:pPr/>
                      <a:t>[VALUE]</a:t>
                    </a:fld>
                    <a:endParaRPr lang="en-US"/>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dLbl>
              <c:idx val="3"/>
              <c:tx>
                <c:rich>
                  <a:bodyPr/>
                  <a:lstStyle/>
                  <a:p>
                    <a:r>
                      <a:rPr lang="en-US"/>
                      <a:t>*</a:t>
                    </a:r>
                    <a:fld id="{D494A1A0-5B9B-4771-AE03-41D8EDF880A8}" type="VALUE">
                      <a:rPr lang="en-US"/>
                      <a:pPr/>
                      <a:t>[VALUE]</a:t>
                    </a:fld>
                    <a:endParaRPr lang="en-US"/>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spPr>
              <a:noFill/>
              <a:ln>
                <a:noFill/>
              </a:ln>
              <a:effectLst/>
            </c:spPr>
            <c:txPr>
              <a:bodyPr rot="-2700000" spcFirstLastPara="1" vertOverflow="ellipsis" wrap="square" lIns="38100" tIns="19050" rIns="38100" bIns="19050" anchor="ctr" anchorCtr="0">
                <a:spAutoFit/>
              </a:bodyPr>
              <a:lstStyle/>
              <a:p>
                <a:pPr algn="ctr">
                  <a:defRPr lang="en-AU"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11'!$E$61:$E$64</c:f>
              <c:strCache>
                <c:ptCount val="4"/>
                <c:pt idx="0">
                  <c:v>Females under 4</c:v>
                </c:pt>
                <c:pt idx="1">
                  <c:v>Females 4 to 9</c:v>
                </c:pt>
                <c:pt idx="2">
                  <c:v>Females 10 to 11</c:v>
                </c:pt>
                <c:pt idx="3">
                  <c:v>Females 12 to 14</c:v>
                </c:pt>
              </c:strCache>
            </c:strRef>
          </c:cat>
          <c:val>
            <c:numRef>
              <c:f>'Table 11'!$G$61:$G$64</c:f>
              <c:numCache>
                <c:formatCode>#,##0.0</c:formatCode>
                <c:ptCount val="4"/>
                <c:pt idx="0">
                  <c:v>10.3</c:v>
                </c:pt>
                <c:pt idx="1">
                  <c:v>42.3</c:v>
                </c:pt>
                <c:pt idx="2">
                  <c:v>11.3</c:v>
                </c:pt>
                <c:pt idx="3">
                  <c:v>9.7000000000000011</c:v>
                </c:pt>
              </c:numCache>
            </c:numRef>
          </c:val>
        </c:ser>
        <c:ser>
          <c:idx val="2"/>
          <c:order val="2"/>
          <c:tx>
            <c:strRef>
              <c:f>'Table 11'!$H$60</c:f>
              <c:strCache>
                <c:ptCount val="1"/>
                <c:pt idx="0">
                  <c:v>Other male relative or in-law</c:v>
                </c:pt>
              </c:strCache>
            </c:strRef>
          </c:tx>
          <c:spPr>
            <a:solidFill>
              <a:schemeClr val="bg1">
                <a:lumMod val="50000"/>
              </a:schemeClr>
            </a:solidFill>
            <a:ln>
              <a:solidFill>
                <a:schemeClr val="tx1"/>
              </a:solidFill>
            </a:ln>
            <a:effectLst/>
          </c:spPr>
          <c:invertIfNegative val="0"/>
          <c:dLbls>
            <c:dLbl>
              <c:idx val="0"/>
              <c:tx>
                <c:rich>
                  <a:bodyPr/>
                  <a:lstStyle/>
                  <a:p>
                    <a:r>
                      <a:rPr lang="en-US"/>
                      <a:t>*</a:t>
                    </a:r>
                    <a:fld id="{30C9F846-B894-483C-8835-7C16ED857490}" type="VALUE">
                      <a:rPr lang="en-US"/>
                      <a:pPr/>
                      <a:t>[VALUE]</a:t>
                    </a:fld>
                    <a:endParaRPr lang="en-US"/>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Lst>
            </c:dLbl>
            <c:spPr>
              <a:noFill/>
              <a:ln>
                <a:noFill/>
              </a:ln>
              <a:effectLst/>
            </c:spPr>
            <c:txPr>
              <a:bodyPr rot="-2700000" spcFirstLastPara="1" vertOverflow="ellipsis" wrap="square" lIns="38100" tIns="19050" rIns="38100" bIns="19050" anchor="ctr" anchorCtr="1">
                <a:spAutoFit/>
              </a:bodyPr>
              <a:lstStyle/>
              <a:p>
                <a:pPr>
                  <a:defRPr sz="7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'Table 11'!$E$61:$E$64</c:f>
              <c:strCache>
                <c:ptCount val="4"/>
                <c:pt idx="0">
                  <c:v>Females under 4</c:v>
                </c:pt>
                <c:pt idx="1">
                  <c:v>Females 4 to 9</c:v>
                </c:pt>
                <c:pt idx="2">
                  <c:v>Females 10 to 11</c:v>
                </c:pt>
                <c:pt idx="3">
                  <c:v>Females 12 to 14</c:v>
                </c:pt>
              </c:strCache>
            </c:strRef>
          </c:cat>
          <c:val>
            <c:numRef>
              <c:f>'Table 11'!$H$61:$H$64</c:f>
              <c:numCache>
                <c:formatCode>#,##0.0</c:formatCode>
                <c:ptCount val="4"/>
                <c:pt idx="0">
                  <c:v>16.899999999999999</c:v>
                </c:pt>
                <c:pt idx="1">
                  <c:v>162</c:v>
                </c:pt>
                <c:pt idx="2">
                  <c:v>59</c:v>
                </c:pt>
                <c:pt idx="3">
                  <c:v>49.2</c:v>
                </c:pt>
              </c:numCache>
            </c:numRef>
          </c:val>
        </c:ser>
        <c:dLbls>
          <c:showLegendKey val="0"/>
          <c:showVal val="0"/>
          <c:showCatName val="0"/>
          <c:showSerName val="0"/>
          <c:showPercent val="0"/>
          <c:showBubbleSize val="0"/>
        </c:dLbls>
        <c:gapWidth val="219"/>
        <c:overlap val="-27"/>
        <c:axId val="149233120"/>
        <c:axId val="149233512"/>
      </c:barChart>
      <c:catAx>
        <c:axId val="1492331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149233512"/>
        <c:crosses val="autoZero"/>
        <c:auto val="1"/>
        <c:lblAlgn val="ctr"/>
        <c:lblOffset val="100"/>
        <c:noMultiLvlLbl val="0"/>
      </c:catAx>
      <c:valAx>
        <c:axId val="149233512"/>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'000</a:t>
                </a:r>
              </a:p>
            </c:rich>
          </c:tx>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14923312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124887-0967-4A49-8079-97B9DA4A7B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Report.dot</Template>
  <TotalTime>2315</TotalTime>
  <Pages>249</Pages>
  <Words>71499</Words>
  <Characters>407546</Characters>
  <Application>Microsoft Office Word</Application>
  <DocSecurity>0</DocSecurity>
  <Lines>3396</Lines>
  <Paragraphs>956</Paragraphs>
  <ScaleCrop>false</ScaleCrop>
  <HeadingPairs>
    <vt:vector size="2" baseType="variant">
      <vt:variant>
        <vt:lpstr>Title</vt:lpstr>
      </vt:variant>
      <vt:variant>
        <vt:i4>1</vt:i4>
      </vt:variant>
    </vt:vector>
  </HeadingPairs>
  <TitlesOfParts>
    <vt:vector size="1" baseType="lpstr">
      <vt:lpstr>Year</vt:lpstr>
    </vt:vector>
  </TitlesOfParts>
  <Company>Human Rights and Equal Opportunity Commission</Company>
  <LinksUpToDate>false</LinksUpToDate>
  <CharactersWithSpaces>478089</CharactersWithSpaces>
  <SharedDoc>false</SharedDoc>
  <HLinks>
    <vt:vector size="36" baseType="variant">
      <vt:variant>
        <vt:i4>1572920</vt:i4>
      </vt:variant>
      <vt:variant>
        <vt:i4>32</vt:i4>
      </vt:variant>
      <vt:variant>
        <vt:i4>0</vt:i4>
      </vt:variant>
      <vt:variant>
        <vt:i4>5</vt:i4>
      </vt:variant>
      <vt:variant>
        <vt:lpwstr/>
      </vt:variant>
      <vt:variant>
        <vt:lpwstr>_Toc209941772</vt:lpwstr>
      </vt:variant>
      <vt:variant>
        <vt:i4>1572920</vt:i4>
      </vt:variant>
      <vt:variant>
        <vt:i4>26</vt:i4>
      </vt:variant>
      <vt:variant>
        <vt:i4>0</vt:i4>
      </vt:variant>
      <vt:variant>
        <vt:i4>5</vt:i4>
      </vt:variant>
      <vt:variant>
        <vt:lpwstr/>
      </vt:variant>
      <vt:variant>
        <vt:lpwstr>_Toc209941771</vt:lpwstr>
      </vt:variant>
      <vt:variant>
        <vt:i4>1572920</vt:i4>
      </vt:variant>
      <vt:variant>
        <vt:i4>20</vt:i4>
      </vt:variant>
      <vt:variant>
        <vt:i4>0</vt:i4>
      </vt:variant>
      <vt:variant>
        <vt:i4>5</vt:i4>
      </vt:variant>
      <vt:variant>
        <vt:lpwstr/>
      </vt:variant>
      <vt:variant>
        <vt:lpwstr>_Toc209941771</vt:lpwstr>
      </vt:variant>
      <vt:variant>
        <vt:i4>1572920</vt:i4>
      </vt:variant>
      <vt:variant>
        <vt:i4>14</vt:i4>
      </vt:variant>
      <vt:variant>
        <vt:i4>0</vt:i4>
      </vt:variant>
      <vt:variant>
        <vt:i4>5</vt:i4>
      </vt:variant>
      <vt:variant>
        <vt:lpwstr/>
      </vt:variant>
      <vt:variant>
        <vt:lpwstr>_Toc209941770</vt:lpwstr>
      </vt:variant>
      <vt:variant>
        <vt:i4>1638456</vt:i4>
      </vt:variant>
      <vt:variant>
        <vt:i4>8</vt:i4>
      </vt:variant>
      <vt:variant>
        <vt:i4>0</vt:i4>
      </vt:variant>
      <vt:variant>
        <vt:i4>5</vt:i4>
      </vt:variant>
      <vt:variant>
        <vt:lpwstr/>
      </vt:variant>
      <vt:variant>
        <vt:lpwstr>_Toc209941769</vt:lpwstr>
      </vt:variant>
      <vt:variant>
        <vt:i4>1638456</vt:i4>
      </vt:variant>
      <vt:variant>
        <vt:i4>2</vt:i4>
      </vt:variant>
      <vt:variant>
        <vt:i4>0</vt:i4>
      </vt:variant>
      <vt:variant>
        <vt:i4>5</vt:i4>
      </vt:variant>
      <vt:variant>
        <vt:lpwstr/>
      </vt:variant>
      <vt:variant>
        <vt:lpwstr>_Toc209941766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dc:title>
  <dc:subject/>
  <dc:creator>Loki Ball</dc:creator>
  <cp:keywords/>
  <dc:description/>
  <cp:lastModifiedBy>Loki Ball</cp:lastModifiedBy>
  <cp:revision>130</cp:revision>
  <cp:lastPrinted>1900-12-31T14:00:00Z</cp:lastPrinted>
  <dcterms:created xsi:type="dcterms:W3CDTF">2015-09-23T00:18:00Z</dcterms:created>
  <dcterms:modified xsi:type="dcterms:W3CDTF">2015-10-14T00:37:00Z</dcterms:modified>
</cp:coreProperties>
</file>