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4C" w:rsidRDefault="009C054C" w:rsidP="00AB04D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AU" w:eastAsia="en-AU"/>
        </w:rPr>
        <w:drawing>
          <wp:inline distT="0" distB="0" distL="0" distR="0">
            <wp:extent cx="5759450" cy="1329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RC_RISWM_lo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DB" w:rsidRPr="00A11093" w:rsidRDefault="00AA633B" w:rsidP="00AB04DB">
      <w:pPr>
        <w:jc w:val="center"/>
        <w:rPr>
          <w:b/>
          <w:sz w:val="32"/>
          <w:szCs w:val="32"/>
        </w:rPr>
      </w:pPr>
      <w:r w:rsidRPr="00A11093">
        <w:rPr>
          <w:b/>
          <w:sz w:val="32"/>
          <w:szCs w:val="32"/>
        </w:rPr>
        <w:t>F</w:t>
      </w:r>
      <w:r w:rsidR="001A4D00" w:rsidRPr="00A11093">
        <w:rPr>
          <w:b/>
          <w:sz w:val="32"/>
          <w:szCs w:val="32"/>
        </w:rPr>
        <w:t>ACT SHEET</w:t>
      </w:r>
    </w:p>
    <w:p w:rsidR="00AB04DB" w:rsidRPr="00A11093" w:rsidRDefault="00AB04DB" w:rsidP="00AA633B">
      <w:pPr>
        <w:rPr>
          <w:b/>
          <w:sz w:val="28"/>
          <w:szCs w:val="28"/>
        </w:rPr>
      </w:pPr>
    </w:p>
    <w:p w:rsidR="001A4D00" w:rsidRPr="00A11093" w:rsidRDefault="00AB04DB" w:rsidP="00AB04DB">
      <w:pPr>
        <w:jc w:val="center"/>
        <w:rPr>
          <w:b/>
          <w:sz w:val="28"/>
          <w:szCs w:val="28"/>
        </w:rPr>
      </w:pPr>
      <w:r w:rsidRPr="00A11093">
        <w:rPr>
          <w:b/>
          <w:i/>
          <w:sz w:val="28"/>
          <w:szCs w:val="28"/>
        </w:rPr>
        <w:t>Racism. It Stops With Me</w:t>
      </w:r>
      <w:r w:rsidRPr="00A11093">
        <w:rPr>
          <w:b/>
          <w:sz w:val="28"/>
          <w:szCs w:val="28"/>
        </w:rPr>
        <w:t xml:space="preserve"> </w:t>
      </w:r>
      <w:r w:rsidR="001A4D00" w:rsidRPr="00A11093">
        <w:rPr>
          <w:b/>
          <w:sz w:val="28"/>
          <w:szCs w:val="28"/>
        </w:rPr>
        <w:t>Community Service Announcements 2017</w:t>
      </w:r>
    </w:p>
    <w:p w:rsidR="001A4D00" w:rsidRDefault="001A4D00" w:rsidP="00AA633B">
      <w:pPr>
        <w:rPr>
          <w:b/>
        </w:rPr>
      </w:pPr>
    </w:p>
    <w:p w:rsidR="00AA633B" w:rsidRDefault="00AA633B" w:rsidP="00AA633B">
      <w:r w:rsidRPr="00AA633B">
        <w:t xml:space="preserve">On 5 October 2017, the Australian Human Rights Commission launched two Community Service Announcements </w:t>
      </w:r>
      <w:r w:rsidR="001A4D00">
        <w:t xml:space="preserve">(CSAs) </w:t>
      </w:r>
      <w:r w:rsidRPr="00AA633B">
        <w:t xml:space="preserve">and a social media campaign to raise awareness of everyday racism and bystander action. </w:t>
      </w:r>
    </w:p>
    <w:p w:rsidR="00AA633B" w:rsidRDefault="00AA633B" w:rsidP="00AA633B"/>
    <w:p w:rsidR="00AA633B" w:rsidRDefault="00D26061" w:rsidP="00AA633B">
      <w:pPr>
        <w:rPr>
          <w:rFonts w:cs="Arial"/>
          <w:szCs w:val="22"/>
        </w:rPr>
      </w:pPr>
      <w:r>
        <w:rPr>
          <w:szCs w:val="22"/>
          <w:lang w:val="en"/>
        </w:rPr>
        <w:t xml:space="preserve">The Commission expects </w:t>
      </w:r>
      <w:r w:rsidR="00AA633B">
        <w:rPr>
          <w:szCs w:val="22"/>
          <w:lang w:val="en"/>
        </w:rPr>
        <w:t>th</w:t>
      </w:r>
      <w:r w:rsidR="001A4D00">
        <w:rPr>
          <w:szCs w:val="22"/>
          <w:lang w:val="en"/>
        </w:rPr>
        <w:t xml:space="preserve">ese CSAs </w:t>
      </w:r>
      <w:r>
        <w:rPr>
          <w:szCs w:val="22"/>
          <w:lang w:val="en"/>
        </w:rPr>
        <w:t xml:space="preserve">will </w:t>
      </w:r>
      <w:r w:rsidR="00AA633B">
        <w:rPr>
          <w:szCs w:val="22"/>
          <w:lang w:val="en"/>
        </w:rPr>
        <w:t xml:space="preserve">help people identify racism and </w:t>
      </w:r>
      <w:r w:rsidR="001A4D00">
        <w:rPr>
          <w:szCs w:val="22"/>
          <w:lang w:val="en"/>
        </w:rPr>
        <w:t xml:space="preserve">feel </w:t>
      </w:r>
      <w:r w:rsidR="00AA633B">
        <w:rPr>
          <w:szCs w:val="22"/>
          <w:lang w:val="en"/>
        </w:rPr>
        <w:t>confiden</w:t>
      </w:r>
      <w:r w:rsidR="001A4D00">
        <w:rPr>
          <w:szCs w:val="22"/>
          <w:lang w:val="en"/>
        </w:rPr>
        <w:t xml:space="preserve">t </w:t>
      </w:r>
      <w:r w:rsidR="00AA633B">
        <w:rPr>
          <w:szCs w:val="22"/>
          <w:lang w:val="en"/>
        </w:rPr>
        <w:t xml:space="preserve">to act appropriately and safely when </w:t>
      </w:r>
      <w:r>
        <w:rPr>
          <w:szCs w:val="22"/>
          <w:lang w:val="en"/>
        </w:rPr>
        <w:t>they witness or experience it</w:t>
      </w:r>
      <w:r w:rsidR="00AA633B">
        <w:rPr>
          <w:szCs w:val="22"/>
          <w:lang w:val="en"/>
        </w:rPr>
        <w:t>.</w:t>
      </w:r>
    </w:p>
    <w:p w:rsidR="00AA633B" w:rsidRPr="00AA633B" w:rsidRDefault="00AA633B" w:rsidP="00AA633B"/>
    <w:p w:rsidR="00AA633B" w:rsidRDefault="00AA633B" w:rsidP="00583D47">
      <w:r>
        <w:t xml:space="preserve">The scenarios depicted in the </w:t>
      </w:r>
      <w:r w:rsidR="001A4D00">
        <w:t xml:space="preserve">Commission’s </w:t>
      </w:r>
      <w:r>
        <w:t>2017 C</w:t>
      </w:r>
      <w:r w:rsidR="001A4D00">
        <w:t xml:space="preserve">SAs </w:t>
      </w:r>
      <w:r w:rsidR="00D26061">
        <w:t xml:space="preserve">highlight </w:t>
      </w:r>
      <w:r>
        <w:t xml:space="preserve">casual or everyday </w:t>
      </w:r>
      <w:r w:rsidR="00D26061">
        <w:t xml:space="preserve">racism in a </w:t>
      </w:r>
      <w:r>
        <w:t>work environment and in the provision of goods and services.</w:t>
      </w:r>
      <w:r w:rsidR="00583D47" w:rsidRPr="00583D47">
        <w:t xml:space="preserve"> </w:t>
      </w:r>
      <w:r w:rsidR="00583D47">
        <w:t>The people who experience racism in our CSAs are an Aboriginal man and a woman with an African background.</w:t>
      </w:r>
    </w:p>
    <w:p w:rsidR="00583D47" w:rsidRDefault="00583D47" w:rsidP="00AA633B"/>
    <w:p w:rsidR="00583D47" w:rsidRDefault="00583D47" w:rsidP="00AA633B">
      <w:r>
        <w:t>Independent research has found that Aboriginal and Torres Strait Islander people and people with an African background frequently experience racism at work or while using public</w:t>
      </w:r>
      <w:r w:rsidR="00AB04DB">
        <w:t xml:space="preserve"> </w:t>
      </w:r>
      <w:r>
        <w:t>services such as transport. The Commission’s own data supports those findings.</w:t>
      </w:r>
    </w:p>
    <w:p w:rsidR="00CA42BD" w:rsidRDefault="00CA42BD" w:rsidP="00AA633B"/>
    <w:p w:rsidR="00AA633B" w:rsidRPr="00CA42BD" w:rsidRDefault="00CA42BD" w:rsidP="00AA633B">
      <w:pPr>
        <w:rPr>
          <w:b/>
        </w:rPr>
      </w:pPr>
      <w:r w:rsidRPr="00CA42BD">
        <w:rPr>
          <w:b/>
        </w:rPr>
        <w:t>Who experiences racism in Australia?</w:t>
      </w:r>
      <w:r w:rsidR="00AA633B" w:rsidRPr="00CA42BD">
        <w:rPr>
          <w:b/>
        </w:rPr>
        <w:br/>
      </w:r>
    </w:p>
    <w:p w:rsidR="00583D47" w:rsidRDefault="00583D47" w:rsidP="00583D47">
      <w:pPr>
        <w:pStyle w:val="ListParagraph"/>
        <w:numPr>
          <w:ilvl w:val="0"/>
          <w:numId w:val="29"/>
        </w:numPr>
        <w:contextualSpacing w:val="0"/>
      </w:pPr>
      <w:r>
        <w:t xml:space="preserve">In 2015-16, </w:t>
      </w:r>
      <w:r w:rsidR="006053C6">
        <w:t xml:space="preserve">Aboriginal and Torres Strait Islander people accounted for </w:t>
      </w:r>
      <w:r w:rsidR="00AA633B" w:rsidRPr="002910C3">
        <w:t xml:space="preserve">54% of </w:t>
      </w:r>
      <w:r w:rsidR="006053C6">
        <w:t xml:space="preserve">complaints received by the Commission under the </w:t>
      </w:r>
      <w:r w:rsidR="00AA633B" w:rsidRPr="002910C3">
        <w:t>Racial Discrimination Act</w:t>
      </w:r>
      <w:r w:rsidR="00AA633B">
        <w:t>.</w:t>
      </w:r>
      <w:r w:rsidR="006053C6">
        <w:t xml:space="preserve"> </w:t>
      </w:r>
      <w:r w:rsidR="00AA633B">
        <w:t xml:space="preserve"> According to the A</w:t>
      </w:r>
      <w:r w:rsidR="006053C6">
        <w:t xml:space="preserve">ustralian </w:t>
      </w:r>
      <w:r w:rsidR="00AA633B">
        <w:t>B</w:t>
      </w:r>
      <w:r w:rsidR="006053C6">
        <w:t xml:space="preserve">ureau of </w:t>
      </w:r>
      <w:r w:rsidR="0040619B">
        <w:t>Statistics</w:t>
      </w:r>
      <w:r w:rsidR="00AA633B">
        <w:t xml:space="preserve">, </w:t>
      </w:r>
      <w:r w:rsidR="006053C6">
        <w:t xml:space="preserve">Indigenous Australians account for approximately </w:t>
      </w:r>
      <w:r w:rsidR="00AA633B">
        <w:t>3% of the Australian population.</w:t>
      </w:r>
    </w:p>
    <w:p w:rsidR="00583D47" w:rsidRDefault="00583D47" w:rsidP="006053C6">
      <w:pPr>
        <w:pStyle w:val="ListParagraph"/>
        <w:contextualSpacing w:val="0"/>
      </w:pPr>
    </w:p>
    <w:p w:rsidR="006053C6" w:rsidRDefault="00AA633B" w:rsidP="00AA633B">
      <w:pPr>
        <w:pStyle w:val="ListParagraph"/>
        <w:numPr>
          <w:ilvl w:val="0"/>
          <w:numId w:val="29"/>
        </w:numPr>
        <w:contextualSpacing w:val="0"/>
      </w:pPr>
      <w:r>
        <w:t xml:space="preserve">Reconciliation Australia’s </w:t>
      </w:r>
      <w:hyperlink r:id="rId8" w:history="1">
        <w:r w:rsidRPr="00051CF4">
          <w:rPr>
            <w:rStyle w:val="Hyperlink"/>
          </w:rPr>
          <w:t>2016 ‘Barometer’ survey</w:t>
        </w:r>
      </w:hyperlink>
      <w:r>
        <w:t xml:space="preserve"> found 37% of Aboriginal and Torres Strait Islander </w:t>
      </w:r>
      <w:r w:rsidR="006053C6">
        <w:t xml:space="preserve">people experienced </w:t>
      </w:r>
      <w:r>
        <w:t xml:space="preserve">racial abuse in the previous six months. </w:t>
      </w:r>
    </w:p>
    <w:p w:rsidR="006053C6" w:rsidRDefault="006053C6" w:rsidP="006053C6">
      <w:pPr>
        <w:pStyle w:val="ListParagraph"/>
      </w:pPr>
    </w:p>
    <w:p w:rsidR="006053C6" w:rsidRDefault="006053C6" w:rsidP="00AA633B">
      <w:pPr>
        <w:pStyle w:val="ListParagraph"/>
        <w:numPr>
          <w:ilvl w:val="0"/>
          <w:numId w:val="29"/>
        </w:numPr>
        <w:contextualSpacing w:val="0"/>
      </w:pPr>
      <w:r>
        <w:t>T</w:t>
      </w:r>
      <w:r w:rsidR="00AA633B">
        <w:t xml:space="preserve">he Scanlon Foundation’s </w:t>
      </w:r>
      <w:hyperlink r:id="rId9" w:history="1">
        <w:r w:rsidR="00AA633B" w:rsidRPr="00A96753">
          <w:rPr>
            <w:rStyle w:val="Hyperlink"/>
          </w:rPr>
          <w:t>Australians Today survey</w:t>
        </w:r>
      </w:hyperlink>
      <w:r>
        <w:t xml:space="preserve"> recorded </w:t>
      </w:r>
      <w:r w:rsidR="00AA633B">
        <w:t xml:space="preserve">59% of Indigenous respondents </w:t>
      </w:r>
      <w:r>
        <w:t xml:space="preserve">had </w:t>
      </w:r>
      <w:r w:rsidR="00AA633B">
        <w:t>experience</w:t>
      </w:r>
      <w:r>
        <w:t xml:space="preserve">d </w:t>
      </w:r>
      <w:r w:rsidR="00AA633B">
        <w:t>racial discrimination in the previous 12 months.</w:t>
      </w:r>
    </w:p>
    <w:p w:rsidR="00AA633B" w:rsidRDefault="00AA633B" w:rsidP="006053C6">
      <w:r>
        <w:t xml:space="preserve"> </w:t>
      </w:r>
    </w:p>
    <w:p w:rsidR="00AA633B" w:rsidRDefault="00AA633B" w:rsidP="00AA633B">
      <w:pPr>
        <w:pStyle w:val="ListParagraph"/>
        <w:numPr>
          <w:ilvl w:val="0"/>
          <w:numId w:val="29"/>
        </w:numPr>
        <w:contextualSpacing w:val="0"/>
      </w:pPr>
      <w:r>
        <w:t xml:space="preserve">The Scanlon </w:t>
      </w:r>
      <w:r w:rsidR="006053C6">
        <w:t xml:space="preserve">Foundation </w:t>
      </w:r>
      <w:r>
        <w:t xml:space="preserve">survey also found </w:t>
      </w:r>
      <w:r w:rsidR="00CA42BD">
        <w:t xml:space="preserve">54% of respondents </w:t>
      </w:r>
      <w:r w:rsidR="006053C6">
        <w:t xml:space="preserve">with an </w:t>
      </w:r>
      <w:r>
        <w:t>African background</w:t>
      </w:r>
      <w:r w:rsidR="00CA42BD">
        <w:t xml:space="preserve"> had experienced discrimination in the past year</w:t>
      </w:r>
      <w:r w:rsidR="006053C6">
        <w:t xml:space="preserve">, </w:t>
      </w:r>
      <w:r w:rsidR="00CA42BD">
        <w:t xml:space="preserve">rising to </w:t>
      </w:r>
      <w:r>
        <w:t>77% of South Sudanese respondents experienc</w:t>
      </w:r>
      <w:r w:rsidR="00CA42BD">
        <w:t xml:space="preserve">ing </w:t>
      </w:r>
      <w:r>
        <w:t xml:space="preserve">discrimination </w:t>
      </w:r>
      <w:r w:rsidR="00CA42BD">
        <w:t>during that period</w:t>
      </w:r>
      <w:r>
        <w:t>.</w:t>
      </w:r>
    </w:p>
    <w:p w:rsidR="00AA633B" w:rsidRDefault="00AA633B" w:rsidP="00AA633B">
      <w:pPr>
        <w:rPr>
          <w:b/>
        </w:rPr>
      </w:pPr>
    </w:p>
    <w:p w:rsidR="00AA633B" w:rsidRPr="00CA42BD" w:rsidRDefault="00AA633B" w:rsidP="00CA42BD">
      <w:pPr>
        <w:rPr>
          <w:b/>
        </w:rPr>
      </w:pPr>
      <w:r w:rsidRPr="00CA42BD">
        <w:rPr>
          <w:b/>
        </w:rPr>
        <w:t>Racism at work</w:t>
      </w:r>
    </w:p>
    <w:p w:rsidR="00AA633B" w:rsidRDefault="00AA633B" w:rsidP="00AA633B">
      <w:pPr>
        <w:rPr>
          <w:b/>
        </w:rPr>
      </w:pPr>
    </w:p>
    <w:p w:rsidR="00AA633B" w:rsidRDefault="00CA42BD" w:rsidP="00AA633B">
      <w:r>
        <w:t xml:space="preserve">The Commission’s </w:t>
      </w:r>
      <w:hyperlink r:id="rId10" w:history="1">
        <w:r w:rsidR="00AA633B" w:rsidRPr="001E32E9">
          <w:rPr>
            <w:rStyle w:val="Hyperlink"/>
          </w:rPr>
          <w:t>complaint statistics</w:t>
        </w:r>
      </w:hyperlink>
      <w:r w:rsidR="00AA633B">
        <w:rPr>
          <w:color w:val="1F497D"/>
        </w:rPr>
        <w:t xml:space="preserve"> </w:t>
      </w:r>
      <w:r>
        <w:rPr>
          <w:color w:val="1F497D"/>
        </w:rPr>
        <w:t xml:space="preserve">for </w:t>
      </w:r>
      <w:r w:rsidR="00AA633B" w:rsidRPr="002910C3">
        <w:t xml:space="preserve">the </w:t>
      </w:r>
      <w:r>
        <w:t xml:space="preserve">most recent </w:t>
      </w:r>
      <w:r w:rsidR="00AA633B" w:rsidRPr="002910C3">
        <w:t>reporting period (July 2015 – June 2016)</w:t>
      </w:r>
      <w:r>
        <w:t xml:space="preserve"> show:</w:t>
      </w:r>
    </w:p>
    <w:p w:rsidR="00CA42BD" w:rsidRPr="002910C3" w:rsidRDefault="00CA42BD" w:rsidP="00AA633B"/>
    <w:p w:rsidR="00AA633B" w:rsidRDefault="00AA633B" w:rsidP="00AA633B">
      <w:pPr>
        <w:pStyle w:val="ListParagraph"/>
        <w:numPr>
          <w:ilvl w:val="0"/>
          <w:numId w:val="28"/>
        </w:numPr>
        <w:contextualSpacing w:val="0"/>
      </w:pPr>
      <w:r w:rsidRPr="002910C3">
        <w:t xml:space="preserve">21% of complaints under the </w:t>
      </w:r>
      <w:r w:rsidRPr="00CA42BD">
        <w:rPr>
          <w:i/>
        </w:rPr>
        <w:t>Racial Discrimination Act</w:t>
      </w:r>
      <w:r w:rsidRPr="002910C3">
        <w:t xml:space="preserve"> were received in relation to employment (107 complaints) </w:t>
      </w:r>
    </w:p>
    <w:p w:rsidR="00CA42BD" w:rsidRPr="002910C3" w:rsidRDefault="00CA42BD" w:rsidP="00CA42BD">
      <w:pPr>
        <w:pStyle w:val="ListParagraph"/>
        <w:contextualSpacing w:val="0"/>
      </w:pPr>
    </w:p>
    <w:p w:rsidR="007B3CC0" w:rsidRDefault="007B3CC0" w:rsidP="00AA633B">
      <w:r>
        <w:t xml:space="preserve">The Scanlon Foundation’s </w:t>
      </w:r>
      <w:hyperlink r:id="rId11" w:history="1">
        <w:r w:rsidRPr="00A96753">
          <w:rPr>
            <w:rStyle w:val="Hyperlink"/>
          </w:rPr>
          <w:t>Australians Today survey</w:t>
        </w:r>
      </w:hyperlink>
      <w:r>
        <w:t xml:space="preserve"> found:</w:t>
      </w:r>
    </w:p>
    <w:p w:rsidR="007B3CC0" w:rsidRDefault="007B3CC0" w:rsidP="00AA633B"/>
    <w:p w:rsidR="007B3CC0" w:rsidRDefault="00AA633B" w:rsidP="007B3CC0">
      <w:pPr>
        <w:pStyle w:val="ListParagraph"/>
        <w:numPr>
          <w:ilvl w:val="0"/>
          <w:numId w:val="31"/>
        </w:numPr>
      </w:pPr>
      <w:r>
        <w:t xml:space="preserve">22% of </w:t>
      </w:r>
      <w:r w:rsidR="007B3CC0">
        <w:t xml:space="preserve">respondents with an African background </w:t>
      </w:r>
      <w:r>
        <w:t>(excl</w:t>
      </w:r>
      <w:r w:rsidR="007B3CC0">
        <w:t xml:space="preserve">uding </w:t>
      </w:r>
      <w:r>
        <w:t>South Sudan) experienced discrimination at work</w:t>
      </w:r>
      <w:r w:rsidR="007B3CC0">
        <w:t>, and 61% of respondents with a South Sudanese background experienced discrimination in this context.</w:t>
      </w:r>
    </w:p>
    <w:p w:rsidR="007B3CC0" w:rsidRDefault="007B3CC0" w:rsidP="00AA633B"/>
    <w:p w:rsidR="00A11093" w:rsidRDefault="00A11093">
      <w:pPr>
        <w:rPr>
          <w:b/>
        </w:rPr>
      </w:pPr>
    </w:p>
    <w:p w:rsidR="00AA633B" w:rsidRPr="007B3CC0" w:rsidRDefault="00AA633B" w:rsidP="007B3CC0">
      <w:pPr>
        <w:rPr>
          <w:b/>
        </w:rPr>
      </w:pPr>
      <w:r w:rsidRPr="007B3CC0">
        <w:rPr>
          <w:b/>
        </w:rPr>
        <w:lastRenderedPageBreak/>
        <w:t xml:space="preserve">Racism in </w:t>
      </w:r>
      <w:r w:rsidR="007B3CC0">
        <w:rPr>
          <w:b/>
        </w:rPr>
        <w:t xml:space="preserve">the </w:t>
      </w:r>
      <w:r w:rsidRPr="007B3CC0">
        <w:rPr>
          <w:b/>
        </w:rPr>
        <w:t xml:space="preserve">provision of goods and services </w:t>
      </w:r>
    </w:p>
    <w:p w:rsidR="00AA633B" w:rsidRDefault="00AA633B" w:rsidP="00AA633B">
      <w:pPr>
        <w:rPr>
          <w:b/>
        </w:rPr>
      </w:pPr>
    </w:p>
    <w:p w:rsidR="007B3CC0" w:rsidRDefault="007B3CC0" w:rsidP="007B3CC0">
      <w:r>
        <w:t xml:space="preserve">The Commission’s </w:t>
      </w:r>
      <w:hyperlink r:id="rId12" w:history="1">
        <w:r w:rsidRPr="001E32E9">
          <w:rPr>
            <w:rStyle w:val="Hyperlink"/>
          </w:rPr>
          <w:t>complaint statistics</w:t>
        </w:r>
      </w:hyperlink>
      <w:r>
        <w:rPr>
          <w:color w:val="1F497D"/>
        </w:rPr>
        <w:t xml:space="preserve"> for </w:t>
      </w:r>
      <w:r w:rsidRPr="002910C3">
        <w:t xml:space="preserve">the </w:t>
      </w:r>
      <w:r>
        <w:t xml:space="preserve">most recent </w:t>
      </w:r>
      <w:r w:rsidRPr="002910C3">
        <w:t>reporting period (July 2015 – June 2016)</w:t>
      </w:r>
      <w:r>
        <w:t xml:space="preserve"> show:</w:t>
      </w:r>
    </w:p>
    <w:p w:rsidR="007B3CC0" w:rsidRDefault="007B3CC0" w:rsidP="00AA633B"/>
    <w:p w:rsidR="00AA633B" w:rsidRDefault="00AA633B" w:rsidP="00AA633B">
      <w:pPr>
        <w:pStyle w:val="ListParagraph"/>
        <w:numPr>
          <w:ilvl w:val="0"/>
          <w:numId w:val="28"/>
        </w:numPr>
      </w:pPr>
      <w:r w:rsidRPr="002910C3">
        <w:t xml:space="preserve">18% of complaints under the </w:t>
      </w:r>
      <w:r w:rsidRPr="007B3CC0">
        <w:rPr>
          <w:i/>
        </w:rPr>
        <w:t>Racial Discrimination Act</w:t>
      </w:r>
      <w:r w:rsidRPr="002910C3">
        <w:t xml:space="preserve"> were received in relation to the provision of goods and services (91 complaints)</w:t>
      </w:r>
    </w:p>
    <w:p w:rsidR="007B3CC0" w:rsidRDefault="007B3CC0" w:rsidP="007B3CC0"/>
    <w:p w:rsidR="007B3CC0" w:rsidRPr="002910C3" w:rsidRDefault="007B3CC0" w:rsidP="007B3CC0">
      <w:r>
        <w:t xml:space="preserve">Reconciliation Australia’s </w:t>
      </w:r>
      <w:hyperlink r:id="rId13" w:history="1">
        <w:r w:rsidRPr="00051CF4">
          <w:rPr>
            <w:rStyle w:val="Hyperlink"/>
          </w:rPr>
          <w:t>2016 ‘Barometer’ survey</w:t>
        </w:r>
      </w:hyperlink>
      <w:r>
        <w:t xml:space="preserve"> found:</w:t>
      </w:r>
    </w:p>
    <w:p w:rsidR="00AA633B" w:rsidRDefault="00AA633B" w:rsidP="00AA633B"/>
    <w:p w:rsidR="008A2AF7" w:rsidRDefault="00AA633B" w:rsidP="00EC0AAD">
      <w:pPr>
        <w:pStyle w:val="ListParagraph"/>
        <w:numPr>
          <w:ilvl w:val="0"/>
          <w:numId w:val="31"/>
        </w:numPr>
      </w:pPr>
      <w:r>
        <w:t xml:space="preserve">32% of Aboriginal </w:t>
      </w:r>
      <w:r w:rsidR="00AB04DB">
        <w:t xml:space="preserve">and Torres Strait Islander </w:t>
      </w:r>
      <w:r>
        <w:t xml:space="preserve">respondents </w:t>
      </w:r>
      <w:r w:rsidR="0040619B">
        <w:t xml:space="preserve">experienced </w:t>
      </w:r>
      <w:r>
        <w:t>racial</w:t>
      </w:r>
      <w:r w:rsidR="0040619B">
        <w:t xml:space="preserve"> discrimination from </w:t>
      </w:r>
      <w:r>
        <w:t>“local shop owners and/or staff”</w:t>
      </w:r>
      <w:r w:rsidR="00AB04DB">
        <w:t xml:space="preserve">, compared to </w:t>
      </w:r>
      <w:r>
        <w:t xml:space="preserve">8% of </w:t>
      </w:r>
      <w:r w:rsidR="00AB04DB">
        <w:t>respondents from the general community.</w:t>
      </w:r>
    </w:p>
    <w:p w:rsidR="00AB04DB" w:rsidRDefault="00AB04DB" w:rsidP="00AB04DB"/>
    <w:p w:rsidR="00AB04DB" w:rsidRDefault="00AB04DB" w:rsidP="00AB04DB"/>
    <w:p w:rsidR="00AB04DB" w:rsidRDefault="00AB04DB" w:rsidP="00AB04DB">
      <w:pPr>
        <w:rPr>
          <w:b/>
        </w:rPr>
      </w:pPr>
      <w:r w:rsidRPr="00AB04DB">
        <w:rPr>
          <w:b/>
        </w:rPr>
        <w:t>More information:</w:t>
      </w:r>
    </w:p>
    <w:p w:rsidR="00AB04DB" w:rsidRDefault="00AB04DB" w:rsidP="00AB04DB">
      <w:pPr>
        <w:rPr>
          <w:b/>
        </w:rPr>
      </w:pPr>
    </w:p>
    <w:p w:rsidR="00AB04DB" w:rsidRDefault="00AB04DB" w:rsidP="00AB04DB">
      <w:pPr>
        <w:rPr>
          <w:b/>
        </w:rPr>
      </w:pPr>
      <w:r w:rsidRPr="00AB04DB">
        <w:t>Visit the</w:t>
      </w:r>
      <w:r>
        <w:rPr>
          <w:b/>
        </w:rPr>
        <w:t xml:space="preserve"> </w:t>
      </w:r>
      <w:hyperlink r:id="rId14" w:history="1">
        <w:r w:rsidRPr="00AB04DB">
          <w:rPr>
            <w:rStyle w:val="Hyperlink"/>
          </w:rPr>
          <w:t>Racism. It Stops With Me</w:t>
        </w:r>
      </w:hyperlink>
      <w:r w:rsidRPr="00AB04DB">
        <w:t xml:space="preserve"> website</w:t>
      </w:r>
      <w:r>
        <w:t>.</w:t>
      </w:r>
    </w:p>
    <w:p w:rsidR="00AB04DB" w:rsidRDefault="00AB04DB" w:rsidP="00AB04DB">
      <w:pPr>
        <w:rPr>
          <w:b/>
        </w:rPr>
      </w:pPr>
    </w:p>
    <w:p w:rsidR="00AB04DB" w:rsidRDefault="00AB04DB" w:rsidP="00AB04DB">
      <w:pPr>
        <w:rPr>
          <w:b/>
        </w:rPr>
      </w:pPr>
    </w:p>
    <w:p w:rsidR="00AB04DB" w:rsidRDefault="00AB04DB" w:rsidP="00AB04DB">
      <w:pPr>
        <w:rPr>
          <w:b/>
        </w:rPr>
      </w:pPr>
      <w:r>
        <w:rPr>
          <w:b/>
        </w:rPr>
        <w:t>What can you do?</w:t>
      </w:r>
    </w:p>
    <w:p w:rsidR="00AB04DB" w:rsidRDefault="00AB04DB" w:rsidP="00AB04DB">
      <w:pPr>
        <w:rPr>
          <w:b/>
        </w:rPr>
      </w:pPr>
    </w:p>
    <w:p w:rsidR="00993FD9" w:rsidRDefault="00AB04DB" w:rsidP="00AB04DB">
      <w:r>
        <w:t>Watch and share th</w:t>
      </w:r>
      <w:r w:rsidR="00993FD9">
        <w:t>ese videos:</w:t>
      </w:r>
      <w:r w:rsidR="00993FD9">
        <w:br/>
      </w:r>
      <w:r>
        <w:t xml:space="preserve"> </w:t>
      </w:r>
    </w:p>
    <w:p w:rsidR="00993FD9" w:rsidRPr="00AB04DB" w:rsidRDefault="00993FD9" w:rsidP="00AB04DB">
      <w:r>
        <w:rPr>
          <w:noProof/>
          <w:lang w:val="en-AU" w:eastAsia="en-AU"/>
        </w:rPr>
        <w:drawing>
          <wp:inline distT="0" distB="0" distL="0" distR="0" wp14:anchorId="08E9B802" wp14:editId="5D3D699A">
            <wp:extent cx="3737202" cy="1743098"/>
            <wp:effectExtent l="0" t="0" r="0" b="0"/>
            <wp:docPr id="2" name="Pictur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1498" cy="17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br/>
      </w:r>
      <w:r w:rsidR="00756E3B">
        <w:rPr>
          <w:noProof/>
          <w:lang w:val="en-AU" w:eastAsia="en-AU"/>
        </w:rPr>
        <w:drawing>
          <wp:inline distT="0" distB="0" distL="0" distR="0" wp14:anchorId="7CCB3DEB" wp14:editId="19E2A8E3">
            <wp:extent cx="3758845" cy="1613852"/>
            <wp:effectExtent l="0" t="0" r="0" b="5715"/>
            <wp:docPr id="3" name="Pictur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7197" cy="163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FD9" w:rsidRPr="00AB04DB" w:rsidSect="00CE7182">
      <w:footerReference w:type="default" r:id="rId19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3B" w:rsidRDefault="00AA633B" w:rsidP="00F14C6D">
      <w:r>
        <w:separator/>
      </w:r>
    </w:p>
  </w:endnote>
  <w:endnote w:type="continuationSeparator" w:id="0">
    <w:p w:rsidR="00AA633B" w:rsidRDefault="00AA633B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AD7B43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3B" w:rsidRDefault="00AA633B" w:rsidP="00F14C6D">
      <w:r>
        <w:separator/>
      </w:r>
    </w:p>
  </w:footnote>
  <w:footnote w:type="continuationSeparator" w:id="0">
    <w:p w:rsidR="00AA633B" w:rsidRDefault="00AA633B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3F76316"/>
    <w:multiLevelType w:val="hybridMultilevel"/>
    <w:tmpl w:val="0CBCF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F83CE5"/>
    <w:multiLevelType w:val="hybridMultilevel"/>
    <w:tmpl w:val="392E20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5E7C32"/>
    <w:multiLevelType w:val="hybridMultilevel"/>
    <w:tmpl w:val="1AF8E52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66CF0"/>
    <w:multiLevelType w:val="hybridMultilevel"/>
    <w:tmpl w:val="4C1AF70A"/>
    <w:lvl w:ilvl="0" w:tplc="F35A5D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8"/>
  </w:num>
  <w:num w:numId="13">
    <w:abstractNumId w:val="13"/>
  </w:num>
  <w:num w:numId="14">
    <w:abstractNumId w:val="21"/>
  </w:num>
  <w:num w:numId="15">
    <w:abstractNumId w:val="15"/>
  </w:num>
  <w:num w:numId="16">
    <w:abstractNumId w:val="10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27"/>
  </w:num>
  <w:num w:numId="29">
    <w:abstractNumId w:val="26"/>
  </w:num>
  <w:num w:numId="30">
    <w:abstractNumId w:val="24"/>
  </w:num>
  <w:num w:numId="3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3B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4D00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6327F"/>
    <w:rsid w:val="00377C8F"/>
    <w:rsid w:val="003931C7"/>
    <w:rsid w:val="003955AE"/>
    <w:rsid w:val="00395B25"/>
    <w:rsid w:val="003A533F"/>
    <w:rsid w:val="003B18A7"/>
    <w:rsid w:val="003F0CEE"/>
    <w:rsid w:val="0040619B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83D47"/>
    <w:rsid w:val="005B7515"/>
    <w:rsid w:val="005C1654"/>
    <w:rsid w:val="005D04F4"/>
    <w:rsid w:val="005D1F34"/>
    <w:rsid w:val="005F5F45"/>
    <w:rsid w:val="006053C6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56E3B"/>
    <w:rsid w:val="00770DCB"/>
    <w:rsid w:val="00775485"/>
    <w:rsid w:val="007841E1"/>
    <w:rsid w:val="007B3CC0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93FD9"/>
    <w:rsid w:val="009A5753"/>
    <w:rsid w:val="009C054C"/>
    <w:rsid w:val="009C5FB8"/>
    <w:rsid w:val="009E7FC4"/>
    <w:rsid w:val="009F51D9"/>
    <w:rsid w:val="009F7AAC"/>
    <w:rsid w:val="00A02F56"/>
    <w:rsid w:val="00A0406E"/>
    <w:rsid w:val="00A11093"/>
    <w:rsid w:val="00A41355"/>
    <w:rsid w:val="00A43B92"/>
    <w:rsid w:val="00A44720"/>
    <w:rsid w:val="00A6179E"/>
    <w:rsid w:val="00A66F67"/>
    <w:rsid w:val="00AA633B"/>
    <w:rsid w:val="00AB04DB"/>
    <w:rsid w:val="00AC27AB"/>
    <w:rsid w:val="00AC6A34"/>
    <w:rsid w:val="00AD7B43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A42BD"/>
    <w:rsid w:val="00CB27A8"/>
    <w:rsid w:val="00CE7182"/>
    <w:rsid w:val="00D26061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42D975"/>
  <w15:chartTrackingRefBased/>
  <w15:docId w15:val="{40150BA4-0C74-4808-8847-BB3482E1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3B"/>
    <w:rPr>
      <w:rFonts w:ascii="Arial" w:eastAsiaTheme="minorHAnsi" w:hAnsi="Arial" w:cstheme="minorBid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</w:rPr>
  </w:style>
  <w:style w:type="paragraph" w:styleId="EndnoteText">
    <w:name w:val="endnote text"/>
    <w:basedOn w:val="Normal"/>
    <w:link w:val="EndnoteTextChar"/>
    <w:semiHidden/>
    <w:rsid w:val="00706F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AA633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A633B"/>
    <w:rPr>
      <w:rFonts w:ascii="Arial" w:eastAsiaTheme="minorHAnsi" w:hAnsi="Arial" w:cstheme="minorBidi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locked/>
    <w:rsid w:val="00AD7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7B43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onciliation.org.au/wp-content/uploads/2017/02/RA_ARB-2016_Overview-brochure_web.pdf" TargetMode="External"/><Relationship Id="rId13" Type="http://schemas.openxmlformats.org/officeDocument/2006/relationships/hyperlink" Target="https://www.reconciliation.org.au/wp-content/uploads/2017/02/RA_ARB-2016_Overview-brochure_web.pdf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humanrights.gov.au/sites/default/files/AHRC%202015%20-%202016%20Complaint%20Statistics.pdf" TargetMode="External"/><Relationship Id="rId17" Type="http://schemas.openxmlformats.org/officeDocument/2006/relationships/hyperlink" Target="https://www.youtube.com/watch?v=rNjaLAib83o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anlonfoundation.org.au/australians-toda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FTjZilAwhM" TargetMode="External"/><Relationship Id="rId10" Type="http://schemas.openxmlformats.org/officeDocument/2006/relationships/hyperlink" Target="http://www.humanrights.gov.au/sites/default/files/AHRC%202015%20-%202016%20Complaint%20Statistics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anlonfoundation.org.au/australians-today/" TargetMode="External"/><Relationship Id="rId14" Type="http://schemas.openxmlformats.org/officeDocument/2006/relationships/hyperlink" Target="https://itstopswithme.humanright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427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Dominic O'Grady</dc:creator>
  <cp:keywords/>
  <dc:description/>
  <cp:lastModifiedBy>Leon Wild</cp:lastModifiedBy>
  <cp:revision>5</cp:revision>
  <cp:lastPrinted>2017-10-04T03:45:00Z</cp:lastPrinted>
  <dcterms:created xsi:type="dcterms:W3CDTF">2017-10-04T03:22:00Z</dcterms:created>
  <dcterms:modified xsi:type="dcterms:W3CDTF">2017-10-04T06:59:00Z</dcterms:modified>
</cp:coreProperties>
</file>