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B9A86D" w14:textId="6B6766F6" w:rsidR="00A355F9" w:rsidRPr="00AB7E6E" w:rsidRDefault="009E61E2" w:rsidP="00A355F9">
      <w:pPr>
        <w:pStyle w:val="MainTitle"/>
        <w:rPr>
          <w:sz w:val="44"/>
          <w:szCs w:val="44"/>
        </w:rPr>
      </w:pPr>
      <w:r w:rsidRPr="00AB7E6E">
        <w:rPr>
          <w:sz w:val="44"/>
          <w:szCs w:val="44"/>
        </w:rPr>
        <w:t>Mr Kuster v Commonwealth</w:t>
      </w:r>
      <w:r w:rsidR="002D02AE" w:rsidRPr="00AB7E6E">
        <w:rPr>
          <w:sz w:val="44"/>
          <w:szCs w:val="44"/>
        </w:rPr>
        <w:t xml:space="preserve"> of Australia</w:t>
      </w:r>
    </w:p>
    <w:p w14:paraId="797F6A62" w14:textId="0CD88214" w:rsidR="00A355F9" w:rsidRPr="00AB7E6E" w:rsidRDefault="002D02AE" w:rsidP="00A355F9">
      <w:pPr>
        <w:pStyle w:val="MainTitle"/>
        <w:rPr>
          <w:sz w:val="44"/>
          <w:szCs w:val="44"/>
        </w:rPr>
      </w:pPr>
      <w:r w:rsidRPr="00AB7E6E">
        <w:rPr>
          <w:sz w:val="44"/>
          <w:szCs w:val="44"/>
        </w:rPr>
        <w:t>(Department of Home Affairs)</w:t>
      </w:r>
    </w:p>
    <w:p w14:paraId="06B140DB" w14:textId="53F7EEBF" w:rsidR="002D02AE" w:rsidRPr="006F2993" w:rsidRDefault="006F2993" w:rsidP="008A7305">
      <w:pPr>
        <w:jc w:val="right"/>
        <w:rPr>
          <w:rFonts w:cs="Arial"/>
          <w:b/>
          <w:bCs/>
          <w:sz w:val="28"/>
        </w:rPr>
      </w:pPr>
      <w:r w:rsidRPr="006F2993">
        <w:rPr>
          <w:rFonts w:cs="Arial"/>
          <w:b/>
          <w:bCs/>
          <w:sz w:val="28"/>
        </w:rPr>
        <w:t>[202</w:t>
      </w:r>
      <w:r w:rsidR="009C317B">
        <w:rPr>
          <w:rFonts w:cs="Arial"/>
          <w:b/>
          <w:bCs/>
          <w:sz w:val="28"/>
        </w:rPr>
        <w:t>5</w:t>
      </w:r>
      <w:r w:rsidRPr="006F2993">
        <w:rPr>
          <w:rFonts w:cs="Arial"/>
          <w:b/>
          <w:bCs/>
          <w:sz w:val="28"/>
        </w:rPr>
        <w:t>] AusHRC 175</w:t>
      </w:r>
    </w:p>
    <w:p w14:paraId="28213D7F" w14:textId="4DF5ECED" w:rsidR="00AC636D" w:rsidRDefault="008A7305" w:rsidP="008A7305">
      <w:pPr>
        <w:jc w:val="right"/>
      </w:pPr>
      <w:r w:rsidRPr="7B4471C5">
        <w:rPr>
          <w:rFonts w:cs="Arial"/>
          <w:sz w:val="28"/>
          <w:szCs w:val="28"/>
        </w:rPr>
        <w:fldChar w:fldCharType="begin"/>
      </w:r>
      <w:r w:rsidRPr="7B4471C5">
        <w:rPr>
          <w:rFonts w:cs="Arial"/>
          <w:sz w:val="28"/>
          <w:szCs w:val="28"/>
        </w:rPr>
        <w:instrText xml:space="preserve"> CREATEDATE  \@ "MMMM yyyy"  \* MERGEFORMAT </w:instrText>
      </w:r>
      <w:r w:rsidRPr="7B4471C5">
        <w:rPr>
          <w:rFonts w:cs="Arial"/>
          <w:sz w:val="28"/>
          <w:szCs w:val="28"/>
        </w:rPr>
        <w:fldChar w:fldCharType="separate"/>
      </w:r>
      <w:r w:rsidR="00F0031E">
        <w:rPr>
          <w:rFonts w:cs="Arial"/>
          <w:noProof/>
          <w:sz w:val="28"/>
          <w:szCs w:val="28"/>
        </w:rPr>
        <w:t>April</w:t>
      </w:r>
      <w:r w:rsidR="001425F1" w:rsidRPr="7B4471C5">
        <w:rPr>
          <w:rFonts w:cs="Arial"/>
          <w:noProof/>
          <w:sz w:val="28"/>
          <w:szCs w:val="28"/>
        </w:rPr>
        <w:t xml:space="preserve"> 202</w:t>
      </w:r>
      <w:r w:rsidR="00F708EE">
        <w:rPr>
          <w:rFonts w:cs="Arial"/>
          <w:noProof/>
          <w:sz w:val="28"/>
          <w:szCs w:val="28"/>
        </w:rPr>
        <w:t>5</w:t>
      </w:r>
      <w:r w:rsidRPr="7B4471C5">
        <w:rPr>
          <w:rFonts w:cs="Arial"/>
          <w:color w:val="237BBC"/>
          <w:sz w:val="28"/>
          <w:szCs w:val="28"/>
        </w:rPr>
        <w:fldChar w:fldCharType="end"/>
      </w:r>
    </w:p>
    <w:p w14:paraId="1E40E969" w14:textId="220210B1" w:rsidR="009E4BD0" w:rsidRPr="00AC636D" w:rsidRDefault="00961135" w:rsidP="00961135">
      <w:pPr>
        <w:jc w:val="right"/>
        <w:sectPr w:rsidR="009E4BD0" w:rsidRPr="00AC636D" w:rsidSect="00AC636D">
          <w:headerReference w:type="even" r:id="rId14"/>
          <w:headerReference w:type="default" r:id="rId15"/>
          <w:headerReference w:type="first" r:id="rId16"/>
          <w:footerReference w:type="first" r:id="rId17"/>
          <w:type w:val="continuous"/>
          <w:pgSz w:w="11906" w:h="16838" w:code="9"/>
          <w:pgMar w:top="228" w:right="1700" w:bottom="1134" w:left="1418" w:header="277" w:footer="1361" w:gutter="0"/>
          <w:pgNumType w:start="2"/>
          <w:cols w:space="708"/>
          <w:titlePg/>
          <w:docGrid w:linePitch="360"/>
        </w:sectPr>
      </w:pPr>
      <w:r>
        <w:tab/>
      </w:r>
      <w:r w:rsidRPr="00E60C48">
        <w:rPr>
          <w:rFonts w:cs="Open Sans"/>
          <w:color w:val="0070C0"/>
        </w:rPr>
        <w:t xml:space="preserve"> </w:t>
      </w:r>
    </w:p>
    <w:p w14:paraId="772269A6" w14:textId="77777777" w:rsidR="00CF4FC0" w:rsidRDefault="00CF4FC0" w:rsidP="00CF4FC0">
      <w:pPr>
        <w:contextualSpacing/>
        <w:rPr>
          <w:rFonts w:cs="Open Sans"/>
        </w:rPr>
      </w:pPr>
      <w:bookmarkStart w:id="0" w:name="_Toc209316062"/>
      <w:bookmarkEnd w:id="0"/>
    </w:p>
    <w:p w14:paraId="13C131C7" w14:textId="77777777" w:rsidR="00E82EE3" w:rsidRDefault="00E82EE3" w:rsidP="00CF4FC0">
      <w:pPr>
        <w:contextualSpacing/>
        <w:rPr>
          <w:rFonts w:cs="Open Sans"/>
        </w:rPr>
      </w:pPr>
    </w:p>
    <w:p w14:paraId="69CA7767" w14:textId="7A61C4A0" w:rsidR="00CF4FC0" w:rsidRDefault="00CF4FC0" w:rsidP="00CF4FC0">
      <w:pPr>
        <w:contextualSpacing/>
        <w:rPr>
          <w:rFonts w:cs="Open Sans"/>
        </w:rPr>
      </w:pPr>
      <w:r>
        <w:rPr>
          <w:rFonts w:cs="Open Sans"/>
        </w:rPr>
        <w:t>The Hon Mark Dreyfus KC MP</w:t>
      </w:r>
    </w:p>
    <w:p w14:paraId="17539C3D" w14:textId="77777777" w:rsidR="00CF4FC0" w:rsidRDefault="00CF4FC0" w:rsidP="00CF4FC0">
      <w:pPr>
        <w:contextualSpacing/>
        <w:rPr>
          <w:rFonts w:cs="Open Sans"/>
        </w:rPr>
      </w:pPr>
      <w:r>
        <w:rPr>
          <w:rFonts w:cs="Open Sans"/>
        </w:rPr>
        <w:t>Attorney-General</w:t>
      </w:r>
    </w:p>
    <w:p w14:paraId="7D9D8043" w14:textId="77777777" w:rsidR="00CF4FC0" w:rsidRDefault="00CF4FC0" w:rsidP="00CF4FC0">
      <w:pPr>
        <w:contextualSpacing/>
        <w:rPr>
          <w:rFonts w:cs="Open Sans"/>
        </w:rPr>
      </w:pPr>
      <w:r>
        <w:rPr>
          <w:rFonts w:cs="Open Sans"/>
        </w:rPr>
        <w:t>Parliament House</w:t>
      </w:r>
    </w:p>
    <w:p w14:paraId="1E4E7BB5" w14:textId="77777777" w:rsidR="00CF4FC0" w:rsidRDefault="00CF4FC0" w:rsidP="00CF4FC0">
      <w:pPr>
        <w:contextualSpacing/>
        <w:rPr>
          <w:rFonts w:cs="Open Sans"/>
        </w:rPr>
      </w:pPr>
      <w:r>
        <w:rPr>
          <w:rFonts w:cs="Open Sans"/>
        </w:rPr>
        <w:t>Canberra ACT 2600</w:t>
      </w:r>
    </w:p>
    <w:p w14:paraId="43ECA1D9" w14:textId="77777777" w:rsidR="00CF4FC0" w:rsidRDefault="00CF4FC0" w:rsidP="00CF4FC0">
      <w:pPr>
        <w:rPr>
          <w:rFonts w:cs="Open Sans"/>
        </w:rPr>
      </w:pPr>
    </w:p>
    <w:p w14:paraId="6809EC87" w14:textId="6EE744C5" w:rsidR="00CF4FC0" w:rsidRDefault="00CF4FC0" w:rsidP="00CF4FC0">
      <w:r>
        <w:t>Dear Attorney</w:t>
      </w:r>
      <w:r w:rsidR="00FE1937">
        <w:t>-General</w:t>
      </w:r>
    </w:p>
    <w:p w14:paraId="52C08276" w14:textId="3A8C08A6" w:rsidR="00497AD2" w:rsidRDefault="00497AD2" w:rsidP="00CE045B">
      <w:r>
        <w:t xml:space="preserve">Pursuant to s 11(1)(f) of the </w:t>
      </w:r>
      <w:r>
        <w:rPr>
          <w:i/>
          <w:iCs/>
        </w:rPr>
        <w:t xml:space="preserve">Australian Human Rights Commission Act 1986 </w:t>
      </w:r>
      <w:r>
        <w:t>(Cth) (AHRC Act), I attach a report of the inquiry by the former President of the Australian Human Rights Commission, Emeritus Professor Rosalind Croucher AM</w:t>
      </w:r>
      <w:r w:rsidR="004037A5">
        <w:t xml:space="preserve"> into a complaint by Mr </w:t>
      </w:r>
      <w:r w:rsidR="00EF4C0F">
        <w:t>Kuster</w:t>
      </w:r>
      <w:r w:rsidR="004037A5">
        <w:t xml:space="preserve"> against the Department of Home Affairs</w:t>
      </w:r>
      <w:r w:rsidR="00FD0C51">
        <w:t xml:space="preserve"> (the Department).</w:t>
      </w:r>
    </w:p>
    <w:p w14:paraId="469AB921" w14:textId="56D00ECF" w:rsidR="00CE045B" w:rsidRDefault="00CE045B" w:rsidP="00CE045B">
      <w:r>
        <w:t xml:space="preserve">Mr Kuster arrived in Australia from Papua New Guinea (PNG) at the age of four, and was later placed on a transitional permanent visa in 1994. Following criminal convictions, his visa was cancelled in December 2017 and Mr Kuster was transferred to immigration detention. </w:t>
      </w:r>
      <w:r w:rsidR="00F83DAD">
        <w:t>After</w:t>
      </w:r>
      <w:r>
        <w:t xml:space="preserve"> his voluntary removal from Australia request, Mr Kuster attempted to re-enter PNG. However, he was not recognised as a citizen, was denied entry into PNG, and was subsequently returned to immigration detention in August 2019. </w:t>
      </w:r>
    </w:p>
    <w:p w14:paraId="38BD1090" w14:textId="77777777" w:rsidR="00CE045B" w:rsidRPr="00534546" w:rsidRDefault="00CE045B" w:rsidP="00CE045B">
      <w:r w:rsidRPr="00534546">
        <w:t xml:space="preserve">Mr </w:t>
      </w:r>
      <w:r>
        <w:t>Kuster</w:t>
      </w:r>
      <w:r w:rsidRPr="00534546">
        <w:t xml:space="preserve"> remained in immigration detention until his release in November 2023, pursuant to the High Court of Australia’s decision in </w:t>
      </w:r>
      <w:r w:rsidRPr="00534546">
        <w:rPr>
          <w:i/>
          <w:iCs/>
        </w:rPr>
        <w:t xml:space="preserve">NZYQ v Minister for Immigration, Citizenship and Multicultural Affairs </w:t>
      </w:r>
      <w:r w:rsidRPr="00534546">
        <w:t xml:space="preserve">[2023] HCA 37. </w:t>
      </w:r>
    </w:p>
    <w:p w14:paraId="48313B87" w14:textId="72B3DEA2" w:rsidR="00CE045B" w:rsidRDefault="00CE045B" w:rsidP="00CE045B">
      <w:r>
        <w:t>Mr Kuster’s detention was notwithstanding factors such</w:t>
      </w:r>
      <w:r w:rsidR="3ACB2E40">
        <w:t xml:space="preserve"> as</w:t>
      </w:r>
      <w:r>
        <w:t xml:space="preserve"> his significant family and community ties (including an Australian partner and minor son), his various health conditions, his efforts to rehabilitate, and the possibility of indefinite detention despite his possible stateless status and his claim of Indigeneity.  </w:t>
      </w:r>
    </w:p>
    <w:p w14:paraId="4AA7305C" w14:textId="09638336" w:rsidR="00615F54" w:rsidRPr="00534546" w:rsidRDefault="00615F54" w:rsidP="00615F54">
      <w:r>
        <w:t>Viewing these factors cumulatively, Professor Croucher found a</w:t>
      </w:r>
      <w:r w:rsidRPr="00534546">
        <w:t xml:space="preserve">s a result of this inquiry that the Department’s failure to </w:t>
      </w:r>
      <w:r>
        <w:t xml:space="preserve">assess whether Mr Kuster was stateless according to international law, as well as the Department’s failure to </w:t>
      </w:r>
      <w:r w:rsidRPr="00534546">
        <w:t>refer Mr </w:t>
      </w:r>
      <w:r>
        <w:t>Kuster</w:t>
      </w:r>
      <w:r w:rsidRPr="00534546">
        <w:t xml:space="preserve">’s case to the Minister at any time </w:t>
      </w:r>
      <w:r>
        <w:t>until September 2023</w:t>
      </w:r>
      <w:r w:rsidRPr="00534546">
        <w:t xml:space="preserve"> for the Minister to consider exercising </w:t>
      </w:r>
      <w:r w:rsidR="00BE715A">
        <w:t>their</w:t>
      </w:r>
      <w:r w:rsidRPr="00534546">
        <w:t xml:space="preserve"> discretionary powers under section 195A or section 197AB of the Migration Act, contributed to his detention becoming arbitrary, contrary to article 9 of the </w:t>
      </w:r>
      <w:r w:rsidRPr="00534546">
        <w:rPr>
          <w:i/>
          <w:iCs/>
        </w:rPr>
        <w:t xml:space="preserve">International Covenant on Civil and Political Rights </w:t>
      </w:r>
      <w:r w:rsidRPr="00534546">
        <w:t>(ICCPR).</w:t>
      </w:r>
    </w:p>
    <w:p w14:paraId="0AF71B0F" w14:textId="77777777" w:rsidR="00615F54" w:rsidRDefault="00615F54" w:rsidP="00615F54">
      <w:r>
        <w:t xml:space="preserve">In the time between the issuing of the notice making findings in this matter, and the preparation of this report, I assumed the role of President at the Australian </w:t>
      </w:r>
      <w:r>
        <w:lastRenderedPageBreak/>
        <w:t>Human Rights Commission. As a result, I received the Department’s response to Professor Croucher’s findings and recommendations in this matter by letter dated 16 August 2024. I have set out the response of the Department in its entirety in part 8 of the report.</w:t>
      </w:r>
    </w:p>
    <w:p w14:paraId="2DE58968" w14:textId="5BF10128" w:rsidR="00CE045B" w:rsidRDefault="00CF4FC0" w:rsidP="00CF4FC0">
      <w:pPr>
        <w:keepNext/>
        <w:rPr>
          <w:rFonts w:eastAsia="Times New Roman"/>
          <w:spacing w:val="-5"/>
        </w:rPr>
      </w:pPr>
      <w:r>
        <w:rPr>
          <w:rFonts w:eastAsia="Times New Roman"/>
          <w:spacing w:val="-5"/>
        </w:rPr>
        <w:t xml:space="preserve">I enclose a copy of my report. </w:t>
      </w:r>
      <w:r w:rsidR="00CE045B">
        <w:rPr>
          <w:rFonts w:eastAsia="Times New Roman"/>
          <w:spacing w:val="-5"/>
        </w:rPr>
        <w:br/>
      </w:r>
    </w:p>
    <w:p w14:paraId="232488B0" w14:textId="579D4CDA" w:rsidR="00CF4FC0" w:rsidRPr="0049472D" w:rsidRDefault="00CF4FC0" w:rsidP="00CF4FC0">
      <w:pPr>
        <w:keepNext/>
        <w:rPr>
          <w:rFonts w:eastAsia="Times New Roman"/>
        </w:rPr>
      </w:pPr>
      <w:r>
        <w:rPr>
          <w:rFonts w:eastAsia="Times New Roman"/>
          <w:spacing w:val="-5"/>
        </w:rPr>
        <w:t>Yours sincerely,</w:t>
      </w:r>
    </w:p>
    <w:p w14:paraId="50A9DB7A" w14:textId="28260037" w:rsidR="00CF4FC0" w:rsidRDefault="17A0547B" w:rsidP="00CF4FC0">
      <w:pPr>
        <w:spacing w:before="0" w:after="0"/>
      </w:pPr>
      <w:r>
        <w:rPr>
          <w:noProof/>
        </w:rPr>
        <w:drawing>
          <wp:inline distT="0" distB="0" distL="0" distR="0" wp14:anchorId="2D27C08F" wp14:editId="7F1BEA8F">
            <wp:extent cx="2508727" cy="742656"/>
            <wp:effectExtent l="0" t="0" r="0" b="0"/>
            <wp:docPr id="544432625" name="Picture 544432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extLst>
                        <a:ext uri="{28A0092B-C50C-407E-A947-70E740481C1C}">
                          <a14:useLocalDpi xmlns:a14="http://schemas.microsoft.com/office/drawing/2010/main" val="0"/>
                        </a:ext>
                      </a:extLst>
                    </a:blip>
                    <a:stretch>
                      <a:fillRect/>
                    </a:stretch>
                  </pic:blipFill>
                  <pic:spPr>
                    <a:xfrm>
                      <a:off x="0" y="0"/>
                      <a:ext cx="2508727" cy="742656"/>
                    </a:xfrm>
                    <a:prstGeom prst="rect">
                      <a:avLst/>
                    </a:prstGeom>
                  </pic:spPr>
                </pic:pic>
              </a:graphicData>
            </a:graphic>
          </wp:inline>
        </w:drawing>
      </w:r>
    </w:p>
    <w:p w14:paraId="1F55B189" w14:textId="4CF099EC" w:rsidR="00CF4FC0" w:rsidRPr="004B7651" w:rsidRDefault="004F788C" w:rsidP="00CF4FC0">
      <w:pPr>
        <w:spacing w:line="259" w:lineRule="auto"/>
        <w:contextualSpacing/>
        <w:rPr>
          <w:rFonts w:cs="Open Sans"/>
          <w:szCs w:val="28"/>
        </w:rPr>
      </w:pPr>
      <w:r>
        <w:rPr>
          <w:rFonts w:cs="Open Sans"/>
          <w:szCs w:val="28"/>
        </w:rPr>
        <w:t>Hugh de Kretser</w:t>
      </w:r>
    </w:p>
    <w:p w14:paraId="3588A2EC" w14:textId="77777777" w:rsidR="00CF4FC0" w:rsidRPr="004B7651" w:rsidRDefault="00CF4FC0" w:rsidP="00CF4FC0">
      <w:pPr>
        <w:spacing w:line="259" w:lineRule="auto"/>
        <w:contextualSpacing/>
        <w:rPr>
          <w:rFonts w:cs="Open Sans"/>
          <w:b/>
          <w:szCs w:val="28"/>
        </w:rPr>
      </w:pPr>
      <w:r w:rsidRPr="004B7651">
        <w:rPr>
          <w:rFonts w:cs="Open Sans"/>
          <w:b/>
          <w:szCs w:val="28"/>
        </w:rPr>
        <w:t xml:space="preserve">President </w:t>
      </w:r>
    </w:p>
    <w:p w14:paraId="55DEFC84" w14:textId="77777777" w:rsidR="00CF4FC0" w:rsidRPr="004B7651" w:rsidRDefault="00CF4FC0" w:rsidP="00CF4FC0">
      <w:pPr>
        <w:spacing w:line="259" w:lineRule="auto"/>
        <w:contextualSpacing/>
        <w:rPr>
          <w:rFonts w:cs="Open Sans"/>
          <w:szCs w:val="28"/>
        </w:rPr>
      </w:pPr>
      <w:r w:rsidRPr="004B7651">
        <w:rPr>
          <w:rFonts w:cs="Open Sans"/>
          <w:szCs w:val="28"/>
        </w:rPr>
        <w:t>Australian Human Rights Commission</w:t>
      </w:r>
    </w:p>
    <w:p w14:paraId="237698A0" w14:textId="0CB59249" w:rsidR="003F7FA3" w:rsidRPr="005E19C5" w:rsidRDefault="00F0031E" w:rsidP="005E19C5">
      <w:pPr>
        <w:spacing w:before="0" w:after="0"/>
        <w:rPr>
          <w:b/>
          <w:bCs/>
          <w:sz w:val="36"/>
          <w:szCs w:val="28"/>
        </w:rPr>
      </w:pPr>
      <w:r>
        <w:rPr>
          <w:rFonts w:cs="Open Sans"/>
        </w:rPr>
        <w:t>April</w:t>
      </w:r>
      <w:r w:rsidR="00CE7ABA">
        <w:rPr>
          <w:rFonts w:cs="Open Sans"/>
        </w:rPr>
        <w:t xml:space="preserve"> 2025</w:t>
      </w:r>
      <w:r w:rsidR="00CF4FC0">
        <w:rPr>
          <w:b/>
          <w:bCs/>
          <w:sz w:val="36"/>
          <w:szCs w:val="28"/>
        </w:rPr>
        <w:br w:type="page"/>
      </w:r>
    </w:p>
    <w:p w14:paraId="4FD33656" w14:textId="77777777" w:rsidR="00047D4A" w:rsidRDefault="000B5B68" w:rsidP="00627684">
      <w:pPr>
        <w:pStyle w:val="TOC1"/>
        <w:ind w:left="0" w:firstLine="0"/>
      </w:pPr>
      <w:r>
        <w:lastRenderedPageBreak/>
        <w:t>Contents</w:t>
      </w:r>
      <w:r w:rsidRPr="000465F1">
        <w:fldChar w:fldCharType="begin"/>
      </w:r>
      <w:r>
        <w:instrText xml:space="preserve"> TOC \o "1-3" \h \z \u </w:instrText>
      </w:r>
      <w:r w:rsidRPr="000465F1">
        <w:fldChar w:fldCharType="separate"/>
      </w:r>
    </w:p>
    <w:p w14:paraId="74D86C16" w14:textId="406D6F9E" w:rsidR="00047D4A" w:rsidRDefault="00047D4A">
      <w:pPr>
        <w:pStyle w:val="TOC1"/>
        <w:rPr>
          <w:rFonts w:asciiTheme="minorHAnsi" w:eastAsiaTheme="minorEastAsia" w:hAnsiTheme="minorHAnsi" w:cstheme="minorBidi"/>
          <w:b w:val="0"/>
          <w:kern w:val="2"/>
          <w14:ligatures w14:val="standardContextual"/>
        </w:rPr>
      </w:pPr>
      <w:hyperlink w:anchor="_Toc195778528" w:history="1">
        <w:r w:rsidRPr="00F457CE">
          <w:rPr>
            <w:rStyle w:val="Hyperlink"/>
          </w:rPr>
          <w:t>1</w:t>
        </w:r>
        <w:r>
          <w:rPr>
            <w:rFonts w:asciiTheme="minorHAnsi" w:eastAsiaTheme="minorEastAsia" w:hAnsiTheme="minorHAnsi" w:cstheme="minorBidi"/>
            <w:b w:val="0"/>
            <w:kern w:val="2"/>
            <w14:ligatures w14:val="standardContextual"/>
          </w:rPr>
          <w:tab/>
        </w:r>
        <w:r w:rsidRPr="00F457CE">
          <w:rPr>
            <w:rStyle w:val="Hyperlink"/>
          </w:rPr>
          <w:t>Introduction</w:t>
        </w:r>
        <w:r>
          <w:rPr>
            <w:webHidden/>
          </w:rPr>
          <w:tab/>
        </w:r>
        <w:r>
          <w:rPr>
            <w:webHidden/>
          </w:rPr>
          <w:fldChar w:fldCharType="begin"/>
        </w:r>
        <w:r>
          <w:rPr>
            <w:webHidden/>
          </w:rPr>
          <w:instrText xml:space="preserve"> PAGEREF _Toc195778528 \h </w:instrText>
        </w:r>
        <w:r>
          <w:rPr>
            <w:webHidden/>
          </w:rPr>
        </w:r>
        <w:r>
          <w:rPr>
            <w:webHidden/>
          </w:rPr>
          <w:fldChar w:fldCharType="separate"/>
        </w:r>
        <w:r w:rsidR="00F328CD">
          <w:rPr>
            <w:webHidden/>
          </w:rPr>
          <w:t>4</w:t>
        </w:r>
        <w:r>
          <w:rPr>
            <w:webHidden/>
          </w:rPr>
          <w:fldChar w:fldCharType="end"/>
        </w:r>
      </w:hyperlink>
    </w:p>
    <w:p w14:paraId="2DB788F2" w14:textId="050333DD" w:rsidR="00047D4A" w:rsidRDefault="00047D4A">
      <w:pPr>
        <w:pStyle w:val="TOC1"/>
        <w:rPr>
          <w:rFonts w:asciiTheme="minorHAnsi" w:eastAsiaTheme="minorEastAsia" w:hAnsiTheme="minorHAnsi" w:cstheme="minorBidi"/>
          <w:b w:val="0"/>
          <w:kern w:val="2"/>
          <w14:ligatures w14:val="standardContextual"/>
        </w:rPr>
      </w:pPr>
      <w:hyperlink w:anchor="_Toc195778529" w:history="1">
        <w:r w:rsidRPr="00F457CE">
          <w:rPr>
            <w:rStyle w:val="Hyperlink"/>
          </w:rPr>
          <w:t>2</w:t>
        </w:r>
        <w:r>
          <w:rPr>
            <w:rFonts w:asciiTheme="minorHAnsi" w:eastAsiaTheme="minorEastAsia" w:hAnsiTheme="minorHAnsi" w:cstheme="minorBidi"/>
            <w:b w:val="0"/>
            <w:kern w:val="2"/>
            <w14:ligatures w14:val="standardContextual"/>
          </w:rPr>
          <w:tab/>
        </w:r>
        <w:r w:rsidRPr="00F457CE">
          <w:rPr>
            <w:rStyle w:val="Hyperlink"/>
          </w:rPr>
          <w:t>Summary of findings and recommendations</w:t>
        </w:r>
        <w:r>
          <w:rPr>
            <w:webHidden/>
          </w:rPr>
          <w:tab/>
        </w:r>
        <w:r>
          <w:rPr>
            <w:webHidden/>
          </w:rPr>
          <w:fldChar w:fldCharType="begin"/>
        </w:r>
        <w:r>
          <w:rPr>
            <w:webHidden/>
          </w:rPr>
          <w:instrText xml:space="preserve"> PAGEREF _Toc195778529 \h </w:instrText>
        </w:r>
        <w:r>
          <w:rPr>
            <w:webHidden/>
          </w:rPr>
        </w:r>
        <w:r>
          <w:rPr>
            <w:webHidden/>
          </w:rPr>
          <w:fldChar w:fldCharType="separate"/>
        </w:r>
        <w:r w:rsidR="00F328CD">
          <w:rPr>
            <w:webHidden/>
          </w:rPr>
          <w:t>4</w:t>
        </w:r>
        <w:r>
          <w:rPr>
            <w:webHidden/>
          </w:rPr>
          <w:fldChar w:fldCharType="end"/>
        </w:r>
      </w:hyperlink>
    </w:p>
    <w:p w14:paraId="750D769D" w14:textId="22CDCDB1" w:rsidR="00047D4A" w:rsidRDefault="00047D4A">
      <w:pPr>
        <w:pStyle w:val="TOC1"/>
        <w:rPr>
          <w:rFonts w:asciiTheme="minorHAnsi" w:eastAsiaTheme="minorEastAsia" w:hAnsiTheme="minorHAnsi" w:cstheme="minorBidi"/>
          <w:b w:val="0"/>
          <w:kern w:val="2"/>
          <w14:ligatures w14:val="standardContextual"/>
        </w:rPr>
      </w:pPr>
      <w:hyperlink w:anchor="_Toc195778530" w:history="1">
        <w:r w:rsidRPr="00F457CE">
          <w:rPr>
            <w:rStyle w:val="Hyperlink"/>
          </w:rPr>
          <w:t>3</w:t>
        </w:r>
        <w:r>
          <w:rPr>
            <w:rFonts w:asciiTheme="minorHAnsi" w:eastAsiaTheme="minorEastAsia" w:hAnsiTheme="minorHAnsi" w:cstheme="minorBidi"/>
            <w:b w:val="0"/>
            <w:kern w:val="2"/>
            <w14:ligatures w14:val="standardContextual"/>
          </w:rPr>
          <w:tab/>
        </w:r>
        <w:r w:rsidRPr="00F457CE">
          <w:rPr>
            <w:rStyle w:val="Hyperlink"/>
          </w:rPr>
          <w:t>Background</w:t>
        </w:r>
        <w:r>
          <w:rPr>
            <w:webHidden/>
          </w:rPr>
          <w:tab/>
        </w:r>
        <w:r>
          <w:rPr>
            <w:webHidden/>
          </w:rPr>
          <w:fldChar w:fldCharType="begin"/>
        </w:r>
        <w:r>
          <w:rPr>
            <w:webHidden/>
          </w:rPr>
          <w:instrText xml:space="preserve"> PAGEREF _Toc195778530 \h </w:instrText>
        </w:r>
        <w:r>
          <w:rPr>
            <w:webHidden/>
          </w:rPr>
        </w:r>
        <w:r>
          <w:rPr>
            <w:webHidden/>
          </w:rPr>
          <w:fldChar w:fldCharType="separate"/>
        </w:r>
        <w:r w:rsidR="00F328CD">
          <w:rPr>
            <w:webHidden/>
          </w:rPr>
          <w:t>6</w:t>
        </w:r>
        <w:r>
          <w:rPr>
            <w:webHidden/>
          </w:rPr>
          <w:fldChar w:fldCharType="end"/>
        </w:r>
      </w:hyperlink>
    </w:p>
    <w:p w14:paraId="208C68E9" w14:textId="05CBC00F" w:rsidR="00047D4A" w:rsidRDefault="00047D4A">
      <w:pPr>
        <w:pStyle w:val="TOC2"/>
        <w:rPr>
          <w:rFonts w:asciiTheme="minorHAnsi" w:eastAsiaTheme="minorEastAsia" w:hAnsiTheme="minorHAnsi" w:cstheme="minorBidi"/>
          <w:b w:val="0"/>
          <w:i w:val="0"/>
          <w:kern w:val="2"/>
          <w14:ligatures w14:val="standardContextual"/>
        </w:rPr>
      </w:pPr>
      <w:hyperlink w:anchor="_Toc195778531" w:history="1">
        <w:r w:rsidRPr="00F457CE">
          <w:rPr>
            <w:rStyle w:val="Hyperlink"/>
            <w:iCs/>
          </w:rPr>
          <w:t>3.1</w:t>
        </w:r>
        <w:r>
          <w:rPr>
            <w:rFonts w:asciiTheme="minorHAnsi" w:eastAsiaTheme="minorEastAsia" w:hAnsiTheme="minorHAnsi" w:cstheme="minorBidi"/>
            <w:b w:val="0"/>
            <w:i w:val="0"/>
            <w:kern w:val="2"/>
            <w14:ligatures w14:val="standardContextual"/>
          </w:rPr>
          <w:tab/>
        </w:r>
        <w:r w:rsidRPr="00F457CE">
          <w:rPr>
            <w:rStyle w:val="Hyperlink"/>
            <w:iCs/>
          </w:rPr>
          <w:t>Visa cancellation</w:t>
        </w:r>
        <w:r>
          <w:rPr>
            <w:webHidden/>
          </w:rPr>
          <w:tab/>
        </w:r>
        <w:r>
          <w:rPr>
            <w:webHidden/>
          </w:rPr>
          <w:fldChar w:fldCharType="begin"/>
        </w:r>
        <w:r>
          <w:rPr>
            <w:webHidden/>
          </w:rPr>
          <w:instrText xml:space="preserve"> PAGEREF _Toc195778531 \h </w:instrText>
        </w:r>
        <w:r>
          <w:rPr>
            <w:webHidden/>
          </w:rPr>
        </w:r>
        <w:r>
          <w:rPr>
            <w:webHidden/>
          </w:rPr>
          <w:fldChar w:fldCharType="separate"/>
        </w:r>
        <w:r w:rsidR="00F328CD">
          <w:rPr>
            <w:webHidden/>
          </w:rPr>
          <w:t>6</w:t>
        </w:r>
        <w:r>
          <w:rPr>
            <w:webHidden/>
          </w:rPr>
          <w:fldChar w:fldCharType="end"/>
        </w:r>
      </w:hyperlink>
    </w:p>
    <w:p w14:paraId="45A1807F" w14:textId="606C6978" w:rsidR="00047D4A" w:rsidRDefault="00047D4A">
      <w:pPr>
        <w:pStyle w:val="TOC2"/>
        <w:rPr>
          <w:rFonts w:asciiTheme="minorHAnsi" w:eastAsiaTheme="minorEastAsia" w:hAnsiTheme="minorHAnsi" w:cstheme="minorBidi"/>
          <w:b w:val="0"/>
          <w:i w:val="0"/>
          <w:kern w:val="2"/>
          <w14:ligatures w14:val="standardContextual"/>
        </w:rPr>
      </w:pPr>
      <w:hyperlink w:anchor="_Toc195778532" w:history="1">
        <w:r w:rsidRPr="00F457CE">
          <w:rPr>
            <w:rStyle w:val="Hyperlink"/>
            <w:iCs/>
          </w:rPr>
          <w:t>3.2</w:t>
        </w:r>
        <w:r>
          <w:rPr>
            <w:rFonts w:asciiTheme="minorHAnsi" w:eastAsiaTheme="minorEastAsia" w:hAnsiTheme="minorHAnsi" w:cstheme="minorBidi"/>
            <w:b w:val="0"/>
            <w:i w:val="0"/>
            <w:kern w:val="2"/>
            <w14:ligatures w14:val="standardContextual"/>
          </w:rPr>
          <w:tab/>
        </w:r>
        <w:r w:rsidRPr="00F457CE">
          <w:rPr>
            <w:rStyle w:val="Hyperlink"/>
            <w:iCs/>
          </w:rPr>
          <w:t>Health and behaviour in detention</w:t>
        </w:r>
        <w:r>
          <w:rPr>
            <w:webHidden/>
          </w:rPr>
          <w:tab/>
        </w:r>
        <w:r>
          <w:rPr>
            <w:webHidden/>
          </w:rPr>
          <w:fldChar w:fldCharType="begin"/>
        </w:r>
        <w:r>
          <w:rPr>
            <w:webHidden/>
          </w:rPr>
          <w:instrText xml:space="preserve"> PAGEREF _Toc195778532 \h </w:instrText>
        </w:r>
        <w:r>
          <w:rPr>
            <w:webHidden/>
          </w:rPr>
        </w:r>
        <w:r>
          <w:rPr>
            <w:webHidden/>
          </w:rPr>
          <w:fldChar w:fldCharType="separate"/>
        </w:r>
        <w:r w:rsidR="00F328CD">
          <w:rPr>
            <w:webHidden/>
          </w:rPr>
          <w:t>8</w:t>
        </w:r>
        <w:r>
          <w:rPr>
            <w:webHidden/>
          </w:rPr>
          <w:fldChar w:fldCharType="end"/>
        </w:r>
      </w:hyperlink>
    </w:p>
    <w:p w14:paraId="5FCB5769" w14:textId="1ED742E5" w:rsidR="00047D4A" w:rsidRDefault="00047D4A">
      <w:pPr>
        <w:pStyle w:val="TOC2"/>
        <w:rPr>
          <w:rFonts w:asciiTheme="minorHAnsi" w:eastAsiaTheme="minorEastAsia" w:hAnsiTheme="minorHAnsi" w:cstheme="minorBidi"/>
          <w:b w:val="0"/>
          <w:i w:val="0"/>
          <w:kern w:val="2"/>
          <w14:ligatures w14:val="standardContextual"/>
        </w:rPr>
      </w:pPr>
      <w:hyperlink w:anchor="_Toc195778533" w:history="1">
        <w:r w:rsidRPr="00F457CE">
          <w:rPr>
            <w:rStyle w:val="Hyperlink"/>
          </w:rPr>
          <w:t>3.3</w:t>
        </w:r>
        <w:r>
          <w:rPr>
            <w:rFonts w:asciiTheme="minorHAnsi" w:eastAsiaTheme="minorEastAsia" w:hAnsiTheme="minorHAnsi" w:cstheme="minorBidi"/>
            <w:b w:val="0"/>
            <w:i w:val="0"/>
            <w:kern w:val="2"/>
            <w14:ligatures w14:val="standardContextual"/>
          </w:rPr>
          <w:tab/>
        </w:r>
        <w:r w:rsidRPr="00F457CE">
          <w:rPr>
            <w:rStyle w:val="Hyperlink"/>
          </w:rPr>
          <w:t>Working Group on Arbitrary Detention</w:t>
        </w:r>
        <w:r>
          <w:rPr>
            <w:webHidden/>
          </w:rPr>
          <w:tab/>
        </w:r>
        <w:r>
          <w:rPr>
            <w:webHidden/>
          </w:rPr>
          <w:fldChar w:fldCharType="begin"/>
        </w:r>
        <w:r>
          <w:rPr>
            <w:webHidden/>
          </w:rPr>
          <w:instrText xml:space="preserve"> PAGEREF _Toc195778533 \h </w:instrText>
        </w:r>
        <w:r>
          <w:rPr>
            <w:webHidden/>
          </w:rPr>
        </w:r>
        <w:r>
          <w:rPr>
            <w:webHidden/>
          </w:rPr>
          <w:fldChar w:fldCharType="separate"/>
        </w:r>
        <w:r w:rsidR="00F328CD">
          <w:rPr>
            <w:webHidden/>
          </w:rPr>
          <w:t>9</w:t>
        </w:r>
        <w:r>
          <w:rPr>
            <w:webHidden/>
          </w:rPr>
          <w:fldChar w:fldCharType="end"/>
        </w:r>
      </w:hyperlink>
    </w:p>
    <w:p w14:paraId="16E537BB" w14:textId="58EB5CA2" w:rsidR="00047D4A" w:rsidRDefault="00047D4A">
      <w:pPr>
        <w:pStyle w:val="TOC1"/>
        <w:rPr>
          <w:rFonts w:asciiTheme="minorHAnsi" w:eastAsiaTheme="minorEastAsia" w:hAnsiTheme="minorHAnsi" w:cstheme="minorBidi"/>
          <w:b w:val="0"/>
          <w:kern w:val="2"/>
          <w14:ligatures w14:val="standardContextual"/>
        </w:rPr>
      </w:pPr>
      <w:hyperlink w:anchor="_Toc195778534" w:history="1">
        <w:r w:rsidRPr="00F457CE">
          <w:rPr>
            <w:rStyle w:val="Hyperlink"/>
          </w:rPr>
          <w:t>4</w:t>
        </w:r>
        <w:r>
          <w:rPr>
            <w:rFonts w:asciiTheme="minorHAnsi" w:eastAsiaTheme="minorEastAsia" w:hAnsiTheme="minorHAnsi" w:cstheme="minorBidi"/>
            <w:b w:val="0"/>
            <w:kern w:val="2"/>
            <w14:ligatures w14:val="standardContextual"/>
          </w:rPr>
          <w:tab/>
        </w:r>
        <w:r w:rsidRPr="00F457CE">
          <w:rPr>
            <w:rStyle w:val="Hyperlink"/>
          </w:rPr>
          <w:t>Legal framework</w:t>
        </w:r>
        <w:r>
          <w:rPr>
            <w:webHidden/>
          </w:rPr>
          <w:tab/>
        </w:r>
        <w:r>
          <w:rPr>
            <w:webHidden/>
          </w:rPr>
          <w:fldChar w:fldCharType="begin"/>
        </w:r>
        <w:r>
          <w:rPr>
            <w:webHidden/>
          </w:rPr>
          <w:instrText xml:space="preserve"> PAGEREF _Toc195778534 \h </w:instrText>
        </w:r>
        <w:r>
          <w:rPr>
            <w:webHidden/>
          </w:rPr>
        </w:r>
        <w:r>
          <w:rPr>
            <w:webHidden/>
          </w:rPr>
          <w:fldChar w:fldCharType="separate"/>
        </w:r>
        <w:r w:rsidR="00F328CD">
          <w:rPr>
            <w:webHidden/>
          </w:rPr>
          <w:t>10</w:t>
        </w:r>
        <w:r>
          <w:rPr>
            <w:webHidden/>
          </w:rPr>
          <w:fldChar w:fldCharType="end"/>
        </w:r>
      </w:hyperlink>
    </w:p>
    <w:p w14:paraId="7297B994" w14:textId="34939786" w:rsidR="00047D4A" w:rsidRDefault="00047D4A">
      <w:pPr>
        <w:pStyle w:val="TOC2"/>
        <w:rPr>
          <w:rFonts w:asciiTheme="minorHAnsi" w:eastAsiaTheme="minorEastAsia" w:hAnsiTheme="minorHAnsi" w:cstheme="minorBidi"/>
          <w:b w:val="0"/>
          <w:i w:val="0"/>
          <w:kern w:val="2"/>
          <w14:ligatures w14:val="standardContextual"/>
        </w:rPr>
      </w:pPr>
      <w:hyperlink w:anchor="_Toc195778535" w:history="1">
        <w:r w:rsidRPr="00F457CE">
          <w:rPr>
            <w:rStyle w:val="Hyperlink"/>
            <w:iCs/>
          </w:rPr>
          <w:t>4.1</w:t>
        </w:r>
        <w:r>
          <w:rPr>
            <w:rFonts w:asciiTheme="minorHAnsi" w:eastAsiaTheme="minorEastAsia" w:hAnsiTheme="minorHAnsi" w:cstheme="minorBidi"/>
            <w:b w:val="0"/>
            <w:i w:val="0"/>
            <w:kern w:val="2"/>
            <w14:ligatures w14:val="standardContextual"/>
          </w:rPr>
          <w:tab/>
        </w:r>
        <w:r w:rsidRPr="00F457CE">
          <w:rPr>
            <w:rStyle w:val="Hyperlink"/>
            <w:iCs/>
          </w:rPr>
          <w:t>Functions of the Commission</w:t>
        </w:r>
        <w:r>
          <w:rPr>
            <w:webHidden/>
          </w:rPr>
          <w:tab/>
        </w:r>
        <w:r>
          <w:rPr>
            <w:webHidden/>
          </w:rPr>
          <w:fldChar w:fldCharType="begin"/>
        </w:r>
        <w:r>
          <w:rPr>
            <w:webHidden/>
          </w:rPr>
          <w:instrText xml:space="preserve"> PAGEREF _Toc195778535 \h </w:instrText>
        </w:r>
        <w:r>
          <w:rPr>
            <w:webHidden/>
          </w:rPr>
        </w:r>
        <w:r>
          <w:rPr>
            <w:webHidden/>
          </w:rPr>
          <w:fldChar w:fldCharType="separate"/>
        </w:r>
        <w:r w:rsidR="00F328CD">
          <w:rPr>
            <w:webHidden/>
          </w:rPr>
          <w:t>10</w:t>
        </w:r>
        <w:r>
          <w:rPr>
            <w:webHidden/>
          </w:rPr>
          <w:fldChar w:fldCharType="end"/>
        </w:r>
      </w:hyperlink>
    </w:p>
    <w:p w14:paraId="41B748E5" w14:textId="3D132FAB" w:rsidR="00047D4A" w:rsidRDefault="00047D4A">
      <w:pPr>
        <w:pStyle w:val="TOC2"/>
        <w:rPr>
          <w:rFonts w:asciiTheme="minorHAnsi" w:eastAsiaTheme="minorEastAsia" w:hAnsiTheme="minorHAnsi" w:cstheme="minorBidi"/>
          <w:b w:val="0"/>
          <w:i w:val="0"/>
          <w:kern w:val="2"/>
          <w14:ligatures w14:val="standardContextual"/>
        </w:rPr>
      </w:pPr>
      <w:hyperlink w:anchor="_Toc195778536" w:history="1">
        <w:r w:rsidRPr="00F457CE">
          <w:rPr>
            <w:rStyle w:val="Hyperlink"/>
            <w:iCs/>
          </w:rPr>
          <w:t>4.2</w:t>
        </w:r>
        <w:r>
          <w:rPr>
            <w:rFonts w:asciiTheme="minorHAnsi" w:eastAsiaTheme="minorEastAsia" w:hAnsiTheme="minorHAnsi" w:cstheme="minorBidi"/>
            <w:b w:val="0"/>
            <w:i w:val="0"/>
            <w:kern w:val="2"/>
            <w14:ligatures w14:val="standardContextual"/>
          </w:rPr>
          <w:tab/>
        </w:r>
        <w:r w:rsidRPr="00F457CE">
          <w:rPr>
            <w:rStyle w:val="Hyperlink"/>
            <w:iCs/>
          </w:rPr>
          <w:t>Scope of ‘act’ and ‘practice’</w:t>
        </w:r>
        <w:r>
          <w:rPr>
            <w:webHidden/>
          </w:rPr>
          <w:tab/>
        </w:r>
        <w:r>
          <w:rPr>
            <w:webHidden/>
          </w:rPr>
          <w:fldChar w:fldCharType="begin"/>
        </w:r>
        <w:r>
          <w:rPr>
            <w:webHidden/>
          </w:rPr>
          <w:instrText xml:space="preserve"> PAGEREF _Toc195778536 \h </w:instrText>
        </w:r>
        <w:r>
          <w:rPr>
            <w:webHidden/>
          </w:rPr>
        </w:r>
        <w:r>
          <w:rPr>
            <w:webHidden/>
          </w:rPr>
          <w:fldChar w:fldCharType="separate"/>
        </w:r>
        <w:r w:rsidR="00F328CD">
          <w:rPr>
            <w:webHidden/>
          </w:rPr>
          <w:t>10</w:t>
        </w:r>
        <w:r>
          <w:rPr>
            <w:webHidden/>
          </w:rPr>
          <w:fldChar w:fldCharType="end"/>
        </w:r>
      </w:hyperlink>
    </w:p>
    <w:p w14:paraId="2F7442D9" w14:textId="59A8B049" w:rsidR="00047D4A" w:rsidRDefault="00047D4A">
      <w:pPr>
        <w:pStyle w:val="TOC2"/>
        <w:rPr>
          <w:rFonts w:asciiTheme="minorHAnsi" w:eastAsiaTheme="minorEastAsia" w:hAnsiTheme="minorHAnsi" w:cstheme="minorBidi"/>
          <w:b w:val="0"/>
          <w:i w:val="0"/>
          <w:kern w:val="2"/>
          <w14:ligatures w14:val="standardContextual"/>
        </w:rPr>
      </w:pPr>
      <w:hyperlink w:anchor="_Toc195778537" w:history="1">
        <w:r w:rsidRPr="00F457CE">
          <w:rPr>
            <w:rStyle w:val="Hyperlink"/>
            <w:iCs/>
          </w:rPr>
          <w:t>4.3</w:t>
        </w:r>
        <w:r>
          <w:rPr>
            <w:rFonts w:asciiTheme="minorHAnsi" w:eastAsiaTheme="minorEastAsia" w:hAnsiTheme="minorHAnsi" w:cstheme="minorBidi"/>
            <w:b w:val="0"/>
            <w:i w:val="0"/>
            <w:kern w:val="2"/>
            <w14:ligatures w14:val="standardContextual"/>
          </w:rPr>
          <w:tab/>
        </w:r>
        <w:r w:rsidRPr="00F457CE">
          <w:rPr>
            <w:rStyle w:val="Hyperlink"/>
            <w:iCs/>
          </w:rPr>
          <w:t>What is a human right?</w:t>
        </w:r>
        <w:r>
          <w:rPr>
            <w:webHidden/>
          </w:rPr>
          <w:tab/>
        </w:r>
        <w:r>
          <w:rPr>
            <w:webHidden/>
          </w:rPr>
          <w:fldChar w:fldCharType="begin"/>
        </w:r>
        <w:r>
          <w:rPr>
            <w:webHidden/>
          </w:rPr>
          <w:instrText xml:space="preserve"> PAGEREF _Toc195778537 \h </w:instrText>
        </w:r>
        <w:r>
          <w:rPr>
            <w:webHidden/>
          </w:rPr>
        </w:r>
        <w:r>
          <w:rPr>
            <w:webHidden/>
          </w:rPr>
          <w:fldChar w:fldCharType="separate"/>
        </w:r>
        <w:r w:rsidR="00F328CD">
          <w:rPr>
            <w:webHidden/>
          </w:rPr>
          <w:t>10</w:t>
        </w:r>
        <w:r>
          <w:rPr>
            <w:webHidden/>
          </w:rPr>
          <w:fldChar w:fldCharType="end"/>
        </w:r>
      </w:hyperlink>
    </w:p>
    <w:p w14:paraId="1A354784" w14:textId="39AFF202" w:rsidR="00047D4A" w:rsidRDefault="00047D4A">
      <w:pPr>
        <w:pStyle w:val="TOC1"/>
        <w:rPr>
          <w:rFonts w:asciiTheme="minorHAnsi" w:eastAsiaTheme="minorEastAsia" w:hAnsiTheme="minorHAnsi" w:cstheme="minorBidi"/>
          <w:b w:val="0"/>
          <w:kern w:val="2"/>
          <w14:ligatures w14:val="standardContextual"/>
        </w:rPr>
      </w:pPr>
      <w:hyperlink w:anchor="_Toc195778538" w:history="1">
        <w:r w:rsidRPr="00F457CE">
          <w:rPr>
            <w:rStyle w:val="Hyperlink"/>
          </w:rPr>
          <w:t>5</w:t>
        </w:r>
        <w:r>
          <w:rPr>
            <w:rFonts w:asciiTheme="minorHAnsi" w:eastAsiaTheme="minorEastAsia" w:hAnsiTheme="minorHAnsi" w:cstheme="minorBidi"/>
            <w:b w:val="0"/>
            <w:kern w:val="2"/>
            <w14:ligatures w14:val="standardContextual"/>
          </w:rPr>
          <w:tab/>
        </w:r>
        <w:r w:rsidRPr="00F457CE">
          <w:rPr>
            <w:rStyle w:val="Hyperlink"/>
          </w:rPr>
          <w:t>Arbitrary detention</w:t>
        </w:r>
        <w:r>
          <w:rPr>
            <w:webHidden/>
          </w:rPr>
          <w:tab/>
        </w:r>
        <w:r>
          <w:rPr>
            <w:webHidden/>
          </w:rPr>
          <w:fldChar w:fldCharType="begin"/>
        </w:r>
        <w:r>
          <w:rPr>
            <w:webHidden/>
          </w:rPr>
          <w:instrText xml:space="preserve"> PAGEREF _Toc195778538 \h </w:instrText>
        </w:r>
        <w:r>
          <w:rPr>
            <w:webHidden/>
          </w:rPr>
        </w:r>
        <w:r>
          <w:rPr>
            <w:webHidden/>
          </w:rPr>
          <w:fldChar w:fldCharType="separate"/>
        </w:r>
        <w:r w:rsidR="00F328CD">
          <w:rPr>
            <w:webHidden/>
          </w:rPr>
          <w:t>11</w:t>
        </w:r>
        <w:r>
          <w:rPr>
            <w:webHidden/>
          </w:rPr>
          <w:fldChar w:fldCharType="end"/>
        </w:r>
      </w:hyperlink>
    </w:p>
    <w:p w14:paraId="09054DC7" w14:textId="21C3D7B2" w:rsidR="00047D4A" w:rsidRDefault="00047D4A">
      <w:pPr>
        <w:pStyle w:val="TOC2"/>
        <w:rPr>
          <w:rFonts w:asciiTheme="minorHAnsi" w:eastAsiaTheme="minorEastAsia" w:hAnsiTheme="minorHAnsi" w:cstheme="minorBidi"/>
          <w:b w:val="0"/>
          <w:i w:val="0"/>
          <w:kern w:val="2"/>
          <w14:ligatures w14:val="standardContextual"/>
        </w:rPr>
      </w:pPr>
      <w:hyperlink w:anchor="_Toc195778539" w:history="1">
        <w:r w:rsidRPr="00F457CE">
          <w:rPr>
            <w:rStyle w:val="Hyperlink"/>
            <w:iCs/>
          </w:rPr>
          <w:t>5.1</w:t>
        </w:r>
        <w:r>
          <w:rPr>
            <w:rFonts w:asciiTheme="minorHAnsi" w:eastAsiaTheme="minorEastAsia" w:hAnsiTheme="minorHAnsi" w:cstheme="minorBidi"/>
            <w:b w:val="0"/>
            <w:i w:val="0"/>
            <w:kern w:val="2"/>
            <w14:ligatures w14:val="standardContextual"/>
          </w:rPr>
          <w:tab/>
        </w:r>
        <w:r w:rsidRPr="00F457CE">
          <w:rPr>
            <w:rStyle w:val="Hyperlink"/>
            <w:iCs/>
          </w:rPr>
          <w:t>Law on article 9 of the ICCPR</w:t>
        </w:r>
        <w:r>
          <w:rPr>
            <w:webHidden/>
          </w:rPr>
          <w:tab/>
        </w:r>
        <w:r>
          <w:rPr>
            <w:webHidden/>
          </w:rPr>
          <w:fldChar w:fldCharType="begin"/>
        </w:r>
        <w:r>
          <w:rPr>
            <w:webHidden/>
          </w:rPr>
          <w:instrText xml:space="preserve"> PAGEREF _Toc195778539 \h </w:instrText>
        </w:r>
        <w:r>
          <w:rPr>
            <w:webHidden/>
          </w:rPr>
        </w:r>
        <w:r>
          <w:rPr>
            <w:webHidden/>
          </w:rPr>
          <w:fldChar w:fldCharType="separate"/>
        </w:r>
        <w:r w:rsidR="00F328CD">
          <w:rPr>
            <w:webHidden/>
          </w:rPr>
          <w:t>11</w:t>
        </w:r>
        <w:r>
          <w:rPr>
            <w:webHidden/>
          </w:rPr>
          <w:fldChar w:fldCharType="end"/>
        </w:r>
      </w:hyperlink>
    </w:p>
    <w:p w14:paraId="2B856EF6" w14:textId="52D11DBB" w:rsidR="00047D4A" w:rsidRDefault="00047D4A">
      <w:pPr>
        <w:pStyle w:val="TOC2"/>
        <w:rPr>
          <w:rFonts w:asciiTheme="minorHAnsi" w:eastAsiaTheme="minorEastAsia" w:hAnsiTheme="minorHAnsi" w:cstheme="minorBidi"/>
          <w:b w:val="0"/>
          <w:i w:val="0"/>
          <w:kern w:val="2"/>
          <w14:ligatures w14:val="standardContextual"/>
        </w:rPr>
      </w:pPr>
      <w:hyperlink w:anchor="_Toc195778540" w:history="1">
        <w:r w:rsidRPr="00F457CE">
          <w:rPr>
            <w:rStyle w:val="Hyperlink"/>
            <w:iCs/>
            <w:lang w:val="en"/>
          </w:rPr>
          <w:t>5.2</w:t>
        </w:r>
        <w:r>
          <w:rPr>
            <w:rFonts w:asciiTheme="minorHAnsi" w:eastAsiaTheme="minorEastAsia" w:hAnsiTheme="minorHAnsi" w:cstheme="minorBidi"/>
            <w:b w:val="0"/>
            <w:i w:val="0"/>
            <w:kern w:val="2"/>
            <w14:ligatures w14:val="standardContextual"/>
          </w:rPr>
          <w:tab/>
        </w:r>
        <w:r w:rsidRPr="00F457CE">
          <w:rPr>
            <w:rStyle w:val="Hyperlink"/>
            <w:iCs/>
            <w:lang w:val="en"/>
          </w:rPr>
          <w:t>Act or practice of the Commonwealth</w:t>
        </w:r>
        <w:r>
          <w:rPr>
            <w:webHidden/>
          </w:rPr>
          <w:tab/>
        </w:r>
        <w:r>
          <w:rPr>
            <w:webHidden/>
          </w:rPr>
          <w:fldChar w:fldCharType="begin"/>
        </w:r>
        <w:r>
          <w:rPr>
            <w:webHidden/>
          </w:rPr>
          <w:instrText xml:space="preserve"> PAGEREF _Toc195778540 \h </w:instrText>
        </w:r>
        <w:r>
          <w:rPr>
            <w:webHidden/>
          </w:rPr>
        </w:r>
        <w:r>
          <w:rPr>
            <w:webHidden/>
          </w:rPr>
          <w:fldChar w:fldCharType="separate"/>
        </w:r>
        <w:r w:rsidR="00F328CD">
          <w:rPr>
            <w:webHidden/>
          </w:rPr>
          <w:t>12</w:t>
        </w:r>
        <w:r>
          <w:rPr>
            <w:webHidden/>
          </w:rPr>
          <w:fldChar w:fldCharType="end"/>
        </w:r>
      </w:hyperlink>
    </w:p>
    <w:p w14:paraId="38FE9887" w14:textId="17992FE1" w:rsidR="00047D4A" w:rsidRDefault="00047D4A">
      <w:pPr>
        <w:pStyle w:val="TOC1"/>
        <w:rPr>
          <w:rFonts w:asciiTheme="minorHAnsi" w:eastAsiaTheme="minorEastAsia" w:hAnsiTheme="minorHAnsi" w:cstheme="minorBidi"/>
          <w:b w:val="0"/>
          <w:kern w:val="2"/>
          <w14:ligatures w14:val="standardContextual"/>
        </w:rPr>
      </w:pPr>
      <w:hyperlink w:anchor="_Toc195778541" w:history="1">
        <w:r w:rsidRPr="00F457CE">
          <w:rPr>
            <w:rStyle w:val="Hyperlink"/>
          </w:rPr>
          <w:t>6</w:t>
        </w:r>
        <w:r>
          <w:rPr>
            <w:rFonts w:asciiTheme="minorHAnsi" w:eastAsiaTheme="minorEastAsia" w:hAnsiTheme="minorHAnsi" w:cstheme="minorBidi"/>
            <w:b w:val="0"/>
            <w:kern w:val="2"/>
            <w14:ligatures w14:val="standardContextual"/>
          </w:rPr>
          <w:tab/>
        </w:r>
        <w:r w:rsidRPr="00F457CE">
          <w:rPr>
            <w:rStyle w:val="Hyperlink"/>
          </w:rPr>
          <w:t>Assessment</w:t>
        </w:r>
        <w:r>
          <w:rPr>
            <w:webHidden/>
          </w:rPr>
          <w:tab/>
        </w:r>
        <w:r>
          <w:rPr>
            <w:webHidden/>
          </w:rPr>
          <w:fldChar w:fldCharType="begin"/>
        </w:r>
        <w:r>
          <w:rPr>
            <w:webHidden/>
          </w:rPr>
          <w:instrText xml:space="preserve"> PAGEREF _Toc195778541 \h </w:instrText>
        </w:r>
        <w:r>
          <w:rPr>
            <w:webHidden/>
          </w:rPr>
        </w:r>
        <w:r>
          <w:rPr>
            <w:webHidden/>
          </w:rPr>
          <w:fldChar w:fldCharType="separate"/>
        </w:r>
        <w:r w:rsidR="00F328CD">
          <w:rPr>
            <w:webHidden/>
          </w:rPr>
          <w:t>14</w:t>
        </w:r>
        <w:r>
          <w:rPr>
            <w:webHidden/>
          </w:rPr>
          <w:fldChar w:fldCharType="end"/>
        </w:r>
      </w:hyperlink>
    </w:p>
    <w:p w14:paraId="1A2E3F9F" w14:textId="0E769989" w:rsidR="00047D4A" w:rsidRDefault="00047D4A">
      <w:pPr>
        <w:pStyle w:val="TOC2"/>
        <w:rPr>
          <w:rFonts w:asciiTheme="minorHAnsi" w:eastAsiaTheme="minorEastAsia" w:hAnsiTheme="minorHAnsi" w:cstheme="minorBidi"/>
          <w:b w:val="0"/>
          <w:i w:val="0"/>
          <w:kern w:val="2"/>
          <w14:ligatures w14:val="standardContextual"/>
        </w:rPr>
      </w:pPr>
      <w:hyperlink w:anchor="_Toc195778542" w:history="1">
        <w:r w:rsidRPr="00F457CE">
          <w:rPr>
            <w:rStyle w:val="Hyperlink"/>
            <w:iCs/>
          </w:rPr>
          <w:t>6.1</w:t>
        </w:r>
        <w:r>
          <w:rPr>
            <w:rFonts w:asciiTheme="minorHAnsi" w:eastAsiaTheme="minorEastAsia" w:hAnsiTheme="minorHAnsi" w:cstheme="minorBidi"/>
            <w:b w:val="0"/>
            <w:i w:val="0"/>
            <w:kern w:val="2"/>
            <w14:ligatures w14:val="standardContextual"/>
          </w:rPr>
          <w:tab/>
        </w:r>
        <w:r w:rsidRPr="00F457CE">
          <w:rPr>
            <w:rStyle w:val="Hyperlink"/>
            <w:iCs/>
          </w:rPr>
          <w:t>Failure to refer</w:t>
        </w:r>
        <w:r>
          <w:rPr>
            <w:webHidden/>
          </w:rPr>
          <w:tab/>
        </w:r>
        <w:r>
          <w:rPr>
            <w:webHidden/>
          </w:rPr>
          <w:fldChar w:fldCharType="begin"/>
        </w:r>
        <w:r>
          <w:rPr>
            <w:webHidden/>
          </w:rPr>
          <w:instrText xml:space="preserve"> PAGEREF _Toc195778542 \h </w:instrText>
        </w:r>
        <w:r>
          <w:rPr>
            <w:webHidden/>
          </w:rPr>
        </w:r>
        <w:r>
          <w:rPr>
            <w:webHidden/>
          </w:rPr>
          <w:fldChar w:fldCharType="separate"/>
        </w:r>
        <w:r w:rsidR="00F328CD">
          <w:rPr>
            <w:webHidden/>
          </w:rPr>
          <w:t>14</w:t>
        </w:r>
        <w:r>
          <w:rPr>
            <w:webHidden/>
          </w:rPr>
          <w:fldChar w:fldCharType="end"/>
        </w:r>
      </w:hyperlink>
    </w:p>
    <w:p w14:paraId="7B4B82A9" w14:textId="77344497" w:rsidR="00047D4A" w:rsidRDefault="00047D4A">
      <w:pPr>
        <w:pStyle w:val="TOC2"/>
        <w:rPr>
          <w:rFonts w:asciiTheme="minorHAnsi" w:eastAsiaTheme="minorEastAsia" w:hAnsiTheme="minorHAnsi" w:cstheme="minorBidi"/>
          <w:b w:val="0"/>
          <w:i w:val="0"/>
          <w:kern w:val="2"/>
          <w14:ligatures w14:val="standardContextual"/>
        </w:rPr>
      </w:pPr>
      <w:hyperlink w:anchor="_Toc195778543" w:history="1">
        <w:r w:rsidRPr="00F457CE">
          <w:rPr>
            <w:rStyle w:val="Hyperlink"/>
            <w:rFonts w:eastAsia="Calibri"/>
            <w:iCs/>
          </w:rPr>
          <w:t>6.2</w:t>
        </w:r>
        <w:r>
          <w:rPr>
            <w:rFonts w:asciiTheme="minorHAnsi" w:eastAsiaTheme="minorEastAsia" w:hAnsiTheme="minorHAnsi" w:cstheme="minorBidi"/>
            <w:b w:val="0"/>
            <w:i w:val="0"/>
            <w:kern w:val="2"/>
            <w14:ligatures w14:val="standardContextual"/>
          </w:rPr>
          <w:tab/>
        </w:r>
        <w:r w:rsidRPr="00F457CE">
          <w:rPr>
            <w:rStyle w:val="Hyperlink"/>
            <w:rFonts w:eastAsia="Calibri"/>
            <w:iCs/>
          </w:rPr>
          <w:t>Indigeneity</w:t>
        </w:r>
        <w:r>
          <w:rPr>
            <w:webHidden/>
          </w:rPr>
          <w:tab/>
        </w:r>
        <w:r>
          <w:rPr>
            <w:webHidden/>
          </w:rPr>
          <w:fldChar w:fldCharType="begin"/>
        </w:r>
        <w:r>
          <w:rPr>
            <w:webHidden/>
          </w:rPr>
          <w:instrText xml:space="preserve"> PAGEREF _Toc195778543 \h </w:instrText>
        </w:r>
        <w:r>
          <w:rPr>
            <w:webHidden/>
          </w:rPr>
        </w:r>
        <w:r>
          <w:rPr>
            <w:webHidden/>
          </w:rPr>
          <w:fldChar w:fldCharType="separate"/>
        </w:r>
        <w:r w:rsidR="00F328CD">
          <w:rPr>
            <w:webHidden/>
          </w:rPr>
          <w:t>18</w:t>
        </w:r>
        <w:r>
          <w:rPr>
            <w:webHidden/>
          </w:rPr>
          <w:fldChar w:fldCharType="end"/>
        </w:r>
      </w:hyperlink>
    </w:p>
    <w:p w14:paraId="1AE08DAD" w14:textId="27A31A8C" w:rsidR="00047D4A" w:rsidRDefault="00047D4A">
      <w:pPr>
        <w:pStyle w:val="TOC2"/>
        <w:rPr>
          <w:rFonts w:asciiTheme="minorHAnsi" w:eastAsiaTheme="minorEastAsia" w:hAnsiTheme="minorHAnsi" w:cstheme="minorBidi"/>
          <w:b w:val="0"/>
          <w:i w:val="0"/>
          <w:kern w:val="2"/>
          <w14:ligatures w14:val="standardContextual"/>
        </w:rPr>
      </w:pPr>
      <w:hyperlink w:anchor="_Toc195778544" w:history="1">
        <w:r w:rsidRPr="00F457CE">
          <w:rPr>
            <w:rStyle w:val="Hyperlink"/>
            <w:rFonts w:eastAsia="Calibri"/>
            <w:iCs/>
          </w:rPr>
          <w:t>6.3</w:t>
        </w:r>
        <w:r>
          <w:rPr>
            <w:rFonts w:asciiTheme="minorHAnsi" w:eastAsiaTheme="minorEastAsia" w:hAnsiTheme="minorHAnsi" w:cstheme="minorBidi"/>
            <w:b w:val="0"/>
            <w:i w:val="0"/>
            <w:kern w:val="2"/>
            <w14:ligatures w14:val="standardContextual"/>
          </w:rPr>
          <w:tab/>
        </w:r>
        <w:r w:rsidRPr="00F457CE">
          <w:rPr>
            <w:rStyle w:val="Hyperlink"/>
            <w:rFonts w:eastAsia="Calibri"/>
            <w:iCs/>
          </w:rPr>
          <w:t>Statelessness</w:t>
        </w:r>
        <w:r>
          <w:rPr>
            <w:webHidden/>
          </w:rPr>
          <w:tab/>
        </w:r>
        <w:r>
          <w:rPr>
            <w:webHidden/>
          </w:rPr>
          <w:fldChar w:fldCharType="begin"/>
        </w:r>
        <w:r>
          <w:rPr>
            <w:webHidden/>
          </w:rPr>
          <w:instrText xml:space="preserve"> PAGEREF _Toc195778544 \h </w:instrText>
        </w:r>
        <w:r>
          <w:rPr>
            <w:webHidden/>
          </w:rPr>
        </w:r>
        <w:r>
          <w:rPr>
            <w:webHidden/>
          </w:rPr>
          <w:fldChar w:fldCharType="separate"/>
        </w:r>
        <w:r w:rsidR="00F328CD">
          <w:rPr>
            <w:webHidden/>
          </w:rPr>
          <w:t>22</w:t>
        </w:r>
        <w:r>
          <w:rPr>
            <w:webHidden/>
          </w:rPr>
          <w:fldChar w:fldCharType="end"/>
        </w:r>
      </w:hyperlink>
    </w:p>
    <w:p w14:paraId="33A7D820" w14:textId="695C4785" w:rsidR="00047D4A" w:rsidRDefault="00047D4A">
      <w:pPr>
        <w:pStyle w:val="TOC1"/>
        <w:rPr>
          <w:rFonts w:asciiTheme="minorHAnsi" w:eastAsiaTheme="minorEastAsia" w:hAnsiTheme="minorHAnsi" w:cstheme="minorBidi"/>
          <w:b w:val="0"/>
          <w:kern w:val="2"/>
          <w14:ligatures w14:val="standardContextual"/>
        </w:rPr>
      </w:pPr>
      <w:hyperlink w:anchor="_Toc195778545" w:history="1">
        <w:r w:rsidRPr="00F457CE">
          <w:rPr>
            <w:rStyle w:val="Hyperlink"/>
            <w:rFonts w:eastAsia="Calibri"/>
          </w:rPr>
          <w:t>7</w:t>
        </w:r>
        <w:r>
          <w:rPr>
            <w:rFonts w:asciiTheme="minorHAnsi" w:eastAsiaTheme="minorEastAsia" w:hAnsiTheme="minorHAnsi" w:cstheme="minorBidi"/>
            <w:b w:val="0"/>
            <w:kern w:val="2"/>
            <w14:ligatures w14:val="standardContextual"/>
          </w:rPr>
          <w:tab/>
        </w:r>
        <w:r w:rsidRPr="00F457CE">
          <w:rPr>
            <w:rStyle w:val="Hyperlink"/>
            <w:rFonts w:eastAsia="Calibri"/>
          </w:rPr>
          <w:t>Recommendations</w:t>
        </w:r>
        <w:r>
          <w:rPr>
            <w:webHidden/>
          </w:rPr>
          <w:tab/>
        </w:r>
        <w:r>
          <w:rPr>
            <w:webHidden/>
          </w:rPr>
          <w:fldChar w:fldCharType="begin"/>
        </w:r>
        <w:r>
          <w:rPr>
            <w:webHidden/>
          </w:rPr>
          <w:instrText xml:space="preserve"> PAGEREF _Toc195778545 \h </w:instrText>
        </w:r>
        <w:r>
          <w:rPr>
            <w:webHidden/>
          </w:rPr>
        </w:r>
        <w:r>
          <w:rPr>
            <w:webHidden/>
          </w:rPr>
          <w:fldChar w:fldCharType="separate"/>
        </w:r>
        <w:r w:rsidR="00F328CD">
          <w:rPr>
            <w:webHidden/>
          </w:rPr>
          <w:t>25</w:t>
        </w:r>
        <w:r>
          <w:rPr>
            <w:webHidden/>
          </w:rPr>
          <w:fldChar w:fldCharType="end"/>
        </w:r>
      </w:hyperlink>
    </w:p>
    <w:p w14:paraId="491B18E5" w14:textId="282B0474" w:rsidR="00047D4A" w:rsidRDefault="00047D4A">
      <w:pPr>
        <w:pStyle w:val="TOC2"/>
        <w:rPr>
          <w:rFonts w:asciiTheme="minorHAnsi" w:eastAsiaTheme="minorEastAsia" w:hAnsiTheme="minorHAnsi" w:cstheme="minorBidi"/>
          <w:b w:val="0"/>
          <w:i w:val="0"/>
          <w:kern w:val="2"/>
          <w14:ligatures w14:val="standardContextual"/>
        </w:rPr>
      </w:pPr>
      <w:hyperlink w:anchor="_Toc195778546" w:history="1">
        <w:r w:rsidRPr="00F457CE">
          <w:rPr>
            <w:rStyle w:val="Hyperlink"/>
          </w:rPr>
          <w:t>7.1</w:t>
        </w:r>
        <w:r>
          <w:rPr>
            <w:rFonts w:asciiTheme="minorHAnsi" w:eastAsiaTheme="minorEastAsia" w:hAnsiTheme="minorHAnsi" w:cstheme="minorBidi"/>
            <w:b w:val="0"/>
            <w:i w:val="0"/>
            <w:kern w:val="2"/>
            <w14:ligatures w14:val="standardContextual"/>
          </w:rPr>
          <w:tab/>
        </w:r>
        <w:r w:rsidRPr="00F457CE">
          <w:rPr>
            <w:rStyle w:val="Hyperlink"/>
          </w:rPr>
          <w:t>Statelessness</w:t>
        </w:r>
        <w:r>
          <w:rPr>
            <w:webHidden/>
          </w:rPr>
          <w:tab/>
        </w:r>
        <w:r>
          <w:rPr>
            <w:webHidden/>
          </w:rPr>
          <w:fldChar w:fldCharType="begin"/>
        </w:r>
        <w:r>
          <w:rPr>
            <w:webHidden/>
          </w:rPr>
          <w:instrText xml:space="preserve"> PAGEREF _Toc195778546 \h </w:instrText>
        </w:r>
        <w:r>
          <w:rPr>
            <w:webHidden/>
          </w:rPr>
        </w:r>
        <w:r>
          <w:rPr>
            <w:webHidden/>
          </w:rPr>
          <w:fldChar w:fldCharType="separate"/>
        </w:r>
        <w:r w:rsidR="00F328CD">
          <w:rPr>
            <w:webHidden/>
          </w:rPr>
          <w:t>25</w:t>
        </w:r>
        <w:r>
          <w:rPr>
            <w:webHidden/>
          </w:rPr>
          <w:fldChar w:fldCharType="end"/>
        </w:r>
      </w:hyperlink>
    </w:p>
    <w:p w14:paraId="2F96D7CB" w14:textId="3648C8C9" w:rsidR="00047D4A" w:rsidRDefault="00047D4A">
      <w:pPr>
        <w:pStyle w:val="TOC2"/>
        <w:rPr>
          <w:rFonts w:asciiTheme="minorHAnsi" w:eastAsiaTheme="minorEastAsia" w:hAnsiTheme="minorHAnsi" w:cstheme="minorBidi"/>
          <w:b w:val="0"/>
          <w:i w:val="0"/>
          <w:kern w:val="2"/>
          <w14:ligatures w14:val="standardContextual"/>
        </w:rPr>
      </w:pPr>
      <w:hyperlink w:anchor="_Toc195778547" w:history="1">
        <w:r w:rsidRPr="00F457CE">
          <w:rPr>
            <w:rStyle w:val="Hyperlink"/>
            <w:rFonts w:eastAsia="Calibri"/>
          </w:rPr>
          <w:t>7.2</w:t>
        </w:r>
        <w:r>
          <w:rPr>
            <w:rFonts w:asciiTheme="minorHAnsi" w:eastAsiaTheme="minorEastAsia" w:hAnsiTheme="minorHAnsi" w:cstheme="minorBidi"/>
            <w:b w:val="0"/>
            <w:i w:val="0"/>
            <w:kern w:val="2"/>
            <w14:ligatures w14:val="standardContextual"/>
          </w:rPr>
          <w:tab/>
        </w:r>
        <w:r w:rsidRPr="00F457CE">
          <w:rPr>
            <w:rStyle w:val="Hyperlink"/>
            <w:rFonts w:eastAsia="Calibri"/>
          </w:rPr>
          <w:t>Indigeneity</w:t>
        </w:r>
        <w:r>
          <w:rPr>
            <w:webHidden/>
          </w:rPr>
          <w:tab/>
        </w:r>
        <w:r>
          <w:rPr>
            <w:webHidden/>
          </w:rPr>
          <w:fldChar w:fldCharType="begin"/>
        </w:r>
        <w:r>
          <w:rPr>
            <w:webHidden/>
          </w:rPr>
          <w:instrText xml:space="preserve"> PAGEREF _Toc195778547 \h </w:instrText>
        </w:r>
        <w:r>
          <w:rPr>
            <w:webHidden/>
          </w:rPr>
        </w:r>
        <w:r>
          <w:rPr>
            <w:webHidden/>
          </w:rPr>
          <w:fldChar w:fldCharType="separate"/>
        </w:r>
        <w:r w:rsidR="00F328CD">
          <w:rPr>
            <w:webHidden/>
          </w:rPr>
          <w:t>26</w:t>
        </w:r>
        <w:r>
          <w:rPr>
            <w:webHidden/>
          </w:rPr>
          <w:fldChar w:fldCharType="end"/>
        </w:r>
      </w:hyperlink>
    </w:p>
    <w:p w14:paraId="48E14EFA" w14:textId="69817678" w:rsidR="00047D4A" w:rsidRDefault="00047D4A">
      <w:pPr>
        <w:pStyle w:val="TOC1"/>
        <w:rPr>
          <w:rStyle w:val="Hyperlink"/>
        </w:rPr>
      </w:pPr>
      <w:hyperlink w:anchor="_Toc195778548" w:history="1">
        <w:r w:rsidRPr="00F457CE">
          <w:rPr>
            <w:rStyle w:val="Hyperlink"/>
          </w:rPr>
          <w:t>8</w:t>
        </w:r>
        <w:r>
          <w:rPr>
            <w:rFonts w:asciiTheme="minorHAnsi" w:eastAsiaTheme="minorEastAsia" w:hAnsiTheme="minorHAnsi" w:cstheme="minorBidi"/>
            <w:b w:val="0"/>
            <w:kern w:val="2"/>
            <w14:ligatures w14:val="standardContextual"/>
          </w:rPr>
          <w:tab/>
        </w:r>
        <w:r w:rsidRPr="00F457CE">
          <w:rPr>
            <w:rStyle w:val="Hyperlink"/>
          </w:rPr>
          <w:t>The Department’s response to the Commission’s findings and recommendations</w:t>
        </w:r>
        <w:r>
          <w:rPr>
            <w:webHidden/>
          </w:rPr>
          <w:tab/>
        </w:r>
        <w:r>
          <w:rPr>
            <w:webHidden/>
          </w:rPr>
          <w:fldChar w:fldCharType="begin"/>
        </w:r>
        <w:r>
          <w:rPr>
            <w:webHidden/>
          </w:rPr>
          <w:instrText xml:space="preserve"> PAGEREF _Toc195778548 \h </w:instrText>
        </w:r>
        <w:r>
          <w:rPr>
            <w:webHidden/>
          </w:rPr>
        </w:r>
        <w:r>
          <w:rPr>
            <w:webHidden/>
          </w:rPr>
          <w:fldChar w:fldCharType="separate"/>
        </w:r>
        <w:r w:rsidR="00F328CD">
          <w:rPr>
            <w:webHidden/>
          </w:rPr>
          <w:t>26</w:t>
        </w:r>
        <w:r>
          <w:rPr>
            <w:webHidden/>
          </w:rPr>
          <w:fldChar w:fldCharType="end"/>
        </w:r>
      </w:hyperlink>
    </w:p>
    <w:p w14:paraId="442BD30E" w14:textId="77777777" w:rsidR="00047D4A" w:rsidRDefault="00047D4A" w:rsidP="00047D4A">
      <w:pPr>
        <w:rPr>
          <w:noProof/>
        </w:rPr>
      </w:pPr>
    </w:p>
    <w:p w14:paraId="782F6E72" w14:textId="77777777" w:rsidR="00047D4A" w:rsidRDefault="00047D4A" w:rsidP="00047D4A">
      <w:pPr>
        <w:rPr>
          <w:noProof/>
        </w:rPr>
      </w:pPr>
    </w:p>
    <w:p w14:paraId="5C8D01A2" w14:textId="77777777" w:rsidR="00047D4A" w:rsidRDefault="00047D4A" w:rsidP="00047D4A">
      <w:pPr>
        <w:rPr>
          <w:noProof/>
        </w:rPr>
      </w:pPr>
    </w:p>
    <w:p w14:paraId="00E1BDEE" w14:textId="77777777" w:rsidR="00047D4A" w:rsidRDefault="00047D4A" w:rsidP="00047D4A">
      <w:pPr>
        <w:rPr>
          <w:noProof/>
        </w:rPr>
      </w:pPr>
    </w:p>
    <w:p w14:paraId="05A1DF03" w14:textId="77777777" w:rsidR="00047D4A" w:rsidRPr="00047D4A" w:rsidRDefault="00047D4A" w:rsidP="00047D4A">
      <w:pPr>
        <w:rPr>
          <w:noProof/>
        </w:rPr>
      </w:pPr>
    </w:p>
    <w:p w14:paraId="1E7BD406" w14:textId="13FEFEFC" w:rsidR="00EA29CF" w:rsidRPr="00EA29CF" w:rsidRDefault="000B5B68" w:rsidP="00EA29CF">
      <w:pPr>
        <w:pStyle w:val="Heading1"/>
      </w:pPr>
      <w:r w:rsidRPr="000465F1">
        <w:lastRenderedPageBreak/>
        <w:fldChar w:fldCharType="end"/>
      </w:r>
      <w:bookmarkStart w:id="1" w:name="_Toc195778528"/>
      <w:bookmarkStart w:id="2" w:name="_Toc207761830"/>
      <w:bookmarkStart w:id="3" w:name="_Toc209578266"/>
      <w:bookmarkStart w:id="4" w:name="_Toc209941766"/>
      <w:r w:rsidR="00273E58">
        <w:t>Introduction</w:t>
      </w:r>
      <w:bookmarkEnd w:id="1"/>
      <w:r w:rsidR="00273E58">
        <w:t xml:space="preserve"> </w:t>
      </w:r>
    </w:p>
    <w:p w14:paraId="7C96DBEA" w14:textId="77777777" w:rsidR="0032451D" w:rsidRPr="00592D35" w:rsidRDefault="0032451D" w:rsidP="0032451D">
      <w:pPr>
        <w:pStyle w:val="SubmissionNormal"/>
        <w:tabs>
          <w:tab w:val="num" w:pos="720"/>
        </w:tabs>
      </w:pPr>
      <w:r w:rsidRPr="00592D35">
        <w:t xml:space="preserve">The Australian Human Rights Commission (Commission) </w:t>
      </w:r>
      <w:r>
        <w:t>has conducted</w:t>
      </w:r>
      <w:r w:rsidRPr="00592D35">
        <w:t xml:space="preserve"> an inquiry into a complaint by Mr Gus</w:t>
      </w:r>
      <w:r>
        <w:t xml:space="preserve"> Thomas</w:t>
      </w:r>
      <w:r w:rsidRPr="00592D35">
        <w:t xml:space="preserve"> Kuster against the Commonwealth of Australia, Department of Home Affairs (Department) alleging a breach of his human rights. The inquiry </w:t>
      </w:r>
      <w:r>
        <w:t>has been</w:t>
      </w:r>
      <w:r w:rsidRPr="00592D35">
        <w:t xml:space="preserve"> undertaken pursuant to section 11(1)(f) of the </w:t>
      </w:r>
      <w:r w:rsidRPr="00592D35">
        <w:rPr>
          <w:i/>
          <w:iCs/>
        </w:rPr>
        <w:t>Australian Human Rights Commission Act 1986</w:t>
      </w:r>
      <w:r w:rsidRPr="00592D35">
        <w:t xml:space="preserve"> (Cth) (AHRC Act).</w:t>
      </w:r>
    </w:p>
    <w:p w14:paraId="427FA335" w14:textId="77777777" w:rsidR="0032451D" w:rsidRPr="00592D35" w:rsidRDefault="0032451D" w:rsidP="0032451D">
      <w:pPr>
        <w:pStyle w:val="SubmissionNormal"/>
        <w:tabs>
          <w:tab w:val="num" w:pos="720"/>
        </w:tabs>
      </w:pPr>
      <w:r w:rsidRPr="00592D35">
        <w:t xml:space="preserve">Mr Kuster </w:t>
      </w:r>
      <w:r>
        <w:t>was</w:t>
      </w:r>
      <w:r w:rsidRPr="00592D35">
        <w:t xml:space="preserve"> in immigration detention for </w:t>
      </w:r>
      <w:r>
        <w:t>over 5 years</w:t>
      </w:r>
      <w:r w:rsidRPr="00592D35">
        <w:t xml:space="preserve">. This is a complaint of arbitrary detention contrary to article 9(1) of the </w:t>
      </w:r>
      <w:r w:rsidRPr="00592D35">
        <w:rPr>
          <w:i/>
          <w:iCs/>
        </w:rPr>
        <w:t>International Covenant on Civil and Political Rights</w:t>
      </w:r>
      <w:r w:rsidRPr="00592D35">
        <w:t xml:space="preserve"> (ICCPR).</w:t>
      </w:r>
      <w:r w:rsidRPr="00592D35">
        <w:rPr>
          <w:rStyle w:val="EndnoteReference"/>
          <w:rFonts w:eastAsia="MS Mincho" w:cs="Open Sans"/>
        </w:rPr>
        <w:endnoteReference w:id="2"/>
      </w:r>
      <w:r w:rsidRPr="00592D35">
        <w:t xml:space="preserve"> </w:t>
      </w:r>
    </w:p>
    <w:p w14:paraId="35A50431" w14:textId="77777777" w:rsidR="0032451D" w:rsidRPr="00592D35" w:rsidRDefault="0032451D" w:rsidP="0032451D">
      <w:pPr>
        <w:pStyle w:val="SubmissionNormal"/>
        <w:tabs>
          <w:tab w:val="num" w:pos="720"/>
        </w:tabs>
      </w:pPr>
      <w:r w:rsidRPr="00592D35">
        <w:t xml:space="preserve">The right to liberty and freedom from arbitrary detention is not </w:t>
      </w:r>
      <w:r>
        <w:t xml:space="preserve">directly </w:t>
      </w:r>
      <w:r w:rsidRPr="00592D35">
        <w:t>protected in the Australian Constitution or in legislation. As a result, there are limited avenues for an individual to challenge the lawfulness of their detention</w:t>
      </w:r>
      <w:r>
        <w:t xml:space="preserve">, outside seeking a writ of </w:t>
      </w:r>
      <w:r>
        <w:rPr>
          <w:i/>
          <w:iCs/>
        </w:rPr>
        <w:t>habeas corpus</w:t>
      </w:r>
      <w:r>
        <w:t>, for example in cases involving detention where removal from Australia is not practicable in the reasonably foreseeable future</w:t>
      </w:r>
      <w:r w:rsidRPr="00592D35">
        <w:t>.</w:t>
      </w:r>
      <w:r>
        <w:rPr>
          <w:rStyle w:val="EndnoteReference"/>
          <w:rFonts w:eastAsia="MS Mincho"/>
        </w:rPr>
        <w:endnoteReference w:id="3"/>
      </w:r>
    </w:p>
    <w:p w14:paraId="169EA0C6" w14:textId="092782BB" w:rsidR="0032451D" w:rsidRPr="00592D35" w:rsidRDefault="0032451D" w:rsidP="00540F5C">
      <w:pPr>
        <w:pStyle w:val="SubmissionNormal"/>
      </w:pPr>
      <w:r w:rsidRPr="00592D35">
        <w:t>The Commission’s ability to inquire into human rights complaints, including arbitrary detention, is narrow in scope, being limited to a discretionary ‘act’ or ‘practice’ of the Commonwealth that is alleged to breach a person’s human rights. Detention may be lawful under domestic law but still arbitrary and contrary to international human rights law.</w:t>
      </w:r>
    </w:p>
    <w:p w14:paraId="5E8A7EA8" w14:textId="22A4C012" w:rsidR="0032451D" w:rsidRDefault="0032451D" w:rsidP="00540F5C">
      <w:pPr>
        <w:pStyle w:val="SubmissionNormal"/>
      </w:pPr>
      <w:r w:rsidRPr="00592D35">
        <w:t>In order to avoid detention being arbitrary under international human rights law, detention must be justified as reasonable, necessary, and proportionate on the basis of the individual’s particular circumstances. There is an obligation on the Commonwealth to demonstrate that there was not a less invasive way than closed detention to achieve the ends of the immigration policy, for example the imposition of reporting obligations, sureties or other conditions, in order to avoid the conclusion that detention was ‘arbitrary’.</w:t>
      </w:r>
    </w:p>
    <w:p w14:paraId="0229CBC0" w14:textId="6901D3A7" w:rsidR="0032451D" w:rsidRPr="00592D35" w:rsidRDefault="0032451D" w:rsidP="00540F5C">
      <w:pPr>
        <w:pStyle w:val="SubmissionNormal"/>
      </w:pPr>
      <w:r>
        <w:t xml:space="preserve">This document comprises a </w:t>
      </w:r>
      <w:r w:rsidR="00CC33D0">
        <w:t xml:space="preserve">report </w:t>
      </w:r>
      <w:r>
        <w:t xml:space="preserve">of </w:t>
      </w:r>
      <w:r w:rsidR="00BA7E13">
        <w:t>the Commission’s findings</w:t>
      </w:r>
      <w:r>
        <w:t xml:space="preserve"> in relation to this inquiry and </w:t>
      </w:r>
      <w:r w:rsidR="008045BF">
        <w:t xml:space="preserve">its </w:t>
      </w:r>
      <w:r>
        <w:t>recommendations to the Commonwealth.</w:t>
      </w:r>
    </w:p>
    <w:p w14:paraId="187A3AA0" w14:textId="77777777" w:rsidR="0032451D" w:rsidRDefault="0032451D" w:rsidP="0032451D">
      <w:pPr>
        <w:pStyle w:val="Heading1"/>
      </w:pPr>
      <w:bookmarkStart w:id="5" w:name="_Toc165268431"/>
      <w:bookmarkStart w:id="6" w:name="_Toc195778529"/>
      <w:r>
        <w:t>Summary of findings and recommendations</w:t>
      </w:r>
      <w:bookmarkEnd w:id="5"/>
      <w:bookmarkEnd w:id="6"/>
    </w:p>
    <w:p w14:paraId="2427D69C" w14:textId="06218BC8" w:rsidR="0032451D" w:rsidRDefault="0032451D" w:rsidP="0032451D">
      <w:pPr>
        <w:pStyle w:val="SubmissionNormal"/>
        <w:tabs>
          <w:tab w:val="num" w:pos="720"/>
        </w:tabs>
      </w:pPr>
      <w:r>
        <w:t xml:space="preserve">As a result of this inquiry, </w:t>
      </w:r>
      <w:r w:rsidR="008852CF">
        <w:t>the previous President of the Commission, Emeritus Professor Rosalind Croucher</w:t>
      </w:r>
      <w:r w:rsidR="008852CF" w:rsidRPr="00A35087">
        <w:t xml:space="preserve"> </w:t>
      </w:r>
      <w:r w:rsidR="008852CF">
        <w:t>found</w:t>
      </w:r>
      <w:r w:rsidR="008852CF" w:rsidRPr="00A35087">
        <w:t xml:space="preserve"> that</w:t>
      </w:r>
      <w:r w:rsidR="0090179E">
        <w:t xml:space="preserve"> the Department’s failure to</w:t>
      </w:r>
      <w:r>
        <w:t>:</w:t>
      </w:r>
    </w:p>
    <w:p w14:paraId="3BA0EA53" w14:textId="34E057A8" w:rsidR="00E00289" w:rsidRDefault="00E00289" w:rsidP="00E00289">
      <w:pPr>
        <w:pStyle w:val="Style2"/>
      </w:pPr>
      <w:r>
        <w:lastRenderedPageBreak/>
        <w:t>refer the case to the Minister until September 2023 in order for the Minister to assess whether to exercise his discretionary powers under sections 195A or 197AB of the Migration Act 1958 (Cth); and</w:t>
      </w:r>
    </w:p>
    <w:p w14:paraId="27703A25" w14:textId="7823846B" w:rsidR="00E00289" w:rsidRDefault="00E00289" w:rsidP="00E00289">
      <w:pPr>
        <w:pStyle w:val="SubmissionNormal"/>
        <w:numPr>
          <w:ilvl w:val="1"/>
          <w:numId w:val="16"/>
        </w:numPr>
      </w:pPr>
      <w:r>
        <w:t>implement an assessment of whether Mr Kuster is or is not stateless according to international law</w:t>
      </w:r>
    </w:p>
    <w:p w14:paraId="6F87744A" w14:textId="77777777" w:rsidR="0032451D" w:rsidRDefault="0032451D" w:rsidP="0032451D">
      <w:pPr>
        <w:pStyle w:val="SubmissionNormal"/>
        <w:numPr>
          <w:ilvl w:val="0"/>
          <w:numId w:val="0"/>
        </w:numPr>
        <w:ind w:left="720"/>
      </w:pPr>
      <w:r w:rsidRPr="00972028">
        <w:rPr>
          <w:rFonts w:eastAsia="Calibri"/>
        </w:rPr>
        <w:t>contributed to his detention becoming arbitrary,</w:t>
      </w:r>
      <w:r>
        <w:t xml:space="preserve"> contrary to article 9(1) of the ICCPR.</w:t>
      </w:r>
    </w:p>
    <w:p w14:paraId="375C9599" w14:textId="77777777" w:rsidR="00442D64" w:rsidRDefault="00442D64" w:rsidP="00442D64">
      <w:pPr>
        <w:pStyle w:val="SubmissionNormal"/>
        <w:tabs>
          <w:tab w:val="num" w:pos="720"/>
        </w:tabs>
        <w:spacing w:line="259" w:lineRule="auto"/>
      </w:pPr>
      <w:r>
        <w:t>Based on those findings, Professor Croucher made the following recommendations:</w:t>
      </w:r>
    </w:p>
    <w:p w14:paraId="210DF136" w14:textId="77777777" w:rsidR="0032451D" w:rsidRPr="00CD0446" w:rsidRDefault="0032451D" w:rsidP="0032451D">
      <w:pPr>
        <w:pStyle w:val="SubmissionNormal"/>
        <w:numPr>
          <w:ilvl w:val="0"/>
          <w:numId w:val="0"/>
        </w:numPr>
        <w:ind w:left="720"/>
        <w:rPr>
          <w:rFonts w:ascii="Segoe UI" w:hAnsi="Segoe UI" w:cs="Segoe UI"/>
          <w:b/>
          <w:bCs/>
          <w:sz w:val="18"/>
          <w:szCs w:val="18"/>
        </w:rPr>
      </w:pPr>
      <w:r w:rsidRPr="00CD0446">
        <w:rPr>
          <w:b/>
          <w:bCs/>
        </w:rPr>
        <w:t>Recommendation 1 </w:t>
      </w:r>
    </w:p>
    <w:p w14:paraId="2EEB69DA" w14:textId="77777777" w:rsidR="0032451D" w:rsidRPr="00052164" w:rsidRDefault="0032451D" w:rsidP="0032451D">
      <w:pPr>
        <w:pStyle w:val="SubmissionNormal"/>
        <w:numPr>
          <w:ilvl w:val="0"/>
          <w:numId w:val="0"/>
        </w:numPr>
        <w:ind w:left="720"/>
        <w:rPr>
          <w:rFonts w:ascii="Segoe UI" w:hAnsi="Segoe UI" w:cs="Segoe UI"/>
          <w:sz w:val="18"/>
          <w:szCs w:val="18"/>
        </w:rPr>
      </w:pPr>
      <w:r w:rsidRPr="00052164">
        <w:t>The Commission recommends that the Australian Government should introduce a formal statelessness status determination procedure. The Commission recommends that, in formulating such a procedure, the Department should take the following steps: </w:t>
      </w:r>
    </w:p>
    <w:p w14:paraId="1848A3BE" w14:textId="6B46C590" w:rsidR="0032451D" w:rsidRPr="00E9532C" w:rsidRDefault="0032451D" w:rsidP="008D04B1">
      <w:pPr>
        <w:pStyle w:val="Style2"/>
      </w:pPr>
      <w:r w:rsidRPr="00E9532C">
        <w:t>draft a proposed policy and procedure</w:t>
      </w:r>
      <w:r w:rsidR="008D04B1">
        <w:t>;</w:t>
      </w:r>
    </w:p>
    <w:p w14:paraId="35BE77CE" w14:textId="15161267" w:rsidR="0032451D" w:rsidRPr="00E9532C" w:rsidRDefault="0032451D" w:rsidP="008D04B1">
      <w:pPr>
        <w:pStyle w:val="Style2"/>
      </w:pPr>
      <w:r w:rsidRPr="00E9532C">
        <w:t>consult on the draft with civil society</w:t>
      </w:r>
      <w:r w:rsidR="008D04B1">
        <w:t>;</w:t>
      </w:r>
    </w:p>
    <w:p w14:paraId="6706F41F" w14:textId="0D03CC1B" w:rsidR="0032451D" w:rsidRPr="00E9532C" w:rsidRDefault="0032451D" w:rsidP="008D04B1">
      <w:pPr>
        <w:pStyle w:val="Style2"/>
      </w:pPr>
      <w:r w:rsidRPr="00E9532C">
        <w:t>ensure that the policy and procedure are available on LEGEND</w:t>
      </w:r>
      <w:r w:rsidR="00E24D56">
        <w:t>.</w:t>
      </w:r>
      <w:r w:rsidRPr="00E9532C">
        <w:t>com.</w:t>
      </w:r>
    </w:p>
    <w:p w14:paraId="10D044BF" w14:textId="77777777" w:rsidR="0032451D" w:rsidRPr="00E9532C" w:rsidRDefault="0032451D" w:rsidP="0032451D">
      <w:pPr>
        <w:pStyle w:val="SubmissionNormal"/>
        <w:numPr>
          <w:ilvl w:val="0"/>
          <w:numId w:val="0"/>
        </w:numPr>
        <w:ind w:left="720"/>
        <w:rPr>
          <w:rFonts w:ascii="Segoe UI" w:hAnsi="Segoe UI" w:cs="Segoe UI"/>
          <w:b/>
          <w:bCs/>
          <w:sz w:val="18"/>
          <w:szCs w:val="18"/>
        </w:rPr>
      </w:pPr>
      <w:r w:rsidRPr="00E9532C">
        <w:rPr>
          <w:b/>
          <w:bCs/>
        </w:rPr>
        <w:t>Recommendation 2 </w:t>
      </w:r>
    </w:p>
    <w:p w14:paraId="20EA140D" w14:textId="77777777" w:rsidR="0032451D" w:rsidRPr="00E9532C" w:rsidRDefault="0032451D" w:rsidP="0032451D">
      <w:pPr>
        <w:pStyle w:val="SubmissionNormal"/>
        <w:numPr>
          <w:ilvl w:val="0"/>
          <w:numId w:val="0"/>
        </w:numPr>
        <w:ind w:left="720"/>
        <w:rPr>
          <w:rFonts w:ascii="Segoe UI" w:hAnsi="Segoe UI" w:cs="Segoe UI"/>
          <w:sz w:val="18"/>
          <w:szCs w:val="18"/>
        </w:rPr>
      </w:pPr>
      <w:r w:rsidRPr="00E9532C">
        <w:t>The Commission recommends that a clear visa pathway to permanent residency should be established for stateless persons who are found not to be refugees or otherwise owed protection.</w:t>
      </w:r>
    </w:p>
    <w:p w14:paraId="4F100732" w14:textId="77777777" w:rsidR="0032451D" w:rsidRPr="00E9532C" w:rsidRDefault="0032451D" w:rsidP="0032451D">
      <w:pPr>
        <w:pStyle w:val="SubmissionNormal"/>
        <w:numPr>
          <w:ilvl w:val="0"/>
          <w:numId w:val="0"/>
        </w:numPr>
        <w:ind w:left="720"/>
        <w:rPr>
          <w:rFonts w:ascii="Segoe UI" w:hAnsi="Segoe UI" w:cs="Segoe UI"/>
          <w:b/>
          <w:bCs/>
          <w:sz w:val="18"/>
          <w:szCs w:val="18"/>
        </w:rPr>
      </w:pPr>
      <w:r w:rsidRPr="00E9532C">
        <w:rPr>
          <w:b/>
          <w:bCs/>
        </w:rPr>
        <w:t>Recommendation 3</w:t>
      </w:r>
    </w:p>
    <w:p w14:paraId="34F0E627" w14:textId="77777777" w:rsidR="0032451D" w:rsidRPr="00E9532C" w:rsidRDefault="0032451D" w:rsidP="0032451D">
      <w:pPr>
        <w:pStyle w:val="SubmissionNormal"/>
        <w:numPr>
          <w:ilvl w:val="0"/>
          <w:numId w:val="0"/>
        </w:numPr>
        <w:ind w:left="720"/>
        <w:rPr>
          <w:rFonts w:ascii="Segoe UI" w:hAnsi="Segoe UI" w:cs="Segoe UI"/>
          <w:sz w:val="18"/>
          <w:szCs w:val="18"/>
        </w:rPr>
      </w:pPr>
      <w:r w:rsidRPr="00E9532C">
        <w:t>The Commission recommends that statelessness should be included as a specific consideration in the guidelines for Ministerial Intervention under ss 351, 417, 501J and 195A of the Migration Act.</w:t>
      </w:r>
    </w:p>
    <w:p w14:paraId="5E074968" w14:textId="1D37FF34" w:rsidR="4CCD1416" w:rsidRPr="00DC2C64" w:rsidRDefault="0032451D" w:rsidP="00DC2C64">
      <w:pPr>
        <w:pStyle w:val="SubmissionNormal"/>
        <w:numPr>
          <w:ilvl w:val="0"/>
          <w:numId w:val="0"/>
        </w:numPr>
        <w:ind w:left="720"/>
        <w:rPr>
          <w:rFonts w:ascii="Times New Roman" w:hAnsi="Times New Roman"/>
          <w:b/>
          <w:bCs/>
        </w:rPr>
      </w:pPr>
      <w:r w:rsidRPr="4CCD1416">
        <w:rPr>
          <w:b/>
          <w:bCs/>
        </w:rPr>
        <w:t>Recommendation 4</w:t>
      </w:r>
    </w:p>
    <w:p w14:paraId="4DC8DB6F" w14:textId="221B72F1" w:rsidR="00C628CD" w:rsidRDefault="0032451D" w:rsidP="7B4471C5">
      <w:pPr>
        <w:pStyle w:val="SubmissionNormal"/>
        <w:numPr>
          <w:ilvl w:val="0"/>
          <w:numId w:val="0"/>
        </w:numPr>
        <w:ind w:left="720"/>
        <w:rPr>
          <w:rFonts w:ascii="Segoe UI" w:hAnsi="Segoe UI" w:cs="Segoe UI"/>
          <w:sz w:val="18"/>
          <w:szCs w:val="18"/>
        </w:rPr>
      </w:pPr>
      <w:r>
        <w:t>The Commission recommends that any unlawful non-citizen who is or claims to be stateless should be automatically referred to the Minister for consideration of their intervention powers.</w:t>
      </w:r>
    </w:p>
    <w:p w14:paraId="41CAD227" w14:textId="77777777" w:rsidR="00E80324" w:rsidRDefault="00E80324" w:rsidP="0032451D">
      <w:pPr>
        <w:pStyle w:val="SubmissionNormal"/>
        <w:numPr>
          <w:ilvl w:val="0"/>
          <w:numId w:val="0"/>
        </w:numPr>
        <w:ind w:left="720"/>
        <w:rPr>
          <w:rFonts w:eastAsia="Calibri"/>
          <w:b/>
          <w:bCs/>
        </w:rPr>
      </w:pPr>
    </w:p>
    <w:p w14:paraId="40929B23" w14:textId="6A57B515" w:rsidR="0032451D" w:rsidRPr="0088221E" w:rsidRDefault="0032451D" w:rsidP="0032451D">
      <w:pPr>
        <w:pStyle w:val="SubmissionNormal"/>
        <w:numPr>
          <w:ilvl w:val="0"/>
          <w:numId w:val="0"/>
        </w:numPr>
        <w:ind w:left="720"/>
        <w:rPr>
          <w:rFonts w:eastAsia="Calibri"/>
          <w:b/>
          <w:bCs/>
        </w:rPr>
      </w:pPr>
      <w:r w:rsidRPr="0088221E">
        <w:rPr>
          <w:rFonts w:eastAsia="Calibri"/>
          <w:b/>
          <w:bCs/>
        </w:rPr>
        <w:lastRenderedPageBreak/>
        <w:t>Recommendation 5</w:t>
      </w:r>
    </w:p>
    <w:p w14:paraId="53565F03" w14:textId="77777777" w:rsidR="0032451D" w:rsidRPr="001F0E81" w:rsidRDefault="0032451D" w:rsidP="0032451D">
      <w:pPr>
        <w:pStyle w:val="SubmissionNormal"/>
        <w:numPr>
          <w:ilvl w:val="0"/>
          <w:numId w:val="0"/>
        </w:numPr>
        <w:ind w:left="720"/>
        <w:rPr>
          <w:rFonts w:eastAsia="Calibri"/>
        </w:rPr>
      </w:pPr>
      <w:r>
        <w:rPr>
          <w:rFonts w:eastAsia="Calibri"/>
        </w:rPr>
        <w:t>The Commission recommends that any person in detention who claims to be Indigenous be considered for an alternative to held detention while their claims are assessed, including for referral to the Minister for possible intervention where necessary.</w:t>
      </w:r>
    </w:p>
    <w:p w14:paraId="3387D301" w14:textId="77777777" w:rsidR="0032451D" w:rsidRPr="00592D35" w:rsidRDefault="0032451D" w:rsidP="0032451D">
      <w:pPr>
        <w:pStyle w:val="Heading1"/>
      </w:pPr>
      <w:bookmarkStart w:id="7" w:name="_Toc165268432"/>
      <w:bookmarkStart w:id="8" w:name="_Toc195778530"/>
      <w:r w:rsidRPr="00592D35">
        <w:t>Background</w:t>
      </w:r>
      <w:bookmarkEnd w:id="7"/>
      <w:bookmarkEnd w:id="8"/>
    </w:p>
    <w:p w14:paraId="7CB689D4" w14:textId="77777777" w:rsidR="0032451D" w:rsidRPr="00592D35" w:rsidRDefault="0032451D" w:rsidP="0032451D">
      <w:pPr>
        <w:pStyle w:val="SubmissionNormal"/>
        <w:tabs>
          <w:tab w:val="num" w:pos="720"/>
        </w:tabs>
      </w:pPr>
      <w:r w:rsidRPr="00592D35">
        <w:t>Mr Kuster was born in Papua New Guinea (PNG).</w:t>
      </w:r>
    </w:p>
    <w:p w14:paraId="01D27A43" w14:textId="77777777" w:rsidR="0032451D" w:rsidRPr="00592D35" w:rsidRDefault="0032451D" w:rsidP="0032451D">
      <w:pPr>
        <w:pStyle w:val="SubmissionNormal"/>
        <w:tabs>
          <w:tab w:val="num" w:pos="720"/>
        </w:tabs>
      </w:pPr>
      <w:r w:rsidRPr="00592D35">
        <w:t>According to Mr Kuster, his maternal grandmother was born in the Torres Strait Islands and moved to PNG for marriage. His father’s family is European-Australian.</w:t>
      </w:r>
    </w:p>
    <w:p w14:paraId="02A913B7" w14:textId="77777777" w:rsidR="0032451D" w:rsidRPr="00592D35" w:rsidRDefault="0032451D" w:rsidP="0032451D">
      <w:pPr>
        <w:pStyle w:val="SubmissionNormal"/>
        <w:tabs>
          <w:tab w:val="num" w:pos="720"/>
        </w:tabs>
      </w:pPr>
      <w:r w:rsidRPr="00592D35">
        <w:t>He arrived in Australia in 1983 at the age of 4 years on a permanent entry permit.</w:t>
      </w:r>
    </w:p>
    <w:p w14:paraId="2B660FE0" w14:textId="77777777" w:rsidR="0032451D" w:rsidRPr="00592D35" w:rsidRDefault="0032451D" w:rsidP="0032451D">
      <w:pPr>
        <w:pStyle w:val="SubmissionNormal"/>
        <w:tabs>
          <w:tab w:val="num" w:pos="720"/>
        </w:tabs>
      </w:pPr>
      <w:r w:rsidRPr="00592D35">
        <w:t>In September 1994, Mr Kuster</w:t>
      </w:r>
      <w:bookmarkStart w:id="9" w:name="_Hlk99822546"/>
      <w:r w:rsidRPr="00592D35">
        <w:t xml:space="preserve">’s permit was converted to a Transitional Permanent visa through the </w:t>
      </w:r>
      <w:r w:rsidRPr="00592D35">
        <w:rPr>
          <w:iCs/>
        </w:rPr>
        <w:t>Migration Reform (Transitional Provisions) Regulations</w:t>
      </w:r>
      <w:r w:rsidRPr="00592D35">
        <w:rPr>
          <w:i/>
        </w:rPr>
        <w:t xml:space="preserve"> </w:t>
      </w:r>
      <w:r w:rsidRPr="00592D35">
        <w:t xml:space="preserve">(Cth).  </w:t>
      </w:r>
      <w:bookmarkEnd w:id="9"/>
    </w:p>
    <w:p w14:paraId="057BDE4A" w14:textId="77777777" w:rsidR="0032451D" w:rsidRPr="00592D35" w:rsidRDefault="0032451D" w:rsidP="0032451D">
      <w:pPr>
        <w:pStyle w:val="SubmissionNormal"/>
        <w:tabs>
          <w:tab w:val="num" w:pos="720"/>
        </w:tabs>
        <w:rPr>
          <w:b/>
        </w:rPr>
      </w:pPr>
      <w:r w:rsidRPr="00253203">
        <w:t>Mr Kuster is in a relationship with an Australian citizen and has an Australian citizen son from another</w:t>
      </w:r>
      <w:r w:rsidRPr="00592D35">
        <w:t xml:space="preserve"> relationship. With the exception of his mother and one sister, all members of Mr Kuster’s immediate family are Australian citizens.</w:t>
      </w:r>
    </w:p>
    <w:p w14:paraId="7C0B6784" w14:textId="77777777" w:rsidR="0032451D" w:rsidRPr="00286411" w:rsidRDefault="0032451D" w:rsidP="0032451D">
      <w:pPr>
        <w:pStyle w:val="Heading2"/>
        <w:rPr>
          <w:i/>
          <w:iCs/>
        </w:rPr>
      </w:pPr>
      <w:bookmarkStart w:id="10" w:name="_Toc165268433"/>
      <w:bookmarkStart w:id="11" w:name="_Toc195778531"/>
      <w:r w:rsidRPr="00286411">
        <w:rPr>
          <w:iCs/>
        </w:rPr>
        <w:t>Visa cancellation</w:t>
      </w:r>
      <w:bookmarkEnd w:id="10"/>
      <w:bookmarkEnd w:id="11"/>
    </w:p>
    <w:p w14:paraId="5C8F1A5A" w14:textId="7FD274C1" w:rsidR="0032451D" w:rsidRPr="00592D35" w:rsidRDefault="0032451D" w:rsidP="0032451D">
      <w:pPr>
        <w:pStyle w:val="SubmissionNormal"/>
        <w:tabs>
          <w:tab w:val="num" w:pos="720"/>
        </w:tabs>
      </w:pPr>
      <w:r>
        <w:t xml:space="preserve">Mr Kuster received a number of criminal convictions and </w:t>
      </w:r>
      <w:r w:rsidR="530A15CE">
        <w:t>was</w:t>
      </w:r>
      <w:r>
        <w:t xml:space="preserve"> sentenced to terms of imprisonment ranging from 7 days to 2 years.</w:t>
      </w:r>
    </w:p>
    <w:p w14:paraId="78F2E202" w14:textId="77777777" w:rsidR="0032451D" w:rsidRPr="00592D35" w:rsidRDefault="0032451D" w:rsidP="0032451D">
      <w:pPr>
        <w:pStyle w:val="SubmissionNormal"/>
        <w:tabs>
          <w:tab w:val="num" w:pos="720"/>
        </w:tabs>
      </w:pPr>
      <w:r w:rsidRPr="00592D35">
        <w:t xml:space="preserve">Due to Mr Kuster’s criminal history, his visa was cancelled on 21 December 2017 under s 501(3A) of the </w:t>
      </w:r>
      <w:r w:rsidRPr="0021311F">
        <w:t>Migration Act</w:t>
      </w:r>
      <w:r w:rsidRPr="00922C0C">
        <w:rPr>
          <w:i/>
          <w:iCs/>
        </w:rPr>
        <w:t xml:space="preserve"> </w:t>
      </w:r>
      <w:r w:rsidRPr="00592D35">
        <w:t>on the basis that he had a substantial criminal record (sentenced to 12 or more months’ imprisonment) and because he was at the time serving a sentence of imprisonment.</w:t>
      </w:r>
      <w:r w:rsidRPr="00592D35">
        <w:rPr>
          <w:rStyle w:val="EndnoteReference"/>
          <w:rFonts w:eastAsia="MS Mincho" w:cs="Open Sans"/>
        </w:rPr>
        <w:endnoteReference w:id="4"/>
      </w:r>
      <w:r w:rsidRPr="00592D35">
        <w:t xml:space="preserve"> As a result, Mr Kuster became an unlawful non-citizen within the meaning of the Migration Act and subject to immigration detention and removal from Australia.</w:t>
      </w:r>
      <w:r w:rsidRPr="00592D35">
        <w:rPr>
          <w:rStyle w:val="EndnoteReference"/>
          <w:rFonts w:eastAsia="MS Mincho" w:cs="Open Sans"/>
        </w:rPr>
        <w:endnoteReference w:id="5"/>
      </w:r>
      <w:r w:rsidRPr="00592D35">
        <w:t xml:space="preserve"> He had resided in Australia for over 34 years at the time his visa was cancelled.</w:t>
      </w:r>
    </w:p>
    <w:p w14:paraId="18D55579" w14:textId="77777777" w:rsidR="0032451D" w:rsidRPr="00592D35" w:rsidRDefault="0032451D" w:rsidP="0032451D">
      <w:pPr>
        <w:pStyle w:val="SubmissionNormal"/>
        <w:tabs>
          <w:tab w:val="num" w:pos="720"/>
        </w:tabs>
      </w:pPr>
      <w:r w:rsidRPr="00592D35">
        <w:t>On 29 January 2018, the Department received from Mr Kuster a request to revoke the cancellation of his visa. It was assessed as invalid at the time.</w:t>
      </w:r>
    </w:p>
    <w:p w14:paraId="4B3CC86A" w14:textId="17325C85" w:rsidR="0032451D" w:rsidRPr="00592D35" w:rsidRDefault="0032451D" w:rsidP="0032451D">
      <w:pPr>
        <w:pStyle w:val="SubmissionNormal"/>
        <w:tabs>
          <w:tab w:val="num" w:pos="720"/>
        </w:tabs>
      </w:pPr>
      <w:r w:rsidRPr="00592D35">
        <w:t>Mr Kuster sought review of this decision at the Administrative Appeals Tribunal</w:t>
      </w:r>
      <w:r w:rsidR="008B4373">
        <w:t xml:space="preserve"> (now the Administrative Review Tribunal)</w:t>
      </w:r>
      <w:r>
        <w:t>,</w:t>
      </w:r>
      <w:r w:rsidRPr="00592D35">
        <w:t xml:space="preserve"> which found on 13 April </w:t>
      </w:r>
      <w:r w:rsidRPr="00592D35">
        <w:lastRenderedPageBreak/>
        <w:t>2018 that it had no jurisdiction to review the decision as he had not sought review within the relevant timeframe.</w:t>
      </w:r>
    </w:p>
    <w:p w14:paraId="75E172F4" w14:textId="77777777" w:rsidR="0032451D" w:rsidRPr="00592D35" w:rsidRDefault="0032451D" w:rsidP="0032451D">
      <w:pPr>
        <w:pStyle w:val="SubmissionNormal"/>
        <w:tabs>
          <w:tab w:val="num" w:pos="720"/>
        </w:tabs>
      </w:pPr>
      <w:r w:rsidRPr="00592D35">
        <w:t>On 23 July 2018, Mr Kuster was detained under s 189(1) of the Migration Act and was transferred to immigration detention.</w:t>
      </w:r>
    </w:p>
    <w:p w14:paraId="650402C9" w14:textId="77777777" w:rsidR="0032451D" w:rsidRPr="00592D35" w:rsidRDefault="0032451D" w:rsidP="0032451D">
      <w:pPr>
        <w:pStyle w:val="SubmissionNormal"/>
        <w:tabs>
          <w:tab w:val="num" w:pos="720"/>
        </w:tabs>
      </w:pPr>
      <w:r w:rsidRPr="00592D35">
        <w:t>The Department advised that it conducted an Australian Citizenship Assessment in August 2018, which found that Mr Kuster was not an Australian citizen.</w:t>
      </w:r>
    </w:p>
    <w:p w14:paraId="65EBB481" w14:textId="77777777" w:rsidR="0032451D" w:rsidRPr="00592D35" w:rsidRDefault="0032451D" w:rsidP="0032451D">
      <w:pPr>
        <w:pStyle w:val="SubmissionNormal"/>
        <w:tabs>
          <w:tab w:val="num" w:pos="720"/>
        </w:tabs>
      </w:pPr>
      <w:r w:rsidRPr="00592D35">
        <w:t>In April 2019, Mr Kuster’s request to revoke the original visa cancellation decision was accepted as valid. The Department confirmed that Mr Kuster was not liable to be removed from Australia while he had an outstanding application for revocation.</w:t>
      </w:r>
    </w:p>
    <w:p w14:paraId="1E78B0C0" w14:textId="77777777" w:rsidR="0032451D" w:rsidRPr="00592D35" w:rsidRDefault="0032451D" w:rsidP="0032451D">
      <w:pPr>
        <w:pStyle w:val="SubmissionNormal"/>
        <w:tabs>
          <w:tab w:val="num" w:pos="720"/>
        </w:tabs>
      </w:pPr>
      <w:r w:rsidRPr="00592D35">
        <w:t>On 20 June 2019, Mr Kuster made a request for voluntary removal from Australia while awaiting the outcome of his visa cancellation revocation request. On 29 July 2019, the PNG High Commission issued him a travel document.</w:t>
      </w:r>
    </w:p>
    <w:p w14:paraId="17218135" w14:textId="77777777" w:rsidR="0032451D" w:rsidRPr="00592D35" w:rsidRDefault="0032451D" w:rsidP="0032451D">
      <w:pPr>
        <w:pStyle w:val="SubmissionNormal"/>
        <w:tabs>
          <w:tab w:val="num" w:pos="720"/>
        </w:tabs>
      </w:pPr>
      <w:r w:rsidRPr="00592D35">
        <w:t>On 21 August 2019, Mr Kuster was removed from Australia. Upon arrival in PNG, Mr Kuster was not recognised as a PNG citizen, was denied entry to PNG and was returned to immigration detention</w:t>
      </w:r>
      <w:r>
        <w:t>.</w:t>
      </w:r>
    </w:p>
    <w:p w14:paraId="7B667E5B" w14:textId="77777777" w:rsidR="0032451D" w:rsidRPr="00592D35" w:rsidRDefault="0032451D" w:rsidP="0032451D">
      <w:pPr>
        <w:pStyle w:val="SubmissionNormal"/>
        <w:tabs>
          <w:tab w:val="num" w:pos="720"/>
        </w:tabs>
      </w:pPr>
      <w:r w:rsidRPr="00592D35">
        <w:t>On 27 August 2019, Mr Kuster withdrew his application for voluntary removal from Australia.</w:t>
      </w:r>
    </w:p>
    <w:p w14:paraId="260A5A6D" w14:textId="77777777" w:rsidR="0032451D" w:rsidRPr="00592D35" w:rsidRDefault="0032451D" w:rsidP="0032451D">
      <w:pPr>
        <w:pStyle w:val="SubmissionNormal"/>
        <w:tabs>
          <w:tab w:val="num" w:pos="720"/>
        </w:tabs>
      </w:pPr>
      <w:r w:rsidRPr="00592D35">
        <w:t>Mr Kuster has claimed he will face harm if returned to PNG. As a person of mixed race, he states he will be subjected to discrimination, economic disadvantage and a risk of danger to his life. He has not made an application for a protection visa with respect to these claims.</w:t>
      </w:r>
    </w:p>
    <w:p w14:paraId="763BDAB1" w14:textId="77777777" w:rsidR="0032451D" w:rsidRPr="00592D35" w:rsidRDefault="0032451D" w:rsidP="0032451D">
      <w:pPr>
        <w:pStyle w:val="SubmissionNormal"/>
        <w:tabs>
          <w:tab w:val="num" w:pos="720"/>
        </w:tabs>
      </w:pPr>
      <w:r w:rsidRPr="00592D35">
        <w:t>On 16 November 2020, the PNG Immigration &amp; Citizenship Authority confirmed its view that Mr Kuster was not a PNG citizen. In February 2021, the Department advised the Commission that the Department was ‘currently considering the implications of this’.</w:t>
      </w:r>
    </w:p>
    <w:p w14:paraId="7141A2FF" w14:textId="77777777" w:rsidR="0032451D" w:rsidRPr="00592D35" w:rsidRDefault="0032451D" w:rsidP="0032451D">
      <w:pPr>
        <w:pStyle w:val="SubmissionNormal"/>
        <w:tabs>
          <w:tab w:val="num" w:pos="720"/>
        </w:tabs>
      </w:pPr>
      <w:r w:rsidRPr="00592D35">
        <w:t>On 14 April 2021, the Department wrote to Mr Kuster notifying him of the Minister’s decision not to revoke the visa cancellation and confirming his visa remained cancelled. No merits review was available, but Mr Kuster sought judicial review of the decision in the Federal Court. His application was dismissed on 23 November 2021.</w:t>
      </w:r>
      <w:r w:rsidRPr="00592D35">
        <w:rPr>
          <w:rStyle w:val="EndnoteReference"/>
          <w:rFonts w:eastAsia="MS Mincho" w:cs="Open Sans"/>
        </w:rPr>
        <w:endnoteReference w:id="6"/>
      </w:r>
    </w:p>
    <w:p w14:paraId="7E1703A6" w14:textId="77777777" w:rsidR="0032451D" w:rsidRPr="00592D35" w:rsidRDefault="0032451D" w:rsidP="0032451D">
      <w:pPr>
        <w:pStyle w:val="SubmissionNormal"/>
        <w:tabs>
          <w:tab w:val="num" w:pos="720"/>
        </w:tabs>
      </w:pPr>
      <w:r w:rsidRPr="00592D35">
        <w:lastRenderedPageBreak/>
        <w:t xml:space="preserve">On 21 December 2021 Mr Kuster applied for Australian citizenship by descent. </w:t>
      </w:r>
      <w:r>
        <w:t>The application was refused on the basis of Mr Kuster failing the good character test requirement. The Administrative Appeals Tribunal affirmed the decision on 16 October 2023. While Mr Kuster applied for judicial review of the Tribunal’s decision, that application has since been withdrawn.</w:t>
      </w:r>
    </w:p>
    <w:p w14:paraId="53F3F09D" w14:textId="77777777" w:rsidR="0032451D" w:rsidRPr="00592D35" w:rsidRDefault="0032451D" w:rsidP="0032451D">
      <w:pPr>
        <w:pStyle w:val="SubmissionNormal"/>
        <w:tabs>
          <w:tab w:val="num" w:pos="720"/>
        </w:tabs>
      </w:pPr>
      <w:r w:rsidRPr="00592D35">
        <w:t>On 16 August 2022, the Department advised the Commission as follows:</w:t>
      </w:r>
    </w:p>
    <w:p w14:paraId="506293DF" w14:textId="77777777" w:rsidR="0032451D" w:rsidRDefault="0032451D" w:rsidP="0032451D">
      <w:pPr>
        <w:pStyle w:val="Blockquote"/>
        <w:rPr>
          <w:rFonts w:cs="Open Sans"/>
        </w:rPr>
      </w:pPr>
      <w:r w:rsidRPr="00592D35">
        <w:rPr>
          <w:rFonts w:cs="Open Sans"/>
        </w:rPr>
        <w:t>Mr Kuster is on an involuntary removal pathway to Papua New Guinea. However, there is no proposed timeframe for Mr Kuster’s removal as he does not have a valid travel document. This matter has been referred to the Consular Engagement Liaison Team for engagement with the Papua New Guinea High Commission in Canberra, and it is unclear when it may be resolved.</w:t>
      </w:r>
    </w:p>
    <w:p w14:paraId="70CFADDF" w14:textId="77777777" w:rsidR="0032451D" w:rsidRPr="00592D35" w:rsidRDefault="0032451D" w:rsidP="0032451D">
      <w:pPr>
        <w:pStyle w:val="SubmissionNormal"/>
        <w:tabs>
          <w:tab w:val="num" w:pos="720"/>
        </w:tabs>
      </w:pPr>
      <w:r>
        <w:t xml:space="preserve">On 8 November 2023, Mr Kuster was assessed as being affected by the High Court’s decision in </w:t>
      </w:r>
      <w:r>
        <w:rPr>
          <w:i/>
          <w:iCs/>
        </w:rPr>
        <w:t xml:space="preserve">NZYQ v Minister for Immigration, Citizenship and Multicultural Affairs </w:t>
      </w:r>
      <w:r>
        <w:t>[2023] HCA 37 (</w:t>
      </w:r>
      <w:r>
        <w:rPr>
          <w:i/>
          <w:iCs/>
        </w:rPr>
        <w:t>NZYQ</w:t>
      </w:r>
      <w:r>
        <w:t>) and he was released from immigration detention following the decision.</w:t>
      </w:r>
    </w:p>
    <w:p w14:paraId="6A4E3860" w14:textId="77777777" w:rsidR="0032451D" w:rsidRPr="00286411" w:rsidRDefault="0032451D" w:rsidP="0032451D">
      <w:pPr>
        <w:pStyle w:val="Heading2"/>
        <w:rPr>
          <w:i/>
          <w:iCs/>
        </w:rPr>
      </w:pPr>
      <w:bookmarkStart w:id="12" w:name="_Toc165268434"/>
      <w:bookmarkStart w:id="13" w:name="_Toc195778532"/>
      <w:r w:rsidRPr="00286411">
        <w:rPr>
          <w:iCs/>
        </w:rPr>
        <w:t>Health and behaviour in detention</w:t>
      </w:r>
      <w:bookmarkEnd w:id="12"/>
      <w:bookmarkEnd w:id="13"/>
    </w:p>
    <w:p w14:paraId="55D59829" w14:textId="77777777" w:rsidR="0032451D" w:rsidRPr="00592D35" w:rsidRDefault="0032451D" w:rsidP="0032451D">
      <w:pPr>
        <w:pStyle w:val="SubmissionNormal"/>
        <w:tabs>
          <w:tab w:val="num" w:pos="720"/>
        </w:tabs>
      </w:pPr>
      <w:r w:rsidRPr="00592D35">
        <w:t xml:space="preserve">In April 2021, the </w:t>
      </w:r>
      <w:r>
        <w:t>Department</w:t>
      </w:r>
      <w:r w:rsidRPr="00592D35">
        <w:t xml:space="preserve"> reported that Mr Kuster’s health was being monitored and he had a number of medical conditions including a widespread skin rash and depigmentation for which he had been prescribed a range of medication. He also suffered from severe headaches, asthma and depression, for which he takes medication.</w:t>
      </w:r>
    </w:p>
    <w:p w14:paraId="7E3B3C33" w14:textId="77777777" w:rsidR="0032451D" w:rsidRPr="00592D35" w:rsidRDefault="0032451D" w:rsidP="0032451D">
      <w:pPr>
        <w:pStyle w:val="SubmissionNormal"/>
        <w:tabs>
          <w:tab w:val="num" w:pos="720"/>
        </w:tabs>
      </w:pPr>
      <w:r w:rsidRPr="00592D35">
        <w:t>During a mental health review with IHMS in January 2022, Mr Kuster reported experiencing nightmares in relation to his failed attempt to enter PNG. He presented with a low mood, depression, and poor sleep efficiency.</w:t>
      </w:r>
    </w:p>
    <w:p w14:paraId="41817287" w14:textId="22B7D6E1" w:rsidR="0032451D" w:rsidRDefault="0032451D" w:rsidP="0032451D">
      <w:pPr>
        <w:pStyle w:val="SubmissionNormal"/>
        <w:tabs>
          <w:tab w:val="num" w:pos="720"/>
        </w:tabs>
      </w:pPr>
      <w:r w:rsidRPr="00592D35">
        <w:t>Several Department case reviews of Mr Kuster note the Community Protection Assessment Tool (CPAT) assessment of ‘Tier 3 held detention’. From reviewing the most recent CPAT assessment</w:t>
      </w:r>
      <w:r>
        <w:t>,</w:t>
      </w:r>
      <w:r w:rsidRPr="00592D35">
        <w:t xml:space="preserve"> conducted 7 October 2022, it is clear that this assessment is solely related to Mr Kuster’s criminal history, and not due to any behavioural issues while in immigration detention.</w:t>
      </w:r>
      <w:r>
        <w:t xml:space="preserve"> The Department confirmed this in its response to</w:t>
      </w:r>
      <w:r w:rsidR="005F72FF">
        <w:t xml:space="preserve"> Professor Croucher’s</w:t>
      </w:r>
      <w:r>
        <w:t xml:space="preserve"> preliminary view.</w:t>
      </w:r>
    </w:p>
    <w:p w14:paraId="1E138494" w14:textId="77777777" w:rsidR="0032451D" w:rsidRDefault="0032451D" w:rsidP="0032451D">
      <w:pPr>
        <w:pStyle w:val="SubmissionNormal"/>
        <w:tabs>
          <w:tab w:val="num" w:pos="720"/>
        </w:tabs>
      </w:pPr>
      <w:r>
        <w:t>The Department noted that in the CPAT conducted on 21 July 2023, the status resolution officer substituted the Tier 3 recommendation with one of ‘Tier 1 – Bridging Visa with Conditions’ for the following reasons:</w:t>
      </w:r>
    </w:p>
    <w:p w14:paraId="6DD1EBF1" w14:textId="77777777" w:rsidR="0032451D" w:rsidRDefault="0032451D" w:rsidP="00CE7171">
      <w:pPr>
        <w:pStyle w:val="Style2"/>
      </w:pPr>
      <w:r>
        <w:lastRenderedPageBreak/>
        <w:t>minimal involvement in incidents in detention</w:t>
      </w:r>
    </w:p>
    <w:p w14:paraId="29557603" w14:textId="77777777" w:rsidR="0032451D" w:rsidRDefault="0032451D" w:rsidP="00CE7171">
      <w:pPr>
        <w:pStyle w:val="Style2"/>
      </w:pPr>
      <w:r>
        <w:t>participation in courses in an attempt to address the causes of his offending</w:t>
      </w:r>
    </w:p>
    <w:p w14:paraId="4E9D1580" w14:textId="77777777" w:rsidR="0032451D" w:rsidRDefault="0032451D" w:rsidP="00CE7171">
      <w:pPr>
        <w:pStyle w:val="Style2"/>
      </w:pPr>
      <w:r>
        <w:t>strong family support in the Australian community</w:t>
      </w:r>
    </w:p>
    <w:p w14:paraId="7B4EA31E" w14:textId="77777777" w:rsidR="0032451D" w:rsidRPr="00592D35" w:rsidRDefault="0032451D" w:rsidP="00CE7171">
      <w:pPr>
        <w:pStyle w:val="Style2"/>
      </w:pPr>
      <w:r>
        <w:t>positive engagement and cooperation with Status Resolution.</w:t>
      </w:r>
    </w:p>
    <w:p w14:paraId="12D4AB04" w14:textId="0D2FDCF8" w:rsidR="0032451D" w:rsidRPr="00592D35" w:rsidRDefault="0032451D" w:rsidP="00E51EDB">
      <w:pPr>
        <w:pStyle w:val="SubmissionNormal"/>
      </w:pPr>
      <w:r w:rsidRPr="00592D35">
        <w:t>While in detention, Serco produced regular Security Risk Assessment Tool (SRAT) reports with respect to Mr Kuster. On the most recent of these provided to the Commission</w:t>
      </w:r>
      <w:r>
        <w:t>,</w:t>
      </w:r>
      <w:r w:rsidRPr="00592D35">
        <w:t xml:space="preserve"> dated 10 March 2022, a small number of minor incidents appear, including abusive/aggressive behaviour, minor damage, and food and fluid refusal.</w:t>
      </w:r>
    </w:p>
    <w:p w14:paraId="03B16856" w14:textId="47EDB8DF" w:rsidR="0032451D" w:rsidRPr="00592D35" w:rsidRDefault="0032451D" w:rsidP="00E51EDB">
      <w:pPr>
        <w:pStyle w:val="SubmissionNormal"/>
      </w:pPr>
      <w:r w:rsidRPr="00592D35">
        <w:t xml:space="preserve">The risk assessment has been overridden from </w:t>
      </w:r>
      <w:r>
        <w:t>‘</w:t>
      </w:r>
      <w:r w:rsidRPr="00592D35">
        <w:t>high</w:t>
      </w:r>
      <w:r>
        <w:t>’</w:t>
      </w:r>
      <w:r w:rsidRPr="00592D35">
        <w:t xml:space="preserve"> to </w:t>
      </w:r>
      <w:r>
        <w:t>‘</w:t>
      </w:r>
      <w:r w:rsidRPr="00592D35">
        <w:t>medium</w:t>
      </w:r>
      <w:r>
        <w:t>’</w:t>
      </w:r>
      <w:r w:rsidRPr="00592D35">
        <w:t xml:space="preserve"> for escort and placement for the following reasons:</w:t>
      </w:r>
    </w:p>
    <w:p w14:paraId="47FC6157" w14:textId="77777777" w:rsidR="0032451D" w:rsidRPr="007F29AC" w:rsidRDefault="0032451D" w:rsidP="005F47DB">
      <w:pPr>
        <w:pStyle w:val="Quote"/>
      </w:pPr>
      <w:r w:rsidRPr="007F29AC">
        <w:t>minimal adverse incidents over a lengthy period of time</w:t>
      </w:r>
    </w:p>
    <w:p w14:paraId="382F25FD" w14:textId="77777777" w:rsidR="0032451D" w:rsidRPr="007F29AC" w:rsidRDefault="0032451D" w:rsidP="002E69CE">
      <w:pPr>
        <w:pStyle w:val="Quote"/>
      </w:pPr>
      <w:r w:rsidRPr="007F29AC">
        <w:t>no intelligence indicating him to have been involved in adverse conduct</w:t>
      </w:r>
    </w:p>
    <w:p w14:paraId="03D13D85" w14:textId="77777777" w:rsidR="0032451D" w:rsidRPr="007F29AC" w:rsidRDefault="0032451D" w:rsidP="002E69CE">
      <w:pPr>
        <w:pStyle w:val="Quote"/>
      </w:pPr>
      <w:r w:rsidRPr="007F29AC">
        <w:t>known to engage respectfully with various stakeholders</w:t>
      </w:r>
    </w:p>
    <w:p w14:paraId="0D31CC4B" w14:textId="6A065DE6" w:rsidR="0032451D" w:rsidRPr="007F29AC" w:rsidRDefault="0032451D" w:rsidP="002E69CE">
      <w:pPr>
        <w:pStyle w:val="Quote"/>
      </w:pPr>
      <w:r w:rsidRPr="007F29AC">
        <w:t>one of the minor incidents recorded against him was in fact him</w:t>
      </w:r>
      <w:r w:rsidR="007F29AC" w:rsidRPr="007F29AC">
        <w:t xml:space="preserve"> </w:t>
      </w:r>
      <w:r w:rsidRPr="007F29AC">
        <w:t>attempting to break up violence which had occurred against Serco staff</w:t>
      </w:r>
    </w:p>
    <w:p w14:paraId="4A771CD5" w14:textId="77777777" w:rsidR="0032451D" w:rsidRPr="007F29AC" w:rsidRDefault="0032451D" w:rsidP="002E69CE">
      <w:pPr>
        <w:pStyle w:val="Quote"/>
      </w:pPr>
      <w:r w:rsidRPr="007F29AC">
        <w:t>no apparent justification for high ratings.</w:t>
      </w:r>
    </w:p>
    <w:p w14:paraId="5699EB13" w14:textId="77777777" w:rsidR="0032451D" w:rsidRPr="00592D35" w:rsidRDefault="0032451D" w:rsidP="0032451D">
      <w:pPr>
        <w:pStyle w:val="AHRCHeading2"/>
      </w:pPr>
      <w:bookmarkStart w:id="14" w:name="_Toc165268435"/>
      <w:bookmarkStart w:id="15" w:name="_Toc195778533"/>
      <w:r w:rsidRPr="00592D35">
        <w:t>Working Group on Arbitrary Detention</w:t>
      </w:r>
      <w:bookmarkEnd w:id="14"/>
      <w:bookmarkEnd w:id="15"/>
    </w:p>
    <w:p w14:paraId="69DC0D9E" w14:textId="77777777" w:rsidR="0032451D" w:rsidRPr="00592D35" w:rsidRDefault="0032451D" w:rsidP="0032451D">
      <w:pPr>
        <w:pStyle w:val="SubmissionNormal"/>
        <w:tabs>
          <w:tab w:val="num" w:pos="720"/>
        </w:tabs>
      </w:pPr>
      <w:r w:rsidRPr="00592D35">
        <w:t xml:space="preserve">On 29 March 2023, the UN Working Group on Arbitrary Detention (WGAD) adopted </w:t>
      </w:r>
      <w:r w:rsidRPr="00592D35">
        <w:rPr>
          <w:i/>
          <w:iCs/>
        </w:rPr>
        <w:t>Opinion No. 14/2023 concerning Gus Kuster (Australia).</w:t>
      </w:r>
      <w:r w:rsidRPr="00592D35">
        <w:rPr>
          <w:rStyle w:val="EndnoteReference"/>
          <w:rFonts w:eastAsia="MS Mincho" w:cs="Open Sans"/>
        </w:rPr>
        <w:endnoteReference w:id="7"/>
      </w:r>
    </w:p>
    <w:p w14:paraId="3A035ECF" w14:textId="77777777" w:rsidR="0032451D" w:rsidRPr="00592D35" w:rsidRDefault="0032451D" w:rsidP="0032451D">
      <w:pPr>
        <w:pStyle w:val="SubmissionNormal"/>
        <w:tabs>
          <w:tab w:val="num" w:pos="720"/>
        </w:tabs>
      </w:pPr>
      <w:r w:rsidRPr="00592D35">
        <w:t>In its opinion, the WGAD formed the view that</w:t>
      </w:r>
    </w:p>
    <w:p w14:paraId="2E590112" w14:textId="77777777" w:rsidR="0032451D" w:rsidRPr="00577416" w:rsidRDefault="0032451D" w:rsidP="002E69CE">
      <w:pPr>
        <w:pStyle w:val="Quote"/>
      </w:pPr>
      <w:r w:rsidRPr="00577416">
        <w:t>The Government has not presented any particular reason specific to Mr. Kuster, such as an individualized likelihood of absconding, a danger of crimes against others or a risk of acts against national security, that would justify his detention. The Working Group also notes Mr. Kuster’s health problems as a significant factor in favour of his release. The Working Group concludes that there was no reason for detaining Mr. Kuster other than his migration status. As his visa was mandatorily cancelled due to his criminal conviction, as required by the Migration Act, he has been subjected to the automatic immigration detention policy.</w:t>
      </w:r>
      <w:r w:rsidRPr="00577416">
        <w:rPr>
          <w:rStyle w:val="EndnoteReference"/>
          <w:rFonts w:cs="Open Sans"/>
          <w:sz w:val="22"/>
          <w:szCs w:val="22"/>
        </w:rPr>
        <w:endnoteReference w:id="8"/>
      </w:r>
    </w:p>
    <w:p w14:paraId="278AC929" w14:textId="77777777" w:rsidR="0032451D" w:rsidRPr="00592D35" w:rsidRDefault="0032451D" w:rsidP="0032451D">
      <w:pPr>
        <w:pStyle w:val="SubmissionNormal"/>
        <w:tabs>
          <w:tab w:val="num" w:pos="720"/>
        </w:tabs>
      </w:pPr>
      <w:r w:rsidRPr="00592D35">
        <w:lastRenderedPageBreak/>
        <w:t>The WGAD referred Mr Kuster’s case to the Special Rapporteur on the human rights of migrants and to the Special Rapporteur on the right of everyone to the enjoyment of the highest attainable standard of physical and mental health.</w:t>
      </w:r>
      <w:r w:rsidRPr="00592D35">
        <w:rPr>
          <w:rStyle w:val="EndnoteReference"/>
          <w:rFonts w:eastAsia="MS Mincho" w:cs="Open Sans"/>
        </w:rPr>
        <w:endnoteReference w:id="9"/>
      </w:r>
    </w:p>
    <w:p w14:paraId="1253F786" w14:textId="75E710D9" w:rsidR="0032451D" w:rsidRPr="00592D35" w:rsidRDefault="0032451D" w:rsidP="0032451D">
      <w:pPr>
        <w:pStyle w:val="SubmissionNormal"/>
        <w:tabs>
          <w:tab w:val="num" w:pos="720"/>
        </w:tabs>
      </w:pPr>
      <w:r w:rsidRPr="00592D35">
        <w:t xml:space="preserve">The WGAD found that Mr Kuster’s continued detention was arbitrary, and urged the Australian government to release him immediately, and </w:t>
      </w:r>
      <w:r w:rsidR="00A26189">
        <w:t>‘</w:t>
      </w:r>
      <w:r w:rsidRPr="00592D35">
        <w:t>accord him an enforceable right to compensation and other reparations’.</w:t>
      </w:r>
      <w:r w:rsidRPr="00592D35">
        <w:rPr>
          <w:rStyle w:val="EndnoteReference"/>
          <w:rFonts w:eastAsia="MS Mincho" w:cs="Open Sans"/>
        </w:rPr>
        <w:endnoteReference w:id="10"/>
      </w:r>
    </w:p>
    <w:p w14:paraId="3A4B8A0D" w14:textId="77777777" w:rsidR="0032451D" w:rsidRPr="00592D35" w:rsidRDefault="0032451D" w:rsidP="0032451D">
      <w:pPr>
        <w:pStyle w:val="Heading1"/>
      </w:pPr>
      <w:bookmarkStart w:id="16" w:name="_Toc165268436"/>
      <w:bookmarkStart w:id="17" w:name="_Toc195778534"/>
      <w:r w:rsidRPr="00592D35">
        <w:t>Legal framework</w:t>
      </w:r>
      <w:bookmarkEnd w:id="16"/>
      <w:bookmarkEnd w:id="17"/>
    </w:p>
    <w:p w14:paraId="7EFBDB4D" w14:textId="77777777" w:rsidR="0032451D" w:rsidRPr="00286411" w:rsidRDefault="0032451D" w:rsidP="0032451D">
      <w:pPr>
        <w:pStyle w:val="Heading2"/>
        <w:rPr>
          <w:i/>
          <w:iCs/>
        </w:rPr>
      </w:pPr>
      <w:bookmarkStart w:id="18" w:name="_Toc165268437"/>
      <w:bookmarkStart w:id="19" w:name="_Toc195778535"/>
      <w:r w:rsidRPr="00286411">
        <w:rPr>
          <w:iCs/>
        </w:rPr>
        <w:t>Functions of the Commission</w:t>
      </w:r>
      <w:bookmarkEnd w:id="18"/>
      <w:bookmarkEnd w:id="19"/>
    </w:p>
    <w:p w14:paraId="1F191D39" w14:textId="77777777" w:rsidR="0032451D" w:rsidRPr="00592D35" w:rsidRDefault="0032451D" w:rsidP="0032451D">
      <w:pPr>
        <w:pStyle w:val="SubmissionNormal"/>
        <w:tabs>
          <w:tab w:val="num" w:pos="720"/>
        </w:tabs>
      </w:pPr>
      <w:r w:rsidRPr="00592D35">
        <w:t>Section 11(1)(f) of the AHRC Act provides that the Commission has the function to inquire into any act or practice that may be inconsistent with or contrary to any human right.</w:t>
      </w:r>
    </w:p>
    <w:p w14:paraId="2182DE1D" w14:textId="77777777" w:rsidR="0032451D" w:rsidRPr="00592D35" w:rsidRDefault="0032451D" w:rsidP="0032451D">
      <w:pPr>
        <w:pStyle w:val="SubmissionNormal"/>
        <w:tabs>
          <w:tab w:val="num" w:pos="720"/>
        </w:tabs>
      </w:pPr>
      <w:r w:rsidRPr="00592D35">
        <w:t xml:space="preserve">Section 20(1)(b) of the AHRC Act requires the Commission to perform this function when a complaint is made to it in writing alleging that an act is inconsistent with, or contrary to, any human right. </w:t>
      </w:r>
    </w:p>
    <w:p w14:paraId="348FC02C" w14:textId="77777777" w:rsidR="0032451D" w:rsidRPr="00592D35" w:rsidRDefault="0032451D" w:rsidP="0032451D">
      <w:pPr>
        <w:pStyle w:val="SubmissionNormal"/>
        <w:tabs>
          <w:tab w:val="num" w:pos="720"/>
        </w:tabs>
      </w:pPr>
      <w:r w:rsidRPr="00592D35">
        <w:t>Section 8(6) of the AHRC Act requires that the functions of the Commission under section 11(1)(f) be performed by the President.</w:t>
      </w:r>
    </w:p>
    <w:p w14:paraId="09CC3653" w14:textId="77777777" w:rsidR="0032451D" w:rsidRPr="00286411" w:rsidRDefault="0032451D" w:rsidP="0032451D">
      <w:pPr>
        <w:pStyle w:val="Heading2"/>
        <w:rPr>
          <w:i/>
          <w:iCs/>
        </w:rPr>
      </w:pPr>
      <w:bookmarkStart w:id="20" w:name="_Toc165268438"/>
      <w:bookmarkStart w:id="21" w:name="_Toc195778536"/>
      <w:r w:rsidRPr="00286411">
        <w:rPr>
          <w:iCs/>
        </w:rPr>
        <w:t>Scope of ‘act’ and ‘practice’</w:t>
      </w:r>
      <w:bookmarkEnd w:id="20"/>
      <w:bookmarkEnd w:id="21"/>
    </w:p>
    <w:p w14:paraId="7A4CB590" w14:textId="77777777" w:rsidR="0032451D" w:rsidRPr="00592D35" w:rsidRDefault="0032451D" w:rsidP="0032451D">
      <w:pPr>
        <w:pStyle w:val="SubmissionNormal"/>
        <w:tabs>
          <w:tab w:val="num" w:pos="720"/>
        </w:tabs>
      </w:pPr>
      <w:r w:rsidRPr="00592D35">
        <w:t>The terms ‘act’ and ‘practice’ are defined in section 3(1) of the AHRC Act to include an act done or a practice engaged in by or on behalf of the Commonwealth or an authority of the Commonwealth or under an enactment.</w:t>
      </w:r>
    </w:p>
    <w:p w14:paraId="6BDE43FB" w14:textId="77777777" w:rsidR="0032451D" w:rsidRPr="00592D35" w:rsidRDefault="0032451D" w:rsidP="0032451D">
      <w:pPr>
        <w:pStyle w:val="SubmissionNormal"/>
        <w:tabs>
          <w:tab w:val="num" w:pos="720"/>
        </w:tabs>
      </w:pPr>
      <w:r w:rsidRPr="00592D35">
        <w:t>Section 3(3) provides that the reference to, or to the doing of, an act includes a reference to a refusal or failure to do an act.</w:t>
      </w:r>
    </w:p>
    <w:p w14:paraId="48E2D8F6" w14:textId="77777777" w:rsidR="0032451D" w:rsidRPr="00592D35" w:rsidRDefault="0032451D" w:rsidP="0032451D">
      <w:pPr>
        <w:pStyle w:val="SubmissionNormal"/>
        <w:tabs>
          <w:tab w:val="num" w:pos="720"/>
        </w:tabs>
      </w:pPr>
      <w:r w:rsidRPr="00592D35">
        <w:t>The functions of the Commission identified in section 11(1)(f) of the AHRC Act are only engaged where the act complained of is not one required by law to be taken, that is, where the relevant act or practice is within the discretion of the Commonwealth, its officers or those acting on its behalf.</w:t>
      </w:r>
      <w:r w:rsidRPr="00592D35">
        <w:rPr>
          <w:sz w:val="20"/>
          <w:szCs w:val="20"/>
          <w:vertAlign w:val="superscript"/>
        </w:rPr>
        <w:endnoteReference w:id="11"/>
      </w:r>
    </w:p>
    <w:p w14:paraId="41AA3B0C" w14:textId="77777777" w:rsidR="0032451D" w:rsidRPr="00286411" w:rsidRDefault="0032451D" w:rsidP="0032451D">
      <w:pPr>
        <w:pStyle w:val="Heading2"/>
        <w:rPr>
          <w:i/>
          <w:iCs/>
        </w:rPr>
      </w:pPr>
      <w:bookmarkStart w:id="22" w:name="_Toc165268439"/>
      <w:bookmarkStart w:id="23" w:name="_Toc195778537"/>
      <w:r w:rsidRPr="00286411">
        <w:rPr>
          <w:iCs/>
        </w:rPr>
        <w:t>What is a human right?</w:t>
      </w:r>
      <w:bookmarkEnd w:id="22"/>
      <w:bookmarkEnd w:id="23"/>
    </w:p>
    <w:p w14:paraId="3AA8017E" w14:textId="77777777" w:rsidR="0032451D" w:rsidRPr="00592D35" w:rsidRDefault="0032451D" w:rsidP="0032451D">
      <w:pPr>
        <w:pStyle w:val="SubmissionNormal"/>
        <w:tabs>
          <w:tab w:val="num" w:pos="720"/>
        </w:tabs>
      </w:pPr>
      <w:r w:rsidRPr="00592D35">
        <w:t>The rights and freedoms recognised by the ICCPR are ‘human rights’ within the meaning of the AHRC Act.</w:t>
      </w:r>
      <w:r w:rsidRPr="00592D35">
        <w:rPr>
          <w:sz w:val="20"/>
          <w:szCs w:val="20"/>
          <w:vertAlign w:val="superscript"/>
        </w:rPr>
        <w:endnoteReference w:id="12"/>
      </w:r>
    </w:p>
    <w:p w14:paraId="5A4E1936" w14:textId="77777777" w:rsidR="0032451D" w:rsidRPr="00592D35" w:rsidRDefault="0032451D" w:rsidP="0032451D">
      <w:pPr>
        <w:pStyle w:val="Heading1"/>
      </w:pPr>
      <w:bookmarkStart w:id="24" w:name="_Toc165268440"/>
      <w:bookmarkStart w:id="25" w:name="_Toc195778538"/>
      <w:r w:rsidRPr="00592D35">
        <w:lastRenderedPageBreak/>
        <w:t>Arbitrary detention</w:t>
      </w:r>
      <w:bookmarkEnd w:id="24"/>
      <w:bookmarkEnd w:id="25"/>
    </w:p>
    <w:p w14:paraId="012A0FAD" w14:textId="77777777" w:rsidR="0032451D" w:rsidRPr="00286411" w:rsidRDefault="0032451D" w:rsidP="0032451D">
      <w:pPr>
        <w:pStyle w:val="Heading2"/>
        <w:rPr>
          <w:i/>
          <w:iCs/>
        </w:rPr>
      </w:pPr>
      <w:bookmarkStart w:id="26" w:name="_Toc165268441"/>
      <w:bookmarkStart w:id="27" w:name="_Toc195778539"/>
      <w:r w:rsidRPr="00286411">
        <w:rPr>
          <w:iCs/>
        </w:rPr>
        <w:t>Law on article 9 of the ICCPR</w:t>
      </w:r>
      <w:bookmarkEnd w:id="26"/>
      <w:bookmarkEnd w:id="27"/>
    </w:p>
    <w:p w14:paraId="45A81845" w14:textId="77777777" w:rsidR="0032451D" w:rsidRPr="00592D35" w:rsidRDefault="0032451D" w:rsidP="0032451D">
      <w:pPr>
        <w:pStyle w:val="SubmissionNormal"/>
        <w:tabs>
          <w:tab w:val="num" w:pos="720"/>
        </w:tabs>
      </w:pPr>
      <w:r w:rsidRPr="00592D35">
        <w:t>Article 9(1) of the ICCPR provides:</w:t>
      </w:r>
    </w:p>
    <w:p w14:paraId="5CB7E04A" w14:textId="77777777" w:rsidR="0032451D" w:rsidRPr="00592D35" w:rsidRDefault="0032451D" w:rsidP="0032451D">
      <w:pPr>
        <w:ind w:left="1440"/>
        <w:rPr>
          <w:rFonts w:cs="Open Sans"/>
          <w:iCs/>
          <w:sz w:val="22"/>
          <w:szCs w:val="22"/>
        </w:rPr>
      </w:pPr>
      <w:r w:rsidRPr="00592D35">
        <w:rPr>
          <w:rFonts w:cs="Open Sans"/>
          <w:iCs/>
          <w:sz w:val="22"/>
          <w:szCs w:val="22"/>
        </w:rPr>
        <w:t xml:space="preserve">Everyone has the right to liberty and security of person. No one shall be subjected to arbitrary arrest or detention. No one shall be deprived of his liberty except on such grounds and in accordance with such procedure as are established by law. </w:t>
      </w:r>
    </w:p>
    <w:p w14:paraId="1524584B" w14:textId="77777777" w:rsidR="0032451D" w:rsidRPr="00592D35" w:rsidRDefault="0032451D" w:rsidP="0032451D">
      <w:pPr>
        <w:pStyle w:val="SubmissionNormal"/>
        <w:tabs>
          <w:tab w:val="num" w:pos="720"/>
        </w:tabs>
      </w:pPr>
      <w:r w:rsidRPr="00592D35">
        <w:t>The following principles relating to arbitrary detention within the meaning of article 9 of the ICCPR arise from international human rights jurisprudence:</w:t>
      </w:r>
    </w:p>
    <w:p w14:paraId="2E5BEDD2" w14:textId="3B5C62CE" w:rsidR="0032451D" w:rsidRPr="00592D35" w:rsidRDefault="0032451D" w:rsidP="0012305B">
      <w:pPr>
        <w:pStyle w:val="Style2"/>
      </w:pPr>
      <w:r w:rsidRPr="00592D35">
        <w:t>‘detention’ includes immigration detention</w:t>
      </w:r>
      <w:r w:rsidRPr="00592D35">
        <w:rPr>
          <w:vertAlign w:val="superscript"/>
        </w:rPr>
        <w:endnoteReference w:id="13"/>
      </w:r>
    </w:p>
    <w:p w14:paraId="17BF4A16" w14:textId="757D6CB8" w:rsidR="0032451D" w:rsidRPr="00592D35" w:rsidRDefault="0032451D" w:rsidP="0012305B">
      <w:pPr>
        <w:pStyle w:val="Style2"/>
      </w:pPr>
      <w:r w:rsidRPr="00592D35">
        <w:t>lawful detention may become arbitrary when a person’s deprivation of liberty becomes unjust, unreasonable or disproportionate to the Commonwealth’s legitimate aim of ensuring the effective operation of Australia’s migration system</w:t>
      </w:r>
      <w:r w:rsidRPr="00592D35">
        <w:rPr>
          <w:vertAlign w:val="superscript"/>
        </w:rPr>
        <w:endnoteReference w:id="14"/>
      </w:r>
    </w:p>
    <w:p w14:paraId="2089FBB2" w14:textId="2C10FCFF" w:rsidR="0032451D" w:rsidRPr="00592D35" w:rsidRDefault="0032451D" w:rsidP="0012305B">
      <w:pPr>
        <w:pStyle w:val="Style2"/>
      </w:pPr>
      <w:r w:rsidRPr="00592D35">
        <w:t>arbitrariness is not to be equated with ‘against the law’; it must be interpreted more broadly to include elements of inappropriateness, injustice or lack of predictability</w:t>
      </w:r>
      <w:r w:rsidRPr="00592D35">
        <w:rPr>
          <w:vertAlign w:val="superscript"/>
        </w:rPr>
        <w:endnoteReference w:id="15"/>
      </w:r>
    </w:p>
    <w:p w14:paraId="68899D00" w14:textId="4F54B234" w:rsidR="0032451D" w:rsidRPr="00592D35" w:rsidRDefault="0032451D" w:rsidP="0012305B">
      <w:pPr>
        <w:pStyle w:val="Style2"/>
      </w:pPr>
      <w:r w:rsidRPr="00592D35">
        <w:t>detention should not continue beyond the period for which a State party can provide appropriate justification.</w:t>
      </w:r>
      <w:r w:rsidRPr="00592D35">
        <w:rPr>
          <w:vertAlign w:val="superscript"/>
        </w:rPr>
        <w:endnoteReference w:id="16"/>
      </w:r>
      <w:r w:rsidRPr="00592D35">
        <w:t xml:space="preserve"> </w:t>
      </w:r>
    </w:p>
    <w:p w14:paraId="0258F1D4" w14:textId="77777777" w:rsidR="0032451D" w:rsidRPr="00592D35" w:rsidRDefault="0032451D" w:rsidP="0032451D">
      <w:pPr>
        <w:pStyle w:val="SubmissionNormal"/>
        <w:tabs>
          <w:tab w:val="num" w:pos="720"/>
        </w:tabs>
      </w:pPr>
      <w:r w:rsidRPr="00592D35">
        <w:t xml:space="preserve">In </w:t>
      </w:r>
      <w:r w:rsidRPr="00592D35">
        <w:rPr>
          <w:i/>
        </w:rPr>
        <w:t>Van Alphen v The Netherlands</w:t>
      </w:r>
      <w:r w:rsidRPr="00592D35">
        <w:t xml:space="preserve"> the United Nations Human Rights Committee found detention for a period of 2 months to be arbitrary because the State Party did not show that remand in custody was necessary to prevent flight, interference with evidence or recurrence of crime.</w:t>
      </w:r>
      <w:r w:rsidRPr="00592D35">
        <w:rPr>
          <w:sz w:val="20"/>
          <w:szCs w:val="20"/>
          <w:vertAlign w:val="superscript"/>
        </w:rPr>
        <w:endnoteReference w:id="17"/>
      </w:r>
      <w:r w:rsidRPr="00592D35">
        <w:t xml:space="preserve"> Similarly, the Human Rights Committee considered that detention during the processing of asylum claims for periods of 3 months in Switzerland was ‘considerably in excess of what is necessary’.</w:t>
      </w:r>
      <w:r w:rsidRPr="00592D35">
        <w:rPr>
          <w:sz w:val="20"/>
          <w:szCs w:val="20"/>
          <w:vertAlign w:val="superscript"/>
        </w:rPr>
        <w:endnoteReference w:id="18"/>
      </w:r>
    </w:p>
    <w:p w14:paraId="294209EA" w14:textId="77777777" w:rsidR="0032451D" w:rsidRPr="00592D35" w:rsidRDefault="0032451D" w:rsidP="0032451D">
      <w:pPr>
        <w:pStyle w:val="SubmissionNormal"/>
        <w:tabs>
          <w:tab w:val="num" w:pos="720"/>
        </w:tabs>
      </w:pPr>
      <w:r w:rsidRPr="00592D35">
        <w:t>The Human Rights Committee has held in several cases that there is an obligation on the State Party to demonstrate that there was not a less invasive way than detention to achieve the ends of the State Party’s immigration policy (for example the imposition of reporting obligations, sureties or other conditions) in order to avoid the conclusion that detention was arbitrary.</w:t>
      </w:r>
      <w:r w:rsidRPr="00592D35">
        <w:rPr>
          <w:sz w:val="20"/>
          <w:szCs w:val="20"/>
          <w:vertAlign w:val="superscript"/>
        </w:rPr>
        <w:endnoteReference w:id="19"/>
      </w:r>
      <w:r w:rsidRPr="00592D35">
        <w:t xml:space="preserve"> </w:t>
      </w:r>
    </w:p>
    <w:p w14:paraId="65831CD1" w14:textId="77777777" w:rsidR="0032451D" w:rsidRPr="00592D35" w:rsidRDefault="0032451D" w:rsidP="0032451D">
      <w:pPr>
        <w:pStyle w:val="SubmissionNormal"/>
        <w:tabs>
          <w:tab w:val="num" w:pos="720"/>
        </w:tabs>
      </w:pPr>
      <w:r w:rsidRPr="00592D35">
        <w:lastRenderedPageBreak/>
        <w:t>Relevant jurisprudence of the Human Rights Committee on the right to liberty is collected in a general comment on article 9 of the ICCPR published on 16 December 2014. It makes the following comments about immigration detention in particular, based on previous decisions by the Committee:</w:t>
      </w:r>
    </w:p>
    <w:p w14:paraId="71F5615A" w14:textId="77777777" w:rsidR="0032451D" w:rsidRPr="00592D35" w:rsidRDefault="0032451D" w:rsidP="0032451D">
      <w:pPr>
        <w:ind w:left="1440"/>
        <w:rPr>
          <w:rFonts w:cs="Open Sans"/>
          <w:sz w:val="22"/>
        </w:rPr>
      </w:pPr>
      <w:r w:rsidRPr="00592D35">
        <w:rPr>
          <w:rFonts w:cs="Open Sans"/>
          <w:sz w:val="22"/>
        </w:rPr>
        <w:t>Detention in the course of proceedings for the control of immigration is not per se arbitrary, but the detention must be justified as reasonable, necessary and proportionate in the light of the circumstances and reassessed as it extends in time. Asylum seekers who unlawfully enter a State party’s territory may be detained for a brief initial period in order to document their entry, record their claims and determine their identity if it is in doubt. To detain them further while their claims are being resolved would be arbitrary in the absence of particular reasons specific to the individual, such as an individualized likelihood of absconding, a danger of crimes against others or a risk of acts against national security. The decision must consider relevant factors case by case and not be based on a mandatory rule for a broad category; must take into account less invasive means of achieving the same ends, such as reporting obligations, sureties or other conditions to prevent absconding; and must be subject to periodic re-evaluation and judicial review.</w:t>
      </w:r>
      <w:r w:rsidRPr="00592D35">
        <w:rPr>
          <w:rStyle w:val="EndnoteReference"/>
          <w:rFonts w:cs="Open Sans"/>
        </w:rPr>
        <w:endnoteReference w:id="20"/>
      </w:r>
      <w:r w:rsidRPr="00592D35">
        <w:rPr>
          <w:rFonts w:cs="Open Sans"/>
          <w:sz w:val="22"/>
        </w:rPr>
        <w:t xml:space="preserve"> </w:t>
      </w:r>
    </w:p>
    <w:p w14:paraId="6DA4BB52" w14:textId="77777777" w:rsidR="0032451D" w:rsidRPr="00592D35" w:rsidRDefault="0032451D" w:rsidP="0032451D">
      <w:pPr>
        <w:pStyle w:val="SubmissionNormal"/>
        <w:tabs>
          <w:tab w:val="num" w:pos="720"/>
        </w:tabs>
        <w:rPr>
          <w:lang w:val="en-US"/>
        </w:rPr>
      </w:pPr>
      <w:r w:rsidRPr="32924BCA">
        <w:rPr>
          <w:lang w:val="en-US"/>
        </w:rPr>
        <w:t>Under international law, the guiding standard for restricting rights is proportionality, which means that deprivation of liberty (in this case, continuing immigration detention) must be necessary and proportionate to a legitimate aim of the State Party (in this case, the Commonwealth of Australia) in order to avoid being ‘arbitrary’.</w:t>
      </w:r>
      <w:r w:rsidRPr="32924BCA">
        <w:rPr>
          <w:rStyle w:val="EndnoteReference"/>
          <w:rFonts w:eastAsia="MS Mincho" w:cs="Open Sans"/>
          <w:lang w:val="en-US"/>
        </w:rPr>
        <w:endnoteReference w:id="21"/>
      </w:r>
    </w:p>
    <w:p w14:paraId="63B31BEB" w14:textId="77777777" w:rsidR="0032451D" w:rsidRPr="00592D35" w:rsidRDefault="0032451D" w:rsidP="0032451D">
      <w:pPr>
        <w:pStyle w:val="SubmissionNormal"/>
        <w:tabs>
          <w:tab w:val="num" w:pos="720"/>
        </w:tabs>
        <w:rPr>
          <w:lang w:val="en"/>
        </w:rPr>
      </w:pPr>
      <w:r w:rsidRPr="00592D35">
        <w:rPr>
          <w:lang w:val="en"/>
        </w:rPr>
        <w:t xml:space="preserve">It will be necessary to consider whether the detention of Mr Kuster in closed detention facilities could be </w:t>
      </w:r>
      <w:r w:rsidRPr="00592D35">
        <w:t>justified as reasonable, necessary and proportionate on the basis of particular reasons specific to him, and in light of the available alternatives to closed detention. If his detention cannot be justified on these grounds, it will be disproportionate to the Commonwealth’s legitimate aim of ensuring the effective operation of Australia’s migration system, and therefore ‘arbitrary’ under article 9 of the ICCPR.</w:t>
      </w:r>
    </w:p>
    <w:p w14:paraId="6942EC32" w14:textId="77777777" w:rsidR="0032451D" w:rsidRPr="00857B6E" w:rsidRDefault="0032451D" w:rsidP="0032451D">
      <w:pPr>
        <w:pStyle w:val="Heading2"/>
        <w:rPr>
          <w:i/>
          <w:iCs/>
          <w:lang w:val="en"/>
        </w:rPr>
      </w:pPr>
      <w:bookmarkStart w:id="29" w:name="_Toc165268442"/>
      <w:bookmarkStart w:id="30" w:name="_Toc195778540"/>
      <w:r w:rsidRPr="00857B6E">
        <w:rPr>
          <w:iCs/>
          <w:lang w:val="en"/>
        </w:rPr>
        <w:t>Act or practice of the Commonwealth</w:t>
      </w:r>
      <w:bookmarkEnd w:id="29"/>
      <w:bookmarkEnd w:id="30"/>
    </w:p>
    <w:p w14:paraId="476C3499" w14:textId="77777777" w:rsidR="0032451D" w:rsidRPr="00592D35" w:rsidRDefault="0032451D" w:rsidP="0032451D">
      <w:pPr>
        <w:pStyle w:val="SubmissionNormal"/>
        <w:tabs>
          <w:tab w:val="num" w:pos="720"/>
        </w:tabs>
        <w:rPr>
          <w:lang w:val="en-US"/>
        </w:rPr>
      </w:pPr>
      <w:r w:rsidRPr="32924BCA">
        <w:rPr>
          <w:lang w:val="en-US"/>
        </w:rPr>
        <w:t xml:space="preserve">At the time of his detention, Mr </w:t>
      </w:r>
      <w:r w:rsidRPr="00263A16">
        <w:t>Kuster</w:t>
      </w:r>
      <w:r w:rsidRPr="32924BCA">
        <w:rPr>
          <w:lang w:val="en-US"/>
        </w:rPr>
        <w:t xml:space="preserve"> was an unlawful non-citizen within the meaning of the Migration Act, which required that he be detained.</w:t>
      </w:r>
    </w:p>
    <w:p w14:paraId="1D2AA3C8" w14:textId="77777777" w:rsidR="0032451D" w:rsidRPr="00592D35" w:rsidRDefault="0032451D" w:rsidP="0032451D">
      <w:pPr>
        <w:pStyle w:val="SubmissionNormal"/>
        <w:tabs>
          <w:tab w:val="num" w:pos="720"/>
        </w:tabs>
        <w:rPr>
          <w:lang w:val="en-US"/>
        </w:rPr>
      </w:pPr>
      <w:r w:rsidRPr="32924BCA">
        <w:rPr>
          <w:lang w:val="en-US"/>
        </w:rPr>
        <w:t>Mr Kuster is precluded from applying for any visa (excluding a Protection visa) due to the operation of section 501E of the Migration Act. The only way therefore that he can be granted a visa is through the personal intervention of the Minister.</w:t>
      </w:r>
    </w:p>
    <w:p w14:paraId="07D9ED1A" w14:textId="77777777" w:rsidR="0032451D" w:rsidRPr="00592D35" w:rsidRDefault="0032451D" w:rsidP="0032451D">
      <w:pPr>
        <w:pStyle w:val="SubmissionNormal"/>
        <w:tabs>
          <w:tab w:val="num" w:pos="720"/>
        </w:tabs>
      </w:pPr>
      <w:r w:rsidRPr="00592D35">
        <w:lastRenderedPageBreak/>
        <w:t>There are a number of powers that the Minister could have exercised</w:t>
      </w:r>
      <w:r>
        <w:t>,</w:t>
      </w:r>
      <w:r w:rsidRPr="00592D35">
        <w:t xml:space="preserve"> either to grant a visa, or to allow the detention in a less restrictive manner than in a closed immigration detention centre.</w:t>
      </w:r>
    </w:p>
    <w:p w14:paraId="4E69AFD3" w14:textId="77777777" w:rsidR="0032451D" w:rsidRPr="00592D35" w:rsidRDefault="0032451D" w:rsidP="0032451D">
      <w:pPr>
        <w:pStyle w:val="SubmissionNormal"/>
        <w:tabs>
          <w:tab w:val="num" w:pos="720"/>
        </w:tabs>
      </w:pPr>
      <w:r w:rsidRPr="00592D35">
        <w:t>Section 197AB of the Migration Act permits the Minister, where they think that it is in the public interest to do so, to make a residence determination to allow a person to reside in a specified place instead of being detained in closed immigration detention. A ‘specified place’ may be a place in the community. The residence determination may be made subject to other conditions</w:t>
      </w:r>
      <w:r>
        <w:t>,</w:t>
      </w:r>
      <w:r w:rsidRPr="00592D35">
        <w:t xml:space="preserve"> such as reporting requirements.</w:t>
      </w:r>
    </w:p>
    <w:p w14:paraId="478B0007" w14:textId="77777777" w:rsidR="0032451D" w:rsidRPr="00592D35" w:rsidRDefault="0032451D" w:rsidP="0032451D">
      <w:pPr>
        <w:pStyle w:val="SubmissionNormal"/>
        <w:tabs>
          <w:tab w:val="num" w:pos="720"/>
        </w:tabs>
      </w:pPr>
      <w:r w:rsidRPr="00592D35">
        <w:t>In addition to the power to make a residence determination under section</w:t>
      </w:r>
      <w:r>
        <w:t> </w:t>
      </w:r>
      <w:r w:rsidRPr="00592D35">
        <w:t>197AB, the Minister also has a discretionary non-compellable power under section 195A to grant a visa to a person in immigration detention, again subject to any conditions necessary to take into account their specific circumstances.</w:t>
      </w:r>
    </w:p>
    <w:p w14:paraId="3A8CE63C" w14:textId="77777777" w:rsidR="0032451D" w:rsidRPr="00592D35" w:rsidRDefault="0032451D" w:rsidP="0032451D">
      <w:pPr>
        <w:pStyle w:val="SubmissionNormal"/>
        <w:tabs>
          <w:tab w:val="num" w:pos="720"/>
        </w:tabs>
      </w:pPr>
      <w:r w:rsidRPr="00592D35">
        <w:t>These powers in the context of detainees who had visas cancelled or refused, and the legislative framework within the Migration Act regarding the character test, were outlined in the Commission’s 2021 report</w:t>
      </w:r>
      <w:r>
        <w:t>,</w:t>
      </w:r>
      <w:r w:rsidRPr="00592D35">
        <w:t xml:space="preserve"> </w:t>
      </w:r>
      <w:r w:rsidRPr="00592D35">
        <w:rPr>
          <w:i/>
          <w:iCs/>
        </w:rPr>
        <w:t>Immigration detention following visa refusal or cancellation under section 501 of the Migration Act 1958 (Cth)</w:t>
      </w:r>
      <w:r w:rsidRPr="00592D35">
        <w:t>.</w:t>
      </w:r>
      <w:r w:rsidRPr="00592D35">
        <w:rPr>
          <w:rStyle w:val="EndnoteReference"/>
          <w:rFonts w:eastAsia="MS Mincho" w:cs="Open Sans"/>
        </w:rPr>
        <w:endnoteReference w:id="22"/>
      </w:r>
      <w:r w:rsidRPr="00592D35">
        <w:t xml:space="preserve"> </w:t>
      </w:r>
    </w:p>
    <w:p w14:paraId="4A694F88" w14:textId="77777777" w:rsidR="0032451D" w:rsidRPr="00592D35" w:rsidRDefault="0032451D" w:rsidP="0032451D">
      <w:pPr>
        <w:pStyle w:val="SubmissionNormal"/>
        <w:tabs>
          <w:tab w:val="num" w:pos="720"/>
        </w:tabs>
      </w:pPr>
      <w:r w:rsidRPr="00592D35">
        <w:t>Furthermore, Mr Kuster has made specific claims to the Department and Minister regarding his indigeneity and his statelessness.</w:t>
      </w:r>
    </w:p>
    <w:p w14:paraId="451CF60A" w14:textId="77777777" w:rsidR="0032451D" w:rsidRPr="00592D35" w:rsidRDefault="0032451D" w:rsidP="0032451D">
      <w:pPr>
        <w:pStyle w:val="SubmissionNormal"/>
        <w:tabs>
          <w:tab w:val="num" w:pos="720"/>
        </w:tabs>
      </w:pPr>
      <w:r w:rsidRPr="00592D35">
        <w:t xml:space="preserve">On the proper application of the law as stated by the High Court, </w:t>
      </w:r>
      <w:r>
        <w:t xml:space="preserve">in </w:t>
      </w:r>
      <w:r w:rsidRPr="00592D35">
        <w:rPr>
          <w:rFonts w:eastAsia="Calibri"/>
          <w:i/>
          <w:iCs/>
        </w:rPr>
        <w:t>Love v Commonwealth of Australia; Thoms v Commonwealth of Australia</w:t>
      </w:r>
      <w:r>
        <w:rPr>
          <w:rFonts w:eastAsia="Calibri"/>
        </w:rPr>
        <w:t>,</w:t>
      </w:r>
      <w:r w:rsidRPr="00592D35">
        <w:rPr>
          <w:rStyle w:val="EndnoteReference"/>
          <w:rFonts w:eastAsia="Calibri" w:cs="Open Sans"/>
        </w:rPr>
        <w:endnoteReference w:id="23"/>
      </w:r>
      <w:r>
        <w:rPr>
          <w:rFonts w:eastAsia="Calibri"/>
        </w:rPr>
        <w:t xml:space="preserve"> </w:t>
      </w:r>
      <w:r w:rsidRPr="00592D35">
        <w:t>if Mr Kuster is indeed an Aboriginal or Torres Strait Islander person, then he cannot be detained under the Migration Act and must be released from immigration detention. At present, with no legislative framework surrounding the determination of his claims to be Indigenous, it is solely at the discretion of the Department (or Minister) to accept or deny Mr Kuster’s claims. If his claims were accepted, then he would be granted a special purpose visa, however this is not a visa that he can</w:t>
      </w:r>
      <w:r>
        <w:t xml:space="preserve"> apply</w:t>
      </w:r>
      <w:r w:rsidRPr="00592D35">
        <w:t xml:space="preserve"> for. Merits review of a decision not to grant him a special purpose visa is not available, but a person who considers themselves </w:t>
      </w:r>
      <w:r>
        <w:t xml:space="preserve">not to </w:t>
      </w:r>
      <w:r w:rsidRPr="00592D35">
        <w:t>be an ‘alien’ within the meaning of section 51</w:t>
      </w:r>
      <w:r w:rsidRPr="00592D35">
        <w:rPr>
          <w:rFonts w:eastAsia="Calibri"/>
        </w:rPr>
        <w:t>(xix) of the Australian Constitution</w:t>
      </w:r>
      <w:r>
        <w:rPr>
          <w:rFonts w:eastAsia="Calibri"/>
        </w:rPr>
        <w:t>,</w:t>
      </w:r>
      <w:r w:rsidRPr="00592D35">
        <w:rPr>
          <w:rFonts w:eastAsia="Calibri"/>
        </w:rPr>
        <w:t xml:space="preserve"> can apply to the Federal Court for a declaration to that effect.</w:t>
      </w:r>
    </w:p>
    <w:p w14:paraId="0317AB1D" w14:textId="77777777" w:rsidR="0032451D" w:rsidRPr="00592D35" w:rsidRDefault="0032451D" w:rsidP="0032451D">
      <w:pPr>
        <w:pStyle w:val="SubmissionNormal"/>
        <w:tabs>
          <w:tab w:val="num" w:pos="720"/>
        </w:tabs>
      </w:pPr>
      <w:r w:rsidRPr="00592D35">
        <w:t xml:space="preserve">Finally, Mr Kuster may also be a person who is stateless. Without a specific framework to assess or rectify a person’s claim of statelessness, it falls solely on the discretionary powers available to the Minister to address this </w:t>
      </w:r>
      <w:r w:rsidRPr="00592D35">
        <w:lastRenderedPageBreak/>
        <w:t>claim and decide whether it warrants consideration of an alternative to held detention.</w:t>
      </w:r>
    </w:p>
    <w:p w14:paraId="3E0C23F8" w14:textId="0E1E34E4" w:rsidR="0032451D" w:rsidRPr="00592D35" w:rsidRDefault="00950E04" w:rsidP="0032451D">
      <w:pPr>
        <w:pStyle w:val="SubmissionNormal"/>
        <w:tabs>
          <w:tab w:val="num" w:pos="720"/>
        </w:tabs>
      </w:pPr>
      <w:r>
        <w:t>Professor Croucher considered</w:t>
      </w:r>
      <w:r w:rsidR="0032451D" w:rsidRPr="00592D35">
        <w:t xml:space="preserve"> two acts of the Commonwealth as relevant to this inquiry: </w:t>
      </w:r>
    </w:p>
    <w:p w14:paraId="72CCAFEB" w14:textId="77777777" w:rsidR="0032451D" w:rsidRPr="00592D35" w:rsidRDefault="0032451D" w:rsidP="00D65CED">
      <w:pPr>
        <w:pStyle w:val="Style2"/>
      </w:pPr>
      <w:r w:rsidRPr="00592D35">
        <w:t xml:space="preserve">the failure of the Department to </w:t>
      </w:r>
      <w:r w:rsidRPr="00734467">
        <w:t xml:space="preserve">refer the case to the Minister </w:t>
      </w:r>
      <w:r>
        <w:t xml:space="preserve">until September 2023 </w:t>
      </w:r>
      <w:r w:rsidRPr="00734467">
        <w:t>in order for the Minister to assess</w:t>
      </w:r>
      <w:r w:rsidRPr="00592D35">
        <w:t xml:space="preserve"> whether to exercise his discretionary powers under sections 195A or 197AB of the Migration Act</w:t>
      </w:r>
    </w:p>
    <w:p w14:paraId="3185BE83" w14:textId="77777777" w:rsidR="0032451D" w:rsidRPr="00592D35" w:rsidRDefault="0032451D" w:rsidP="00D65CED">
      <w:pPr>
        <w:pStyle w:val="Style2"/>
      </w:pPr>
      <w:r w:rsidRPr="00592D35">
        <w:t>the Department’s failure to formally assess whether Mr Kuster is stateless according to international law.</w:t>
      </w:r>
    </w:p>
    <w:p w14:paraId="72EA700B" w14:textId="77777777" w:rsidR="0032451D" w:rsidRPr="00592D35" w:rsidRDefault="0032451D" w:rsidP="0032451D">
      <w:pPr>
        <w:pStyle w:val="Heading1"/>
        <w:rPr>
          <w:rStyle w:val="markedcontent"/>
        </w:rPr>
      </w:pPr>
      <w:bookmarkStart w:id="31" w:name="_Toc165268443"/>
      <w:bookmarkStart w:id="32" w:name="_Toc195778541"/>
      <w:r w:rsidRPr="00592D35">
        <w:t>Assessment</w:t>
      </w:r>
      <w:bookmarkEnd w:id="31"/>
      <w:bookmarkEnd w:id="32"/>
    </w:p>
    <w:p w14:paraId="26D948A3" w14:textId="77777777" w:rsidR="0032451D" w:rsidRPr="00780E8E" w:rsidRDefault="0032451D" w:rsidP="0032451D">
      <w:pPr>
        <w:pStyle w:val="Heading2"/>
        <w:rPr>
          <w:i/>
          <w:iCs/>
        </w:rPr>
      </w:pPr>
      <w:bookmarkStart w:id="33" w:name="_Toc165268444"/>
      <w:bookmarkStart w:id="34" w:name="_Toc195778542"/>
      <w:r w:rsidRPr="00780E8E">
        <w:rPr>
          <w:iCs/>
        </w:rPr>
        <w:t>Failure to refer</w:t>
      </w:r>
      <w:bookmarkEnd w:id="33"/>
      <w:bookmarkEnd w:id="34"/>
    </w:p>
    <w:p w14:paraId="78C46BC1" w14:textId="77777777" w:rsidR="0032451D" w:rsidRPr="00592D35" w:rsidRDefault="0032451D" w:rsidP="0032451D">
      <w:pPr>
        <w:pStyle w:val="SubmissionNormal"/>
        <w:tabs>
          <w:tab w:val="num" w:pos="720"/>
        </w:tabs>
      </w:pPr>
      <w:r w:rsidRPr="00592D35">
        <w:t xml:space="preserve">The Department commenced a ministerial intervention process for Mr Kuster’s case to be assessed under the section 195A or section 197AB guidelines for the first time on 4 January 2023, after he had been detained for almost four and a half years. </w:t>
      </w:r>
      <w:r>
        <w:t>On 21 September 2023 (after the Commission had issued its preliminary view of his complaint), the Department referred Mr Kuster’s case to the Minister under ss 195A and 197AB of the Migration Act.</w:t>
      </w:r>
    </w:p>
    <w:p w14:paraId="2266C373" w14:textId="6BCB2C3C" w:rsidR="0032451D" w:rsidRPr="00592D35" w:rsidRDefault="0032451D" w:rsidP="0032451D">
      <w:pPr>
        <w:pStyle w:val="SubmissionNormal"/>
        <w:tabs>
          <w:tab w:val="num" w:pos="720"/>
        </w:tabs>
      </w:pPr>
      <w:r w:rsidRPr="00592D35">
        <w:t xml:space="preserve">Based on the material </w:t>
      </w:r>
      <w:r w:rsidR="00ED04A0">
        <w:t>provided</w:t>
      </w:r>
      <w:r w:rsidRPr="00592D35">
        <w:t>, there are a number of factors which weigh in favour of Mr Kuster being positively assessed for a referral.</w:t>
      </w:r>
    </w:p>
    <w:p w14:paraId="5B64E1D3" w14:textId="77777777" w:rsidR="0032451D" w:rsidRPr="00592D35" w:rsidRDefault="0032451D" w:rsidP="0032451D">
      <w:pPr>
        <w:pStyle w:val="SubmissionNormal"/>
        <w:tabs>
          <w:tab w:val="num" w:pos="720"/>
        </w:tabs>
      </w:pPr>
      <w:r w:rsidRPr="00592D35">
        <w:t>In the Statements of Reasons for the decision not to revoke the visa cancellation dated 12 April 2021, the Minister noted</w:t>
      </w:r>
      <w:r>
        <w:t>:</w:t>
      </w:r>
      <w:r w:rsidRPr="00592D35">
        <w:t xml:space="preserve"> </w:t>
      </w:r>
    </w:p>
    <w:p w14:paraId="48384DB1" w14:textId="77777777" w:rsidR="0032451D" w:rsidRPr="00F03705" w:rsidRDefault="0032451D" w:rsidP="0032451D">
      <w:pPr>
        <w:pStyle w:val="Blockquote"/>
        <w:rPr>
          <w:rFonts w:cs="Open Sans"/>
          <w:sz w:val="22"/>
          <w:szCs w:val="22"/>
        </w:rPr>
      </w:pPr>
      <w:r w:rsidRPr="00F03705">
        <w:rPr>
          <w:rFonts w:cs="Open Sans"/>
          <w:sz w:val="22"/>
          <w:szCs w:val="22"/>
        </w:rPr>
        <w:t>Mr KUSTER has been making a positive contribution for some 20 years to the community and that he and his family have significant ties to Australia.</w:t>
      </w:r>
    </w:p>
    <w:p w14:paraId="33096AAD" w14:textId="77777777" w:rsidR="0032451D" w:rsidRPr="00592D35" w:rsidRDefault="0032451D" w:rsidP="0032451D">
      <w:pPr>
        <w:pStyle w:val="SubmissionNormal"/>
        <w:tabs>
          <w:tab w:val="num" w:pos="720"/>
        </w:tabs>
      </w:pPr>
      <w:r w:rsidRPr="00592D35">
        <w:t>In relation to his son, the Minister found that</w:t>
      </w:r>
      <w:r>
        <w:t>:</w:t>
      </w:r>
    </w:p>
    <w:p w14:paraId="0B4E2D7E" w14:textId="5622CFFC" w:rsidR="0032451D" w:rsidRPr="00416C6B" w:rsidRDefault="0032451D" w:rsidP="0032451D">
      <w:pPr>
        <w:pStyle w:val="Blockquote"/>
        <w:rPr>
          <w:rFonts w:cs="Open Sans"/>
          <w:sz w:val="22"/>
          <w:szCs w:val="22"/>
        </w:rPr>
      </w:pPr>
      <w:r w:rsidRPr="00416C6B">
        <w:rPr>
          <w:rFonts w:cs="Open Sans"/>
          <w:sz w:val="22"/>
          <w:szCs w:val="22"/>
        </w:rPr>
        <w:t xml:space="preserve">it is in the best interests of </w:t>
      </w:r>
      <w:r w:rsidR="00CF05F7">
        <w:rPr>
          <w:rFonts w:cs="Open Sans"/>
          <w:sz w:val="22"/>
          <w:szCs w:val="22"/>
        </w:rPr>
        <w:t>[Mr Kuster’s son]</w:t>
      </w:r>
      <w:r w:rsidRPr="00416C6B">
        <w:rPr>
          <w:rFonts w:cs="Open Sans"/>
          <w:sz w:val="22"/>
          <w:szCs w:val="22"/>
        </w:rPr>
        <w:t xml:space="preserve"> that I revoke the original decision to </w:t>
      </w:r>
      <w:r w:rsidRPr="00416C6B">
        <w:rPr>
          <w:rStyle w:val="BlockquoteChar"/>
          <w:rFonts w:cs="Open Sans"/>
          <w:sz w:val="22"/>
          <w:szCs w:val="20"/>
        </w:rPr>
        <w:t xml:space="preserve">cancel Mr KUSTER’s visa. I note that while </w:t>
      </w:r>
      <w:r w:rsidR="00AC4C85">
        <w:rPr>
          <w:rStyle w:val="BlockquoteChar"/>
          <w:rFonts w:cs="Open Sans"/>
          <w:sz w:val="22"/>
          <w:szCs w:val="20"/>
        </w:rPr>
        <w:t>[Mr Kuster’s son]</w:t>
      </w:r>
      <w:r w:rsidRPr="00416C6B">
        <w:rPr>
          <w:rStyle w:val="BlockquoteChar"/>
          <w:rFonts w:cs="Open Sans"/>
          <w:sz w:val="22"/>
          <w:szCs w:val="20"/>
        </w:rPr>
        <w:t xml:space="preserve"> does not rely on Mr KUSTER for his daily care and welfare, he will nevertheless suffer hardship if Mr KUSTER were removed from Australia, as he would be deprived of the opportunity to develop personal contact with his father to bond with him in the future, if he so chooses</w:t>
      </w:r>
      <w:r w:rsidRPr="00416C6B">
        <w:rPr>
          <w:rFonts w:cs="Open Sans"/>
          <w:sz w:val="22"/>
          <w:szCs w:val="22"/>
        </w:rPr>
        <w:t>.</w:t>
      </w:r>
    </w:p>
    <w:p w14:paraId="5133E88E" w14:textId="77777777" w:rsidR="0032451D" w:rsidRPr="00592D35" w:rsidRDefault="0032451D" w:rsidP="0032451D">
      <w:pPr>
        <w:pStyle w:val="SubmissionNormal"/>
        <w:tabs>
          <w:tab w:val="num" w:pos="720"/>
        </w:tabs>
      </w:pPr>
      <w:r w:rsidRPr="00592D35">
        <w:t>In relation to the prospects of removal and risk of indefinite detention, the Minister found that</w:t>
      </w:r>
      <w:r>
        <w:t>:</w:t>
      </w:r>
    </w:p>
    <w:p w14:paraId="4F6D68C0" w14:textId="77777777" w:rsidR="0032451D" w:rsidRPr="00416C6B" w:rsidRDefault="0032451D" w:rsidP="0032451D">
      <w:pPr>
        <w:pStyle w:val="Blockquote"/>
        <w:spacing w:after="240"/>
        <w:ind w:left="1089" w:right="6"/>
        <w:rPr>
          <w:rStyle w:val="BlockquoteChar"/>
          <w:rFonts w:cs="Open Sans"/>
          <w:sz w:val="22"/>
          <w:szCs w:val="22"/>
        </w:rPr>
      </w:pPr>
      <w:r w:rsidRPr="00416C6B">
        <w:rPr>
          <w:rStyle w:val="BlockquoteChar"/>
          <w:rFonts w:cs="Open Sans"/>
          <w:sz w:val="22"/>
          <w:szCs w:val="22"/>
        </w:rPr>
        <w:lastRenderedPageBreak/>
        <w:t>at least at the present time, it is not reasonably practicable to remove Mr KUSTER from Australia to PNG. Nor is it apparent to me at present that Mr KUSTER may be removed to any other country. In the meantime, he must continue to be detained … unless granted another visa. I have also noted that it is currently unclear whether and when his removal from Australia will become reasonably practicable.</w:t>
      </w:r>
    </w:p>
    <w:p w14:paraId="33586D6F" w14:textId="77777777" w:rsidR="0032451D" w:rsidRPr="00416C6B" w:rsidRDefault="0032451D" w:rsidP="0032451D">
      <w:pPr>
        <w:pStyle w:val="Blockquote"/>
        <w:spacing w:after="240"/>
        <w:ind w:left="1089" w:right="6"/>
        <w:rPr>
          <w:rFonts w:cs="Open Sans"/>
          <w:sz w:val="22"/>
          <w:szCs w:val="22"/>
        </w:rPr>
      </w:pPr>
      <w:r w:rsidRPr="00416C6B">
        <w:rPr>
          <w:rStyle w:val="BlockquoteChar"/>
          <w:rFonts w:cs="Open Sans"/>
          <w:sz w:val="22"/>
          <w:szCs w:val="20"/>
        </w:rPr>
        <w:t>I have found the possibility of indefinite detention for Mr KUSTER weighs in favour of revocation of the cancellation of his visa</w:t>
      </w:r>
      <w:r w:rsidRPr="00416C6B">
        <w:rPr>
          <w:rStyle w:val="BlockquoteChar"/>
          <w:rFonts w:cs="Open Sans"/>
          <w:sz w:val="22"/>
          <w:szCs w:val="22"/>
        </w:rPr>
        <w:t>.</w:t>
      </w:r>
    </w:p>
    <w:p w14:paraId="626B1370" w14:textId="77777777" w:rsidR="0032451D" w:rsidRPr="00592D35" w:rsidRDefault="0032451D" w:rsidP="0032451D">
      <w:pPr>
        <w:pStyle w:val="SubmissionNormal"/>
        <w:tabs>
          <w:tab w:val="num" w:pos="720"/>
        </w:tabs>
      </w:pPr>
      <w:r>
        <w:t>However, when weighing up all the relevant factors, the Minister was not satisfied that Mr Kuster passed the character test, and determined that there was not another reason to revoke the cancellation of his visa, given his long history of reoffending, serious nature of the crimes committed, concerns about his ability to refrain from further offending, and concerns of harm to the Australian community should he reoffend in a similar manner.</w:t>
      </w:r>
    </w:p>
    <w:p w14:paraId="40D5A0E8" w14:textId="77777777" w:rsidR="0032451D" w:rsidRPr="00592D35" w:rsidRDefault="0032451D" w:rsidP="0032451D">
      <w:pPr>
        <w:pStyle w:val="SubmissionNormal"/>
        <w:tabs>
          <w:tab w:val="num" w:pos="720"/>
        </w:tabs>
      </w:pPr>
      <w:r w:rsidRPr="00592D35">
        <w:t>By operation of the Minister’s 2016 guidelines for section 195A,</w:t>
      </w:r>
      <w:r w:rsidRPr="00592D35">
        <w:rPr>
          <w:rStyle w:val="EndnoteReference"/>
          <w:rFonts w:eastAsia="MS Mincho" w:cs="Open Sans"/>
        </w:rPr>
        <w:endnoteReference w:id="24"/>
      </w:r>
      <w:r w:rsidRPr="00592D35">
        <w:t xml:space="preserve"> the Minister would not expect referral of cases where a person’s visa was refused or cancelled under s 501 of the Migration Act, unless there were compelling or compassionate circumstances. </w:t>
      </w:r>
      <w:bookmarkStart w:id="35" w:name="_Hlk100689084"/>
      <w:r w:rsidRPr="00592D35">
        <w:t>Similarly, under the Minister’s 2017 guidelines for section 197AB,</w:t>
      </w:r>
      <w:r w:rsidRPr="00592D35">
        <w:rPr>
          <w:rStyle w:val="EndnoteReference"/>
          <w:rFonts w:eastAsia="MS Mincho" w:cs="Open Sans"/>
        </w:rPr>
        <w:endnoteReference w:id="25"/>
      </w:r>
      <w:r w:rsidRPr="00592D35">
        <w:t xml:space="preserve"> the Minister would not expect referral of cases where a person may fail the character test under s 501 of the Migration Act</w:t>
      </w:r>
      <w:r>
        <w:t>,</w:t>
      </w:r>
      <w:r w:rsidRPr="00592D35">
        <w:t xml:space="preserve"> unless there were exceptional circumstances.</w:t>
      </w:r>
      <w:bookmarkStart w:id="36" w:name="_Hlk99823592"/>
      <w:bookmarkEnd w:id="35"/>
    </w:p>
    <w:p w14:paraId="5E8AA95D" w14:textId="07700580" w:rsidR="0032451D" w:rsidRPr="00592D35" w:rsidRDefault="00950E04" w:rsidP="0032451D">
      <w:pPr>
        <w:pStyle w:val="SubmissionNormal"/>
        <w:tabs>
          <w:tab w:val="num" w:pos="720"/>
        </w:tabs>
      </w:pPr>
      <w:r>
        <w:t xml:space="preserve">Professor Croucher </w:t>
      </w:r>
      <w:r w:rsidR="0032451D" w:rsidRPr="00592D35">
        <w:t>acknowledge</w:t>
      </w:r>
      <w:r>
        <w:t>d</w:t>
      </w:r>
      <w:r w:rsidR="0032451D" w:rsidRPr="00592D35">
        <w:t xml:space="preserve"> that Mr Kuster has a serious and extensive criminal history, and some of the offences committed were sufficiently serious to attract sentences of imprisonment. </w:t>
      </w:r>
      <w:r w:rsidR="00C0249B">
        <w:t>Professor Croucher</w:t>
      </w:r>
      <w:r w:rsidR="0032451D" w:rsidRPr="00592D35">
        <w:t xml:space="preserve"> </w:t>
      </w:r>
      <w:bookmarkStart w:id="37" w:name="_Hlk99890771"/>
      <w:bookmarkEnd w:id="36"/>
      <w:r w:rsidR="0032451D" w:rsidRPr="00592D35">
        <w:t>also acknowledge</w:t>
      </w:r>
      <w:r w:rsidR="00C0249B">
        <w:t>d</w:t>
      </w:r>
      <w:r w:rsidR="0032451D" w:rsidRPr="00592D35">
        <w:t xml:space="preserve"> that he was found by the Minister to pose a risk of re-offending and risk to the community. However, he served the criminal sentence imposed (2 years and 6 months). </w:t>
      </w:r>
      <w:r w:rsidR="008A041E">
        <w:t xml:space="preserve">It was also </w:t>
      </w:r>
      <w:r w:rsidR="009113F5">
        <w:t>noted</w:t>
      </w:r>
      <w:r w:rsidR="0032451D" w:rsidRPr="00592D35">
        <w:t xml:space="preserve"> that Mr Kuster spent more time in immigration detention than the sentence imposed by the court. The issue </w:t>
      </w:r>
      <w:r w:rsidR="00185E20">
        <w:t xml:space="preserve">therefore </w:t>
      </w:r>
      <w:r w:rsidR="00C960BA">
        <w:t xml:space="preserve">was </w:t>
      </w:r>
      <w:r w:rsidR="0032451D" w:rsidRPr="00592D35">
        <w:t xml:space="preserve">whether his administrative immigration detention </w:t>
      </w:r>
      <w:r w:rsidR="0032451D">
        <w:t>can be considered</w:t>
      </w:r>
      <w:r w:rsidR="0032451D" w:rsidRPr="00592D35">
        <w:t xml:space="preserve"> arbitrary</w:t>
      </w:r>
      <w:bookmarkEnd w:id="37"/>
      <w:r w:rsidR="0032451D" w:rsidRPr="00592D35">
        <w:t>.</w:t>
      </w:r>
    </w:p>
    <w:p w14:paraId="089040C3" w14:textId="77777777" w:rsidR="0032451D" w:rsidRDefault="0032451D" w:rsidP="0032451D">
      <w:pPr>
        <w:pStyle w:val="SubmissionNormal"/>
        <w:tabs>
          <w:tab w:val="num" w:pos="720"/>
        </w:tabs>
      </w:pPr>
      <w:r w:rsidRPr="00592D35">
        <w:t>The only justification given by the Department as to why Mr Kuster was never previously considered under the ministerial guidelines for referral under s</w:t>
      </w:r>
      <w:r>
        <w:t>s </w:t>
      </w:r>
      <w:r w:rsidRPr="00592D35">
        <w:t>195A and 197AB</w:t>
      </w:r>
      <w:r>
        <w:t>,</w:t>
      </w:r>
      <w:r w:rsidRPr="00592D35">
        <w:t xml:space="preserve"> is that he failed the character test.</w:t>
      </w:r>
    </w:p>
    <w:p w14:paraId="21112281" w14:textId="6D28B3A6" w:rsidR="0032451D" w:rsidRDefault="0032451D" w:rsidP="0032451D">
      <w:pPr>
        <w:pStyle w:val="SubmissionNormal"/>
        <w:tabs>
          <w:tab w:val="num" w:pos="720"/>
        </w:tabs>
      </w:pPr>
      <w:r>
        <w:t xml:space="preserve">In response to </w:t>
      </w:r>
      <w:r w:rsidR="005F72FF">
        <w:t>Professor Croucher’s</w:t>
      </w:r>
      <w:r>
        <w:t xml:space="preserve"> preliminary view however, the Department stated:</w:t>
      </w:r>
    </w:p>
    <w:p w14:paraId="2965620A" w14:textId="77777777" w:rsidR="0032451D" w:rsidRPr="00833CA7" w:rsidRDefault="0032451D" w:rsidP="0032451D">
      <w:pPr>
        <w:pStyle w:val="Blockquote"/>
        <w:spacing w:after="240"/>
        <w:ind w:left="1089" w:right="6"/>
        <w:rPr>
          <w:sz w:val="22"/>
          <w:szCs w:val="22"/>
        </w:rPr>
      </w:pPr>
      <w:r w:rsidRPr="00833CA7">
        <w:rPr>
          <w:sz w:val="22"/>
          <w:szCs w:val="22"/>
        </w:rPr>
        <w:lastRenderedPageBreak/>
        <w:t>The Department does not accept that Mr Kuster’s character was the only reason he was not previously considered for Ministerial Intervention under sections 195A and 197AB of the Act. In line with the Department’s policies and procedures, a SRO actively considers a person’s circumstances including the appropriateness of placement in held detention on a regular basis and liaises with the Ministerial Intervention Section if a person has requested Ministerial Intervention in their case or where there are particular vulnerabilities such as significant health issues, cases involving children in detention or if a person has been in detention for a significant period of time without progress.</w:t>
      </w:r>
    </w:p>
    <w:p w14:paraId="316EF5CC" w14:textId="77777777" w:rsidR="0032451D" w:rsidRPr="00833CA7" w:rsidRDefault="0032451D" w:rsidP="0032451D">
      <w:pPr>
        <w:pStyle w:val="Blockquote"/>
        <w:spacing w:after="240"/>
        <w:ind w:left="1089" w:right="6"/>
        <w:rPr>
          <w:sz w:val="22"/>
          <w:szCs w:val="22"/>
        </w:rPr>
      </w:pPr>
      <w:r w:rsidRPr="00833CA7">
        <w:rPr>
          <w:sz w:val="22"/>
          <w:szCs w:val="22"/>
        </w:rPr>
        <w:t>The SRO was satisfied that Mr Kuster could continue to be appropriately managed in a held detention environment, as he had an ongoing immigration matter and his removal was being progressed. As a result, Mr Kuster’s case was not referred to the Ministerial Intervention Sections at the time for consideration, noting that a Ministerial Intervention process had already been initiated.</w:t>
      </w:r>
    </w:p>
    <w:p w14:paraId="08D856A0" w14:textId="77777777" w:rsidR="0032451D" w:rsidRDefault="0032451D" w:rsidP="0032451D">
      <w:pPr>
        <w:pStyle w:val="SubmissionNormal"/>
        <w:tabs>
          <w:tab w:val="num" w:pos="720"/>
        </w:tabs>
        <w:rPr>
          <w:rStyle w:val="markedcontent"/>
        </w:rPr>
      </w:pPr>
      <w:r w:rsidRPr="00592D35">
        <w:rPr>
          <w:rStyle w:val="markedcontent"/>
        </w:rPr>
        <w:t>Not being able to remove a person from Australia or failing the character test under section 501 of the Migration Act are not</w:t>
      </w:r>
      <w:r>
        <w:rPr>
          <w:rStyle w:val="markedcontent"/>
        </w:rPr>
        <w:t>,</w:t>
      </w:r>
      <w:r w:rsidRPr="00592D35">
        <w:rPr>
          <w:rStyle w:val="markedcontent"/>
        </w:rPr>
        <w:t xml:space="preserve"> in and of themselves</w:t>
      </w:r>
      <w:r>
        <w:rPr>
          <w:rStyle w:val="markedcontent"/>
        </w:rPr>
        <w:t xml:space="preserve">, </w:t>
      </w:r>
      <w:r w:rsidRPr="00592D35">
        <w:rPr>
          <w:rStyle w:val="markedcontent"/>
        </w:rPr>
        <w:t>sufficient justification for continued immigration detention. Closed detention should only be used in exceptional circumstances</w:t>
      </w:r>
      <w:r>
        <w:rPr>
          <w:rStyle w:val="markedcontent"/>
        </w:rPr>
        <w:t>,</w:t>
      </w:r>
      <w:r w:rsidRPr="00592D35">
        <w:rPr>
          <w:rStyle w:val="markedcontent"/>
        </w:rPr>
        <w:t xml:space="preserve"> where identified risks cannot be managed through less restrictive means.</w:t>
      </w:r>
    </w:p>
    <w:p w14:paraId="6E7FDE7C" w14:textId="77777777" w:rsidR="0032451D" w:rsidRPr="00592D35" w:rsidRDefault="0032451D" w:rsidP="0032451D">
      <w:pPr>
        <w:pStyle w:val="SubmissionNormal"/>
        <w:tabs>
          <w:tab w:val="num" w:pos="720"/>
        </w:tabs>
        <w:rPr>
          <w:rStyle w:val="markedcontent"/>
        </w:rPr>
      </w:pPr>
      <w:r>
        <w:rPr>
          <w:rStyle w:val="markedcontent"/>
        </w:rPr>
        <w:t>Instead, the Department’s policy is to continue to detain a person unless factors justifying release exist.</w:t>
      </w:r>
    </w:p>
    <w:p w14:paraId="3A873B40" w14:textId="77777777" w:rsidR="0032451D" w:rsidRPr="00592D35" w:rsidRDefault="0032451D" w:rsidP="0032451D">
      <w:pPr>
        <w:pStyle w:val="SubmissionNormal"/>
        <w:tabs>
          <w:tab w:val="num" w:pos="720"/>
        </w:tabs>
        <w:rPr>
          <w:rStyle w:val="markedcontent"/>
        </w:rPr>
      </w:pPr>
      <w:r w:rsidRPr="00592D35">
        <w:rPr>
          <w:rFonts w:eastAsia="Calibri"/>
        </w:rPr>
        <w:t xml:space="preserve">Alternatives to closed detention should be routinely considered for all individuals in immigration detention, with conditions applied to mitigate risks as appropriate. </w:t>
      </w:r>
    </w:p>
    <w:p w14:paraId="70F8D7FE" w14:textId="77777777" w:rsidR="0032451D" w:rsidRPr="00592D35" w:rsidRDefault="0032451D" w:rsidP="0032451D">
      <w:pPr>
        <w:pStyle w:val="SubmissionNormal"/>
        <w:tabs>
          <w:tab w:val="num" w:pos="720"/>
        </w:tabs>
      </w:pPr>
      <w:r w:rsidRPr="00592D35">
        <w:t xml:space="preserve">Detention may become </w:t>
      </w:r>
      <w:r>
        <w:t>‘</w:t>
      </w:r>
      <w:r w:rsidRPr="00592D35">
        <w:t>arbitrary</w:t>
      </w:r>
      <w:r>
        <w:t>’</w:t>
      </w:r>
      <w:r w:rsidRPr="00592D35">
        <w:t xml:space="preserve"> in cases where closed detention is disproportionate or not justified in a person’s particular circumstances, such as where a person does not pose a risk to the community, or an identified risk could be managed in a less restrictive way.</w:t>
      </w:r>
    </w:p>
    <w:p w14:paraId="158331FF" w14:textId="77777777" w:rsidR="0032451D" w:rsidRPr="00592D35" w:rsidRDefault="0032451D" w:rsidP="0032451D">
      <w:pPr>
        <w:pStyle w:val="SubmissionNormal"/>
        <w:tabs>
          <w:tab w:val="num" w:pos="720"/>
        </w:tabs>
      </w:pPr>
      <w:r w:rsidRPr="00592D35">
        <w:t xml:space="preserve">In light of the Department’s concerns about Mr Kuster’s criminal history and risk to the community, any referral to the Minister should </w:t>
      </w:r>
      <w:r>
        <w:t xml:space="preserve">have </w:t>
      </w:r>
      <w:r w:rsidRPr="00592D35">
        <w:t>include</w:t>
      </w:r>
      <w:r>
        <w:t>d</w:t>
      </w:r>
      <w:r w:rsidRPr="00592D35">
        <w:t xml:space="preserve"> a risk assessment of whether any risks of harm to the community could be mitigated by the imposition of conditions, for example parole-like conditions attaching to community detention.</w:t>
      </w:r>
    </w:p>
    <w:p w14:paraId="6521CDE4" w14:textId="77777777" w:rsidR="0032451D" w:rsidRPr="00592D35" w:rsidRDefault="0032451D" w:rsidP="0032451D">
      <w:pPr>
        <w:pStyle w:val="SubmissionNormal"/>
        <w:tabs>
          <w:tab w:val="num" w:pos="720"/>
        </w:tabs>
        <w:rPr>
          <w:rFonts w:eastAsia="Calibri"/>
          <w:color w:val="000000"/>
        </w:rPr>
      </w:pPr>
      <w:r w:rsidRPr="00592D35">
        <w:rPr>
          <w:rFonts w:eastAsia="Calibri"/>
          <w:color w:val="000000"/>
        </w:rPr>
        <w:t xml:space="preserve">As set out in the </w:t>
      </w:r>
      <w:r w:rsidRPr="00592D35">
        <w:t>Commission’s 2021 report</w:t>
      </w:r>
      <w:r>
        <w:t>,</w:t>
      </w:r>
      <w:r w:rsidRPr="00592D35">
        <w:t xml:space="preserve"> </w:t>
      </w:r>
      <w:r w:rsidRPr="00592D35">
        <w:rPr>
          <w:i/>
          <w:iCs/>
        </w:rPr>
        <w:t>Immigration detention following visa refusal or cancellation under section 501 of the Migration Act 1958 (Cth)</w:t>
      </w:r>
      <w:r w:rsidRPr="00592D35">
        <w:t>,</w:t>
      </w:r>
      <w:r w:rsidRPr="00592D35">
        <w:rPr>
          <w:rStyle w:val="EndnoteReference"/>
          <w:rFonts w:eastAsia="Calibri" w:cs="Open Sans"/>
          <w:color w:val="000000"/>
        </w:rPr>
        <w:endnoteReference w:id="26"/>
      </w:r>
      <w:r w:rsidRPr="00592D35">
        <w:rPr>
          <w:rFonts w:eastAsia="Calibri"/>
          <w:color w:val="000000"/>
        </w:rPr>
        <w:t xml:space="preserve"> the Minister has the power to grant a Bridging visa or make a residence determination and attach any conditions the Minister considers appropriate to manage any risk, real or perceived, that person poses to the community.</w:t>
      </w:r>
      <w:r w:rsidRPr="00592D35">
        <w:rPr>
          <w:rStyle w:val="EndnoteReference"/>
          <w:rFonts w:eastAsia="Calibri" w:cs="Open Sans"/>
          <w:color w:val="000000"/>
        </w:rPr>
        <w:endnoteReference w:id="27"/>
      </w:r>
      <w:r w:rsidRPr="00592D35">
        <w:rPr>
          <w:rFonts w:eastAsia="Calibri"/>
          <w:color w:val="000000"/>
        </w:rPr>
        <w:t xml:space="preserve"> Examples of these conditions include a requirement that </w:t>
      </w:r>
      <w:r w:rsidRPr="00592D35">
        <w:rPr>
          <w:rFonts w:eastAsia="Calibri"/>
          <w:color w:val="000000"/>
        </w:rPr>
        <w:lastRenderedPageBreak/>
        <w:t>the person ‘be of good behaviour’, report to immigration authorities on a regular basis, notify immigration authorities of the person’s movements</w:t>
      </w:r>
      <w:r>
        <w:rPr>
          <w:rFonts w:eastAsia="Calibri"/>
          <w:color w:val="000000"/>
        </w:rPr>
        <w:t>,</w:t>
      </w:r>
      <w:r w:rsidRPr="00592D35">
        <w:rPr>
          <w:rFonts w:eastAsia="Calibri"/>
          <w:color w:val="000000"/>
        </w:rPr>
        <w:t xml:space="preserve"> such as interstate travel, and not associate with certain persons or organisations.</w:t>
      </w:r>
    </w:p>
    <w:p w14:paraId="5CE47DE4" w14:textId="77777777" w:rsidR="0032451D" w:rsidRPr="00592D35" w:rsidRDefault="0032451D" w:rsidP="0032451D">
      <w:pPr>
        <w:pStyle w:val="SubmissionNormal"/>
        <w:tabs>
          <w:tab w:val="num" w:pos="720"/>
        </w:tabs>
        <w:rPr>
          <w:rFonts w:eastAsia="Calibri"/>
        </w:rPr>
      </w:pPr>
      <w:r w:rsidRPr="79FBAF4B">
        <w:rPr>
          <w:rFonts w:eastAsia="Calibri"/>
        </w:rPr>
        <w:t>The Commission considers that these parole-like conditions could be applied to manage potential risks to the community. Consideration of alternatives to closed detention, with appropriate risk management, is particularly important for people such as Mr Kuster and other individuals in similar circumstances, when removal is not reasonably practicable.</w:t>
      </w:r>
    </w:p>
    <w:p w14:paraId="44BE7A68" w14:textId="77777777" w:rsidR="0032451D" w:rsidRPr="00592D35" w:rsidRDefault="0032451D" w:rsidP="0032451D">
      <w:pPr>
        <w:pStyle w:val="SubmissionNormal"/>
        <w:tabs>
          <w:tab w:val="num" w:pos="720"/>
        </w:tabs>
      </w:pPr>
      <w:r>
        <w:t>However, there is no evidence that the Department considered Mr Kuster’s individual circumstances surrounding his offending, risk of re-offending, behaviour while in detention, or support in the community to assess whether any risk to the Australian community could be mitigated.</w:t>
      </w:r>
    </w:p>
    <w:p w14:paraId="5A6AB4CE" w14:textId="77777777" w:rsidR="0032451D" w:rsidRPr="00592D35" w:rsidRDefault="0032451D" w:rsidP="0032451D">
      <w:pPr>
        <w:pStyle w:val="SubmissionNormal"/>
        <w:tabs>
          <w:tab w:val="num" w:pos="720"/>
        </w:tabs>
      </w:pPr>
      <w:r>
        <w:t xml:space="preserve">Under the section 195A guidelines, the fact that Mr Kuster’s removal was not reasonably practicable warranted referral of his case to the Minister. The existence of a criminal record does not preclude the referral of a case to the Minister for consideration of the use of the discretionary powers. </w:t>
      </w:r>
    </w:p>
    <w:p w14:paraId="4AA7388C" w14:textId="3CE024E5" w:rsidR="0032451D" w:rsidRPr="00592D35" w:rsidRDefault="009113F5" w:rsidP="0032451D">
      <w:pPr>
        <w:pStyle w:val="SubmissionNormal"/>
        <w:tabs>
          <w:tab w:val="num" w:pos="720"/>
        </w:tabs>
      </w:pPr>
      <w:r>
        <w:t xml:space="preserve">Professor Croucher </w:t>
      </w:r>
      <w:r w:rsidR="0032451D">
        <w:t>consider</w:t>
      </w:r>
      <w:r>
        <w:t>ed</w:t>
      </w:r>
      <w:r w:rsidR="0032451D">
        <w:t xml:space="preserve"> the following factors weighed in favour of Mr Kuster’s case being considered by the Department for referral to the Minister under sections 195A and/or 197AB sooner than it was:</w:t>
      </w:r>
    </w:p>
    <w:p w14:paraId="0C313A6A" w14:textId="77777777" w:rsidR="0032451D" w:rsidRPr="00592D35" w:rsidRDefault="0032451D" w:rsidP="00E00289">
      <w:pPr>
        <w:pStyle w:val="SubmissionNormal"/>
        <w:numPr>
          <w:ilvl w:val="1"/>
          <w:numId w:val="27"/>
        </w:numPr>
      </w:pPr>
      <w:r w:rsidRPr="00592D35">
        <w:t>he has lived in Australia for more than 34 years with significant family and community ties</w:t>
      </w:r>
    </w:p>
    <w:p w14:paraId="579AA908" w14:textId="77777777" w:rsidR="0032451D" w:rsidRPr="00592D35" w:rsidRDefault="0032451D" w:rsidP="00E00289">
      <w:pPr>
        <w:pStyle w:val="SubmissionNormal"/>
        <w:numPr>
          <w:ilvl w:val="1"/>
          <w:numId w:val="28"/>
        </w:numPr>
      </w:pPr>
      <w:r w:rsidRPr="00592D35">
        <w:t xml:space="preserve">he has an Australian partner and minor son </w:t>
      </w:r>
    </w:p>
    <w:p w14:paraId="63537E68" w14:textId="77777777" w:rsidR="0032451D" w:rsidRPr="00592D35" w:rsidRDefault="0032451D" w:rsidP="00E00289">
      <w:pPr>
        <w:pStyle w:val="SubmissionNormal"/>
        <w:numPr>
          <w:ilvl w:val="1"/>
          <w:numId w:val="29"/>
        </w:numPr>
      </w:pPr>
      <w:r w:rsidRPr="00592D35">
        <w:t>his protracted removal and recognised possibility of indefinite detention</w:t>
      </w:r>
      <w:r>
        <w:t>,</w:t>
      </w:r>
      <w:r w:rsidRPr="00592D35">
        <w:t xml:space="preserve"> given </w:t>
      </w:r>
      <w:r>
        <w:t xml:space="preserve">his </w:t>
      </w:r>
      <w:r w:rsidRPr="00592D35">
        <w:t xml:space="preserve">difficulty </w:t>
      </w:r>
      <w:r>
        <w:t xml:space="preserve">in </w:t>
      </w:r>
      <w:r w:rsidRPr="00592D35">
        <w:t>obtaining travel documents, and non-recognition of citizenship by PNG authorities</w:t>
      </w:r>
    </w:p>
    <w:p w14:paraId="15254835" w14:textId="77777777" w:rsidR="0032451D" w:rsidRPr="00592D35" w:rsidRDefault="0032451D" w:rsidP="00E00289">
      <w:pPr>
        <w:pStyle w:val="SubmissionNormal"/>
        <w:numPr>
          <w:ilvl w:val="1"/>
          <w:numId w:val="29"/>
        </w:numPr>
      </w:pPr>
      <w:r w:rsidRPr="00592D35">
        <w:t xml:space="preserve">possible stateless status (discussed in section </w:t>
      </w:r>
      <w:r>
        <w:t>6</w:t>
      </w:r>
      <w:r w:rsidRPr="00592D35">
        <w:t>.3 below)</w:t>
      </w:r>
    </w:p>
    <w:p w14:paraId="524FC65C" w14:textId="77777777" w:rsidR="0032451D" w:rsidRPr="00592D35" w:rsidRDefault="0032451D" w:rsidP="00E00289">
      <w:pPr>
        <w:pStyle w:val="SubmissionNormal"/>
        <w:numPr>
          <w:ilvl w:val="1"/>
          <w:numId w:val="29"/>
        </w:numPr>
      </w:pPr>
      <w:r>
        <w:t xml:space="preserve">he was </w:t>
      </w:r>
      <w:r w:rsidRPr="00592D35">
        <w:t xml:space="preserve">regarded as a role model detainee </w:t>
      </w:r>
    </w:p>
    <w:p w14:paraId="59799E99" w14:textId="77777777" w:rsidR="0032451D" w:rsidRPr="00592D35" w:rsidRDefault="0032451D" w:rsidP="00E00289">
      <w:pPr>
        <w:pStyle w:val="SubmissionNormal"/>
        <w:numPr>
          <w:ilvl w:val="1"/>
          <w:numId w:val="29"/>
        </w:numPr>
      </w:pPr>
      <w:r w:rsidRPr="00592D35">
        <w:t>his positive, genuine efforts to rehabilitate</w:t>
      </w:r>
    </w:p>
    <w:p w14:paraId="29C631FE" w14:textId="77777777" w:rsidR="0032451D" w:rsidRPr="00592D35" w:rsidRDefault="0032451D" w:rsidP="00E00289">
      <w:pPr>
        <w:pStyle w:val="SubmissionNormal"/>
        <w:numPr>
          <w:ilvl w:val="1"/>
          <w:numId w:val="29"/>
        </w:numPr>
      </w:pPr>
      <w:r w:rsidRPr="00592D35">
        <w:t>his various health conditions</w:t>
      </w:r>
    </w:p>
    <w:p w14:paraId="3378B205" w14:textId="00430690" w:rsidR="0032451D" w:rsidRPr="00592D35" w:rsidRDefault="0032451D" w:rsidP="00E00289">
      <w:pPr>
        <w:pStyle w:val="SubmissionNormal"/>
        <w:numPr>
          <w:ilvl w:val="1"/>
          <w:numId w:val="29"/>
        </w:numPr>
      </w:pPr>
      <w:r w:rsidRPr="00592D35">
        <w:t xml:space="preserve">his claim of indigeneity (after April 2021) (discussed in section </w:t>
      </w:r>
      <w:r>
        <w:fldChar w:fldCharType="begin"/>
      </w:r>
      <w:r>
        <w:instrText xml:space="preserve"> REF _Ref163545165 \r \h </w:instrText>
      </w:r>
      <w:r>
        <w:fldChar w:fldCharType="separate"/>
      </w:r>
      <w:r w:rsidR="00F328CD">
        <w:t>6.2</w:t>
      </w:r>
      <w:r>
        <w:fldChar w:fldCharType="end"/>
      </w:r>
      <w:r w:rsidRPr="00592D35">
        <w:t xml:space="preserve"> below).</w:t>
      </w:r>
    </w:p>
    <w:p w14:paraId="38522E00" w14:textId="045F715D" w:rsidR="0032451D" w:rsidRPr="00592D35" w:rsidRDefault="0032451D" w:rsidP="0032451D">
      <w:pPr>
        <w:pStyle w:val="SubmissionNormal"/>
        <w:tabs>
          <w:tab w:val="num" w:pos="720"/>
        </w:tabs>
      </w:pPr>
      <w:r>
        <w:lastRenderedPageBreak/>
        <w:t xml:space="preserve">Viewed cumulatively, </w:t>
      </w:r>
      <w:r w:rsidR="00EE54E6">
        <w:t>Professor Croucher</w:t>
      </w:r>
      <w:r>
        <w:t xml:space="preserve"> consider</w:t>
      </w:r>
      <w:r w:rsidR="00EE54E6">
        <w:t>ed</w:t>
      </w:r>
      <w:r>
        <w:t xml:space="preserve"> the above factors should have led to a referral to the Minister at a much earlier stage. </w:t>
      </w:r>
      <w:r w:rsidR="00EE54E6">
        <w:t>Professor Croucher</w:t>
      </w:r>
      <w:r>
        <w:t xml:space="preserve"> consider</w:t>
      </w:r>
      <w:r w:rsidR="00EE54E6">
        <w:t>ed</w:t>
      </w:r>
      <w:r>
        <w:t xml:space="preserve"> the above factors met the criteria in the respective guidelines of ‘unique or exceptional’ and ‘compelling or compassionate’ circumstances warranting referral to the Minister. The failure to refer effectively precluded any consideration by the Minister of less restrictive alternatives to held detention.</w:t>
      </w:r>
    </w:p>
    <w:p w14:paraId="43BB9B14" w14:textId="742C29D9" w:rsidR="0032451D" w:rsidRPr="00592D35" w:rsidRDefault="00EE54E6" w:rsidP="0032451D">
      <w:pPr>
        <w:pStyle w:val="SubmissionNormal"/>
        <w:tabs>
          <w:tab w:val="num" w:pos="720"/>
        </w:tabs>
      </w:pPr>
      <w:r>
        <w:t>Professor Croucher found</w:t>
      </w:r>
      <w:r w:rsidR="0032451D">
        <w:t xml:space="preserve"> that the failure of the Department to </w:t>
      </w:r>
      <w:r w:rsidR="0032451D" w:rsidRPr="00734467">
        <w:t xml:space="preserve">refer the case to the Minister </w:t>
      </w:r>
      <w:r w:rsidR="0032451D">
        <w:t xml:space="preserve">until September 2023 </w:t>
      </w:r>
      <w:r w:rsidR="0032451D" w:rsidRPr="00734467">
        <w:t>in order for the Minister to assess</w:t>
      </w:r>
      <w:r w:rsidR="0032451D" w:rsidRPr="00592D35">
        <w:t xml:space="preserve"> whether to exercise his discretionary powers under sections 195A or 197AB of the Migration Act</w:t>
      </w:r>
      <w:r w:rsidR="0032451D">
        <w:t xml:space="preserve"> is an act or practice which has contributed to his detention becoming arbitrary, contrary to article 9(1) of the ICCPR.</w:t>
      </w:r>
    </w:p>
    <w:p w14:paraId="0F392962" w14:textId="77777777" w:rsidR="0032451D" w:rsidRPr="00151B59" w:rsidRDefault="0032451D" w:rsidP="0032451D">
      <w:pPr>
        <w:pStyle w:val="Heading2"/>
        <w:rPr>
          <w:rFonts w:eastAsia="Calibri"/>
          <w:i/>
          <w:iCs/>
        </w:rPr>
      </w:pPr>
      <w:bookmarkStart w:id="38" w:name="_Ref163545165"/>
      <w:bookmarkStart w:id="39" w:name="_Toc165268445"/>
      <w:bookmarkStart w:id="40" w:name="_Toc195778543"/>
      <w:r w:rsidRPr="00151B59">
        <w:rPr>
          <w:rFonts w:eastAsia="Calibri"/>
          <w:iCs/>
        </w:rPr>
        <w:t>Indigeneity</w:t>
      </w:r>
      <w:bookmarkEnd w:id="38"/>
      <w:bookmarkEnd w:id="39"/>
      <w:bookmarkEnd w:id="40"/>
    </w:p>
    <w:p w14:paraId="1EF54349" w14:textId="77777777" w:rsidR="0032451D" w:rsidRPr="00592D35" w:rsidRDefault="0032451D" w:rsidP="0032451D">
      <w:pPr>
        <w:pStyle w:val="SubmissionNormal"/>
        <w:tabs>
          <w:tab w:val="num" w:pos="720"/>
        </w:tabs>
        <w:rPr>
          <w:rFonts w:eastAsia="Calibri"/>
        </w:rPr>
      </w:pPr>
      <w:r w:rsidRPr="79FBAF4B">
        <w:rPr>
          <w:rFonts w:eastAsia="Calibri"/>
        </w:rPr>
        <w:t>On 16 August 2022, the Department advised the Commission that removal planning had been delayed due to Mr Kuster’s claim to have an Indigenous Australian heritage.</w:t>
      </w:r>
    </w:p>
    <w:p w14:paraId="42230137" w14:textId="77777777" w:rsidR="0032451D" w:rsidRPr="00592D35" w:rsidRDefault="0032451D" w:rsidP="0032451D">
      <w:pPr>
        <w:pStyle w:val="SubmissionNormal"/>
        <w:tabs>
          <w:tab w:val="num" w:pos="720"/>
        </w:tabs>
        <w:rPr>
          <w:rFonts w:eastAsia="Calibri"/>
        </w:rPr>
      </w:pPr>
      <w:r w:rsidRPr="79FBAF4B">
        <w:rPr>
          <w:rFonts w:eastAsia="Calibri"/>
        </w:rPr>
        <w:t>The Minister’s reasons of 12 April 2021 do not refer to this claim.</w:t>
      </w:r>
    </w:p>
    <w:p w14:paraId="53F26F93" w14:textId="6AE5FB4D" w:rsidR="0032451D" w:rsidRPr="00592D35" w:rsidRDefault="0032451D" w:rsidP="0032451D">
      <w:pPr>
        <w:pStyle w:val="SubmissionNormal"/>
        <w:tabs>
          <w:tab w:val="num" w:pos="720"/>
        </w:tabs>
        <w:rPr>
          <w:rFonts w:eastAsia="Calibri"/>
        </w:rPr>
      </w:pPr>
      <w:r w:rsidRPr="79FBAF4B">
        <w:rPr>
          <w:rFonts w:eastAsia="Calibri"/>
        </w:rPr>
        <w:t xml:space="preserve">The first mention on the material </w:t>
      </w:r>
      <w:r w:rsidR="00BE2E28">
        <w:rPr>
          <w:rFonts w:eastAsia="Calibri"/>
        </w:rPr>
        <w:t xml:space="preserve">before the </w:t>
      </w:r>
      <w:r w:rsidR="00725581">
        <w:rPr>
          <w:rFonts w:eastAsia="Calibri"/>
        </w:rPr>
        <w:t xml:space="preserve">Commission </w:t>
      </w:r>
      <w:r w:rsidRPr="79FBAF4B">
        <w:rPr>
          <w:rFonts w:eastAsia="Calibri"/>
        </w:rPr>
        <w:t>of Mr Kuster raising these claims occurs in a report from the Department to the Commonwealth Ombudsman on 6 August 2021, stating that the claims had been raised on 19 and 22 April 2021. This was after the Minister made his decision not to revoke the cancellation of Mr Kuster’s visa.</w:t>
      </w:r>
    </w:p>
    <w:p w14:paraId="16AF3704" w14:textId="77777777" w:rsidR="0032451D" w:rsidRPr="00592D35" w:rsidRDefault="0032451D" w:rsidP="0032451D">
      <w:pPr>
        <w:pStyle w:val="SubmissionNormal"/>
        <w:tabs>
          <w:tab w:val="num" w:pos="720"/>
        </w:tabs>
        <w:rPr>
          <w:rFonts w:eastAsia="Calibri"/>
        </w:rPr>
      </w:pPr>
      <w:r w:rsidRPr="79FBAF4B">
        <w:rPr>
          <w:rFonts w:eastAsia="Calibri"/>
        </w:rPr>
        <w:t xml:space="preserve">The Department’s report to the Ombudsman states: </w:t>
      </w:r>
    </w:p>
    <w:p w14:paraId="5ADE5B69" w14:textId="77777777" w:rsidR="0032451D" w:rsidRPr="00B7561D" w:rsidRDefault="0032451D" w:rsidP="0032451D">
      <w:pPr>
        <w:pStyle w:val="Blockquote"/>
        <w:rPr>
          <w:rFonts w:cs="Open Sans"/>
          <w:sz w:val="22"/>
          <w:szCs w:val="22"/>
        </w:rPr>
      </w:pPr>
      <w:r w:rsidRPr="00B7561D">
        <w:rPr>
          <w:rFonts w:cs="Open Sans"/>
          <w:sz w:val="22"/>
          <w:szCs w:val="22"/>
        </w:rPr>
        <w:t>The Department has assessed these claims and has found that Mr Kuster does not meet, or probably meet, the first or third limbs of the tripartite test. On 19 July 2021, Mr Kuster was invited to provide further information to the Department in respect of his claims against the tripartite test. The Department will consider any further information provided by Mr Kuster in respect of the tripartite test.</w:t>
      </w:r>
    </w:p>
    <w:p w14:paraId="1F65A583" w14:textId="0BD9FB58" w:rsidR="0032451D" w:rsidRPr="00592D35" w:rsidRDefault="006E6AA6" w:rsidP="0032451D">
      <w:pPr>
        <w:pStyle w:val="SubmissionNormal"/>
        <w:tabs>
          <w:tab w:val="num" w:pos="720"/>
        </w:tabs>
        <w:rPr>
          <w:rFonts w:eastAsia="Calibri"/>
        </w:rPr>
      </w:pPr>
      <w:r>
        <w:rPr>
          <w:rFonts w:eastAsia="Calibri"/>
        </w:rPr>
        <w:t xml:space="preserve">Professor Croucher </w:t>
      </w:r>
      <w:r w:rsidR="0032451D" w:rsidRPr="79FBAF4B">
        <w:rPr>
          <w:rFonts w:eastAsia="Calibri"/>
        </w:rPr>
        <w:t>note</w:t>
      </w:r>
      <w:r w:rsidR="00447EA0">
        <w:rPr>
          <w:rFonts w:eastAsia="Calibri"/>
        </w:rPr>
        <w:t>d</w:t>
      </w:r>
      <w:r w:rsidR="0032451D" w:rsidRPr="79FBAF4B">
        <w:rPr>
          <w:rFonts w:eastAsia="Calibri"/>
        </w:rPr>
        <w:t>, however, that in the Department’s communication to the UN Working Group on Arbitrary Detention, dated 8 February 2022, the following appears:</w:t>
      </w:r>
    </w:p>
    <w:p w14:paraId="198B4851" w14:textId="77777777" w:rsidR="0032451D" w:rsidRPr="00B7561D" w:rsidRDefault="0032451D" w:rsidP="0032451D">
      <w:pPr>
        <w:pStyle w:val="Blockquote"/>
        <w:rPr>
          <w:rFonts w:cs="Open Sans"/>
          <w:sz w:val="22"/>
          <w:szCs w:val="22"/>
        </w:rPr>
      </w:pPr>
      <w:r w:rsidRPr="00B7561D">
        <w:rPr>
          <w:rFonts w:cs="Open Sans"/>
          <w:sz w:val="22"/>
          <w:szCs w:val="22"/>
        </w:rPr>
        <w:t>Mr Gus Kuster was born in Papua New Guinea (‘PNG’) of Torres Strait Islander descent.</w:t>
      </w:r>
    </w:p>
    <w:p w14:paraId="0F6207F9" w14:textId="77777777" w:rsidR="0032451D" w:rsidRPr="00592D35" w:rsidRDefault="0032451D" w:rsidP="0032451D">
      <w:pPr>
        <w:pStyle w:val="SubmissionNormal"/>
        <w:tabs>
          <w:tab w:val="num" w:pos="720"/>
        </w:tabs>
        <w:rPr>
          <w:rFonts w:eastAsia="Calibri"/>
        </w:rPr>
      </w:pPr>
      <w:r w:rsidRPr="79FBAF4B">
        <w:rPr>
          <w:rFonts w:eastAsia="Calibri"/>
        </w:rPr>
        <w:t>This acknowledgement appears to be at odds with the extract noted above</w:t>
      </w:r>
      <w:r>
        <w:rPr>
          <w:rFonts w:eastAsia="Calibri"/>
        </w:rPr>
        <w:t>.</w:t>
      </w:r>
      <w:r w:rsidRPr="79FBAF4B">
        <w:rPr>
          <w:rFonts w:eastAsia="Calibri"/>
        </w:rPr>
        <w:t xml:space="preserve"> </w:t>
      </w:r>
    </w:p>
    <w:p w14:paraId="3ED885F1" w14:textId="13E6A699" w:rsidR="0032451D" w:rsidRPr="00592D35" w:rsidRDefault="0032451D" w:rsidP="0032451D">
      <w:pPr>
        <w:pStyle w:val="SubmissionNormal"/>
        <w:tabs>
          <w:tab w:val="num" w:pos="720"/>
        </w:tabs>
        <w:rPr>
          <w:rFonts w:eastAsia="Calibri"/>
        </w:rPr>
      </w:pPr>
      <w:r w:rsidRPr="79FBAF4B">
        <w:rPr>
          <w:rFonts w:eastAsia="Calibri"/>
        </w:rPr>
        <w:lastRenderedPageBreak/>
        <w:t xml:space="preserve">Further material before </w:t>
      </w:r>
      <w:r w:rsidR="00725581">
        <w:rPr>
          <w:rFonts w:eastAsia="Calibri"/>
        </w:rPr>
        <w:t>the Commission</w:t>
      </w:r>
      <w:r w:rsidRPr="79FBAF4B">
        <w:rPr>
          <w:rFonts w:eastAsia="Calibri"/>
        </w:rPr>
        <w:t xml:space="preserve"> indicates that the overall assessment remained the same as of February 2023. On 23 February 2023, the Australian Government Solicitor wrote to Mr Kuster’s representative informing her that the Commonwealth continued to hold the view that Mr Kuster did not meet the tripartite test, and inviting further information from him to support his claim. The letter did not specifically refer to which limbs of the test Mr Kuster was considered to not meet.</w:t>
      </w:r>
      <w:r>
        <w:rPr>
          <w:rFonts w:eastAsia="Calibri"/>
        </w:rPr>
        <w:t xml:space="preserve"> The Department informed the Commission that it received advice on 22 June 2023 that Mr Kuster did not meet the first or third limb of the tripartite test.</w:t>
      </w:r>
    </w:p>
    <w:p w14:paraId="13974805" w14:textId="77777777" w:rsidR="0032451D" w:rsidRPr="00592D35" w:rsidRDefault="0032451D" w:rsidP="0032451D">
      <w:pPr>
        <w:pStyle w:val="SubmissionNormal"/>
        <w:tabs>
          <w:tab w:val="num" w:pos="720"/>
        </w:tabs>
        <w:rPr>
          <w:rFonts w:eastAsia="Calibri"/>
        </w:rPr>
      </w:pPr>
      <w:r>
        <w:rPr>
          <w:rFonts w:eastAsia="Calibri"/>
        </w:rPr>
        <w:t>O</w:t>
      </w:r>
      <w:r w:rsidRPr="00592D35">
        <w:rPr>
          <w:rFonts w:eastAsia="Calibri"/>
        </w:rPr>
        <w:t>n 11 February 2020</w:t>
      </w:r>
      <w:r>
        <w:rPr>
          <w:rFonts w:eastAsia="Calibri"/>
        </w:rPr>
        <w:t>,</w:t>
      </w:r>
      <w:r w:rsidRPr="00592D35">
        <w:rPr>
          <w:rFonts w:eastAsia="Calibri"/>
        </w:rPr>
        <w:t xml:space="preserve"> </w:t>
      </w:r>
      <w:r>
        <w:rPr>
          <w:rFonts w:eastAsia="Calibri"/>
        </w:rPr>
        <w:t>t</w:t>
      </w:r>
      <w:r w:rsidRPr="00592D35">
        <w:rPr>
          <w:rFonts w:eastAsia="Calibri"/>
        </w:rPr>
        <w:t xml:space="preserve">he High Court handed down its decision in the case of </w:t>
      </w:r>
      <w:r w:rsidRPr="79FBAF4B">
        <w:rPr>
          <w:rFonts w:eastAsia="Calibri"/>
          <w:i/>
          <w:iCs/>
        </w:rPr>
        <w:t xml:space="preserve">Love v Commonwealth of Australia; Thoms v Commonwealth of Australia </w:t>
      </w:r>
      <w:r w:rsidRPr="00592D35">
        <w:rPr>
          <w:rFonts w:eastAsia="Calibri"/>
        </w:rPr>
        <w:t>(Love).</w:t>
      </w:r>
      <w:r w:rsidRPr="00592D35">
        <w:rPr>
          <w:rStyle w:val="EndnoteReference"/>
          <w:rFonts w:eastAsia="Calibri" w:cs="Open Sans"/>
        </w:rPr>
        <w:endnoteReference w:id="28"/>
      </w:r>
      <w:r>
        <w:rPr>
          <w:rFonts w:eastAsia="Calibri"/>
        </w:rPr>
        <w:t xml:space="preserve"> </w:t>
      </w:r>
      <w:r w:rsidRPr="00592D35">
        <w:rPr>
          <w:rFonts w:eastAsia="Calibri"/>
        </w:rPr>
        <w:t xml:space="preserve">In that case, it was held that Aboriginal and Torres Strait Islanders are not ‘aliens’ as referred to in section 51(xix) of the Australian Constitution. The definition of Aboriginal and Torres Strait Islander was determined according to the test set out in </w:t>
      </w:r>
      <w:r w:rsidRPr="79FBAF4B">
        <w:rPr>
          <w:rFonts w:eastAsia="Calibri"/>
          <w:i/>
          <w:iCs/>
        </w:rPr>
        <w:t xml:space="preserve">Mabo v Queensland [No 2] </w:t>
      </w:r>
      <w:r w:rsidRPr="00592D35">
        <w:rPr>
          <w:rFonts w:eastAsia="Calibri"/>
        </w:rPr>
        <w:t>by Justice Brennan, referred to as ‘the tripartite test’.</w:t>
      </w:r>
      <w:r w:rsidRPr="00592D35">
        <w:rPr>
          <w:rStyle w:val="EndnoteReference"/>
          <w:rFonts w:eastAsia="Calibri" w:cs="Open Sans"/>
        </w:rPr>
        <w:endnoteReference w:id="29"/>
      </w:r>
    </w:p>
    <w:p w14:paraId="2DB296A6" w14:textId="79422D57" w:rsidR="0032451D" w:rsidRPr="00592D35" w:rsidRDefault="0032451D" w:rsidP="0032451D">
      <w:pPr>
        <w:pStyle w:val="SubmissionNormal"/>
        <w:tabs>
          <w:tab w:val="num" w:pos="720"/>
        </w:tabs>
        <w:rPr>
          <w:rFonts w:eastAsia="Calibri"/>
        </w:rPr>
      </w:pPr>
      <w:r w:rsidRPr="00592D35">
        <w:rPr>
          <w:rFonts w:eastAsia="Calibri"/>
        </w:rPr>
        <w:t>I</w:t>
      </w:r>
      <w:r w:rsidR="006E6AA6">
        <w:rPr>
          <w:rFonts w:eastAsia="Calibri"/>
        </w:rPr>
        <w:t>t is</w:t>
      </w:r>
      <w:r w:rsidRPr="00592D35">
        <w:rPr>
          <w:rFonts w:eastAsia="Calibri"/>
        </w:rPr>
        <w:t xml:space="preserve"> underst</w:t>
      </w:r>
      <w:r w:rsidR="006E6AA6">
        <w:rPr>
          <w:rFonts w:eastAsia="Calibri"/>
        </w:rPr>
        <w:t>ood</w:t>
      </w:r>
      <w:r w:rsidRPr="00592D35">
        <w:rPr>
          <w:rFonts w:eastAsia="Calibri"/>
        </w:rPr>
        <w:t xml:space="preserve"> that, following the decision in Love, a number of detainees who were able to establish their indigeneity were released from detention.</w:t>
      </w:r>
      <w:r w:rsidRPr="00592D35">
        <w:rPr>
          <w:rStyle w:val="EndnoteReference"/>
          <w:rFonts w:eastAsia="Calibri" w:cs="Open Sans"/>
        </w:rPr>
        <w:endnoteReference w:id="30"/>
      </w:r>
      <w:r w:rsidRPr="00592D35">
        <w:rPr>
          <w:rFonts w:eastAsia="Calibri"/>
        </w:rPr>
        <w:t xml:space="preserve"> The Department informed the Commission that</w:t>
      </w:r>
      <w:r w:rsidR="000B2A39">
        <w:rPr>
          <w:rFonts w:eastAsia="Calibri"/>
        </w:rPr>
        <w:t>:</w:t>
      </w:r>
    </w:p>
    <w:p w14:paraId="374A25F0" w14:textId="77777777" w:rsidR="0032451D" w:rsidRPr="0072067A" w:rsidRDefault="0032451D" w:rsidP="0032451D">
      <w:pPr>
        <w:pStyle w:val="Blockquote"/>
        <w:rPr>
          <w:rFonts w:cs="Open Sans"/>
          <w:sz w:val="22"/>
          <w:szCs w:val="22"/>
        </w:rPr>
      </w:pPr>
      <w:r w:rsidRPr="0072067A">
        <w:rPr>
          <w:rFonts w:cs="Open Sans"/>
          <w:sz w:val="22"/>
          <w:szCs w:val="22"/>
        </w:rPr>
        <w:t xml:space="preserve">The Minister for Immigration, Citizenship and Multicultural Affairs grants special purpose visas to individuals who are not Australian citizens or visa holders and have been found to meet or probably meet this tripartite test, consistent with the High Court’s judgement [sic]. </w:t>
      </w:r>
    </w:p>
    <w:p w14:paraId="329E348A" w14:textId="77777777" w:rsidR="0032451D" w:rsidRPr="00592D35" w:rsidRDefault="0032451D" w:rsidP="0032451D">
      <w:pPr>
        <w:pStyle w:val="SubmissionNormal"/>
        <w:tabs>
          <w:tab w:val="num" w:pos="720"/>
        </w:tabs>
        <w:rPr>
          <w:rFonts w:eastAsia="Calibri"/>
        </w:rPr>
      </w:pPr>
      <w:r w:rsidRPr="79FBAF4B">
        <w:rPr>
          <w:rFonts w:eastAsia="Calibri"/>
        </w:rPr>
        <w:t>Section 33(2)(b)(i) of the Migration Act allows the Minister to declare in writing that a non-citizen is taken to have been granted a special purpose visa. A declaration may also be made under subsection (ii) with respect to a class of persons.</w:t>
      </w:r>
    </w:p>
    <w:p w14:paraId="7A526F7D" w14:textId="77777777" w:rsidR="0032451D" w:rsidRPr="00592D35" w:rsidRDefault="0032451D" w:rsidP="0032451D">
      <w:pPr>
        <w:pStyle w:val="SubmissionNormal"/>
        <w:tabs>
          <w:tab w:val="num" w:pos="720"/>
        </w:tabs>
        <w:rPr>
          <w:rFonts w:eastAsia="Calibri"/>
        </w:rPr>
      </w:pPr>
      <w:r w:rsidRPr="79FBAF4B">
        <w:rPr>
          <w:rFonts w:eastAsia="Calibri"/>
        </w:rPr>
        <w:t>The test for recognition as an Indigenous person of Australia requires each of the following:</w:t>
      </w:r>
    </w:p>
    <w:p w14:paraId="478C1B0D" w14:textId="33BAB909" w:rsidR="0032451D" w:rsidRPr="00592D35" w:rsidRDefault="0032451D" w:rsidP="0072067A">
      <w:pPr>
        <w:pStyle w:val="Style2"/>
        <w:rPr>
          <w:rFonts w:eastAsia="Calibri"/>
        </w:rPr>
      </w:pPr>
      <w:r w:rsidRPr="00592D35">
        <w:rPr>
          <w:rFonts w:eastAsia="Calibri"/>
        </w:rPr>
        <w:t>biological descent</w:t>
      </w:r>
      <w:r w:rsidR="009C1383">
        <w:rPr>
          <w:rFonts w:eastAsia="Calibri"/>
        </w:rPr>
        <w:t>;</w:t>
      </w:r>
    </w:p>
    <w:p w14:paraId="64F69950" w14:textId="1D59577A" w:rsidR="0032451D" w:rsidRPr="00592D35" w:rsidRDefault="0032451D" w:rsidP="0072067A">
      <w:pPr>
        <w:pStyle w:val="Style2"/>
        <w:rPr>
          <w:rFonts w:eastAsia="Calibri"/>
        </w:rPr>
      </w:pPr>
      <w:r w:rsidRPr="00592D35">
        <w:rPr>
          <w:rFonts w:eastAsia="Calibri"/>
        </w:rPr>
        <w:t>self-identification as an Aboriginal or Torres Strait Islander person</w:t>
      </w:r>
      <w:r w:rsidR="009C1383">
        <w:rPr>
          <w:rFonts w:eastAsia="Calibri"/>
        </w:rPr>
        <w:t>;</w:t>
      </w:r>
    </w:p>
    <w:p w14:paraId="636478DD" w14:textId="77777777" w:rsidR="0032451D" w:rsidRPr="00592D35" w:rsidRDefault="0032451D" w:rsidP="0072067A">
      <w:pPr>
        <w:pStyle w:val="Style2"/>
        <w:rPr>
          <w:rFonts w:eastAsia="Calibri"/>
        </w:rPr>
      </w:pPr>
      <w:r w:rsidRPr="00592D35">
        <w:rPr>
          <w:rFonts w:eastAsia="Calibri"/>
        </w:rPr>
        <w:t>recognition by elders or other persons of the same group enjoying traditional authority.</w:t>
      </w:r>
    </w:p>
    <w:p w14:paraId="207D9838" w14:textId="77777777" w:rsidR="0032451D" w:rsidRPr="00592D35" w:rsidRDefault="0032451D" w:rsidP="0032451D">
      <w:pPr>
        <w:pStyle w:val="SubmissionNormal"/>
        <w:tabs>
          <w:tab w:val="num" w:pos="720"/>
        </w:tabs>
        <w:rPr>
          <w:rFonts w:eastAsia="Calibri"/>
        </w:rPr>
      </w:pPr>
      <w:r w:rsidRPr="79FBAF4B">
        <w:rPr>
          <w:rFonts w:eastAsia="Calibri"/>
        </w:rPr>
        <w:lastRenderedPageBreak/>
        <w:t>The first of these limbs, biological descent, has been the subject of further consideration, but the question of whether it is limited to a proven genetic relationship has not been answered by the court.</w:t>
      </w:r>
    </w:p>
    <w:p w14:paraId="0D455F55" w14:textId="77777777" w:rsidR="0032451D" w:rsidRPr="00592D35" w:rsidRDefault="0032451D" w:rsidP="0032451D">
      <w:pPr>
        <w:pStyle w:val="SubmissionNormal"/>
        <w:tabs>
          <w:tab w:val="num" w:pos="720"/>
        </w:tabs>
        <w:rPr>
          <w:rFonts w:eastAsia="Calibri"/>
        </w:rPr>
      </w:pPr>
      <w:r w:rsidRPr="00592D35">
        <w:rPr>
          <w:rFonts w:eastAsia="Calibri"/>
        </w:rPr>
        <w:t xml:space="preserve">It is the Commission’s view that Justice Brennan’s statement of the test must be read in the context of other aspects to his judgment, including the need to ascertain membership </w:t>
      </w:r>
      <w:r>
        <w:rPr>
          <w:rFonts w:eastAsia="Calibri"/>
        </w:rPr>
        <w:t>of</w:t>
      </w:r>
      <w:r w:rsidRPr="00592D35">
        <w:rPr>
          <w:rFonts w:eastAsia="Calibri"/>
        </w:rPr>
        <w:t xml:space="preserve"> a native title group ‘according to the laws and customs of’ the relevant group,</w:t>
      </w:r>
      <w:r w:rsidRPr="00592D35">
        <w:rPr>
          <w:rStyle w:val="EndnoteReference"/>
          <w:rFonts w:eastAsia="Calibri" w:cs="Open Sans"/>
        </w:rPr>
        <w:endnoteReference w:id="31"/>
      </w:r>
      <w:r w:rsidRPr="00592D35">
        <w:rPr>
          <w:rFonts w:eastAsia="Calibri"/>
        </w:rPr>
        <w:t xml:space="preserve"> and that it must leave open the question of biological descent to be determined by the group itself.</w:t>
      </w:r>
      <w:r w:rsidRPr="00592D35">
        <w:rPr>
          <w:rStyle w:val="EndnoteReference"/>
          <w:rFonts w:eastAsia="Calibri" w:cs="Open Sans"/>
        </w:rPr>
        <w:endnoteReference w:id="32"/>
      </w:r>
    </w:p>
    <w:p w14:paraId="39670231" w14:textId="1291E52C" w:rsidR="0032451D" w:rsidRPr="00592D35" w:rsidRDefault="0032451D" w:rsidP="0032451D">
      <w:pPr>
        <w:pStyle w:val="SubmissionNormal"/>
        <w:tabs>
          <w:tab w:val="num" w:pos="720"/>
        </w:tabs>
        <w:rPr>
          <w:rFonts w:eastAsia="Calibri"/>
        </w:rPr>
      </w:pPr>
      <w:r w:rsidRPr="00592D35">
        <w:rPr>
          <w:rFonts w:eastAsia="Calibri"/>
        </w:rPr>
        <w:t xml:space="preserve">The proposition that traditional law and custom has a role to play in each limb of the test is consistent with articles 9 and 33(1) of the </w:t>
      </w:r>
      <w:r w:rsidRPr="79FBAF4B">
        <w:rPr>
          <w:rFonts w:eastAsia="Calibri"/>
          <w:i/>
          <w:iCs/>
        </w:rPr>
        <w:t>United Nations Declaration on the Rights of Indigenous Peoples</w:t>
      </w:r>
      <w:r w:rsidRPr="00592D35">
        <w:rPr>
          <w:rFonts w:eastAsia="Calibri"/>
        </w:rPr>
        <w:t xml:space="preserve"> and recent case law.</w:t>
      </w:r>
      <w:r w:rsidRPr="00592D35">
        <w:rPr>
          <w:rStyle w:val="EndnoteReference"/>
          <w:rFonts w:eastAsia="Calibri" w:cs="Open Sans"/>
        </w:rPr>
        <w:endnoteReference w:id="33"/>
      </w:r>
      <w:r w:rsidRPr="00592D35">
        <w:rPr>
          <w:rFonts w:eastAsia="Calibri"/>
        </w:rPr>
        <w:t xml:space="preserve"> In a 1995 paper prepared for the UN Working Group on Indigenous Populations, the Chairperson-Rapporteur noted that</w:t>
      </w:r>
      <w:r w:rsidR="001E6817">
        <w:rPr>
          <w:rFonts w:eastAsia="Calibri"/>
        </w:rPr>
        <w:t>:</w:t>
      </w:r>
    </w:p>
    <w:p w14:paraId="3FCBE220" w14:textId="77777777" w:rsidR="0032451D" w:rsidRPr="00592D35" w:rsidRDefault="0032451D" w:rsidP="002751C3">
      <w:pPr>
        <w:pStyle w:val="Quote"/>
      </w:pPr>
      <w:r w:rsidRPr="00592D35">
        <w:t>historically speaking, indigenous peoples have suffered from definitions imposed by others. For example, in the past the criterion for membership of an indigenous population in certain countries was based upon parentage or blood quotient and this is now deemed discriminatory as it denies the right of indigenous people to determine their own membership. For this and other relevant reasons the Working Group would not consider it appropriate to develop a definition of its own without full consultation with indigenous peoples themselves.</w:t>
      </w:r>
      <w:r w:rsidRPr="00592D35">
        <w:rPr>
          <w:rStyle w:val="EndnoteReference"/>
          <w:rFonts w:cs="Open Sans"/>
        </w:rPr>
        <w:endnoteReference w:id="34"/>
      </w:r>
    </w:p>
    <w:p w14:paraId="0BAEB4AE" w14:textId="77777777" w:rsidR="0032451D" w:rsidRPr="00592D35" w:rsidRDefault="0032451D" w:rsidP="0032451D">
      <w:pPr>
        <w:pStyle w:val="SubmissionNormal"/>
        <w:tabs>
          <w:tab w:val="num" w:pos="720"/>
        </w:tabs>
        <w:rPr>
          <w:rFonts w:eastAsia="Calibri"/>
        </w:rPr>
      </w:pPr>
      <w:r w:rsidRPr="79FBAF4B">
        <w:rPr>
          <w:rFonts w:eastAsia="Calibri"/>
        </w:rPr>
        <w:t>In a submission to the Minister by his legal representative, it was put to the Minister that</w:t>
      </w:r>
      <w:r>
        <w:rPr>
          <w:rFonts w:eastAsia="Calibri"/>
        </w:rPr>
        <w:t>:</w:t>
      </w:r>
    </w:p>
    <w:p w14:paraId="48561C86" w14:textId="77777777" w:rsidR="0032451D" w:rsidRPr="00592D35" w:rsidRDefault="0032451D" w:rsidP="002751C3">
      <w:pPr>
        <w:pStyle w:val="Quote"/>
      </w:pPr>
      <w:r w:rsidRPr="00592D35">
        <w:t>Mr Kuster’s oral family history on his maternal side is that they are biological Torres Strait Islanders. The family has always identified as such, and have received government support on this basis. Mr Kuster also identifies as a Torres Strait Islander and Aboriginal. Finally, since 1992, Mr Kuster has been recognised by an Aboriginal Elder as Aboriginal.</w:t>
      </w:r>
    </w:p>
    <w:p w14:paraId="2A912C0E" w14:textId="77777777" w:rsidR="0032451D" w:rsidRDefault="0032451D" w:rsidP="0032451D">
      <w:pPr>
        <w:pStyle w:val="SubmissionNormal"/>
        <w:tabs>
          <w:tab w:val="num" w:pos="720"/>
        </w:tabs>
        <w:rPr>
          <w:rFonts w:eastAsia="Calibri"/>
        </w:rPr>
      </w:pPr>
      <w:r>
        <w:rPr>
          <w:rFonts w:eastAsia="Calibri"/>
        </w:rPr>
        <w:t xml:space="preserve">However, before the Administrative Appeals Tribunal, Mr Kuster’s mother gave evidence that she was from PNG and had no Torres Strait ancestry. Following this, the Department: </w:t>
      </w:r>
    </w:p>
    <w:p w14:paraId="1E53D3BA" w14:textId="77777777" w:rsidR="0032451D" w:rsidRDefault="0032451D" w:rsidP="0020483F">
      <w:pPr>
        <w:pStyle w:val="Quote"/>
      </w:pPr>
      <w:r>
        <w:t>was advised that … the Department was not required to take any further steps to determine if there were any Commonwealth Government records relating to Mr Kuster’s ancestors who he claimed were of Torres Strait Islander descent, or make further enquiries with Mr Kuster’s mother or father. The Department is considering seeking further information from Mr Kuster in relation to his previous claims of being of Torres Strait Islander descent. To date, the Department has yet to request Mr Kuster to provide further information related to the aforementioned claims.</w:t>
      </w:r>
    </w:p>
    <w:p w14:paraId="10EE5AB8" w14:textId="782D2F5F" w:rsidR="0032451D" w:rsidRDefault="0032451D" w:rsidP="0032451D">
      <w:pPr>
        <w:pStyle w:val="SubmissionNormal"/>
        <w:tabs>
          <w:tab w:val="num" w:pos="720"/>
        </w:tabs>
        <w:rPr>
          <w:rFonts w:eastAsia="Calibri"/>
        </w:rPr>
      </w:pPr>
      <w:r>
        <w:rPr>
          <w:rFonts w:eastAsia="Calibri"/>
        </w:rPr>
        <w:lastRenderedPageBreak/>
        <w:t xml:space="preserve">Mr Kuster’s representative made submissions that provided some context to this evidence. It is unnecessary for those to be repeated in the Commission’s report, given that it is beyond the scope of </w:t>
      </w:r>
      <w:r w:rsidR="005F72FF">
        <w:rPr>
          <w:rFonts w:eastAsia="Calibri"/>
        </w:rPr>
        <w:t xml:space="preserve">this </w:t>
      </w:r>
      <w:r>
        <w:rPr>
          <w:rFonts w:eastAsia="Calibri"/>
        </w:rPr>
        <w:t>inquiry to make any findings on whether Mr Kuster is or is not descended from a person of the Torres Strait.</w:t>
      </w:r>
    </w:p>
    <w:p w14:paraId="231AF7A6" w14:textId="77777777" w:rsidR="0032451D" w:rsidRPr="00592D35" w:rsidRDefault="0032451D" w:rsidP="0032451D">
      <w:pPr>
        <w:pStyle w:val="SubmissionNormal"/>
        <w:tabs>
          <w:tab w:val="num" w:pos="720"/>
        </w:tabs>
        <w:rPr>
          <w:rFonts w:eastAsia="Calibri"/>
        </w:rPr>
      </w:pPr>
      <w:r w:rsidRPr="00592D35">
        <w:rPr>
          <w:rFonts w:eastAsia="Calibri"/>
        </w:rPr>
        <w:t>Mr Kuster has apparently been represented previously by Aboriginal and Torres Strait Islander legal services, but has no paperwork to demonstrate his grandmother’s descendancy from a Torres Strait Islander community. Such issues are systemic for those attempting to demonstrate their eligibility under the tripartite test, as outlined above, and similarly occurs in establishing continuity for native title purposes.</w:t>
      </w:r>
      <w:r w:rsidRPr="00592D35">
        <w:rPr>
          <w:rStyle w:val="EndnoteReference"/>
          <w:rFonts w:eastAsia="Calibri" w:cs="Open Sans"/>
        </w:rPr>
        <w:endnoteReference w:id="35"/>
      </w:r>
      <w:r w:rsidRPr="00592D35">
        <w:rPr>
          <w:rFonts w:eastAsia="Calibri"/>
        </w:rPr>
        <w:t xml:space="preserve"> Mr Kuster has also provided to the Department in support of his eligibility under the third limb of the test, a statutory declaration from an elder of the Gumbayngirr nation, who states that Mr Kuster and his family were welcomed as members into that nation through a cultural ceremony performed in 1992.</w:t>
      </w:r>
    </w:p>
    <w:p w14:paraId="5C9B54A0" w14:textId="77777777" w:rsidR="0032451D" w:rsidRPr="00592D35" w:rsidRDefault="0032451D" w:rsidP="0032451D">
      <w:pPr>
        <w:pStyle w:val="SubmissionNormal"/>
        <w:tabs>
          <w:tab w:val="num" w:pos="720"/>
        </w:tabs>
        <w:rPr>
          <w:rFonts w:eastAsia="Calibri"/>
        </w:rPr>
      </w:pPr>
      <w:r w:rsidRPr="79FBAF4B">
        <w:rPr>
          <w:rFonts w:eastAsia="Calibri"/>
        </w:rPr>
        <w:t xml:space="preserve">No guidelines appear to </w:t>
      </w:r>
      <w:r>
        <w:rPr>
          <w:rFonts w:eastAsia="Calibri"/>
        </w:rPr>
        <w:t xml:space="preserve">be </w:t>
      </w:r>
      <w:r w:rsidRPr="79FBAF4B">
        <w:rPr>
          <w:rFonts w:eastAsia="Calibri"/>
        </w:rPr>
        <w:t>available on the Department’s database (LEGENDcom) to explain its interpretation of the tripartite test, and the Department was unwilling to provide to the Commission its ‘internal document’ used for guiding their assessments under the tripartite test.</w:t>
      </w:r>
    </w:p>
    <w:p w14:paraId="4E0A563D" w14:textId="77777777" w:rsidR="0032451D" w:rsidRPr="00592D35" w:rsidRDefault="0032451D" w:rsidP="0032451D">
      <w:pPr>
        <w:pStyle w:val="SubmissionNormal"/>
        <w:tabs>
          <w:tab w:val="num" w:pos="720"/>
        </w:tabs>
        <w:rPr>
          <w:rFonts w:eastAsia="Calibri"/>
        </w:rPr>
      </w:pPr>
      <w:bookmarkStart w:id="41" w:name="_Ref164687978"/>
      <w:r w:rsidRPr="00592D35">
        <w:rPr>
          <w:rFonts w:eastAsia="Calibri"/>
        </w:rPr>
        <w:t>The test was however accurately outlined by the Department in its response to the Commission’s request. The Department has also released through freedom of information laws a document outlining the impact of a person’s claim to meet the tripartite test on their removal, which indicates that the case must be immediately escalated for assessment, but that plans for removal should not cease while that assessment is being conducted.</w:t>
      </w:r>
      <w:r w:rsidRPr="00592D35">
        <w:rPr>
          <w:rStyle w:val="EndnoteReference"/>
          <w:rFonts w:eastAsia="Calibri" w:cs="Open Sans"/>
        </w:rPr>
        <w:endnoteReference w:id="36"/>
      </w:r>
      <w:bookmarkEnd w:id="41"/>
    </w:p>
    <w:p w14:paraId="7D9B5360" w14:textId="491ED093" w:rsidR="0032451D" w:rsidRPr="00592D35" w:rsidRDefault="0032451D" w:rsidP="0032451D">
      <w:pPr>
        <w:pStyle w:val="SubmissionNormal"/>
        <w:tabs>
          <w:tab w:val="num" w:pos="720"/>
        </w:tabs>
        <w:rPr>
          <w:rFonts w:eastAsia="Calibri"/>
        </w:rPr>
      </w:pPr>
      <w:r w:rsidRPr="79FBAF4B">
        <w:rPr>
          <w:rFonts w:eastAsia="Calibri"/>
        </w:rPr>
        <w:t xml:space="preserve">An avenue may remain for Mr Kuster to seek a declaration that he is not an alien for the purposes of section 51(xix) of the Constitution. </w:t>
      </w:r>
      <w:r w:rsidR="002D6483">
        <w:rPr>
          <w:rFonts w:eastAsia="Calibri"/>
        </w:rPr>
        <w:t>Professor Croucher</w:t>
      </w:r>
      <w:r w:rsidRPr="79FBAF4B">
        <w:rPr>
          <w:rFonts w:eastAsia="Calibri"/>
        </w:rPr>
        <w:t xml:space="preserve"> d</w:t>
      </w:r>
      <w:r w:rsidR="002D6483">
        <w:rPr>
          <w:rFonts w:eastAsia="Calibri"/>
        </w:rPr>
        <w:t>id</w:t>
      </w:r>
      <w:r w:rsidRPr="79FBAF4B">
        <w:rPr>
          <w:rFonts w:eastAsia="Calibri"/>
        </w:rPr>
        <w:t xml:space="preserve"> not have any information before </w:t>
      </w:r>
      <w:r w:rsidR="002D6483">
        <w:rPr>
          <w:rFonts w:eastAsia="Calibri"/>
        </w:rPr>
        <w:t xml:space="preserve">her </w:t>
      </w:r>
      <w:r w:rsidRPr="79FBAF4B">
        <w:rPr>
          <w:rFonts w:eastAsia="Calibri"/>
        </w:rPr>
        <w:t>as to whether this has been or is being contemplated by him.</w:t>
      </w:r>
    </w:p>
    <w:p w14:paraId="4ADA7552" w14:textId="61D3A2F2" w:rsidR="0032451D" w:rsidRPr="00592D35" w:rsidRDefault="0032451D" w:rsidP="0032451D">
      <w:pPr>
        <w:pStyle w:val="SubmissionNormal"/>
        <w:tabs>
          <w:tab w:val="num" w:pos="720"/>
        </w:tabs>
        <w:rPr>
          <w:rFonts w:eastAsia="Calibri"/>
        </w:rPr>
      </w:pPr>
      <w:r w:rsidRPr="79FBAF4B">
        <w:rPr>
          <w:rFonts w:eastAsia="Calibri"/>
        </w:rPr>
        <w:t>Mr Kuster’s complaint relate</w:t>
      </w:r>
      <w:r w:rsidR="0012312D">
        <w:rPr>
          <w:rFonts w:eastAsia="Calibri"/>
        </w:rPr>
        <w:t>d</w:t>
      </w:r>
      <w:r w:rsidRPr="79FBAF4B">
        <w:rPr>
          <w:rFonts w:eastAsia="Calibri"/>
        </w:rPr>
        <w:t xml:space="preserve"> to the arbitrariness of his detention, not the Department’s application of the tripartite test. </w:t>
      </w:r>
      <w:r w:rsidR="002D6483">
        <w:rPr>
          <w:rFonts w:eastAsia="Calibri"/>
        </w:rPr>
        <w:t>Professor Croucher had</w:t>
      </w:r>
      <w:r w:rsidRPr="79FBAF4B">
        <w:rPr>
          <w:rFonts w:eastAsia="Calibri"/>
        </w:rPr>
        <w:t xml:space="preserve"> insufficient information before </w:t>
      </w:r>
      <w:r w:rsidR="002D6483">
        <w:rPr>
          <w:rFonts w:eastAsia="Calibri"/>
        </w:rPr>
        <w:t>her</w:t>
      </w:r>
      <w:r w:rsidRPr="79FBAF4B">
        <w:rPr>
          <w:rFonts w:eastAsia="Calibri"/>
        </w:rPr>
        <w:t xml:space="preserve"> to fully ascertain the Department’s reasons for rejecting Mr Kuster’s claims, and also d</w:t>
      </w:r>
      <w:r w:rsidR="002D6483">
        <w:rPr>
          <w:rFonts w:eastAsia="Calibri"/>
        </w:rPr>
        <w:t>id</w:t>
      </w:r>
      <w:r w:rsidRPr="79FBAF4B">
        <w:rPr>
          <w:rFonts w:eastAsia="Calibri"/>
        </w:rPr>
        <w:t xml:space="preserve"> not have sufficient evidence to determine whether he should meet it. Nor </w:t>
      </w:r>
      <w:r w:rsidR="00290589">
        <w:rPr>
          <w:rFonts w:eastAsia="Calibri"/>
        </w:rPr>
        <w:t>was</w:t>
      </w:r>
      <w:r w:rsidRPr="79FBAF4B">
        <w:rPr>
          <w:rFonts w:eastAsia="Calibri"/>
        </w:rPr>
        <w:t xml:space="preserve"> that a task within the scope of this inquiry. </w:t>
      </w:r>
    </w:p>
    <w:p w14:paraId="39D3B6E9" w14:textId="79316685" w:rsidR="0032451D" w:rsidRPr="00592D35" w:rsidRDefault="0032451D" w:rsidP="0032451D">
      <w:pPr>
        <w:pStyle w:val="SubmissionNormal"/>
        <w:tabs>
          <w:tab w:val="num" w:pos="720"/>
        </w:tabs>
        <w:rPr>
          <w:rFonts w:eastAsia="Calibri"/>
        </w:rPr>
      </w:pPr>
      <w:r w:rsidRPr="79FBAF4B">
        <w:rPr>
          <w:rFonts w:eastAsia="Calibri"/>
        </w:rPr>
        <w:lastRenderedPageBreak/>
        <w:t xml:space="preserve">However, on the basis of the Department’s explanation that removal attempts had stalled due to his claim of indigeneity, </w:t>
      </w:r>
      <w:r w:rsidR="00290589">
        <w:rPr>
          <w:rFonts w:eastAsia="Calibri"/>
        </w:rPr>
        <w:t>Professor Croucher was</w:t>
      </w:r>
      <w:r w:rsidRPr="79FBAF4B">
        <w:rPr>
          <w:rFonts w:eastAsia="Calibri"/>
        </w:rPr>
        <w:t xml:space="preserve"> of the view that his claim, and the evidence he has put forward in support of it, are additional factors which amount to exceptional circumstances that warranted his referral to the Minister, at least since April 2021 when these claims were formally made. There is no reason why Mr Kuster could not </w:t>
      </w:r>
      <w:r>
        <w:rPr>
          <w:rFonts w:eastAsia="Calibri"/>
        </w:rPr>
        <w:t xml:space="preserve">have </w:t>
      </w:r>
      <w:r w:rsidRPr="79FBAF4B">
        <w:rPr>
          <w:rFonts w:eastAsia="Calibri"/>
        </w:rPr>
        <w:t>be</w:t>
      </w:r>
      <w:r>
        <w:rPr>
          <w:rFonts w:eastAsia="Calibri"/>
        </w:rPr>
        <w:t>en</w:t>
      </w:r>
      <w:r w:rsidRPr="79FBAF4B">
        <w:rPr>
          <w:rFonts w:eastAsia="Calibri"/>
        </w:rPr>
        <w:t xml:space="preserve"> considered for an alternative to held detention while further consideration </w:t>
      </w:r>
      <w:r>
        <w:rPr>
          <w:rFonts w:eastAsia="Calibri"/>
        </w:rPr>
        <w:t>wa</w:t>
      </w:r>
      <w:r w:rsidRPr="79FBAF4B">
        <w:rPr>
          <w:rFonts w:eastAsia="Calibri"/>
        </w:rPr>
        <w:t xml:space="preserve">s given to his claim of indigeneity. </w:t>
      </w:r>
    </w:p>
    <w:p w14:paraId="0A1CE69C" w14:textId="77777777" w:rsidR="0032451D" w:rsidRPr="008A09B2" w:rsidRDefault="0032451D" w:rsidP="0032451D">
      <w:pPr>
        <w:pStyle w:val="Heading2"/>
        <w:rPr>
          <w:rFonts w:eastAsia="Calibri"/>
          <w:i/>
          <w:iCs/>
        </w:rPr>
      </w:pPr>
      <w:bookmarkStart w:id="42" w:name="_Toc165268446"/>
      <w:bookmarkStart w:id="43" w:name="_Toc195778544"/>
      <w:r w:rsidRPr="008A09B2">
        <w:rPr>
          <w:rFonts w:eastAsia="Calibri"/>
          <w:iCs/>
        </w:rPr>
        <w:t>Statelessness</w:t>
      </w:r>
      <w:bookmarkEnd w:id="42"/>
      <w:bookmarkEnd w:id="43"/>
    </w:p>
    <w:p w14:paraId="11C7999C" w14:textId="77777777" w:rsidR="0032451D" w:rsidRPr="00592D35" w:rsidRDefault="0032451D" w:rsidP="0032451D">
      <w:pPr>
        <w:pStyle w:val="SubmissionNormal"/>
        <w:tabs>
          <w:tab w:val="num" w:pos="720"/>
        </w:tabs>
        <w:rPr>
          <w:rFonts w:eastAsia="Calibri"/>
        </w:rPr>
      </w:pPr>
      <w:r w:rsidRPr="79FBAF4B">
        <w:rPr>
          <w:rFonts w:eastAsia="Calibri"/>
        </w:rPr>
        <w:t>As outlined above, Mr Kuster requested voluntary return to PNG but on 21 August 2019 was not permitted to enter the country. He has since raised a claim of statelessness which appears not to have been substantively assessed by the Department.</w:t>
      </w:r>
    </w:p>
    <w:p w14:paraId="315CAC39" w14:textId="77777777" w:rsidR="0032451D" w:rsidRPr="00592D35" w:rsidRDefault="0032451D" w:rsidP="0032451D">
      <w:pPr>
        <w:pStyle w:val="SubmissionNormal"/>
        <w:tabs>
          <w:tab w:val="num" w:pos="720"/>
        </w:tabs>
        <w:rPr>
          <w:rFonts w:eastAsia="Calibri"/>
        </w:rPr>
      </w:pPr>
      <w:r w:rsidRPr="00592D35">
        <w:rPr>
          <w:rFonts w:eastAsia="Calibri"/>
        </w:rPr>
        <w:t xml:space="preserve">Two international conventions exist with the goal of addressing statelessness internationally. They are the </w:t>
      </w:r>
      <w:r w:rsidRPr="79FBAF4B">
        <w:rPr>
          <w:rFonts w:eastAsia="Calibri"/>
          <w:i/>
          <w:iCs/>
        </w:rPr>
        <w:t>1954</w:t>
      </w:r>
      <w:r w:rsidRPr="00592D35">
        <w:rPr>
          <w:rFonts w:eastAsia="Calibri"/>
        </w:rPr>
        <w:t xml:space="preserve"> </w:t>
      </w:r>
      <w:r w:rsidRPr="79FBAF4B">
        <w:rPr>
          <w:rFonts w:eastAsia="Calibri"/>
          <w:i/>
          <w:iCs/>
        </w:rPr>
        <w:t>Convention relating to the Status of Stateless Persons</w:t>
      </w:r>
      <w:r w:rsidRPr="00592D35">
        <w:rPr>
          <w:rFonts w:eastAsia="Calibri"/>
        </w:rPr>
        <w:t xml:space="preserve"> (1954 Convention) and the </w:t>
      </w:r>
      <w:r w:rsidRPr="79FBAF4B">
        <w:rPr>
          <w:rFonts w:eastAsia="Calibri"/>
          <w:i/>
          <w:iCs/>
        </w:rPr>
        <w:t>1961</w:t>
      </w:r>
      <w:r w:rsidRPr="00592D35">
        <w:rPr>
          <w:rFonts w:eastAsia="Calibri"/>
        </w:rPr>
        <w:t xml:space="preserve"> </w:t>
      </w:r>
      <w:r w:rsidRPr="79FBAF4B">
        <w:rPr>
          <w:rFonts w:eastAsia="Calibri"/>
          <w:i/>
          <w:iCs/>
        </w:rPr>
        <w:t>Convention on the Reduction of Statelessness</w:t>
      </w:r>
      <w:r w:rsidRPr="00592D35">
        <w:rPr>
          <w:rFonts w:eastAsia="Calibri"/>
        </w:rPr>
        <w:t>. Australia acceded to both conventions in December 1973.</w:t>
      </w:r>
      <w:r w:rsidRPr="00592D35">
        <w:rPr>
          <w:rStyle w:val="EndnoteReference"/>
          <w:rFonts w:eastAsia="Calibri" w:cs="Open Sans"/>
        </w:rPr>
        <w:endnoteReference w:id="37"/>
      </w:r>
    </w:p>
    <w:p w14:paraId="4B47C32C" w14:textId="77777777" w:rsidR="0032451D" w:rsidRPr="00592D35" w:rsidRDefault="0032451D" w:rsidP="0032451D">
      <w:pPr>
        <w:pStyle w:val="SubmissionNormal"/>
        <w:tabs>
          <w:tab w:val="num" w:pos="720"/>
        </w:tabs>
        <w:rPr>
          <w:rFonts w:eastAsia="Calibri"/>
        </w:rPr>
      </w:pPr>
      <w:r w:rsidRPr="00592D35">
        <w:rPr>
          <w:rFonts w:eastAsia="Calibri"/>
        </w:rPr>
        <w:t xml:space="preserve">The 1954 Convention defines a stateless person as ‘a person who is not considered as a national by any State under the operation of its law’. Such persons are considered stateless </w:t>
      </w:r>
      <w:r w:rsidRPr="79FBAF4B">
        <w:rPr>
          <w:rFonts w:eastAsia="Calibri"/>
          <w:i/>
          <w:iCs/>
        </w:rPr>
        <w:t>de jure</w:t>
      </w:r>
      <w:r w:rsidRPr="00592D35">
        <w:rPr>
          <w:rFonts w:eastAsia="Calibri"/>
        </w:rPr>
        <w:t xml:space="preserve">. A further category of persons not considered by either convention is known as stateless </w:t>
      </w:r>
      <w:r w:rsidRPr="79FBAF4B">
        <w:rPr>
          <w:rFonts w:eastAsia="Calibri"/>
          <w:i/>
          <w:iCs/>
        </w:rPr>
        <w:t>de facto</w:t>
      </w:r>
      <w:r w:rsidRPr="00592D35">
        <w:rPr>
          <w:rFonts w:eastAsia="Calibri"/>
        </w:rPr>
        <w:t>, being a term not specifically defined, but in the context of this particular complaint, can include a person who has a nationality according to a particular country’s laws, but who is unable or unwilling to utilise the protection of that country.</w:t>
      </w:r>
      <w:r w:rsidRPr="00592D35">
        <w:rPr>
          <w:rStyle w:val="EndnoteReference"/>
          <w:rFonts w:eastAsia="Calibri" w:cs="Open Sans"/>
        </w:rPr>
        <w:endnoteReference w:id="38"/>
      </w:r>
      <w:r w:rsidRPr="00592D35">
        <w:rPr>
          <w:rFonts w:eastAsia="Calibri"/>
        </w:rPr>
        <w:t xml:space="preserve"> This might include where that country has refused to recognise their nationality despite the operation of the law.</w:t>
      </w:r>
    </w:p>
    <w:p w14:paraId="1B175F3B" w14:textId="03EB5B76" w:rsidR="0032451D" w:rsidRPr="00592D35" w:rsidRDefault="0032451D" w:rsidP="0032451D">
      <w:pPr>
        <w:pStyle w:val="SubmissionNormal"/>
        <w:tabs>
          <w:tab w:val="num" w:pos="720"/>
        </w:tabs>
        <w:rPr>
          <w:rFonts w:eastAsia="Calibri"/>
        </w:rPr>
      </w:pPr>
      <w:bookmarkStart w:id="44" w:name="_Ref164686548"/>
      <w:r w:rsidRPr="00592D35">
        <w:rPr>
          <w:rFonts w:eastAsia="Calibri"/>
        </w:rPr>
        <w:t>The Commission has previously expressed concerns regarding the lack of any formal administrative process within the Migration Act or in other domestic legislation for assessing statelessness, nor the availability of a specific visa for a stateless person in Australia, other than a protection visa.</w:t>
      </w:r>
      <w:r w:rsidRPr="00592D35">
        <w:rPr>
          <w:rStyle w:val="EndnoteReference"/>
          <w:rFonts w:eastAsia="Calibri" w:cs="Open Sans"/>
        </w:rPr>
        <w:endnoteReference w:id="39"/>
      </w:r>
      <w:r w:rsidRPr="00592D35">
        <w:rPr>
          <w:rFonts w:eastAsia="Calibri"/>
        </w:rPr>
        <w:t xml:space="preserve"> These concerns were mirrored in a 2020 joint submission by statelessness experts to the UN Human Rights Council in its Universal Periodic Review of Australia.</w:t>
      </w:r>
      <w:r w:rsidRPr="00592D35">
        <w:rPr>
          <w:rStyle w:val="EndnoteReference"/>
          <w:rFonts w:eastAsia="Calibri" w:cs="Open Sans"/>
        </w:rPr>
        <w:endnoteReference w:id="40"/>
      </w:r>
      <w:r w:rsidRPr="00592D35">
        <w:rPr>
          <w:rFonts w:eastAsia="Calibri"/>
        </w:rPr>
        <w:t xml:space="preserve"> While it might be that some stateless people also qualify for protection under the Refugees Convention or the complimentary protection provisions, others will not. Mr Kuster has not made an application for a protection visa, and </w:t>
      </w:r>
      <w:r w:rsidR="00BB72B5">
        <w:rPr>
          <w:rFonts w:eastAsia="Calibri"/>
        </w:rPr>
        <w:t>Professor Croucher did</w:t>
      </w:r>
      <w:r w:rsidRPr="00592D35">
        <w:rPr>
          <w:rFonts w:eastAsia="Calibri"/>
        </w:rPr>
        <w:t xml:space="preserve"> not form any views as to whether he would qualify for such.</w:t>
      </w:r>
      <w:bookmarkEnd w:id="44"/>
    </w:p>
    <w:p w14:paraId="6AAD11A7" w14:textId="77777777" w:rsidR="0032451D" w:rsidRPr="00592D35" w:rsidRDefault="0032451D" w:rsidP="0032451D">
      <w:pPr>
        <w:pStyle w:val="SubmissionNormal"/>
        <w:tabs>
          <w:tab w:val="num" w:pos="720"/>
        </w:tabs>
        <w:rPr>
          <w:rFonts w:eastAsia="Calibri"/>
        </w:rPr>
      </w:pPr>
      <w:r w:rsidRPr="00592D35">
        <w:rPr>
          <w:rFonts w:eastAsia="Calibri"/>
        </w:rPr>
        <w:lastRenderedPageBreak/>
        <w:t>There is limited availability for a stateless person to apply for Australian citizenship. This may occur, in simplified terms, if the person was born in Australia without any nationality or citizenship (or the ability to acquire one).</w:t>
      </w:r>
      <w:r w:rsidRPr="00592D35">
        <w:rPr>
          <w:rStyle w:val="EndnoteReference"/>
          <w:rFonts w:eastAsia="Calibri" w:cs="Open Sans"/>
        </w:rPr>
        <w:endnoteReference w:id="41"/>
      </w:r>
    </w:p>
    <w:p w14:paraId="0C8B2EDB" w14:textId="02117532" w:rsidR="0032451D" w:rsidRPr="00592D35" w:rsidRDefault="0032451D" w:rsidP="0032451D">
      <w:pPr>
        <w:pStyle w:val="SubmissionNormal"/>
        <w:tabs>
          <w:tab w:val="num" w:pos="720"/>
        </w:tabs>
        <w:rPr>
          <w:rFonts w:eastAsia="Calibri"/>
        </w:rPr>
      </w:pPr>
      <w:r w:rsidRPr="00592D35">
        <w:rPr>
          <w:rFonts w:eastAsia="Calibri"/>
        </w:rPr>
        <w:t>If a person was born outside Australia to an Australian citizen parent and either their parent was present in Australia for at least 2 years before their application, or the person is not a national or citizen of any other country at the time of their application (</w:t>
      </w:r>
      <w:r w:rsidR="00512F13" w:rsidRPr="00592D35">
        <w:rPr>
          <w:rFonts w:eastAsia="Calibri"/>
        </w:rPr>
        <w:t>i.e.</w:t>
      </w:r>
      <w:r w:rsidRPr="00592D35">
        <w:rPr>
          <w:rFonts w:eastAsia="Calibri"/>
        </w:rPr>
        <w:t xml:space="preserve"> is stateless), then they may also be eligible for Australian citizenship.</w:t>
      </w:r>
      <w:r w:rsidRPr="00592D35">
        <w:rPr>
          <w:rStyle w:val="EndnoteReference"/>
          <w:rFonts w:eastAsia="Calibri" w:cs="Open Sans"/>
        </w:rPr>
        <w:endnoteReference w:id="42"/>
      </w:r>
    </w:p>
    <w:p w14:paraId="52912C59" w14:textId="77777777" w:rsidR="0032451D" w:rsidRPr="00592D35" w:rsidRDefault="0032451D" w:rsidP="0032451D">
      <w:pPr>
        <w:pStyle w:val="SubmissionNormal"/>
        <w:tabs>
          <w:tab w:val="num" w:pos="720"/>
        </w:tabs>
        <w:rPr>
          <w:rFonts w:eastAsia="Calibri"/>
        </w:rPr>
      </w:pPr>
      <w:r w:rsidRPr="00592D35">
        <w:rPr>
          <w:rFonts w:eastAsia="Calibri"/>
        </w:rPr>
        <w:t>However, if a person in the latter category has ever been a national or citizen of another country, then they must satisfy the Minister that they are of good character.</w:t>
      </w:r>
      <w:r w:rsidRPr="00592D35">
        <w:rPr>
          <w:rStyle w:val="EndnoteReference"/>
          <w:rFonts w:eastAsia="Calibri" w:cs="Open Sans"/>
        </w:rPr>
        <w:endnoteReference w:id="43"/>
      </w:r>
      <w:r w:rsidRPr="00592D35">
        <w:rPr>
          <w:rFonts w:eastAsia="Calibri"/>
        </w:rPr>
        <w:t xml:space="preserve"> As described below, the Department assessed </w:t>
      </w:r>
      <w:r>
        <w:rPr>
          <w:rFonts w:eastAsia="Calibri"/>
        </w:rPr>
        <w:t xml:space="preserve">that </w:t>
      </w:r>
      <w:r w:rsidRPr="00592D35">
        <w:rPr>
          <w:rFonts w:eastAsia="Calibri"/>
        </w:rPr>
        <w:t xml:space="preserve">Mr Kuster </w:t>
      </w:r>
      <w:r>
        <w:rPr>
          <w:rFonts w:eastAsia="Calibri"/>
        </w:rPr>
        <w:t>w</w:t>
      </w:r>
      <w:r w:rsidRPr="00592D35">
        <w:rPr>
          <w:rFonts w:eastAsia="Calibri"/>
        </w:rPr>
        <w:t>as</w:t>
      </w:r>
      <w:r>
        <w:rPr>
          <w:rFonts w:eastAsia="Calibri"/>
        </w:rPr>
        <w:t xml:space="preserve"> precluded as a result of his character from</w:t>
      </w:r>
      <w:r w:rsidRPr="00592D35">
        <w:rPr>
          <w:rFonts w:eastAsia="Calibri"/>
        </w:rPr>
        <w:t xml:space="preserve"> falling within this category.</w:t>
      </w:r>
    </w:p>
    <w:p w14:paraId="265F334B" w14:textId="72C9B915" w:rsidR="0032451D" w:rsidRPr="00592D35" w:rsidRDefault="00BB72B5" w:rsidP="0032451D">
      <w:pPr>
        <w:pStyle w:val="SubmissionNormal"/>
        <w:tabs>
          <w:tab w:val="num" w:pos="720"/>
        </w:tabs>
        <w:rPr>
          <w:rFonts w:eastAsia="Calibri"/>
        </w:rPr>
      </w:pPr>
      <w:r>
        <w:rPr>
          <w:rFonts w:eastAsia="Calibri"/>
        </w:rPr>
        <w:t>Professor Croucher had</w:t>
      </w:r>
      <w:r w:rsidR="0032451D" w:rsidRPr="79FBAF4B">
        <w:rPr>
          <w:rFonts w:eastAsia="Calibri"/>
        </w:rPr>
        <w:t xml:space="preserve"> not formed a view as to whether Mr Kuster is indeed stateless, and if he is, whether that is </w:t>
      </w:r>
      <w:r w:rsidR="0032451D" w:rsidRPr="79FBAF4B">
        <w:rPr>
          <w:rFonts w:eastAsia="Calibri"/>
          <w:i/>
          <w:iCs/>
        </w:rPr>
        <w:t xml:space="preserve">de jure </w:t>
      </w:r>
      <w:r w:rsidR="0032451D" w:rsidRPr="79FBAF4B">
        <w:rPr>
          <w:rFonts w:eastAsia="Calibri"/>
        </w:rPr>
        <w:t xml:space="preserve">or </w:t>
      </w:r>
      <w:r w:rsidR="0032451D" w:rsidRPr="79FBAF4B">
        <w:rPr>
          <w:rFonts w:eastAsia="Calibri"/>
          <w:i/>
          <w:iCs/>
        </w:rPr>
        <w:t xml:space="preserve">de facto </w:t>
      </w:r>
      <w:r w:rsidR="0032451D" w:rsidRPr="79FBAF4B">
        <w:rPr>
          <w:rFonts w:eastAsia="Calibri"/>
        </w:rPr>
        <w:t>statelessness. What is clear however is that the Department has assessed Mr Kuster as not being an Australian citizen, and PNG has not, to date, been willing to recognise him as a citizen of PNG, which means that he does not presently have any effective nationality. This ha</w:t>
      </w:r>
      <w:r w:rsidR="008F4AC9">
        <w:rPr>
          <w:rFonts w:eastAsia="Calibri"/>
        </w:rPr>
        <w:t>d</w:t>
      </w:r>
      <w:r w:rsidR="0032451D" w:rsidRPr="79FBAF4B">
        <w:rPr>
          <w:rFonts w:eastAsia="Calibri"/>
        </w:rPr>
        <w:t xml:space="preserve"> clearly impacted upon the duration of his detention.</w:t>
      </w:r>
    </w:p>
    <w:p w14:paraId="2D3F795F" w14:textId="77777777" w:rsidR="0032451D" w:rsidRPr="00592D35" w:rsidRDefault="0032451D" w:rsidP="0032451D">
      <w:pPr>
        <w:pStyle w:val="SubmissionNormal"/>
        <w:tabs>
          <w:tab w:val="num" w:pos="720"/>
        </w:tabs>
        <w:rPr>
          <w:rFonts w:eastAsia="Calibri"/>
        </w:rPr>
      </w:pPr>
      <w:r w:rsidRPr="79FBAF4B">
        <w:rPr>
          <w:rFonts w:eastAsia="Calibri"/>
        </w:rPr>
        <w:t>According to documents provided to the UN Working Group on Arbitrary Detention, the PNG Immigration and Citizenship Authority (ICA) has informed the Department that Mr Kuster does not hold citizenship and is ineligible to apply because he was born after the PNG Day of Independence, and that any future application would require him to meet residence and character requirements</w:t>
      </w:r>
      <w:r>
        <w:rPr>
          <w:rFonts w:eastAsia="Calibri"/>
        </w:rPr>
        <w:t>, both of which he is ‘currently unable to satisfy’</w:t>
      </w:r>
      <w:r w:rsidRPr="79FBAF4B">
        <w:rPr>
          <w:rFonts w:eastAsia="Calibri"/>
        </w:rPr>
        <w:t>.</w:t>
      </w:r>
    </w:p>
    <w:p w14:paraId="77200308" w14:textId="77777777" w:rsidR="0032451D" w:rsidRDefault="0032451D" w:rsidP="0032451D">
      <w:pPr>
        <w:pStyle w:val="SubmissionNormal"/>
        <w:tabs>
          <w:tab w:val="num" w:pos="720"/>
        </w:tabs>
        <w:rPr>
          <w:rFonts w:eastAsia="Calibri"/>
        </w:rPr>
      </w:pPr>
      <w:r w:rsidRPr="79FBAF4B">
        <w:rPr>
          <w:rFonts w:eastAsia="Calibri"/>
        </w:rPr>
        <w:t xml:space="preserve">In response to a request for further information by the Commission, the Department confirmed that Mr Kuster’s claim of statelessness had not been assessed through a protection visa application, nor through an application for Australian citizenship by descent. The reason for the lack of assessment through his citizenship application was because, by operation of section 16(2)(c) of the </w:t>
      </w:r>
      <w:r w:rsidRPr="79FBAF4B">
        <w:rPr>
          <w:rFonts w:eastAsia="Calibri"/>
          <w:i/>
          <w:iCs/>
        </w:rPr>
        <w:t>Australian Citizenship Act 2007</w:t>
      </w:r>
      <w:r w:rsidRPr="79FBAF4B">
        <w:rPr>
          <w:rFonts w:eastAsia="Calibri"/>
        </w:rPr>
        <w:t xml:space="preserve"> (Cth), Mr Kuster was required to meet the character test to be eligible for Australian citizenship. His application was apparently refused without the assessment made first as to statelessness.</w:t>
      </w:r>
    </w:p>
    <w:p w14:paraId="22213BB9" w14:textId="6223F4D6" w:rsidR="0032451D" w:rsidRDefault="0032451D" w:rsidP="0032451D">
      <w:pPr>
        <w:pStyle w:val="SubmissionNormal"/>
        <w:tabs>
          <w:tab w:val="num" w:pos="720"/>
        </w:tabs>
        <w:rPr>
          <w:rFonts w:eastAsia="Calibri"/>
        </w:rPr>
      </w:pPr>
      <w:r>
        <w:rPr>
          <w:rFonts w:eastAsia="Calibri"/>
        </w:rPr>
        <w:lastRenderedPageBreak/>
        <w:t xml:space="preserve">In response to </w:t>
      </w:r>
      <w:r w:rsidR="005F72FF">
        <w:rPr>
          <w:rFonts w:eastAsia="Calibri"/>
        </w:rPr>
        <w:t>Professor Croucher’s</w:t>
      </w:r>
      <w:r>
        <w:rPr>
          <w:rFonts w:eastAsia="Calibri"/>
        </w:rPr>
        <w:t xml:space="preserve"> preliminary view, the Department stated:</w:t>
      </w:r>
    </w:p>
    <w:p w14:paraId="6FFCFEBF" w14:textId="77777777" w:rsidR="0032451D" w:rsidRPr="00D700FA" w:rsidRDefault="0032451D" w:rsidP="0032451D">
      <w:pPr>
        <w:pStyle w:val="Blockquote"/>
        <w:rPr>
          <w:sz w:val="22"/>
          <w:szCs w:val="22"/>
        </w:rPr>
      </w:pPr>
      <w:r w:rsidRPr="00D700FA">
        <w:rPr>
          <w:sz w:val="22"/>
          <w:szCs w:val="22"/>
        </w:rPr>
        <w:t>The Department does not agree with the Commission’s view that steps were not taken to assess or confirm Mr Kuster’s alleged status of stateless[ness]. On 4 April 2019, as part of the removal planning process, the Removal Helpdesk in the ABF advised that the PNG HC could not locate records that identified Mr Kuster as being a PNG citizen. A number of subsequent enquiries regarding Mr Kuster's citizenship were made including meeting with the PNG HC in Canberra in July 2022 and correspondence with the PNG Immigration Citizenship Authority.</w:t>
      </w:r>
    </w:p>
    <w:p w14:paraId="57C5DDB8" w14:textId="77777777" w:rsidR="0032451D" w:rsidRDefault="0032451D" w:rsidP="0032451D">
      <w:pPr>
        <w:pStyle w:val="SubmissionNormal"/>
        <w:tabs>
          <w:tab w:val="num" w:pos="720"/>
        </w:tabs>
        <w:rPr>
          <w:rFonts w:eastAsia="Calibri"/>
        </w:rPr>
      </w:pPr>
      <w:r>
        <w:rPr>
          <w:rFonts w:eastAsia="Calibri"/>
        </w:rPr>
        <w:t xml:space="preserve">Mr Kuster’s representative referred to the fact that the Department and the Tribunal both found that Mr Kuster was not stateless when he was born, and as such is not entitled to Australian citizenship (because he is not of good character). The fact however remains that Mr Kuster is not apparently a national of any state. The release of Mr Kuster from detention following </w:t>
      </w:r>
      <w:r>
        <w:rPr>
          <w:rFonts w:eastAsia="Calibri"/>
          <w:i/>
          <w:iCs/>
        </w:rPr>
        <w:t>NZYQ</w:t>
      </w:r>
      <w:r>
        <w:rPr>
          <w:rFonts w:eastAsia="Calibri"/>
        </w:rPr>
        <w:t xml:space="preserve"> might be an indication that this has been accepted, but it also could merely be an acknowledgement that his removal from Australia is not practicable in the reasonably foreseeable future. Mr Kuster’s representative submits that the Department has not formally acknowledged to Mr Kuster their position on whether he is or is not stateless.</w:t>
      </w:r>
    </w:p>
    <w:p w14:paraId="5CD7D141" w14:textId="5C899480" w:rsidR="0032451D" w:rsidRDefault="006718F2" w:rsidP="0032451D">
      <w:pPr>
        <w:pStyle w:val="SubmissionNormal"/>
        <w:tabs>
          <w:tab w:val="num" w:pos="720"/>
        </w:tabs>
        <w:rPr>
          <w:rFonts w:eastAsia="Calibri"/>
        </w:rPr>
      </w:pPr>
      <w:r>
        <w:rPr>
          <w:rFonts w:eastAsia="Calibri"/>
        </w:rPr>
        <w:t xml:space="preserve">Professor Croucher </w:t>
      </w:r>
      <w:r w:rsidR="0032451D">
        <w:rPr>
          <w:rFonts w:eastAsia="Calibri"/>
        </w:rPr>
        <w:t>acknowledge</w:t>
      </w:r>
      <w:r>
        <w:rPr>
          <w:rFonts w:eastAsia="Calibri"/>
        </w:rPr>
        <w:t>d</w:t>
      </w:r>
      <w:r w:rsidR="0032451D">
        <w:rPr>
          <w:rFonts w:eastAsia="Calibri"/>
        </w:rPr>
        <w:t xml:space="preserve"> that the Department ha</w:t>
      </w:r>
      <w:r w:rsidR="00CE2630">
        <w:rPr>
          <w:rFonts w:eastAsia="Calibri"/>
        </w:rPr>
        <w:t xml:space="preserve">d </w:t>
      </w:r>
      <w:r w:rsidR="0032451D">
        <w:rPr>
          <w:rFonts w:eastAsia="Calibri"/>
        </w:rPr>
        <w:t xml:space="preserve">taken steps to resolve this issue as part of their efforts to remove Mr Kuster from Australia, but there appears to have been no progress for a significant period of time, since the meeting with the PNG High Commission in July 2022. The failure identified in </w:t>
      </w:r>
      <w:r w:rsidR="00654CAE">
        <w:rPr>
          <w:rFonts w:eastAsia="Calibri"/>
        </w:rPr>
        <w:t>Professor Croucher’s</w:t>
      </w:r>
      <w:r w:rsidR="0032451D">
        <w:rPr>
          <w:rFonts w:eastAsia="Calibri"/>
        </w:rPr>
        <w:t xml:space="preserve"> preliminary view was not a failure to take steps, but a failure </w:t>
      </w:r>
      <w:r w:rsidR="0032451D" w:rsidRPr="00592D35">
        <w:t>to formally assess whether Mr Kuster is stateless according to international law</w:t>
      </w:r>
      <w:r w:rsidR="0032451D">
        <w:t xml:space="preserve">. </w:t>
      </w:r>
    </w:p>
    <w:p w14:paraId="5E839CA7" w14:textId="0E0E3141" w:rsidR="0032451D" w:rsidRPr="00592D35" w:rsidRDefault="0032451D" w:rsidP="0032451D">
      <w:pPr>
        <w:pStyle w:val="SubmissionNormal"/>
        <w:tabs>
          <w:tab w:val="num" w:pos="720"/>
        </w:tabs>
        <w:rPr>
          <w:rFonts w:eastAsia="Calibri"/>
        </w:rPr>
      </w:pPr>
      <w:r w:rsidRPr="79FBAF4B">
        <w:rPr>
          <w:rFonts w:eastAsia="Calibri"/>
        </w:rPr>
        <w:t xml:space="preserve">With no process in place for him to have his claim of statelessness assessed, it falls again on the Minister’s personal, discretionary powers, for there to be hope for Mr Kuster to resolve his predicament. </w:t>
      </w:r>
      <w:r w:rsidR="00654CAE">
        <w:rPr>
          <w:rFonts w:eastAsia="Calibri"/>
        </w:rPr>
        <w:t xml:space="preserve">Professor Croucher </w:t>
      </w:r>
      <w:r w:rsidRPr="79FBAF4B">
        <w:rPr>
          <w:rFonts w:eastAsia="Calibri"/>
        </w:rPr>
        <w:t>note</w:t>
      </w:r>
      <w:r w:rsidR="00654CAE">
        <w:rPr>
          <w:rFonts w:eastAsia="Calibri"/>
        </w:rPr>
        <w:t>d</w:t>
      </w:r>
      <w:r w:rsidRPr="79FBAF4B">
        <w:rPr>
          <w:rFonts w:eastAsia="Calibri"/>
        </w:rPr>
        <w:t xml:space="preserve"> in this respect that the discretion afforded to some detainees under section 501J of the Migration Act is not available to Mr Kuster, because it was the Minister personally who decided against revocation of his visa cancellation. Visa cancellation decisions made by a delegate of the Minister in contrast, are reviewable by the Administrative Appeals Tribunal, and can have more favourable decisions substituted by the Minister, including in circumstances where:</w:t>
      </w:r>
    </w:p>
    <w:p w14:paraId="7A1D9E09" w14:textId="77777777" w:rsidR="0032451D" w:rsidRPr="00EB1534" w:rsidRDefault="0032451D" w:rsidP="0032451D">
      <w:pPr>
        <w:pStyle w:val="Blockquote"/>
        <w:rPr>
          <w:rFonts w:cs="Open Sans"/>
          <w:sz w:val="22"/>
          <w:szCs w:val="22"/>
        </w:rPr>
      </w:pPr>
      <w:r w:rsidRPr="00EB1534">
        <w:rPr>
          <w:rFonts w:cs="Open Sans"/>
          <w:sz w:val="22"/>
          <w:szCs w:val="22"/>
        </w:rPr>
        <w:t>the Department has determined that the person cannot be returned to their country/countries of citizenship or usual residence due to circumstances outside the person’s control.</w:t>
      </w:r>
      <w:r w:rsidRPr="00EB1534">
        <w:rPr>
          <w:rStyle w:val="EndnoteReference"/>
          <w:rFonts w:cs="Open Sans"/>
          <w:sz w:val="18"/>
          <w:szCs w:val="22"/>
        </w:rPr>
        <w:endnoteReference w:id="44"/>
      </w:r>
    </w:p>
    <w:p w14:paraId="5D44CAA2" w14:textId="6830C35B" w:rsidR="0032451D" w:rsidRDefault="00F22C80" w:rsidP="0032451D">
      <w:pPr>
        <w:pStyle w:val="SubmissionNormal"/>
        <w:tabs>
          <w:tab w:val="num" w:pos="720"/>
        </w:tabs>
        <w:rPr>
          <w:rFonts w:eastAsia="Calibri"/>
        </w:rPr>
      </w:pPr>
      <w:r>
        <w:rPr>
          <w:rFonts w:eastAsia="Calibri"/>
        </w:rPr>
        <w:lastRenderedPageBreak/>
        <w:t xml:space="preserve">Professor Croucher </w:t>
      </w:r>
      <w:r w:rsidR="0032451D">
        <w:rPr>
          <w:rFonts w:eastAsia="Calibri"/>
        </w:rPr>
        <w:t>remain</w:t>
      </w:r>
      <w:r>
        <w:rPr>
          <w:rFonts w:eastAsia="Calibri"/>
        </w:rPr>
        <w:t>ed</w:t>
      </w:r>
      <w:r w:rsidR="0032451D">
        <w:rPr>
          <w:rFonts w:eastAsia="Calibri"/>
        </w:rPr>
        <w:t xml:space="preserve"> of the</w:t>
      </w:r>
      <w:r w:rsidR="0032451D" w:rsidRPr="79FBAF4B">
        <w:rPr>
          <w:rFonts w:eastAsia="Calibri"/>
        </w:rPr>
        <w:t xml:space="preserve"> view that the failure of the Department to implement an assessment of whether Mr Kuster is or is not stateless according to international law </w:t>
      </w:r>
      <w:r w:rsidR="0032451D">
        <w:rPr>
          <w:rFonts w:eastAsia="Calibri"/>
        </w:rPr>
        <w:t>is</w:t>
      </w:r>
      <w:r w:rsidR="0032451D" w:rsidRPr="79FBAF4B">
        <w:rPr>
          <w:rFonts w:eastAsia="Calibri"/>
        </w:rPr>
        <w:t xml:space="preserve"> an act which has contributed to his detention becoming arbitrary, because this assessment is information which is necessarily required by the Minister in order to make a fully informed decision about whether or not to intervene in Mr Kuster’s case. </w:t>
      </w:r>
    </w:p>
    <w:p w14:paraId="331EA35C" w14:textId="77777777" w:rsidR="0032451D" w:rsidRDefault="0032451D" w:rsidP="0032451D">
      <w:pPr>
        <w:pStyle w:val="Heading1"/>
        <w:rPr>
          <w:rFonts w:eastAsia="Calibri"/>
        </w:rPr>
      </w:pPr>
      <w:bookmarkStart w:id="45" w:name="_Toc165268447"/>
      <w:bookmarkStart w:id="46" w:name="_Toc195778545"/>
      <w:r>
        <w:rPr>
          <w:rFonts w:eastAsia="Calibri"/>
        </w:rPr>
        <w:t>Recommendations</w:t>
      </w:r>
      <w:bookmarkEnd w:id="45"/>
      <w:bookmarkEnd w:id="46"/>
    </w:p>
    <w:p w14:paraId="396DD996" w14:textId="77777777" w:rsidR="0032451D" w:rsidRDefault="0032451D" w:rsidP="0032451D">
      <w:pPr>
        <w:pStyle w:val="SubmissionNormal"/>
        <w:tabs>
          <w:tab w:val="num" w:pos="720"/>
        </w:tabs>
      </w:pPr>
      <w:r>
        <w:t>Where, after conducting an inquiry, the Commission finds that an act or practice engaged in by a respondent is inconsistent with or contrary to any human right, the Commission is required to serve notice on the respondent setting out its findings and reasons for those findings.</w:t>
      </w:r>
      <w:r>
        <w:rPr>
          <w:rStyle w:val="EndnoteReference"/>
          <w:rFonts w:eastAsia="MS Mincho"/>
        </w:rPr>
        <w:endnoteReference w:id="45"/>
      </w:r>
      <w:r>
        <w:t xml:space="preserve"> The Commission may include in the notice any recommendations for preventing a repetition of the act or a continuation of the practice.</w:t>
      </w:r>
      <w:r>
        <w:rPr>
          <w:rStyle w:val="EndnoteReference"/>
          <w:rFonts w:eastAsia="MS Mincho"/>
        </w:rPr>
        <w:endnoteReference w:id="46"/>
      </w:r>
      <w:r>
        <w:t xml:space="preserve"> The Commission may also recommend other action to remedy or reduce the loss or damage suffered by a person.</w:t>
      </w:r>
      <w:r>
        <w:rPr>
          <w:rStyle w:val="EndnoteReference"/>
          <w:rFonts w:eastAsia="MS Mincho"/>
        </w:rPr>
        <w:endnoteReference w:id="47"/>
      </w:r>
    </w:p>
    <w:p w14:paraId="46412F2D" w14:textId="77777777" w:rsidR="0032451D" w:rsidRPr="009C4F59" w:rsidRDefault="0032451D" w:rsidP="0032451D">
      <w:pPr>
        <w:pStyle w:val="Heading2"/>
      </w:pPr>
      <w:bookmarkStart w:id="47" w:name="_Toc165268448"/>
      <w:bookmarkStart w:id="48" w:name="_Toc195778546"/>
      <w:r>
        <w:t>Statelessness</w:t>
      </w:r>
      <w:bookmarkEnd w:id="47"/>
      <w:bookmarkEnd w:id="48"/>
    </w:p>
    <w:p w14:paraId="4DBBA976" w14:textId="34E0B2F5" w:rsidR="0032451D" w:rsidRDefault="0032451D" w:rsidP="0032451D">
      <w:pPr>
        <w:pStyle w:val="SubmissionNormal"/>
        <w:tabs>
          <w:tab w:val="num" w:pos="720"/>
        </w:tabs>
        <w:rPr>
          <w:rFonts w:eastAsia="Calibri"/>
        </w:rPr>
      </w:pPr>
      <w:r>
        <w:rPr>
          <w:rFonts w:eastAsia="Calibri"/>
        </w:rPr>
        <w:t xml:space="preserve">As expressed at paragraph </w:t>
      </w:r>
      <w:r>
        <w:rPr>
          <w:rFonts w:eastAsia="Calibri"/>
        </w:rPr>
        <w:fldChar w:fldCharType="begin"/>
      </w:r>
      <w:r>
        <w:rPr>
          <w:rFonts w:eastAsia="Calibri"/>
        </w:rPr>
        <w:instrText xml:space="preserve"> REF _Ref164686548 \r \h </w:instrText>
      </w:r>
      <w:r>
        <w:rPr>
          <w:rFonts w:eastAsia="Calibri"/>
        </w:rPr>
      </w:r>
      <w:r>
        <w:rPr>
          <w:rFonts w:eastAsia="Calibri"/>
        </w:rPr>
        <w:fldChar w:fldCharType="separate"/>
      </w:r>
      <w:r w:rsidR="00F328CD">
        <w:rPr>
          <w:rFonts w:eastAsia="Calibri"/>
        </w:rPr>
        <w:t>112</w:t>
      </w:r>
      <w:r>
        <w:rPr>
          <w:rFonts w:eastAsia="Calibri"/>
        </w:rPr>
        <w:fldChar w:fldCharType="end"/>
      </w:r>
      <w:r>
        <w:rPr>
          <w:rFonts w:eastAsia="Calibri"/>
        </w:rPr>
        <w:t xml:space="preserve">, the Commission continues to see the need for a formal procedure to be established for the assessment of statelessness. </w:t>
      </w:r>
    </w:p>
    <w:p w14:paraId="33610516" w14:textId="77777777" w:rsidR="0032451D" w:rsidRPr="00CD0446" w:rsidRDefault="0032451D" w:rsidP="0032451D">
      <w:pPr>
        <w:pStyle w:val="SubmissionNormal"/>
        <w:numPr>
          <w:ilvl w:val="0"/>
          <w:numId w:val="0"/>
        </w:numPr>
        <w:ind w:left="720"/>
        <w:rPr>
          <w:rFonts w:ascii="Segoe UI" w:hAnsi="Segoe UI" w:cs="Segoe UI"/>
          <w:b/>
          <w:bCs/>
          <w:sz w:val="18"/>
          <w:szCs w:val="18"/>
        </w:rPr>
      </w:pPr>
      <w:r w:rsidRPr="00CD0446">
        <w:rPr>
          <w:b/>
          <w:bCs/>
        </w:rPr>
        <w:t>Recommendation 1 </w:t>
      </w:r>
    </w:p>
    <w:p w14:paraId="2C0CE214" w14:textId="77777777" w:rsidR="0032451D" w:rsidRPr="005C5DDB" w:rsidRDefault="0032451D" w:rsidP="0032451D">
      <w:pPr>
        <w:pStyle w:val="SubmissionNormal"/>
        <w:numPr>
          <w:ilvl w:val="0"/>
          <w:numId w:val="0"/>
        </w:numPr>
        <w:ind w:left="720"/>
        <w:rPr>
          <w:rFonts w:ascii="Segoe UI" w:hAnsi="Segoe UI" w:cs="Segoe UI"/>
          <w:sz w:val="18"/>
          <w:szCs w:val="18"/>
        </w:rPr>
      </w:pPr>
      <w:r w:rsidRPr="005C5DDB">
        <w:t>The Commission recommends that the Australian Government should introduce a formal statelessness status determination procedure. The Commission recommends that, in formulating such a procedure, the Department should take the following steps: </w:t>
      </w:r>
    </w:p>
    <w:p w14:paraId="0549DEE1" w14:textId="12526619" w:rsidR="0032451D" w:rsidRPr="005C5DDB" w:rsidRDefault="0032451D" w:rsidP="00345CED">
      <w:pPr>
        <w:pStyle w:val="Style2"/>
      </w:pPr>
      <w:r w:rsidRPr="005C5DDB">
        <w:t>draft a proposed policy and procedure</w:t>
      </w:r>
      <w:r w:rsidR="00345CED">
        <w:t>;</w:t>
      </w:r>
    </w:p>
    <w:p w14:paraId="7DF80765" w14:textId="7E238A25" w:rsidR="0032451D" w:rsidRPr="005C5DDB" w:rsidRDefault="0032451D" w:rsidP="00345CED">
      <w:pPr>
        <w:pStyle w:val="Style2"/>
      </w:pPr>
      <w:r w:rsidRPr="005C5DDB">
        <w:t>consult on the draft with civil society</w:t>
      </w:r>
      <w:r w:rsidR="00345CED">
        <w:t>;</w:t>
      </w:r>
    </w:p>
    <w:p w14:paraId="33E33208" w14:textId="7F6C6FFE" w:rsidR="007A34A3" w:rsidRPr="00DC2C64" w:rsidRDefault="0032451D" w:rsidP="00DC2C64">
      <w:pPr>
        <w:pStyle w:val="Style2"/>
      </w:pPr>
      <w:r w:rsidRPr="005C5DDB">
        <w:t>ensure that the policy and procedure are available on LEGEND</w:t>
      </w:r>
      <w:r w:rsidR="00E24D56">
        <w:t>.</w:t>
      </w:r>
      <w:r w:rsidRPr="005C5DDB">
        <w:t>com.</w:t>
      </w:r>
    </w:p>
    <w:p w14:paraId="5F507C74" w14:textId="77777777" w:rsidR="0032451D" w:rsidRPr="005C5DDB" w:rsidRDefault="0032451D" w:rsidP="0032451D">
      <w:pPr>
        <w:pStyle w:val="SubmissionNormal"/>
        <w:numPr>
          <w:ilvl w:val="0"/>
          <w:numId w:val="0"/>
        </w:numPr>
        <w:ind w:left="720"/>
        <w:rPr>
          <w:rFonts w:ascii="Segoe UI" w:hAnsi="Segoe UI" w:cs="Segoe UI"/>
          <w:b/>
          <w:bCs/>
          <w:sz w:val="18"/>
          <w:szCs w:val="18"/>
        </w:rPr>
      </w:pPr>
      <w:r w:rsidRPr="005C5DDB">
        <w:rPr>
          <w:b/>
          <w:bCs/>
        </w:rPr>
        <w:t>Recommendation 2 </w:t>
      </w:r>
    </w:p>
    <w:p w14:paraId="2DC35EFC" w14:textId="77777777" w:rsidR="0032451D" w:rsidRPr="005C5DDB" w:rsidRDefault="0032451D" w:rsidP="0032451D">
      <w:pPr>
        <w:pStyle w:val="SubmissionNormal"/>
        <w:numPr>
          <w:ilvl w:val="0"/>
          <w:numId w:val="0"/>
        </w:numPr>
        <w:ind w:left="720"/>
        <w:rPr>
          <w:rFonts w:ascii="Segoe UI" w:hAnsi="Segoe UI" w:cs="Segoe UI"/>
          <w:sz w:val="18"/>
          <w:szCs w:val="18"/>
        </w:rPr>
      </w:pPr>
      <w:r w:rsidRPr="005C5DDB">
        <w:t>The Commission recommends that a clear visa pathway to permanent residency should be established for stateless persons who are found not to be refugees or otherwise owed protection.</w:t>
      </w:r>
    </w:p>
    <w:p w14:paraId="3B1FB227" w14:textId="77777777" w:rsidR="0032451D" w:rsidRPr="005C5DDB" w:rsidRDefault="0032451D" w:rsidP="0032451D">
      <w:pPr>
        <w:pStyle w:val="SubmissionNormal"/>
        <w:numPr>
          <w:ilvl w:val="0"/>
          <w:numId w:val="0"/>
        </w:numPr>
        <w:ind w:left="720"/>
        <w:rPr>
          <w:rFonts w:ascii="Segoe UI" w:hAnsi="Segoe UI" w:cs="Segoe UI"/>
          <w:b/>
          <w:bCs/>
          <w:sz w:val="18"/>
          <w:szCs w:val="18"/>
        </w:rPr>
      </w:pPr>
      <w:r w:rsidRPr="005C5DDB">
        <w:rPr>
          <w:b/>
          <w:bCs/>
        </w:rPr>
        <w:lastRenderedPageBreak/>
        <w:t>Recommendation 3</w:t>
      </w:r>
    </w:p>
    <w:p w14:paraId="4A025C62" w14:textId="77777777" w:rsidR="0032451D" w:rsidRPr="005C5DDB" w:rsidRDefault="0032451D" w:rsidP="0032451D">
      <w:pPr>
        <w:pStyle w:val="SubmissionNormal"/>
        <w:numPr>
          <w:ilvl w:val="0"/>
          <w:numId w:val="0"/>
        </w:numPr>
        <w:ind w:left="720"/>
        <w:rPr>
          <w:rFonts w:ascii="Segoe UI" w:hAnsi="Segoe UI" w:cs="Segoe UI"/>
          <w:sz w:val="18"/>
          <w:szCs w:val="18"/>
        </w:rPr>
      </w:pPr>
      <w:r w:rsidRPr="005C5DDB">
        <w:t>The Commission recommends that statelessness should be included as a specific consideration in the guidelines for Ministerial Intervention under ss 351, 417, 501J and 195A of the Migration Act.</w:t>
      </w:r>
    </w:p>
    <w:p w14:paraId="579EE9C0" w14:textId="77777777" w:rsidR="0032451D" w:rsidRPr="00CD0446" w:rsidRDefault="0032451D" w:rsidP="0032451D">
      <w:pPr>
        <w:pStyle w:val="SubmissionNormal"/>
        <w:numPr>
          <w:ilvl w:val="0"/>
          <w:numId w:val="0"/>
        </w:numPr>
        <w:ind w:left="720"/>
        <w:rPr>
          <w:rFonts w:ascii="Times New Roman" w:hAnsi="Times New Roman"/>
          <w:b/>
          <w:bCs/>
        </w:rPr>
      </w:pPr>
      <w:r w:rsidRPr="00CD0446">
        <w:rPr>
          <w:b/>
          <w:bCs/>
        </w:rPr>
        <w:t>Recommendation 4</w:t>
      </w:r>
    </w:p>
    <w:p w14:paraId="067A55E7" w14:textId="77777777" w:rsidR="0032451D" w:rsidRPr="00AC7E8C" w:rsidRDefault="0032451D" w:rsidP="0032451D">
      <w:pPr>
        <w:pStyle w:val="SubmissionNormal"/>
        <w:numPr>
          <w:ilvl w:val="0"/>
          <w:numId w:val="0"/>
        </w:numPr>
        <w:ind w:left="720"/>
        <w:rPr>
          <w:rFonts w:ascii="Segoe UI" w:hAnsi="Segoe UI" w:cs="Segoe UI"/>
          <w:sz w:val="18"/>
          <w:szCs w:val="18"/>
        </w:rPr>
      </w:pPr>
      <w:r w:rsidRPr="00AC7E8C">
        <w:t>The Commission recommends that any unlawful non-citizen who is or claims to be stateless should be automatically referred to the Minister for consideration of their intervention powers.</w:t>
      </w:r>
    </w:p>
    <w:p w14:paraId="1E3E28A8" w14:textId="77777777" w:rsidR="0032451D" w:rsidRDefault="0032451D" w:rsidP="0032451D">
      <w:pPr>
        <w:pStyle w:val="Heading2"/>
        <w:rPr>
          <w:rFonts w:eastAsia="Calibri"/>
        </w:rPr>
      </w:pPr>
      <w:bookmarkStart w:id="49" w:name="_Toc165268449"/>
      <w:bookmarkStart w:id="50" w:name="_Toc195778547"/>
      <w:r>
        <w:rPr>
          <w:rFonts w:eastAsia="Calibri"/>
        </w:rPr>
        <w:t>Indigeneity</w:t>
      </w:r>
      <w:bookmarkEnd w:id="49"/>
      <w:bookmarkEnd w:id="50"/>
    </w:p>
    <w:p w14:paraId="51AA6F2D" w14:textId="0BB5158B" w:rsidR="0032451D" w:rsidRDefault="0032451D" w:rsidP="0032451D">
      <w:pPr>
        <w:pStyle w:val="SubmissionNormal"/>
        <w:tabs>
          <w:tab w:val="num" w:pos="720"/>
        </w:tabs>
        <w:rPr>
          <w:rFonts w:eastAsia="Calibri"/>
        </w:rPr>
      </w:pPr>
      <w:r>
        <w:rPr>
          <w:rFonts w:eastAsia="Calibri"/>
        </w:rPr>
        <w:t xml:space="preserve">The Commission notes the Department’s policy document referred to at paragraph </w:t>
      </w:r>
      <w:r>
        <w:rPr>
          <w:rFonts w:eastAsia="Calibri"/>
        </w:rPr>
        <w:fldChar w:fldCharType="begin"/>
      </w:r>
      <w:r>
        <w:rPr>
          <w:rFonts w:eastAsia="Calibri"/>
        </w:rPr>
        <w:instrText xml:space="preserve"> REF _Ref164687978 \r \h </w:instrText>
      </w:r>
      <w:r>
        <w:rPr>
          <w:rFonts w:eastAsia="Calibri"/>
        </w:rPr>
      </w:r>
      <w:r>
        <w:rPr>
          <w:rFonts w:eastAsia="Calibri"/>
        </w:rPr>
        <w:fldChar w:fldCharType="separate"/>
      </w:r>
      <w:r w:rsidR="00F328CD">
        <w:rPr>
          <w:rFonts w:eastAsia="Calibri"/>
        </w:rPr>
        <w:t>105</w:t>
      </w:r>
      <w:r>
        <w:rPr>
          <w:rFonts w:eastAsia="Calibri"/>
        </w:rPr>
        <w:fldChar w:fldCharType="end"/>
      </w:r>
      <w:r>
        <w:rPr>
          <w:rFonts w:eastAsia="Calibri"/>
        </w:rPr>
        <w:t xml:space="preserve"> regarding the continuation of removal planning for detainees who may be Indigenous. It appears from the document that the Department’s intention is for a person to remain detained and subject to such planning, while the status resolution team assess their eligibility under the tripartite test.</w:t>
      </w:r>
    </w:p>
    <w:p w14:paraId="1D416537" w14:textId="3B95D80E" w:rsidR="0032451D" w:rsidRPr="00E85917" w:rsidRDefault="0032451D" w:rsidP="0032451D">
      <w:pPr>
        <w:pStyle w:val="SubmissionNormal"/>
        <w:tabs>
          <w:tab w:val="num" w:pos="720"/>
        </w:tabs>
        <w:rPr>
          <w:rFonts w:eastAsia="Calibri"/>
        </w:rPr>
      </w:pPr>
      <w:r>
        <w:rPr>
          <w:rFonts w:eastAsia="Calibri"/>
        </w:rPr>
        <w:t>The Commission instead recommends that any such person should be considered for an alternative to held detention, including for referral to the Minister for possible intervention. This will mitigate the risk that their detention may become arbitrary while the assessment is being conducted.</w:t>
      </w:r>
    </w:p>
    <w:p w14:paraId="70D4B82F" w14:textId="77777777" w:rsidR="0032451D" w:rsidRPr="0088221E" w:rsidRDefault="0032451D" w:rsidP="0032451D">
      <w:pPr>
        <w:pStyle w:val="SubmissionNormal"/>
        <w:numPr>
          <w:ilvl w:val="0"/>
          <w:numId w:val="0"/>
        </w:numPr>
        <w:ind w:left="720"/>
        <w:rPr>
          <w:rFonts w:eastAsia="Calibri"/>
          <w:b/>
          <w:bCs/>
        </w:rPr>
      </w:pPr>
      <w:r w:rsidRPr="0088221E">
        <w:rPr>
          <w:rFonts w:eastAsia="Calibri"/>
          <w:b/>
          <w:bCs/>
        </w:rPr>
        <w:t>Recommendation 5</w:t>
      </w:r>
    </w:p>
    <w:p w14:paraId="63A7F3B9" w14:textId="2094D191" w:rsidR="00915B84" w:rsidRPr="00094E04" w:rsidRDefault="0032451D" w:rsidP="00345CED">
      <w:pPr>
        <w:pStyle w:val="SubmissionNormal"/>
        <w:numPr>
          <w:ilvl w:val="0"/>
          <w:numId w:val="0"/>
        </w:numPr>
        <w:ind w:left="720"/>
        <w:rPr>
          <w:rFonts w:eastAsia="Calibri"/>
        </w:rPr>
      </w:pPr>
      <w:r w:rsidRPr="1A0E008F">
        <w:rPr>
          <w:rFonts w:eastAsia="Calibri"/>
        </w:rPr>
        <w:t>The Commission recommends that any person in detention who claims to be indigenous be considered for an alternative to held detention while their claims are assessed, including for referral to the Minister for possible intervention where necessary.</w:t>
      </w:r>
    </w:p>
    <w:p w14:paraId="2D5DDE63" w14:textId="5BBB0F55" w:rsidR="0032451D" w:rsidRDefault="007465DA" w:rsidP="003026A0">
      <w:pPr>
        <w:pStyle w:val="AHRCHeading1"/>
      </w:pPr>
      <w:bookmarkStart w:id="51" w:name="_Toc195778548"/>
      <w:r>
        <w:t xml:space="preserve">The </w:t>
      </w:r>
      <w:r w:rsidR="00E0005A">
        <w:t xml:space="preserve">Department’s response to </w:t>
      </w:r>
      <w:r w:rsidR="006221D9">
        <w:t>the Commission’s</w:t>
      </w:r>
      <w:r w:rsidR="00E0005A">
        <w:t xml:space="preserve"> findings and recommendations</w:t>
      </w:r>
      <w:bookmarkEnd w:id="51"/>
      <w:r w:rsidR="00E0005A">
        <w:t xml:space="preserve"> </w:t>
      </w:r>
    </w:p>
    <w:p w14:paraId="0C74DD14" w14:textId="7BA4FA9D" w:rsidR="007E5CCE" w:rsidRDefault="007E5CCE" w:rsidP="007E5CCE">
      <w:pPr>
        <w:pStyle w:val="SubmissionNormal"/>
      </w:pPr>
      <w:r>
        <w:t xml:space="preserve">On </w:t>
      </w:r>
      <w:r w:rsidR="00713452">
        <w:t xml:space="preserve">3 May </w:t>
      </w:r>
      <w:r>
        <w:t xml:space="preserve">2024, </w:t>
      </w:r>
      <w:r w:rsidR="00F22C80">
        <w:t xml:space="preserve">Professor Croucher </w:t>
      </w:r>
      <w:r>
        <w:t xml:space="preserve">provided the Department with a notice of </w:t>
      </w:r>
      <w:r w:rsidR="00F22C80">
        <w:t>her</w:t>
      </w:r>
      <w:r>
        <w:t xml:space="preserve"> findings and recommendations. </w:t>
      </w:r>
    </w:p>
    <w:p w14:paraId="69EBFA27" w14:textId="37028728" w:rsidR="00713452" w:rsidRDefault="007E5CCE" w:rsidP="00280E56">
      <w:pPr>
        <w:pStyle w:val="SubmissionNormal"/>
      </w:pPr>
      <w:r>
        <w:t xml:space="preserve">On 16 August 2024, the Department provided the following response to </w:t>
      </w:r>
      <w:r w:rsidR="00F22C80">
        <w:t>Professor Croucher’s</w:t>
      </w:r>
      <w:r>
        <w:t xml:space="preserve"> findings and recommendations: </w:t>
      </w:r>
    </w:p>
    <w:p w14:paraId="363B1741" w14:textId="3BA4A804" w:rsidR="003F4496" w:rsidRPr="00280E56" w:rsidRDefault="003F4496" w:rsidP="00482503">
      <w:pPr>
        <w:pStyle w:val="Quote"/>
      </w:pPr>
      <w:r w:rsidRPr="00280E56">
        <w:t>The Department of Home Affairs (the Department) values the role of the Australian Human Rights Commission</w:t>
      </w:r>
      <w:r w:rsidRPr="00280E56">
        <w:rPr>
          <w:spacing w:val="-3"/>
        </w:rPr>
        <w:t xml:space="preserve"> </w:t>
      </w:r>
      <w:r w:rsidRPr="00280E56">
        <w:t>(the</w:t>
      </w:r>
      <w:r w:rsidRPr="00280E56">
        <w:rPr>
          <w:spacing w:val="-3"/>
        </w:rPr>
        <w:t xml:space="preserve"> </w:t>
      </w:r>
      <w:r w:rsidRPr="00280E56">
        <w:t>Commission)</w:t>
      </w:r>
      <w:r w:rsidRPr="00280E56">
        <w:rPr>
          <w:spacing w:val="-4"/>
        </w:rPr>
        <w:t xml:space="preserve"> </w:t>
      </w:r>
      <w:r w:rsidRPr="00280E56">
        <w:t>to</w:t>
      </w:r>
      <w:r w:rsidRPr="00280E56">
        <w:rPr>
          <w:spacing w:val="-3"/>
        </w:rPr>
        <w:t xml:space="preserve"> </w:t>
      </w:r>
      <w:r w:rsidRPr="00280E56">
        <w:t>inquire</w:t>
      </w:r>
      <w:r w:rsidRPr="00280E56">
        <w:rPr>
          <w:spacing w:val="-3"/>
        </w:rPr>
        <w:t xml:space="preserve"> </w:t>
      </w:r>
      <w:r w:rsidRPr="00280E56">
        <w:t>into</w:t>
      </w:r>
      <w:r w:rsidRPr="00280E56">
        <w:rPr>
          <w:spacing w:val="-3"/>
        </w:rPr>
        <w:t xml:space="preserve"> </w:t>
      </w:r>
      <w:r w:rsidRPr="00280E56">
        <w:t>human</w:t>
      </w:r>
      <w:r w:rsidRPr="00280E56">
        <w:rPr>
          <w:spacing w:val="-3"/>
        </w:rPr>
        <w:t xml:space="preserve"> </w:t>
      </w:r>
      <w:r w:rsidRPr="00280E56">
        <w:t>rights</w:t>
      </w:r>
      <w:r w:rsidRPr="00280E56">
        <w:rPr>
          <w:spacing w:val="-3"/>
        </w:rPr>
        <w:t xml:space="preserve"> </w:t>
      </w:r>
      <w:r w:rsidRPr="00280E56">
        <w:t>complaints</w:t>
      </w:r>
      <w:r w:rsidRPr="00280E56">
        <w:rPr>
          <w:spacing w:val="-3"/>
        </w:rPr>
        <w:t xml:space="preserve"> </w:t>
      </w:r>
      <w:r w:rsidRPr="00280E56">
        <w:t>and</w:t>
      </w:r>
      <w:r w:rsidRPr="00280E56">
        <w:rPr>
          <w:spacing w:val="-3"/>
        </w:rPr>
        <w:t xml:space="preserve"> </w:t>
      </w:r>
      <w:r w:rsidRPr="00280E56">
        <w:t>acknowledges</w:t>
      </w:r>
      <w:r w:rsidRPr="00280E56">
        <w:rPr>
          <w:spacing w:val="-3"/>
        </w:rPr>
        <w:t xml:space="preserve"> </w:t>
      </w:r>
      <w:r w:rsidRPr="00280E56">
        <w:t>the</w:t>
      </w:r>
      <w:r w:rsidRPr="00280E56">
        <w:rPr>
          <w:spacing w:val="-3"/>
        </w:rPr>
        <w:t xml:space="preserve"> </w:t>
      </w:r>
      <w:r w:rsidRPr="00280E56">
        <w:t xml:space="preserve">findings identified in this </w:t>
      </w:r>
      <w:r w:rsidRPr="00280E56">
        <w:lastRenderedPageBreak/>
        <w:t>report and the recommendations made by the President of the Commission.</w:t>
      </w:r>
    </w:p>
    <w:p w14:paraId="1D09BC92" w14:textId="005C4744" w:rsidR="003F4496" w:rsidRPr="00280E56" w:rsidRDefault="003F4496" w:rsidP="00793160">
      <w:pPr>
        <w:pStyle w:val="Quote"/>
      </w:pPr>
      <w:r w:rsidRPr="00280E56">
        <w:t xml:space="preserve">The Department notes that Mr Kuster was assessed as being impacted by the High Court’s decision on 8 November 2023 in </w:t>
      </w:r>
      <w:r w:rsidRPr="00280E56">
        <w:rPr>
          <w:i/>
        </w:rPr>
        <w:t>NZYQ v Minister for Immigration, Citizenship and Multicultural Affairs &amp; Anor (S28/2023)</w:t>
      </w:r>
      <w:r w:rsidRPr="00280E56">
        <w:rPr>
          <w:i/>
          <w:spacing w:val="-3"/>
        </w:rPr>
        <w:t xml:space="preserve"> </w:t>
      </w:r>
      <w:r w:rsidRPr="00280E56">
        <w:t>[2023]</w:t>
      </w:r>
      <w:r w:rsidRPr="00280E56">
        <w:rPr>
          <w:spacing w:val="-3"/>
        </w:rPr>
        <w:t xml:space="preserve"> </w:t>
      </w:r>
      <w:r w:rsidRPr="00280E56">
        <w:t>HCA</w:t>
      </w:r>
      <w:r w:rsidRPr="00280E56">
        <w:rPr>
          <w:spacing w:val="-3"/>
        </w:rPr>
        <w:t xml:space="preserve"> </w:t>
      </w:r>
      <w:r w:rsidRPr="00280E56">
        <w:t>37</w:t>
      </w:r>
      <w:r w:rsidRPr="00280E56">
        <w:rPr>
          <w:spacing w:val="-3"/>
        </w:rPr>
        <w:t xml:space="preserve"> </w:t>
      </w:r>
      <w:r w:rsidRPr="00280E56">
        <w:t>(NZYQ)</w:t>
      </w:r>
      <w:r w:rsidRPr="00280E56">
        <w:rPr>
          <w:spacing w:val="-3"/>
        </w:rPr>
        <w:t xml:space="preserve"> </w:t>
      </w:r>
      <w:r w:rsidRPr="00280E56">
        <w:t>and</w:t>
      </w:r>
      <w:r w:rsidRPr="00280E56">
        <w:rPr>
          <w:spacing w:val="-3"/>
        </w:rPr>
        <w:t xml:space="preserve"> </w:t>
      </w:r>
      <w:r w:rsidRPr="00280E56">
        <w:t>was</w:t>
      </w:r>
      <w:r w:rsidRPr="00280E56">
        <w:rPr>
          <w:spacing w:val="-3"/>
        </w:rPr>
        <w:t xml:space="preserve"> </w:t>
      </w:r>
      <w:r w:rsidRPr="00280E56">
        <w:t>released</w:t>
      </w:r>
      <w:r w:rsidRPr="00280E56">
        <w:rPr>
          <w:spacing w:val="-3"/>
        </w:rPr>
        <w:t xml:space="preserve"> </w:t>
      </w:r>
      <w:r w:rsidRPr="00280E56">
        <w:t>from</w:t>
      </w:r>
      <w:r w:rsidRPr="00280E56">
        <w:rPr>
          <w:spacing w:val="-4"/>
        </w:rPr>
        <w:t xml:space="preserve"> </w:t>
      </w:r>
      <w:r w:rsidRPr="00280E56">
        <w:t>immigration</w:t>
      </w:r>
      <w:r w:rsidRPr="00280E56">
        <w:rPr>
          <w:spacing w:val="-3"/>
        </w:rPr>
        <w:t xml:space="preserve"> </w:t>
      </w:r>
      <w:r w:rsidRPr="00280E56">
        <w:t>detention</w:t>
      </w:r>
      <w:r w:rsidRPr="00280E56">
        <w:rPr>
          <w:spacing w:val="-3"/>
        </w:rPr>
        <w:t xml:space="preserve"> </w:t>
      </w:r>
      <w:r w:rsidRPr="00280E56">
        <w:t>as</w:t>
      </w:r>
      <w:r w:rsidRPr="00280E56">
        <w:rPr>
          <w:spacing w:val="-3"/>
        </w:rPr>
        <w:t xml:space="preserve"> </w:t>
      </w:r>
      <w:r w:rsidRPr="00280E56">
        <w:t>soon</w:t>
      </w:r>
      <w:r w:rsidRPr="00280E56">
        <w:rPr>
          <w:spacing w:val="-3"/>
        </w:rPr>
        <w:t xml:space="preserve"> </w:t>
      </w:r>
      <w:r w:rsidRPr="00280E56">
        <w:t>as</w:t>
      </w:r>
      <w:r w:rsidRPr="00280E56">
        <w:rPr>
          <w:spacing w:val="-3"/>
        </w:rPr>
        <w:t xml:space="preserve"> </w:t>
      </w:r>
      <w:r w:rsidRPr="00280E56">
        <w:t>reasonably</w:t>
      </w:r>
      <w:r w:rsidR="00793160">
        <w:t xml:space="preserve"> </w:t>
      </w:r>
      <w:r w:rsidRPr="00280E56">
        <w:t>practicable</w:t>
      </w:r>
      <w:r w:rsidRPr="00280E56">
        <w:rPr>
          <w:spacing w:val="-3"/>
        </w:rPr>
        <w:t xml:space="preserve"> </w:t>
      </w:r>
      <w:r w:rsidRPr="00280E56">
        <w:t>following</w:t>
      </w:r>
      <w:r w:rsidRPr="00280E56">
        <w:rPr>
          <w:spacing w:val="-3"/>
        </w:rPr>
        <w:t xml:space="preserve"> </w:t>
      </w:r>
      <w:r w:rsidRPr="00280E56">
        <w:t>the</w:t>
      </w:r>
      <w:r w:rsidRPr="00280E56">
        <w:rPr>
          <w:spacing w:val="-3"/>
        </w:rPr>
        <w:t xml:space="preserve"> </w:t>
      </w:r>
      <w:r w:rsidRPr="00280E56">
        <w:t>decision.</w:t>
      </w:r>
      <w:r w:rsidRPr="00280E56">
        <w:rPr>
          <w:spacing w:val="-3"/>
        </w:rPr>
        <w:t xml:space="preserve"> </w:t>
      </w:r>
      <w:r w:rsidRPr="00280E56">
        <w:t>At</w:t>
      </w:r>
      <w:r w:rsidRPr="00280E56">
        <w:rPr>
          <w:spacing w:val="-3"/>
        </w:rPr>
        <w:t xml:space="preserve"> </w:t>
      </w:r>
      <w:r w:rsidRPr="00280E56">
        <w:t>no</w:t>
      </w:r>
      <w:r w:rsidRPr="00280E56">
        <w:rPr>
          <w:spacing w:val="-3"/>
        </w:rPr>
        <w:t xml:space="preserve"> </w:t>
      </w:r>
      <w:r w:rsidRPr="00280E56">
        <w:t>point</w:t>
      </w:r>
      <w:r w:rsidRPr="00280E56">
        <w:rPr>
          <w:spacing w:val="-3"/>
        </w:rPr>
        <w:t xml:space="preserve"> </w:t>
      </w:r>
      <w:r w:rsidRPr="00280E56">
        <w:t>before</w:t>
      </w:r>
      <w:r w:rsidRPr="00280E56">
        <w:rPr>
          <w:spacing w:val="-3"/>
        </w:rPr>
        <w:t xml:space="preserve"> </w:t>
      </w:r>
      <w:r w:rsidRPr="00280E56">
        <w:t>Mr</w:t>
      </w:r>
      <w:r w:rsidRPr="00280E56">
        <w:rPr>
          <w:spacing w:val="-3"/>
        </w:rPr>
        <w:t xml:space="preserve"> </w:t>
      </w:r>
      <w:r w:rsidRPr="00280E56">
        <w:t>Kuster’s</w:t>
      </w:r>
      <w:r w:rsidRPr="00280E56">
        <w:rPr>
          <w:spacing w:val="-3"/>
        </w:rPr>
        <w:t xml:space="preserve"> </w:t>
      </w:r>
      <w:r w:rsidRPr="00280E56">
        <w:t>release</w:t>
      </w:r>
      <w:r w:rsidRPr="00280E56">
        <w:rPr>
          <w:spacing w:val="-3"/>
        </w:rPr>
        <w:t xml:space="preserve"> </w:t>
      </w:r>
      <w:r w:rsidRPr="00280E56">
        <w:t>did</w:t>
      </w:r>
      <w:r w:rsidRPr="00280E56">
        <w:rPr>
          <w:spacing w:val="-3"/>
        </w:rPr>
        <w:t xml:space="preserve"> </w:t>
      </w:r>
      <w:r w:rsidRPr="00280E56">
        <w:t>his</w:t>
      </w:r>
      <w:r w:rsidRPr="00280E56">
        <w:rPr>
          <w:spacing w:val="-3"/>
        </w:rPr>
        <w:t xml:space="preserve"> </w:t>
      </w:r>
      <w:r w:rsidRPr="00280E56">
        <w:t>detention</w:t>
      </w:r>
      <w:r w:rsidRPr="00280E56">
        <w:rPr>
          <w:spacing w:val="-3"/>
        </w:rPr>
        <w:t xml:space="preserve"> </w:t>
      </w:r>
      <w:r w:rsidRPr="00280E56">
        <w:t>become</w:t>
      </w:r>
      <w:r w:rsidRPr="00280E56">
        <w:rPr>
          <w:spacing w:val="-3"/>
        </w:rPr>
        <w:t xml:space="preserve"> </w:t>
      </w:r>
      <w:r w:rsidRPr="00280E56">
        <w:t xml:space="preserve">arbitrary. The Department does not agree that the Commonwealth engaged in acts that were inconsistent with, or contrary to, article 9 of the </w:t>
      </w:r>
      <w:r w:rsidRPr="00280E56">
        <w:rPr>
          <w:i/>
        </w:rPr>
        <w:t xml:space="preserve">International Covenant on Civil and Political Rights </w:t>
      </w:r>
      <w:r w:rsidRPr="00280E56">
        <w:t>(ICCPR). The Department maintains that Mr Kuster’s placement in held immigration detention was reasonable, necessary and proportionate in the individual circumstances of his case.</w:t>
      </w:r>
    </w:p>
    <w:p w14:paraId="1993DF18" w14:textId="77777777" w:rsidR="003F4496" w:rsidRPr="004E1479" w:rsidRDefault="003F4496" w:rsidP="00482503">
      <w:pPr>
        <w:pStyle w:val="Quote"/>
        <w:rPr>
          <w:b/>
          <w:iCs w:val="0"/>
        </w:rPr>
      </w:pPr>
      <w:r w:rsidRPr="004E1479">
        <w:rPr>
          <w:b/>
          <w:iCs w:val="0"/>
        </w:rPr>
        <w:t>Recommendation</w:t>
      </w:r>
      <w:r w:rsidRPr="004E1479">
        <w:rPr>
          <w:b/>
          <w:iCs w:val="0"/>
          <w:spacing w:val="-3"/>
        </w:rPr>
        <w:t xml:space="preserve"> </w:t>
      </w:r>
      <w:r w:rsidRPr="004E1479">
        <w:rPr>
          <w:b/>
          <w:iCs w:val="0"/>
        </w:rPr>
        <w:t>1</w:t>
      </w:r>
      <w:r w:rsidRPr="004E1479">
        <w:rPr>
          <w:b/>
          <w:iCs w:val="0"/>
          <w:spacing w:val="-2"/>
        </w:rPr>
        <w:t xml:space="preserve"> </w:t>
      </w:r>
      <w:r w:rsidRPr="004E1479">
        <w:rPr>
          <w:b/>
          <w:iCs w:val="0"/>
        </w:rPr>
        <w:t>–</w:t>
      </w:r>
      <w:r w:rsidRPr="004E1479">
        <w:rPr>
          <w:b/>
          <w:iCs w:val="0"/>
          <w:spacing w:val="-2"/>
        </w:rPr>
        <w:t xml:space="preserve"> Noted</w:t>
      </w:r>
    </w:p>
    <w:p w14:paraId="58E25C15" w14:textId="77777777" w:rsidR="003F4496" w:rsidRPr="00192120" w:rsidRDefault="003F4496" w:rsidP="00482503">
      <w:pPr>
        <w:pStyle w:val="Quote"/>
        <w:rPr>
          <w:bCs/>
          <w:i/>
          <w:iCs w:val="0"/>
        </w:rPr>
      </w:pPr>
      <w:r w:rsidRPr="00192120">
        <w:rPr>
          <w:bCs/>
          <w:i/>
          <w:iCs w:val="0"/>
        </w:rPr>
        <w:t>The Commission recommends that the Australian Government should introduce a formal statelessness</w:t>
      </w:r>
      <w:r w:rsidRPr="00192120">
        <w:rPr>
          <w:bCs/>
          <w:i/>
          <w:iCs w:val="0"/>
          <w:spacing w:val="-4"/>
        </w:rPr>
        <w:t xml:space="preserve"> </w:t>
      </w:r>
      <w:r w:rsidRPr="00192120">
        <w:rPr>
          <w:bCs/>
          <w:i/>
          <w:iCs w:val="0"/>
        </w:rPr>
        <w:t>status</w:t>
      </w:r>
      <w:r w:rsidRPr="00192120">
        <w:rPr>
          <w:bCs/>
          <w:i/>
          <w:iCs w:val="0"/>
          <w:spacing w:val="-4"/>
        </w:rPr>
        <w:t xml:space="preserve"> </w:t>
      </w:r>
      <w:r w:rsidRPr="00192120">
        <w:rPr>
          <w:bCs/>
          <w:i/>
          <w:iCs w:val="0"/>
        </w:rPr>
        <w:t>determination</w:t>
      </w:r>
      <w:r w:rsidRPr="00192120">
        <w:rPr>
          <w:bCs/>
          <w:i/>
          <w:iCs w:val="0"/>
          <w:spacing w:val="-4"/>
        </w:rPr>
        <w:t xml:space="preserve"> </w:t>
      </w:r>
      <w:r w:rsidRPr="00192120">
        <w:rPr>
          <w:bCs/>
          <w:i/>
          <w:iCs w:val="0"/>
        </w:rPr>
        <w:t>procedure.</w:t>
      </w:r>
      <w:r w:rsidRPr="00192120">
        <w:rPr>
          <w:bCs/>
          <w:i/>
          <w:iCs w:val="0"/>
          <w:spacing w:val="-5"/>
        </w:rPr>
        <w:t xml:space="preserve"> </w:t>
      </w:r>
      <w:r w:rsidRPr="00192120">
        <w:rPr>
          <w:bCs/>
          <w:i/>
          <w:iCs w:val="0"/>
        </w:rPr>
        <w:t>The</w:t>
      </w:r>
      <w:r w:rsidRPr="00192120">
        <w:rPr>
          <w:bCs/>
          <w:i/>
          <w:iCs w:val="0"/>
          <w:spacing w:val="-4"/>
        </w:rPr>
        <w:t xml:space="preserve"> </w:t>
      </w:r>
      <w:r w:rsidRPr="00192120">
        <w:rPr>
          <w:bCs/>
          <w:i/>
          <w:iCs w:val="0"/>
        </w:rPr>
        <w:t>Commission</w:t>
      </w:r>
      <w:r w:rsidRPr="00192120">
        <w:rPr>
          <w:bCs/>
          <w:i/>
          <w:iCs w:val="0"/>
          <w:spacing w:val="-4"/>
        </w:rPr>
        <w:t xml:space="preserve"> </w:t>
      </w:r>
      <w:r w:rsidRPr="00192120">
        <w:rPr>
          <w:bCs/>
          <w:i/>
          <w:iCs w:val="0"/>
        </w:rPr>
        <w:t>recommends</w:t>
      </w:r>
      <w:r w:rsidRPr="00192120">
        <w:rPr>
          <w:bCs/>
          <w:i/>
          <w:iCs w:val="0"/>
          <w:spacing w:val="-4"/>
        </w:rPr>
        <w:t xml:space="preserve"> </w:t>
      </w:r>
      <w:r w:rsidRPr="00192120">
        <w:rPr>
          <w:bCs/>
          <w:i/>
          <w:iCs w:val="0"/>
        </w:rPr>
        <w:t>that,</w:t>
      </w:r>
      <w:r w:rsidRPr="00192120">
        <w:rPr>
          <w:bCs/>
          <w:i/>
          <w:iCs w:val="0"/>
          <w:spacing w:val="-4"/>
        </w:rPr>
        <w:t xml:space="preserve"> </w:t>
      </w:r>
      <w:r w:rsidRPr="00192120">
        <w:rPr>
          <w:bCs/>
          <w:i/>
          <w:iCs w:val="0"/>
        </w:rPr>
        <w:t>in</w:t>
      </w:r>
      <w:r w:rsidRPr="00192120">
        <w:rPr>
          <w:bCs/>
          <w:i/>
          <w:iCs w:val="0"/>
          <w:spacing w:val="-5"/>
        </w:rPr>
        <w:t xml:space="preserve"> </w:t>
      </w:r>
      <w:r w:rsidRPr="00192120">
        <w:rPr>
          <w:bCs/>
          <w:i/>
          <w:iCs w:val="0"/>
        </w:rPr>
        <w:t>formulating such a procedure, the Department should take the following steps:</w:t>
      </w:r>
    </w:p>
    <w:p w14:paraId="7EF36C97" w14:textId="2556A6B0" w:rsidR="003F4496" w:rsidRPr="00192120" w:rsidRDefault="003F4496" w:rsidP="00793160">
      <w:pPr>
        <w:pStyle w:val="Style2"/>
        <w:numPr>
          <w:ilvl w:val="2"/>
          <w:numId w:val="35"/>
        </w:numPr>
        <w:rPr>
          <w:bCs/>
          <w:i/>
          <w:sz w:val="22"/>
          <w:szCs w:val="22"/>
        </w:rPr>
      </w:pPr>
      <w:r w:rsidRPr="00192120">
        <w:rPr>
          <w:bCs/>
          <w:i/>
          <w:sz w:val="22"/>
          <w:szCs w:val="22"/>
        </w:rPr>
        <w:t>draft a proposed policy and procedure</w:t>
      </w:r>
      <w:r w:rsidR="00793160" w:rsidRPr="00192120">
        <w:rPr>
          <w:bCs/>
          <w:i/>
          <w:sz w:val="22"/>
          <w:szCs w:val="22"/>
        </w:rPr>
        <w:t>;</w:t>
      </w:r>
    </w:p>
    <w:p w14:paraId="5B99CA53" w14:textId="08458169" w:rsidR="003F4496" w:rsidRPr="00192120" w:rsidRDefault="003F4496" w:rsidP="00793160">
      <w:pPr>
        <w:pStyle w:val="Style2"/>
        <w:numPr>
          <w:ilvl w:val="2"/>
          <w:numId w:val="35"/>
        </w:numPr>
        <w:rPr>
          <w:bCs/>
          <w:i/>
          <w:sz w:val="22"/>
          <w:szCs w:val="22"/>
        </w:rPr>
      </w:pPr>
      <w:r w:rsidRPr="00192120">
        <w:rPr>
          <w:bCs/>
          <w:i/>
          <w:sz w:val="22"/>
          <w:szCs w:val="22"/>
        </w:rPr>
        <w:t>consult on the draft with civil society</w:t>
      </w:r>
      <w:r w:rsidR="00793160" w:rsidRPr="00192120">
        <w:rPr>
          <w:bCs/>
          <w:i/>
          <w:sz w:val="22"/>
          <w:szCs w:val="22"/>
        </w:rPr>
        <w:t>;</w:t>
      </w:r>
    </w:p>
    <w:p w14:paraId="6247A7DB" w14:textId="642DF04F" w:rsidR="003F4496" w:rsidRPr="00192120" w:rsidRDefault="003F4496" w:rsidP="00793160">
      <w:pPr>
        <w:pStyle w:val="Style2"/>
        <w:numPr>
          <w:ilvl w:val="2"/>
          <w:numId w:val="35"/>
        </w:numPr>
        <w:rPr>
          <w:bCs/>
          <w:i/>
        </w:rPr>
      </w:pPr>
      <w:r w:rsidRPr="00192120">
        <w:rPr>
          <w:bCs/>
          <w:i/>
          <w:sz w:val="22"/>
          <w:szCs w:val="22"/>
        </w:rPr>
        <w:t>ensure that the policy and procedure are available on LEGEND.com.</w:t>
      </w:r>
    </w:p>
    <w:p w14:paraId="6C7CCEE5" w14:textId="32759CF0" w:rsidR="003F4496" w:rsidRPr="00280E56" w:rsidRDefault="003F4496" w:rsidP="00482503">
      <w:pPr>
        <w:pStyle w:val="Quote"/>
      </w:pPr>
      <w:r w:rsidRPr="00280E56">
        <w:t>This</w:t>
      </w:r>
      <w:r w:rsidRPr="00280E56">
        <w:rPr>
          <w:spacing w:val="-4"/>
        </w:rPr>
        <w:t xml:space="preserve"> </w:t>
      </w:r>
      <w:r w:rsidRPr="00280E56">
        <w:t>recommendation</w:t>
      </w:r>
      <w:r w:rsidRPr="00280E56">
        <w:rPr>
          <w:spacing w:val="-4"/>
        </w:rPr>
        <w:t xml:space="preserve"> </w:t>
      </w:r>
      <w:r w:rsidRPr="00280E56">
        <w:t>is</w:t>
      </w:r>
      <w:r w:rsidRPr="00280E56">
        <w:rPr>
          <w:spacing w:val="-4"/>
        </w:rPr>
        <w:t xml:space="preserve"> </w:t>
      </w:r>
      <w:r w:rsidRPr="00280E56">
        <w:rPr>
          <w:spacing w:val="-2"/>
        </w:rPr>
        <w:t>noted.</w:t>
      </w:r>
    </w:p>
    <w:p w14:paraId="04692AD3" w14:textId="2BC5C17E" w:rsidR="003F4496" w:rsidRPr="00280E56" w:rsidRDefault="003F4496" w:rsidP="00482503">
      <w:pPr>
        <w:pStyle w:val="Quote"/>
      </w:pPr>
      <w:r w:rsidRPr="00280E56">
        <w:t>Australia</w:t>
      </w:r>
      <w:r w:rsidRPr="00280E56">
        <w:rPr>
          <w:spacing w:val="-3"/>
        </w:rPr>
        <w:t xml:space="preserve"> </w:t>
      </w:r>
      <w:r w:rsidRPr="00280E56">
        <w:t>takes</w:t>
      </w:r>
      <w:r w:rsidRPr="00280E56">
        <w:rPr>
          <w:spacing w:val="-4"/>
        </w:rPr>
        <w:t xml:space="preserve"> </w:t>
      </w:r>
      <w:r w:rsidRPr="00280E56">
        <w:t>very</w:t>
      </w:r>
      <w:r w:rsidRPr="00280E56">
        <w:rPr>
          <w:spacing w:val="-3"/>
        </w:rPr>
        <w:t xml:space="preserve"> </w:t>
      </w:r>
      <w:r w:rsidRPr="00280E56">
        <w:t>seriously</w:t>
      </w:r>
      <w:r w:rsidRPr="00280E56">
        <w:rPr>
          <w:spacing w:val="-3"/>
        </w:rPr>
        <w:t xml:space="preserve"> </w:t>
      </w:r>
      <w:r w:rsidRPr="00280E56">
        <w:t>its</w:t>
      </w:r>
      <w:r w:rsidRPr="00280E56">
        <w:rPr>
          <w:spacing w:val="-3"/>
        </w:rPr>
        <w:t xml:space="preserve"> </w:t>
      </w:r>
      <w:r w:rsidRPr="00280E56">
        <w:t>obligations</w:t>
      </w:r>
      <w:r w:rsidRPr="00280E56">
        <w:rPr>
          <w:spacing w:val="-3"/>
        </w:rPr>
        <w:t xml:space="preserve"> </w:t>
      </w:r>
      <w:r w:rsidRPr="00280E56">
        <w:t>under</w:t>
      </w:r>
      <w:r w:rsidRPr="00280E56">
        <w:rPr>
          <w:spacing w:val="-3"/>
        </w:rPr>
        <w:t xml:space="preserve"> </w:t>
      </w:r>
      <w:r w:rsidRPr="00280E56">
        <w:t>the</w:t>
      </w:r>
      <w:r w:rsidRPr="00280E56">
        <w:rPr>
          <w:spacing w:val="-3"/>
        </w:rPr>
        <w:t xml:space="preserve"> </w:t>
      </w:r>
      <w:r w:rsidRPr="00280E56">
        <w:t>two</w:t>
      </w:r>
      <w:r w:rsidRPr="00280E56">
        <w:rPr>
          <w:spacing w:val="-3"/>
        </w:rPr>
        <w:t xml:space="preserve"> </w:t>
      </w:r>
      <w:r w:rsidRPr="00280E56">
        <w:t>statelessness-related</w:t>
      </w:r>
      <w:r w:rsidRPr="00280E56">
        <w:rPr>
          <w:spacing w:val="-3"/>
        </w:rPr>
        <w:t xml:space="preserve"> </w:t>
      </w:r>
      <w:r w:rsidRPr="00280E56">
        <w:t>international</w:t>
      </w:r>
      <w:r w:rsidRPr="00280E56">
        <w:rPr>
          <w:spacing w:val="-3"/>
        </w:rPr>
        <w:t xml:space="preserve"> </w:t>
      </w:r>
      <w:r w:rsidRPr="00280E56">
        <w:t>conventions</w:t>
      </w:r>
      <w:r w:rsidRPr="00280E56">
        <w:rPr>
          <w:spacing w:val="-3"/>
        </w:rPr>
        <w:t xml:space="preserve"> </w:t>
      </w:r>
      <w:r w:rsidRPr="00280E56">
        <w:t>to which it is a Party (</w:t>
      </w:r>
      <w:r w:rsidRPr="00280E56">
        <w:rPr>
          <w:i/>
        </w:rPr>
        <w:t xml:space="preserve">the Convention relating to the Status of Stateless Persons </w:t>
      </w:r>
      <w:r w:rsidRPr="00280E56">
        <w:t xml:space="preserve">and the </w:t>
      </w:r>
      <w:r w:rsidRPr="00280E56">
        <w:rPr>
          <w:i/>
        </w:rPr>
        <w:t>Convention on the Reduction of Statelessness</w:t>
      </w:r>
      <w:r w:rsidRPr="00280E56">
        <w:t>) and relevant provisions of other human rights instruments. Australia’s obligations</w:t>
      </w:r>
      <w:r w:rsidRPr="00280E56">
        <w:rPr>
          <w:spacing w:val="-3"/>
        </w:rPr>
        <w:t xml:space="preserve"> </w:t>
      </w:r>
      <w:r w:rsidRPr="00280E56">
        <w:t>under</w:t>
      </w:r>
      <w:r w:rsidRPr="00280E56">
        <w:rPr>
          <w:spacing w:val="-4"/>
        </w:rPr>
        <w:t xml:space="preserve"> </w:t>
      </w:r>
      <w:r w:rsidRPr="00280E56">
        <w:t>the</w:t>
      </w:r>
      <w:r w:rsidRPr="00280E56">
        <w:rPr>
          <w:spacing w:val="-3"/>
        </w:rPr>
        <w:t xml:space="preserve"> </w:t>
      </w:r>
      <w:r w:rsidRPr="00280E56">
        <w:rPr>
          <w:i/>
        </w:rPr>
        <w:t>Convention</w:t>
      </w:r>
      <w:r w:rsidRPr="00280E56">
        <w:rPr>
          <w:i/>
          <w:spacing w:val="-3"/>
        </w:rPr>
        <w:t xml:space="preserve"> </w:t>
      </w:r>
      <w:r w:rsidRPr="00280E56">
        <w:rPr>
          <w:i/>
        </w:rPr>
        <w:t>on</w:t>
      </w:r>
      <w:r w:rsidRPr="00280E56">
        <w:rPr>
          <w:i/>
          <w:spacing w:val="-3"/>
        </w:rPr>
        <w:t xml:space="preserve"> </w:t>
      </w:r>
      <w:r w:rsidRPr="00280E56">
        <w:rPr>
          <w:i/>
        </w:rPr>
        <w:t>the</w:t>
      </w:r>
      <w:r w:rsidRPr="00280E56">
        <w:rPr>
          <w:i/>
          <w:spacing w:val="-3"/>
        </w:rPr>
        <w:t xml:space="preserve"> </w:t>
      </w:r>
      <w:r w:rsidRPr="00280E56">
        <w:rPr>
          <w:i/>
        </w:rPr>
        <w:t>Reduction</w:t>
      </w:r>
      <w:r w:rsidRPr="00280E56">
        <w:rPr>
          <w:i/>
          <w:spacing w:val="-3"/>
        </w:rPr>
        <w:t xml:space="preserve"> </w:t>
      </w:r>
      <w:r w:rsidRPr="00280E56">
        <w:rPr>
          <w:i/>
        </w:rPr>
        <w:t>of</w:t>
      </w:r>
      <w:r w:rsidRPr="00280E56">
        <w:rPr>
          <w:i/>
          <w:spacing w:val="-3"/>
        </w:rPr>
        <w:t xml:space="preserve"> </w:t>
      </w:r>
      <w:r w:rsidRPr="00280E56">
        <w:rPr>
          <w:i/>
        </w:rPr>
        <w:t>Statelessness</w:t>
      </w:r>
      <w:r w:rsidRPr="00280E56">
        <w:rPr>
          <w:i/>
          <w:spacing w:val="-3"/>
        </w:rPr>
        <w:t xml:space="preserve"> </w:t>
      </w:r>
      <w:r w:rsidRPr="00280E56">
        <w:t>have</w:t>
      </w:r>
      <w:r w:rsidRPr="00280E56">
        <w:rPr>
          <w:spacing w:val="-3"/>
        </w:rPr>
        <w:t xml:space="preserve"> </w:t>
      </w:r>
      <w:r w:rsidRPr="00280E56">
        <w:t>been</w:t>
      </w:r>
      <w:r w:rsidRPr="00280E56">
        <w:rPr>
          <w:spacing w:val="-3"/>
        </w:rPr>
        <w:t xml:space="preserve"> </w:t>
      </w:r>
      <w:r w:rsidRPr="00280E56">
        <w:t>part</w:t>
      </w:r>
      <w:r w:rsidRPr="00280E56">
        <w:rPr>
          <w:spacing w:val="-3"/>
        </w:rPr>
        <w:t xml:space="preserve"> </w:t>
      </w:r>
      <w:r w:rsidRPr="00280E56">
        <w:t>of</w:t>
      </w:r>
      <w:r w:rsidRPr="00280E56">
        <w:rPr>
          <w:spacing w:val="-3"/>
        </w:rPr>
        <w:t xml:space="preserve"> </w:t>
      </w:r>
      <w:r w:rsidRPr="00280E56">
        <w:t>Australian</w:t>
      </w:r>
      <w:r w:rsidRPr="00280E56">
        <w:rPr>
          <w:spacing w:val="-3"/>
        </w:rPr>
        <w:t xml:space="preserve"> </w:t>
      </w:r>
      <w:r w:rsidRPr="00280E56">
        <w:t xml:space="preserve">citizenship legislation since 1973. The </w:t>
      </w:r>
      <w:r w:rsidRPr="00280E56">
        <w:rPr>
          <w:i/>
        </w:rPr>
        <w:t xml:space="preserve">Australian Citizenship Act 2007 </w:t>
      </w:r>
      <w:r w:rsidRPr="00280E56">
        <w:t>sets out the eligibility of persons in different circumstances of statelessness for citizenship.</w:t>
      </w:r>
    </w:p>
    <w:p w14:paraId="7CC0C09E" w14:textId="291D1EF8" w:rsidR="003F4496" w:rsidRPr="00280E56" w:rsidRDefault="003F4496" w:rsidP="00482503">
      <w:pPr>
        <w:pStyle w:val="Quote"/>
      </w:pPr>
      <w:r w:rsidRPr="00280E56">
        <w:t>There</w:t>
      </w:r>
      <w:r w:rsidRPr="00280E56">
        <w:rPr>
          <w:spacing w:val="-3"/>
        </w:rPr>
        <w:t xml:space="preserve"> </w:t>
      </w:r>
      <w:r w:rsidRPr="00280E56">
        <w:t>are</w:t>
      </w:r>
      <w:r w:rsidRPr="00280E56">
        <w:rPr>
          <w:spacing w:val="-3"/>
        </w:rPr>
        <w:t xml:space="preserve"> </w:t>
      </w:r>
      <w:r w:rsidRPr="00280E56">
        <w:t>processes</w:t>
      </w:r>
      <w:r w:rsidRPr="00280E56">
        <w:rPr>
          <w:spacing w:val="-3"/>
        </w:rPr>
        <w:t xml:space="preserve"> </w:t>
      </w:r>
      <w:r w:rsidRPr="00280E56">
        <w:t>in</w:t>
      </w:r>
      <w:r w:rsidRPr="00280E56">
        <w:rPr>
          <w:spacing w:val="-3"/>
        </w:rPr>
        <w:t xml:space="preserve"> </w:t>
      </w:r>
      <w:r w:rsidRPr="00280E56">
        <w:t>place</w:t>
      </w:r>
      <w:r w:rsidRPr="00280E56">
        <w:rPr>
          <w:spacing w:val="-3"/>
        </w:rPr>
        <w:t xml:space="preserve"> </w:t>
      </w:r>
      <w:r w:rsidRPr="00280E56">
        <w:t>to</w:t>
      </w:r>
      <w:r w:rsidRPr="00280E56">
        <w:rPr>
          <w:spacing w:val="-3"/>
        </w:rPr>
        <w:t xml:space="preserve"> </w:t>
      </w:r>
      <w:r w:rsidRPr="00280E56">
        <w:t>identify</w:t>
      </w:r>
      <w:r w:rsidRPr="00280E56">
        <w:rPr>
          <w:spacing w:val="-3"/>
        </w:rPr>
        <w:t xml:space="preserve"> </w:t>
      </w:r>
      <w:r w:rsidRPr="00280E56">
        <w:t>stateless</w:t>
      </w:r>
      <w:r w:rsidRPr="00280E56">
        <w:rPr>
          <w:spacing w:val="-3"/>
        </w:rPr>
        <w:t xml:space="preserve"> </w:t>
      </w:r>
      <w:r w:rsidRPr="00280E56">
        <w:t>persons</w:t>
      </w:r>
      <w:r w:rsidRPr="00280E56">
        <w:rPr>
          <w:spacing w:val="-3"/>
        </w:rPr>
        <w:t xml:space="preserve"> </w:t>
      </w:r>
      <w:r w:rsidRPr="00280E56">
        <w:t>though</w:t>
      </w:r>
      <w:r w:rsidRPr="00280E56">
        <w:rPr>
          <w:spacing w:val="-3"/>
        </w:rPr>
        <w:t xml:space="preserve"> </w:t>
      </w:r>
      <w:r w:rsidRPr="00280E56">
        <w:t>the</w:t>
      </w:r>
      <w:r w:rsidRPr="00280E56">
        <w:rPr>
          <w:spacing w:val="-3"/>
        </w:rPr>
        <w:t xml:space="preserve"> </w:t>
      </w:r>
      <w:r w:rsidRPr="00280E56">
        <w:t>Protection</w:t>
      </w:r>
      <w:r w:rsidRPr="00280E56">
        <w:rPr>
          <w:spacing w:val="-3"/>
        </w:rPr>
        <w:t xml:space="preserve"> </w:t>
      </w:r>
      <w:r w:rsidRPr="00280E56">
        <w:t>visa</w:t>
      </w:r>
      <w:r w:rsidRPr="00280E56">
        <w:rPr>
          <w:spacing w:val="-3"/>
        </w:rPr>
        <w:t xml:space="preserve"> </w:t>
      </w:r>
      <w:r w:rsidRPr="00280E56">
        <w:t>process</w:t>
      </w:r>
      <w:r w:rsidRPr="00280E56">
        <w:rPr>
          <w:spacing w:val="-3"/>
        </w:rPr>
        <w:t xml:space="preserve"> </w:t>
      </w:r>
      <w:r w:rsidRPr="00280E56">
        <w:t>and</w:t>
      </w:r>
      <w:r w:rsidRPr="00280E56">
        <w:rPr>
          <w:spacing w:val="-3"/>
        </w:rPr>
        <w:t xml:space="preserve"> </w:t>
      </w:r>
      <w:r w:rsidRPr="00280E56">
        <w:t>to</w:t>
      </w:r>
      <w:r w:rsidRPr="00280E56">
        <w:rPr>
          <w:spacing w:val="-3"/>
        </w:rPr>
        <w:t xml:space="preserve"> </w:t>
      </w:r>
      <w:r w:rsidRPr="00280E56">
        <w:t xml:space="preserve">grant them protection if they engage Australia’s </w:t>
      </w:r>
      <w:r w:rsidRPr="00280E56">
        <w:rPr>
          <w:i/>
        </w:rPr>
        <w:t xml:space="preserve">non-refoulement </w:t>
      </w:r>
      <w:r w:rsidRPr="00280E56">
        <w:t xml:space="preserve">obligations in relation to certain types of harm under the </w:t>
      </w:r>
      <w:r w:rsidRPr="00280E56">
        <w:rPr>
          <w:i/>
        </w:rPr>
        <w:t xml:space="preserve">Convention relating to the Status of Refugees </w:t>
      </w:r>
      <w:r w:rsidRPr="00280E56">
        <w:t xml:space="preserve">(and its 1967 </w:t>
      </w:r>
      <w:r w:rsidRPr="00280E56">
        <w:rPr>
          <w:i/>
        </w:rPr>
        <w:t>Protocol relating to the Status of Refugees</w:t>
      </w:r>
      <w:r w:rsidRPr="00280E56">
        <w:t xml:space="preserve">), the </w:t>
      </w:r>
      <w:r w:rsidRPr="00280E56">
        <w:rPr>
          <w:i/>
        </w:rPr>
        <w:t>Convention against Torture and Other Cruel, Inhuman or Degrading Treatment or Punishment</w:t>
      </w:r>
      <w:r w:rsidRPr="00280E56">
        <w:t xml:space="preserve">, and the </w:t>
      </w:r>
      <w:r w:rsidRPr="00280E56">
        <w:rPr>
          <w:i/>
        </w:rPr>
        <w:t xml:space="preserve">ICCPR </w:t>
      </w:r>
      <w:r w:rsidRPr="00280E56">
        <w:t xml:space="preserve">(and its </w:t>
      </w:r>
      <w:r w:rsidRPr="00280E56">
        <w:rPr>
          <w:i/>
        </w:rPr>
        <w:t>Second Optional Protocol</w:t>
      </w:r>
      <w:r w:rsidRPr="00280E56">
        <w:t>) to which Australia is a party.</w:t>
      </w:r>
    </w:p>
    <w:p w14:paraId="68A0711C" w14:textId="414C3BF7" w:rsidR="003F4496" w:rsidRPr="00280E56" w:rsidRDefault="003F4496" w:rsidP="00482503">
      <w:pPr>
        <w:pStyle w:val="Quote"/>
      </w:pPr>
      <w:r w:rsidRPr="00280E56">
        <w:lastRenderedPageBreak/>
        <w:t xml:space="preserve">The </w:t>
      </w:r>
      <w:r w:rsidRPr="00280E56">
        <w:rPr>
          <w:i/>
        </w:rPr>
        <w:t>Protection Visa Processing Guidelines Procedural Instruction Annexure 3: Assessing claims of statelessness</w:t>
      </w:r>
      <w:r w:rsidRPr="00280E56">
        <w:rPr>
          <w:i/>
          <w:spacing w:val="-4"/>
        </w:rPr>
        <w:t xml:space="preserve"> </w:t>
      </w:r>
      <w:r w:rsidRPr="00280E56">
        <w:rPr>
          <w:i/>
        </w:rPr>
        <w:t>guidelines</w:t>
      </w:r>
      <w:r w:rsidRPr="00280E56">
        <w:rPr>
          <w:i/>
          <w:spacing w:val="-3"/>
        </w:rPr>
        <w:t xml:space="preserve"> </w:t>
      </w:r>
      <w:r w:rsidRPr="00280E56">
        <w:t>helps</w:t>
      </w:r>
      <w:r w:rsidRPr="00280E56">
        <w:rPr>
          <w:spacing w:val="-3"/>
        </w:rPr>
        <w:t xml:space="preserve"> </w:t>
      </w:r>
      <w:r w:rsidRPr="00280E56">
        <w:t>Protection</w:t>
      </w:r>
      <w:r w:rsidRPr="00280E56">
        <w:rPr>
          <w:spacing w:val="-3"/>
        </w:rPr>
        <w:t xml:space="preserve"> </w:t>
      </w:r>
      <w:r w:rsidRPr="00280E56">
        <w:t>visa</w:t>
      </w:r>
      <w:r w:rsidRPr="00280E56">
        <w:rPr>
          <w:spacing w:val="-3"/>
        </w:rPr>
        <w:t xml:space="preserve"> </w:t>
      </w:r>
      <w:r w:rsidRPr="00280E56">
        <w:t>officers</w:t>
      </w:r>
      <w:r w:rsidRPr="00280E56">
        <w:rPr>
          <w:spacing w:val="-3"/>
        </w:rPr>
        <w:t xml:space="preserve"> </w:t>
      </w:r>
      <w:r w:rsidRPr="00280E56">
        <w:t>make</w:t>
      </w:r>
      <w:r w:rsidRPr="00280E56">
        <w:rPr>
          <w:spacing w:val="-3"/>
        </w:rPr>
        <w:t xml:space="preserve"> </w:t>
      </w:r>
      <w:r w:rsidRPr="00280E56">
        <w:t>findings</w:t>
      </w:r>
      <w:r w:rsidRPr="00280E56">
        <w:rPr>
          <w:spacing w:val="-3"/>
        </w:rPr>
        <w:t xml:space="preserve"> </w:t>
      </w:r>
      <w:r w:rsidRPr="00280E56">
        <w:t>in</w:t>
      </w:r>
      <w:r w:rsidRPr="00280E56">
        <w:rPr>
          <w:spacing w:val="-3"/>
        </w:rPr>
        <w:t xml:space="preserve"> </w:t>
      </w:r>
      <w:r w:rsidRPr="00280E56">
        <w:t>relation</w:t>
      </w:r>
      <w:r w:rsidRPr="00280E56">
        <w:rPr>
          <w:spacing w:val="-3"/>
        </w:rPr>
        <w:t xml:space="preserve"> </w:t>
      </w:r>
      <w:r w:rsidRPr="00280E56">
        <w:t>to</w:t>
      </w:r>
      <w:r w:rsidRPr="00280E56">
        <w:rPr>
          <w:spacing w:val="-3"/>
        </w:rPr>
        <w:t xml:space="preserve"> </w:t>
      </w:r>
      <w:r w:rsidRPr="00280E56">
        <w:t>claims</w:t>
      </w:r>
      <w:r w:rsidRPr="00280E56">
        <w:rPr>
          <w:spacing w:val="-3"/>
        </w:rPr>
        <w:t xml:space="preserve"> </w:t>
      </w:r>
      <w:r w:rsidRPr="00280E56">
        <w:t>of</w:t>
      </w:r>
      <w:r w:rsidRPr="00280E56">
        <w:rPr>
          <w:spacing w:val="-3"/>
        </w:rPr>
        <w:t xml:space="preserve"> </w:t>
      </w:r>
      <w:r w:rsidRPr="00280E56">
        <w:t>statelessness</w:t>
      </w:r>
      <w:r w:rsidRPr="00280E56">
        <w:rPr>
          <w:spacing w:val="-3"/>
        </w:rPr>
        <w:t xml:space="preserve"> </w:t>
      </w:r>
      <w:r w:rsidRPr="00280E56">
        <w:t>for the purpose of a protection visa assessment. These instructions are available on LEGEND.com.</w:t>
      </w:r>
    </w:p>
    <w:p w14:paraId="6E20266C" w14:textId="77777777" w:rsidR="003F4496" w:rsidRPr="004E1479" w:rsidRDefault="003F4496" w:rsidP="00482503">
      <w:pPr>
        <w:pStyle w:val="Quote"/>
        <w:rPr>
          <w:b/>
          <w:iCs w:val="0"/>
        </w:rPr>
      </w:pPr>
      <w:r w:rsidRPr="004E1479">
        <w:rPr>
          <w:b/>
          <w:iCs w:val="0"/>
        </w:rPr>
        <w:t>Recommendation</w:t>
      </w:r>
      <w:r w:rsidRPr="004E1479">
        <w:rPr>
          <w:b/>
          <w:iCs w:val="0"/>
          <w:spacing w:val="-3"/>
        </w:rPr>
        <w:t xml:space="preserve"> </w:t>
      </w:r>
      <w:r w:rsidRPr="004E1479">
        <w:rPr>
          <w:b/>
          <w:iCs w:val="0"/>
        </w:rPr>
        <w:t>2</w:t>
      </w:r>
      <w:r w:rsidRPr="004E1479">
        <w:rPr>
          <w:b/>
          <w:iCs w:val="0"/>
          <w:spacing w:val="-2"/>
        </w:rPr>
        <w:t xml:space="preserve"> </w:t>
      </w:r>
      <w:r w:rsidRPr="004E1479">
        <w:rPr>
          <w:b/>
          <w:iCs w:val="0"/>
        </w:rPr>
        <w:t>–</w:t>
      </w:r>
      <w:r w:rsidRPr="004E1479">
        <w:rPr>
          <w:b/>
          <w:iCs w:val="0"/>
          <w:spacing w:val="-2"/>
        </w:rPr>
        <w:t xml:space="preserve"> Noted</w:t>
      </w:r>
    </w:p>
    <w:p w14:paraId="52F871BB" w14:textId="5A2EE3AF" w:rsidR="003F4496" w:rsidRPr="00192120" w:rsidRDefault="003F4496" w:rsidP="00482503">
      <w:pPr>
        <w:pStyle w:val="Quote"/>
        <w:rPr>
          <w:i/>
          <w:iCs w:val="0"/>
        </w:rPr>
      </w:pPr>
      <w:r w:rsidRPr="00192120">
        <w:rPr>
          <w:i/>
          <w:iCs w:val="0"/>
        </w:rPr>
        <w:t>The Commission recommends that a clear visa pathway to permanent residency should be established</w:t>
      </w:r>
      <w:r w:rsidRPr="00192120">
        <w:rPr>
          <w:i/>
          <w:iCs w:val="0"/>
          <w:spacing w:val="-3"/>
        </w:rPr>
        <w:t xml:space="preserve"> </w:t>
      </w:r>
      <w:r w:rsidRPr="00192120">
        <w:rPr>
          <w:i/>
          <w:iCs w:val="0"/>
        </w:rPr>
        <w:t>for</w:t>
      </w:r>
      <w:r w:rsidRPr="00192120">
        <w:rPr>
          <w:i/>
          <w:iCs w:val="0"/>
          <w:spacing w:val="-3"/>
        </w:rPr>
        <w:t xml:space="preserve"> </w:t>
      </w:r>
      <w:r w:rsidRPr="00192120">
        <w:rPr>
          <w:i/>
          <w:iCs w:val="0"/>
        </w:rPr>
        <w:t>stateless</w:t>
      </w:r>
      <w:r w:rsidRPr="00192120">
        <w:rPr>
          <w:i/>
          <w:iCs w:val="0"/>
          <w:spacing w:val="-3"/>
        </w:rPr>
        <w:t xml:space="preserve"> </w:t>
      </w:r>
      <w:r w:rsidRPr="00192120">
        <w:rPr>
          <w:i/>
          <w:iCs w:val="0"/>
        </w:rPr>
        <w:t>persons</w:t>
      </w:r>
      <w:r w:rsidRPr="00192120">
        <w:rPr>
          <w:i/>
          <w:iCs w:val="0"/>
          <w:spacing w:val="-3"/>
        </w:rPr>
        <w:t xml:space="preserve"> </w:t>
      </w:r>
      <w:r w:rsidRPr="00192120">
        <w:rPr>
          <w:i/>
          <w:iCs w:val="0"/>
        </w:rPr>
        <w:t>who</w:t>
      </w:r>
      <w:r w:rsidRPr="00192120">
        <w:rPr>
          <w:i/>
          <w:iCs w:val="0"/>
          <w:spacing w:val="-4"/>
        </w:rPr>
        <w:t xml:space="preserve"> </w:t>
      </w:r>
      <w:r w:rsidRPr="00192120">
        <w:rPr>
          <w:i/>
          <w:iCs w:val="0"/>
        </w:rPr>
        <w:t>are</w:t>
      </w:r>
      <w:r w:rsidRPr="00192120">
        <w:rPr>
          <w:i/>
          <w:iCs w:val="0"/>
          <w:spacing w:val="-3"/>
        </w:rPr>
        <w:t xml:space="preserve"> </w:t>
      </w:r>
      <w:r w:rsidRPr="00192120">
        <w:rPr>
          <w:i/>
          <w:iCs w:val="0"/>
        </w:rPr>
        <w:t>found</w:t>
      </w:r>
      <w:r w:rsidRPr="00192120">
        <w:rPr>
          <w:i/>
          <w:iCs w:val="0"/>
          <w:spacing w:val="-3"/>
        </w:rPr>
        <w:t xml:space="preserve"> </w:t>
      </w:r>
      <w:r w:rsidRPr="00192120">
        <w:rPr>
          <w:i/>
          <w:iCs w:val="0"/>
        </w:rPr>
        <w:t>not</w:t>
      </w:r>
      <w:r w:rsidRPr="00192120">
        <w:rPr>
          <w:i/>
          <w:iCs w:val="0"/>
          <w:spacing w:val="-4"/>
        </w:rPr>
        <w:t xml:space="preserve"> </w:t>
      </w:r>
      <w:r w:rsidRPr="00192120">
        <w:rPr>
          <w:i/>
          <w:iCs w:val="0"/>
        </w:rPr>
        <w:t>to</w:t>
      </w:r>
      <w:r w:rsidRPr="00192120">
        <w:rPr>
          <w:i/>
          <w:iCs w:val="0"/>
          <w:spacing w:val="-3"/>
        </w:rPr>
        <w:t xml:space="preserve"> </w:t>
      </w:r>
      <w:r w:rsidRPr="00192120">
        <w:rPr>
          <w:i/>
          <w:iCs w:val="0"/>
        </w:rPr>
        <w:t>be</w:t>
      </w:r>
      <w:r w:rsidRPr="00192120">
        <w:rPr>
          <w:i/>
          <w:iCs w:val="0"/>
          <w:spacing w:val="-3"/>
        </w:rPr>
        <w:t xml:space="preserve"> </w:t>
      </w:r>
      <w:r w:rsidRPr="00192120">
        <w:rPr>
          <w:i/>
          <w:iCs w:val="0"/>
        </w:rPr>
        <w:t>refugees</w:t>
      </w:r>
      <w:r w:rsidRPr="00192120">
        <w:rPr>
          <w:i/>
          <w:iCs w:val="0"/>
          <w:spacing w:val="-3"/>
        </w:rPr>
        <w:t xml:space="preserve"> </w:t>
      </w:r>
      <w:r w:rsidRPr="00192120">
        <w:rPr>
          <w:i/>
          <w:iCs w:val="0"/>
        </w:rPr>
        <w:t>or</w:t>
      </w:r>
      <w:r w:rsidRPr="00192120">
        <w:rPr>
          <w:i/>
          <w:iCs w:val="0"/>
          <w:spacing w:val="-3"/>
        </w:rPr>
        <w:t xml:space="preserve"> </w:t>
      </w:r>
      <w:r w:rsidRPr="00192120">
        <w:rPr>
          <w:i/>
          <w:iCs w:val="0"/>
        </w:rPr>
        <w:t>otherwise</w:t>
      </w:r>
      <w:r w:rsidRPr="00192120">
        <w:rPr>
          <w:i/>
          <w:iCs w:val="0"/>
          <w:spacing w:val="-3"/>
        </w:rPr>
        <w:t xml:space="preserve"> </w:t>
      </w:r>
      <w:r w:rsidRPr="00192120">
        <w:rPr>
          <w:i/>
          <w:iCs w:val="0"/>
        </w:rPr>
        <w:t>owed</w:t>
      </w:r>
      <w:r w:rsidRPr="00192120">
        <w:rPr>
          <w:i/>
          <w:iCs w:val="0"/>
          <w:spacing w:val="-4"/>
        </w:rPr>
        <w:t xml:space="preserve"> </w:t>
      </w:r>
      <w:r w:rsidRPr="00192120">
        <w:rPr>
          <w:i/>
          <w:iCs w:val="0"/>
        </w:rPr>
        <w:t>protection.</w:t>
      </w:r>
    </w:p>
    <w:p w14:paraId="203004D4" w14:textId="77777777" w:rsidR="003F4496" w:rsidRDefault="003F4496" w:rsidP="00482503">
      <w:pPr>
        <w:pStyle w:val="Quote"/>
        <w:rPr>
          <w:spacing w:val="-2"/>
        </w:rPr>
      </w:pPr>
      <w:r w:rsidRPr="00280E56">
        <w:t>This</w:t>
      </w:r>
      <w:r w:rsidRPr="00280E56">
        <w:rPr>
          <w:spacing w:val="-4"/>
        </w:rPr>
        <w:t xml:space="preserve"> </w:t>
      </w:r>
      <w:r w:rsidRPr="00280E56">
        <w:t>recommendation</w:t>
      </w:r>
      <w:r w:rsidRPr="00280E56">
        <w:rPr>
          <w:spacing w:val="-4"/>
        </w:rPr>
        <w:t xml:space="preserve"> </w:t>
      </w:r>
      <w:r w:rsidRPr="00280E56">
        <w:t>is</w:t>
      </w:r>
      <w:r w:rsidRPr="00280E56">
        <w:rPr>
          <w:spacing w:val="-4"/>
        </w:rPr>
        <w:t xml:space="preserve"> </w:t>
      </w:r>
      <w:r w:rsidRPr="00280E56">
        <w:rPr>
          <w:spacing w:val="-2"/>
        </w:rPr>
        <w:t>noted.</w:t>
      </w:r>
    </w:p>
    <w:p w14:paraId="36D2C63C" w14:textId="77175CF2" w:rsidR="00B41C71" w:rsidRPr="00121E74" w:rsidRDefault="00B41C71" w:rsidP="00482503">
      <w:pPr>
        <w:pStyle w:val="Quote"/>
      </w:pPr>
      <w:r w:rsidRPr="00121E74">
        <w:t>Those who do not engage Australia’s protection obligations and do not hold a valid visa are expected to return to their country of origin or former habitual residence, or another country that may accept their return or entry. Where this is not possible, the person’s case may be referred to the relevant Minister for consideration</w:t>
      </w:r>
      <w:r w:rsidRPr="00121E74">
        <w:rPr>
          <w:spacing w:val="-2"/>
        </w:rPr>
        <w:t xml:space="preserve"> </w:t>
      </w:r>
      <w:r w:rsidRPr="00121E74">
        <w:t>of</w:t>
      </w:r>
      <w:r w:rsidRPr="00121E74">
        <w:rPr>
          <w:spacing w:val="-2"/>
        </w:rPr>
        <w:t xml:space="preserve"> </w:t>
      </w:r>
      <w:r w:rsidRPr="00121E74">
        <w:t>whether</w:t>
      </w:r>
      <w:r w:rsidRPr="00121E74">
        <w:rPr>
          <w:spacing w:val="-2"/>
        </w:rPr>
        <w:t xml:space="preserve"> </w:t>
      </w:r>
      <w:r w:rsidRPr="00121E74">
        <w:t>it</w:t>
      </w:r>
      <w:r w:rsidRPr="00121E74">
        <w:rPr>
          <w:spacing w:val="-2"/>
        </w:rPr>
        <w:t xml:space="preserve"> </w:t>
      </w:r>
      <w:r w:rsidRPr="00121E74">
        <w:t>is</w:t>
      </w:r>
      <w:r w:rsidRPr="00121E74">
        <w:rPr>
          <w:spacing w:val="-2"/>
        </w:rPr>
        <w:t xml:space="preserve"> </w:t>
      </w:r>
      <w:r w:rsidRPr="00121E74">
        <w:t>in</w:t>
      </w:r>
      <w:r w:rsidRPr="00121E74">
        <w:rPr>
          <w:spacing w:val="-2"/>
        </w:rPr>
        <w:t xml:space="preserve"> </w:t>
      </w:r>
      <w:r w:rsidRPr="00121E74">
        <w:t>the</w:t>
      </w:r>
      <w:r w:rsidRPr="00121E74">
        <w:rPr>
          <w:spacing w:val="-2"/>
        </w:rPr>
        <w:t xml:space="preserve"> </w:t>
      </w:r>
      <w:r w:rsidRPr="00121E74">
        <w:t>public</w:t>
      </w:r>
      <w:r w:rsidRPr="00121E74">
        <w:rPr>
          <w:spacing w:val="-2"/>
        </w:rPr>
        <w:t xml:space="preserve"> </w:t>
      </w:r>
      <w:r w:rsidRPr="00121E74">
        <w:t>interest</w:t>
      </w:r>
      <w:r w:rsidRPr="00121E74">
        <w:rPr>
          <w:spacing w:val="-2"/>
        </w:rPr>
        <w:t xml:space="preserve"> </w:t>
      </w:r>
      <w:r w:rsidRPr="00121E74">
        <w:t>to</w:t>
      </w:r>
      <w:r w:rsidRPr="00121E74">
        <w:rPr>
          <w:spacing w:val="-2"/>
        </w:rPr>
        <w:t xml:space="preserve"> </w:t>
      </w:r>
      <w:r w:rsidRPr="00121E74">
        <w:t>allow</w:t>
      </w:r>
      <w:r w:rsidRPr="00121E74">
        <w:rPr>
          <w:spacing w:val="-2"/>
        </w:rPr>
        <w:t xml:space="preserve"> </w:t>
      </w:r>
      <w:r w:rsidRPr="00121E74">
        <w:t>lodgement</w:t>
      </w:r>
      <w:r w:rsidRPr="00121E74">
        <w:rPr>
          <w:spacing w:val="-2"/>
        </w:rPr>
        <w:t xml:space="preserve"> </w:t>
      </w:r>
      <w:r w:rsidRPr="00121E74">
        <w:t>of</w:t>
      </w:r>
      <w:r w:rsidRPr="00121E74">
        <w:rPr>
          <w:spacing w:val="-2"/>
        </w:rPr>
        <w:t xml:space="preserve"> </w:t>
      </w:r>
      <w:r w:rsidRPr="00121E74">
        <w:t>a</w:t>
      </w:r>
      <w:r w:rsidRPr="00121E74">
        <w:rPr>
          <w:spacing w:val="-2"/>
        </w:rPr>
        <w:t xml:space="preserve"> </w:t>
      </w:r>
      <w:r w:rsidRPr="00121E74">
        <w:t>further</w:t>
      </w:r>
      <w:r w:rsidRPr="00121E74">
        <w:rPr>
          <w:spacing w:val="-2"/>
        </w:rPr>
        <w:t xml:space="preserve"> </w:t>
      </w:r>
      <w:r w:rsidRPr="00121E74">
        <w:t>Protection</w:t>
      </w:r>
      <w:r w:rsidRPr="00121E74">
        <w:rPr>
          <w:spacing w:val="-2"/>
        </w:rPr>
        <w:t xml:space="preserve"> </w:t>
      </w:r>
      <w:r w:rsidRPr="00121E74">
        <w:t>visa</w:t>
      </w:r>
      <w:r w:rsidRPr="00121E74">
        <w:rPr>
          <w:spacing w:val="-2"/>
        </w:rPr>
        <w:t xml:space="preserve"> </w:t>
      </w:r>
      <w:r w:rsidRPr="00121E74">
        <w:t>application or to grant a visa.</w:t>
      </w:r>
    </w:p>
    <w:p w14:paraId="4F0BB9A6" w14:textId="77777777" w:rsidR="00B41C71" w:rsidRPr="004E1479" w:rsidRDefault="00B41C71" w:rsidP="00482503">
      <w:pPr>
        <w:pStyle w:val="Quote"/>
        <w:rPr>
          <w:b/>
          <w:iCs w:val="0"/>
        </w:rPr>
      </w:pPr>
      <w:r w:rsidRPr="004E1479">
        <w:rPr>
          <w:b/>
          <w:iCs w:val="0"/>
        </w:rPr>
        <w:t>Recommendation</w:t>
      </w:r>
      <w:r w:rsidRPr="004E1479">
        <w:rPr>
          <w:b/>
          <w:iCs w:val="0"/>
          <w:spacing w:val="-4"/>
        </w:rPr>
        <w:t xml:space="preserve"> </w:t>
      </w:r>
      <w:r w:rsidRPr="004E1479">
        <w:rPr>
          <w:b/>
          <w:iCs w:val="0"/>
        </w:rPr>
        <w:t>3</w:t>
      </w:r>
      <w:r w:rsidRPr="004E1479">
        <w:rPr>
          <w:b/>
          <w:iCs w:val="0"/>
          <w:spacing w:val="-4"/>
        </w:rPr>
        <w:t xml:space="preserve"> </w:t>
      </w:r>
      <w:r w:rsidRPr="004E1479">
        <w:rPr>
          <w:b/>
          <w:iCs w:val="0"/>
        </w:rPr>
        <w:t>–</w:t>
      </w:r>
      <w:r w:rsidRPr="004E1479">
        <w:rPr>
          <w:b/>
          <w:iCs w:val="0"/>
          <w:spacing w:val="-4"/>
        </w:rPr>
        <w:t xml:space="preserve"> </w:t>
      </w:r>
      <w:r w:rsidRPr="004E1479">
        <w:rPr>
          <w:b/>
          <w:iCs w:val="0"/>
        </w:rPr>
        <w:t>Partially</w:t>
      </w:r>
      <w:r w:rsidRPr="004E1479">
        <w:rPr>
          <w:b/>
          <w:iCs w:val="0"/>
          <w:spacing w:val="-3"/>
        </w:rPr>
        <w:t xml:space="preserve"> </w:t>
      </w:r>
      <w:r w:rsidRPr="004E1479">
        <w:rPr>
          <w:b/>
          <w:iCs w:val="0"/>
          <w:spacing w:val="-2"/>
        </w:rPr>
        <w:t>Agrees</w:t>
      </w:r>
    </w:p>
    <w:p w14:paraId="4E96E259" w14:textId="4555AFC6" w:rsidR="00B41C71" w:rsidRPr="00192120" w:rsidRDefault="00B41C71" w:rsidP="00192120">
      <w:pPr>
        <w:pStyle w:val="Quote"/>
        <w:rPr>
          <w:i/>
          <w:iCs w:val="0"/>
        </w:rPr>
      </w:pPr>
      <w:r w:rsidRPr="00192120">
        <w:rPr>
          <w:i/>
          <w:iCs w:val="0"/>
        </w:rPr>
        <w:t>The</w:t>
      </w:r>
      <w:r w:rsidRPr="00192120">
        <w:rPr>
          <w:i/>
          <w:iCs w:val="0"/>
          <w:spacing w:val="-3"/>
        </w:rPr>
        <w:t xml:space="preserve"> </w:t>
      </w:r>
      <w:r w:rsidRPr="00192120">
        <w:rPr>
          <w:i/>
          <w:iCs w:val="0"/>
        </w:rPr>
        <w:t>Commission</w:t>
      </w:r>
      <w:r w:rsidRPr="00192120">
        <w:rPr>
          <w:i/>
          <w:iCs w:val="0"/>
          <w:spacing w:val="-4"/>
        </w:rPr>
        <w:t xml:space="preserve"> </w:t>
      </w:r>
      <w:r w:rsidRPr="00192120">
        <w:rPr>
          <w:i/>
          <w:iCs w:val="0"/>
        </w:rPr>
        <w:t>recommends</w:t>
      </w:r>
      <w:r w:rsidRPr="00192120">
        <w:rPr>
          <w:i/>
          <w:iCs w:val="0"/>
          <w:spacing w:val="-3"/>
        </w:rPr>
        <w:t xml:space="preserve"> </w:t>
      </w:r>
      <w:r w:rsidRPr="00192120">
        <w:rPr>
          <w:i/>
          <w:iCs w:val="0"/>
        </w:rPr>
        <w:t>that</w:t>
      </w:r>
      <w:r w:rsidRPr="00192120">
        <w:rPr>
          <w:i/>
          <w:iCs w:val="0"/>
          <w:spacing w:val="-3"/>
        </w:rPr>
        <w:t xml:space="preserve"> </w:t>
      </w:r>
      <w:r w:rsidRPr="00192120">
        <w:rPr>
          <w:i/>
          <w:iCs w:val="0"/>
        </w:rPr>
        <w:t>statelessness</w:t>
      </w:r>
      <w:r w:rsidRPr="00192120">
        <w:rPr>
          <w:i/>
          <w:iCs w:val="0"/>
          <w:spacing w:val="-3"/>
        </w:rPr>
        <w:t xml:space="preserve"> </w:t>
      </w:r>
      <w:r w:rsidRPr="00192120">
        <w:rPr>
          <w:i/>
          <w:iCs w:val="0"/>
        </w:rPr>
        <w:t>should</w:t>
      </w:r>
      <w:r w:rsidRPr="00192120">
        <w:rPr>
          <w:i/>
          <w:iCs w:val="0"/>
          <w:spacing w:val="-3"/>
        </w:rPr>
        <w:t xml:space="preserve"> </w:t>
      </w:r>
      <w:r w:rsidRPr="00192120">
        <w:rPr>
          <w:i/>
          <w:iCs w:val="0"/>
        </w:rPr>
        <w:t>be</w:t>
      </w:r>
      <w:r w:rsidRPr="00192120">
        <w:rPr>
          <w:i/>
          <w:iCs w:val="0"/>
          <w:spacing w:val="-3"/>
        </w:rPr>
        <w:t xml:space="preserve"> </w:t>
      </w:r>
      <w:r w:rsidRPr="00192120">
        <w:rPr>
          <w:i/>
          <w:iCs w:val="0"/>
        </w:rPr>
        <w:t>included</w:t>
      </w:r>
      <w:r w:rsidRPr="00192120">
        <w:rPr>
          <w:i/>
          <w:iCs w:val="0"/>
          <w:spacing w:val="-3"/>
        </w:rPr>
        <w:t xml:space="preserve"> </w:t>
      </w:r>
      <w:r w:rsidRPr="00192120">
        <w:rPr>
          <w:i/>
          <w:iCs w:val="0"/>
        </w:rPr>
        <w:t>as</w:t>
      </w:r>
      <w:r w:rsidRPr="00192120">
        <w:rPr>
          <w:i/>
          <w:iCs w:val="0"/>
          <w:spacing w:val="-3"/>
        </w:rPr>
        <w:t xml:space="preserve"> </w:t>
      </w:r>
      <w:r w:rsidRPr="00192120">
        <w:rPr>
          <w:i/>
          <w:iCs w:val="0"/>
        </w:rPr>
        <w:t>a</w:t>
      </w:r>
      <w:r w:rsidRPr="00192120">
        <w:rPr>
          <w:i/>
          <w:iCs w:val="0"/>
          <w:spacing w:val="-3"/>
        </w:rPr>
        <w:t xml:space="preserve"> </w:t>
      </w:r>
      <w:r w:rsidRPr="00192120">
        <w:rPr>
          <w:i/>
          <w:iCs w:val="0"/>
        </w:rPr>
        <w:t>specific</w:t>
      </w:r>
      <w:r w:rsidRPr="00192120">
        <w:rPr>
          <w:i/>
          <w:iCs w:val="0"/>
          <w:spacing w:val="-3"/>
        </w:rPr>
        <w:t xml:space="preserve"> </w:t>
      </w:r>
      <w:r w:rsidRPr="00192120">
        <w:rPr>
          <w:i/>
          <w:iCs w:val="0"/>
        </w:rPr>
        <w:t>consideration</w:t>
      </w:r>
      <w:r w:rsidRPr="00192120">
        <w:rPr>
          <w:i/>
          <w:iCs w:val="0"/>
          <w:spacing w:val="-3"/>
        </w:rPr>
        <w:t xml:space="preserve"> </w:t>
      </w:r>
      <w:r w:rsidRPr="00192120">
        <w:rPr>
          <w:i/>
          <w:iCs w:val="0"/>
        </w:rPr>
        <w:t>in the guidelines for Ministerial Intervention under ss 351, 417, 501J and 195A of the Migration Act.</w:t>
      </w:r>
    </w:p>
    <w:p w14:paraId="0ECEA2BC" w14:textId="5B13899F" w:rsidR="00B41C71" w:rsidRPr="00121E74" w:rsidRDefault="00B41C71" w:rsidP="00482503">
      <w:pPr>
        <w:pStyle w:val="Quote"/>
      </w:pPr>
      <w:r w:rsidRPr="00121E74">
        <w:t>The</w:t>
      </w:r>
      <w:r w:rsidRPr="00121E74">
        <w:rPr>
          <w:spacing w:val="-7"/>
        </w:rPr>
        <w:t xml:space="preserve"> </w:t>
      </w:r>
      <w:r w:rsidRPr="00121E74">
        <w:t>Department</w:t>
      </w:r>
      <w:r w:rsidRPr="00121E74">
        <w:rPr>
          <w:spacing w:val="-5"/>
        </w:rPr>
        <w:t xml:space="preserve"> </w:t>
      </w:r>
      <w:r w:rsidRPr="00121E74">
        <w:t>partially</w:t>
      </w:r>
      <w:r w:rsidRPr="00121E74">
        <w:rPr>
          <w:spacing w:val="-5"/>
        </w:rPr>
        <w:t xml:space="preserve"> </w:t>
      </w:r>
      <w:r w:rsidRPr="00121E74">
        <w:t>agrees</w:t>
      </w:r>
      <w:r w:rsidRPr="00121E74">
        <w:rPr>
          <w:spacing w:val="-5"/>
        </w:rPr>
        <w:t xml:space="preserve"> </w:t>
      </w:r>
      <w:r w:rsidRPr="00121E74">
        <w:t>with</w:t>
      </w:r>
      <w:r w:rsidRPr="00121E74">
        <w:rPr>
          <w:spacing w:val="-5"/>
        </w:rPr>
        <w:t xml:space="preserve"> </w:t>
      </w:r>
      <w:r w:rsidRPr="00121E74">
        <w:t>recommendation</w:t>
      </w:r>
      <w:r w:rsidRPr="00121E74">
        <w:rPr>
          <w:spacing w:val="-4"/>
        </w:rPr>
        <w:t xml:space="preserve"> </w:t>
      </w:r>
      <w:r w:rsidRPr="00121E74">
        <w:rPr>
          <w:spacing w:val="-2"/>
        </w:rPr>
        <w:t>three.</w:t>
      </w:r>
    </w:p>
    <w:p w14:paraId="2845CFE1" w14:textId="77777777" w:rsidR="00B41C71" w:rsidRPr="00121E74" w:rsidRDefault="00B41C71" w:rsidP="00482503">
      <w:pPr>
        <w:pStyle w:val="Quote"/>
      </w:pPr>
      <w:r w:rsidRPr="00121E74">
        <w:t>The</w:t>
      </w:r>
      <w:r w:rsidRPr="00121E74">
        <w:rPr>
          <w:spacing w:val="-3"/>
        </w:rPr>
        <w:t xml:space="preserve"> </w:t>
      </w:r>
      <w:r w:rsidRPr="00121E74">
        <w:t>Department</w:t>
      </w:r>
      <w:r w:rsidRPr="00121E74">
        <w:rPr>
          <w:spacing w:val="-4"/>
        </w:rPr>
        <w:t xml:space="preserve"> </w:t>
      </w:r>
      <w:r w:rsidRPr="00121E74">
        <w:t>is</w:t>
      </w:r>
      <w:r w:rsidRPr="00121E74">
        <w:rPr>
          <w:spacing w:val="-3"/>
        </w:rPr>
        <w:t xml:space="preserve"> </w:t>
      </w:r>
      <w:r w:rsidRPr="00121E74">
        <w:t>preparing</w:t>
      </w:r>
      <w:r w:rsidRPr="00121E74">
        <w:rPr>
          <w:spacing w:val="-3"/>
        </w:rPr>
        <w:t xml:space="preserve"> </w:t>
      </w:r>
      <w:r w:rsidRPr="00121E74">
        <w:t>new</w:t>
      </w:r>
      <w:r w:rsidRPr="00121E74">
        <w:rPr>
          <w:spacing w:val="-3"/>
        </w:rPr>
        <w:t xml:space="preserve"> </w:t>
      </w:r>
      <w:r w:rsidRPr="00121E74">
        <w:t>ministerial</w:t>
      </w:r>
      <w:r w:rsidRPr="00121E74">
        <w:rPr>
          <w:spacing w:val="-3"/>
        </w:rPr>
        <w:t xml:space="preserve"> </w:t>
      </w:r>
      <w:r w:rsidRPr="00121E74">
        <w:t>instructions</w:t>
      </w:r>
      <w:r w:rsidRPr="00121E74">
        <w:rPr>
          <w:spacing w:val="-3"/>
        </w:rPr>
        <w:t xml:space="preserve"> </w:t>
      </w:r>
      <w:r w:rsidRPr="00121E74">
        <w:t>for</w:t>
      </w:r>
      <w:r w:rsidRPr="00121E74">
        <w:rPr>
          <w:spacing w:val="-3"/>
        </w:rPr>
        <w:t xml:space="preserve"> </w:t>
      </w:r>
      <w:r w:rsidRPr="00121E74">
        <w:t>the</w:t>
      </w:r>
      <w:r w:rsidRPr="00121E74">
        <w:rPr>
          <w:spacing w:val="-3"/>
        </w:rPr>
        <w:t xml:space="preserve"> </w:t>
      </w:r>
      <w:r w:rsidRPr="00121E74">
        <w:t>Minister</w:t>
      </w:r>
      <w:r w:rsidRPr="00121E74">
        <w:rPr>
          <w:spacing w:val="-3"/>
        </w:rPr>
        <w:t xml:space="preserve"> </w:t>
      </w:r>
      <w:r w:rsidRPr="00121E74">
        <w:t>following</w:t>
      </w:r>
      <w:r w:rsidRPr="00121E74">
        <w:rPr>
          <w:spacing w:val="-3"/>
        </w:rPr>
        <w:t xml:space="preserve"> </w:t>
      </w:r>
      <w:r w:rsidRPr="00121E74">
        <w:t>the</w:t>
      </w:r>
      <w:r w:rsidRPr="00121E74">
        <w:rPr>
          <w:spacing w:val="-3"/>
        </w:rPr>
        <w:t xml:space="preserve"> </w:t>
      </w:r>
      <w:r w:rsidRPr="00121E74">
        <w:t>High</w:t>
      </w:r>
      <w:r w:rsidRPr="00121E74">
        <w:rPr>
          <w:spacing w:val="-3"/>
        </w:rPr>
        <w:t xml:space="preserve"> </w:t>
      </w:r>
      <w:r w:rsidRPr="00121E74">
        <w:t>Court’s</w:t>
      </w:r>
      <w:r w:rsidRPr="00121E74">
        <w:rPr>
          <w:spacing w:val="-3"/>
        </w:rPr>
        <w:t xml:space="preserve"> </w:t>
      </w:r>
      <w:r w:rsidRPr="00121E74">
        <w:t xml:space="preserve">decision in </w:t>
      </w:r>
      <w:r w:rsidRPr="00121E74">
        <w:rPr>
          <w:i/>
        </w:rPr>
        <w:t>Davis v Minister for Immigration, Citizenship, Migrant Services and Multicultural Affairs [2023] HCA 10</w:t>
      </w:r>
      <w:r w:rsidRPr="00121E74">
        <w:t>.</w:t>
      </w:r>
    </w:p>
    <w:p w14:paraId="4BCEF848" w14:textId="2BE2BCB0" w:rsidR="00B41C71" w:rsidRPr="00121E74" w:rsidRDefault="00B41C71" w:rsidP="00482503">
      <w:pPr>
        <w:pStyle w:val="Quote"/>
      </w:pPr>
      <w:r w:rsidRPr="00121E74">
        <w:t>Further</w:t>
      </w:r>
      <w:r w:rsidRPr="00121E74">
        <w:rPr>
          <w:spacing w:val="-5"/>
        </w:rPr>
        <w:t xml:space="preserve"> </w:t>
      </w:r>
      <w:r w:rsidRPr="00121E74">
        <w:t>information</w:t>
      </w:r>
      <w:r w:rsidRPr="00121E74">
        <w:rPr>
          <w:spacing w:val="-3"/>
        </w:rPr>
        <w:t xml:space="preserve"> </w:t>
      </w:r>
      <w:r w:rsidRPr="00121E74">
        <w:t>about</w:t>
      </w:r>
      <w:r w:rsidRPr="00121E74">
        <w:rPr>
          <w:spacing w:val="-3"/>
        </w:rPr>
        <w:t xml:space="preserve"> </w:t>
      </w:r>
      <w:r w:rsidRPr="00121E74">
        <w:t>the</w:t>
      </w:r>
      <w:r w:rsidRPr="00121E74">
        <w:rPr>
          <w:spacing w:val="-2"/>
        </w:rPr>
        <w:t xml:space="preserve"> </w:t>
      </w:r>
      <w:r w:rsidRPr="00121E74">
        <w:t>Department’s</w:t>
      </w:r>
      <w:r w:rsidRPr="00121E74">
        <w:rPr>
          <w:spacing w:val="-3"/>
        </w:rPr>
        <w:t xml:space="preserve"> </w:t>
      </w:r>
      <w:r w:rsidRPr="00121E74">
        <w:t>approach</w:t>
      </w:r>
      <w:r w:rsidRPr="00121E74">
        <w:rPr>
          <w:spacing w:val="-3"/>
        </w:rPr>
        <w:t xml:space="preserve"> </w:t>
      </w:r>
      <w:r w:rsidRPr="00121E74">
        <w:t>will</w:t>
      </w:r>
      <w:r w:rsidRPr="00121E74">
        <w:rPr>
          <w:spacing w:val="-3"/>
        </w:rPr>
        <w:t xml:space="preserve"> </w:t>
      </w:r>
      <w:r w:rsidRPr="00121E74">
        <w:t>be</w:t>
      </w:r>
      <w:r w:rsidRPr="00121E74">
        <w:rPr>
          <w:spacing w:val="-2"/>
        </w:rPr>
        <w:t xml:space="preserve"> </w:t>
      </w:r>
      <w:r w:rsidRPr="00121E74">
        <w:t>made</w:t>
      </w:r>
      <w:r w:rsidRPr="00121E74">
        <w:rPr>
          <w:spacing w:val="-3"/>
        </w:rPr>
        <w:t xml:space="preserve"> </w:t>
      </w:r>
      <w:r w:rsidRPr="00121E74">
        <w:t>available</w:t>
      </w:r>
      <w:r w:rsidRPr="00121E74">
        <w:rPr>
          <w:spacing w:val="-3"/>
        </w:rPr>
        <w:t xml:space="preserve"> </w:t>
      </w:r>
      <w:r w:rsidRPr="00121E74">
        <w:t>in</w:t>
      </w:r>
      <w:r w:rsidRPr="00121E74">
        <w:rPr>
          <w:spacing w:val="-3"/>
        </w:rPr>
        <w:t xml:space="preserve"> </w:t>
      </w:r>
      <w:r w:rsidRPr="00121E74">
        <w:t>due</w:t>
      </w:r>
      <w:r w:rsidRPr="00121E74">
        <w:rPr>
          <w:spacing w:val="-2"/>
        </w:rPr>
        <w:t xml:space="preserve"> course.</w:t>
      </w:r>
    </w:p>
    <w:p w14:paraId="5E17D146" w14:textId="77777777" w:rsidR="00B41C71" w:rsidRPr="004E1479" w:rsidRDefault="00B41C71" w:rsidP="00482503">
      <w:pPr>
        <w:pStyle w:val="Quote"/>
        <w:rPr>
          <w:b/>
          <w:iCs w:val="0"/>
        </w:rPr>
      </w:pPr>
      <w:r w:rsidRPr="004E1479">
        <w:rPr>
          <w:b/>
          <w:iCs w:val="0"/>
        </w:rPr>
        <w:t>Recommendation</w:t>
      </w:r>
      <w:r w:rsidRPr="004E1479">
        <w:rPr>
          <w:b/>
          <w:iCs w:val="0"/>
          <w:spacing w:val="-3"/>
        </w:rPr>
        <w:t xml:space="preserve"> </w:t>
      </w:r>
      <w:r w:rsidRPr="004E1479">
        <w:rPr>
          <w:b/>
          <w:iCs w:val="0"/>
        </w:rPr>
        <w:t>4</w:t>
      </w:r>
      <w:r w:rsidRPr="004E1479">
        <w:rPr>
          <w:b/>
          <w:iCs w:val="0"/>
          <w:spacing w:val="-2"/>
        </w:rPr>
        <w:t xml:space="preserve"> </w:t>
      </w:r>
      <w:r w:rsidRPr="004E1479">
        <w:rPr>
          <w:b/>
          <w:iCs w:val="0"/>
        </w:rPr>
        <w:t>–</w:t>
      </w:r>
      <w:r w:rsidRPr="004E1479">
        <w:rPr>
          <w:b/>
          <w:iCs w:val="0"/>
          <w:spacing w:val="-2"/>
        </w:rPr>
        <w:t xml:space="preserve"> Disagree</w:t>
      </w:r>
    </w:p>
    <w:p w14:paraId="50A0E409" w14:textId="4DD6BDBB" w:rsidR="00B41C71" w:rsidRPr="00192120" w:rsidRDefault="00B41C71" w:rsidP="00482503">
      <w:pPr>
        <w:pStyle w:val="Quote"/>
        <w:rPr>
          <w:b/>
          <w:i/>
          <w:iCs w:val="0"/>
        </w:rPr>
      </w:pPr>
      <w:r w:rsidRPr="00192120">
        <w:rPr>
          <w:i/>
          <w:iCs w:val="0"/>
        </w:rPr>
        <w:t>The</w:t>
      </w:r>
      <w:r w:rsidRPr="00192120">
        <w:rPr>
          <w:i/>
          <w:iCs w:val="0"/>
          <w:spacing w:val="-3"/>
        </w:rPr>
        <w:t xml:space="preserve"> </w:t>
      </w:r>
      <w:r w:rsidRPr="00192120">
        <w:rPr>
          <w:i/>
          <w:iCs w:val="0"/>
        </w:rPr>
        <w:t>Commission</w:t>
      </w:r>
      <w:r w:rsidRPr="00192120">
        <w:rPr>
          <w:i/>
          <w:iCs w:val="0"/>
          <w:spacing w:val="-4"/>
        </w:rPr>
        <w:t xml:space="preserve"> </w:t>
      </w:r>
      <w:r w:rsidRPr="00192120">
        <w:rPr>
          <w:i/>
          <w:iCs w:val="0"/>
        </w:rPr>
        <w:t>recommends</w:t>
      </w:r>
      <w:r w:rsidRPr="00192120">
        <w:rPr>
          <w:i/>
          <w:iCs w:val="0"/>
          <w:spacing w:val="-3"/>
        </w:rPr>
        <w:t xml:space="preserve"> </w:t>
      </w:r>
      <w:r w:rsidRPr="00192120">
        <w:rPr>
          <w:i/>
          <w:iCs w:val="0"/>
        </w:rPr>
        <w:t>that</w:t>
      </w:r>
      <w:r w:rsidRPr="00192120">
        <w:rPr>
          <w:i/>
          <w:iCs w:val="0"/>
          <w:spacing w:val="-3"/>
        </w:rPr>
        <w:t xml:space="preserve"> </w:t>
      </w:r>
      <w:r w:rsidRPr="00192120">
        <w:rPr>
          <w:i/>
          <w:iCs w:val="0"/>
        </w:rPr>
        <w:t>any</w:t>
      </w:r>
      <w:r w:rsidRPr="00192120">
        <w:rPr>
          <w:i/>
          <w:iCs w:val="0"/>
          <w:spacing w:val="-3"/>
        </w:rPr>
        <w:t xml:space="preserve"> </w:t>
      </w:r>
      <w:r w:rsidRPr="00192120">
        <w:rPr>
          <w:i/>
          <w:iCs w:val="0"/>
        </w:rPr>
        <w:t>unlawful</w:t>
      </w:r>
      <w:r w:rsidRPr="00192120">
        <w:rPr>
          <w:i/>
          <w:iCs w:val="0"/>
          <w:spacing w:val="-3"/>
        </w:rPr>
        <w:t xml:space="preserve"> </w:t>
      </w:r>
      <w:r w:rsidRPr="00192120">
        <w:rPr>
          <w:i/>
          <w:iCs w:val="0"/>
        </w:rPr>
        <w:t>non-citizen</w:t>
      </w:r>
      <w:r w:rsidRPr="00192120">
        <w:rPr>
          <w:i/>
          <w:iCs w:val="0"/>
          <w:spacing w:val="-3"/>
        </w:rPr>
        <w:t xml:space="preserve"> </w:t>
      </w:r>
      <w:r w:rsidRPr="00192120">
        <w:rPr>
          <w:i/>
          <w:iCs w:val="0"/>
        </w:rPr>
        <w:t>who</w:t>
      </w:r>
      <w:r w:rsidRPr="00192120">
        <w:rPr>
          <w:i/>
          <w:iCs w:val="0"/>
          <w:spacing w:val="-3"/>
        </w:rPr>
        <w:t xml:space="preserve"> </w:t>
      </w:r>
      <w:r w:rsidRPr="00192120">
        <w:rPr>
          <w:i/>
          <w:iCs w:val="0"/>
        </w:rPr>
        <w:t>is</w:t>
      </w:r>
      <w:r w:rsidRPr="00192120">
        <w:rPr>
          <w:i/>
          <w:iCs w:val="0"/>
          <w:spacing w:val="-3"/>
        </w:rPr>
        <w:t xml:space="preserve"> </w:t>
      </w:r>
      <w:r w:rsidRPr="00192120">
        <w:rPr>
          <w:i/>
          <w:iCs w:val="0"/>
        </w:rPr>
        <w:t>or</w:t>
      </w:r>
      <w:r w:rsidRPr="00192120">
        <w:rPr>
          <w:i/>
          <w:iCs w:val="0"/>
          <w:spacing w:val="-3"/>
        </w:rPr>
        <w:t xml:space="preserve"> </w:t>
      </w:r>
      <w:r w:rsidRPr="00192120">
        <w:rPr>
          <w:i/>
          <w:iCs w:val="0"/>
        </w:rPr>
        <w:t>claims</w:t>
      </w:r>
      <w:r w:rsidRPr="00192120">
        <w:rPr>
          <w:i/>
          <w:iCs w:val="0"/>
          <w:spacing w:val="-3"/>
        </w:rPr>
        <w:t xml:space="preserve"> </w:t>
      </w:r>
      <w:r w:rsidRPr="00192120">
        <w:rPr>
          <w:i/>
          <w:iCs w:val="0"/>
        </w:rPr>
        <w:t>to</w:t>
      </w:r>
      <w:r w:rsidRPr="00192120">
        <w:rPr>
          <w:i/>
          <w:iCs w:val="0"/>
          <w:spacing w:val="-4"/>
        </w:rPr>
        <w:t xml:space="preserve"> </w:t>
      </w:r>
      <w:r w:rsidRPr="00192120">
        <w:rPr>
          <w:i/>
          <w:iCs w:val="0"/>
        </w:rPr>
        <w:t>be</w:t>
      </w:r>
      <w:r w:rsidRPr="00192120">
        <w:rPr>
          <w:i/>
          <w:iCs w:val="0"/>
          <w:spacing w:val="-3"/>
        </w:rPr>
        <w:t xml:space="preserve"> </w:t>
      </w:r>
      <w:r w:rsidRPr="00192120">
        <w:rPr>
          <w:i/>
          <w:iCs w:val="0"/>
        </w:rPr>
        <w:t>stateless</w:t>
      </w:r>
      <w:r w:rsidRPr="00192120">
        <w:rPr>
          <w:i/>
          <w:iCs w:val="0"/>
          <w:spacing w:val="-3"/>
        </w:rPr>
        <w:t xml:space="preserve"> </w:t>
      </w:r>
      <w:r w:rsidRPr="00192120">
        <w:rPr>
          <w:i/>
          <w:iCs w:val="0"/>
        </w:rPr>
        <w:t>should be automatically referred to the Minister for consideration of their intervention powers.</w:t>
      </w:r>
    </w:p>
    <w:p w14:paraId="4759192B" w14:textId="77777777" w:rsidR="00B41C71" w:rsidRPr="00121E74" w:rsidRDefault="00B41C71" w:rsidP="00482503">
      <w:pPr>
        <w:pStyle w:val="Quote"/>
      </w:pPr>
      <w:r w:rsidRPr="00121E74">
        <w:t>The</w:t>
      </w:r>
      <w:r w:rsidRPr="00121E74">
        <w:rPr>
          <w:spacing w:val="-5"/>
        </w:rPr>
        <w:t xml:space="preserve"> </w:t>
      </w:r>
      <w:r w:rsidRPr="00121E74">
        <w:t>Department</w:t>
      </w:r>
      <w:r w:rsidRPr="00121E74">
        <w:rPr>
          <w:spacing w:val="-6"/>
        </w:rPr>
        <w:t xml:space="preserve"> </w:t>
      </w:r>
      <w:r w:rsidRPr="00121E74">
        <w:t>disagrees</w:t>
      </w:r>
      <w:r w:rsidRPr="00121E74">
        <w:rPr>
          <w:spacing w:val="-4"/>
        </w:rPr>
        <w:t xml:space="preserve"> </w:t>
      </w:r>
      <w:r w:rsidRPr="00121E74">
        <w:t>with</w:t>
      </w:r>
      <w:r w:rsidRPr="00121E74">
        <w:rPr>
          <w:spacing w:val="-5"/>
        </w:rPr>
        <w:t xml:space="preserve"> </w:t>
      </w:r>
      <w:r w:rsidRPr="00121E74">
        <w:t>recommendation</w:t>
      </w:r>
      <w:r w:rsidRPr="00121E74">
        <w:rPr>
          <w:spacing w:val="-4"/>
        </w:rPr>
        <w:t xml:space="preserve"> </w:t>
      </w:r>
      <w:r w:rsidRPr="00121E74">
        <w:rPr>
          <w:spacing w:val="-2"/>
        </w:rPr>
        <w:t>four.</w:t>
      </w:r>
    </w:p>
    <w:p w14:paraId="40274FAD" w14:textId="77777777" w:rsidR="00B41C71" w:rsidRPr="00121E74" w:rsidRDefault="00B41C71" w:rsidP="00482503">
      <w:pPr>
        <w:pStyle w:val="Quote"/>
      </w:pPr>
      <w:r w:rsidRPr="00121E74">
        <w:t>In November 2022, the Minister for Immigration, Citizenship and Multicultural Affairs agreed to the Department</w:t>
      </w:r>
      <w:r w:rsidRPr="00121E74">
        <w:rPr>
          <w:spacing w:val="-4"/>
        </w:rPr>
        <w:t xml:space="preserve"> </w:t>
      </w:r>
      <w:r w:rsidRPr="00121E74">
        <w:t>conducting</w:t>
      </w:r>
      <w:r w:rsidRPr="00121E74">
        <w:rPr>
          <w:spacing w:val="-3"/>
        </w:rPr>
        <w:t xml:space="preserve"> </w:t>
      </w:r>
      <w:r w:rsidRPr="00121E74">
        <w:t>a</w:t>
      </w:r>
      <w:r w:rsidRPr="00121E74">
        <w:rPr>
          <w:spacing w:val="-3"/>
        </w:rPr>
        <w:t xml:space="preserve"> </w:t>
      </w:r>
      <w:r w:rsidRPr="00121E74">
        <w:t>Detention</w:t>
      </w:r>
      <w:r w:rsidRPr="00121E74">
        <w:rPr>
          <w:spacing w:val="-3"/>
        </w:rPr>
        <w:t xml:space="preserve"> </w:t>
      </w:r>
      <w:r w:rsidRPr="00121E74">
        <w:t>Status</w:t>
      </w:r>
      <w:r w:rsidRPr="00121E74">
        <w:rPr>
          <w:spacing w:val="-3"/>
        </w:rPr>
        <w:t xml:space="preserve"> </w:t>
      </w:r>
      <w:r w:rsidRPr="00121E74">
        <w:t>Resolution</w:t>
      </w:r>
      <w:r w:rsidRPr="00121E74">
        <w:rPr>
          <w:spacing w:val="-3"/>
        </w:rPr>
        <w:t xml:space="preserve"> </w:t>
      </w:r>
      <w:r w:rsidRPr="00121E74">
        <w:t>Review.</w:t>
      </w:r>
      <w:r w:rsidRPr="00121E74">
        <w:rPr>
          <w:spacing w:val="-3"/>
        </w:rPr>
        <w:t xml:space="preserve"> </w:t>
      </w:r>
      <w:r w:rsidRPr="00121E74">
        <w:t>This</w:t>
      </w:r>
      <w:r w:rsidRPr="00121E74">
        <w:rPr>
          <w:spacing w:val="-3"/>
        </w:rPr>
        <w:t xml:space="preserve"> </w:t>
      </w:r>
      <w:r w:rsidRPr="00121E74">
        <w:t>review</w:t>
      </w:r>
      <w:r w:rsidRPr="00121E74">
        <w:rPr>
          <w:spacing w:val="-3"/>
        </w:rPr>
        <w:t xml:space="preserve"> </w:t>
      </w:r>
      <w:r w:rsidRPr="00121E74">
        <w:t>involves</w:t>
      </w:r>
      <w:r w:rsidRPr="00121E74">
        <w:rPr>
          <w:spacing w:val="-3"/>
        </w:rPr>
        <w:t xml:space="preserve"> </w:t>
      </w:r>
      <w:r w:rsidRPr="00121E74">
        <w:t>a</w:t>
      </w:r>
      <w:r w:rsidRPr="00121E74">
        <w:rPr>
          <w:spacing w:val="-3"/>
        </w:rPr>
        <w:t xml:space="preserve"> </w:t>
      </w:r>
      <w:r w:rsidRPr="00121E74">
        <w:t>streamlined</w:t>
      </w:r>
      <w:r w:rsidRPr="00121E74">
        <w:rPr>
          <w:spacing w:val="-3"/>
        </w:rPr>
        <w:t xml:space="preserve"> </w:t>
      </w:r>
      <w:r w:rsidRPr="00121E74">
        <w:t>referral</w:t>
      </w:r>
      <w:r w:rsidRPr="00121E74">
        <w:rPr>
          <w:spacing w:val="-3"/>
        </w:rPr>
        <w:t xml:space="preserve"> </w:t>
      </w:r>
      <w:r w:rsidRPr="00121E74">
        <w:t xml:space="preserve">of submissions for possible Ministerial Intervention under sections 195A and 197AB of the Act for long-term detainees in held detention and those who will likely be subject to protracted detention due to complex removal barriers. This review includes individuals who are confirmed to be </w:t>
      </w:r>
      <w:r w:rsidRPr="00121E74">
        <w:lastRenderedPageBreak/>
        <w:t>stateless. The Department continues to refer individuals for Ministerial Intervention consideration through this review.</w:t>
      </w:r>
    </w:p>
    <w:p w14:paraId="3F287D82" w14:textId="77777777" w:rsidR="00B41C71" w:rsidRPr="00121E74" w:rsidRDefault="00B41C71" w:rsidP="00482503">
      <w:pPr>
        <w:pStyle w:val="Quote"/>
      </w:pPr>
      <w:r w:rsidRPr="00121E74">
        <w:t>If an individual’s statelessness claim has been assessed and not supported through a process such as assessment of a Protection visa application, this does not result in an automatic referral for Ministerial Intervention consideration. It is open to the individual to lodge a request for Ministerial Intervention consideration. A Status Resolution Officer may also decide to refer a case for Ministerial Intervention consideration</w:t>
      </w:r>
      <w:r w:rsidRPr="00121E74">
        <w:rPr>
          <w:spacing w:val="-3"/>
        </w:rPr>
        <w:t xml:space="preserve"> </w:t>
      </w:r>
      <w:r w:rsidRPr="00121E74">
        <w:t>due</w:t>
      </w:r>
      <w:r w:rsidRPr="00121E74">
        <w:rPr>
          <w:spacing w:val="-3"/>
        </w:rPr>
        <w:t xml:space="preserve"> </w:t>
      </w:r>
      <w:r w:rsidRPr="00121E74">
        <w:t>to</w:t>
      </w:r>
      <w:r w:rsidRPr="00121E74">
        <w:rPr>
          <w:spacing w:val="-3"/>
        </w:rPr>
        <w:t xml:space="preserve"> </w:t>
      </w:r>
      <w:r w:rsidRPr="00121E74">
        <w:t>the</w:t>
      </w:r>
      <w:r w:rsidRPr="00121E74">
        <w:rPr>
          <w:spacing w:val="-3"/>
        </w:rPr>
        <w:t xml:space="preserve"> </w:t>
      </w:r>
      <w:r w:rsidRPr="00121E74">
        <w:t>individual’s</w:t>
      </w:r>
      <w:r w:rsidRPr="00121E74">
        <w:rPr>
          <w:spacing w:val="-4"/>
        </w:rPr>
        <w:t xml:space="preserve"> </w:t>
      </w:r>
      <w:r w:rsidRPr="00121E74">
        <w:t>particular</w:t>
      </w:r>
      <w:r w:rsidRPr="00121E74">
        <w:rPr>
          <w:spacing w:val="-3"/>
        </w:rPr>
        <w:t xml:space="preserve"> </w:t>
      </w:r>
      <w:r w:rsidRPr="00121E74">
        <w:t>circumstances.</w:t>
      </w:r>
      <w:r w:rsidRPr="00121E74">
        <w:rPr>
          <w:spacing w:val="-4"/>
        </w:rPr>
        <w:t xml:space="preserve"> </w:t>
      </w:r>
      <w:r w:rsidRPr="00121E74">
        <w:t>Alternatively,</w:t>
      </w:r>
      <w:r w:rsidRPr="00121E74">
        <w:rPr>
          <w:spacing w:val="-3"/>
        </w:rPr>
        <w:t xml:space="preserve"> </w:t>
      </w:r>
      <w:r w:rsidRPr="00121E74">
        <w:t>the</w:t>
      </w:r>
      <w:r w:rsidRPr="00121E74">
        <w:rPr>
          <w:spacing w:val="-3"/>
        </w:rPr>
        <w:t xml:space="preserve"> </w:t>
      </w:r>
      <w:r w:rsidRPr="00121E74">
        <w:t>individual</w:t>
      </w:r>
      <w:r w:rsidRPr="00121E74">
        <w:rPr>
          <w:spacing w:val="-3"/>
        </w:rPr>
        <w:t xml:space="preserve"> </w:t>
      </w:r>
      <w:r w:rsidRPr="00121E74">
        <w:t>may</w:t>
      </w:r>
      <w:r w:rsidRPr="00121E74">
        <w:rPr>
          <w:spacing w:val="-3"/>
        </w:rPr>
        <w:t xml:space="preserve"> </w:t>
      </w:r>
      <w:r w:rsidRPr="00121E74">
        <w:t>fall</w:t>
      </w:r>
      <w:r w:rsidRPr="00121E74">
        <w:rPr>
          <w:spacing w:val="-3"/>
        </w:rPr>
        <w:t xml:space="preserve"> </w:t>
      </w:r>
      <w:r w:rsidRPr="00121E74">
        <w:t>in</w:t>
      </w:r>
      <w:r w:rsidRPr="00121E74">
        <w:rPr>
          <w:spacing w:val="-3"/>
        </w:rPr>
        <w:t xml:space="preserve"> </w:t>
      </w:r>
      <w:r w:rsidRPr="00121E74">
        <w:t>scope</w:t>
      </w:r>
      <w:r w:rsidRPr="00121E74">
        <w:rPr>
          <w:spacing w:val="-3"/>
        </w:rPr>
        <w:t xml:space="preserve"> </w:t>
      </w:r>
      <w:r w:rsidRPr="00121E74">
        <w:t>of the review (discussed above) and would be referred for Ministerial Intervention consideration through this review. In cases which are referred to the Minister and where an assessment of statelessness claims has been undertaken, details of that assessment would be included in the submission to the Minister.</w:t>
      </w:r>
    </w:p>
    <w:p w14:paraId="0F63C004" w14:textId="77777777" w:rsidR="00B41C71" w:rsidRPr="00121E74" w:rsidRDefault="00B41C71" w:rsidP="00482503">
      <w:pPr>
        <w:pStyle w:val="Quote"/>
      </w:pPr>
      <w:r w:rsidRPr="00121E74">
        <w:t>The</w:t>
      </w:r>
      <w:r w:rsidRPr="00121E74">
        <w:rPr>
          <w:spacing w:val="-3"/>
        </w:rPr>
        <w:t xml:space="preserve"> </w:t>
      </w:r>
      <w:r w:rsidRPr="00121E74">
        <w:t>Department</w:t>
      </w:r>
      <w:r w:rsidRPr="00121E74">
        <w:rPr>
          <w:spacing w:val="-4"/>
        </w:rPr>
        <w:t xml:space="preserve"> </w:t>
      </w:r>
      <w:r w:rsidRPr="00121E74">
        <w:t>is</w:t>
      </w:r>
      <w:r w:rsidRPr="00121E74">
        <w:rPr>
          <w:spacing w:val="-3"/>
        </w:rPr>
        <w:t xml:space="preserve"> </w:t>
      </w:r>
      <w:r w:rsidRPr="00121E74">
        <w:t>preparing</w:t>
      </w:r>
      <w:r w:rsidRPr="00121E74">
        <w:rPr>
          <w:spacing w:val="-3"/>
        </w:rPr>
        <w:t xml:space="preserve"> </w:t>
      </w:r>
      <w:r w:rsidRPr="00121E74">
        <w:t>new</w:t>
      </w:r>
      <w:r w:rsidRPr="00121E74">
        <w:rPr>
          <w:spacing w:val="-3"/>
        </w:rPr>
        <w:t xml:space="preserve"> </w:t>
      </w:r>
      <w:r w:rsidRPr="00121E74">
        <w:t>ministerial</w:t>
      </w:r>
      <w:r w:rsidRPr="00121E74">
        <w:rPr>
          <w:spacing w:val="-3"/>
        </w:rPr>
        <w:t xml:space="preserve"> </w:t>
      </w:r>
      <w:r w:rsidRPr="00121E74">
        <w:t>instructions</w:t>
      </w:r>
      <w:r w:rsidRPr="00121E74">
        <w:rPr>
          <w:spacing w:val="-3"/>
        </w:rPr>
        <w:t xml:space="preserve"> </w:t>
      </w:r>
      <w:r w:rsidRPr="00121E74">
        <w:t>for</w:t>
      </w:r>
      <w:r w:rsidRPr="00121E74">
        <w:rPr>
          <w:spacing w:val="-3"/>
        </w:rPr>
        <w:t xml:space="preserve"> </w:t>
      </w:r>
      <w:r w:rsidRPr="00121E74">
        <w:t>the</w:t>
      </w:r>
      <w:r w:rsidRPr="00121E74">
        <w:rPr>
          <w:spacing w:val="-3"/>
        </w:rPr>
        <w:t xml:space="preserve"> </w:t>
      </w:r>
      <w:r w:rsidRPr="00121E74">
        <w:t>Minister</w:t>
      </w:r>
      <w:r w:rsidRPr="00121E74">
        <w:rPr>
          <w:spacing w:val="-3"/>
        </w:rPr>
        <w:t xml:space="preserve"> </w:t>
      </w:r>
      <w:r w:rsidRPr="00121E74">
        <w:t>following</w:t>
      </w:r>
      <w:r w:rsidRPr="00121E74">
        <w:rPr>
          <w:spacing w:val="-3"/>
        </w:rPr>
        <w:t xml:space="preserve"> </w:t>
      </w:r>
      <w:r w:rsidRPr="00121E74">
        <w:t>the</w:t>
      </w:r>
      <w:r w:rsidRPr="00121E74">
        <w:rPr>
          <w:spacing w:val="-3"/>
        </w:rPr>
        <w:t xml:space="preserve"> </w:t>
      </w:r>
      <w:r w:rsidRPr="00121E74">
        <w:t>High</w:t>
      </w:r>
      <w:r w:rsidRPr="00121E74">
        <w:rPr>
          <w:spacing w:val="-3"/>
        </w:rPr>
        <w:t xml:space="preserve"> </w:t>
      </w:r>
      <w:r w:rsidRPr="00121E74">
        <w:t>Court’s</w:t>
      </w:r>
      <w:r w:rsidRPr="00121E74">
        <w:rPr>
          <w:spacing w:val="-3"/>
        </w:rPr>
        <w:t xml:space="preserve"> </w:t>
      </w:r>
      <w:r w:rsidRPr="00121E74">
        <w:t xml:space="preserve">decision in </w:t>
      </w:r>
      <w:r w:rsidRPr="00121E74">
        <w:rPr>
          <w:i/>
        </w:rPr>
        <w:t>Davis v Minister for Immigration, Citizenship, Migrant Services and Multicultural Affairs [2023] HCA 10</w:t>
      </w:r>
      <w:r w:rsidRPr="00121E74">
        <w:t>.</w:t>
      </w:r>
    </w:p>
    <w:p w14:paraId="00CA207D" w14:textId="77777777" w:rsidR="00B41C71" w:rsidRPr="00121E74" w:rsidRDefault="00B41C71" w:rsidP="00482503">
      <w:pPr>
        <w:pStyle w:val="Quote"/>
      </w:pPr>
      <w:r w:rsidRPr="00121E74">
        <w:t>Further</w:t>
      </w:r>
      <w:r w:rsidRPr="00121E74">
        <w:rPr>
          <w:spacing w:val="-5"/>
        </w:rPr>
        <w:t xml:space="preserve"> </w:t>
      </w:r>
      <w:r w:rsidRPr="00121E74">
        <w:t>information</w:t>
      </w:r>
      <w:r w:rsidRPr="00121E74">
        <w:rPr>
          <w:spacing w:val="-3"/>
        </w:rPr>
        <w:t xml:space="preserve"> </w:t>
      </w:r>
      <w:r w:rsidRPr="00121E74">
        <w:t>about</w:t>
      </w:r>
      <w:r w:rsidRPr="00121E74">
        <w:rPr>
          <w:spacing w:val="-3"/>
        </w:rPr>
        <w:t xml:space="preserve"> </w:t>
      </w:r>
      <w:r w:rsidRPr="00121E74">
        <w:t>the</w:t>
      </w:r>
      <w:r w:rsidRPr="00121E74">
        <w:rPr>
          <w:spacing w:val="-2"/>
        </w:rPr>
        <w:t xml:space="preserve"> </w:t>
      </w:r>
      <w:r w:rsidRPr="00121E74">
        <w:t>Department’s</w:t>
      </w:r>
      <w:r w:rsidRPr="00121E74">
        <w:rPr>
          <w:spacing w:val="-3"/>
        </w:rPr>
        <w:t xml:space="preserve"> </w:t>
      </w:r>
      <w:r w:rsidRPr="00121E74">
        <w:t>approach</w:t>
      </w:r>
      <w:r w:rsidRPr="00121E74">
        <w:rPr>
          <w:spacing w:val="-3"/>
        </w:rPr>
        <w:t xml:space="preserve"> </w:t>
      </w:r>
      <w:r w:rsidRPr="00121E74">
        <w:t>will</w:t>
      </w:r>
      <w:r w:rsidRPr="00121E74">
        <w:rPr>
          <w:spacing w:val="-3"/>
        </w:rPr>
        <w:t xml:space="preserve"> </w:t>
      </w:r>
      <w:r w:rsidRPr="00121E74">
        <w:t>be</w:t>
      </w:r>
      <w:r w:rsidRPr="00121E74">
        <w:rPr>
          <w:spacing w:val="-2"/>
        </w:rPr>
        <w:t xml:space="preserve"> </w:t>
      </w:r>
      <w:r w:rsidRPr="00121E74">
        <w:t>made</w:t>
      </w:r>
      <w:r w:rsidRPr="00121E74">
        <w:rPr>
          <w:spacing w:val="-3"/>
        </w:rPr>
        <w:t xml:space="preserve"> </w:t>
      </w:r>
      <w:r w:rsidRPr="00121E74">
        <w:t>available</w:t>
      </w:r>
      <w:r w:rsidRPr="00121E74">
        <w:rPr>
          <w:spacing w:val="-3"/>
        </w:rPr>
        <w:t xml:space="preserve"> </w:t>
      </w:r>
      <w:r w:rsidRPr="00121E74">
        <w:t>in</w:t>
      </w:r>
      <w:r w:rsidRPr="00121E74">
        <w:rPr>
          <w:spacing w:val="-3"/>
        </w:rPr>
        <w:t xml:space="preserve"> </w:t>
      </w:r>
      <w:r w:rsidRPr="00121E74">
        <w:t>due</w:t>
      </w:r>
      <w:r w:rsidRPr="00121E74">
        <w:rPr>
          <w:spacing w:val="-2"/>
        </w:rPr>
        <w:t xml:space="preserve"> course.</w:t>
      </w:r>
    </w:p>
    <w:p w14:paraId="6A0B4CDA" w14:textId="77777777" w:rsidR="00121E74" w:rsidRPr="004E1479" w:rsidRDefault="00121E74" w:rsidP="00482503">
      <w:pPr>
        <w:pStyle w:val="Quote"/>
        <w:rPr>
          <w:b/>
          <w:iCs w:val="0"/>
        </w:rPr>
      </w:pPr>
      <w:r w:rsidRPr="004E1479">
        <w:rPr>
          <w:b/>
          <w:iCs w:val="0"/>
        </w:rPr>
        <w:t>Recommendation</w:t>
      </w:r>
      <w:r w:rsidRPr="004E1479">
        <w:rPr>
          <w:b/>
          <w:iCs w:val="0"/>
          <w:spacing w:val="-3"/>
        </w:rPr>
        <w:t xml:space="preserve"> </w:t>
      </w:r>
      <w:r w:rsidRPr="004E1479">
        <w:rPr>
          <w:b/>
          <w:iCs w:val="0"/>
        </w:rPr>
        <w:t>5</w:t>
      </w:r>
      <w:r w:rsidRPr="004E1479">
        <w:rPr>
          <w:b/>
          <w:iCs w:val="0"/>
          <w:spacing w:val="-2"/>
        </w:rPr>
        <w:t xml:space="preserve"> </w:t>
      </w:r>
      <w:r w:rsidRPr="004E1479">
        <w:rPr>
          <w:b/>
          <w:iCs w:val="0"/>
        </w:rPr>
        <w:t>–</w:t>
      </w:r>
      <w:r w:rsidRPr="004E1479">
        <w:rPr>
          <w:b/>
          <w:iCs w:val="0"/>
          <w:spacing w:val="-2"/>
        </w:rPr>
        <w:t xml:space="preserve"> Disagree</w:t>
      </w:r>
    </w:p>
    <w:p w14:paraId="0AE88117" w14:textId="07C240C3" w:rsidR="00121E74" w:rsidRPr="00192120" w:rsidRDefault="00121E74" w:rsidP="00482503">
      <w:pPr>
        <w:pStyle w:val="Quote"/>
        <w:rPr>
          <w:i/>
          <w:iCs w:val="0"/>
        </w:rPr>
      </w:pPr>
      <w:r w:rsidRPr="00192120">
        <w:rPr>
          <w:i/>
          <w:iCs w:val="0"/>
        </w:rPr>
        <w:t>The Commission recommends that any person in detention who claims to be Indigenous be considered</w:t>
      </w:r>
      <w:r w:rsidRPr="00192120">
        <w:rPr>
          <w:i/>
          <w:iCs w:val="0"/>
          <w:spacing w:val="-3"/>
        </w:rPr>
        <w:t xml:space="preserve"> </w:t>
      </w:r>
      <w:r w:rsidRPr="00192120">
        <w:rPr>
          <w:i/>
          <w:iCs w:val="0"/>
        </w:rPr>
        <w:t>for</w:t>
      </w:r>
      <w:r w:rsidRPr="00192120">
        <w:rPr>
          <w:i/>
          <w:iCs w:val="0"/>
          <w:spacing w:val="-3"/>
        </w:rPr>
        <w:t xml:space="preserve"> </w:t>
      </w:r>
      <w:r w:rsidRPr="00192120">
        <w:rPr>
          <w:i/>
          <w:iCs w:val="0"/>
        </w:rPr>
        <w:t>an</w:t>
      </w:r>
      <w:r w:rsidRPr="00192120">
        <w:rPr>
          <w:i/>
          <w:iCs w:val="0"/>
          <w:spacing w:val="-4"/>
        </w:rPr>
        <w:t xml:space="preserve"> </w:t>
      </w:r>
      <w:r w:rsidRPr="00192120">
        <w:rPr>
          <w:i/>
          <w:iCs w:val="0"/>
        </w:rPr>
        <w:t>alternative</w:t>
      </w:r>
      <w:r w:rsidRPr="00192120">
        <w:rPr>
          <w:i/>
          <w:iCs w:val="0"/>
          <w:spacing w:val="-3"/>
        </w:rPr>
        <w:t xml:space="preserve"> </w:t>
      </w:r>
      <w:r w:rsidRPr="00192120">
        <w:rPr>
          <w:i/>
          <w:iCs w:val="0"/>
        </w:rPr>
        <w:t>to</w:t>
      </w:r>
      <w:r w:rsidRPr="00192120">
        <w:rPr>
          <w:i/>
          <w:iCs w:val="0"/>
          <w:spacing w:val="-4"/>
        </w:rPr>
        <w:t xml:space="preserve"> </w:t>
      </w:r>
      <w:r w:rsidRPr="00192120">
        <w:rPr>
          <w:i/>
          <w:iCs w:val="0"/>
        </w:rPr>
        <w:t>held</w:t>
      </w:r>
      <w:r w:rsidRPr="00192120">
        <w:rPr>
          <w:i/>
          <w:iCs w:val="0"/>
          <w:spacing w:val="-3"/>
        </w:rPr>
        <w:t xml:space="preserve"> </w:t>
      </w:r>
      <w:r w:rsidRPr="00192120">
        <w:rPr>
          <w:i/>
          <w:iCs w:val="0"/>
        </w:rPr>
        <w:t>detention</w:t>
      </w:r>
      <w:r w:rsidRPr="00192120">
        <w:rPr>
          <w:i/>
          <w:iCs w:val="0"/>
          <w:spacing w:val="-3"/>
        </w:rPr>
        <w:t xml:space="preserve"> </w:t>
      </w:r>
      <w:r w:rsidRPr="00192120">
        <w:rPr>
          <w:i/>
          <w:iCs w:val="0"/>
        </w:rPr>
        <w:t>while</w:t>
      </w:r>
      <w:r w:rsidRPr="00192120">
        <w:rPr>
          <w:i/>
          <w:iCs w:val="0"/>
          <w:spacing w:val="-3"/>
        </w:rPr>
        <w:t xml:space="preserve"> </w:t>
      </w:r>
      <w:r w:rsidRPr="00192120">
        <w:rPr>
          <w:i/>
          <w:iCs w:val="0"/>
        </w:rPr>
        <w:t>their</w:t>
      </w:r>
      <w:r w:rsidRPr="00192120">
        <w:rPr>
          <w:i/>
          <w:iCs w:val="0"/>
          <w:spacing w:val="-3"/>
        </w:rPr>
        <w:t xml:space="preserve"> </w:t>
      </w:r>
      <w:r w:rsidRPr="00192120">
        <w:rPr>
          <w:i/>
          <w:iCs w:val="0"/>
        </w:rPr>
        <w:t>claims</w:t>
      </w:r>
      <w:r w:rsidRPr="00192120">
        <w:rPr>
          <w:i/>
          <w:iCs w:val="0"/>
          <w:spacing w:val="-3"/>
        </w:rPr>
        <w:t xml:space="preserve"> </w:t>
      </w:r>
      <w:r w:rsidRPr="00192120">
        <w:rPr>
          <w:i/>
          <w:iCs w:val="0"/>
        </w:rPr>
        <w:t>are</w:t>
      </w:r>
      <w:r w:rsidRPr="00192120">
        <w:rPr>
          <w:i/>
          <w:iCs w:val="0"/>
          <w:spacing w:val="-4"/>
        </w:rPr>
        <w:t xml:space="preserve"> </w:t>
      </w:r>
      <w:r w:rsidRPr="00192120">
        <w:rPr>
          <w:i/>
          <w:iCs w:val="0"/>
        </w:rPr>
        <w:t>assessed,</w:t>
      </w:r>
      <w:r w:rsidRPr="00192120">
        <w:rPr>
          <w:i/>
          <w:iCs w:val="0"/>
          <w:spacing w:val="-3"/>
        </w:rPr>
        <w:t xml:space="preserve"> </w:t>
      </w:r>
      <w:r w:rsidRPr="00192120">
        <w:rPr>
          <w:i/>
          <w:iCs w:val="0"/>
        </w:rPr>
        <w:t>including</w:t>
      </w:r>
      <w:r w:rsidRPr="00192120">
        <w:rPr>
          <w:i/>
          <w:iCs w:val="0"/>
          <w:spacing w:val="-3"/>
        </w:rPr>
        <w:t xml:space="preserve"> </w:t>
      </w:r>
      <w:r w:rsidRPr="00192120">
        <w:rPr>
          <w:i/>
          <w:iCs w:val="0"/>
        </w:rPr>
        <w:t>for</w:t>
      </w:r>
      <w:r w:rsidRPr="00192120">
        <w:rPr>
          <w:i/>
          <w:iCs w:val="0"/>
          <w:spacing w:val="-3"/>
        </w:rPr>
        <w:t xml:space="preserve"> </w:t>
      </w:r>
      <w:r w:rsidRPr="00192120">
        <w:rPr>
          <w:i/>
          <w:iCs w:val="0"/>
        </w:rPr>
        <w:t>referral to the Minister for possible intervention where necessary.</w:t>
      </w:r>
    </w:p>
    <w:p w14:paraId="4E048386" w14:textId="7A122B45" w:rsidR="00121E74" w:rsidRPr="00121E74" w:rsidRDefault="00121E74" w:rsidP="00482503">
      <w:pPr>
        <w:pStyle w:val="Quote"/>
      </w:pPr>
      <w:r w:rsidRPr="00121E74">
        <w:t>The</w:t>
      </w:r>
      <w:r w:rsidRPr="00121E74">
        <w:rPr>
          <w:spacing w:val="-5"/>
        </w:rPr>
        <w:t xml:space="preserve"> </w:t>
      </w:r>
      <w:r w:rsidRPr="00121E74">
        <w:t>Department</w:t>
      </w:r>
      <w:r w:rsidRPr="00121E74">
        <w:rPr>
          <w:spacing w:val="-6"/>
        </w:rPr>
        <w:t xml:space="preserve"> </w:t>
      </w:r>
      <w:r w:rsidRPr="00121E74">
        <w:t>disagrees</w:t>
      </w:r>
      <w:r w:rsidRPr="00121E74">
        <w:rPr>
          <w:spacing w:val="-4"/>
        </w:rPr>
        <w:t xml:space="preserve"> </w:t>
      </w:r>
      <w:r w:rsidRPr="00121E74">
        <w:t>with</w:t>
      </w:r>
      <w:r w:rsidRPr="00121E74">
        <w:rPr>
          <w:spacing w:val="-5"/>
        </w:rPr>
        <w:t xml:space="preserve"> </w:t>
      </w:r>
      <w:r w:rsidRPr="00121E74">
        <w:t>recommendation</w:t>
      </w:r>
      <w:r w:rsidRPr="00121E74">
        <w:rPr>
          <w:spacing w:val="-4"/>
        </w:rPr>
        <w:t xml:space="preserve"> </w:t>
      </w:r>
      <w:r w:rsidRPr="00121E74">
        <w:rPr>
          <w:spacing w:val="-2"/>
        </w:rPr>
        <w:t>five.</w:t>
      </w:r>
    </w:p>
    <w:p w14:paraId="2B570061" w14:textId="08B5F1DA" w:rsidR="00121E74" w:rsidRPr="00121E74" w:rsidRDefault="00121E74" w:rsidP="00482503">
      <w:pPr>
        <w:pStyle w:val="Quote"/>
      </w:pPr>
      <w:r w:rsidRPr="00121E74">
        <w:t xml:space="preserve">The Department is required to apply the law as decided by the High Court in the matter of </w:t>
      </w:r>
      <w:r w:rsidRPr="00121E74">
        <w:rPr>
          <w:i/>
        </w:rPr>
        <w:t>Love v Commonwealth;</w:t>
      </w:r>
      <w:r w:rsidRPr="00121E74">
        <w:rPr>
          <w:i/>
          <w:spacing w:val="-3"/>
        </w:rPr>
        <w:t xml:space="preserve"> </w:t>
      </w:r>
      <w:r w:rsidRPr="00121E74">
        <w:rPr>
          <w:i/>
        </w:rPr>
        <w:t>Thoms</w:t>
      </w:r>
      <w:r w:rsidRPr="00121E74">
        <w:rPr>
          <w:i/>
          <w:spacing w:val="-3"/>
        </w:rPr>
        <w:t xml:space="preserve"> </w:t>
      </w:r>
      <w:r w:rsidRPr="00121E74">
        <w:rPr>
          <w:i/>
        </w:rPr>
        <w:t>v</w:t>
      </w:r>
      <w:r w:rsidRPr="00121E74">
        <w:rPr>
          <w:i/>
          <w:spacing w:val="-3"/>
        </w:rPr>
        <w:t xml:space="preserve"> </w:t>
      </w:r>
      <w:r w:rsidRPr="00121E74">
        <w:rPr>
          <w:i/>
        </w:rPr>
        <w:t>Commonwealth</w:t>
      </w:r>
      <w:r w:rsidRPr="00121E74">
        <w:rPr>
          <w:i/>
          <w:spacing w:val="-3"/>
        </w:rPr>
        <w:t xml:space="preserve"> </w:t>
      </w:r>
      <w:r w:rsidRPr="00121E74">
        <w:t>(2020)</w:t>
      </w:r>
      <w:r w:rsidRPr="00121E74">
        <w:rPr>
          <w:spacing w:val="-3"/>
        </w:rPr>
        <w:t xml:space="preserve"> </w:t>
      </w:r>
      <w:r w:rsidRPr="00121E74">
        <w:t>270</w:t>
      </w:r>
      <w:r w:rsidRPr="00121E74">
        <w:rPr>
          <w:spacing w:val="-3"/>
        </w:rPr>
        <w:t xml:space="preserve"> </w:t>
      </w:r>
      <w:r w:rsidRPr="00121E74">
        <w:t>CLR</w:t>
      </w:r>
      <w:r w:rsidRPr="00121E74">
        <w:rPr>
          <w:spacing w:val="-3"/>
        </w:rPr>
        <w:t xml:space="preserve"> </w:t>
      </w:r>
      <w:r w:rsidRPr="00121E74">
        <w:t>152</w:t>
      </w:r>
      <w:r w:rsidRPr="00121E74">
        <w:rPr>
          <w:spacing w:val="-3"/>
        </w:rPr>
        <w:t xml:space="preserve"> </w:t>
      </w:r>
      <w:r w:rsidRPr="00121E74">
        <w:t>(</w:t>
      </w:r>
      <w:r w:rsidRPr="00121E74">
        <w:rPr>
          <w:i/>
        </w:rPr>
        <w:t>Love</w:t>
      </w:r>
      <w:r w:rsidRPr="00121E74">
        <w:t>),</w:t>
      </w:r>
      <w:r w:rsidRPr="00121E74">
        <w:rPr>
          <w:spacing w:val="-4"/>
        </w:rPr>
        <w:t xml:space="preserve"> </w:t>
      </w:r>
      <w:r w:rsidRPr="00121E74">
        <w:t>and</w:t>
      </w:r>
      <w:r w:rsidRPr="00121E74">
        <w:rPr>
          <w:spacing w:val="-3"/>
        </w:rPr>
        <w:t xml:space="preserve"> </w:t>
      </w:r>
      <w:r w:rsidRPr="00121E74">
        <w:t>any</w:t>
      </w:r>
      <w:r w:rsidRPr="00121E74">
        <w:rPr>
          <w:spacing w:val="-3"/>
        </w:rPr>
        <w:t xml:space="preserve"> </w:t>
      </w:r>
      <w:r w:rsidRPr="00121E74">
        <w:t>subsequent</w:t>
      </w:r>
      <w:r w:rsidRPr="00121E74">
        <w:rPr>
          <w:spacing w:val="-4"/>
        </w:rPr>
        <w:t xml:space="preserve"> </w:t>
      </w:r>
      <w:r w:rsidRPr="00121E74">
        <w:t>decisions,</w:t>
      </w:r>
      <w:r w:rsidRPr="00121E74">
        <w:rPr>
          <w:spacing w:val="-3"/>
        </w:rPr>
        <w:t xml:space="preserve"> </w:t>
      </w:r>
      <w:r w:rsidRPr="00121E74">
        <w:t>and the Department is assisted by legal advice where relevant.</w:t>
      </w:r>
    </w:p>
    <w:p w14:paraId="43B65A50" w14:textId="77777777" w:rsidR="00121E74" w:rsidRPr="00121E74" w:rsidRDefault="00121E74" w:rsidP="00482503">
      <w:pPr>
        <w:pStyle w:val="Quote"/>
      </w:pPr>
      <w:r w:rsidRPr="00121E74">
        <w:t>On</w:t>
      </w:r>
      <w:r w:rsidRPr="00121E74">
        <w:rPr>
          <w:spacing w:val="-2"/>
        </w:rPr>
        <w:t xml:space="preserve"> </w:t>
      </w:r>
      <w:r w:rsidRPr="00121E74">
        <w:t>11</w:t>
      </w:r>
      <w:r w:rsidRPr="00121E74">
        <w:rPr>
          <w:spacing w:val="-2"/>
        </w:rPr>
        <w:t xml:space="preserve"> </w:t>
      </w:r>
      <w:r w:rsidRPr="00121E74">
        <w:t>February</w:t>
      </w:r>
      <w:r w:rsidRPr="00121E74">
        <w:rPr>
          <w:spacing w:val="-2"/>
        </w:rPr>
        <w:t xml:space="preserve"> </w:t>
      </w:r>
      <w:r w:rsidRPr="00121E74">
        <w:t>2020,</w:t>
      </w:r>
      <w:r w:rsidRPr="00121E74">
        <w:rPr>
          <w:spacing w:val="-3"/>
        </w:rPr>
        <w:t xml:space="preserve"> </w:t>
      </w:r>
      <w:r w:rsidRPr="00121E74">
        <w:t>the</w:t>
      </w:r>
      <w:r w:rsidRPr="00121E74">
        <w:rPr>
          <w:spacing w:val="-2"/>
        </w:rPr>
        <w:t xml:space="preserve"> </w:t>
      </w:r>
      <w:r w:rsidRPr="00121E74">
        <w:t>High</w:t>
      </w:r>
      <w:r w:rsidRPr="00121E74">
        <w:rPr>
          <w:spacing w:val="-2"/>
        </w:rPr>
        <w:t xml:space="preserve"> </w:t>
      </w:r>
      <w:r w:rsidRPr="00121E74">
        <w:t>Court</w:t>
      </w:r>
      <w:r w:rsidRPr="00121E74">
        <w:rPr>
          <w:spacing w:val="-2"/>
        </w:rPr>
        <w:t xml:space="preserve"> </w:t>
      </w:r>
      <w:r w:rsidRPr="00121E74">
        <w:t>found</w:t>
      </w:r>
      <w:r w:rsidRPr="00121E74">
        <w:rPr>
          <w:spacing w:val="-2"/>
        </w:rPr>
        <w:t xml:space="preserve"> </w:t>
      </w:r>
      <w:r w:rsidRPr="00121E74">
        <w:t>in</w:t>
      </w:r>
      <w:r w:rsidRPr="00121E74">
        <w:rPr>
          <w:spacing w:val="-2"/>
        </w:rPr>
        <w:t xml:space="preserve"> </w:t>
      </w:r>
      <w:r w:rsidRPr="00121E74">
        <w:rPr>
          <w:i/>
        </w:rPr>
        <w:t>Love</w:t>
      </w:r>
      <w:r w:rsidRPr="00121E74">
        <w:rPr>
          <w:i/>
          <w:spacing w:val="-2"/>
        </w:rPr>
        <w:t xml:space="preserve"> </w:t>
      </w:r>
      <w:r w:rsidRPr="00121E74">
        <w:t>that</w:t>
      </w:r>
      <w:r w:rsidRPr="00121E74">
        <w:rPr>
          <w:spacing w:val="-3"/>
        </w:rPr>
        <w:t xml:space="preserve"> </w:t>
      </w:r>
      <w:r w:rsidRPr="00121E74">
        <w:t>Aboriginal</w:t>
      </w:r>
      <w:r w:rsidRPr="00121E74">
        <w:rPr>
          <w:spacing w:val="-2"/>
        </w:rPr>
        <w:t xml:space="preserve"> </w:t>
      </w:r>
      <w:r w:rsidRPr="00121E74">
        <w:t>or</w:t>
      </w:r>
      <w:r w:rsidRPr="00121E74">
        <w:rPr>
          <w:spacing w:val="-2"/>
        </w:rPr>
        <w:t xml:space="preserve"> </w:t>
      </w:r>
      <w:r w:rsidRPr="00121E74">
        <w:t>Torres</w:t>
      </w:r>
      <w:r w:rsidRPr="00121E74">
        <w:rPr>
          <w:spacing w:val="-2"/>
        </w:rPr>
        <w:t xml:space="preserve"> </w:t>
      </w:r>
      <w:r w:rsidRPr="00121E74">
        <w:t>Strait</w:t>
      </w:r>
      <w:r w:rsidRPr="00121E74">
        <w:rPr>
          <w:spacing w:val="-2"/>
        </w:rPr>
        <w:t xml:space="preserve"> </w:t>
      </w:r>
      <w:r w:rsidRPr="00121E74">
        <w:t>Islander</w:t>
      </w:r>
      <w:r w:rsidRPr="00121E74">
        <w:rPr>
          <w:spacing w:val="-2"/>
        </w:rPr>
        <w:t xml:space="preserve"> </w:t>
      </w:r>
      <w:r w:rsidRPr="00121E74">
        <w:t>people</w:t>
      </w:r>
      <w:r w:rsidRPr="00121E74">
        <w:rPr>
          <w:spacing w:val="-2"/>
        </w:rPr>
        <w:t xml:space="preserve"> </w:t>
      </w:r>
      <w:r w:rsidRPr="00121E74">
        <w:t>who</w:t>
      </w:r>
      <w:r w:rsidRPr="00121E74">
        <w:rPr>
          <w:spacing w:val="-2"/>
        </w:rPr>
        <w:t xml:space="preserve"> </w:t>
      </w:r>
      <w:r w:rsidRPr="00121E74">
        <w:t xml:space="preserve">meet the tripartite test as formulated by Justice Brennan in </w:t>
      </w:r>
      <w:r w:rsidRPr="00121E74">
        <w:rPr>
          <w:i/>
        </w:rPr>
        <w:t xml:space="preserve">Mabo [No. 2] </w:t>
      </w:r>
      <w:r w:rsidRPr="00121E74">
        <w:t>(1992) 175 CLR 1 (</w:t>
      </w:r>
      <w:r w:rsidRPr="00121E74">
        <w:rPr>
          <w:i/>
        </w:rPr>
        <w:t xml:space="preserve">Mabo [No. 2]) </w:t>
      </w:r>
      <w:r w:rsidRPr="00121E74">
        <w:t>are not ‘aliens’ for the purposes of the aliens power in the Constitution, even if they are not Australian citizens.</w:t>
      </w:r>
    </w:p>
    <w:p w14:paraId="10EBB65F" w14:textId="63A72592" w:rsidR="00121E74" w:rsidRPr="00121E74" w:rsidRDefault="00121E74" w:rsidP="00482503">
      <w:pPr>
        <w:pStyle w:val="Quote"/>
      </w:pPr>
      <w:r w:rsidRPr="00121E74">
        <w:t>An</w:t>
      </w:r>
      <w:r w:rsidRPr="00121E74">
        <w:rPr>
          <w:spacing w:val="-2"/>
        </w:rPr>
        <w:t xml:space="preserve"> </w:t>
      </w:r>
      <w:r w:rsidRPr="00121E74">
        <w:t>individual</w:t>
      </w:r>
      <w:r w:rsidRPr="00121E74">
        <w:rPr>
          <w:spacing w:val="-2"/>
        </w:rPr>
        <w:t xml:space="preserve"> </w:t>
      </w:r>
      <w:r w:rsidRPr="00121E74">
        <w:t>who</w:t>
      </w:r>
      <w:r w:rsidRPr="00121E74">
        <w:rPr>
          <w:spacing w:val="-2"/>
        </w:rPr>
        <w:t xml:space="preserve"> </w:t>
      </w:r>
      <w:r w:rsidRPr="00121E74">
        <w:t>is</w:t>
      </w:r>
      <w:r w:rsidRPr="00121E74">
        <w:rPr>
          <w:spacing w:val="-3"/>
        </w:rPr>
        <w:t xml:space="preserve"> </w:t>
      </w:r>
      <w:r w:rsidRPr="00121E74">
        <w:t>not</w:t>
      </w:r>
      <w:r w:rsidRPr="00121E74">
        <w:rPr>
          <w:spacing w:val="-3"/>
        </w:rPr>
        <w:t xml:space="preserve"> </w:t>
      </w:r>
      <w:r w:rsidRPr="00121E74">
        <w:t>an</w:t>
      </w:r>
      <w:r w:rsidRPr="00121E74">
        <w:rPr>
          <w:spacing w:val="-2"/>
        </w:rPr>
        <w:t xml:space="preserve"> </w:t>
      </w:r>
      <w:r w:rsidRPr="00121E74">
        <w:t>Australian</w:t>
      </w:r>
      <w:r w:rsidRPr="00121E74">
        <w:rPr>
          <w:spacing w:val="-2"/>
        </w:rPr>
        <w:t xml:space="preserve"> </w:t>
      </w:r>
      <w:r w:rsidRPr="00121E74">
        <w:t>citizen</w:t>
      </w:r>
      <w:r w:rsidRPr="00121E74">
        <w:rPr>
          <w:spacing w:val="-2"/>
        </w:rPr>
        <w:t xml:space="preserve"> </w:t>
      </w:r>
      <w:r w:rsidRPr="00121E74">
        <w:t>and</w:t>
      </w:r>
      <w:r w:rsidRPr="00121E74">
        <w:rPr>
          <w:spacing w:val="-2"/>
        </w:rPr>
        <w:t xml:space="preserve"> </w:t>
      </w:r>
      <w:r w:rsidRPr="00121E74">
        <w:t>meets</w:t>
      </w:r>
      <w:r w:rsidRPr="00121E74">
        <w:rPr>
          <w:spacing w:val="-2"/>
        </w:rPr>
        <w:t xml:space="preserve"> </w:t>
      </w:r>
      <w:r w:rsidRPr="00121E74">
        <w:t>the</w:t>
      </w:r>
      <w:r w:rsidRPr="00121E74">
        <w:rPr>
          <w:spacing w:val="-2"/>
        </w:rPr>
        <w:t xml:space="preserve"> </w:t>
      </w:r>
      <w:r w:rsidRPr="00121E74">
        <w:t>tripartite</w:t>
      </w:r>
      <w:r w:rsidRPr="00121E74">
        <w:rPr>
          <w:spacing w:val="-2"/>
        </w:rPr>
        <w:t xml:space="preserve"> </w:t>
      </w:r>
      <w:r w:rsidRPr="00121E74">
        <w:t>test</w:t>
      </w:r>
      <w:r w:rsidRPr="00121E74">
        <w:rPr>
          <w:spacing w:val="-2"/>
        </w:rPr>
        <w:t xml:space="preserve"> </w:t>
      </w:r>
      <w:r w:rsidRPr="00121E74">
        <w:t>as</w:t>
      </w:r>
      <w:r w:rsidRPr="00121E74">
        <w:rPr>
          <w:spacing w:val="-2"/>
        </w:rPr>
        <w:t xml:space="preserve"> </w:t>
      </w:r>
      <w:r w:rsidRPr="00121E74">
        <w:t>established</w:t>
      </w:r>
      <w:r w:rsidRPr="00121E74">
        <w:rPr>
          <w:spacing w:val="-2"/>
        </w:rPr>
        <w:t xml:space="preserve"> </w:t>
      </w:r>
      <w:r w:rsidRPr="00121E74">
        <w:t>in</w:t>
      </w:r>
      <w:r w:rsidRPr="00121E74">
        <w:rPr>
          <w:spacing w:val="-2"/>
        </w:rPr>
        <w:t xml:space="preserve"> </w:t>
      </w:r>
      <w:r w:rsidRPr="00121E74">
        <w:rPr>
          <w:i/>
        </w:rPr>
        <w:t>Mabo</w:t>
      </w:r>
      <w:r w:rsidRPr="00121E74">
        <w:rPr>
          <w:i/>
          <w:spacing w:val="-2"/>
        </w:rPr>
        <w:t xml:space="preserve"> </w:t>
      </w:r>
      <w:r w:rsidRPr="00121E74">
        <w:rPr>
          <w:i/>
        </w:rPr>
        <w:t>[No.</w:t>
      </w:r>
      <w:r w:rsidRPr="00121E74">
        <w:rPr>
          <w:i/>
          <w:spacing w:val="-3"/>
        </w:rPr>
        <w:t xml:space="preserve"> </w:t>
      </w:r>
      <w:r w:rsidRPr="00121E74">
        <w:rPr>
          <w:i/>
        </w:rPr>
        <w:t>2],</w:t>
      </w:r>
      <w:r w:rsidRPr="00121E74">
        <w:rPr>
          <w:i/>
          <w:spacing w:val="-2"/>
        </w:rPr>
        <w:t xml:space="preserve"> </w:t>
      </w:r>
      <w:r w:rsidRPr="00121E74">
        <w:t>will not be held in immigration detention or removed from Australia.</w:t>
      </w:r>
    </w:p>
    <w:p w14:paraId="0F15CFDB" w14:textId="59D86DC6" w:rsidR="00121E74" w:rsidRPr="00121E74" w:rsidRDefault="00121E74" w:rsidP="00482503">
      <w:pPr>
        <w:pStyle w:val="Quote"/>
      </w:pPr>
      <w:r w:rsidRPr="00121E74">
        <w:t xml:space="preserve">For the purposes of administering the Migration Act, the Department considers the claims and evidence provided by anyone who is not an </w:t>
      </w:r>
      <w:r w:rsidRPr="00121E74">
        <w:lastRenderedPageBreak/>
        <w:t>Australian citizen and who claims to be an Aboriginal or Torres Strait Islander</w:t>
      </w:r>
      <w:r w:rsidRPr="00121E74">
        <w:rPr>
          <w:spacing w:val="-4"/>
        </w:rPr>
        <w:t xml:space="preserve"> </w:t>
      </w:r>
      <w:r w:rsidRPr="00121E74">
        <w:t>person.</w:t>
      </w:r>
      <w:r w:rsidRPr="00121E74">
        <w:rPr>
          <w:spacing w:val="-3"/>
        </w:rPr>
        <w:t xml:space="preserve"> </w:t>
      </w:r>
      <w:r w:rsidRPr="00121E74">
        <w:t>The</w:t>
      </w:r>
      <w:r w:rsidRPr="00121E74">
        <w:rPr>
          <w:spacing w:val="-3"/>
        </w:rPr>
        <w:t xml:space="preserve"> </w:t>
      </w:r>
      <w:r w:rsidRPr="00121E74">
        <w:t>nature</w:t>
      </w:r>
      <w:r w:rsidRPr="00121E74">
        <w:rPr>
          <w:spacing w:val="-3"/>
        </w:rPr>
        <w:t xml:space="preserve"> </w:t>
      </w:r>
      <w:r w:rsidRPr="00121E74">
        <w:t>and</w:t>
      </w:r>
      <w:r w:rsidRPr="00121E74">
        <w:rPr>
          <w:spacing w:val="-3"/>
        </w:rPr>
        <w:t xml:space="preserve"> </w:t>
      </w:r>
      <w:r w:rsidRPr="00121E74">
        <w:t>length</w:t>
      </w:r>
      <w:r w:rsidRPr="00121E74">
        <w:rPr>
          <w:spacing w:val="-3"/>
        </w:rPr>
        <w:t xml:space="preserve"> </w:t>
      </w:r>
      <w:r w:rsidRPr="00121E74">
        <w:t>of</w:t>
      </w:r>
      <w:r w:rsidRPr="00121E74">
        <w:rPr>
          <w:spacing w:val="-4"/>
        </w:rPr>
        <w:t xml:space="preserve"> </w:t>
      </w:r>
      <w:r w:rsidRPr="00121E74">
        <w:t>each</w:t>
      </w:r>
      <w:r w:rsidRPr="00121E74">
        <w:rPr>
          <w:spacing w:val="-3"/>
        </w:rPr>
        <w:t xml:space="preserve"> </w:t>
      </w:r>
      <w:r w:rsidRPr="00121E74">
        <w:t>assessment</w:t>
      </w:r>
      <w:r w:rsidRPr="00121E74">
        <w:rPr>
          <w:spacing w:val="-3"/>
        </w:rPr>
        <w:t xml:space="preserve"> </w:t>
      </w:r>
      <w:r w:rsidRPr="00121E74">
        <w:t>is</w:t>
      </w:r>
      <w:r w:rsidRPr="00121E74">
        <w:rPr>
          <w:spacing w:val="-3"/>
        </w:rPr>
        <w:t xml:space="preserve"> </w:t>
      </w:r>
      <w:r w:rsidRPr="00121E74">
        <w:t>influenced</w:t>
      </w:r>
      <w:r w:rsidRPr="00121E74">
        <w:rPr>
          <w:spacing w:val="-3"/>
        </w:rPr>
        <w:t xml:space="preserve"> </w:t>
      </w:r>
      <w:r w:rsidRPr="00121E74">
        <w:t>by</w:t>
      </w:r>
      <w:r w:rsidRPr="00121E74">
        <w:rPr>
          <w:spacing w:val="-3"/>
        </w:rPr>
        <w:t xml:space="preserve"> </w:t>
      </w:r>
      <w:r w:rsidRPr="00121E74">
        <w:t>the</w:t>
      </w:r>
      <w:r w:rsidRPr="00121E74">
        <w:rPr>
          <w:spacing w:val="-3"/>
        </w:rPr>
        <w:t xml:space="preserve"> </w:t>
      </w:r>
      <w:r w:rsidRPr="00121E74">
        <w:t>necessary</w:t>
      </w:r>
      <w:r w:rsidRPr="00121E74">
        <w:rPr>
          <w:spacing w:val="-3"/>
        </w:rPr>
        <w:t xml:space="preserve"> </w:t>
      </w:r>
      <w:r w:rsidRPr="00121E74">
        <w:t>steps</w:t>
      </w:r>
      <w:r w:rsidRPr="00121E74">
        <w:rPr>
          <w:spacing w:val="-3"/>
        </w:rPr>
        <w:t xml:space="preserve"> </w:t>
      </w:r>
      <w:r w:rsidRPr="00121E74">
        <w:t>required that enable the Department to reach a considered view.</w:t>
      </w:r>
    </w:p>
    <w:p w14:paraId="220B2321" w14:textId="2D8ED2B0" w:rsidR="00121E74" w:rsidRPr="00121E74" w:rsidRDefault="00121E74" w:rsidP="00482503">
      <w:pPr>
        <w:pStyle w:val="Quote"/>
      </w:pPr>
      <w:r w:rsidRPr="00121E74">
        <w:t>The Department ensures that an individual is given a reasonable opportunity to provide information that is relevant</w:t>
      </w:r>
      <w:r w:rsidRPr="00121E74">
        <w:rPr>
          <w:spacing w:val="-3"/>
        </w:rPr>
        <w:t xml:space="preserve"> </w:t>
      </w:r>
      <w:r w:rsidRPr="00121E74">
        <w:t>to</w:t>
      </w:r>
      <w:r w:rsidRPr="00121E74">
        <w:rPr>
          <w:spacing w:val="-2"/>
        </w:rPr>
        <w:t xml:space="preserve"> </w:t>
      </w:r>
      <w:r w:rsidRPr="00121E74">
        <w:t>their</w:t>
      </w:r>
      <w:r w:rsidRPr="00121E74">
        <w:rPr>
          <w:spacing w:val="-3"/>
        </w:rPr>
        <w:t xml:space="preserve"> </w:t>
      </w:r>
      <w:r w:rsidRPr="00121E74">
        <w:t>claims.</w:t>
      </w:r>
      <w:r w:rsidRPr="00121E74">
        <w:rPr>
          <w:spacing w:val="-3"/>
        </w:rPr>
        <w:t xml:space="preserve"> </w:t>
      </w:r>
      <w:r w:rsidRPr="00121E74">
        <w:t>The</w:t>
      </w:r>
      <w:r w:rsidRPr="00121E74">
        <w:rPr>
          <w:spacing w:val="-2"/>
        </w:rPr>
        <w:t xml:space="preserve"> </w:t>
      </w:r>
      <w:r w:rsidRPr="00121E74">
        <w:t>Department</w:t>
      </w:r>
      <w:r w:rsidRPr="00121E74">
        <w:rPr>
          <w:spacing w:val="-2"/>
        </w:rPr>
        <w:t xml:space="preserve"> </w:t>
      </w:r>
      <w:r w:rsidRPr="00121E74">
        <w:t>considers</w:t>
      </w:r>
      <w:r w:rsidRPr="00121E74">
        <w:rPr>
          <w:spacing w:val="-2"/>
        </w:rPr>
        <w:t xml:space="preserve"> </w:t>
      </w:r>
      <w:r w:rsidRPr="00121E74">
        <w:t>any</w:t>
      </w:r>
      <w:r w:rsidRPr="00121E74">
        <w:rPr>
          <w:spacing w:val="-3"/>
        </w:rPr>
        <w:t xml:space="preserve"> </w:t>
      </w:r>
      <w:r w:rsidRPr="00121E74">
        <w:t>new</w:t>
      </w:r>
      <w:r w:rsidRPr="00121E74">
        <w:rPr>
          <w:spacing w:val="-2"/>
        </w:rPr>
        <w:t xml:space="preserve"> </w:t>
      </w:r>
      <w:r w:rsidRPr="00121E74">
        <w:t>information</w:t>
      </w:r>
      <w:r w:rsidRPr="00121E74">
        <w:rPr>
          <w:spacing w:val="-2"/>
        </w:rPr>
        <w:t xml:space="preserve"> </w:t>
      </w:r>
      <w:r w:rsidRPr="00121E74">
        <w:t>as</w:t>
      </w:r>
      <w:r w:rsidRPr="00121E74">
        <w:rPr>
          <w:spacing w:val="-2"/>
        </w:rPr>
        <w:t xml:space="preserve"> </w:t>
      </w:r>
      <w:r w:rsidRPr="00121E74">
        <w:t>a</w:t>
      </w:r>
      <w:r w:rsidRPr="00121E74">
        <w:rPr>
          <w:spacing w:val="-2"/>
        </w:rPr>
        <w:t xml:space="preserve"> </w:t>
      </w:r>
      <w:r w:rsidRPr="00121E74">
        <w:t>matter</w:t>
      </w:r>
      <w:r w:rsidRPr="00121E74">
        <w:rPr>
          <w:spacing w:val="-2"/>
        </w:rPr>
        <w:t xml:space="preserve"> </w:t>
      </w:r>
      <w:r w:rsidRPr="00121E74">
        <w:t>of</w:t>
      </w:r>
      <w:r w:rsidRPr="00121E74">
        <w:rPr>
          <w:spacing w:val="-2"/>
        </w:rPr>
        <w:t xml:space="preserve"> </w:t>
      </w:r>
      <w:r w:rsidRPr="00121E74">
        <w:t>urgency</w:t>
      </w:r>
      <w:r w:rsidRPr="00121E74">
        <w:rPr>
          <w:spacing w:val="-3"/>
        </w:rPr>
        <w:t xml:space="preserve"> </w:t>
      </w:r>
      <w:r w:rsidRPr="00121E74">
        <w:t>and</w:t>
      </w:r>
      <w:r w:rsidRPr="00121E74">
        <w:rPr>
          <w:spacing w:val="-2"/>
        </w:rPr>
        <w:t xml:space="preserve"> </w:t>
      </w:r>
      <w:r w:rsidRPr="00121E74">
        <w:t>whether it might affect any assessments about an individual.</w:t>
      </w:r>
    </w:p>
    <w:p w14:paraId="22D6EDA9" w14:textId="1FDB4097" w:rsidR="00121E74" w:rsidRPr="00121E74" w:rsidRDefault="00121E74" w:rsidP="00482503">
      <w:pPr>
        <w:pStyle w:val="Quote"/>
      </w:pPr>
      <w:r w:rsidRPr="00121E74">
        <w:t>The Department maintains that its review mechanisms regularly consider the necessity of immigration detention and where appropriate, the identification of alternate means of detention or the grant of a visa, including through Ministerial Intervention. The Department undertakes regular review for persons in immigration</w:t>
      </w:r>
      <w:r w:rsidRPr="00121E74">
        <w:rPr>
          <w:spacing w:val="-3"/>
        </w:rPr>
        <w:t xml:space="preserve"> </w:t>
      </w:r>
      <w:r w:rsidRPr="00121E74">
        <w:t>detention</w:t>
      </w:r>
      <w:r w:rsidRPr="00121E74">
        <w:rPr>
          <w:spacing w:val="-3"/>
        </w:rPr>
        <w:t xml:space="preserve"> </w:t>
      </w:r>
      <w:r w:rsidRPr="00121E74">
        <w:t>to</w:t>
      </w:r>
      <w:r w:rsidRPr="00121E74">
        <w:rPr>
          <w:spacing w:val="-6"/>
        </w:rPr>
        <w:t xml:space="preserve"> </w:t>
      </w:r>
      <w:r w:rsidRPr="00121E74">
        <w:t>ensure</w:t>
      </w:r>
      <w:r w:rsidRPr="00121E74">
        <w:rPr>
          <w:spacing w:val="-5"/>
        </w:rPr>
        <w:t xml:space="preserve"> </w:t>
      </w:r>
      <w:r w:rsidRPr="00121E74">
        <w:t>the</w:t>
      </w:r>
      <w:r w:rsidRPr="00121E74">
        <w:rPr>
          <w:spacing w:val="-5"/>
        </w:rPr>
        <w:t xml:space="preserve"> </w:t>
      </w:r>
      <w:r w:rsidRPr="00121E74">
        <w:t>most</w:t>
      </w:r>
      <w:r w:rsidRPr="00121E74">
        <w:rPr>
          <w:spacing w:val="-7"/>
        </w:rPr>
        <w:t xml:space="preserve"> </w:t>
      </w:r>
      <w:r w:rsidRPr="00121E74">
        <w:t>appropriate</w:t>
      </w:r>
      <w:r w:rsidRPr="00121E74">
        <w:rPr>
          <w:spacing w:val="-6"/>
        </w:rPr>
        <w:t xml:space="preserve"> </w:t>
      </w:r>
      <w:r w:rsidRPr="00121E74">
        <w:t>placement</w:t>
      </w:r>
      <w:r w:rsidRPr="00121E74">
        <w:rPr>
          <w:spacing w:val="-6"/>
        </w:rPr>
        <w:t xml:space="preserve"> </w:t>
      </w:r>
      <w:r w:rsidRPr="00121E74">
        <w:t>to</w:t>
      </w:r>
      <w:r w:rsidRPr="00121E74">
        <w:rPr>
          <w:spacing w:val="-6"/>
        </w:rPr>
        <w:t xml:space="preserve"> </w:t>
      </w:r>
      <w:r w:rsidRPr="00121E74">
        <w:t>manage</w:t>
      </w:r>
      <w:r w:rsidRPr="00121E74">
        <w:rPr>
          <w:spacing w:val="-6"/>
        </w:rPr>
        <w:t xml:space="preserve"> </w:t>
      </w:r>
      <w:r w:rsidRPr="00121E74">
        <w:t>their</w:t>
      </w:r>
      <w:r w:rsidRPr="00121E74">
        <w:rPr>
          <w:spacing w:val="-5"/>
        </w:rPr>
        <w:t xml:space="preserve"> </w:t>
      </w:r>
      <w:r w:rsidRPr="00121E74">
        <w:t>health</w:t>
      </w:r>
      <w:r w:rsidRPr="00121E74">
        <w:rPr>
          <w:spacing w:val="-5"/>
        </w:rPr>
        <w:t xml:space="preserve"> </w:t>
      </w:r>
      <w:r w:rsidRPr="00121E74">
        <w:t>and</w:t>
      </w:r>
      <w:r w:rsidRPr="00121E74">
        <w:rPr>
          <w:spacing w:val="-3"/>
        </w:rPr>
        <w:t xml:space="preserve"> </w:t>
      </w:r>
      <w:r w:rsidRPr="00121E74">
        <w:t>welfare,</w:t>
      </w:r>
      <w:r w:rsidRPr="00121E74">
        <w:rPr>
          <w:spacing w:val="-7"/>
        </w:rPr>
        <w:t xml:space="preserve"> </w:t>
      </w:r>
      <w:r w:rsidRPr="00121E74">
        <w:t>and</w:t>
      </w:r>
      <w:r w:rsidRPr="00121E74">
        <w:rPr>
          <w:spacing w:val="-6"/>
        </w:rPr>
        <w:t xml:space="preserve"> </w:t>
      </w:r>
      <w:r w:rsidRPr="00121E74">
        <w:t>to manage the resolution of their immigration status.</w:t>
      </w:r>
    </w:p>
    <w:p w14:paraId="77E63C51" w14:textId="0EF606EB" w:rsidR="00121E74" w:rsidRPr="00121E74" w:rsidRDefault="00121E74" w:rsidP="00482503">
      <w:pPr>
        <w:pStyle w:val="Quote"/>
      </w:pPr>
      <w:r w:rsidRPr="00121E74">
        <w:t xml:space="preserve">If an individual claims to be affected by the </w:t>
      </w:r>
      <w:r w:rsidRPr="00121E74">
        <w:rPr>
          <w:i/>
        </w:rPr>
        <w:t xml:space="preserve">Love </w:t>
      </w:r>
      <w:r w:rsidRPr="00121E74">
        <w:t>High Court decision and their claims are being assessed against the tripartite test, it is open to the individual to lodge a request for Ministerial Intervention consideration. Alternatively, the individual may fall in scope of the Detention Status Resolution Review (discussed at recommendation 4) and would be referred for Ministerial Intervention consideration through this</w:t>
      </w:r>
      <w:r w:rsidRPr="00121E74">
        <w:rPr>
          <w:spacing w:val="-2"/>
        </w:rPr>
        <w:t xml:space="preserve"> </w:t>
      </w:r>
      <w:r w:rsidRPr="00121E74">
        <w:t>review.</w:t>
      </w:r>
      <w:r w:rsidRPr="00121E74">
        <w:rPr>
          <w:spacing w:val="-3"/>
        </w:rPr>
        <w:t xml:space="preserve"> </w:t>
      </w:r>
      <w:r w:rsidRPr="00121E74">
        <w:t>In</w:t>
      </w:r>
      <w:r w:rsidRPr="00121E74">
        <w:rPr>
          <w:spacing w:val="-2"/>
        </w:rPr>
        <w:t xml:space="preserve"> </w:t>
      </w:r>
      <w:r w:rsidRPr="00121E74">
        <w:t>cases</w:t>
      </w:r>
      <w:r w:rsidRPr="00121E74">
        <w:rPr>
          <w:spacing w:val="-2"/>
        </w:rPr>
        <w:t xml:space="preserve"> </w:t>
      </w:r>
      <w:r w:rsidRPr="00121E74">
        <w:t>that</w:t>
      </w:r>
      <w:r w:rsidRPr="00121E74">
        <w:rPr>
          <w:spacing w:val="-2"/>
        </w:rPr>
        <w:t xml:space="preserve"> </w:t>
      </w:r>
      <w:r w:rsidRPr="00121E74">
        <w:t>are</w:t>
      </w:r>
      <w:r w:rsidRPr="00121E74">
        <w:rPr>
          <w:spacing w:val="-2"/>
        </w:rPr>
        <w:t xml:space="preserve"> </w:t>
      </w:r>
      <w:r w:rsidRPr="00121E74">
        <w:t>referred</w:t>
      </w:r>
      <w:r w:rsidRPr="00121E74">
        <w:rPr>
          <w:spacing w:val="-2"/>
        </w:rPr>
        <w:t xml:space="preserve"> </w:t>
      </w:r>
      <w:r w:rsidRPr="00121E74">
        <w:t>to</w:t>
      </w:r>
      <w:r w:rsidRPr="00121E74">
        <w:rPr>
          <w:spacing w:val="-2"/>
        </w:rPr>
        <w:t xml:space="preserve"> </w:t>
      </w:r>
      <w:r w:rsidRPr="00121E74">
        <w:t>the</w:t>
      </w:r>
      <w:r w:rsidRPr="00121E74">
        <w:rPr>
          <w:spacing w:val="-2"/>
        </w:rPr>
        <w:t xml:space="preserve"> </w:t>
      </w:r>
      <w:r w:rsidRPr="00121E74">
        <w:t>Minister</w:t>
      </w:r>
      <w:r w:rsidRPr="00121E74">
        <w:rPr>
          <w:spacing w:val="-3"/>
        </w:rPr>
        <w:t xml:space="preserve"> </w:t>
      </w:r>
      <w:r w:rsidRPr="00121E74">
        <w:t>where</w:t>
      </w:r>
      <w:r w:rsidRPr="00121E74">
        <w:rPr>
          <w:spacing w:val="-2"/>
        </w:rPr>
        <w:t xml:space="preserve"> </w:t>
      </w:r>
      <w:r w:rsidRPr="00121E74">
        <w:t>an</w:t>
      </w:r>
      <w:r w:rsidRPr="00121E74">
        <w:rPr>
          <w:spacing w:val="-2"/>
        </w:rPr>
        <w:t xml:space="preserve"> </w:t>
      </w:r>
      <w:r w:rsidRPr="00121E74">
        <w:t>assessment</w:t>
      </w:r>
      <w:r w:rsidRPr="00121E74">
        <w:rPr>
          <w:spacing w:val="-3"/>
        </w:rPr>
        <w:t xml:space="preserve"> </w:t>
      </w:r>
      <w:r w:rsidRPr="00121E74">
        <w:t>against</w:t>
      </w:r>
      <w:r w:rsidRPr="00121E74">
        <w:rPr>
          <w:spacing w:val="-2"/>
        </w:rPr>
        <w:t xml:space="preserve"> </w:t>
      </w:r>
      <w:r w:rsidRPr="00121E74">
        <w:t>the</w:t>
      </w:r>
      <w:r w:rsidRPr="00121E74">
        <w:rPr>
          <w:spacing w:val="-2"/>
        </w:rPr>
        <w:t xml:space="preserve"> </w:t>
      </w:r>
      <w:r w:rsidRPr="00121E74">
        <w:t>tripartite</w:t>
      </w:r>
      <w:r w:rsidRPr="00121E74">
        <w:rPr>
          <w:spacing w:val="-2"/>
        </w:rPr>
        <w:t xml:space="preserve"> </w:t>
      </w:r>
      <w:r w:rsidRPr="00121E74">
        <w:t>test</w:t>
      </w:r>
      <w:r w:rsidRPr="00121E74">
        <w:rPr>
          <w:spacing w:val="-2"/>
        </w:rPr>
        <w:t xml:space="preserve"> </w:t>
      </w:r>
      <w:r w:rsidRPr="00121E74">
        <w:t>is</w:t>
      </w:r>
      <w:r w:rsidRPr="00121E74">
        <w:rPr>
          <w:spacing w:val="-2"/>
        </w:rPr>
        <w:t xml:space="preserve"> </w:t>
      </w:r>
      <w:r w:rsidRPr="00121E74">
        <w:t xml:space="preserve">being undertaken, details of the status of that assessment would be included in the submission for the Minister’s </w:t>
      </w:r>
      <w:r w:rsidRPr="00121E74">
        <w:rPr>
          <w:spacing w:val="-2"/>
        </w:rPr>
        <w:t>consideration.</w:t>
      </w:r>
    </w:p>
    <w:p w14:paraId="56A4F71F" w14:textId="77777777" w:rsidR="00121E74" w:rsidRDefault="00121E74" w:rsidP="00482503">
      <w:pPr>
        <w:pStyle w:val="Quote"/>
        <w:rPr>
          <w:spacing w:val="-2"/>
        </w:rPr>
      </w:pPr>
      <w:r w:rsidRPr="00121E74">
        <w:t>Further,</w:t>
      </w:r>
      <w:r w:rsidRPr="00121E74">
        <w:rPr>
          <w:spacing w:val="-2"/>
        </w:rPr>
        <w:t xml:space="preserve"> </w:t>
      </w:r>
      <w:r w:rsidRPr="00121E74">
        <w:t>the</w:t>
      </w:r>
      <w:r w:rsidRPr="00121E74">
        <w:rPr>
          <w:spacing w:val="-2"/>
        </w:rPr>
        <w:t xml:space="preserve"> </w:t>
      </w:r>
      <w:r w:rsidRPr="00121E74">
        <w:t>Alternatives</w:t>
      </w:r>
      <w:r w:rsidRPr="00121E74">
        <w:rPr>
          <w:spacing w:val="-2"/>
        </w:rPr>
        <w:t xml:space="preserve"> </w:t>
      </w:r>
      <w:r w:rsidRPr="00121E74">
        <w:t>to</w:t>
      </w:r>
      <w:r w:rsidRPr="00121E74">
        <w:rPr>
          <w:spacing w:val="-2"/>
        </w:rPr>
        <w:t xml:space="preserve"> </w:t>
      </w:r>
      <w:r w:rsidRPr="00121E74">
        <w:t>Held</w:t>
      </w:r>
      <w:r w:rsidRPr="00121E74">
        <w:rPr>
          <w:spacing w:val="-2"/>
        </w:rPr>
        <w:t xml:space="preserve"> </w:t>
      </w:r>
      <w:r w:rsidRPr="00121E74">
        <w:t>Detention</w:t>
      </w:r>
      <w:r w:rsidRPr="00121E74">
        <w:rPr>
          <w:spacing w:val="-2"/>
        </w:rPr>
        <w:t xml:space="preserve"> </w:t>
      </w:r>
      <w:r w:rsidRPr="00121E74">
        <w:t>model</w:t>
      </w:r>
      <w:r w:rsidRPr="00121E74">
        <w:rPr>
          <w:spacing w:val="-2"/>
        </w:rPr>
        <w:t xml:space="preserve"> </w:t>
      </w:r>
      <w:r w:rsidRPr="00121E74">
        <w:t>is</w:t>
      </w:r>
      <w:r w:rsidRPr="00121E74">
        <w:rPr>
          <w:spacing w:val="-2"/>
        </w:rPr>
        <w:t xml:space="preserve"> </w:t>
      </w:r>
      <w:r w:rsidRPr="00121E74">
        <w:t>being</w:t>
      </w:r>
      <w:r w:rsidRPr="00121E74">
        <w:rPr>
          <w:spacing w:val="-2"/>
        </w:rPr>
        <w:t xml:space="preserve"> </w:t>
      </w:r>
      <w:r w:rsidRPr="00121E74">
        <w:t>considered</w:t>
      </w:r>
      <w:r w:rsidRPr="00121E74">
        <w:rPr>
          <w:spacing w:val="-2"/>
        </w:rPr>
        <w:t xml:space="preserve"> </w:t>
      </w:r>
      <w:r w:rsidRPr="00121E74">
        <w:t>in</w:t>
      </w:r>
      <w:r w:rsidRPr="00121E74">
        <w:rPr>
          <w:spacing w:val="-2"/>
        </w:rPr>
        <w:t xml:space="preserve"> </w:t>
      </w:r>
      <w:r w:rsidRPr="00121E74">
        <w:t>light</w:t>
      </w:r>
      <w:r w:rsidRPr="00121E74">
        <w:rPr>
          <w:spacing w:val="-3"/>
        </w:rPr>
        <w:t xml:space="preserve"> </w:t>
      </w:r>
      <w:r w:rsidRPr="00121E74">
        <w:t>of</w:t>
      </w:r>
      <w:r w:rsidRPr="00121E74">
        <w:rPr>
          <w:spacing w:val="-2"/>
        </w:rPr>
        <w:t xml:space="preserve"> </w:t>
      </w:r>
      <w:r w:rsidRPr="00121E74">
        <w:t>the</w:t>
      </w:r>
      <w:r w:rsidRPr="00121E74">
        <w:rPr>
          <w:spacing w:val="-2"/>
        </w:rPr>
        <w:t xml:space="preserve"> </w:t>
      </w:r>
      <w:r w:rsidRPr="00121E74">
        <w:t>High</w:t>
      </w:r>
      <w:r w:rsidRPr="00121E74">
        <w:rPr>
          <w:spacing w:val="-2"/>
        </w:rPr>
        <w:t xml:space="preserve"> </w:t>
      </w:r>
      <w:r w:rsidRPr="00121E74">
        <w:t>Court</w:t>
      </w:r>
      <w:r w:rsidRPr="00121E74">
        <w:rPr>
          <w:spacing w:val="-3"/>
        </w:rPr>
        <w:t xml:space="preserve"> </w:t>
      </w:r>
      <w:r w:rsidRPr="00121E74">
        <w:t>judgment</w:t>
      </w:r>
      <w:r w:rsidRPr="00121E74">
        <w:rPr>
          <w:spacing w:val="-2"/>
        </w:rPr>
        <w:t xml:space="preserve"> </w:t>
      </w:r>
      <w:r w:rsidRPr="00121E74">
        <w:t xml:space="preserve">in </w:t>
      </w:r>
      <w:r w:rsidRPr="00121E74">
        <w:rPr>
          <w:spacing w:val="-2"/>
        </w:rPr>
        <w:t>NZYQ.</w:t>
      </w:r>
    </w:p>
    <w:p w14:paraId="439D5A17" w14:textId="77777777" w:rsidR="00192120" w:rsidRPr="00192120" w:rsidRDefault="00192120" w:rsidP="00192120"/>
    <w:p w14:paraId="1270292D" w14:textId="1DB5BC59" w:rsidR="00B41C71" w:rsidRDefault="00121E74" w:rsidP="00121E74">
      <w:pPr>
        <w:pStyle w:val="SubmissionNormal"/>
      </w:pPr>
      <w:r>
        <w:t>I report accordingly to the Attorney-General.</w:t>
      </w:r>
    </w:p>
    <w:p w14:paraId="2C4A5F49" w14:textId="6694FDCF" w:rsidR="00861E69" w:rsidRDefault="00861E69" w:rsidP="00861E69">
      <w:pPr>
        <w:pStyle w:val="ListNumber"/>
        <w:numPr>
          <w:ilvl w:val="0"/>
          <w:numId w:val="0"/>
        </w:numPr>
      </w:pPr>
    </w:p>
    <w:p w14:paraId="3C36450B" w14:textId="6CDC0ED5" w:rsidR="00861E69" w:rsidRPr="00844839" w:rsidRDefault="00844839" w:rsidP="00844839">
      <w:pPr>
        <w:pStyle w:val="ListNumber"/>
        <w:numPr>
          <w:ilvl w:val="0"/>
          <w:numId w:val="0"/>
        </w:numPr>
      </w:pPr>
      <w:r>
        <w:rPr>
          <w:noProof/>
        </w:rPr>
        <w:drawing>
          <wp:inline distT="0" distB="0" distL="0" distR="0" wp14:anchorId="009E27D6" wp14:editId="5F39ECD0">
            <wp:extent cx="2508727" cy="742656"/>
            <wp:effectExtent l="0" t="0" r="0" b="0"/>
            <wp:docPr id="1690368990" name="Picture 1690368990" descr="A signature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0368990" name="Picture 1690368990" descr="A signature on a white background&#10;&#10;AI-generated content may be incorrect."/>
                    <pic:cNvPicPr/>
                  </pic:nvPicPr>
                  <pic:blipFill>
                    <a:blip r:embed="rId18">
                      <a:extLst>
                        <a:ext uri="{28A0092B-C50C-407E-A947-70E740481C1C}">
                          <a14:useLocalDpi xmlns:a14="http://schemas.microsoft.com/office/drawing/2010/main" val="0"/>
                        </a:ext>
                      </a:extLst>
                    </a:blip>
                    <a:stretch>
                      <a:fillRect/>
                    </a:stretch>
                  </pic:blipFill>
                  <pic:spPr>
                    <a:xfrm>
                      <a:off x="0" y="0"/>
                      <a:ext cx="2508727" cy="742656"/>
                    </a:xfrm>
                    <a:prstGeom prst="rect">
                      <a:avLst/>
                    </a:prstGeom>
                  </pic:spPr>
                </pic:pic>
              </a:graphicData>
            </a:graphic>
          </wp:inline>
        </w:drawing>
      </w:r>
    </w:p>
    <w:p w14:paraId="09038274" w14:textId="415304C4" w:rsidR="00861E69" w:rsidRPr="000C5540" w:rsidRDefault="00861E69" w:rsidP="00861E69">
      <w:pPr>
        <w:contextualSpacing/>
        <w:rPr>
          <w:rFonts w:cs="Open Sans"/>
        </w:rPr>
      </w:pPr>
      <w:r>
        <w:rPr>
          <w:rFonts w:cs="Open Sans"/>
        </w:rPr>
        <w:t>Hugh de Kretser</w:t>
      </w:r>
    </w:p>
    <w:p w14:paraId="66B04C3E" w14:textId="77777777" w:rsidR="00861E69" w:rsidRPr="000C5540" w:rsidRDefault="00861E69" w:rsidP="00861E69">
      <w:pPr>
        <w:contextualSpacing/>
        <w:rPr>
          <w:rFonts w:cs="Open Sans"/>
        </w:rPr>
      </w:pPr>
      <w:r w:rsidRPr="000C5540">
        <w:rPr>
          <w:rFonts w:cs="Open Sans"/>
          <w:b/>
        </w:rPr>
        <w:t>President</w:t>
      </w:r>
      <w:r w:rsidRPr="000C5540">
        <w:rPr>
          <w:rFonts w:cs="Open Sans"/>
        </w:rPr>
        <w:t xml:space="preserve"> </w:t>
      </w:r>
    </w:p>
    <w:p w14:paraId="1469D7E5" w14:textId="77777777" w:rsidR="00861E69" w:rsidRDefault="00861E69" w:rsidP="00861E69">
      <w:pPr>
        <w:contextualSpacing/>
        <w:rPr>
          <w:rFonts w:cs="Open Sans"/>
        </w:rPr>
      </w:pPr>
      <w:r w:rsidRPr="000C5540">
        <w:rPr>
          <w:rFonts w:cs="Open Sans"/>
        </w:rPr>
        <w:t>Australian Human Rights Commission</w:t>
      </w:r>
    </w:p>
    <w:p w14:paraId="3B8C18D9" w14:textId="4FC27470" w:rsidR="00861E69" w:rsidRDefault="00844839" w:rsidP="00861E69">
      <w:pPr>
        <w:contextualSpacing/>
        <w:rPr>
          <w:rFonts w:cs="Open Sans"/>
        </w:rPr>
      </w:pPr>
      <w:r>
        <w:rPr>
          <w:rFonts w:cs="Open Sans"/>
        </w:rPr>
        <w:t>April</w:t>
      </w:r>
      <w:r w:rsidR="00CE7ABA">
        <w:rPr>
          <w:rFonts w:cs="Open Sans"/>
        </w:rPr>
        <w:t xml:space="preserve"> 2025</w:t>
      </w:r>
    </w:p>
    <w:p w14:paraId="08A22091" w14:textId="77777777" w:rsidR="00861E69" w:rsidRPr="00FD0E8B" w:rsidRDefault="00861E69" w:rsidP="00861E69">
      <w:pPr>
        <w:spacing w:before="0" w:after="0"/>
        <w:rPr>
          <w:rFonts w:cs="Open Sans"/>
        </w:rPr>
      </w:pPr>
      <w:r>
        <w:rPr>
          <w:rFonts w:cs="Open Sans"/>
        </w:rPr>
        <w:br w:type="page"/>
      </w:r>
    </w:p>
    <w:p w14:paraId="2C5D7667" w14:textId="2B7356DB" w:rsidR="00853C00" w:rsidRPr="00853C00" w:rsidRDefault="00861E69" w:rsidP="00853C00">
      <w:pPr>
        <w:pStyle w:val="SubmissionNormal"/>
        <w:numPr>
          <w:ilvl w:val="0"/>
          <w:numId w:val="0"/>
        </w:numPr>
        <w:spacing w:after="0"/>
        <w:ind w:left="720" w:hanging="720"/>
        <w:rPr>
          <w:b/>
          <w:bCs/>
        </w:rPr>
      </w:pPr>
      <w:r w:rsidRPr="00853C00">
        <w:rPr>
          <w:b/>
          <w:bCs/>
        </w:rPr>
        <w:lastRenderedPageBreak/>
        <w:t>Endnotes</w:t>
      </w:r>
      <w:bookmarkEnd w:id="2"/>
      <w:bookmarkEnd w:id="3"/>
      <w:bookmarkEnd w:id="4"/>
    </w:p>
    <w:sectPr w:rsidR="00853C00" w:rsidRPr="00853C00" w:rsidSect="001425F1">
      <w:headerReference w:type="even" r:id="rId19"/>
      <w:headerReference w:type="default" r:id="rId20"/>
      <w:footerReference w:type="even" r:id="rId21"/>
      <w:footerReference w:type="default" r:id="rId22"/>
      <w:headerReference w:type="first" r:id="rId23"/>
      <w:footerReference w:type="first" r:id="rId24"/>
      <w:endnotePr>
        <w:numFmt w:val="decimal"/>
      </w:endnotePr>
      <w:pgSz w:w="11906" w:h="16838" w:code="9"/>
      <w:pgMar w:top="1134" w:right="1418" w:bottom="1134" w:left="1418" w:header="907" w:footer="283"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15D9FB" w14:textId="77777777" w:rsidR="00936DD8" w:rsidRDefault="00936DD8" w:rsidP="00F14C6D">
      <w:r>
        <w:separator/>
      </w:r>
    </w:p>
  </w:endnote>
  <w:endnote w:type="continuationSeparator" w:id="0">
    <w:p w14:paraId="0B926B98" w14:textId="77777777" w:rsidR="00936DD8" w:rsidRDefault="00936DD8" w:rsidP="00F14C6D">
      <w:r>
        <w:continuationSeparator/>
      </w:r>
    </w:p>
  </w:endnote>
  <w:endnote w:type="continuationNotice" w:id="1">
    <w:p w14:paraId="40C27752" w14:textId="77777777" w:rsidR="00936DD8" w:rsidRDefault="00936DD8">
      <w:pPr>
        <w:spacing w:before="0" w:after="0"/>
      </w:pPr>
    </w:p>
  </w:endnote>
  <w:endnote w:id="2">
    <w:p w14:paraId="52C77007" w14:textId="77777777" w:rsidR="0032451D" w:rsidRPr="007659A0" w:rsidRDefault="0032451D" w:rsidP="0032451D">
      <w:pPr>
        <w:pStyle w:val="EndnoteText"/>
        <w:rPr>
          <w:lang w:val="en-US"/>
        </w:rPr>
      </w:pPr>
      <w:r w:rsidRPr="007659A0">
        <w:rPr>
          <w:rStyle w:val="EndnoteReference"/>
          <w:rFonts w:cs="Open Sans"/>
        </w:rPr>
        <w:endnoteRef/>
      </w:r>
      <w:r w:rsidRPr="007659A0">
        <w:t xml:space="preserve"> </w:t>
      </w:r>
      <w:r w:rsidRPr="007659A0">
        <w:rPr>
          <w:lang w:val="en-US"/>
        </w:rPr>
        <w:tab/>
      </w:r>
      <w:r w:rsidRPr="007659A0">
        <w:t>Opened for signature 16 December 1966, 999 UNTS 171 (entered into force 23 March 1976), [1980] ATS 23 (entered into force for Australia 13 November 1980).</w:t>
      </w:r>
    </w:p>
  </w:endnote>
  <w:endnote w:id="3">
    <w:p w14:paraId="4821AAB0" w14:textId="77777777" w:rsidR="0032451D" w:rsidRDefault="0032451D" w:rsidP="0032451D">
      <w:pPr>
        <w:pStyle w:val="EndnoteText"/>
      </w:pPr>
      <w:r>
        <w:rPr>
          <w:rStyle w:val="EndnoteReference"/>
        </w:rPr>
        <w:endnoteRef/>
      </w:r>
      <w:r>
        <w:t xml:space="preserve"> </w:t>
      </w:r>
      <w:r>
        <w:tab/>
      </w:r>
      <w:r>
        <w:rPr>
          <w:i/>
          <w:iCs/>
        </w:rPr>
        <w:t xml:space="preserve">NZYQ v Minister for Immigration, Citizenship and Multicultural Affairs </w:t>
      </w:r>
      <w:r>
        <w:t>(2023) 97 ALJR 1005.</w:t>
      </w:r>
    </w:p>
  </w:endnote>
  <w:endnote w:id="4">
    <w:p w14:paraId="4E9DFC3A" w14:textId="77777777" w:rsidR="0032451D" w:rsidRPr="00130143" w:rsidRDefault="0032451D" w:rsidP="0032451D">
      <w:pPr>
        <w:pStyle w:val="EndnoteText"/>
      </w:pPr>
      <w:r w:rsidRPr="00D8274F">
        <w:rPr>
          <w:rStyle w:val="EndnoteReference"/>
          <w:rFonts w:cs="Open Sans"/>
        </w:rPr>
        <w:endnoteRef/>
      </w:r>
      <w:r w:rsidRPr="00130143">
        <w:t xml:space="preserve"> </w:t>
      </w:r>
      <w:r w:rsidRPr="00130143">
        <w:tab/>
        <w:t xml:space="preserve">Migration Act 1958 (Cth) sections 501(6)(a) and 501(7)(c). </w:t>
      </w:r>
    </w:p>
  </w:endnote>
  <w:endnote w:id="5">
    <w:p w14:paraId="1DE21231" w14:textId="77777777" w:rsidR="0032451D" w:rsidRPr="0073609D" w:rsidRDefault="0032451D" w:rsidP="0032451D">
      <w:pPr>
        <w:pStyle w:val="EndnoteText"/>
      </w:pPr>
      <w:r>
        <w:rPr>
          <w:rStyle w:val="EndnoteReference"/>
        </w:rPr>
        <w:endnoteRef/>
      </w:r>
      <w:r>
        <w:t xml:space="preserve"> </w:t>
      </w:r>
      <w:r>
        <w:tab/>
      </w:r>
      <w:r>
        <w:rPr>
          <w:i/>
          <w:iCs/>
        </w:rPr>
        <w:t xml:space="preserve">Migration Act 1958 (Cth) </w:t>
      </w:r>
      <w:r>
        <w:t>sections 189(1) and 198.</w:t>
      </w:r>
    </w:p>
  </w:endnote>
  <w:endnote w:id="6">
    <w:p w14:paraId="04E0A278" w14:textId="77777777" w:rsidR="0032451D" w:rsidRPr="003E3B2E" w:rsidRDefault="0032451D" w:rsidP="0032451D">
      <w:pPr>
        <w:pStyle w:val="EndnoteText"/>
      </w:pPr>
      <w:r>
        <w:rPr>
          <w:rStyle w:val="EndnoteReference"/>
        </w:rPr>
        <w:endnoteRef/>
      </w:r>
      <w:r>
        <w:t xml:space="preserve"> </w:t>
      </w:r>
      <w:r>
        <w:tab/>
      </w:r>
      <w:r>
        <w:rPr>
          <w:i/>
          <w:iCs/>
        </w:rPr>
        <w:t xml:space="preserve">Kuster v Minister for Immigration, Citizenship, Migrant Services and Multicultural Affairs </w:t>
      </w:r>
      <w:r>
        <w:t>[2021] FCA 1462.</w:t>
      </w:r>
    </w:p>
  </w:endnote>
  <w:endnote w:id="7">
    <w:p w14:paraId="38C57FB4" w14:textId="77777777" w:rsidR="0032451D" w:rsidRDefault="0032451D" w:rsidP="0032451D">
      <w:pPr>
        <w:pStyle w:val="EndnoteText"/>
      </w:pPr>
      <w:r>
        <w:rPr>
          <w:rStyle w:val="EndnoteReference"/>
        </w:rPr>
        <w:endnoteRef/>
      </w:r>
      <w:r>
        <w:t xml:space="preserve"> </w:t>
      </w:r>
      <w:r>
        <w:tab/>
        <w:t>UN Doc A/HRC/WGAD/2023/14 (2023).</w:t>
      </w:r>
    </w:p>
  </w:endnote>
  <w:endnote w:id="8">
    <w:p w14:paraId="0BC0F961" w14:textId="6E0C4F9A" w:rsidR="0032451D" w:rsidRDefault="0032451D" w:rsidP="0032451D">
      <w:pPr>
        <w:pStyle w:val="EndnoteText"/>
      </w:pPr>
      <w:r>
        <w:rPr>
          <w:rStyle w:val="EndnoteReference"/>
        </w:rPr>
        <w:endnoteRef/>
      </w:r>
      <w:r>
        <w:t xml:space="preserve"> </w:t>
      </w:r>
      <w:r>
        <w:tab/>
        <w:t>Ibid, 10 [74].</w:t>
      </w:r>
    </w:p>
  </w:endnote>
  <w:endnote w:id="9">
    <w:p w14:paraId="052BC1AD" w14:textId="7F4572EE" w:rsidR="0032451D" w:rsidRDefault="0032451D" w:rsidP="0032451D">
      <w:pPr>
        <w:pStyle w:val="EndnoteText"/>
      </w:pPr>
      <w:r>
        <w:rPr>
          <w:rStyle w:val="EndnoteReference"/>
        </w:rPr>
        <w:endnoteRef/>
      </w:r>
      <w:r>
        <w:t xml:space="preserve"> </w:t>
      </w:r>
      <w:r>
        <w:tab/>
        <w:t>Ibid, 14 [99].</w:t>
      </w:r>
    </w:p>
  </w:endnote>
  <w:endnote w:id="10">
    <w:p w14:paraId="7AB1CF9A" w14:textId="63C0E360" w:rsidR="0032451D" w:rsidRDefault="0032451D" w:rsidP="0032451D">
      <w:pPr>
        <w:pStyle w:val="EndnoteText"/>
      </w:pPr>
      <w:r>
        <w:rPr>
          <w:rStyle w:val="EndnoteReference"/>
        </w:rPr>
        <w:endnoteRef/>
      </w:r>
      <w:r>
        <w:t xml:space="preserve"> </w:t>
      </w:r>
      <w:r>
        <w:tab/>
        <w:t>Ibid,</w:t>
      </w:r>
      <w:r w:rsidR="00636314">
        <w:t xml:space="preserve"> </w:t>
      </w:r>
      <w:r>
        <w:t>14 [96].</w:t>
      </w:r>
    </w:p>
  </w:endnote>
  <w:endnote w:id="11">
    <w:p w14:paraId="12764B46" w14:textId="3DD3D9B7" w:rsidR="0032451D" w:rsidRPr="007659A0" w:rsidRDefault="0032451D" w:rsidP="0032451D">
      <w:pPr>
        <w:pStyle w:val="EndnoteText"/>
      </w:pPr>
      <w:r w:rsidRPr="007659A0">
        <w:rPr>
          <w:rStyle w:val="EndnoteReference"/>
          <w:rFonts w:cs="Open Sans"/>
        </w:rPr>
        <w:endnoteRef/>
      </w:r>
      <w:r w:rsidRPr="007659A0">
        <w:t xml:space="preserve"> See </w:t>
      </w:r>
      <w:r w:rsidR="00853C00">
        <w:t>S</w:t>
      </w:r>
      <w:r w:rsidRPr="007659A0">
        <w:t>ecretary, Department of Defence v HREOC, Burgess &amp; Ors (1997) 78 FCR 208.</w:t>
      </w:r>
    </w:p>
  </w:endnote>
  <w:endnote w:id="12">
    <w:p w14:paraId="5F326783" w14:textId="03541F4B" w:rsidR="0032451D" w:rsidRPr="007659A0" w:rsidRDefault="0032451D" w:rsidP="0032451D">
      <w:pPr>
        <w:pStyle w:val="EndnoteText"/>
        <w:rPr>
          <w:rStyle w:val="EndnoteReference"/>
          <w:rFonts w:cs="Open Sans"/>
          <w:i/>
        </w:rPr>
      </w:pPr>
      <w:r w:rsidRPr="007659A0">
        <w:rPr>
          <w:rStyle w:val="EndnoteReference"/>
          <w:rFonts w:cs="Open Sans"/>
        </w:rPr>
        <w:endnoteRef/>
      </w:r>
      <w:r w:rsidRPr="007659A0">
        <w:rPr>
          <w:rStyle w:val="EndnoteReference"/>
          <w:rFonts w:cs="Open Sans"/>
        </w:rPr>
        <w:t xml:space="preserve"> </w:t>
      </w:r>
      <w:r w:rsidRPr="00F70524">
        <w:t xml:space="preserve">The ICCPR is referred to in the definition of ‘human rights’ in s 3(1) of the AHRC Act. </w:t>
      </w:r>
    </w:p>
  </w:endnote>
  <w:endnote w:id="13">
    <w:p w14:paraId="2BB9F770" w14:textId="434A0DDA" w:rsidR="0032451D" w:rsidRPr="007659A0" w:rsidRDefault="0032451D" w:rsidP="0032451D">
      <w:pPr>
        <w:pStyle w:val="EndnoteText"/>
      </w:pPr>
      <w:r w:rsidRPr="007659A0">
        <w:rPr>
          <w:rStyle w:val="EndnoteReference"/>
          <w:rFonts w:cs="Open Sans"/>
        </w:rPr>
        <w:endnoteRef/>
      </w:r>
      <w:r w:rsidRPr="007659A0">
        <w:t xml:space="preserve"> Human Rights Committee, General Comment</w:t>
      </w:r>
      <w:r w:rsidR="000815B0">
        <w:t xml:space="preserve"> No</w:t>
      </w:r>
      <w:r w:rsidRPr="007659A0">
        <w:t xml:space="preserve"> 8 (</w:t>
      </w:r>
      <w:r w:rsidRPr="00F70524">
        <w:t>1982)</w:t>
      </w:r>
      <w:r w:rsidR="006B55A6">
        <w:t>:</w:t>
      </w:r>
      <w:r w:rsidRPr="00F70524">
        <w:t xml:space="preserve"> </w:t>
      </w:r>
      <w:r w:rsidR="00A92C66" w:rsidRPr="00A92C66">
        <w:rPr>
          <w:i/>
          <w:iCs/>
        </w:rPr>
        <w:t>Article 9</w:t>
      </w:r>
      <w:r w:rsidR="00A92C66">
        <w:t xml:space="preserve"> (</w:t>
      </w:r>
      <w:r w:rsidRPr="008D71D1">
        <w:rPr>
          <w:i/>
          <w:iCs/>
        </w:rPr>
        <w:t>Right to liberty and security of persons</w:t>
      </w:r>
      <w:r w:rsidR="00A92C66">
        <w:rPr>
          <w:i/>
          <w:iCs/>
        </w:rPr>
        <w:t>)</w:t>
      </w:r>
      <w:r w:rsidRPr="00F70524">
        <w:t>.</w:t>
      </w:r>
      <w:r w:rsidRPr="007659A0">
        <w:t xml:space="preserve"> </w:t>
      </w:r>
      <w:r w:rsidR="002237B5" w:rsidRPr="001176C7">
        <w:rPr>
          <w:rFonts w:cs="Open Sans"/>
          <w:color w:val="231F20"/>
        </w:rPr>
        <w:t xml:space="preserve">See also </w:t>
      </w:r>
      <w:r w:rsidR="002237B5" w:rsidRPr="001176C7">
        <w:rPr>
          <w:rFonts w:cs="Open Sans"/>
        </w:rPr>
        <w:t xml:space="preserve">Human Rights Committee, </w:t>
      </w:r>
      <w:r w:rsidR="002237B5" w:rsidRPr="001176C7">
        <w:rPr>
          <w:rFonts w:cs="Open Sans"/>
          <w:bCs/>
          <w:i/>
        </w:rPr>
        <w:t>Communication No. 560/1993</w:t>
      </w:r>
      <w:r w:rsidR="002237B5" w:rsidRPr="001176C7">
        <w:rPr>
          <w:rFonts w:cs="Open Sans"/>
          <w:bCs/>
        </w:rPr>
        <w:t>, 59</w:t>
      </w:r>
      <w:r w:rsidR="002237B5" w:rsidRPr="001176C7">
        <w:rPr>
          <w:rFonts w:cs="Open Sans"/>
          <w:bCs/>
          <w:vertAlign w:val="superscript"/>
        </w:rPr>
        <w:t>th</w:t>
      </w:r>
      <w:r w:rsidR="002237B5" w:rsidRPr="001176C7">
        <w:rPr>
          <w:rFonts w:cs="Open Sans"/>
          <w:bCs/>
        </w:rPr>
        <w:t xml:space="preserve"> sess,</w:t>
      </w:r>
      <w:r w:rsidR="002237B5" w:rsidRPr="001176C7">
        <w:rPr>
          <w:rFonts w:cs="Open Sans"/>
          <w:b/>
          <w:bCs/>
        </w:rPr>
        <w:t xml:space="preserve"> </w:t>
      </w:r>
      <w:r w:rsidR="002237B5" w:rsidRPr="001176C7">
        <w:rPr>
          <w:rFonts w:cs="Open Sans"/>
        </w:rPr>
        <w:t>UN</w:t>
      </w:r>
      <w:r w:rsidR="002237B5" w:rsidRPr="001176C7">
        <w:rPr>
          <w:rFonts w:cs="Open Sans"/>
          <w:spacing w:val="-4"/>
        </w:rPr>
        <w:t xml:space="preserve"> </w:t>
      </w:r>
      <w:r w:rsidR="002237B5" w:rsidRPr="001176C7">
        <w:rPr>
          <w:rFonts w:cs="Open Sans"/>
        </w:rPr>
        <w:t>Doc</w:t>
      </w:r>
      <w:r w:rsidR="002237B5" w:rsidRPr="001176C7">
        <w:rPr>
          <w:rFonts w:cs="Open Sans"/>
          <w:spacing w:val="-4"/>
        </w:rPr>
        <w:t xml:space="preserve"> </w:t>
      </w:r>
      <w:r w:rsidR="002237B5" w:rsidRPr="001176C7">
        <w:rPr>
          <w:rFonts w:cs="Open Sans"/>
        </w:rPr>
        <w:t>CCPR/C/59/D/560/1993 (1997) (‘</w:t>
      </w:r>
      <w:r w:rsidR="002237B5" w:rsidRPr="001176C7">
        <w:rPr>
          <w:rFonts w:cs="Open Sans"/>
          <w:i/>
        </w:rPr>
        <w:t>A</w:t>
      </w:r>
      <w:r w:rsidR="002237B5" w:rsidRPr="001176C7">
        <w:rPr>
          <w:rFonts w:cs="Open Sans"/>
          <w:i/>
          <w:spacing w:val="-10"/>
        </w:rPr>
        <w:t xml:space="preserve"> </w:t>
      </w:r>
      <w:r w:rsidR="002237B5" w:rsidRPr="001176C7">
        <w:rPr>
          <w:rFonts w:cs="Open Sans"/>
          <w:i/>
        </w:rPr>
        <w:t>v</w:t>
      </w:r>
      <w:r w:rsidR="002237B5" w:rsidRPr="001176C7">
        <w:rPr>
          <w:rFonts w:cs="Open Sans"/>
          <w:i/>
          <w:spacing w:val="-10"/>
        </w:rPr>
        <w:t xml:space="preserve"> </w:t>
      </w:r>
      <w:r w:rsidR="002237B5" w:rsidRPr="001176C7">
        <w:rPr>
          <w:rFonts w:cs="Open Sans"/>
          <w:i/>
        </w:rPr>
        <w:t>Australia</w:t>
      </w:r>
      <w:r w:rsidR="002237B5" w:rsidRPr="001176C7">
        <w:rPr>
          <w:rFonts w:cs="Open Sans"/>
          <w:spacing w:val="-4"/>
        </w:rPr>
        <w:t xml:space="preserve">’); </w:t>
      </w:r>
      <w:r w:rsidR="002237B5" w:rsidRPr="001176C7">
        <w:rPr>
          <w:rFonts w:cs="Open Sans"/>
        </w:rPr>
        <w:t xml:space="preserve">Human Rights Committee, </w:t>
      </w:r>
      <w:r w:rsidR="002237B5" w:rsidRPr="001176C7">
        <w:rPr>
          <w:rFonts w:cs="Open Sans"/>
          <w:bCs/>
          <w:i/>
          <w:lang w:val="en"/>
        </w:rPr>
        <w:t>Communication No</w:t>
      </w:r>
      <w:r w:rsidR="002237B5">
        <w:rPr>
          <w:rFonts w:cs="Open Sans"/>
          <w:bCs/>
          <w:i/>
          <w:lang w:val="en"/>
        </w:rPr>
        <w:t xml:space="preserve"> </w:t>
      </w:r>
      <w:r w:rsidR="002237B5" w:rsidRPr="001176C7">
        <w:rPr>
          <w:rFonts w:cs="Open Sans"/>
          <w:bCs/>
          <w:i/>
          <w:lang w:val="en"/>
        </w:rPr>
        <w:t>900/1999</w:t>
      </w:r>
      <w:r w:rsidR="002237B5" w:rsidRPr="001176C7">
        <w:rPr>
          <w:rFonts w:cs="Open Sans"/>
          <w:bCs/>
          <w:lang w:val="en"/>
        </w:rPr>
        <w:t>, 67</w:t>
      </w:r>
      <w:r w:rsidR="002237B5" w:rsidRPr="001176C7">
        <w:rPr>
          <w:rFonts w:cs="Open Sans"/>
          <w:bCs/>
          <w:vertAlign w:val="superscript"/>
          <w:lang w:val="en"/>
        </w:rPr>
        <w:t>th</w:t>
      </w:r>
      <w:r w:rsidR="002237B5" w:rsidRPr="001176C7">
        <w:rPr>
          <w:rFonts w:cs="Open Sans"/>
          <w:bCs/>
          <w:lang w:val="en"/>
        </w:rPr>
        <w:t xml:space="preserve"> sess, </w:t>
      </w:r>
      <w:r w:rsidR="002237B5" w:rsidRPr="001176C7">
        <w:rPr>
          <w:rFonts w:cs="Open Sans"/>
        </w:rPr>
        <w:t>UN Doc CCPR/C/76/D/900/1999 (2002)</w:t>
      </w:r>
      <w:r w:rsidR="002237B5" w:rsidRPr="001176C7">
        <w:rPr>
          <w:rFonts w:cs="Open Sans"/>
          <w:i/>
        </w:rPr>
        <w:t xml:space="preserve"> </w:t>
      </w:r>
      <w:r w:rsidR="002237B5" w:rsidRPr="001176C7">
        <w:rPr>
          <w:rFonts w:cs="Open Sans"/>
        </w:rPr>
        <w:t>(‘</w:t>
      </w:r>
      <w:r w:rsidR="002237B5" w:rsidRPr="001176C7">
        <w:rPr>
          <w:rFonts w:cs="Open Sans"/>
          <w:i/>
        </w:rPr>
        <w:t>C v</w:t>
      </w:r>
      <w:r w:rsidR="002237B5" w:rsidRPr="001176C7">
        <w:rPr>
          <w:rFonts w:cs="Open Sans"/>
          <w:i/>
          <w:spacing w:val="-10"/>
        </w:rPr>
        <w:t xml:space="preserve"> </w:t>
      </w:r>
      <w:r w:rsidR="002237B5" w:rsidRPr="001176C7">
        <w:rPr>
          <w:rFonts w:cs="Open Sans"/>
          <w:i/>
        </w:rPr>
        <w:t>Australia</w:t>
      </w:r>
      <w:r w:rsidR="002237B5" w:rsidRPr="001176C7">
        <w:rPr>
          <w:rFonts w:cs="Open Sans"/>
        </w:rPr>
        <w:t>’); Human Rights Committee, Communication No 1014/2001, 78</w:t>
      </w:r>
      <w:r w:rsidR="002237B5" w:rsidRPr="001176C7">
        <w:rPr>
          <w:rFonts w:cs="Open Sans"/>
          <w:vertAlign w:val="superscript"/>
        </w:rPr>
        <w:t>th</w:t>
      </w:r>
      <w:r w:rsidR="002237B5" w:rsidRPr="001176C7">
        <w:rPr>
          <w:rFonts w:cs="Open Sans"/>
        </w:rPr>
        <w:t xml:space="preserve"> sess, CCPR/C/78/D/1014/2001 (2003) (‘</w:t>
      </w:r>
      <w:r w:rsidR="002237B5" w:rsidRPr="001176C7">
        <w:rPr>
          <w:rFonts w:cs="Open Sans"/>
          <w:i/>
        </w:rPr>
        <w:t>Baban v</w:t>
      </w:r>
      <w:r w:rsidR="002237B5" w:rsidRPr="001176C7">
        <w:rPr>
          <w:rFonts w:cs="Open Sans"/>
          <w:i/>
          <w:spacing w:val="-11"/>
        </w:rPr>
        <w:t xml:space="preserve"> </w:t>
      </w:r>
      <w:r w:rsidR="002237B5" w:rsidRPr="001176C7">
        <w:rPr>
          <w:rFonts w:cs="Open Sans"/>
          <w:i/>
        </w:rPr>
        <w:t>Australia</w:t>
      </w:r>
      <w:r w:rsidR="002237B5" w:rsidRPr="001176C7">
        <w:rPr>
          <w:rFonts w:cs="Open Sans"/>
        </w:rPr>
        <w:t>’).</w:t>
      </w:r>
    </w:p>
  </w:endnote>
  <w:endnote w:id="14">
    <w:p w14:paraId="18565E47" w14:textId="4F8977BC" w:rsidR="0032451D" w:rsidRPr="007659A0" w:rsidRDefault="0032451D" w:rsidP="0032451D">
      <w:pPr>
        <w:pStyle w:val="EndnoteText"/>
      </w:pPr>
      <w:r w:rsidRPr="007659A0">
        <w:rPr>
          <w:rStyle w:val="EndnoteReference"/>
          <w:rFonts w:cs="Open Sans"/>
        </w:rPr>
        <w:endnoteRef/>
      </w:r>
      <w:r w:rsidRPr="007659A0">
        <w:t xml:space="preserve"> Human Rights Committee, </w:t>
      </w:r>
      <w:r w:rsidRPr="008667A2">
        <w:rPr>
          <w:i/>
          <w:iCs/>
        </w:rPr>
        <w:t xml:space="preserve">General Comment </w:t>
      </w:r>
      <w:r w:rsidR="008667A2" w:rsidRPr="008667A2">
        <w:rPr>
          <w:i/>
          <w:iCs/>
        </w:rPr>
        <w:t xml:space="preserve">No </w:t>
      </w:r>
      <w:r w:rsidRPr="008667A2">
        <w:rPr>
          <w:i/>
          <w:iCs/>
        </w:rPr>
        <w:t>31</w:t>
      </w:r>
      <w:r w:rsidR="000E63AD">
        <w:t>:</w:t>
      </w:r>
      <w:r w:rsidR="00E014D6">
        <w:t xml:space="preserve"> </w:t>
      </w:r>
      <w:r w:rsidR="00E014D6">
        <w:rPr>
          <w:i/>
          <w:iCs/>
        </w:rPr>
        <w:t>The Nature of the General Legal Obligation Imposed on State Parties to the Covenant</w:t>
      </w:r>
      <w:r w:rsidR="006A328F">
        <w:t>, 80</w:t>
      </w:r>
      <w:r w:rsidR="006A328F" w:rsidRPr="006A328F">
        <w:rPr>
          <w:vertAlign w:val="superscript"/>
        </w:rPr>
        <w:t>th</w:t>
      </w:r>
      <w:r w:rsidR="006A328F">
        <w:t xml:space="preserve"> sess, UN Doc </w:t>
      </w:r>
      <w:r w:rsidR="00FD6ED8">
        <w:t>CCPR/C/21/Rev.1/Add.13 (26 May 2004)</w:t>
      </w:r>
      <w:r w:rsidR="000E63AD">
        <w:t xml:space="preserve"> </w:t>
      </w:r>
      <w:r w:rsidRPr="007659A0">
        <w:t>[6]. See also Joseph, Schultz and Castan ‘The International Covenant on Civil and Political Rights Cases, Materials and Commentary’ (2nd ed, 2004) 308</w:t>
      </w:r>
      <w:r w:rsidR="008E4D72">
        <w:t xml:space="preserve"> </w:t>
      </w:r>
      <w:r w:rsidRPr="007659A0">
        <w:t>[11.10].</w:t>
      </w:r>
    </w:p>
  </w:endnote>
  <w:endnote w:id="15">
    <w:p w14:paraId="446B946C" w14:textId="036ECAD9" w:rsidR="0032451D" w:rsidRPr="002D2E22" w:rsidRDefault="002D2E22" w:rsidP="002D2E22">
      <w:pPr>
        <w:pStyle w:val="EndnoteText"/>
        <w:ind w:hanging="284"/>
        <w:rPr>
          <w:rFonts w:cs="Open Sans"/>
        </w:rPr>
      </w:pPr>
      <w:r>
        <w:t xml:space="preserve">   </w:t>
      </w:r>
      <w:r w:rsidR="0032451D" w:rsidRPr="007659A0">
        <w:rPr>
          <w:rStyle w:val="EndnoteReference"/>
          <w:rFonts w:cs="Open Sans"/>
        </w:rPr>
        <w:endnoteRef/>
      </w:r>
      <w:r w:rsidR="0032451D" w:rsidRPr="007659A0">
        <w:t xml:space="preserve"> </w:t>
      </w:r>
      <w:r w:rsidR="0032451D" w:rsidRPr="007659A0">
        <w:rPr>
          <w:i/>
        </w:rPr>
        <w:t xml:space="preserve">Manga v Attorney-General </w:t>
      </w:r>
      <w:r w:rsidR="0032451D" w:rsidRPr="007659A0">
        <w:t xml:space="preserve">[2000] 2 NZLR 65 at [40]-[42], (Hammond J). </w:t>
      </w:r>
      <w:r w:rsidRPr="001176C7">
        <w:rPr>
          <w:rFonts w:cs="Open Sans"/>
          <w:color w:val="231F20"/>
        </w:rPr>
        <w:t xml:space="preserve">See also the views of the </w:t>
      </w:r>
      <w:r w:rsidRPr="001176C7">
        <w:rPr>
          <w:rFonts w:cs="Open Sans"/>
        </w:rPr>
        <w:t xml:space="preserve">UN Human Rights Committee, </w:t>
      </w:r>
      <w:r w:rsidRPr="001176C7">
        <w:rPr>
          <w:rFonts w:cs="Open Sans"/>
          <w:i/>
          <w:iCs/>
        </w:rPr>
        <w:t>Communication No. 305/1988,</w:t>
      </w:r>
      <w:r w:rsidRPr="001176C7">
        <w:rPr>
          <w:rFonts w:cs="Open Sans"/>
          <w:i/>
          <w:spacing w:val="-3"/>
        </w:rPr>
        <w:t xml:space="preserve"> </w:t>
      </w:r>
      <w:r w:rsidRPr="001176C7">
        <w:rPr>
          <w:rFonts w:cs="Open Sans"/>
          <w:spacing w:val="-3"/>
        </w:rPr>
        <w:t>39</w:t>
      </w:r>
      <w:r w:rsidRPr="001176C7">
        <w:rPr>
          <w:rFonts w:cs="Open Sans"/>
          <w:spacing w:val="-3"/>
          <w:vertAlign w:val="superscript"/>
        </w:rPr>
        <w:t>th</w:t>
      </w:r>
      <w:r w:rsidRPr="001176C7">
        <w:rPr>
          <w:rFonts w:cs="Open Sans"/>
          <w:spacing w:val="-3"/>
        </w:rPr>
        <w:t xml:space="preserve"> sess, </w:t>
      </w:r>
      <w:r w:rsidRPr="001176C7">
        <w:rPr>
          <w:rFonts w:cs="Open Sans"/>
        </w:rPr>
        <w:t>UN Doc CCPR/C/39/D/305/1988 (1990) (‘</w:t>
      </w:r>
      <w:r w:rsidRPr="001176C7">
        <w:rPr>
          <w:rFonts w:cs="Open Sans"/>
          <w:i/>
          <w:spacing w:val="-3"/>
        </w:rPr>
        <w:t xml:space="preserve">Van </w:t>
      </w:r>
      <w:r w:rsidRPr="001176C7">
        <w:rPr>
          <w:rFonts w:cs="Open Sans"/>
          <w:i/>
        </w:rPr>
        <w:t>Alphen v The Netherlands</w:t>
      </w:r>
      <w:r w:rsidRPr="001176C7">
        <w:rPr>
          <w:rFonts w:cs="Open Sans"/>
        </w:rPr>
        <w:t xml:space="preserve">’); </w:t>
      </w:r>
      <w:r w:rsidRPr="001176C7">
        <w:rPr>
          <w:rFonts w:cs="Open Sans"/>
          <w:i/>
        </w:rPr>
        <w:t>A v Australia</w:t>
      </w:r>
      <w:r w:rsidRPr="001176C7">
        <w:rPr>
          <w:rFonts w:cs="Open Sans"/>
          <w:bCs/>
        </w:rPr>
        <w:t>,</w:t>
      </w:r>
      <w:r w:rsidRPr="001176C7">
        <w:rPr>
          <w:rFonts w:cs="Open Sans"/>
          <w:b/>
          <w:bCs/>
        </w:rPr>
        <w:t xml:space="preserve"> </w:t>
      </w:r>
      <w:r w:rsidRPr="001176C7">
        <w:rPr>
          <w:rFonts w:cs="Open Sans"/>
        </w:rPr>
        <w:t>UN</w:t>
      </w:r>
      <w:r w:rsidRPr="001176C7">
        <w:rPr>
          <w:rFonts w:cs="Open Sans"/>
          <w:spacing w:val="-4"/>
        </w:rPr>
        <w:t xml:space="preserve"> </w:t>
      </w:r>
      <w:r w:rsidRPr="001176C7">
        <w:rPr>
          <w:rFonts w:cs="Open Sans"/>
        </w:rPr>
        <w:t>Doc</w:t>
      </w:r>
      <w:r w:rsidRPr="001176C7">
        <w:rPr>
          <w:rFonts w:cs="Open Sans"/>
          <w:spacing w:val="-4"/>
        </w:rPr>
        <w:t xml:space="preserve"> </w:t>
      </w:r>
      <w:r w:rsidRPr="001176C7">
        <w:rPr>
          <w:rFonts w:cs="Open Sans"/>
        </w:rPr>
        <w:t xml:space="preserve">CCPR/C/59/D/560/1993; UN Human Rights Committee, </w:t>
      </w:r>
      <w:r w:rsidRPr="001176C7">
        <w:rPr>
          <w:rFonts w:cs="Open Sans"/>
          <w:bCs/>
          <w:i/>
        </w:rPr>
        <w:t xml:space="preserve">Communication No. 631/1995, </w:t>
      </w:r>
      <w:r w:rsidRPr="001176C7">
        <w:rPr>
          <w:rFonts w:cs="Open Sans"/>
          <w:bCs/>
        </w:rPr>
        <w:t>67</w:t>
      </w:r>
      <w:r w:rsidRPr="001176C7">
        <w:rPr>
          <w:rFonts w:cs="Open Sans"/>
          <w:bCs/>
          <w:vertAlign w:val="superscript"/>
        </w:rPr>
        <w:t>th</w:t>
      </w:r>
      <w:r w:rsidRPr="001176C7">
        <w:rPr>
          <w:rFonts w:cs="Open Sans"/>
          <w:bCs/>
        </w:rPr>
        <w:t xml:space="preserve"> sess,</w:t>
      </w:r>
      <w:r w:rsidRPr="001176C7">
        <w:rPr>
          <w:rFonts w:cs="Open Sans"/>
          <w:b/>
          <w:bCs/>
        </w:rPr>
        <w:t xml:space="preserve"> </w:t>
      </w:r>
      <w:r w:rsidRPr="001176C7">
        <w:rPr>
          <w:rFonts w:cs="Open Sans"/>
        </w:rPr>
        <w:t>UN Doc</w:t>
      </w:r>
      <w:r w:rsidRPr="001176C7">
        <w:rPr>
          <w:rFonts w:cs="Open Sans"/>
          <w:spacing w:val="-24"/>
        </w:rPr>
        <w:t xml:space="preserve"> </w:t>
      </w:r>
      <w:bookmarkStart w:id="28" w:name="_bookmark15"/>
      <w:bookmarkEnd w:id="28"/>
      <w:r w:rsidRPr="001176C7">
        <w:rPr>
          <w:rFonts w:cs="Open Sans"/>
        </w:rPr>
        <w:t>CCPR/C/67/D/631/1995 (1999)</w:t>
      </w:r>
      <w:r w:rsidRPr="001176C7">
        <w:rPr>
          <w:rFonts w:cs="Open Sans"/>
          <w:i/>
        </w:rPr>
        <w:t xml:space="preserve"> </w:t>
      </w:r>
      <w:r w:rsidRPr="001176C7">
        <w:rPr>
          <w:rFonts w:cs="Open Sans"/>
        </w:rPr>
        <w:t>(‘</w:t>
      </w:r>
      <w:r w:rsidRPr="001176C7">
        <w:rPr>
          <w:rFonts w:cs="Open Sans"/>
          <w:i/>
        </w:rPr>
        <w:t>Spakmo</w:t>
      </w:r>
      <w:r w:rsidRPr="001176C7">
        <w:rPr>
          <w:rFonts w:cs="Open Sans"/>
          <w:i/>
          <w:spacing w:val="-3"/>
        </w:rPr>
        <w:t xml:space="preserve"> </w:t>
      </w:r>
      <w:r w:rsidRPr="001176C7">
        <w:rPr>
          <w:rFonts w:cs="Open Sans"/>
          <w:i/>
        </w:rPr>
        <w:t>v</w:t>
      </w:r>
      <w:r w:rsidRPr="001176C7">
        <w:rPr>
          <w:rFonts w:cs="Open Sans"/>
          <w:i/>
          <w:spacing w:val="-3"/>
        </w:rPr>
        <w:t xml:space="preserve"> </w:t>
      </w:r>
      <w:r w:rsidRPr="001176C7">
        <w:rPr>
          <w:rFonts w:cs="Open Sans"/>
          <w:i/>
        </w:rPr>
        <w:t>Norway</w:t>
      </w:r>
      <w:r w:rsidRPr="001176C7">
        <w:rPr>
          <w:rFonts w:cs="Open Sans"/>
        </w:rPr>
        <w:t>’)</w:t>
      </w:r>
      <w:r w:rsidRPr="001176C7">
        <w:rPr>
          <w:rFonts w:cs="Open Sans"/>
          <w:color w:val="231F20"/>
        </w:rPr>
        <w:t>.</w:t>
      </w:r>
    </w:p>
  </w:endnote>
  <w:endnote w:id="16">
    <w:p w14:paraId="6E29C9C6" w14:textId="54FBA97F" w:rsidR="0032451D" w:rsidRPr="007659A0" w:rsidRDefault="0032451D" w:rsidP="0032451D">
      <w:pPr>
        <w:pStyle w:val="EndnoteText"/>
      </w:pPr>
      <w:r w:rsidRPr="007659A0">
        <w:rPr>
          <w:rStyle w:val="EndnoteReference"/>
          <w:rFonts w:cs="Open Sans"/>
        </w:rPr>
        <w:endnoteRef/>
      </w:r>
      <w:r w:rsidRPr="007659A0">
        <w:t xml:space="preserve"> </w:t>
      </w:r>
      <w:r w:rsidRPr="007659A0">
        <w:rPr>
          <w:i/>
        </w:rPr>
        <w:t>A v Australia</w:t>
      </w:r>
      <w:r w:rsidRPr="007659A0">
        <w:t>, Communication No. 900/1993,</w:t>
      </w:r>
      <w:r w:rsidRPr="007659A0">
        <w:rPr>
          <w:i/>
        </w:rPr>
        <w:t xml:space="preserve"> </w:t>
      </w:r>
      <w:r w:rsidRPr="007659A0">
        <w:t>UN Doc CCPR/C/76/D/900/1993</w:t>
      </w:r>
      <w:r w:rsidRPr="007659A0">
        <w:rPr>
          <w:i/>
        </w:rPr>
        <w:t xml:space="preserve"> </w:t>
      </w:r>
      <w:r w:rsidRPr="007659A0">
        <w:t>(1997) (the fact that the author may abscond if released into the community was not a sufficient reason to justify holding the author in immigration detention for four years);</w:t>
      </w:r>
      <w:r w:rsidRPr="007659A0">
        <w:rPr>
          <w:i/>
        </w:rPr>
        <w:t xml:space="preserve"> C v Australia</w:t>
      </w:r>
      <w:r w:rsidRPr="007659A0">
        <w:t>, Communication No. 900/1999, UN Doc CCPR/C/76/D/900/1999 (2002).</w:t>
      </w:r>
    </w:p>
  </w:endnote>
  <w:endnote w:id="17">
    <w:p w14:paraId="542EA943" w14:textId="55A24E65" w:rsidR="0032451D" w:rsidRPr="007659A0" w:rsidRDefault="0032451D" w:rsidP="0032451D">
      <w:pPr>
        <w:pStyle w:val="EndnoteText"/>
      </w:pPr>
      <w:r w:rsidRPr="007659A0">
        <w:rPr>
          <w:rStyle w:val="EndnoteReference"/>
          <w:rFonts w:cs="Open Sans"/>
        </w:rPr>
        <w:endnoteRef/>
      </w:r>
      <w:r w:rsidRPr="007659A0">
        <w:t xml:space="preserve"> United Nations Human Rights Committee,</w:t>
      </w:r>
      <w:r w:rsidRPr="007659A0">
        <w:rPr>
          <w:i/>
        </w:rPr>
        <w:t xml:space="preserve"> Van Alphen v The Netherlands</w:t>
      </w:r>
      <w:r w:rsidRPr="007659A0">
        <w:t>, Communication No. 305/1988, UN Doc CCPR/C/39/D/305/1988 (1990).</w:t>
      </w:r>
    </w:p>
  </w:endnote>
  <w:endnote w:id="18">
    <w:p w14:paraId="1D2064C1" w14:textId="4EA649B0" w:rsidR="0032451D" w:rsidRPr="007659A0" w:rsidRDefault="0032451D" w:rsidP="0032451D">
      <w:pPr>
        <w:pStyle w:val="EndnoteText"/>
      </w:pPr>
      <w:r w:rsidRPr="007659A0">
        <w:rPr>
          <w:rStyle w:val="EndnoteReference"/>
          <w:rFonts w:cs="Open Sans"/>
        </w:rPr>
        <w:endnoteRef/>
      </w:r>
      <w:r w:rsidRPr="007659A0">
        <w:t xml:space="preserve"> United Nations Human Rights Committee, concluding Observations on Switzerland, UN Doc CCPR/A/52/40 (1997) at [100].</w:t>
      </w:r>
    </w:p>
  </w:endnote>
  <w:endnote w:id="19">
    <w:p w14:paraId="7EC60BCA" w14:textId="06E914FB" w:rsidR="0032451D" w:rsidRPr="007659A0" w:rsidRDefault="0032451D" w:rsidP="0032451D">
      <w:pPr>
        <w:pStyle w:val="EndnoteText"/>
      </w:pPr>
      <w:r w:rsidRPr="007659A0">
        <w:rPr>
          <w:rStyle w:val="EndnoteReference"/>
          <w:rFonts w:cs="Open Sans"/>
        </w:rPr>
        <w:endnoteRef/>
      </w:r>
      <w:r w:rsidRPr="007659A0">
        <w:t xml:space="preserve"> </w:t>
      </w:r>
      <w:r w:rsidR="00B74FF1" w:rsidRPr="001176C7">
        <w:rPr>
          <w:rFonts w:cs="Open Sans"/>
          <w:i/>
        </w:rPr>
        <w:t>C v Australia</w:t>
      </w:r>
      <w:r w:rsidR="00B74FF1" w:rsidRPr="001176C7">
        <w:rPr>
          <w:rFonts w:cs="Open Sans"/>
          <w:bCs/>
          <w:lang w:val="en"/>
        </w:rPr>
        <w:t xml:space="preserve">, </w:t>
      </w:r>
      <w:r w:rsidR="00B74FF1" w:rsidRPr="001176C7">
        <w:rPr>
          <w:rFonts w:cs="Open Sans"/>
        </w:rPr>
        <w:t>UN Doc CCPR/C/76/D/900/1999</w:t>
      </w:r>
      <w:r w:rsidR="00B74FF1" w:rsidRPr="001176C7">
        <w:rPr>
          <w:rFonts w:cs="Open Sans"/>
          <w:color w:val="231F20"/>
        </w:rPr>
        <w:t>;</w:t>
      </w:r>
      <w:r w:rsidR="00B74FF1" w:rsidRPr="001176C7">
        <w:rPr>
          <w:rFonts w:cs="Open Sans"/>
        </w:rPr>
        <w:t xml:space="preserve"> UN Human Rights Committee, </w:t>
      </w:r>
      <w:r w:rsidR="00B74FF1" w:rsidRPr="001176C7">
        <w:rPr>
          <w:rFonts w:cs="Open Sans"/>
          <w:bCs/>
          <w:i/>
        </w:rPr>
        <w:t>Communication No 1255,1256,1259,1260,1266,1268,1270,1288/2004</w:t>
      </w:r>
      <w:r w:rsidR="00B74FF1" w:rsidRPr="001176C7">
        <w:rPr>
          <w:rFonts w:cs="Open Sans"/>
          <w:bCs/>
        </w:rPr>
        <w:t>, 90</w:t>
      </w:r>
      <w:r w:rsidR="00B74FF1" w:rsidRPr="001176C7">
        <w:rPr>
          <w:rFonts w:cs="Open Sans"/>
          <w:bCs/>
          <w:vertAlign w:val="superscript"/>
        </w:rPr>
        <w:t>th</w:t>
      </w:r>
      <w:r w:rsidR="00B74FF1" w:rsidRPr="001176C7">
        <w:rPr>
          <w:rFonts w:cs="Open Sans"/>
          <w:bCs/>
        </w:rPr>
        <w:t xml:space="preserve"> sess, </w:t>
      </w:r>
      <w:r w:rsidR="00B74FF1" w:rsidRPr="001176C7">
        <w:rPr>
          <w:rFonts w:cs="Open Sans"/>
        </w:rPr>
        <w:t>UN</w:t>
      </w:r>
      <w:r w:rsidR="00B74FF1" w:rsidRPr="001176C7">
        <w:rPr>
          <w:rFonts w:cs="Open Sans"/>
          <w:spacing w:val="-6"/>
        </w:rPr>
        <w:t xml:space="preserve"> </w:t>
      </w:r>
      <w:r w:rsidR="00B74FF1" w:rsidRPr="001176C7">
        <w:rPr>
          <w:rFonts w:cs="Open Sans"/>
        </w:rPr>
        <w:t>Doc</w:t>
      </w:r>
      <w:r w:rsidR="00B74FF1" w:rsidRPr="001176C7">
        <w:rPr>
          <w:rFonts w:cs="Open Sans"/>
          <w:spacing w:val="-6"/>
        </w:rPr>
        <w:t xml:space="preserve"> </w:t>
      </w:r>
      <w:r w:rsidR="00B74FF1" w:rsidRPr="001176C7">
        <w:rPr>
          <w:rFonts w:cs="Open Sans"/>
        </w:rPr>
        <w:t>CCPR/C/90/D/1255/2004 (2007) (‘</w:t>
      </w:r>
      <w:r w:rsidR="00B74FF1" w:rsidRPr="001176C7">
        <w:rPr>
          <w:rFonts w:cs="Open Sans"/>
          <w:i/>
        </w:rPr>
        <w:t>Shams &amp; Ors v Australia</w:t>
      </w:r>
      <w:r w:rsidR="00B74FF1" w:rsidRPr="001176C7">
        <w:rPr>
          <w:rFonts w:cs="Open Sans"/>
        </w:rPr>
        <w:t xml:space="preserve">’); </w:t>
      </w:r>
      <w:r w:rsidR="00B74FF1" w:rsidRPr="001176C7">
        <w:rPr>
          <w:rFonts w:cs="Open Sans"/>
          <w:i/>
        </w:rPr>
        <w:t>Baban v Australia</w:t>
      </w:r>
      <w:r w:rsidR="00B74FF1" w:rsidRPr="001176C7">
        <w:rPr>
          <w:rFonts w:cs="Open Sans"/>
        </w:rPr>
        <w:t>, CCPR/C/78/D/1014/2001;</w:t>
      </w:r>
      <w:r w:rsidR="00B74FF1" w:rsidRPr="001176C7">
        <w:rPr>
          <w:rFonts w:cs="Open Sans"/>
          <w:i/>
        </w:rPr>
        <w:t xml:space="preserve"> </w:t>
      </w:r>
      <w:r w:rsidR="00B74FF1" w:rsidRPr="001176C7">
        <w:rPr>
          <w:rFonts w:cs="Open Sans"/>
        </w:rPr>
        <w:t xml:space="preserve">UN Human Rights Committee, </w:t>
      </w:r>
      <w:r w:rsidR="00B74FF1" w:rsidRPr="001176C7">
        <w:rPr>
          <w:rFonts w:cs="Open Sans"/>
          <w:bCs/>
          <w:lang w:val="en"/>
        </w:rPr>
        <w:t>Communication No 1050/2002, 87</w:t>
      </w:r>
      <w:r w:rsidR="00B74FF1" w:rsidRPr="001176C7">
        <w:rPr>
          <w:rFonts w:cs="Open Sans"/>
          <w:bCs/>
          <w:vertAlign w:val="superscript"/>
          <w:lang w:val="en"/>
        </w:rPr>
        <w:t>th</w:t>
      </w:r>
      <w:r w:rsidR="00B74FF1" w:rsidRPr="001176C7">
        <w:rPr>
          <w:rFonts w:cs="Open Sans"/>
          <w:bCs/>
          <w:lang w:val="en"/>
        </w:rPr>
        <w:t xml:space="preserve"> sess,</w:t>
      </w:r>
      <w:r w:rsidR="00B74FF1" w:rsidRPr="001176C7">
        <w:rPr>
          <w:rFonts w:cs="Open Sans"/>
          <w:lang w:val="en"/>
        </w:rPr>
        <w:t xml:space="preserve"> </w:t>
      </w:r>
      <w:r w:rsidR="00B74FF1" w:rsidRPr="001176C7">
        <w:rPr>
          <w:rFonts w:cs="Open Sans"/>
        </w:rPr>
        <w:t>CCPR/C/87/D/1050/2002 (2006)</w:t>
      </w:r>
      <w:r w:rsidR="00B74FF1" w:rsidRPr="001176C7">
        <w:rPr>
          <w:rFonts w:cs="Open Sans"/>
          <w:i/>
        </w:rPr>
        <w:t xml:space="preserve"> </w:t>
      </w:r>
      <w:r w:rsidR="00B74FF1" w:rsidRPr="001176C7">
        <w:rPr>
          <w:rFonts w:cs="Open Sans"/>
        </w:rPr>
        <w:t>(‘</w:t>
      </w:r>
      <w:r w:rsidR="00B74FF1" w:rsidRPr="001176C7">
        <w:rPr>
          <w:rFonts w:cs="Open Sans"/>
          <w:i/>
        </w:rPr>
        <w:t>D</w:t>
      </w:r>
      <w:r w:rsidR="00B74FF1" w:rsidRPr="001176C7">
        <w:rPr>
          <w:rFonts w:cs="Open Sans"/>
          <w:i/>
          <w:spacing w:val="-6"/>
        </w:rPr>
        <w:t xml:space="preserve"> </w:t>
      </w:r>
      <w:r w:rsidR="00B74FF1" w:rsidRPr="001176C7">
        <w:rPr>
          <w:rFonts w:cs="Open Sans"/>
          <w:i/>
        </w:rPr>
        <w:t>and E and their two children v</w:t>
      </w:r>
      <w:r w:rsidR="00B74FF1" w:rsidRPr="001176C7">
        <w:rPr>
          <w:rFonts w:cs="Open Sans"/>
          <w:i/>
          <w:spacing w:val="-38"/>
        </w:rPr>
        <w:t xml:space="preserve"> </w:t>
      </w:r>
      <w:r w:rsidR="00B74FF1" w:rsidRPr="001176C7">
        <w:rPr>
          <w:rFonts w:cs="Open Sans"/>
          <w:i/>
        </w:rPr>
        <w:t>Australia</w:t>
      </w:r>
      <w:r w:rsidR="00B74FF1" w:rsidRPr="001176C7">
        <w:rPr>
          <w:rFonts w:cs="Open Sans"/>
        </w:rPr>
        <w:t>’).</w:t>
      </w:r>
    </w:p>
  </w:endnote>
  <w:endnote w:id="20">
    <w:p w14:paraId="0EBF2FC2" w14:textId="44C12D1C" w:rsidR="0032451D" w:rsidRPr="007659A0" w:rsidRDefault="0032451D" w:rsidP="0032451D">
      <w:pPr>
        <w:pStyle w:val="EndnoteText"/>
      </w:pPr>
      <w:r w:rsidRPr="007659A0">
        <w:rPr>
          <w:rStyle w:val="EndnoteReference"/>
          <w:rFonts w:cs="Open Sans"/>
        </w:rPr>
        <w:endnoteRef/>
      </w:r>
      <w:r w:rsidRPr="007659A0">
        <w:t xml:space="preserve"> Human Rights Committee, </w:t>
      </w:r>
      <w:r w:rsidRPr="00F95A8E">
        <w:rPr>
          <w:i/>
          <w:iCs/>
        </w:rPr>
        <w:t xml:space="preserve">General Comment </w:t>
      </w:r>
      <w:r w:rsidR="00F95A8E" w:rsidRPr="00F95A8E">
        <w:rPr>
          <w:i/>
          <w:iCs/>
        </w:rPr>
        <w:t xml:space="preserve">No </w:t>
      </w:r>
      <w:r w:rsidRPr="00F95A8E">
        <w:rPr>
          <w:i/>
          <w:iCs/>
        </w:rPr>
        <w:t>35</w:t>
      </w:r>
      <w:r w:rsidR="00F95A8E">
        <w:t xml:space="preserve">, </w:t>
      </w:r>
      <w:r w:rsidR="003B320F" w:rsidRPr="003B320F">
        <w:rPr>
          <w:i/>
          <w:iCs/>
        </w:rPr>
        <w:t>Arti</w:t>
      </w:r>
      <w:r w:rsidRPr="007659A0">
        <w:rPr>
          <w:i/>
        </w:rPr>
        <w:t>cle 9: Liberty and security of person</w:t>
      </w:r>
      <w:r w:rsidRPr="007659A0">
        <w:t xml:space="preserve">, UN Doc CCPR/C/GC/35 </w:t>
      </w:r>
      <w:r w:rsidR="00CB24C6">
        <w:t>(16 December 2014)</w:t>
      </w:r>
      <w:r w:rsidRPr="007659A0">
        <w:t xml:space="preserve"> [18]. </w:t>
      </w:r>
    </w:p>
  </w:endnote>
  <w:endnote w:id="21">
    <w:p w14:paraId="5797E431" w14:textId="322CF2C0" w:rsidR="0032451D" w:rsidRPr="007659A0" w:rsidRDefault="0032451D" w:rsidP="0032451D">
      <w:pPr>
        <w:pStyle w:val="EndnoteText"/>
        <w:rPr>
          <w:lang w:val="en-US"/>
        </w:rPr>
      </w:pPr>
      <w:r w:rsidRPr="007659A0">
        <w:rPr>
          <w:rStyle w:val="EndnoteReference"/>
          <w:rFonts w:cs="Open Sans"/>
        </w:rPr>
        <w:endnoteRef/>
      </w:r>
      <w:r w:rsidRPr="007659A0">
        <w:t xml:space="preserve"> Human Rights Committee, </w:t>
      </w:r>
      <w:r w:rsidRPr="001B38DE">
        <w:rPr>
          <w:i/>
          <w:iCs/>
        </w:rPr>
        <w:t xml:space="preserve">General Comment </w:t>
      </w:r>
      <w:r w:rsidR="001B38DE" w:rsidRPr="001B38DE">
        <w:rPr>
          <w:i/>
          <w:iCs/>
        </w:rPr>
        <w:t xml:space="preserve">No </w:t>
      </w:r>
      <w:r w:rsidRPr="001B38DE">
        <w:rPr>
          <w:i/>
          <w:iCs/>
        </w:rPr>
        <w:t>31, Nature of the General Legal Obligation Imposed on States Parties to the Covenant</w:t>
      </w:r>
      <w:r w:rsidRPr="007659A0">
        <w:t xml:space="preserve">, </w:t>
      </w:r>
      <w:r w:rsidR="001B38DE">
        <w:t>80</w:t>
      </w:r>
      <w:r w:rsidR="001B38DE" w:rsidRPr="001B38DE">
        <w:rPr>
          <w:vertAlign w:val="superscript"/>
        </w:rPr>
        <w:t>th</w:t>
      </w:r>
      <w:r w:rsidR="001B38DE">
        <w:t xml:space="preserve"> sess, </w:t>
      </w:r>
      <w:r w:rsidRPr="007659A0">
        <w:t>UN Doc CCPR/C/21/Rev.1/Add.13 (26 May 2004) [6].</w:t>
      </w:r>
    </w:p>
  </w:endnote>
  <w:endnote w:id="22">
    <w:p w14:paraId="791A06E9" w14:textId="082F2231" w:rsidR="0032451D" w:rsidRPr="00F63647" w:rsidRDefault="0032451D" w:rsidP="0032451D">
      <w:pPr>
        <w:pStyle w:val="EndnoteText"/>
      </w:pPr>
      <w:r w:rsidRPr="00F63647">
        <w:rPr>
          <w:rStyle w:val="EndnoteReference"/>
          <w:rFonts w:cs="Open Sans"/>
        </w:rPr>
        <w:endnoteRef/>
      </w:r>
      <w:r w:rsidRPr="00F63647">
        <w:t xml:space="preserve"> [2021] AusHRC 141, </w:t>
      </w:r>
      <w:r>
        <w:t>&lt;</w:t>
      </w:r>
      <w:hyperlink r:id="rId1" w:history="1">
        <w:r w:rsidRPr="000B4877">
          <w:rPr>
            <w:rStyle w:val="Hyperlink"/>
            <w:rFonts w:cs="Open Sans"/>
          </w:rPr>
          <w:t>https://humanrights.gov.au/our-work/legal/publications/immigration-detention-following-visa-refusal-or-cancellation-under</w:t>
        </w:r>
      </w:hyperlink>
      <w:r>
        <w:t xml:space="preserve">&gt;, </w:t>
      </w:r>
      <w:r w:rsidRPr="00F63647">
        <w:t>21-24</w:t>
      </w:r>
    </w:p>
  </w:endnote>
  <w:endnote w:id="23">
    <w:p w14:paraId="7688140C" w14:textId="13D335A4" w:rsidR="0032451D" w:rsidRPr="00F63647" w:rsidRDefault="0032451D" w:rsidP="0032451D">
      <w:pPr>
        <w:pStyle w:val="EndnoteText"/>
      </w:pPr>
      <w:r w:rsidRPr="00F63647">
        <w:rPr>
          <w:rStyle w:val="EndnoteReference"/>
          <w:rFonts w:cs="Open Sans"/>
        </w:rPr>
        <w:endnoteRef/>
      </w:r>
      <w:r w:rsidRPr="00F63647">
        <w:t xml:space="preserve"> </w:t>
      </w:r>
      <w:r w:rsidR="00853C00">
        <w:t>[</w:t>
      </w:r>
      <w:r w:rsidRPr="00F63647">
        <w:rPr>
          <w:rFonts w:eastAsia="Calibri"/>
        </w:rPr>
        <w:t>2020] HCA 3.</w:t>
      </w:r>
    </w:p>
  </w:endnote>
  <w:endnote w:id="24">
    <w:p w14:paraId="5D7616DB" w14:textId="28BD7FD1" w:rsidR="0032451D" w:rsidRDefault="0032451D" w:rsidP="0032451D">
      <w:pPr>
        <w:pStyle w:val="EndnoteText"/>
      </w:pPr>
      <w:r>
        <w:rPr>
          <w:rStyle w:val="EndnoteReference"/>
        </w:rPr>
        <w:endnoteRef/>
      </w:r>
      <w:r>
        <w:t xml:space="preserve"> Department of Home Affairs, </w:t>
      </w:r>
      <w:r w:rsidRPr="00236BA1">
        <w:t>PAM3: Act – Compliance and Case Resolution – Case resolution – Minister’s powers – Minister’s detention intervention power</w:t>
      </w:r>
      <w:r>
        <w:t>, November 2016, accessed through LEGENDcom on 7 March 2023.</w:t>
      </w:r>
    </w:p>
  </w:endnote>
  <w:endnote w:id="25">
    <w:p w14:paraId="1657AB33" w14:textId="08DD37FE" w:rsidR="0032451D" w:rsidRDefault="0032451D" w:rsidP="0032451D">
      <w:pPr>
        <w:pStyle w:val="EndnoteText"/>
      </w:pPr>
      <w:r>
        <w:rPr>
          <w:rStyle w:val="EndnoteReference"/>
        </w:rPr>
        <w:endnoteRef/>
      </w:r>
      <w:r>
        <w:t xml:space="preserve"> Department of Home Affairs, </w:t>
      </w:r>
      <w:r w:rsidRPr="00236BA1">
        <w:t>PAM3: Act – Compliance and Case Resolution – Case resolution – Minister’s powers – Minister’s residence determination power</w:t>
      </w:r>
      <w:r>
        <w:t>, 10 October 2017, accessed through LEGENDcom on 7 March 2023.</w:t>
      </w:r>
    </w:p>
  </w:endnote>
  <w:endnote w:id="26">
    <w:p w14:paraId="3C4F7CA0" w14:textId="428B6235" w:rsidR="0032451D" w:rsidRPr="00F63647" w:rsidRDefault="0032451D" w:rsidP="0032451D">
      <w:pPr>
        <w:pStyle w:val="EndnoteText"/>
      </w:pPr>
      <w:r w:rsidRPr="00F63647">
        <w:rPr>
          <w:rStyle w:val="EndnoteReference"/>
          <w:rFonts w:cs="Open Sans"/>
        </w:rPr>
        <w:endnoteRef/>
      </w:r>
      <w:r w:rsidRPr="00F63647">
        <w:t xml:space="preserve"> See also</w:t>
      </w:r>
      <w:r w:rsidR="006F72F0">
        <w:t>:</w:t>
      </w:r>
      <w:r w:rsidRPr="00F63647">
        <w:t xml:space="preserve"> The detention of refugees following visa refusal or cancellation under section 501 of the Migration Act 1958 (Cth) [2022] AusHRC 143, </w:t>
      </w:r>
      <w:r>
        <w:t>&lt;</w:t>
      </w:r>
      <w:hyperlink r:id="rId2" w:history="1">
        <w:r w:rsidRPr="003F2F1F">
          <w:rPr>
            <w:rStyle w:val="Hyperlink"/>
            <w:rFonts w:cs="Open Sans"/>
          </w:rPr>
          <w:t>https://humanrights.gov.au/our-work/asylum-seekers-and-refugees/publications/detention-refugees-following-visa-refusal-or</w:t>
        </w:r>
      </w:hyperlink>
      <w:r>
        <w:rPr>
          <w:i/>
          <w:iCs/>
        </w:rPr>
        <w:t>&gt;</w:t>
      </w:r>
      <w:r w:rsidRPr="00F63647">
        <w:t xml:space="preserve">. </w:t>
      </w:r>
    </w:p>
  </w:endnote>
  <w:endnote w:id="27">
    <w:p w14:paraId="506CC956" w14:textId="535C5A01" w:rsidR="0032451D" w:rsidRPr="00F63647" w:rsidRDefault="0032451D" w:rsidP="0032451D">
      <w:pPr>
        <w:pStyle w:val="EndnoteText"/>
      </w:pPr>
      <w:r w:rsidRPr="00F63647">
        <w:rPr>
          <w:rStyle w:val="EndnoteReference"/>
          <w:rFonts w:cs="Open Sans"/>
        </w:rPr>
        <w:endnoteRef/>
      </w:r>
      <w:r w:rsidRPr="00F63647">
        <w:t xml:space="preserve"> HYPR v Minister for Immigration and Border Protection [2016] AATA 864 [Part 4.2].</w:t>
      </w:r>
    </w:p>
  </w:endnote>
  <w:endnote w:id="28">
    <w:p w14:paraId="7874BF75" w14:textId="18F5A7CA" w:rsidR="0032451D" w:rsidRPr="00F63647" w:rsidRDefault="0032451D" w:rsidP="0032451D">
      <w:pPr>
        <w:pStyle w:val="EndnoteText"/>
      </w:pPr>
      <w:r w:rsidRPr="00F63647">
        <w:rPr>
          <w:rStyle w:val="EndnoteReference"/>
          <w:rFonts w:cs="Open Sans"/>
        </w:rPr>
        <w:endnoteRef/>
      </w:r>
      <w:r w:rsidRPr="00F63647">
        <w:t xml:space="preserve"> </w:t>
      </w:r>
      <w:r w:rsidRPr="00F63647">
        <w:rPr>
          <w:rFonts w:eastAsia="Calibri"/>
        </w:rPr>
        <w:t>[2020] HCA 3.</w:t>
      </w:r>
    </w:p>
  </w:endnote>
  <w:endnote w:id="29">
    <w:p w14:paraId="31E1D5D4" w14:textId="2332B88A" w:rsidR="0032451D" w:rsidRPr="00F63647" w:rsidRDefault="0032451D" w:rsidP="0032451D">
      <w:pPr>
        <w:pStyle w:val="EndnoteText"/>
      </w:pPr>
      <w:r w:rsidRPr="00F63647">
        <w:rPr>
          <w:rStyle w:val="EndnoteReference"/>
          <w:rFonts w:cs="Open Sans"/>
        </w:rPr>
        <w:endnoteRef/>
      </w:r>
      <w:r w:rsidRPr="00F63647">
        <w:t xml:space="preserve"> (1992) 175 CLR 1, at 70.</w:t>
      </w:r>
    </w:p>
  </w:endnote>
  <w:endnote w:id="30">
    <w:p w14:paraId="3FD4F644" w14:textId="6BDE5CE6" w:rsidR="0032451D" w:rsidRPr="0054463F" w:rsidRDefault="0032451D" w:rsidP="0032451D">
      <w:pPr>
        <w:pStyle w:val="EndnoteText"/>
        <w:rPr>
          <w:lang w:val="en-US"/>
        </w:rPr>
      </w:pPr>
      <w:r>
        <w:rPr>
          <w:rStyle w:val="EndnoteReference"/>
        </w:rPr>
        <w:endnoteRef/>
      </w:r>
      <w:r>
        <w:t xml:space="preserve"> </w:t>
      </w:r>
      <w:r>
        <w:rPr>
          <w:lang w:val="en-US"/>
        </w:rPr>
        <w:t xml:space="preserve">Commonwealth, </w:t>
      </w:r>
      <w:r>
        <w:rPr>
          <w:i/>
          <w:iCs/>
          <w:lang w:val="en-US"/>
        </w:rPr>
        <w:t>Parliamentary Debates</w:t>
      </w:r>
      <w:r>
        <w:rPr>
          <w:lang w:val="en-US"/>
        </w:rPr>
        <w:t>, Senate, 7 September 2022, 888 (Murray Watt, Minister for Agriculture, Fisheries and Forestry and Minister for Emergency Management).</w:t>
      </w:r>
    </w:p>
  </w:endnote>
  <w:endnote w:id="31">
    <w:p w14:paraId="67F856C8" w14:textId="4C9ECA6E" w:rsidR="0032451D" w:rsidRPr="00F63647" w:rsidRDefault="0032451D" w:rsidP="0032451D">
      <w:pPr>
        <w:pStyle w:val="EndnoteText"/>
      </w:pPr>
      <w:r w:rsidRPr="00F63647">
        <w:rPr>
          <w:rStyle w:val="EndnoteReference"/>
          <w:rFonts w:cs="Open Sans"/>
        </w:rPr>
        <w:endnoteRef/>
      </w:r>
      <w:r w:rsidRPr="00F63647">
        <w:t xml:space="preserve"> </w:t>
      </w:r>
      <w:r w:rsidRPr="00F63647">
        <w:rPr>
          <w:i/>
          <w:iCs/>
        </w:rPr>
        <w:t>Mabo v Queensland (No 2)</w:t>
      </w:r>
      <w:r w:rsidRPr="00F63647">
        <w:t xml:space="preserve"> 175 CLR 1, at 61 and 70.</w:t>
      </w:r>
    </w:p>
  </w:endnote>
  <w:endnote w:id="32">
    <w:p w14:paraId="3D262CD2" w14:textId="02C8C6F1" w:rsidR="0032451D" w:rsidRPr="00F63647" w:rsidRDefault="0032451D" w:rsidP="0032451D">
      <w:pPr>
        <w:pStyle w:val="EndnoteText"/>
      </w:pPr>
      <w:r w:rsidRPr="00F63647">
        <w:rPr>
          <w:rStyle w:val="EndnoteReference"/>
          <w:rFonts w:cs="Open Sans"/>
        </w:rPr>
        <w:endnoteRef/>
      </w:r>
      <w:r w:rsidRPr="00F63647">
        <w:t xml:space="preserve"> </w:t>
      </w:r>
      <w:r w:rsidRPr="00F63647">
        <w:rPr>
          <w:i/>
          <w:iCs/>
        </w:rPr>
        <w:t xml:space="preserve">Western Australia v Ward </w:t>
      </w:r>
      <w:r w:rsidRPr="00F63647">
        <w:t>(2000) 99 FCR 316, at [230]-[232].</w:t>
      </w:r>
    </w:p>
  </w:endnote>
  <w:endnote w:id="33">
    <w:p w14:paraId="7C9238EC" w14:textId="6B84AB05" w:rsidR="0032451D" w:rsidRPr="00F63647" w:rsidRDefault="0032451D" w:rsidP="0032451D">
      <w:pPr>
        <w:pStyle w:val="EndnoteText"/>
      </w:pPr>
      <w:r w:rsidRPr="00F63647">
        <w:rPr>
          <w:rStyle w:val="EndnoteReference"/>
          <w:rFonts w:cs="Open Sans"/>
        </w:rPr>
        <w:endnoteRef/>
      </w:r>
      <w:r w:rsidRPr="00F63647">
        <w:t xml:space="preserve"> See </w:t>
      </w:r>
      <w:r w:rsidRPr="00E46273">
        <w:rPr>
          <w:i/>
        </w:rPr>
        <w:t>Hackett (a pseudonym) v Secretary, Department of Communities and Justice</w:t>
      </w:r>
      <w:r w:rsidRPr="00F63647">
        <w:t xml:space="preserve"> (2020) 379 ALR 248, at [148]-[149].</w:t>
      </w:r>
    </w:p>
  </w:endnote>
  <w:endnote w:id="34">
    <w:p w14:paraId="109E9E43" w14:textId="5BA1C3BF" w:rsidR="0032451D" w:rsidRPr="009B3104" w:rsidRDefault="0032451D" w:rsidP="0032451D">
      <w:pPr>
        <w:pStyle w:val="EndnoteText"/>
      </w:pPr>
      <w:r w:rsidRPr="00F63647">
        <w:rPr>
          <w:rStyle w:val="EndnoteReference"/>
          <w:rFonts w:cs="Open Sans"/>
        </w:rPr>
        <w:endnoteRef/>
      </w:r>
      <w:r w:rsidRPr="00F63647">
        <w:t xml:space="preserve"> UN Working Group on Indigenous Populations, </w:t>
      </w:r>
      <w:r w:rsidRPr="00721830">
        <w:rPr>
          <w:i/>
        </w:rPr>
        <w:t>Note by the Chairperson-Rapporteur on criteria which might be applied when considering the concept of indigenous peoples</w:t>
      </w:r>
      <w:r w:rsidRPr="00F63647">
        <w:t>, 21 June 1995 (E/CN.4/Sub.2/AC.4/1995/3) p 4 at [6].</w:t>
      </w:r>
    </w:p>
  </w:endnote>
  <w:endnote w:id="35">
    <w:p w14:paraId="302A32CD" w14:textId="67DF5A90" w:rsidR="0032451D" w:rsidRPr="007E1143" w:rsidRDefault="0032451D" w:rsidP="0032451D">
      <w:pPr>
        <w:pStyle w:val="EndnoteText"/>
        <w:rPr>
          <w:lang w:val="en-US"/>
        </w:rPr>
      </w:pPr>
      <w:r>
        <w:rPr>
          <w:rStyle w:val="EndnoteReference"/>
        </w:rPr>
        <w:endnoteRef/>
      </w:r>
      <w:r>
        <w:t xml:space="preserve"> </w:t>
      </w:r>
      <w:r>
        <w:rPr>
          <w:lang w:val="en-US"/>
        </w:rPr>
        <w:t xml:space="preserve">See </w:t>
      </w:r>
      <w:r>
        <w:rPr>
          <w:i/>
          <w:iCs/>
          <w:lang w:val="en-US"/>
        </w:rPr>
        <w:t xml:space="preserve">Webster v Minister for Immigration, Citizenship, Migrant Services and Multicultural Affairs </w:t>
      </w:r>
      <w:r>
        <w:rPr>
          <w:lang w:val="en-US"/>
        </w:rPr>
        <w:t xml:space="preserve">[2020] FCA 702 at [52]; </w:t>
      </w:r>
      <w:r>
        <w:rPr>
          <w:i/>
          <w:iCs/>
          <w:lang w:val="en-US"/>
        </w:rPr>
        <w:t xml:space="preserve">Helmbright v Minister for Immigration, Citizenship, Migrant Services and Multicultural Affairs (No 2) </w:t>
      </w:r>
      <w:r>
        <w:rPr>
          <w:lang w:val="en-US"/>
        </w:rPr>
        <w:t>FCA 647 at</w:t>
      </w:r>
      <w:r>
        <w:rPr>
          <w:i/>
          <w:iCs/>
          <w:lang w:val="en-US"/>
        </w:rPr>
        <w:t xml:space="preserve"> </w:t>
      </w:r>
      <w:r>
        <w:rPr>
          <w:lang w:val="en-US"/>
        </w:rPr>
        <w:t>[59], [85].</w:t>
      </w:r>
    </w:p>
  </w:endnote>
  <w:endnote w:id="36">
    <w:p w14:paraId="5DEBC0BB" w14:textId="528C17E4" w:rsidR="0032451D" w:rsidRDefault="0032451D" w:rsidP="0032451D">
      <w:pPr>
        <w:pStyle w:val="EndnoteText"/>
      </w:pPr>
      <w:r>
        <w:rPr>
          <w:rStyle w:val="EndnoteReference"/>
        </w:rPr>
        <w:endnoteRef/>
      </w:r>
      <w:r>
        <w:t xml:space="preserve"> Department of Home Affairs, </w:t>
      </w:r>
      <w:r>
        <w:rPr>
          <w:i/>
          <w:iCs/>
        </w:rPr>
        <w:t>Removal from Australia: Procedural Instruction</w:t>
      </w:r>
      <w:r>
        <w:t xml:space="preserve">, (5 April 2023), available at </w:t>
      </w:r>
      <w:r w:rsidR="00904A9B">
        <w:t>&lt;</w:t>
      </w:r>
      <w:hyperlink r:id="rId3" w:history="1">
        <w:r w:rsidR="00904A9B" w:rsidRPr="00094475">
          <w:rPr>
            <w:rStyle w:val="Hyperlink"/>
            <w:rFonts w:cs="Open Sans"/>
          </w:rPr>
          <w:t>https://www.homeaffairs.gov.au/foi/files/2023/fa-230400225-document-released.PDF</w:t>
        </w:r>
      </w:hyperlink>
      <w:r w:rsidR="00904A9B">
        <w:t>&gt;.</w:t>
      </w:r>
      <w:r>
        <w:t xml:space="preserve"> </w:t>
      </w:r>
    </w:p>
  </w:endnote>
  <w:endnote w:id="37">
    <w:p w14:paraId="384DB31B" w14:textId="31A07153" w:rsidR="0032451D" w:rsidRPr="00033F93" w:rsidRDefault="0032451D" w:rsidP="0032451D">
      <w:pPr>
        <w:pStyle w:val="EndnoteText"/>
        <w:rPr>
          <w:i/>
          <w:iCs/>
        </w:rPr>
      </w:pPr>
      <w:r>
        <w:rPr>
          <w:rStyle w:val="EndnoteReference"/>
        </w:rPr>
        <w:endnoteRef/>
      </w:r>
      <w:r>
        <w:t xml:space="preserve"> UN Treaty Collection, </w:t>
      </w:r>
      <w:r>
        <w:rPr>
          <w:i/>
          <w:iCs/>
        </w:rPr>
        <w:t>3. Convention relating to the Status of Stateless Persons</w:t>
      </w:r>
      <w:r>
        <w:t>, 1 &lt;</w:t>
      </w:r>
      <w:hyperlink r:id="rId4" w:history="1">
        <w:r w:rsidRPr="00A07B1F">
          <w:rPr>
            <w:rStyle w:val="Hyperlink"/>
            <w:rFonts w:cs="Open Sans"/>
          </w:rPr>
          <w:t>https://treaties.un.org/pages/ViewDetailsII.aspx?src=TREATY&amp;mtdsg_no=V-3&amp;chapter=5&amp;Temp=mtdsg2&amp;clang=_en</w:t>
        </w:r>
      </w:hyperlink>
      <w:r>
        <w:t>&gt;;</w:t>
      </w:r>
      <w:r>
        <w:rPr>
          <w:i/>
          <w:iCs/>
        </w:rPr>
        <w:t xml:space="preserve"> </w:t>
      </w:r>
      <w:r>
        <w:t xml:space="preserve">UN Treaty Collection, </w:t>
      </w:r>
      <w:r>
        <w:rPr>
          <w:i/>
          <w:iCs/>
        </w:rPr>
        <w:t xml:space="preserve">4. Convention on the Reduction of Statelessness, </w:t>
      </w:r>
      <w:r>
        <w:t>1 &lt;</w:t>
      </w:r>
      <w:hyperlink r:id="rId5" w:history="1">
        <w:r w:rsidRPr="00A07B1F">
          <w:rPr>
            <w:rStyle w:val="Hyperlink"/>
            <w:rFonts w:cs="Open Sans"/>
          </w:rPr>
          <w:t>https://treaties.un.org/pages/ViewDetails.aspx?src=TREATY&amp;mtdsg_no=V-4&amp;chapter=5&amp;clang=_en</w:t>
        </w:r>
      </w:hyperlink>
      <w:r>
        <w:t xml:space="preserve">&gt;. </w:t>
      </w:r>
    </w:p>
  </w:endnote>
  <w:endnote w:id="38">
    <w:p w14:paraId="17DCDF3D" w14:textId="57AE593A" w:rsidR="0032451D" w:rsidRPr="00945347" w:rsidRDefault="0032451D" w:rsidP="0032451D">
      <w:pPr>
        <w:pStyle w:val="EndnoteText"/>
      </w:pPr>
      <w:r>
        <w:rPr>
          <w:rStyle w:val="EndnoteReference"/>
        </w:rPr>
        <w:endnoteRef/>
      </w:r>
      <w:r>
        <w:t xml:space="preserve"> Peter McMullin Centre on Statelessness, </w:t>
      </w:r>
      <w:r>
        <w:rPr>
          <w:i/>
          <w:iCs/>
        </w:rPr>
        <w:t>Factsheet: An Overview of Statelessness</w:t>
      </w:r>
      <w:r>
        <w:t xml:space="preserve">, October 2021, </w:t>
      </w:r>
      <w:r w:rsidR="00D75B4E">
        <w:t>&lt;</w:t>
      </w:r>
      <w:hyperlink r:id="rId6" w:history="1">
        <w:r w:rsidR="002F186C">
          <w:rPr>
            <w:rStyle w:val="Hyperlink"/>
            <w:rFonts w:cs="Open Sans"/>
          </w:rPr>
          <w:t>https://law.unimelb.edu.au/__data/assets/pdf_file/0011/3937160/UPR_factsheet_Oct_2021.pdf</w:t>
        </w:r>
      </w:hyperlink>
      <w:r w:rsidR="00D75B4E">
        <w:rPr>
          <w:rStyle w:val="Hyperlink"/>
          <w:rFonts w:cs="Open Sans"/>
        </w:rPr>
        <w:t>&gt;</w:t>
      </w:r>
      <w:r>
        <w:t xml:space="preserve">, 3; UNHCR, </w:t>
      </w:r>
      <w:r>
        <w:rPr>
          <w:i/>
          <w:iCs/>
        </w:rPr>
        <w:t xml:space="preserve">UNHCR and </w:t>
      </w:r>
      <w:r>
        <w:t>De Facto</w:t>
      </w:r>
      <w:r>
        <w:rPr>
          <w:i/>
          <w:iCs/>
        </w:rPr>
        <w:t xml:space="preserve"> Statelessness</w:t>
      </w:r>
      <w:r>
        <w:t>, April 2010 &lt;</w:t>
      </w:r>
      <w:hyperlink r:id="rId7" w:history="1">
        <w:r w:rsidRPr="00A07B1F">
          <w:rPr>
            <w:rStyle w:val="Hyperlink"/>
            <w:rFonts w:cs="Open Sans"/>
          </w:rPr>
          <w:t>https://www.unhcr.org/4bc2ddeb9.pdf</w:t>
        </w:r>
      </w:hyperlink>
      <w:r>
        <w:t>&gt;, 61.</w:t>
      </w:r>
    </w:p>
  </w:endnote>
  <w:endnote w:id="39">
    <w:p w14:paraId="0F6CE521" w14:textId="6DE31CD7" w:rsidR="0032451D" w:rsidRDefault="0032451D" w:rsidP="0032451D">
      <w:pPr>
        <w:pStyle w:val="EndnoteText"/>
      </w:pPr>
      <w:r>
        <w:rPr>
          <w:rStyle w:val="EndnoteReference"/>
        </w:rPr>
        <w:endnoteRef/>
      </w:r>
      <w:r>
        <w:t xml:space="preserve"> Australian Human Rights Commission, </w:t>
      </w:r>
      <w:r>
        <w:rPr>
          <w:i/>
          <w:iCs/>
        </w:rPr>
        <w:t xml:space="preserve">Community arrangements for asylum seekers, refugees and stateless persons: Observations from visits conducted by the Australian Human Rights Commission from December 2011 to May </w:t>
      </w:r>
      <w:r w:rsidRPr="00922E2D">
        <w:rPr>
          <w:i/>
          <w:iCs/>
        </w:rPr>
        <w:t>2012</w:t>
      </w:r>
      <w:r>
        <w:t>, (Report, July 2012), &lt;</w:t>
      </w:r>
      <w:hyperlink r:id="rId8" w:history="1">
        <w:r w:rsidRPr="000B4877">
          <w:rPr>
            <w:rStyle w:val="Hyperlink"/>
            <w:rFonts w:cs="Open Sans"/>
          </w:rPr>
          <w:t>https://humanrights.gov.au/our-work/asylum-seekers-and-refugees/publications/community-arrangements-asylum-seekers-refugees</w:t>
        </w:r>
      </w:hyperlink>
      <w:r>
        <w:t xml:space="preserve">&gt;, </w:t>
      </w:r>
      <w:r w:rsidRPr="00922E2D">
        <w:t>32</w:t>
      </w:r>
      <w:r>
        <w:t>.</w:t>
      </w:r>
    </w:p>
  </w:endnote>
  <w:endnote w:id="40">
    <w:p w14:paraId="5F9EDEC8" w14:textId="3CD64DD4" w:rsidR="0032451D" w:rsidRPr="00347CC1" w:rsidRDefault="0032451D" w:rsidP="0032451D">
      <w:pPr>
        <w:pStyle w:val="EndnoteText"/>
      </w:pPr>
      <w:r>
        <w:rPr>
          <w:rStyle w:val="EndnoteReference"/>
        </w:rPr>
        <w:endnoteRef/>
      </w:r>
      <w:r>
        <w:t xml:space="preserve"> Peter McMullin Centre on Statelessness, Statelessness Network Asia Pacific, Refugee Advice &amp; Casework Service, Institute on Statelessness and Inclusion, </w:t>
      </w:r>
      <w:r>
        <w:rPr>
          <w:i/>
          <w:iCs/>
        </w:rPr>
        <w:t>Joint Submission to the Human Rights Council</w:t>
      </w:r>
      <w:r>
        <w:t>, 9 July 2020, &lt;</w:t>
      </w:r>
      <w:hyperlink r:id="rId9" w:history="1">
        <w:r w:rsidRPr="00A07B1F">
          <w:rPr>
            <w:rStyle w:val="Hyperlink"/>
            <w:rFonts w:cs="Open Sans"/>
          </w:rPr>
          <w:t>https://law.unimelb.edu.au/__data/assets/pdf_file/0006/3436278/ISI-UPR-Submission-Australia-For-Website.pdf</w:t>
        </w:r>
      </w:hyperlink>
      <w:r>
        <w:t>&gt;, 9.</w:t>
      </w:r>
    </w:p>
  </w:endnote>
  <w:endnote w:id="41">
    <w:p w14:paraId="6CD5768B" w14:textId="0474A33F" w:rsidR="0032451D" w:rsidRDefault="0032451D" w:rsidP="0032451D">
      <w:pPr>
        <w:pStyle w:val="EndnoteText"/>
      </w:pPr>
      <w:r>
        <w:rPr>
          <w:rStyle w:val="EndnoteReference"/>
        </w:rPr>
        <w:endnoteRef/>
      </w:r>
      <w:r>
        <w:t xml:space="preserve"> </w:t>
      </w:r>
      <w:r w:rsidRPr="00961E0A">
        <w:rPr>
          <w:i/>
          <w:iCs/>
        </w:rPr>
        <w:t>Australian Citizenship Act 2007</w:t>
      </w:r>
      <w:r>
        <w:t xml:space="preserve"> (Cth), s 21(8).</w:t>
      </w:r>
    </w:p>
  </w:endnote>
  <w:endnote w:id="42">
    <w:p w14:paraId="5431B52C" w14:textId="7F3EE2AC" w:rsidR="0032451D" w:rsidRDefault="0032451D" w:rsidP="0032451D">
      <w:pPr>
        <w:pStyle w:val="EndnoteText"/>
      </w:pPr>
      <w:r>
        <w:rPr>
          <w:rStyle w:val="EndnoteReference"/>
        </w:rPr>
        <w:endnoteRef/>
      </w:r>
      <w:r>
        <w:t xml:space="preserve"> </w:t>
      </w:r>
      <w:r w:rsidRPr="00961E0A">
        <w:rPr>
          <w:i/>
          <w:iCs/>
        </w:rPr>
        <w:t>Australian Citizenship Act 2007</w:t>
      </w:r>
      <w:r>
        <w:t xml:space="preserve"> (Cth), s 16(2). An alternative criteria also exists in s 16(3) for a person born before 26 January 1949 but for simplicity, as Mr Kuster was born after this date, </w:t>
      </w:r>
      <w:r w:rsidR="00F22C80">
        <w:t>this test was not referred to</w:t>
      </w:r>
      <w:r>
        <w:t>.</w:t>
      </w:r>
    </w:p>
  </w:endnote>
  <w:endnote w:id="43">
    <w:p w14:paraId="12002A6F" w14:textId="76B05633" w:rsidR="0032451D" w:rsidRDefault="0032451D" w:rsidP="0032451D">
      <w:pPr>
        <w:pStyle w:val="EndnoteText"/>
      </w:pPr>
      <w:r>
        <w:rPr>
          <w:rStyle w:val="EndnoteReference"/>
        </w:rPr>
        <w:endnoteRef/>
      </w:r>
      <w:r>
        <w:t xml:space="preserve"> </w:t>
      </w:r>
      <w:r w:rsidRPr="00961E0A">
        <w:rPr>
          <w:i/>
          <w:iCs/>
        </w:rPr>
        <w:t>Australian Citizenship Act 2007</w:t>
      </w:r>
      <w:r>
        <w:t xml:space="preserve"> (Cth), s 16(2)(c). Note that ‘good character’ is not defined within the Australian Citizenship Act, and is a separate assessment to whether or not a person meets the character test set out in section 501 of the Migration Act.</w:t>
      </w:r>
    </w:p>
  </w:endnote>
  <w:endnote w:id="44">
    <w:p w14:paraId="2B68A8CF" w14:textId="65E7E9B2" w:rsidR="0032451D" w:rsidRDefault="0032451D" w:rsidP="0032451D">
      <w:pPr>
        <w:pStyle w:val="EndnoteText"/>
      </w:pPr>
      <w:r>
        <w:rPr>
          <w:rStyle w:val="EndnoteReference"/>
        </w:rPr>
        <w:endnoteRef/>
      </w:r>
      <w:r>
        <w:t xml:space="preserve"> Department of Home Affairs, </w:t>
      </w:r>
      <w:r w:rsidRPr="00735DDE">
        <w:rPr>
          <w:i/>
          <w:iCs/>
        </w:rPr>
        <w:t>Minister’s guidelines on ministerial powers (s351, s417 and s501J)</w:t>
      </w:r>
      <w:r>
        <w:t>, accessed through LEGENDcom on 7 March 2023, [4].</w:t>
      </w:r>
    </w:p>
  </w:endnote>
  <w:endnote w:id="45">
    <w:p w14:paraId="6920E7C9" w14:textId="4A18EFFD" w:rsidR="0032451D" w:rsidRDefault="0032451D" w:rsidP="0032451D">
      <w:pPr>
        <w:pStyle w:val="EndnoteText"/>
      </w:pPr>
      <w:r>
        <w:rPr>
          <w:rStyle w:val="EndnoteReference"/>
        </w:rPr>
        <w:endnoteRef/>
      </w:r>
      <w:r>
        <w:t xml:space="preserve"> </w:t>
      </w:r>
      <w:r w:rsidR="00411016" w:rsidRPr="005C7F1A">
        <w:t>A</w:t>
      </w:r>
      <w:r w:rsidR="00411016">
        <w:t>ustralian Human Rights Commission</w:t>
      </w:r>
      <w:r w:rsidR="00411016" w:rsidRPr="005C7F1A">
        <w:t xml:space="preserve"> Act</w:t>
      </w:r>
      <w:r w:rsidR="00411016">
        <w:t xml:space="preserve"> (‘AHRC Act’)</w:t>
      </w:r>
      <w:r w:rsidR="00411016" w:rsidRPr="005C7F1A">
        <w:t>, s 29(2)(a).</w:t>
      </w:r>
    </w:p>
  </w:endnote>
  <w:endnote w:id="46">
    <w:p w14:paraId="2E68FB03" w14:textId="6B631887" w:rsidR="0032451D" w:rsidRDefault="0032451D" w:rsidP="0032451D">
      <w:pPr>
        <w:pStyle w:val="EndnoteText"/>
      </w:pPr>
      <w:r>
        <w:rPr>
          <w:rStyle w:val="EndnoteReference"/>
        </w:rPr>
        <w:endnoteRef/>
      </w:r>
      <w:r>
        <w:t xml:space="preserve"> AHRC Act, s 29(2)(b).</w:t>
      </w:r>
    </w:p>
  </w:endnote>
  <w:endnote w:id="47">
    <w:p w14:paraId="0C7278A3" w14:textId="53B0E41C" w:rsidR="0032451D" w:rsidRDefault="0032451D" w:rsidP="0032451D">
      <w:pPr>
        <w:pStyle w:val="EndnoteText"/>
      </w:pPr>
      <w:r>
        <w:rPr>
          <w:rStyle w:val="EndnoteReference"/>
        </w:rPr>
        <w:endnoteRef/>
      </w:r>
      <w:r>
        <w:t xml:space="preserve"> AHRC Act, s 29(2)(c).</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Open Sans">
    <w:altName w:val="Open Sans Roman"/>
    <w:panose1 w:val="00000000000000000000"/>
    <w:charset w:val="00"/>
    <w:family w:val="auto"/>
    <w:pitch w:val="variable"/>
    <w:sig w:usb0="E00002FF" w:usb1="4000201B" w:usb2="00000028"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Roman">
    <w:altName w:val="Times"/>
    <w:charset w:val="00"/>
    <w:family w:val="auto"/>
    <w:pitch w:val="variable"/>
    <w:sig w:usb0="E00002FF" w:usb1="5000205A"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365B45" w14:textId="77777777" w:rsidR="00AC636D" w:rsidRPr="000465F1" w:rsidRDefault="00AC636D" w:rsidP="000465F1">
    <w:pPr>
      <w:pStyle w:val="Footer"/>
    </w:pPr>
    <w:r w:rsidRPr="000465F1">
      <w:t>ABN 47 996 232 602</w:t>
    </w:r>
  </w:p>
  <w:p w14:paraId="1F585F61" w14:textId="77777777" w:rsidR="00AC636D" w:rsidRPr="000465F1" w:rsidRDefault="00AC636D" w:rsidP="000465F1">
    <w:pPr>
      <w:pStyle w:val="Footer"/>
    </w:pPr>
    <w:r w:rsidRPr="000465F1">
      <w:t>GPO Box 5218, Sydney NSW 2001</w:t>
    </w:r>
  </w:p>
  <w:p w14:paraId="1C4FC2B7" w14:textId="77777777" w:rsidR="00AC636D" w:rsidRPr="000465F1" w:rsidRDefault="00AC636D" w:rsidP="000465F1">
    <w:pPr>
      <w:pStyle w:val="Footer"/>
    </w:pPr>
    <w:r w:rsidRPr="000465F1">
      <w:t>General enquiries 1300 369 711</w:t>
    </w:r>
  </w:p>
  <w:p w14:paraId="3AED9BFB" w14:textId="77777777" w:rsidR="00AC636D" w:rsidRPr="000465F1" w:rsidRDefault="00990B81" w:rsidP="000465F1">
    <w:pPr>
      <w:pStyle w:val="Footer"/>
    </w:pPr>
    <w:r>
      <w:t>National Info Service</w:t>
    </w:r>
    <w:r w:rsidR="00AC636D" w:rsidRPr="000465F1">
      <w:t xml:space="preserve"> 1300 656 419</w:t>
    </w:r>
  </w:p>
  <w:p w14:paraId="4885BA2F" w14:textId="77777777" w:rsidR="00B34946" w:rsidRPr="000465F1" w:rsidRDefault="000465F1" w:rsidP="000465F1">
    <w:pPr>
      <w:pStyle w:val="Footer"/>
    </w:pPr>
    <w:r w:rsidRPr="000465F1">
      <w:t>TTY 1800 620 241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9814901"/>
      <w:docPartObj>
        <w:docPartGallery w:val="Page Numbers (Bottom of Page)"/>
        <w:docPartUnique/>
      </w:docPartObj>
    </w:sdtPr>
    <w:sdtEndPr>
      <w:rPr>
        <w:noProof/>
      </w:rPr>
    </w:sdtEndPr>
    <w:sdtContent>
      <w:p w14:paraId="3A588C0C" w14:textId="77777777" w:rsidR="00664316" w:rsidRDefault="00664316">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2018A23" w14:textId="77777777" w:rsidR="00DC343B" w:rsidRDefault="00DC343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584654" w14:textId="77777777" w:rsidR="00DA1D32" w:rsidRDefault="00DA1D32" w:rsidP="00E53546">
    <w:pPr>
      <w:pStyle w:val="FooterOddPageNumber"/>
    </w:pPr>
    <w:r w:rsidRPr="00AB7C8F">
      <w:fldChar w:fldCharType="begin"/>
    </w:r>
    <w:r>
      <w:instrText xml:space="preserve"> PAGE   \* MERGEFORMAT </w:instrText>
    </w:r>
    <w:r w:rsidRPr="00AB7C8F">
      <w:fldChar w:fldCharType="separate"/>
    </w:r>
    <w:r w:rsidR="008E78F0">
      <w:rPr>
        <w:noProof/>
      </w:rPr>
      <w:t>3</w:t>
    </w:r>
    <w:r w:rsidRPr="00AB7C8F">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58183178"/>
      <w:docPartObj>
        <w:docPartGallery w:val="Page Numbers (Bottom of Page)"/>
        <w:docPartUnique/>
      </w:docPartObj>
    </w:sdtPr>
    <w:sdtEndPr>
      <w:rPr>
        <w:noProof/>
      </w:rPr>
    </w:sdtEndPr>
    <w:sdtContent>
      <w:p w14:paraId="043B3284" w14:textId="77777777" w:rsidR="00CF52CF" w:rsidRDefault="00CF52C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E0DB4F0" w14:textId="77777777" w:rsidR="0063009F" w:rsidRDefault="0063009F" w:rsidP="00E53546">
    <w:pPr>
      <w:pStyle w:val="FooterEvenPageNumb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398A0F" w14:textId="77777777" w:rsidR="00936DD8" w:rsidRDefault="00936DD8" w:rsidP="00F14C6D">
      <w:r>
        <w:separator/>
      </w:r>
    </w:p>
  </w:footnote>
  <w:footnote w:type="continuationSeparator" w:id="0">
    <w:p w14:paraId="3E8AB7E3" w14:textId="77777777" w:rsidR="00936DD8" w:rsidRDefault="00936DD8" w:rsidP="00F14C6D">
      <w:r>
        <w:continuationSeparator/>
      </w:r>
    </w:p>
  </w:footnote>
  <w:footnote w:type="continuationNotice" w:id="1">
    <w:p w14:paraId="7C31E15A" w14:textId="77777777" w:rsidR="00936DD8" w:rsidRDefault="00936DD8">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B022E6" w14:textId="77777777" w:rsidR="00BF6406" w:rsidRPr="000465F1" w:rsidRDefault="00000000" w:rsidP="000465F1">
    <w:pPr>
      <w:pStyle w:val="Header"/>
    </w:pPr>
    <w:r>
      <w:pict w14:anchorId="5211209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34833" o:spid="_x0000_s1043" type="#_x0000_t75" style="position:absolute;left:0;text-align:left;margin-left:0;margin-top:0;width:930.9pt;height:1359.95pt;z-index:-251658239;mso-position-horizontal:center;mso-position-horizontal-relative:margin;mso-position-vertical:center;mso-position-vertical-relative:margin" o:allowincell="f">
          <v:imagedata r:id="rId1" o:title="report watermark"/>
          <w10:wrap anchorx="margin" anchory="margin"/>
        </v:shape>
      </w:pict>
    </w:r>
    <w:r w:rsidR="00BF6406" w:rsidRPr="000465F1">
      <w:t>Australian Human Rights Commission</w:t>
    </w:r>
  </w:p>
  <w:p w14:paraId="5237C638" w14:textId="77777777" w:rsidR="00B34946" w:rsidRPr="00622508" w:rsidRDefault="00BF6406" w:rsidP="00622508">
    <w:pPr>
      <w:pStyle w:val="Footer"/>
    </w:pPr>
    <w:r w:rsidRPr="001F62CC">
      <w:rPr>
        <w:rStyle w:val="Reporttitleinheader"/>
      </w:rPr>
      <w:t>Short title</w:t>
    </w:r>
    <w:r w:rsidRPr="00622508">
      <w:rPr>
        <w:rStyle w:val="Reporttitleinheader"/>
      </w:rPr>
      <w:t>, report name</w:t>
    </w:r>
    <w:r w:rsidR="001F62CC" w:rsidRPr="00622508">
      <w:rPr>
        <w:rStyle w:val="Reporttitleinheader"/>
      </w:rPr>
      <w:t>,</w:t>
    </w:r>
    <w:r w:rsidR="001F62CC" w:rsidRPr="00622508">
      <w:t xml:space="preserve"> </w:t>
    </w:r>
    <w:r w:rsidRPr="00622508">
      <w:t>Date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E9A4E8" w14:textId="77777777" w:rsidR="00B34946" w:rsidRPr="000465F1" w:rsidRDefault="00000000" w:rsidP="000465F1">
    <w:r>
      <w:pict w14:anchorId="761C2EC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34834" o:spid="_x0000_s1044" type="#_x0000_t75" style="position:absolute;margin-left:0;margin-top:0;width:930.9pt;height:1359.95pt;z-index:-251658238;mso-position-horizontal:center;mso-position-horizontal-relative:margin;mso-position-vertical:center;mso-position-vertical-relative:margin" o:allowincell="f">
          <v:imagedata r:id="rId1" o:title="report watermark"/>
          <w10:wrap anchorx="margin" anchory="margin"/>
        </v:shape>
      </w:pict>
    </w:r>
    <w:r w:rsidR="00B34946" w:rsidRPr="000465F1">
      <w:t>Australian Human Rights Commission</w:t>
    </w:r>
  </w:p>
  <w:p w14:paraId="7A680F0D" w14:textId="77777777" w:rsidR="00B34946" w:rsidRPr="000465F1" w:rsidRDefault="00B34946" w:rsidP="000465F1">
    <w:pPr>
      <w:pStyle w:val="Footer"/>
    </w:pPr>
    <w:r w:rsidRPr="000465F1">
      <w:t>Short document title, Short description – Date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2683BA" w14:textId="77777777" w:rsidR="00CC2AA0" w:rsidRDefault="00000000" w:rsidP="002012F7">
    <w:pPr>
      <w:pStyle w:val="Header"/>
    </w:pPr>
    <w:r>
      <w:pict w14:anchorId="323B4DA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7" o:spid="_x0000_s1047" type="#_x0000_t75" style="position:absolute;left:0;text-align:left;margin-left:-71.05pt;margin-top:-108.5pt;width:595.65pt;height:870.15pt;z-index:-251658237;mso-position-horizontal-relative:margin;mso-position-vertical-relative:margin" o:allowincell="f">
          <v:imagedata r:id="rId1" o:title="MS word cover1"/>
          <w10:wrap anchorx="margin" anchory="margin"/>
        </v:shape>
      </w:pict>
    </w:r>
    <w:r>
      <w:pict w14:anchorId="281FC77B">
        <v:shape id="WordPictureWatermark1034832" o:spid="_x0000_s1042" type="#_x0000_t75" style="position:absolute;left:0;text-align:left;margin-left:-70.9pt;margin-top:-109.05pt;width:595.1pt;height:869.4pt;z-index:-251658240;mso-position-horizontal-relative:margin;mso-position-vertical-relative:margin" o:allowincell="f">
          <v:imagedata r:id="rId2" o:title="report watermark"/>
          <w10:wrap anchorx="margin" anchory="margin"/>
        </v:shape>
      </w:pict>
    </w:r>
  </w:p>
  <w:p w14:paraId="6A9840BF" w14:textId="77777777" w:rsidR="008B3899" w:rsidRDefault="008B3899" w:rsidP="002012F7">
    <w:pPr>
      <w:pStyle w:val="Header"/>
    </w:pPr>
  </w:p>
  <w:p w14:paraId="6DF8D8D8" w14:textId="77777777" w:rsidR="008B3899" w:rsidRDefault="008B3899" w:rsidP="002012F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141ADC" w14:textId="77777777" w:rsidR="0015239E" w:rsidRPr="000465F1" w:rsidRDefault="0015239E" w:rsidP="0015239E">
    <w:pPr>
      <w:pStyle w:val="HeaderDocumentDat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B2774B" w14:textId="77777777" w:rsidR="00BF6406" w:rsidRPr="00902EC3" w:rsidRDefault="00BF6406" w:rsidP="00902EC3">
    <w:pPr>
      <w:pStyle w:val="Header"/>
    </w:pPr>
    <w:bookmarkStart w:id="52" w:name="_Hlk514672172"/>
    <w:bookmarkStart w:id="53" w:name="_Hlk514672173"/>
    <w:r w:rsidRPr="00902EC3">
      <w:t>Australian Human Rights Commission</w:t>
    </w:r>
  </w:p>
  <w:bookmarkEnd w:id="52"/>
  <w:bookmarkEnd w:id="53"/>
  <w:p w14:paraId="2D976558" w14:textId="40089D8B" w:rsidR="002F5E96" w:rsidRDefault="004B5EF9" w:rsidP="002F5E96">
    <w:pPr>
      <w:pStyle w:val="HeaderDocumentDate"/>
    </w:pPr>
    <w:r w:rsidRPr="00FE65B3">
      <w:rPr>
        <w:rStyle w:val="Reporttitleinheader"/>
        <w:i/>
        <w:iCs/>
      </w:rPr>
      <w:t>Mr Kuster v Commonwealth of Australia (Department of Home Affairs)</w:t>
    </w:r>
    <w:r>
      <w:rPr>
        <w:rStyle w:val="Reporttitleinheader"/>
      </w:rPr>
      <w:t xml:space="preserve"> AusHRC 175</w:t>
    </w:r>
    <w:r>
      <w:t xml:space="preserve"> </w:t>
    </w:r>
    <w:r w:rsidR="009B1CCE">
      <w:fldChar w:fldCharType="begin"/>
    </w:r>
    <w:r w:rsidR="009B1CCE">
      <w:instrText xml:space="preserve"> CREATEDATE  \@ "MMMM yyyy"  \* MERGEFORMAT </w:instrText>
    </w:r>
    <w:r w:rsidR="009B1CCE">
      <w:fldChar w:fldCharType="separate"/>
    </w:r>
    <w:r w:rsidR="00F328CD">
      <w:rPr>
        <w:noProof/>
      </w:rPr>
      <w:t>April 2025</w:t>
    </w:r>
    <w:r w:rsidR="009B1CCE">
      <w:fldChar w:fldCharType="end"/>
    </w:r>
  </w:p>
  <w:p w14:paraId="02525339" w14:textId="77777777" w:rsidR="004B5EF9" w:rsidRPr="000465F1" w:rsidRDefault="004B5EF9" w:rsidP="002F5E96">
    <w:pPr>
      <w:pStyle w:val="HeaderDocumentDate"/>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6B4C73" w14:textId="77777777" w:rsidR="0063009F" w:rsidRPr="00F51ECD" w:rsidRDefault="0063009F" w:rsidP="0063009F">
    <w:pPr>
      <w:pStyle w:val="Header"/>
      <w:rPr>
        <w:sz w:val="22"/>
        <w:szCs w:val="22"/>
      </w:rPr>
    </w:pPr>
    <w:r w:rsidRPr="00F51ECD">
      <w:rPr>
        <w:sz w:val="22"/>
        <w:szCs w:val="22"/>
      </w:rPr>
      <w:t>Australian Human Rights Commission</w:t>
    </w:r>
  </w:p>
  <w:p w14:paraId="7060A64D" w14:textId="635CE5DC" w:rsidR="0063009F" w:rsidRPr="000465F1" w:rsidRDefault="00AB7E6E" w:rsidP="0063009F">
    <w:pPr>
      <w:pStyle w:val="HeaderDocumentDate"/>
    </w:pPr>
    <w:r w:rsidRPr="00FE65B3">
      <w:rPr>
        <w:rStyle w:val="Reporttitleinheader"/>
        <w:i/>
        <w:iCs/>
      </w:rPr>
      <w:t xml:space="preserve">Mr Kuster </w:t>
    </w:r>
    <w:r w:rsidR="00FE65B3" w:rsidRPr="00FE65B3">
      <w:rPr>
        <w:rStyle w:val="Reporttitleinheader"/>
        <w:i/>
        <w:iCs/>
      </w:rPr>
      <w:t>v Commonwealth of Australia (Department of Home Affairs)</w:t>
    </w:r>
    <w:r w:rsidR="00FE65B3">
      <w:rPr>
        <w:rStyle w:val="Reporttitleinheader"/>
      </w:rPr>
      <w:t xml:space="preserve"> AusHRC 175</w:t>
    </w:r>
    <w:r w:rsidR="0063009F">
      <w:t xml:space="preserve"> </w:t>
    </w:r>
    <w:r w:rsidR="009B1CCE">
      <w:fldChar w:fldCharType="begin"/>
    </w:r>
    <w:r w:rsidR="009B1CCE">
      <w:instrText xml:space="preserve"> CREATEDATE  \@ "MMMM yyyy"  \* MERGEFORMAT </w:instrText>
    </w:r>
    <w:r w:rsidR="009B1CCE">
      <w:fldChar w:fldCharType="separate"/>
    </w:r>
    <w:r w:rsidR="00F328CD">
      <w:rPr>
        <w:noProof/>
      </w:rPr>
      <w:t>April 2025</w:t>
    </w:r>
    <w:r w:rsidR="009B1CCE">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05D63CBA"/>
    <w:lvl w:ilvl="0">
      <w:start w:val="1"/>
      <w:numFmt w:val="bullet"/>
      <w:pStyle w:val="ListBullet"/>
      <w:lvlText w:val=""/>
      <w:lvlJc w:val="left"/>
      <w:pPr>
        <w:tabs>
          <w:tab w:val="num" w:pos="360"/>
        </w:tabs>
        <w:ind w:left="360" w:hanging="3"/>
      </w:pPr>
      <w:rPr>
        <w:rFonts w:ascii="Symbol" w:hAnsi="Symbol" w:hint="default"/>
      </w:rPr>
    </w:lvl>
  </w:abstractNum>
  <w:abstractNum w:abstractNumId="10" w15:restartNumberingAfterBreak="0">
    <w:nsid w:val="FFFFFFFE"/>
    <w:multiLevelType w:val="singleLevel"/>
    <w:tmpl w:val="6C009348"/>
    <w:lvl w:ilvl="0">
      <w:numFmt w:val="decimal"/>
      <w:pStyle w:val="Dash"/>
      <w:lvlText w:val="*"/>
      <w:lvlJc w:val="left"/>
    </w:lvl>
  </w:abstractNum>
  <w:abstractNum w:abstractNumId="11" w15:restartNumberingAfterBreak="0">
    <w:nsid w:val="0949538A"/>
    <w:multiLevelType w:val="multilevel"/>
    <w:tmpl w:val="4FA4D394"/>
    <w:lvl w:ilvl="0">
      <w:start w:val="1"/>
      <w:numFmt w:val="decimal"/>
      <w:lvlText w:val="%1."/>
      <w:lvlJc w:val="left"/>
      <w:pPr>
        <w:tabs>
          <w:tab w:val="num" w:pos="720"/>
        </w:tabs>
        <w:ind w:left="720" w:hanging="720"/>
      </w:pPr>
      <w:rPr>
        <w:rFonts w:cs="Times New Roman" w:hint="default"/>
        <w:b w:val="0"/>
        <w:i w:val="0"/>
      </w:rPr>
    </w:lvl>
    <w:lvl w:ilvl="1">
      <w:start w:val="1"/>
      <w:numFmt w:val="bullet"/>
      <w:lvlText w:val=""/>
      <w:lvlJc w:val="left"/>
      <w:pPr>
        <w:ind w:left="1440" w:hanging="360"/>
      </w:pPr>
      <w:rPr>
        <w:rFonts w:ascii="Symbol" w:hAnsi="Symbol" w:hint="default"/>
      </w:rPr>
    </w:lvl>
    <w:lvl w:ilvl="2">
      <w:start w:val="1"/>
      <w:numFmt w:val="lowerRoman"/>
      <w:lvlText w:val="%3."/>
      <w:lvlJc w:val="right"/>
      <w:pPr>
        <w:tabs>
          <w:tab w:val="num" w:pos="2160"/>
        </w:tabs>
        <w:ind w:left="2160" w:hanging="180"/>
      </w:pPr>
      <w:rPr>
        <w:rFonts w:cs="Times New Roman" w:hint="default"/>
      </w:rPr>
    </w:lvl>
    <w:lvl w:ilvl="3">
      <w:start w:val="1"/>
      <w:numFmt w:val="bullet"/>
      <w:lvlText w:val=""/>
      <w:lvlJc w:val="left"/>
      <w:pPr>
        <w:tabs>
          <w:tab w:val="num" w:pos="2880"/>
        </w:tabs>
        <w:ind w:left="2880" w:hanging="360"/>
      </w:pPr>
      <w:rPr>
        <w:rFonts w:ascii="Symbol" w:hAnsi="Symbol"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12" w15:restartNumberingAfterBreak="0">
    <w:nsid w:val="099F39D2"/>
    <w:multiLevelType w:val="multilevel"/>
    <w:tmpl w:val="1376D2A8"/>
    <w:styleLink w:val="Style1"/>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3.1.1"/>
      <w:lvlJc w:val="left"/>
      <w:pPr>
        <w:tabs>
          <w:tab w:val="num" w:pos="851"/>
        </w:tabs>
        <w:ind w:left="851" w:hanging="851"/>
      </w:pPr>
      <w:rPr>
        <w:rFonts w:ascii="Times New Roman" w:hAnsi="Times New Roman" w:hint="default"/>
        <w:color w:val="auto"/>
      </w:rPr>
    </w:lvl>
    <w:lvl w:ilvl="3">
      <w:start w:val="1"/>
      <w:numFmt w:val="lowerLetter"/>
      <w:lvlText w:val="(%4)"/>
      <w:lvlJc w:val="left"/>
      <w:pPr>
        <w:tabs>
          <w:tab w:val="num" w:pos="851"/>
        </w:tabs>
        <w:ind w:left="851" w:hanging="851"/>
      </w:pPr>
      <w:rPr>
        <w:rFonts w:hint="default"/>
      </w:rPr>
    </w:lvl>
    <w:lvl w:ilvl="4">
      <w:start w:val="1"/>
      <w:numFmt w:val="lowerRoman"/>
      <w:lvlText w:val="%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3" w15:restartNumberingAfterBreak="0">
    <w:nsid w:val="0B8D5499"/>
    <w:multiLevelType w:val="multilevel"/>
    <w:tmpl w:val="8BE444DC"/>
    <w:styleLink w:val="AHRCReportHeadings"/>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none"/>
      <w:pStyle w:val="AHRCheading5"/>
      <w:lvlText w:val="-"/>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4" w15:restartNumberingAfterBreak="0">
    <w:nsid w:val="0E050F50"/>
    <w:multiLevelType w:val="hybridMultilevel"/>
    <w:tmpl w:val="1FA458E6"/>
    <w:styleLink w:val="ImportedStyle30"/>
    <w:lvl w:ilvl="0" w:tplc="DB445D1A">
      <w:start w:val="1"/>
      <w:numFmt w:val="bullet"/>
      <w:lvlText w:val="•"/>
      <w:lvlJc w:val="left"/>
      <w:pPr>
        <w:tabs>
          <w:tab w:val="left" w:pos="1440"/>
        </w:tabs>
        <w:ind w:left="432" w:hanging="432"/>
      </w:pPr>
      <w:rPr>
        <w:rFonts w:hAnsi="Arial Unicode MS"/>
        <w:caps w:val="0"/>
        <w:smallCaps w:val="0"/>
        <w:strike w:val="0"/>
        <w:dstrike w:val="0"/>
        <w:outline w:val="0"/>
        <w:emboss w:val="0"/>
        <w:imprint w:val="0"/>
        <w:spacing w:val="0"/>
        <w:w w:val="100"/>
        <w:kern w:val="0"/>
        <w:position w:val="0"/>
        <w:sz w:val="26"/>
        <w:szCs w:val="26"/>
        <w:highlight w:val="none"/>
        <w:vertAlign w:val="baseline"/>
      </w:rPr>
    </w:lvl>
    <w:lvl w:ilvl="1" w:tplc="2862924C">
      <w:start w:val="1"/>
      <w:numFmt w:val="bullet"/>
      <w:lvlText w:val="·"/>
      <w:lvlJc w:val="left"/>
      <w:pPr>
        <w:ind w:left="14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2" w:tplc="EE4C5C44">
      <w:start w:val="1"/>
      <w:numFmt w:val="bullet"/>
      <w:lvlText w:val="·"/>
      <w:lvlJc w:val="left"/>
      <w:pPr>
        <w:tabs>
          <w:tab w:val="left" w:pos="1440"/>
        </w:tabs>
        <w:ind w:left="21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3" w:tplc="FE04AE08">
      <w:start w:val="1"/>
      <w:numFmt w:val="bullet"/>
      <w:lvlText w:val="·"/>
      <w:lvlJc w:val="left"/>
      <w:pPr>
        <w:tabs>
          <w:tab w:val="left" w:pos="1440"/>
        </w:tabs>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B440228">
      <w:start w:val="1"/>
      <w:numFmt w:val="bullet"/>
      <w:lvlText w:val="·"/>
      <w:lvlJc w:val="left"/>
      <w:pPr>
        <w:tabs>
          <w:tab w:val="left" w:pos="1440"/>
        </w:tabs>
        <w:ind w:left="3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336C2E76">
      <w:start w:val="1"/>
      <w:numFmt w:val="bullet"/>
      <w:lvlText w:val="·"/>
      <w:lvlJc w:val="left"/>
      <w:pPr>
        <w:tabs>
          <w:tab w:val="left" w:pos="1440"/>
        </w:tabs>
        <w:ind w:left="45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AD1CB834">
      <w:start w:val="1"/>
      <w:numFmt w:val="bullet"/>
      <w:lvlText w:val="·"/>
      <w:lvlJc w:val="left"/>
      <w:pPr>
        <w:tabs>
          <w:tab w:val="left" w:pos="1440"/>
        </w:tabs>
        <w:ind w:left="54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11AC4BFC">
      <w:start w:val="1"/>
      <w:numFmt w:val="bullet"/>
      <w:lvlText w:val="·"/>
      <w:lvlJc w:val="left"/>
      <w:pPr>
        <w:tabs>
          <w:tab w:val="left" w:pos="1440"/>
        </w:tabs>
        <w:ind w:left="62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8E6ADEA2">
      <w:start w:val="1"/>
      <w:numFmt w:val="bullet"/>
      <w:lvlText w:val="·"/>
      <w:lvlJc w:val="left"/>
      <w:pPr>
        <w:tabs>
          <w:tab w:val="left" w:pos="1440"/>
        </w:tabs>
        <w:ind w:left="70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5" w15:restartNumberingAfterBreak="0">
    <w:nsid w:val="17ED0920"/>
    <w:multiLevelType w:val="hybridMultilevel"/>
    <w:tmpl w:val="6220C456"/>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1C1B7FCD"/>
    <w:multiLevelType w:val="hybridMultilevel"/>
    <w:tmpl w:val="63620CA0"/>
    <w:styleLink w:val="ImportedStyle3"/>
    <w:lvl w:ilvl="0" w:tplc="C66EF078">
      <w:start w:val="1"/>
      <w:numFmt w:val="decimal"/>
      <w:lvlText w:val="%1."/>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1" w:tplc="E9029150">
      <w:start w:val="1"/>
      <w:numFmt w:val="decimal"/>
      <w:lvlText w:val="%2."/>
      <w:lvlJc w:val="left"/>
      <w:pPr>
        <w:tabs>
          <w:tab w:val="left" w:pos="720"/>
        </w:tabs>
        <w:ind w:left="1440" w:hanging="517"/>
      </w:pPr>
      <w:rPr>
        <w:rFonts w:hAnsi="Arial Unicode MS"/>
        <w:caps w:val="0"/>
        <w:smallCaps w:val="0"/>
        <w:strike w:val="0"/>
        <w:dstrike w:val="0"/>
        <w:outline w:val="0"/>
        <w:emboss w:val="0"/>
        <w:imprint w:val="0"/>
        <w:spacing w:val="0"/>
        <w:w w:val="100"/>
        <w:kern w:val="0"/>
        <w:position w:val="0"/>
        <w:highlight w:val="none"/>
        <w:vertAlign w:val="baseline"/>
      </w:rPr>
    </w:lvl>
    <w:lvl w:ilvl="2" w:tplc="49BAB57E">
      <w:start w:val="1"/>
      <w:numFmt w:val="lowerRoman"/>
      <w:lvlText w:val="%3."/>
      <w:lvlJc w:val="left"/>
      <w:pPr>
        <w:tabs>
          <w:tab w:val="left" w:pos="720"/>
        </w:tabs>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 w:ilvl="3" w:tplc="41442DD0">
      <w:start w:val="1"/>
      <w:numFmt w:val="lowerRoman"/>
      <w:lvlText w:val="%4."/>
      <w:lvlJc w:val="left"/>
      <w:pPr>
        <w:tabs>
          <w:tab w:val="left" w:pos="720"/>
        </w:tabs>
        <w:ind w:left="2880" w:hanging="337"/>
      </w:pPr>
      <w:rPr>
        <w:rFonts w:hAnsi="Arial Unicode MS"/>
        <w:caps w:val="0"/>
        <w:smallCaps w:val="0"/>
        <w:strike w:val="0"/>
        <w:dstrike w:val="0"/>
        <w:outline w:val="0"/>
        <w:emboss w:val="0"/>
        <w:imprint w:val="0"/>
        <w:spacing w:val="0"/>
        <w:w w:val="100"/>
        <w:kern w:val="0"/>
        <w:position w:val="0"/>
        <w:highlight w:val="none"/>
        <w:vertAlign w:val="baseline"/>
      </w:rPr>
    </w:lvl>
    <w:lvl w:ilvl="4" w:tplc="EDF09F16">
      <w:start w:val="1"/>
      <w:numFmt w:val="lowerLetter"/>
      <w:lvlText w:val="%5."/>
      <w:lvlJc w:val="left"/>
      <w:pPr>
        <w:tabs>
          <w:tab w:val="left" w:pos="720"/>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B11AE6CE">
      <w:start w:val="1"/>
      <w:numFmt w:val="lowerRoman"/>
      <w:lvlText w:val="%6."/>
      <w:lvlJc w:val="left"/>
      <w:pPr>
        <w:tabs>
          <w:tab w:val="left" w:pos="720"/>
        </w:tabs>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 w:ilvl="6" w:tplc="33B8A9BE">
      <w:start w:val="1"/>
      <w:numFmt w:val="decimal"/>
      <w:lvlText w:val="%7."/>
      <w:lvlJc w:val="left"/>
      <w:pPr>
        <w:tabs>
          <w:tab w:val="left" w:pos="720"/>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7004DC08">
      <w:start w:val="1"/>
      <w:numFmt w:val="lowerLetter"/>
      <w:lvlText w:val="%8."/>
      <w:lvlJc w:val="left"/>
      <w:pPr>
        <w:tabs>
          <w:tab w:val="left" w:pos="720"/>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B4F21F14">
      <w:start w:val="1"/>
      <w:numFmt w:val="lowerRoman"/>
      <w:lvlText w:val="%9."/>
      <w:lvlJc w:val="left"/>
      <w:pPr>
        <w:tabs>
          <w:tab w:val="left" w:pos="720"/>
        </w:tabs>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7" w15:restartNumberingAfterBreak="0">
    <w:nsid w:val="1DCB237C"/>
    <w:multiLevelType w:val="hybridMultilevel"/>
    <w:tmpl w:val="ECA29156"/>
    <w:lvl w:ilvl="0" w:tplc="6DB07808">
      <w:start w:val="1"/>
      <w:numFmt w:val="decimal"/>
      <w:pStyle w:val="SubmissionNormal"/>
      <w:lvlText w:val="%1."/>
      <w:lvlJc w:val="left"/>
      <w:pPr>
        <w:tabs>
          <w:tab w:val="num" w:pos="720"/>
        </w:tabs>
        <w:ind w:left="720" w:hanging="360"/>
      </w:pPr>
      <w:rPr>
        <w:rFonts w:hint="default"/>
        <w:b w:val="0"/>
        <w:bCs/>
      </w:rPr>
    </w:lvl>
    <w:lvl w:ilvl="1" w:tplc="D7545086">
      <w:start w:val="1"/>
      <w:numFmt w:val="bullet"/>
      <w:pStyle w:val="Style2"/>
      <w:lvlText w:val=""/>
      <w:lvlJc w:val="left"/>
      <w:pPr>
        <w:ind w:left="1440" w:hanging="360"/>
      </w:pPr>
      <w:rPr>
        <w:rFonts w:ascii="Symbol" w:hAnsi="Symbol" w:hint="default"/>
      </w:rPr>
    </w:lvl>
    <w:lvl w:ilvl="2" w:tplc="0C09001B">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8" w15:restartNumberingAfterBreak="0">
    <w:nsid w:val="20337929"/>
    <w:multiLevelType w:val="singleLevel"/>
    <w:tmpl w:val="0862F6CA"/>
    <w:lvl w:ilvl="0">
      <w:start w:val="1"/>
      <w:numFmt w:val="bullet"/>
      <w:pStyle w:val="Bullet"/>
      <w:lvlText w:val="•"/>
      <w:lvlJc w:val="left"/>
      <w:pPr>
        <w:tabs>
          <w:tab w:val="num" w:pos="360"/>
        </w:tabs>
        <w:ind w:left="360" w:hanging="360"/>
      </w:pPr>
      <w:rPr>
        <w:rFonts w:ascii="Arial" w:hAnsi="Arial" w:hint="default"/>
        <w:sz w:val="21"/>
      </w:rPr>
    </w:lvl>
  </w:abstractNum>
  <w:abstractNum w:abstractNumId="19"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0" w15:restartNumberingAfterBreak="0">
    <w:nsid w:val="236A5600"/>
    <w:multiLevelType w:val="hybridMultilevel"/>
    <w:tmpl w:val="AB123EEE"/>
    <w:lvl w:ilvl="0" w:tplc="A9B8A952">
      <w:start w:val="1"/>
      <w:numFmt w:val="decimal"/>
      <w:pStyle w:val="AHRCEndnote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2E5B1FBC"/>
    <w:multiLevelType w:val="hybridMultilevel"/>
    <w:tmpl w:val="2BEED010"/>
    <w:lvl w:ilvl="0" w:tplc="ADB23B50">
      <w:start w:val="1"/>
      <w:numFmt w:val="lowerLetter"/>
      <w:lvlText w:val="%1)"/>
      <w:lvlJc w:val="left"/>
      <w:pPr>
        <w:ind w:left="523" w:hanging="290"/>
      </w:pPr>
      <w:rPr>
        <w:rFonts w:ascii="Arial" w:eastAsia="Arial" w:hAnsi="Arial" w:cs="Arial" w:hint="default"/>
        <w:b/>
        <w:bCs/>
        <w:i w:val="0"/>
        <w:iCs w:val="0"/>
        <w:spacing w:val="0"/>
        <w:w w:val="100"/>
        <w:sz w:val="20"/>
        <w:szCs w:val="20"/>
        <w:lang w:val="en-US" w:eastAsia="en-US" w:bidi="ar-SA"/>
      </w:rPr>
    </w:lvl>
    <w:lvl w:ilvl="1" w:tplc="B6100214">
      <w:numFmt w:val="bullet"/>
      <w:lvlText w:val="•"/>
      <w:lvlJc w:val="left"/>
      <w:pPr>
        <w:ind w:left="1466" w:hanging="290"/>
      </w:pPr>
      <w:rPr>
        <w:rFonts w:hint="default"/>
        <w:lang w:val="en-US" w:eastAsia="en-US" w:bidi="ar-SA"/>
      </w:rPr>
    </w:lvl>
    <w:lvl w:ilvl="2" w:tplc="0C7ADF58">
      <w:numFmt w:val="bullet"/>
      <w:lvlText w:val="•"/>
      <w:lvlJc w:val="left"/>
      <w:pPr>
        <w:ind w:left="2413" w:hanging="290"/>
      </w:pPr>
      <w:rPr>
        <w:rFonts w:hint="default"/>
        <w:lang w:val="en-US" w:eastAsia="en-US" w:bidi="ar-SA"/>
      </w:rPr>
    </w:lvl>
    <w:lvl w:ilvl="3" w:tplc="EAFC5A40">
      <w:numFmt w:val="bullet"/>
      <w:lvlText w:val="•"/>
      <w:lvlJc w:val="left"/>
      <w:pPr>
        <w:ind w:left="3359" w:hanging="290"/>
      </w:pPr>
      <w:rPr>
        <w:rFonts w:hint="default"/>
        <w:lang w:val="en-US" w:eastAsia="en-US" w:bidi="ar-SA"/>
      </w:rPr>
    </w:lvl>
    <w:lvl w:ilvl="4" w:tplc="CF440BF8">
      <w:numFmt w:val="bullet"/>
      <w:lvlText w:val="•"/>
      <w:lvlJc w:val="left"/>
      <w:pPr>
        <w:ind w:left="4306" w:hanging="290"/>
      </w:pPr>
      <w:rPr>
        <w:rFonts w:hint="default"/>
        <w:lang w:val="en-US" w:eastAsia="en-US" w:bidi="ar-SA"/>
      </w:rPr>
    </w:lvl>
    <w:lvl w:ilvl="5" w:tplc="65FC1368">
      <w:numFmt w:val="bullet"/>
      <w:lvlText w:val="•"/>
      <w:lvlJc w:val="left"/>
      <w:pPr>
        <w:ind w:left="5253" w:hanging="290"/>
      </w:pPr>
      <w:rPr>
        <w:rFonts w:hint="default"/>
        <w:lang w:val="en-US" w:eastAsia="en-US" w:bidi="ar-SA"/>
      </w:rPr>
    </w:lvl>
    <w:lvl w:ilvl="6" w:tplc="CEFA07FE">
      <w:numFmt w:val="bullet"/>
      <w:lvlText w:val="•"/>
      <w:lvlJc w:val="left"/>
      <w:pPr>
        <w:ind w:left="6199" w:hanging="290"/>
      </w:pPr>
      <w:rPr>
        <w:rFonts w:hint="default"/>
        <w:lang w:val="en-US" w:eastAsia="en-US" w:bidi="ar-SA"/>
      </w:rPr>
    </w:lvl>
    <w:lvl w:ilvl="7" w:tplc="0652F45A">
      <w:numFmt w:val="bullet"/>
      <w:lvlText w:val="•"/>
      <w:lvlJc w:val="left"/>
      <w:pPr>
        <w:ind w:left="7146" w:hanging="290"/>
      </w:pPr>
      <w:rPr>
        <w:rFonts w:hint="default"/>
        <w:lang w:val="en-US" w:eastAsia="en-US" w:bidi="ar-SA"/>
      </w:rPr>
    </w:lvl>
    <w:lvl w:ilvl="8" w:tplc="C69AA8E4">
      <w:numFmt w:val="bullet"/>
      <w:lvlText w:val="•"/>
      <w:lvlJc w:val="left"/>
      <w:pPr>
        <w:ind w:left="8092" w:hanging="290"/>
      </w:pPr>
      <w:rPr>
        <w:rFonts w:hint="default"/>
        <w:lang w:val="en-US" w:eastAsia="en-US" w:bidi="ar-SA"/>
      </w:rPr>
    </w:lvl>
  </w:abstractNum>
  <w:abstractNum w:abstractNumId="22" w15:restartNumberingAfterBreak="0">
    <w:nsid w:val="3A894C10"/>
    <w:multiLevelType w:val="hybridMultilevel"/>
    <w:tmpl w:val="7AE2943A"/>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3"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45A75C2C"/>
    <w:multiLevelType w:val="hybridMultilevel"/>
    <w:tmpl w:val="23E0B04E"/>
    <w:lvl w:ilvl="0" w:tplc="FFFFFFFF">
      <w:start w:val="1"/>
      <w:numFmt w:val="decimal"/>
      <w:lvlText w:val="%1."/>
      <w:lvlJc w:val="left"/>
      <w:pPr>
        <w:tabs>
          <w:tab w:val="num" w:pos="720"/>
        </w:tabs>
        <w:ind w:left="720" w:hanging="360"/>
      </w:pPr>
      <w:rPr>
        <w:rFonts w:hint="default"/>
        <w:b w:val="0"/>
        <w:bCs/>
      </w:rPr>
    </w:lvl>
    <w:lvl w:ilvl="1" w:tplc="FFFFFFFF">
      <w:start w:val="1"/>
      <w:numFmt w:val="bullet"/>
      <w:lvlText w:val=""/>
      <w:lvlJc w:val="left"/>
      <w:pPr>
        <w:ind w:left="1440" w:hanging="360"/>
      </w:pPr>
      <w:rPr>
        <w:rFonts w:ascii="Symbol" w:hAnsi="Symbol" w:hint="default"/>
      </w:rPr>
    </w:lvl>
    <w:lvl w:ilvl="2" w:tplc="D7545086">
      <w:start w:val="1"/>
      <w:numFmt w:val="bullet"/>
      <w:lvlText w:val=""/>
      <w:lvlJc w:val="left"/>
      <w:pPr>
        <w:ind w:left="2340" w:hanging="360"/>
      </w:pPr>
      <w:rPr>
        <w:rFonts w:ascii="Symbol" w:hAnsi="Symbol" w:hint="default"/>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5" w15:restartNumberingAfterBreak="0">
    <w:nsid w:val="49FF7A73"/>
    <w:multiLevelType w:val="multilevel"/>
    <w:tmpl w:val="B7B64678"/>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26"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cs="Times New Roman"/>
        <w:sz w:val="24"/>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7"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8" w15:restartNumberingAfterBreak="0">
    <w:nsid w:val="4F3B5B77"/>
    <w:multiLevelType w:val="multilevel"/>
    <w:tmpl w:val="4FA4D394"/>
    <w:lvl w:ilvl="0">
      <w:start w:val="1"/>
      <w:numFmt w:val="decimal"/>
      <w:lvlText w:val="%1."/>
      <w:lvlJc w:val="left"/>
      <w:pPr>
        <w:tabs>
          <w:tab w:val="num" w:pos="720"/>
        </w:tabs>
        <w:ind w:left="720" w:hanging="720"/>
      </w:pPr>
      <w:rPr>
        <w:rFonts w:cs="Times New Roman" w:hint="default"/>
        <w:b w:val="0"/>
        <w:i w:val="0"/>
      </w:rPr>
    </w:lvl>
    <w:lvl w:ilvl="1">
      <w:start w:val="1"/>
      <w:numFmt w:val="bullet"/>
      <w:lvlText w:val=""/>
      <w:lvlJc w:val="left"/>
      <w:pPr>
        <w:ind w:left="1440" w:hanging="360"/>
      </w:pPr>
      <w:rPr>
        <w:rFonts w:ascii="Symbol" w:hAnsi="Symbol" w:hint="default"/>
      </w:rPr>
    </w:lvl>
    <w:lvl w:ilvl="2">
      <w:start w:val="1"/>
      <w:numFmt w:val="lowerRoman"/>
      <w:lvlText w:val="%3."/>
      <w:lvlJc w:val="right"/>
      <w:pPr>
        <w:tabs>
          <w:tab w:val="num" w:pos="2160"/>
        </w:tabs>
        <w:ind w:left="2160" w:hanging="180"/>
      </w:pPr>
      <w:rPr>
        <w:rFonts w:cs="Times New Roman" w:hint="default"/>
      </w:rPr>
    </w:lvl>
    <w:lvl w:ilvl="3">
      <w:start w:val="1"/>
      <w:numFmt w:val="bullet"/>
      <w:lvlText w:val=""/>
      <w:lvlJc w:val="left"/>
      <w:pPr>
        <w:tabs>
          <w:tab w:val="num" w:pos="2880"/>
        </w:tabs>
        <w:ind w:left="2880" w:hanging="360"/>
      </w:pPr>
      <w:rPr>
        <w:rFonts w:ascii="Symbol" w:hAnsi="Symbol"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29" w15:restartNumberingAfterBreak="0">
    <w:nsid w:val="543C4951"/>
    <w:multiLevelType w:val="multilevel"/>
    <w:tmpl w:val="4FA4D394"/>
    <w:lvl w:ilvl="0">
      <w:start w:val="1"/>
      <w:numFmt w:val="decimal"/>
      <w:lvlText w:val="%1."/>
      <w:lvlJc w:val="left"/>
      <w:pPr>
        <w:tabs>
          <w:tab w:val="num" w:pos="720"/>
        </w:tabs>
        <w:ind w:left="720" w:hanging="720"/>
      </w:pPr>
      <w:rPr>
        <w:rFonts w:cs="Times New Roman" w:hint="default"/>
        <w:b w:val="0"/>
        <w:i w:val="0"/>
      </w:rPr>
    </w:lvl>
    <w:lvl w:ilvl="1">
      <w:start w:val="1"/>
      <w:numFmt w:val="bullet"/>
      <w:lvlText w:val=""/>
      <w:lvlJc w:val="left"/>
      <w:pPr>
        <w:ind w:left="1440" w:hanging="360"/>
      </w:pPr>
      <w:rPr>
        <w:rFonts w:ascii="Symbol" w:hAnsi="Symbol" w:hint="default"/>
      </w:rPr>
    </w:lvl>
    <w:lvl w:ilvl="2">
      <w:start w:val="1"/>
      <w:numFmt w:val="lowerRoman"/>
      <w:lvlText w:val="%3."/>
      <w:lvlJc w:val="right"/>
      <w:pPr>
        <w:tabs>
          <w:tab w:val="num" w:pos="2160"/>
        </w:tabs>
        <w:ind w:left="2160" w:hanging="180"/>
      </w:pPr>
      <w:rPr>
        <w:rFonts w:cs="Times New Roman" w:hint="default"/>
      </w:rPr>
    </w:lvl>
    <w:lvl w:ilvl="3">
      <w:start w:val="1"/>
      <w:numFmt w:val="bullet"/>
      <w:lvlText w:val=""/>
      <w:lvlJc w:val="left"/>
      <w:pPr>
        <w:tabs>
          <w:tab w:val="num" w:pos="2880"/>
        </w:tabs>
        <w:ind w:left="2880" w:hanging="360"/>
      </w:pPr>
      <w:rPr>
        <w:rFonts w:ascii="Symbol" w:hAnsi="Symbol"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30" w15:restartNumberingAfterBreak="0">
    <w:nsid w:val="55E751D7"/>
    <w:multiLevelType w:val="hybridMultilevel"/>
    <w:tmpl w:val="7AE4DDBE"/>
    <w:lvl w:ilvl="0" w:tplc="73C84C32">
      <w:start w:val="1"/>
      <w:numFmt w:val="decimal"/>
      <w:pStyle w:val="ListLevel1"/>
      <w:lvlText w:val="%1."/>
      <w:lvlJc w:val="left"/>
      <w:pPr>
        <w:ind w:left="797" w:hanging="681"/>
      </w:pPr>
      <w:rPr>
        <w:rFonts w:ascii="Open Sans" w:eastAsia="Arial" w:hAnsi="Open Sans" w:cs="Open Sans" w:hint="default"/>
        <w:color w:val="231F20"/>
        <w:spacing w:val="-14"/>
        <w:w w:val="100"/>
        <w:sz w:val="24"/>
        <w:szCs w:val="24"/>
      </w:rPr>
    </w:lvl>
    <w:lvl w:ilvl="1" w:tplc="CBC60F52">
      <w:start w:val="1"/>
      <w:numFmt w:val="lowerLetter"/>
      <w:pStyle w:val="ListLevel2"/>
      <w:lvlText w:val="(%2)"/>
      <w:lvlJc w:val="left"/>
      <w:pPr>
        <w:ind w:left="1648" w:hanging="227"/>
      </w:pPr>
      <w:rPr>
        <w:rFonts w:hint="default"/>
        <w:caps w:val="0"/>
        <w:smallCaps w:val="0"/>
        <w:strike w:val="0"/>
        <w:dstrike w:val="0"/>
        <w:color w:val="000000"/>
        <w:spacing w:val="0"/>
        <w:w w:val="100"/>
        <w:kern w:val="0"/>
        <w:position w:val="0"/>
        <w:sz w:val="22"/>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2" w:tplc="0C09001B">
      <w:start w:val="1"/>
      <w:numFmt w:val="lowerRoman"/>
      <w:lvlText w:val="%3."/>
      <w:lvlJc w:val="right"/>
      <w:pPr>
        <w:ind w:left="2613" w:hanging="360"/>
      </w:pPr>
      <w:rPr>
        <w:rFonts w:cs="Times New Roman"/>
      </w:rPr>
    </w:lvl>
    <w:lvl w:ilvl="3" w:tplc="0EF419F4">
      <w:numFmt w:val="bullet"/>
      <w:lvlText w:val="•"/>
      <w:lvlJc w:val="left"/>
      <w:pPr>
        <w:ind w:left="3321" w:hanging="227"/>
      </w:pPr>
      <w:rPr>
        <w:rFonts w:hint="default"/>
      </w:rPr>
    </w:lvl>
    <w:lvl w:ilvl="4" w:tplc="F41ECD4E">
      <w:numFmt w:val="bullet"/>
      <w:lvlText w:val="•"/>
      <w:lvlJc w:val="left"/>
      <w:pPr>
        <w:ind w:left="4161" w:hanging="227"/>
      </w:pPr>
      <w:rPr>
        <w:rFonts w:hint="default"/>
      </w:rPr>
    </w:lvl>
    <w:lvl w:ilvl="5" w:tplc="DD54768C">
      <w:numFmt w:val="bullet"/>
      <w:lvlText w:val="•"/>
      <w:lvlJc w:val="left"/>
      <w:pPr>
        <w:ind w:left="5002" w:hanging="227"/>
      </w:pPr>
      <w:rPr>
        <w:rFonts w:hint="default"/>
      </w:rPr>
    </w:lvl>
    <w:lvl w:ilvl="6" w:tplc="6E60E896">
      <w:numFmt w:val="bullet"/>
      <w:lvlText w:val="•"/>
      <w:lvlJc w:val="left"/>
      <w:pPr>
        <w:ind w:left="5843" w:hanging="227"/>
      </w:pPr>
      <w:rPr>
        <w:rFonts w:hint="default"/>
      </w:rPr>
    </w:lvl>
    <w:lvl w:ilvl="7" w:tplc="468E0412">
      <w:numFmt w:val="bullet"/>
      <w:lvlText w:val="•"/>
      <w:lvlJc w:val="left"/>
      <w:pPr>
        <w:ind w:left="6683" w:hanging="227"/>
      </w:pPr>
      <w:rPr>
        <w:rFonts w:hint="default"/>
      </w:rPr>
    </w:lvl>
    <w:lvl w:ilvl="8" w:tplc="64E05C64">
      <w:numFmt w:val="bullet"/>
      <w:lvlText w:val="•"/>
      <w:lvlJc w:val="left"/>
      <w:pPr>
        <w:ind w:left="7524" w:hanging="227"/>
      </w:pPr>
      <w:rPr>
        <w:rFonts w:hint="default"/>
      </w:rPr>
    </w:lvl>
  </w:abstractNum>
  <w:abstractNum w:abstractNumId="31" w15:restartNumberingAfterBreak="0">
    <w:nsid w:val="64D628DC"/>
    <w:multiLevelType w:val="hybridMultilevel"/>
    <w:tmpl w:val="809658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23B04EF"/>
    <w:multiLevelType w:val="hybridMultilevel"/>
    <w:tmpl w:val="0EE26F5C"/>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33" w15:restartNumberingAfterBreak="0">
    <w:nsid w:val="7638191F"/>
    <w:multiLevelType w:val="hybridMultilevel"/>
    <w:tmpl w:val="E35E5292"/>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E6B2A3E"/>
    <w:multiLevelType w:val="multilevel"/>
    <w:tmpl w:val="8BE444DC"/>
    <w:numStyleLink w:val="AHRCReportHeadings"/>
  </w:abstractNum>
  <w:num w:numId="1" w16cid:durableId="581374011">
    <w:abstractNumId w:val="25"/>
  </w:num>
  <w:num w:numId="2" w16cid:durableId="64169285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69682081">
    <w:abstractNumId w:val="9"/>
  </w:num>
  <w:num w:numId="4" w16cid:durableId="1883512684">
    <w:abstractNumId w:val="7"/>
  </w:num>
  <w:num w:numId="5" w16cid:durableId="1650941266">
    <w:abstractNumId w:val="6"/>
  </w:num>
  <w:num w:numId="6" w16cid:durableId="1860467034">
    <w:abstractNumId w:val="5"/>
  </w:num>
  <w:num w:numId="7" w16cid:durableId="1056854451">
    <w:abstractNumId w:val="4"/>
  </w:num>
  <w:num w:numId="8" w16cid:durableId="13240052">
    <w:abstractNumId w:val="8"/>
  </w:num>
  <w:num w:numId="9" w16cid:durableId="187647504">
    <w:abstractNumId w:val="1"/>
  </w:num>
  <w:num w:numId="10" w16cid:durableId="89813677">
    <w:abstractNumId w:val="0"/>
  </w:num>
  <w:num w:numId="11" w16cid:durableId="1552881397">
    <w:abstractNumId w:val="3"/>
  </w:num>
  <w:num w:numId="12" w16cid:durableId="1813982621">
    <w:abstractNumId w:val="2"/>
  </w:num>
  <w:num w:numId="13" w16cid:durableId="34355955">
    <w:abstractNumId w:val="27"/>
  </w:num>
  <w:num w:numId="14" w16cid:durableId="2014839970">
    <w:abstractNumId w:val="23"/>
  </w:num>
  <w:num w:numId="15" w16cid:durableId="55594143">
    <w:abstractNumId w:val="19"/>
  </w:num>
  <w:num w:numId="16" w16cid:durableId="1340621252">
    <w:abstractNumId w:val="17"/>
  </w:num>
  <w:num w:numId="17" w16cid:durableId="591277383">
    <w:abstractNumId w:val="12"/>
  </w:num>
  <w:num w:numId="18" w16cid:durableId="43141801">
    <w:abstractNumId w:val="13"/>
  </w:num>
  <w:num w:numId="19" w16cid:durableId="1442844986">
    <w:abstractNumId w:val="34"/>
  </w:num>
  <w:num w:numId="20" w16cid:durableId="745421193">
    <w:abstractNumId w:val="31"/>
  </w:num>
  <w:num w:numId="21" w16cid:durableId="1456673214">
    <w:abstractNumId w:val="20"/>
  </w:num>
  <w:num w:numId="22" w16cid:durableId="1924798708">
    <w:abstractNumId w:val="26"/>
  </w:num>
  <w:num w:numId="23" w16cid:durableId="1120102965">
    <w:abstractNumId w:val="18"/>
  </w:num>
  <w:num w:numId="24" w16cid:durableId="2045401485">
    <w:abstractNumId w:val="10"/>
    <w:lvlOverride w:ilvl="0">
      <w:lvl w:ilvl="0">
        <w:start w:val="1"/>
        <w:numFmt w:val="bullet"/>
        <w:pStyle w:val="Dash"/>
        <w:lvlText w:val=""/>
        <w:legacy w:legacy="1" w:legacySpace="0" w:legacyIndent="397"/>
        <w:lvlJc w:val="left"/>
        <w:pPr>
          <w:ind w:left="681" w:hanging="397"/>
        </w:pPr>
        <w:rPr>
          <w:rFonts w:ascii="Symbol" w:hAnsi="Symbol" w:hint="default"/>
          <w:sz w:val="24"/>
        </w:rPr>
      </w:lvl>
    </w:lvlOverride>
  </w:num>
  <w:num w:numId="25" w16cid:durableId="1877742024">
    <w:abstractNumId w:val="16"/>
  </w:num>
  <w:num w:numId="26" w16cid:durableId="887256466">
    <w:abstractNumId w:val="14"/>
  </w:num>
  <w:num w:numId="27" w16cid:durableId="701592898">
    <w:abstractNumId w:val="28"/>
  </w:num>
  <w:num w:numId="28" w16cid:durableId="2020812450">
    <w:abstractNumId w:val="29"/>
  </w:num>
  <w:num w:numId="29" w16cid:durableId="1889029018">
    <w:abstractNumId w:val="11"/>
  </w:num>
  <w:num w:numId="30" w16cid:durableId="974680513">
    <w:abstractNumId w:val="30"/>
  </w:num>
  <w:num w:numId="31" w16cid:durableId="354042912">
    <w:abstractNumId w:val="22"/>
  </w:num>
  <w:num w:numId="32" w16cid:durableId="784347455">
    <w:abstractNumId w:val="33"/>
  </w:num>
  <w:num w:numId="33" w16cid:durableId="1910724597">
    <w:abstractNumId w:val="15"/>
  </w:num>
  <w:num w:numId="34" w16cid:durableId="168179067">
    <w:abstractNumId w:val="21"/>
  </w:num>
  <w:num w:numId="35" w16cid:durableId="1007175391">
    <w:abstractNumId w:val="24"/>
  </w:num>
  <w:num w:numId="36" w16cid:durableId="1300264033">
    <w:abstractNumId w:val="32"/>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stylePaneSortMethod w:val="0000"/>
  <w:documentProtection w:edit="trackedChanges" w:formatting="1" w:enforcement="0"/>
  <w:defaultTabStop w:val="720"/>
  <w:evenAndOddHeaders/>
  <w:drawingGridHorizontalSpacing w:val="120"/>
  <w:displayHorizontalDrawingGridEvery w:val="2"/>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25F1"/>
    <w:rsid w:val="000015EC"/>
    <w:rsid w:val="00003EA5"/>
    <w:rsid w:val="000161C2"/>
    <w:rsid w:val="0002476A"/>
    <w:rsid w:val="00036BE4"/>
    <w:rsid w:val="000430B8"/>
    <w:rsid w:val="00045712"/>
    <w:rsid w:val="00045C4B"/>
    <w:rsid w:val="000465F1"/>
    <w:rsid w:val="00047D4A"/>
    <w:rsid w:val="000534AC"/>
    <w:rsid w:val="00054A75"/>
    <w:rsid w:val="0005591E"/>
    <w:rsid w:val="000579B1"/>
    <w:rsid w:val="00060211"/>
    <w:rsid w:val="00061C6C"/>
    <w:rsid w:val="00065EEA"/>
    <w:rsid w:val="00066C68"/>
    <w:rsid w:val="00072EDA"/>
    <w:rsid w:val="000815B0"/>
    <w:rsid w:val="000838F4"/>
    <w:rsid w:val="00087606"/>
    <w:rsid w:val="00092868"/>
    <w:rsid w:val="00092904"/>
    <w:rsid w:val="00094E7D"/>
    <w:rsid w:val="000971A9"/>
    <w:rsid w:val="000A1DB8"/>
    <w:rsid w:val="000A48AC"/>
    <w:rsid w:val="000A520E"/>
    <w:rsid w:val="000A6081"/>
    <w:rsid w:val="000A702F"/>
    <w:rsid w:val="000B0603"/>
    <w:rsid w:val="000B0A5D"/>
    <w:rsid w:val="000B2A39"/>
    <w:rsid w:val="000B5B68"/>
    <w:rsid w:val="000B7A73"/>
    <w:rsid w:val="000C5608"/>
    <w:rsid w:val="000C5DA6"/>
    <w:rsid w:val="000D115B"/>
    <w:rsid w:val="000E130A"/>
    <w:rsid w:val="000E63AD"/>
    <w:rsid w:val="00121E74"/>
    <w:rsid w:val="0012305B"/>
    <w:rsid w:val="0012312D"/>
    <w:rsid w:val="00134774"/>
    <w:rsid w:val="00140274"/>
    <w:rsid w:val="001425F1"/>
    <w:rsid w:val="001507CF"/>
    <w:rsid w:val="00151263"/>
    <w:rsid w:val="0015239E"/>
    <w:rsid w:val="00162212"/>
    <w:rsid w:val="0016266F"/>
    <w:rsid w:val="00162A8D"/>
    <w:rsid w:val="00165E3C"/>
    <w:rsid w:val="001664F5"/>
    <w:rsid w:val="00173FB5"/>
    <w:rsid w:val="00174CB9"/>
    <w:rsid w:val="00174D9A"/>
    <w:rsid w:val="001839D6"/>
    <w:rsid w:val="00185E20"/>
    <w:rsid w:val="00186DAC"/>
    <w:rsid w:val="00192120"/>
    <w:rsid w:val="00195EDE"/>
    <w:rsid w:val="001B0353"/>
    <w:rsid w:val="001B38DE"/>
    <w:rsid w:val="001C1D02"/>
    <w:rsid w:val="001C1F8B"/>
    <w:rsid w:val="001D0285"/>
    <w:rsid w:val="001D02F5"/>
    <w:rsid w:val="001D709A"/>
    <w:rsid w:val="001E45BA"/>
    <w:rsid w:val="001E5676"/>
    <w:rsid w:val="001E6817"/>
    <w:rsid w:val="001F2BBB"/>
    <w:rsid w:val="001F52FD"/>
    <w:rsid w:val="001F62CC"/>
    <w:rsid w:val="00200677"/>
    <w:rsid w:val="002012F7"/>
    <w:rsid w:val="002027F6"/>
    <w:rsid w:val="0020483F"/>
    <w:rsid w:val="0020576C"/>
    <w:rsid w:val="002068EB"/>
    <w:rsid w:val="0021279B"/>
    <w:rsid w:val="00214DB2"/>
    <w:rsid w:val="002237B5"/>
    <w:rsid w:val="00231DAF"/>
    <w:rsid w:val="00231ED1"/>
    <w:rsid w:val="002329AE"/>
    <w:rsid w:val="00241523"/>
    <w:rsid w:val="00242624"/>
    <w:rsid w:val="0024557E"/>
    <w:rsid w:val="002471FD"/>
    <w:rsid w:val="0025176E"/>
    <w:rsid w:val="00253203"/>
    <w:rsid w:val="00257344"/>
    <w:rsid w:val="002632EA"/>
    <w:rsid w:val="00266697"/>
    <w:rsid w:val="00273E58"/>
    <w:rsid w:val="00274D92"/>
    <w:rsid w:val="002751C3"/>
    <w:rsid w:val="00275C6E"/>
    <w:rsid w:val="00280E56"/>
    <w:rsid w:val="002845A6"/>
    <w:rsid w:val="0028506A"/>
    <w:rsid w:val="002850B0"/>
    <w:rsid w:val="002863D7"/>
    <w:rsid w:val="002873B4"/>
    <w:rsid w:val="00290589"/>
    <w:rsid w:val="00292AB5"/>
    <w:rsid w:val="002A43C2"/>
    <w:rsid w:val="002B10BD"/>
    <w:rsid w:val="002B1B65"/>
    <w:rsid w:val="002C02DB"/>
    <w:rsid w:val="002C1866"/>
    <w:rsid w:val="002C5943"/>
    <w:rsid w:val="002D02AE"/>
    <w:rsid w:val="002D2E22"/>
    <w:rsid w:val="002D6483"/>
    <w:rsid w:val="002E5A1B"/>
    <w:rsid w:val="002E69CE"/>
    <w:rsid w:val="002F186C"/>
    <w:rsid w:val="002F4CE1"/>
    <w:rsid w:val="002F5E96"/>
    <w:rsid w:val="0030053D"/>
    <w:rsid w:val="00300F22"/>
    <w:rsid w:val="00301A7D"/>
    <w:rsid w:val="003026A0"/>
    <w:rsid w:val="00304441"/>
    <w:rsid w:val="00304A37"/>
    <w:rsid w:val="0031040E"/>
    <w:rsid w:val="00310ED4"/>
    <w:rsid w:val="00312301"/>
    <w:rsid w:val="0031492A"/>
    <w:rsid w:val="00316C1A"/>
    <w:rsid w:val="00321095"/>
    <w:rsid w:val="00323C73"/>
    <w:rsid w:val="0032451D"/>
    <w:rsid w:val="00327E37"/>
    <w:rsid w:val="00331141"/>
    <w:rsid w:val="00333204"/>
    <w:rsid w:val="003423F4"/>
    <w:rsid w:val="00344758"/>
    <w:rsid w:val="00345CED"/>
    <w:rsid w:val="00347142"/>
    <w:rsid w:val="00350D1B"/>
    <w:rsid w:val="00353C64"/>
    <w:rsid w:val="003565A8"/>
    <w:rsid w:val="003566EA"/>
    <w:rsid w:val="0036611F"/>
    <w:rsid w:val="00371BF5"/>
    <w:rsid w:val="003724A9"/>
    <w:rsid w:val="00372C79"/>
    <w:rsid w:val="00380AB9"/>
    <w:rsid w:val="0038291F"/>
    <w:rsid w:val="003977A2"/>
    <w:rsid w:val="003A168E"/>
    <w:rsid w:val="003A1DAD"/>
    <w:rsid w:val="003A48B7"/>
    <w:rsid w:val="003A50B1"/>
    <w:rsid w:val="003B00AC"/>
    <w:rsid w:val="003B320F"/>
    <w:rsid w:val="003E002C"/>
    <w:rsid w:val="003E52DB"/>
    <w:rsid w:val="003E5DEF"/>
    <w:rsid w:val="003E65F1"/>
    <w:rsid w:val="003E79B5"/>
    <w:rsid w:val="003E7A4E"/>
    <w:rsid w:val="003F4496"/>
    <w:rsid w:val="003F7FA3"/>
    <w:rsid w:val="004030CC"/>
    <w:rsid w:val="004037A5"/>
    <w:rsid w:val="0040497E"/>
    <w:rsid w:val="00411016"/>
    <w:rsid w:val="00416C6B"/>
    <w:rsid w:val="00420EEE"/>
    <w:rsid w:val="00422417"/>
    <w:rsid w:val="00424233"/>
    <w:rsid w:val="00434945"/>
    <w:rsid w:val="004416B1"/>
    <w:rsid w:val="00442D64"/>
    <w:rsid w:val="00445CB5"/>
    <w:rsid w:val="00445EEA"/>
    <w:rsid w:val="00447EA0"/>
    <w:rsid w:val="00460EE0"/>
    <w:rsid w:val="00467F2E"/>
    <w:rsid w:val="004712FB"/>
    <w:rsid w:val="00471BB7"/>
    <w:rsid w:val="00472EFF"/>
    <w:rsid w:val="00474063"/>
    <w:rsid w:val="00476793"/>
    <w:rsid w:val="00481B2A"/>
    <w:rsid w:val="00482091"/>
    <w:rsid w:val="00482503"/>
    <w:rsid w:val="00494AAE"/>
    <w:rsid w:val="00497AD2"/>
    <w:rsid w:val="004A0CFC"/>
    <w:rsid w:val="004A187B"/>
    <w:rsid w:val="004A24A5"/>
    <w:rsid w:val="004A2D3C"/>
    <w:rsid w:val="004A6716"/>
    <w:rsid w:val="004A7DC1"/>
    <w:rsid w:val="004B5EF9"/>
    <w:rsid w:val="004C0141"/>
    <w:rsid w:val="004C7412"/>
    <w:rsid w:val="004D04BF"/>
    <w:rsid w:val="004D4853"/>
    <w:rsid w:val="004E0DFF"/>
    <w:rsid w:val="004E1479"/>
    <w:rsid w:val="004F1C7C"/>
    <w:rsid w:val="004F788C"/>
    <w:rsid w:val="00500E69"/>
    <w:rsid w:val="00510390"/>
    <w:rsid w:val="005123F0"/>
    <w:rsid w:val="00512F13"/>
    <w:rsid w:val="00513540"/>
    <w:rsid w:val="00513941"/>
    <w:rsid w:val="005176CC"/>
    <w:rsid w:val="00526DBA"/>
    <w:rsid w:val="0053051D"/>
    <w:rsid w:val="005373D6"/>
    <w:rsid w:val="00540F5C"/>
    <w:rsid w:val="00561019"/>
    <w:rsid w:val="00564208"/>
    <w:rsid w:val="00571CEB"/>
    <w:rsid w:val="00577416"/>
    <w:rsid w:val="00591951"/>
    <w:rsid w:val="00592D1C"/>
    <w:rsid w:val="005A0964"/>
    <w:rsid w:val="005A2F77"/>
    <w:rsid w:val="005B36F6"/>
    <w:rsid w:val="005C0D84"/>
    <w:rsid w:val="005C2ECF"/>
    <w:rsid w:val="005C5D41"/>
    <w:rsid w:val="005C7982"/>
    <w:rsid w:val="005D1F34"/>
    <w:rsid w:val="005D383D"/>
    <w:rsid w:val="005D4ED1"/>
    <w:rsid w:val="005E19C5"/>
    <w:rsid w:val="005F3922"/>
    <w:rsid w:val="005F47DB"/>
    <w:rsid w:val="005F72FF"/>
    <w:rsid w:val="00615F54"/>
    <w:rsid w:val="00616F88"/>
    <w:rsid w:val="006221D9"/>
    <w:rsid w:val="00622508"/>
    <w:rsid w:val="00627684"/>
    <w:rsid w:val="0063009F"/>
    <w:rsid w:val="00631F58"/>
    <w:rsid w:val="00633538"/>
    <w:rsid w:val="006356C5"/>
    <w:rsid w:val="00636314"/>
    <w:rsid w:val="00643D6F"/>
    <w:rsid w:val="00644B30"/>
    <w:rsid w:val="0064572C"/>
    <w:rsid w:val="00650E26"/>
    <w:rsid w:val="006527F1"/>
    <w:rsid w:val="00654793"/>
    <w:rsid w:val="00654CAE"/>
    <w:rsid w:val="00655BF2"/>
    <w:rsid w:val="00657272"/>
    <w:rsid w:val="00664316"/>
    <w:rsid w:val="006718F2"/>
    <w:rsid w:val="0067540A"/>
    <w:rsid w:val="00677EBA"/>
    <w:rsid w:val="006811D9"/>
    <w:rsid w:val="00691E8A"/>
    <w:rsid w:val="00696AB3"/>
    <w:rsid w:val="006A328F"/>
    <w:rsid w:val="006A4237"/>
    <w:rsid w:val="006A6BB3"/>
    <w:rsid w:val="006B3DE1"/>
    <w:rsid w:val="006B55A6"/>
    <w:rsid w:val="006C0642"/>
    <w:rsid w:val="006D0407"/>
    <w:rsid w:val="006D5EE5"/>
    <w:rsid w:val="006E02B4"/>
    <w:rsid w:val="006E1561"/>
    <w:rsid w:val="006E5CD9"/>
    <w:rsid w:val="006E616B"/>
    <w:rsid w:val="006E6AA6"/>
    <w:rsid w:val="006E6D3B"/>
    <w:rsid w:val="006F1CDA"/>
    <w:rsid w:val="006F2993"/>
    <w:rsid w:val="006F72F0"/>
    <w:rsid w:val="007107BD"/>
    <w:rsid w:val="00713452"/>
    <w:rsid w:val="00714FF5"/>
    <w:rsid w:val="0072067A"/>
    <w:rsid w:val="00725581"/>
    <w:rsid w:val="00727145"/>
    <w:rsid w:val="00730BD2"/>
    <w:rsid w:val="0073101B"/>
    <w:rsid w:val="007465DA"/>
    <w:rsid w:val="007540BF"/>
    <w:rsid w:val="0075445D"/>
    <w:rsid w:val="007637A8"/>
    <w:rsid w:val="00764D6F"/>
    <w:rsid w:val="00765296"/>
    <w:rsid w:val="00765B58"/>
    <w:rsid w:val="00767612"/>
    <w:rsid w:val="00770DCB"/>
    <w:rsid w:val="00775485"/>
    <w:rsid w:val="00783532"/>
    <w:rsid w:val="007846B5"/>
    <w:rsid w:val="00793160"/>
    <w:rsid w:val="007A34A3"/>
    <w:rsid w:val="007B06EA"/>
    <w:rsid w:val="007B17AB"/>
    <w:rsid w:val="007B444D"/>
    <w:rsid w:val="007C5CF6"/>
    <w:rsid w:val="007D2F00"/>
    <w:rsid w:val="007D6CFA"/>
    <w:rsid w:val="007E5B88"/>
    <w:rsid w:val="007E5CCE"/>
    <w:rsid w:val="007F0D0B"/>
    <w:rsid w:val="007F29AC"/>
    <w:rsid w:val="008007A8"/>
    <w:rsid w:val="008042D9"/>
    <w:rsid w:val="008045BF"/>
    <w:rsid w:val="00814FC0"/>
    <w:rsid w:val="00817C73"/>
    <w:rsid w:val="00823005"/>
    <w:rsid w:val="00826B0B"/>
    <w:rsid w:val="00833CA7"/>
    <w:rsid w:val="00844839"/>
    <w:rsid w:val="008449B9"/>
    <w:rsid w:val="00846C3A"/>
    <w:rsid w:val="00847191"/>
    <w:rsid w:val="00853C00"/>
    <w:rsid w:val="00861E69"/>
    <w:rsid w:val="0086254F"/>
    <w:rsid w:val="008667A2"/>
    <w:rsid w:val="008724DE"/>
    <w:rsid w:val="00872FA2"/>
    <w:rsid w:val="008758D9"/>
    <w:rsid w:val="00882B0A"/>
    <w:rsid w:val="008852CF"/>
    <w:rsid w:val="00886967"/>
    <w:rsid w:val="008A041E"/>
    <w:rsid w:val="008A3D57"/>
    <w:rsid w:val="008A7305"/>
    <w:rsid w:val="008A7EFF"/>
    <w:rsid w:val="008B10B7"/>
    <w:rsid w:val="008B1F75"/>
    <w:rsid w:val="008B23BC"/>
    <w:rsid w:val="008B3899"/>
    <w:rsid w:val="008B4373"/>
    <w:rsid w:val="008B4BF4"/>
    <w:rsid w:val="008D04B1"/>
    <w:rsid w:val="008D71D1"/>
    <w:rsid w:val="008E328C"/>
    <w:rsid w:val="008E3D60"/>
    <w:rsid w:val="008E3F4C"/>
    <w:rsid w:val="008E4D72"/>
    <w:rsid w:val="008E78F0"/>
    <w:rsid w:val="008F062E"/>
    <w:rsid w:val="008F4AC9"/>
    <w:rsid w:val="0090165F"/>
    <w:rsid w:val="0090179E"/>
    <w:rsid w:val="00901B82"/>
    <w:rsid w:val="00902EC3"/>
    <w:rsid w:val="00904A9B"/>
    <w:rsid w:val="009079CD"/>
    <w:rsid w:val="00910B50"/>
    <w:rsid w:val="009113F5"/>
    <w:rsid w:val="0091231B"/>
    <w:rsid w:val="00912B09"/>
    <w:rsid w:val="00915B84"/>
    <w:rsid w:val="0091791D"/>
    <w:rsid w:val="0092333D"/>
    <w:rsid w:val="00934E5F"/>
    <w:rsid w:val="00936DD8"/>
    <w:rsid w:val="009432CF"/>
    <w:rsid w:val="00950E04"/>
    <w:rsid w:val="00957A34"/>
    <w:rsid w:val="00961135"/>
    <w:rsid w:val="00966C2F"/>
    <w:rsid w:val="0096742A"/>
    <w:rsid w:val="00971D49"/>
    <w:rsid w:val="0097512B"/>
    <w:rsid w:val="00982266"/>
    <w:rsid w:val="00982404"/>
    <w:rsid w:val="00990B81"/>
    <w:rsid w:val="00991878"/>
    <w:rsid w:val="00992486"/>
    <w:rsid w:val="009A1259"/>
    <w:rsid w:val="009A272F"/>
    <w:rsid w:val="009B1CCE"/>
    <w:rsid w:val="009B1DC5"/>
    <w:rsid w:val="009C1383"/>
    <w:rsid w:val="009C317B"/>
    <w:rsid w:val="009C707E"/>
    <w:rsid w:val="009D2D3E"/>
    <w:rsid w:val="009D4F31"/>
    <w:rsid w:val="009D634E"/>
    <w:rsid w:val="009D67F6"/>
    <w:rsid w:val="009D7E6C"/>
    <w:rsid w:val="009E08D1"/>
    <w:rsid w:val="009E0FE1"/>
    <w:rsid w:val="009E29FB"/>
    <w:rsid w:val="009E435C"/>
    <w:rsid w:val="009E4BD0"/>
    <w:rsid w:val="009E553F"/>
    <w:rsid w:val="009E564A"/>
    <w:rsid w:val="009E61E2"/>
    <w:rsid w:val="009F00BC"/>
    <w:rsid w:val="009F2764"/>
    <w:rsid w:val="00A0305E"/>
    <w:rsid w:val="00A0406E"/>
    <w:rsid w:val="00A04D9B"/>
    <w:rsid w:val="00A06E1E"/>
    <w:rsid w:val="00A071ED"/>
    <w:rsid w:val="00A10406"/>
    <w:rsid w:val="00A11307"/>
    <w:rsid w:val="00A13AF3"/>
    <w:rsid w:val="00A17412"/>
    <w:rsid w:val="00A21388"/>
    <w:rsid w:val="00A237C2"/>
    <w:rsid w:val="00A26189"/>
    <w:rsid w:val="00A27791"/>
    <w:rsid w:val="00A27ABE"/>
    <w:rsid w:val="00A355F9"/>
    <w:rsid w:val="00A35A49"/>
    <w:rsid w:val="00A372B3"/>
    <w:rsid w:val="00A41355"/>
    <w:rsid w:val="00A437B6"/>
    <w:rsid w:val="00A43B92"/>
    <w:rsid w:val="00A47BCC"/>
    <w:rsid w:val="00A51C1D"/>
    <w:rsid w:val="00A54251"/>
    <w:rsid w:val="00A6179E"/>
    <w:rsid w:val="00A62A7B"/>
    <w:rsid w:val="00A64316"/>
    <w:rsid w:val="00A804D9"/>
    <w:rsid w:val="00A8573B"/>
    <w:rsid w:val="00A92915"/>
    <w:rsid w:val="00A92C66"/>
    <w:rsid w:val="00A92D96"/>
    <w:rsid w:val="00A92F92"/>
    <w:rsid w:val="00A96892"/>
    <w:rsid w:val="00AA2051"/>
    <w:rsid w:val="00AA3EF7"/>
    <w:rsid w:val="00AA6FB1"/>
    <w:rsid w:val="00AA70C4"/>
    <w:rsid w:val="00AB7C8F"/>
    <w:rsid w:val="00AB7E6E"/>
    <w:rsid w:val="00AC2192"/>
    <w:rsid w:val="00AC4C85"/>
    <w:rsid w:val="00AC636D"/>
    <w:rsid w:val="00AD1EBF"/>
    <w:rsid w:val="00B00F61"/>
    <w:rsid w:val="00B07A84"/>
    <w:rsid w:val="00B10C7C"/>
    <w:rsid w:val="00B237FB"/>
    <w:rsid w:val="00B24B1D"/>
    <w:rsid w:val="00B26C33"/>
    <w:rsid w:val="00B277E0"/>
    <w:rsid w:val="00B27B33"/>
    <w:rsid w:val="00B27DD4"/>
    <w:rsid w:val="00B34946"/>
    <w:rsid w:val="00B41C71"/>
    <w:rsid w:val="00B519FD"/>
    <w:rsid w:val="00B520BC"/>
    <w:rsid w:val="00B5287A"/>
    <w:rsid w:val="00B539CC"/>
    <w:rsid w:val="00B63D24"/>
    <w:rsid w:val="00B74FF1"/>
    <w:rsid w:val="00B7561D"/>
    <w:rsid w:val="00B822C5"/>
    <w:rsid w:val="00B82C35"/>
    <w:rsid w:val="00B8523D"/>
    <w:rsid w:val="00B924E6"/>
    <w:rsid w:val="00B93F2A"/>
    <w:rsid w:val="00BA23E3"/>
    <w:rsid w:val="00BA262D"/>
    <w:rsid w:val="00BA5698"/>
    <w:rsid w:val="00BA7E13"/>
    <w:rsid w:val="00BB3A8E"/>
    <w:rsid w:val="00BB4D19"/>
    <w:rsid w:val="00BB72B5"/>
    <w:rsid w:val="00BC79EB"/>
    <w:rsid w:val="00BD7FCF"/>
    <w:rsid w:val="00BE2E28"/>
    <w:rsid w:val="00BE4AA7"/>
    <w:rsid w:val="00BE715A"/>
    <w:rsid w:val="00BF1AB8"/>
    <w:rsid w:val="00BF4976"/>
    <w:rsid w:val="00BF6406"/>
    <w:rsid w:val="00C0249B"/>
    <w:rsid w:val="00C064DC"/>
    <w:rsid w:val="00C132CA"/>
    <w:rsid w:val="00C149BD"/>
    <w:rsid w:val="00C24E4C"/>
    <w:rsid w:val="00C25BDA"/>
    <w:rsid w:val="00C319BB"/>
    <w:rsid w:val="00C33104"/>
    <w:rsid w:val="00C332D4"/>
    <w:rsid w:val="00C44AE3"/>
    <w:rsid w:val="00C4666F"/>
    <w:rsid w:val="00C471D1"/>
    <w:rsid w:val="00C51011"/>
    <w:rsid w:val="00C5605E"/>
    <w:rsid w:val="00C560AC"/>
    <w:rsid w:val="00C5781C"/>
    <w:rsid w:val="00C60036"/>
    <w:rsid w:val="00C60343"/>
    <w:rsid w:val="00C628CD"/>
    <w:rsid w:val="00C6349A"/>
    <w:rsid w:val="00C7387B"/>
    <w:rsid w:val="00C745C6"/>
    <w:rsid w:val="00C7536E"/>
    <w:rsid w:val="00C854D4"/>
    <w:rsid w:val="00C90556"/>
    <w:rsid w:val="00C960BA"/>
    <w:rsid w:val="00CA0D78"/>
    <w:rsid w:val="00CA4855"/>
    <w:rsid w:val="00CA5D90"/>
    <w:rsid w:val="00CB24C6"/>
    <w:rsid w:val="00CB24FE"/>
    <w:rsid w:val="00CC0E31"/>
    <w:rsid w:val="00CC2AA0"/>
    <w:rsid w:val="00CC33D0"/>
    <w:rsid w:val="00CD58FD"/>
    <w:rsid w:val="00CE045B"/>
    <w:rsid w:val="00CE24E5"/>
    <w:rsid w:val="00CE2630"/>
    <w:rsid w:val="00CE4078"/>
    <w:rsid w:val="00CE5C94"/>
    <w:rsid w:val="00CE6C3A"/>
    <w:rsid w:val="00CE7171"/>
    <w:rsid w:val="00CE7ABA"/>
    <w:rsid w:val="00CF05F7"/>
    <w:rsid w:val="00CF40FD"/>
    <w:rsid w:val="00CF4FC0"/>
    <w:rsid w:val="00CF52CF"/>
    <w:rsid w:val="00CF66B5"/>
    <w:rsid w:val="00CF7966"/>
    <w:rsid w:val="00D03307"/>
    <w:rsid w:val="00D1427C"/>
    <w:rsid w:val="00D15783"/>
    <w:rsid w:val="00D16774"/>
    <w:rsid w:val="00D23F1C"/>
    <w:rsid w:val="00D32BAA"/>
    <w:rsid w:val="00D343FA"/>
    <w:rsid w:val="00D418FF"/>
    <w:rsid w:val="00D44413"/>
    <w:rsid w:val="00D5108D"/>
    <w:rsid w:val="00D64576"/>
    <w:rsid w:val="00D65C76"/>
    <w:rsid w:val="00D65CED"/>
    <w:rsid w:val="00D67B07"/>
    <w:rsid w:val="00D700FA"/>
    <w:rsid w:val="00D734C7"/>
    <w:rsid w:val="00D738EE"/>
    <w:rsid w:val="00D7542B"/>
    <w:rsid w:val="00D75B4E"/>
    <w:rsid w:val="00D8351F"/>
    <w:rsid w:val="00DA1D32"/>
    <w:rsid w:val="00DA2F73"/>
    <w:rsid w:val="00DA396A"/>
    <w:rsid w:val="00DA7A55"/>
    <w:rsid w:val="00DB3595"/>
    <w:rsid w:val="00DC2C64"/>
    <w:rsid w:val="00DC307B"/>
    <w:rsid w:val="00DC343B"/>
    <w:rsid w:val="00DC462F"/>
    <w:rsid w:val="00DC499A"/>
    <w:rsid w:val="00DD604A"/>
    <w:rsid w:val="00DD6A21"/>
    <w:rsid w:val="00DE18A7"/>
    <w:rsid w:val="00DE2EFB"/>
    <w:rsid w:val="00DE60CA"/>
    <w:rsid w:val="00DF01B6"/>
    <w:rsid w:val="00DF2363"/>
    <w:rsid w:val="00DF28F1"/>
    <w:rsid w:val="00DF6B95"/>
    <w:rsid w:val="00E0005A"/>
    <w:rsid w:val="00E00289"/>
    <w:rsid w:val="00E014D6"/>
    <w:rsid w:val="00E02517"/>
    <w:rsid w:val="00E1290D"/>
    <w:rsid w:val="00E14833"/>
    <w:rsid w:val="00E1675F"/>
    <w:rsid w:val="00E16DDD"/>
    <w:rsid w:val="00E23DB3"/>
    <w:rsid w:val="00E24D56"/>
    <w:rsid w:val="00E24FA3"/>
    <w:rsid w:val="00E26B28"/>
    <w:rsid w:val="00E31465"/>
    <w:rsid w:val="00E328CD"/>
    <w:rsid w:val="00E3344B"/>
    <w:rsid w:val="00E3489E"/>
    <w:rsid w:val="00E3546C"/>
    <w:rsid w:val="00E362F0"/>
    <w:rsid w:val="00E36B95"/>
    <w:rsid w:val="00E4003F"/>
    <w:rsid w:val="00E44115"/>
    <w:rsid w:val="00E458F6"/>
    <w:rsid w:val="00E45954"/>
    <w:rsid w:val="00E46704"/>
    <w:rsid w:val="00E51EDB"/>
    <w:rsid w:val="00E53546"/>
    <w:rsid w:val="00E55F24"/>
    <w:rsid w:val="00E60C48"/>
    <w:rsid w:val="00E6500A"/>
    <w:rsid w:val="00E74601"/>
    <w:rsid w:val="00E80324"/>
    <w:rsid w:val="00E82EE3"/>
    <w:rsid w:val="00E85917"/>
    <w:rsid w:val="00EA29CF"/>
    <w:rsid w:val="00EA44D9"/>
    <w:rsid w:val="00EB1534"/>
    <w:rsid w:val="00EB6A76"/>
    <w:rsid w:val="00ED04A0"/>
    <w:rsid w:val="00ED6EDE"/>
    <w:rsid w:val="00EE54E6"/>
    <w:rsid w:val="00EE6ED3"/>
    <w:rsid w:val="00EF155E"/>
    <w:rsid w:val="00EF4C0F"/>
    <w:rsid w:val="00F0031E"/>
    <w:rsid w:val="00F03705"/>
    <w:rsid w:val="00F054FA"/>
    <w:rsid w:val="00F0799D"/>
    <w:rsid w:val="00F106ED"/>
    <w:rsid w:val="00F107A0"/>
    <w:rsid w:val="00F1164D"/>
    <w:rsid w:val="00F127A8"/>
    <w:rsid w:val="00F14C6D"/>
    <w:rsid w:val="00F220A5"/>
    <w:rsid w:val="00F22C80"/>
    <w:rsid w:val="00F328CD"/>
    <w:rsid w:val="00F34362"/>
    <w:rsid w:val="00F34BC9"/>
    <w:rsid w:val="00F3632E"/>
    <w:rsid w:val="00F43524"/>
    <w:rsid w:val="00F43A46"/>
    <w:rsid w:val="00F44068"/>
    <w:rsid w:val="00F513AE"/>
    <w:rsid w:val="00F51ECD"/>
    <w:rsid w:val="00F52310"/>
    <w:rsid w:val="00F551EA"/>
    <w:rsid w:val="00F658F2"/>
    <w:rsid w:val="00F70524"/>
    <w:rsid w:val="00F708EE"/>
    <w:rsid w:val="00F81458"/>
    <w:rsid w:val="00F8302E"/>
    <w:rsid w:val="00F83DAD"/>
    <w:rsid w:val="00F86C89"/>
    <w:rsid w:val="00F86DAB"/>
    <w:rsid w:val="00F95A8E"/>
    <w:rsid w:val="00FA22A8"/>
    <w:rsid w:val="00FA4916"/>
    <w:rsid w:val="00FA7E5C"/>
    <w:rsid w:val="00FB11A7"/>
    <w:rsid w:val="00FB193D"/>
    <w:rsid w:val="00FB3422"/>
    <w:rsid w:val="00FC7AA2"/>
    <w:rsid w:val="00FD01B5"/>
    <w:rsid w:val="00FD0C51"/>
    <w:rsid w:val="00FD5BF0"/>
    <w:rsid w:val="00FD6475"/>
    <w:rsid w:val="00FD6ED8"/>
    <w:rsid w:val="00FD7585"/>
    <w:rsid w:val="00FE1937"/>
    <w:rsid w:val="00FE65B3"/>
    <w:rsid w:val="17A0547B"/>
    <w:rsid w:val="2DCBA81D"/>
    <w:rsid w:val="3ACB2E40"/>
    <w:rsid w:val="3F9A302B"/>
    <w:rsid w:val="400C7F35"/>
    <w:rsid w:val="46A06604"/>
    <w:rsid w:val="4A14AB9E"/>
    <w:rsid w:val="4CCD1416"/>
    <w:rsid w:val="530A15CE"/>
    <w:rsid w:val="7B4471C5"/>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3202B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uiPriority="9" w:qFormat="1"/>
    <w:lsdException w:name="heading 3" w:locked="0" w:uiPriority="9" w:qFormat="1"/>
    <w:lsdException w:name="heading 4" w:locked="0" w:uiPriority="9" w:qFormat="1"/>
    <w:lsdException w:name="heading 5" w:locked="0" w:uiPriority="0" w:qFormat="1"/>
    <w:lsdException w:name="heading 6" w:locked="0" w:uiPriority="0" w:qFormat="1"/>
    <w:lsdException w:name="heading 7" w:locked="0" w:uiPriority="0" w:qFormat="1"/>
    <w:lsdException w:name="heading 8" w:locked="0" w:uiPriority="0" w:qFormat="1"/>
    <w:lsdException w:name="heading 9" w:locked="0" w:uiPriority="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locked="0" w:uiPriority="39"/>
    <w:lsdException w:name="toc 2" w:locked="0" w:uiPriority="39"/>
    <w:lsdException w:name="toc 3" w:locked="0" w:uiPriority="39"/>
    <w:lsdException w:name="toc 4" w:locked="0"/>
    <w:lsdException w:name="toc 5" w:uiPriority="0"/>
    <w:lsdException w:name="toc 6" w:uiPriority="0"/>
    <w:lsdException w:name="toc 7" w:uiPriority="0"/>
    <w:lsdException w:name="toc 8" w:uiPriority="0"/>
    <w:lsdException w:name="toc 9" w:uiPriority="0"/>
    <w:lsdException w:name="Normal Indent" w:uiPriority="0"/>
    <w:lsdException w:name="footnote text" w:uiPriority="0"/>
    <w:lsdException w:name="annotation text" w:uiPriority="0"/>
    <w:lsdException w:name="header" w:locked="0" w:qFormat="1"/>
    <w:lsdException w:name="footer" w:locked="0"/>
    <w:lsdException w:name="index heading" w:uiPriority="0"/>
    <w:lsdException w:name="caption" w:semiHidden="1" w:uiPriority="0" w:unhideWhenUsed="1" w:qFormat="1"/>
    <w:lsdException w:name="table of figures" w:uiPriority="0"/>
    <w:lsdException w:name="footnote reference" w:uiPriority="0"/>
    <w:lsdException w:name="annotation reference" w:uiPriority="0"/>
    <w:lsdException w:name="page number" w:uiPriority="0"/>
    <w:lsdException w:name="endnote reference" w:locked="0" w:uiPriority="0" w:qFormat="1"/>
    <w:lsdException w:name="endnote text" w:locked="0" w:uiPriority="0" w:qFormat="1"/>
    <w:lsdException w:name="table of authorities" w:uiPriority="0"/>
    <w:lsdException w:name="macro" w:uiPriority="0"/>
    <w:lsdException w:name="toa heading" w:uiPriority="0"/>
    <w:lsdException w:name="List Bullet" w:qFormat="1"/>
    <w:lsdException w:name="List Number" w:uiPriority="0" w:qFormat="1"/>
    <w:lsdException w:name="Title" w:qFormat="1"/>
    <w:lsdException w:name="Default Paragraph Font" w:locked="0" w:uiPriority="0"/>
    <w:lsdException w:name="Body Text" w:uiPriority="1" w:qFormat="1"/>
    <w:lsdException w:name="List Continue 4" w:locked="0"/>
    <w:lsdException w:name="Subtitle" w:qFormat="1"/>
    <w:lsdException w:name="Note Heading" w:uiPriority="0"/>
    <w:lsdException w:name="Block Text" w:uiPriority="0"/>
    <w:lsdException w:name="Hyperlink" w:locked="0"/>
    <w:lsdException w:name="Strong" w:locked="0" w:uiPriority="22" w:qFormat="1"/>
    <w:lsdException w:name="Emphasis" w:qFormat="1"/>
    <w:lsdException w:name="Document Map" w:uiPriority="0"/>
    <w:lsdException w:name="HTML Top of Form" w:locked="0" w:uiPriority="0"/>
    <w:lsdException w:name="HTML Bottom of Form" w:locked="0" w:uiPriority="0"/>
    <w:lsdException w:name="HTML Keyboard" w:semiHidden="1" w:unhideWhenUsed="1"/>
    <w:lsdException w:name="Normal Table" w:locked="0" w:semiHidden="1" w:uiPriority="0" w:unhideWhenUsed="1"/>
    <w:lsdException w:name="annotation subject" w:semiHidden="1" w:uiPriority="0" w:unhideWhenUsed="1"/>
    <w:lsdException w:name="No List" w:locked="0"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locked="0" w:semiHidden="1"/>
    <w:lsdException w:name="No Spacing" w:locked="0"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1" w:qFormat="1"/>
    <w:lsdException w:name="Quote" w:locked="0" w:uiPriority="0" w:qFormat="1"/>
    <w:lsdException w:name="Intense Quote" w:locked="0"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locked="0" w:uiPriority="21"/>
    <w:lsdException w:name="Subtle Reference" w:locked="0" w:uiPriority="31"/>
    <w:lsdException w:name="Intense Reference" w:locked="0" w:uiPriority="32"/>
    <w:lsdException w:name="Book Title" w:locked="0" w:uiPriority="33"/>
    <w:lsdException w:name="Bibliography" w:locked="0" w:semiHidden="1" w:uiPriority="37" w:unhideWhenUsed="1"/>
    <w:lsdException w:name="TOC Heading" w:locked="0" w:semiHidden="1" w:unhideWhenUsed="1" w:qFormat="1"/>
    <w:lsdException w:name="Plain Table 1" w:locked="0"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AHRC plain text"/>
    <w:qFormat/>
    <w:rsid w:val="00E53546"/>
    <w:pPr>
      <w:spacing w:before="240" w:after="240"/>
    </w:pPr>
    <w:rPr>
      <w:rFonts w:ascii="Open Sans" w:eastAsia="MS Mincho" w:hAnsi="Open Sans"/>
      <w:sz w:val="24"/>
      <w:szCs w:val="24"/>
    </w:rPr>
  </w:style>
  <w:style w:type="paragraph" w:styleId="Heading1">
    <w:name w:val="heading 1"/>
    <w:basedOn w:val="Normal"/>
    <w:next w:val="Normal"/>
    <w:link w:val="Heading1Char"/>
    <w:uiPriority w:val="9"/>
    <w:qFormat/>
    <w:rsid w:val="005C2ECF"/>
    <w:pPr>
      <w:keepNext/>
      <w:keepLines/>
      <w:numPr>
        <w:numId w:val="1"/>
      </w:numPr>
      <w:spacing w:before="360"/>
      <w:outlineLvl w:val="0"/>
    </w:pPr>
    <w:rPr>
      <w:b/>
      <w:bCs/>
      <w:sz w:val="36"/>
      <w:szCs w:val="28"/>
    </w:rPr>
  </w:style>
  <w:style w:type="paragraph" w:styleId="Heading2">
    <w:name w:val="heading 2"/>
    <w:basedOn w:val="Heading1"/>
    <w:next w:val="Normal"/>
    <w:link w:val="Heading2Char"/>
    <w:uiPriority w:val="9"/>
    <w:qFormat/>
    <w:rsid w:val="00BA23E3"/>
    <w:pPr>
      <w:numPr>
        <w:ilvl w:val="1"/>
      </w:numPr>
      <w:outlineLvl w:val="1"/>
    </w:pPr>
    <w:rPr>
      <w:bCs w:val="0"/>
      <w:sz w:val="32"/>
      <w:szCs w:val="26"/>
    </w:rPr>
  </w:style>
  <w:style w:type="paragraph" w:styleId="Heading3">
    <w:name w:val="heading 3"/>
    <w:basedOn w:val="Heading2"/>
    <w:next w:val="Normal"/>
    <w:link w:val="Heading3Char"/>
    <w:uiPriority w:val="9"/>
    <w:qFormat/>
    <w:rsid w:val="008007A8"/>
    <w:pPr>
      <w:numPr>
        <w:ilvl w:val="2"/>
      </w:numPr>
      <w:outlineLvl w:val="2"/>
    </w:pPr>
    <w:rPr>
      <w:b w:val="0"/>
      <w:bCs/>
      <w:sz w:val="24"/>
    </w:rPr>
  </w:style>
  <w:style w:type="paragraph" w:styleId="Heading4">
    <w:name w:val="heading 4"/>
    <w:basedOn w:val="Heading3"/>
    <w:next w:val="Normal"/>
    <w:link w:val="Heading4Char"/>
    <w:uiPriority w:val="9"/>
    <w:qFormat/>
    <w:locked/>
    <w:rsid w:val="008007A8"/>
    <w:pPr>
      <w:numPr>
        <w:ilvl w:val="3"/>
      </w:numPr>
      <w:outlineLvl w:val="3"/>
    </w:pPr>
    <w:rPr>
      <w:bCs w:val="0"/>
      <w:i/>
      <w:iCs/>
    </w:rPr>
  </w:style>
  <w:style w:type="paragraph" w:styleId="Heading5">
    <w:name w:val="heading 5"/>
    <w:basedOn w:val="Normal"/>
    <w:next w:val="Normal"/>
    <w:link w:val="Heading5Char"/>
    <w:qFormat/>
    <w:locked/>
    <w:rsid w:val="005C2ECF"/>
    <w:pPr>
      <w:keepNext/>
      <w:keepLines/>
      <w:numPr>
        <w:ilvl w:val="4"/>
        <w:numId w:val="1"/>
      </w:numPr>
      <w:spacing w:before="200"/>
      <w:outlineLvl w:val="4"/>
    </w:pPr>
  </w:style>
  <w:style w:type="paragraph" w:styleId="Heading6">
    <w:name w:val="heading 6"/>
    <w:basedOn w:val="Normal"/>
    <w:next w:val="Normal"/>
    <w:link w:val="Heading6Char"/>
    <w:qFormat/>
    <w:locked/>
    <w:rsid w:val="005C2ECF"/>
    <w:pPr>
      <w:keepNext/>
      <w:keepLines/>
      <w:numPr>
        <w:ilvl w:val="5"/>
        <w:numId w:val="1"/>
      </w:numPr>
      <w:spacing w:before="200"/>
      <w:outlineLvl w:val="5"/>
    </w:pPr>
    <w:rPr>
      <w:i/>
      <w:iCs/>
    </w:rPr>
  </w:style>
  <w:style w:type="paragraph" w:styleId="Heading7">
    <w:name w:val="heading 7"/>
    <w:basedOn w:val="Normal"/>
    <w:next w:val="Normal"/>
    <w:link w:val="Heading7Char"/>
    <w:qFormat/>
    <w:locked/>
    <w:rsid w:val="005C2ECF"/>
    <w:pPr>
      <w:keepNext/>
      <w:keepLines/>
      <w:numPr>
        <w:ilvl w:val="6"/>
        <w:numId w:val="1"/>
      </w:numPr>
      <w:spacing w:before="200"/>
      <w:outlineLvl w:val="6"/>
    </w:pPr>
    <w:rPr>
      <w:i/>
      <w:iCs/>
    </w:rPr>
  </w:style>
  <w:style w:type="paragraph" w:styleId="Heading8">
    <w:name w:val="heading 8"/>
    <w:basedOn w:val="Normal"/>
    <w:next w:val="Normal"/>
    <w:link w:val="Heading8Char"/>
    <w:qFormat/>
    <w:locked/>
    <w:rsid w:val="005C2ECF"/>
    <w:pPr>
      <w:keepNext/>
      <w:keepLines/>
      <w:numPr>
        <w:ilvl w:val="7"/>
        <w:numId w:val="1"/>
      </w:numPr>
      <w:spacing w:before="200"/>
      <w:outlineLvl w:val="7"/>
    </w:pPr>
    <w:rPr>
      <w:sz w:val="20"/>
      <w:szCs w:val="20"/>
    </w:rPr>
  </w:style>
  <w:style w:type="paragraph" w:styleId="Heading9">
    <w:name w:val="heading 9"/>
    <w:basedOn w:val="Normal"/>
    <w:next w:val="Normal"/>
    <w:link w:val="Heading9Char"/>
    <w:qFormat/>
    <w:locked/>
    <w:rsid w:val="005C2ECF"/>
    <w:pPr>
      <w:keepNext/>
      <w:keepLines/>
      <w:numPr>
        <w:ilvl w:val="8"/>
        <w:numId w:val="1"/>
      </w:numPr>
      <w:spacing w:before="200"/>
      <w:outlineLvl w:val="8"/>
    </w:pPr>
    <w:rPr>
      <w:i/>
      <w:i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5C2ECF"/>
    <w:rPr>
      <w:rFonts w:ascii="Open Sans" w:eastAsia="MS Mincho" w:hAnsi="Open Sans"/>
      <w:b/>
      <w:bCs/>
      <w:sz w:val="36"/>
      <w:szCs w:val="28"/>
    </w:rPr>
  </w:style>
  <w:style w:type="character" w:customStyle="1" w:styleId="Heading2Char">
    <w:name w:val="Heading 2 Char"/>
    <w:link w:val="Heading2"/>
    <w:uiPriority w:val="9"/>
    <w:rsid w:val="00BA23E3"/>
    <w:rPr>
      <w:rFonts w:ascii="Open Sans" w:eastAsia="MS Mincho" w:hAnsi="Open Sans"/>
      <w:b/>
      <w:sz w:val="32"/>
      <w:szCs w:val="26"/>
    </w:rPr>
  </w:style>
  <w:style w:type="character" w:customStyle="1" w:styleId="Heading3Char">
    <w:name w:val="Heading 3 Char"/>
    <w:link w:val="Heading3"/>
    <w:uiPriority w:val="9"/>
    <w:rsid w:val="008007A8"/>
    <w:rPr>
      <w:rFonts w:ascii="Open Sans" w:eastAsia="MS Mincho" w:hAnsi="Open Sans"/>
      <w:bCs/>
      <w:sz w:val="24"/>
      <w:szCs w:val="26"/>
    </w:rPr>
  </w:style>
  <w:style w:type="character" w:customStyle="1" w:styleId="Heading4Char">
    <w:name w:val="Heading 4 Char"/>
    <w:link w:val="Heading4"/>
    <w:uiPriority w:val="9"/>
    <w:rsid w:val="008007A8"/>
    <w:rPr>
      <w:rFonts w:ascii="Open Sans" w:eastAsia="MS Mincho" w:hAnsi="Open Sans"/>
      <w:i/>
      <w:iCs/>
      <w:sz w:val="24"/>
      <w:szCs w:val="26"/>
    </w:rPr>
  </w:style>
  <w:style w:type="character" w:styleId="Strong">
    <w:name w:val="Strong"/>
    <w:uiPriority w:val="22"/>
    <w:qFormat/>
    <w:locked/>
    <w:rsid w:val="00471BB7"/>
    <w:rPr>
      <w:rFonts w:ascii="Open Sans" w:hAnsi="Open Sans"/>
      <w:b/>
      <w:bCs/>
    </w:rPr>
  </w:style>
  <w:style w:type="character" w:customStyle="1" w:styleId="Heading5Char">
    <w:name w:val="Heading 5 Char"/>
    <w:link w:val="Heading5"/>
    <w:rsid w:val="005C2ECF"/>
    <w:rPr>
      <w:rFonts w:ascii="Open Sans" w:eastAsia="MS Mincho" w:hAnsi="Open Sans"/>
      <w:sz w:val="24"/>
      <w:szCs w:val="24"/>
    </w:rPr>
  </w:style>
  <w:style w:type="character" w:customStyle="1" w:styleId="Heading6Char">
    <w:name w:val="Heading 6 Char"/>
    <w:link w:val="Heading6"/>
    <w:rsid w:val="005C2ECF"/>
    <w:rPr>
      <w:rFonts w:ascii="Open Sans" w:eastAsia="MS Mincho" w:hAnsi="Open Sans"/>
      <w:i/>
      <w:iCs/>
      <w:sz w:val="24"/>
      <w:szCs w:val="24"/>
    </w:rPr>
  </w:style>
  <w:style w:type="character" w:customStyle="1" w:styleId="Heading7Char">
    <w:name w:val="Heading 7 Char"/>
    <w:link w:val="Heading7"/>
    <w:rsid w:val="005C2ECF"/>
    <w:rPr>
      <w:rFonts w:ascii="Open Sans" w:eastAsia="MS Mincho" w:hAnsi="Open Sans"/>
      <w:i/>
      <w:iCs/>
      <w:sz w:val="24"/>
      <w:szCs w:val="24"/>
    </w:rPr>
  </w:style>
  <w:style w:type="character" w:customStyle="1" w:styleId="Heading8Char">
    <w:name w:val="Heading 8 Char"/>
    <w:link w:val="Heading8"/>
    <w:rsid w:val="005C2ECF"/>
    <w:rPr>
      <w:rFonts w:ascii="Open Sans" w:eastAsia="MS Mincho" w:hAnsi="Open Sans"/>
    </w:rPr>
  </w:style>
  <w:style w:type="character" w:customStyle="1" w:styleId="Heading9Char">
    <w:name w:val="Heading 9 Char"/>
    <w:link w:val="Heading9"/>
    <w:rsid w:val="005C2ECF"/>
    <w:rPr>
      <w:rFonts w:ascii="Open Sans" w:eastAsia="MS Mincho" w:hAnsi="Open Sans"/>
      <w:i/>
      <w:iCs/>
    </w:rPr>
  </w:style>
  <w:style w:type="paragraph" w:styleId="Header">
    <w:name w:val="header"/>
    <w:basedOn w:val="Normal"/>
    <w:link w:val="HeaderChar"/>
    <w:uiPriority w:val="99"/>
    <w:qFormat/>
    <w:rsid w:val="00902EC3"/>
    <w:pPr>
      <w:tabs>
        <w:tab w:val="center" w:pos="4513"/>
        <w:tab w:val="right" w:pos="9026"/>
      </w:tabs>
      <w:spacing w:after="0"/>
      <w:jc w:val="right"/>
    </w:pPr>
    <w:rPr>
      <w:sz w:val="18"/>
    </w:rPr>
  </w:style>
  <w:style w:type="character" w:customStyle="1" w:styleId="HeaderChar">
    <w:name w:val="Header Char"/>
    <w:link w:val="Header"/>
    <w:uiPriority w:val="99"/>
    <w:rsid w:val="00902EC3"/>
    <w:rPr>
      <w:rFonts w:ascii="Open Sans" w:eastAsia="MS Mincho" w:hAnsi="Open Sans"/>
      <w:sz w:val="18"/>
      <w:szCs w:val="24"/>
    </w:rPr>
  </w:style>
  <w:style w:type="paragraph" w:styleId="Footer">
    <w:name w:val="footer"/>
    <w:basedOn w:val="Normal"/>
    <w:link w:val="FooterChar"/>
    <w:uiPriority w:val="99"/>
    <w:rsid w:val="0063009F"/>
    <w:pPr>
      <w:tabs>
        <w:tab w:val="right" w:pos="2835"/>
        <w:tab w:val="right" w:pos="5670"/>
      </w:tabs>
      <w:spacing w:before="0" w:after="0"/>
      <w:ind w:left="-868"/>
    </w:pPr>
    <w:rPr>
      <w:sz w:val="18"/>
    </w:rPr>
  </w:style>
  <w:style w:type="character" w:customStyle="1" w:styleId="FooterChar">
    <w:name w:val="Footer Char"/>
    <w:link w:val="Footer"/>
    <w:uiPriority w:val="99"/>
    <w:rsid w:val="0063009F"/>
    <w:rPr>
      <w:rFonts w:ascii="Open Sans" w:eastAsia="MS Mincho" w:hAnsi="Open Sans"/>
      <w:sz w:val="18"/>
      <w:szCs w:val="24"/>
    </w:rPr>
  </w:style>
  <w:style w:type="paragraph" w:styleId="TOC3">
    <w:name w:val="toc 3"/>
    <w:basedOn w:val="Normal"/>
    <w:next w:val="Normal"/>
    <w:uiPriority w:val="39"/>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rsid w:val="00471BB7"/>
    <w:rPr>
      <w:rFonts w:ascii="Open Sans" w:hAnsi="Open Sans"/>
      <w:color w:val="auto"/>
      <w:sz w:val="24"/>
    </w:rPr>
  </w:style>
  <w:style w:type="paragraph" w:styleId="ListContinue4">
    <w:name w:val="List Continue 4"/>
    <w:basedOn w:val="Normal"/>
    <w:uiPriority w:val="99"/>
    <w:semiHidden/>
    <w:locked/>
    <w:rsid w:val="005C2ECF"/>
    <w:pPr>
      <w:spacing w:after="120"/>
      <w:ind w:left="1132"/>
    </w:pPr>
  </w:style>
  <w:style w:type="numbering" w:styleId="111111">
    <w:name w:val="Outline List 2"/>
    <w:basedOn w:val="NoList"/>
    <w:uiPriority w:val="99"/>
    <w:semiHidden/>
    <w:locked/>
    <w:rsid w:val="00E45954"/>
    <w:pPr>
      <w:numPr>
        <w:numId w:val="13"/>
      </w:numPr>
    </w:pPr>
  </w:style>
  <w:style w:type="paragraph" w:styleId="TOC1">
    <w:name w:val="toc 1"/>
    <w:basedOn w:val="Normal"/>
    <w:next w:val="Normal"/>
    <w:uiPriority w:val="39"/>
    <w:rsid w:val="000B5B68"/>
    <w:pPr>
      <w:tabs>
        <w:tab w:val="right" w:leader="dot" w:pos="9060"/>
      </w:tabs>
      <w:spacing w:after="0"/>
      <w:ind w:left="720" w:hanging="720"/>
    </w:pPr>
    <w:rPr>
      <w:b/>
      <w:noProof/>
    </w:rPr>
  </w:style>
  <w:style w:type="paragraph" w:styleId="TOC2">
    <w:name w:val="toc 2"/>
    <w:basedOn w:val="Normal"/>
    <w:next w:val="Normal"/>
    <w:uiPriority w:val="39"/>
    <w:locked/>
    <w:rsid w:val="00A92F92"/>
    <w:pPr>
      <w:tabs>
        <w:tab w:val="right" w:leader="dot" w:pos="9060"/>
      </w:tabs>
      <w:spacing w:before="0" w:after="0"/>
      <w:ind w:left="958" w:hanging="720"/>
    </w:pPr>
    <w:rPr>
      <w:b/>
      <w:i/>
      <w:noProof/>
    </w:rPr>
  </w:style>
  <w:style w:type="paragraph" w:styleId="TOC4">
    <w:name w:val="toc 4"/>
    <w:basedOn w:val="Normal"/>
    <w:next w:val="Normal"/>
    <w:uiPriority w:val="9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rsid w:val="00471BB7"/>
    <w:rPr>
      <w:rFonts w:ascii="Open Sans" w:hAnsi="Open Sans"/>
      <w:color w:val="0000FF"/>
      <w:u w:val="single"/>
    </w:rPr>
  </w:style>
  <w:style w:type="paragraph" w:styleId="TOCHeading">
    <w:name w:val="TOC Heading"/>
    <w:basedOn w:val="Normal"/>
    <w:next w:val="Normal"/>
    <w:uiPriority w:val="99"/>
    <w:qFormat/>
    <w:rsid w:val="00471BB7"/>
    <w:pPr>
      <w:spacing w:before="0" w:after="360"/>
    </w:pPr>
    <w:rPr>
      <w:b/>
      <w:lang w:val="en-US" w:eastAsia="en-US"/>
    </w:rPr>
  </w:style>
  <w:style w:type="paragraph" w:styleId="EndnoteText">
    <w:name w:val="endnote text"/>
    <w:basedOn w:val="Normal"/>
    <w:link w:val="EndnoteTextChar1"/>
    <w:qFormat/>
    <w:rsid w:val="0002476A"/>
    <w:pPr>
      <w:spacing w:before="0" w:after="0"/>
      <w:ind w:left="142" w:hanging="142"/>
    </w:pPr>
    <w:rPr>
      <w:sz w:val="20"/>
      <w:szCs w:val="20"/>
    </w:rPr>
  </w:style>
  <w:style w:type="character" w:customStyle="1" w:styleId="EndnoteTextChar1">
    <w:name w:val="Endnote Text Char1"/>
    <w:link w:val="EndnoteText"/>
    <w:rsid w:val="00E55F24"/>
    <w:rPr>
      <w:rFonts w:ascii="Open Sans" w:eastAsia="MS Mincho" w:hAnsi="Open Sans"/>
    </w:rPr>
  </w:style>
  <w:style w:type="character" w:styleId="EndnoteReference">
    <w:name w:val="endnote reference"/>
    <w:aliases w:val="QUOTE"/>
    <w:qFormat/>
    <w:rsid w:val="00045C4B"/>
    <w:rPr>
      <w:rFonts w:ascii="Open Sans" w:hAnsi="Open Sans"/>
      <w:sz w:val="20"/>
      <w:vertAlign w:val="superscript"/>
    </w:rPr>
  </w:style>
  <w:style w:type="numbering" w:styleId="1ai">
    <w:name w:val="Outline List 1"/>
    <w:basedOn w:val="NoList"/>
    <w:uiPriority w:val="99"/>
    <w:semiHidden/>
    <w:locked/>
    <w:rsid w:val="00E45954"/>
    <w:pPr>
      <w:numPr>
        <w:numId w:val="14"/>
      </w:numPr>
    </w:pPr>
  </w:style>
  <w:style w:type="numbering" w:styleId="ArticleSection">
    <w:name w:val="Outline List 3"/>
    <w:basedOn w:val="NoList"/>
    <w:uiPriority w:val="99"/>
    <w:semiHidden/>
    <w:locked/>
    <w:rsid w:val="00E45954"/>
    <w:pPr>
      <w:numPr>
        <w:numId w:val="15"/>
      </w:numPr>
    </w:pPr>
  </w:style>
  <w:style w:type="paragraph" w:styleId="BlockText">
    <w:name w:val="Block Text"/>
    <w:basedOn w:val="Normal"/>
    <w:rsid w:val="00045C4B"/>
    <w:pPr>
      <w:spacing w:after="120"/>
      <w:ind w:left="1440" w:right="1440"/>
    </w:pPr>
  </w:style>
  <w:style w:type="paragraph" w:styleId="BodyText">
    <w:name w:val="Body Text"/>
    <w:basedOn w:val="Normal"/>
    <w:link w:val="BodyTextChar"/>
    <w:uiPriority w:val="1"/>
    <w:qFormat/>
    <w:rsid w:val="00045C4B"/>
    <w:pPr>
      <w:spacing w:after="120"/>
    </w:pPr>
  </w:style>
  <w:style w:type="paragraph" w:styleId="BodyText2">
    <w:name w:val="Body Text 2"/>
    <w:basedOn w:val="Normal"/>
    <w:link w:val="BodyText2Char"/>
    <w:uiPriority w:val="99"/>
    <w:semiHidden/>
    <w:rsid w:val="00045C4B"/>
    <w:pPr>
      <w:spacing w:after="120" w:line="480" w:lineRule="auto"/>
    </w:pPr>
  </w:style>
  <w:style w:type="paragraph" w:styleId="BodyText3">
    <w:name w:val="Body Text 3"/>
    <w:basedOn w:val="Normal"/>
    <w:link w:val="BodyText3Char"/>
    <w:uiPriority w:val="99"/>
    <w:semiHidden/>
    <w:rsid w:val="00045C4B"/>
    <w:pPr>
      <w:spacing w:after="120"/>
    </w:pPr>
    <w:rPr>
      <w:sz w:val="16"/>
      <w:szCs w:val="16"/>
    </w:rPr>
  </w:style>
  <w:style w:type="paragraph" w:styleId="BodyTextFirstIndent">
    <w:name w:val="Body Text First Indent"/>
    <w:basedOn w:val="BodyText"/>
    <w:link w:val="BodyTextFirstIndentChar"/>
    <w:uiPriority w:val="99"/>
    <w:semiHidden/>
    <w:rsid w:val="00E45954"/>
    <w:pPr>
      <w:ind w:firstLine="210"/>
    </w:pPr>
  </w:style>
  <w:style w:type="paragraph" w:styleId="BodyTextIndent">
    <w:name w:val="Body Text Indent"/>
    <w:basedOn w:val="Normal"/>
    <w:link w:val="BodyTextIndentChar"/>
    <w:uiPriority w:val="99"/>
    <w:semiHidden/>
    <w:rsid w:val="00045C4B"/>
    <w:pPr>
      <w:spacing w:after="120"/>
      <w:ind w:left="283"/>
    </w:pPr>
  </w:style>
  <w:style w:type="paragraph" w:styleId="BodyTextFirstIndent2">
    <w:name w:val="Body Text First Indent 2"/>
    <w:basedOn w:val="BodyTextIndent"/>
    <w:link w:val="BodyTextFirstIndent2Char"/>
    <w:uiPriority w:val="99"/>
    <w:semiHidden/>
    <w:rsid w:val="00045C4B"/>
    <w:pPr>
      <w:ind w:firstLine="210"/>
    </w:pPr>
  </w:style>
  <w:style w:type="paragraph" w:styleId="BodyTextIndent2">
    <w:name w:val="Body Text Indent 2"/>
    <w:basedOn w:val="Normal"/>
    <w:link w:val="BodyTextIndent2Char"/>
    <w:uiPriority w:val="99"/>
    <w:semiHidden/>
    <w:rsid w:val="00045C4B"/>
    <w:pPr>
      <w:spacing w:after="120" w:line="480" w:lineRule="auto"/>
      <w:ind w:left="283"/>
    </w:pPr>
  </w:style>
  <w:style w:type="paragraph" w:styleId="BodyTextIndent3">
    <w:name w:val="Body Text Indent 3"/>
    <w:basedOn w:val="Normal"/>
    <w:link w:val="BodyTextIndent3Char"/>
    <w:uiPriority w:val="99"/>
    <w:semiHidden/>
    <w:rsid w:val="00045C4B"/>
    <w:pPr>
      <w:spacing w:after="120"/>
      <w:ind w:left="283"/>
    </w:pPr>
    <w:rPr>
      <w:sz w:val="16"/>
      <w:szCs w:val="16"/>
    </w:rPr>
  </w:style>
  <w:style w:type="paragraph" w:styleId="Closing">
    <w:name w:val="Closing"/>
    <w:basedOn w:val="Normal"/>
    <w:link w:val="ClosingChar"/>
    <w:uiPriority w:val="99"/>
    <w:semiHidden/>
    <w:rsid w:val="00045C4B"/>
    <w:pPr>
      <w:ind w:left="4252"/>
    </w:pPr>
  </w:style>
  <w:style w:type="paragraph" w:styleId="Date">
    <w:name w:val="Date"/>
    <w:basedOn w:val="Normal"/>
    <w:next w:val="Normal"/>
    <w:link w:val="DateChar"/>
    <w:uiPriority w:val="99"/>
    <w:semiHidden/>
    <w:rsid w:val="005C2ECF"/>
    <w:pPr>
      <w:spacing w:before="120" w:after="120"/>
      <w:jc w:val="right"/>
    </w:pPr>
  </w:style>
  <w:style w:type="paragraph" w:styleId="E-mailSignature">
    <w:name w:val="E-mail Signature"/>
    <w:basedOn w:val="Normal"/>
    <w:link w:val="E-mailSignatureChar"/>
    <w:uiPriority w:val="99"/>
    <w:semiHidden/>
    <w:rsid w:val="00045C4B"/>
  </w:style>
  <w:style w:type="character" w:styleId="Emphasis">
    <w:name w:val="Emphasis"/>
    <w:uiPriority w:val="99"/>
    <w:qFormat/>
    <w:rsid w:val="00045C4B"/>
    <w:rPr>
      <w:rFonts w:ascii="Open Sans" w:hAnsi="Open Sans"/>
      <w:i w:val="0"/>
      <w:iCs/>
    </w:rPr>
  </w:style>
  <w:style w:type="paragraph" w:styleId="EnvelopeAddress">
    <w:name w:val="envelope address"/>
    <w:basedOn w:val="Normal"/>
    <w:uiPriority w:val="99"/>
    <w:semiHidden/>
    <w:rsid w:val="00045C4B"/>
    <w:pPr>
      <w:framePr w:w="7920" w:h="1980" w:hRule="exact" w:hSpace="180" w:wrap="auto" w:hAnchor="page" w:xAlign="center" w:yAlign="bottom"/>
      <w:spacing w:before="0" w:after="0"/>
      <w:ind w:left="2880"/>
    </w:pPr>
    <w:rPr>
      <w:rFonts w:cs="Arial"/>
    </w:rPr>
  </w:style>
  <w:style w:type="paragraph" w:styleId="EnvelopeReturn">
    <w:name w:val="envelope return"/>
    <w:basedOn w:val="Normal"/>
    <w:uiPriority w:val="99"/>
    <w:semiHidden/>
    <w:rsid w:val="00045C4B"/>
    <w:rPr>
      <w:rFonts w:cs="Arial"/>
      <w:sz w:val="20"/>
      <w:szCs w:val="20"/>
    </w:rPr>
  </w:style>
  <w:style w:type="character" w:styleId="HTMLAcronym">
    <w:name w:val="HTML Acronym"/>
    <w:uiPriority w:val="99"/>
    <w:semiHidden/>
    <w:rsid w:val="005C2ECF"/>
    <w:rPr>
      <w:rFonts w:ascii="Open Sans" w:hAnsi="Open Sans"/>
    </w:rPr>
  </w:style>
  <w:style w:type="paragraph" w:styleId="HTMLAddress">
    <w:name w:val="HTML Address"/>
    <w:basedOn w:val="Normal"/>
    <w:link w:val="HTMLAddressChar"/>
    <w:uiPriority w:val="99"/>
    <w:semiHidden/>
    <w:rsid w:val="005C2ECF"/>
    <w:rPr>
      <w:i/>
      <w:iCs/>
    </w:rPr>
  </w:style>
  <w:style w:type="character" w:styleId="HTMLCite">
    <w:name w:val="HTML Cite"/>
    <w:uiPriority w:val="99"/>
    <w:semiHidden/>
    <w:rsid w:val="005C2ECF"/>
    <w:rPr>
      <w:rFonts w:ascii="Open Sans" w:hAnsi="Open Sans"/>
      <w:i/>
      <w:iCs/>
    </w:rPr>
  </w:style>
  <w:style w:type="character" w:styleId="HTMLCode">
    <w:name w:val="HTML Code"/>
    <w:uiPriority w:val="99"/>
    <w:semiHidden/>
    <w:rsid w:val="005C2ECF"/>
    <w:rPr>
      <w:rFonts w:ascii="Open Sans" w:hAnsi="Open Sans" w:cs="Courier New"/>
      <w:sz w:val="20"/>
      <w:szCs w:val="20"/>
    </w:rPr>
  </w:style>
  <w:style w:type="character" w:styleId="HTMLDefinition">
    <w:name w:val="HTML Definition"/>
    <w:uiPriority w:val="99"/>
    <w:semiHidden/>
    <w:rsid w:val="005C2ECF"/>
    <w:rPr>
      <w:rFonts w:ascii="Open Sans" w:hAnsi="Open Sans"/>
      <w:i/>
      <w:iCs/>
    </w:rPr>
  </w:style>
  <w:style w:type="character" w:styleId="HTMLKeyboard">
    <w:name w:val="HTML Keyboard"/>
    <w:uiPriority w:val="99"/>
    <w:semiHidden/>
    <w:rsid w:val="005C2ECF"/>
    <w:rPr>
      <w:rFonts w:ascii="Open Sans" w:hAnsi="Open Sans" w:cs="Courier New"/>
      <w:sz w:val="20"/>
      <w:szCs w:val="20"/>
    </w:rPr>
  </w:style>
  <w:style w:type="paragraph" w:styleId="HTMLPreformatted">
    <w:name w:val="HTML Preformatted"/>
    <w:basedOn w:val="Normal"/>
    <w:link w:val="HTMLPreformattedChar"/>
    <w:uiPriority w:val="99"/>
    <w:semiHidden/>
    <w:rsid w:val="005C2ECF"/>
    <w:rPr>
      <w:rFonts w:cs="Courier New"/>
      <w:sz w:val="20"/>
      <w:szCs w:val="20"/>
    </w:rPr>
  </w:style>
  <w:style w:type="character" w:styleId="HTMLSample">
    <w:name w:val="HTML Sample"/>
    <w:uiPriority w:val="99"/>
    <w:semiHidden/>
    <w:rsid w:val="005C2ECF"/>
    <w:rPr>
      <w:rFonts w:ascii="Open Sans" w:hAnsi="Open Sans" w:cs="Courier New"/>
    </w:rPr>
  </w:style>
  <w:style w:type="character" w:styleId="HTMLTypewriter">
    <w:name w:val="HTML Typewriter"/>
    <w:uiPriority w:val="99"/>
    <w:semiHidden/>
    <w:rsid w:val="005C2ECF"/>
    <w:rPr>
      <w:rFonts w:ascii="Open Sans" w:hAnsi="Open Sans" w:cs="Courier New"/>
      <w:sz w:val="20"/>
      <w:szCs w:val="20"/>
    </w:rPr>
  </w:style>
  <w:style w:type="character" w:styleId="HTMLVariable">
    <w:name w:val="HTML Variable"/>
    <w:uiPriority w:val="99"/>
    <w:semiHidden/>
    <w:rsid w:val="005C2ECF"/>
    <w:rPr>
      <w:rFonts w:ascii="Open Sans" w:hAnsi="Open Sans"/>
      <w:i/>
      <w:iCs/>
    </w:rPr>
  </w:style>
  <w:style w:type="character" w:styleId="LineNumber">
    <w:name w:val="line number"/>
    <w:uiPriority w:val="99"/>
    <w:semiHidden/>
    <w:rsid w:val="005C2ECF"/>
    <w:rPr>
      <w:rFonts w:ascii="Open Sans" w:hAnsi="Open Sans"/>
    </w:rPr>
  </w:style>
  <w:style w:type="paragraph" w:styleId="List">
    <w:name w:val="List"/>
    <w:basedOn w:val="Normal"/>
    <w:uiPriority w:val="99"/>
    <w:semiHidden/>
    <w:locked/>
    <w:rsid w:val="005C2ECF"/>
    <w:pPr>
      <w:ind w:left="283" w:hanging="283"/>
    </w:pPr>
  </w:style>
  <w:style w:type="paragraph" w:styleId="List2">
    <w:name w:val="List 2"/>
    <w:basedOn w:val="Normal"/>
    <w:uiPriority w:val="99"/>
    <w:semiHidden/>
    <w:locked/>
    <w:rsid w:val="005C2ECF"/>
    <w:pPr>
      <w:ind w:left="566" w:hanging="283"/>
    </w:pPr>
  </w:style>
  <w:style w:type="paragraph" w:styleId="List3">
    <w:name w:val="List 3"/>
    <w:basedOn w:val="Normal"/>
    <w:uiPriority w:val="99"/>
    <w:semiHidden/>
    <w:locked/>
    <w:rsid w:val="005C2ECF"/>
    <w:pPr>
      <w:ind w:left="849" w:hanging="283"/>
    </w:pPr>
  </w:style>
  <w:style w:type="paragraph" w:styleId="List4">
    <w:name w:val="List 4"/>
    <w:basedOn w:val="Normal"/>
    <w:uiPriority w:val="99"/>
    <w:semiHidden/>
    <w:locked/>
    <w:rsid w:val="005C2ECF"/>
    <w:pPr>
      <w:ind w:left="1132" w:hanging="283"/>
    </w:pPr>
  </w:style>
  <w:style w:type="paragraph" w:styleId="List5">
    <w:name w:val="List 5"/>
    <w:basedOn w:val="Normal"/>
    <w:uiPriority w:val="99"/>
    <w:semiHidden/>
    <w:locked/>
    <w:rsid w:val="005C2ECF"/>
    <w:pPr>
      <w:ind w:left="1415" w:hanging="283"/>
    </w:pPr>
  </w:style>
  <w:style w:type="paragraph" w:styleId="ListBullet">
    <w:name w:val="List Bullet"/>
    <w:basedOn w:val="ListNumber"/>
    <w:uiPriority w:val="99"/>
    <w:qFormat/>
    <w:rsid w:val="002C5943"/>
    <w:pPr>
      <w:numPr>
        <w:numId w:val="3"/>
      </w:numPr>
      <w:ind w:left="1094" w:hanging="737"/>
    </w:pPr>
  </w:style>
  <w:style w:type="paragraph" w:styleId="ListBullet2">
    <w:name w:val="List Bullet 2"/>
    <w:basedOn w:val="Normal"/>
    <w:uiPriority w:val="99"/>
    <w:semiHidden/>
    <w:locked/>
    <w:rsid w:val="005C2ECF"/>
    <w:pPr>
      <w:numPr>
        <w:numId w:val="4"/>
      </w:numPr>
    </w:pPr>
  </w:style>
  <w:style w:type="paragraph" w:styleId="ListBullet3">
    <w:name w:val="List Bullet 3"/>
    <w:basedOn w:val="Normal"/>
    <w:uiPriority w:val="99"/>
    <w:semiHidden/>
    <w:locked/>
    <w:rsid w:val="005C2ECF"/>
    <w:pPr>
      <w:numPr>
        <w:numId w:val="5"/>
      </w:numPr>
    </w:pPr>
  </w:style>
  <w:style w:type="paragraph" w:styleId="ListBullet4">
    <w:name w:val="List Bullet 4"/>
    <w:basedOn w:val="Normal"/>
    <w:uiPriority w:val="99"/>
    <w:semiHidden/>
    <w:locked/>
    <w:rsid w:val="005C2ECF"/>
    <w:pPr>
      <w:numPr>
        <w:numId w:val="6"/>
      </w:numPr>
    </w:pPr>
  </w:style>
  <w:style w:type="paragraph" w:styleId="ListBullet5">
    <w:name w:val="List Bullet 5"/>
    <w:basedOn w:val="Normal"/>
    <w:uiPriority w:val="99"/>
    <w:semiHidden/>
    <w:locked/>
    <w:rsid w:val="005C2ECF"/>
    <w:pPr>
      <w:numPr>
        <w:numId w:val="7"/>
      </w:numPr>
    </w:pPr>
  </w:style>
  <w:style w:type="paragraph" w:styleId="ListContinue">
    <w:name w:val="List Continue"/>
    <w:basedOn w:val="Normal"/>
    <w:uiPriority w:val="99"/>
    <w:semiHidden/>
    <w:locked/>
    <w:rsid w:val="005C2ECF"/>
    <w:pPr>
      <w:spacing w:after="120"/>
      <w:ind w:left="283"/>
    </w:pPr>
  </w:style>
  <w:style w:type="paragraph" w:styleId="ListContinue2">
    <w:name w:val="List Continue 2"/>
    <w:basedOn w:val="Normal"/>
    <w:uiPriority w:val="99"/>
    <w:semiHidden/>
    <w:locked/>
    <w:rsid w:val="005C2ECF"/>
    <w:pPr>
      <w:spacing w:after="120"/>
      <w:ind w:left="566"/>
    </w:pPr>
  </w:style>
  <w:style w:type="paragraph" w:styleId="ListContinue3">
    <w:name w:val="List Continue 3"/>
    <w:basedOn w:val="Normal"/>
    <w:uiPriority w:val="99"/>
    <w:semiHidden/>
    <w:locked/>
    <w:rsid w:val="005C2ECF"/>
    <w:pPr>
      <w:spacing w:after="120"/>
      <w:ind w:left="849"/>
    </w:pPr>
  </w:style>
  <w:style w:type="paragraph" w:styleId="ListContinue5">
    <w:name w:val="List Continue 5"/>
    <w:basedOn w:val="Normal"/>
    <w:uiPriority w:val="99"/>
    <w:semiHidden/>
    <w:locked/>
    <w:rsid w:val="005C2ECF"/>
    <w:pPr>
      <w:spacing w:after="120"/>
      <w:ind w:left="1415"/>
    </w:pPr>
  </w:style>
  <w:style w:type="paragraph" w:styleId="ListNumber">
    <w:name w:val="List Number"/>
    <w:basedOn w:val="Normal"/>
    <w:qFormat/>
    <w:rsid w:val="002C5943"/>
    <w:pPr>
      <w:numPr>
        <w:numId w:val="8"/>
      </w:numPr>
      <w:tabs>
        <w:tab w:val="clear" w:pos="360"/>
        <w:tab w:val="left" w:pos="1134"/>
      </w:tabs>
      <w:spacing w:before="120" w:after="120"/>
      <w:ind w:left="1094" w:hanging="737"/>
      <w:contextualSpacing/>
    </w:pPr>
  </w:style>
  <w:style w:type="paragraph" w:styleId="ListNumber2">
    <w:name w:val="List Number 2"/>
    <w:basedOn w:val="Normal"/>
    <w:uiPriority w:val="99"/>
    <w:semiHidden/>
    <w:locked/>
    <w:rsid w:val="005C2ECF"/>
    <w:pPr>
      <w:numPr>
        <w:numId w:val="11"/>
      </w:numPr>
    </w:pPr>
  </w:style>
  <w:style w:type="paragraph" w:styleId="ListNumber3">
    <w:name w:val="List Number 3"/>
    <w:basedOn w:val="Normal"/>
    <w:uiPriority w:val="99"/>
    <w:semiHidden/>
    <w:locked/>
    <w:rsid w:val="005C2ECF"/>
    <w:pPr>
      <w:numPr>
        <w:numId w:val="12"/>
      </w:numPr>
    </w:pPr>
  </w:style>
  <w:style w:type="paragraph" w:styleId="ListNumber4">
    <w:name w:val="List Number 4"/>
    <w:basedOn w:val="Normal"/>
    <w:uiPriority w:val="99"/>
    <w:semiHidden/>
    <w:locked/>
    <w:rsid w:val="005C2ECF"/>
    <w:pPr>
      <w:numPr>
        <w:numId w:val="9"/>
      </w:numPr>
    </w:pPr>
  </w:style>
  <w:style w:type="paragraph" w:styleId="ListNumber5">
    <w:name w:val="List Number 5"/>
    <w:basedOn w:val="Normal"/>
    <w:uiPriority w:val="99"/>
    <w:semiHidden/>
    <w:locked/>
    <w:rsid w:val="005C2ECF"/>
    <w:pPr>
      <w:numPr>
        <w:numId w:val="10"/>
      </w:numPr>
    </w:pPr>
  </w:style>
  <w:style w:type="paragraph" w:styleId="MessageHeader">
    <w:name w:val="Message Header"/>
    <w:basedOn w:val="Normal"/>
    <w:link w:val="MessageHeaderChar"/>
    <w:uiPriority w:val="99"/>
    <w:semiHidden/>
    <w:locked/>
    <w:rsid w:val="005C2ECF"/>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rsid w:val="005C2ECF"/>
  </w:style>
  <w:style w:type="paragraph" w:styleId="NormalIndent">
    <w:name w:val="Normal Indent"/>
    <w:basedOn w:val="Normal"/>
    <w:rsid w:val="005C2ECF"/>
    <w:pPr>
      <w:ind w:left="720"/>
    </w:pPr>
  </w:style>
  <w:style w:type="paragraph" w:styleId="NoteHeading">
    <w:name w:val="Note Heading"/>
    <w:basedOn w:val="Normal"/>
    <w:next w:val="Normal"/>
    <w:link w:val="NoteHeadingChar"/>
    <w:rsid w:val="00E45954"/>
  </w:style>
  <w:style w:type="character" w:styleId="PageNumber">
    <w:name w:val="page number"/>
    <w:rsid w:val="00471BB7"/>
    <w:rPr>
      <w:rFonts w:ascii="Open Sans" w:hAnsi="Open Sans"/>
      <w:sz w:val="24"/>
    </w:rPr>
  </w:style>
  <w:style w:type="paragraph" w:styleId="PlainText">
    <w:name w:val="Plain Text"/>
    <w:basedOn w:val="Normal"/>
    <w:link w:val="PlainTextChar"/>
    <w:uiPriority w:val="99"/>
    <w:semiHidden/>
    <w:rsid w:val="00471BB7"/>
    <w:rPr>
      <w:rFonts w:cs="Courier New"/>
      <w:szCs w:val="20"/>
    </w:rPr>
  </w:style>
  <w:style w:type="paragraph" w:styleId="Salutation">
    <w:name w:val="Salutation"/>
    <w:basedOn w:val="Normal"/>
    <w:next w:val="Normal"/>
    <w:link w:val="SalutationChar"/>
    <w:uiPriority w:val="99"/>
    <w:semiHidden/>
    <w:locked/>
    <w:rsid w:val="00471BB7"/>
  </w:style>
  <w:style w:type="paragraph" w:styleId="Signature">
    <w:name w:val="Signature"/>
    <w:basedOn w:val="Normal"/>
    <w:link w:val="SignatureChar"/>
    <w:uiPriority w:val="99"/>
    <w:semiHidden/>
    <w:locked/>
    <w:rsid w:val="00E45954"/>
    <w:pPr>
      <w:ind w:left="4252"/>
    </w:pPr>
  </w:style>
  <w:style w:type="paragraph" w:styleId="Subtitle">
    <w:name w:val="Subtitle"/>
    <w:basedOn w:val="Normal"/>
    <w:link w:val="SubtitleChar"/>
    <w:uiPriority w:val="99"/>
    <w:qFormat/>
    <w:rsid w:val="00817C73"/>
    <w:pPr>
      <w:jc w:val="right"/>
      <w:outlineLvl w:val="1"/>
    </w:pPr>
    <w:rPr>
      <w:rFonts w:cs="Arial"/>
      <w:color w:val="237BBC"/>
      <w:sz w:val="28"/>
    </w:rPr>
  </w:style>
  <w:style w:type="table" w:styleId="Table3Deffects1">
    <w:name w:val="Table 3D effects 1"/>
    <w:basedOn w:val="TableNormal"/>
    <w:uiPriority w:val="99"/>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uiPriority w:val="99"/>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99"/>
    <w:qFormat/>
    <w:rsid w:val="00E45954"/>
    <w:pPr>
      <w:spacing w:after="60"/>
      <w:jc w:val="center"/>
      <w:outlineLvl w:val="0"/>
    </w:pPr>
    <w:rPr>
      <w:rFonts w:cs="Arial"/>
      <w:b/>
      <w:bCs/>
      <w:kern w:val="28"/>
      <w:sz w:val="32"/>
      <w:szCs w:val="32"/>
    </w:rPr>
  </w:style>
  <w:style w:type="character" w:styleId="FollowedHyperlink">
    <w:name w:val="FollowedHyperlink"/>
    <w:uiPriority w:val="99"/>
    <w:semiHidden/>
    <w:rsid w:val="00045C4B"/>
    <w:rPr>
      <w:rFonts w:ascii="Open Sans" w:hAnsi="Open Sans"/>
      <w:color w:val="800080"/>
      <w:u w:val="single"/>
    </w:rPr>
  </w:style>
  <w:style w:type="paragraph" w:customStyle="1" w:styleId="MainTitle">
    <w:name w:val="Main Title"/>
    <w:next w:val="Subtitle"/>
    <w:uiPriority w:val="99"/>
    <w:rsid w:val="00A355F9"/>
    <w:pPr>
      <w:spacing w:before="240" w:after="240" w:line="740" w:lineRule="exact"/>
      <w:contextualSpacing/>
      <w:jc w:val="right"/>
    </w:pPr>
    <w:rPr>
      <w:rFonts w:ascii="Open Sans" w:hAnsi="Open Sans"/>
      <w:bCs/>
      <w:color w:val="237BBC"/>
      <w:kern w:val="32"/>
      <w:sz w:val="56"/>
      <w:szCs w:val="32"/>
    </w:rPr>
  </w:style>
  <w:style w:type="paragraph" w:customStyle="1" w:styleId="HeaderFooter">
    <w:name w:val="Header &amp; Footer"/>
    <w:basedOn w:val="Normal"/>
    <w:locked/>
    <w:rsid w:val="005C2ECF"/>
    <w:pPr>
      <w:spacing w:line="200" w:lineRule="exact"/>
      <w:jc w:val="both"/>
    </w:pPr>
    <w:rPr>
      <w:rFonts w:eastAsia="Times New Roman" w:cs="ArialMT"/>
      <w:sz w:val="16"/>
      <w:lang w:eastAsia="en-US"/>
    </w:rPr>
  </w:style>
  <w:style w:type="paragraph" w:customStyle="1" w:styleId="LogoType">
    <w:name w:val="Logo Type"/>
    <w:basedOn w:val="Header"/>
    <w:locked/>
    <w:rsid w:val="005C2ECF"/>
    <w:pPr>
      <w:pBdr>
        <w:bottom w:val="single" w:sz="4" w:space="4" w:color="auto"/>
      </w:pBdr>
      <w:tabs>
        <w:tab w:val="clear" w:pos="4513"/>
        <w:tab w:val="clear" w:pos="9026"/>
        <w:tab w:val="left" w:pos="4686"/>
        <w:tab w:val="left" w:pos="7088"/>
        <w:tab w:val="left" w:pos="7242"/>
      </w:tabs>
      <w:spacing w:before="0" w:line="320" w:lineRule="exact"/>
    </w:pPr>
    <w:rPr>
      <w:rFonts w:cs="ArialMT"/>
      <w:b/>
      <w:spacing w:val="-20"/>
      <w:sz w:val="32"/>
      <w:lang w:eastAsia="en-US"/>
    </w:rPr>
  </w:style>
  <w:style w:type="paragraph" w:styleId="BalloonText">
    <w:name w:val="Balloon Text"/>
    <w:basedOn w:val="Normal"/>
    <w:link w:val="BalloonTextChar"/>
    <w:semiHidden/>
    <w:rsid w:val="00045C4B"/>
    <w:pPr>
      <w:spacing w:before="0" w:after="0"/>
    </w:pPr>
    <w:rPr>
      <w:rFonts w:cs="Tahoma"/>
      <w:sz w:val="16"/>
      <w:szCs w:val="16"/>
    </w:rPr>
  </w:style>
  <w:style w:type="character" w:customStyle="1" w:styleId="BalloonTextChar">
    <w:name w:val="Balloon Text Char"/>
    <w:link w:val="BalloonText"/>
    <w:uiPriority w:val="99"/>
    <w:semiHidden/>
    <w:rsid w:val="00045C4B"/>
    <w:rPr>
      <w:rFonts w:ascii="Open Sans" w:eastAsia="MS Mincho" w:hAnsi="Open Sans" w:cs="Tahoma"/>
      <w:sz w:val="16"/>
      <w:szCs w:val="16"/>
    </w:rPr>
  </w:style>
  <w:style w:type="character" w:customStyle="1" w:styleId="CharChar">
    <w:name w:val="Char Char"/>
    <w:uiPriority w:val="99"/>
    <w:semiHidden/>
    <w:locked/>
    <w:rsid w:val="00045C4B"/>
    <w:rPr>
      <w:rFonts w:ascii="Open Sans" w:hAnsi="Open Sans" w:cs="Arial"/>
      <w:lang w:val="en-AU" w:eastAsia="en-AU" w:bidi="ar-SA"/>
    </w:rPr>
  </w:style>
  <w:style w:type="character" w:customStyle="1" w:styleId="EndnoteTextChar">
    <w:name w:val="Endnote Text Char"/>
    <w:locked/>
    <w:rsid w:val="00045C4B"/>
    <w:rPr>
      <w:rFonts w:ascii="Open Sans" w:hAnsi="Open Sans"/>
      <w:sz w:val="20"/>
      <w:lang w:bidi="ar-SA"/>
    </w:rPr>
  </w:style>
  <w:style w:type="character" w:customStyle="1" w:styleId="SubtitleChar">
    <w:name w:val="Subtitle Char"/>
    <w:link w:val="Subtitle"/>
    <w:uiPriority w:val="99"/>
    <w:rsid w:val="00817C73"/>
    <w:rPr>
      <w:rFonts w:ascii="Open Sans" w:eastAsia="MS Mincho" w:hAnsi="Open Sans" w:cs="Arial"/>
      <w:color w:val="237BBC"/>
      <w:sz w:val="28"/>
      <w:szCs w:val="24"/>
    </w:rPr>
  </w:style>
  <w:style w:type="paragraph" w:customStyle="1" w:styleId="SubmissionNormal">
    <w:name w:val="Submission Normal"/>
    <w:aliases w:val="No Spacing1,No Spacing11,No Spacing111"/>
    <w:basedOn w:val="Normal"/>
    <w:link w:val="SubmissionNormalChar"/>
    <w:qFormat/>
    <w:locked/>
    <w:rsid w:val="00B34946"/>
    <w:pPr>
      <w:numPr>
        <w:numId w:val="16"/>
      </w:numPr>
      <w:tabs>
        <w:tab w:val="clear" w:pos="720"/>
      </w:tabs>
      <w:ind w:hanging="720"/>
    </w:pPr>
    <w:rPr>
      <w:rFonts w:eastAsia="Times New Roman"/>
    </w:rPr>
  </w:style>
  <w:style w:type="character" w:customStyle="1" w:styleId="SubmissionNormalChar">
    <w:name w:val="Submission Normal Char"/>
    <w:aliases w:val="No Spacing1 Char"/>
    <w:link w:val="SubmissionNormal"/>
    <w:rsid w:val="00B34946"/>
    <w:rPr>
      <w:rFonts w:ascii="Open Sans" w:hAnsi="Open Sans"/>
      <w:sz w:val="24"/>
      <w:szCs w:val="24"/>
    </w:rPr>
  </w:style>
  <w:style w:type="paragraph" w:customStyle="1" w:styleId="coveraddresses">
    <w:name w:val="cover addresses"/>
    <w:basedOn w:val="Footer"/>
    <w:locked/>
    <w:rsid w:val="005C2ECF"/>
    <w:pPr>
      <w:spacing w:after="40"/>
    </w:pPr>
    <w:rPr>
      <w:szCs w:val="16"/>
    </w:rPr>
  </w:style>
  <w:style w:type="paragraph" w:customStyle="1" w:styleId="coveraddress">
    <w:name w:val="cover address"/>
    <w:basedOn w:val="coveraddresses"/>
    <w:locked/>
    <w:rsid w:val="005C2ECF"/>
  </w:style>
  <w:style w:type="paragraph" w:styleId="Caption">
    <w:name w:val="caption"/>
    <w:basedOn w:val="Normal"/>
    <w:next w:val="Normal"/>
    <w:semiHidden/>
    <w:unhideWhenUsed/>
    <w:qFormat/>
    <w:rsid w:val="00045C4B"/>
    <w:rPr>
      <w:b/>
      <w:bCs/>
      <w:sz w:val="20"/>
      <w:szCs w:val="20"/>
    </w:rPr>
  </w:style>
  <w:style w:type="character" w:styleId="CommentReference">
    <w:name w:val="annotation reference"/>
    <w:rsid w:val="00045C4B"/>
    <w:rPr>
      <w:rFonts w:ascii="Open Sans" w:hAnsi="Open Sans"/>
      <w:sz w:val="16"/>
      <w:szCs w:val="16"/>
    </w:rPr>
  </w:style>
  <w:style w:type="paragraph" w:styleId="CommentText">
    <w:name w:val="annotation text"/>
    <w:basedOn w:val="Normal"/>
    <w:link w:val="CommentTextChar"/>
    <w:rsid w:val="00045C4B"/>
    <w:rPr>
      <w:sz w:val="20"/>
      <w:szCs w:val="20"/>
    </w:rPr>
  </w:style>
  <w:style w:type="character" w:customStyle="1" w:styleId="CommentTextChar">
    <w:name w:val="Comment Text Char"/>
    <w:link w:val="CommentText"/>
    <w:rsid w:val="00045C4B"/>
    <w:rPr>
      <w:rFonts w:ascii="Open Sans" w:eastAsia="MS Mincho" w:hAnsi="Open Sans"/>
    </w:rPr>
  </w:style>
  <w:style w:type="paragraph" w:styleId="CommentSubject">
    <w:name w:val="annotation subject"/>
    <w:basedOn w:val="CommentText"/>
    <w:next w:val="CommentText"/>
    <w:link w:val="CommentSubjectChar"/>
    <w:rsid w:val="00045C4B"/>
    <w:rPr>
      <w:b/>
      <w:bCs/>
    </w:rPr>
  </w:style>
  <w:style w:type="character" w:customStyle="1" w:styleId="CommentSubjectChar">
    <w:name w:val="Comment Subject Char"/>
    <w:link w:val="CommentSubject"/>
    <w:uiPriority w:val="99"/>
    <w:rsid w:val="00045C4B"/>
    <w:rPr>
      <w:rFonts w:ascii="Open Sans" w:eastAsia="MS Mincho" w:hAnsi="Open Sans"/>
      <w:b/>
      <w:bCs/>
    </w:rPr>
  </w:style>
  <w:style w:type="paragraph" w:styleId="DocumentMap">
    <w:name w:val="Document Map"/>
    <w:basedOn w:val="Normal"/>
    <w:link w:val="DocumentMapChar"/>
    <w:rsid w:val="00045C4B"/>
    <w:rPr>
      <w:rFonts w:cs="Segoe UI"/>
      <w:sz w:val="16"/>
      <w:szCs w:val="16"/>
    </w:rPr>
  </w:style>
  <w:style w:type="character" w:customStyle="1" w:styleId="DocumentMapChar">
    <w:name w:val="Document Map Char"/>
    <w:link w:val="DocumentMap"/>
    <w:rsid w:val="00045C4B"/>
    <w:rPr>
      <w:rFonts w:ascii="Open Sans" w:eastAsia="MS Mincho" w:hAnsi="Open Sans" w:cs="Segoe UI"/>
      <w:sz w:val="16"/>
      <w:szCs w:val="16"/>
    </w:rPr>
  </w:style>
  <w:style w:type="paragraph" w:styleId="Index1">
    <w:name w:val="index 1"/>
    <w:basedOn w:val="Normal"/>
    <w:next w:val="Normal"/>
    <w:rsid w:val="005C2ECF"/>
    <w:pPr>
      <w:ind w:left="240" w:hanging="240"/>
    </w:pPr>
  </w:style>
  <w:style w:type="paragraph" w:styleId="Index2">
    <w:name w:val="index 2"/>
    <w:basedOn w:val="Normal"/>
    <w:next w:val="Normal"/>
    <w:rsid w:val="005C2ECF"/>
    <w:pPr>
      <w:ind w:left="480" w:hanging="240"/>
    </w:pPr>
  </w:style>
  <w:style w:type="paragraph" w:styleId="Index3">
    <w:name w:val="index 3"/>
    <w:basedOn w:val="Normal"/>
    <w:next w:val="Normal"/>
    <w:rsid w:val="005C2ECF"/>
    <w:pPr>
      <w:ind w:left="720" w:hanging="240"/>
    </w:pPr>
  </w:style>
  <w:style w:type="paragraph" w:styleId="Index4">
    <w:name w:val="index 4"/>
    <w:basedOn w:val="Normal"/>
    <w:next w:val="Normal"/>
    <w:rsid w:val="005C2ECF"/>
    <w:pPr>
      <w:ind w:left="960" w:hanging="240"/>
    </w:pPr>
  </w:style>
  <w:style w:type="paragraph" w:styleId="Index5">
    <w:name w:val="index 5"/>
    <w:basedOn w:val="Normal"/>
    <w:next w:val="Normal"/>
    <w:rsid w:val="005C2ECF"/>
    <w:pPr>
      <w:ind w:left="1200" w:hanging="240"/>
    </w:pPr>
  </w:style>
  <w:style w:type="paragraph" w:styleId="Index6">
    <w:name w:val="index 6"/>
    <w:basedOn w:val="Normal"/>
    <w:next w:val="Normal"/>
    <w:rsid w:val="005C2ECF"/>
    <w:pPr>
      <w:ind w:left="1440" w:hanging="240"/>
    </w:pPr>
  </w:style>
  <w:style w:type="paragraph" w:styleId="Index7">
    <w:name w:val="index 7"/>
    <w:basedOn w:val="Normal"/>
    <w:next w:val="Normal"/>
    <w:rsid w:val="005C2ECF"/>
    <w:pPr>
      <w:ind w:left="1680" w:hanging="240"/>
    </w:pPr>
  </w:style>
  <w:style w:type="paragraph" w:styleId="Index8">
    <w:name w:val="index 8"/>
    <w:basedOn w:val="Normal"/>
    <w:next w:val="Normal"/>
    <w:rsid w:val="005C2ECF"/>
    <w:pPr>
      <w:ind w:left="1920" w:hanging="240"/>
    </w:pPr>
  </w:style>
  <w:style w:type="paragraph" w:styleId="Index9">
    <w:name w:val="index 9"/>
    <w:basedOn w:val="Normal"/>
    <w:next w:val="Normal"/>
    <w:rsid w:val="005C2ECF"/>
    <w:pPr>
      <w:ind w:left="2160" w:hanging="240"/>
    </w:pPr>
  </w:style>
  <w:style w:type="paragraph" w:styleId="IndexHeading">
    <w:name w:val="index heading"/>
    <w:basedOn w:val="Normal"/>
    <w:next w:val="Index1"/>
    <w:rsid w:val="005C2ECF"/>
    <w:rPr>
      <w:rFonts w:eastAsia="Times New Roman"/>
      <w:b/>
      <w:bCs/>
    </w:rPr>
  </w:style>
  <w:style w:type="paragraph" w:styleId="MacroText">
    <w:name w:val="macro"/>
    <w:link w:val="MacroTextChar"/>
    <w:rsid w:val="005C2ECF"/>
    <w:pPr>
      <w:tabs>
        <w:tab w:val="left" w:pos="480"/>
        <w:tab w:val="left" w:pos="960"/>
        <w:tab w:val="left" w:pos="1440"/>
        <w:tab w:val="left" w:pos="1920"/>
        <w:tab w:val="left" w:pos="2400"/>
        <w:tab w:val="left" w:pos="2880"/>
        <w:tab w:val="left" w:pos="3360"/>
        <w:tab w:val="left" w:pos="3840"/>
        <w:tab w:val="left" w:pos="4320"/>
      </w:tabs>
      <w:spacing w:before="240" w:after="240"/>
    </w:pPr>
    <w:rPr>
      <w:rFonts w:ascii="Open Sans" w:eastAsia="MS Mincho" w:hAnsi="Open Sans" w:cs="Courier New"/>
    </w:rPr>
  </w:style>
  <w:style w:type="character" w:customStyle="1" w:styleId="MacroTextChar">
    <w:name w:val="Macro Text Char"/>
    <w:link w:val="MacroText"/>
    <w:rsid w:val="005C2ECF"/>
    <w:rPr>
      <w:rFonts w:ascii="Open Sans" w:eastAsia="MS Mincho" w:hAnsi="Open Sans" w:cs="Courier New"/>
    </w:rPr>
  </w:style>
  <w:style w:type="paragraph" w:styleId="TableofAuthorities">
    <w:name w:val="table of authorities"/>
    <w:basedOn w:val="Normal"/>
    <w:next w:val="Normal"/>
    <w:locked/>
    <w:rsid w:val="00471BB7"/>
    <w:pPr>
      <w:ind w:left="240" w:hanging="240"/>
    </w:pPr>
  </w:style>
  <w:style w:type="paragraph" w:styleId="TableofFigures">
    <w:name w:val="table of figures"/>
    <w:basedOn w:val="Normal"/>
    <w:next w:val="Normal"/>
    <w:locked/>
    <w:rsid w:val="00471BB7"/>
  </w:style>
  <w:style w:type="paragraph" w:styleId="TOAHeading">
    <w:name w:val="toa heading"/>
    <w:basedOn w:val="Normal"/>
    <w:next w:val="Normal"/>
    <w:locked/>
    <w:rsid w:val="00471BB7"/>
    <w:pPr>
      <w:spacing w:before="120"/>
    </w:pPr>
    <w:rPr>
      <w:rFonts w:eastAsia="Times New Roman"/>
      <w:b/>
      <w:bCs/>
    </w:rPr>
  </w:style>
  <w:style w:type="paragraph" w:styleId="TOC5">
    <w:name w:val="toc 5"/>
    <w:basedOn w:val="Normal"/>
    <w:next w:val="Normal"/>
    <w:semiHidden/>
    <w:locked/>
    <w:rsid w:val="00471BB7"/>
    <w:pPr>
      <w:ind w:left="960"/>
    </w:pPr>
  </w:style>
  <w:style w:type="paragraph" w:styleId="TOC6">
    <w:name w:val="toc 6"/>
    <w:basedOn w:val="Normal"/>
    <w:next w:val="Normal"/>
    <w:semiHidden/>
    <w:locked/>
    <w:rsid w:val="00471BB7"/>
    <w:pPr>
      <w:ind w:left="1200"/>
    </w:pPr>
  </w:style>
  <w:style w:type="paragraph" w:styleId="TOC7">
    <w:name w:val="toc 7"/>
    <w:basedOn w:val="Normal"/>
    <w:next w:val="Normal"/>
    <w:semiHidden/>
    <w:locked/>
    <w:rsid w:val="00471BB7"/>
    <w:pPr>
      <w:ind w:left="1440"/>
    </w:pPr>
  </w:style>
  <w:style w:type="paragraph" w:styleId="TOC8">
    <w:name w:val="toc 8"/>
    <w:basedOn w:val="Normal"/>
    <w:next w:val="Normal"/>
    <w:semiHidden/>
    <w:locked/>
    <w:rsid w:val="00471BB7"/>
    <w:pPr>
      <w:ind w:left="1680"/>
    </w:pPr>
  </w:style>
  <w:style w:type="paragraph" w:styleId="TOC9">
    <w:name w:val="toc 9"/>
    <w:basedOn w:val="Normal"/>
    <w:next w:val="Normal"/>
    <w:semiHidden/>
    <w:locked/>
    <w:rsid w:val="00471BB7"/>
    <w:pPr>
      <w:ind w:left="1920"/>
    </w:pPr>
  </w:style>
  <w:style w:type="paragraph" w:styleId="NoSpacing">
    <w:name w:val="No Spacing"/>
    <w:link w:val="NoSpacingChar"/>
    <w:uiPriority w:val="1"/>
    <w:qFormat/>
    <w:rsid w:val="00471BB7"/>
    <w:rPr>
      <w:rFonts w:ascii="Open Sans" w:eastAsia="MS Mincho" w:hAnsi="Open Sans"/>
      <w:sz w:val="24"/>
      <w:szCs w:val="24"/>
    </w:rPr>
  </w:style>
  <w:style w:type="character" w:styleId="SubtleEmphasis">
    <w:name w:val="Subtle Emphasis"/>
    <w:uiPriority w:val="19"/>
    <w:locked/>
    <w:rsid w:val="00471BB7"/>
    <w:rPr>
      <w:rFonts w:ascii="Open Sans" w:hAnsi="Open Sans"/>
      <w:i w:val="0"/>
      <w:iCs/>
      <w:color w:val="auto"/>
      <w:sz w:val="24"/>
    </w:rPr>
  </w:style>
  <w:style w:type="character" w:styleId="IntenseEmphasis">
    <w:name w:val="Intense Emphasis"/>
    <w:uiPriority w:val="21"/>
    <w:locked/>
    <w:rsid w:val="00471BB7"/>
    <w:rPr>
      <w:rFonts w:ascii="Open Sans" w:hAnsi="Open Sans"/>
      <w:i w:val="0"/>
      <w:iCs/>
      <w:color w:val="auto"/>
    </w:rPr>
  </w:style>
  <w:style w:type="paragraph" w:styleId="Quote">
    <w:name w:val="Quote"/>
    <w:basedOn w:val="Normal"/>
    <w:next w:val="Normal"/>
    <w:link w:val="QuoteChar"/>
    <w:qFormat/>
    <w:rsid w:val="000C5DA6"/>
    <w:pPr>
      <w:spacing w:before="200" w:after="160"/>
      <w:ind w:left="1440"/>
    </w:pPr>
    <w:rPr>
      <w:iCs/>
      <w:sz w:val="22"/>
    </w:rPr>
  </w:style>
  <w:style w:type="character" w:customStyle="1" w:styleId="QuoteChar">
    <w:name w:val="Quote Char"/>
    <w:link w:val="Quote"/>
    <w:rsid w:val="000C5DA6"/>
    <w:rPr>
      <w:rFonts w:ascii="Open Sans" w:eastAsia="MS Mincho" w:hAnsi="Open Sans"/>
      <w:iCs/>
      <w:sz w:val="22"/>
      <w:szCs w:val="24"/>
    </w:rPr>
  </w:style>
  <w:style w:type="paragraph" w:styleId="IntenseQuote">
    <w:name w:val="Intense Quote"/>
    <w:basedOn w:val="Normal"/>
    <w:next w:val="Normal"/>
    <w:link w:val="IntenseQuoteChar"/>
    <w:uiPriority w:val="30"/>
    <w:locked/>
    <w:rsid w:val="00471BB7"/>
    <w:pPr>
      <w:pBdr>
        <w:top w:val="single" w:sz="4" w:space="10" w:color="4472C4"/>
        <w:bottom w:val="single" w:sz="4" w:space="10" w:color="4472C4"/>
      </w:pBdr>
      <w:spacing w:before="360" w:after="360"/>
      <w:ind w:left="864" w:right="864"/>
      <w:jc w:val="center"/>
    </w:pPr>
    <w:rPr>
      <w:iCs/>
    </w:rPr>
  </w:style>
  <w:style w:type="character" w:customStyle="1" w:styleId="IntenseQuoteChar">
    <w:name w:val="Intense Quote Char"/>
    <w:link w:val="IntenseQuote"/>
    <w:uiPriority w:val="30"/>
    <w:rsid w:val="00471BB7"/>
    <w:rPr>
      <w:rFonts w:ascii="Open Sans" w:eastAsia="MS Mincho" w:hAnsi="Open Sans"/>
      <w:iCs/>
      <w:sz w:val="24"/>
      <w:szCs w:val="24"/>
    </w:rPr>
  </w:style>
  <w:style w:type="character" w:styleId="SubtleReference">
    <w:name w:val="Subtle Reference"/>
    <w:uiPriority w:val="31"/>
    <w:locked/>
    <w:rsid w:val="00471BB7"/>
    <w:rPr>
      <w:rFonts w:ascii="Open Sans" w:hAnsi="Open Sans"/>
      <w:smallCaps/>
      <w:color w:val="auto"/>
      <w:sz w:val="24"/>
    </w:rPr>
  </w:style>
  <w:style w:type="character" w:styleId="IntenseReference">
    <w:name w:val="Intense Reference"/>
    <w:uiPriority w:val="32"/>
    <w:locked/>
    <w:rsid w:val="00471BB7"/>
    <w:rPr>
      <w:rFonts w:ascii="Open Sans" w:hAnsi="Open Sans"/>
      <w:b w:val="0"/>
      <w:bCs/>
      <w:smallCaps/>
      <w:color w:val="auto"/>
      <w:spacing w:val="5"/>
      <w:sz w:val="24"/>
    </w:rPr>
  </w:style>
  <w:style w:type="character" w:styleId="BookTitle">
    <w:name w:val="Book Title"/>
    <w:aliases w:val="Text Title"/>
    <w:uiPriority w:val="33"/>
    <w:rsid w:val="00471BB7"/>
    <w:rPr>
      <w:rFonts w:ascii="Open Sans" w:hAnsi="Open Sans"/>
      <w:b w:val="0"/>
      <w:bCs/>
      <w:i/>
      <w:iCs/>
      <w:spacing w:val="5"/>
      <w:sz w:val="24"/>
    </w:rPr>
  </w:style>
  <w:style w:type="paragraph" w:styleId="ListParagraph">
    <w:name w:val="List Paragraph"/>
    <w:aliases w:val="L,List Paragraph1,List Paragraph11,Recommendation,EOT List Paragraph,Bullet point,List Paragraph Number"/>
    <w:basedOn w:val="Normal"/>
    <w:link w:val="ListParagraphChar"/>
    <w:uiPriority w:val="1"/>
    <w:qFormat/>
    <w:locked/>
    <w:rsid w:val="00471BB7"/>
    <w:pPr>
      <w:ind w:left="720"/>
    </w:pPr>
  </w:style>
  <w:style w:type="paragraph" w:styleId="Bibliography">
    <w:name w:val="Bibliography"/>
    <w:basedOn w:val="Normal"/>
    <w:next w:val="Normal"/>
    <w:uiPriority w:val="37"/>
    <w:semiHidden/>
    <w:unhideWhenUsed/>
    <w:rsid w:val="00471BB7"/>
  </w:style>
  <w:style w:type="character" w:customStyle="1" w:styleId="Hashtag1">
    <w:name w:val="Hashtag1"/>
    <w:uiPriority w:val="99"/>
    <w:semiHidden/>
    <w:unhideWhenUsed/>
    <w:locked/>
    <w:rsid w:val="00471BB7"/>
    <w:rPr>
      <w:rFonts w:ascii="Open Sans" w:hAnsi="Open Sans"/>
      <w:color w:val="2B579A"/>
      <w:shd w:val="clear" w:color="auto" w:fill="E6E6E6"/>
    </w:rPr>
  </w:style>
  <w:style w:type="character" w:customStyle="1" w:styleId="Mention1">
    <w:name w:val="Mention1"/>
    <w:uiPriority w:val="99"/>
    <w:semiHidden/>
    <w:unhideWhenUsed/>
    <w:locked/>
    <w:rsid w:val="00471BB7"/>
    <w:rPr>
      <w:rFonts w:ascii="Open Sans" w:hAnsi="Open Sans"/>
      <w:color w:val="auto"/>
      <w:shd w:val="clear" w:color="auto" w:fill="E6E6E6"/>
    </w:rPr>
  </w:style>
  <w:style w:type="character" w:customStyle="1" w:styleId="SmartHyperlink1">
    <w:name w:val="Smart Hyperlink1"/>
    <w:uiPriority w:val="99"/>
    <w:semiHidden/>
    <w:unhideWhenUsed/>
    <w:locked/>
    <w:rsid w:val="00471BB7"/>
    <w:rPr>
      <w:rFonts w:ascii="Open Sans" w:hAnsi="Open Sans"/>
      <w:u w:val="dotted"/>
    </w:rPr>
  </w:style>
  <w:style w:type="character" w:customStyle="1" w:styleId="UnresolvedMention1">
    <w:name w:val="Unresolved Mention1"/>
    <w:uiPriority w:val="99"/>
    <w:semiHidden/>
    <w:unhideWhenUsed/>
    <w:locked/>
    <w:rsid w:val="00471BB7"/>
    <w:rPr>
      <w:rFonts w:ascii="Open Sans" w:hAnsi="Open Sans"/>
      <w:color w:val="auto"/>
      <w:shd w:val="clear" w:color="auto" w:fill="E6E6E6"/>
    </w:rPr>
  </w:style>
  <w:style w:type="character" w:customStyle="1" w:styleId="Reporttitleinheader">
    <w:name w:val="Report title in header"/>
    <w:uiPriority w:val="1"/>
    <w:qFormat/>
    <w:rsid w:val="001F62CC"/>
    <w:rPr>
      <w:rFonts w:ascii="Open Sans" w:hAnsi="Open Sans"/>
      <w:b/>
      <w:noProof/>
      <w:sz w:val="18"/>
    </w:rPr>
  </w:style>
  <w:style w:type="paragraph" w:customStyle="1" w:styleId="HeaderDocumentDate">
    <w:name w:val="Header Document Date"/>
    <w:basedOn w:val="Footer"/>
    <w:qFormat/>
    <w:rsid w:val="002850B0"/>
    <w:pPr>
      <w:jc w:val="right"/>
    </w:pPr>
  </w:style>
  <w:style w:type="paragraph" w:customStyle="1" w:styleId="FooterEvenPageNumber">
    <w:name w:val="Footer Even Page Number"/>
    <w:basedOn w:val="Footer"/>
    <w:rsid w:val="00E53546"/>
  </w:style>
  <w:style w:type="paragraph" w:customStyle="1" w:styleId="FooterOddPageNumber">
    <w:name w:val="Footer Odd Page Number"/>
    <w:basedOn w:val="Footer"/>
    <w:rsid w:val="00E53546"/>
    <w:pPr>
      <w:jc w:val="right"/>
    </w:pPr>
  </w:style>
  <w:style w:type="paragraph" w:customStyle="1" w:styleId="Default">
    <w:name w:val="Default"/>
    <w:rsid w:val="00FD6475"/>
    <w:pPr>
      <w:autoSpaceDE w:val="0"/>
      <w:autoSpaceDN w:val="0"/>
      <w:adjustRightInd w:val="0"/>
    </w:pPr>
    <w:rPr>
      <w:rFonts w:ascii="Open Sans" w:hAnsi="Open Sans" w:cs="Open Sans"/>
      <w:color w:val="000000"/>
      <w:sz w:val="24"/>
      <w:szCs w:val="24"/>
    </w:rPr>
  </w:style>
  <w:style w:type="numbering" w:customStyle="1" w:styleId="Style1">
    <w:name w:val="Style1"/>
    <w:uiPriority w:val="99"/>
    <w:rsid w:val="0025176E"/>
    <w:pPr>
      <w:numPr>
        <w:numId w:val="17"/>
      </w:numPr>
    </w:pPr>
  </w:style>
  <w:style w:type="numbering" w:customStyle="1" w:styleId="AHRCReportHeadings">
    <w:name w:val="AHRC Report Headings"/>
    <w:uiPriority w:val="99"/>
    <w:rsid w:val="00592D1C"/>
    <w:pPr>
      <w:numPr>
        <w:numId w:val="18"/>
      </w:numPr>
    </w:pPr>
  </w:style>
  <w:style w:type="paragraph" w:customStyle="1" w:styleId="Reportplaintext">
    <w:name w:val="Report plain text"/>
    <w:basedOn w:val="Normal"/>
    <w:link w:val="ReportplaintextChar"/>
    <w:rsid w:val="00691E8A"/>
  </w:style>
  <w:style w:type="paragraph" w:customStyle="1" w:styleId="AHRCHeading4">
    <w:name w:val="AHRC Heading 4"/>
    <w:basedOn w:val="Heading4"/>
    <w:link w:val="AHRCHeading4Char"/>
    <w:qFormat/>
    <w:rsid w:val="00CF66B5"/>
    <w:rPr>
      <w:i w:val="0"/>
      <w:iCs w:val="0"/>
    </w:rPr>
  </w:style>
  <w:style w:type="character" w:customStyle="1" w:styleId="ReportplaintextChar">
    <w:name w:val="Report plain text Char"/>
    <w:basedOn w:val="DefaultParagraphFont"/>
    <w:link w:val="Reportplaintext"/>
    <w:rsid w:val="00691E8A"/>
    <w:rPr>
      <w:rFonts w:ascii="Open Sans" w:eastAsia="MS Mincho" w:hAnsi="Open Sans"/>
      <w:sz w:val="24"/>
      <w:szCs w:val="24"/>
    </w:rPr>
  </w:style>
  <w:style w:type="paragraph" w:customStyle="1" w:styleId="AHRCheading5">
    <w:name w:val="AHRC heading 5"/>
    <w:basedOn w:val="ListParagraph"/>
    <w:link w:val="AHRCheading5Char"/>
    <w:qFormat/>
    <w:rsid w:val="00CF66B5"/>
    <w:pPr>
      <w:numPr>
        <w:ilvl w:val="4"/>
        <w:numId w:val="19"/>
      </w:numPr>
      <w:tabs>
        <w:tab w:val="clear" w:pos="0"/>
        <w:tab w:val="left" w:pos="851"/>
      </w:tabs>
    </w:pPr>
  </w:style>
  <w:style w:type="character" w:customStyle="1" w:styleId="AHRCHeading4Char">
    <w:name w:val="AHRC Heading 4 Char"/>
    <w:basedOn w:val="Heading4Char"/>
    <w:link w:val="AHRCHeading4"/>
    <w:rsid w:val="00CF66B5"/>
    <w:rPr>
      <w:rFonts w:ascii="Open Sans" w:eastAsia="MS Mincho" w:hAnsi="Open Sans"/>
      <w:i w:val="0"/>
      <w:iCs w:val="0"/>
      <w:sz w:val="24"/>
      <w:szCs w:val="26"/>
    </w:rPr>
  </w:style>
  <w:style w:type="paragraph" w:customStyle="1" w:styleId="AHRCHeading1">
    <w:name w:val="AHRC Heading 1"/>
    <w:basedOn w:val="Heading1"/>
    <w:link w:val="AHRCHeading1Char"/>
    <w:qFormat/>
    <w:rsid w:val="00321095"/>
  </w:style>
  <w:style w:type="character" w:customStyle="1" w:styleId="ListParagraphChar">
    <w:name w:val="List Paragraph Char"/>
    <w:aliases w:val="L Char,List Paragraph1 Char,List Paragraph11 Char,Recommendation Char,EOT List Paragraph Char,Bullet point Char,List Paragraph Number Char"/>
    <w:basedOn w:val="DefaultParagraphFont"/>
    <w:link w:val="ListParagraph"/>
    <w:uiPriority w:val="34"/>
    <w:rsid w:val="00321095"/>
    <w:rPr>
      <w:rFonts w:ascii="Open Sans" w:eastAsia="MS Mincho" w:hAnsi="Open Sans"/>
      <w:sz w:val="24"/>
      <w:szCs w:val="24"/>
    </w:rPr>
  </w:style>
  <w:style w:type="character" w:customStyle="1" w:styleId="AHRCheading5Char">
    <w:name w:val="AHRC heading 5 Char"/>
    <w:basedOn w:val="ListParagraphChar"/>
    <w:link w:val="AHRCheading5"/>
    <w:rsid w:val="00CF66B5"/>
    <w:rPr>
      <w:rFonts w:ascii="Open Sans" w:eastAsia="MS Mincho" w:hAnsi="Open Sans"/>
      <w:sz w:val="24"/>
      <w:szCs w:val="24"/>
    </w:rPr>
  </w:style>
  <w:style w:type="paragraph" w:customStyle="1" w:styleId="AHRCHeading2">
    <w:name w:val="AHRC Heading 2"/>
    <w:basedOn w:val="Heading2"/>
    <w:link w:val="AHRCHeading2Char"/>
    <w:qFormat/>
    <w:rsid w:val="000534AC"/>
    <w:rPr>
      <w:sz w:val="28"/>
    </w:rPr>
  </w:style>
  <w:style w:type="character" w:customStyle="1" w:styleId="AHRCHeading1Char">
    <w:name w:val="AHRC Heading 1 Char"/>
    <w:basedOn w:val="Heading1Char"/>
    <w:link w:val="AHRCHeading1"/>
    <w:rsid w:val="00321095"/>
    <w:rPr>
      <w:rFonts w:ascii="Open Sans" w:eastAsia="MS Mincho" w:hAnsi="Open Sans"/>
      <w:b/>
      <w:bCs/>
      <w:sz w:val="36"/>
      <w:szCs w:val="28"/>
    </w:rPr>
  </w:style>
  <w:style w:type="paragraph" w:customStyle="1" w:styleId="AHRCHeading3">
    <w:name w:val="AHRC Heading 3"/>
    <w:basedOn w:val="Heading3"/>
    <w:link w:val="AHRCHeading3Char"/>
    <w:qFormat/>
    <w:rsid w:val="00321095"/>
  </w:style>
  <w:style w:type="character" w:customStyle="1" w:styleId="AHRCHeading2Char">
    <w:name w:val="AHRC Heading 2 Char"/>
    <w:basedOn w:val="Heading2Char"/>
    <w:link w:val="AHRCHeading2"/>
    <w:rsid w:val="000534AC"/>
    <w:rPr>
      <w:rFonts w:ascii="Open Sans" w:eastAsia="MS Mincho" w:hAnsi="Open Sans"/>
      <w:b/>
      <w:sz w:val="28"/>
      <w:szCs w:val="26"/>
    </w:rPr>
  </w:style>
  <w:style w:type="character" w:styleId="UnresolvedMention">
    <w:name w:val="Unresolved Mention"/>
    <w:basedOn w:val="DefaultParagraphFont"/>
    <w:uiPriority w:val="99"/>
    <w:semiHidden/>
    <w:unhideWhenUsed/>
    <w:rsid w:val="003026A0"/>
    <w:rPr>
      <w:color w:val="605E5C"/>
      <w:shd w:val="clear" w:color="auto" w:fill="E1DFDD"/>
    </w:rPr>
  </w:style>
  <w:style w:type="character" w:customStyle="1" w:styleId="AHRCHeading3Char">
    <w:name w:val="AHRC Heading 3 Char"/>
    <w:basedOn w:val="Heading3Char"/>
    <w:link w:val="AHRCHeading3"/>
    <w:rsid w:val="00321095"/>
    <w:rPr>
      <w:rFonts w:ascii="Open Sans" w:eastAsia="MS Mincho" w:hAnsi="Open Sans"/>
      <w:bCs/>
      <w:sz w:val="24"/>
      <w:szCs w:val="26"/>
    </w:rPr>
  </w:style>
  <w:style w:type="paragraph" w:customStyle="1" w:styleId="Blockquote">
    <w:name w:val="Block quote"/>
    <w:basedOn w:val="Normal"/>
    <w:link w:val="BlockquoteChar"/>
    <w:qFormat/>
    <w:rsid w:val="008A7EFF"/>
    <w:pPr>
      <w:spacing w:after="0"/>
      <w:ind w:left="1090" w:right="3"/>
    </w:pPr>
  </w:style>
  <w:style w:type="character" w:customStyle="1" w:styleId="BlockquoteChar">
    <w:name w:val="Block quote Char"/>
    <w:basedOn w:val="DefaultParagraphFont"/>
    <w:link w:val="Blockquote"/>
    <w:rsid w:val="008A7EFF"/>
    <w:rPr>
      <w:rFonts w:ascii="Open Sans" w:eastAsia="MS Mincho" w:hAnsi="Open Sans"/>
      <w:sz w:val="24"/>
      <w:szCs w:val="24"/>
    </w:rPr>
  </w:style>
  <w:style w:type="paragraph" w:customStyle="1" w:styleId="AHRCImagecaption">
    <w:name w:val="AHRC Image caption"/>
    <w:basedOn w:val="Normal"/>
    <w:link w:val="AHRCImagecaptionChar"/>
    <w:qFormat/>
    <w:rsid w:val="00A51C1D"/>
    <w:rPr>
      <w:sz w:val="18"/>
      <w:szCs w:val="18"/>
    </w:rPr>
  </w:style>
  <w:style w:type="paragraph" w:customStyle="1" w:styleId="AHRCEndnotes">
    <w:name w:val="AHRC Endnotes"/>
    <w:basedOn w:val="NoSpacing"/>
    <w:link w:val="AHRCEndnotesChar"/>
    <w:qFormat/>
    <w:rsid w:val="00DD604A"/>
    <w:pPr>
      <w:widowControl w:val="0"/>
      <w:numPr>
        <w:numId w:val="21"/>
      </w:numPr>
      <w:autoSpaceDE w:val="0"/>
      <w:autoSpaceDN w:val="0"/>
    </w:pPr>
    <w:rPr>
      <w:sz w:val="20"/>
      <w:szCs w:val="20"/>
    </w:rPr>
  </w:style>
  <w:style w:type="character" w:customStyle="1" w:styleId="AHRCImagecaptionChar">
    <w:name w:val="AHRC Image caption Char"/>
    <w:basedOn w:val="DefaultParagraphFont"/>
    <w:link w:val="AHRCImagecaption"/>
    <w:rsid w:val="00A51C1D"/>
    <w:rPr>
      <w:rFonts w:ascii="Open Sans" w:eastAsia="MS Mincho" w:hAnsi="Open Sans"/>
      <w:sz w:val="18"/>
      <w:szCs w:val="18"/>
    </w:rPr>
  </w:style>
  <w:style w:type="character" w:customStyle="1" w:styleId="NoSpacingChar">
    <w:name w:val="No Spacing Char"/>
    <w:basedOn w:val="DefaultParagraphFont"/>
    <w:link w:val="NoSpacing"/>
    <w:uiPriority w:val="1"/>
    <w:rsid w:val="00DD604A"/>
    <w:rPr>
      <w:rFonts w:ascii="Open Sans" w:eastAsia="MS Mincho" w:hAnsi="Open Sans"/>
      <w:sz w:val="24"/>
      <w:szCs w:val="24"/>
    </w:rPr>
  </w:style>
  <w:style w:type="character" w:customStyle="1" w:styleId="AHRCEndnotesChar">
    <w:name w:val="AHRC Endnotes Char"/>
    <w:basedOn w:val="NoSpacingChar"/>
    <w:link w:val="AHRCEndnotes"/>
    <w:rsid w:val="00DD604A"/>
    <w:rPr>
      <w:rFonts w:ascii="Open Sans" w:eastAsia="MS Mincho" w:hAnsi="Open Sans"/>
      <w:sz w:val="24"/>
      <w:szCs w:val="24"/>
    </w:rPr>
  </w:style>
  <w:style w:type="character" w:customStyle="1" w:styleId="BodyTextChar">
    <w:name w:val="Body Text Char"/>
    <w:basedOn w:val="DefaultParagraphFont"/>
    <w:link w:val="BodyText"/>
    <w:locked/>
    <w:rsid w:val="0032451D"/>
    <w:rPr>
      <w:rFonts w:ascii="Open Sans" w:eastAsia="MS Mincho" w:hAnsi="Open Sans"/>
      <w:sz w:val="24"/>
      <w:szCs w:val="24"/>
    </w:rPr>
  </w:style>
  <w:style w:type="character" w:customStyle="1" w:styleId="BodyText2Char">
    <w:name w:val="Body Text 2 Char"/>
    <w:basedOn w:val="DefaultParagraphFont"/>
    <w:link w:val="BodyText2"/>
    <w:uiPriority w:val="99"/>
    <w:semiHidden/>
    <w:locked/>
    <w:rsid w:val="0032451D"/>
    <w:rPr>
      <w:rFonts w:ascii="Open Sans" w:eastAsia="MS Mincho" w:hAnsi="Open Sans"/>
      <w:sz w:val="24"/>
      <w:szCs w:val="24"/>
    </w:rPr>
  </w:style>
  <w:style w:type="character" w:customStyle="1" w:styleId="BodyText3Char">
    <w:name w:val="Body Text 3 Char"/>
    <w:basedOn w:val="DefaultParagraphFont"/>
    <w:link w:val="BodyText3"/>
    <w:uiPriority w:val="99"/>
    <w:semiHidden/>
    <w:locked/>
    <w:rsid w:val="0032451D"/>
    <w:rPr>
      <w:rFonts w:ascii="Open Sans" w:eastAsia="MS Mincho" w:hAnsi="Open Sans"/>
      <w:sz w:val="16"/>
      <w:szCs w:val="16"/>
    </w:rPr>
  </w:style>
  <w:style w:type="character" w:customStyle="1" w:styleId="BodyTextFirstIndentChar">
    <w:name w:val="Body Text First Indent Char"/>
    <w:basedOn w:val="BodyTextChar"/>
    <w:link w:val="BodyTextFirstIndent"/>
    <w:uiPriority w:val="99"/>
    <w:semiHidden/>
    <w:locked/>
    <w:rsid w:val="0032451D"/>
    <w:rPr>
      <w:rFonts w:ascii="Open Sans" w:eastAsia="MS Mincho" w:hAnsi="Open Sans"/>
      <w:sz w:val="24"/>
      <w:szCs w:val="24"/>
    </w:rPr>
  </w:style>
  <w:style w:type="character" w:customStyle="1" w:styleId="BodyTextIndentChar">
    <w:name w:val="Body Text Indent Char"/>
    <w:basedOn w:val="DefaultParagraphFont"/>
    <w:link w:val="BodyTextIndent"/>
    <w:uiPriority w:val="99"/>
    <w:semiHidden/>
    <w:locked/>
    <w:rsid w:val="0032451D"/>
    <w:rPr>
      <w:rFonts w:ascii="Open Sans" w:eastAsia="MS Mincho" w:hAnsi="Open Sans"/>
      <w:sz w:val="24"/>
      <w:szCs w:val="24"/>
    </w:rPr>
  </w:style>
  <w:style w:type="character" w:customStyle="1" w:styleId="BodyTextFirstIndent2Char">
    <w:name w:val="Body Text First Indent 2 Char"/>
    <w:basedOn w:val="BodyTextIndentChar"/>
    <w:link w:val="BodyTextFirstIndent2"/>
    <w:uiPriority w:val="99"/>
    <w:semiHidden/>
    <w:locked/>
    <w:rsid w:val="0032451D"/>
    <w:rPr>
      <w:rFonts w:ascii="Open Sans" w:eastAsia="MS Mincho" w:hAnsi="Open Sans"/>
      <w:sz w:val="24"/>
      <w:szCs w:val="24"/>
    </w:rPr>
  </w:style>
  <w:style w:type="character" w:customStyle="1" w:styleId="BodyTextIndent2Char">
    <w:name w:val="Body Text Indent 2 Char"/>
    <w:basedOn w:val="DefaultParagraphFont"/>
    <w:link w:val="BodyTextIndent2"/>
    <w:uiPriority w:val="99"/>
    <w:semiHidden/>
    <w:locked/>
    <w:rsid w:val="0032451D"/>
    <w:rPr>
      <w:rFonts w:ascii="Open Sans" w:eastAsia="MS Mincho" w:hAnsi="Open Sans"/>
      <w:sz w:val="24"/>
      <w:szCs w:val="24"/>
    </w:rPr>
  </w:style>
  <w:style w:type="character" w:customStyle="1" w:styleId="BodyTextIndent3Char">
    <w:name w:val="Body Text Indent 3 Char"/>
    <w:basedOn w:val="DefaultParagraphFont"/>
    <w:link w:val="BodyTextIndent3"/>
    <w:uiPriority w:val="99"/>
    <w:semiHidden/>
    <w:locked/>
    <w:rsid w:val="0032451D"/>
    <w:rPr>
      <w:rFonts w:ascii="Open Sans" w:eastAsia="MS Mincho" w:hAnsi="Open Sans"/>
      <w:sz w:val="16"/>
      <w:szCs w:val="16"/>
    </w:rPr>
  </w:style>
  <w:style w:type="character" w:customStyle="1" w:styleId="ClosingChar">
    <w:name w:val="Closing Char"/>
    <w:basedOn w:val="DefaultParagraphFont"/>
    <w:link w:val="Closing"/>
    <w:uiPriority w:val="99"/>
    <w:semiHidden/>
    <w:locked/>
    <w:rsid w:val="0032451D"/>
    <w:rPr>
      <w:rFonts w:ascii="Open Sans" w:eastAsia="MS Mincho" w:hAnsi="Open Sans"/>
      <w:sz w:val="24"/>
      <w:szCs w:val="24"/>
    </w:rPr>
  </w:style>
  <w:style w:type="character" w:customStyle="1" w:styleId="DateChar">
    <w:name w:val="Date Char"/>
    <w:basedOn w:val="DefaultParagraphFont"/>
    <w:link w:val="Date"/>
    <w:uiPriority w:val="99"/>
    <w:semiHidden/>
    <w:locked/>
    <w:rsid w:val="0032451D"/>
    <w:rPr>
      <w:rFonts w:ascii="Open Sans" w:eastAsia="MS Mincho" w:hAnsi="Open Sans"/>
      <w:sz w:val="24"/>
      <w:szCs w:val="24"/>
    </w:rPr>
  </w:style>
  <w:style w:type="character" w:customStyle="1" w:styleId="E-mailSignatureChar">
    <w:name w:val="E-mail Signature Char"/>
    <w:basedOn w:val="DefaultParagraphFont"/>
    <w:link w:val="E-mailSignature"/>
    <w:uiPriority w:val="99"/>
    <w:semiHidden/>
    <w:locked/>
    <w:rsid w:val="0032451D"/>
    <w:rPr>
      <w:rFonts w:ascii="Open Sans" w:eastAsia="MS Mincho" w:hAnsi="Open Sans"/>
      <w:sz w:val="24"/>
      <w:szCs w:val="24"/>
    </w:rPr>
  </w:style>
  <w:style w:type="character" w:styleId="FootnoteReference">
    <w:name w:val="footnote reference"/>
    <w:basedOn w:val="DefaultParagraphFont"/>
    <w:locked/>
    <w:rsid w:val="0032451D"/>
    <w:rPr>
      <w:rFonts w:ascii="Arial" w:hAnsi="Arial" w:cs="Times New Roman"/>
      <w:sz w:val="20"/>
      <w:vertAlign w:val="superscript"/>
    </w:rPr>
  </w:style>
  <w:style w:type="paragraph" w:styleId="FootnoteText">
    <w:name w:val="footnote text"/>
    <w:aliases w:val="Footnote Text Char1 Char,Footnote Text Char Char Char,Footnote Text Char1 Char Char Char,Footnote Text Char Char Char Char Char,Footnote Text Char2 Char Char Char Char Char,Footnote Text Char1,Footnote Text Char Char,FA Char,FA ,FA"/>
    <w:basedOn w:val="Normal"/>
    <w:link w:val="FootnoteTextChar"/>
    <w:locked/>
    <w:rsid w:val="0032451D"/>
    <w:pPr>
      <w:spacing w:before="0" w:after="0"/>
    </w:pPr>
    <w:rPr>
      <w:rFonts w:ascii="Arial" w:eastAsia="Times New Roman" w:hAnsi="Arial"/>
      <w:spacing w:val="-5"/>
      <w:sz w:val="20"/>
      <w:szCs w:val="20"/>
      <w:lang w:eastAsia="en-US"/>
    </w:rPr>
  </w:style>
  <w:style w:type="character" w:customStyle="1" w:styleId="FootnoteTextChar">
    <w:name w:val="Footnote Text Char"/>
    <w:aliases w:val="Footnote Text Char1 Char Char,Footnote Text Char Char Char Char,Footnote Text Char1 Char Char Char Char,Footnote Text Char Char Char Char Char Char,Footnote Text Char2 Char Char Char Char Char Char,Footnote Text Char1 Char1,FA  Char"/>
    <w:basedOn w:val="DefaultParagraphFont"/>
    <w:link w:val="FootnoteText"/>
    <w:rsid w:val="0032451D"/>
    <w:rPr>
      <w:rFonts w:ascii="Arial" w:hAnsi="Arial"/>
      <w:spacing w:val="-5"/>
      <w:lang w:eastAsia="en-US"/>
    </w:rPr>
  </w:style>
  <w:style w:type="character" w:customStyle="1" w:styleId="HTMLAddressChar">
    <w:name w:val="HTML Address Char"/>
    <w:basedOn w:val="DefaultParagraphFont"/>
    <w:link w:val="HTMLAddress"/>
    <w:uiPriority w:val="99"/>
    <w:semiHidden/>
    <w:locked/>
    <w:rsid w:val="0032451D"/>
    <w:rPr>
      <w:rFonts w:ascii="Open Sans" w:eastAsia="MS Mincho" w:hAnsi="Open Sans"/>
      <w:i/>
      <w:iCs/>
      <w:sz w:val="24"/>
      <w:szCs w:val="24"/>
    </w:rPr>
  </w:style>
  <w:style w:type="character" w:customStyle="1" w:styleId="HTMLPreformattedChar">
    <w:name w:val="HTML Preformatted Char"/>
    <w:basedOn w:val="DefaultParagraphFont"/>
    <w:link w:val="HTMLPreformatted"/>
    <w:uiPriority w:val="99"/>
    <w:semiHidden/>
    <w:locked/>
    <w:rsid w:val="0032451D"/>
    <w:rPr>
      <w:rFonts w:ascii="Open Sans" w:eastAsia="MS Mincho" w:hAnsi="Open Sans" w:cs="Courier New"/>
    </w:rPr>
  </w:style>
  <w:style w:type="character" w:customStyle="1" w:styleId="MessageHeaderChar">
    <w:name w:val="Message Header Char"/>
    <w:basedOn w:val="DefaultParagraphFont"/>
    <w:link w:val="MessageHeader"/>
    <w:uiPriority w:val="99"/>
    <w:semiHidden/>
    <w:locked/>
    <w:rsid w:val="0032451D"/>
    <w:rPr>
      <w:rFonts w:ascii="Open Sans" w:eastAsia="MS Mincho" w:hAnsi="Open Sans" w:cs="Arial"/>
      <w:sz w:val="24"/>
      <w:szCs w:val="24"/>
      <w:shd w:val="pct20" w:color="auto" w:fill="auto"/>
    </w:rPr>
  </w:style>
  <w:style w:type="character" w:customStyle="1" w:styleId="NoteHeadingChar">
    <w:name w:val="Note Heading Char"/>
    <w:basedOn w:val="DefaultParagraphFont"/>
    <w:link w:val="NoteHeading"/>
    <w:locked/>
    <w:rsid w:val="0032451D"/>
    <w:rPr>
      <w:rFonts w:ascii="Open Sans" w:eastAsia="MS Mincho" w:hAnsi="Open Sans"/>
      <w:sz w:val="24"/>
      <w:szCs w:val="24"/>
    </w:rPr>
  </w:style>
  <w:style w:type="character" w:customStyle="1" w:styleId="PlainTextChar">
    <w:name w:val="Plain Text Char"/>
    <w:basedOn w:val="DefaultParagraphFont"/>
    <w:link w:val="PlainText"/>
    <w:uiPriority w:val="99"/>
    <w:semiHidden/>
    <w:locked/>
    <w:rsid w:val="0032451D"/>
    <w:rPr>
      <w:rFonts w:ascii="Open Sans" w:eastAsia="MS Mincho" w:hAnsi="Open Sans" w:cs="Courier New"/>
      <w:sz w:val="24"/>
    </w:rPr>
  </w:style>
  <w:style w:type="character" w:customStyle="1" w:styleId="SalutationChar">
    <w:name w:val="Salutation Char"/>
    <w:basedOn w:val="DefaultParagraphFont"/>
    <w:link w:val="Salutation"/>
    <w:uiPriority w:val="99"/>
    <w:semiHidden/>
    <w:locked/>
    <w:rsid w:val="0032451D"/>
    <w:rPr>
      <w:rFonts w:ascii="Open Sans" w:eastAsia="MS Mincho" w:hAnsi="Open Sans"/>
      <w:sz w:val="24"/>
      <w:szCs w:val="24"/>
    </w:rPr>
  </w:style>
  <w:style w:type="character" w:customStyle="1" w:styleId="SignatureChar">
    <w:name w:val="Signature Char"/>
    <w:basedOn w:val="DefaultParagraphFont"/>
    <w:link w:val="Signature"/>
    <w:uiPriority w:val="99"/>
    <w:semiHidden/>
    <w:locked/>
    <w:rsid w:val="0032451D"/>
    <w:rPr>
      <w:rFonts w:ascii="Open Sans" w:eastAsia="MS Mincho" w:hAnsi="Open Sans"/>
      <w:sz w:val="24"/>
      <w:szCs w:val="24"/>
    </w:rPr>
  </w:style>
  <w:style w:type="character" w:customStyle="1" w:styleId="TitleChar">
    <w:name w:val="Title Char"/>
    <w:basedOn w:val="DefaultParagraphFont"/>
    <w:link w:val="Title"/>
    <w:uiPriority w:val="99"/>
    <w:locked/>
    <w:rsid w:val="0032451D"/>
    <w:rPr>
      <w:rFonts w:ascii="Open Sans" w:eastAsia="MS Mincho" w:hAnsi="Open Sans" w:cs="Arial"/>
      <w:b/>
      <w:bCs/>
      <w:kern w:val="28"/>
      <w:sz w:val="32"/>
      <w:szCs w:val="32"/>
    </w:rPr>
  </w:style>
  <w:style w:type="paragraph" w:customStyle="1" w:styleId="Contactdetails">
    <w:name w:val="Contact details"/>
    <w:basedOn w:val="Normal"/>
    <w:rsid w:val="0032451D"/>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before="0" w:after="0" w:line="210" w:lineRule="exact"/>
    </w:pPr>
    <w:rPr>
      <w:rFonts w:ascii="ArialMT" w:eastAsia="Times New Roman" w:hAnsi="ArialMT" w:cs="ArialMT"/>
      <w:spacing w:val="-5"/>
      <w:sz w:val="20"/>
      <w:szCs w:val="20"/>
      <w:lang w:val="en-US" w:eastAsia="en-US"/>
    </w:rPr>
  </w:style>
  <w:style w:type="character" w:customStyle="1" w:styleId="CharChar9">
    <w:name w:val="Char Char9"/>
    <w:basedOn w:val="DefaultParagraphFont"/>
    <w:uiPriority w:val="99"/>
    <w:semiHidden/>
    <w:locked/>
    <w:rsid w:val="0032451D"/>
    <w:rPr>
      <w:rFonts w:ascii="Arial" w:hAnsi="Arial" w:cs="Times New Roman"/>
      <w:bCs/>
      <w:i/>
      <w:sz w:val="26"/>
      <w:szCs w:val="26"/>
      <w:lang w:val="en-AU" w:eastAsia="en-AU" w:bidi="ar-SA"/>
    </w:rPr>
  </w:style>
  <w:style w:type="character" w:customStyle="1" w:styleId="CharChar8">
    <w:name w:val="Char Char8"/>
    <w:basedOn w:val="DefaultParagraphFont"/>
    <w:uiPriority w:val="99"/>
    <w:semiHidden/>
    <w:locked/>
    <w:rsid w:val="0032451D"/>
    <w:rPr>
      <w:rFonts w:ascii="Arial" w:hAnsi="Arial" w:cs="Times New Roman"/>
      <w:iCs/>
      <w:sz w:val="26"/>
      <w:szCs w:val="26"/>
      <w:lang w:val="en-AU" w:eastAsia="en-AU" w:bidi="ar-SA"/>
    </w:rPr>
  </w:style>
  <w:style w:type="paragraph" w:customStyle="1" w:styleId="DocumentLabel">
    <w:name w:val="Document Label"/>
    <w:basedOn w:val="Normal"/>
    <w:next w:val="Normal"/>
    <w:uiPriority w:val="99"/>
    <w:rsid w:val="0032451D"/>
    <w:pPr>
      <w:keepNext/>
      <w:keepLines/>
      <w:spacing w:before="400" w:after="120" w:line="240" w:lineRule="atLeast"/>
      <w:ind w:left="-840"/>
    </w:pPr>
    <w:rPr>
      <w:rFonts w:ascii="Arial Black" w:eastAsia="Times New Roman" w:hAnsi="Arial Black"/>
      <w:spacing w:val="-5"/>
      <w:kern w:val="28"/>
      <w:sz w:val="96"/>
      <w:szCs w:val="20"/>
      <w:lang w:eastAsia="en-US"/>
    </w:rPr>
  </w:style>
  <w:style w:type="character" w:customStyle="1" w:styleId="citation">
    <w:name w:val="citation"/>
    <w:basedOn w:val="DefaultParagraphFont"/>
    <w:uiPriority w:val="99"/>
    <w:rsid w:val="0032451D"/>
    <w:rPr>
      <w:rFonts w:cs="Times New Roman"/>
    </w:rPr>
  </w:style>
  <w:style w:type="paragraph" w:customStyle="1" w:styleId="Definition">
    <w:name w:val="Definition"/>
    <w:aliases w:val="dd"/>
    <w:basedOn w:val="Normal"/>
    <w:uiPriority w:val="99"/>
    <w:rsid w:val="0032451D"/>
    <w:pPr>
      <w:autoSpaceDE w:val="0"/>
      <w:autoSpaceDN w:val="0"/>
      <w:spacing w:before="180" w:after="0" w:line="260" w:lineRule="atLeast"/>
      <w:ind w:left="1134"/>
    </w:pPr>
    <w:rPr>
      <w:rFonts w:ascii="Times" w:eastAsia="Times New Roman" w:hAnsi="Times" w:cs="Times"/>
      <w:sz w:val="22"/>
      <w:szCs w:val="22"/>
    </w:rPr>
  </w:style>
  <w:style w:type="paragraph" w:customStyle="1" w:styleId="indenta">
    <w:name w:val="indent(a)"/>
    <w:aliases w:val="a,paragraph"/>
    <w:basedOn w:val="Normal"/>
    <w:rsid w:val="0032451D"/>
    <w:pPr>
      <w:tabs>
        <w:tab w:val="right" w:pos="1531"/>
      </w:tabs>
      <w:autoSpaceDE w:val="0"/>
      <w:autoSpaceDN w:val="0"/>
      <w:spacing w:before="40" w:after="0" w:line="260" w:lineRule="atLeast"/>
      <w:ind w:left="1644" w:hanging="1644"/>
    </w:pPr>
    <w:rPr>
      <w:rFonts w:ascii="Times" w:eastAsia="Times New Roman" w:hAnsi="Times" w:cs="Times"/>
      <w:sz w:val="22"/>
      <w:szCs w:val="22"/>
    </w:rPr>
  </w:style>
  <w:style w:type="paragraph" w:customStyle="1" w:styleId="indentii">
    <w:name w:val="indent(ii)"/>
    <w:aliases w:val="aa,paragraph(sub)"/>
    <w:basedOn w:val="indenta"/>
    <w:uiPriority w:val="99"/>
    <w:rsid w:val="0032451D"/>
    <w:pPr>
      <w:tabs>
        <w:tab w:val="clear" w:pos="1531"/>
        <w:tab w:val="right" w:pos="1985"/>
      </w:tabs>
      <w:ind w:left="2098" w:hanging="2098"/>
    </w:pPr>
  </w:style>
  <w:style w:type="character" w:customStyle="1" w:styleId="streetline">
    <w:name w:val="streetline"/>
    <w:basedOn w:val="DefaultParagraphFont"/>
    <w:uiPriority w:val="99"/>
    <w:rsid w:val="0032451D"/>
    <w:rPr>
      <w:rFonts w:cs="Times New Roman"/>
    </w:rPr>
  </w:style>
  <w:style w:type="character" w:customStyle="1" w:styleId="locality3">
    <w:name w:val="locality3"/>
    <w:basedOn w:val="DefaultParagraphFont"/>
    <w:uiPriority w:val="99"/>
    <w:rsid w:val="0032451D"/>
    <w:rPr>
      <w:rFonts w:cs="Times New Roman"/>
      <w:color w:val="666666"/>
    </w:rPr>
  </w:style>
  <w:style w:type="character" w:customStyle="1" w:styleId="state">
    <w:name w:val="state"/>
    <w:basedOn w:val="DefaultParagraphFont"/>
    <w:uiPriority w:val="99"/>
    <w:rsid w:val="0032451D"/>
    <w:rPr>
      <w:rFonts w:cs="Times New Roman"/>
    </w:rPr>
  </w:style>
  <w:style w:type="character" w:customStyle="1" w:styleId="postcode">
    <w:name w:val="postcode"/>
    <w:basedOn w:val="DefaultParagraphFont"/>
    <w:uiPriority w:val="99"/>
    <w:rsid w:val="0032451D"/>
    <w:rPr>
      <w:rFonts w:cs="Times New Roman"/>
    </w:rPr>
  </w:style>
  <w:style w:type="paragraph" w:styleId="Revision">
    <w:name w:val="Revision"/>
    <w:hidden/>
    <w:uiPriority w:val="99"/>
    <w:semiHidden/>
    <w:rsid w:val="0032451D"/>
    <w:rPr>
      <w:rFonts w:ascii="Arial" w:hAnsi="Arial"/>
      <w:spacing w:val="-5"/>
      <w:lang w:eastAsia="en-US"/>
    </w:rPr>
  </w:style>
  <w:style w:type="paragraph" w:customStyle="1" w:styleId="subsection">
    <w:name w:val="subsection"/>
    <w:aliases w:val="ss"/>
    <w:rsid w:val="0032451D"/>
    <w:pPr>
      <w:tabs>
        <w:tab w:val="right" w:pos="1021"/>
      </w:tabs>
      <w:spacing w:before="180"/>
      <w:ind w:left="1134" w:hanging="1134"/>
    </w:pPr>
    <w:rPr>
      <w:sz w:val="22"/>
      <w:szCs w:val="22"/>
    </w:rPr>
  </w:style>
  <w:style w:type="paragraph" w:customStyle="1" w:styleId="msolistparagraph0">
    <w:name w:val="msolistparagraph"/>
    <w:basedOn w:val="Normal"/>
    <w:uiPriority w:val="99"/>
    <w:rsid w:val="0032451D"/>
    <w:pPr>
      <w:spacing w:before="0" w:after="0"/>
      <w:ind w:left="720"/>
    </w:pPr>
    <w:rPr>
      <w:rFonts w:ascii="Calibri" w:eastAsia="Times New Roman" w:hAnsi="Calibri"/>
      <w:sz w:val="22"/>
      <w:szCs w:val="22"/>
    </w:rPr>
  </w:style>
  <w:style w:type="numbering" w:customStyle="1" w:styleId="StyleNumbered">
    <w:name w:val="Style Numbered"/>
    <w:rsid w:val="0032451D"/>
    <w:pPr>
      <w:numPr>
        <w:numId w:val="22"/>
      </w:numPr>
    </w:pPr>
  </w:style>
  <w:style w:type="paragraph" w:customStyle="1" w:styleId="paragraphsub">
    <w:name w:val="paragraphsub"/>
    <w:basedOn w:val="Normal"/>
    <w:rsid w:val="0032451D"/>
    <w:pPr>
      <w:spacing w:before="100" w:beforeAutospacing="1" w:after="100" w:afterAutospacing="1"/>
    </w:pPr>
    <w:rPr>
      <w:rFonts w:ascii="Times New Roman" w:eastAsia="Times New Roman" w:hAnsi="Times New Roman"/>
    </w:rPr>
  </w:style>
  <w:style w:type="paragraph" w:customStyle="1" w:styleId="Bullet">
    <w:name w:val="Bullet"/>
    <w:basedOn w:val="Normal"/>
    <w:rsid w:val="0032451D"/>
    <w:pPr>
      <w:numPr>
        <w:numId w:val="23"/>
      </w:numPr>
      <w:spacing w:before="60" w:after="60" w:line="360" w:lineRule="exact"/>
      <w:jc w:val="both"/>
    </w:pPr>
    <w:rPr>
      <w:rFonts w:ascii="Arial" w:eastAsia="Times New Roman" w:hAnsi="Arial"/>
      <w:color w:val="000000"/>
      <w:szCs w:val="20"/>
      <w:lang w:eastAsia="en-US"/>
    </w:rPr>
  </w:style>
  <w:style w:type="paragraph" w:customStyle="1" w:styleId="Dash">
    <w:name w:val="Dash"/>
    <w:basedOn w:val="Normal"/>
    <w:rsid w:val="0032451D"/>
    <w:pPr>
      <w:numPr>
        <w:numId w:val="24"/>
      </w:numPr>
      <w:tabs>
        <w:tab w:val="num" w:pos="360"/>
      </w:tabs>
      <w:spacing w:before="20" w:after="20" w:line="360" w:lineRule="exact"/>
      <w:ind w:left="0" w:firstLine="0"/>
      <w:jc w:val="both"/>
    </w:pPr>
    <w:rPr>
      <w:rFonts w:ascii="Arial" w:eastAsia="Times New Roman" w:hAnsi="Arial"/>
      <w:color w:val="000000"/>
      <w:szCs w:val="20"/>
      <w:lang w:eastAsia="en-US"/>
    </w:rPr>
  </w:style>
  <w:style w:type="paragraph" w:customStyle="1" w:styleId="IndentedParagraph">
    <w:name w:val="Indented Paragraph"/>
    <w:basedOn w:val="Normal"/>
    <w:rsid w:val="0032451D"/>
    <w:pPr>
      <w:spacing w:before="0" w:line="360" w:lineRule="exact"/>
      <w:ind w:left="1440"/>
      <w:jc w:val="both"/>
    </w:pPr>
    <w:rPr>
      <w:rFonts w:ascii="Arial" w:eastAsia="Times New Roman" w:hAnsi="Arial"/>
      <w:color w:val="000000"/>
      <w:szCs w:val="20"/>
      <w:lang w:eastAsia="en-US"/>
    </w:rPr>
  </w:style>
  <w:style w:type="paragraph" w:customStyle="1" w:styleId="BasicParagraph">
    <w:name w:val="[Basic Paragraph]"/>
    <w:basedOn w:val="Normal"/>
    <w:rsid w:val="0032451D"/>
    <w:pPr>
      <w:widowControl w:val="0"/>
      <w:autoSpaceDE w:val="0"/>
      <w:autoSpaceDN w:val="0"/>
      <w:adjustRightInd w:val="0"/>
      <w:spacing w:before="0" w:after="0" w:line="288" w:lineRule="auto"/>
      <w:textAlignment w:val="center"/>
    </w:pPr>
    <w:rPr>
      <w:rFonts w:ascii="Times-Roman" w:eastAsia="Times New Roman" w:hAnsi="Times-Roman" w:cs="Times-Roman"/>
      <w:color w:val="000000"/>
      <w:lang w:val="en-US" w:eastAsia="en-US" w:bidi="en-US"/>
    </w:rPr>
  </w:style>
  <w:style w:type="paragraph" w:customStyle="1" w:styleId="AddressBlock">
    <w:name w:val="Address Block"/>
    <w:basedOn w:val="BodyText"/>
    <w:rsid w:val="0032451D"/>
    <w:pPr>
      <w:keepNext/>
      <w:keepLines/>
      <w:spacing w:before="0" w:after="0"/>
      <w:jc w:val="both"/>
    </w:pPr>
    <w:rPr>
      <w:rFonts w:ascii="Arial" w:eastAsia="Times New Roman" w:hAnsi="Arial" w:cs="ArialMT"/>
      <w:color w:val="000000"/>
      <w:lang w:val="en-US" w:eastAsia="en-US" w:bidi="en-US"/>
    </w:rPr>
  </w:style>
  <w:style w:type="paragraph" w:customStyle="1" w:styleId="Addressee">
    <w:name w:val="Addressee"/>
    <w:basedOn w:val="BodyText"/>
    <w:rsid w:val="0032451D"/>
    <w:pPr>
      <w:spacing w:before="227" w:after="340"/>
      <w:jc w:val="both"/>
    </w:pPr>
    <w:rPr>
      <w:rFonts w:ascii="Arial" w:eastAsia="Times New Roman" w:hAnsi="Arial" w:cs="ArialMT"/>
      <w:color w:val="000000"/>
      <w:lang w:val="en-US" w:eastAsia="en-US" w:bidi="en-US"/>
    </w:rPr>
  </w:style>
  <w:style w:type="paragraph" w:customStyle="1" w:styleId="Titleofletter">
    <w:name w:val="Title of letter"/>
    <w:basedOn w:val="BodyText"/>
    <w:rsid w:val="0032451D"/>
    <w:pPr>
      <w:spacing w:before="0"/>
      <w:jc w:val="both"/>
    </w:pPr>
    <w:rPr>
      <w:rFonts w:ascii="Arial" w:eastAsia="Times New Roman" w:hAnsi="Arial" w:cs="ArialMT"/>
      <w:b/>
      <w:color w:val="000000"/>
      <w:lang w:val="en-US" w:eastAsia="en-US" w:bidi="en-US"/>
    </w:rPr>
  </w:style>
  <w:style w:type="paragraph" w:customStyle="1" w:styleId="YoursSincerley">
    <w:name w:val="Yours Sincerley"/>
    <w:basedOn w:val="BodyText"/>
    <w:rsid w:val="0032451D"/>
    <w:pPr>
      <w:keepNext/>
      <w:keepLines/>
      <w:spacing w:before="0" w:after="901"/>
      <w:jc w:val="both"/>
    </w:pPr>
    <w:rPr>
      <w:rFonts w:ascii="Arial" w:eastAsia="Times New Roman" w:hAnsi="Arial" w:cs="ArialMT"/>
      <w:color w:val="000000"/>
      <w:lang w:val="en-US" w:eastAsia="en-US" w:bidi="en-US"/>
    </w:rPr>
  </w:style>
  <w:style w:type="paragraph" w:customStyle="1" w:styleId="OurRef">
    <w:name w:val="Our Ref:"/>
    <w:basedOn w:val="BodyText"/>
    <w:rsid w:val="0032451D"/>
    <w:pPr>
      <w:spacing w:before="0" w:after="193"/>
    </w:pPr>
    <w:rPr>
      <w:rFonts w:ascii="Arial" w:eastAsia="Times New Roman" w:hAnsi="Arial" w:cs="ArialMT"/>
      <w:color w:val="000000"/>
      <w:lang w:val="en-US" w:eastAsia="en-US" w:bidi="en-US"/>
    </w:rPr>
  </w:style>
  <w:style w:type="paragraph" w:customStyle="1" w:styleId="StyleAddresseeAfter1135pt">
    <w:name w:val="Style Addressee + After:  11.35 pt"/>
    <w:basedOn w:val="Addressee"/>
    <w:rsid w:val="0032451D"/>
    <w:pPr>
      <w:spacing w:before="267" w:after="267"/>
    </w:pPr>
    <w:rPr>
      <w:rFonts w:cs="Times New Roman"/>
      <w:szCs w:val="20"/>
    </w:rPr>
  </w:style>
  <w:style w:type="paragraph" w:customStyle="1" w:styleId="DateInsert">
    <w:name w:val="Date Insert"/>
    <w:basedOn w:val="AddressBlock"/>
    <w:rsid w:val="0032451D"/>
    <w:pPr>
      <w:spacing w:after="227" w:line="320" w:lineRule="exact"/>
    </w:pPr>
  </w:style>
  <w:style w:type="paragraph" w:customStyle="1" w:styleId="NameInsert">
    <w:name w:val="Name Insert"/>
    <w:basedOn w:val="BodyText"/>
    <w:rsid w:val="0032451D"/>
    <w:pPr>
      <w:spacing w:before="0"/>
      <w:jc w:val="both"/>
    </w:pPr>
    <w:rPr>
      <w:rFonts w:ascii="Arial" w:eastAsia="Times New Roman" w:hAnsi="Arial"/>
      <w:color w:val="000000"/>
      <w:szCs w:val="20"/>
      <w:lang w:val="en-US" w:eastAsia="en-US" w:bidi="en-US"/>
    </w:rPr>
  </w:style>
  <w:style w:type="paragraph" w:customStyle="1" w:styleId="definition0">
    <w:name w:val="definition"/>
    <w:basedOn w:val="Normal"/>
    <w:rsid w:val="0032451D"/>
    <w:pPr>
      <w:spacing w:before="100" w:beforeAutospacing="1" w:after="100" w:afterAutospacing="1"/>
    </w:pPr>
    <w:rPr>
      <w:rFonts w:ascii="Times New Roman" w:eastAsia="Times New Roman" w:hAnsi="Times New Roman"/>
    </w:rPr>
  </w:style>
  <w:style w:type="paragraph" w:customStyle="1" w:styleId="ActHead5">
    <w:name w:val="ActHead 5"/>
    <w:aliases w:val="s"/>
    <w:basedOn w:val="Normal"/>
    <w:next w:val="Normal"/>
    <w:rsid w:val="0032451D"/>
    <w:pPr>
      <w:keepNext/>
      <w:keepLines/>
      <w:spacing w:before="280" w:after="0"/>
      <w:ind w:left="1134" w:hanging="1134"/>
      <w:outlineLvl w:val="4"/>
    </w:pPr>
    <w:rPr>
      <w:rFonts w:ascii="Times New Roman" w:eastAsia="Times New Roman" w:hAnsi="Times New Roman"/>
      <w:b/>
      <w:bCs/>
      <w:kern w:val="28"/>
      <w:szCs w:val="32"/>
    </w:rPr>
  </w:style>
  <w:style w:type="character" w:customStyle="1" w:styleId="CharSectno">
    <w:name w:val="CharSectno"/>
    <w:rsid w:val="0032451D"/>
  </w:style>
  <w:style w:type="paragraph" w:customStyle="1" w:styleId="SubsectionHead">
    <w:name w:val="SubsectionHead"/>
    <w:aliases w:val="ssh"/>
    <w:basedOn w:val="subsection"/>
    <w:next w:val="subsection"/>
    <w:rsid w:val="0032451D"/>
    <w:pPr>
      <w:keepNext/>
      <w:keepLines/>
      <w:tabs>
        <w:tab w:val="clear" w:pos="1021"/>
      </w:tabs>
      <w:spacing w:before="240"/>
      <w:ind w:firstLine="0"/>
    </w:pPr>
    <w:rPr>
      <w:i/>
      <w:szCs w:val="24"/>
    </w:rPr>
  </w:style>
  <w:style w:type="character" w:customStyle="1" w:styleId="sessionsubtitle">
    <w:name w:val="sessionsubtitle"/>
    <w:basedOn w:val="DefaultParagraphFont"/>
    <w:rsid w:val="0032451D"/>
  </w:style>
  <w:style w:type="numbering" w:customStyle="1" w:styleId="ImportedStyle3">
    <w:name w:val="Imported Style 3"/>
    <w:rsid w:val="0032451D"/>
    <w:pPr>
      <w:numPr>
        <w:numId w:val="25"/>
      </w:numPr>
    </w:pPr>
  </w:style>
  <w:style w:type="numbering" w:customStyle="1" w:styleId="ImportedStyle30">
    <w:name w:val="Imported Style 3.0"/>
    <w:rsid w:val="0032451D"/>
    <w:pPr>
      <w:numPr>
        <w:numId w:val="26"/>
      </w:numPr>
    </w:pPr>
  </w:style>
  <w:style w:type="paragraph" w:customStyle="1" w:styleId="NumberedParagraph">
    <w:name w:val="Numbered Paragraph"/>
    <w:basedOn w:val="Normal"/>
    <w:qFormat/>
    <w:rsid w:val="0032451D"/>
    <w:pPr>
      <w:tabs>
        <w:tab w:val="num" w:pos="720"/>
      </w:tabs>
      <w:ind w:left="720" w:hanging="720"/>
    </w:pPr>
    <w:rPr>
      <w:rFonts w:eastAsia="Times New Roman" w:cs="Open Sans"/>
      <w:spacing w:val="-5"/>
      <w:lang w:eastAsia="en-US"/>
    </w:rPr>
  </w:style>
  <w:style w:type="character" w:customStyle="1" w:styleId="markedcontent">
    <w:name w:val="markedcontent"/>
    <w:basedOn w:val="DefaultParagraphFont"/>
    <w:rsid w:val="0032451D"/>
  </w:style>
  <w:style w:type="paragraph" w:customStyle="1" w:styleId="ListLevel1">
    <w:name w:val="List Level 1"/>
    <w:basedOn w:val="ListParagraph"/>
    <w:qFormat/>
    <w:rsid w:val="0032451D"/>
    <w:pPr>
      <w:widowControl w:val="0"/>
      <w:numPr>
        <w:numId w:val="30"/>
      </w:numPr>
      <w:tabs>
        <w:tab w:val="left" w:pos="797"/>
        <w:tab w:val="left" w:pos="798"/>
      </w:tabs>
      <w:autoSpaceDE w:val="0"/>
      <w:autoSpaceDN w:val="0"/>
      <w:spacing w:line="300" w:lineRule="exact"/>
    </w:pPr>
    <w:rPr>
      <w:rFonts w:eastAsia="Times New Roman" w:cs="Open Sans"/>
      <w:szCs w:val="20"/>
      <w:lang w:eastAsia="en-US"/>
    </w:rPr>
  </w:style>
  <w:style w:type="paragraph" w:customStyle="1" w:styleId="ListLevel2">
    <w:name w:val="List Level 2"/>
    <w:basedOn w:val="ListLevel1"/>
    <w:qFormat/>
    <w:rsid w:val="0032451D"/>
    <w:pPr>
      <w:numPr>
        <w:ilvl w:val="1"/>
      </w:numPr>
      <w:tabs>
        <w:tab w:val="clear" w:pos="797"/>
        <w:tab w:val="clear" w:pos="798"/>
        <w:tab w:val="num" w:pos="360"/>
        <w:tab w:val="left" w:pos="1276"/>
      </w:tabs>
      <w:ind w:left="1276" w:hanging="425"/>
    </w:pPr>
  </w:style>
  <w:style w:type="character" w:customStyle="1" w:styleId="normaltextrun">
    <w:name w:val="normaltextrun"/>
    <w:basedOn w:val="DefaultParagraphFont"/>
    <w:rsid w:val="0032451D"/>
  </w:style>
  <w:style w:type="character" w:customStyle="1" w:styleId="eop">
    <w:name w:val="eop"/>
    <w:basedOn w:val="DefaultParagraphFont"/>
    <w:rsid w:val="0032451D"/>
  </w:style>
  <w:style w:type="paragraph" w:customStyle="1" w:styleId="Style2">
    <w:name w:val="Style2"/>
    <w:basedOn w:val="SubmissionNormal"/>
    <w:link w:val="Style2Char"/>
    <w:qFormat/>
    <w:rsid w:val="00E00289"/>
    <w:pPr>
      <w:numPr>
        <w:ilvl w:val="1"/>
      </w:numPr>
    </w:pPr>
  </w:style>
  <w:style w:type="character" w:customStyle="1" w:styleId="Style2Char">
    <w:name w:val="Style2 Char"/>
    <w:basedOn w:val="SubmissionNormalChar"/>
    <w:link w:val="Style2"/>
    <w:rsid w:val="00E00289"/>
    <w:rPr>
      <w:rFonts w:ascii="Open Sans" w:hAnsi="Open San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image" Target="media/image3.png"/><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1.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footer" Target="footer4.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header" Target="header6.xml"/><Relationship Id="rId10" Type="http://schemas.openxmlformats.org/officeDocument/2006/relationships/settings" Target="setting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eader" Target="header1.xml"/><Relationship Id="rId22" Type="http://schemas.openxmlformats.org/officeDocument/2006/relationships/footer" Target="footer3.xml"/></Relationships>
</file>

<file path=word/_rels/endnotes.xml.rels><?xml version="1.0" encoding="UTF-8" standalone="yes"?>
<Relationships xmlns="http://schemas.openxmlformats.org/package/2006/relationships"><Relationship Id="rId8" Type="http://schemas.openxmlformats.org/officeDocument/2006/relationships/hyperlink" Target="https://humanrights.gov.au/our-work/asylum-seekers-and-refugees/publications/community-arrangements-asylum-seekers-refugees" TargetMode="External"/><Relationship Id="rId3" Type="http://schemas.openxmlformats.org/officeDocument/2006/relationships/hyperlink" Target="https://www.homeaffairs.gov.au/foi/files/2023/fa-230400225-document-released.PDF" TargetMode="External"/><Relationship Id="rId7" Type="http://schemas.openxmlformats.org/officeDocument/2006/relationships/hyperlink" Target="https://www.unhcr.org/4bc2ddeb9.pdf" TargetMode="External"/><Relationship Id="rId2" Type="http://schemas.openxmlformats.org/officeDocument/2006/relationships/hyperlink" Target="https://humanrights.gov.au/our-work/asylum-seekers-and-refugees/publications/detention-refugees-following-visa-refusal-or" TargetMode="External"/><Relationship Id="rId1" Type="http://schemas.openxmlformats.org/officeDocument/2006/relationships/hyperlink" Target="https://humanrights.gov.au/our-work/legal/publications/immigration-detention-following-visa-refusal-or-cancellation-under" TargetMode="External"/><Relationship Id="rId6" Type="http://schemas.openxmlformats.org/officeDocument/2006/relationships/hyperlink" Target="https://law.unimelb.edu.au/__data/assets/pdf_file/0011/3937160/UPR_factsheet_Oct_2021.pdf" TargetMode="External"/><Relationship Id="rId5" Type="http://schemas.openxmlformats.org/officeDocument/2006/relationships/hyperlink" Target="https://treaties.un.org/pages/ViewDetails.aspx?src=TREATY&amp;mtdsg_no=V-4&amp;chapter=5&amp;clang=_en" TargetMode="External"/><Relationship Id="rId4" Type="http://schemas.openxmlformats.org/officeDocument/2006/relationships/hyperlink" Target="https://treaties.un.org/pages/ViewDetailsII.aspx?src=TREATY&amp;mtdsg_no=V-3&amp;chapter=5&amp;Temp=mtdsg2&amp;clang=_en" TargetMode="External"/><Relationship Id="rId9" Type="http://schemas.openxmlformats.org/officeDocument/2006/relationships/hyperlink" Target="https://law.unimelb.edu.au/__data/assets/pdf_file/0006/3436278/ISI-UPR-Submission-Australia-For-Website.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mso-contentType ?>
<SharedContentType xmlns="Microsoft.SharePoint.Taxonomy.ContentTypeSync" SourceId="975c5ac6-a0cc-43ed-b850-4a2ae59237b6" ContentTypeId="0x0101" PreviousValue="false"/>
</file>

<file path=customXml/item3.xml><?xml version="1.0" encoding="utf-8"?>
<?mso-contentType ?>
<customXsn xmlns="http://schemas.microsoft.com/office/2006/metadata/customXsn">
  <xsnLocation/>
  <cached>True</cached>
  <openByDefault>True</openByDefault>
  <xsnScope/>
</customXsn>
</file>

<file path=customXml/item4.xml><?xml version="1.0" encoding="utf-8"?>
<p:properties xmlns:p="http://schemas.microsoft.com/office/2006/metadata/properties" xmlns:xsi="http://www.w3.org/2001/XMLSchema-instance" xmlns:pc="http://schemas.microsoft.com/office/infopath/2007/PartnerControls">
  <documentManagement>
    <Subdivider xmlns="57f1fb52-79b9-4278-9d54-1e5db41bfcda" xsi:nil="true"/>
    <_dlc_DocId xmlns="6500fe01-343b-4fb9-a1b0-68ac19d62e01">DGE6U7RJ2EFV-5382029-11794</_dlc_DocId>
    <TaxKeywordTaxHTField xmlns="6500fe01-343b-4fb9-a1b0-68ac19d62e01">
      <Terms xmlns="http://schemas.microsoft.com/office/infopath/2007/PartnerControls"/>
    </TaxKeywordTaxHTField>
    <PublishedonAHRCwebsite xmlns="0544bb73-b9b2-4315-b463-f353efb89b0b">true</PublishedonAHRCwebsite>
    <Reportsubject xmlns="0544bb73-b9b2-4315-b463-f353efb89b0b" xsi:nil="true"/>
    <Divider xmlns="6500fe01-343b-4fb9-a1b0-68ac19d62e01" xsi:nil="true"/>
    <_dlc_DocIdUrl xmlns="6500fe01-343b-4fb9-a1b0-68ac19d62e01">
      <Url>https://australianhrc.sharepoint.com/sites/LegalServ/_layouts/15/DocIdRedir.aspx?ID=DGE6U7RJ2EFV-5382029-11794</Url>
      <Description>DGE6U7RJ2EFV-5382029-11794</Description>
    </_dlc_DocIdUrl>
    <Reportstatus xmlns="0544bb73-b9b2-4315-b463-f353efb89b0b" xsi:nil="true"/>
    <Tablingdate xmlns="0544bb73-b9b2-4315-b463-f353efb89b0b" xsi:nil="true"/>
    <lcf76f155ced4ddcb4097134ff3c332f xmlns="0544bb73-b9b2-4315-b463-f353efb89b0b">
      <Terms xmlns="http://schemas.microsoft.com/office/infopath/2007/PartnerControls"/>
    </lcf76f155ced4ddcb4097134ff3c332f>
    <TaxCatchAll xmlns="6500fe01-343b-4fb9-a1b0-68ac19d62e01" xsi:nil="true"/>
    <Report_x0020_No_x002e_ xmlns="0544bb73-b9b2-4315-b463-f353efb89b0b" xsi:nil="true"/>
    <Transmissiondate xmlns="0544bb73-b9b2-4315-b463-f353efb89b0b" xsi:nil="true"/>
    <Subject_x0020_description xmlns="0544bb73-b9b2-4315-b463-f353efb89b0b" xsi:nil="true"/>
    <Tabled xmlns="0544bb73-b9b2-4315-b463-f353efb89b0b" xsi:nil="true"/>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258FDF5B15A5C74091762EB145641BD2" ma:contentTypeVersion="936" ma:contentTypeDescription="Create a new document." ma:contentTypeScope="" ma:versionID="65a661b8df6225e35b8e0b9e9851b205">
  <xsd:schema xmlns:xsd="http://www.w3.org/2001/XMLSchema" xmlns:xs="http://www.w3.org/2001/XMLSchema" xmlns:p="http://schemas.microsoft.com/office/2006/metadata/properties" xmlns:ns2="0544bb73-b9b2-4315-b463-f353efb89b0b" xmlns:ns3="6500fe01-343b-4fb9-a1b0-68ac19d62e01" xmlns:ns4="57f1fb52-79b9-4278-9d54-1e5db41bfcda" xmlns:ns5="ccf9782b-c747-4be8-886f-341168625564" targetNamespace="http://schemas.microsoft.com/office/2006/metadata/properties" ma:root="true" ma:fieldsID="f18cd905d6da0be53d8a5be669951e89" ns2:_="" ns3:_="" ns4:_="" ns5:_="">
    <xsd:import namespace="0544bb73-b9b2-4315-b463-f353efb89b0b"/>
    <xsd:import namespace="6500fe01-343b-4fb9-a1b0-68ac19d62e01"/>
    <xsd:import namespace="57f1fb52-79b9-4278-9d54-1e5db41bfcda"/>
    <xsd:import namespace="ccf9782b-c747-4be8-886f-341168625564"/>
    <xsd:element name="properties">
      <xsd:complexType>
        <xsd:sequence>
          <xsd:element name="documentManagement">
            <xsd:complexType>
              <xsd:all>
                <xsd:element ref="ns2:Report_x0020_No_x002e_" minOccurs="0"/>
                <xsd:element ref="ns3:Divider" minOccurs="0"/>
                <xsd:element ref="ns4:Subdivider" minOccurs="0"/>
                <xsd:element ref="ns3:TaxCatchAll" minOccurs="0"/>
                <xsd:element ref="ns3:TaxCatchAllLabel" minOccurs="0"/>
                <xsd:element ref="ns3:_dlc_DocId" minOccurs="0"/>
                <xsd:element ref="ns3:_dlc_DocIdUrl" minOccurs="0"/>
                <xsd:element ref="ns3:_dlc_DocIdPersistId" minOccurs="0"/>
                <xsd:element ref="ns5:MediaServiceMetadata" minOccurs="0"/>
                <xsd:element ref="ns5:MediaServiceFastMetadata" minOccurs="0"/>
                <xsd:element ref="ns5:MediaServiceAutoTags" minOccurs="0"/>
                <xsd:element ref="ns5:MediaServiceOCR" minOccurs="0"/>
                <xsd:element ref="ns5:MediaServiceGenerationTime" minOccurs="0"/>
                <xsd:element ref="ns5:MediaServiceEventHashCode" minOccurs="0"/>
                <xsd:element ref="ns5:MediaServiceDateTaken" minOccurs="0"/>
                <xsd:element ref="ns4:SharedWithUsers" minOccurs="0"/>
                <xsd:element ref="ns4:SharedWithDetails" minOccurs="0"/>
                <xsd:element ref="ns3:TaxKeywordTaxHTField" minOccurs="0"/>
                <xsd:element ref="ns2:Tabled" minOccurs="0"/>
                <xsd:element ref="ns2:Reportstatus" minOccurs="0"/>
                <xsd:element ref="ns2:PublishedonAHRCwebsite" minOccurs="0"/>
                <xsd:element ref="ns2:Transmissiondate" minOccurs="0"/>
                <xsd:element ref="ns2:Tablingdate" minOccurs="0"/>
                <xsd:element ref="ns2:MediaServiceAutoKeyPoints" minOccurs="0"/>
                <xsd:element ref="ns2:MediaServiceKeyPoints" minOccurs="0"/>
                <xsd:element ref="ns2:Reportsubject" minOccurs="0"/>
                <xsd:element ref="ns2:Subject_x0020_description" minOccurs="0"/>
                <xsd:element ref="ns2:MediaServiceObjectDetectorVersions" minOccurs="0"/>
                <xsd:element ref="ns2:MediaServiceSearchProperties"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44bb73-b9b2-4315-b463-f353efb89b0b" elementFormDefault="qualified">
    <xsd:import namespace="http://schemas.microsoft.com/office/2006/documentManagement/types"/>
    <xsd:import namespace="http://schemas.microsoft.com/office/infopath/2007/PartnerControls"/>
    <xsd:element name="Report_x0020_No_x002e_" ma:index="1" nillable="true" ma:displayName="Report No." ma:internalName="Report_x0020_No_x002e_">
      <xsd:simpleType>
        <xsd:restriction base="dms:Number"/>
      </xsd:simpleType>
    </xsd:element>
    <xsd:element name="Tabled" ma:index="28" nillable="true" ma:displayName="Tabled" ma:format="Dropdown" ma:internalName="Tabled">
      <xsd:simpleType>
        <xsd:restriction base="dms:Choice">
          <xsd:enumeration value="Yes"/>
          <xsd:enumeration value="No - new act"/>
          <xsd:enumeration value="Pending"/>
        </xsd:restriction>
      </xsd:simpleType>
    </xsd:element>
    <xsd:element name="Reportstatus" ma:index="29" nillable="true" ma:displayName="Report status" ma:format="Dropdown" ma:indexed="true" ma:internalName="Reportstatus">
      <xsd:simpleType>
        <xsd:restriction base="dms:Choice">
          <xsd:enumeration value="Approval from President"/>
          <xsd:enumeration value="Received final proof from desktopper"/>
          <xsd:enumeration value="Sent to printer"/>
          <xsd:enumeration value="Transmitted to Attorney-General"/>
        </xsd:restriction>
      </xsd:simpleType>
    </xsd:element>
    <xsd:element name="PublishedonAHRCwebsite" ma:index="30" nillable="true" ma:displayName="Published on AHRC website" ma:default="1" ma:format="Dropdown" ma:internalName="PublishedonAHRCwebsite">
      <xsd:simpleType>
        <xsd:restriction base="dms:Boolean"/>
      </xsd:simpleType>
    </xsd:element>
    <xsd:element name="Transmissiondate" ma:index="31" nillable="true" ma:displayName="Transmission date" ma:format="DateOnly" ma:internalName="Transmissiondate">
      <xsd:simpleType>
        <xsd:restriction base="dms:DateTime"/>
      </xsd:simpleType>
    </xsd:element>
    <xsd:element name="Tablingdate" ma:index="32" nillable="true" ma:displayName="Tabling date" ma:format="DateOnly" ma:internalName="Tablingdate">
      <xsd:simpleType>
        <xsd:restriction base="dms:DateTime"/>
      </xsd:simpleType>
    </xsd:element>
    <xsd:element name="MediaServiceAutoKeyPoints" ma:index="33" nillable="true" ma:displayName="MediaServiceAutoKeyPoints" ma:hidden="true" ma:internalName="MediaServiceAutoKeyPoints" ma:readOnly="true">
      <xsd:simpleType>
        <xsd:restriction base="dms:Note"/>
      </xsd:simpleType>
    </xsd:element>
    <xsd:element name="MediaServiceKeyPoints" ma:index="34" nillable="true" ma:displayName="KeyPoints" ma:internalName="MediaServiceKeyPoints" ma:readOnly="true">
      <xsd:simpleType>
        <xsd:restriction base="dms:Note">
          <xsd:maxLength value="255"/>
        </xsd:restriction>
      </xsd:simpleType>
    </xsd:element>
    <xsd:element name="Reportsubject" ma:index="36" nillable="true" ma:displayName="Report subject " ma:format="Dropdown" ma:internalName="Reportsubject">
      <xsd:complexType>
        <xsd:complexContent>
          <xsd:extension base="dms:MultiChoiceFillIn">
            <xsd:sequence>
              <xsd:element name="Value" maxOccurs="unbounded" minOccurs="0" nillable="true">
                <xsd:simpleType>
                  <xsd:union memberTypes="dms:Text">
                    <xsd:simpleType>
                      <xsd:restriction base="dms:Choice">
                        <xsd:enumeration value="ICCPR Art 1"/>
                        <xsd:enumeration value="ICCPR Art 2"/>
                        <xsd:enumeration value="ICCPR Art 3"/>
                        <xsd:enumeration value="ICCPR Art 4"/>
                        <xsd:enumeration value="ICCPR Art 5"/>
                        <xsd:enumeration value="ICCPR Art 6"/>
                        <xsd:enumeration value="ICCPR Art 7"/>
                        <xsd:enumeration value="ICCPR Art 8"/>
                        <xsd:enumeration value="ICCPR Art 9"/>
                        <xsd:enumeration value="ICCPR Art 10"/>
                        <xsd:enumeration value="ICCPR Art 11"/>
                        <xsd:enumeration value="ICCPR Art 12"/>
                        <xsd:enumeration value="ICCPR Art 13"/>
                        <xsd:enumeration value="ICCPR Art 14"/>
                        <xsd:enumeration value="ICCPR Art 15"/>
                        <xsd:enumeration value="ICCPR Art 16"/>
                        <xsd:enumeration value="ICCPR Art 17"/>
                        <xsd:enumeration value="ICCPR Art 18"/>
                        <xsd:enumeration value="ICCPR Art 19"/>
                        <xsd:enumeration value="ICCPR Art 20"/>
                        <xsd:enumeration value="ICCPR Art 21"/>
                        <xsd:enumeration value="ICCPR Art 22"/>
                        <xsd:enumeration value="ICCPR Art 23"/>
                        <xsd:enumeration value="ICCPR Art 24"/>
                        <xsd:enumeration value="ICCPR Art 25"/>
                        <xsd:enumeration value="ICCPR Art 26"/>
                        <xsd:enumeration value="ICCPR Art 27"/>
                        <xsd:enumeration value="ILO 111 Crim Record"/>
                        <xsd:enumeration value="ILO 111 Political Opinion"/>
                        <xsd:enumeration value="ILO 111 Religion"/>
                        <xsd:enumeration value="ILO 111 Sexual Preference"/>
                        <xsd:enumeration value="ILO 111 Social Origin"/>
                        <xsd:enumeration value="ILO 111 Trade Union"/>
                        <xsd:enumeration value="ILO 111 General"/>
                        <xsd:enumeration value="ILO 111 Disability"/>
                        <xsd:enumeration value="ILO 111 Age"/>
                        <xsd:enumeration value="CRPD"/>
                        <xsd:enumeration value="Religion Declaration"/>
                        <xsd:enumeration value="Other"/>
                        <xsd:enumeration value="CRC"/>
                      </xsd:restriction>
                    </xsd:simpleType>
                  </xsd:union>
                </xsd:simpleType>
              </xsd:element>
            </xsd:sequence>
          </xsd:extension>
        </xsd:complexContent>
      </xsd:complexType>
    </xsd:element>
    <xsd:element name="Subject_x0020_description" ma:index="37" nillable="true" ma:displayName="Subject description" ma:description="Enter a short subject tag eg. arbitrary detention, indefinite detention, use of force" ma:internalName="Subject_x0020_description">
      <xsd:simpleType>
        <xsd:restriction base="dms:Text">
          <xsd:maxLength value="255"/>
        </xsd:restriction>
      </xsd:simpleType>
    </xsd:element>
    <xsd:element name="MediaServiceObjectDetectorVersions" ma:index="38" nillable="true" ma:displayName="MediaServiceObjectDetectorVersions" ma:hidden="true" ma:indexed="true" ma:internalName="MediaServiceObjectDetectorVersions" ma:readOnly="true">
      <xsd:simpleType>
        <xsd:restriction base="dms:Text"/>
      </xsd:simpleType>
    </xsd:element>
    <xsd:element name="MediaServiceSearchProperties" ma:index="39" nillable="true" ma:displayName="MediaServiceSearchProperties" ma:hidden="true" ma:internalName="MediaServiceSearchProperties" ma:readOnly="true">
      <xsd:simpleType>
        <xsd:restriction base="dms:Note"/>
      </xsd:simpleType>
    </xsd:element>
    <xsd:element name="lcf76f155ced4ddcb4097134ff3c332f" ma:index="41" nillable="true" ma:taxonomy="true" ma:internalName="lcf76f155ced4ddcb4097134ff3c332f" ma:taxonomyFieldName="MediaServiceImageTags" ma:displayName="Image Tags" ma:readOnly="false" ma:fieldId="{5cf76f15-5ced-4ddc-b409-7134ff3c332f}" ma:taxonomyMulti="true" ma:sspId="975c5ac6-a0cc-43ed-b850-4a2ae59237b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500fe01-343b-4fb9-a1b0-68ac19d62e01" elementFormDefault="qualified">
    <xsd:import namespace="http://schemas.microsoft.com/office/2006/documentManagement/types"/>
    <xsd:import namespace="http://schemas.microsoft.com/office/infopath/2007/PartnerControls"/>
    <xsd:element name="Divider" ma:index="2" nillable="true" ma:displayName="Divider" ma:format="Dropdown" ma:internalName="Divider">
      <xsd:simpleType>
        <xsd:union memberTypes="dms:Text">
          <xsd:simpleType>
            <xsd:restriction base="dms:Choice">
              <xsd:enumeration value="-"/>
            </xsd:restriction>
          </xsd:simpleType>
        </xsd:union>
      </xsd:simpleType>
    </xsd:element>
    <xsd:element name="TaxCatchAll" ma:index="6" nillable="true" ma:displayName="Taxonomy Catch All Column" ma:hidden="true" ma:list="{edef69be-0e46-40c7-ae13-0e62df689cd6}" ma:internalName="TaxCatchAll" ma:showField="CatchAllData" ma:web="9ec753ee-f2dc-4e9b-bec0-d0fb1166dd49">
      <xsd:complexType>
        <xsd:complexContent>
          <xsd:extension base="dms:MultiChoiceLookup">
            <xsd:sequence>
              <xsd:element name="Value" type="dms:Lookup" maxOccurs="unbounded" minOccurs="0" nillable="true"/>
            </xsd:sequence>
          </xsd:extension>
        </xsd:complexContent>
      </xsd:complexType>
    </xsd:element>
    <xsd:element name="TaxCatchAllLabel" ma:index="7" nillable="true" ma:displayName="Taxonomy Catch All Column1" ma:hidden="true" ma:list="{edef69be-0e46-40c7-ae13-0e62df689cd6}" ma:internalName="TaxCatchAllLabel" ma:readOnly="true" ma:showField="CatchAllDataLabel" ma:web="9ec753ee-f2dc-4e9b-bec0-d0fb1166dd49">
      <xsd:complexType>
        <xsd:complexContent>
          <xsd:extension base="dms:MultiChoiceLookup">
            <xsd:sequence>
              <xsd:element name="Value" type="dms:Lookup" maxOccurs="unbounded" minOccurs="0" nillable="true"/>
            </xsd:sequence>
          </xsd:extension>
        </xsd:complexContent>
      </xsd:complexType>
    </xsd:element>
    <xsd:element name="_dlc_DocId" ma:index="10" nillable="true" ma:displayName="Document ID Value" ma:description="The value of the document ID assigned to this item." ma:indexed="true" ma:internalName="_dlc_DocId" ma:readOnly="true">
      <xsd:simpleType>
        <xsd:restriction base="dms:Text"/>
      </xsd:simpleType>
    </xsd:element>
    <xsd:element name="_dlc_DocIdUrl" ma:index="1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TaxKeywordTaxHTField" ma:index="27" nillable="true" ma:taxonomy="true" ma:internalName="TaxKeywordTaxHTField" ma:taxonomyFieldName="TaxKeyword" ma:displayName="Enterprise Keywords" ma:fieldId="{23f27201-bee3-471e-b2e7-b64fd8b7ca38}" ma:taxonomyMulti="true" ma:sspId="975c5ac6-a0cc-43ed-b850-4a2ae59237b6" ma:termSetId="00000000-0000-0000-0000-000000000000" ma:anchorId="00000000-0000-0000-0000-000000000000" ma:open="true" ma:isKeyword="tru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7f1fb52-79b9-4278-9d54-1e5db41bfcda" elementFormDefault="qualified">
    <xsd:import namespace="http://schemas.microsoft.com/office/2006/documentManagement/types"/>
    <xsd:import namespace="http://schemas.microsoft.com/office/infopath/2007/PartnerControls"/>
    <xsd:element name="Subdivider" ma:index="3" nillable="true" ma:displayName="Subdivider" ma:format="Dropdown" ma:internalName="Subdivider">
      <xsd:simpleType>
        <xsd:union memberTypes="dms:Text">
          <xsd:simpleType>
            <xsd:restriction base="dms:Choice">
              <xsd:enumeration value="-"/>
            </xsd:restriction>
          </xsd:simpleType>
        </xsd:union>
      </xsd:simple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cf9782b-c747-4be8-886f-341168625564"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displayName="Title"/>
        <xsd:element ref="dc:subject" minOccurs="0" maxOccurs="1" ma:index="35" ma:displayName="Subject"/>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FormTemplates xmlns="http://schemas.microsoft.com/sharepoint/v3/contenttype/forms">
  <Display>DocumentLibraryForm</Display>
  <Edit>DocumentLibraryForm</Edit>
  <New>DocumentLibraryForm</New>
</FormTemplates>
</file>

<file path=customXml/item7.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46C1BC-8AA3-4FEC-A66B-C6E6DA49062A}">
  <ds:schemaRefs>
    <ds:schemaRef ds:uri="http://schemas.microsoft.com/sharepoint/events"/>
  </ds:schemaRefs>
</ds:datastoreItem>
</file>

<file path=customXml/itemProps2.xml><?xml version="1.0" encoding="utf-8"?>
<ds:datastoreItem xmlns:ds="http://schemas.openxmlformats.org/officeDocument/2006/customXml" ds:itemID="{D44FE2F8-E163-4A12-85D0-101228F73E1F}">
  <ds:schemaRefs>
    <ds:schemaRef ds:uri="Microsoft.SharePoint.Taxonomy.ContentTypeSync"/>
  </ds:schemaRefs>
</ds:datastoreItem>
</file>

<file path=customXml/itemProps3.xml><?xml version="1.0" encoding="utf-8"?>
<ds:datastoreItem xmlns:ds="http://schemas.openxmlformats.org/officeDocument/2006/customXml" ds:itemID="{2D7E18A0-7256-4E73-83D8-6407CF3A41CF}">
  <ds:schemaRefs>
    <ds:schemaRef ds:uri="http://schemas.microsoft.com/office/2006/metadata/customXsn"/>
  </ds:schemaRefs>
</ds:datastoreItem>
</file>

<file path=customXml/itemProps4.xml><?xml version="1.0" encoding="utf-8"?>
<ds:datastoreItem xmlns:ds="http://schemas.openxmlformats.org/officeDocument/2006/customXml" ds:itemID="{9C72AC02-B2AB-4CD0-BEE1-CB4BF15D2069}">
  <ds:schemaRefs>
    <ds:schemaRef ds:uri="http://schemas.microsoft.com/office/2006/metadata/properties"/>
    <ds:schemaRef ds:uri="http://schemas.microsoft.com/office/infopath/2007/PartnerControls"/>
    <ds:schemaRef ds:uri="57f1fb52-79b9-4278-9d54-1e5db41bfcda"/>
    <ds:schemaRef ds:uri="6500fe01-343b-4fb9-a1b0-68ac19d62e01"/>
    <ds:schemaRef ds:uri="0544bb73-b9b2-4315-b463-f353efb89b0b"/>
  </ds:schemaRefs>
</ds:datastoreItem>
</file>

<file path=customXml/itemProps5.xml><?xml version="1.0" encoding="utf-8"?>
<ds:datastoreItem xmlns:ds="http://schemas.openxmlformats.org/officeDocument/2006/customXml" ds:itemID="{416400C8-2948-437F-8AE5-6B6D2051BB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544bb73-b9b2-4315-b463-f353efb89b0b"/>
    <ds:schemaRef ds:uri="6500fe01-343b-4fb9-a1b0-68ac19d62e01"/>
    <ds:schemaRef ds:uri="57f1fb52-79b9-4278-9d54-1e5db41bfcda"/>
    <ds:schemaRef ds:uri="ccf9782b-c747-4be8-886f-34116862556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50E9E0CF-495D-4368-B666-91A1F2C41E7E}">
  <ds:schemaRefs>
    <ds:schemaRef ds:uri="http://schemas.microsoft.com/sharepoint/v3/contenttype/forms"/>
  </ds:schemaRefs>
</ds:datastoreItem>
</file>

<file path=customXml/itemProps7.xml><?xml version="1.0" encoding="utf-8"?>
<ds:datastoreItem xmlns:ds="http://schemas.openxmlformats.org/officeDocument/2006/customXml" ds:itemID="{56352C10-2325-43C8-85E1-6835753AE3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Pages>
  <Words>9579</Words>
  <Characters>54601</Characters>
  <Application>Microsoft Office Word</Application>
  <DocSecurity>0</DocSecurity>
  <Lines>455</Lines>
  <Paragraphs>128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2025-04-17T00:38:00Z</dcterms:created>
  <dcterms:modified xsi:type="dcterms:W3CDTF">2025-04-17T01:15:00Z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axKeyword">
    <vt:lpwstr/>
  </property>
  <property fmtid="{D5CDD505-2E9C-101B-9397-08002B2CF9AE}" pid="3" name="MediaServiceImageTags">
    <vt:lpwstr/>
  </property>
  <property fmtid="{D5CDD505-2E9C-101B-9397-08002B2CF9AE}" pid="4" name="ContentTypeId">
    <vt:lpwstr>0x010100258FDF5B15A5C74091762EB145641BD2</vt:lpwstr>
  </property>
  <property fmtid="{D5CDD505-2E9C-101B-9397-08002B2CF9AE}" pid="5" name="_dlc_DocIdItemGuid">
    <vt:lpwstr>68540f98-e390-4a61-9a7d-a40193be01fb</vt:lpwstr>
  </property>
</Properties>
</file>