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3D77C" w14:textId="77777777" w:rsidR="00E46837" w:rsidRDefault="00E46837">
      <w:pPr>
        <w:spacing w:after="0" w:line="240" w:lineRule="auto"/>
      </w:pPr>
    </w:p>
    <w:p w14:paraId="67C02A3B" w14:textId="3C4BA8B4" w:rsidR="00155A60" w:rsidRDefault="00155A60">
      <w:pPr>
        <w:spacing w:after="0" w:line="240" w:lineRule="auto"/>
      </w:pPr>
      <w:r w:rsidRPr="00522CA9">
        <w:rPr>
          <w:noProof/>
          <w:lang w:val="en-AU" w:eastAsia="en-AU"/>
        </w:rPr>
        <w:drawing>
          <wp:anchor distT="0" distB="0" distL="114300" distR="114300" simplePos="0" relativeHeight="251659264" behindDoc="1" locked="0" layoutInCell="0" allowOverlap="1" wp14:anchorId="5812B438" wp14:editId="0A1BF27E">
            <wp:simplePos x="0" y="0"/>
            <wp:positionH relativeFrom="margin">
              <wp:posOffset>-1129665</wp:posOffset>
            </wp:positionH>
            <wp:positionV relativeFrom="margin">
              <wp:posOffset>-1108710</wp:posOffset>
            </wp:positionV>
            <wp:extent cx="7810500" cy="11168380"/>
            <wp:effectExtent l="0" t="0" r="1270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836" cy="1116886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8500F0" w14:textId="48E6821B" w:rsidR="00155A60" w:rsidRDefault="00E46837">
      <w:pPr>
        <w:spacing w:after="0" w:line="240" w:lineRule="auto"/>
      </w:pPr>
      <w:r>
        <w:rPr>
          <w:noProof/>
          <w:lang w:val="en-AU" w:eastAsia="en-AU"/>
        </w:rPr>
        <mc:AlternateContent>
          <mc:Choice Requires="wps">
            <w:drawing>
              <wp:anchor distT="0" distB="0" distL="114300" distR="114300" simplePos="0" relativeHeight="251660288" behindDoc="0" locked="0" layoutInCell="1" allowOverlap="1" wp14:anchorId="52AFC553" wp14:editId="325FAAFB">
                <wp:simplePos x="0" y="0"/>
                <wp:positionH relativeFrom="column">
                  <wp:posOffset>2226945</wp:posOffset>
                </wp:positionH>
                <wp:positionV relativeFrom="paragraph">
                  <wp:posOffset>64135</wp:posOffset>
                </wp:positionV>
                <wp:extent cx="3425190" cy="1943100"/>
                <wp:effectExtent l="0" t="0" r="0" b="12700"/>
                <wp:wrapSquare wrapText="bothSides"/>
                <wp:docPr id="5" name="Text Box 5"/>
                <wp:cNvGraphicFramePr/>
                <a:graphic xmlns:a="http://schemas.openxmlformats.org/drawingml/2006/main">
                  <a:graphicData uri="http://schemas.microsoft.com/office/word/2010/wordprocessingShape">
                    <wps:wsp>
                      <wps:cNvSpPr txBox="1"/>
                      <wps:spPr>
                        <a:xfrm>
                          <a:off x="0" y="0"/>
                          <a:ext cx="3425190" cy="19431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48E310E" w14:textId="0D2A6FF2" w:rsidR="00AE5CFC" w:rsidRDefault="00AE5CFC" w:rsidP="004B2F40">
                            <w:pPr>
                              <w:spacing w:after="80"/>
                              <w:jc w:val="right"/>
                              <w:rPr>
                                <w:rFonts w:cs="Arial"/>
                                <w:b/>
                                <w:color w:val="548DD4" w:themeColor="text2" w:themeTint="99"/>
                                <w:sz w:val="48"/>
                                <w:szCs w:val="48"/>
                              </w:rPr>
                            </w:pPr>
                            <w:r>
                              <w:rPr>
                                <w:rFonts w:cs="Arial"/>
                                <w:b/>
                                <w:color w:val="548DD4" w:themeColor="text2" w:themeTint="99"/>
                                <w:sz w:val="48"/>
                                <w:szCs w:val="48"/>
                              </w:rPr>
                              <w:t>Mordechai</w:t>
                            </w:r>
                            <w:r w:rsidRPr="00833542">
                              <w:rPr>
                                <w:rFonts w:cs="Arial"/>
                                <w:b/>
                                <w:color w:val="548DD4" w:themeColor="text2" w:themeTint="99"/>
                                <w:sz w:val="48"/>
                                <w:szCs w:val="48"/>
                              </w:rPr>
                              <w:t xml:space="preserve"> v </w:t>
                            </w:r>
                          </w:p>
                          <w:p w14:paraId="5A4AA25B" w14:textId="64393A52" w:rsidR="00AE5CFC" w:rsidRPr="00833542" w:rsidRDefault="00AE5CFC" w:rsidP="004B2F40">
                            <w:pPr>
                              <w:spacing w:after="80"/>
                              <w:jc w:val="right"/>
                              <w:rPr>
                                <w:rFonts w:cs="Arial"/>
                                <w:b/>
                                <w:color w:val="548DD4" w:themeColor="text2" w:themeTint="99"/>
                                <w:sz w:val="48"/>
                                <w:szCs w:val="48"/>
                              </w:rPr>
                            </w:pP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AE5CFC" w:rsidRPr="00A232E4" w:rsidRDefault="00AE5CFC" w:rsidP="004B2F40">
                            <w:pPr>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r>
                              <w:rPr>
                                <w:rFonts w:cs="Arial"/>
                                <w:b/>
                                <w:color w:val="548DD4" w:themeColor="text2" w:themeTint="99"/>
                                <w:sz w:val="48"/>
                                <w:szCs w:val="48"/>
                              </w:rPr>
                              <w:t>DIBP</w:t>
                            </w:r>
                            <w:r w:rsidRPr="00A232E4">
                              <w:rPr>
                                <w:rFonts w:cs="Arial"/>
                                <w:b/>
                                <w:color w:val="548DD4" w:themeColor="text2" w:themeTint="99"/>
                                <w:sz w:val="48"/>
                                <w:szCs w:val="48"/>
                              </w:rPr>
                              <w:t>)</w:t>
                            </w:r>
                          </w:p>
                          <w:p w14:paraId="2128B77C" w14:textId="3D2CA07B" w:rsidR="00AE5CFC" w:rsidRPr="00E46837" w:rsidRDefault="00AE5CFC" w:rsidP="00E46837">
                            <w:pPr>
                              <w:spacing w:after="0"/>
                              <w:jc w:val="right"/>
                              <w:rPr>
                                <w:rFonts w:ascii="Arial Narrow Bold" w:hAnsi="Arial Narrow Bold"/>
                                <w:sz w:val="32"/>
                                <w:szCs w:val="32"/>
                              </w:rPr>
                            </w:pPr>
                            <w:r>
                              <w:rPr>
                                <w:rFonts w:ascii="Arial Narrow Bold" w:hAnsi="Arial Narrow Bold"/>
                                <w:sz w:val="32"/>
                                <w:szCs w:val="32"/>
                              </w:rPr>
                              <w:t>[2014] AusHRC 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FC553" id="_x0000_t202" coordsize="21600,21600" o:spt="202" path="m,l,21600r21600,l21600,xe">
                <v:stroke joinstyle="miter"/>
                <v:path gradientshapeok="t" o:connecttype="rect"/>
              </v:shapetype>
              <v:shape id="Text Box 5" o:spid="_x0000_s1026" type="#_x0000_t202" style="position:absolute;margin-left:175.35pt;margin-top:5.05pt;width:269.7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" filled="f" stroked="f">
                <v:textbox>
                  <w:txbxContent>
                    <w:p w14:paraId="248E310E" w14:textId="0D2A6FF2" w:rsidR="00AE5CFC" w:rsidRDefault="00AE5CFC" w:rsidP="004B2F40">
                      <w:pPr>
                        <w:spacing w:after="80"/>
                        <w:jc w:val="right"/>
                        <w:rPr>
                          <w:rFonts w:cs="Arial"/>
                          <w:b/>
                          <w:color w:val="548DD4" w:themeColor="text2" w:themeTint="99"/>
                          <w:sz w:val="48"/>
                          <w:szCs w:val="48"/>
                        </w:rPr>
                      </w:pPr>
                      <w:r>
                        <w:rPr>
                          <w:rFonts w:cs="Arial"/>
                          <w:b/>
                          <w:color w:val="548DD4" w:themeColor="text2" w:themeTint="99"/>
                          <w:sz w:val="48"/>
                          <w:szCs w:val="48"/>
                        </w:rPr>
                        <w:t>Mordechai</w:t>
                      </w:r>
                      <w:r w:rsidRPr="00833542">
                        <w:rPr>
                          <w:rFonts w:cs="Arial"/>
                          <w:b/>
                          <w:color w:val="548DD4" w:themeColor="text2" w:themeTint="99"/>
                          <w:sz w:val="48"/>
                          <w:szCs w:val="48"/>
                        </w:rPr>
                        <w:t xml:space="preserve"> v </w:t>
                      </w:r>
                    </w:p>
                    <w:p w14:paraId="5A4AA25B" w14:textId="64393A52" w:rsidR="00AE5CFC" w:rsidRPr="00833542" w:rsidRDefault="00AE5CFC" w:rsidP="004B2F40">
                      <w:pPr>
                        <w:spacing w:after="80"/>
                        <w:jc w:val="right"/>
                        <w:rPr>
                          <w:rFonts w:cs="Arial"/>
                          <w:b/>
                          <w:color w:val="548DD4" w:themeColor="text2" w:themeTint="99"/>
                          <w:sz w:val="48"/>
                          <w:szCs w:val="48"/>
                        </w:rPr>
                      </w:pPr>
                      <w:r w:rsidRPr="00833542">
                        <w:rPr>
                          <w:rFonts w:cs="Arial"/>
                          <w:b/>
                          <w:color w:val="548DD4" w:themeColor="text2" w:themeTint="99"/>
                          <w:sz w:val="48"/>
                          <w:szCs w:val="48"/>
                        </w:rPr>
                        <w:t>Commonwealth</w:t>
                      </w:r>
                      <w:r>
                        <w:rPr>
                          <w:rFonts w:cs="Arial"/>
                          <w:b/>
                          <w:color w:val="548DD4" w:themeColor="text2" w:themeTint="99"/>
                          <w:sz w:val="48"/>
                          <w:szCs w:val="48"/>
                        </w:rPr>
                        <w:t xml:space="preserve"> of</w:t>
                      </w:r>
                    </w:p>
                    <w:p w14:paraId="3F624239" w14:textId="027F406C" w:rsidR="00AE5CFC" w:rsidRPr="00A232E4" w:rsidRDefault="00AE5CFC" w:rsidP="004B2F40">
                      <w:pPr>
                        <w:jc w:val="right"/>
                        <w:rPr>
                          <w:rFonts w:cs="Arial"/>
                          <w:b/>
                          <w:color w:val="548DD4" w:themeColor="text2" w:themeTint="99"/>
                          <w:sz w:val="48"/>
                          <w:szCs w:val="48"/>
                        </w:rPr>
                      </w:pPr>
                      <w:r>
                        <w:rPr>
                          <w:rFonts w:cs="Arial"/>
                          <w:b/>
                          <w:color w:val="548DD4" w:themeColor="text2" w:themeTint="99"/>
                          <w:sz w:val="48"/>
                          <w:szCs w:val="48"/>
                        </w:rPr>
                        <w:t xml:space="preserve">Australia </w:t>
                      </w:r>
                      <w:r w:rsidRPr="00A232E4">
                        <w:rPr>
                          <w:rFonts w:cs="Arial"/>
                          <w:b/>
                          <w:color w:val="548DD4" w:themeColor="text2" w:themeTint="99"/>
                          <w:sz w:val="48"/>
                          <w:szCs w:val="48"/>
                        </w:rPr>
                        <w:t>(</w:t>
                      </w:r>
                      <w:r>
                        <w:rPr>
                          <w:rFonts w:cs="Arial"/>
                          <w:b/>
                          <w:color w:val="548DD4" w:themeColor="text2" w:themeTint="99"/>
                          <w:sz w:val="48"/>
                          <w:szCs w:val="48"/>
                        </w:rPr>
                        <w:t>DIBP</w:t>
                      </w:r>
                      <w:r w:rsidRPr="00A232E4">
                        <w:rPr>
                          <w:rFonts w:cs="Arial"/>
                          <w:b/>
                          <w:color w:val="548DD4" w:themeColor="text2" w:themeTint="99"/>
                          <w:sz w:val="48"/>
                          <w:szCs w:val="48"/>
                        </w:rPr>
                        <w:t>)</w:t>
                      </w:r>
                    </w:p>
                    <w:p w14:paraId="2128B77C" w14:textId="3D2CA07B" w:rsidR="00AE5CFC" w:rsidRPr="00E46837" w:rsidRDefault="00AE5CFC" w:rsidP="00E46837">
                      <w:pPr>
                        <w:spacing w:after="0"/>
                        <w:jc w:val="right"/>
                        <w:rPr>
                          <w:rFonts w:ascii="Arial Narrow Bold" w:hAnsi="Arial Narrow Bold"/>
                          <w:sz w:val="32"/>
                          <w:szCs w:val="32"/>
                        </w:rPr>
                      </w:pPr>
                      <w:r>
                        <w:rPr>
                          <w:rFonts w:ascii="Arial Narrow Bold" w:hAnsi="Arial Narrow Bold"/>
                          <w:sz w:val="32"/>
                          <w:szCs w:val="32"/>
                        </w:rPr>
                        <w:t>[2014] AusHRC 76</w:t>
                      </w:r>
                    </w:p>
                  </w:txbxContent>
                </v:textbox>
                <w10:wrap type="square"/>
              </v:shape>
            </w:pict>
          </mc:Fallback>
        </mc:AlternateContent>
      </w:r>
      <w:r w:rsidR="00155A60">
        <w:br w:type="page"/>
      </w:r>
    </w:p>
    <w:p w14:paraId="28571CE9" w14:textId="77777777" w:rsidR="00350BA1" w:rsidRDefault="00350BA1" w:rsidP="00350BA1"/>
    <w:p w14:paraId="30FCE28C" w14:textId="77777777" w:rsidR="00350BA1" w:rsidRDefault="00350BA1" w:rsidP="00350BA1"/>
    <w:p w14:paraId="708BEEC5" w14:textId="77777777" w:rsidR="00350BA1" w:rsidRDefault="00350BA1" w:rsidP="00350BA1"/>
    <w:p w14:paraId="4353FA92" w14:textId="77777777" w:rsidR="00350BA1" w:rsidRDefault="00350BA1" w:rsidP="00350BA1"/>
    <w:p w14:paraId="07C08863" w14:textId="77777777" w:rsidR="00350BA1" w:rsidRDefault="00350BA1" w:rsidP="00350BA1"/>
    <w:p w14:paraId="003CED2D" w14:textId="77777777" w:rsidR="00350BA1" w:rsidRDefault="00350BA1" w:rsidP="00350BA1"/>
    <w:p w14:paraId="3C637518" w14:textId="77777777" w:rsidR="00350BA1" w:rsidRDefault="00350BA1" w:rsidP="00350BA1"/>
    <w:p w14:paraId="4E8FF7D4"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b/>
          <w:bCs/>
          <w:color w:val="000000"/>
          <w:sz w:val="20"/>
          <w:szCs w:val="20"/>
          <w:u w:color="000000"/>
          <w:lang w:val="en-US" w:eastAsia="en-AU"/>
        </w:rPr>
      </w:pPr>
      <w:r w:rsidRPr="00F20955">
        <w:rPr>
          <w:rFonts w:cs="Arial"/>
          <w:b/>
          <w:bCs/>
          <w:color w:val="000000"/>
          <w:sz w:val="20"/>
          <w:szCs w:val="20"/>
          <w:u w:color="000000"/>
          <w:lang w:val="en-AU" w:eastAsia="en-AU"/>
        </w:rPr>
        <w:t>© Australian Human Rights Commission 2014.</w:t>
      </w:r>
    </w:p>
    <w:p w14:paraId="04236DA4" w14:textId="77777777" w:rsidR="00350BA1" w:rsidRPr="00F20955" w:rsidRDefault="00350BA1" w:rsidP="00350BA1">
      <w:pPr>
        <w:keepLines/>
        <w:widowControl w:val="0"/>
        <w:autoSpaceDE w:val="0"/>
        <w:autoSpaceDN w:val="0"/>
        <w:adjustRightInd w:val="0"/>
        <w:spacing w:after="113"/>
        <w:textAlignment w:val="center"/>
        <w:rPr>
          <w:rFonts w:cs="Arial"/>
          <w:color w:val="000000"/>
          <w:sz w:val="20"/>
          <w:szCs w:val="20"/>
          <w:lang w:val="en-US" w:eastAsia="en-AU"/>
        </w:rPr>
      </w:pPr>
      <w:r>
        <w:rPr>
          <w:rFonts w:cs="Arial"/>
          <w:noProof/>
          <w:color w:val="000000"/>
          <w:sz w:val="20"/>
          <w:szCs w:val="20"/>
          <w:lang w:val="en-AU" w:eastAsia="en-AU"/>
        </w:rPr>
        <w:drawing>
          <wp:inline distT="0" distB="0" distL="0" distR="0" wp14:anchorId="59E9D2AA" wp14:editId="7A43980D">
            <wp:extent cx="107505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ps.pdf"/>
                    <pic:cNvPicPr/>
                  </pic:nvPicPr>
                  <pic:blipFill>
                    <a:blip r:embed="rId9">
                      <a:extLst>
                        <a:ext uri="{28A0092B-C50C-407E-A947-70E740481C1C}">
                          <a14:useLocalDpi xmlns:a14="http://schemas.microsoft.com/office/drawing/2010/main" val="0"/>
                        </a:ext>
                      </a:extLst>
                    </a:blip>
                    <a:stretch>
                      <a:fillRect/>
                    </a:stretch>
                  </pic:blipFill>
                  <pic:spPr>
                    <a:xfrm>
                      <a:off x="0" y="0"/>
                      <a:ext cx="1076043" cy="382395"/>
                    </a:xfrm>
                    <a:prstGeom prst="rect">
                      <a:avLst/>
                    </a:prstGeom>
                  </pic:spPr>
                </pic:pic>
              </a:graphicData>
            </a:graphic>
          </wp:inline>
        </w:drawing>
      </w:r>
    </w:p>
    <w:p w14:paraId="5E31D616" w14:textId="77777777" w:rsidR="00350BA1" w:rsidRPr="00F20955" w:rsidRDefault="00350BA1" w:rsidP="00350BA1">
      <w:pPr>
        <w:widowControl w:val="0"/>
        <w:tabs>
          <w:tab w:val="left" w:pos="567"/>
        </w:tabs>
        <w:suppressAutoHyphens/>
        <w:autoSpaceDE w:val="0"/>
        <w:autoSpaceDN w:val="0"/>
        <w:adjustRightInd w:val="0"/>
        <w:spacing w:after="113"/>
        <w:textAlignment w:val="center"/>
        <w:rPr>
          <w:rFonts w:cs="Arial"/>
          <w:color w:val="000000"/>
          <w:sz w:val="20"/>
          <w:szCs w:val="20"/>
          <w:u w:color="000000"/>
          <w:lang w:val="en-AU" w:eastAsia="en-AU"/>
        </w:rPr>
      </w:pPr>
      <w:r w:rsidRPr="00F20955">
        <w:rPr>
          <w:rFonts w:cs="Arial"/>
          <w:b/>
          <w:bCs/>
          <w:color w:val="000000"/>
          <w:sz w:val="20"/>
          <w:szCs w:val="20"/>
          <w:u w:color="000000"/>
          <w:lang w:val="en-AU" w:eastAsia="en-AU"/>
        </w:rPr>
        <w:t>ISSN 1837-1183</w:t>
      </w:r>
    </w:p>
    <w:p w14:paraId="38EEFBF5"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The Australian Human Rights Commission encourages the dissemination and exchange of information presented in this publication.</w:t>
      </w:r>
    </w:p>
    <w:p w14:paraId="4344CA6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All material presented in this publication is licenced under a Creative Commons Attribution 3.0 Australia licence, </w:t>
      </w:r>
      <w:proofErr w:type="gramStart"/>
      <w:r w:rsidRPr="00F20955">
        <w:rPr>
          <w:rFonts w:cs="Arial"/>
          <w:color w:val="000000"/>
          <w:sz w:val="20"/>
          <w:szCs w:val="20"/>
          <w:u w:color="000000"/>
          <w:lang w:val="en-AU" w:eastAsia="en-AU"/>
        </w:rPr>
        <w:t>with the exception of</w:t>
      </w:r>
      <w:proofErr w:type="gramEnd"/>
      <w:r w:rsidRPr="00F20955">
        <w:rPr>
          <w:rFonts w:cs="Arial"/>
          <w:color w:val="000000"/>
          <w:sz w:val="20"/>
          <w:szCs w:val="20"/>
          <w:u w:color="000000"/>
          <w:lang w:val="en-AU" w:eastAsia="en-AU"/>
        </w:rPr>
        <w:t xml:space="preserve"> the Australian Human Rights Commission Logo.</w:t>
      </w:r>
    </w:p>
    <w:p w14:paraId="4115E0E8"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To view a copy of this licence, visit </w:t>
      </w:r>
      <w:hyperlink r:id="rId10" w:history="1">
        <w:r w:rsidRPr="00EA571C">
          <w:rPr>
            <w:rStyle w:val="Hyperlink"/>
            <w:rFonts w:cs="Arial"/>
            <w:b/>
            <w:sz w:val="20"/>
            <w:szCs w:val="20"/>
            <w:u w:color="000000"/>
            <w:lang w:val="en-AU" w:eastAsia="en-AU"/>
          </w:rPr>
          <w:t>http://creativecommons.org/licences/by/3.0/au</w:t>
        </w:r>
      </w:hyperlink>
      <w:r>
        <w:rPr>
          <w:rFonts w:cs="Arial"/>
          <w:color w:val="000000"/>
          <w:sz w:val="20"/>
          <w:szCs w:val="20"/>
          <w:u w:color="000000"/>
          <w:lang w:val="en-AU" w:eastAsia="en-AU"/>
        </w:rPr>
        <w:t>.</w:t>
      </w:r>
    </w:p>
    <w:p w14:paraId="7F61F80C" w14:textId="77777777" w:rsidR="00350BA1" w:rsidRPr="00F20955" w:rsidRDefault="00350BA1" w:rsidP="00350BA1">
      <w:pPr>
        <w:widowControl w:val="0"/>
        <w:tabs>
          <w:tab w:val="left" w:pos="567"/>
        </w:tabs>
        <w:suppressAutoHyphens/>
        <w:autoSpaceDE w:val="0"/>
        <w:autoSpaceDN w:val="0"/>
        <w:adjustRightInd w:val="0"/>
        <w:spacing w:after="340"/>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In essence, you are free to copy, communicate and adapt the work, </w:t>
      </w:r>
      <w:proofErr w:type="gramStart"/>
      <w:r w:rsidRPr="00F20955">
        <w:rPr>
          <w:rFonts w:cs="Arial"/>
          <w:color w:val="000000"/>
          <w:sz w:val="20"/>
          <w:szCs w:val="20"/>
          <w:u w:color="000000"/>
          <w:lang w:val="en-AU" w:eastAsia="en-AU"/>
        </w:rPr>
        <w:t>as long as</w:t>
      </w:r>
      <w:proofErr w:type="gramEnd"/>
      <w:r w:rsidRPr="00F20955">
        <w:rPr>
          <w:rFonts w:cs="Arial"/>
          <w:color w:val="000000"/>
          <w:sz w:val="20"/>
          <w:szCs w:val="20"/>
          <w:u w:color="000000"/>
          <w:lang w:val="en-AU" w:eastAsia="en-AU"/>
        </w:rPr>
        <w:t xml:space="preserve"> you attribute the work to the Australian Human Rights Commission and abide by the other licence terms.</w:t>
      </w:r>
    </w:p>
    <w:p w14:paraId="6C75E768"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Electronic format</w:t>
      </w:r>
    </w:p>
    <w:p w14:paraId="023B7526"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This publication can be found in electronic format on the website of the Australian Human Rights Commission: </w:t>
      </w:r>
      <w:hyperlink r:id="rId11" w:history="1">
        <w:r w:rsidRPr="00EA571C">
          <w:rPr>
            <w:rStyle w:val="Hyperlink"/>
            <w:rFonts w:cs="Arial"/>
            <w:b/>
            <w:sz w:val="20"/>
            <w:szCs w:val="20"/>
            <w:u w:color="000000"/>
            <w:lang w:val="en-AU" w:eastAsia="en-AU"/>
          </w:rPr>
          <w:t>http://www.humanrights.gov.au/publications/index.html</w:t>
        </w:r>
      </w:hyperlink>
      <w:r w:rsidRPr="00F20955">
        <w:rPr>
          <w:rFonts w:cs="Arial"/>
          <w:color w:val="000000"/>
          <w:sz w:val="20"/>
          <w:szCs w:val="20"/>
          <w:u w:color="000000"/>
          <w:lang w:val="en-AU" w:eastAsia="en-AU"/>
        </w:rPr>
        <w:t>.</w:t>
      </w:r>
    </w:p>
    <w:p w14:paraId="3E09E9BA" w14:textId="77777777" w:rsidR="00350BA1" w:rsidRPr="00F20955" w:rsidRDefault="00350BA1" w:rsidP="00350BA1">
      <w:pPr>
        <w:widowControl w:val="0"/>
        <w:tabs>
          <w:tab w:val="left" w:pos="567"/>
        </w:tabs>
        <w:suppressAutoHyphens/>
        <w:autoSpaceDE w:val="0"/>
        <w:autoSpaceDN w:val="0"/>
        <w:adjustRightInd w:val="0"/>
        <w:spacing w:before="113" w:after="57"/>
        <w:textAlignment w:val="center"/>
        <w:rPr>
          <w:rFonts w:cs="Arial"/>
          <w:b/>
          <w:bCs/>
          <w:color w:val="000000"/>
          <w:sz w:val="20"/>
          <w:szCs w:val="20"/>
          <w:u w:color="000000"/>
          <w:lang w:val="en-AU" w:eastAsia="en-AU"/>
        </w:rPr>
      </w:pPr>
      <w:r w:rsidRPr="00F20955">
        <w:rPr>
          <w:rFonts w:cs="Arial"/>
          <w:b/>
          <w:bCs/>
          <w:color w:val="000000"/>
          <w:sz w:val="20"/>
          <w:szCs w:val="20"/>
          <w:u w:color="000000"/>
          <w:lang w:val="en-AU" w:eastAsia="en-AU"/>
        </w:rPr>
        <w:t>Contact details</w:t>
      </w:r>
    </w:p>
    <w:p w14:paraId="1D5863E2" w14:textId="77777777" w:rsidR="00350BA1"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 xml:space="preserve">For further information about the Australian Human Rights Commission, please visit </w:t>
      </w:r>
      <w:hyperlink r:id="rId12" w:history="1">
        <w:r w:rsidRPr="00EA571C">
          <w:rPr>
            <w:rStyle w:val="Hyperlink"/>
            <w:rFonts w:cs="Arial"/>
            <w:b/>
            <w:sz w:val="20"/>
            <w:szCs w:val="20"/>
            <w:u w:color="000000"/>
            <w:lang w:val="en-AU" w:eastAsia="en-AU"/>
          </w:rPr>
          <w:t>http://www.humanrights.gov.au</w:t>
        </w:r>
      </w:hyperlink>
      <w:r>
        <w:rPr>
          <w:rFonts w:cs="Arial"/>
          <w:color w:val="000000"/>
          <w:sz w:val="20"/>
          <w:szCs w:val="20"/>
          <w:u w:color="000000"/>
          <w:lang w:val="en-AU" w:eastAsia="en-AU"/>
        </w:rPr>
        <w:t xml:space="preserve"> </w:t>
      </w:r>
      <w:r w:rsidRPr="00F20955">
        <w:rPr>
          <w:rFonts w:cs="Arial"/>
          <w:color w:val="000000"/>
          <w:sz w:val="20"/>
          <w:szCs w:val="20"/>
          <w:u w:color="000000"/>
          <w:lang w:val="en-AU" w:eastAsia="en-AU"/>
        </w:rPr>
        <w:t xml:space="preserve">or email </w:t>
      </w:r>
      <w:hyperlink r:id="rId13" w:history="1">
        <w:r>
          <w:rPr>
            <w:rStyle w:val="Hyperlink"/>
            <w:rFonts w:cs="Arial"/>
            <w:b/>
            <w:sz w:val="20"/>
            <w:szCs w:val="20"/>
            <w:u w:color="000000"/>
            <w:lang w:val="en-AU" w:eastAsia="en-AU"/>
          </w:rPr>
          <w:t>communications@humanrights.gov.au</w:t>
        </w:r>
      </w:hyperlink>
      <w:r>
        <w:rPr>
          <w:rFonts w:cs="Arial"/>
          <w:color w:val="000000"/>
          <w:sz w:val="20"/>
          <w:szCs w:val="20"/>
          <w:u w:color="000000"/>
          <w:lang w:val="en-AU" w:eastAsia="en-AU"/>
        </w:rPr>
        <w:t>.</w:t>
      </w:r>
    </w:p>
    <w:p w14:paraId="62FCA160" w14:textId="77777777" w:rsidR="00350BA1" w:rsidRPr="00F20955" w:rsidRDefault="00350BA1" w:rsidP="00350BA1">
      <w:pPr>
        <w:widowControl w:val="0"/>
        <w:tabs>
          <w:tab w:val="left" w:pos="567"/>
        </w:tabs>
        <w:suppressAutoHyphens/>
        <w:autoSpaceDE w:val="0"/>
        <w:autoSpaceDN w:val="0"/>
        <w:adjustRightInd w:val="0"/>
        <w:spacing w:after="57"/>
        <w:textAlignment w:val="center"/>
        <w:rPr>
          <w:rFonts w:cs="Arial"/>
          <w:color w:val="000000"/>
          <w:sz w:val="20"/>
          <w:szCs w:val="20"/>
          <w:u w:color="000000"/>
          <w:lang w:val="en-AU" w:eastAsia="en-AU"/>
        </w:rPr>
      </w:pPr>
      <w:r w:rsidRPr="00F20955">
        <w:rPr>
          <w:rFonts w:cs="Arial"/>
          <w:color w:val="000000"/>
          <w:sz w:val="20"/>
          <w:szCs w:val="20"/>
          <w:u w:color="000000"/>
          <w:lang w:val="en-AU" w:eastAsia="en-AU"/>
        </w:rPr>
        <w:t>You can also write to:</w:t>
      </w:r>
    </w:p>
    <w:p w14:paraId="10C7DCA2" w14:textId="77777777" w:rsidR="00350BA1" w:rsidRPr="00F20955" w:rsidRDefault="00350BA1" w:rsidP="00350BA1">
      <w:pPr>
        <w:pStyle w:val="CopyrightText"/>
        <w:rPr>
          <w:rFonts w:cs="Arial"/>
          <w:szCs w:val="20"/>
          <w:lang w:val="en-AU"/>
        </w:rPr>
      </w:pP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Communications Team</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Australian Human Rights Commission</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GPO Box 5218</w:t>
      </w:r>
      <w:r w:rsidRPr="00F20955">
        <w:rPr>
          <w:rFonts w:cs="Arial"/>
          <w:color w:val="000000"/>
          <w:szCs w:val="20"/>
          <w:lang w:val="en-AU"/>
        </w:rPr>
        <w:br/>
      </w:r>
      <w:r w:rsidRPr="00F20955">
        <w:rPr>
          <w:rFonts w:cs="Arial"/>
          <w:color w:val="000000"/>
          <w:szCs w:val="20"/>
          <w:lang w:val="en-AU"/>
        </w:rPr>
        <w:tab/>
      </w:r>
      <w:r>
        <w:rPr>
          <w:rFonts w:cs="Arial"/>
          <w:color w:val="000000"/>
          <w:szCs w:val="20"/>
          <w:lang w:val="en-AU"/>
        </w:rPr>
        <w:tab/>
      </w:r>
      <w:r w:rsidRPr="00F20955">
        <w:rPr>
          <w:rFonts w:cs="Arial"/>
          <w:color w:val="000000"/>
          <w:szCs w:val="20"/>
          <w:lang w:val="en-AU"/>
        </w:rPr>
        <w:t>Sydney NSW 2001</w:t>
      </w:r>
    </w:p>
    <w:p w14:paraId="5E67F6E3" w14:textId="77777777" w:rsidR="00350BA1" w:rsidRDefault="00350BA1" w:rsidP="00350BA1">
      <w:pPr>
        <w:pStyle w:val="CopyrightText"/>
        <w:rPr>
          <w:rFonts w:cs="Arial"/>
          <w:lang w:val="en-AU"/>
        </w:rPr>
      </w:pPr>
    </w:p>
    <w:p w14:paraId="5577399B" w14:textId="77777777" w:rsidR="00350BA1" w:rsidRDefault="00350BA1" w:rsidP="00350BA1">
      <w:pPr>
        <w:spacing w:after="0" w:line="240" w:lineRule="auto"/>
        <w:rPr>
          <w:rFonts w:cs="Arial"/>
          <w:sz w:val="20"/>
          <w:szCs w:val="16"/>
          <w:u w:color="000000"/>
          <w:lang w:val="en-AU" w:eastAsia="en-AU"/>
        </w:rPr>
      </w:pPr>
      <w:r>
        <w:rPr>
          <w:rFonts w:cs="Arial"/>
          <w:lang w:val="en-AU"/>
        </w:rPr>
        <w:br w:type="page"/>
      </w:r>
    </w:p>
    <w:p w14:paraId="1FC38552" w14:textId="77777777" w:rsidR="00651527" w:rsidRDefault="00651527"/>
    <w:p w14:paraId="0A81F84B" w14:textId="77777777" w:rsidR="000E3DC1" w:rsidRDefault="000E3DC1"/>
    <w:p w14:paraId="371F0786" w14:textId="77777777" w:rsidR="000E3DC1" w:rsidRDefault="000E3DC1"/>
    <w:p w14:paraId="41435CE1" w14:textId="77777777" w:rsidR="000E3DC1" w:rsidRPr="0039341C" w:rsidRDefault="000E3DC1" w:rsidP="0039341C"/>
    <w:p w14:paraId="0366F445" w14:textId="74E767E2" w:rsidR="0039341C" w:rsidRPr="00833542" w:rsidRDefault="00B66FDE" w:rsidP="0039341C">
      <w:pPr>
        <w:keepNext/>
        <w:widowControl w:val="0"/>
        <w:tabs>
          <w:tab w:val="left" w:pos="567"/>
        </w:tabs>
        <w:suppressAutoHyphens/>
        <w:autoSpaceDE w:val="0"/>
        <w:autoSpaceDN w:val="0"/>
        <w:adjustRightInd w:val="0"/>
        <w:spacing w:after="400" w:line="240" w:lineRule="auto"/>
        <w:textAlignment w:val="center"/>
        <w:rPr>
          <w:rFonts w:cs="Arial"/>
          <w:b/>
          <w:bCs/>
          <w:color w:val="808080" w:themeColor="background1" w:themeShade="80"/>
          <w:sz w:val="48"/>
          <w:szCs w:val="48"/>
          <w:rtl/>
          <w:lang w:val="en-AU" w:eastAsia="en-AU"/>
        </w:rPr>
      </w:pPr>
      <w:r>
        <w:rPr>
          <w:rFonts w:cs="Arial"/>
          <w:b/>
          <w:bCs/>
          <w:color w:val="808080" w:themeColor="background1" w:themeShade="80"/>
          <w:sz w:val="48"/>
          <w:szCs w:val="48"/>
          <w:lang w:val="en-AU" w:eastAsia="en-AU"/>
        </w:rPr>
        <w:t>Mordechai</w:t>
      </w:r>
      <w:r w:rsidR="009F3D05" w:rsidRPr="00833542">
        <w:rPr>
          <w:rFonts w:cs="Arial"/>
          <w:b/>
          <w:bCs/>
          <w:color w:val="808080" w:themeColor="background1" w:themeShade="80"/>
          <w:sz w:val="48"/>
          <w:szCs w:val="48"/>
          <w:lang w:val="en-AU" w:eastAsia="en-AU"/>
        </w:rPr>
        <w:t xml:space="preserve"> v Commonwealth </w:t>
      </w:r>
      <w:r w:rsidR="004B2F40">
        <w:rPr>
          <w:rFonts w:cs="Arial"/>
          <w:b/>
          <w:bCs/>
          <w:color w:val="808080" w:themeColor="background1" w:themeShade="80"/>
          <w:sz w:val="48"/>
          <w:szCs w:val="48"/>
          <w:lang w:val="en-AU" w:eastAsia="en-AU"/>
        </w:rPr>
        <w:t xml:space="preserve">of Australia </w:t>
      </w:r>
      <w:r w:rsidR="009F3D05" w:rsidRPr="00833542">
        <w:rPr>
          <w:rFonts w:cs="Arial"/>
          <w:b/>
          <w:bCs/>
          <w:color w:val="808080" w:themeColor="background1" w:themeShade="80"/>
          <w:sz w:val="48"/>
          <w:szCs w:val="48"/>
          <w:lang w:val="en-AU" w:eastAsia="en-AU"/>
        </w:rPr>
        <w:t xml:space="preserve">(Department of </w:t>
      </w:r>
      <w:r w:rsidR="004B2F40">
        <w:rPr>
          <w:rFonts w:cs="Arial"/>
          <w:b/>
          <w:bCs/>
          <w:color w:val="808080" w:themeColor="background1" w:themeShade="80"/>
          <w:sz w:val="48"/>
          <w:szCs w:val="48"/>
          <w:lang w:val="en-AU" w:eastAsia="en-AU"/>
        </w:rPr>
        <w:t>Immigration and Border Protection</w:t>
      </w:r>
      <w:r w:rsidR="009F3D05" w:rsidRPr="00833542">
        <w:rPr>
          <w:rFonts w:cs="Arial"/>
          <w:b/>
          <w:bCs/>
          <w:color w:val="808080" w:themeColor="background1" w:themeShade="80"/>
          <w:sz w:val="48"/>
          <w:szCs w:val="48"/>
          <w:lang w:val="en-AU" w:eastAsia="en-AU"/>
        </w:rPr>
        <w:t>)</w:t>
      </w:r>
    </w:p>
    <w:p w14:paraId="29DEA66C" w14:textId="0FD831A9" w:rsidR="009F3D05" w:rsidRPr="00833542" w:rsidRDefault="004B2F40" w:rsidP="004B3F35">
      <w:pPr>
        <w:spacing w:after="1200"/>
        <w:rPr>
          <w:rFonts w:cs="Arial"/>
          <w:color w:val="808080" w:themeColor="background1" w:themeShade="80"/>
          <w:sz w:val="48"/>
          <w:szCs w:val="48"/>
        </w:rPr>
      </w:pPr>
      <w:r>
        <w:rPr>
          <w:rFonts w:cs="Arial"/>
          <w:color w:val="808080" w:themeColor="background1" w:themeShade="80"/>
          <w:sz w:val="48"/>
          <w:szCs w:val="48"/>
        </w:rPr>
        <w:t xml:space="preserve">Report into </w:t>
      </w:r>
      <w:r w:rsidR="00F33654">
        <w:rPr>
          <w:rFonts w:cs="Arial"/>
          <w:color w:val="808080" w:themeColor="background1" w:themeShade="80"/>
          <w:sz w:val="48"/>
          <w:szCs w:val="48"/>
        </w:rPr>
        <w:t>inhuman treatment</w:t>
      </w:r>
    </w:p>
    <w:p w14:paraId="6CC0679A" w14:textId="679AA06E" w:rsidR="00095F05" w:rsidRPr="00833542" w:rsidRDefault="00A232E4" w:rsidP="009F3D05">
      <w:pPr>
        <w:keepNext/>
        <w:widowControl w:val="0"/>
        <w:tabs>
          <w:tab w:val="left" w:pos="567"/>
        </w:tabs>
        <w:suppressAutoHyphens/>
        <w:autoSpaceDE w:val="0"/>
        <w:autoSpaceDN w:val="0"/>
        <w:adjustRightInd w:val="0"/>
        <w:spacing w:after="283"/>
        <w:textAlignment w:val="center"/>
        <w:rPr>
          <w:rFonts w:cs="Arial"/>
          <w:color w:val="808080" w:themeColor="background1" w:themeShade="80"/>
          <w:sz w:val="48"/>
          <w:szCs w:val="48"/>
          <w:lang w:val="en-AU" w:eastAsia="en-AU"/>
        </w:rPr>
      </w:pPr>
      <w:r w:rsidRPr="00833542">
        <w:rPr>
          <w:rFonts w:cs="Arial"/>
          <w:color w:val="808080" w:themeColor="background1" w:themeShade="80"/>
          <w:sz w:val="48"/>
          <w:szCs w:val="48"/>
          <w:lang w:val="en-AU" w:eastAsia="en-AU"/>
        </w:rPr>
        <w:t>[2014] AusHRC 7</w:t>
      </w:r>
      <w:r w:rsidR="00B66FDE">
        <w:rPr>
          <w:rFonts w:cs="Arial"/>
          <w:color w:val="808080" w:themeColor="background1" w:themeShade="80"/>
          <w:sz w:val="48"/>
          <w:szCs w:val="48"/>
          <w:lang w:val="en-AU" w:eastAsia="en-AU"/>
        </w:rPr>
        <w:t>6</w:t>
      </w:r>
    </w:p>
    <w:p w14:paraId="07C22FFF" w14:textId="210F6B03" w:rsidR="000E3DC1" w:rsidRPr="00833542" w:rsidRDefault="000E3DC1" w:rsidP="000E3DC1">
      <w:pPr>
        <w:widowControl w:val="0"/>
        <w:tabs>
          <w:tab w:val="left" w:pos="680"/>
        </w:tabs>
        <w:suppressAutoHyphens/>
        <w:autoSpaceDE w:val="0"/>
        <w:autoSpaceDN w:val="0"/>
        <w:adjustRightInd w:val="0"/>
        <w:spacing w:after="0"/>
        <w:ind w:left="283" w:hanging="283"/>
        <w:textAlignment w:val="center"/>
        <w:rPr>
          <w:rFonts w:cs="Arial"/>
          <w:b/>
          <w:bCs/>
          <w:color w:val="808080" w:themeColor="background1" w:themeShade="80"/>
          <w:lang w:val="en-AU" w:eastAsia="en-AU"/>
        </w:rPr>
      </w:pPr>
      <w:r w:rsidRPr="00833542">
        <w:rPr>
          <w:rFonts w:cs="Arial"/>
          <w:b/>
          <w:bCs/>
          <w:color w:val="808080" w:themeColor="background1" w:themeShade="80"/>
          <w:lang w:val="en-AU" w:eastAsia="en-AU"/>
        </w:rPr>
        <w:t>Australian Human Rights Commission 201</w:t>
      </w:r>
      <w:r w:rsidR="00A43AB6" w:rsidRPr="00833542">
        <w:rPr>
          <w:rFonts w:cs="Arial"/>
          <w:b/>
          <w:bCs/>
          <w:color w:val="808080" w:themeColor="background1" w:themeShade="80"/>
          <w:lang w:val="en-AU" w:eastAsia="en-AU"/>
        </w:rPr>
        <w:t>4</w:t>
      </w:r>
    </w:p>
    <w:p w14:paraId="3FB7EC8E" w14:textId="77777777" w:rsidR="000E3DC1" w:rsidRDefault="000E3DC1" w:rsidP="000E3DC1"/>
    <w:p w14:paraId="0DFACFCB" w14:textId="77777777" w:rsidR="000E3DC1" w:rsidRDefault="000E3DC1" w:rsidP="000E3DC1"/>
    <w:p w14:paraId="6A0247CE" w14:textId="77777777" w:rsidR="000E3DC1" w:rsidRDefault="000E3DC1" w:rsidP="000E3DC1"/>
    <w:p w14:paraId="7489985A" w14:textId="77777777" w:rsidR="000E3DC1" w:rsidRDefault="000E3DC1" w:rsidP="000E3DC1"/>
    <w:p w14:paraId="5DA6B1D3" w14:textId="77777777" w:rsidR="000E3DC1" w:rsidRDefault="000E3DC1" w:rsidP="000E3DC1"/>
    <w:p w14:paraId="5F00D2AD" w14:textId="77777777" w:rsidR="000E3DC1" w:rsidRDefault="000E3DC1" w:rsidP="000E3DC1"/>
    <w:p w14:paraId="3D9F2DAF" w14:textId="77777777" w:rsidR="000E3DC1" w:rsidRDefault="000E3DC1" w:rsidP="000E3DC1">
      <w:r>
        <w:rPr>
          <w:noProof/>
          <w:lang w:val="en-AU" w:eastAsia="en-AU"/>
        </w:rPr>
        <w:drawing>
          <wp:inline distT="0" distB="0" distL="0" distR="0" wp14:anchorId="691A5CBF" wp14:editId="3364F14A">
            <wp:extent cx="1696720" cy="548640"/>
            <wp:effectExtent l="0" t="0" r="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1EA86F90" w14:textId="77777777" w:rsidR="000E3DC1" w:rsidRDefault="000E3DC1">
      <w:pPr>
        <w:spacing w:after="0" w:line="240" w:lineRule="auto"/>
      </w:pPr>
      <w:r>
        <w:br w:type="page"/>
      </w:r>
    </w:p>
    <w:p w14:paraId="0F857C06" w14:textId="77777777" w:rsidR="000E3DC1" w:rsidRDefault="000E3DC1" w:rsidP="000E3DC1">
      <w:pPr>
        <w:pStyle w:val="Heading8"/>
        <w:rPr>
          <w:lang w:val="en-AU"/>
        </w:rPr>
      </w:pPr>
      <w:r>
        <w:rPr>
          <w:lang w:val="en-AU"/>
        </w:rPr>
        <w:lastRenderedPageBreak/>
        <w:t>Contents</w:t>
      </w:r>
    </w:p>
    <w:p w14:paraId="53458969" w14:textId="77777777" w:rsidR="009F42AD" w:rsidRDefault="00AE3321">
      <w:pPr>
        <w:pStyle w:val="TOC1"/>
        <w:tabs>
          <w:tab w:val="left" w:pos="373"/>
        </w:tabs>
        <w:rPr>
          <w:rFonts w:asciiTheme="minorHAnsi" w:hAnsiTheme="minorHAnsi" w:cstheme="minorBidi"/>
          <w:b w:val="0"/>
          <w:noProof/>
          <w:lang w:eastAsia="ja-JP"/>
        </w:rPr>
      </w:pPr>
      <w:r>
        <w:fldChar w:fldCharType="begin"/>
      </w:r>
      <w:r>
        <w:instrText xml:space="preserve"> TOC \o "1-2" </w:instrText>
      </w:r>
      <w:r>
        <w:fldChar w:fldCharType="separate"/>
      </w:r>
      <w:r w:rsidR="009F42AD" w:rsidRPr="008923E2">
        <w:rPr>
          <w:noProof/>
          <w:lang w:val="en-AU" w:eastAsia="en-AU"/>
        </w:rPr>
        <w:t>1</w:t>
      </w:r>
      <w:r w:rsidR="009F42AD">
        <w:rPr>
          <w:rFonts w:asciiTheme="minorHAnsi" w:hAnsiTheme="minorHAnsi" w:cstheme="minorBidi"/>
          <w:b w:val="0"/>
          <w:noProof/>
          <w:lang w:eastAsia="ja-JP"/>
        </w:rPr>
        <w:tab/>
      </w:r>
      <w:r w:rsidR="009F42AD" w:rsidRPr="008923E2">
        <w:rPr>
          <w:noProof/>
          <w:lang w:val="en-AU" w:eastAsia="en-AU"/>
        </w:rPr>
        <w:t>Introduction</w:t>
      </w:r>
      <w:r w:rsidR="009F42AD">
        <w:rPr>
          <w:noProof/>
        </w:rPr>
        <w:tab/>
      </w:r>
      <w:r w:rsidR="009F42AD">
        <w:rPr>
          <w:noProof/>
        </w:rPr>
        <w:fldChar w:fldCharType="begin"/>
      </w:r>
      <w:r w:rsidR="009F42AD">
        <w:rPr>
          <w:noProof/>
        </w:rPr>
        <w:instrText xml:space="preserve"> PAGEREF _Toc274406743 \h </w:instrText>
      </w:r>
      <w:r w:rsidR="009F42AD">
        <w:rPr>
          <w:noProof/>
        </w:rPr>
      </w:r>
      <w:r w:rsidR="009F42AD">
        <w:rPr>
          <w:noProof/>
        </w:rPr>
        <w:fldChar w:fldCharType="separate"/>
      </w:r>
      <w:r w:rsidR="009F42AD">
        <w:rPr>
          <w:noProof/>
        </w:rPr>
        <w:t>7</w:t>
      </w:r>
      <w:r w:rsidR="009F42AD">
        <w:rPr>
          <w:noProof/>
        </w:rPr>
        <w:fldChar w:fldCharType="end"/>
      </w:r>
    </w:p>
    <w:p w14:paraId="2DB56314" w14:textId="77777777" w:rsidR="009F42AD" w:rsidRDefault="009F42AD">
      <w:pPr>
        <w:pStyle w:val="TOC1"/>
        <w:tabs>
          <w:tab w:val="left" w:pos="373"/>
        </w:tabs>
        <w:rPr>
          <w:rFonts w:asciiTheme="minorHAnsi" w:hAnsiTheme="minorHAnsi" w:cstheme="minorBidi"/>
          <w:b w:val="0"/>
          <w:noProof/>
          <w:lang w:eastAsia="ja-JP"/>
        </w:rPr>
      </w:pPr>
      <w:r w:rsidRPr="008923E2">
        <w:rPr>
          <w:noProof/>
          <w:lang w:val="en-AU" w:eastAsia="en-AU"/>
        </w:rPr>
        <w:t>2</w:t>
      </w:r>
      <w:r>
        <w:rPr>
          <w:rFonts w:asciiTheme="minorHAnsi" w:hAnsiTheme="minorHAnsi" w:cstheme="minorBidi"/>
          <w:b w:val="0"/>
          <w:noProof/>
          <w:lang w:eastAsia="ja-JP"/>
        </w:rPr>
        <w:tab/>
      </w:r>
      <w:r w:rsidRPr="008923E2">
        <w:rPr>
          <w:noProof/>
          <w:lang w:val="en-AU" w:eastAsia="en-AU"/>
        </w:rPr>
        <w:t>Summary of findings</w:t>
      </w:r>
      <w:r>
        <w:rPr>
          <w:noProof/>
        </w:rPr>
        <w:tab/>
      </w:r>
      <w:r>
        <w:rPr>
          <w:noProof/>
        </w:rPr>
        <w:fldChar w:fldCharType="begin"/>
      </w:r>
      <w:r>
        <w:rPr>
          <w:noProof/>
        </w:rPr>
        <w:instrText xml:space="preserve"> PAGEREF _Toc274406744 \h </w:instrText>
      </w:r>
      <w:r>
        <w:rPr>
          <w:noProof/>
        </w:rPr>
      </w:r>
      <w:r>
        <w:rPr>
          <w:noProof/>
        </w:rPr>
        <w:fldChar w:fldCharType="separate"/>
      </w:r>
      <w:r>
        <w:rPr>
          <w:noProof/>
        </w:rPr>
        <w:t>7</w:t>
      </w:r>
      <w:r>
        <w:rPr>
          <w:noProof/>
        </w:rPr>
        <w:fldChar w:fldCharType="end"/>
      </w:r>
    </w:p>
    <w:p w14:paraId="22A6B941" w14:textId="77777777" w:rsidR="009F42AD" w:rsidRDefault="009F42AD">
      <w:pPr>
        <w:pStyle w:val="TOC1"/>
        <w:tabs>
          <w:tab w:val="left" w:pos="368"/>
        </w:tabs>
        <w:rPr>
          <w:rFonts w:asciiTheme="minorHAnsi" w:hAnsiTheme="minorHAnsi" w:cstheme="minorBidi"/>
          <w:b w:val="0"/>
          <w:noProof/>
          <w:lang w:eastAsia="ja-JP"/>
        </w:rPr>
      </w:pPr>
      <w:r w:rsidRPr="008923E2">
        <w:rPr>
          <w:rFonts w:cs="ArialMT"/>
          <w:noProof/>
          <w:color w:val="000000"/>
          <w:spacing w:val="-5"/>
          <w:lang w:val="en-US" w:eastAsia="en-AU"/>
        </w:rPr>
        <w:t>3</w:t>
      </w:r>
      <w:r>
        <w:rPr>
          <w:rFonts w:asciiTheme="minorHAnsi" w:hAnsiTheme="minorHAnsi" w:cstheme="minorBidi"/>
          <w:b w:val="0"/>
          <w:noProof/>
          <w:lang w:eastAsia="ja-JP"/>
        </w:rPr>
        <w:tab/>
      </w:r>
      <w:r w:rsidRPr="008923E2">
        <w:rPr>
          <w:noProof/>
          <w:lang w:val="en-AU" w:eastAsia="en-AU"/>
        </w:rPr>
        <w:t>Recommendations</w:t>
      </w:r>
      <w:r>
        <w:rPr>
          <w:noProof/>
        </w:rPr>
        <w:tab/>
      </w:r>
      <w:r>
        <w:rPr>
          <w:noProof/>
        </w:rPr>
        <w:fldChar w:fldCharType="begin"/>
      </w:r>
      <w:r>
        <w:rPr>
          <w:noProof/>
        </w:rPr>
        <w:instrText xml:space="preserve"> PAGEREF _Toc274406745 \h </w:instrText>
      </w:r>
      <w:r>
        <w:rPr>
          <w:noProof/>
        </w:rPr>
      </w:r>
      <w:r>
        <w:rPr>
          <w:noProof/>
        </w:rPr>
        <w:fldChar w:fldCharType="separate"/>
      </w:r>
      <w:r>
        <w:rPr>
          <w:noProof/>
        </w:rPr>
        <w:t>7</w:t>
      </w:r>
      <w:r>
        <w:rPr>
          <w:noProof/>
        </w:rPr>
        <w:fldChar w:fldCharType="end"/>
      </w:r>
    </w:p>
    <w:p w14:paraId="711DB4EC" w14:textId="77777777" w:rsidR="009F42AD" w:rsidRDefault="009F42AD">
      <w:pPr>
        <w:pStyle w:val="TOC1"/>
        <w:tabs>
          <w:tab w:val="left" w:pos="373"/>
        </w:tabs>
        <w:rPr>
          <w:rFonts w:asciiTheme="minorHAnsi" w:hAnsiTheme="minorHAnsi" w:cstheme="minorBidi"/>
          <w:b w:val="0"/>
          <w:noProof/>
          <w:lang w:eastAsia="ja-JP"/>
        </w:rPr>
      </w:pPr>
      <w:r w:rsidRPr="008923E2">
        <w:rPr>
          <w:noProof/>
          <w:lang w:val="en-AU" w:eastAsia="en-AU"/>
        </w:rPr>
        <w:t>4</w:t>
      </w:r>
      <w:r>
        <w:rPr>
          <w:rFonts w:asciiTheme="minorHAnsi" w:hAnsiTheme="minorHAnsi" w:cstheme="minorBidi"/>
          <w:b w:val="0"/>
          <w:noProof/>
          <w:lang w:eastAsia="ja-JP"/>
        </w:rPr>
        <w:tab/>
      </w:r>
      <w:r w:rsidRPr="008923E2">
        <w:rPr>
          <w:noProof/>
          <w:lang w:val="en-AU" w:eastAsia="en-AU"/>
        </w:rPr>
        <w:t>The complaint by Mr Mordechai</w:t>
      </w:r>
      <w:r>
        <w:rPr>
          <w:noProof/>
        </w:rPr>
        <w:tab/>
      </w:r>
      <w:r>
        <w:rPr>
          <w:noProof/>
        </w:rPr>
        <w:fldChar w:fldCharType="begin"/>
      </w:r>
      <w:r>
        <w:rPr>
          <w:noProof/>
        </w:rPr>
        <w:instrText xml:space="preserve"> PAGEREF _Toc274406746 \h </w:instrText>
      </w:r>
      <w:r>
        <w:rPr>
          <w:noProof/>
        </w:rPr>
      </w:r>
      <w:r>
        <w:rPr>
          <w:noProof/>
        </w:rPr>
        <w:fldChar w:fldCharType="separate"/>
      </w:r>
      <w:r>
        <w:rPr>
          <w:noProof/>
        </w:rPr>
        <w:t>7</w:t>
      </w:r>
      <w:r>
        <w:rPr>
          <w:noProof/>
        </w:rPr>
        <w:fldChar w:fldCharType="end"/>
      </w:r>
    </w:p>
    <w:p w14:paraId="1BB2B86C" w14:textId="77777777" w:rsidR="009F42AD" w:rsidRDefault="009F42AD">
      <w:pPr>
        <w:pStyle w:val="TOC1"/>
        <w:tabs>
          <w:tab w:val="left" w:pos="373"/>
        </w:tabs>
        <w:rPr>
          <w:rFonts w:asciiTheme="minorHAnsi" w:hAnsiTheme="minorHAnsi" w:cstheme="minorBidi"/>
          <w:b w:val="0"/>
          <w:noProof/>
          <w:lang w:eastAsia="ja-JP"/>
        </w:rPr>
      </w:pPr>
      <w:r w:rsidRPr="008923E2">
        <w:rPr>
          <w:noProof/>
          <w:lang w:val="en-AU" w:eastAsia="en-AU"/>
        </w:rPr>
        <w:t>5</w:t>
      </w:r>
      <w:r>
        <w:rPr>
          <w:rFonts w:asciiTheme="minorHAnsi" w:hAnsiTheme="minorHAnsi" w:cstheme="minorBidi"/>
          <w:b w:val="0"/>
          <w:noProof/>
          <w:lang w:eastAsia="ja-JP"/>
        </w:rPr>
        <w:tab/>
      </w:r>
      <w:r w:rsidRPr="008923E2">
        <w:rPr>
          <w:noProof/>
          <w:lang w:val="en-AU" w:eastAsia="en-AU"/>
        </w:rPr>
        <w:t>The Commission’s human rights inquiry and complaints function</w:t>
      </w:r>
      <w:r>
        <w:rPr>
          <w:noProof/>
        </w:rPr>
        <w:tab/>
      </w:r>
      <w:r>
        <w:rPr>
          <w:noProof/>
        </w:rPr>
        <w:fldChar w:fldCharType="begin"/>
      </w:r>
      <w:r>
        <w:rPr>
          <w:noProof/>
        </w:rPr>
        <w:instrText xml:space="preserve"> PAGEREF _Toc274406747 \h </w:instrText>
      </w:r>
      <w:r>
        <w:rPr>
          <w:noProof/>
        </w:rPr>
      </w:r>
      <w:r>
        <w:rPr>
          <w:noProof/>
        </w:rPr>
        <w:fldChar w:fldCharType="separate"/>
      </w:r>
      <w:r>
        <w:rPr>
          <w:noProof/>
        </w:rPr>
        <w:t>8</w:t>
      </w:r>
      <w:r>
        <w:rPr>
          <w:noProof/>
        </w:rPr>
        <w:fldChar w:fldCharType="end"/>
      </w:r>
    </w:p>
    <w:p w14:paraId="3259D649" w14:textId="77777777" w:rsidR="009F42AD" w:rsidRDefault="009F42AD">
      <w:pPr>
        <w:pStyle w:val="TOC1"/>
        <w:tabs>
          <w:tab w:val="left" w:pos="373"/>
        </w:tabs>
        <w:rPr>
          <w:rFonts w:asciiTheme="minorHAnsi" w:hAnsiTheme="minorHAnsi" w:cstheme="minorBidi"/>
          <w:b w:val="0"/>
          <w:noProof/>
          <w:lang w:eastAsia="ja-JP"/>
        </w:rPr>
      </w:pPr>
      <w:r w:rsidRPr="008923E2">
        <w:rPr>
          <w:noProof/>
          <w:lang w:val="en-AU" w:eastAsia="en-AU"/>
        </w:rPr>
        <w:t>6</w:t>
      </w:r>
      <w:r>
        <w:rPr>
          <w:rFonts w:asciiTheme="minorHAnsi" w:hAnsiTheme="minorHAnsi" w:cstheme="minorBidi"/>
          <w:b w:val="0"/>
          <w:noProof/>
          <w:lang w:eastAsia="ja-JP"/>
        </w:rPr>
        <w:tab/>
      </w:r>
      <w:r w:rsidRPr="008923E2">
        <w:rPr>
          <w:noProof/>
          <w:lang w:val="en-AU" w:eastAsia="en-AU"/>
        </w:rPr>
        <w:t>Act or practice of the Commonwealth?</w:t>
      </w:r>
      <w:r>
        <w:rPr>
          <w:noProof/>
        </w:rPr>
        <w:tab/>
      </w:r>
      <w:r>
        <w:rPr>
          <w:noProof/>
        </w:rPr>
        <w:fldChar w:fldCharType="begin"/>
      </w:r>
      <w:r>
        <w:rPr>
          <w:noProof/>
        </w:rPr>
        <w:instrText xml:space="preserve"> PAGEREF _Toc274406748 \h </w:instrText>
      </w:r>
      <w:r>
        <w:rPr>
          <w:noProof/>
        </w:rPr>
      </w:r>
      <w:r>
        <w:rPr>
          <w:noProof/>
        </w:rPr>
        <w:fldChar w:fldCharType="separate"/>
      </w:r>
      <w:r>
        <w:rPr>
          <w:noProof/>
        </w:rPr>
        <w:t>9</w:t>
      </w:r>
      <w:r>
        <w:rPr>
          <w:noProof/>
        </w:rPr>
        <w:fldChar w:fldCharType="end"/>
      </w:r>
    </w:p>
    <w:p w14:paraId="3B7E7A33" w14:textId="77777777" w:rsidR="009F42AD" w:rsidRDefault="009F42AD">
      <w:pPr>
        <w:pStyle w:val="TOC1"/>
        <w:tabs>
          <w:tab w:val="left" w:pos="373"/>
        </w:tabs>
        <w:rPr>
          <w:rFonts w:asciiTheme="minorHAnsi" w:hAnsiTheme="minorHAnsi" w:cstheme="minorBidi"/>
          <w:b w:val="0"/>
          <w:noProof/>
          <w:lang w:eastAsia="ja-JP"/>
        </w:rPr>
      </w:pPr>
      <w:r w:rsidRPr="008923E2">
        <w:rPr>
          <w:noProof/>
          <w:lang w:val="en-AU" w:eastAsia="en-AU"/>
        </w:rPr>
        <w:t>7</w:t>
      </w:r>
      <w:r>
        <w:rPr>
          <w:rFonts w:asciiTheme="minorHAnsi" w:hAnsiTheme="minorHAnsi" w:cstheme="minorBidi"/>
          <w:b w:val="0"/>
          <w:noProof/>
          <w:lang w:eastAsia="ja-JP"/>
        </w:rPr>
        <w:tab/>
      </w:r>
      <w:r w:rsidRPr="008923E2">
        <w:rPr>
          <w:noProof/>
          <w:lang w:val="en-AU" w:eastAsia="en-AU"/>
        </w:rPr>
        <w:t>Inconsistent with or contrary to human rights?</w:t>
      </w:r>
      <w:r>
        <w:rPr>
          <w:noProof/>
        </w:rPr>
        <w:tab/>
      </w:r>
      <w:r>
        <w:rPr>
          <w:noProof/>
        </w:rPr>
        <w:fldChar w:fldCharType="begin"/>
      </w:r>
      <w:r>
        <w:rPr>
          <w:noProof/>
        </w:rPr>
        <w:instrText xml:space="preserve"> PAGEREF _Toc274406749 \h </w:instrText>
      </w:r>
      <w:r>
        <w:rPr>
          <w:noProof/>
        </w:rPr>
      </w:r>
      <w:r>
        <w:rPr>
          <w:noProof/>
        </w:rPr>
        <w:fldChar w:fldCharType="separate"/>
      </w:r>
      <w:r>
        <w:rPr>
          <w:noProof/>
        </w:rPr>
        <w:t>9</w:t>
      </w:r>
      <w:r>
        <w:rPr>
          <w:noProof/>
        </w:rPr>
        <w:fldChar w:fldCharType="end"/>
      </w:r>
    </w:p>
    <w:p w14:paraId="7E22BB88" w14:textId="77777777" w:rsidR="009F42AD" w:rsidRDefault="009F42AD">
      <w:pPr>
        <w:pStyle w:val="TOC1"/>
        <w:tabs>
          <w:tab w:val="left" w:pos="373"/>
        </w:tabs>
        <w:rPr>
          <w:rFonts w:asciiTheme="minorHAnsi" w:hAnsiTheme="minorHAnsi" w:cstheme="minorBidi"/>
          <w:b w:val="0"/>
          <w:noProof/>
          <w:lang w:eastAsia="ja-JP"/>
        </w:rPr>
      </w:pPr>
      <w:r w:rsidRPr="008923E2">
        <w:rPr>
          <w:noProof/>
          <w:lang w:val="en-AU" w:eastAsia="en-AU"/>
        </w:rPr>
        <w:t>8</w:t>
      </w:r>
      <w:r>
        <w:rPr>
          <w:rFonts w:asciiTheme="minorHAnsi" w:hAnsiTheme="minorHAnsi" w:cstheme="minorBidi"/>
          <w:b w:val="0"/>
          <w:noProof/>
          <w:lang w:eastAsia="ja-JP"/>
        </w:rPr>
        <w:tab/>
      </w:r>
      <w:r w:rsidRPr="008923E2">
        <w:rPr>
          <w:noProof/>
          <w:lang w:val="en-AU" w:eastAsia="en-AU"/>
        </w:rPr>
        <w:t>Recommendations</w:t>
      </w:r>
      <w:r>
        <w:rPr>
          <w:noProof/>
        </w:rPr>
        <w:tab/>
      </w:r>
      <w:r>
        <w:rPr>
          <w:noProof/>
        </w:rPr>
        <w:fldChar w:fldCharType="begin"/>
      </w:r>
      <w:r>
        <w:rPr>
          <w:noProof/>
        </w:rPr>
        <w:instrText xml:space="preserve"> PAGEREF _Toc274406750 \h </w:instrText>
      </w:r>
      <w:r>
        <w:rPr>
          <w:noProof/>
        </w:rPr>
      </w:r>
      <w:r>
        <w:rPr>
          <w:noProof/>
        </w:rPr>
        <w:fldChar w:fldCharType="separate"/>
      </w:r>
      <w:r>
        <w:rPr>
          <w:noProof/>
        </w:rPr>
        <w:t>12</w:t>
      </w:r>
      <w:r>
        <w:rPr>
          <w:noProof/>
        </w:rPr>
        <w:fldChar w:fldCharType="end"/>
      </w:r>
    </w:p>
    <w:p w14:paraId="15815BC7" w14:textId="77777777" w:rsidR="009F42AD" w:rsidRDefault="009F42AD">
      <w:pPr>
        <w:pStyle w:val="TOC2"/>
        <w:rPr>
          <w:rFonts w:asciiTheme="minorHAnsi" w:hAnsiTheme="minorHAnsi" w:cstheme="minorBidi"/>
          <w:noProof/>
          <w:lang w:eastAsia="ja-JP"/>
        </w:rPr>
      </w:pPr>
      <w:r w:rsidRPr="008923E2">
        <w:rPr>
          <w:rFonts w:cs="Arial"/>
          <w:noProof/>
          <w:lang w:eastAsia="en-AU"/>
        </w:rPr>
        <w:t>8.1</w:t>
      </w:r>
      <w:r>
        <w:rPr>
          <w:rFonts w:asciiTheme="minorHAnsi" w:hAnsiTheme="minorHAnsi" w:cstheme="minorBidi"/>
          <w:noProof/>
          <w:lang w:eastAsia="ja-JP"/>
        </w:rPr>
        <w:tab/>
      </w:r>
      <w:r>
        <w:rPr>
          <w:noProof/>
          <w:lang w:eastAsia="en-AU"/>
        </w:rPr>
        <w:t>Consideration of compensation</w:t>
      </w:r>
      <w:r>
        <w:rPr>
          <w:noProof/>
        </w:rPr>
        <w:tab/>
      </w:r>
      <w:r>
        <w:rPr>
          <w:noProof/>
        </w:rPr>
        <w:fldChar w:fldCharType="begin"/>
      </w:r>
      <w:r>
        <w:rPr>
          <w:noProof/>
        </w:rPr>
        <w:instrText xml:space="preserve"> PAGEREF _Toc274406751 \h </w:instrText>
      </w:r>
      <w:r>
        <w:rPr>
          <w:noProof/>
        </w:rPr>
      </w:r>
      <w:r>
        <w:rPr>
          <w:noProof/>
        </w:rPr>
        <w:fldChar w:fldCharType="separate"/>
      </w:r>
      <w:r>
        <w:rPr>
          <w:noProof/>
        </w:rPr>
        <w:t>12</w:t>
      </w:r>
      <w:r>
        <w:rPr>
          <w:noProof/>
        </w:rPr>
        <w:fldChar w:fldCharType="end"/>
      </w:r>
    </w:p>
    <w:p w14:paraId="1EAA8F14" w14:textId="77777777" w:rsidR="009F42AD" w:rsidRDefault="009F42AD">
      <w:pPr>
        <w:pStyle w:val="TOC2"/>
        <w:rPr>
          <w:rFonts w:asciiTheme="minorHAnsi" w:hAnsiTheme="minorHAnsi" w:cstheme="minorBidi"/>
          <w:noProof/>
          <w:lang w:eastAsia="ja-JP"/>
        </w:rPr>
      </w:pPr>
      <w:r w:rsidRPr="008923E2">
        <w:rPr>
          <w:rFonts w:cs="Arial"/>
          <w:noProof/>
          <w:lang w:val="en-US" w:eastAsia="en-AU"/>
        </w:rPr>
        <w:t>8.2</w:t>
      </w:r>
      <w:r>
        <w:rPr>
          <w:rFonts w:asciiTheme="minorHAnsi" w:hAnsiTheme="minorHAnsi" w:cstheme="minorBidi"/>
          <w:noProof/>
          <w:lang w:eastAsia="ja-JP"/>
        </w:rPr>
        <w:tab/>
      </w:r>
      <w:r>
        <w:rPr>
          <w:noProof/>
          <w:lang w:eastAsia="en-AU"/>
        </w:rPr>
        <w:t>Recommendation that compensation be paid</w:t>
      </w:r>
      <w:r>
        <w:rPr>
          <w:noProof/>
        </w:rPr>
        <w:tab/>
      </w:r>
      <w:r>
        <w:rPr>
          <w:noProof/>
        </w:rPr>
        <w:fldChar w:fldCharType="begin"/>
      </w:r>
      <w:r>
        <w:rPr>
          <w:noProof/>
        </w:rPr>
        <w:instrText xml:space="preserve"> PAGEREF _Toc274406752 \h </w:instrText>
      </w:r>
      <w:r>
        <w:rPr>
          <w:noProof/>
        </w:rPr>
      </w:r>
      <w:r>
        <w:rPr>
          <w:noProof/>
        </w:rPr>
        <w:fldChar w:fldCharType="separate"/>
      </w:r>
      <w:r>
        <w:rPr>
          <w:noProof/>
        </w:rPr>
        <w:t>13</w:t>
      </w:r>
      <w:r>
        <w:rPr>
          <w:noProof/>
        </w:rPr>
        <w:fldChar w:fldCharType="end"/>
      </w:r>
    </w:p>
    <w:p w14:paraId="103FA512" w14:textId="77777777" w:rsidR="009F42AD" w:rsidRDefault="009F42AD">
      <w:pPr>
        <w:pStyle w:val="TOC1"/>
        <w:tabs>
          <w:tab w:val="left" w:pos="373"/>
        </w:tabs>
        <w:rPr>
          <w:noProof/>
        </w:rPr>
      </w:pPr>
      <w:r w:rsidRPr="008923E2">
        <w:rPr>
          <w:noProof/>
          <w:lang w:val="en-AU" w:eastAsia="en-AU"/>
        </w:rPr>
        <w:t>9</w:t>
      </w:r>
      <w:r>
        <w:rPr>
          <w:rFonts w:asciiTheme="minorHAnsi" w:hAnsiTheme="minorHAnsi" w:cstheme="minorBidi"/>
          <w:b w:val="0"/>
          <w:noProof/>
          <w:lang w:eastAsia="ja-JP"/>
        </w:rPr>
        <w:tab/>
      </w:r>
      <w:r w:rsidRPr="008923E2">
        <w:rPr>
          <w:noProof/>
          <w:lang w:val="en-AU" w:eastAsia="en-AU"/>
        </w:rPr>
        <w:t>The Department’s response to my conclusions and recommendation</w:t>
      </w:r>
      <w:r>
        <w:rPr>
          <w:noProof/>
        </w:rPr>
        <w:tab/>
      </w:r>
      <w:r>
        <w:rPr>
          <w:noProof/>
        </w:rPr>
        <w:fldChar w:fldCharType="begin"/>
      </w:r>
      <w:r>
        <w:rPr>
          <w:noProof/>
        </w:rPr>
        <w:instrText xml:space="preserve"> PAGEREF _Toc274406753 \h </w:instrText>
      </w:r>
      <w:r>
        <w:rPr>
          <w:noProof/>
        </w:rPr>
      </w:r>
      <w:r>
        <w:rPr>
          <w:noProof/>
        </w:rPr>
        <w:fldChar w:fldCharType="separate"/>
      </w:r>
      <w:r>
        <w:rPr>
          <w:noProof/>
        </w:rPr>
        <w:t>15</w:t>
      </w:r>
      <w:r>
        <w:rPr>
          <w:noProof/>
        </w:rPr>
        <w:fldChar w:fldCharType="end"/>
      </w:r>
    </w:p>
    <w:p w14:paraId="46D3167C" w14:textId="2B127E7F" w:rsidR="009F42AD" w:rsidRPr="009F42AD" w:rsidRDefault="009F42AD" w:rsidP="009F42AD">
      <w:pPr>
        <w:spacing w:after="0" w:line="240" w:lineRule="auto"/>
      </w:pPr>
      <w:r>
        <w:br w:type="page"/>
      </w:r>
    </w:p>
    <w:p w14:paraId="478EE212" w14:textId="3052A733" w:rsidR="000E3DC1" w:rsidRDefault="00AE3321" w:rsidP="000433C2">
      <w:pPr>
        <w:rPr>
          <w:rFonts w:cs="Arial"/>
          <w:lang w:val="en-AU"/>
        </w:rPr>
      </w:pPr>
      <w:r>
        <w:lastRenderedPageBreak/>
        <w:fldChar w:fldCharType="end"/>
      </w:r>
      <w:r w:rsidR="000E3DC1">
        <w:rPr>
          <w:rFonts w:cs="Arial"/>
          <w:noProof/>
          <w:lang w:val="en-AU" w:eastAsia="en-AU"/>
        </w:rPr>
        <w:drawing>
          <wp:inline distT="0" distB="0" distL="0" distR="0" wp14:anchorId="42897EEC" wp14:editId="2FD6F1D0">
            <wp:extent cx="1696720" cy="5486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548640"/>
                    </a:xfrm>
                    <a:prstGeom prst="rect">
                      <a:avLst/>
                    </a:prstGeom>
                    <a:noFill/>
                    <a:ln>
                      <a:noFill/>
                    </a:ln>
                  </pic:spPr>
                </pic:pic>
              </a:graphicData>
            </a:graphic>
          </wp:inline>
        </w:drawing>
      </w:r>
    </w:p>
    <w:p w14:paraId="304EAE5A" w14:textId="2EB9A339" w:rsidR="00D6621A" w:rsidRDefault="00D6621A" w:rsidP="000E3DC1">
      <w:r>
        <w:t>.................................................................................................................................</w:t>
      </w:r>
    </w:p>
    <w:p w14:paraId="00451016" w14:textId="77777777" w:rsidR="00A43AB6" w:rsidRPr="00D61731" w:rsidRDefault="00A43AB6" w:rsidP="00D61731">
      <w:pPr>
        <w:rPr>
          <w:rFonts w:cs="Arial"/>
          <w:lang w:val="en-US" w:eastAsia="en-AU"/>
        </w:rPr>
      </w:pPr>
    </w:p>
    <w:p w14:paraId="23DAE06C" w14:textId="06795110" w:rsidR="00D61731" w:rsidRPr="00D61731" w:rsidRDefault="00842896" w:rsidP="00D61731">
      <w:pPr>
        <w:rPr>
          <w:rFonts w:cs="Arial"/>
          <w:lang w:val="en-US" w:eastAsia="en-AU"/>
        </w:rPr>
      </w:pPr>
      <w:r>
        <w:rPr>
          <w:rFonts w:cs="Arial"/>
          <w:lang w:val="en-US" w:eastAsia="en-AU"/>
        </w:rPr>
        <w:t>June</w:t>
      </w:r>
      <w:r w:rsidR="00D61731" w:rsidRPr="00D61731">
        <w:rPr>
          <w:rFonts w:cs="Arial"/>
          <w:lang w:val="en-US" w:eastAsia="en-AU"/>
        </w:rPr>
        <w:t xml:space="preserve"> 2014</w:t>
      </w:r>
    </w:p>
    <w:p w14:paraId="66F0081F" w14:textId="77777777" w:rsidR="00B66FDE" w:rsidRPr="00B66FDE" w:rsidRDefault="00D61731" w:rsidP="00B66FDE">
      <w:r w:rsidRPr="00D61731">
        <w:rPr>
          <w:rFonts w:cs="Arial"/>
          <w:lang w:val="en-US" w:eastAsia="en-AU"/>
        </w:rPr>
        <w:t>Senator the Hon. George Brandis QC</w:t>
      </w:r>
      <w:r w:rsidRPr="00D61731">
        <w:rPr>
          <w:rFonts w:cs="Arial"/>
          <w:lang w:val="en-US" w:eastAsia="en-AU"/>
        </w:rPr>
        <w:br/>
        <w:t>Attorney-General</w:t>
      </w:r>
      <w:r w:rsidRPr="00D61731">
        <w:rPr>
          <w:rFonts w:cs="Arial"/>
          <w:lang w:val="en-US" w:eastAsia="en-AU"/>
        </w:rPr>
        <w:br/>
        <w:t>Parliament House</w:t>
      </w:r>
      <w:r w:rsidRPr="00D61731">
        <w:rPr>
          <w:rFonts w:cs="Arial"/>
          <w:lang w:val="en-US" w:eastAsia="en-AU"/>
        </w:rPr>
        <w:br/>
        <w:t>Canberra ACT 2600</w:t>
      </w:r>
      <w:r w:rsidRPr="00D61731">
        <w:rPr>
          <w:rFonts w:cs="Arial"/>
          <w:lang w:val="en-US" w:eastAsia="en-AU"/>
        </w:rPr>
        <w:br/>
      </w:r>
      <w:r w:rsidRPr="00D61731">
        <w:rPr>
          <w:rFonts w:cs="Arial"/>
          <w:lang w:val="en-US" w:eastAsia="en-AU"/>
        </w:rPr>
        <w:br/>
        <w:t>Dear Attorney</w:t>
      </w:r>
      <w:r w:rsidRPr="00D61731">
        <w:rPr>
          <w:rFonts w:cs="Arial"/>
          <w:lang w:val="en-US" w:eastAsia="en-AU"/>
        </w:rPr>
        <w:br/>
      </w:r>
      <w:r w:rsidRPr="00D61731">
        <w:rPr>
          <w:rFonts w:cs="Arial"/>
          <w:lang w:val="en-US" w:eastAsia="en-AU"/>
        </w:rPr>
        <w:br/>
      </w:r>
      <w:r w:rsidR="00B66FDE" w:rsidRPr="00B66FDE">
        <w:t xml:space="preserve">I have completed my report pursuant to s 11(1)(f)(ii) of the </w:t>
      </w:r>
      <w:r w:rsidR="00B66FDE" w:rsidRPr="00B66FDE">
        <w:rPr>
          <w:i/>
          <w:iCs/>
        </w:rPr>
        <w:t>Australian Human Rights Commission Act 1986</w:t>
      </w:r>
      <w:r w:rsidR="00B66FDE" w:rsidRPr="00B66FDE">
        <w:t xml:space="preserve"> (Cth) into the complaint made by Mr Moshe Mordechai against the Commonwealth of Australia – Department of Immigration and Border Protection.</w:t>
      </w:r>
    </w:p>
    <w:p w14:paraId="21748CDE" w14:textId="77777777" w:rsidR="00B66FDE" w:rsidRPr="00B66FDE" w:rsidRDefault="00B66FDE" w:rsidP="00B66FDE">
      <w:pPr>
        <w:rPr>
          <w:lang w:val="en-US" w:eastAsia="en-AU"/>
        </w:rPr>
      </w:pPr>
      <w:r w:rsidRPr="00B66FDE">
        <w:rPr>
          <w:lang w:val="en-US" w:eastAsia="en-AU"/>
        </w:rPr>
        <w:t xml:space="preserve">I have found that the failure of the Department to provide Mr Mordechai with his required medications, over the course of approximately three days, was inconsistent with his right as a detained person to be treated with humanity and respect for his dignity, in breach of article 10(1) of the </w:t>
      </w:r>
      <w:r w:rsidRPr="00B66FDE">
        <w:rPr>
          <w:i/>
          <w:iCs/>
          <w:lang w:val="en-US" w:eastAsia="en-AU"/>
        </w:rPr>
        <w:t>International Covenant on Civil and Political Rights</w:t>
      </w:r>
      <w:r w:rsidRPr="00B66FDE">
        <w:rPr>
          <w:lang w:val="en-US" w:eastAsia="en-AU"/>
        </w:rPr>
        <w:t>.</w:t>
      </w:r>
    </w:p>
    <w:p w14:paraId="7D593BE8" w14:textId="0F4CE0F1" w:rsidR="004B2F40" w:rsidRPr="00842896" w:rsidRDefault="00B66FDE" w:rsidP="00B66FDE">
      <w:pPr>
        <w:rPr>
          <w:rFonts w:cs="Arial"/>
          <w:lang w:val="en-US" w:eastAsia="en-AU"/>
        </w:rPr>
      </w:pPr>
      <w:r w:rsidRPr="00B66FDE">
        <w:rPr>
          <w:lang w:val="en-US" w:eastAsia="en-AU"/>
        </w:rPr>
        <w:t>By letter dated 16 May 2014, the Department provided a response to my findings and recommendations. I have set out the Department’s response in Part 9 of my report.</w:t>
      </w:r>
    </w:p>
    <w:p w14:paraId="1EE918C2" w14:textId="77777777" w:rsidR="004B2F40" w:rsidRDefault="004B2F40">
      <w:pPr>
        <w:spacing w:after="0" w:line="240" w:lineRule="auto"/>
        <w:rPr>
          <w:rFonts w:cs="Arial"/>
          <w:color w:val="000000"/>
          <w:lang w:val="en-US" w:eastAsia="en-AU"/>
        </w:rPr>
      </w:pPr>
      <w:r>
        <w:rPr>
          <w:rFonts w:cs="Arial"/>
          <w:color w:val="000000"/>
          <w:lang w:val="en-US" w:eastAsia="en-AU"/>
        </w:rPr>
        <w:br w:type="page"/>
      </w:r>
    </w:p>
    <w:p w14:paraId="635C3A13" w14:textId="08D638ED" w:rsidR="004B2F40" w:rsidRPr="004B2F40" w:rsidRDefault="00B66FDE" w:rsidP="004B2F40">
      <w:pPr>
        <w:rPr>
          <w:rFonts w:cs="Arial"/>
          <w:color w:val="000000"/>
          <w:lang w:val="en-US" w:eastAsia="en-AU"/>
        </w:rPr>
      </w:pPr>
      <w:r>
        <w:rPr>
          <w:rFonts w:cs="Arial"/>
          <w:color w:val="000000"/>
          <w:lang w:val="en-US" w:eastAsia="en-AU"/>
        </w:rPr>
        <w:lastRenderedPageBreak/>
        <w:t>I enclose</w:t>
      </w:r>
      <w:r w:rsidR="004B2F40" w:rsidRPr="004B2F40">
        <w:rPr>
          <w:rFonts w:cs="Arial"/>
          <w:color w:val="000000"/>
          <w:lang w:val="en-US" w:eastAsia="en-AU"/>
        </w:rPr>
        <w:t xml:space="preserve"> a copy of my report.</w:t>
      </w:r>
    </w:p>
    <w:p w14:paraId="4263B56D" w14:textId="77777777" w:rsidR="00095F05" w:rsidRDefault="00095F05" w:rsidP="00415667">
      <w:pPr>
        <w:rPr>
          <w:rFonts w:cs="Arial"/>
          <w:color w:val="000000"/>
          <w:lang w:val="en-US" w:eastAsia="en-AU"/>
        </w:rPr>
      </w:pPr>
      <w:r w:rsidRPr="00095F05">
        <w:rPr>
          <w:rFonts w:cs="Arial"/>
          <w:color w:val="000000"/>
          <w:lang w:val="en-US" w:eastAsia="en-AU"/>
        </w:rPr>
        <w:t>Yours sincerely</w:t>
      </w:r>
    </w:p>
    <w:p w14:paraId="36E14D3D" w14:textId="77777777" w:rsidR="00415667" w:rsidRDefault="00415667" w:rsidP="00415667">
      <w:pPr>
        <w:rPr>
          <w:rFonts w:cs="Arial"/>
          <w:color w:val="000000"/>
          <w:lang w:val="en-US" w:eastAsia="en-AU"/>
        </w:rPr>
      </w:pPr>
    </w:p>
    <w:p w14:paraId="09BFFA60" w14:textId="77777777" w:rsidR="00D61731" w:rsidRPr="00095F05" w:rsidRDefault="00D61731" w:rsidP="00415667">
      <w:pPr>
        <w:rPr>
          <w:rFonts w:cs="Arial"/>
          <w:color w:val="000000"/>
          <w:lang w:val="en-US" w:eastAsia="en-AU"/>
        </w:rPr>
      </w:pPr>
    </w:p>
    <w:p w14:paraId="55E2A621" w14:textId="2DAC3518" w:rsidR="000E3DC1" w:rsidRDefault="00095F05"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r w:rsidRPr="00095F05">
        <w:rPr>
          <w:rFonts w:cs="Arial"/>
          <w:color w:val="000000"/>
          <w:lang w:val="en-US" w:eastAsia="en-AU"/>
        </w:rPr>
        <w:t>Gillian Triggs</w:t>
      </w:r>
      <w:r w:rsidRPr="00095F05">
        <w:rPr>
          <w:rFonts w:cs="Arial"/>
          <w:color w:val="000000"/>
          <w:lang w:val="en-US" w:eastAsia="en-AU"/>
        </w:rPr>
        <w:br/>
      </w:r>
      <w:r w:rsidRPr="0039341C">
        <w:rPr>
          <w:rStyle w:val="Strong"/>
        </w:rPr>
        <w:t>President</w:t>
      </w:r>
      <w:r w:rsidRPr="00095F05">
        <w:rPr>
          <w:rFonts w:cs="Arial"/>
          <w:b/>
          <w:bCs/>
          <w:color w:val="000000"/>
          <w:lang w:val="en-US" w:eastAsia="en-AU"/>
        </w:rPr>
        <w:br/>
      </w:r>
      <w:r w:rsidRPr="00095F05">
        <w:rPr>
          <w:rFonts w:cs="Arial"/>
          <w:color w:val="000000"/>
          <w:lang w:val="en-US" w:eastAsia="en-AU"/>
        </w:rPr>
        <w:t>Australian Human Rights Commission</w:t>
      </w:r>
    </w:p>
    <w:p w14:paraId="29F0FE5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59CEB5"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95BC8B4"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12F57C9"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4047B547"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A0236FE" w14:textId="77777777" w:rsidR="00A43AB6"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C5CE5FD"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2F00A08"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6F67939B"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9685EF"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09D1FED"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6DEBBE9"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3D89E1D2" w14:textId="77777777" w:rsidR="004B2F40" w:rsidRDefault="004B2F40"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1DBD96C5" w14:textId="77777777" w:rsidR="00415667" w:rsidRDefault="00415667"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5EA52338" w14:textId="77777777" w:rsidR="00A43AB6" w:rsidRPr="00095F05" w:rsidRDefault="00A43AB6" w:rsidP="00095F05">
      <w:pPr>
        <w:widowControl w:val="0"/>
        <w:tabs>
          <w:tab w:val="left" w:pos="567"/>
        </w:tabs>
        <w:suppressAutoHyphens/>
        <w:autoSpaceDE w:val="0"/>
        <w:autoSpaceDN w:val="0"/>
        <w:adjustRightInd w:val="0"/>
        <w:spacing w:after="113"/>
        <w:textAlignment w:val="center"/>
        <w:rPr>
          <w:rFonts w:cs="Arial"/>
          <w:color w:val="000000"/>
          <w:lang w:val="en-US" w:eastAsia="en-AU"/>
        </w:rPr>
      </w:pPr>
    </w:p>
    <w:p w14:paraId="730C1D59" w14:textId="219753C1" w:rsidR="000E3DC1" w:rsidRDefault="00D6621A" w:rsidP="000E3DC1">
      <w:r>
        <w:t>.................................................................................................................................</w:t>
      </w:r>
    </w:p>
    <w:p w14:paraId="32CEC59C" w14:textId="77777777" w:rsidR="000E3DC1" w:rsidRPr="0039341C" w:rsidRDefault="000E3DC1" w:rsidP="000E3DC1">
      <w:pPr>
        <w:widowControl w:val="0"/>
        <w:suppressAutoHyphens/>
        <w:autoSpaceDE w:val="0"/>
        <w:autoSpaceDN w:val="0"/>
        <w:adjustRightInd w:val="0"/>
        <w:spacing w:after="113"/>
        <w:textAlignment w:val="center"/>
        <w:rPr>
          <w:rStyle w:val="Strong"/>
          <w:sz w:val="20"/>
          <w:szCs w:val="20"/>
        </w:rPr>
      </w:pPr>
      <w:r w:rsidRPr="0039341C">
        <w:rPr>
          <w:rStyle w:val="Strong"/>
          <w:sz w:val="20"/>
          <w:szCs w:val="20"/>
        </w:rPr>
        <w:t>Australian Human Rights Commission</w:t>
      </w:r>
    </w:p>
    <w:p w14:paraId="417FC943" w14:textId="77777777" w:rsidR="000E3DC1" w:rsidRPr="000E3DC1" w:rsidRDefault="000E3DC1" w:rsidP="000E3DC1">
      <w:pPr>
        <w:widowControl w:val="0"/>
        <w:suppressAutoHyphens/>
        <w:autoSpaceDE w:val="0"/>
        <w:autoSpaceDN w:val="0"/>
        <w:adjustRightInd w:val="0"/>
        <w:spacing w:after="57"/>
        <w:textAlignment w:val="center"/>
        <w:rPr>
          <w:rFonts w:cs="Arial"/>
          <w:color w:val="000000"/>
          <w:sz w:val="20"/>
          <w:szCs w:val="20"/>
          <w:lang w:val="en-AU" w:eastAsia="en-AU"/>
        </w:rPr>
      </w:pPr>
      <w:r w:rsidRPr="000E3DC1">
        <w:rPr>
          <w:rFonts w:cs="Arial"/>
          <w:color w:val="000000"/>
          <w:sz w:val="20"/>
          <w:szCs w:val="20"/>
          <w:lang w:val="en-AU" w:eastAsia="en-AU"/>
        </w:rPr>
        <w:t xml:space="preserve">Level 3, 175 Pitt Street, Sydney NSW 2000 </w:t>
      </w:r>
      <w:r w:rsidRPr="000E3DC1">
        <w:rPr>
          <w:rFonts w:cs="Arial"/>
          <w:color w:val="000000"/>
          <w:sz w:val="20"/>
          <w:szCs w:val="20"/>
          <w:lang w:val="en-AU" w:eastAsia="en-AU"/>
        </w:rPr>
        <w:br/>
        <w:t>GPO Box 5218, Sydney NSW 2001</w:t>
      </w:r>
    </w:p>
    <w:p w14:paraId="5E58F624" w14:textId="50349A04" w:rsidR="000E3DC1" w:rsidRPr="000E3DC1" w:rsidRDefault="000E3DC1" w:rsidP="000E3DC1">
      <w:pPr>
        <w:rPr>
          <w:rFonts w:cs="Arial"/>
          <w:sz w:val="20"/>
          <w:szCs w:val="20"/>
        </w:rPr>
      </w:pPr>
      <w:r w:rsidRPr="000E3DC1">
        <w:rPr>
          <w:rFonts w:cs="Arial"/>
          <w:i/>
          <w:iCs/>
          <w:color w:val="000000"/>
          <w:sz w:val="20"/>
          <w:szCs w:val="20"/>
          <w:lang w:val="en-AU" w:eastAsia="en-AU"/>
        </w:rPr>
        <w:t>Telephone:</w:t>
      </w:r>
      <w:r w:rsidRPr="000E3DC1">
        <w:rPr>
          <w:rFonts w:cs="Arial"/>
          <w:color w:val="000000"/>
          <w:sz w:val="20"/>
          <w:szCs w:val="20"/>
          <w:lang w:val="en-AU" w:eastAsia="en-AU"/>
        </w:rPr>
        <w:t xml:space="preserve"> 02 9284 9600 </w:t>
      </w:r>
      <w:r w:rsidRPr="000E3DC1">
        <w:rPr>
          <w:rFonts w:cs="Arial"/>
          <w:color w:val="000000"/>
          <w:sz w:val="20"/>
          <w:szCs w:val="20"/>
          <w:lang w:val="en-AU" w:eastAsia="en-AU"/>
        </w:rPr>
        <w:br/>
      </w:r>
      <w:r w:rsidRPr="000E3DC1">
        <w:rPr>
          <w:rFonts w:cs="Arial"/>
          <w:i/>
          <w:iCs/>
          <w:color w:val="000000"/>
          <w:sz w:val="20"/>
          <w:szCs w:val="20"/>
          <w:lang w:val="en-AU" w:eastAsia="en-AU"/>
        </w:rPr>
        <w:t>Facsimile:</w:t>
      </w:r>
      <w:r w:rsidRPr="000E3DC1">
        <w:rPr>
          <w:rFonts w:cs="Arial"/>
          <w:color w:val="000000"/>
          <w:sz w:val="20"/>
          <w:szCs w:val="20"/>
          <w:lang w:val="en-AU" w:eastAsia="en-AU"/>
        </w:rPr>
        <w:t xml:space="preserve"> 02 9284 9611 </w:t>
      </w:r>
      <w:r w:rsidRPr="000E3DC1">
        <w:rPr>
          <w:rFonts w:cs="Arial"/>
          <w:color w:val="000000"/>
          <w:sz w:val="20"/>
          <w:szCs w:val="20"/>
          <w:lang w:val="en-AU" w:eastAsia="en-AU"/>
        </w:rPr>
        <w:br/>
      </w:r>
      <w:r w:rsidRPr="000E3DC1">
        <w:rPr>
          <w:rFonts w:cs="Arial"/>
          <w:i/>
          <w:iCs/>
          <w:color w:val="000000"/>
          <w:sz w:val="20"/>
          <w:szCs w:val="20"/>
          <w:lang w:val="en-AU" w:eastAsia="en-AU"/>
        </w:rPr>
        <w:t>Website:</w:t>
      </w:r>
      <w:r w:rsidRPr="000E3DC1">
        <w:rPr>
          <w:rFonts w:cs="Arial"/>
          <w:color w:val="000000"/>
          <w:sz w:val="20"/>
          <w:szCs w:val="20"/>
          <w:lang w:val="en-AU" w:eastAsia="en-AU"/>
        </w:rPr>
        <w:t xml:space="preserve"> </w:t>
      </w:r>
      <w:hyperlink r:id="rId16" w:history="1">
        <w:r w:rsidR="00E25CEE">
          <w:rPr>
            <w:rStyle w:val="Hyperlink"/>
            <w:rFonts w:cs="Arial"/>
            <w:sz w:val="20"/>
            <w:szCs w:val="20"/>
            <w:lang w:val="en-AU" w:eastAsia="en-AU"/>
          </w:rPr>
          <w:t>www.humanrights.gov.au</w:t>
        </w:r>
      </w:hyperlink>
    </w:p>
    <w:p w14:paraId="6BCF08CC" w14:textId="1FB84029" w:rsidR="00C95492" w:rsidRPr="00C95492" w:rsidRDefault="000E3DC1" w:rsidP="00C95492">
      <w:pPr>
        <w:spacing w:after="227"/>
      </w:pPr>
      <w:r>
        <w:rPr>
          <w:rFonts w:cs="Arial"/>
          <w:lang w:val="en-AU"/>
        </w:rPr>
        <w:br w:type="page"/>
      </w:r>
    </w:p>
    <w:p w14:paraId="321137A2" w14:textId="77777777" w:rsidR="008A1BA1" w:rsidRPr="008A1BA1" w:rsidRDefault="008A1BA1" w:rsidP="008A1BA1">
      <w:pPr>
        <w:pStyle w:val="Heading1"/>
        <w:rPr>
          <w:lang w:val="en-AU" w:eastAsia="en-AU"/>
        </w:rPr>
      </w:pPr>
      <w:bookmarkStart w:id="0" w:name="_Toc274406743"/>
      <w:r w:rsidRPr="008A1BA1">
        <w:rPr>
          <w:lang w:val="en-AU" w:eastAsia="en-AU"/>
        </w:rPr>
        <w:lastRenderedPageBreak/>
        <w:t>Introduction</w:t>
      </w:r>
      <w:bookmarkEnd w:id="0"/>
    </w:p>
    <w:p w14:paraId="599009DB" w14:textId="77777777" w:rsidR="008A1BA1" w:rsidRPr="008A1BA1" w:rsidRDefault="008A1BA1" w:rsidP="008A1BA1">
      <w:pPr>
        <w:pStyle w:val="ListParagraph"/>
        <w:rPr>
          <w:lang w:val="en-US" w:eastAsia="en-AU"/>
        </w:rPr>
      </w:pPr>
      <w:r w:rsidRPr="008A1BA1">
        <w:rPr>
          <w:lang w:val="en-US" w:eastAsia="en-AU"/>
        </w:rPr>
        <w:t>This is a report setting out the findings of the Australian Human Rights Commission and the reasons for those findings, following an inquiry by the Commission into a complaint lodged by Mr Moshe Mordechai.</w:t>
      </w:r>
    </w:p>
    <w:p w14:paraId="05D705C2" w14:textId="77777777" w:rsidR="008A1BA1" w:rsidRPr="008A1BA1" w:rsidRDefault="008A1BA1" w:rsidP="008A1BA1">
      <w:pPr>
        <w:pStyle w:val="ListParagraph"/>
        <w:rPr>
          <w:lang w:val="en-US" w:eastAsia="en-AU"/>
        </w:rPr>
      </w:pPr>
      <w:r w:rsidRPr="008A1BA1">
        <w:rPr>
          <w:lang w:val="en-US" w:eastAsia="en-AU"/>
        </w:rPr>
        <w:t xml:space="preserve">Mr Mordechai alleges that his treatment by the Commonwealth of Australia involved acts or practices inconsistent with or contrary to his human rights under the </w:t>
      </w:r>
      <w:r w:rsidRPr="008A1BA1">
        <w:rPr>
          <w:i/>
          <w:iCs/>
          <w:lang w:val="en-US" w:eastAsia="en-AU"/>
        </w:rPr>
        <w:t xml:space="preserve">International Covenant on Civil and Political Rights </w:t>
      </w:r>
      <w:r w:rsidRPr="008A1BA1">
        <w:rPr>
          <w:lang w:val="en-US" w:eastAsia="en-AU"/>
        </w:rPr>
        <w:t>(ICCPR).</w:t>
      </w:r>
    </w:p>
    <w:p w14:paraId="250485DF" w14:textId="77777777" w:rsidR="008A1BA1" w:rsidRPr="008A1BA1" w:rsidRDefault="008A1BA1" w:rsidP="008A1BA1">
      <w:pPr>
        <w:pStyle w:val="Heading1"/>
        <w:rPr>
          <w:lang w:val="en-AU" w:eastAsia="en-AU"/>
        </w:rPr>
      </w:pPr>
      <w:bookmarkStart w:id="1" w:name="_Toc274406744"/>
      <w:r w:rsidRPr="008A1BA1">
        <w:rPr>
          <w:lang w:val="en-AU" w:eastAsia="en-AU"/>
        </w:rPr>
        <w:t>Summary of findings</w:t>
      </w:r>
      <w:bookmarkEnd w:id="1"/>
    </w:p>
    <w:p w14:paraId="39907DCD" w14:textId="77777777" w:rsidR="008A1BA1" w:rsidRPr="008A1BA1" w:rsidRDefault="008A1BA1" w:rsidP="008A1BA1">
      <w:pPr>
        <w:pStyle w:val="ListParagraph"/>
        <w:rPr>
          <w:lang w:val="en-US" w:eastAsia="en-AU"/>
        </w:rPr>
      </w:pPr>
      <w:r w:rsidRPr="008A1BA1">
        <w:rPr>
          <w:lang w:val="en-US" w:eastAsia="en-AU"/>
        </w:rPr>
        <w:t>I find that the failure of the Department to provide Mr Mordechai with his required medications, over the course of approximately three days, was inconsistent with his right as a detained person to be treated with humanity and respect for his dignity, in breach of article 10(1) of the ICCPR.</w:t>
      </w:r>
    </w:p>
    <w:p w14:paraId="7736E761" w14:textId="77777777" w:rsidR="008A1BA1" w:rsidRPr="008A1BA1" w:rsidRDefault="008A1BA1" w:rsidP="008A1BA1">
      <w:pPr>
        <w:pStyle w:val="Heading1"/>
        <w:rPr>
          <w:rFonts w:ascii="ArialMT" w:hAnsi="ArialMT" w:cs="ArialMT"/>
          <w:color w:val="000000"/>
          <w:spacing w:val="-5"/>
          <w:lang w:val="en-US" w:eastAsia="en-AU"/>
        </w:rPr>
      </w:pPr>
      <w:bookmarkStart w:id="2" w:name="_Toc274406745"/>
      <w:r w:rsidRPr="008A1BA1">
        <w:rPr>
          <w:lang w:val="en-AU" w:eastAsia="en-AU"/>
        </w:rPr>
        <w:t>Recommendations</w:t>
      </w:r>
      <w:bookmarkEnd w:id="2"/>
    </w:p>
    <w:p w14:paraId="10576023" w14:textId="77777777" w:rsidR="008A1BA1" w:rsidRPr="008A1BA1" w:rsidRDefault="008A1BA1" w:rsidP="008A1BA1">
      <w:pPr>
        <w:pStyle w:val="ListParagraph"/>
        <w:rPr>
          <w:lang w:val="en-US" w:eastAsia="en-AU"/>
        </w:rPr>
      </w:pPr>
      <w:proofErr w:type="gramStart"/>
      <w:r w:rsidRPr="008A1BA1">
        <w:rPr>
          <w:lang w:val="en-US" w:eastAsia="en-AU"/>
        </w:rPr>
        <w:t>In light of</w:t>
      </w:r>
      <w:proofErr w:type="gramEnd"/>
      <w:r w:rsidRPr="008A1BA1">
        <w:rPr>
          <w:lang w:val="en-US" w:eastAsia="en-AU"/>
        </w:rPr>
        <w:t xml:space="preserve"> my findings regarding the acts of the Commonwealth, I recommend that the Commonwealth pay compensation to Mr Mordechai in the amount of $4,000.</w:t>
      </w:r>
    </w:p>
    <w:p w14:paraId="030FE7C6" w14:textId="77777777" w:rsidR="008A1BA1" w:rsidRPr="008A1BA1" w:rsidRDefault="008A1BA1" w:rsidP="00C17F32">
      <w:pPr>
        <w:pStyle w:val="Heading1"/>
        <w:rPr>
          <w:lang w:val="en-AU" w:eastAsia="en-AU"/>
        </w:rPr>
      </w:pPr>
      <w:bookmarkStart w:id="3" w:name="_Toc274406746"/>
      <w:r w:rsidRPr="008A1BA1">
        <w:rPr>
          <w:lang w:val="en-AU" w:eastAsia="en-AU"/>
        </w:rPr>
        <w:t>The complaint by Mr Mordechai</w:t>
      </w:r>
      <w:bookmarkEnd w:id="3"/>
    </w:p>
    <w:p w14:paraId="143B4E3B" w14:textId="77777777" w:rsidR="008A1BA1" w:rsidRPr="008A1BA1" w:rsidRDefault="008A1BA1" w:rsidP="00C17F32">
      <w:pPr>
        <w:pStyle w:val="ListParagraph"/>
        <w:rPr>
          <w:lang w:val="en-US" w:eastAsia="en-AU"/>
        </w:rPr>
      </w:pPr>
      <w:r w:rsidRPr="008A1BA1">
        <w:rPr>
          <w:lang w:val="en-US" w:eastAsia="en-AU"/>
        </w:rPr>
        <w:t xml:space="preserve">Mr Mordechai lived in Australia from about 1999 on a range of visas. In early 2011, Mr Mordechai’s visa </w:t>
      </w:r>
      <w:proofErr w:type="gramStart"/>
      <w:r w:rsidRPr="008A1BA1">
        <w:rPr>
          <w:lang w:val="en-US" w:eastAsia="en-AU"/>
        </w:rPr>
        <w:t>expired</w:t>
      </w:r>
      <w:proofErr w:type="gramEnd"/>
      <w:r w:rsidRPr="008A1BA1">
        <w:rPr>
          <w:lang w:val="en-US" w:eastAsia="en-AU"/>
        </w:rPr>
        <w:t xml:space="preserve"> and he was refused a further visa. Mr Mordechai has </w:t>
      </w:r>
      <w:proofErr w:type="gramStart"/>
      <w:r w:rsidRPr="008A1BA1">
        <w:rPr>
          <w:lang w:val="en-US" w:eastAsia="en-AU"/>
        </w:rPr>
        <w:t>a number of</w:t>
      </w:r>
      <w:proofErr w:type="gramEnd"/>
      <w:r w:rsidRPr="008A1BA1">
        <w:rPr>
          <w:lang w:val="en-US" w:eastAsia="en-AU"/>
        </w:rPr>
        <w:t xml:space="preserve"> medical conditions including epilepsy, diabetes, a mood disorder, high cholesterol and angina.</w:t>
      </w:r>
    </w:p>
    <w:p w14:paraId="4234E2DC" w14:textId="77777777" w:rsidR="008A1BA1" w:rsidRPr="008A1BA1" w:rsidRDefault="008A1BA1" w:rsidP="00C17F32">
      <w:pPr>
        <w:pStyle w:val="ListParagraph"/>
        <w:rPr>
          <w:lang w:val="en-US" w:eastAsia="en-AU"/>
        </w:rPr>
      </w:pPr>
      <w:r w:rsidRPr="008A1BA1">
        <w:rPr>
          <w:lang w:val="en-US" w:eastAsia="en-AU"/>
        </w:rPr>
        <w:t>On 16 February 2011, Mr Mordechai was apprehended by Queensland police at his place of business, in Bundaberg, Queensland, for the purpose of being taken into immigration detention.</w:t>
      </w:r>
    </w:p>
    <w:p w14:paraId="01EFEFF6" w14:textId="77777777" w:rsidR="008A1BA1" w:rsidRPr="008A1BA1" w:rsidRDefault="008A1BA1" w:rsidP="00C17F32">
      <w:pPr>
        <w:pStyle w:val="ListParagraph"/>
        <w:rPr>
          <w:lang w:val="en-US" w:eastAsia="en-AU"/>
        </w:rPr>
      </w:pPr>
      <w:r w:rsidRPr="008A1BA1">
        <w:rPr>
          <w:lang w:val="en-US" w:eastAsia="en-AU"/>
        </w:rPr>
        <w:t xml:space="preserve">After being taken into custody, Mr Mordechai advised an officer of the Department of Immigration and Border Protection (Department) (as it is now called) that he has </w:t>
      </w:r>
      <w:proofErr w:type="gramStart"/>
      <w:r w:rsidRPr="008A1BA1">
        <w:rPr>
          <w:lang w:val="en-US" w:eastAsia="en-AU"/>
        </w:rPr>
        <w:t>a number of</w:t>
      </w:r>
      <w:proofErr w:type="gramEnd"/>
      <w:r w:rsidRPr="008A1BA1">
        <w:rPr>
          <w:lang w:val="en-US" w:eastAsia="en-AU"/>
        </w:rPr>
        <w:t xml:space="preserve"> medical conditions for which he requires regular medication.</w:t>
      </w:r>
    </w:p>
    <w:p w14:paraId="6CD56244" w14:textId="77777777" w:rsidR="008A1BA1" w:rsidRPr="008A1BA1" w:rsidRDefault="008A1BA1" w:rsidP="00C17F32">
      <w:pPr>
        <w:pStyle w:val="ListParagraph"/>
        <w:rPr>
          <w:lang w:val="en-US" w:eastAsia="en-AU"/>
        </w:rPr>
      </w:pPr>
      <w:r w:rsidRPr="008A1BA1">
        <w:rPr>
          <w:lang w:val="en-US" w:eastAsia="en-AU"/>
        </w:rPr>
        <w:lastRenderedPageBreak/>
        <w:t xml:space="preserve">Late on 16 February 2011, Mr Mordechai was taken from Bundaberg to Brisbane Immigration Transit Accommodation. On the afternoon of 17 February 2011, Mr Mordechai was transported by plane from Brisbane to Sydney and was thereafter detained in </w:t>
      </w:r>
      <w:proofErr w:type="spellStart"/>
      <w:r w:rsidRPr="008A1BA1">
        <w:rPr>
          <w:lang w:val="en-US" w:eastAsia="en-AU"/>
        </w:rPr>
        <w:t>Villawood</w:t>
      </w:r>
      <w:proofErr w:type="spellEnd"/>
      <w:r w:rsidRPr="008A1BA1">
        <w:rPr>
          <w:lang w:val="en-US" w:eastAsia="en-AU"/>
        </w:rPr>
        <w:t xml:space="preserve"> Immigration Detention Centre (VIDC).</w:t>
      </w:r>
    </w:p>
    <w:p w14:paraId="5127C9DC" w14:textId="77777777" w:rsidR="008A1BA1" w:rsidRPr="008A1BA1" w:rsidRDefault="008A1BA1" w:rsidP="00C17F32">
      <w:pPr>
        <w:pStyle w:val="ListParagraph"/>
        <w:rPr>
          <w:lang w:val="en-US" w:eastAsia="en-AU"/>
        </w:rPr>
      </w:pPr>
      <w:r w:rsidRPr="008A1BA1">
        <w:rPr>
          <w:lang w:val="en-US" w:eastAsia="en-AU"/>
        </w:rPr>
        <w:t xml:space="preserve">Mr Mordechai claims that he did not receive medication that he requires to treat his medical conditions until 23 February 2011. Mr Mordechai claims that </w:t>
      </w:r>
      <w:proofErr w:type="gramStart"/>
      <w:r w:rsidRPr="008A1BA1">
        <w:rPr>
          <w:lang w:val="en-US" w:eastAsia="en-AU"/>
        </w:rPr>
        <w:t>as a result of</w:t>
      </w:r>
      <w:proofErr w:type="gramEnd"/>
      <w:r w:rsidRPr="008A1BA1">
        <w:rPr>
          <w:lang w:val="en-US" w:eastAsia="en-AU"/>
        </w:rPr>
        <w:t xml:space="preserve"> not having his medication, on or about 20 February 2011, he had a grand mal seizure during which he lost control of his bladder and bowel.</w:t>
      </w:r>
    </w:p>
    <w:p w14:paraId="7E77D0C3" w14:textId="77777777" w:rsidR="008A1BA1" w:rsidRPr="008A1BA1" w:rsidRDefault="008A1BA1" w:rsidP="00C17F32">
      <w:pPr>
        <w:pStyle w:val="ListParagraph"/>
        <w:rPr>
          <w:lang w:val="en-US" w:eastAsia="en-AU"/>
        </w:rPr>
      </w:pPr>
      <w:r w:rsidRPr="008A1BA1">
        <w:rPr>
          <w:lang w:val="en-US" w:eastAsia="en-AU"/>
        </w:rPr>
        <w:t>Mr Mordechai claims that the delay of the Commonwealth in supplying him with the medication that he requires for his medical conditions constituted a failure to treat him with humanity and with respect for the inherent dignity of the human person within the meaning of article 10(1) of the ICCPR.</w:t>
      </w:r>
    </w:p>
    <w:p w14:paraId="5590D2DB" w14:textId="77777777" w:rsidR="008A1BA1" w:rsidRPr="008A1BA1" w:rsidRDefault="008A1BA1" w:rsidP="00C17F32">
      <w:pPr>
        <w:pStyle w:val="Heading1"/>
        <w:rPr>
          <w:lang w:val="en-AU" w:eastAsia="en-AU"/>
        </w:rPr>
      </w:pPr>
      <w:bookmarkStart w:id="4" w:name="_Toc274406747"/>
      <w:r w:rsidRPr="008A1BA1">
        <w:rPr>
          <w:lang w:val="en-AU" w:eastAsia="en-AU"/>
        </w:rPr>
        <w:t xml:space="preserve">The Commission’s human rights inquiry and </w:t>
      </w:r>
      <w:proofErr w:type="gramStart"/>
      <w:r w:rsidRPr="008A1BA1">
        <w:rPr>
          <w:lang w:val="en-AU" w:eastAsia="en-AU"/>
        </w:rPr>
        <w:t>complaints</w:t>
      </w:r>
      <w:proofErr w:type="gramEnd"/>
      <w:r w:rsidRPr="008A1BA1">
        <w:rPr>
          <w:lang w:val="en-AU" w:eastAsia="en-AU"/>
        </w:rPr>
        <w:t xml:space="preserve"> function</w:t>
      </w:r>
      <w:bookmarkEnd w:id="4"/>
    </w:p>
    <w:p w14:paraId="2FF60BE1" w14:textId="77777777" w:rsidR="008A1BA1" w:rsidRPr="008A1BA1" w:rsidRDefault="008A1BA1" w:rsidP="00C17F32">
      <w:pPr>
        <w:pStyle w:val="ListParagraph"/>
        <w:rPr>
          <w:lang w:val="en-US" w:eastAsia="en-AU"/>
        </w:rPr>
      </w:pPr>
      <w:r w:rsidRPr="008A1BA1">
        <w:rPr>
          <w:lang w:val="en-US" w:eastAsia="en-AU"/>
        </w:rPr>
        <w:t xml:space="preserve">Section 11(1)(f) of the </w:t>
      </w:r>
      <w:r w:rsidRPr="008A1BA1">
        <w:rPr>
          <w:i/>
          <w:iCs/>
          <w:lang w:val="en-US" w:eastAsia="en-AU"/>
        </w:rPr>
        <w:t>Australian Human Rights Commission Act 1986</w:t>
      </w:r>
      <w:r w:rsidRPr="008A1BA1">
        <w:rPr>
          <w:lang w:val="en-US" w:eastAsia="en-AU"/>
        </w:rPr>
        <w:t xml:space="preserve"> (Cth) (AHRC Act) provides that the Commission has a function to inquire into any act or practice that may be inconsistent with or contrary to any human right.</w:t>
      </w:r>
      <w:r w:rsidRPr="008A1BA1">
        <w:rPr>
          <w:vertAlign w:val="superscript"/>
          <w:lang w:val="en-US" w:eastAsia="en-AU"/>
        </w:rPr>
        <w:t>1</w:t>
      </w:r>
    </w:p>
    <w:p w14:paraId="0D3274EF" w14:textId="77777777" w:rsidR="008A1BA1" w:rsidRPr="008A1BA1" w:rsidRDefault="008A1BA1" w:rsidP="00C17F32">
      <w:pPr>
        <w:pStyle w:val="ListParagraph"/>
        <w:rPr>
          <w:lang w:val="en-US" w:eastAsia="en-AU"/>
        </w:rPr>
      </w:pPr>
      <w:r w:rsidRPr="008A1BA1">
        <w:rPr>
          <w:lang w:val="en-US" w:eastAsia="en-AU"/>
        </w:rPr>
        <w:t>Section 3(1) of the AHRC Act defines ‘act’ to include an act done by or on behalf of the Commonwealth. Section 3(3) provides that the reference to, or the doing of, an act includes the reference to the refusal or failure to do an act.</w:t>
      </w:r>
    </w:p>
    <w:p w14:paraId="63BC9F28" w14:textId="77777777" w:rsidR="008A1BA1" w:rsidRPr="009F42AD" w:rsidRDefault="008A1BA1" w:rsidP="00C17F32">
      <w:pPr>
        <w:pStyle w:val="ListParagraph"/>
        <w:rPr>
          <w:lang w:val="en-US" w:eastAsia="en-AU"/>
        </w:rPr>
      </w:pPr>
      <w:r w:rsidRPr="008A1BA1">
        <w:rPr>
          <w:lang w:val="en-US" w:eastAsia="en-AU"/>
        </w:rPr>
        <w:t>The functions of the Commission identified in section 11(1)(f) of the AHRC Act are only engaged where an act complained of is not one required by law to be taken.</w:t>
      </w:r>
      <w:r w:rsidRPr="008A1BA1">
        <w:rPr>
          <w:vertAlign w:val="superscript"/>
          <w:lang w:val="en-US" w:eastAsia="en-AU"/>
        </w:rPr>
        <w:t>2</w:t>
      </w:r>
    </w:p>
    <w:p w14:paraId="712A7D98" w14:textId="062134B2" w:rsidR="009F42AD" w:rsidRDefault="009F42AD">
      <w:pPr>
        <w:spacing w:after="0" w:line="240" w:lineRule="auto"/>
      </w:pPr>
      <w:r>
        <w:br w:type="page"/>
      </w:r>
    </w:p>
    <w:p w14:paraId="5632B36C" w14:textId="77777777" w:rsidR="008A1BA1" w:rsidRPr="008A1BA1" w:rsidRDefault="008A1BA1" w:rsidP="00C17F32">
      <w:pPr>
        <w:pStyle w:val="Heading1"/>
        <w:rPr>
          <w:lang w:val="en-AU" w:eastAsia="en-AU"/>
        </w:rPr>
      </w:pPr>
      <w:bookmarkStart w:id="5" w:name="_Toc274406748"/>
      <w:r w:rsidRPr="008A1BA1">
        <w:rPr>
          <w:lang w:val="en-AU" w:eastAsia="en-AU"/>
        </w:rPr>
        <w:lastRenderedPageBreak/>
        <w:t>Act or practice of the Commonwealth?</w:t>
      </w:r>
      <w:bookmarkEnd w:id="5"/>
    </w:p>
    <w:p w14:paraId="721A13AB" w14:textId="77777777" w:rsidR="008A1BA1" w:rsidRPr="008A1BA1" w:rsidRDefault="008A1BA1" w:rsidP="00C17F32">
      <w:pPr>
        <w:pStyle w:val="ListParagraph"/>
        <w:rPr>
          <w:lang w:val="en-US" w:eastAsia="en-AU"/>
        </w:rPr>
      </w:pPr>
      <w:r w:rsidRPr="008A1BA1">
        <w:rPr>
          <w:lang w:val="en-US" w:eastAsia="en-AU"/>
        </w:rPr>
        <w:t>Mr Mordechai complains about the delay in providing him with his medication.</w:t>
      </w:r>
    </w:p>
    <w:p w14:paraId="6D71745D" w14:textId="77777777" w:rsidR="008A1BA1" w:rsidRPr="008A1BA1" w:rsidRDefault="008A1BA1" w:rsidP="00C17F32">
      <w:pPr>
        <w:pStyle w:val="ListParagraph"/>
        <w:rPr>
          <w:lang w:val="en-US" w:eastAsia="en-AU"/>
        </w:rPr>
      </w:pPr>
      <w:r w:rsidRPr="008A1BA1">
        <w:rPr>
          <w:lang w:val="en-US" w:eastAsia="en-AU"/>
        </w:rPr>
        <w:t>I find that the acts of the officers who managed Mr Mordechai’s health once he entered the custody of the Commonwealth constitute acts of the Commonwealth within the meaning of the AHRC Act.</w:t>
      </w:r>
    </w:p>
    <w:p w14:paraId="348A0DB2" w14:textId="77777777" w:rsidR="008A1BA1" w:rsidRPr="008A1BA1" w:rsidRDefault="008A1BA1" w:rsidP="00C17F32">
      <w:pPr>
        <w:pStyle w:val="Heading1"/>
        <w:rPr>
          <w:lang w:val="en-AU" w:eastAsia="en-AU"/>
        </w:rPr>
      </w:pPr>
      <w:bookmarkStart w:id="6" w:name="_Toc274406749"/>
      <w:r w:rsidRPr="008A1BA1">
        <w:rPr>
          <w:lang w:val="en-AU" w:eastAsia="en-AU"/>
        </w:rPr>
        <w:t>Inconsistent with or contrary to human rights?</w:t>
      </w:r>
      <w:bookmarkEnd w:id="6"/>
    </w:p>
    <w:p w14:paraId="2F3C2D86" w14:textId="77777777" w:rsidR="008A1BA1" w:rsidRPr="008A1BA1" w:rsidRDefault="008A1BA1" w:rsidP="00C17F32">
      <w:pPr>
        <w:pStyle w:val="ListParagraph"/>
        <w:rPr>
          <w:lang w:val="en-US" w:eastAsia="en-AU"/>
        </w:rPr>
      </w:pPr>
      <w:r w:rsidRPr="008A1BA1">
        <w:rPr>
          <w:lang w:val="en-US" w:eastAsia="en-AU"/>
        </w:rPr>
        <w:t xml:space="preserve">It is agreed that Mr Mordechai required </w:t>
      </w:r>
      <w:proofErr w:type="gramStart"/>
      <w:r w:rsidRPr="008A1BA1">
        <w:rPr>
          <w:lang w:val="en-US" w:eastAsia="en-AU"/>
        </w:rPr>
        <w:t>a number of</w:t>
      </w:r>
      <w:proofErr w:type="gramEnd"/>
      <w:r w:rsidRPr="008A1BA1">
        <w:rPr>
          <w:lang w:val="en-US" w:eastAsia="en-AU"/>
        </w:rPr>
        <w:t xml:space="preserve"> medications for his medical </w:t>
      </w:r>
      <w:proofErr w:type="gramStart"/>
      <w:r w:rsidRPr="008A1BA1">
        <w:rPr>
          <w:lang w:val="en-US" w:eastAsia="en-AU"/>
        </w:rPr>
        <w:t>conditions</w:t>
      </w:r>
      <w:proofErr w:type="gramEnd"/>
      <w:r w:rsidRPr="008A1BA1">
        <w:rPr>
          <w:lang w:val="en-US" w:eastAsia="en-AU"/>
        </w:rPr>
        <w:t>, that he advised the Department of his need for medication on 16 February 2011 and that he did not have his medication on 17, 18 and 19 February 2011.</w:t>
      </w:r>
    </w:p>
    <w:p w14:paraId="32AB2893" w14:textId="77777777" w:rsidR="008A1BA1" w:rsidRPr="008A1BA1" w:rsidRDefault="008A1BA1" w:rsidP="00C17F32">
      <w:pPr>
        <w:pStyle w:val="ListParagraph"/>
        <w:rPr>
          <w:lang w:val="en-US" w:eastAsia="en-AU"/>
        </w:rPr>
      </w:pPr>
      <w:r w:rsidRPr="008A1BA1">
        <w:rPr>
          <w:lang w:val="en-US" w:eastAsia="en-AU"/>
        </w:rPr>
        <w:t>The Commonwealth claims that Mr Mordechai advised the Departmental officer with whom he spoke on 16 February 2011 that he would not need medication until 6.00pm on the evening of 17 February 2011. In contrast, Mr Mordechai claims that in response to a question from the Departmental officer as to whether he had any medication with him, he told the officer that he was almost out of medication and had an appointment with his doctor on 17 February 2011 to obtain a prescription for more medication.</w:t>
      </w:r>
    </w:p>
    <w:p w14:paraId="6B406066" w14:textId="17A96945" w:rsidR="008A1BA1" w:rsidRPr="008A1BA1" w:rsidRDefault="008A1BA1" w:rsidP="00C17F32">
      <w:pPr>
        <w:pStyle w:val="ListParagraph"/>
        <w:rPr>
          <w:lang w:val="en-US" w:eastAsia="en-AU"/>
        </w:rPr>
      </w:pPr>
      <w:r w:rsidRPr="008A1BA1">
        <w:rPr>
          <w:lang w:val="en-US" w:eastAsia="en-AU"/>
        </w:rPr>
        <w:t xml:space="preserve">Mr Mordechai claims that he was not provided with his medication until 23 February 2011. Conversely, the Commonwealth claims that Mr Mordechai was provided with a </w:t>
      </w:r>
      <w:proofErr w:type="gramStart"/>
      <w:r w:rsidRPr="008A1BA1">
        <w:rPr>
          <w:lang w:val="en-US" w:eastAsia="en-AU"/>
        </w:rPr>
        <w:t>three day</w:t>
      </w:r>
      <w:proofErr w:type="gramEnd"/>
      <w:r w:rsidRPr="008A1BA1">
        <w:rPr>
          <w:lang w:val="en-US" w:eastAsia="en-AU"/>
        </w:rPr>
        <w:t xml:space="preserve"> supply of all of his medications, aside from his angina tablets, on 20 February 2011 and was provided with a two week supply of his medication on 23 February 2011.</w:t>
      </w:r>
    </w:p>
    <w:p w14:paraId="1FBF1075" w14:textId="77777777" w:rsidR="008A1BA1" w:rsidRPr="008A1BA1" w:rsidRDefault="008A1BA1" w:rsidP="00C17F32">
      <w:pPr>
        <w:pStyle w:val="ListParagraph"/>
        <w:rPr>
          <w:lang w:val="en-US" w:eastAsia="en-AU"/>
        </w:rPr>
      </w:pPr>
      <w:r w:rsidRPr="008A1BA1">
        <w:rPr>
          <w:lang w:val="en-US" w:eastAsia="en-AU"/>
        </w:rPr>
        <w:t xml:space="preserve">In support of this claim, the Commonwealth provides a copy of a medical chart for Mr Mordechai which indicates that he received a </w:t>
      </w:r>
      <w:proofErr w:type="gramStart"/>
      <w:r w:rsidRPr="008A1BA1">
        <w:rPr>
          <w:lang w:val="en-US" w:eastAsia="en-AU"/>
        </w:rPr>
        <w:t>three day</w:t>
      </w:r>
      <w:proofErr w:type="gramEnd"/>
      <w:r w:rsidRPr="008A1BA1">
        <w:rPr>
          <w:lang w:val="en-US" w:eastAsia="en-AU"/>
        </w:rPr>
        <w:t xml:space="preserve"> supply of Dilantin, Metformin and Zyprexa on 20 February 2011. I am satisfied that Mr Mordechai received most of his medications on 20 February 2011.</w:t>
      </w:r>
    </w:p>
    <w:p w14:paraId="7FE72574" w14:textId="77777777" w:rsidR="008A1BA1" w:rsidRDefault="008A1BA1" w:rsidP="00C17F32">
      <w:pPr>
        <w:pStyle w:val="ListParagraph"/>
        <w:rPr>
          <w:lang w:val="en-US" w:eastAsia="en-AU"/>
        </w:rPr>
      </w:pPr>
      <w:r w:rsidRPr="008A1BA1">
        <w:rPr>
          <w:lang w:val="en-US" w:eastAsia="en-AU"/>
        </w:rPr>
        <w:t xml:space="preserve">Article 10(1) of the ICCPR imposes a positive duty on State parties to prevent inhumane treatment of detained persons. This includes ensuring that </w:t>
      </w:r>
      <w:proofErr w:type="gramStart"/>
      <w:r w:rsidRPr="008A1BA1">
        <w:rPr>
          <w:lang w:val="en-US" w:eastAsia="en-AU"/>
        </w:rPr>
        <w:t>persons</w:t>
      </w:r>
      <w:proofErr w:type="gramEnd"/>
      <w:r w:rsidRPr="008A1BA1">
        <w:rPr>
          <w:lang w:val="en-US" w:eastAsia="en-AU"/>
        </w:rPr>
        <w:t xml:space="preserve"> are provided with appropriate medical care.</w:t>
      </w:r>
    </w:p>
    <w:p w14:paraId="24A812BB" w14:textId="5EE35C36" w:rsidR="00563A42" w:rsidRDefault="00563A42">
      <w:pPr>
        <w:spacing w:after="0" w:line="240" w:lineRule="auto"/>
        <w:rPr>
          <w:lang w:val="en-US" w:eastAsia="en-AU"/>
        </w:rPr>
      </w:pPr>
      <w:r>
        <w:rPr>
          <w:lang w:val="en-US" w:eastAsia="en-AU"/>
        </w:rPr>
        <w:br w:type="page"/>
      </w:r>
    </w:p>
    <w:p w14:paraId="6194C1E2" w14:textId="77777777" w:rsidR="008A1BA1" w:rsidRPr="008A1BA1" w:rsidRDefault="008A1BA1" w:rsidP="00C17F32">
      <w:pPr>
        <w:pStyle w:val="ListParagraph"/>
        <w:rPr>
          <w:lang w:val="en-US" w:eastAsia="en-AU"/>
        </w:rPr>
      </w:pPr>
      <w:r w:rsidRPr="008A1BA1">
        <w:rPr>
          <w:lang w:val="en-US" w:eastAsia="en-AU"/>
        </w:rPr>
        <w:lastRenderedPageBreak/>
        <w:t>The Standard Minimum Rules for the Treatment of Prisoners (SMRs)</w:t>
      </w:r>
      <w:r w:rsidRPr="008A1BA1">
        <w:rPr>
          <w:vertAlign w:val="superscript"/>
          <w:lang w:val="en-US" w:eastAsia="en-AU"/>
        </w:rPr>
        <w:t>3</w:t>
      </w:r>
      <w:r w:rsidRPr="008A1BA1">
        <w:rPr>
          <w:lang w:val="en-US" w:eastAsia="en-AU"/>
        </w:rPr>
        <w:t xml:space="preserve"> state:</w:t>
      </w:r>
    </w:p>
    <w:p w14:paraId="22DEE6ED" w14:textId="77777777" w:rsidR="008A1BA1" w:rsidRPr="008A1BA1" w:rsidRDefault="008A1BA1" w:rsidP="00C17F32">
      <w:pPr>
        <w:pStyle w:val="Quote"/>
        <w:rPr>
          <w:lang w:val="en-GB" w:eastAsia="en-AU"/>
        </w:rPr>
      </w:pPr>
      <w:r w:rsidRPr="008A1BA1">
        <w:rPr>
          <w:lang w:val="en-GB" w:eastAsia="en-AU"/>
        </w:rPr>
        <w:t>24 The medical officer shall see and examine every prisoner as soon as possible after his admission and thereafter as necessary, with a view particularly to the discovery of physical or mental illness and taking all necessary measures…</w:t>
      </w:r>
    </w:p>
    <w:p w14:paraId="5C4DD42F" w14:textId="77777777" w:rsidR="008A1BA1" w:rsidRPr="008A1BA1" w:rsidRDefault="008A1BA1" w:rsidP="00C17F32">
      <w:pPr>
        <w:pStyle w:val="Quote"/>
        <w:rPr>
          <w:lang w:val="en-GB" w:eastAsia="en-AU"/>
        </w:rPr>
      </w:pPr>
      <w:r w:rsidRPr="008A1BA1">
        <w:rPr>
          <w:lang w:val="en-GB" w:eastAsia="en-AU"/>
        </w:rPr>
        <w:t>25 (1) The medical officer shall have the care of the physical and mental health of prisoners and should daily see all sick prisoners, all who complain of illness, and any prisoner to whom his attention is specially directed.</w:t>
      </w:r>
    </w:p>
    <w:p w14:paraId="30D1F0DB" w14:textId="77777777" w:rsidR="008A1BA1" w:rsidRPr="008A1BA1" w:rsidRDefault="008A1BA1" w:rsidP="00C17F32">
      <w:pPr>
        <w:pStyle w:val="ListParagraph"/>
        <w:rPr>
          <w:lang w:val="en-US" w:eastAsia="en-AU"/>
        </w:rPr>
      </w:pPr>
      <w:r w:rsidRPr="008A1BA1">
        <w:rPr>
          <w:lang w:val="en-US" w:eastAsia="en-AU"/>
        </w:rPr>
        <w:t>The Body of Principles for the Protection of All Persons under any form of Detention or Imprisonment</w:t>
      </w:r>
      <w:r w:rsidRPr="008A1BA1">
        <w:rPr>
          <w:vertAlign w:val="superscript"/>
          <w:lang w:val="en-US" w:eastAsia="en-AU"/>
        </w:rPr>
        <w:t>4</w:t>
      </w:r>
      <w:r w:rsidRPr="008A1BA1">
        <w:rPr>
          <w:lang w:val="en-US" w:eastAsia="en-AU"/>
        </w:rPr>
        <w:t xml:space="preserve"> state:</w:t>
      </w:r>
    </w:p>
    <w:p w14:paraId="0111DCFA" w14:textId="77777777" w:rsidR="008A1BA1" w:rsidRPr="008A1BA1" w:rsidRDefault="008A1BA1" w:rsidP="00C17F32">
      <w:pPr>
        <w:pStyle w:val="Quote"/>
        <w:spacing w:after="100"/>
        <w:rPr>
          <w:lang w:val="en-GB" w:eastAsia="en-AU"/>
        </w:rPr>
      </w:pPr>
      <w:r w:rsidRPr="008A1BA1">
        <w:rPr>
          <w:lang w:val="en-GB" w:eastAsia="en-AU"/>
        </w:rPr>
        <w:t>Principle 24</w:t>
      </w:r>
    </w:p>
    <w:p w14:paraId="25570703" w14:textId="77777777" w:rsidR="008A1BA1" w:rsidRPr="00C17F32" w:rsidRDefault="008A1BA1" w:rsidP="00563A42">
      <w:pPr>
        <w:pStyle w:val="Quote"/>
        <w:rPr>
          <w:lang w:val="en-GB" w:eastAsia="en-AU"/>
        </w:rPr>
      </w:pPr>
      <w:r w:rsidRPr="008A1BA1">
        <w:rPr>
          <w:lang w:val="en-GB" w:eastAsia="en-AU"/>
        </w:rPr>
        <w:t xml:space="preserve">A proper medical examination shall be offered to a detained or imprisoned person as promptly as possible after his admission to the place of detention or imprisonment, and thereafter medical care and treatment shall be provided wherever necessary. This care and </w:t>
      </w:r>
      <w:r w:rsidRPr="00C17F32">
        <w:rPr>
          <w:lang w:val="en-GB" w:eastAsia="en-AU"/>
        </w:rPr>
        <w:t>treatment shall be provided free of charge.</w:t>
      </w:r>
    </w:p>
    <w:p w14:paraId="16B4CDAB" w14:textId="77777777" w:rsidR="008A1BA1" w:rsidRPr="00C17F32" w:rsidRDefault="008A1BA1" w:rsidP="00C17F32">
      <w:pPr>
        <w:pStyle w:val="ListParagraph"/>
        <w:rPr>
          <w:rFonts w:cs="Arial"/>
          <w:color w:val="000000"/>
          <w:lang w:val="en-US" w:eastAsia="en-AU"/>
        </w:rPr>
      </w:pPr>
      <w:r w:rsidRPr="00C17F32">
        <w:rPr>
          <w:rFonts w:cs="Arial"/>
          <w:color w:val="000000"/>
          <w:lang w:val="en-US" w:eastAsia="en-AU"/>
        </w:rPr>
        <w:t>The UNHRC has invited States Parties to indicate in their reports the extent to which they are applying the SMRs and the Body of Principles.</w:t>
      </w:r>
      <w:r w:rsidRPr="00C17F32">
        <w:rPr>
          <w:rFonts w:cs="Arial"/>
          <w:color w:val="000000"/>
          <w:vertAlign w:val="superscript"/>
          <w:lang w:val="en-US" w:eastAsia="en-AU"/>
        </w:rPr>
        <w:t>5</w:t>
      </w:r>
      <w:r w:rsidRPr="00C17F32">
        <w:rPr>
          <w:rFonts w:cs="Arial"/>
          <w:color w:val="000000"/>
          <w:lang w:val="en-US" w:eastAsia="en-AU"/>
        </w:rPr>
        <w:t xml:space="preserve"> At least some of these principles have been determined to be minimum standards regarding the conditions of detention that must be observed regardless of a State Party’s level of development.</w:t>
      </w:r>
      <w:r w:rsidRPr="00C17F32">
        <w:rPr>
          <w:rFonts w:cs="Arial"/>
          <w:color w:val="000000"/>
          <w:vertAlign w:val="superscript"/>
          <w:lang w:val="en-US" w:eastAsia="en-AU"/>
        </w:rPr>
        <w:t>6</w:t>
      </w:r>
    </w:p>
    <w:p w14:paraId="3142D45A" w14:textId="77777777" w:rsidR="008A1BA1" w:rsidRPr="00C17F32" w:rsidRDefault="008A1BA1" w:rsidP="00C17F32">
      <w:pPr>
        <w:pStyle w:val="ListParagraph"/>
        <w:rPr>
          <w:rFonts w:cs="Arial"/>
          <w:color w:val="000000"/>
          <w:lang w:val="en-US" w:eastAsia="en-AU"/>
        </w:rPr>
      </w:pPr>
      <w:r w:rsidRPr="00C17F32">
        <w:rPr>
          <w:rFonts w:cs="Arial"/>
          <w:color w:val="000000"/>
          <w:lang w:val="en-US" w:eastAsia="en-AU"/>
        </w:rPr>
        <w:t>The Commonwealth advises that Mr Mordechai was required to take:</w:t>
      </w:r>
    </w:p>
    <w:p w14:paraId="6BD95DDE" w14:textId="77777777" w:rsidR="008A1BA1" w:rsidRPr="008A1BA1" w:rsidRDefault="008A1BA1" w:rsidP="00C17F32">
      <w:pPr>
        <w:pStyle w:val="BulletsList"/>
        <w:spacing w:after="0"/>
      </w:pPr>
      <w:r w:rsidRPr="008A1BA1">
        <w:t xml:space="preserve">Dilantin – a seizure prophylactic – three times a </w:t>
      </w:r>
      <w:proofErr w:type="gramStart"/>
      <w:r w:rsidRPr="008A1BA1">
        <w:t>day;</w:t>
      </w:r>
      <w:proofErr w:type="gramEnd"/>
    </w:p>
    <w:p w14:paraId="0CF2F5B1" w14:textId="77777777" w:rsidR="008A1BA1" w:rsidRPr="008A1BA1" w:rsidRDefault="008A1BA1" w:rsidP="00C17F32">
      <w:pPr>
        <w:pStyle w:val="BulletsList"/>
        <w:spacing w:after="0"/>
      </w:pPr>
      <w:r w:rsidRPr="008A1BA1">
        <w:t xml:space="preserve">Metformin – for diabetes – twice a </w:t>
      </w:r>
      <w:proofErr w:type="gramStart"/>
      <w:r w:rsidRPr="008A1BA1">
        <w:t>day;</w:t>
      </w:r>
      <w:proofErr w:type="gramEnd"/>
    </w:p>
    <w:p w14:paraId="5FC82FAF" w14:textId="77777777" w:rsidR="008A1BA1" w:rsidRPr="008A1BA1" w:rsidRDefault="008A1BA1" w:rsidP="00C17F32">
      <w:pPr>
        <w:pStyle w:val="BulletsList"/>
        <w:spacing w:after="0"/>
      </w:pPr>
      <w:r w:rsidRPr="008A1BA1">
        <w:t xml:space="preserve">Lipitor – for high cholesterol – once a </w:t>
      </w:r>
      <w:proofErr w:type="gramStart"/>
      <w:r w:rsidRPr="008A1BA1">
        <w:t>day;</w:t>
      </w:r>
      <w:proofErr w:type="gramEnd"/>
    </w:p>
    <w:p w14:paraId="1DDA491C" w14:textId="77777777" w:rsidR="008A1BA1" w:rsidRPr="008A1BA1" w:rsidRDefault="008A1BA1" w:rsidP="00C17F32">
      <w:pPr>
        <w:pStyle w:val="BulletsList"/>
        <w:spacing w:after="0"/>
      </w:pPr>
      <w:r w:rsidRPr="008A1BA1">
        <w:t>Zyprexa – for a mood disorder – once a day; and</w:t>
      </w:r>
    </w:p>
    <w:p w14:paraId="5A33664D" w14:textId="77777777" w:rsidR="008A1BA1" w:rsidRPr="008A1BA1" w:rsidRDefault="008A1BA1" w:rsidP="00C17F32">
      <w:pPr>
        <w:pStyle w:val="BulletsList"/>
      </w:pPr>
      <w:proofErr w:type="spellStart"/>
      <w:r w:rsidRPr="008A1BA1">
        <w:t>Anginine</w:t>
      </w:r>
      <w:proofErr w:type="spellEnd"/>
      <w:r w:rsidRPr="008A1BA1">
        <w:t xml:space="preserve"> – for Angina – as he needed it.</w:t>
      </w:r>
    </w:p>
    <w:p w14:paraId="00E87B7B" w14:textId="77777777" w:rsidR="008A1BA1" w:rsidRPr="008A1BA1" w:rsidRDefault="008A1BA1" w:rsidP="00C17F32">
      <w:pPr>
        <w:pStyle w:val="ListParagraph"/>
        <w:rPr>
          <w:lang w:val="en-US" w:eastAsia="en-AU"/>
        </w:rPr>
      </w:pPr>
      <w:r w:rsidRPr="008A1BA1">
        <w:rPr>
          <w:lang w:val="en-US" w:eastAsia="en-AU"/>
        </w:rPr>
        <w:t>Mr Mordechai has serious medical conditions for which he requires very regular medication. He disclosed these conditions to the Department and raised his need for medication soon after he entered the custody of the Commonwealth and repeatedly on the days that he was without medication.</w:t>
      </w:r>
    </w:p>
    <w:p w14:paraId="71D5D98C" w14:textId="77777777" w:rsidR="008A1BA1" w:rsidRPr="008A1BA1" w:rsidRDefault="008A1BA1" w:rsidP="00C17F32">
      <w:pPr>
        <w:pStyle w:val="ListParagraph"/>
        <w:rPr>
          <w:lang w:val="en-US" w:eastAsia="en-AU"/>
        </w:rPr>
      </w:pPr>
      <w:r w:rsidRPr="008A1BA1">
        <w:rPr>
          <w:lang w:val="en-US" w:eastAsia="en-AU"/>
        </w:rPr>
        <w:lastRenderedPageBreak/>
        <w:t>I note that Mr Mordechai saw a doctor before he flew to Sydney, on 17 February 2011, and a nurse about two days after arriving at VIDC. However, given Mr Mordechai’s early disclosure of his health conditions and need for regular medication, it is unclear why he was without medication for over three days. Each of the health professionals who saw Mr Mordechai noted that he had medical conditions for which he required medication.</w:t>
      </w:r>
    </w:p>
    <w:p w14:paraId="3407D516" w14:textId="77777777" w:rsidR="008A1BA1" w:rsidRPr="008A1BA1" w:rsidRDefault="008A1BA1" w:rsidP="00C17F32">
      <w:pPr>
        <w:pStyle w:val="ListParagraph"/>
        <w:rPr>
          <w:lang w:val="en-US" w:eastAsia="en-AU"/>
        </w:rPr>
      </w:pPr>
      <w:r w:rsidRPr="008A1BA1">
        <w:rPr>
          <w:lang w:val="en-US" w:eastAsia="en-AU"/>
        </w:rPr>
        <w:t xml:space="preserve">In its response to my preliminary view, the Commonwealth has acknowledged that the available evidence suggests that Mr Mordechai recommenced medication for all his conditions on 20 February 2011, </w:t>
      </w:r>
      <w:proofErr w:type="gramStart"/>
      <w:r w:rsidRPr="008A1BA1">
        <w:rPr>
          <w:lang w:val="en-US" w:eastAsia="en-AU"/>
        </w:rPr>
        <w:t>with the exception of</w:t>
      </w:r>
      <w:proofErr w:type="gramEnd"/>
      <w:r w:rsidRPr="008A1BA1">
        <w:rPr>
          <w:lang w:val="en-US" w:eastAsia="en-AU"/>
        </w:rPr>
        <w:t xml:space="preserve"> his anti-angina medication, which was issued to Mr Mordechai on 23 February 2011. The Department has not </w:t>
      </w:r>
      <w:proofErr w:type="gramStart"/>
      <w:r w:rsidRPr="008A1BA1">
        <w:rPr>
          <w:lang w:val="en-US" w:eastAsia="en-AU"/>
        </w:rPr>
        <w:t>offered an explanation for</w:t>
      </w:r>
      <w:proofErr w:type="gramEnd"/>
      <w:r w:rsidRPr="008A1BA1">
        <w:rPr>
          <w:lang w:val="en-US" w:eastAsia="en-AU"/>
        </w:rPr>
        <w:t xml:space="preserve"> this delay in </w:t>
      </w:r>
      <w:proofErr w:type="gramStart"/>
      <w:r w:rsidRPr="008A1BA1">
        <w:rPr>
          <w:lang w:val="en-US" w:eastAsia="en-AU"/>
        </w:rPr>
        <w:t>supplying to</w:t>
      </w:r>
      <w:proofErr w:type="gramEnd"/>
      <w:r w:rsidRPr="008A1BA1">
        <w:rPr>
          <w:lang w:val="en-US" w:eastAsia="en-AU"/>
        </w:rPr>
        <w:t xml:space="preserve"> Mr Mordechai his required medication.</w:t>
      </w:r>
    </w:p>
    <w:p w14:paraId="2B866A5C" w14:textId="77777777" w:rsidR="008A1BA1" w:rsidRPr="008A1BA1" w:rsidRDefault="008A1BA1" w:rsidP="00C17F32">
      <w:pPr>
        <w:pStyle w:val="ListParagraph"/>
        <w:rPr>
          <w:lang w:val="en-US" w:eastAsia="en-AU"/>
        </w:rPr>
      </w:pPr>
      <w:r w:rsidRPr="008A1BA1">
        <w:rPr>
          <w:lang w:val="en-US" w:eastAsia="en-AU"/>
        </w:rPr>
        <w:t xml:space="preserve">There is no information before me to suggest that Mr Mordechai has experienced any ongoing medical concerns </w:t>
      </w:r>
      <w:proofErr w:type="gramStart"/>
      <w:r w:rsidRPr="008A1BA1">
        <w:rPr>
          <w:lang w:val="en-US" w:eastAsia="en-AU"/>
        </w:rPr>
        <w:t>as a result of</w:t>
      </w:r>
      <w:proofErr w:type="gramEnd"/>
      <w:r w:rsidRPr="008A1BA1">
        <w:rPr>
          <w:lang w:val="en-US" w:eastAsia="en-AU"/>
        </w:rPr>
        <w:t xml:space="preserve"> not having his medication on 17, 18 and 19 February 2011. However, I note that Mr Mordechai is required to take Dilantin, a seizure prophylactic, three times per day and he was not able to take this medication for approximately three days. This tends to support Mr Mordechai’s claim that he had a seizure on or about 20 February 2011.</w:t>
      </w:r>
    </w:p>
    <w:p w14:paraId="5EAB1C31" w14:textId="77777777" w:rsidR="008A1BA1" w:rsidRPr="008A1BA1" w:rsidRDefault="008A1BA1" w:rsidP="00C17F32">
      <w:pPr>
        <w:pStyle w:val="ListParagraph"/>
        <w:rPr>
          <w:lang w:val="en-US" w:eastAsia="en-AU"/>
        </w:rPr>
      </w:pPr>
      <w:r w:rsidRPr="008A1BA1">
        <w:rPr>
          <w:lang w:val="en-US" w:eastAsia="en-AU"/>
        </w:rPr>
        <w:t xml:space="preserve">I also note that Mr Mordechai appears to have experienced a level of distress </w:t>
      </w:r>
      <w:proofErr w:type="gramStart"/>
      <w:r w:rsidRPr="008A1BA1">
        <w:rPr>
          <w:lang w:val="en-US" w:eastAsia="en-AU"/>
        </w:rPr>
        <w:t>as a result of</w:t>
      </w:r>
      <w:proofErr w:type="gramEnd"/>
      <w:r w:rsidRPr="008A1BA1">
        <w:rPr>
          <w:lang w:val="en-US" w:eastAsia="en-AU"/>
        </w:rPr>
        <w:t xml:space="preserve"> the delay in being supplied with medication that he was required to take.</w:t>
      </w:r>
    </w:p>
    <w:p w14:paraId="65657CA8" w14:textId="77777777" w:rsidR="008A1BA1" w:rsidRDefault="008A1BA1" w:rsidP="00C17F32">
      <w:pPr>
        <w:pStyle w:val="ListParagraph"/>
        <w:rPr>
          <w:lang w:val="en-US" w:eastAsia="en-AU"/>
        </w:rPr>
      </w:pPr>
      <w:r w:rsidRPr="008A1BA1">
        <w:rPr>
          <w:lang w:val="en-US" w:eastAsia="en-AU"/>
        </w:rPr>
        <w:t>For the reasons outlined above, I find that the delay in providing Mr Mordechai with medication constituted a breach of article 10(1) of the ICCPR.</w:t>
      </w:r>
    </w:p>
    <w:p w14:paraId="4A69B57D" w14:textId="54644B15" w:rsidR="009F42AD" w:rsidRPr="009F42AD" w:rsidRDefault="009F42AD" w:rsidP="009F42AD">
      <w:pPr>
        <w:spacing w:after="0" w:line="240" w:lineRule="auto"/>
      </w:pPr>
      <w:r>
        <w:br w:type="page"/>
      </w:r>
    </w:p>
    <w:p w14:paraId="016C38B7" w14:textId="77777777" w:rsidR="008A1BA1" w:rsidRPr="008A1BA1" w:rsidRDefault="008A1BA1" w:rsidP="00C17F32">
      <w:pPr>
        <w:pStyle w:val="Heading1"/>
        <w:rPr>
          <w:lang w:val="en-AU" w:eastAsia="en-AU"/>
        </w:rPr>
      </w:pPr>
      <w:bookmarkStart w:id="7" w:name="_Toc274406750"/>
      <w:r w:rsidRPr="008A1BA1">
        <w:rPr>
          <w:lang w:val="en-AU" w:eastAsia="en-AU"/>
        </w:rPr>
        <w:lastRenderedPageBreak/>
        <w:t>Recommendations</w:t>
      </w:r>
      <w:bookmarkEnd w:id="7"/>
    </w:p>
    <w:p w14:paraId="2FC86560" w14:textId="77777777" w:rsidR="008A1BA1" w:rsidRPr="008A1BA1" w:rsidRDefault="008A1BA1" w:rsidP="00C17F32">
      <w:pPr>
        <w:pStyle w:val="ListParagraph"/>
        <w:rPr>
          <w:lang w:val="en-US" w:eastAsia="en-AU"/>
        </w:rPr>
      </w:pPr>
      <w:r w:rsidRPr="008A1BA1">
        <w:rPr>
          <w:lang w:val="en-US" w:eastAsia="en-AU"/>
        </w:rPr>
        <w:t>Where, after conducting an inquiry, the Commission finds that an act or practice engaged in by a respondent is inconsistent with or contrary to any human right, the Commission is required to serve notice on the respondent setting out its findings and reasons for those findings.</w:t>
      </w:r>
      <w:r w:rsidRPr="008A1BA1">
        <w:rPr>
          <w:vertAlign w:val="superscript"/>
          <w:lang w:val="en-US" w:eastAsia="en-AU"/>
        </w:rPr>
        <w:t>7</w:t>
      </w:r>
      <w:r w:rsidRPr="008A1BA1">
        <w:rPr>
          <w:lang w:val="en-US" w:eastAsia="en-AU"/>
        </w:rPr>
        <w:t xml:space="preserve"> The Commission may include in the notice any recommendation for preventing a repetition of the act or a continuation of the practice.</w:t>
      </w:r>
      <w:r w:rsidRPr="008A1BA1">
        <w:rPr>
          <w:vertAlign w:val="superscript"/>
          <w:lang w:val="en-US" w:eastAsia="en-AU"/>
        </w:rPr>
        <w:t>8</w:t>
      </w:r>
    </w:p>
    <w:p w14:paraId="35E5E3C0" w14:textId="77777777" w:rsidR="008A1BA1" w:rsidRPr="008A1BA1" w:rsidRDefault="008A1BA1" w:rsidP="00C17F32">
      <w:pPr>
        <w:pStyle w:val="ListParagraph"/>
        <w:rPr>
          <w:lang w:val="en-US" w:eastAsia="en-AU"/>
        </w:rPr>
      </w:pPr>
      <w:r w:rsidRPr="008A1BA1">
        <w:rPr>
          <w:lang w:val="en-US" w:eastAsia="en-AU"/>
        </w:rPr>
        <w:t>The Commission may also recommend:</w:t>
      </w:r>
    </w:p>
    <w:p w14:paraId="4F5F13DB" w14:textId="77777777" w:rsidR="008A1BA1" w:rsidRPr="008A1BA1" w:rsidRDefault="008A1BA1" w:rsidP="00C17F32">
      <w:pPr>
        <w:pStyle w:val="BulletsList"/>
      </w:pPr>
      <w:r w:rsidRPr="008A1BA1">
        <w:t>the payment of compensation to, or in respect of, a person who has suffered loss or damage; and</w:t>
      </w:r>
    </w:p>
    <w:p w14:paraId="0D89854A" w14:textId="77777777" w:rsidR="008A1BA1" w:rsidRPr="008A1BA1" w:rsidRDefault="008A1BA1" w:rsidP="00C17F32">
      <w:pPr>
        <w:pStyle w:val="BulletsList"/>
      </w:pPr>
      <w:r w:rsidRPr="008A1BA1">
        <w:t>the taking of other action to remedy or reduce the loss or damage suffered by a person.</w:t>
      </w:r>
      <w:r w:rsidRPr="008A1BA1">
        <w:rPr>
          <w:vertAlign w:val="superscript"/>
        </w:rPr>
        <w:t>9</w:t>
      </w:r>
    </w:p>
    <w:p w14:paraId="6FCB1B5B" w14:textId="59837A29" w:rsidR="008A1BA1" w:rsidRPr="008A1BA1" w:rsidRDefault="008A1BA1" w:rsidP="00C17F32">
      <w:pPr>
        <w:pStyle w:val="Heading2"/>
        <w:rPr>
          <w:lang w:eastAsia="en-AU"/>
        </w:rPr>
      </w:pPr>
      <w:bookmarkStart w:id="8" w:name="_Toc274406751"/>
      <w:r w:rsidRPr="008A1BA1">
        <w:rPr>
          <w:lang w:eastAsia="en-AU"/>
        </w:rPr>
        <w:t>Consideration of compensation</w:t>
      </w:r>
      <w:bookmarkEnd w:id="8"/>
    </w:p>
    <w:p w14:paraId="5DE56A18" w14:textId="77777777" w:rsidR="008A1BA1" w:rsidRPr="008A1BA1" w:rsidRDefault="008A1BA1" w:rsidP="00C17F32">
      <w:pPr>
        <w:pStyle w:val="ListParagraph"/>
        <w:rPr>
          <w:lang w:val="en-US" w:eastAsia="en-AU"/>
        </w:rPr>
      </w:pPr>
      <w:r w:rsidRPr="008A1BA1">
        <w:rPr>
          <w:lang w:val="en-US" w:eastAsia="en-AU"/>
        </w:rPr>
        <w:t>There is no judicial guidance dealing with the assessment of recommendations for financial compensation for breaches of human rights under the AHRC Act.</w:t>
      </w:r>
    </w:p>
    <w:p w14:paraId="4523F442" w14:textId="77777777" w:rsidR="008A1BA1" w:rsidRPr="008A1BA1" w:rsidRDefault="008A1BA1" w:rsidP="00C17F32">
      <w:pPr>
        <w:pStyle w:val="ListParagraph"/>
        <w:rPr>
          <w:lang w:val="en-US" w:eastAsia="en-AU"/>
        </w:rPr>
      </w:pPr>
      <w:r w:rsidRPr="008A1BA1">
        <w:rPr>
          <w:lang w:val="en-US" w:eastAsia="en-AU"/>
        </w:rPr>
        <w:t xml:space="preserve">However, in considering the assessment of a recommendation for compensation under section 35 of the </w:t>
      </w:r>
      <w:r w:rsidRPr="008A1BA1">
        <w:rPr>
          <w:i/>
          <w:iCs/>
          <w:lang w:val="en-US" w:eastAsia="en-AU"/>
        </w:rPr>
        <w:t>Human Rights and Equal Opportunity Act 1986</w:t>
      </w:r>
      <w:r w:rsidRPr="008A1BA1">
        <w:rPr>
          <w:lang w:val="en-US" w:eastAsia="en-AU"/>
        </w:rPr>
        <w:t xml:space="preserve"> (Cth) (as the AHRC Act was then called) (relating to discrimination matters under Part II, Division 4), the Federal Court has indicated that tort principles for the assessment of damages should be applied.</w:t>
      </w:r>
      <w:r w:rsidRPr="008A1BA1">
        <w:rPr>
          <w:vertAlign w:val="superscript"/>
          <w:lang w:val="en-US" w:eastAsia="en-AU"/>
        </w:rPr>
        <w:t>10</w:t>
      </w:r>
      <w:r w:rsidRPr="008A1BA1">
        <w:rPr>
          <w:lang w:val="en-US" w:eastAsia="en-AU"/>
        </w:rPr>
        <w:t xml:space="preserve"> I am of the view that this is the appropriate approach to take to the present matter. As such, so far as is possible by a recommendation for compensation, the object should be to place the injured party in the same position as if the wrong had not occurred.</w:t>
      </w:r>
      <w:r w:rsidRPr="008A1BA1">
        <w:rPr>
          <w:vertAlign w:val="superscript"/>
          <w:lang w:val="en-US" w:eastAsia="en-AU"/>
        </w:rPr>
        <w:t>11</w:t>
      </w:r>
    </w:p>
    <w:p w14:paraId="0F5E6424" w14:textId="77777777" w:rsidR="008A1BA1" w:rsidRPr="008A1BA1" w:rsidRDefault="008A1BA1" w:rsidP="00C17F32">
      <w:pPr>
        <w:pStyle w:val="ListParagraph"/>
        <w:rPr>
          <w:lang w:val="en-US" w:eastAsia="en-AU"/>
        </w:rPr>
      </w:pPr>
      <w:r w:rsidRPr="008A1BA1">
        <w:rPr>
          <w:lang w:val="en-US" w:eastAsia="en-AU"/>
        </w:rPr>
        <w:t xml:space="preserve">Compensation for Mr Mordechai’s distress and suffering would, in tort law, be </w:t>
      </w:r>
      <w:proofErr w:type="spellStart"/>
      <w:r w:rsidRPr="008A1BA1">
        <w:rPr>
          <w:lang w:val="en-US" w:eastAsia="en-AU"/>
        </w:rPr>
        <w:t>characterised</w:t>
      </w:r>
      <w:proofErr w:type="spellEnd"/>
      <w:r w:rsidRPr="008A1BA1">
        <w:rPr>
          <w:lang w:val="en-US" w:eastAsia="en-AU"/>
        </w:rPr>
        <w:t xml:space="preserve"> as ‘non-economic </w:t>
      </w:r>
      <w:proofErr w:type="gramStart"/>
      <w:r w:rsidRPr="008A1BA1">
        <w:rPr>
          <w:lang w:val="en-US" w:eastAsia="en-AU"/>
        </w:rPr>
        <w:t>loss’</w:t>
      </w:r>
      <w:proofErr w:type="gramEnd"/>
      <w:r w:rsidRPr="008A1BA1">
        <w:rPr>
          <w:lang w:val="en-US" w:eastAsia="en-AU"/>
        </w:rPr>
        <w:t>. There is no obvious monetary equivalent for such loss and courts therefore strive to achieve fair rather than full or perfect compensation.</w:t>
      </w:r>
      <w:r w:rsidRPr="008A1BA1">
        <w:rPr>
          <w:vertAlign w:val="superscript"/>
          <w:lang w:val="en-US" w:eastAsia="en-AU"/>
        </w:rPr>
        <w:t>12</w:t>
      </w:r>
    </w:p>
    <w:p w14:paraId="33347C97" w14:textId="77777777" w:rsidR="008A1BA1" w:rsidRPr="008A1BA1" w:rsidRDefault="008A1BA1" w:rsidP="00C17F32">
      <w:pPr>
        <w:pStyle w:val="ListParagraph"/>
        <w:rPr>
          <w:lang w:val="en-US" w:eastAsia="en-AU"/>
        </w:rPr>
      </w:pPr>
      <w:r w:rsidRPr="008A1BA1">
        <w:rPr>
          <w:lang w:val="en-US" w:eastAsia="en-AU"/>
        </w:rPr>
        <w:lastRenderedPageBreak/>
        <w:t>In unlawful discrimination and sexual harassment cases, which involve a form of a breach of human rights, the courts whilst cautioning against too excessive an award for non-economic loss have also cautioned against awarding too low an amount.</w:t>
      </w:r>
      <w:r w:rsidRPr="008A1BA1">
        <w:rPr>
          <w:vertAlign w:val="superscript"/>
          <w:lang w:val="en-US" w:eastAsia="en-AU"/>
        </w:rPr>
        <w:t>13</w:t>
      </w:r>
      <w:r w:rsidRPr="008A1BA1">
        <w:rPr>
          <w:lang w:val="en-US" w:eastAsia="en-AU"/>
        </w:rPr>
        <w:t xml:space="preserve"> The courts have also </w:t>
      </w:r>
      <w:proofErr w:type="spellStart"/>
      <w:r w:rsidRPr="008A1BA1">
        <w:rPr>
          <w:lang w:val="en-US" w:eastAsia="en-AU"/>
        </w:rPr>
        <w:t>emphasised</w:t>
      </w:r>
      <w:proofErr w:type="spellEnd"/>
      <w:r w:rsidRPr="008A1BA1">
        <w:rPr>
          <w:lang w:val="en-US" w:eastAsia="en-AU"/>
        </w:rPr>
        <w:t xml:space="preserve"> that ultimately the amount awarded depends on the facts of each case and is a matter of judgment for the judicial officer hearing the matter.</w:t>
      </w:r>
      <w:r w:rsidRPr="008A1BA1">
        <w:rPr>
          <w:vertAlign w:val="superscript"/>
          <w:lang w:val="en-US" w:eastAsia="en-AU"/>
        </w:rPr>
        <w:t>14</w:t>
      </w:r>
      <w:r w:rsidRPr="008A1BA1">
        <w:rPr>
          <w:lang w:val="en-US" w:eastAsia="en-AU"/>
        </w:rPr>
        <w:t xml:space="preserve"> In </w:t>
      </w:r>
      <w:r w:rsidRPr="008A1BA1">
        <w:rPr>
          <w:i/>
          <w:iCs/>
          <w:lang w:val="en-US" w:eastAsia="en-AU"/>
        </w:rPr>
        <w:t>Hall v Sheiban</w:t>
      </w:r>
      <w:r w:rsidRPr="008A1BA1">
        <w:rPr>
          <w:lang w:val="en-US" w:eastAsia="en-AU"/>
        </w:rPr>
        <w:t>,</w:t>
      </w:r>
      <w:r w:rsidRPr="008A1BA1">
        <w:rPr>
          <w:vertAlign w:val="superscript"/>
          <w:lang w:val="en-US" w:eastAsia="en-AU"/>
        </w:rPr>
        <w:t>15</w:t>
      </w:r>
      <w:r w:rsidRPr="008A1BA1">
        <w:rPr>
          <w:lang w:val="en-US" w:eastAsia="en-AU"/>
        </w:rPr>
        <w:t xml:space="preserve"> a sexual harassment case, Wilcox J cited with approval the following statement of May LJ in </w:t>
      </w:r>
      <w:r w:rsidRPr="008A1BA1">
        <w:rPr>
          <w:i/>
          <w:iCs/>
          <w:lang w:val="en-US" w:eastAsia="en-AU"/>
        </w:rPr>
        <w:t>Alexander v Home Office</w:t>
      </w:r>
      <w:r w:rsidRPr="008A1BA1">
        <w:rPr>
          <w:lang w:val="en-US" w:eastAsia="en-AU"/>
        </w:rPr>
        <w:t>:</w:t>
      </w:r>
      <w:r w:rsidRPr="008A1BA1">
        <w:rPr>
          <w:vertAlign w:val="superscript"/>
          <w:lang w:val="en-US" w:eastAsia="en-AU"/>
        </w:rPr>
        <w:t>16</w:t>
      </w:r>
    </w:p>
    <w:p w14:paraId="7F9C7994" w14:textId="77777777" w:rsidR="008A1BA1" w:rsidRPr="008A1BA1" w:rsidRDefault="008A1BA1" w:rsidP="00C17F32">
      <w:pPr>
        <w:pStyle w:val="Quote"/>
        <w:rPr>
          <w:lang w:val="en-GB" w:eastAsia="en-AU"/>
        </w:rPr>
      </w:pPr>
      <w:r w:rsidRPr="008A1BA1">
        <w:rPr>
          <w:lang w:val="en-GB" w:eastAsia="en-AU"/>
        </w:rPr>
        <w:t>As with any other awards of damages, the objective of an award for unlawful racial discrimination is restitution…For the injury to feelings however, for the humiliation, for the insult, it is impossible to say what is restitution and the answer must depend on the experience and good sense of the judge and his assessors. Awards should not be minimal, because this would tend to trivialise or diminish respect for the public policy to which the Act gives effect. On the other hand, just because it is impossible to assess the monetary value of injured feelings, awards should be restrained. To award sums which are generally felt to be excessive does almost as much harm to the policy and the results which it seeks to achieve as do nominal awards. Further, injury to feelings, which is likely to be of a relatively short duration, is less serious than physical injury to the body or the mind which may persist for months, in many cases for life.</w:t>
      </w:r>
      <w:r w:rsidRPr="008A1BA1">
        <w:rPr>
          <w:vertAlign w:val="superscript"/>
          <w:lang w:val="en-GB" w:eastAsia="en-AU"/>
        </w:rPr>
        <w:t>17</w:t>
      </w:r>
    </w:p>
    <w:p w14:paraId="30F122F8" w14:textId="77777777" w:rsidR="008A1BA1" w:rsidRPr="008A1BA1" w:rsidRDefault="008A1BA1" w:rsidP="00C17F32">
      <w:pPr>
        <w:pStyle w:val="ListParagraph"/>
        <w:rPr>
          <w:lang w:val="en-US" w:eastAsia="en-AU"/>
        </w:rPr>
      </w:pPr>
      <w:r w:rsidRPr="008A1BA1">
        <w:rPr>
          <w:lang w:val="en-US" w:eastAsia="en-AU"/>
        </w:rPr>
        <w:t>In determining the amount of compensation based on the facts of this complaint I do so bearing in mind the quite varied amounts that Australian courts have awarded for actions involving a beach of human rights.</w:t>
      </w:r>
    </w:p>
    <w:p w14:paraId="2DD755D8" w14:textId="23F24AF7" w:rsidR="008A1BA1" w:rsidRPr="008A1BA1" w:rsidRDefault="008A1BA1" w:rsidP="00C17F32">
      <w:pPr>
        <w:pStyle w:val="Heading2"/>
        <w:rPr>
          <w:rFonts w:ascii="HelveticaNeue" w:hAnsi="HelveticaNeue" w:cs="HelveticaNeue"/>
          <w:sz w:val="17"/>
          <w:szCs w:val="17"/>
          <w:lang w:val="en-US" w:eastAsia="en-AU"/>
        </w:rPr>
      </w:pPr>
      <w:bookmarkStart w:id="9" w:name="_Toc274406752"/>
      <w:r w:rsidRPr="008A1BA1">
        <w:rPr>
          <w:lang w:eastAsia="en-AU"/>
        </w:rPr>
        <w:t>Recommendation that compensation be paid</w:t>
      </w:r>
      <w:bookmarkEnd w:id="9"/>
    </w:p>
    <w:p w14:paraId="3904F977" w14:textId="77777777" w:rsidR="008A1BA1" w:rsidRPr="008A1BA1" w:rsidRDefault="008A1BA1" w:rsidP="00027EF8">
      <w:pPr>
        <w:pStyle w:val="ListParagraph"/>
        <w:rPr>
          <w:lang w:val="en-US" w:eastAsia="en-AU"/>
        </w:rPr>
      </w:pPr>
      <w:r w:rsidRPr="008A1BA1">
        <w:rPr>
          <w:lang w:val="en-US" w:eastAsia="en-AU"/>
        </w:rPr>
        <w:t>I have found that that the delay in providing Mr Mordechai with medication constituted a breach of article 10(1) of the ICCPR.</w:t>
      </w:r>
    </w:p>
    <w:p w14:paraId="0EE31456" w14:textId="77777777" w:rsidR="008A1BA1" w:rsidRDefault="008A1BA1" w:rsidP="00027EF8">
      <w:pPr>
        <w:pStyle w:val="ListParagraph"/>
        <w:rPr>
          <w:lang w:val="en-US" w:eastAsia="en-AU"/>
        </w:rPr>
      </w:pPr>
      <w:r w:rsidRPr="008A1BA1">
        <w:rPr>
          <w:lang w:val="en-US" w:eastAsia="en-AU"/>
        </w:rPr>
        <w:t>I consider that the Commonwealth should pay Mr Mordechai an amount of compensation to reflect the treatment he experienced by the Commonwealth in the period between 17 and 23 February 2011.</w:t>
      </w:r>
    </w:p>
    <w:p w14:paraId="0ADA3CA4" w14:textId="71551EF7" w:rsidR="009F42AD" w:rsidRPr="009F42AD" w:rsidRDefault="009F42AD" w:rsidP="009F42AD">
      <w:pPr>
        <w:spacing w:after="0" w:line="240" w:lineRule="auto"/>
      </w:pPr>
      <w:r>
        <w:br w:type="page"/>
      </w:r>
    </w:p>
    <w:p w14:paraId="388FF35F" w14:textId="77777777" w:rsidR="008A1BA1" w:rsidRPr="008A1BA1" w:rsidRDefault="008A1BA1" w:rsidP="00027EF8">
      <w:pPr>
        <w:pStyle w:val="ListParagraph"/>
        <w:rPr>
          <w:lang w:val="en-US" w:eastAsia="en-AU"/>
        </w:rPr>
      </w:pPr>
      <w:r w:rsidRPr="008A1BA1">
        <w:rPr>
          <w:lang w:val="en-US" w:eastAsia="en-AU"/>
        </w:rPr>
        <w:lastRenderedPageBreak/>
        <w:t>In reaching an appropriate figure, I have taken into consideration the following factors:</w:t>
      </w:r>
    </w:p>
    <w:p w14:paraId="05784BF9" w14:textId="77777777" w:rsidR="008A1BA1" w:rsidRPr="008A1BA1" w:rsidRDefault="008A1BA1" w:rsidP="00027EF8">
      <w:pPr>
        <w:pStyle w:val="BulletsList"/>
      </w:pPr>
      <w:r w:rsidRPr="008A1BA1">
        <w:t xml:space="preserve">Mr Mordechai was without any of his required medications for approximately three days and he was without his anti-angina medication for approximately six </w:t>
      </w:r>
      <w:proofErr w:type="gramStart"/>
      <w:r w:rsidRPr="008A1BA1">
        <w:t>days;</w:t>
      </w:r>
      <w:proofErr w:type="gramEnd"/>
    </w:p>
    <w:p w14:paraId="7307355E" w14:textId="77777777" w:rsidR="008A1BA1" w:rsidRPr="008A1BA1" w:rsidRDefault="008A1BA1" w:rsidP="00027EF8">
      <w:pPr>
        <w:pStyle w:val="BulletsList"/>
      </w:pPr>
      <w:r w:rsidRPr="008A1BA1">
        <w:t xml:space="preserve">Mr Mordechai had made the Department aware of his medication needs soon after he entered the custody of the </w:t>
      </w:r>
      <w:proofErr w:type="gramStart"/>
      <w:r w:rsidRPr="008A1BA1">
        <w:t>Commonwealth;</w:t>
      </w:r>
      <w:proofErr w:type="gramEnd"/>
    </w:p>
    <w:p w14:paraId="769753E7" w14:textId="77777777" w:rsidR="008A1BA1" w:rsidRPr="008A1BA1" w:rsidRDefault="008A1BA1" w:rsidP="00027EF8">
      <w:pPr>
        <w:pStyle w:val="BulletsList"/>
      </w:pPr>
      <w:r w:rsidRPr="008A1BA1">
        <w:t xml:space="preserve">Mr Mordechai experienced a level of distress during the period when he did not have access to his required </w:t>
      </w:r>
      <w:proofErr w:type="gramStart"/>
      <w:r w:rsidRPr="008A1BA1">
        <w:t>medications;</w:t>
      </w:r>
      <w:proofErr w:type="gramEnd"/>
    </w:p>
    <w:p w14:paraId="267AAF65" w14:textId="77777777" w:rsidR="008A1BA1" w:rsidRPr="008A1BA1" w:rsidRDefault="008A1BA1" w:rsidP="00027EF8">
      <w:pPr>
        <w:pStyle w:val="BulletsList"/>
      </w:pPr>
      <w:r w:rsidRPr="008A1BA1">
        <w:t>Mr Mordechai has reported experiencing, on or about 20 February 2011, a grand mal seizure during which he lost control of his bladder and bowel. The evidence before me tends to support Mr Mordechai’s claim that he had a seizure; and</w:t>
      </w:r>
    </w:p>
    <w:p w14:paraId="4BA76D83" w14:textId="77777777" w:rsidR="008A1BA1" w:rsidRPr="008A1BA1" w:rsidRDefault="008A1BA1" w:rsidP="00027EF8">
      <w:pPr>
        <w:pStyle w:val="BulletsList"/>
      </w:pPr>
      <w:r w:rsidRPr="008A1BA1">
        <w:t xml:space="preserve">there is no evidence to suggest that Mr Mordechai has experienced any ongoing medical concerns </w:t>
      </w:r>
      <w:proofErr w:type="gramStart"/>
      <w:r w:rsidRPr="008A1BA1">
        <w:t>as a result of</w:t>
      </w:r>
      <w:proofErr w:type="gramEnd"/>
      <w:r w:rsidRPr="008A1BA1">
        <w:t xml:space="preserve"> not having access to his medication.</w:t>
      </w:r>
    </w:p>
    <w:p w14:paraId="712120CA" w14:textId="77777777" w:rsidR="008A1BA1" w:rsidRPr="008A1BA1" w:rsidRDefault="008A1BA1" w:rsidP="00027EF8">
      <w:pPr>
        <w:pStyle w:val="ListParagraph"/>
        <w:rPr>
          <w:lang w:val="en-US" w:eastAsia="en-AU"/>
        </w:rPr>
      </w:pPr>
      <w:proofErr w:type="gramStart"/>
      <w:r w:rsidRPr="008A1BA1">
        <w:rPr>
          <w:lang w:val="en-US" w:eastAsia="en-AU"/>
        </w:rPr>
        <w:t>Taking into account</w:t>
      </w:r>
      <w:proofErr w:type="gramEnd"/>
      <w:r w:rsidRPr="008A1BA1">
        <w:rPr>
          <w:lang w:val="en-US" w:eastAsia="en-AU"/>
        </w:rPr>
        <w:t xml:space="preserve"> all of the above matters, I recommend that the Commonwealth pay $4,000 in compensation to Mr Mordechai.</w:t>
      </w:r>
    </w:p>
    <w:p w14:paraId="1EF3DC4C" w14:textId="77777777" w:rsidR="008A1BA1" w:rsidRDefault="008A1BA1" w:rsidP="00027EF8">
      <w:pPr>
        <w:pStyle w:val="ListParagraph"/>
        <w:rPr>
          <w:lang w:val="en-US" w:eastAsia="en-AU"/>
        </w:rPr>
      </w:pPr>
      <w:r w:rsidRPr="008A1BA1">
        <w:rPr>
          <w:lang w:val="en-US" w:eastAsia="en-AU"/>
        </w:rPr>
        <w:t xml:space="preserve">I note that I have </w:t>
      </w:r>
      <w:proofErr w:type="gramStart"/>
      <w:r w:rsidRPr="008A1BA1">
        <w:rPr>
          <w:lang w:val="en-US" w:eastAsia="en-AU"/>
        </w:rPr>
        <w:t>taken into account</w:t>
      </w:r>
      <w:proofErr w:type="gramEnd"/>
      <w:r w:rsidRPr="008A1BA1">
        <w:rPr>
          <w:lang w:val="en-US" w:eastAsia="en-AU"/>
        </w:rPr>
        <w:t xml:space="preserve"> the fact that on 22 January 2013, the Department sent a ‘letter of regret’ to Mr Mordechai in response to his complaint to the Commission. For this reason, I have not recommended that the Department provide an apology.</w:t>
      </w:r>
    </w:p>
    <w:p w14:paraId="6CAC3AFB" w14:textId="265FACB1" w:rsidR="009F42AD" w:rsidRPr="009F42AD" w:rsidRDefault="009F42AD" w:rsidP="009F42AD">
      <w:pPr>
        <w:spacing w:after="0" w:line="240" w:lineRule="auto"/>
      </w:pPr>
      <w:r>
        <w:br w:type="page"/>
      </w:r>
    </w:p>
    <w:p w14:paraId="0C570D47" w14:textId="77777777" w:rsidR="008A1BA1" w:rsidRPr="008A1BA1" w:rsidRDefault="008A1BA1" w:rsidP="00027EF8">
      <w:pPr>
        <w:pStyle w:val="Heading1"/>
        <w:rPr>
          <w:lang w:val="en-AU" w:eastAsia="en-AU"/>
        </w:rPr>
      </w:pPr>
      <w:bookmarkStart w:id="10" w:name="_Toc274406753"/>
      <w:r w:rsidRPr="008A1BA1">
        <w:rPr>
          <w:lang w:val="en-AU" w:eastAsia="en-AU"/>
        </w:rPr>
        <w:lastRenderedPageBreak/>
        <w:t>The Department’s response to my conclusions and recommendation</w:t>
      </w:r>
      <w:bookmarkEnd w:id="10"/>
    </w:p>
    <w:p w14:paraId="02A52314" w14:textId="77777777" w:rsidR="008A1BA1" w:rsidRPr="008A1BA1" w:rsidRDefault="008A1BA1" w:rsidP="00027EF8">
      <w:pPr>
        <w:pStyle w:val="ListParagraph"/>
        <w:rPr>
          <w:lang w:val="en-US" w:eastAsia="en-AU"/>
        </w:rPr>
      </w:pPr>
      <w:r w:rsidRPr="008A1BA1">
        <w:rPr>
          <w:lang w:val="en-US" w:eastAsia="en-AU"/>
        </w:rPr>
        <w:t>On 10 March 2014, I provided a notice to the Department under s 29(2)(a) of the AHRC Act setting out my finding and recommendation in relation to this complaint.</w:t>
      </w:r>
    </w:p>
    <w:p w14:paraId="143F7848" w14:textId="77777777" w:rsidR="008A1BA1" w:rsidRPr="008A1BA1" w:rsidRDefault="008A1BA1" w:rsidP="00027EF8">
      <w:pPr>
        <w:pStyle w:val="ListParagraph"/>
        <w:rPr>
          <w:lang w:val="en-US" w:eastAsia="en-AU"/>
        </w:rPr>
      </w:pPr>
      <w:r w:rsidRPr="008A1BA1">
        <w:rPr>
          <w:lang w:val="en-US" w:eastAsia="en-AU"/>
        </w:rPr>
        <w:t>By letter dated 16 May 2014, the Department provided the following response to my recommendation that the Commonwealth pay compensation to Mr Mordechai in the amount of $4,000:</w:t>
      </w:r>
    </w:p>
    <w:p w14:paraId="61F6169B" w14:textId="77777777" w:rsidR="008A1BA1" w:rsidRPr="008A1BA1" w:rsidRDefault="008A1BA1" w:rsidP="00027EF8">
      <w:pPr>
        <w:pStyle w:val="Quote"/>
        <w:rPr>
          <w:lang w:val="en-GB" w:eastAsia="en-AU"/>
        </w:rPr>
      </w:pPr>
      <w:r w:rsidRPr="008A1BA1">
        <w:rPr>
          <w:lang w:val="en-GB" w:eastAsia="en-AU"/>
        </w:rPr>
        <w:t>Not accepted.</w:t>
      </w:r>
    </w:p>
    <w:p w14:paraId="38CE2ED9" w14:textId="77777777" w:rsidR="008A1BA1" w:rsidRPr="008A1BA1" w:rsidRDefault="008A1BA1" w:rsidP="00027EF8">
      <w:pPr>
        <w:pStyle w:val="Quote"/>
        <w:rPr>
          <w:lang w:val="en-GB" w:eastAsia="en-AU"/>
        </w:rPr>
      </w:pPr>
      <w:r w:rsidRPr="008A1BA1">
        <w:rPr>
          <w:lang w:val="en-GB" w:eastAsia="en-AU"/>
        </w:rPr>
        <w:t xml:space="preserve">The department notes the President’s recommendations </w:t>
      </w:r>
      <w:proofErr w:type="gramStart"/>
      <w:r w:rsidRPr="008A1BA1">
        <w:rPr>
          <w:lang w:val="en-GB" w:eastAsia="en-AU"/>
        </w:rPr>
        <w:t>in regards to</w:t>
      </w:r>
      <w:proofErr w:type="gramEnd"/>
      <w:r w:rsidRPr="008A1BA1">
        <w:rPr>
          <w:lang w:val="en-GB" w:eastAsia="en-AU"/>
        </w:rPr>
        <w:t xml:space="preserve"> compensation payable to Mr Mordechai. The department regrets the short period of time in which Mr Mordechai did not have access to anti-epileptic medication. However, the Commonwealth maintains its position that Mr Mordechai was treated with humanity and respect for his dignity during his time in immigration detention, and in accordance with article 10(1) of the ICCPR.</w:t>
      </w:r>
    </w:p>
    <w:p w14:paraId="58E7FBF2" w14:textId="77777777" w:rsidR="008A1BA1" w:rsidRPr="008A1BA1" w:rsidRDefault="008A1BA1" w:rsidP="00027EF8">
      <w:pPr>
        <w:pStyle w:val="Quote"/>
        <w:rPr>
          <w:lang w:val="en-GB" w:eastAsia="en-AU"/>
        </w:rPr>
      </w:pPr>
      <w:r w:rsidRPr="008A1BA1">
        <w:rPr>
          <w:lang w:val="en-GB" w:eastAsia="en-AU"/>
        </w:rPr>
        <w:t xml:space="preserve">As stated in its response of 31 October 2013, the department has reviewed its records (including medical records) and has been unable to identify any information to suggest that injury or harm was suffered by Mr Mordechai </w:t>
      </w:r>
      <w:proofErr w:type="gramStart"/>
      <w:r w:rsidRPr="008A1BA1">
        <w:rPr>
          <w:lang w:val="en-GB" w:eastAsia="en-AU"/>
        </w:rPr>
        <w:t>as a result of</w:t>
      </w:r>
      <w:proofErr w:type="gramEnd"/>
      <w:r w:rsidRPr="008A1BA1">
        <w:rPr>
          <w:lang w:val="en-GB" w:eastAsia="en-AU"/>
        </w:rPr>
        <w:t xml:space="preserve"> the delay in providing him his medication. The department has noted that Mr Mordechai was subject to clinical oversight on 19 and 20 February 2011 and that there were no records which supported Mr Mordechai’s claim that he had a seizure on or about 20 February 2011.</w:t>
      </w:r>
    </w:p>
    <w:p w14:paraId="56B946D5" w14:textId="77777777" w:rsidR="008A1BA1" w:rsidRPr="008A1BA1" w:rsidRDefault="008A1BA1" w:rsidP="00027EF8">
      <w:pPr>
        <w:pStyle w:val="Quote"/>
        <w:rPr>
          <w:lang w:val="en-GB" w:eastAsia="en-AU"/>
        </w:rPr>
      </w:pPr>
      <w:r w:rsidRPr="008A1BA1">
        <w:rPr>
          <w:lang w:val="en-GB" w:eastAsia="en-AU"/>
        </w:rPr>
        <w:t>…</w:t>
      </w:r>
    </w:p>
    <w:p w14:paraId="1CDF4401" w14:textId="77777777" w:rsidR="008A1BA1" w:rsidRDefault="008A1BA1" w:rsidP="00027EF8">
      <w:pPr>
        <w:pStyle w:val="Quote"/>
        <w:rPr>
          <w:lang w:val="en-GB" w:eastAsia="en-AU"/>
        </w:rPr>
      </w:pPr>
      <w:r w:rsidRPr="008A1BA1">
        <w:rPr>
          <w:lang w:val="en-GB" w:eastAsia="en-AU"/>
        </w:rPr>
        <w:t xml:space="preserve">The department therefore considers it is unable to pay compensation to Mr Mordechai </w:t>
      </w:r>
      <w:proofErr w:type="gramStart"/>
      <w:r w:rsidRPr="008A1BA1">
        <w:rPr>
          <w:lang w:val="en-GB" w:eastAsia="en-AU"/>
        </w:rPr>
        <w:t>on the basis of</w:t>
      </w:r>
      <w:proofErr w:type="gramEnd"/>
      <w:r w:rsidRPr="008A1BA1">
        <w:rPr>
          <w:lang w:val="en-GB" w:eastAsia="en-AU"/>
        </w:rPr>
        <w:t xml:space="preserve"> the information provided to date and the department advises that no further action will be taken in relation to this recommendation.</w:t>
      </w:r>
    </w:p>
    <w:p w14:paraId="01352321" w14:textId="6E915A70" w:rsidR="009F42AD" w:rsidRPr="009F42AD" w:rsidRDefault="009F42AD" w:rsidP="009F42AD">
      <w:pPr>
        <w:spacing w:after="0" w:line="240" w:lineRule="auto"/>
      </w:pPr>
      <w:r>
        <w:br w:type="page"/>
      </w:r>
    </w:p>
    <w:p w14:paraId="3C40A00C" w14:textId="77777777" w:rsidR="008A1BA1" w:rsidRPr="008A1BA1" w:rsidRDefault="008A1BA1" w:rsidP="00027EF8">
      <w:pPr>
        <w:pStyle w:val="ListParagraph"/>
        <w:spacing w:after="1200"/>
        <w:rPr>
          <w:lang w:val="en-US" w:eastAsia="en-AU"/>
        </w:rPr>
      </w:pPr>
      <w:r w:rsidRPr="008A1BA1">
        <w:rPr>
          <w:lang w:val="en-US" w:eastAsia="en-AU"/>
        </w:rPr>
        <w:lastRenderedPageBreak/>
        <w:t>I report accordingly to the Attorney-General.</w:t>
      </w:r>
    </w:p>
    <w:p w14:paraId="1648C35B" w14:textId="77777777" w:rsidR="008A1BA1" w:rsidRPr="008A1BA1" w:rsidRDefault="008A1BA1" w:rsidP="00027EF8">
      <w:pPr>
        <w:spacing w:after="0"/>
        <w:rPr>
          <w:lang w:val="en-US" w:eastAsia="en-AU"/>
        </w:rPr>
      </w:pPr>
      <w:r w:rsidRPr="008A1BA1">
        <w:rPr>
          <w:lang w:val="en-US" w:eastAsia="en-AU"/>
        </w:rPr>
        <w:t>Gillian Triggs</w:t>
      </w:r>
    </w:p>
    <w:p w14:paraId="007B291E" w14:textId="77777777" w:rsidR="008A1BA1" w:rsidRPr="00027EF8" w:rsidRDefault="008A1BA1" w:rsidP="00027EF8">
      <w:pPr>
        <w:spacing w:after="0"/>
        <w:rPr>
          <w:b/>
          <w:lang w:val="en-US" w:eastAsia="en-AU"/>
        </w:rPr>
      </w:pPr>
      <w:r w:rsidRPr="00027EF8">
        <w:rPr>
          <w:b/>
          <w:lang w:val="en-US" w:eastAsia="en-AU"/>
        </w:rPr>
        <w:t>President</w:t>
      </w:r>
    </w:p>
    <w:p w14:paraId="0FE51A13" w14:textId="77777777" w:rsidR="008A1BA1" w:rsidRPr="008A1BA1" w:rsidRDefault="008A1BA1" w:rsidP="00027EF8">
      <w:pPr>
        <w:rPr>
          <w:lang w:val="en-US" w:eastAsia="en-AU"/>
        </w:rPr>
      </w:pPr>
      <w:r w:rsidRPr="008A1BA1">
        <w:rPr>
          <w:lang w:val="en-US" w:eastAsia="en-AU"/>
        </w:rPr>
        <w:t>Australian Human Rights Commission</w:t>
      </w:r>
    </w:p>
    <w:p w14:paraId="63260AE4" w14:textId="77777777" w:rsidR="008A1BA1" w:rsidRDefault="008A1BA1" w:rsidP="00027EF8">
      <w:pPr>
        <w:spacing w:after="600"/>
        <w:rPr>
          <w:lang w:val="en-US" w:eastAsia="en-AU"/>
        </w:rPr>
      </w:pPr>
      <w:r w:rsidRPr="008A1BA1">
        <w:rPr>
          <w:lang w:val="en-US" w:eastAsia="en-AU"/>
        </w:rPr>
        <w:t>June 2014</w:t>
      </w:r>
    </w:p>
    <w:p w14:paraId="654012F0" w14:textId="66237421" w:rsidR="009F42AD" w:rsidRDefault="009F42AD" w:rsidP="009F42AD">
      <w:pPr>
        <w:spacing w:after="0" w:line="240" w:lineRule="auto"/>
        <w:rPr>
          <w:lang w:val="en-US" w:eastAsia="en-AU"/>
        </w:rPr>
      </w:pPr>
      <w:r>
        <w:rPr>
          <w:lang w:val="en-US" w:eastAsia="en-AU"/>
        </w:rPr>
        <w:br w:type="page"/>
      </w:r>
    </w:p>
    <w:p w14:paraId="0614A946" w14:textId="19C4795C" w:rsidR="00AE5CFC" w:rsidRPr="008A1BA1" w:rsidRDefault="00AE5CFC" w:rsidP="009F42AD">
      <w:pPr>
        <w:pStyle w:val="EndnotesHeading"/>
        <w:rPr>
          <w:lang w:val="en-US" w:eastAsia="en-AU"/>
        </w:rPr>
      </w:pPr>
      <w:r>
        <w:rPr>
          <w:lang w:val="en-US" w:eastAsia="en-AU"/>
        </w:rPr>
        <w:lastRenderedPageBreak/>
        <w:t>Endnotes</w:t>
      </w:r>
    </w:p>
    <w:p w14:paraId="457CB6D0"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1</w:t>
      </w:r>
      <w:r w:rsidRPr="008A1BA1">
        <w:rPr>
          <w:lang w:val="en-US" w:eastAsia="en-AU"/>
        </w:rPr>
        <w:tab/>
        <w:t xml:space="preserve">Section 3(1) of the </w:t>
      </w:r>
      <w:r w:rsidRPr="00AE5CFC">
        <w:rPr>
          <w:rStyle w:val="Emphasis"/>
        </w:rPr>
        <w:t>Australian Human Rights Commission Act 1986</w:t>
      </w:r>
      <w:r w:rsidRPr="008A1BA1">
        <w:rPr>
          <w:lang w:val="en-US" w:eastAsia="en-AU"/>
        </w:rPr>
        <w:t xml:space="preserve"> (Cth) (AHRC Act) defines human rights to include the rights </w:t>
      </w:r>
      <w:proofErr w:type="spellStart"/>
      <w:r w:rsidRPr="008A1BA1">
        <w:rPr>
          <w:lang w:val="en-US" w:eastAsia="en-AU"/>
        </w:rPr>
        <w:t>recognised</w:t>
      </w:r>
      <w:proofErr w:type="spellEnd"/>
      <w:r w:rsidRPr="008A1BA1">
        <w:rPr>
          <w:lang w:val="en-US" w:eastAsia="en-AU"/>
        </w:rPr>
        <w:t xml:space="preserve"> by the </w:t>
      </w:r>
      <w:r w:rsidRPr="00AE5CFC">
        <w:rPr>
          <w:rStyle w:val="Emphasis"/>
        </w:rPr>
        <w:t>International Covenant on Civil and Political Rights</w:t>
      </w:r>
      <w:r w:rsidRPr="008A1BA1">
        <w:rPr>
          <w:lang w:val="en-US" w:eastAsia="en-AU"/>
        </w:rPr>
        <w:t>.</w:t>
      </w:r>
    </w:p>
    <w:p w14:paraId="5C7E33F6"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2</w:t>
      </w:r>
      <w:r w:rsidRPr="008A1BA1">
        <w:rPr>
          <w:lang w:val="en-US" w:eastAsia="en-AU"/>
        </w:rPr>
        <w:tab/>
        <w:t xml:space="preserve">See </w:t>
      </w:r>
      <w:r w:rsidRPr="00AE5CFC">
        <w:rPr>
          <w:rStyle w:val="Emphasis"/>
        </w:rPr>
        <w:t>Secretary, Department of Defence v HREOC, Burgess &amp; Ors</w:t>
      </w:r>
      <w:r w:rsidRPr="008A1BA1">
        <w:rPr>
          <w:lang w:val="en-US" w:eastAsia="en-AU"/>
        </w:rPr>
        <w:t xml:space="preserve"> (1997) 78 FCR 208.</w:t>
      </w:r>
    </w:p>
    <w:p w14:paraId="709C3B82" w14:textId="6CF3002B" w:rsidR="008A1BA1" w:rsidRPr="008A1BA1" w:rsidRDefault="008A1BA1" w:rsidP="00AE5CFC">
      <w:pPr>
        <w:pStyle w:val="EndnoteText"/>
        <w:tabs>
          <w:tab w:val="clear" w:pos="567"/>
        </w:tabs>
        <w:ind w:left="397" w:hanging="397"/>
        <w:rPr>
          <w:lang w:val="en-US" w:eastAsia="en-AU"/>
        </w:rPr>
      </w:pPr>
      <w:r w:rsidRPr="008A1BA1">
        <w:rPr>
          <w:lang w:val="en-US" w:eastAsia="en-AU"/>
        </w:rPr>
        <w:t>3</w:t>
      </w:r>
      <w:r w:rsidRPr="008A1BA1">
        <w:rPr>
          <w:lang w:val="en-US" w:eastAsia="en-AU"/>
        </w:rPr>
        <w:tab/>
        <w:t>The Standard Minimum rules were approved by the United Nations Economic and Social Council in 1957. They were subsequently adopted by the United Nations General Assembly in resolutions 2858 of 1971 and 3144 of 1983. UN Doc A/COMF/611, Annex 1.</w:t>
      </w:r>
    </w:p>
    <w:p w14:paraId="34A3CD95"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4</w:t>
      </w:r>
      <w:r w:rsidRPr="008A1BA1">
        <w:rPr>
          <w:lang w:val="en-US" w:eastAsia="en-AU"/>
        </w:rPr>
        <w:tab/>
        <w:t xml:space="preserve">The Body of Principles </w:t>
      </w:r>
      <w:proofErr w:type="gramStart"/>
      <w:r w:rsidRPr="008A1BA1">
        <w:rPr>
          <w:lang w:val="en-US" w:eastAsia="en-AU"/>
        </w:rPr>
        <w:t>were</w:t>
      </w:r>
      <w:proofErr w:type="gramEnd"/>
      <w:r w:rsidRPr="008A1BA1">
        <w:rPr>
          <w:lang w:val="en-US" w:eastAsia="en-AU"/>
        </w:rPr>
        <w:t xml:space="preserve"> adopted by the United Nations General Assembly in resolution 43/173 of 9 December 1988 Annex: UN Doc A/43/49 (1988).</w:t>
      </w:r>
    </w:p>
    <w:p w14:paraId="0B12A194"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5</w:t>
      </w:r>
      <w:r w:rsidRPr="008A1BA1">
        <w:rPr>
          <w:lang w:val="en-US" w:eastAsia="en-AU"/>
        </w:rPr>
        <w:tab/>
        <w:t>UN Human Rights Committee, General Comment 21 (Replaces general comment 9 concerning humane treatment of persons deprived of liberty) (10 April 1992) at [5].</w:t>
      </w:r>
    </w:p>
    <w:p w14:paraId="64CD5313"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6</w:t>
      </w:r>
      <w:r w:rsidRPr="008A1BA1">
        <w:rPr>
          <w:lang w:val="en-US" w:eastAsia="en-AU"/>
        </w:rPr>
        <w:tab/>
        <w:t xml:space="preserve">UN Human Rights Committee, </w:t>
      </w:r>
      <w:r w:rsidRPr="00AE5CFC">
        <w:rPr>
          <w:rStyle w:val="Emphasis"/>
        </w:rPr>
        <w:t>Mukong v Cameroon</w:t>
      </w:r>
      <w:r w:rsidRPr="008A1BA1">
        <w:rPr>
          <w:lang w:val="en-US" w:eastAsia="en-AU"/>
        </w:rPr>
        <w:t xml:space="preserve">, Communication No. 458/1991, UN Doc CCPR/C/51/458/1991 (1994) at [9.3]; Potter v New Zealand, Communication No. 632/1995, UN Doc CCPR/C/60/D/632/1995 (1997) at [6.3]. See also UN Human Rights Committee, </w:t>
      </w:r>
      <w:r w:rsidRPr="00AE5CFC">
        <w:rPr>
          <w:rStyle w:val="Emphasis"/>
        </w:rPr>
        <w:t>Concluding Observations on the United States</w:t>
      </w:r>
      <w:r w:rsidRPr="008A1BA1">
        <w:rPr>
          <w:lang w:val="en-US" w:eastAsia="en-AU"/>
        </w:rPr>
        <w:t>, UN Doc A/50/40 (3 October 1995) at [285] and [299].</w:t>
      </w:r>
    </w:p>
    <w:p w14:paraId="33F8F577"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7</w:t>
      </w:r>
      <w:r w:rsidRPr="008A1BA1">
        <w:rPr>
          <w:lang w:val="en-US" w:eastAsia="en-AU"/>
        </w:rPr>
        <w:tab/>
        <w:t>AHRC Act s 29(2)(a)</w:t>
      </w:r>
    </w:p>
    <w:p w14:paraId="70EDAFD8"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8</w:t>
      </w:r>
      <w:r w:rsidRPr="008A1BA1">
        <w:rPr>
          <w:lang w:val="en-US" w:eastAsia="en-AU"/>
        </w:rPr>
        <w:tab/>
        <w:t>AHRC Act s 29(2)(b).</w:t>
      </w:r>
    </w:p>
    <w:p w14:paraId="697FD499"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9</w:t>
      </w:r>
      <w:r w:rsidRPr="008A1BA1">
        <w:rPr>
          <w:lang w:val="en-US" w:eastAsia="en-AU"/>
        </w:rPr>
        <w:tab/>
        <w:t>AHRC Act s 29(2)(c).</w:t>
      </w:r>
    </w:p>
    <w:p w14:paraId="680BD768"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10</w:t>
      </w:r>
      <w:r w:rsidRPr="008A1BA1">
        <w:rPr>
          <w:lang w:val="en-US" w:eastAsia="en-AU"/>
        </w:rPr>
        <w:tab/>
      </w:r>
      <w:r w:rsidRPr="00AE5CFC">
        <w:rPr>
          <w:rStyle w:val="Emphasis"/>
        </w:rPr>
        <w:t>Peacock v The Commonwealth</w:t>
      </w:r>
      <w:r w:rsidRPr="008A1BA1">
        <w:rPr>
          <w:lang w:val="en-US" w:eastAsia="en-AU"/>
        </w:rPr>
        <w:t xml:space="preserve"> (2000) 104 FCR 464, 483 (Wilcox J).</w:t>
      </w:r>
    </w:p>
    <w:p w14:paraId="2953AB37" w14:textId="77777777" w:rsidR="008A1BA1" w:rsidRPr="008A1BA1" w:rsidRDefault="008A1BA1" w:rsidP="00AE5CFC">
      <w:pPr>
        <w:pStyle w:val="EndnoteText"/>
        <w:tabs>
          <w:tab w:val="clear" w:pos="567"/>
        </w:tabs>
        <w:ind w:left="397" w:hanging="397"/>
        <w:rPr>
          <w:rFonts w:ascii="HelveticaNeue-Italic" w:hAnsi="HelveticaNeue-Italic" w:cs="HelveticaNeue-Italic"/>
          <w:i/>
          <w:iCs/>
          <w:lang w:val="en-US" w:eastAsia="en-AU"/>
        </w:rPr>
      </w:pPr>
      <w:r w:rsidRPr="008A1BA1">
        <w:rPr>
          <w:lang w:val="en-US" w:eastAsia="en-AU"/>
        </w:rPr>
        <w:t>11</w:t>
      </w:r>
      <w:r w:rsidRPr="008A1BA1">
        <w:rPr>
          <w:lang w:val="en-US" w:eastAsia="en-AU"/>
        </w:rPr>
        <w:tab/>
        <w:t xml:space="preserve">See </w:t>
      </w:r>
      <w:r w:rsidRPr="00AE5CFC">
        <w:rPr>
          <w:rStyle w:val="Emphasis"/>
        </w:rPr>
        <w:t>Hall v A &amp; A Sheiban Pty Limited</w:t>
      </w:r>
      <w:r w:rsidRPr="008A1BA1">
        <w:rPr>
          <w:lang w:val="en-US" w:eastAsia="en-AU"/>
        </w:rPr>
        <w:t xml:space="preserve"> (1989) 20 FCR 217, 239 (Lockhart J).</w:t>
      </w:r>
    </w:p>
    <w:p w14:paraId="09DC2F2E" w14:textId="418EEE49" w:rsidR="008A1BA1" w:rsidRPr="008A1BA1" w:rsidRDefault="008A1BA1" w:rsidP="00AE5CFC">
      <w:pPr>
        <w:pStyle w:val="EndnoteText"/>
        <w:tabs>
          <w:tab w:val="clear" w:pos="567"/>
        </w:tabs>
        <w:ind w:left="397" w:hanging="397"/>
        <w:rPr>
          <w:lang w:val="en-US" w:eastAsia="en-AU"/>
        </w:rPr>
      </w:pPr>
      <w:r w:rsidRPr="008A1BA1">
        <w:rPr>
          <w:lang w:val="en-US" w:eastAsia="en-AU"/>
        </w:rPr>
        <w:t>12</w:t>
      </w:r>
      <w:r w:rsidRPr="008A1BA1">
        <w:rPr>
          <w:lang w:val="en-US" w:eastAsia="en-AU"/>
        </w:rPr>
        <w:tab/>
      </w:r>
      <w:r w:rsidRPr="00AE5CFC">
        <w:rPr>
          <w:rStyle w:val="Emphasis"/>
        </w:rPr>
        <w:t>Sharman v Evans</w:t>
      </w:r>
      <w:r w:rsidR="00AE5CFC">
        <w:rPr>
          <w:rFonts w:ascii="HelveticaNeue-Italic" w:hAnsi="HelveticaNeue-Italic" w:cs="HelveticaNeue-Italic"/>
          <w:i/>
          <w:iCs/>
          <w:lang w:val="en-US" w:eastAsia="en-AU"/>
        </w:rPr>
        <w:t xml:space="preserve"> </w:t>
      </w:r>
      <w:r w:rsidRPr="008A1BA1">
        <w:rPr>
          <w:lang w:val="en-US" w:eastAsia="en-AU"/>
        </w:rPr>
        <w:t>(1977) 138 CLR 563, 589 (Gibbs and Stephen JJ).</w:t>
      </w:r>
    </w:p>
    <w:p w14:paraId="5F0AB527"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13</w:t>
      </w:r>
      <w:r w:rsidRPr="008A1BA1">
        <w:rPr>
          <w:lang w:val="en-US" w:eastAsia="en-AU"/>
        </w:rPr>
        <w:tab/>
      </w:r>
      <w:r w:rsidRPr="00AE5CFC">
        <w:rPr>
          <w:rStyle w:val="Emphasis"/>
        </w:rPr>
        <w:t>Hall v Sheiban</w:t>
      </w:r>
      <w:r w:rsidRPr="008A1BA1">
        <w:rPr>
          <w:i/>
          <w:iCs/>
          <w:lang w:val="en-US" w:eastAsia="en-AU"/>
        </w:rPr>
        <w:t xml:space="preserve"> </w:t>
      </w:r>
      <w:r w:rsidRPr="008A1BA1">
        <w:rPr>
          <w:lang w:val="en-US" w:eastAsia="en-AU"/>
        </w:rPr>
        <w:t xml:space="preserve">(1989) 20 FCR 217, 256; </w:t>
      </w:r>
      <w:r w:rsidRPr="00AE5CFC">
        <w:rPr>
          <w:rStyle w:val="Emphasis"/>
        </w:rPr>
        <w:t>McAlister v SEQ Aboriginal Corporation</w:t>
      </w:r>
      <w:r w:rsidRPr="008A1BA1">
        <w:rPr>
          <w:i/>
          <w:iCs/>
          <w:lang w:val="en-US" w:eastAsia="en-AU"/>
        </w:rPr>
        <w:t xml:space="preserve"> </w:t>
      </w:r>
      <w:r w:rsidRPr="008A1BA1">
        <w:rPr>
          <w:lang w:val="en-US" w:eastAsia="en-AU"/>
        </w:rPr>
        <w:t xml:space="preserve">[2002] FMCA 109, [156]; </w:t>
      </w:r>
      <w:r w:rsidRPr="00AE5CFC">
        <w:rPr>
          <w:rStyle w:val="Emphasis"/>
        </w:rPr>
        <w:t>Phillis v Mandic</w:t>
      </w:r>
      <w:r w:rsidRPr="008A1BA1">
        <w:rPr>
          <w:i/>
          <w:iCs/>
          <w:lang w:val="en-US" w:eastAsia="en-AU"/>
        </w:rPr>
        <w:t xml:space="preserve"> </w:t>
      </w:r>
      <w:r w:rsidRPr="008A1BA1">
        <w:rPr>
          <w:lang w:val="en-US" w:eastAsia="en-AU"/>
        </w:rPr>
        <w:t xml:space="preserve">[2005] FMCA 330, [23]; </w:t>
      </w:r>
      <w:r w:rsidRPr="00AE5CFC">
        <w:rPr>
          <w:rStyle w:val="Emphasis"/>
        </w:rPr>
        <w:t>Rankilor v Jerome Pty Ltd</w:t>
      </w:r>
      <w:r w:rsidRPr="008A1BA1">
        <w:rPr>
          <w:lang w:val="en-US" w:eastAsia="en-AU"/>
        </w:rPr>
        <w:t xml:space="preserve"> [2006] FMCA 922, [41]; </w:t>
      </w:r>
      <w:r w:rsidRPr="00AE5CFC">
        <w:rPr>
          <w:rStyle w:val="Emphasis"/>
        </w:rPr>
        <w:t>Gilroy v Angelov</w:t>
      </w:r>
      <w:r w:rsidRPr="008A1BA1">
        <w:rPr>
          <w:lang w:val="en-US" w:eastAsia="en-AU"/>
        </w:rPr>
        <w:t xml:space="preserve"> [2000] FCA 1775, [105]; </w:t>
      </w:r>
      <w:r w:rsidRPr="00AE5CFC">
        <w:rPr>
          <w:rStyle w:val="Emphasis"/>
        </w:rPr>
        <w:t>Re Susan Hall; Dianne Susan Oliver and Karyn Reid v A &amp; A Sheiban Pty Ltd; Dr Atallah Sheiban and Human Rights and Equal Opportunity Commission</w:t>
      </w:r>
      <w:r w:rsidRPr="008A1BA1">
        <w:rPr>
          <w:lang w:val="en-US" w:eastAsia="en-AU"/>
        </w:rPr>
        <w:t xml:space="preserve"> (1989) 20 FCR 217, [70].</w:t>
      </w:r>
    </w:p>
    <w:p w14:paraId="38D470E9"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14</w:t>
      </w:r>
      <w:r w:rsidRPr="008A1BA1">
        <w:rPr>
          <w:lang w:val="en-US" w:eastAsia="en-AU"/>
        </w:rPr>
        <w:tab/>
      </w:r>
      <w:r w:rsidRPr="00AE5CFC">
        <w:rPr>
          <w:rStyle w:val="Emphasis"/>
        </w:rPr>
        <w:t>Phillis v Mandic</w:t>
      </w:r>
      <w:r w:rsidRPr="008A1BA1">
        <w:rPr>
          <w:lang w:val="en-US" w:eastAsia="en-AU"/>
        </w:rPr>
        <w:t xml:space="preserve"> [2005] FMCA 2, [79]; </w:t>
      </w:r>
      <w:r w:rsidRPr="00AE5CFC">
        <w:rPr>
          <w:rStyle w:val="Emphasis"/>
        </w:rPr>
        <w:t>Hall v Sheiban</w:t>
      </w:r>
      <w:r w:rsidRPr="008A1BA1">
        <w:rPr>
          <w:i/>
          <w:iCs/>
          <w:lang w:val="en-US" w:eastAsia="en-AU"/>
        </w:rPr>
        <w:t xml:space="preserve"> </w:t>
      </w:r>
      <w:r w:rsidRPr="008A1BA1">
        <w:rPr>
          <w:lang w:val="en-US" w:eastAsia="en-AU"/>
        </w:rPr>
        <w:t>(1989) 20 FCR 217, 256.</w:t>
      </w:r>
    </w:p>
    <w:p w14:paraId="48FC6905"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15</w:t>
      </w:r>
      <w:r w:rsidRPr="008A1BA1">
        <w:rPr>
          <w:lang w:val="en-US" w:eastAsia="en-AU"/>
        </w:rPr>
        <w:tab/>
        <w:t>(1989) 20 FCR 217, 256.</w:t>
      </w:r>
    </w:p>
    <w:p w14:paraId="1655BE82" w14:textId="77777777" w:rsidR="008A1BA1" w:rsidRPr="008A1BA1" w:rsidRDefault="008A1BA1" w:rsidP="00AE5CFC">
      <w:pPr>
        <w:pStyle w:val="EndnoteText"/>
        <w:tabs>
          <w:tab w:val="clear" w:pos="567"/>
        </w:tabs>
        <w:ind w:left="397" w:hanging="397"/>
        <w:rPr>
          <w:lang w:val="en-US" w:eastAsia="en-AU"/>
        </w:rPr>
      </w:pPr>
      <w:r w:rsidRPr="008A1BA1">
        <w:rPr>
          <w:lang w:val="en-US" w:eastAsia="en-AU"/>
        </w:rPr>
        <w:t>16</w:t>
      </w:r>
      <w:r w:rsidRPr="008A1BA1">
        <w:rPr>
          <w:lang w:val="en-US" w:eastAsia="en-AU"/>
        </w:rPr>
        <w:tab/>
        <w:t>[1988] 2 All ER 118.</w:t>
      </w:r>
    </w:p>
    <w:p w14:paraId="7406151D" w14:textId="727A44F6" w:rsidR="00F87B03" w:rsidRPr="00B66FDE" w:rsidRDefault="008A1BA1" w:rsidP="00AE5CFC">
      <w:pPr>
        <w:pStyle w:val="EndnoteText"/>
        <w:tabs>
          <w:tab w:val="clear" w:pos="567"/>
        </w:tabs>
        <w:ind w:left="397" w:hanging="397"/>
      </w:pPr>
      <w:r w:rsidRPr="008A1BA1">
        <w:rPr>
          <w:lang w:val="en-US" w:eastAsia="en-AU"/>
        </w:rPr>
        <w:t>17</w:t>
      </w:r>
      <w:r w:rsidRPr="008A1BA1">
        <w:rPr>
          <w:lang w:val="en-US" w:eastAsia="en-AU"/>
        </w:rPr>
        <w:tab/>
      </w:r>
      <w:r w:rsidRPr="00AE5CFC">
        <w:rPr>
          <w:rStyle w:val="Emphasis"/>
        </w:rPr>
        <w:t>Alexander v Home Office</w:t>
      </w:r>
      <w:r w:rsidRPr="008A1BA1">
        <w:rPr>
          <w:lang w:val="en-US" w:eastAsia="en-AU"/>
        </w:rPr>
        <w:t xml:space="preserve"> [1988] 2 All ER 118.</w:t>
      </w:r>
    </w:p>
    <w:sectPr w:rsidR="00F87B03" w:rsidRPr="00B66FDE" w:rsidSect="00B05C51">
      <w:footerReference w:type="even" r:id="rId17"/>
      <w:footerReference w:type="default" r:id="rId18"/>
      <w:pgSz w:w="12240" w:h="15840"/>
      <w:pgMar w:top="1440" w:right="1800" w:bottom="1440" w:left="1800" w:header="708"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445C24" w14:textId="77777777" w:rsidR="00AE5CFC" w:rsidRDefault="00AE5CFC" w:rsidP="00B05C51">
      <w:pPr>
        <w:spacing w:after="0" w:line="240" w:lineRule="auto"/>
      </w:pPr>
      <w:r>
        <w:separator/>
      </w:r>
    </w:p>
  </w:endnote>
  <w:endnote w:type="continuationSeparator" w:id="0">
    <w:p w14:paraId="12EAB9DC" w14:textId="77777777" w:rsidR="00AE5CFC" w:rsidRDefault="00AE5CFC" w:rsidP="00B05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CYPlain">
    <w:altName w:val="Helvetica CY"/>
    <w:panose1 w:val="00000000000000000000"/>
    <w:charset w:val="CC"/>
    <w:family w:val="auto"/>
    <w:notTrueType/>
    <w:pitch w:val="default"/>
    <w:sig w:usb0="00000201" w:usb1="00000000" w:usb2="00000000" w:usb3="00000000" w:csb0="00000004" w:csb1="00000000"/>
  </w:font>
  <w:font w:name="HelveticaNeue-Bold">
    <w:altName w:val="Helvetica Neue"/>
    <w:panose1 w:val="00000000000000000000"/>
    <w:charset w:val="00"/>
    <w:family w:val="swiss"/>
    <w:notTrueType/>
    <w:pitch w:val="default"/>
    <w:sig w:usb0="00000003" w:usb1="00000000" w:usb2="00000000" w:usb3="00000000" w:csb0="00000001" w:csb1="00000000"/>
  </w:font>
  <w:font w:name="HelveticaCYBold">
    <w:altName w:val="Helvetica CY"/>
    <w:panose1 w:val="00000000000000000000"/>
    <w:charset w:val="CC"/>
    <w:family w:val="auto"/>
    <w:notTrueType/>
    <w:pitch w:val="default"/>
    <w:sig w:usb0="00000201" w:usb1="00000000" w:usb2="00000000" w:usb3="00000000" w:csb0="00000004" w:csb1="00000000"/>
  </w:font>
  <w:font w:name="HelveticaNeue">
    <w:altName w:val="Sylfaen"/>
    <w:panose1 w:val="00000000000000000000"/>
    <w:charset w:val="00"/>
    <w:family w:val="swiss"/>
    <w:notTrueType/>
    <w:pitch w:val="default"/>
    <w:sig w:usb0="00000003" w:usb1="00000000" w:usb2="00000000" w:usb3="00000000" w:csb0="00000001" w:csb1="00000000"/>
  </w:font>
  <w:font w:name="Times-Roman">
    <w:altName w:val="Times"/>
    <w:panose1 w:val="00000000000000000000"/>
    <w:charset w:val="CC"/>
    <w:family w:val="auto"/>
    <w:notTrueType/>
    <w:pitch w:val="default"/>
    <w:sig w:usb0="00000203" w:usb1="00000000" w:usb2="00000000" w:usb3="00000000" w:csb0="00000005" w:csb1="00000000"/>
  </w:font>
  <w:font w:name="Lucida Grande">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Arial Narrow Bold">
    <w:panose1 w:val="020B0706020202030204"/>
    <w:charset w:val="00"/>
    <w:family w:val="auto"/>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Neue-Italic">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4EC31" w14:textId="77777777" w:rsidR="00AE5CFC" w:rsidRDefault="00AE5CFC" w:rsidP="004C31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CB6EAB" w14:textId="77777777" w:rsidR="00AE5CFC" w:rsidRDefault="00AE5CFC" w:rsidP="00B05C5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6E939BC2" w14:textId="77777777" w:rsidR="00AE5CFC" w:rsidRDefault="00AE5CFC" w:rsidP="00B05C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5AFF" w14:textId="1C4695EC" w:rsidR="00AE5CFC" w:rsidRPr="00B05C51" w:rsidRDefault="00AE5CFC" w:rsidP="00415667">
    <w:pPr>
      <w:keepNext/>
      <w:widowControl w:val="0"/>
      <w:tabs>
        <w:tab w:val="left" w:pos="567"/>
      </w:tabs>
      <w:suppressAutoHyphens/>
      <w:autoSpaceDE w:val="0"/>
      <w:autoSpaceDN w:val="0"/>
      <w:adjustRightInd w:val="0"/>
      <w:spacing w:after="0" w:line="240" w:lineRule="auto"/>
      <w:ind w:right="360"/>
      <w:jc w:val="right"/>
      <w:textAlignment w:val="center"/>
      <w:rPr>
        <w:rFonts w:cs="Arial"/>
        <w:b/>
        <w:bCs/>
        <w:sz w:val="20"/>
        <w:szCs w:val="20"/>
        <w:lang w:val="en-AU" w:eastAsia="en-AU" w:bidi="ar-YE"/>
      </w:rPr>
    </w:pPr>
    <w:r>
      <w:rPr>
        <w:rFonts w:cs="Arial"/>
        <w:b/>
        <w:bCs/>
        <w:sz w:val="20"/>
        <w:szCs w:val="20"/>
        <w:lang w:val="en-AU" w:eastAsia="en-AU" w:bidi="ar-YE"/>
      </w:rPr>
      <w:t>Mordechai v Commonwealth of Australia (DIBP)</w:t>
    </w:r>
    <w:r>
      <w:rPr>
        <w:rFonts w:cs="Arial"/>
        <w:sz w:val="20"/>
        <w:szCs w:val="20"/>
        <w:lang w:val="en-AU" w:eastAsia="en-AU"/>
      </w:rPr>
      <w:t xml:space="preserve"> • [2014] AusHRC 76</w:t>
    </w:r>
    <w:r w:rsidRPr="00415667">
      <w:rPr>
        <w:rFonts w:cs="Arial"/>
        <w:sz w:val="20"/>
        <w:szCs w:val="20"/>
        <w:lang w:val="en-AU" w:eastAsia="en-AU"/>
      </w:rPr>
      <w:t xml:space="preserve"> • </w:t>
    </w:r>
    <w:r w:rsidRPr="00232D6D">
      <w:rPr>
        <w:rStyle w:val="PageNumber"/>
        <w:b/>
      </w:rPr>
      <w:fldChar w:fldCharType="begin"/>
    </w:r>
    <w:r w:rsidRPr="00232D6D">
      <w:rPr>
        <w:rStyle w:val="PageNumber"/>
        <w:b/>
      </w:rPr>
      <w:instrText xml:space="preserve"> PAGE </w:instrText>
    </w:r>
    <w:r w:rsidRPr="00232D6D">
      <w:rPr>
        <w:rStyle w:val="PageNumber"/>
        <w:b/>
      </w:rPr>
      <w:fldChar w:fldCharType="separate"/>
    </w:r>
    <w:r w:rsidR="009D32C4">
      <w:rPr>
        <w:rStyle w:val="PageNumber"/>
        <w:b/>
        <w:noProof/>
      </w:rPr>
      <w:t>17</w:t>
    </w:r>
    <w:r w:rsidRPr="00232D6D">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9D69B2" w14:textId="77777777" w:rsidR="00AE5CFC" w:rsidRDefault="00AE5CFC" w:rsidP="00B05C51">
      <w:pPr>
        <w:spacing w:after="0" w:line="240" w:lineRule="auto"/>
      </w:pPr>
      <w:r>
        <w:separator/>
      </w:r>
    </w:p>
  </w:footnote>
  <w:footnote w:type="continuationSeparator" w:id="0">
    <w:p w14:paraId="65E384CE" w14:textId="77777777" w:rsidR="00AE5CFC" w:rsidRDefault="00AE5CFC" w:rsidP="00B05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81F87"/>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8926A67"/>
    <w:multiLevelType w:val="hybridMultilevel"/>
    <w:tmpl w:val="6900A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B68AF"/>
    <w:multiLevelType w:val="hybridMultilevel"/>
    <w:tmpl w:val="AECC5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E72B5A"/>
    <w:multiLevelType w:val="hybridMultilevel"/>
    <w:tmpl w:val="9A48542E"/>
    <w:lvl w:ilvl="0" w:tplc="E2C688B2">
      <w:start w:val="1"/>
      <w:numFmt w:val="decimal"/>
      <w:lvlText w:val="%1."/>
      <w:lvlJc w:val="left"/>
      <w:pPr>
        <w:tabs>
          <w:tab w:val="num" w:pos="567"/>
        </w:tabs>
        <w:ind w:left="567" w:hanging="567"/>
      </w:pPr>
      <w:rPr>
        <w:rFonts w:ascii="Arial" w:hAnsi="Arial" w:hint="default"/>
        <w:b w:val="0"/>
        <w:bCs w:val="0"/>
        <w:i w:val="0"/>
        <w:iCs w:val="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824A8"/>
    <w:multiLevelType w:val="hybridMultilevel"/>
    <w:tmpl w:val="841C94AC"/>
    <w:lvl w:ilvl="0" w:tplc="CA581E8A">
      <w:start w:val="1"/>
      <w:numFmt w:val="bullet"/>
      <w:lvlText w:val=""/>
      <w:lvlJc w:val="left"/>
      <w:pPr>
        <w:tabs>
          <w:tab w:val="num" w:pos="964"/>
        </w:tabs>
        <w:ind w:left="96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769EE"/>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6" w15:restartNumberingAfterBreak="0">
    <w:nsid w:val="17374DA9"/>
    <w:multiLevelType w:val="hybridMultilevel"/>
    <w:tmpl w:val="0C86E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20254D"/>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C6C166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DF1697A"/>
    <w:multiLevelType w:val="hybridMultilevel"/>
    <w:tmpl w:val="91760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F66091"/>
    <w:multiLevelType w:val="hybridMultilevel"/>
    <w:tmpl w:val="EE6EACAE"/>
    <w:lvl w:ilvl="0" w:tplc="9EDABC2A">
      <w:start w:val="1"/>
      <w:numFmt w:val="bullet"/>
      <w:lvlText w:val=""/>
      <w:lvlJc w:val="left"/>
      <w:pPr>
        <w:tabs>
          <w:tab w:val="num" w:pos="1440"/>
        </w:tabs>
        <w:ind w:left="1440" w:hanging="108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6703E3"/>
    <w:multiLevelType w:val="hybridMultilevel"/>
    <w:tmpl w:val="7200FD56"/>
    <w:lvl w:ilvl="0" w:tplc="80825AD0">
      <w:start w:val="1"/>
      <w:numFmt w:val="bullet"/>
      <w:lvlText w:val=""/>
      <w:lvlJc w:val="left"/>
      <w:pPr>
        <w:tabs>
          <w:tab w:val="num" w:pos="1531"/>
        </w:tabs>
        <w:ind w:left="1531" w:hanging="284"/>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0741F"/>
    <w:multiLevelType w:val="hybridMultilevel"/>
    <w:tmpl w:val="57027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C840728"/>
    <w:multiLevelType w:val="hybridMultilevel"/>
    <w:tmpl w:val="60646F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EF246B3"/>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15" w15:restartNumberingAfterBreak="0">
    <w:nsid w:val="2F3A7FDF"/>
    <w:multiLevelType w:val="hybridMultilevel"/>
    <w:tmpl w:val="65A6EE46"/>
    <w:lvl w:ilvl="0" w:tplc="AE50B114">
      <w:start w:val="1"/>
      <w:numFmt w:val="bullet"/>
      <w:lvlText w:val="»"/>
      <w:lvlJc w:val="left"/>
      <w:pPr>
        <w:tabs>
          <w:tab w:val="num" w:pos="1247"/>
        </w:tabs>
        <w:ind w:left="1247" w:hanging="283"/>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3D6F50"/>
    <w:multiLevelType w:val="hybridMultilevel"/>
    <w:tmpl w:val="3962F7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74B72DC"/>
    <w:multiLevelType w:val="hybridMultilevel"/>
    <w:tmpl w:val="6A6C2D90"/>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8" w15:restartNumberingAfterBreak="0">
    <w:nsid w:val="3DFD46FC"/>
    <w:multiLevelType w:val="hybridMultilevel"/>
    <w:tmpl w:val="E8EC693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9" w15:restartNumberingAfterBreak="0">
    <w:nsid w:val="408910F3"/>
    <w:multiLevelType w:val="multilevel"/>
    <w:tmpl w:val="A29EEE66"/>
    <w:lvl w:ilvl="0">
      <w:start w:val="1"/>
      <w:numFmt w:val="decimal"/>
      <w:pStyle w:val="Heading1"/>
      <w:lvlText w:val="%1"/>
      <w:lvlJc w:val="left"/>
      <w:pPr>
        <w:tabs>
          <w:tab w:val="num" w:pos="720"/>
        </w:tabs>
        <w:ind w:left="0" w:firstLine="0"/>
      </w:pPr>
      <w:rPr>
        <w:rFonts w:ascii="Arial" w:hAnsi="Arial" w:hint="default"/>
        <w:b/>
        <w:bCs/>
        <w:i w:val="0"/>
        <w:iCs w:val="0"/>
        <w:sz w:val="36"/>
        <w:szCs w:val="36"/>
      </w:rPr>
    </w:lvl>
    <w:lvl w:ilvl="1">
      <w:start w:val="1"/>
      <w:numFmt w:val="decimal"/>
      <w:pStyle w:val="Heading2"/>
      <w:lvlText w:val="%1.%2"/>
      <w:lvlJc w:val="left"/>
      <w:pPr>
        <w:tabs>
          <w:tab w:val="num" w:pos="720"/>
        </w:tabs>
        <w:ind w:left="0" w:firstLine="0"/>
      </w:pPr>
      <w:rPr>
        <w:rFonts w:ascii="Arial" w:hAnsi="Arial" w:cs="Arial" w:hint="default"/>
        <w:b/>
        <w:bCs/>
        <w:i w:val="0"/>
        <w:iCs w:val="0"/>
        <w:sz w:val="28"/>
        <w:szCs w:val="28"/>
      </w:rPr>
    </w:lvl>
    <w:lvl w:ilvl="2">
      <w:start w:val="1"/>
      <w:numFmt w:val="lowerLetter"/>
      <w:pStyle w:val="Heading3"/>
      <w:lvlText w:val="(%3)"/>
      <w:lvlJc w:val="left"/>
      <w:pPr>
        <w:tabs>
          <w:tab w:val="num" w:pos="567"/>
        </w:tabs>
        <w:ind w:left="0" w:firstLine="0"/>
      </w:pPr>
      <w:rPr>
        <w:rFonts w:ascii="Arial" w:hAnsi="Arial" w:hint="default"/>
        <w:b/>
        <w:bCs/>
        <w:i w:val="0"/>
        <w:iCs w:val="0"/>
        <w:sz w:val="24"/>
        <w:szCs w:val="24"/>
      </w:rPr>
    </w:lvl>
    <w:lvl w:ilvl="3">
      <w:start w:val="1"/>
      <w:numFmt w:val="lowerRoman"/>
      <w:pStyle w:val="Heading4"/>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41E65F74"/>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43FA0F12"/>
    <w:multiLevelType w:val="multilevel"/>
    <w:tmpl w:val="AECC557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47CD52FB"/>
    <w:multiLevelType w:val="hybridMultilevel"/>
    <w:tmpl w:val="6A9683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F2458A"/>
    <w:multiLevelType w:val="hybridMultilevel"/>
    <w:tmpl w:val="F1027EE4"/>
    <w:lvl w:ilvl="0" w:tplc="896EDB74">
      <w:start w:val="1"/>
      <w:numFmt w:val="bullet"/>
      <w:lvlText w:val=""/>
      <w:lvlJc w:val="left"/>
      <w:pPr>
        <w:tabs>
          <w:tab w:val="num" w:pos="680"/>
        </w:tabs>
        <w:ind w:left="680" w:hanging="39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A05C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50E17F0C"/>
    <w:multiLevelType w:val="multilevel"/>
    <w:tmpl w:val="063A5FEE"/>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15:restartNumberingAfterBreak="0">
    <w:nsid w:val="51CA7B91"/>
    <w:multiLevelType w:val="multilevel"/>
    <w:tmpl w:val="35A2172A"/>
    <w:lvl w:ilvl="0">
      <w:start w:val="1"/>
      <w:numFmt w:val="decimal"/>
      <w:lvlText w:val="%1"/>
      <w:lvlJc w:val="left"/>
      <w:pPr>
        <w:tabs>
          <w:tab w:val="num" w:pos="720"/>
        </w:tabs>
        <w:ind w:left="0" w:firstLine="0"/>
      </w:pPr>
      <w:rPr>
        <w:rFonts w:ascii="Arial" w:hAnsi="Arial" w:hint="default"/>
        <w:b/>
        <w:bCs/>
        <w:i w:val="0"/>
        <w:iCs w:val="0"/>
        <w:sz w:val="36"/>
        <w:szCs w:val="36"/>
      </w:rPr>
    </w:lvl>
    <w:lvl w:ilvl="1">
      <w:start w:val="1"/>
      <w:numFmt w:val="decimal"/>
      <w:lvlText w:val="%1.%2"/>
      <w:lvlJc w:val="left"/>
      <w:pPr>
        <w:tabs>
          <w:tab w:val="num" w:pos="720"/>
        </w:tabs>
        <w:ind w:left="0" w:firstLine="0"/>
      </w:pPr>
      <w:rPr>
        <w:rFonts w:hint="default"/>
      </w:rPr>
    </w:lvl>
    <w:lvl w:ilvl="2">
      <w:start w:val="1"/>
      <w:numFmt w:val="lowerLetter"/>
      <w:lvlText w:val="(%3)"/>
      <w:lvlJc w:val="left"/>
      <w:pPr>
        <w:tabs>
          <w:tab w:val="num" w:pos="567"/>
        </w:tabs>
        <w:ind w:left="0" w:firstLine="0"/>
      </w:pPr>
      <w:rPr>
        <w:rFonts w:ascii="Arial" w:hAnsi="Arial" w:hint="default"/>
        <w:b/>
        <w:bCs/>
        <w:i w:val="0"/>
        <w:iCs w:val="0"/>
        <w:sz w:val="24"/>
        <w:szCs w:val="24"/>
      </w:rPr>
    </w:lvl>
    <w:lvl w:ilvl="3">
      <w:start w:val="1"/>
      <w:numFmt w:val="lowerRoman"/>
      <w:lvlText w:val="(%4)"/>
      <w:lvlJc w:val="left"/>
      <w:pPr>
        <w:tabs>
          <w:tab w:val="num" w:pos="567"/>
        </w:tabs>
        <w:ind w:left="0" w:firstLine="0"/>
      </w:pPr>
      <w:rPr>
        <w:rFonts w:ascii="Arial" w:hAnsi="Arial" w:hint="default"/>
        <w:b w:val="0"/>
        <w:bCs w:val="0"/>
        <w:i/>
        <w:iCs/>
        <w:sz w:val="24"/>
        <w:szCs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C62647"/>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8" w15:restartNumberingAfterBreak="0">
    <w:nsid w:val="5B8A1362"/>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9" w15:restartNumberingAfterBreak="0">
    <w:nsid w:val="5C8479EA"/>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0" w15:restartNumberingAfterBreak="0">
    <w:nsid w:val="5D2A59C2"/>
    <w:multiLevelType w:val="hybridMultilevel"/>
    <w:tmpl w:val="7C22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8D09C2"/>
    <w:multiLevelType w:val="hybridMultilevel"/>
    <w:tmpl w:val="E7065AA4"/>
    <w:lvl w:ilvl="0" w:tplc="A080D46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08B6FD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97F0C98"/>
    <w:multiLevelType w:val="hybridMultilevel"/>
    <w:tmpl w:val="BE123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1E771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3AC6708"/>
    <w:multiLevelType w:val="multilevel"/>
    <w:tmpl w:val="3F667F7C"/>
    <w:lvl w:ilvl="0">
      <w:start w:val="1"/>
      <w:numFmt w:val="decimal"/>
      <w:lvlText w:val="%1"/>
      <w:lvlJc w:val="left"/>
      <w:pPr>
        <w:tabs>
          <w:tab w:val="num" w:pos="397"/>
        </w:tabs>
        <w:ind w:left="397" w:hanging="397"/>
      </w:pPr>
      <w:rPr>
        <w:rFonts w:ascii="Arial" w:hAnsi="Arial" w:hint="default"/>
        <w:b w:val="0"/>
        <w:bCs w:val="0"/>
        <w:i w:val="0"/>
        <w:iCs w:val="0"/>
        <w:color w:val="auto"/>
        <w:sz w:val="20"/>
        <w:szCs w:val="20"/>
      </w:rPr>
    </w:lvl>
    <w:lvl w:ilvl="1">
      <w:start w:val="1"/>
      <w:numFmt w:val="decimal"/>
      <w:lvlText w:val="%1.%2"/>
      <w:lvlJc w:val="left"/>
      <w:pPr>
        <w:tabs>
          <w:tab w:val="num" w:pos="680"/>
        </w:tabs>
        <w:ind w:left="0" w:firstLine="0"/>
      </w:pPr>
      <w:rPr>
        <w:rFonts w:ascii="Arial" w:hAnsi="Arial" w:hint="default"/>
        <w:b/>
        <w:bCs/>
        <w:i w:val="0"/>
        <w:iCs w:val="0"/>
        <w:sz w:val="28"/>
        <w:szCs w:val="28"/>
      </w:rPr>
    </w:lvl>
    <w:lvl w:ilvl="2">
      <w:start w:val="1"/>
      <w:numFmt w:val="lowerLetter"/>
      <w:lvlText w:val="(%3)"/>
      <w:lvlJc w:val="left"/>
      <w:pPr>
        <w:tabs>
          <w:tab w:val="num" w:pos="680"/>
        </w:tabs>
        <w:ind w:left="680" w:hanging="680"/>
      </w:pPr>
      <w:rPr>
        <w:rFonts w:ascii="Arial" w:hAnsi="Arial" w:hint="default"/>
        <w:b/>
        <w:bCs/>
        <w:i w:val="0"/>
        <w:iCs w:val="0"/>
        <w:sz w:val="24"/>
        <w:szCs w:val="24"/>
      </w:rPr>
    </w:lvl>
    <w:lvl w:ilvl="3">
      <w:start w:val="1"/>
      <w:numFmt w:val="lowerRoman"/>
      <w:lvlText w:val="(%4)"/>
      <w:lvlJc w:val="left"/>
      <w:pPr>
        <w:tabs>
          <w:tab w:val="num" w:pos="680"/>
        </w:tabs>
        <w:ind w:left="680" w:hanging="680"/>
      </w:pPr>
      <w:rPr>
        <w:rFonts w:ascii="Arial" w:hAnsi="Arial" w:hint="default"/>
        <w:b w:val="0"/>
        <w:bCs w:val="0"/>
        <w:i/>
        <w:iCs/>
        <w:sz w:val="24"/>
        <w:szCs w:val="24"/>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36" w15:restartNumberingAfterBreak="0">
    <w:nsid w:val="7B1B1D9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F181B5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F89071B"/>
    <w:multiLevelType w:val="hybridMultilevel"/>
    <w:tmpl w:val="AFE21B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43422676">
    <w:abstractNumId w:val="35"/>
  </w:num>
  <w:num w:numId="2" w16cid:durableId="2034643614">
    <w:abstractNumId w:val="23"/>
  </w:num>
  <w:num w:numId="3" w16cid:durableId="1604921096">
    <w:abstractNumId w:val="4"/>
  </w:num>
  <w:num w:numId="4" w16cid:durableId="1034501283">
    <w:abstractNumId w:val="15"/>
  </w:num>
  <w:num w:numId="5" w16cid:durableId="844515969">
    <w:abstractNumId w:val="11"/>
  </w:num>
  <w:num w:numId="6" w16cid:durableId="516384541">
    <w:abstractNumId w:val="26"/>
  </w:num>
  <w:num w:numId="7" w16cid:durableId="1530139451">
    <w:abstractNumId w:val="3"/>
  </w:num>
  <w:num w:numId="8" w16cid:durableId="1505701234">
    <w:abstractNumId w:val="7"/>
  </w:num>
  <w:num w:numId="9" w16cid:durableId="1023752543">
    <w:abstractNumId w:val="0"/>
  </w:num>
  <w:num w:numId="10" w16cid:durableId="1833644224">
    <w:abstractNumId w:val="32"/>
  </w:num>
  <w:num w:numId="11" w16cid:durableId="1628046911">
    <w:abstractNumId w:val="22"/>
  </w:num>
  <w:num w:numId="12" w16cid:durableId="1658997480">
    <w:abstractNumId w:val="13"/>
  </w:num>
  <w:num w:numId="13" w16cid:durableId="42560029">
    <w:abstractNumId w:val="6"/>
  </w:num>
  <w:num w:numId="14" w16cid:durableId="894047327">
    <w:abstractNumId w:val="16"/>
  </w:num>
  <w:num w:numId="15" w16cid:durableId="2019041422">
    <w:abstractNumId w:val="38"/>
  </w:num>
  <w:num w:numId="16" w16cid:durableId="1991519264">
    <w:abstractNumId w:val="1"/>
  </w:num>
  <w:num w:numId="17" w16cid:durableId="242032771">
    <w:abstractNumId w:val="33"/>
  </w:num>
  <w:num w:numId="18" w16cid:durableId="1591965078">
    <w:abstractNumId w:val="12"/>
  </w:num>
  <w:num w:numId="19" w16cid:durableId="625165814">
    <w:abstractNumId w:val="5"/>
  </w:num>
  <w:num w:numId="20" w16cid:durableId="866604485">
    <w:abstractNumId w:val="2"/>
  </w:num>
  <w:num w:numId="21" w16cid:durableId="567226052">
    <w:abstractNumId w:val="21"/>
  </w:num>
  <w:num w:numId="22" w16cid:durableId="961300640">
    <w:abstractNumId w:val="17"/>
  </w:num>
  <w:num w:numId="23" w16cid:durableId="927694682">
    <w:abstractNumId w:val="30"/>
  </w:num>
  <w:num w:numId="24" w16cid:durableId="1830750223">
    <w:abstractNumId w:val="9"/>
  </w:num>
  <w:num w:numId="25" w16cid:durableId="511064865">
    <w:abstractNumId w:val="31"/>
  </w:num>
  <w:num w:numId="26" w16cid:durableId="1768502964">
    <w:abstractNumId w:val="10"/>
  </w:num>
  <w:num w:numId="27" w16cid:durableId="2144419684">
    <w:abstractNumId w:val="14"/>
  </w:num>
  <w:num w:numId="28" w16cid:durableId="2123109501">
    <w:abstractNumId w:val="37"/>
  </w:num>
  <w:num w:numId="29" w16cid:durableId="368185607">
    <w:abstractNumId w:val="25"/>
  </w:num>
  <w:num w:numId="30" w16cid:durableId="1468666087">
    <w:abstractNumId w:val="19"/>
  </w:num>
  <w:num w:numId="31" w16cid:durableId="1028800081">
    <w:abstractNumId w:val="24"/>
  </w:num>
  <w:num w:numId="32" w16cid:durableId="795832909">
    <w:abstractNumId w:val="8"/>
  </w:num>
  <w:num w:numId="33" w16cid:durableId="1853688353">
    <w:abstractNumId w:val="34"/>
  </w:num>
  <w:num w:numId="34" w16cid:durableId="1783450119">
    <w:abstractNumId w:val="36"/>
  </w:num>
  <w:num w:numId="35" w16cid:durableId="1327048709">
    <w:abstractNumId w:val="28"/>
  </w:num>
  <w:num w:numId="36" w16cid:durableId="1293365794">
    <w:abstractNumId w:val="18"/>
  </w:num>
  <w:num w:numId="37" w16cid:durableId="2092239098">
    <w:abstractNumId w:val="20"/>
  </w:num>
  <w:num w:numId="38" w16cid:durableId="1055275795">
    <w:abstractNumId w:val="27"/>
  </w:num>
  <w:num w:numId="39" w16cid:durableId="210221460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hideSpellingErrors/>
  <w:proofState w:spelling="clean" w:grammar="clean"/>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DC1"/>
    <w:rsid w:val="00014710"/>
    <w:rsid w:val="00027EF8"/>
    <w:rsid w:val="0003227F"/>
    <w:rsid w:val="00034C5E"/>
    <w:rsid w:val="000433C2"/>
    <w:rsid w:val="00054926"/>
    <w:rsid w:val="00084C18"/>
    <w:rsid w:val="00095F05"/>
    <w:rsid w:val="0009644E"/>
    <w:rsid w:val="000B3067"/>
    <w:rsid w:val="000E3DC1"/>
    <w:rsid w:val="000E7A39"/>
    <w:rsid w:val="00146770"/>
    <w:rsid w:val="00155A60"/>
    <w:rsid w:val="00165BD0"/>
    <w:rsid w:val="001A1EBA"/>
    <w:rsid w:val="001B7059"/>
    <w:rsid w:val="001F3461"/>
    <w:rsid w:val="0020724C"/>
    <w:rsid w:val="00232D6D"/>
    <w:rsid w:val="00243ED7"/>
    <w:rsid w:val="002449E2"/>
    <w:rsid w:val="00252D90"/>
    <w:rsid w:val="00275140"/>
    <w:rsid w:val="002C6E0D"/>
    <w:rsid w:val="003062CF"/>
    <w:rsid w:val="003418E5"/>
    <w:rsid w:val="0034597C"/>
    <w:rsid w:val="00350BA1"/>
    <w:rsid w:val="003705D1"/>
    <w:rsid w:val="0037390D"/>
    <w:rsid w:val="0039341C"/>
    <w:rsid w:val="003D5035"/>
    <w:rsid w:val="003D61E8"/>
    <w:rsid w:val="003E0558"/>
    <w:rsid w:val="00402009"/>
    <w:rsid w:val="00415667"/>
    <w:rsid w:val="004231EA"/>
    <w:rsid w:val="00434834"/>
    <w:rsid w:val="00440B66"/>
    <w:rsid w:val="00442615"/>
    <w:rsid w:val="00457DBF"/>
    <w:rsid w:val="00497316"/>
    <w:rsid w:val="004A6EC1"/>
    <w:rsid w:val="004B2F40"/>
    <w:rsid w:val="004B3F35"/>
    <w:rsid w:val="004C31E4"/>
    <w:rsid w:val="004D06B7"/>
    <w:rsid w:val="005103C4"/>
    <w:rsid w:val="00513ECA"/>
    <w:rsid w:val="00563A42"/>
    <w:rsid w:val="00565EF2"/>
    <w:rsid w:val="005943F8"/>
    <w:rsid w:val="005B2430"/>
    <w:rsid w:val="00640F27"/>
    <w:rsid w:val="00651527"/>
    <w:rsid w:val="00662AFF"/>
    <w:rsid w:val="00675561"/>
    <w:rsid w:val="00676AF8"/>
    <w:rsid w:val="00692111"/>
    <w:rsid w:val="006A7C7D"/>
    <w:rsid w:val="006D72DA"/>
    <w:rsid w:val="006E443A"/>
    <w:rsid w:val="0071026C"/>
    <w:rsid w:val="00724BF0"/>
    <w:rsid w:val="00744410"/>
    <w:rsid w:val="00763387"/>
    <w:rsid w:val="007660C8"/>
    <w:rsid w:val="007A0E3A"/>
    <w:rsid w:val="007B4954"/>
    <w:rsid w:val="007D7793"/>
    <w:rsid w:val="007E1FD7"/>
    <w:rsid w:val="007E205C"/>
    <w:rsid w:val="00800732"/>
    <w:rsid w:val="00816522"/>
    <w:rsid w:val="00833542"/>
    <w:rsid w:val="00842896"/>
    <w:rsid w:val="0088757B"/>
    <w:rsid w:val="00891E89"/>
    <w:rsid w:val="008A1BA1"/>
    <w:rsid w:val="008B4D28"/>
    <w:rsid w:val="008D2E0B"/>
    <w:rsid w:val="008D79D6"/>
    <w:rsid w:val="008E3985"/>
    <w:rsid w:val="00900EC9"/>
    <w:rsid w:val="009037B0"/>
    <w:rsid w:val="00912998"/>
    <w:rsid w:val="00970456"/>
    <w:rsid w:val="0097780D"/>
    <w:rsid w:val="009B49AF"/>
    <w:rsid w:val="009D32C4"/>
    <w:rsid w:val="009F3D05"/>
    <w:rsid w:val="009F42AD"/>
    <w:rsid w:val="00A22878"/>
    <w:rsid w:val="00A232E4"/>
    <w:rsid w:val="00A43AB6"/>
    <w:rsid w:val="00A43AE1"/>
    <w:rsid w:val="00A52110"/>
    <w:rsid w:val="00A77E7B"/>
    <w:rsid w:val="00A93A26"/>
    <w:rsid w:val="00AA498B"/>
    <w:rsid w:val="00AD0E05"/>
    <w:rsid w:val="00AD328B"/>
    <w:rsid w:val="00AE3321"/>
    <w:rsid w:val="00AE5CFC"/>
    <w:rsid w:val="00B03154"/>
    <w:rsid w:val="00B05C51"/>
    <w:rsid w:val="00B66FDE"/>
    <w:rsid w:val="00B7591A"/>
    <w:rsid w:val="00B9369D"/>
    <w:rsid w:val="00B971F2"/>
    <w:rsid w:val="00BB0E8F"/>
    <w:rsid w:val="00BC569C"/>
    <w:rsid w:val="00C157A7"/>
    <w:rsid w:val="00C17F32"/>
    <w:rsid w:val="00C53A1D"/>
    <w:rsid w:val="00C650C0"/>
    <w:rsid w:val="00C9166F"/>
    <w:rsid w:val="00C95492"/>
    <w:rsid w:val="00CD79B0"/>
    <w:rsid w:val="00D13A67"/>
    <w:rsid w:val="00D44C18"/>
    <w:rsid w:val="00D46946"/>
    <w:rsid w:val="00D61731"/>
    <w:rsid w:val="00D6621A"/>
    <w:rsid w:val="00D82B60"/>
    <w:rsid w:val="00DA0288"/>
    <w:rsid w:val="00DB4E90"/>
    <w:rsid w:val="00DC3F2B"/>
    <w:rsid w:val="00DD1149"/>
    <w:rsid w:val="00E25CEE"/>
    <w:rsid w:val="00E45C1D"/>
    <w:rsid w:val="00E46837"/>
    <w:rsid w:val="00E521A5"/>
    <w:rsid w:val="00E628AD"/>
    <w:rsid w:val="00EA41DB"/>
    <w:rsid w:val="00EC3802"/>
    <w:rsid w:val="00EC4340"/>
    <w:rsid w:val="00F107F0"/>
    <w:rsid w:val="00F33654"/>
    <w:rsid w:val="00F3443D"/>
    <w:rsid w:val="00F40B1A"/>
    <w:rsid w:val="00F4293A"/>
    <w:rsid w:val="00F4339F"/>
    <w:rsid w:val="00F801A4"/>
    <w:rsid w:val="00F87B03"/>
    <w:rsid w:val="00FC67C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553B76"/>
  <w14:defaultImageDpi w14:val="300"/>
  <w15:docId w15:val="{883303C7-FCD9-4217-8AF3-B85B1058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667"/>
    <w:pPr>
      <w:spacing w:after="200" w:line="288" w:lineRule="auto"/>
    </w:pPr>
    <w:rPr>
      <w:rFonts w:ascii="Arial" w:hAnsi="Arial"/>
      <w:sz w:val="24"/>
      <w:szCs w:val="24"/>
      <w:lang w:val="it-IT" w:eastAsia="en-US"/>
    </w:rPr>
  </w:style>
  <w:style w:type="paragraph" w:styleId="Heading1">
    <w:name w:val="heading 1"/>
    <w:basedOn w:val="Normal"/>
    <w:next w:val="Normal"/>
    <w:link w:val="Heading1Char"/>
    <w:autoRedefine/>
    <w:uiPriority w:val="9"/>
    <w:qFormat/>
    <w:rsid w:val="004B3F35"/>
    <w:pPr>
      <w:keepNext/>
      <w:keepLines/>
      <w:numPr>
        <w:numId w:val="30"/>
      </w:numPr>
      <w:spacing w:before="400" w:line="240" w:lineRule="auto"/>
      <w:ind w:left="720" w:hanging="720"/>
      <w:outlineLvl w:val="0"/>
    </w:pPr>
    <w:rPr>
      <w:rFonts w:eastAsiaTheme="majorEastAsia" w:cstheme="majorBidi"/>
      <w:b/>
      <w:bCs/>
      <w:sz w:val="36"/>
      <w:szCs w:val="32"/>
    </w:rPr>
  </w:style>
  <w:style w:type="paragraph" w:styleId="Heading2">
    <w:name w:val="heading 2"/>
    <w:next w:val="Normal"/>
    <w:link w:val="Heading2Char"/>
    <w:uiPriority w:val="9"/>
    <w:unhideWhenUsed/>
    <w:qFormat/>
    <w:rsid w:val="004B2F40"/>
    <w:pPr>
      <w:keepNext/>
      <w:keepLines/>
      <w:numPr>
        <w:ilvl w:val="1"/>
        <w:numId w:val="30"/>
      </w:numPr>
      <w:spacing w:before="400" w:after="200"/>
      <w:ind w:left="720" w:hanging="720"/>
      <w:outlineLvl w:val="1"/>
    </w:pPr>
    <w:rPr>
      <w:rFonts w:ascii="Arial" w:eastAsiaTheme="majorEastAsia" w:hAnsi="Arial" w:cstheme="majorBidi"/>
      <w:b/>
      <w:bCs/>
      <w:sz w:val="28"/>
      <w:szCs w:val="26"/>
      <w:lang w:eastAsia="en-US"/>
    </w:rPr>
  </w:style>
  <w:style w:type="paragraph" w:styleId="Heading3">
    <w:name w:val="heading 3"/>
    <w:basedOn w:val="Normal"/>
    <w:next w:val="Normal"/>
    <w:link w:val="Heading3Char"/>
    <w:uiPriority w:val="9"/>
    <w:unhideWhenUsed/>
    <w:qFormat/>
    <w:rsid w:val="006D72DA"/>
    <w:pPr>
      <w:keepNext/>
      <w:keepLines/>
      <w:numPr>
        <w:ilvl w:val="2"/>
        <w:numId w:val="30"/>
      </w:numPr>
      <w:spacing w:before="400"/>
      <w:outlineLvl w:val="2"/>
    </w:pPr>
    <w:rPr>
      <w:rFonts w:eastAsiaTheme="majorEastAsia" w:cstheme="majorBidi"/>
      <w:b/>
      <w:bCs/>
    </w:rPr>
  </w:style>
  <w:style w:type="paragraph" w:styleId="Heading4">
    <w:name w:val="heading 4"/>
    <w:next w:val="Normal"/>
    <w:link w:val="Heading4Char"/>
    <w:uiPriority w:val="9"/>
    <w:unhideWhenUsed/>
    <w:qFormat/>
    <w:rsid w:val="006D72DA"/>
    <w:pPr>
      <w:keepNext/>
      <w:numPr>
        <w:ilvl w:val="3"/>
        <w:numId w:val="30"/>
      </w:numPr>
      <w:spacing w:before="300" w:after="200"/>
      <w:outlineLvl w:val="3"/>
    </w:pPr>
    <w:rPr>
      <w:rFonts w:ascii="Arial" w:eastAsiaTheme="majorEastAsia" w:hAnsi="Arial" w:cstheme="majorBidi"/>
      <w:bCs/>
      <w:i/>
      <w:iCs/>
      <w:sz w:val="24"/>
      <w:lang w:eastAsia="en-US"/>
    </w:rPr>
  </w:style>
  <w:style w:type="paragraph" w:styleId="Heading5">
    <w:name w:val="heading 5"/>
    <w:basedOn w:val="Normal"/>
    <w:next w:val="Normal"/>
    <w:link w:val="Heading5Char"/>
    <w:uiPriority w:val="9"/>
    <w:unhideWhenUsed/>
    <w:qFormat/>
    <w:rsid w:val="006D72DA"/>
    <w:pPr>
      <w:keepNext/>
      <w:keepLines/>
      <w:spacing w:before="300" w:line="240" w:lineRule="auto"/>
      <w:outlineLvl w:val="4"/>
    </w:pPr>
    <w:rPr>
      <w:rFonts w:eastAsiaTheme="majorEastAsia" w:cstheme="majorBidi"/>
      <w:b/>
    </w:rPr>
  </w:style>
  <w:style w:type="paragraph" w:styleId="Heading6">
    <w:name w:val="heading 6"/>
    <w:basedOn w:val="Normal"/>
    <w:next w:val="Normal"/>
    <w:link w:val="Heading6Char"/>
    <w:uiPriority w:val="9"/>
    <w:unhideWhenUsed/>
    <w:rsid w:val="006D72DA"/>
    <w:pPr>
      <w:keepNext/>
      <w:keepLines/>
      <w:spacing w:before="400"/>
      <w:outlineLvl w:val="5"/>
    </w:pPr>
    <w:rPr>
      <w:rFonts w:eastAsiaTheme="majorEastAsia" w:cstheme="majorBidi"/>
      <w:i/>
      <w:iCs/>
    </w:rPr>
  </w:style>
  <w:style w:type="paragraph" w:styleId="Heading7">
    <w:name w:val="heading 7"/>
    <w:basedOn w:val="Normal"/>
    <w:next w:val="Normal"/>
    <w:link w:val="Heading7Char"/>
    <w:uiPriority w:val="9"/>
    <w:semiHidden/>
    <w:unhideWhenUsed/>
    <w:rsid w:val="006D72DA"/>
    <w:pPr>
      <w:keepNext/>
      <w:keepLines/>
      <w:spacing w:before="300" w:line="240" w:lineRule="auto"/>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
    <w:unhideWhenUsed/>
    <w:rsid w:val="006D72DA"/>
    <w:pPr>
      <w:keepNext/>
      <w:keepLines/>
      <w:spacing w:before="400" w:line="240" w:lineRule="auto"/>
      <w:outlineLvl w:val="7"/>
    </w:pPr>
    <w:rPr>
      <w:rFonts w:eastAsiaTheme="majorEastAsia" w:cstheme="majorBidi"/>
      <w:b/>
      <w:sz w:val="36"/>
      <w:szCs w:val="20"/>
    </w:rPr>
  </w:style>
  <w:style w:type="paragraph" w:styleId="Heading9">
    <w:name w:val="heading 9"/>
    <w:basedOn w:val="Normal"/>
    <w:next w:val="Normal"/>
    <w:link w:val="Heading9Char"/>
    <w:uiPriority w:val="9"/>
    <w:unhideWhenUsed/>
    <w:rsid w:val="006D72DA"/>
    <w:pPr>
      <w:keepNext/>
      <w:keepLines/>
      <w:spacing w:before="400" w:line="240" w:lineRule="auto"/>
      <w:outlineLvl w:val="8"/>
    </w:pPr>
    <w:rPr>
      <w:rFonts w:eastAsiaTheme="majorEastAsia" w:cstheme="majorBidi"/>
      <w:b/>
      <w:i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35"/>
    <w:rPr>
      <w:rFonts w:ascii="Arial" w:eastAsiaTheme="majorEastAsia" w:hAnsi="Arial" w:cstheme="majorBidi"/>
      <w:b/>
      <w:bCs/>
      <w:sz w:val="36"/>
      <w:szCs w:val="32"/>
      <w:lang w:val="it-IT" w:eastAsia="en-US"/>
    </w:rPr>
  </w:style>
  <w:style w:type="character" w:customStyle="1" w:styleId="Heading2Char">
    <w:name w:val="Heading 2 Char"/>
    <w:basedOn w:val="DefaultParagraphFont"/>
    <w:link w:val="Heading2"/>
    <w:uiPriority w:val="9"/>
    <w:rsid w:val="004B2F40"/>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6D72DA"/>
    <w:rPr>
      <w:rFonts w:ascii="Arial" w:eastAsiaTheme="majorEastAsia" w:hAnsi="Arial" w:cstheme="majorBidi"/>
      <w:b/>
      <w:bCs/>
      <w:sz w:val="24"/>
      <w:szCs w:val="24"/>
      <w:lang w:val="it-IT" w:eastAsia="en-US"/>
    </w:rPr>
  </w:style>
  <w:style w:type="character" w:customStyle="1" w:styleId="Heading4Char">
    <w:name w:val="Heading 4 Char"/>
    <w:basedOn w:val="DefaultParagraphFont"/>
    <w:link w:val="Heading4"/>
    <w:uiPriority w:val="9"/>
    <w:rsid w:val="006D72DA"/>
    <w:rPr>
      <w:rFonts w:ascii="Arial" w:eastAsiaTheme="majorEastAsia" w:hAnsi="Arial" w:cstheme="majorBidi"/>
      <w:bCs/>
      <w:i/>
      <w:iCs/>
      <w:sz w:val="24"/>
      <w:lang w:eastAsia="en-US"/>
    </w:rPr>
  </w:style>
  <w:style w:type="character" w:customStyle="1" w:styleId="Heading5Char">
    <w:name w:val="Heading 5 Char"/>
    <w:basedOn w:val="DefaultParagraphFont"/>
    <w:link w:val="Heading5"/>
    <w:uiPriority w:val="9"/>
    <w:rsid w:val="000E7A39"/>
    <w:rPr>
      <w:rFonts w:ascii="Arial" w:eastAsiaTheme="majorEastAsia" w:hAnsi="Arial" w:cstheme="majorBidi"/>
      <w:b/>
      <w:sz w:val="24"/>
      <w:szCs w:val="24"/>
      <w:lang w:val="it-IT" w:eastAsia="en-US"/>
    </w:rPr>
  </w:style>
  <w:style w:type="character" w:customStyle="1" w:styleId="Heading6Char">
    <w:name w:val="Heading 6 Char"/>
    <w:basedOn w:val="DefaultParagraphFont"/>
    <w:link w:val="Heading6"/>
    <w:uiPriority w:val="9"/>
    <w:rsid w:val="000E7A39"/>
    <w:rPr>
      <w:rFonts w:ascii="Arial" w:eastAsiaTheme="majorEastAsia" w:hAnsi="Arial" w:cstheme="majorBidi"/>
      <w:i/>
      <w:iCs/>
      <w:sz w:val="24"/>
      <w:szCs w:val="24"/>
      <w:lang w:val="it-IT" w:eastAsia="en-US"/>
    </w:rPr>
  </w:style>
  <w:style w:type="character" w:customStyle="1" w:styleId="Heading7Char">
    <w:name w:val="Heading 7 Char"/>
    <w:basedOn w:val="DefaultParagraphFont"/>
    <w:link w:val="Heading7"/>
    <w:uiPriority w:val="9"/>
    <w:semiHidden/>
    <w:rsid w:val="006D72DA"/>
    <w:rPr>
      <w:rFonts w:ascii="Arial" w:eastAsiaTheme="majorEastAsia" w:hAnsi="Arial" w:cstheme="majorBidi"/>
      <w:b/>
      <w:i/>
      <w:iCs/>
      <w:color w:val="404040" w:themeColor="text1" w:themeTint="BF"/>
      <w:sz w:val="24"/>
      <w:szCs w:val="24"/>
      <w:lang w:val="it-IT" w:eastAsia="en-US"/>
    </w:rPr>
  </w:style>
  <w:style w:type="character" w:customStyle="1" w:styleId="Heading8Char">
    <w:name w:val="Heading 8 Char"/>
    <w:basedOn w:val="DefaultParagraphFont"/>
    <w:link w:val="Heading8"/>
    <w:uiPriority w:val="9"/>
    <w:rsid w:val="006D72DA"/>
    <w:rPr>
      <w:rFonts w:ascii="Arial" w:eastAsiaTheme="majorEastAsia" w:hAnsi="Arial" w:cstheme="majorBidi"/>
      <w:b/>
      <w:sz w:val="36"/>
      <w:lang w:val="it-IT" w:eastAsia="en-US"/>
    </w:rPr>
  </w:style>
  <w:style w:type="character" w:customStyle="1" w:styleId="Heading9Char">
    <w:name w:val="Heading 9 Char"/>
    <w:basedOn w:val="DefaultParagraphFont"/>
    <w:link w:val="Heading9"/>
    <w:uiPriority w:val="9"/>
    <w:rsid w:val="006D72DA"/>
    <w:rPr>
      <w:rFonts w:ascii="Arial" w:eastAsiaTheme="majorEastAsia" w:hAnsi="Arial" w:cstheme="majorBidi"/>
      <w:b/>
      <w:iCs/>
      <w:sz w:val="28"/>
      <w:lang w:val="it-IT" w:eastAsia="en-US"/>
    </w:rPr>
  </w:style>
  <w:style w:type="character" w:styleId="FootnoteReference">
    <w:name w:val="footnote reference"/>
    <w:semiHidden/>
    <w:qFormat/>
    <w:rsid w:val="00B7591A"/>
    <w:rPr>
      <w:rFonts w:ascii="Arial" w:hAnsi="Arial"/>
      <w:sz w:val="20"/>
      <w:vertAlign w:val="superscript"/>
    </w:rPr>
  </w:style>
  <w:style w:type="character" w:styleId="Emphasis">
    <w:name w:val="Emphasis"/>
    <w:basedOn w:val="DefaultParagraphFont"/>
    <w:uiPriority w:val="99"/>
    <w:qFormat/>
    <w:rsid w:val="00900EC9"/>
    <w:rPr>
      <w:rFonts w:ascii="Arial" w:hAnsi="Arial"/>
      <w:i/>
      <w:iCs/>
    </w:rPr>
  </w:style>
  <w:style w:type="character" w:styleId="EndnoteReference">
    <w:name w:val="endnote reference"/>
    <w:basedOn w:val="DefaultParagraphFont"/>
    <w:uiPriority w:val="99"/>
    <w:unhideWhenUsed/>
    <w:rsid w:val="00900EC9"/>
    <w:rPr>
      <w:rFonts w:ascii="Arial" w:hAnsi="Arial"/>
      <w:vertAlign w:val="superscript"/>
    </w:rPr>
  </w:style>
  <w:style w:type="paragraph" w:styleId="EndnoteText">
    <w:name w:val="endnote text"/>
    <w:basedOn w:val="Normal"/>
    <w:link w:val="EndnoteTextChar"/>
    <w:uiPriority w:val="99"/>
    <w:unhideWhenUsed/>
    <w:rsid w:val="00833542"/>
    <w:pPr>
      <w:keepLines/>
      <w:tabs>
        <w:tab w:val="num" w:pos="567"/>
      </w:tabs>
      <w:spacing w:after="0" w:line="240" w:lineRule="auto"/>
      <w:ind w:left="720" w:hanging="720"/>
    </w:pPr>
    <w:rPr>
      <w:sz w:val="20"/>
    </w:rPr>
  </w:style>
  <w:style w:type="character" w:customStyle="1" w:styleId="EndnoteTextChar">
    <w:name w:val="Endnote Text Char"/>
    <w:basedOn w:val="DefaultParagraphFont"/>
    <w:link w:val="EndnoteText"/>
    <w:uiPriority w:val="99"/>
    <w:rsid w:val="00833542"/>
    <w:rPr>
      <w:rFonts w:ascii="Arial" w:hAnsi="Arial"/>
      <w:szCs w:val="24"/>
      <w:lang w:val="it-IT" w:eastAsia="en-US"/>
    </w:rPr>
  </w:style>
  <w:style w:type="character" w:styleId="FollowedHyperlink">
    <w:name w:val="FollowedHyperlink"/>
    <w:basedOn w:val="DefaultParagraphFont"/>
    <w:uiPriority w:val="99"/>
    <w:unhideWhenUsed/>
    <w:rsid w:val="00900EC9"/>
    <w:rPr>
      <w:rFonts w:ascii="Arial" w:hAnsi="Arial"/>
      <w:color w:val="800080" w:themeColor="followedHyperlink"/>
      <w:u w:val="single"/>
    </w:rPr>
  </w:style>
  <w:style w:type="paragraph" w:styleId="Footer">
    <w:name w:val="footer"/>
    <w:basedOn w:val="Normal"/>
    <w:next w:val="Normal"/>
    <w:link w:val="FooterChar"/>
    <w:uiPriority w:val="99"/>
    <w:unhideWhenUsed/>
    <w:rsid w:val="00900EC9"/>
    <w:pPr>
      <w:keepLines/>
      <w:tabs>
        <w:tab w:val="center" w:pos="4320"/>
        <w:tab w:val="right" w:pos="8640"/>
      </w:tabs>
      <w:spacing w:after="0" w:line="240" w:lineRule="auto"/>
    </w:pPr>
    <w:rPr>
      <w:b/>
      <w:sz w:val="18"/>
    </w:rPr>
  </w:style>
  <w:style w:type="character" w:customStyle="1" w:styleId="FooterChar">
    <w:name w:val="Footer Char"/>
    <w:basedOn w:val="DefaultParagraphFont"/>
    <w:link w:val="Footer"/>
    <w:uiPriority w:val="99"/>
    <w:rsid w:val="00900EC9"/>
    <w:rPr>
      <w:rFonts w:ascii="Arial" w:hAnsi="Arial"/>
      <w:b/>
      <w:sz w:val="18"/>
      <w:szCs w:val="24"/>
      <w:lang w:eastAsia="en-US"/>
    </w:rPr>
  </w:style>
  <w:style w:type="paragraph" w:styleId="FootnoteText">
    <w:name w:val="footnote text"/>
    <w:link w:val="FootnoteTextChar"/>
    <w:autoRedefine/>
    <w:uiPriority w:val="99"/>
    <w:qFormat/>
    <w:rsid w:val="00B7591A"/>
    <w:pPr>
      <w:ind w:left="397" w:hanging="397"/>
    </w:pPr>
    <w:rPr>
      <w:rFonts w:ascii="Arial" w:eastAsia="MS Mincho" w:hAnsi="Arial"/>
    </w:rPr>
  </w:style>
  <w:style w:type="character" w:customStyle="1" w:styleId="FootnoteTextChar">
    <w:name w:val="Footnote Text Char"/>
    <w:link w:val="FootnoteText"/>
    <w:uiPriority w:val="99"/>
    <w:rsid w:val="00B7591A"/>
    <w:rPr>
      <w:rFonts w:ascii="Arial" w:eastAsia="MS Mincho" w:hAnsi="Arial"/>
    </w:rPr>
  </w:style>
  <w:style w:type="paragraph" w:styleId="ListParagraph">
    <w:name w:val="List Paragraph"/>
    <w:basedOn w:val="Normal"/>
    <w:uiPriority w:val="34"/>
    <w:qFormat/>
    <w:rsid w:val="006D72DA"/>
    <w:pPr>
      <w:keepLines/>
      <w:ind w:left="720" w:hanging="720"/>
    </w:pPr>
  </w:style>
  <w:style w:type="paragraph" w:styleId="NormalIndent">
    <w:name w:val="Normal Indent"/>
    <w:basedOn w:val="Normal"/>
    <w:uiPriority w:val="99"/>
    <w:semiHidden/>
    <w:unhideWhenUsed/>
    <w:rsid w:val="00B7591A"/>
    <w:pPr>
      <w:ind w:left="680"/>
    </w:pPr>
  </w:style>
  <w:style w:type="character" w:styleId="PageNumber">
    <w:name w:val="page number"/>
    <w:basedOn w:val="DefaultParagraphFont"/>
    <w:semiHidden/>
    <w:rsid w:val="00B7591A"/>
    <w:rPr>
      <w:rFonts w:ascii="Arial" w:hAnsi="Arial"/>
      <w:sz w:val="20"/>
    </w:rPr>
  </w:style>
  <w:style w:type="paragraph" w:styleId="Quote">
    <w:name w:val="Quote"/>
    <w:basedOn w:val="Normal"/>
    <w:next w:val="Normal"/>
    <w:link w:val="QuoteChar"/>
    <w:uiPriority w:val="99"/>
    <w:rsid w:val="0039341C"/>
    <w:pPr>
      <w:keepLines/>
      <w:ind w:left="1440"/>
    </w:pPr>
    <w:rPr>
      <w:iCs/>
      <w:color w:val="000000" w:themeColor="text1"/>
    </w:rPr>
  </w:style>
  <w:style w:type="character" w:customStyle="1" w:styleId="QuoteChar">
    <w:name w:val="Quote Char"/>
    <w:basedOn w:val="DefaultParagraphFont"/>
    <w:link w:val="Quote"/>
    <w:uiPriority w:val="99"/>
    <w:rsid w:val="0039341C"/>
    <w:rPr>
      <w:rFonts w:ascii="Arial" w:hAnsi="Arial"/>
      <w:iCs/>
      <w:color w:val="000000" w:themeColor="text1"/>
      <w:sz w:val="24"/>
      <w:szCs w:val="24"/>
      <w:lang w:val="it-IT" w:eastAsia="en-US"/>
    </w:rPr>
  </w:style>
  <w:style w:type="character" w:styleId="Strong">
    <w:name w:val="Strong"/>
    <w:basedOn w:val="DefaultParagraphFont"/>
    <w:uiPriority w:val="99"/>
    <w:qFormat/>
    <w:rsid w:val="00900EC9"/>
    <w:rPr>
      <w:rFonts w:ascii="Arial" w:hAnsi="Arial"/>
      <w:b/>
      <w:bCs/>
      <w:i w:val="0"/>
      <w:color w:val="auto"/>
    </w:rPr>
  </w:style>
  <w:style w:type="table" w:customStyle="1" w:styleId="TableNormal10ptArial">
    <w:name w:val="Table Normal 10pt Arial"/>
    <w:basedOn w:val="TableNormal"/>
    <w:uiPriority w:val="99"/>
    <w:rsid w:val="00B7591A"/>
    <w:rPr>
      <w:rFonts w:ascii="Arial" w:hAnsi="Arial"/>
    </w:rPr>
    <w:tblPr/>
  </w:style>
  <w:style w:type="character" w:styleId="Hyperlink">
    <w:name w:val="Hyperlink"/>
    <w:uiPriority w:val="99"/>
    <w:unhideWhenUsed/>
    <w:rsid w:val="00900EC9"/>
    <w:rPr>
      <w:rFonts w:ascii="Arial" w:hAnsi="Arial"/>
      <w:color w:val="548DD4" w:themeColor="text2" w:themeTint="99"/>
      <w:u w:val="none"/>
    </w:rPr>
  </w:style>
  <w:style w:type="character" w:styleId="IntenseEmphasis">
    <w:name w:val="Intense Emphasis"/>
    <w:basedOn w:val="DefaultParagraphFont"/>
    <w:uiPriority w:val="21"/>
    <w:rsid w:val="00900EC9"/>
    <w:rPr>
      <w:rFonts w:ascii="Arial" w:hAnsi="Arial"/>
      <w:b/>
      <w:bCs/>
      <w:i/>
      <w:iCs/>
      <w:color w:val="auto"/>
    </w:rPr>
  </w:style>
  <w:style w:type="paragraph" w:customStyle="1" w:styleId="CopyrightText">
    <w:name w:val="Copyright Text"/>
    <w:basedOn w:val="Normal"/>
    <w:uiPriority w:val="99"/>
    <w:rsid w:val="00900EC9"/>
    <w:pPr>
      <w:widowControl w:val="0"/>
      <w:tabs>
        <w:tab w:val="left" w:pos="170"/>
      </w:tabs>
      <w:suppressAutoHyphens/>
      <w:autoSpaceDE w:val="0"/>
      <w:autoSpaceDN w:val="0"/>
      <w:adjustRightInd w:val="0"/>
      <w:spacing w:after="57"/>
      <w:textAlignment w:val="center"/>
    </w:pPr>
    <w:rPr>
      <w:rFonts w:cs="HelveticaCYPlain"/>
      <w:sz w:val="20"/>
      <w:szCs w:val="16"/>
      <w:u w:color="000000"/>
      <w:lang w:eastAsia="en-AU"/>
    </w:rPr>
  </w:style>
  <w:style w:type="paragraph" w:styleId="Header">
    <w:name w:val="header"/>
    <w:basedOn w:val="Normal"/>
    <w:next w:val="Normal"/>
    <w:link w:val="HeaderChar"/>
    <w:uiPriority w:val="99"/>
    <w:unhideWhenUsed/>
    <w:rsid w:val="00900EC9"/>
    <w:pPr>
      <w:keepLines/>
      <w:tabs>
        <w:tab w:val="center" w:pos="4320"/>
        <w:tab w:val="right" w:pos="8640"/>
      </w:tabs>
      <w:spacing w:after="0" w:line="240" w:lineRule="auto"/>
    </w:pPr>
    <w:rPr>
      <w:b/>
      <w:sz w:val="18"/>
    </w:rPr>
  </w:style>
  <w:style w:type="character" w:customStyle="1" w:styleId="HeaderChar">
    <w:name w:val="Header Char"/>
    <w:basedOn w:val="DefaultParagraphFont"/>
    <w:link w:val="Header"/>
    <w:uiPriority w:val="99"/>
    <w:rsid w:val="00900EC9"/>
    <w:rPr>
      <w:rFonts w:ascii="Arial" w:hAnsi="Arial"/>
      <w:b/>
      <w:sz w:val="18"/>
      <w:szCs w:val="24"/>
      <w:lang w:eastAsia="en-US"/>
    </w:rPr>
  </w:style>
  <w:style w:type="paragraph" w:customStyle="1" w:styleId="InternalTitleAHRC">
    <w:name w:val="Internal Title AHRC"/>
    <w:basedOn w:val="Normal"/>
    <w:uiPriority w:val="99"/>
    <w:rsid w:val="00900EC9"/>
    <w:pPr>
      <w:keepLines/>
      <w:widowControl w:val="0"/>
      <w:tabs>
        <w:tab w:val="left" w:pos="680"/>
      </w:tabs>
      <w:suppressAutoHyphens/>
      <w:autoSpaceDE w:val="0"/>
      <w:autoSpaceDN w:val="0"/>
      <w:adjustRightInd w:val="0"/>
      <w:spacing w:after="0"/>
      <w:ind w:left="283" w:hanging="283"/>
      <w:textAlignment w:val="center"/>
    </w:pPr>
    <w:rPr>
      <w:rFonts w:cs="HelveticaNeue-Bold"/>
      <w:b/>
      <w:bCs/>
      <w:color w:val="6D6F70"/>
      <w:sz w:val="20"/>
      <w:szCs w:val="20"/>
      <w:lang w:eastAsia="en-AU"/>
    </w:rPr>
  </w:style>
  <w:style w:type="paragraph" w:customStyle="1" w:styleId="EndnotesHeading">
    <w:name w:val="Endnotes (Heading)"/>
    <w:basedOn w:val="Normal"/>
    <w:rsid w:val="00B9369D"/>
    <w:pPr>
      <w:keepLines/>
    </w:pPr>
    <w:rPr>
      <w:b/>
      <w:color w:val="548DD4" w:themeColor="text2" w:themeTint="99"/>
      <w:sz w:val="20"/>
      <w:szCs w:val="18"/>
    </w:rPr>
  </w:style>
  <w:style w:type="paragraph" w:customStyle="1" w:styleId="TableHeader">
    <w:name w:val="Table Header"/>
    <w:basedOn w:val="Normal"/>
    <w:uiPriority w:val="99"/>
    <w:rsid w:val="00402009"/>
    <w:pPr>
      <w:widowControl w:val="0"/>
      <w:suppressAutoHyphens/>
      <w:autoSpaceDE w:val="0"/>
      <w:autoSpaceDN w:val="0"/>
      <w:adjustRightInd w:val="0"/>
      <w:spacing w:after="0" w:line="240" w:lineRule="auto"/>
      <w:textAlignment w:val="center"/>
    </w:pPr>
    <w:rPr>
      <w:rFonts w:cs="HelveticaCYBold"/>
      <w:b/>
      <w:bCs/>
      <w:sz w:val="20"/>
      <w:szCs w:val="17"/>
      <w:lang w:val="en-US" w:eastAsia="en-AU"/>
    </w:rPr>
  </w:style>
  <w:style w:type="paragraph" w:customStyle="1" w:styleId="TableText">
    <w:name w:val="Table Text"/>
    <w:basedOn w:val="Normal"/>
    <w:uiPriority w:val="99"/>
    <w:rsid w:val="00402009"/>
    <w:pPr>
      <w:widowControl w:val="0"/>
      <w:suppressAutoHyphens/>
      <w:autoSpaceDE w:val="0"/>
      <w:autoSpaceDN w:val="0"/>
      <w:adjustRightInd w:val="0"/>
      <w:spacing w:after="0" w:line="240" w:lineRule="auto"/>
      <w:textAlignment w:val="center"/>
    </w:pPr>
    <w:rPr>
      <w:rFonts w:cs="HelveticaCYPlain"/>
      <w:color w:val="000000"/>
      <w:sz w:val="20"/>
      <w:szCs w:val="15"/>
      <w:lang w:val="en-US" w:eastAsia="en-AU"/>
    </w:rPr>
  </w:style>
  <w:style w:type="paragraph" w:customStyle="1" w:styleId="BulletsList">
    <w:name w:val="Bullets List"/>
    <w:basedOn w:val="Normal"/>
    <w:uiPriority w:val="99"/>
    <w:rsid w:val="00D82B60"/>
    <w:pPr>
      <w:keepLines/>
      <w:widowControl w:val="0"/>
      <w:tabs>
        <w:tab w:val="left" w:pos="567"/>
        <w:tab w:val="num" w:pos="964"/>
      </w:tabs>
      <w:suppressAutoHyphens/>
      <w:autoSpaceDE w:val="0"/>
      <w:autoSpaceDN w:val="0"/>
      <w:adjustRightInd w:val="0"/>
      <w:ind w:left="1644" w:hanging="357"/>
      <w:textAlignment w:val="center"/>
    </w:pPr>
    <w:rPr>
      <w:rFonts w:cs="HelveticaNeue"/>
      <w:color w:val="000000"/>
      <w:szCs w:val="17"/>
      <w:lang w:val="en-US" w:eastAsia="en-AU"/>
    </w:rPr>
  </w:style>
  <w:style w:type="paragraph" w:customStyle="1" w:styleId="BulletsList0">
    <w:name w:val="Bullets List &gt;"/>
    <w:basedOn w:val="BulletsList"/>
    <w:uiPriority w:val="99"/>
    <w:rsid w:val="006D72DA"/>
    <w:pPr>
      <w:tabs>
        <w:tab w:val="clear" w:pos="964"/>
        <w:tab w:val="num" w:pos="1247"/>
      </w:tabs>
      <w:ind w:left="1247" w:hanging="283"/>
    </w:pPr>
  </w:style>
  <w:style w:type="paragraph" w:customStyle="1" w:styleId="BulletsList1">
    <w:name w:val="Bullets List &gt;&gt;"/>
    <w:basedOn w:val="BulletsList0"/>
    <w:uiPriority w:val="99"/>
    <w:rsid w:val="006D72DA"/>
    <w:pPr>
      <w:tabs>
        <w:tab w:val="clear" w:pos="1247"/>
        <w:tab w:val="left" w:pos="850"/>
        <w:tab w:val="num" w:pos="1531"/>
      </w:tabs>
      <w:ind w:left="1531" w:hanging="284"/>
    </w:pPr>
  </w:style>
  <w:style w:type="paragraph" w:customStyle="1" w:styleId="BulletsMargin">
    <w:name w:val="Bullets Margin"/>
    <w:basedOn w:val="Normal"/>
    <w:uiPriority w:val="99"/>
    <w:rsid w:val="006D72DA"/>
    <w:pPr>
      <w:keepLines/>
      <w:widowControl w:val="0"/>
      <w:tabs>
        <w:tab w:val="num" w:pos="680"/>
      </w:tabs>
      <w:suppressAutoHyphens/>
      <w:autoSpaceDE w:val="0"/>
      <w:autoSpaceDN w:val="0"/>
      <w:adjustRightInd w:val="0"/>
      <w:spacing w:after="100"/>
      <w:ind w:left="680" w:hanging="396"/>
      <w:textAlignment w:val="center"/>
    </w:pPr>
    <w:rPr>
      <w:rFonts w:cs="HelveticaNeue"/>
      <w:color w:val="000000"/>
      <w:szCs w:val="17"/>
      <w:lang w:val="en-US" w:eastAsia="en-AU"/>
    </w:rPr>
  </w:style>
  <w:style w:type="paragraph" w:customStyle="1" w:styleId="PullQuote">
    <w:name w:val="Pull Quote"/>
    <w:basedOn w:val="Normal"/>
    <w:uiPriority w:val="99"/>
    <w:rsid w:val="00900EC9"/>
    <w:pPr>
      <w:keepLines/>
      <w:widowControl w:val="0"/>
      <w:suppressAutoHyphens/>
      <w:autoSpaceDE w:val="0"/>
      <w:autoSpaceDN w:val="0"/>
      <w:adjustRightInd w:val="0"/>
      <w:spacing w:after="0"/>
      <w:textAlignment w:val="center"/>
    </w:pPr>
    <w:rPr>
      <w:rFonts w:cs="HelveticaNeue-Bold"/>
      <w:b/>
      <w:bCs/>
      <w:color w:val="FFFFFF" w:themeColor="background1"/>
      <w:szCs w:val="16"/>
      <w:lang w:val="en-US" w:eastAsia="en-AU"/>
    </w:rPr>
  </w:style>
  <w:style w:type="paragraph" w:styleId="TOC1">
    <w:name w:val="toc 1"/>
    <w:basedOn w:val="Normal"/>
    <w:next w:val="Normal"/>
    <w:autoRedefine/>
    <w:uiPriority w:val="39"/>
    <w:unhideWhenUsed/>
    <w:rsid w:val="007E1FD7"/>
    <w:pPr>
      <w:keepLines/>
      <w:tabs>
        <w:tab w:val="left" w:pos="720"/>
        <w:tab w:val="right" w:pos="9015"/>
      </w:tabs>
    </w:pPr>
    <w:rPr>
      <w:b/>
    </w:rPr>
  </w:style>
  <w:style w:type="paragraph" w:styleId="TOC2">
    <w:name w:val="toc 2"/>
    <w:basedOn w:val="Normal"/>
    <w:next w:val="Normal"/>
    <w:autoRedefine/>
    <w:uiPriority w:val="39"/>
    <w:unhideWhenUsed/>
    <w:rsid w:val="00232D6D"/>
    <w:pPr>
      <w:keepLines/>
      <w:tabs>
        <w:tab w:val="left" w:pos="720"/>
        <w:tab w:val="left" w:pos="1440"/>
        <w:tab w:val="right" w:pos="9015"/>
      </w:tabs>
      <w:ind w:left="720"/>
    </w:pPr>
  </w:style>
  <w:style w:type="paragraph" w:customStyle="1" w:styleId="EndnoteBullets">
    <w:name w:val="Endnote Bullets"/>
    <w:uiPriority w:val="99"/>
    <w:rsid w:val="00900EC9"/>
    <w:pPr>
      <w:widowControl w:val="0"/>
      <w:tabs>
        <w:tab w:val="left" w:pos="567"/>
      </w:tabs>
      <w:suppressAutoHyphens/>
      <w:autoSpaceDE w:val="0"/>
      <w:autoSpaceDN w:val="0"/>
      <w:adjustRightInd w:val="0"/>
      <w:textAlignment w:val="center"/>
    </w:pPr>
    <w:rPr>
      <w:rFonts w:ascii="Arial" w:hAnsi="Arial" w:cs="HelveticaNeue"/>
      <w:color w:val="000000"/>
      <w:lang w:val="en-US"/>
    </w:rPr>
  </w:style>
  <w:style w:type="paragraph" w:customStyle="1" w:styleId="NoParagraphStyle">
    <w:name w:val="[No Paragraph Style]"/>
    <w:rsid w:val="000E3DC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InternalTitleBold">
    <w:name w:val="Internal Title Bold"/>
    <w:basedOn w:val="NoParagraphStyle"/>
    <w:uiPriority w:val="99"/>
    <w:rsid w:val="000E3DC1"/>
    <w:pPr>
      <w:keepNext/>
      <w:tabs>
        <w:tab w:val="left" w:pos="567"/>
      </w:tabs>
      <w:suppressAutoHyphens/>
      <w:spacing w:after="283" w:line="400" w:lineRule="atLeast"/>
    </w:pPr>
    <w:rPr>
      <w:rFonts w:ascii="HelveticaCYBold" w:hAnsi="HelveticaCYBold" w:cs="HelveticaCYBold"/>
      <w:b/>
      <w:bCs/>
      <w:color w:val="4C4C4C"/>
      <w:sz w:val="36"/>
      <w:szCs w:val="36"/>
      <w:lang w:val="en-AU"/>
    </w:rPr>
  </w:style>
  <w:style w:type="paragraph" w:customStyle="1" w:styleId="Footnote">
    <w:name w:val="Footnote"/>
    <w:basedOn w:val="NoParagraphStyle"/>
    <w:uiPriority w:val="99"/>
    <w:rsid w:val="000E3DC1"/>
    <w:pPr>
      <w:tabs>
        <w:tab w:val="left" w:pos="680"/>
      </w:tabs>
      <w:suppressAutoHyphens/>
      <w:ind w:left="283" w:hanging="283"/>
    </w:pPr>
    <w:rPr>
      <w:rFonts w:ascii="HelveticaNeue" w:hAnsi="HelveticaNeue" w:cs="HelveticaNeue"/>
      <w:sz w:val="14"/>
      <w:szCs w:val="14"/>
      <w:lang w:val="en-AU"/>
    </w:rPr>
  </w:style>
  <w:style w:type="paragraph" w:styleId="BalloonText">
    <w:name w:val="Balloon Text"/>
    <w:basedOn w:val="Normal"/>
    <w:link w:val="BalloonTextChar"/>
    <w:uiPriority w:val="99"/>
    <w:semiHidden/>
    <w:unhideWhenUsed/>
    <w:rsid w:val="000E3DC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3DC1"/>
    <w:rPr>
      <w:rFonts w:ascii="Lucida Grande" w:hAnsi="Lucida Grande" w:cs="Lucida Grande"/>
      <w:sz w:val="18"/>
      <w:szCs w:val="18"/>
      <w:lang w:val="it-IT" w:eastAsia="en-US"/>
    </w:rPr>
  </w:style>
  <w:style w:type="paragraph" w:customStyle="1" w:styleId="LetterAHRC">
    <w:name w:val="Letter (AHRC)"/>
    <w:basedOn w:val="NoParagraphStyle"/>
    <w:uiPriority w:val="99"/>
    <w:rsid w:val="000E3DC1"/>
    <w:pPr>
      <w:suppressAutoHyphens/>
      <w:spacing w:after="113"/>
    </w:pPr>
    <w:rPr>
      <w:rFonts w:ascii="HelveticaCYBold" w:hAnsi="HelveticaCYBold" w:cs="HelveticaCYBold"/>
      <w:b/>
      <w:bCs/>
      <w:sz w:val="15"/>
      <w:szCs w:val="15"/>
    </w:rPr>
  </w:style>
  <w:style w:type="paragraph" w:customStyle="1" w:styleId="LetterheadAddress">
    <w:name w:val="Letterhead Address"/>
    <w:basedOn w:val="NoParagraphStyle"/>
    <w:uiPriority w:val="99"/>
    <w:rsid w:val="000E3DC1"/>
    <w:pPr>
      <w:suppressAutoHyphens/>
      <w:spacing w:after="57"/>
    </w:pPr>
    <w:rPr>
      <w:rFonts w:ascii="HelveticaNeue" w:hAnsi="HelveticaNeue" w:cs="HelveticaNeue"/>
      <w:sz w:val="14"/>
      <w:szCs w:val="14"/>
      <w:lang w:val="en-AU"/>
    </w:rPr>
  </w:style>
  <w:style w:type="paragraph" w:styleId="BodyTextIndent">
    <w:name w:val="Body Text Indent"/>
    <w:basedOn w:val="Normal"/>
    <w:link w:val="BodyTextIndentChar"/>
    <w:uiPriority w:val="99"/>
    <w:unhideWhenUsed/>
    <w:rsid w:val="00D6621A"/>
    <w:pPr>
      <w:spacing w:after="120"/>
      <w:ind w:left="283"/>
    </w:pPr>
  </w:style>
  <w:style w:type="character" w:customStyle="1" w:styleId="BodyTextIndentChar">
    <w:name w:val="Body Text Indent Char"/>
    <w:basedOn w:val="DefaultParagraphFont"/>
    <w:link w:val="BodyTextIndent"/>
    <w:uiPriority w:val="99"/>
    <w:rsid w:val="00D6621A"/>
    <w:rPr>
      <w:rFonts w:ascii="Arial" w:hAnsi="Arial"/>
      <w:sz w:val="24"/>
      <w:szCs w:val="24"/>
      <w:lang w:val="it-IT" w:eastAsia="en-US"/>
    </w:rPr>
  </w:style>
  <w:style w:type="paragraph" w:customStyle="1" w:styleId="Heading11">
    <w:name w:val="Heading 1: 1"/>
    <w:basedOn w:val="NoParagraphStyle"/>
    <w:next w:val="Normal"/>
    <w:uiPriority w:val="99"/>
    <w:rsid w:val="00D6621A"/>
    <w:pPr>
      <w:keepNext/>
      <w:tabs>
        <w:tab w:val="left" w:pos="680"/>
      </w:tabs>
      <w:suppressAutoHyphens/>
      <w:spacing w:before="227" w:after="227" w:line="520" w:lineRule="atLeast"/>
      <w:ind w:left="680" w:hanging="680"/>
    </w:pPr>
    <w:rPr>
      <w:rFonts w:ascii="HelveticaCYPlain" w:hAnsi="HelveticaCYPlain" w:cs="HelveticaCYPlain"/>
      <w:color w:val="4C4C4C"/>
      <w:sz w:val="52"/>
      <w:szCs w:val="52"/>
      <w:lang w:val="en-AU"/>
    </w:rPr>
  </w:style>
  <w:style w:type="paragraph" w:customStyle="1" w:styleId="Bulletsa">
    <w:name w:val="Bullets (a)"/>
    <w:basedOn w:val="NoParagraphStyle"/>
    <w:next w:val="NoParagraphStyle"/>
    <w:uiPriority w:val="99"/>
    <w:rsid w:val="004B2F40"/>
    <w:pPr>
      <w:keepLines/>
      <w:widowControl/>
      <w:suppressAutoHyphens/>
      <w:spacing w:after="200"/>
      <w:ind w:left="2160" w:hanging="720"/>
    </w:pPr>
    <w:rPr>
      <w:rFonts w:ascii="Arial" w:hAnsi="Arial" w:cs="HelveticaNeue"/>
      <w:szCs w:val="17"/>
    </w:rPr>
  </w:style>
  <w:style w:type="paragraph" w:customStyle="1" w:styleId="Heading211">
    <w:name w:val="Heading 2: 1.1"/>
    <w:basedOn w:val="Normal"/>
    <w:uiPriority w:val="99"/>
    <w:rsid w:val="00D6621A"/>
    <w:pPr>
      <w:keepNext/>
      <w:keepLines/>
      <w:widowControl w:val="0"/>
      <w:tabs>
        <w:tab w:val="left" w:pos="0"/>
        <w:tab w:val="left" w:pos="680"/>
      </w:tabs>
      <w:suppressAutoHyphens/>
      <w:autoSpaceDE w:val="0"/>
      <w:autoSpaceDN w:val="0"/>
      <w:adjustRightInd w:val="0"/>
      <w:spacing w:before="170" w:after="170" w:line="360" w:lineRule="atLeast"/>
      <w:ind w:left="680" w:hanging="680"/>
      <w:textAlignment w:val="center"/>
    </w:pPr>
    <w:rPr>
      <w:rFonts w:ascii="HelveticaCYPlain" w:hAnsi="HelveticaCYPlain" w:cs="HelveticaCYPlain"/>
      <w:color w:val="000000"/>
      <w:sz w:val="36"/>
      <w:szCs w:val="36"/>
      <w:lang w:val="en-AU" w:eastAsia="en-AU"/>
    </w:rPr>
  </w:style>
  <w:style w:type="paragraph" w:customStyle="1" w:styleId="Bulletsi">
    <w:name w:val="Bullets i)"/>
    <w:basedOn w:val="NoParagraphStyle"/>
    <w:next w:val="NoParagraphStyle"/>
    <w:uiPriority w:val="99"/>
    <w:rsid w:val="0003227F"/>
    <w:pPr>
      <w:keepLines/>
      <w:suppressAutoHyphens/>
      <w:spacing w:after="100"/>
      <w:ind w:left="2421" w:hanging="567"/>
    </w:pPr>
    <w:rPr>
      <w:rFonts w:ascii="Arial" w:hAnsi="Arial" w:cs="HelveticaNeue"/>
      <w:color w:val="auto"/>
      <w:szCs w:val="17"/>
    </w:rPr>
  </w:style>
  <w:style w:type="paragraph" w:customStyle="1" w:styleId="BodyQuote10mm2">
    <w:name w:val="Body Quote 10mm +2"/>
    <w:basedOn w:val="NoParagraphStyle"/>
    <w:uiPriority w:val="99"/>
    <w:rsid w:val="00D6621A"/>
    <w:pPr>
      <w:keepLines/>
      <w:suppressAutoHyphens/>
      <w:spacing w:after="113"/>
      <w:ind w:left="1247"/>
    </w:pPr>
    <w:rPr>
      <w:rFonts w:ascii="HelveticaNeue" w:hAnsi="HelveticaNeue" w:cs="HelveticaNeue"/>
      <w:sz w:val="17"/>
      <w:szCs w:val="17"/>
      <w:lang w:val="en-GB"/>
    </w:rPr>
  </w:style>
  <w:style w:type="paragraph" w:customStyle="1" w:styleId="Bullets1">
    <w:name w:val="Bullets 1."/>
    <w:basedOn w:val="NoParagraphStyle"/>
    <w:next w:val="NoParagraphStyle"/>
    <w:uiPriority w:val="99"/>
    <w:rsid w:val="00DB4E90"/>
    <w:pPr>
      <w:tabs>
        <w:tab w:val="left" w:pos="850"/>
      </w:tabs>
      <w:suppressAutoHyphens/>
      <w:spacing w:after="113"/>
      <w:ind w:left="1440" w:hanging="720"/>
    </w:pPr>
    <w:rPr>
      <w:rFonts w:ascii="Arial" w:hAnsi="Arial" w:cs="HelveticaNeue"/>
      <w:szCs w:val="17"/>
    </w:rPr>
  </w:style>
  <w:style w:type="paragraph" w:customStyle="1" w:styleId="BodyTextIndent12mm">
    <w:name w:val="Body Text Indent 12mm"/>
    <w:basedOn w:val="BodyTextIndent"/>
    <w:uiPriority w:val="99"/>
    <w:rsid w:val="00D6621A"/>
    <w:pPr>
      <w:widowControl w:val="0"/>
      <w:tabs>
        <w:tab w:val="left" w:pos="567"/>
      </w:tabs>
      <w:suppressAutoHyphens/>
      <w:autoSpaceDE w:val="0"/>
      <w:autoSpaceDN w:val="0"/>
      <w:adjustRightInd w:val="0"/>
      <w:spacing w:after="113"/>
      <w:ind w:left="680"/>
      <w:textAlignment w:val="center"/>
    </w:pPr>
    <w:rPr>
      <w:rFonts w:ascii="HelveticaNeue" w:hAnsi="HelveticaNeue" w:cs="HelveticaNeue"/>
      <w:color w:val="000000"/>
      <w:sz w:val="17"/>
      <w:szCs w:val="17"/>
      <w:lang w:val="en-US" w:eastAsia="en-AU"/>
    </w:rPr>
  </w:style>
  <w:style w:type="character" w:customStyle="1" w:styleId="Pantone300C">
    <w:name w:val="Pantone 300 C"/>
    <w:uiPriority w:val="99"/>
    <w:rsid w:val="00D6621A"/>
    <w:rPr>
      <w:color w:val="008EFF"/>
    </w:rPr>
  </w:style>
  <w:style w:type="paragraph" w:styleId="Revision">
    <w:name w:val="Revision"/>
    <w:hidden/>
    <w:uiPriority w:val="99"/>
    <w:semiHidden/>
    <w:rsid w:val="00651527"/>
    <w:rPr>
      <w:rFonts w:ascii="Arial" w:hAnsi="Arial"/>
      <w:sz w:val="24"/>
      <w:szCs w:val="24"/>
      <w:lang w:val="it-IT" w:eastAsia="en-US"/>
    </w:rPr>
  </w:style>
  <w:style w:type="paragraph" w:styleId="DocumentMap">
    <w:name w:val="Document Map"/>
    <w:basedOn w:val="Normal"/>
    <w:link w:val="DocumentMapChar"/>
    <w:uiPriority w:val="99"/>
    <w:semiHidden/>
    <w:unhideWhenUsed/>
    <w:rsid w:val="00651527"/>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651527"/>
    <w:rPr>
      <w:rFonts w:ascii="Lucida Grande" w:hAnsi="Lucida Grande" w:cs="Lucida Grande"/>
      <w:sz w:val="24"/>
      <w:szCs w:val="24"/>
      <w:lang w:val="it-IT" w:eastAsia="en-US"/>
    </w:rPr>
  </w:style>
  <w:style w:type="paragraph" w:styleId="TOC3">
    <w:name w:val="toc 3"/>
    <w:basedOn w:val="Normal"/>
    <w:next w:val="Normal"/>
    <w:autoRedefine/>
    <w:uiPriority w:val="39"/>
    <w:unhideWhenUsed/>
    <w:rsid w:val="004C31E4"/>
    <w:pPr>
      <w:ind w:left="480"/>
    </w:pPr>
  </w:style>
  <w:style w:type="paragraph" w:styleId="TOC4">
    <w:name w:val="toc 4"/>
    <w:basedOn w:val="Normal"/>
    <w:next w:val="Normal"/>
    <w:autoRedefine/>
    <w:uiPriority w:val="39"/>
    <w:unhideWhenUsed/>
    <w:rsid w:val="004C31E4"/>
    <w:pPr>
      <w:ind w:left="720"/>
    </w:pPr>
  </w:style>
  <w:style w:type="paragraph" w:styleId="TOC5">
    <w:name w:val="toc 5"/>
    <w:basedOn w:val="Normal"/>
    <w:next w:val="Normal"/>
    <w:autoRedefine/>
    <w:uiPriority w:val="39"/>
    <w:unhideWhenUsed/>
    <w:rsid w:val="004C31E4"/>
    <w:pPr>
      <w:ind w:left="960"/>
    </w:pPr>
  </w:style>
  <w:style w:type="paragraph" w:styleId="TOC6">
    <w:name w:val="toc 6"/>
    <w:basedOn w:val="Normal"/>
    <w:next w:val="Normal"/>
    <w:autoRedefine/>
    <w:uiPriority w:val="39"/>
    <w:unhideWhenUsed/>
    <w:rsid w:val="004C31E4"/>
    <w:pPr>
      <w:ind w:left="1200"/>
    </w:pPr>
  </w:style>
  <w:style w:type="paragraph" w:styleId="TOC7">
    <w:name w:val="toc 7"/>
    <w:basedOn w:val="Normal"/>
    <w:next w:val="Normal"/>
    <w:autoRedefine/>
    <w:uiPriority w:val="39"/>
    <w:unhideWhenUsed/>
    <w:rsid w:val="004C31E4"/>
    <w:pPr>
      <w:ind w:left="1440"/>
    </w:pPr>
  </w:style>
  <w:style w:type="paragraph" w:styleId="TOC8">
    <w:name w:val="toc 8"/>
    <w:basedOn w:val="Normal"/>
    <w:next w:val="Normal"/>
    <w:autoRedefine/>
    <w:uiPriority w:val="39"/>
    <w:unhideWhenUsed/>
    <w:rsid w:val="004C31E4"/>
    <w:pPr>
      <w:ind w:left="1680"/>
    </w:pPr>
  </w:style>
  <w:style w:type="paragraph" w:styleId="TOC9">
    <w:name w:val="toc 9"/>
    <w:basedOn w:val="Normal"/>
    <w:next w:val="Normal"/>
    <w:autoRedefine/>
    <w:uiPriority w:val="39"/>
    <w:unhideWhenUsed/>
    <w:rsid w:val="004C31E4"/>
    <w:pPr>
      <w:ind w:left="1920"/>
    </w:pPr>
  </w:style>
  <w:style w:type="paragraph" w:customStyle="1" w:styleId="BodyListParagraph">
    <w:name w:val="Body List Paragraph"/>
    <w:basedOn w:val="BulletsList"/>
    <w:uiPriority w:val="99"/>
    <w:rsid w:val="00C95492"/>
    <w:pPr>
      <w:tabs>
        <w:tab w:val="clear" w:pos="567"/>
        <w:tab w:val="clear" w:pos="964"/>
        <w:tab w:val="left" w:pos="680"/>
      </w:tabs>
      <w:spacing w:after="113"/>
      <w:ind w:left="680" w:hanging="680"/>
    </w:pPr>
    <w:rPr>
      <w:rFonts w:ascii="HelveticaNeue" w:hAnsi="HelveticaNeue"/>
      <w:sz w:val="17"/>
    </w:rPr>
  </w:style>
  <w:style w:type="paragraph" w:customStyle="1" w:styleId="Bulletsa0">
    <w:name w:val="Bullets a)"/>
    <w:basedOn w:val="NoParagraphStyle"/>
    <w:next w:val="NoParagraphStyle"/>
    <w:uiPriority w:val="99"/>
    <w:rsid w:val="00D82B60"/>
    <w:pPr>
      <w:suppressAutoHyphens/>
      <w:spacing w:after="200"/>
      <w:ind w:left="1644" w:hanging="357"/>
    </w:pPr>
    <w:rPr>
      <w:rFonts w:ascii="Arial" w:hAnsi="Arial" w:cs="HelveticaNeue"/>
      <w:szCs w:val="17"/>
    </w:rPr>
  </w:style>
  <w:style w:type="paragraph" w:customStyle="1" w:styleId="BasicParagraph">
    <w:name w:val="[Basic Paragraph]"/>
    <w:basedOn w:val="NoParagraphStyle"/>
    <w:uiPriority w:val="99"/>
    <w:rsid w:val="00C95492"/>
  </w:style>
  <w:style w:type="paragraph" w:customStyle="1" w:styleId="EndnoteFirst">
    <w:name w:val="Endnote (First)"/>
    <w:basedOn w:val="EndnoteText"/>
    <w:uiPriority w:val="99"/>
    <w:rsid w:val="00C95492"/>
    <w:pPr>
      <w:keepLines w:val="0"/>
      <w:widowControl w:val="0"/>
      <w:pBdr>
        <w:top w:val="single" w:sz="8" w:space="11" w:color="4C4C4C"/>
      </w:pBdr>
      <w:tabs>
        <w:tab w:val="left" w:pos="567"/>
      </w:tabs>
      <w:suppressAutoHyphens/>
      <w:autoSpaceDE w:val="0"/>
      <w:autoSpaceDN w:val="0"/>
      <w:adjustRightInd w:val="0"/>
      <w:spacing w:before="567" w:line="288" w:lineRule="auto"/>
      <w:ind w:left="340" w:hanging="340"/>
      <w:textAlignment w:val="center"/>
    </w:pPr>
    <w:rPr>
      <w:rFonts w:ascii="HelveticaNeue" w:hAnsi="HelveticaNeue" w:cs="HelveticaNeue"/>
      <w:color w:val="000000"/>
      <w:sz w:val="14"/>
      <w:szCs w:val="14"/>
      <w:lang w:val="en-US" w:eastAsia="en-AU"/>
    </w:rPr>
  </w:style>
  <w:style w:type="character" w:customStyle="1" w:styleId="EndnoteReference1">
    <w:name w:val="Endnote Reference1"/>
    <w:uiPriority w:val="99"/>
    <w:rsid w:val="00C95492"/>
    <w:rPr>
      <w:rFonts w:ascii="ArialMT" w:hAnsi="ArialMT" w:cs="ArialMT"/>
      <w:w w:val="100"/>
      <w:sz w:val="20"/>
      <w:szCs w:val="20"/>
      <w:vertAlign w:val="superscript"/>
    </w:rPr>
  </w:style>
  <w:style w:type="paragraph" w:customStyle="1" w:styleId="Heading3a">
    <w:name w:val="Heading 3: (a)"/>
    <w:basedOn w:val="NoParagraphStyle"/>
    <w:next w:val="Normal"/>
    <w:uiPriority w:val="99"/>
    <w:rsid w:val="00A43AB6"/>
    <w:pPr>
      <w:keepNext/>
      <w:tabs>
        <w:tab w:val="left" w:pos="0"/>
        <w:tab w:val="left" w:pos="680"/>
      </w:tabs>
      <w:suppressAutoHyphens/>
      <w:spacing w:before="170" w:after="170"/>
      <w:ind w:left="680" w:hanging="680"/>
    </w:pPr>
    <w:rPr>
      <w:rFonts w:ascii="HelveticaCYBold" w:hAnsi="HelveticaCYBold" w:cs="HelveticaCYBold"/>
      <w:b/>
      <w:bCs/>
      <w:sz w:val="20"/>
      <w:szCs w:val="20"/>
      <w:lang w:val="en-AU"/>
    </w:rPr>
  </w:style>
  <w:style w:type="paragraph" w:customStyle="1" w:styleId="BodyQuote10mm1">
    <w:name w:val="Body Quote 10mm +1"/>
    <w:basedOn w:val="BodyQuote10mm2"/>
    <w:uiPriority w:val="99"/>
    <w:rsid w:val="00A43AB6"/>
    <w:pPr>
      <w:spacing w:after="57"/>
    </w:pPr>
  </w:style>
  <w:style w:type="paragraph" w:customStyle="1" w:styleId="Nessunostileparagrafo">
    <w:name w:val="[Nessuno stile paragrafo]"/>
    <w:rsid w:val="009F3D05"/>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Paragrafobase">
    <w:name w:val="[Paragrafo base]"/>
    <w:basedOn w:val="Nessunostileparagrafo"/>
    <w:uiPriority w:val="99"/>
    <w:rsid w:val="00415667"/>
  </w:style>
  <w:style w:type="paragraph" w:customStyle="1" w:styleId="ListParagraphBullets">
    <w:name w:val="List Paragraph (Bullets)"/>
    <w:basedOn w:val="ListParagraph"/>
    <w:qFormat/>
    <w:rsid w:val="00D61731"/>
    <w:pPr>
      <w:ind w:left="1797" w:hanging="357"/>
      <w:contextualSpacing/>
    </w:pPr>
    <w:rPr>
      <w:lang w:val="en-US" w:eastAsia="en-AU"/>
    </w:rPr>
  </w:style>
  <w:style w:type="paragraph" w:customStyle="1" w:styleId="ListParagraphBullets1">
    <w:name w:val="List Paragraph [Bullets 1.]"/>
    <w:basedOn w:val="Normal"/>
    <w:qFormat/>
    <w:rsid w:val="000433C2"/>
    <w:pPr>
      <w:ind w:left="1797" w:hanging="357"/>
      <w:contextualSpacing/>
    </w:pPr>
    <w:rPr>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mmunications@humanrights.gov.au"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umanrights.gov.a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humanrights.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umanrights.gov.au/publications/index.html"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http://creativecommons.org/licences/by/3.0/a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F60F4-F5A7-43E7-9AAB-D93C52566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3175</Words>
  <Characters>18103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Jo Clark</Company>
  <LinksUpToDate>false</LinksUpToDate>
  <CharactersWithSpaces>21236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Clark</dc:creator>
  <cp:lastModifiedBy>Demitra Nikas</cp:lastModifiedBy>
  <cp:revision>2</cp:revision>
  <dcterms:created xsi:type="dcterms:W3CDTF">2024-08-01T05:48:00Z</dcterms:created>
  <dcterms:modified xsi:type="dcterms:W3CDTF">2024-08-01T05:48:00Z</dcterms:modified>
</cp:coreProperties>
</file>