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C48247" w14:textId="50DB24C9" w:rsidR="00A355F9" w:rsidRPr="00956AAA" w:rsidRDefault="00956AAA" w:rsidP="00A355F9">
      <w:pPr>
        <w:pStyle w:val="MainTitle"/>
        <w:rPr>
          <w:sz w:val="48"/>
          <w:szCs w:val="24"/>
        </w:rPr>
      </w:pPr>
      <w:r w:rsidRPr="00956AAA">
        <w:rPr>
          <w:sz w:val="48"/>
          <w:szCs w:val="24"/>
        </w:rPr>
        <w:t>Mr NR v Commonwealth of Australia</w:t>
      </w:r>
    </w:p>
    <w:p w14:paraId="23C684AF" w14:textId="25745E5C" w:rsidR="00A355F9" w:rsidRDefault="00956AAA" w:rsidP="00A355F9">
      <w:pPr>
        <w:pStyle w:val="MainTitle"/>
        <w:rPr>
          <w:sz w:val="48"/>
          <w:szCs w:val="48"/>
        </w:rPr>
      </w:pPr>
      <w:r w:rsidRPr="00956AAA">
        <w:rPr>
          <w:sz w:val="48"/>
          <w:szCs w:val="48"/>
        </w:rPr>
        <w:t>(Department of Home Affairs)</w:t>
      </w:r>
    </w:p>
    <w:p w14:paraId="28809F38" w14:textId="736E8FC1" w:rsidR="00956AAA" w:rsidRPr="00956AAA" w:rsidRDefault="00956AAA" w:rsidP="00956AAA">
      <w:pPr>
        <w:pStyle w:val="Subtitle"/>
        <w:rPr>
          <w:b/>
          <w:bCs/>
          <w:color w:val="auto"/>
        </w:rPr>
      </w:pPr>
      <w:bookmarkStart w:id="0" w:name="_Toc172620385"/>
      <w:bookmarkStart w:id="1" w:name="_Toc172630181"/>
      <w:r w:rsidRPr="00956AAA">
        <w:rPr>
          <w:b/>
          <w:bCs/>
          <w:color w:val="auto"/>
        </w:rPr>
        <w:t>[2024] AusHRC 172</w:t>
      </w:r>
      <w:bookmarkEnd w:id="0"/>
      <w:bookmarkEnd w:id="1"/>
    </w:p>
    <w:p w14:paraId="11DCEB78" w14:textId="77777777" w:rsidR="00AC636D" w:rsidRPr="00956AAA" w:rsidRDefault="008A7305" w:rsidP="008A7305">
      <w:pPr>
        <w:jc w:val="right"/>
      </w:pPr>
      <w:r w:rsidRPr="00956AAA">
        <w:rPr>
          <w:rFonts w:cs="Arial"/>
          <w:sz w:val="28"/>
        </w:rPr>
        <w:fldChar w:fldCharType="begin"/>
      </w:r>
      <w:r w:rsidRPr="00956AAA">
        <w:rPr>
          <w:rFonts w:cs="Arial"/>
          <w:sz w:val="28"/>
        </w:rPr>
        <w:instrText xml:space="preserve"> CREATEDATE  \@ "MMMM yyyy"  \* MERGEFORMAT </w:instrText>
      </w:r>
      <w:r w:rsidRPr="00956AAA">
        <w:rPr>
          <w:rFonts w:cs="Arial"/>
          <w:sz w:val="28"/>
        </w:rPr>
        <w:fldChar w:fldCharType="separate"/>
      </w:r>
      <w:r w:rsidR="00956AAA" w:rsidRPr="00956AAA">
        <w:rPr>
          <w:rFonts w:cs="Arial"/>
          <w:noProof/>
          <w:sz w:val="28"/>
        </w:rPr>
        <w:t>July 2024</w:t>
      </w:r>
      <w:r w:rsidRPr="00956AAA">
        <w:rPr>
          <w:rFonts w:cs="Arial"/>
          <w:sz w:val="28"/>
        </w:rPr>
        <w:fldChar w:fldCharType="end"/>
      </w:r>
    </w:p>
    <w:p w14:paraId="63420F6B" w14:textId="738DE4DC" w:rsidR="009E4BD0" w:rsidRPr="00AC636D" w:rsidRDefault="00961135" w:rsidP="00961135">
      <w:pPr>
        <w:jc w:val="right"/>
        <w:sectPr w:rsidR="009E4BD0" w:rsidRPr="00AC636D" w:rsidSect="00AC636D">
          <w:headerReference w:type="even" r:id="rId8"/>
          <w:headerReference w:type="default" r:id="rId9"/>
          <w:headerReference w:type="first" r:id="rId10"/>
          <w:footerReference w:type="first" r:id="rId11"/>
          <w:type w:val="continuous"/>
          <w:pgSz w:w="11906" w:h="16838" w:code="9"/>
          <w:pgMar w:top="228" w:right="1700" w:bottom="1134" w:left="1418" w:header="277" w:footer="1361" w:gutter="0"/>
          <w:pgNumType w:start="2"/>
          <w:cols w:space="708"/>
          <w:titlePg/>
          <w:docGrid w:linePitch="360"/>
        </w:sectPr>
      </w:pPr>
      <w:r>
        <w:tab/>
      </w:r>
      <w:r w:rsidRPr="00E60C48">
        <w:rPr>
          <w:rFonts w:cs="Open Sans"/>
          <w:color w:val="0070C0"/>
        </w:rPr>
        <w:t xml:space="preserve"> </w:t>
      </w:r>
    </w:p>
    <w:p w14:paraId="6689D688" w14:textId="77777777" w:rsidR="00956AAA" w:rsidRDefault="00956AAA" w:rsidP="00C60343">
      <w:pPr>
        <w:pStyle w:val="TOC1"/>
      </w:pPr>
      <w:bookmarkStart w:id="2" w:name="_Toc209316062"/>
      <w:bookmarkEnd w:id="2"/>
    </w:p>
    <w:p w14:paraId="581B49C7" w14:textId="77777777" w:rsidR="00956AAA" w:rsidRDefault="00956AAA" w:rsidP="00C60343">
      <w:pPr>
        <w:pStyle w:val="TOC1"/>
      </w:pPr>
    </w:p>
    <w:p w14:paraId="399D15D9" w14:textId="77777777" w:rsidR="00956AAA" w:rsidRDefault="00956AAA" w:rsidP="00956AAA">
      <w:pPr>
        <w:spacing w:before="0" w:after="0"/>
      </w:pPr>
    </w:p>
    <w:p w14:paraId="5A5BFCE6" w14:textId="77777777" w:rsidR="00956AAA" w:rsidRDefault="00956AAA" w:rsidP="00956AAA">
      <w:pPr>
        <w:spacing w:before="0" w:after="0"/>
      </w:pPr>
    </w:p>
    <w:p w14:paraId="1601DFF2" w14:textId="77777777" w:rsidR="00956AAA" w:rsidRDefault="00956AAA" w:rsidP="00956AAA">
      <w:pPr>
        <w:spacing w:before="0" w:after="0"/>
      </w:pPr>
    </w:p>
    <w:p w14:paraId="60F8F8F7" w14:textId="77777777" w:rsidR="00956AAA" w:rsidRDefault="00956AAA" w:rsidP="00956AAA">
      <w:pPr>
        <w:spacing w:before="0" w:after="0"/>
      </w:pPr>
    </w:p>
    <w:p w14:paraId="5F8F1D77" w14:textId="77777777" w:rsidR="00956AAA" w:rsidRDefault="00956AAA" w:rsidP="00956AAA">
      <w:pPr>
        <w:spacing w:before="0" w:after="0"/>
      </w:pPr>
    </w:p>
    <w:p w14:paraId="106A4BB4" w14:textId="45CBE915" w:rsidR="00956AAA" w:rsidRPr="00E131E0" w:rsidRDefault="00956AAA" w:rsidP="00956AAA">
      <w:pPr>
        <w:spacing w:before="360"/>
        <w:rPr>
          <w:b/>
          <w:bCs/>
          <w:sz w:val="36"/>
          <w:szCs w:val="36"/>
        </w:rPr>
      </w:pPr>
      <w:r w:rsidRPr="00E131E0">
        <w:rPr>
          <w:b/>
          <w:bCs/>
          <w:sz w:val="36"/>
          <w:szCs w:val="36"/>
        </w:rPr>
        <w:t xml:space="preserve">Mr </w:t>
      </w:r>
      <w:r>
        <w:rPr>
          <w:b/>
          <w:bCs/>
          <w:sz w:val="36"/>
          <w:szCs w:val="36"/>
        </w:rPr>
        <w:t>NR</w:t>
      </w:r>
      <w:r w:rsidRPr="00E131E0">
        <w:rPr>
          <w:b/>
          <w:bCs/>
          <w:sz w:val="36"/>
          <w:szCs w:val="36"/>
        </w:rPr>
        <w:t xml:space="preserve"> v Commonwealth of Australia (Department of Home Affairs) </w:t>
      </w:r>
    </w:p>
    <w:p w14:paraId="58E6FA54" w14:textId="1CBD3883" w:rsidR="00956AAA" w:rsidRPr="00E131E0" w:rsidRDefault="00956AAA" w:rsidP="00956AAA">
      <w:pPr>
        <w:spacing w:before="360"/>
        <w:rPr>
          <w:sz w:val="32"/>
          <w:szCs w:val="32"/>
        </w:rPr>
      </w:pPr>
      <w:r w:rsidRPr="00E131E0">
        <w:rPr>
          <w:sz w:val="32"/>
          <w:szCs w:val="32"/>
        </w:rPr>
        <w:t>[202</w:t>
      </w:r>
      <w:r>
        <w:rPr>
          <w:sz w:val="32"/>
          <w:szCs w:val="32"/>
        </w:rPr>
        <w:t>4</w:t>
      </w:r>
      <w:r w:rsidRPr="00E131E0">
        <w:rPr>
          <w:sz w:val="32"/>
          <w:szCs w:val="32"/>
        </w:rPr>
        <w:t>] AusHRC 1</w:t>
      </w:r>
      <w:r>
        <w:rPr>
          <w:sz w:val="32"/>
          <w:szCs w:val="32"/>
        </w:rPr>
        <w:t>72</w:t>
      </w:r>
    </w:p>
    <w:p w14:paraId="301E3C5D" w14:textId="77777777" w:rsidR="00956AAA" w:rsidRPr="00E131E0" w:rsidRDefault="00956AAA" w:rsidP="00956AAA">
      <w:pPr>
        <w:spacing w:before="360"/>
        <w:rPr>
          <w:i/>
          <w:iCs/>
        </w:rPr>
      </w:pPr>
      <w:r w:rsidRPr="00E131E0">
        <w:rPr>
          <w:i/>
          <w:iCs/>
        </w:rPr>
        <w:t>Report into</w:t>
      </w:r>
      <w:r>
        <w:rPr>
          <w:i/>
          <w:iCs/>
        </w:rPr>
        <w:t xml:space="preserve"> the use of force</w:t>
      </w:r>
    </w:p>
    <w:p w14:paraId="1832399D" w14:textId="12FE7914" w:rsidR="00956AAA" w:rsidRPr="00956AAA" w:rsidRDefault="00956AAA" w:rsidP="00956AAA">
      <w:pPr>
        <w:pStyle w:val="TOC1"/>
        <w:ind w:left="0" w:firstLine="0"/>
        <w:rPr>
          <w:b w:val="0"/>
          <w:bCs/>
        </w:rPr>
      </w:pPr>
      <w:r w:rsidRPr="00956AAA">
        <w:rPr>
          <w:b w:val="0"/>
          <w:bCs/>
        </w:rPr>
        <w:t>Australian Human Rights Commission 2024</w:t>
      </w:r>
    </w:p>
    <w:p w14:paraId="73327D35" w14:textId="77777777" w:rsidR="00956AAA" w:rsidRDefault="00956AAA" w:rsidP="00C60343">
      <w:pPr>
        <w:pStyle w:val="TOC1"/>
      </w:pPr>
    </w:p>
    <w:p w14:paraId="065F2F6E" w14:textId="77777777" w:rsidR="00956AAA" w:rsidRDefault="00956AAA" w:rsidP="00C60343">
      <w:pPr>
        <w:pStyle w:val="TOC1"/>
      </w:pPr>
    </w:p>
    <w:p w14:paraId="235F7A7F" w14:textId="77777777" w:rsidR="00956AAA" w:rsidRDefault="00956AAA" w:rsidP="00C60343">
      <w:pPr>
        <w:pStyle w:val="TOC1"/>
      </w:pPr>
    </w:p>
    <w:p w14:paraId="775BB056" w14:textId="77777777" w:rsidR="00956AAA" w:rsidRDefault="00956AAA" w:rsidP="00C60343">
      <w:pPr>
        <w:pStyle w:val="TOC1"/>
      </w:pPr>
    </w:p>
    <w:p w14:paraId="04B6FC0F" w14:textId="77777777" w:rsidR="00956AAA" w:rsidRDefault="00956AAA" w:rsidP="00C60343">
      <w:pPr>
        <w:pStyle w:val="TOC1"/>
      </w:pPr>
    </w:p>
    <w:p w14:paraId="7802B31A" w14:textId="77777777" w:rsidR="00956AAA" w:rsidRDefault="00956AAA" w:rsidP="00C60343">
      <w:pPr>
        <w:pStyle w:val="TOC1"/>
      </w:pPr>
    </w:p>
    <w:p w14:paraId="365BBBC3" w14:textId="77777777" w:rsidR="00956AAA" w:rsidRDefault="00956AAA" w:rsidP="00C60343">
      <w:pPr>
        <w:pStyle w:val="TOC1"/>
      </w:pPr>
    </w:p>
    <w:p w14:paraId="21A3BF3E" w14:textId="77777777" w:rsidR="00956AAA" w:rsidRDefault="00956AAA" w:rsidP="00C60343">
      <w:pPr>
        <w:pStyle w:val="TOC1"/>
      </w:pPr>
    </w:p>
    <w:p w14:paraId="0679F5D8" w14:textId="77777777" w:rsidR="00956AAA" w:rsidRDefault="00956AAA" w:rsidP="00C60343">
      <w:pPr>
        <w:pStyle w:val="TOC1"/>
      </w:pPr>
    </w:p>
    <w:p w14:paraId="17CF4789" w14:textId="77777777" w:rsidR="00956AAA" w:rsidRDefault="00956AAA" w:rsidP="00C60343">
      <w:pPr>
        <w:pStyle w:val="TOC1"/>
      </w:pPr>
    </w:p>
    <w:p w14:paraId="171FF00B" w14:textId="77777777" w:rsidR="00956AAA" w:rsidRDefault="00956AAA" w:rsidP="00C60343">
      <w:pPr>
        <w:pStyle w:val="TOC1"/>
      </w:pPr>
    </w:p>
    <w:p w14:paraId="6004D3A4" w14:textId="77777777" w:rsidR="00956AAA" w:rsidRDefault="00956AAA" w:rsidP="00C60343">
      <w:pPr>
        <w:pStyle w:val="TOC1"/>
      </w:pPr>
    </w:p>
    <w:p w14:paraId="67FB0CF4" w14:textId="77777777" w:rsidR="00956AAA" w:rsidRDefault="00956AAA" w:rsidP="00C60343">
      <w:pPr>
        <w:pStyle w:val="TOC1"/>
      </w:pPr>
    </w:p>
    <w:p w14:paraId="18A64D1F" w14:textId="77777777" w:rsidR="00C07F96" w:rsidRDefault="00C07F96" w:rsidP="00956AAA">
      <w:pPr>
        <w:contextualSpacing/>
        <w:rPr>
          <w:rFonts w:cs="Open Sans"/>
        </w:rPr>
      </w:pPr>
    </w:p>
    <w:p w14:paraId="28FFE68C" w14:textId="77777777" w:rsidR="00C07F96" w:rsidRDefault="00C07F96" w:rsidP="00956AAA">
      <w:pPr>
        <w:contextualSpacing/>
        <w:rPr>
          <w:rFonts w:cs="Open Sans"/>
        </w:rPr>
      </w:pPr>
    </w:p>
    <w:p w14:paraId="09483F02" w14:textId="43943D49" w:rsidR="00956AAA" w:rsidRDefault="00956AAA" w:rsidP="00956AAA">
      <w:pPr>
        <w:contextualSpacing/>
        <w:rPr>
          <w:rFonts w:cs="Open Sans"/>
        </w:rPr>
      </w:pPr>
      <w:r>
        <w:rPr>
          <w:rFonts w:cs="Open Sans"/>
        </w:rPr>
        <w:t>The Hon Mark Dreyfus KC MP</w:t>
      </w:r>
    </w:p>
    <w:p w14:paraId="33A5EB98" w14:textId="77777777" w:rsidR="00956AAA" w:rsidRDefault="00956AAA" w:rsidP="00956AAA">
      <w:pPr>
        <w:contextualSpacing/>
        <w:rPr>
          <w:rFonts w:cs="Open Sans"/>
        </w:rPr>
      </w:pPr>
      <w:r>
        <w:rPr>
          <w:rFonts w:cs="Open Sans"/>
        </w:rPr>
        <w:t>Attorney-General</w:t>
      </w:r>
    </w:p>
    <w:p w14:paraId="7F4C0513" w14:textId="77777777" w:rsidR="00956AAA" w:rsidRDefault="00956AAA" w:rsidP="00956AAA">
      <w:pPr>
        <w:contextualSpacing/>
        <w:rPr>
          <w:rFonts w:cs="Open Sans"/>
        </w:rPr>
      </w:pPr>
      <w:r>
        <w:rPr>
          <w:rFonts w:cs="Open Sans"/>
        </w:rPr>
        <w:t>Parliament House</w:t>
      </w:r>
    </w:p>
    <w:p w14:paraId="226BA875" w14:textId="77777777" w:rsidR="00956AAA" w:rsidRDefault="00956AAA" w:rsidP="00956AAA">
      <w:pPr>
        <w:contextualSpacing/>
        <w:rPr>
          <w:rFonts w:cs="Open Sans"/>
        </w:rPr>
      </w:pPr>
      <w:r>
        <w:rPr>
          <w:rFonts w:cs="Open Sans"/>
        </w:rPr>
        <w:t>Canberra ACT 2600</w:t>
      </w:r>
    </w:p>
    <w:p w14:paraId="172A6267" w14:textId="77777777" w:rsidR="00956AAA" w:rsidRDefault="00956AAA" w:rsidP="00956AAA">
      <w:pPr>
        <w:rPr>
          <w:rFonts w:cs="Open Sans"/>
        </w:rPr>
      </w:pPr>
    </w:p>
    <w:p w14:paraId="500DD159" w14:textId="77777777" w:rsidR="00956AAA" w:rsidRDefault="00956AAA" w:rsidP="00956AAA">
      <w:r>
        <w:t>Dear Attorney</w:t>
      </w:r>
    </w:p>
    <w:p w14:paraId="4AB20011" w14:textId="77777777" w:rsidR="00C07F96" w:rsidRDefault="00C07F96" w:rsidP="00C07F96">
      <w:r>
        <w:t xml:space="preserve">I have completed my report pursuant to s 11(1)(f) of the </w:t>
      </w:r>
      <w:r w:rsidRPr="00632289">
        <w:rPr>
          <w:i/>
          <w:iCs/>
        </w:rPr>
        <w:t>Australian Human Rights Commission Act 1986</w:t>
      </w:r>
      <w:r>
        <w:t xml:space="preserve"> (Cth) (AHRC Act) into the human rights complaint of Mr NR, alleging a breach of his human rights by the Department of Home Affairs (Department). </w:t>
      </w:r>
    </w:p>
    <w:p w14:paraId="29B95B60" w14:textId="648E70DD" w:rsidR="00C07F96" w:rsidRPr="005914BB" w:rsidRDefault="00C07F96" w:rsidP="00C07F96">
      <w:pPr>
        <w:rPr>
          <w:rFonts w:cs="Open Sans"/>
        </w:rPr>
      </w:pPr>
      <w:r>
        <w:rPr>
          <w:rFonts w:cs="Open Sans"/>
        </w:rPr>
        <w:t>Mr NR complain</w:t>
      </w:r>
      <w:r w:rsidR="000B4B21">
        <w:rPr>
          <w:rFonts w:cs="Open Sans"/>
        </w:rPr>
        <w:t>ed</w:t>
      </w:r>
      <w:r>
        <w:rPr>
          <w:rFonts w:cs="Open Sans"/>
        </w:rPr>
        <w:t xml:space="preserve"> </w:t>
      </w:r>
      <w:r w:rsidR="009B2C22">
        <w:rPr>
          <w:rFonts w:cs="Open Sans"/>
        </w:rPr>
        <w:t>of</w:t>
      </w:r>
      <w:r>
        <w:rPr>
          <w:rFonts w:cs="Open Sans"/>
        </w:rPr>
        <w:t xml:space="preserve"> force used against him by Serco Australia Pty Ltd (Serco) officers while he was detained at the </w:t>
      </w:r>
      <w:proofErr w:type="gramStart"/>
      <w:r>
        <w:rPr>
          <w:rFonts w:cs="Open Sans"/>
        </w:rPr>
        <w:t>North West</w:t>
      </w:r>
      <w:proofErr w:type="gramEnd"/>
      <w:r>
        <w:rPr>
          <w:rFonts w:cs="Open Sans"/>
        </w:rPr>
        <w:t xml:space="preserve"> Point Immigration Detention Centre on Christmas Island.</w:t>
      </w:r>
    </w:p>
    <w:p w14:paraId="46F34B7D" w14:textId="390D9C30" w:rsidR="00C07F96" w:rsidRDefault="00C07F96" w:rsidP="00C07F96">
      <w:pPr>
        <w:rPr>
          <w:rFonts w:cs="Open Sans"/>
        </w:rPr>
      </w:pPr>
      <w:r>
        <w:rPr>
          <w:rFonts w:cs="Open Sans"/>
        </w:rPr>
        <w:t xml:space="preserve">As a result of this inquiry, I find that the force used against Mr NR on 30 March 2021 was not for the purpose of preventing injury, escape, or the destruction of property, and management of Mr NR’s behaviour could have been achieved by other means. </w:t>
      </w:r>
      <w:r w:rsidR="00952A0B">
        <w:rPr>
          <w:rFonts w:cs="Open Sans"/>
        </w:rPr>
        <w:t xml:space="preserve">This was </w:t>
      </w:r>
      <w:proofErr w:type="gramStart"/>
      <w:r w:rsidR="00952A0B">
        <w:rPr>
          <w:rFonts w:cs="Open Sans"/>
        </w:rPr>
        <w:t>in light of</w:t>
      </w:r>
      <w:proofErr w:type="gramEnd"/>
      <w:r w:rsidR="00952A0B">
        <w:rPr>
          <w:rFonts w:cs="Open Sans"/>
        </w:rPr>
        <w:t xml:space="preserve"> the concerns that Mr NR raised for his personal safety, and because of the availability of the other suitable accommodation options that would not have required force to be used. </w:t>
      </w:r>
      <w:r w:rsidR="004376B9">
        <w:rPr>
          <w:rFonts w:cs="Open Sans"/>
        </w:rPr>
        <w:t xml:space="preserve">Consequently, </w:t>
      </w:r>
      <w:r>
        <w:rPr>
          <w:rFonts w:cs="Open Sans"/>
        </w:rPr>
        <w:t>I find that this use of force was</w:t>
      </w:r>
      <w:r w:rsidR="004667D2">
        <w:rPr>
          <w:rFonts w:cs="Open Sans"/>
        </w:rPr>
        <w:t xml:space="preserve"> </w:t>
      </w:r>
      <w:r>
        <w:rPr>
          <w:rFonts w:cs="Open Sans"/>
        </w:rPr>
        <w:t xml:space="preserve">not utilised as a measure of last </w:t>
      </w:r>
      <w:proofErr w:type="gramStart"/>
      <w:r>
        <w:rPr>
          <w:rFonts w:cs="Open Sans"/>
        </w:rPr>
        <w:t>resort, and</w:t>
      </w:r>
      <w:proofErr w:type="gramEnd"/>
      <w:r>
        <w:rPr>
          <w:rFonts w:cs="Open Sans"/>
        </w:rPr>
        <w:t xml:space="preserve"> did not have sufficient justification to warrant it</w:t>
      </w:r>
      <w:r w:rsidR="004376B9">
        <w:rPr>
          <w:rFonts w:cs="Open Sans"/>
        </w:rPr>
        <w:t xml:space="preserve">. </w:t>
      </w:r>
    </w:p>
    <w:p w14:paraId="147705FE" w14:textId="7FEE508E" w:rsidR="00C07F96" w:rsidRPr="00C07F96" w:rsidRDefault="00C07F96" w:rsidP="00C07F96">
      <w:pPr>
        <w:spacing w:before="0" w:after="0"/>
        <w:rPr>
          <w:noProof/>
        </w:rPr>
      </w:pPr>
      <w:r>
        <w:t>Accordingly, by using force at that time, Serco officers did not treat Mr NR with humanity or inherent respect for his dignity, contrary to article </w:t>
      </w:r>
      <w:r w:rsidRPr="000C5540">
        <w:rPr>
          <w:rFonts w:cs="Open Sans"/>
        </w:rPr>
        <w:t>10</w:t>
      </w:r>
      <w:r>
        <w:rPr>
          <w:rFonts w:cs="Open Sans"/>
        </w:rPr>
        <w:t>(1)</w:t>
      </w:r>
      <w:r w:rsidRPr="000C5540">
        <w:rPr>
          <w:rFonts w:cs="Open Sans"/>
        </w:rPr>
        <w:t xml:space="preserve"> of the</w:t>
      </w:r>
      <w:r w:rsidRPr="000C5540">
        <w:rPr>
          <w:rFonts w:cs="Open Sans"/>
          <w:i/>
        </w:rPr>
        <w:t xml:space="preserve"> International Covenant on Civil and Political Rights</w:t>
      </w:r>
      <w:r w:rsidRPr="000C5540">
        <w:rPr>
          <w:rFonts w:cs="Open Sans"/>
        </w:rPr>
        <w:t xml:space="preserve"> (ICCPR)</w:t>
      </w:r>
      <w:r>
        <w:rPr>
          <w:rFonts w:cs="Open Sans"/>
        </w:rPr>
        <w:t>.</w:t>
      </w:r>
    </w:p>
    <w:p w14:paraId="3C6C4CAC" w14:textId="77777777" w:rsidR="00C07F96" w:rsidRDefault="00956AAA" w:rsidP="00C07F96">
      <w:pPr>
        <w:rPr>
          <w:rFonts w:eastAsia="Times New Roman"/>
          <w:spacing w:val="-5"/>
        </w:rPr>
      </w:pPr>
      <w:r>
        <w:rPr>
          <w:rFonts w:eastAsia="Times New Roman"/>
          <w:spacing w:val="-5"/>
        </w:rPr>
        <w:t xml:space="preserve">On </w:t>
      </w:r>
      <w:r w:rsidR="00FD0E8B">
        <w:rPr>
          <w:rFonts w:eastAsia="Times New Roman"/>
          <w:spacing w:val="-5"/>
        </w:rPr>
        <w:t>4 April 2024</w:t>
      </w:r>
      <w:r>
        <w:rPr>
          <w:rFonts w:eastAsia="Times New Roman"/>
          <w:spacing w:val="-5"/>
        </w:rPr>
        <w:t xml:space="preserve">, I provided the Department with a notice issued under s 29(2) of the AHRC Act setting out my findings and recommendations in this matter. The Department provided its response to my findings and recommendations on </w:t>
      </w:r>
      <w:r w:rsidR="00FD0E8B">
        <w:rPr>
          <w:rFonts w:eastAsia="Times New Roman"/>
          <w:spacing w:val="-5"/>
        </w:rPr>
        <w:t>19 July</w:t>
      </w:r>
      <w:r>
        <w:rPr>
          <w:rFonts w:eastAsia="Times New Roman"/>
          <w:spacing w:val="-5"/>
        </w:rPr>
        <w:t xml:space="preserve"> 2024. That response can be found in Part 9 of this report. </w:t>
      </w:r>
    </w:p>
    <w:p w14:paraId="4E7F5A77" w14:textId="39779A6E" w:rsidR="00956AAA" w:rsidRDefault="00956AAA" w:rsidP="00C07F96">
      <w:pPr>
        <w:rPr>
          <w:rFonts w:eastAsia="Times New Roman"/>
          <w:spacing w:val="-5"/>
        </w:rPr>
      </w:pPr>
      <w:r>
        <w:rPr>
          <w:rFonts w:eastAsia="Times New Roman"/>
          <w:spacing w:val="-5"/>
        </w:rPr>
        <w:t xml:space="preserve">I enclose a copy of my report. </w:t>
      </w:r>
    </w:p>
    <w:p w14:paraId="5A434562" w14:textId="77777777" w:rsidR="00A706D9" w:rsidRDefault="00A706D9" w:rsidP="00956AAA">
      <w:pPr>
        <w:keepNext/>
        <w:rPr>
          <w:rFonts w:eastAsia="Times New Roman"/>
          <w:spacing w:val="-5"/>
        </w:rPr>
      </w:pPr>
    </w:p>
    <w:p w14:paraId="526CAD46" w14:textId="77777777" w:rsidR="00AA7DF8" w:rsidRDefault="00AA7DF8" w:rsidP="00956AAA">
      <w:pPr>
        <w:keepNext/>
        <w:rPr>
          <w:rFonts w:eastAsia="Times New Roman"/>
          <w:spacing w:val="-5"/>
        </w:rPr>
      </w:pPr>
    </w:p>
    <w:p w14:paraId="06BE74C8" w14:textId="43B38D5F" w:rsidR="00956AAA" w:rsidRPr="0049472D" w:rsidRDefault="00956AAA" w:rsidP="00956AAA">
      <w:pPr>
        <w:keepNext/>
        <w:rPr>
          <w:rFonts w:eastAsia="Times New Roman"/>
        </w:rPr>
      </w:pPr>
      <w:r>
        <w:rPr>
          <w:rFonts w:eastAsia="Times New Roman"/>
          <w:spacing w:val="-5"/>
        </w:rPr>
        <w:t>Yours sincerely,</w:t>
      </w:r>
    </w:p>
    <w:p w14:paraId="34901F5E" w14:textId="0854CDE0" w:rsidR="00956AAA" w:rsidRDefault="68046493" w:rsidP="53E5B90E">
      <w:pPr>
        <w:spacing w:before="0" w:after="0"/>
      </w:pPr>
      <w:r>
        <w:rPr>
          <w:noProof/>
        </w:rPr>
        <w:drawing>
          <wp:inline distT="0" distB="0" distL="0" distR="0" wp14:anchorId="5E33B029" wp14:editId="6B0B5F02">
            <wp:extent cx="3194581" cy="792549"/>
            <wp:effectExtent l="0" t="0" r="0" b="0"/>
            <wp:docPr id="1750037305" name="Picture 175003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194581" cy="792549"/>
                    </a:xfrm>
                    <a:prstGeom prst="rect">
                      <a:avLst/>
                    </a:prstGeom>
                  </pic:spPr>
                </pic:pic>
              </a:graphicData>
            </a:graphic>
          </wp:inline>
        </w:drawing>
      </w:r>
    </w:p>
    <w:p w14:paraId="3FBDD740" w14:textId="3043828A" w:rsidR="00956AAA" w:rsidRDefault="00956AAA" w:rsidP="53E5B90E">
      <w:pPr>
        <w:spacing w:before="0" w:after="0"/>
      </w:pPr>
    </w:p>
    <w:p w14:paraId="70F79647" w14:textId="77777777" w:rsidR="00956AAA" w:rsidRPr="004B7651" w:rsidRDefault="00956AAA" w:rsidP="00956AAA">
      <w:pPr>
        <w:spacing w:line="259" w:lineRule="auto"/>
        <w:contextualSpacing/>
        <w:rPr>
          <w:rFonts w:cs="Open Sans"/>
          <w:szCs w:val="28"/>
        </w:rPr>
      </w:pPr>
      <w:r w:rsidRPr="004B7651">
        <w:rPr>
          <w:rFonts w:cs="Open Sans"/>
          <w:szCs w:val="28"/>
        </w:rPr>
        <w:t>Emeritus Professor Rosalind Croucher AM</w:t>
      </w:r>
      <w:r>
        <w:rPr>
          <w:rFonts w:cs="Open Sans"/>
          <w:szCs w:val="28"/>
        </w:rPr>
        <w:t xml:space="preserve"> FAAL</w:t>
      </w:r>
    </w:p>
    <w:p w14:paraId="654D0E70" w14:textId="77777777" w:rsidR="00956AAA" w:rsidRPr="004B7651" w:rsidRDefault="00956AAA" w:rsidP="00956AAA">
      <w:pPr>
        <w:spacing w:line="259" w:lineRule="auto"/>
        <w:contextualSpacing/>
        <w:rPr>
          <w:rFonts w:cs="Open Sans"/>
          <w:b/>
          <w:szCs w:val="28"/>
        </w:rPr>
      </w:pPr>
      <w:r w:rsidRPr="004B7651">
        <w:rPr>
          <w:rFonts w:cs="Open Sans"/>
          <w:b/>
          <w:szCs w:val="28"/>
        </w:rPr>
        <w:t xml:space="preserve">President </w:t>
      </w:r>
    </w:p>
    <w:p w14:paraId="1DBDCA28" w14:textId="77777777" w:rsidR="00956AAA" w:rsidRDefault="00956AAA" w:rsidP="00956AAA">
      <w:pPr>
        <w:spacing w:line="259" w:lineRule="auto"/>
        <w:contextualSpacing/>
        <w:rPr>
          <w:rFonts w:cs="Open Sans"/>
          <w:szCs w:val="28"/>
        </w:rPr>
      </w:pPr>
      <w:r w:rsidRPr="004B7651">
        <w:rPr>
          <w:rFonts w:cs="Open Sans"/>
          <w:szCs w:val="28"/>
        </w:rPr>
        <w:t>Australian Human Rights Commission</w:t>
      </w:r>
    </w:p>
    <w:p w14:paraId="2AB5D064" w14:textId="04E20D7F" w:rsidR="00956AAA" w:rsidRDefault="00E600D3" w:rsidP="00956AAA">
      <w:pPr>
        <w:spacing w:line="259" w:lineRule="auto"/>
        <w:contextualSpacing/>
      </w:pPr>
      <w:r>
        <w:rPr>
          <w:rFonts w:cs="Open Sans"/>
        </w:rPr>
        <w:t>July</w:t>
      </w:r>
      <w:r w:rsidR="008C778D">
        <w:rPr>
          <w:rFonts w:cs="Open Sans"/>
        </w:rPr>
        <w:t xml:space="preserve"> </w:t>
      </w:r>
      <w:r w:rsidR="00956AAA" w:rsidRPr="00A0069E">
        <w:rPr>
          <w:rFonts w:cs="Open Sans"/>
        </w:rPr>
        <w:t>2024</w:t>
      </w:r>
      <w:r w:rsidR="00956AAA">
        <w:rPr>
          <w:b/>
          <w:bCs/>
          <w:sz w:val="36"/>
          <w:szCs w:val="28"/>
        </w:rPr>
        <w:br w:type="page"/>
      </w:r>
    </w:p>
    <w:p w14:paraId="50B0F13C" w14:textId="77777777" w:rsidR="0099017A" w:rsidRDefault="000B5B68" w:rsidP="007215DE">
      <w:pPr>
        <w:pStyle w:val="TOC1"/>
        <w:ind w:left="0" w:firstLine="0"/>
      </w:pPr>
      <w:r>
        <w:lastRenderedPageBreak/>
        <w:t>Contents</w:t>
      </w:r>
      <w:r w:rsidRPr="000465F1">
        <w:fldChar w:fldCharType="begin"/>
      </w:r>
      <w:r>
        <w:instrText xml:space="preserve"> TOC \o "1-3" \h \z \u </w:instrText>
      </w:r>
      <w:r w:rsidRPr="000465F1">
        <w:fldChar w:fldCharType="separate"/>
      </w:r>
    </w:p>
    <w:p w14:paraId="7C6B2C4A" w14:textId="67749F97" w:rsidR="0099017A" w:rsidRDefault="002439A6">
      <w:pPr>
        <w:pStyle w:val="TOC1"/>
        <w:rPr>
          <w:rFonts w:asciiTheme="minorHAnsi" w:eastAsiaTheme="minorEastAsia" w:hAnsiTheme="minorHAnsi" w:cstheme="minorBidi"/>
          <w:b w:val="0"/>
          <w:kern w:val="2"/>
          <w14:ligatures w14:val="standardContextual"/>
        </w:rPr>
      </w:pPr>
      <w:hyperlink w:anchor="_Toc172630182" w:history="1">
        <w:r w:rsidR="0099017A" w:rsidRPr="0036141D">
          <w:rPr>
            <w:rStyle w:val="Hyperlink"/>
          </w:rPr>
          <w:t>1</w:t>
        </w:r>
        <w:r w:rsidR="0099017A">
          <w:rPr>
            <w:rFonts w:asciiTheme="minorHAnsi" w:eastAsiaTheme="minorEastAsia" w:hAnsiTheme="minorHAnsi" w:cstheme="minorBidi"/>
            <w:b w:val="0"/>
            <w:kern w:val="2"/>
            <w14:ligatures w14:val="standardContextual"/>
          </w:rPr>
          <w:tab/>
        </w:r>
        <w:r w:rsidR="0099017A" w:rsidRPr="0036141D">
          <w:rPr>
            <w:rStyle w:val="Hyperlink"/>
          </w:rPr>
          <w:t>Introduction</w:t>
        </w:r>
        <w:r w:rsidR="0099017A">
          <w:rPr>
            <w:webHidden/>
          </w:rPr>
          <w:tab/>
        </w:r>
        <w:r w:rsidR="0099017A">
          <w:rPr>
            <w:webHidden/>
          </w:rPr>
          <w:fldChar w:fldCharType="begin"/>
        </w:r>
        <w:r w:rsidR="0099017A">
          <w:rPr>
            <w:webHidden/>
          </w:rPr>
          <w:instrText xml:space="preserve"> PAGEREF _Toc172630182 \h </w:instrText>
        </w:r>
        <w:r w:rsidR="0099017A">
          <w:rPr>
            <w:webHidden/>
          </w:rPr>
        </w:r>
        <w:r w:rsidR="0099017A">
          <w:rPr>
            <w:webHidden/>
          </w:rPr>
          <w:fldChar w:fldCharType="separate"/>
        </w:r>
        <w:r w:rsidR="00B10F4B">
          <w:rPr>
            <w:webHidden/>
          </w:rPr>
          <w:t>6</w:t>
        </w:r>
        <w:r w:rsidR="0099017A">
          <w:rPr>
            <w:webHidden/>
          </w:rPr>
          <w:fldChar w:fldCharType="end"/>
        </w:r>
      </w:hyperlink>
    </w:p>
    <w:p w14:paraId="368F0047" w14:textId="7420332C" w:rsidR="0099017A" w:rsidRDefault="002439A6">
      <w:pPr>
        <w:pStyle w:val="TOC1"/>
        <w:rPr>
          <w:rFonts w:asciiTheme="minorHAnsi" w:eastAsiaTheme="minorEastAsia" w:hAnsiTheme="minorHAnsi" w:cstheme="minorBidi"/>
          <w:b w:val="0"/>
          <w:kern w:val="2"/>
          <w14:ligatures w14:val="standardContextual"/>
        </w:rPr>
      </w:pPr>
      <w:hyperlink w:anchor="_Toc172630183" w:history="1">
        <w:r w:rsidR="0099017A" w:rsidRPr="0036141D">
          <w:rPr>
            <w:rStyle w:val="Hyperlink"/>
          </w:rPr>
          <w:t>2</w:t>
        </w:r>
        <w:r w:rsidR="0099017A">
          <w:rPr>
            <w:rFonts w:asciiTheme="minorHAnsi" w:eastAsiaTheme="minorEastAsia" w:hAnsiTheme="minorHAnsi" w:cstheme="minorBidi"/>
            <w:b w:val="0"/>
            <w:kern w:val="2"/>
            <w14:ligatures w14:val="standardContextual"/>
          </w:rPr>
          <w:tab/>
        </w:r>
        <w:r w:rsidR="0099017A" w:rsidRPr="0036141D">
          <w:rPr>
            <w:rStyle w:val="Hyperlink"/>
          </w:rPr>
          <w:t>Summary of findings and recommendations</w:t>
        </w:r>
        <w:r w:rsidR="0099017A">
          <w:rPr>
            <w:webHidden/>
          </w:rPr>
          <w:tab/>
        </w:r>
        <w:r w:rsidR="0099017A">
          <w:rPr>
            <w:webHidden/>
          </w:rPr>
          <w:fldChar w:fldCharType="begin"/>
        </w:r>
        <w:r w:rsidR="0099017A">
          <w:rPr>
            <w:webHidden/>
          </w:rPr>
          <w:instrText xml:space="preserve"> PAGEREF _Toc172630183 \h </w:instrText>
        </w:r>
        <w:r w:rsidR="0099017A">
          <w:rPr>
            <w:webHidden/>
          </w:rPr>
        </w:r>
        <w:r w:rsidR="0099017A">
          <w:rPr>
            <w:webHidden/>
          </w:rPr>
          <w:fldChar w:fldCharType="separate"/>
        </w:r>
        <w:r w:rsidR="00B10F4B">
          <w:rPr>
            <w:webHidden/>
          </w:rPr>
          <w:t>6</w:t>
        </w:r>
        <w:r w:rsidR="0099017A">
          <w:rPr>
            <w:webHidden/>
          </w:rPr>
          <w:fldChar w:fldCharType="end"/>
        </w:r>
      </w:hyperlink>
    </w:p>
    <w:p w14:paraId="270A8520" w14:textId="57BFFCA2" w:rsidR="0099017A" w:rsidRDefault="002439A6">
      <w:pPr>
        <w:pStyle w:val="TOC1"/>
        <w:rPr>
          <w:rFonts w:asciiTheme="minorHAnsi" w:eastAsiaTheme="minorEastAsia" w:hAnsiTheme="minorHAnsi" w:cstheme="minorBidi"/>
          <w:b w:val="0"/>
          <w:kern w:val="2"/>
          <w14:ligatures w14:val="standardContextual"/>
        </w:rPr>
      </w:pPr>
      <w:hyperlink w:anchor="_Toc172630184" w:history="1">
        <w:r w:rsidR="0099017A" w:rsidRPr="0036141D">
          <w:rPr>
            <w:rStyle w:val="Hyperlink"/>
          </w:rPr>
          <w:t>3</w:t>
        </w:r>
        <w:r w:rsidR="0099017A">
          <w:rPr>
            <w:rFonts w:asciiTheme="minorHAnsi" w:eastAsiaTheme="minorEastAsia" w:hAnsiTheme="minorHAnsi" w:cstheme="minorBidi"/>
            <w:b w:val="0"/>
            <w:kern w:val="2"/>
            <w14:ligatures w14:val="standardContextual"/>
          </w:rPr>
          <w:tab/>
        </w:r>
        <w:r w:rsidR="0099017A" w:rsidRPr="0036141D">
          <w:rPr>
            <w:rStyle w:val="Hyperlink"/>
          </w:rPr>
          <w:t>Background</w:t>
        </w:r>
        <w:r w:rsidR="0099017A">
          <w:rPr>
            <w:webHidden/>
          </w:rPr>
          <w:tab/>
        </w:r>
        <w:r w:rsidR="0099017A">
          <w:rPr>
            <w:webHidden/>
          </w:rPr>
          <w:fldChar w:fldCharType="begin"/>
        </w:r>
        <w:r w:rsidR="0099017A">
          <w:rPr>
            <w:webHidden/>
          </w:rPr>
          <w:instrText xml:space="preserve"> PAGEREF _Toc172630184 \h </w:instrText>
        </w:r>
        <w:r w:rsidR="0099017A">
          <w:rPr>
            <w:webHidden/>
          </w:rPr>
        </w:r>
        <w:r w:rsidR="0099017A">
          <w:rPr>
            <w:webHidden/>
          </w:rPr>
          <w:fldChar w:fldCharType="separate"/>
        </w:r>
        <w:r w:rsidR="00B10F4B">
          <w:rPr>
            <w:webHidden/>
          </w:rPr>
          <w:t>8</w:t>
        </w:r>
        <w:r w:rsidR="0099017A">
          <w:rPr>
            <w:webHidden/>
          </w:rPr>
          <w:fldChar w:fldCharType="end"/>
        </w:r>
      </w:hyperlink>
    </w:p>
    <w:p w14:paraId="59A1F497" w14:textId="20CDF83E" w:rsidR="0099017A" w:rsidRDefault="002439A6">
      <w:pPr>
        <w:pStyle w:val="TOC1"/>
        <w:rPr>
          <w:rFonts w:asciiTheme="minorHAnsi" w:eastAsiaTheme="minorEastAsia" w:hAnsiTheme="minorHAnsi" w:cstheme="minorBidi"/>
          <w:b w:val="0"/>
          <w:kern w:val="2"/>
          <w14:ligatures w14:val="standardContextual"/>
        </w:rPr>
      </w:pPr>
      <w:hyperlink w:anchor="_Toc172630185" w:history="1">
        <w:r w:rsidR="0099017A" w:rsidRPr="0036141D">
          <w:rPr>
            <w:rStyle w:val="Hyperlink"/>
          </w:rPr>
          <w:t>4</w:t>
        </w:r>
        <w:r w:rsidR="0099017A">
          <w:rPr>
            <w:rFonts w:asciiTheme="minorHAnsi" w:eastAsiaTheme="minorEastAsia" w:hAnsiTheme="minorHAnsi" w:cstheme="minorBidi"/>
            <w:b w:val="0"/>
            <w:kern w:val="2"/>
            <w14:ligatures w14:val="standardContextual"/>
          </w:rPr>
          <w:tab/>
        </w:r>
        <w:r w:rsidR="0099017A" w:rsidRPr="0036141D">
          <w:rPr>
            <w:rStyle w:val="Hyperlink"/>
          </w:rPr>
          <w:t>Legal framework</w:t>
        </w:r>
        <w:r w:rsidR="0099017A">
          <w:rPr>
            <w:webHidden/>
          </w:rPr>
          <w:tab/>
        </w:r>
        <w:r w:rsidR="0099017A">
          <w:rPr>
            <w:webHidden/>
          </w:rPr>
          <w:fldChar w:fldCharType="begin"/>
        </w:r>
        <w:r w:rsidR="0099017A">
          <w:rPr>
            <w:webHidden/>
          </w:rPr>
          <w:instrText xml:space="preserve"> PAGEREF _Toc172630185 \h </w:instrText>
        </w:r>
        <w:r w:rsidR="0099017A">
          <w:rPr>
            <w:webHidden/>
          </w:rPr>
        </w:r>
        <w:r w:rsidR="0099017A">
          <w:rPr>
            <w:webHidden/>
          </w:rPr>
          <w:fldChar w:fldCharType="separate"/>
        </w:r>
        <w:r w:rsidR="00B10F4B">
          <w:rPr>
            <w:webHidden/>
          </w:rPr>
          <w:t>10</w:t>
        </w:r>
        <w:r w:rsidR="0099017A">
          <w:rPr>
            <w:webHidden/>
          </w:rPr>
          <w:fldChar w:fldCharType="end"/>
        </w:r>
      </w:hyperlink>
    </w:p>
    <w:p w14:paraId="35312823" w14:textId="12A16C3D" w:rsidR="0099017A" w:rsidRDefault="002439A6">
      <w:pPr>
        <w:pStyle w:val="TOC2"/>
        <w:rPr>
          <w:rFonts w:asciiTheme="minorHAnsi" w:eastAsiaTheme="minorEastAsia" w:hAnsiTheme="minorHAnsi" w:cstheme="minorBidi"/>
          <w:b w:val="0"/>
          <w:i w:val="0"/>
          <w:kern w:val="2"/>
          <w14:ligatures w14:val="standardContextual"/>
        </w:rPr>
      </w:pPr>
      <w:hyperlink w:anchor="_Toc172630186" w:history="1">
        <w:r w:rsidR="0099017A" w:rsidRPr="0036141D">
          <w:rPr>
            <w:rStyle w:val="Hyperlink"/>
          </w:rPr>
          <w:t>4.1</w:t>
        </w:r>
        <w:r w:rsidR="0099017A">
          <w:rPr>
            <w:rFonts w:asciiTheme="minorHAnsi" w:eastAsiaTheme="minorEastAsia" w:hAnsiTheme="minorHAnsi" w:cstheme="minorBidi"/>
            <w:b w:val="0"/>
            <w:i w:val="0"/>
            <w:kern w:val="2"/>
            <w14:ligatures w14:val="standardContextual"/>
          </w:rPr>
          <w:tab/>
        </w:r>
        <w:r w:rsidR="0099017A" w:rsidRPr="0036141D">
          <w:rPr>
            <w:rStyle w:val="Hyperlink"/>
          </w:rPr>
          <w:t>Functions of the Commission</w:t>
        </w:r>
        <w:r w:rsidR="0099017A">
          <w:rPr>
            <w:webHidden/>
          </w:rPr>
          <w:tab/>
        </w:r>
        <w:r w:rsidR="0099017A">
          <w:rPr>
            <w:webHidden/>
          </w:rPr>
          <w:fldChar w:fldCharType="begin"/>
        </w:r>
        <w:r w:rsidR="0099017A">
          <w:rPr>
            <w:webHidden/>
          </w:rPr>
          <w:instrText xml:space="preserve"> PAGEREF _Toc172630186 \h </w:instrText>
        </w:r>
        <w:r w:rsidR="0099017A">
          <w:rPr>
            <w:webHidden/>
          </w:rPr>
        </w:r>
        <w:r w:rsidR="0099017A">
          <w:rPr>
            <w:webHidden/>
          </w:rPr>
          <w:fldChar w:fldCharType="separate"/>
        </w:r>
        <w:r w:rsidR="00B10F4B">
          <w:rPr>
            <w:webHidden/>
          </w:rPr>
          <w:t>10</w:t>
        </w:r>
        <w:r w:rsidR="0099017A">
          <w:rPr>
            <w:webHidden/>
          </w:rPr>
          <w:fldChar w:fldCharType="end"/>
        </w:r>
      </w:hyperlink>
    </w:p>
    <w:p w14:paraId="39DD940B" w14:textId="14A88129" w:rsidR="0099017A" w:rsidRDefault="002439A6">
      <w:pPr>
        <w:pStyle w:val="TOC2"/>
        <w:rPr>
          <w:rFonts w:asciiTheme="minorHAnsi" w:eastAsiaTheme="minorEastAsia" w:hAnsiTheme="minorHAnsi" w:cstheme="minorBidi"/>
          <w:b w:val="0"/>
          <w:i w:val="0"/>
          <w:kern w:val="2"/>
          <w14:ligatures w14:val="standardContextual"/>
        </w:rPr>
      </w:pPr>
      <w:hyperlink w:anchor="_Toc172630187" w:history="1">
        <w:r w:rsidR="0099017A" w:rsidRPr="0036141D">
          <w:rPr>
            <w:rStyle w:val="Hyperlink"/>
          </w:rPr>
          <w:t>4.2</w:t>
        </w:r>
        <w:r w:rsidR="0099017A">
          <w:rPr>
            <w:rFonts w:asciiTheme="minorHAnsi" w:eastAsiaTheme="minorEastAsia" w:hAnsiTheme="minorHAnsi" w:cstheme="minorBidi"/>
            <w:b w:val="0"/>
            <w:i w:val="0"/>
            <w:kern w:val="2"/>
            <w14:ligatures w14:val="standardContextual"/>
          </w:rPr>
          <w:tab/>
        </w:r>
        <w:r w:rsidR="0099017A" w:rsidRPr="0036141D">
          <w:rPr>
            <w:rStyle w:val="Hyperlink"/>
          </w:rPr>
          <w:t>Scope of ‘act’ and ‘practice’</w:t>
        </w:r>
        <w:r w:rsidR="0099017A">
          <w:rPr>
            <w:webHidden/>
          </w:rPr>
          <w:tab/>
        </w:r>
        <w:r w:rsidR="0099017A">
          <w:rPr>
            <w:webHidden/>
          </w:rPr>
          <w:fldChar w:fldCharType="begin"/>
        </w:r>
        <w:r w:rsidR="0099017A">
          <w:rPr>
            <w:webHidden/>
          </w:rPr>
          <w:instrText xml:space="preserve"> PAGEREF _Toc172630187 \h </w:instrText>
        </w:r>
        <w:r w:rsidR="0099017A">
          <w:rPr>
            <w:webHidden/>
          </w:rPr>
        </w:r>
        <w:r w:rsidR="0099017A">
          <w:rPr>
            <w:webHidden/>
          </w:rPr>
          <w:fldChar w:fldCharType="separate"/>
        </w:r>
        <w:r w:rsidR="00B10F4B">
          <w:rPr>
            <w:webHidden/>
          </w:rPr>
          <w:t>10</w:t>
        </w:r>
        <w:r w:rsidR="0099017A">
          <w:rPr>
            <w:webHidden/>
          </w:rPr>
          <w:fldChar w:fldCharType="end"/>
        </w:r>
      </w:hyperlink>
    </w:p>
    <w:p w14:paraId="04852EDC" w14:textId="1E50EF5F" w:rsidR="0099017A" w:rsidRDefault="002439A6">
      <w:pPr>
        <w:pStyle w:val="TOC1"/>
        <w:rPr>
          <w:rFonts w:asciiTheme="minorHAnsi" w:eastAsiaTheme="minorEastAsia" w:hAnsiTheme="minorHAnsi" w:cstheme="minorBidi"/>
          <w:b w:val="0"/>
          <w:kern w:val="2"/>
          <w14:ligatures w14:val="standardContextual"/>
        </w:rPr>
      </w:pPr>
      <w:hyperlink w:anchor="_Toc172630188" w:history="1">
        <w:r w:rsidR="0099017A" w:rsidRPr="0036141D">
          <w:rPr>
            <w:rStyle w:val="Hyperlink"/>
          </w:rPr>
          <w:t>5</w:t>
        </w:r>
        <w:r w:rsidR="0099017A">
          <w:rPr>
            <w:rFonts w:asciiTheme="minorHAnsi" w:eastAsiaTheme="minorEastAsia" w:hAnsiTheme="minorHAnsi" w:cstheme="minorBidi"/>
            <w:b w:val="0"/>
            <w:kern w:val="2"/>
            <w14:ligatures w14:val="standardContextual"/>
          </w:rPr>
          <w:tab/>
        </w:r>
        <w:r w:rsidR="0099017A" w:rsidRPr="0036141D">
          <w:rPr>
            <w:rStyle w:val="Hyperlink"/>
          </w:rPr>
          <w:t>Human rights of detainees</w:t>
        </w:r>
        <w:r w:rsidR="0099017A">
          <w:rPr>
            <w:webHidden/>
          </w:rPr>
          <w:tab/>
        </w:r>
        <w:r w:rsidR="0099017A">
          <w:rPr>
            <w:webHidden/>
          </w:rPr>
          <w:fldChar w:fldCharType="begin"/>
        </w:r>
        <w:r w:rsidR="0099017A">
          <w:rPr>
            <w:webHidden/>
          </w:rPr>
          <w:instrText xml:space="preserve"> PAGEREF _Toc172630188 \h </w:instrText>
        </w:r>
        <w:r w:rsidR="0099017A">
          <w:rPr>
            <w:webHidden/>
          </w:rPr>
        </w:r>
        <w:r w:rsidR="0099017A">
          <w:rPr>
            <w:webHidden/>
          </w:rPr>
          <w:fldChar w:fldCharType="separate"/>
        </w:r>
        <w:r w:rsidR="00B10F4B">
          <w:rPr>
            <w:webHidden/>
          </w:rPr>
          <w:t>11</w:t>
        </w:r>
        <w:r w:rsidR="0099017A">
          <w:rPr>
            <w:webHidden/>
          </w:rPr>
          <w:fldChar w:fldCharType="end"/>
        </w:r>
      </w:hyperlink>
    </w:p>
    <w:p w14:paraId="04635EA1" w14:textId="55B01056" w:rsidR="0099017A" w:rsidRDefault="002439A6">
      <w:pPr>
        <w:pStyle w:val="TOC1"/>
        <w:rPr>
          <w:rFonts w:asciiTheme="minorHAnsi" w:eastAsiaTheme="minorEastAsia" w:hAnsiTheme="minorHAnsi" w:cstheme="minorBidi"/>
          <w:b w:val="0"/>
          <w:kern w:val="2"/>
          <w14:ligatures w14:val="standardContextual"/>
        </w:rPr>
      </w:pPr>
      <w:hyperlink w:anchor="_Toc172630189" w:history="1">
        <w:r w:rsidR="0099017A" w:rsidRPr="0036141D">
          <w:rPr>
            <w:rStyle w:val="Hyperlink"/>
          </w:rPr>
          <w:t>6</w:t>
        </w:r>
        <w:r w:rsidR="0099017A">
          <w:rPr>
            <w:rFonts w:asciiTheme="minorHAnsi" w:eastAsiaTheme="minorEastAsia" w:hAnsiTheme="minorHAnsi" w:cstheme="minorBidi"/>
            <w:b w:val="0"/>
            <w:kern w:val="2"/>
            <w14:ligatures w14:val="standardContextual"/>
          </w:rPr>
          <w:tab/>
        </w:r>
        <w:r w:rsidR="0099017A" w:rsidRPr="0036141D">
          <w:rPr>
            <w:rStyle w:val="Hyperlink"/>
          </w:rPr>
          <w:t>Legal and policy framework for use of force in immigration detention</w:t>
        </w:r>
        <w:r w:rsidR="0099017A">
          <w:rPr>
            <w:webHidden/>
          </w:rPr>
          <w:tab/>
        </w:r>
        <w:r w:rsidR="0099017A">
          <w:rPr>
            <w:webHidden/>
          </w:rPr>
          <w:fldChar w:fldCharType="begin"/>
        </w:r>
        <w:r w:rsidR="0099017A">
          <w:rPr>
            <w:webHidden/>
          </w:rPr>
          <w:instrText xml:space="preserve"> PAGEREF _Toc172630189 \h </w:instrText>
        </w:r>
        <w:r w:rsidR="0099017A">
          <w:rPr>
            <w:webHidden/>
          </w:rPr>
        </w:r>
        <w:r w:rsidR="0099017A">
          <w:rPr>
            <w:webHidden/>
          </w:rPr>
          <w:fldChar w:fldCharType="separate"/>
        </w:r>
        <w:r w:rsidR="00B10F4B">
          <w:rPr>
            <w:webHidden/>
          </w:rPr>
          <w:t>13</w:t>
        </w:r>
        <w:r w:rsidR="0099017A">
          <w:rPr>
            <w:webHidden/>
          </w:rPr>
          <w:fldChar w:fldCharType="end"/>
        </w:r>
      </w:hyperlink>
    </w:p>
    <w:p w14:paraId="7331FC82" w14:textId="78CEECEF" w:rsidR="0099017A" w:rsidRDefault="002439A6">
      <w:pPr>
        <w:pStyle w:val="TOC1"/>
        <w:rPr>
          <w:rFonts w:asciiTheme="minorHAnsi" w:eastAsiaTheme="minorEastAsia" w:hAnsiTheme="minorHAnsi" w:cstheme="minorBidi"/>
          <w:b w:val="0"/>
          <w:kern w:val="2"/>
          <w14:ligatures w14:val="standardContextual"/>
        </w:rPr>
      </w:pPr>
      <w:hyperlink w:anchor="_Toc172630190" w:history="1">
        <w:r w:rsidR="0099017A" w:rsidRPr="0036141D">
          <w:rPr>
            <w:rStyle w:val="Hyperlink"/>
          </w:rPr>
          <w:t>7</w:t>
        </w:r>
        <w:r w:rsidR="0099017A">
          <w:rPr>
            <w:rFonts w:asciiTheme="minorHAnsi" w:eastAsiaTheme="minorEastAsia" w:hAnsiTheme="minorHAnsi" w:cstheme="minorBidi"/>
            <w:b w:val="0"/>
            <w:kern w:val="2"/>
            <w14:ligatures w14:val="standardContextual"/>
          </w:rPr>
          <w:tab/>
        </w:r>
        <w:r w:rsidR="0099017A" w:rsidRPr="0036141D">
          <w:rPr>
            <w:rStyle w:val="Hyperlink"/>
          </w:rPr>
          <w:t>Consideration</w:t>
        </w:r>
        <w:r w:rsidR="0099017A">
          <w:rPr>
            <w:webHidden/>
          </w:rPr>
          <w:tab/>
        </w:r>
        <w:r w:rsidR="0099017A">
          <w:rPr>
            <w:webHidden/>
          </w:rPr>
          <w:fldChar w:fldCharType="begin"/>
        </w:r>
        <w:r w:rsidR="0099017A">
          <w:rPr>
            <w:webHidden/>
          </w:rPr>
          <w:instrText xml:space="preserve"> PAGEREF _Toc172630190 \h </w:instrText>
        </w:r>
        <w:r w:rsidR="0099017A">
          <w:rPr>
            <w:webHidden/>
          </w:rPr>
        </w:r>
        <w:r w:rsidR="0099017A">
          <w:rPr>
            <w:webHidden/>
          </w:rPr>
          <w:fldChar w:fldCharType="separate"/>
        </w:r>
        <w:r w:rsidR="00B10F4B">
          <w:rPr>
            <w:webHidden/>
          </w:rPr>
          <w:t>15</w:t>
        </w:r>
        <w:r w:rsidR="0099017A">
          <w:rPr>
            <w:webHidden/>
          </w:rPr>
          <w:fldChar w:fldCharType="end"/>
        </w:r>
      </w:hyperlink>
    </w:p>
    <w:p w14:paraId="5FB10601" w14:textId="6EA28A5B" w:rsidR="0099017A" w:rsidRDefault="002439A6">
      <w:pPr>
        <w:pStyle w:val="TOC2"/>
        <w:rPr>
          <w:rFonts w:asciiTheme="minorHAnsi" w:eastAsiaTheme="minorEastAsia" w:hAnsiTheme="minorHAnsi" w:cstheme="minorBidi"/>
          <w:b w:val="0"/>
          <w:i w:val="0"/>
          <w:kern w:val="2"/>
          <w14:ligatures w14:val="standardContextual"/>
        </w:rPr>
      </w:pPr>
      <w:hyperlink w:anchor="_Toc172630191" w:history="1">
        <w:r w:rsidR="0099017A" w:rsidRPr="0036141D">
          <w:rPr>
            <w:rStyle w:val="Hyperlink"/>
          </w:rPr>
          <w:t>7.1</w:t>
        </w:r>
        <w:r w:rsidR="0099017A">
          <w:rPr>
            <w:rFonts w:asciiTheme="minorHAnsi" w:eastAsiaTheme="minorEastAsia" w:hAnsiTheme="minorHAnsi" w:cstheme="minorBidi"/>
            <w:b w:val="0"/>
            <w:i w:val="0"/>
            <w:kern w:val="2"/>
            <w14:ligatures w14:val="standardContextual"/>
          </w:rPr>
          <w:tab/>
        </w:r>
        <w:r w:rsidR="0099017A" w:rsidRPr="0036141D">
          <w:rPr>
            <w:rStyle w:val="Hyperlink"/>
          </w:rPr>
          <w:t>Act or practice of the Commonwealth</w:t>
        </w:r>
        <w:r w:rsidR="0099017A">
          <w:rPr>
            <w:webHidden/>
          </w:rPr>
          <w:tab/>
        </w:r>
        <w:r w:rsidR="0099017A">
          <w:rPr>
            <w:webHidden/>
          </w:rPr>
          <w:fldChar w:fldCharType="begin"/>
        </w:r>
        <w:r w:rsidR="0099017A">
          <w:rPr>
            <w:webHidden/>
          </w:rPr>
          <w:instrText xml:space="preserve"> PAGEREF _Toc172630191 \h </w:instrText>
        </w:r>
        <w:r w:rsidR="0099017A">
          <w:rPr>
            <w:webHidden/>
          </w:rPr>
        </w:r>
        <w:r w:rsidR="0099017A">
          <w:rPr>
            <w:webHidden/>
          </w:rPr>
          <w:fldChar w:fldCharType="separate"/>
        </w:r>
        <w:r w:rsidR="00B10F4B">
          <w:rPr>
            <w:webHidden/>
          </w:rPr>
          <w:t>15</w:t>
        </w:r>
        <w:r w:rsidR="0099017A">
          <w:rPr>
            <w:webHidden/>
          </w:rPr>
          <w:fldChar w:fldCharType="end"/>
        </w:r>
      </w:hyperlink>
    </w:p>
    <w:p w14:paraId="25403B18" w14:textId="382C330E" w:rsidR="0099017A" w:rsidRDefault="002439A6">
      <w:pPr>
        <w:pStyle w:val="TOC2"/>
        <w:rPr>
          <w:rFonts w:asciiTheme="minorHAnsi" w:eastAsiaTheme="minorEastAsia" w:hAnsiTheme="minorHAnsi" w:cstheme="minorBidi"/>
          <w:b w:val="0"/>
          <w:i w:val="0"/>
          <w:kern w:val="2"/>
          <w14:ligatures w14:val="standardContextual"/>
        </w:rPr>
      </w:pPr>
      <w:hyperlink w:anchor="_Toc172630192" w:history="1">
        <w:r w:rsidR="0099017A" w:rsidRPr="0036141D">
          <w:rPr>
            <w:rStyle w:val="Hyperlink"/>
          </w:rPr>
          <w:t>7.2</w:t>
        </w:r>
        <w:r w:rsidR="0099017A">
          <w:rPr>
            <w:rFonts w:asciiTheme="minorHAnsi" w:eastAsiaTheme="minorEastAsia" w:hAnsiTheme="minorHAnsi" w:cstheme="minorBidi"/>
            <w:b w:val="0"/>
            <w:i w:val="0"/>
            <w:kern w:val="2"/>
            <w14:ligatures w14:val="standardContextual"/>
          </w:rPr>
          <w:tab/>
        </w:r>
        <w:r w:rsidR="0099017A" w:rsidRPr="0036141D">
          <w:rPr>
            <w:rStyle w:val="Hyperlink"/>
          </w:rPr>
          <w:t>Use of force incident on 30 March 2021</w:t>
        </w:r>
        <w:r w:rsidR="0099017A">
          <w:rPr>
            <w:webHidden/>
          </w:rPr>
          <w:tab/>
        </w:r>
        <w:r w:rsidR="0099017A">
          <w:rPr>
            <w:webHidden/>
          </w:rPr>
          <w:fldChar w:fldCharType="begin"/>
        </w:r>
        <w:r w:rsidR="0099017A">
          <w:rPr>
            <w:webHidden/>
          </w:rPr>
          <w:instrText xml:space="preserve"> PAGEREF _Toc172630192 \h </w:instrText>
        </w:r>
        <w:r w:rsidR="0099017A">
          <w:rPr>
            <w:webHidden/>
          </w:rPr>
        </w:r>
        <w:r w:rsidR="0099017A">
          <w:rPr>
            <w:webHidden/>
          </w:rPr>
          <w:fldChar w:fldCharType="separate"/>
        </w:r>
        <w:r w:rsidR="00B10F4B">
          <w:rPr>
            <w:webHidden/>
          </w:rPr>
          <w:t>15</w:t>
        </w:r>
        <w:r w:rsidR="0099017A">
          <w:rPr>
            <w:webHidden/>
          </w:rPr>
          <w:fldChar w:fldCharType="end"/>
        </w:r>
      </w:hyperlink>
    </w:p>
    <w:p w14:paraId="2C27BC52" w14:textId="6FE85626" w:rsidR="0099017A" w:rsidRDefault="002439A6">
      <w:pPr>
        <w:pStyle w:val="TOC1"/>
        <w:rPr>
          <w:rFonts w:asciiTheme="minorHAnsi" w:eastAsiaTheme="minorEastAsia" w:hAnsiTheme="minorHAnsi" w:cstheme="minorBidi"/>
          <w:b w:val="0"/>
          <w:kern w:val="2"/>
          <w14:ligatures w14:val="standardContextual"/>
        </w:rPr>
      </w:pPr>
      <w:hyperlink w:anchor="_Toc172630193" w:history="1">
        <w:r w:rsidR="0099017A" w:rsidRPr="0036141D">
          <w:rPr>
            <w:rStyle w:val="Hyperlink"/>
          </w:rPr>
          <w:t>8</w:t>
        </w:r>
        <w:r w:rsidR="0099017A">
          <w:rPr>
            <w:rFonts w:asciiTheme="minorHAnsi" w:eastAsiaTheme="minorEastAsia" w:hAnsiTheme="minorHAnsi" w:cstheme="minorBidi"/>
            <w:b w:val="0"/>
            <w:kern w:val="2"/>
            <w14:ligatures w14:val="standardContextual"/>
          </w:rPr>
          <w:tab/>
        </w:r>
        <w:r w:rsidR="0099017A" w:rsidRPr="0036141D">
          <w:rPr>
            <w:rStyle w:val="Hyperlink"/>
          </w:rPr>
          <w:t>Recommendations</w:t>
        </w:r>
        <w:r w:rsidR="0099017A">
          <w:rPr>
            <w:webHidden/>
          </w:rPr>
          <w:tab/>
        </w:r>
        <w:r w:rsidR="0099017A">
          <w:rPr>
            <w:webHidden/>
          </w:rPr>
          <w:fldChar w:fldCharType="begin"/>
        </w:r>
        <w:r w:rsidR="0099017A">
          <w:rPr>
            <w:webHidden/>
          </w:rPr>
          <w:instrText xml:space="preserve"> PAGEREF _Toc172630193 \h </w:instrText>
        </w:r>
        <w:r w:rsidR="0099017A">
          <w:rPr>
            <w:webHidden/>
          </w:rPr>
        </w:r>
        <w:r w:rsidR="0099017A">
          <w:rPr>
            <w:webHidden/>
          </w:rPr>
          <w:fldChar w:fldCharType="separate"/>
        </w:r>
        <w:r w:rsidR="00B10F4B">
          <w:rPr>
            <w:webHidden/>
          </w:rPr>
          <w:t>24</w:t>
        </w:r>
        <w:r w:rsidR="0099017A">
          <w:rPr>
            <w:webHidden/>
          </w:rPr>
          <w:fldChar w:fldCharType="end"/>
        </w:r>
      </w:hyperlink>
    </w:p>
    <w:p w14:paraId="0B705CE6" w14:textId="42F73376" w:rsidR="0099017A" w:rsidRDefault="002439A6">
      <w:pPr>
        <w:pStyle w:val="TOC2"/>
        <w:rPr>
          <w:rFonts w:asciiTheme="minorHAnsi" w:eastAsiaTheme="minorEastAsia" w:hAnsiTheme="minorHAnsi" w:cstheme="minorBidi"/>
          <w:b w:val="0"/>
          <w:i w:val="0"/>
          <w:kern w:val="2"/>
          <w14:ligatures w14:val="standardContextual"/>
        </w:rPr>
      </w:pPr>
      <w:hyperlink w:anchor="_Toc172630194" w:history="1">
        <w:r w:rsidR="0099017A" w:rsidRPr="0036141D">
          <w:rPr>
            <w:rStyle w:val="Hyperlink"/>
          </w:rPr>
          <w:t>8.1</w:t>
        </w:r>
        <w:r w:rsidR="0099017A">
          <w:rPr>
            <w:rFonts w:asciiTheme="minorHAnsi" w:eastAsiaTheme="minorEastAsia" w:hAnsiTheme="minorHAnsi" w:cstheme="minorBidi"/>
            <w:b w:val="0"/>
            <w:i w:val="0"/>
            <w:kern w:val="2"/>
            <w14:ligatures w14:val="standardContextual"/>
          </w:rPr>
          <w:tab/>
        </w:r>
        <w:r w:rsidR="0099017A" w:rsidRPr="0036141D">
          <w:rPr>
            <w:rStyle w:val="Hyperlink"/>
          </w:rPr>
          <w:t>Apology and redress</w:t>
        </w:r>
        <w:r w:rsidR="0099017A">
          <w:rPr>
            <w:webHidden/>
          </w:rPr>
          <w:tab/>
        </w:r>
        <w:r w:rsidR="0099017A">
          <w:rPr>
            <w:webHidden/>
          </w:rPr>
          <w:fldChar w:fldCharType="begin"/>
        </w:r>
        <w:r w:rsidR="0099017A">
          <w:rPr>
            <w:webHidden/>
          </w:rPr>
          <w:instrText xml:space="preserve"> PAGEREF _Toc172630194 \h </w:instrText>
        </w:r>
        <w:r w:rsidR="0099017A">
          <w:rPr>
            <w:webHidden/>
          </w:rPr>
        </w:r>
        <w:r w:rsidR="0099017A">
          <w:rPr>
            <w:webHidden/>
          </w:rPr>
          <w:fldChar w:fldCharType="separate"/>
        </w:r>
        <w:r w:rsidR="00B10F4B">
          <w:rPr>
            <w:webHidden/>
          </w:rPr>
          <w:t>25</w:t>
        </w:r>
        <w:r w:rsidR="0099017A">
          <w:rPr>
            <w:webHidden/>
          </w:rPr>
          <w:fldChar w:fldCharType="end"/>
        </w:r>
      </w:hyperlink>
    </w:p>
    <w:p w14:paraId="70A8A57D" w14:textId="1E8F4B8B" w:rsidR="0099017A" w:rsidRDefault="002439A6">
      <w:pPr>
        <w:pStyle w:val="TOC2"/>
        <w:rPr>
          <w:rFonts w:asciiTheme="minorHAnsi" w:eastAsiaTheme="minorEastAsia" w:hAnsiTheme="minorHAnsi" w:cstheme="minorBidi"/>
          <w:b w:val="0"/>
          <w:i w:val="0"/>
          <w:kern w:val="2"/>
          <w14:ligatures w14:val="standardContextual"/>
        </w:rPr>
      </w:pPr>
      <w:hyperlink w:anchor="_Toc172630195" w:history="1">
        <w:r w:rsidR="0099017A" w:rsidRPr="0036141D">
          <w:rPr>
            <w:rStyle w:val="Hyperlink"/>
          </w:rPr>
          <w:t>8.2</w:t>
        </w:r>
        <w:r w:rsidR="0099017A">
          <w:rPr>
            <w:rFonts w:asciiTheme="minorHAnsi" w:eastAsiaTheme="minorEastAsia" w:hAnsiTheme="minorHAnsi" w:cstheme="minorBidi"/>
            <w:b w:val="0"/>
            <w:i w:val="0"/>
            <w:kern w:val="2"/>
            <w14:ligatures w14:val="standardContextual"/>
          </w:rPr>
          <w:tab/>
        </w:r>
        <w:r w:rsidR="0099017A" w:rsidRPr="0036141D">
          <w:rPr>
            <w:rStyle w:val="Hyperlink"/>
          </w:rPr>
          <w:t>Body camera footage</w:t>
        </w:r>
        <w:r w:rsidR="0099017A">
          <w:rPr>
            <w:webHidden/>
          </w:rPr>
          <w:tab/>
        </w:r>
        <w:r w:rsidR="0099017A">
          <w:rPr>
            <w:webHidden/>
          </w:rPr>
          <w:fldChar w:fldCharType="begin"/>
        </w:r>
        <w:r w:rsidR="0099017A">
          <w:rPr>
            <w:webHidden/>
          </w:rPr>
          <w:instrText xml:space="preserve"> PAGEREF _Toc172630195 \h </w:instrText>
        </w:r>
        <w:r w:rsidR="0099017A">
          <w:rPr>
            <w:webHidden/>
          </w:rPr>
        </w:r>
        <w:r w:rsidR="0099017A">
          <w:rPr>
            <w:webHidden/>
          </w:rPr>
          <w:fldChar w:fldCharType="separate"/>
        </w:r>
        <w:r w:rsidR="00B10F4B">
          <w:rPr>
            <w:webHidden/>
          </w:rPr>
          <w:t>25</w:t>
        </w:r>
        <w:r w:rsidR="0099017A">
          <w:rPr>
            <w:webHidden/>
          </w:rPr>
          <w:fldChar w:fldCharType="end"/>
        </w:r>
      </w:hyperlink>
    </w:p>
    <w:p w14:paraId="10E1A69F" w14:textId="2DB2B6FC" w:rsidR="0099017A" w:rsidRDefault="002439A6">
      <w:pPr>
        <w:pStyle w:val="TOC2"/>
        <w:rPr>
          <w:rFonts w:asciiTheme="minorHAnsi" w:eastAsiaTheme="minorEastAsia" w:hAnsiTheme="minorHAnsi" w:cstheme="minorBidi"/>
          <w:b w:val="0"/>
          <w:i w:val="0"/>
          <w:kern w:val="2"/>
          <w14:ligatures w14:val="standardContextual"/>
        </w:rPr>
      </w:pPr>
      <w:hyperlink w:anchor="_Toc172630196" w:history="1">
        <w:r w:rsidR="0099017A" w:rsidRPr="0036141D">
          <w:rPr>
            <w:rStyle w:val="Hyperlink"/>
          </w:rPr>
          <w:t>8.3</w:t>
        </w:r>
        <w:r w:rsidR="0099017A">
          <w:rPr>
            <w:rFonts w:asciiTheme="minorHAnsi" w:eastAsiaTheme="minorEastAsia" w:hAnsiTheme="minorHAnsi" w:cstheme="minorBidi"/>
            <w:b w:val="0"/>
            <w:i w:val="0"/>
            <w:kern w:val="2"/>
            <w14:ligatures w14:val="standardContextual"/>
          </w:rPr>
          <w:tab/>
        </w:r>
        <w:r w:rsidR="0099017A" w:rsidRPr="0036141D">
          <w:rPr>
            <w:rStyle w:val="Hyperlink"/>
          </w:rPr>
          <w:t>Risk assessments</w:t>
        </w:r>
        <w:r w:rsidR="0099017A">
          <w:rPr>
            <w:webHidden/>
          </w:rPr>
          <w:tab/>
        </w:r>
        <w:r w:rsidR="0099017A">
          <w:rPr>
            <w:webHidden/>
          </w:rPr>
          <w:fldChar w:fldCharType="begin"/>
        </w:r>
        <w:r w:rsidR="0099017A">
          <w:rPr>
            <w:webHidden/>
          </w:rPr>
          <w:instrText xml:space="preserve"> PAGEREF _Toc172630196 \h </w:instrText>
        </w:r>
        <w:r w:rsidR="0099017A">
          <w:rPr>
            <w:webHidden/>
          </w:rPr>
        </w:r>
        <w:r w:rsidR="0099017A">
          <w:rPr>
            <w:webHidden/>
          </w:rPr>
          <w:fldChar w:fldCharType="separate"/>
        </w:r>
        <w:r w:rsidR="00B10F4B">
          <w:rPr>
            <w:webHidden/>
          </w:rPr>
          <w:t>26</w:t>
        </w:r>
        <w:r w:rsidR="0099017A">
          <w:rPr>
            <w:webHidden/>
          </w:rPr>
          <w:fldChar w:fldCharType="end"/>
        </w:r>
      </w:hyperlink>
    </w:p>
    <w:p w14:paraId="3BC1DF21" w14:textId="19A9EB97" w:rsidR="0099017A" w:rsidRDefault="002439A6">
      <w:pPr>
        <w:pStyle w:val="TOC2"/>
        <w:rPr>
          <w:rFonts w:asciiTheme="minorHAnsi" w:eastAsiaTheme="minorEastAsia" w:hAnsiTheme="minorHAnsi" w:cstheme="minorBidi"/>
          <w:b w:val="0"/>
          <w:i w:val="0"/>
          <w:kern w:val="2"/>
          <w14:ligatures w14:val="standardContextual"/>
        </w:rPr>
      </w:pPr>
      <w:hyperlink w:anchor="_Toc172630197" w:history="1">
        <w:r w:rsidR="0099017A" w:rsidRPr="0036141D">
          <w:rPr>
            <w:rStyle w:val="Hyperlink"/>
          </w:rPr>
          <w:t>8.4</w:t>
        </w:r>
        <w:r w:rsidR="0099017A">
          <w:rPr>
            <w:rFonts w:asciiTheme="minorHAnsi" w:eastAsiaTheme="minorEastAsia" w:hAnsiTheme="minorHAnsi" w:cstheme="minorBidi"/>
            <w:b w:val="0"/>
            <w:i w:val="0"/>
            <w:kern w:val="2"/>
            <w14:ligatures w14:val="standardContextual"/>
          </w:rPr>
          <w:tab/>
        </w:r>
        <w:r w:rsidR="0099017A" w:rsidRPr="0036141D">
          <w:rPr>
            <w:rStyle w:val="Hyperlink"/>
          </w:rPr>
          <w:t>DSM and unplanned uses of force</w:t>
        </w:r>
        <w:r w:rsidR="0099017A">
          <w:rPr>
            <w:webHidden/>
          </w:rPr>
          <w:tab/>
        </w:r>
        <w:r w:rsidR="0099017A">
          <w:rPr>
            <w:webHidden/>
          </w:rPr>
          <w:fldChar w:fldCharType="begin"/>
        </w:r>
        <w:r w:rsidR="0099017A">
          <w:rPr>
            <w:webHidden/>
          </w:rPr>
          <w:instrText xml:space="preserve"> PAGEREF _Toc172630197 \h </w:instrText>
        </w:r>
        <w:r w:rsidR="0099017A">
          <w:rPr>
            <w:webHidden/>
          </w:rPr>
        </w:r>
        <w:r w:rsidR="0099017A">
          <w:rPr>
            <w:webHidden/>
          </w:rPr>
          <w:fldChar w:fldCharType="separate"/>
        </w:r>
        <w:r w:rsidR="00B10F4B">
          <w:rPr>
            <w:webHidden/>
          </w:rPr>
          <w:t>26</w:t>
        </w:r>
        <w:r w:rsidR="0099017A">
          <w:rPr>
            <w:webHidden/>
          </w:rPr>
          <w:fldChar w:fldCharType="end"/>
        </w:r>
      </w:hyperlink>
    </w:p>
    <w:p w14:paraId="1799C5C4" w14:textId="258E7BB0" w:rsidR="0099017A" w:rsidRDefault="002439A6">
      <w:pPr>
        <w:pStyle w:val="TOC1"/>
        <w:rPr>
          <w:rStyle w:val="Hyperlink"/>
        </w:rPr>
      </w:pPr>
      <w:hyperlink w:anchor="_Toc172630198" w:history="1">
        <w:r w:rsidR="0099017A" w:rsidRPr="0036141D">
          <w:rPr>
            <w:rStyle w:val="Hyperlink"/>
          </w:rPr>
          <w:t>9</w:t>
        </w:r>
        <w:r w:rsidR="0099017A">
          <w:rPr>
            <w:rFonts w:asciiTheme="minorHAnsi" w:eastAsiaTheme="minorEastAsia" w:hAnsiTheme="minorHAnsi" w:cstheme="minorBidi"/>
            <w:b w:val="0"/>
            <w:kern w:val="2"/>
            <w14:ligatures w14:val="standardContextual"/>
          </w:rPr>
          <w:tab/>
        </w:r>
        <w:r w:rsidR="0099017A" w:rsidRPr="0036141D">
          <w:rPr>
            <w:rStyle w:val="Hyperlink"/>
          </w:rPr>
          <w:t>The Department’s response to my findings and recommendations</w:t>
        </w:r>
        <w:r w:rsidR="0099017A">
          <w:rPr>
            <w:webHidden/>
          </w:rPr>
          <w:tab/>
        </w:r>
        <w:r w:rsidR="0099017A">
          <w:rPr>
            <w:webHidden/>
          </w:rPr>
          <w:fldChar w:fldCharType="begin"/>
        </w:r>
        <w:r w:rsidR="0099017A">
          <w:rPr>
            <w:webHidden/>
          </w:rPr>
          <w:instrText xml:space="preserve"> PAGEREF _Toc172630198 \h </w:instrText>
        </w:r>
        <w:r w:rsidR="0099017A">
          <w:rPr>
            <w:webHidden/>
          </w:rPr>
        </w:r>
        <w:r w:rsidR="0099017A">
          <w:rPr>
            <w:webHidden/>
          </w:rPr>
          <w:fldChar w:fldCharType="separate"/>
        </w:r>
        <w:r w:rsidR="00B10F4B">
          <w:rPr>
            <w:webHidden/>
          </w:rPr>
          <w:t>27</w:t>
        </w:r>
        <w:r w:rsidR="0099017A">
          <w:rPr>
            <w:webHidden/>
          </w:rPr>
          <w:fldChar w:fldCharType="end"/>
        </w:r>
      </w:hyperlink>
    </w:p>
    <w:p w14:paraId="686CAF54" w14:textId="77777777" w:rsidR="0099017A" w:rsidRDefault="0099017A" w:rsidP="0099017A"/>
    <w:p w14:paraId="09DEB96D" w14:textId="77777777" w:rsidR="0099017A" w:rsidRDefault="0099017A" w:rsidP="0099017A"/>
    <w:p w14:paraId="7A8E4340" w14:textId="77777777" w:rsidR="0099017A" w:rsidRDefault="0099017A" w:rsidP="0099017A"/>
    <w:p w14:paraId="0A768EDC" w14:textId="77777777" w:rsidR="0099017A" w:rsidRDefault="0099017A" w:rsidP="0099017A"/>
    <w:p w14:paraId="73064BF5" w14:textId="77777777" w:rsidR="0099017A" w:rsidRDefault="0099017A" w:rsidP="0099017A"/>
    <w:p w14:paraId="4317C095" w14:textId="77777777" w:rsidR="0099017A" w:rsidRDefault="0099017A" w:rsidP="0099017A"/>
    <w:p w14:paraId="277FE416" w14:textId="77777777" w:rsidR="0099017A" w:rsidRPr="0099017A" w:rsidRDefault="0099017A" w:rsidP="0099017A"/>
    <w:p w14:paraId="70A9595A" w14:textId="1519DA8E" w:rsidR="00956AAA" w:rsidRPr="004172EE" w:rsidRDefault="000B5B68" w:rsidP="00956AAA">
      <w:pPr>
        <w:pStyle w:val="Heading1"/>
      </w:pPr>
      <w:r w:rsidRPr="000465F1">
        <w:lastRenderedPageBreak/>
        <w:fldChar w:fldCharType="end"/>
      </w:r>
      <w:bookmarkStart w:id="3" w:name="_Toc160783029"/>
      <w:r w:rsidR="00956AAA" w:rsidRPr="00956AAA">
        <w:t xml:space="preserve"> </w:t>
      </w:r>
      <w:bookmarkStart w:id="4" w:name="_Toc172630182"/>
      <w:r w:rsidR="00956AAA">
        <w:t>Introduction</w:t>
      </w:r>
      <w:bookmarkEnd w:id="3"/>
      <w:bookmarkEnd w:id="4"/>
    </w:p>
    <w:p w14:paraId="2BD5D1C0" w14:textId="77777777" w:rsidR="00956AAA" w:rsidRPr="008E5091" w:rsidRDefault="00956AAA" w:rsidP="00956AAA">
      <w:pPr>
        <w:pStyle w:val="NumberedParagraph"/>
      </w:pPr>
      <w:r w:rsidRPr="004172EE">
        <w:t xml:space="preserve">The Australian Human Rights Commission </w:t>
      </w:r>
      <w:r>
        <w:t>has conducted</w:t>
      </w:r>
      <w:r w:rsidRPr="004172EE">
        <w:t xml:space="preserve"> an inquiry into </w:t>
      </w:r>
      <w:r>
        <w:t xml:space="preserve">a </w:t>
      </w:r>
      <w:r w:rsidRPr="004172EE">
        <w:t xml:space="preserve">complaint by Mr </w:t>
      </w:r>
      <w:r>
        <w:t>NR</w:t>
      </w:r>
      <w:r w:rsidRPr="004172EE">
        <w:t xml:space="preserve"> against the </w:t>
      </w:r>
      <w:r>
        <w:t xml:space="preserve">Commonwealth of Australia, </w:t>
      </w:r>
      <w:r w:rsidRPr="004172EE">
        <w:t xml:space="preserve">Department of Home Affairs (the Department) alleging a breach of his human rights. </w:t>
      </w:r>
      <w:r w:rsidRPr="008E5091">
        <w:t xml:space="preserve">The inquiry </w:t>
      </w:r>
      <w:r>
        <w:t>has been</w:t>
      </w:r>
      <w:r w:rsidRPr="008E5091">
        <w:t xml:space="preserve"> undertaken pursuant to s</w:t>
      </w:r>
      <w:r>
        <w:t>ection</w:t>
      </w:r>
      <w:r w:rsidRPr="008E5091">
        <w:t xml:space="preserve"> 11(1)(f) of the </w:t>
      </w:r>
      <w:r w:rsidRPr="00D66C44">
        <w:rPr>
          <w:i/>
          <w:iCs/>
        </w:rPr>
        <w:t>Australian Human Rights Commission Act 1986</w:t>
      </w:r>
      <w:r w:rsidRPr="008E5091">
        <w:t xml:space="preserve"> (Cth) (AHRC Act).</w:t>
      </w:r>
    </w:p>
    <w:p w14:paraId="44DC768F" w14:textId="77777777" w:rsidR="00956AAA" w:rsidRDefault="00956AAA" w:rsidP="00956AAA">
      <w:pPr>
        <w:numPr>
          <w:ilvl w:val="0"/>
          <w:numId w:val="49"/>
        </w:numPr>
        <w:rPr>
          <w:rFonts w:cs="Open Sans"/>
        </w:rPr>
      </w:pPr>
      <w:r>
        <w:rPr>
          <w:rFonts w:cs="Open Sans"/>
        </w:rPr>
        <w:t xml:space="preserve">Mr NR complains about force used against him by Serco Australia Pty Ltd (Serco) officers while he was detained at the </w:t>
      </w:r>
      <w:proofErr w:type="gramStart"/>
      <w:r>
        <w:rPr>
          <w:rFonts w:cs="Open Sans"/>
        </w:rPr>
        <w:t>North West</w:t>
      </w:r>
      <w:proofErr w:type="gramEnd"/>
      <w:r>
        <w:rPr>
          <w:rFonts w:cs="Open Sans"/>
        </w:rPr>
        <w:t xml:space="preserve"> Point Immigration Detention Centre (NWPIDC) on Christmas Island. Serco operates as a contractor for the Department to manage detention centres.</w:t>
      </w:r>
    </w:p>
    <w:p w14:paraId="58BD348C" w14:textId="77777777" w:rsidR="00956AAA" w:rsidRDefault="00956AAA" w:rsidP="00956AAA">
      <w:pPr>
        <w:numPr>
          <w:ilvl w:val="0"/>
          <w:numId w:val="49"/>
        </w:numPr>
        <w:rPr>
          <w:rFonts w:cs="Open Sans"/>
        </w:rPr>
      </w:pPr>
      <w:r>
        <w:rPr>
          <w:rFonts w:cs="Open Sans"/>
        </w:rPr>
        <w:t xml:space="preserve">Mr NR’s complaint raises possible breaches of articles 7 and 10(1) of the </w:t>
      </w:r>
      <w:r>
        <w:rPr>
          <w:rFonts w:cs="Open Sans"/>
          <w:i/>
          <w:iCs/>
        </w:rPr>
        <w:t xml:space="preserve">International Covenant on Civil and Political Rights </w:t>
      </w:r>
      <w:r>
        <w:rPr>
          <w:rFonts w:cs="Open Sans"/>
        </w:rPr>
        <w:t xml:space="preserve">(ICCPR) as scheduled to the AHRC Act. </w:t>
      </w:r>
    </w:p>
    <w:p w14:paraId="6D95CE93" w14:textId="77777777" w:rsidR="00956AAA" w:rsidRDefault="00956AAA" w:rsidP="00956AAA">
      <w:pPr>
        <w:pStyle w:val="NumberedParagraph"/>
      </w:pPr>
      <w:r>
        <w:t xml:space="preserve">The </w:t>
      </w:r>
      <w:proofErr w:type="gramStart"/>
      <w:r>
        <w:t>particular environment</w:t>
      </w:r>
      <w:proofErr w:type="gramEnd"/>
      <w:r>
        <w:t xml:space="preserve"> of immigration detention means that the use of force may occasionally be necessary. However, the use of force on detainees directly engages their rights. </w:t>
      </w:r>
      <w:proofErr w:type="gramStart"/>
      <w:r>
        <w:t>In particular, people</w:t>
      </w:r>
      <w:proofErr w:type="gramEnd"/>
      <w:r>
        <w:t xml:space="preserve"> who are deprived of their liberty have the right to be treated with humanity and with respect for their inherent dignity. For this reason, any use of force must be appropriately justified and necessary in the circumstances. Force should only be used as a measure of last resort. This means that available alternatives to using force, such as negotiation and de-escalation techniques should be employed and exhausted before there is a resort to force. Force should be used only for the shortest amount of time necessary. The degree of force used should not be excessive.</w:t>
      </w:r>
    </w:p>
    <w:p w14:paraId="2722D6F0" w14:textId="3A856DED" w:rsidR="00956AAA" w:rsidRDefault="00956AAA" w:rsidP="00956AAA">
      <w:pPr>
        <w:pStyle w:val="NumberedParagraph"/>
      </w:pPr>
      <w:r>
        <w:t xml:space="preserve">This document comprises a </w:t>
      </w:r>
      <w:r w:rsidR="00AD5F89">
        <w:t xml:space="preserve">report </w:t>
      </w:r>
      <w:r>
        <w:t>of my findings in relation to this inquiry and my recommendations to the Commonwealth.</w:t>
      </w:r>
    </w:p>
    <w:p w14:paraId="7E9C80A3" w14:textId="77777777" w:rsidR="00956AAA" w:rsidRDefault="00956AAA" w:rsidP="00956AAA">
      <w:pPr>
        <w:pStyle w:val="NumberedParagraph"/>
      </w:pPr>
      <w:r>
        <w:rPr>
          <w:rStyle w:val="normaltextrun"/>
          <w:rFonts w:eastAsia="MS Mincho"/>
          <w:color w:val="000000"/>
          <w:shd w:val="clear" w:color="auto" w:fill="FFFFFF"/>
        </w:rPr>
        <w:t>Mr NR has had a protection finding made by the Department in his favour, and this inquiry has considered sensitive information about him. I consider it necessary for the protection of Mr NR’s privacy and human rights to make a direction under section 14(2) of the AHRC Act prohibiting the disclosure of his identity in relation to this inquiry.</w:t>
      </w:r>
    </w:p>
    <w:p w14:paraId="54FFEA0B" w14:textId="77777777" w:rsidR="00956AAA" w:rsidRDefault="00956AAA" w:rsidP="00956AAA">
      <w:pPr>
        <w:pStyle w:val="Heading1"/>
      </w:pPr>
      <w:bookmarkStart w:id="5" w:name="_Toc160783030"/>
      <w:bookmarkStart w:id="6" w:name="_Toc172630183"/>
      <w:r>
        <w:t>Summary of findings and recommendations</w:t>
      </w:r>
      <w:bookmarkEnd w:id="5"/>
      <w:bookmarkEnd w:id="6"/>
    </w:p>
    <w:p w14:paraId="78C29982" w14:textId="21038605" w:rsidR="00956AAA" w:rsidRDefault="00956AAA" w:rsidP="00956AAA">
      <w:pPr>
        <w:numPr>
          <w:ilvl w:val="0"/>
          <w:numId w:val="49"/>
        </w:numPr>
        <w:rPr>
          <w:rFonts w:cs="Open Sans"/>
        </w:rPr>
      </w:pPr>
      <w:r>
        <w:rPr>
          <w:rFonts w:cs="Open Sans"/>
        </w:rPr>
        <w:t xml:space="preserve">As a result of this inquiry, I find that the force used against Mr NR on </w:t>
      </w:r>
      <w:r w:rsidR="00513B1A">
        <w:rPr>
          <w:rFonts w:cs="Open Sans"/>
        </w:rPr>
        <w:t xml:space="preserve">       </w:t>
      </w:r>
      <w:r>
        <w:rPr>
          <w:rFonts w:cs="Open Sans"/>
        </w:rPr>
        <w:t xml:space="preserve">30 March 2021 was not for the purpose of preventing injury, escape, or the destruction of property, and management of Mr NR’s behaviour could have been achieved by other means. For these reasons, I find that the use </w:t>
      </w:r>
      <w:r>
        <w:rPr>
          <w:rFonts w:cs="Open Sans"/>
        </w:rPr>
        <w:lastRenderedPageBreak/>
        <w:t xml:space="preserve">of force was not justified as reasonable and necessary, in breach of Mr NR’s rights under article 10(1) of the ICCPR. </w:t>
      </w:r>
    </w:p>
    <w:p w14:paraId="5C88178C" w14:textId="77777777" w:rsidR="00956AAA" w:rsidRDefault="00956AAA" w:rsidP="00956AAA">
      <w:pPr>
        <w:pStyle w:val="NumberedParagraph"/>
      </w:pPr>
      <w:r>
        <w:t>I make the following recommendations:</w:t>
      </w:r>
    </w:p>
    <w:p w14:paraId="6BFC317F" w14:textId="77777777" w:rsidR="00956AAA" w:rsidRPr="00F43AFB" w:rsidRDefault="00956AAA" w:rsidP="00956AAA">
      <w:pPr>
        <w:pStyle w:val="NumberedParagraph"/>
        <w:numPr>
          <w:ilvl w:val="0"/>
          <w:numId w:val="0"/>
        </w:numPr>
        <w:ind w:left="720"/>
        <w:rPr>
          <w:b/>
          <w:bCs/>
        </w:rPr>
      </w:pPr>
      <w:r w:rsidRPr="00F43AFB">
        <w:rPr>
          <w:b/>
          <w:bCs/>
        </w:rPr>
        <w:t>Recommendation 1</w:t>
      </w:r>
    </w:p>
    <w:p w14:paraId="4503B498" w14:textId="77777777" w:rsidR="00956AAA" w:rsidRDefault="00956AAA" w:rsidP="00956AAA">
      <w:pPr>
        <w:pStyle w:val="NumberedParagraph"/>
        <w:numPr>
          <w:ilvl w:val="0"/>
          <w:numId w:val="0"/>
        </w:numPr>
        <w:ind w:left="720"/>
      </w:pPr>
      <w:r>
        <w:t>The Commission recommends that the Commonwealth apologise to Mr NR for the use of force against him on 30 March 2021, and provide to him a copy of the outcome of the internal review being conducted by the Department.</w:t>
      </w:r>
    </w:p>
    <w:p w14:paraId="3A3414F1" w14:textId="77777777" w:rsidR="00956AAA" w:rsidRPr="00F43AFB" w:rsidRDefault="00956AAA" w:rsidP="00956AAA">
      <w:pPr>
        <w:pStyle w:val="NumberedParagraph"/>
        <w:numPr>
          <w:ilvl w:val="0"/>
          <w:numId w:val="0"/>
        </w:numPr>
        <w:ind w:left="720"/>
        <w:rPr>
          <w:b/>
          <w:bCs/>
        </w:rPr>
      </w:pPr>
      <w:r w:rsidRPr="00F43AFB">
        <w:rPr>
          <w:b/>
          <w:bCs/>
        </w:rPr>
        <w:t>Recommendation 2</w:t>
      </w:r>
    </w:p>
    <w:p w14:paraId="7B1446B3" w14:textId="77777777" w:rsidR="00956AAA" w:rsidRPr="004B54A5" w:rsidRDefault="00956AAA" w:rsidP="00956AAA">
      <w:pPr>
        <w:pStyle w:val="NumberedParagraph"/>
        <w:numPr>
          <w:ilvl w:val="0"/>
          <w:numId w:val="0"/>
        </w:numPr>
        <w:ind w:left="720"/>
      </w:pPr>
      <w:r>
        <w:t>The Commission recommends that the Department ensures that Mr NR’s incident history is updated to reflect that the unplanned use of force against him on 30 March 2021 was not a result of his own abusive or aggressive behaviour.</w:t>
      </w:r>
    </w:p>
    <w:p w14:paraId="53E94979" w14:textId="77777777" w:rsidR="00956AAA" w:rsidRPr="00F43AFB" w:rsidRDefault="00956AAA" w:rsidP="00956AAA">
      <w:pPr>
        <w:pStyle w:val="NumberedParagraph"/>
        <w:numPr>
          <w:ilvl w:val="0"/>
          <w:numId w:val="0"/>
        </w:numPr>
        <w:ind w:left="720"/>
        <w:rPr>
          <w:b/>
          <w:bCs/>
        </w:rPr>
      </w:pPr>
      <w:r w:rsidRPr="00F43AFB">
        <w:rPr>
          <w:b/>
          <w:bCs/>
        </w:rPr>
        <w:t>Recommendation 3</w:t>
      </w:r>
    </w:p>
    <w:p w14:paraId="37B477F5" w14:textId="77777777" w:rsidR="00956AAA" w:rsidRDefault="00956AAA" w:rsidP="00956AAA">
      <w:pPr>
        <w:pStyle w:val="NumberedParagraph"/>
        <w:numPr>
          <w:ilvl w:val="0"/>
          <w:numId w:val="0"/>
        </w:numPr>
        <w:ind w:left="720"/>
      </w:pPr>
      <w:r>
        <w:t xml:space="preserve">The Commission recommends that, as part of the Department’s investigation into Mr NR’s complaint, the Department examine the circumstances in which the body camera footage failed to be downloaded, yet Serco correspondence to Mr NR indicates that footage had been watched as part of its internal review, </w:t>
      </w:r>
      <w:proofErr w:type="gramStart"/>
      <w:r>
        <w:t>in order to</w:t>
      </w:r>
      <w:proofErr w:type="gramEnd"/>
      <w:r>
        <w:t xml:space="preserve"> ensure that footage is available for any future investigations.</w:t>
      </w:r>
    </w:p>
    <w:p w14:paraId="216AB30B" w14:textId="77777777" w:rsidR="00956AAA" w:rsidRPr="00C91B22" w:rsidRDefault="00956AAA" w:rsidP="00956AAA">
      <w:pPr>
        <w:pStyle w:val="NumberedParagraph"/>
        <w:numPr>
          <w:ilvl w:val="0"/>
          <w:numId w:val="0"/>
        </w:numPr>
        <w:ind w:left="720"/>
        <w:rPr>
          <w:b/>
          <w:bCs/>
        </w:rPr>
      </w:pPr>
      <w:r w:rsidRPr="00C91B22">
        <w:rPr>
          <w:b/>
          <w:bCs/>
        </w:rPr>
        <w:t xml:space="preserve">Recommendation </w:t>
      </w:r>
      <w:r>
        <w:rPr>
          <w:b/>
          <w:bCs/>
        </w:rPr>
        <w:t>4</w:t>
      </w:r>
    </w:p>
    <w:p w14:paraId="156379F3" w14:textId="77777777" w:rsidR="00956AAA" w:rsidRDefault="00956AAA" w:rsidP="00956AAA">
      <w:pPr>
        <w:pStyle w:val="NumberedParagraph"/>
        <w:numPr>
          <w:ilvl w:val="0"/>
          <w:numId w:val="0"/>
        </w:numPr>
        <w:ind w:left="720"/>
      </w:pPr>
      <w:r>
        <w:t xml:space="preserve">The Commission recommends that the Department, as part of its investigation into Mr NR’s complaint, consider whether sufficient steps were taken to consider any risk to Mr NR as a result of previous violence which had occurred between him and another detainee located in the </w:t>
      </w:r>
      <w:proofErr w:type="gramStart"/>
      <w:r>
        <w:t>Gold</w:t>
      </w:r>
      <w:proofErr w:type="gramEnd"/>
      <w:r>
        <w:t xml:space="preserve"> compound.</w:t>
      </w:r>
    </w:p>
    <w:p w14:paraId="244A27A9" w14:textId="77777777" w:rsidR="00956AAA" w:rsidRPr="00F43AFB" w:rsidRDefault="00956AAA" w:rsidP="00956AAA">
      <w:pPr>
        <w:pStyle w:val="NumberedParagraph"/>
        <w:numPr>
          <w:ilvl w:val="0"/>
          <w:numId w:val="0"/>
        </w:numPr>
        <w:ind w:left="720"/>
        <w:rPr>
          <w:b/>
          <w:bCs/>
        </w:rPr>
      </w:pPr>
      <w:r w:rsidRPr="00F43AFB">
        <w:rPr>
          <w:b/>
          <w:bCs/>
        </w:rPr>
        <w:t>Recommendation 5</w:t>
      </w:r>
    </w:p>
    <w:p w14:paraId="4BE043B4" w14:textId="77777777" w:rsidR="00956AAA" w:rsidRPr="001B525F" w:rsidRDefault="00956AAA" w:rsidP="00956AAA">
      <w:pPr>
        <w:pStyle w:val="NumberedParagraph"/>
        <w:numPr>
          <w:ilvl w:val="0"/>
          <w:numId w:val="0"/>
        </w:numPr>
        <w:ind w:left="720"/>
      </w:pPr>
      <w:r>
        <w:t xml:space="preserve">The Commission recommends that the Department consider revising the DSM to include specific examples of times when an unplanned use of force is unlikely to be </w:t>
      </w:r>
      <w:proofErr w:type="gramStart"/>
      <w:r>
        <w:t>justified, and</w:t>
      </w:r>
      <w:proofErr w:type="gramEnd"/>
      <w:r>
        <w:t xml:space="preserve"> directing officers to seek approval prior to engaging in force.</w:t>
      </w:r>
    </w:p>
    <w:p w14:paraId="75922AE7" w14:textId="77777777" w:rsidR="00956AAA" w:rsidRDefault="00956AAA" w:rsidP="00956AAA">
      <w:pPr>
        <w:pStyle w:val="Heading1"/>
      </w:pPr>
      <w:bookmarkStart w:id="7" w:name="_Toc160783031"/>
      <w:bookmarkStart w:id="8" w:name="_Toc172630184"/>
      <w:r>
        <w:lastRenderedPageBreak/>
        <w:t>Background</w:t>
      </w:r>
      <w:bookmarkEnd w:id="7"/>
      <w:bookmarkEnd w:id="8"/>
    </w:p>
    <w:p w14:paraId="0384C9F2" w14:textId="77777777" w:rsidR="00956AAA" w:rsidRDefault="00956AAA" w:rsidP="00956AAA">
      <w:pPr>
        <w:pStyle w:val="NumberedParagraph"/>
      </w:pPr>
      <w:r>
        <w:t xml:space="preserve">On 10 April 2014, Mr NR’s visa was cancelled pursuant to section 116(1)(g) of the </w:t>
      </w:r>
      <w:r w:rsidRPr="00583CD6">
        <w:rPr>
          <w:i/>
          <w:iCs/>
        </w:rPr>
        <w:t>Migration Act 1958</w:t>
      </w:r>
      <w:r>
        <w:t xml:space="preserve"> (Cth) (Migration Act), and he was detained on 11 April 2014. He was released from immigration detention following the orders made by the High Court in the case of </w:t>
      </w:r>
      <w:r>
        <w:rPr>
          <w:i/>
          <w:iCs/>
        </w:rPr>
        <w:t xml:space="preserve">NZYQ v Minister for Immigration, Citizenship and Multicultural Affairs </w:t>
      </w:r>
      <w:r>
        <w:t>[2023] HCA 37 on 8 November 2023.</w:t>
      </w:r>
    </w:p>
    <w:p w14:paraId="1843FD4B" w14:textId="77777777" w:rsidR="00956AAA" w:rsidRDefault="00956AAA" w:rsidP="00956AAA">
      <w:pPr>
        <w:pStyle w:val="NumberedParagraph"/>
      </w:pPr>
      <w:r>
        <w:t>At the time relevant to his complaint, Mr NR was detained on Christmas Island. He was transferred there on 25 March 2021, and was initially held in High Care Accommodation (HCA), in accordance with the Department’s standard procedure for incoming detainees.</w:t>
      </w:r>
    </w:p>
    <w:p w14:paraId="0358D874" w14:textId="77777777" w:rsidR="00956AAA" w:rsidRDefault="00956AAA" w:rsidP="00956AAA">
      <w:pPr>
        <w:pStyle w:val="NumberedParagraph"/>
      </w:pPr>
      <w:r>
        <w:t>The Department explained in its response to Mr NR’s complaint that:</w:t>
      </w:r>
    </w:p>
    <w:p w14:paraId="02748215" w14:textId="77777777" w:rsidR="00956AAA" w:rsidRDefault="00956AAA" w:rsidP="00956AAA">
      <w:pPr>
        <w:pStyle w:val="Quote"/>
      </w:pPr>
      <w:r>
        <w:t>Placement into HCA allows stakeholders to engage with the newly arrived detainee and identify any potential issues and allow for a placement to be discussed and agreed by all stakeholders.</w:t>
      </w:r>
    </w:p>
    <w:p w14:paraId="4AAF0BFC" w14:textId="77777777" w:rsidR="00956AAA" w:rsidRDefault="00956AAA" w:rsidP="00956AAA">
      <w:pPr>
        <w:pStyle w:val="NumberedParagraph"/>
      </w:pPr>
      <w:r>
        <w:t xml:space="preserve">The following version of the facts surrounding the use of force on 30 March 2021 was provided by the Department to the Commission in its response to Mr NR’s complaint. According to the Department, at around 8.10pm on 29 March 2021, a Serco officer informed Mr NR that he would be moving to the </w:t>
      </w:r>
      <w:proofErr w:type="gramStart"/>
      <w:r>
        <w:t>Gold</w:t>
      </w:r>
      <w:proofErr w:type="gramEnd"/>
      <w:r>
        <w:t xml:space="preserve"> compound. Two other detainees with Mr NR and known to Mr NR were transferred with him to Christmas Island. They were informed that they would be accommodated in the </w:t>
      </w:r>
      <w:proofErr w:type="gramStart"/>
      <w:r>
        <w:t>Blue</w:t>
      </w:r>
      <w:proofErr w:type="gramEnd"/>
      <w:r>
        <w:t xml:space="preserve"> compound.</w:t>
      </w:r>
    </w:p>
    <w:p w14:paraId="386BB0C5" w14:textId="0D02938D" w:rsidR="00956AAA" w:rsidRDefault="00956AAA" w:rsidP="00956AAA">
      <w:pPr>
        <w:pStyle w:val="NumberedParagraph"/>
      </w:pPr>
      <w:r>
        <w:t>Mr NR requested to go to</w:t>
      </w:r>
      <w:r w:rsidR="00442236">
        <w:t xml:space="preserve"> the</w:t>
      </w:r>
      <w:r>
        <w:t xml:space="preserve"> </w:t>
      </w:r>
      <w:proofErr w:type="gramStart"/>
      <w:r>
        <w:t>Blue</w:t>
      </w:r>
      <w:proofErr w:type="gramEnd"/>
      <w:r>
        <w:t xml:space="preserve"> compound instead of Gold. Serco’s Emergency Response Team (ERT) officers informed him that a change in placement required management approval.</w:t>
      </w:r>
    </w:p>
    <w:p w14:paraId="16694777" w14:textId="5E5DD7D7" w:rsidR="00956AAA" w:rsidRDefault="00956AAA" w:rsidP="00956AAA">
      <w:pPr>
        <w:pStyle w:val="NumberedParagraph"/>
      </w:pPr>
      <w:r>
        <w:t xml:space="preserve">According to Serco, Mr NR started to display abusive behaviour and refused to accompany the officers. The Facilities Operations Manager was informed, who </w:t>
      </w:r>
      <w:r w:rsidR="579BB5D2">
        <w:t xml:space="preserve">then </w:t>
      </w:r>
      <w:r>
        <w:t>made the decision that Mr NR would remain in the HCA overnight.</w:t>
      </w:r>
    </w:p>
    <w:p w14:paraId="5FE76829" w14:textId="63BF53E8" w:rsidR="00956AAA" w:rsidRDefault="00956AAA" w:rsidP="00956AAA">
      <w:pPr>
        <w:pStyle w:val="NumberedParagraph"/>
      </w:pPr>
      <w:r>
        <w:t xml:space="preserve">The following day, 30 March 2021, at 11.41am, ERT officers attended again to escort Mr NR to Gold compound. Mr NR, who was sitting in the common area of the HCA and was on his phone at that time, refused to go with them. At that point, an ERT officer </w:t>
      </w:r>
      <w:proofErr w:type="gramStart"/>
      <w:r>
        <w:t>made a decision</w:t>
      </w:r>
      <w:proofErr w:type="gramEnd"/>
      <w:r>
        <w:t xml:space="preserve"> to use force against Mr NR in order to move him.</w:t>
      </w:r>
    </w:p>
    <w:p w14:paraId="4B93D51F" w14:textId="77777777" w:rsidR="00956AAA" w:rsidRDefault="00956AAA" w:rsidP="00956AAA">
      <w:pPr>
        <w:pStyle w:val="NumberedParagraph"/>
      </w:pPr>
      <w:r>
        <w:t xml:space="preserve">The Enhanced Escort Position (EEP) was utilised, which involved two officers taking Mr NR by either arm at the elbow. Mr NR is alleged to have started swinging his arms and resisting the officers, and so they lowered him to the ground to stabilise </w:t>
      </w:r>
      <w:proofErr w:type="gramStart"/>
      <w:r>
        <w:t>him, and</w:t>
      </w:r>
      <w:proofErr w:type="gramEnd"/>
      <w:r>
        <w:t xml:space="preserve"> applied mechanical restraints to his wrists.</w:t>
      </w:r>
    </w:p>
    <w:p w14:paraId="0163D324" w14:textId="77777777" w:rsidR="00956AAA" w:rsidRDefault="00956AAA" w:rsidP="00956AAA">
      <w:pPr>
        <w:pStyle w:val="NumberedParagraph"/>
      </w:pPr>
      <w:r>
        <w:lastRenderedPageBreak/>
        <w:t>Upon placing Mr NR back on his feet, Mr NR is alleged to have kicked an ERT officer in the groin and attempted to spit on him. He was again ground stabilised, and a direction was given by the ERT team leader to move him back to his room in the HCA. Five or six officers then carried him horizontally to his room, where he was placed on the floor. The officers removed the restraints and exited the room.</w:t>
      </w:r>
    </w:p>
    <w:p w14:paraId="6DA7CD7D" w14:textId="77777777" w:rsidR="00956AAA" w:rsidRDefault="00956AAA" w:rsidP="00956AAA">
      <w:pPr>
        <w:pStyle w:val="NumberedParagraph"/>
      </w:pPr>
      <w:r>
        <w:t>At 1.39pm, ERT officers informed Mr NR that he was to be escorted with the use of restraints to the International Health and Medical Service (IHMS) clinic for assessment. Such assessments were standard procedure following any use of force incident. Mr NR refused to comply with the officers, who removed themselves from the situation by closing the door to Mr NR’s room with no use of force utilised.</w:t>
      </w:r>
    </w:p>
    <w:p w14:paraId="59832434" w14:textId="77777777" w:rsidR="00956AAA" w:rsidRDefault="00956AAA" w:rsidP="00956AAA">
      <w:pPr>
        <w:pStyle w:val="NumberedParagraph"/>
      </w:pPr>
      <w:r>
        <w:t>At 2.30pm, Mr NR agreed to be escorted to the clinic without any use of force. He was reviewed by an IHMS GP, whose notes record the assessment of Mr NR as follows:</w:t>
      </w:r>
    </w:p>
    <w:p w14:paraId="1710C492" w14:textId="77777777" w:rsidR="00956AAA" w:rsidRDefault="00956AAA" w:rsidP="00956AAA">
      <w:pPr>
        <w:pStyle w:val="Quote"/>
      </w:pPr>
      <w:r>
        <w:t xml:space="preserve">Emotional distress from </w:t>
      </w:r>
      <w:proofErr w:type="gramStart"/>
      <w:r>
        <w:t>move</w:t>
      </w:r>
      <w:proofErr w:type="gramEnd"/>
      <w:r>
        <w:t xml:space="preserve"> of compounds</w:t>
      </w:r>
    </w:p>
    <w:p w14:paraId="7951DB2B" w14:textId="77777777" w:rsidR="00956AAA" w:rsidRDefault="00956AAA" w:rsidP="00956AAA">
      <w:pPr>
        <w:pStyle w:val="Quote"/>
      </w:pPr>
      <w:r>
        <w:t>No obvious musculoskeletal issue from restraining today</w:t>
      </w:r>
    </w:p>
    <w:p w14:paraId="5452016C" w14:textId="77777777" w:rsidR="00956AAA" w:rsidRDefault="00956AAA" w:rsidP="00956AAA">
      <w:pPr>
        <w:pStyle w:val="Quote"/>
      </w:pPr>
      <w:r>
        <w:t>Hypertension</w:t>
      </w:r>
    </w:p>
    <w:p w14:paraId="690D6F5D" w14:textId="77777777" w:rsidR="00956AAA" w:rsidRDefault="00956AAA" w:rsidP="00956AAA">
      <w:pPr>
        <w:pStyle w:val="Quote"/>
      </w:pPr>
      <w:r>
        <w:t>Nausea and vomiting</w:t>
      </w:r>
    </w:p>
    <w:p w14:paraId="4376288A" w14:textId="77777777" w:rsidR="00956AAA" w:rsidRDefault="00956AAA" w:rsidP="00956AAA">
      <w:pPr>
        <w:pStyle w:val="Quote"/>
      </w:pPr>
      <w:r>
        <w:t>GORD</w:t>
      </w:r>
    </w:p>
    <w:p w14:paraId="26FE033C" w14:textId="77777777" w:rsidR="00956AAA" w:rsidRDefault="00956AAA" w:rsidP="00956AAA">
      <w:pPr>
        <w:pStyle w:val="NumberedParagraph"/>
      </w:pPr>
      <w:r>
        <w:t>The GP provided ‘supportive counselling and empathetic listening, trying to bring some hope and happiness to his life’ and recommended ongoing sessions with the mental health team.</w:t>
      </w:r>
    </w:p>
    <w:p w14:paraId="79CEEB1C" w14:textId="391615D8" w:rsidR="00956AAA" w:rsidRDefault="00956AAA" w:rsidP="00956AAA">
      <w:pPr>
        <w:pStyle w:val="NumberedParagraph"/>
      </w:pPr>
      <w:r>
        <w:t xml:space="preserve">At 7.45pm, ERT officers again informed Mr NR that he would be moving to </w:t>
      </w:r>
      <w:proofErr w:type="gramStart"/>
      <w:r>
        <w:t>Gold</w:t>
      </w:r>
      <w:proofErr w:type="gramEnd"/>
      <w:r>
        <w:t xml:space="preserve"> compound. Mr NR again refused</w:t>
      </w:r>
      <w:r w:rsidR="000E4BAC">
        <w:t>,</w:t>
      </w:r>
      <w:r>
        <w:t xml:space="preserve"> and this continued refusal was communicated to the ABF Detention Superintendent, who advised the ERT officers to inform him that he would stay overnight again in HCA ‘until a decision [was] made regarding his placement on the oncoming shift’. According to the ERT officers, Mr NR became abusive and aggressive and made physical advances towards them while making verbal threats. They ushered Mr NR into the smoking/exercise area of the HCA and requested that the doors be closed temporarily to diffuse the situation.</w:t>
      </w:r>
    </w:p>
    <w:p w14:paraId="121E9AF8" w14:textId="77777777" w:rsidR="00956AAA" w:rsidRDefault="00956AAA" w:rsidP="00956AAA">
      <w:pPr>
        <w:pStyle w:val="NumberedParagraph"/>
      </w:pPr>
      <w:r>
        <w:t xml:space="preserve">Mr NR remained in the HCA for a further 24 hours, after which time he was transferred to the White One compound, which was deemed to be the most </w:t>
      </w:r>
      <w:r>
        <w:lastRenderedPageBreak/>
        <w:t xml:space="preserve">appropriate placement for him at that time, with consideration of his Security Risk Assessment. It appears that force was not required to </w:t>
      </w:r>
      <w:proofErr w:type="gramStart"/>
      <w:r>
        <w:t>effect</w:t>
      </w:r>
      <w:proofErr w:type="gramEnd"/>
      <w:r>
        <w:t xml:space="preserve"> this transfer.</w:t>
      </w:r>
    </w:p>
    <w:p w14:paraId="3B2BD112" w14:textId="77777777" w:rsidR="00956AAA" w:rsidRDefault="00956AAA" w:rsidP="00956AAA">
      <w:pPr>
        <w:pStyle w:val="NumberedParagraph"/>
      </w:pPr>
      <w:r>
        <w:t xml:space="preserve">With respect to these events on 30 March 2021, Mr NR complained to the Commission that he had raised concerns about his safety in the </w:t>
      </w:r>
      <w:proofErr w:type="gramStart"/>
      <w:r>
        <w:t>Gold</w:t>
      </w:r>
      <w:proofErr w:type="gramEnd"/>
      <w:r>
        <w:t xml:space="preserve"> compound due to the presence of a detainee who had previously assaulted him. He says that in response, he was subjected to forced restraint and confined to his room in isolation for 24 hours. He alleges that while confined in his room, he was deliberately touched on his buttocks </w:t>
      </w:r>
      <w:proofErr w:type="gramStart"/>
      <w:r>
        <w:t>in order to</w:t>
      </w:r>
      <w:proofErr w:type="gramEnd"/>
      <w:r>
        <w:t xml:space="preserve"> embarrass and humiliate him, and that he was threatened that his situation would become worse if he continued to make complaints.</w:t>
      </w:r>
    </w:p>
    <w:p w14:paraId="1B006321" w14:textId="77777777" w:rsidR="00956AAA" w:rsidRPr="004172EE" w:rsidRDefault="00956AAA" w:rsidP="00956AAA">
      <w:pPr>
        <w:pStyle w:val="Heading1"/>
      </w:pPr>
      <w:bookmarkStart w:id="9" w:name="_Toc160783032"/>
      <w:bookmarkStart w:id="10" w:name="_Toc172630185"/>
      <w:r>
        <w:t>Legal framework</w:t>
      </w:r>
      <w:bookmarkEnd w:id="9"/>
      <w:bookmarkEnd w:id="10"/>
    </w:p>
    <w:p w14:paraId="78E79651" w14:textId="77777777" w:rsidR="00956AAA" w:rsidRPr="00956AAA" w:rsidRDefault="00956AAA" w:rsidP="00956AAA">
      <w:pPr>
        <w:pStyle w:val="Heading2"/>
        <w:rPr>
          <w:sz w:val="28"/>
          <w:szCs w:val="24"/>
        </w:rPr>
      </w:pPr>
      <w:bookmarkStart w:id="11" w:name="_Toc160783033"/>
      <w:bookmarkStart w:id="12" w:name="_Toc172630186"/>
      <w:r w:rsidRPr="00956AAA">
        <w:rPr>
          <w:sz w:val="28"/>
          <w:szCs w:val="24"/>
        </w:rPr>
        <w:t>Functions of the Commission</w:t>
      </w:r>
      <w:bookmarkEnd w:id="11"/>
      <w:bookmarkEnd w:id="12"/>
    </w:p>
    <w:p w14:paraId="677E9D81" w14:textId="77777777" w:rsidR="00956AAA" w:rsidRPr="004172EE" w:rsidRDefault="00956AAA" w:rsidP="00956AAA">
      <w:pPr>
        <w:numPr>
          <w:ilvl w:val="0"/>
          <w:numId w:val="49"/>
        </w:numPr>
        <w:rPr>
          <w:rFonts w:cs="Open Sans"/>
        </w:rPr>
      </w:pPr>
      <w:r w:rsidRPr="004172EE">
        <w:rPr>
          <w:rFonts w:cs="Open Sans"/>
        </w:rPr>
        <w:t>Section 11(1)(f) of the AHRC Act provides that the Commission has the function to inquire into any act or practice that may be inconsistent with or contrary to any human right.</w:t>
      </w:r>
    </w:p>
    <w:p w14:paraId="7F6D5645" w14:textId="77777777" w:rsidR="00956AAA" w:rsidRPr="004172EE" w:rsidRDefault="00956AAA" w:rsidP="00956AAA">
      <w:pPr>
        <w:numPr>
          <w:ilvl w:val="0"/>
          <w:numId w:val="49"/>
        </w:numPr>
        <w:rPr>
          <w:rFonts w:cs="Open Sans"/>
        </w:rPr>
      </w:pPr>
      <w:r w:rsidRPr="004172EE">
        <w:rPr>
          <w:rFonts w:cs="Open Sans"/>
        </w:rPr>
        <w:t xml:space="preserve">Section 20(1)(b) of the AHRC Act requires the Commission to perform this function when a complaint is made to it in writing alleging that an act is inconsistent with, or contrary to, any human right. </w:t>
      </w:r>
    </w:p>
    <w:p w14:paraId="2093914D" w14:textId="77777777" w:rsidR="00956AAA" w:rsidRPr="004172EE" w:rsidRDefault="00956AAA" w:rsidP="00956AAA">
      <w:pPr>
        <w:numPr>
          <w:ilvl w:val="0"/>
          <w:numId w:val="49"/>
        </w:numPr>
        <w:rPr>
          <w:rFonts w:cs="Open Sans"/>
        </w:rPr>
      </w:pPr>
      <w:r w:rsidRPr="004172EE">
        <w:rPr>
          <w:rFonts w:cs="Open Sans"/>
        </w:rPr>
        <w:t>Section 8(6) of the AHRC Act requires that the functions of the Commission under s</w:t>
      </w:r>
      <w:r>
        <w:rPr>
          <w:rFonts w:cs="Open Sans"/>
        </w:rPr>
        <w:t>ection</w:t>
      </w:r>
      <w:r w:rsidRPr="004172EE">
        <w:rPr>
          <w:rFonts w:cs="Open Sans"/>
        </w:rPr>
        <w:t> 11(1)(f) be performed by the President.</w:t>
      </w:r>
    </w:p>
    <w:p w14:paraId="5839F0BE" w14:textId="77777777" w:rsidR="00956AAA" w:rsidRPr="004172EE" w:rsidRDefault="00956AAA" w:rsidP="00956AAA">
      <w:pPr>
        <w:numPr>
          <w:ilvl w:val="0"/>
          <w:numId w:val="49"/>
        </w:numPr>
        <w:rPr>
          <w:rFonts w:cs="Open Sans"/>
        </w:rPr>
      </w:pPr>
      <w:r w:rsidRPr="004172EE">
        <w:rPr>
          <w:rFonts w:cs="Open Sans"/>
        </w:rPr>
        <w:t>The rights and freedoms recognised by the ICCPR are ‘human rights’ within the meaning of the AHRC Act.</w:t>
      </w:r>
      <w:r w:rsidRPr="004172EE">
        <w:rPr>
          <w:rFonts w:cs="Open Sans"/>
          <w:vertAlign w:val="superscript"/>
        </w:rPr>
        <w:endnoteReference w:id="2"/>
      </w:r>
    </w:p>
    <w:p w14:paraId="41D58496" w14:textId="77777777" w:rsidR="00956AAA" w:rsidRPr="00956AAA" w:rsidRDefault="00956AAA" w:rsidP="00956AAA">
      <w:pPr>
        <w:pStyle w:val="Heading2"/>
        <w:rPr>
          <w:sz w:val="28"/>
          <w:szCs w:val="24"/>
        </w:rPr>
      </w:pPr>
      <w:bookmarkStart w:id="13" w:name="_Toc160783034"/>
      <w:bookmarkStart w:id="14" w:name="_Toc172630187"/>
      <w:r w:rsidRPr="00956AAA">
        <w:rPr>
          <w:sz w:val="28"/>
          <w:szCs w:val="24"/>
        </w:rPr>
        <w:t>Scope of ‘act’ and ‘practice’</w:t>
      </w:r>
      <w:bookmarkEnd w:id="13"/>
      <w:bookmarkEnd w:id="14"/>
    </w:p>
    <w:p w14:paraId="374C46FC" w14:textId="77777777" w:rsidR="00956AAA" w:rsidRPr="004172EE" w:rsidRDefault="00956AAA" w:rsidP="00956AAA">
      <w:pPr>
        <w:numPr>
          <w:ilvl w:val="0"/>
          <w:numId w:val="49"/>
        </w:numPr>
        <w:rPr>
          <w:rFonts w:cs="Open Sans"/>
        </w:rPr>
      </w:pPr>
      <w:r w:rsidRPr="004172EE">
        <w:rPr>
          <w:rFonts w:cs="Open Sans"/>
        </w:rPr>
        <w:t>The terms ‘act’ and ‘practice’ are defined in s</w:t>
      </w:r>
      <w:r>
        <w:rPr>
          <w:rFonts w:cs="Open Sans"/>
        </w:rPr>
        <w:t>ection</w:t>
      </w:r>
      <w:r w:rsidRPr="004172EE">
        <w:rPr>
          <w:rFonts w:cs="Open Sans"/>
        </w:rPr>
        <w:t xml:space="preserve"> 3(1) of the AHRC Act to include an act done or a practice engaged in by or on behalf of the Commonwealth or an authority of the Commonwealth or under an enactment.</w:t>
      </w:r>
    </w:p>
    <w:p w14:paraId="044BF8E2" w14:textId="77777777" w:rsidR="00956AAA" w:rsidRPr="004172EE" w:rsidRDefault="00956AAA" w:rsidP="00956AAA">
      <w:pPr>
        <w:numPr>
          <w:ilvl w:val="0"/>
          <w:numId w:val="49"/>
        </w:numPr>
        <w:rPr>
          <w:rFonts w:cs="Open Sans"/>
        </w:rPr>
      </w:pPr>
      <w:r w:rsidRPr="004172EE">
        <w:rPr>
          <w:rFonts w:cs="Open Sans"/>
        </w:rPr>
        <w:t>Section 3(3) provides that the reference to, or to the doing of, an act includes a reference to a refusal or failure to do an act.</w:t>
      </w:r>
    </w:p>
    <w:p w14:paraId="7197A694" w14:textId="77777777" w:rsidR="00956AAA" w:rsidRDefault="00956AAA" w:rsidP="00956AAA">
      <w:pPr>
        <w:numPr>
          <w:ilvl w:val="0"/>
          <w:numId w:val="49"/>
        </w:numPr>
        <w:rPr>
          <w:rFonts w:cs="Open Sans"/>
        </w:rPr>
      </w:pPr>
      <w:r w:rsidRPr="004172EE">
        <w:rPr>
          <w:rFonts w:cs="Open Sans"/>
        </w:rPr>
        <w:t>The functions of the Commission identified in s</w:t>
      </w:r>
      <w:r>
        <w:rPr>
          <w:rFonts w:cs="Open Sans"/>
        </w:rPr>
        <w:t>ection</w:t>
      </w:r>
      <w:r w:rsidRPr="004172EE">
        <w:rPr>
          <w:rFonts w:cs="Open Sans"/>
        </w:rPr>
        <w:t> 11(1)(f) of the AHRC Act are only engaged where the act complained of is not one required by law to be taken, that is, where the relevant act or practice is within the discretion of the Commonwealth, its officers or those acting on its behalf.</w:t>
      </w:r>
      <w:r w:rsidRPr="004172EE">
        <w:rPr>
          <w:rFonts w:cs="Open Sans"/>
          <w:vertAlign w:val="superscript"/>
        </w:rPr>
        <w:endnoteReference w:id="3"/>
      </w:r>
    </w:p>
    <w:p w14:paraId="61DE699C" w14:textId="77777777" w:rsidR="00956AAA" w:rsidRPr="00D722DB" w:rsidRDefault="00956AAA" w:rsidP="00956AAA">
      <w:pPr>
        <w:pStyle w:val="Heading1"/>
      </w:pPr>
      <w:bookmarkStart w:id="15" w:name="_Toc160783035"/>
      <w:bookmarkStart w:id="16" w:name="_Toc172630188"/>
      <w:bookmarkStart w:id="17" w:name="_Ref111811669"/>
      <w:r>
        <w:lastRenderedPageBreak/>
        <w:t>Human rights of detainees</w:t>
      </w:r>
      <w:bookmarkEnd w:id="15"/>
      <w:bookmarkEnd w:id="16"/>
    </w:p>
    <w:p w14:paraId="2C866A9A" w14:textId="77777777" w:rsidR="00956AAA" w:rsidRPr="0056467D" w:rsidRDefault="00956AAA" w:rsidP="00956AAA">
      <w:pPr>
        <w:pStyle w:val="NumberedParagraph"/>
      </w:pPr>
      <w:r w:rsidRPr="4C239322">
        <w:t xml:space="preserve">Persons subject to immigration detention are entitled to the human rights protected by the ICCPR, including special protections as persons deprived of their liberty by the State. </w:t>
      </w:r>
    </w:p>
    <w:p w14:paraId="3BB4631F" w14:textId="77777777" w:rsidR="00956AAA" w:rsidRDefault="00956AAA" w:rsidP="00956AAA">
      <w:pPr>
        <w:pStyle w:val="NumberedParagraph"/>
        <w:keepNext/>
      </w:pPr>
      <w:r>
        <w:t>Article 7 of the ICCPR provides:</w:t>
      </w:r>
    </w:p>
    <w:p w14:paraId="124B798D" w14:textId="77777777" w:rsidR="00956AAA" w:rsidRDefault="00956AAA" w:rsidP="00956AAA">
      <w:pPr>
        <w:pStyle w:val="Quote"/>
      </w:pPr>
      <w:r>
        <w:t>No one shall be subjected to torture or to cruel, inhuman or degrading treatment or punishment.</w:t>
      </w:r>
    </w:p>
    <w:p w14:paraId="7482CF2A" w14:textId="77777777" w:rsidR="00956AAA" w:rsidRPr="0056467D" w:rsidRDefault="00956AAA" w:rsidP="00956AAA">
      <w:pPr>
        <w:pStyle w:val="NumberedParagraph"/>
      </w:pPr>
      <w:r w:rsidRPr="4C239322">
        <w:t>Article 10(1) of the ICCPR provides:</w:t>
      </w:r>
    </w:p>
    <w:p w14:paraId="59528042" w14:textId="77777777" w:rsidR="00956AAA" w:rsidRPr="0056467D" w:rsidRDefault="00956AAA" w:rsidP="00956AAA">
      <w:pPr>
        <w:pStyle w:val="Quote"/>
      </w:pPr>
      <w:r w:rsidRPr="0056467D">
        <w:t>All persons deprived of their liberty shall be treated with humanity and with respect for the inherent dignity of the human person.</w:t>
      </w:r>
    </w:p>
    <w:p w14:paraId="4D0F4382" w14:textId="77777777" w:rsidR="00956AAA" w:rsidRPr="0056467D" w:rsidRDefault="00956AAA" w:rsidP="00956AAA">
      <w:pPr>
        <w:pStyle w:val="NumberedParagraph"/>
      </w:pPr>
      <w:r w:rsidRPr="0056467D">
        <w:t xml:space="preserve">States have a responsibility to ensure that the rights guaranteed in </w:t>
      </w:r>
      <w:r>
        <w:t>a</w:t>
      </w:r>
      <w:r w:rsidRPr="0056467D">
        <w:t xml:space="preserve">rticles 7 and 10 of the ICCPR are accorded to detainees in privately run detention facilities. </w:t>
      </w:r>
    </w:p>
    <w:p w14:paraId="5D9DC2C4" w14:textId="77777777" w:rsidR="00956AAA" w:rsidRPr="0002145E" w:rsidRDefault="00956AAA" w:rsidP="00956AAA">
      <w:pPr>
        <w:pStyle w:val="NumberedParagraph"/>
      </w:pPr>
      <w:r w:rsidRPr="0056467D">
        <w:t>Article 10(1) imposes a positive obligation on States to ensure that detainees are treated with humanity and respect for their inherent dignity.</w:t>
      </w:r>
      <w:r w:rsidRPr="0056467D">
        <w:rPr>
          <w:vertAlign w:val="superscript"/>
        </w:rPr>
        <w:endnoteReference w:id="4"/>
      </w:r>
      <w:r w:rsidRPr="0056467D">
        <w:t xml:space="preserve"> This is in recognition of the fact that detained persons are particularly vulnerable because they are wholly reliant on a relevant authority to provide for their basic needs.</w:t>
      </w:r>
      <w:r w:rsidRPr="0056467D">
        <w:rPr>
          <w:vertAlign w:val="superscript"/>
        </w:rPr>
        <w:endnoteReference w:id="5"/>
      </w:r>
      <w:r w:rsidRPr="0056467D">
        <w:t xml:space="preserve"> In this case, the relevant authority is the Commonwealth of Australia through the Department and the service providers who act on its behalf.</w:t>
      </w:r>
    </w:p>
    <w:p w14:paraId="0845D2AA" w14:textId="77777777" w:rsidR="00956AAA" w:rsidRPr="0056467D" w:rsidRDefault="00956AAA" w:rsidP="00956AAA">
      <w:pPr>
        <w:pStyle w:val="NumberedParagraph"/>
      </w:pPr>
      <w:r w:rsidRPr="0056467D">
        <w:t>Professor Manfred Nowak has commented on the threshold for establishing a breach of article 10(1), when compared to the related prohibition against ‘cruel, inhuman or degrading treatment’ in article 7 of the ICCPR, as follows:</w:t>
      </w:r>
    </w:p>
    <w:p w14:paraId="79AF8817" w14:textId="77777777" w:rsidR="00956AAA" w:rsidRPr="0056467D" w:rsidRDefault="00956AAA" w:rsidP="00956AAA">
      <w:pPr>
        <w:pStyle w:val="Quote"/>
      </w:pPr>
      <w:r w:rsidRPr="4C239322">
        <w:t xml:space="preserve">In contrast to article 7, article 10 relates only to the treatment of persons who have been deprived of their liberty. Whereas article 7 primarily is directed at specific, usually violent attacks on personal integrity, article 10 relates more to the general state of a detention facility or some other closed institution and to the specific conditions of detention. As a result, article 10 primarily imposes on States parties a positive obligation to ensure human dignity. Regardless of economic difficulties, the State must establish a minimum standard for humane conditions of detention (requirement of humane treatment). In other words, it must provide detainees and prisoners with a minimum of services to satisfy their basic needs and human rights (food, clothing, medical care, sanitary facilities, education, work, recreation, communication, light, opportunity to move about, privacy, etc). … </w:t>
      </w:r>
      <w:proofErr w:type="gramStart"/>
      <w:r w:rsidRPr="4C239322">
        <w:t>Finally</w:t>
      </w:r>
      <w:proofErr w:type="gramEnd"/>
      <w:r w:rsidRPr="4C239322">
        <w:t xml:space="preserve"> it is again stressed that the requirement of </w:t>
      </w:r>
      <w:r w:rsidRPr="4C239322">
        <w:lastRenderedPageBreak/>
        <w:t>humane treatment pursuant to article 10 goes beyond the mere prohibition of inhuman treatment under article 7 with regard to the extent of the necessary ‘respect for the inherent dignity of the human person’.</w:t>
      </w:r>
      <w:r w:rsidRPr="4C239322">
        <w:rPr>
          <w:rStyle w:val="EndnoteReference"/>
        </w:rPr>
        <w:endnoteReference w:id="6"/>
      </w:r>
    </w:p>
    <w:p w14:paraId="5E04CD5E" w14:textId="77777777" w:rsidR="00956AAA" w:rsidRPr="0056467D" w:rsidRDefault="00956AAA" w:rsidP="00956AAA">
      <w:pPr>
        <w:pStyle w:val="NumberedParagraph"/>
      </w:pPr>
      <w:r w:rsidRPr="0056467D">
        <w:t xml:space="preserve">These conclusions are also evident in the jurisprudence of the </w:t>
      </w:r>
      <w:r>
        <w:t xml:space="preserve">United Nations </w:t>
      </w:r>
      <w:r w:rsidRPr="0056467D">
        <w:t>Human Rights Committee, which discusses the positive obligation on relevant authorities to treat detainees with humanity and respect for their dignity.</w:t>
      </w:r>
      <w:r w:rsidRPr="0056467D">
        <w:rPr>
          <w:vertAlign w:val="superscript"/>
        </w:rPr>
        <w:endnoteReference w:id="7"/>
      </w:r>
    </w:p>
    <w:p w14:paraId="79478874" w14:textId="77777777" w:rsidR="00956AAA" w:rsidRPr="0056467D" w:rsidRDefault="00956AAA" w:rsidP="00956AAA">
      <w:pPr>
        <w:pStyle w:val="NumberedParagraph"/>
      </w:pPr>
      <w:r w:rsidRPr="0056467D">
        <w:t xml:space="preserve">The content of article 10(1) has been developed through </w:t>
      </w:r>
      <w:proofErr w:type="gramStart"/>
      <w:r w:rsidRPr="0056467D">
        <w:t>a number of</w:t>
      </w:r>
      <w:proofErr w:type="gramEnd"/>
      <w:r w:rsidRPr="0056467D">
        <w:t xml:space="preserve"> U</w:t>
      </w:r>
      <w:r>
        <w:t xml:space="preserve">nited </w:t>
      </w:r>
      <w:r w:rsidRPr="0056467D">
        <w:t>N</w:t>
      </w:r>
      <w:r>
        <w:t>ations</w:t>
      </w:r>
      <w:r w:rsidRPr="0056467D">
        <w:t xml:space="preserve"> instruments that articulate minimum international standards in relation to people deprived of their liberty,</w:t>
      </w:r>
      <w:r w:rsidRPr="0056467D">
        <w:rPr>
          <w:vertAlign w:val="superscript"/>
        </w:rPr>
        <w:endnoteReference w:id="8"/>
      </w:r>
      <w:r w:rsidRPr="0056467D">
        <w:t xml:space="preserve"> including:</w:t>
      </w:r>
    </w:p>
    <w:p w14:paraId="484ACD44" w14:textId="77777777" w:rsidR="00956AAA" w:rsidRPr="0056467D" w:rsidRDefault="00956AAA" w:rsidP="00956AAA">
      <w:pPr>
        <w:pStyle w:val="NumberedParagraph"/>
        <w:numPr>
          <w:ilvl w:val="1"/>
          <w:numId w:val="49"/>
        </w:numPr>
        <w:spacing w:after="120"/>
        <w:ind w:left="1678" w:hanging="720"/>
      </w:pPr>
      <w:r w:rsidRPr="0056467D">
        <w:t>the</w:t>
      </w:r>
      <w:r>
        <w:t xml:space="preserve"> </w:t>
      </w:r>
      <w:r w:rsidRPr="00946585">
        <w:rPr>
          <w:i/>
          <w:iCs/>
        </w:rPr>
        <w:t>Nelson Mandela Rules</w:t>
      </w:r>
      <w:r w:rsidRPr="0056467D">
        <w:t>,</w:t>
      </w:r>
      <w:r w:rsidRPr="0056467D">
        <w:rPr>
          <w:rStyle w:val="EndnoteReference"/>
          <w:rFonts w:eastAsia="MS Mincho"/>
        </w:rPr>
        <w:endnoteReference w:id="9"/>
      </w:r>
      <w:r w:rsidRPr="0056467D">
        <w:t xml:space="preserve"> and </w:t>
      </w:r>
    </w:p>
    <w:p w14:paraId="78B17EBE" w14:textId="77777777" w:rsidR="00956AAA" w:rsidRPr="0056467D" w:rsidRDefault="00956AAA" w:rsidP="00956AAA">
      <w:pPr>
        <w:pStyle w:val="NumberedParagraph"/>
        <w:numPr>
          <w:ilvl w:val="1"/>
          <w:numId w:val="49"/>
        </w:numPr>
        <w:spacing w:after="120"/>
        <w:ind w:left="1678" w:hanging="720"/>
      </w:pPr>
      <w:r w:rsidRPr="0056467D">
        <w:t xml:space="preserve">the </w:t>
      </w:r>
      <w:r w:rsidRPr="4C239322">
        <w:rPr>
          <w:i/>
          <w:iCs/>
        </w:rPr>
        <w:t>Body of Principles for the Protection of all Persons under Any Form of Detention</w:t>
      </w:r>
      <w:r w:rsidRPr="0056467D">
        <w:t xml:space="preserve"> (Body of Principles).</w:t>
      </w:r>
      <w:r w:rsidRPr="0056467D">
        <w:rPr>
          <w:rStyle w:val="EndnoteReference"/>
          <w:rFonts w:eastAsia="MS Mincho"/>
        </w:rPr>
        <w:endnoteReference w:id="10"/>
      </w:r>
    </w:p>
    <w:p w14:paraId="4C584572" w14:textId="77777777" w:rsidR="00956AAA" w:rsidRPr="009E3E89" w:rsidRDefault="00956AAA" w:rsidP="00956AAA">
      <w:pPr>
        <w:pStyle w:val="NumberedParagraph"/>
      </w:pPr>
      <w:bookmarkStart w:id="18" w:name="_Ref505955631"/>
      <w:r w:rsidRPr="009E3E89">
        <w:t xml:space="preserve">In 2015, the Mandela Rules were adopted by the United Nations. They provide a restatement of </w:t>
      </w:r>
      <w:proofErr w:type="gramStart"/>
      <w:r w:rsidRPr="009E3E89">
        <w:t>a number of</w:t>
      </w:r>
      <w:proofErr w:type="gramEnd"/>
      <w:r w:rsidRPr="009E3E89">
        <w:t xml:space="preserve"> United Nations instruments that set out the standards and norms for the treatment of prisoners.</w:t>
      </w:r>
      <w:r w:rsidRPr="0056467D">
        <w:rPr>
          <w:vertAlign w:val="superscript"/>
        </w:rPr>
        <w:endnoteReference w:id="11"/>
      </w:r>
      <w:r w:rsidRPr="009E3E89">
        <w:t xml:space="preserve"> At least some of these principles have been determined to be minimum standards regarding the conditions of detention that must be observed regardless of a State Party’s level of development</w:t>
      </w:r>
      <w:r>
        <w:t>.</w:t>
      </w:r>
    </w:p>
    <w:p w14:paraId="716CFB28" w14:textId="77777777" w:rsidR="00956AAA" w:rsidRPr="0056467D" w:rsidRDefault="00956AAA" w:rsidP="00956AAA">
      <w:pPr>
        <w:pStyle w:val="NumberedParagraph"/>
      </w:pPr>
      <w:bookmarkStart w:id="19" w:name="_Ref142939133"/>
      <w:bookmarkEnd w:id="18"/>
      <w:r w:rsidRPr="0056467D">
        <w:t xml:space="preserve">Several of the Mandela Rules are relevant to the use of force on detainees by detaining officers. Rule </w:t>
      </w:r>
      <w:r>
        <w:t>82</w:t>
      </w:r>
      <w:r w:rsidRPr="0056467D">
        <w:t>(1) of the Mandela Rules provides:</w:t>
      </w:r>
      <w:bookmarkEnd w:id="19"/>
    </w:p>
    <w:p w14:paraId="7CEC1813" w14:textId="77777777" w:rsidR="00956AAA" w:rsidRPr="0056467D" w:rsidRDefault="00956AAA" w:rsidP="00956AAA">
      <w:pPr>
        <w:pStyle w:val="Quote"/>
      </w:pPr>
      <w:r>
        <w:t>Prison staff shall not</w:t>
      </w:r>
      <w:r w:rsidRPr="0056467D">
        <w:t xml:space="preserve">, in their relations with the prisoners, use force except in self-defence or in cases of attempted escape, or active or passive physical resistance to an order based on law or regulations. </w:t>
      </w:r>
      <w:r>
        <w:t>Prison staff</w:t>
      </w:r>
      <w:r w:rsidRPr="0056467D">
        <w:t xml:space="preserve"> who have recourse to force must use no more than is strictly necessary and must report the incident immediately to the </w:t>
      </w:r>
      <w:r>
        <w:t xml:space="preserve">prison </w:t>
      </w:r>
      <w:r w:rsidRPr="0056467D">
        <w:t>director.</w:t>
      </w:r>
    </w:p>
    <w:p w14:paraId="08649C7F" w14:textId="77777777" w:rsidR="00956AAA" w:rsidRPr="0056467D" w:rsidRDefault="00956AAA" w:rsidP="00956AAA">
      <w:pPr>
        <w:pStyle w:val="NumberedParagraph"/>
      </w:pPr>
      <w:r w:rsidRPr="0056467D">
        <w:t>This rule provides limits on the circumstances in which force may be used and limits the use of force in those circumstances to what is necessary.</w:t>
      </w:r>
    </w:p>
    <w:p w14:paraId="16D476E7" w14:textId="77777777" w:rsidR="00956AAA" w:rsidRPr="0056467D" w:rsidRDefault="00956AAA" w:rsidP="00956AAA">
      <w:pPr>
        <w:pStyle w:val="NumberedParagraph"/>
      </w:pPr>
      <w:r w:rsidRPr="0056467D">
        <w:t xml:space="preserve">Rule </w:t>
      </w:r>
      <w:r>
        <w:t>121</w:t>
      </w:r>
      <w:r w:rsidRPr="0056467D">
        <w:t xml:space="preserve"> requires that civil prisoners ‘shall not be subjected to any greater restriction or severity than is necessary to ensure safe custody and good order’. </w:t>
      </w:r>
    </w:p>
    <w:p w14:paraId="6FE22952" w14:textId="77777777" w:rsidR="00956AAA" w:rsidRPr="0056467D" w:rsidRDefault="00956AAA" w:rsidP="00956AAA">
      <w:pPr>
        <w:pStyle w:val="NumberedParagraph"/>
      </w:pPr>
      <w:r w:rsidRPr="0056467D">
        <w:t>From the above, the following conclusions may be drawn:</w:t>
      </w:r>
    </w:p>
    <w:p w14:paraId="525831D6" w14:textId="77777777" w:rsidR="00956AAA" w:rsidRPr="0056467D" w:rsidRDefault="00956AAA" w:rsidP="00956AAA">
      <w:pPr>
        <w:pStyle w:val="NumberedParagraph"/>
        <w:numPr>
          <w:ilvl w:val="1"/>
          <w:numId w:val="49"/>
        </w:numPr>
        <w:spacing w:after="120"/>
        <w:ind w:left="1678" w:hanging="720"/>
      </w:pPr>
      <w:r w:rsidRPr="0056467D">
        <w:t>article 10(1) of the ICCPR imposes a positive</w:t>
      </w:r>
      <w:r w:rsidRPr="0056467D">
        <w:rPr>
          <w:i/>
          <w:iCs/>
        </w:rPr>
        <w:t xml:space="preserve"> </w:t>
      </w:r>
      <w:r w:rsidRPr="0056467D">
        <w:t>obligation on State parties to take action to ensure that detained persons are treated with humanity and dignity</w:t>
      </w:r>
    </w:p>
    <w:p w14:paraId="1C7CD31C" w14:textId="77777777" w:rsidR="00956AAA" w:rsidRPr="0056467D" w:rsidRDefault="00956AAA" w:rsidP="00956AAA">
      <w:pPr>
        <w:pStyle w:val="NumberedParagraph"/>
        <w:numPr>
          <w:ilvl w:val="1"/>
          <w:numId w:val="49"/>
        </w:numPr>
        <w:spacing w:after="120"/>
        <w:ind w:left="1678" w:hanging="720"/>
      </w:pPr>
      <w:r w:rsidRPr="0056467D">
        <w:t xml:space="preserve">the threshold for establishing a breach of article 10(1) of the ICCPR is lower than the threshold for establishing ‘cruel, inhuman or </w:t>
      </w:r>
      <w:r w:rsidRPr="0056467D">
        <w:lastRenderedPageBreak/>
        <w:t>degrading treatment’ within the meaning of article 7 of the ICCPR, which is a negative obligation to refrain from such treatment</w:t>
      </w:r>
    </w:p>
    <w:p w14:paraId="7BBB9004" w14:textId="77777777" w:rsidR="00956AAA" w:rsidRPr="0056467D" w:rsidRDefault="00956AAA" w:rsidP="00956AAA">
      <w:pPr>
        <w:pStyle w:val="NumberedParagraph"/>
        <w:numPr>
          <w:ilvl w:val="1"/>
          <w:numId w:val="49"/>
        </w:numPr>
        <w:spacing w:after="120"/>
        <w:ind w:left="1678" w:hanging="720"/>
      </w:pPr>
      <w:r>
        <w:t>article 10(1) of the ICCPR may be breached if a detainee’s rights, protected by one of the other articles of the ICCPR, are breached – unless that breach is necessitated by the deprivation of liberty</w:t>
      </w:r>
    </w:p>
    <w:p w14:paraId="6590E828" w14:textId="77777777" w:rsidR="00956AAA" w:rsidRPr="0056467D" w:rsidRDefault="00956AAA" w:rsidP="00956AAA">
      <w:pPr>
        <w:pStyle w:val="NumberedParagraph"/>
        <w:numPr>
          <w:ilvl w:val="1"/>
          <w:numId w:val="49"/>
        </w:numPr>
        <w:spacing w:after="120"/>
        <w:ind w:left="1678" w:hanging="720"/>
      </w:pPr>
      <w:r w:rsidRPr="0056467D">
        <w:t>minimum standards of humane treatment must be observed in detention conditions, including immigration detention</w:t>
      </w:r>
      <w:r>
        <w:t>.</w:t>
      </w:r>
      <w:r w:rsidRPr="0056467D">
        <w:t xml:space="preserve"> </w:t>
      </w:r>
    </w:p>
    <w:p w14:paraId="0327265E" w14:textId="77777777" w:rsidR="00956AAA" w:rsidRDefault="00956AAA" w:rsidP="00956AAA">
      <w:pPr>
        <w:pStyle w:val="Heading1"/>
      </w:pPr>
      <w:bookmarkStart w:id="20" w:name="_Toc160783036"/>
      <w:bookmarkStart w:id="21" w:name="_Toc172630189"/>
      <w:r>
        <w:t>Legal and policy framework for use of force in immigration detention</w:t>
      </w:r>
      <w:bookmarkEnd w:id="20"/>
      <w:bookmarkEnd w:id="21"/>
    </w:p>
    <w:bookmarkEnd w:id="17"/>
    <w:p w14:paraId="0FF7A3D7" w14:textId="77777777" w:rsidR="00956AAA" w:rsidRPr="00824770" w:rsidRDefault="00956AAA" w:rsidP="00956AAA">
      <w:pPr>
        <w:pStyle w:val="SubmissionNormal"/>
        <w:numPr>
          <w:ilvl w:val="0"/>
          <w:numId w:val="49"/>
        </w:numPr>
        <w:tabs>
          <w:tab w:val="num" w:pos="1146"/>
        </w:tabs>
        <w:ind w:left="1146"/>
        <w:rPr>
          <w:rFonts w:cs="Open Sans"/>
        </w:rPr>
      </w:pPr>
      <w:r w:rsidRPr="00824770">
        <w:rPr>
          <w:rFonts w:cs="Open Sans"/>
        </w:rPr>
        <w:t xml:space="preserve">Serco’s contract with the Department to run immigration detention facilities, and the Department’s Detention Services Manual (DSM), are the primary documents that set out the obligations of Serco and departmental staff with respect to use of force. </w:t>
      </w:r>
    </w:p>
    <w:p w14:paraId="2A5531B9" w14:textId="77777777" w:rsidR="00956AAA" w:rsidRPr="00824770" w:rsidRDefault="00956AAA" w:rsidP="00956AAA">
      <w:pPr>
        <w:pStyle w:val="SubmissionNormal"/>
        <w:numPr>
          <w:ilvl w:val="0"/>
          <w:numId w:val="49"/>
        </w:numPr>
        <w:tabs>
          <w:tab w:val="num" w:pos="1146"/>
        </w:tabs>
        <w:ind w:left="1146"/>
        <w:rPr>
          <w:rFonts w:cs="Open Sans"/>
        </w:rPr>
      </w:pPr>
      <w:r w:rsidRPr="00824770">
        <w:rPr>
          <w:rFonts w:cs="Open Sans"/>
        </w:rPr>
        <w:t xml:space="preserve">The Serco contract provides that Serco must ensure that force is not used unless as a measure of last resort, and then only with the reasonable level of force necessary. It further states that all reasonable precautionary measures must be taken to ensure the safety of the </w:t>
      </w:r>
      <w:r>
        <w:rPr>
          <w:rFonts w:cs="Open Sans"/>
        </w:rPr>
        <w:t>d</w:t>
      </w:r>
      <w:r w:rsidRPr="00824770">
        <w:rPr>
          <w:rFonts w:cs="Open Sans"/>
        </w:rPr>
        <w:t>etainee. It requires personnel who use force to be properly trained and accredited</w:t>
      </w:r>
      <w:r>
        <w:rPr>
          <w:rFonts w:cs="Open Sans"/>
        </w:rPr>
        <w:t>.</w:t>
      </w:r>
      <w:r w:rsidRPr="00824770">
        <w:rPr>
          <w:rStyle w:val="EndnoteReference"/>
          <w:rFonts w:eastAsia="MS Mincho" w:cs="Open Sans"/>
          <w:szCs w:val="20"/>
        </w:rPr>
        <w:endnoteReference w:id="12"/>
      </w:r>
    </w:p>
    <w:p w14:paraId="21613CAF" w14:textId="77777777" w:rsidR="00956AAA" w:rsidRPr="00824770" w:rsidRDefault="00956AAA" w:rsidP="00956AAA">
      <w:pPr>
        <w:pStyle w:val="SubmissionNormal"/>
        <w:numPr>
          <w:ilvl w:val="0"/>
          <w:numId w:val="49"/>
        </w:numPr>
        <w:tabs>
          <w:tab w:val="num" w:pos="1146"/>
        </w:tabs>
        <w:ind w:left="1146"/>
        <w:rPr>
          <w:rFonts w:cs="Open Sans"/>
        </w:rPr>
      </w:pPr>
      <w:r w:rsidRPr="00824770">
        <w:rPr>
          <w:rFonts w:cs="Open Sans"/>
        </w:rPr>
        <w:t>When Serco has used force or instruments of restraint such as handcuffs on a detainee, it must prepare an incident report for the Department and refer the detainees to the Detention Health Services Provider for a medical examination immediately after the use of force or restraints.</w:t>
      </w:r>
      <w:r w:rsidRPr="00824770">
        <w:rPr>
          <w:rStyle w:val="EndnoteReference"/>
          <w:rFonts w:eastAsia="MS Mincho" w:cs="Open Sans"/>
        </w:rPr>
        <w:endnoteReference w:id="13"/>
      </w:r>
      <w:r w:rsidRPr="00824770">
        <w:rPr>
          <w:rFonts w:cs="Open Sans"/>
        </w:rPr>
        <w:t xml:space="preserve"> </w:t>
      </w:r>
    </w:p>
    <w:p w14:paraId="2A61BB13" w14:textId="50D47834" w:rsidR="00956AAA" w:rsidRPr="00824770" w:rsidRDefault="00956AAA" w:rsidP="00956AAA">
      <w:pPr>
        <w:pStyle w:val="SubmissionNormal"/>
        <w:numPr>
          <w:ilvl w:val="0"/>
          <w:numId w:val="49"/>
        </w:numPr>
        <w:tabs>
          <w:tab w:val="num" w:pos="1146"/>
        </w:tabs>
        <w:ind w:left="1146"/>
        <w:rPr>
          <w:rFonts w:cs="Open Sans"/>
        </w:rPr>
      </w:pPr>
      <w:r w:rsidRPr="00824770">
        <w:rPr>
          <w:rFonts w:cs="Open Sans"/>
        </w:rPr>
        <w:t>As described in the Department’s DSM, both the Department and its service providers owe a duty of care to all persons held in immigration detention. This means that they are legally obliged to exercise reasonable care to prevent detainees from suffering reasonably foreseeable harm. The Department’s duty of care is non-delegable.</w:t>
      </w:r>
    </w:p>
    <w:p w14:paraId="025295E8" w14:textId="77777777" w:rsidR="00956AAA" w:rsidRPr="00824770" w:rsidRDefault="00956AAA" w:rsidP="00956AAA">
      <w:pPr>
        <w:pStyle w:val="SubmissionNormal"/>
        <w:numPr>
          <w:ilvl w:val="0"/>
          <w:numId w:val="49"/>
        </w:numPr>
        <w:tabs>
          <w:tab w:val="num" w:pos="1146"/>
        </w:tabs>
        <w:ind w:left="1146"/>
        <w:rPr>
          <w:rFonts w:cs="Open Sans"/>
        </w:rPr>
      </w:pPr>
      <w:r w:rsidRPr="00824770">
        <w:rPr>
          <w:rFonts w:cs="Open Sans"/>
        </w:rPr>
        <w:t xml:space="preserve">When the Department contracts out the provision of services to people in held detention to third parties, it has a responsibility to ensure the contracted service providers are qualified and can meet the standards outlined in the contract. </w:t>
      </w:r>
    </w:p>
    <w:p w14:paraId="354D9C21" w14:textId="5C59AF8B" w:rsidR="00956AAA" w:rsidRPr="00824770" w:rsidRDefault="00956AAA" w:rsidP="00956AAA">
      <w:pPr>
        <w:pStyle w:val="SubmissionNormal"/>
        <w:numPr>
          <w:ilvl w:val="0"/>
          <w:numId w:val="49"/>
        </w:numPr>
        <w:tabs>
          <w:tab w:val="num" w:pos="1146"/>
        </w:tabs>
        <w:ind w:left="1146"/>
        <w:rPr>
          <w:rFonts w:cs="Open Sans"/>
        </w:rPr>
      </w:pPr>
      <w:r w:rsidRPr="00824770">
        <w:rPr>
          <w:rFonts w:cs="Open Sans"/>
        </w:rPr>
        <w:lastRenderedPageBreak/>
        <w:t>While these third parties must also discharge their own duty of care obligations to a detainee in held detention, this duty is additional to, and is not a substitute for, the Department’s duty of care</w:t>
      </w:r>
      <w:r>
        <w:rPr>
          <w:rFonts w:cs="Open Sans"/>
        </w:rPr>
        <w:t>.</w:t>
      </w:r>
    </w:p>
    <w:p w14:paraId="1EA76B48" w14:textId="77777777" w:rsidR="00956AAA" w:rsidRPr="00824770" w:rsidRDefault="00956AAA" w:rsidP="00956AAA">
      <w:pPr>
        <w:pStyle w:val="SubmissionNormal"/>
        <w:keepNext/>
        <w:numPr>
          <w:ilvl w:val="0"/>
          <w:numId w:val="49"/>
        </w:numPr>
        <w:tabs>
          <w:tab w:val="num" w:pos="1146"/>
        </w:tabs>
        <w:ind w:left="1145"/>
        <w:rPr>
          <w:rFonts w:cs="Open Sans"/>
        </w:rPr>
      </w:pPr>
      <w:bookmarkStart w:id="22" w:name="_Ref150438752"/>
      <w:r w:rsidRPr="00824770">
        <w:rPr>
          <w:rFonts w:cs="Open Sans"/>
        </w:rPr>
        <w:t>The Department’s DSM provides that:</w:t>
      </w:r>
      <w:bookmarkEnd w:id="22"/>
    </w:p>
    <w:p w14:paraId="17CB58E3" w14:textId="77777777" w:rsidR="00956AAA" w:rsidRPr="00824770" w:rsidRDefault="00956AAA" w:rsidP="00956AAA">
      <w:pPr>
        <w:numPr>
          <w:ilvl w:val="1"/>
          <w:numId w:val="49"/>
        </w:numPr>
        <w:tabs>
          <w:tab w:val="num" w:pos="2160"/>
        </w:tabs>
        <w:ind w:left="1800"/>
        <w:rPr>
          <w:rFonts w:cs="Open Sans"/>
        </w:rPr>
      </w:pPr>
      <w:r w:rsidRPr="00824770">
        <w:rPr>
          <w:rFonts w:cs="Open Sans"/>
        </w:rPr>
        <w:t>conflict resolution through negotiation and de-escalation is, where practicable, to be considered before the use of force and/or restraint is used</w:t>
      </w:r>
    </w:p>
    <w:p w14:paraId="6F1DCAFD" w14:textId="77777777" w:rsidR="00956AAA" w:rsidRPr="00824770" w:rsidRDefault="00956AAA" w:rsidP="00956AAA">
      <w:pPr>
        <w:numPr>
          <w:ilvl w:val="1"/>
          <w:numId w:val="49"/>
        </w:numPr>
        <w:tabs>
          <w:tab w:val="num" w:pos="2160"/>
        </w:tabs>
        <w:ind w:left="1800"/>
        <w:rPr>
          <w:rFonts w:cs="Open Sans"/>
        </w:rPr>
      </w:pPr>
      <w:r w:rsidRPr="00824770">
        <w:rPr>
          <w:rFonts w:cs="Open Sans"/>
        </w:rPr>
        <w:t>reasonable force and/or restraint should only be used as a measure of last resort</w:t>
      </w:r>
    </w:p>
    <w:p w14:paraId="65013389" w14:textId="77777777" w:rsidR="00956AAA" w:rsidRPr="00824770" w:rsidRDefault="00956AAA" w:rsidP="00956AAA">
      <w:pPr>
        <w:numPr>
          <w:ilvl w:val="1"/>
          <w:numId w:val="49"/>
        </w:numPr>
        <w:tabs>
          <w:tab w:val="num" w:pos="2160"/>
        </w:tabs>
        <w:ind w:left="1800"/>
        <w:rPr>
          <w:rFonts w:cs="Open Sans"/>
        </w:rPr>
      </w:pPr>
      <w:r w:rsidRPr="00824770">
        <w:rPr>
          <w:rFonts w:cs="Open Sans"/>
        </w:rPr>
        <w:t>reasonable force and/or restraint may be used to prevent the detainee inflicting self-injury, injury to others, escaping or destruction of property</w:t>
      </w:r>
    </w:p>
    <w:p w14:paraId="7A22F0B3" w14:textId="77777777" w:rsidR="00956AAA" w:rsidRPr="00824770" w:rsidRDefault="00956AAA" w:rsidP="00956AAA">
      <w:pPr>
        <w:numPr>
          <w:ilvl w:val="1"/>
          <w:numId w:val="49"/>
        </w:numPr>
        <w:tabs>
          <w:tab w:val="num" w:pos="2160"/>
        </w:tabs>
        <w:ind w:left="1800"/>
        <w:rPr>
          <w:rFonts w:cs="Open Sans"/>
        </w:rPr>
      </w:pPr>
      <w:r w:rsidRPr="00824770">
        <w:rPr>
          <w:rFonts w:cs="Open Sans"/>
        </w:rPr>
        <w:t>reasonable force and/or restraint may only be used for the shortest amount of time possible to the extent that is both lawfully and reasonably necessary</w:t>
      </w:r>
    </w:p>
    <w:p w14:paraId="2978EC61" w14:textId="77777777" w:rsidR="00956AAA" w:rsidRPr="00824770" w:rsidRDefault="00956AAA" w:rsidP="00956AAA">
      <w:pPr>
        <w:numPr>
          <w:ilvl w:val="1"/>
          <w:numId w:val="49"/>
        </w:numPr>
        <w:tabs>
          <w:tab w:val="num" w:pos="2160"/>
        </w:tabs>
        <w:ind w:left="1800"/>
        <w:rPr>
          <w:rFonts w:cs="Open Sans"/>
        </w:rPr>
      </w:pPr>
      <w:r w:rsidRPr="00824770">
        <w:rPr>
          <w:rFonts w:cs="Open Sans"/>
        </w:rPr>
        <w:t xml:space="preserve">if the management of a detainee can be achieved by other means, force must not be </w:t>
      </w:r>
      <w:proofErr w:type="spellStart"/>
      <w:r w:rsidRPr="00824770">
        <w:rPr>
          <w:rFonts w:cs="Open Sans"/>
        </w:rPr>
        <w:t>used</w:t>
      </w:r>
      <w:r w:rsidRPr="00824770">
        <w:rPr>
          <w:rFonts w:cs="Open Sans"/>
          <w:sz w:val="2"/>
          <w:szCs w:val="2"/>
        </w:rPr>
        <w:t>F</w:t>
      </w:r>
      <w:proofErr w:type="spellEnd"/>
      <w:r w:rsidRPr="00824770">
        <w:rPr>
          <w:rStyle w:val="EndnoteReference"/>
          <w:rFonts w:cs="Open Sans"/>
        </w:rPr>
        <w:endnoteReference w:id="14"/>
      </w:r>
    </w:p>
    <w:p w14:paraId="1F1107B4" w14:textId="77777777" w:rsidR="00956AAA" w:rsidRPr="00824770" w:rsidRDefault="00956AAA" w:rsidP="00956AAA">
      <w:pPr>
        <w:numPr>
          <w:ilvl w:val="1"/>
          <w:numId w:val="49"/>
        </w:numPr>
        <w:tabs>
          <w:tab w:val="num" w:pos="2160"/>
        </w:tabs>
        <w:ind w:left="1800"/>
        <w:rPr>
          <w:rFonts w:cs="Open Sans"/>
        </w:rPr>
      </w:pPr>
      <w:r w:rsidRPr="00824770">
        <w:rPr>
          <w:rFonts w:cs="Open Sans"/>
        </w:rPr>
        <w:t>the use of force and/or restraint must not include cruel, inhumane or degrading treatment</w:t>
      </w:r>
    </w:p>
    <w:p w14:paraId="6B613C49" w14:textId="77777777" w:rsidR="00956AAA" w:rsidRPr="00824770" w:rsidRDefault="00956AAA" w:rsidP="00956AAA">
      <w:pPr>
        <w:numPr>
          <w:ilvl w:val="1"/>
          <w:numId w:val="49"/>
        </w:numPr>
        <w:tabs>
          <w:tab w:val="num" w:pos="2160"/>
        </w:tabs>
        <w:ind w:left="1800"/>
        <w:rPr>
          <w:rFonts w:cs="Open Sans"/>
        </w:rPr>
      </w:pPr>
      <w:r w:rsidRPr="00824770">
        <w:rPr>
          <w:rFonts w:cs="Open Sans"/>
        </w:rPr>
        <w:t>the use of force and/or restraint must not be used for the purposes of punishment</w:t>
      </w:r>
    </w:p>
    <w:p w14:paraId="0C52A9B2" w14:textId="77777777" w:rsidR="00956AAA" w:rsidRPr="00824770" w:rsidRDefault="00956AAA" w:rsidP="00956AAA">
      <w:pPr>
        <w:numPr>
          <w:ilvl w:val="1"/>
          <w:numId w:val="49"/>
        </w:numPr>
        <w:tabs>
          <w:tab w:val="num" w:pos="2160"/>
        </w:tabs>
        <w:ind w:left="1800"/>
        <w:rPr>
          <w:rFonts w:cs="Open Sans"/>
        </w:rPr>
      </w:pPr>
      <w:r w:rsidRPr="00824770">
        <w:rPr>
          <w:rFonts w:cs="Open Sans"/>
        </w:rPr>
        <w:t>the excessive use of force and/or restraint is unlawful and must not occur in any circumstances</w:t>
      </w:r>
    </w:p>
    <w:p w14:paraId="5A44B7CD" w14:textId="77777777" w:rsidR="00956AAA" w:rsidRPr="00824770" w:rsidRDefault="00956AAA" w:rsidP="00956AAA">
      <w:pPr>
        <w:numPr>
          <w:ilvl w:val="1"/>
          <w:numId w:val="49"/>
        </w:numPr>
        <w:tabs>
          <w:tab w:val="num" w:pos="2160"/>
        </w:tabs>
        <w:ind w:left="1800"/>
        <w:rPr>
          <w:rFonts w:cs="Open Sans"/>
        </w:rPr>
      </w:pPr>
      <w:r w:rsidRPr="00824770">
        <w:rPr>
          <w:rFonts w:cs="Open Sans"/>
        </w:rPr>
        <w:t>the use of excessive force on a detainee may constitute an assault</w:t>
      </w:r>
    </w:p>
    <w:p w14:paraId="194C1EC6" w14:textId="77777777" w:rsidR="00956AAA" w:rsidRPr="00824770" w:rsidRDefault="00956AAA" w:rsidP="00956AAA">
      <w:pPr>
        <w:numPr>
          <w:ilvl w:val="1"/>
          <w:numId w:val="49"/>
        </w:numPr>
        <w:tabs>
          <w:tab w:val="num" w:pos="2160"/>
        </w:tabs>
        <w:ind w:left="1800"/>
        <w:rPr>
          <w:rFonts w:cs="Open Sans"/>
        </w:rPr>
      </w:pPr>
      <w:r w:rsidRPr="00824770">
        <w:rPr>
          <w:rFonts w:cs="Open Sans"/>
        </w:rPr>
        <w:t xml:space="preserve">all instances where use of force and/or restraint are applied (including any follow-up action), must be reported in accordance with the relevant FDSP </w:t>
      </w:r>
      <w:r>
        <w:rPr>
          <w:rFonts w:cs="Open Sans"/>
        </w:rPr>
        <w:t xml:space="preserve">[Facilities and Detainee Services Provider] </w:t>
      </w:r>
      <w:r w:rsidRPr="00824770">
        <w:rPr>
          <w:rFonts w:cs="Open Sans"/>
        </w:rPr>
        <w:t>operational procedures.</w:t>
      </w:r>
      <w:r w:rsidRPr="00824770">
        <w:rPr>
          <w:rStyle w:val="EndnoteReference"/>
          <w:rFonts w:cs="Open Sans"/>
        </w:rPr>
        <w:endnoteReference w:id="15"/>
      </w:r>
    </w:p>
    <w:p w14:paraId="1845499B" w14:textId="77777777" w:rsidR="00956AAA" w:rsidRPr="00824770" w:rsidRDefault="00956AAA" w:rsidP="00956AAA">
      <w:pPr>
        <w:pStyle w:val="SubmissionNormal"/>
        <w:numPr>
          <w:ilvl w:val="0"/>
          <w:numId w:val="49"/>
        </w:numPr>
        <w:tabs>
          <w:tab w:val="num" w:pos="1146"/>
        </w:tabs>
        <w:ind w:left="1146"/>
        <w:rPr>
          <w:rFonts w:cs="Open Sans"/>
        </w:rPr>
      </w:pPr>
      <w:r w:rsidRPr="00824770">
        <w:rPr>
          <w:rFonts w:cs="Open Sans"/>
        </w:rPr>
        <w:t xml:space="preserve">The Department’s DSM provides that ‘all use of force and/or restraint should be proportionate to the situation, objectively justifiable and only used as a measure of last resort’ and that the ‘level of force must be proportionate to the threat being faced and always at the minimum level required to achieve legislative </w:t>
      </w:r>
      <w:proofErr w:type="gramStart"/>
      <w:r w:rsidRPr="00824770">
        <w:rPr>
          <w:rFonts w:cs="Open Sans"/>
        </w:rPr>
        <w:t>outcomes’</w:t>
      </w:r>
      <w:proofErr w:type="gramEnd"/>
      <w:r w:rsidRPr="00824770">
        <w:rPr>
          <w:rFonts w:cs="Open Sans"/>
        </w:rPr>
        <w:t>.</w:t>
      </w:r>
      <w:r w:rsidRPr="00824770">
        <w:rPr>
          <w:rStyle w:val="EndnoteReference"/>
          <w:rFonts w:eastAsia="MS Mincho" w:cs="Open Sans"/>
        </w:rPr>
        <w:endnoteReference w:id="16"/>
      </w:r>
      <w:r w:rsidRPr="00824770">
        <w:rPr>
          <w:rFonts w:cs="Open Sans"/>
        </w:rPr>
        <w:t xml:space="preserve"> </w:t>
      </w:r>
    </w:p>
    <w:p w14:paraId="35257136" w14:textId="77777777" w:rsidR="00956AAA" w:rsidRDefault="00956AAA" w:rsidP="00956AAA">
      <w:pPr>
        <w:pStyle w:val="Heading1"/>
      </w:pPr>
      <w:bookmarkStart w:id="23" w:name="_Toc160783037"/>
      <w:bookmarkStart w:id="24" w:name="_Toc172630190"/>
      <w:r>
        <w:lastRenderedPageBreak/>
        <w:t>Consideration</w:t>
      </w:r>
      <w:bookmarkEnd w:id="23"/>
      <w:bookmarkEnd w:id="24"/>
    </w:p>
    <w:p w14:paraId="7874FD67" w14:textId="77777777" w:rsidR="00956AAA" w:rsidRPr="00956AAA" w:rsidRDefault="00956AAA" w:rsidP="00956AAA">
      <w:pPr>
        <w:pStyle w:val="Heading2"/>
        <w:rPr>
          <w:sz w:val="28"/>
          <w:szCs w:val="24"/>
        </w:rPr>
      </w:pPr>
      <w:bookmarkStart w:id="25" w:name="_Toc160783038"/>
      <w:bookmarkStart w:id="26" w:name="_Toc172630191"/>
      <w:r w:rsidRPr="00956AAA">
        <w:rPr>
          <w:sz w:val="28"/>
          <w:szCs w:val="24"/>
        </w:rPr>
        <w:t>Act or practice of the Commonwealth</w:t>
      </w:r>
      <w:bookmarkEnd w:id="25"/>
      <w:bookmarkEnd w:id="26"/>
    </w:p>
    <w:p w14:paraId="3B2A61FD" w14:textId="77777777" w:rsidR="00956AAA" w:rsidRDefault="00956AAA" w:rsidP="00956AAA">
      <w:pPr>
        <w:pStyle w:val="NumberedParagraph"/>
      </w:pPr>
      <w:r>
        <w:t>Serco was acting under a contract with the Department, and therefore the act or practice of Serco is an act or practice by or on behalf of the Commonwealth.</w:t>
      </w:r>
    </w:p>
    <w:p w14:paraId="63FDED44" w14:textId="77777777" w:rsidR="00956AAA" w:rsidRDefault="00956AAA" w:rsidP="00956AAA">
      <w:pPr>
        <w:pStyle w:val="NumberedParagraph"/>
      </w:pPr>
      <w:r>
        <w:t xml:space="preserve">The relevant act or practice of the Commonwealth for the purposes of this inquiry is therefore the </w:t>
      </w:r>
      <w:r w:rsidRPr="00B113DD">
        <w:t>decision</w:t>
      </w:r>
      <w:r>
        <w:t xml:space="preserve"> by an officer referred to below as ERT 1</w:t>
      </w:r>
      <w:r w:rsidRPr="00B113DD">
        <w:t xml:space="preserve"> </w:t>
      </w:r>
      <w:r>
        <w:t>at 11.47am on 30 March 2021</w:t>
      </w:r>
      <w:r w:rsidRPr="009901EB">
        <w:t xml:space="preserve"> </w:t>
      </w:r>
      <w:r w:rsidRPr="00B113DD">
        <w:t>to</w:t>
      </w:r>
      <w:r>
        <w:t xml:space="preserve"> use force against Mr NR.</w:t>
      </w:r>
    </w:p>
    <w:p w14:paraId="1F84390D" w14:textId="77777777" w:rsidR="00956AAA" w:rsidRPr="00956AAA" w:rsidRDefault="00956AAA" w:rsidP="00956AAA">
      <w:pPr>
        <w:pStyle w:val="Heading2"/>
        <w:rPr>
          <w:sz w:val="28"/>
          <w:szCs w:val="24"/>
        </w:rPr>
      </w:pPr>
      <w:bookmarkStart w:id="27" w:name="_Toc160783039"/>
      <w:bookmarkStart w:id="28" w:name="_Toc172630192"/>
      <w:r w:rsidRPr="00956AAA">
        <w:rPr>
          <w:sz w:val="28"/>
          <w:szCs w:val="24"/>
        </w:rPr>
        <w:t>Use of force incident on 30 March 2021</w:t>
      </w:r>
      <w:bookmarkEnd w:id="27"/>
      <w:bookmarkEnd w:id="28"/>
    </w:p>
    <w:p w14:paraId="2E8D580E" w14:textId="77777777" w:rsidR="00956AAA" w:rsidRDefault="00956AAA" w:rsidP="00956AAA">
      <w:pPr>
        <w:pStyle w:val="NumberedParagraph"/>
      </w:pPr>
      <w:r>
        <w:t>The Department provided three files containing footage of the events complained of by Mr NR commencing at 11.41am on 30 March 2021.</w:t>
      </w:r>
    </w:p>
    <w:p w14:paraId="7F77CAA1" w14:textId="77777777" w:rsidR="00956AAA" w:rsidRDefault="00956AAA" w:rsidP="00956AAA">
      <w:pPr>
        <w:pStyle w:val="NumberedParagraph"/>
      </w:pPr>
      <w:bookmarkStart w:id="29" w:name="_Ref160545524"/>
      <w:r>
        <w:t>While body camera footage was taken of the incident, the Department informed the Commission that footage no longer existed, because ‘at the time of the incident, Christmas Island used the older model body cameras which did not include automatic downloads when the devices were docked after shift, therefore, the footage was not downloaded’. However, Serco correspondence to Mr NR dated 14 April 2021 indicated that body camera footage from six ERT officers had been reviewed by the Residential Manager in Serco’s internal investigation into his complaints made on 31 March and 7 April 2021. I asked the Department to provide the Commission with an explanation of this discrepancy, and a description of the method by which body camera footage is now retrieved, when responding to my preliminary view of Mr NR’s complaint, but the Department provided no further explanation.</w:t>
      </w:r>
      <w:bookmarkEnd w:id="29"/>
    </w:p>
    <w:p w14:paraId="31A56F83" w14:textId="77777777" w:rsidR="00956AAA" w:rsidRDefault="00956AAA" w:rsidP="00956AAA">
      <w:pPr>
        <w:pStyle w:val="NumberedParagraph"/>
      </w:pPr>
      <w:proofErr w:type="gramStart"/>
      <w:r>
        <w:t>In light of</w:t>
      </w:r>
      <w:proofErr w:type="gramEnd"/>
      <w:r>
        <w:t xml:space="preserve"> this, only CCTV footage was able to be reviewed by the Commission, which does not include any audio recording of the discussions between Mr NR and officers prior to the use of force against him.</w:t>
      </w:r>
    </w:p>
    <w:p w14:paraId="32B3B328" w14:textId="3E02D036" w:rsidR="00956AAA" w:rsidRDefault="00956AAA" w:rsidP="00956AAA">
      <w:pPr>
        <w:pStyle w:val="NumberedParagraph"/>
      </w:pPr>
      <w:r>
        <w:t>At 11.41am, Mr NR can be seen seated in the top left-hand corner of the footage (</w:t>
      </w:r>
      <w:r w:rsidR="0063301C">
        <w:t>F</w:t>
      </w:r>
      <w:r>
        <w:t>igure 1).</w:t>
      </w:r>
    </w:p>
    <w:p w14:paraId="32ECD2B5" w14:textId="77777777" w:rsidR="00956AAA" w:rsidRDefault="00956AAA" w:rsidP="00956AAA">
      <w:pPr>
        <w:pStyle w:val="NumberedParagraph"/>
        <w:numPr>
          <w:ilvl w:val="0"/>
          <w:numId w:val="0"/>
        </w:numPr>
      </w:pPr>
      <w:r>
        <w:rPr>
          <w:noProof/>
        </w:rPr>
        <w:lastRenderedPageBreak/>
        <w:drawing>
          <wp:anchor distT="0" distB="0" distL="114300" distR="114300" simplePos="0" relativeHeight="251658240" behindDoc="0" locked="0" layoutInCell="1" allowOverlap="1" wp14:anchorId="07A2FAFF" wp14:editId="5CA1AE44">
            <wp:simplePos x="0" y="0"/>
            <wp:positionH relativeFrom="column">
              <wp:posOffset>467995</wp:posOffset>
            </wp:positionH>
            <wp:positionV relativeFrom="paragraph">
              <wp:posOffset>0</wp:posOffset>
            </wp:positionV>
            <wp:extent cx="5040000" cy="2847600"/>
            <wp:effectExtent l="0" t="0" r="8255" b="0"/>
            <wp:wrapSquare wrapText="bothSides"/>
            <wp:docPr id="1334817622" name="Picture 1334817622" descr="A room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817622" name="Picture 1" descr="A room with a table and chairs&#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040000" cy="2847600"/>
                    </a:xfrm>
                    <a:prstGeom prst="rect">
                      <a:avLst/>
                    </a:prstGeom>
                  </pic:spPr>
                </pic:pic>
              </a:graphicData>
            </a:graphic>
            <wp14:sizeRelH relativeFrom="page">
              <wp14:pctWidth>0</wp14:pctWidth>
            </wp14:sizeRelH>
            <wp14:sizeRelV relativeFrom="page">
              <wp14:pctHeight>0</wp14:pctHeight>
            </wp14:sizeRelV>
          </wp:anchor>
        </w:drawing>
      </w:r>
    </w:p>
    <w:p w14:paraId="425C470A" w14:textId="266EC448" w:rsidR="00956AAA" w:rsidRDefault="00CD73FF" w:rsidP="00956AAA">
      <w:pPr>
        <w:pStyle w:val="NumberedParagraph"/>
        <w:numPr>
          <w:ilvl w:val="0"/>
          <w:numId w:val="0"/>
        </w:numPr>
        <w:ind w:left="720"/>
        <w:rPr>
          <w:b/>
          <w:bCs/>
          <w:sz w:val="22"/>
          <w:szCs w:val="22"/>
        </w:rPr>
      </w:pPr>
      <w:r>
        <w:rPr>
          <w:b/>
          <w:bCs/>
          <w:sz w:val="22"/>
          <w:szCs w:val="22"/>
        </w:rPr>
        <w:br/>
      </w:r>
      <w:r w:rsidR="00956AAA" w:rsidRPr="00B254E3">
        <w:rPr>
          <w:b/>
          <w:bCs/>
          <w:sz w:val="22"/>
          <w:szCs w:val="22"/>
        </w:rPr>
        <w:t xml:space="preserve">Figure 1: </w:t>
      </w:r>
      <w:r w:rsidR="00956AAA" w:rsidRPr="002411B3">
        <w:rPr>
          <w:sz w:val="22"/>
          <w:szCs w:val="22"/>
        </w:rPr>
        <w:t>Mr NR seated on floor in HCA immediately prior to entrance of Serco ERT officers</w:t>
      </w:r>
    </w:p>
    <w:p w14:paraId="453BDE30" w14:textId="1C885F4B" w:rsidR="00956AAA" w:rsidRPr="00A83D47" w:rsidRDefault="00AE5803" w:rsidP="00A83D47">
      <w:pPr>
        <w:pStyle w:val="NumberedParagraph"/>
      </w:pPr>
      <w:r w:rsidRPr="000070EE">
        <w:rPr>
          <w:noProof/>
        </w:rPr>
        <w:drawing>
          <wp:anchor distT="0" distB="0" distL="114300" distR="114300" simplePos="0" relativeHeight="251658241" behindDoc="0" locked="0" layoutInCell="1" allowOverlap="1" wp14:anchorId="65249B90" wp14:editId="76CFB930">
            <wp:simplePos x="0" y="0"/>
            <wp:positionH relativeFrom="column">
              <wp:posOffset>467995</wp:posOffset>
            </wp:positionH>
            <wp:positionV relativeFrom="page">
              <wp:posOffset>5067935</wp:posOffset>
            </wp:positionV>
            <wp:extent cx="5040000" cy="2743200"/>
            <wp:effectExtent l="0" t="0" r="8255" b="0"/>
            <wp:wrapSquare wrapText="bothSides"/>
            <wp:docPr id="1110218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00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56AAA">
        <w:t>At 11.42am, officers enter the room, led by a person who I will refer to as ERT 1, seen in the image below as the second officer from the left of the screen (</w:t>
      </w:r>
      <w:r w:rsidR="0063301C">
        <w:t>F</w:t>
      </w:r>
      <w:r w:rsidR="00956AAA">
        <w:t>igure 2).</w:t>
      </w:r>
    </w:p>
    <w:p w14:paraId="24C7B6E6" w14:textId="2B4F9A23" w:rsidR="00956AAA" w:rsidRDefault="00A13943" w:rsidP="00A13943">
      <w:pPr>
        <w:pStyle w:val="NumberedParagraph"/>
        <w:numPr>
          <w:ilvl w:val="0"/>
          <w:numId w:val="0"/>
        </w:numPr>
        <w:ind w:left="720"/>
        <w:rPr>
          <w:b/>
          <w:bCs/>
          <w:sz w:val="22"/>
          <w:szCs w:val="22"/>
        </w:rPr>
      </w:pPr>
      <w:r>
        <w:rPr>
          <w:b/>
          <w:bCs/>
          <w:sz w:val="22"/>
          <w:szCs w:val="22"/>
        </w:rPr>
        <w:br/>
      </w:r>
      <w:r w:rsidR="00956AAA">
        <w:rPr>
          <w:b/>
          <w:bCs/>
          <w:sz w:val="22"/>
          <w:szCs w:val="22"/>
        </w:rPr>
        <w:t xml:space="preserve">Figure 2: </w:t>
      </w:r>
      <w:r w:rsidR="00956AAA" w:rsidRPr="00EF5263">
        <w:rPr>
          <w:sz w:val="22"/>
          <w:szCs w:val="22"/>
        </w:rPr>
        <w:t>Serco ERT officers enter room and talk to Mr NR</w:t>
      </w:r>
    </w:p>
    <w:p w14:paraId="1CC058C5" w14:textId="38038BBB" w:rsidR="00956AAA" w:rsidRDefault="00956AAA" w:rsidP="00956AAA">
      <w:pPr>
        <w:pStyle w:val="NumberedParagraph"/>
      </w:pPr>
      <w:r>
        <w:t>Between 11.42am and 11.46am, ERT 1 can be seen talking to Mr NR. At one point, ERT 1 lowers to a squat position – this appears to be a negotiation tactic of speaking with Mr NR at his level (</w:t>
      </w:r>
      <w:r w:rsidR="000341D9">
        <w:t>F</w:t>
      </w:r>
      <w:r>
        <w:t>igure 3). At no point does it appear from their positions and reactions that Mr NR poses any threat of violence towards the officers. Between 11.45am and 11.46am, ERT 1 stands and exits the room for approximately one minute, before returning.</w:t>
      </w:r>
    </w:p>
    <w:p w14:paraId="1A1A2E6C" w14:textId="77777777" w:rsidR="00956AAA" w:rsidRDefault="00956AAA" w:rsidP="00956AAA">
      <w:pPr>
        <w:pStyle w:val="NumberedParagraph"/>
        <w:numPr>
          <w:ilvl w:val="0"/>
          <w:numId w:val="0"/>
        </w:numPr>
        <w:jc w:val="center"/>
        <w:rPr>
          <w:b/>
          <w:bCs/>
          <w:sz w:val="22"/>
          <w:szCs w:val="22"/>
        </w:rPr>
      </w:pPr>
      <w:r w:rsidRPr="001B60BA">
        <w:rPr>
          <w:noProof/>
        </w:rPr>
        <w:lastRenderedPageBreak/>
        <w:drawing>
          <wp:anchor distT="0" distB="0" distL="114300" distR="114300" simplePos="0" relativeHeight="251658242" behindDoc="0" locked="0" layoutInCell="1" allowOverlap="1" wp14:anchorId="2D0619F0" wp14:editId="2D0614AF">
            <wp:simplePos x="0" y="0"/>
            <wp:positionH relativeFrom="column">
              <wp:posOffset>467995</wp:posOffset>
            </wp:positionH>
            <wp:positionV relativeFrom="paragraph">
              <wp:posOffset>1035</wp:posOffset>
            </wp:positionV>
            <wp:extent cx="5040000" cy="2480400"/>
            <wp:effectExtent l="0" t="0" r="8255" b="0"/>
            <wp:wrapSquare wrapText="bothSides"/>
            <wp:docPr id="1356173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0000" cy="248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3A931" w14:textId="5D545218" w:rsidR="00956AAA" w:rsidRDefault="00A13943" w:rsidP="00A13943">
      <w:pPr>
        <w:pStyle w:val="NumberedParagraph"/>
        <w:numPr>
          <w:ilvl w:val="0"/>
          <w:numId w:val="0"/>
        </w:numPr>
        <w:ind w:left="720"/>
        <w:rPr>
          <w:b/>
          <w:bCs/>
          <w:sz w:val="22"/>
          <w:szCs w:val="22"/>
        </w:rPr>
      </w:pPr>
      <w:r>
        <w:rPr>
          <w:b/>
          <w:bCs/>
          <w:sz w:val="22"/>
          <w:szCs w:val="22"/>
        </w:rPr>
        <w:br/>
      </w:r>
      <w:r w:rsidR="00956AAA">
        <w:rPr>
          <w:b/>
          <w:bCs/>
          <w:sz w:val="22"/>
          <w:szCs w:val="22"/>
        </w:rPr>
        <w:t xml:space="preserve">Figure 3: </w:t>
      </w:r>
      <w:r w:rsidR="00956AAA" w:rsidRPr="00EF5263">
        <w:rPr>
          <w:sz w:val="22"/>
          <w:szCs w:val="22"/>
        </w:rPr>
        <w:t>ERT officer attempts to negotiate with Mr NR</w:t>
      </w:r>
    </w:p>
    <w:p w14:paraId="652EB356" w14:textId="7B145A93" w:rsidR="00956AAA" w:rsidRDefault="00A13943" w:rsidP="00956AAA">
      <w:pPr>
        <w:pStyle w:val="NumberedParagraph"/>
      </w:pPr>
      <w:r w:rsidRPr="001B60BA">
        <w:rPr>
          <w:noProof/>
        </w:rPr>
        <w:drawing>
          <wp:anchor distT="0" distB="0" distL="114300" distR="114300" simplePos="0" relativeHeight="251658243" behindDoc="0" locked="0" layoutInCell="1" allowOverlap="1" wp14:anchorId="3A763E94" wp14:editId="04CB663A">
            <wp:simplePos x="0" y="0"/>
            <wp:positionH relativeFrom="column">
              <wp:posOffset>441325</wp:posOffset>
            </wp:positionH>
            <wp:positionV relativeFrom="page">
              <wp:posOffset>4851422</wp:posOffset>
            </wp:positionV>
            <wp:extent cx="5040000" cy="2462400"/>
            <wp:effectExtent l="0" t="0" r="8255" b="0"/>
            <wp:wrapSquare wrapText="bothSides"/>
            <wp:docPr id="3276854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0000" cy="246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56AAA">
        <w:t>At 11.47am, ERT 1 gives the direction to two officers to use force against Mr NR, by engaging the EEP and lifting him to a standing position (</w:t>
      </w:r>
      <w:r w:rsidR="00541DAA">
        <w:t>F</w:t>
      </w:r>
      <w:r w:rsidR="00956AAA">
        <w:t>igure 4).</w:t>
      </w:r>
    </w:p>
    <w:p w14:paraId="4BA2D1DE" w14:textId="1890EC55" w:rsidR="00956AAA" w:rsidRDefault="00956AAA" w:rsidP="00956AAA">
      <w:pPr>
        <w:pStyle w:val="NumberedParagraph"/>
        <w:numPr>
          <w:ilvl w:val="0"/>
          <w:numId w:val="0"/>
        </w:numPr>
        <w:jc w:val="center"/>
        <w:rPr>
          <w:b/>
          <w:bCs/>
          <w:sz w:val="22"/>
          <w:szCs w:val="22"/>
        </w:rPr>
      </w:pPr>
    </w:p>
    <w:p w14:paraId="405A1381" w14:textId="74A7ABE0" w:rsidR="00956AAA" w:rsidRDefault="00A13943" w:rsidP="00956AAA">
      <w:pPr>
        <w:pStyle w:val="NumberedParagraph"/>
        <w:numPr>
          <w:ilvl w:val="0"/>
          <w:numId w:val="0"/>
        </w:numPr>
        <w:ind w:left="720"/>
        <w:rPr>
          <w:b/>
          <w:bCs/>
          <w:sz w:val="22"/>
          <w:szCs w:val="22"/>
        </w:rPr>
      </w:pPr>
      <w:r>
        <w:rPr>
          <w:b/>
          <w:bCs/>
          <w:sz w:val="22"/>
          <w:szCs w:val="22"/>
        </w:rPr>
        <w:br/>
      </w:r>
      <w:r w:rsidR="00956AAA">
        <w:rPr>
          <w:b/>
          <w:bCs/>
          <w:sz w:val="22"/>
          <w:szCs w:val="22"/>
        </w:rPr>
        <w:t xml:space="preserve">Figure 4: </w:t>
      </w:r>
      <w:r w:rsidR="00956AAA" w:rsidRPr="00EF5263">
        <w:rPr>
          <w:sz w:val="22"/>
          <w:szCs w:val="22"/>
        </w:rPr>
        <w:t>Direction is given to use force. Two officers engage EEP by taking Mr NR on either arm</w:t>
      </w:r>
    </w:p>
    <w:p w14:paraId="5AAB1E3E" w14:textId="56E3AAD8" w:rsidR="00956AAA" w:rsidRDefault="00956AAA" w:rsidP="00956AAA">
      <w:pPr>
        <w:pStyle w:val="NumberedParagraph"/>
      </w:pPr>
      <w:r>
        <w:t>It is unclear from the footage exactly what occurs between Mr NR and the officers, but it does appear that Mr NR physically resists being escorted, and the remaining officers close in around him, and a scuffle ensues (</w:t>
      </w:r>
      <w:r w:rsidR="00541DAA">
        <w:t>F</w:t>
      </w:r>
      <w:r>
        <w:t>igure 5).</w:t>
      </w:r>
    </w:p>
    <w:p w14:paraId="7E59A634" w14:textId="77777777" w:rsidR="00A13943" w:rsidRDefault="00A13943" w:rsidP="00A13943">
      <w:pPr>
        <w:pStyle w:val="NumberedParagraph"/>
        <w:numPr>
          <w:ilvl w:val="0"/>
          <w:numId w:val="0"/>
        </w:numPr>
        <w:ind w:left="720" w:hanging="720"/>
      </w:pPr>
    </w:p>
    <w:p w14:paraId="45F39C91" w14:textId="77777777" w:rsidR="00A13943" w:rsidRDefault="00A13943" w:rsidP="00A13943">
      <w:pPr>
        <w:pStyle w:val="NumberedParagraph"/>
        <w:numPr>
          <w:ilvl w:val="0"/>
          <w:numId w:val="0"/>
        </w:numPr>
        <w:ind w:left="720" w:hanging="720"/>
      </w:pPr>
    </w:p>
    <w:p w14:paraId="426A8184" w14:textId="77777777" w:rsidR="00A13943" w:rsidRDefault="00A13943" w:rsidP="00A13943">
      <w:pPr>
        <w:pStyle w:val="NumberedParagraph"/>
        <w:numPr>
          <w:ilvl w:val="0"/>
          <w:numId w:val="0"/>
        </w:numPr>
        <w:ind w:left="720" w:hanging="720"/>
      </w:pPr>
    </w:p>
    <w:p w14:paraId="512481CF" w14:textId="545C5A68" w:rsidR="00A13943" w:rsidRDefault="00A13943" w:rsidP="00A13943">
      <w:pPr>
        <w:pStyle w:val="NumberedParagraph"/>
        <w:numPr>
          <w:ilvl w:val="0"/>
          <w:numId w:val="0"/>
        </w:numPr>
        <w:ind w:left="720" w:hanging="720"/>
      </w:pPr>
      <w:r w:rsidRPr="00965E2B">
        <w:rPr>
          <w:noProof/>
        </w:rPr>
        <w:lastRenderedPageBreak/>
        <w:drawing>
          <wp:anchor distT="0" distB="0" distL="114300" distR="114300" simplePos="0" relativeHeight="251658244" behindDoc="0" locked="0" layoutInCell="1" allowOverlap="1" wp14:anchorId="1FE8B4F2" wp14:editId="76051B53">
            <wp:simplePos x="0" y="0"/>
            <wp:positionH relativeFrom="column">
              <wp:posOffset>467995</wp:posOffset>
            </wp:positionH>
            <wp:positionV relativeFrom="page">
              <wp:posOffset>1327734</wp:posOffset>
            </wp:positionV>
            <wp:extent cx="5040000" cy="2462400"/>
            <wp:effectExtent l="0" t="0" r="8255" b="0"/>
            <wp:wrapSquare wrapText="bothSides"/>
            <wp:docPr id="161879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0000" cy="246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54ADEA" w14:textId="77777777" w:rsidR="00A13943" w:rsidRDefault="00A13943" w:rsidP="00A13943">
      <w:pPr>
        <w:pStyle w:val="NumberedParagraph"/>
        <w:numPr>
          <w:ilvl w:val="0"/>
          <w:numId w:val="0"/>
        </w:numPr>
        <w:ind w:left="720" w:hanging="720"/>
      </w:pPr>
    </w:p>
    <w:p w14:paraId="63D94E46" w14:textId="77777777" w:rsidR="00A13943" w:rsidRDefault="00A13943" w:rsidP="00A13943">
      <w:pPr>
        <w:pStyle w:val="NumberedParagraph"/>
        <w:numPr>
          <w:ilvl w:val="0"/>
          <w:numId w:val="0"/>
        </w:numPr>
        <w:ind w:left="720" w:hanging="720"/>
      </w:pPr>
    </w:p>
    <w:p w14:paraId="6FF7DE81" w14:textId="77777777" w:rsidR="00A13943" w:rsidRDefault="00A13943" w:rsidP="00A13943">
      <w:pPr>
        <w:pStyle w:val="NumberedParagraph"/>
        <w:numPr>
          <w:ilvl w:val="0"/>
          <w:numId w:val="0"/>
        </w:numPr>
        <w:ind w:left="720" w:hanging="720"/>
      </w:pPr>
    </w:p>
    <w:p w14:paraId="48ED5B2B" w14:textId="77777777" w:rsidR="00A13943" w:rsidRDefault="00A13943" w:rsidP="00A13943">
      <w:pPr>
        <w:pStyle w:val="NumberedParagraph"/>
        <w:numPr>
          <w:ilvl w:val="0"/>
          <w:numId w:val="0"/>
        </w:numPr>
        <w:ind w:left="720" w:hanging="720"/>
      </w:pPr>
    </w:p>
    <w:p w14:paraId="30166654" w14:textId="6C9CBF1B" w:rsidR="00A13943" w:rsidRDefault="00A13943" w:rsidP="00A13943">
      <w:pPr>
        <w:pStyle w:val="NumberedParagraph"/>
        <w:numPr>
          <w:ilvl w:val="0"/>
          <w:numId w:val="0"/>
        </w:numPr>
        <w:ind w:left="720" w:hanging="720"/>
      </w:pPr>
    </w:p>
    <w:p w14:paraId="71B41D51" w14:textId="7FE6C5E8" w:rsidR="00956AAA" w:rsidRDefault="00956AAA" w:rsidP="00956AAA">
      <w:pPr>
        <w:pStyle w:val="NumberedParagraph"/>
        <w:numPr>
          <w:ilvl w:val="0"/>
          <w:numId w:val="0"/>
        </w:numPr>
        <w:jc w:val="center"/>
        <w:rPr>
          <w:b/>
          <w:bCs/>
          <w:sz w:val="22"/>
          <w:szCs w:val="22"/>
        </w:rPr>
      </w:pPr>
    </w:p>
    <w:p w14:paraId="25D5A2BD" w14:textId="29933A11" w:rsidR="00956AAA" w:rsidRDefault="00A13943" w:rsidP="00A13943">
      <w:pPr>
        <w:pStyle w:val="NumberedParagraph"/>
        <w:numPr>
          <w:ilvl w:val="0"/>
          <w:numId w:val="0"/>
        </w:numPr>
        <w:ind w:left="720"/>
        <w:rPr>
          <w:b/>
          <w:bCs/>
          <w:sz w:val="22"/>
          <w:szCs w:val="22"/>
        </w:rPr>
      </w:pPr>
      <w:r>
        <w:rPr>
          <w:b/>
          <w:bCs/>
          <w:sz w:val="22"/>
          <w:szCs w:val="22"/>
        </w:rPr>
        <w:br/>
      </w:r>
      <w:r w:rsidR="00956AAA">
        <w:rPr>
          <w:b/>
          <w:bCs/>
          <w:sz w:val="22"/>
          <w:szCs w:val="22"/>
        </w:rPr>
        <w:t xml:space="preserve">Figure 5: </w:t>
      </w:r>
      <w:r w:rsidR="00956AAA" w:rsidRPr="00EF5263">
        <w:rPr>
          <w:sz w:val="22"/>
          <w:szCs w:val="22"/>
        </w:rPr>
        <w:t>Remaining officers attempt to take hold of Mr NR</w:t>
      </w:r>
    </w:p>
    <w:p w14:paraId="1C3AEAC0" w14:textId="5423F9DA" w:rsidR="00A13943" w:rsidRDefault="00A13943" w:rsidP="00A13943">
      <w:pPr>
        <w:pStyle w:val="NumberedParagraph"/>
      </w:pPr>
      <w:r w:rsidRPr="00965E2B">
        <w:rPr>
          <w:noProof/>
        </w:rPr>
        <w:drawing>
          <wp:anchor distT="0" distB="0" distL="114300" distR="114300" simplePos="0" relativeHeight="251658245" behindDoc="0" locked="0" layoutInCell="1" allowOverlap="1" wp14:anchorId="6AFFF0C5" wp14:editId="41F52FAA">
            <wp:simplePos x="0" y="0"/>
            <wp:positionH relativeFrom="column">
              <wp:posOffset>467995</wp:posOffset>
            </wp:positionH>
            <wp:positionV relativeFrom="page">
              <wp:posOffset>5095339</wp:posOffset>
            </wp:positionV>
            <wp:extent cx="5040000" cy="2448000"/>
            <wp:effectExtent l="0" t="0" r="8255" b="9525"/>
            <wp:wrapSquare wrapText="bothSides"/>
            <wp:docPr id="10634513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0000" cy="24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56AAA">
        <w:t>The officers then ground stabilise Mr NR, with five officers holding him down (</w:t>
      </w:r>
      <w:r w:rsidR="00B22963">
        <w:t>F</w:t>
      </w:r>
      <w:r w:rsidR="00956AAA">
        <w:t>igure 6). An additional officer then enters the room. Mechanical restraints (handcuffs) can be seen being applied to his wrists (</w:t>
      </w:r>
      <w:r w:rsidR="00B22963">
        <w:t>F</w:t>
      </w:r>
      <w:r w:rsidR="00956AAA">
        <w:t>igure 7).</w:t>
      </w:r>
    </w:p>
    <w:p w14:paraId="11D771E0" w14:textId="6CE07686" w:rsidR="00956AAA" w:rsidRDefault="00A13943" w:rsidP="00A13943">
      <w:pPr>
        <w:pStyle w:val="NumberedParagraph"/>
        <w:numPr>
          <w:ilvl w:val="0"/>
          <w:numId w:val="0"/>
        </w:numPr>
        <w:ind w:left="720"/>
        <w:rPr>
          <w:b/>
          <w:bCs/>
          <w:sz w:val="22"/>
          <w:szCs w:val="22"/>
        </w:rPr>
      </w:pPr>
      <w:r>
        <w:rPr>
          <w:b/>
          <w:bCs/>
          <w:sz w:val="22"/>
          <w:szCs w:val="22"/>
        </w:rPr>
        <w:br/>
      </w:r>
      <w:r w:rsidR="00956AAA" w:rsidRPr="00A13943">
        <w:rPr>
          <w:b/>
          <w:bCs/>
          <w:sz w:val="22"/>
          <w:szCs w:val="22"/>
        </w:rPr>
        <w:t xml:space="preserve">Figure 6: </w:t>
      </w:r>
      <w:r w:rsidR="00956AAA" w:rsidRPr="00EF5263">
        <w:rPr>
          <w:sz w:val="22"/>
          <w:szCs w:val="22"/>
        </w:rPr>
        <w:t>Officers ground stabilise Mr NR</w:t>
      </w:r>
    </w:p>
    <w:p w14:paraId="2D960CC7" w14:textId="6B6A32BA" w:rsidR="00A13943" w:rsidRDefault="00A13943" w:rsidP="00A13943">
      <w:pPr>
        <w:pStyle w:val="NumberedParagraph"/>
        <w:numPr>
          <w:ilvl w:val="0"/>
          <w:numId w:val="0"/>
        </w:numPr>
        <w:ind w:left="720"/>
        <w:rPr>
          <w:b/>
          <w:bCs/>
          <w:sz w:val="22"/>
          <w:szCs w:val="22"/>
        </w:rPr>
      </w:pPr>
    </w:p>
    <w:p w14:paraId="547555A5" w14:textId="77777777" w:rsidR="00A13943" w:rsidRDefault="00A13943" w:rsidP="00A13943">
      <w:pPr>
        <w:pStyle w:val="NumberedParagraph"/>
        <w:numPr>
          <w:ilvl w:val="0"/>
          <w:numId w:val="0"/>
        </w:numPr>
        <w:ind w:left="720"/>
        <w:rPr>
          <w:b/>
          <w:bCs/>
          <w:sz w:val="22"/>
          <w:szCs w:val="22"/>
        </w:rPr>
      </w:pPr>
    </w:p>
    <w:p w14:paraId="6683EE53" w14:textId="77777777" w:rsidR="00A13943" w:rsidRDefault="00A13943" w:rsidP="00A13943">
      <w:pPr>
        <w:pStyle w:val="NumberedParagraph"/>
        <w:numPr>
          <w:ilvl w:val="0"/>
          <w:numId w:val="0"/>
        </w:numPr>
        <w:ind w:left="720"/>
        <w:rPr>
          <w:b/>
          <w:bCs/>
          <w:sz w:val="22"/>
          <w:szCs w:val="22"/>
        </w:rPr>
      </w:pPr>
    </w:p>
    <w:p w14:paraId="3032C382" w14:textId="772F0BDF" w:rsidR="00A13943" w:rsidRDefault="00A13943" w:rsidP="00A13943">
      <w:pPr>
        <w:pStyle w:val="NumberedParagraph"/>
        <w:numPr>
          <w:ilvl w:val="0"/>
          <w:numId w:val="0"/>
        </w:numPr>
        <w:ind w:left="720"/>
        <w:rPr>
          <w:b/>
          <w:bCs/>
          <w:sz w:val="22"/>
          <w:szCs w:val="22"/>
        </w:rPr>
      </w:pPr>
    </w:p>
    <w:p w14:paraId="0F21F22A" w14:textId="77777777" w:rsidR="00A13943" w:rsidRDefault="00A13943" w:rsidP="00A13943">
      <w:pPr>
        <w:pStyle w:val="NumberedParagraph"/>
        <w:numPr>
          <w:ilvl w:val="0"/>
          <w:numId w:val="0"/>
        </w:numPr>
        <w:ind w:left="720"/>
        <w:rPr>
          <w:b/>
          <w:bCs/>
          <w:sz w:val="22"/>
          <w:szCs w:val="22"/>
        </w:rPr>
      </w:pPr>
    </w:p>
    <w:p w14:paraId="1BD001A6" w14:textId="4D767FB8" w:rsidR="00A13943" w:rsidRPr="00A13943" w:rsidRDefault="00A13943" w:rsidP="00A13943">
      <w:pPr>
        <w:pStyle w:val="NumberedParagraph"/>
        <w:numPr>
          <w:ilvl w:val="0"/>
          <w:numId w:val="0"/>
        </w:numPr>
      </w:pPr>
      <w:r w:rsidRPr="002C5337">
        <w:rPr>
          <w:noProof/>
        </w:rPr>
        <w:lastRenderedPageBreak/>
        <w:drawing>
          <wp:anchor distT="0" distB="0" distL="114300" distR="114300" simplePos="0" relativeHeight="251658246" behindDoc="0" locked="0" layoutInCell="1" allowOverlap="1" wp14:anchorId="4C2E49F9" wp14:editId="012328A1">
            <wp:simplePos x="0" y="0"/>
            <wp:positionH relativeFrom="column">
              <wp:posOffset>467995</wp:posOffset>
            </wp:positionH>
            <wp:positionV relativeFrom="page">
              <wp:posOffset>1159510</wp:posOffset>
            </wp:positionV>
            <wp:extent cx="5040000" cy="2451600"/>
            <wp:effectExtent l="0" t="0" r="8255" b="6350"/>
            <wp:wrapSquare wrapText="bothSides"/>
            <wp:docPr id="10369279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0000" cy="245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848A3" w14:textId="6D4A607B" w:rsidR="00956AAA" w:rsidRDefault="00956AAA" w:rsidP="00956AAA">
      <w:pPr>
        <w:pStyle w:val="NumberedParagraph"/>
        <w:numPr>
          <w:ilvl w:val="0"/>
          <w:numId w:val="0"/>
        </w:numPr>
        <w:jc w:val="center"/>
        <w:rPr>
          <w:b/>
          <w:bCs/>
          <w:sz w:val="22"/>
          <w:szCs w:val="22"/>
        </w:rPr>
      </w:pPr>
    </w:p>
    <w:p w14:paraId="374759C6" w14:textId="5F3DB6A4" w:rsidR="00956AAA" w:rsidRDefault="00A13943" w:rsidP="00A13943">
      <w:pPr>
        <w:pStyle w:val="NumberedParagraph"/>
        <w:numPr>
          <w:ilvl w:val="0"/>
          <w:numId w:val="0"/>
        </w:numPr>
        <w:ind w:left="720"/>
        <w:rPr>
          <w:b/>
          <w:bCs/>
          <w:sz w:val="22"/>
          <w:szCs w:val="22"/>
        </w:rPr>
      </w:pPr>
      <w:r>
        <w:rPr>
          <w:b/>
          <w:bCs/>
          <w:sz w:val="22"/>
          <w:szCs w:val="22"/>
        </w:rPr>
        <w:br/>
      </w:r>
      <w:r w:rsidR="00956AAA">
        <w:rPr>
          <w:b/>
          <w:bCs/>
          <w:sz w:val="22"/>
          <w:szCs w:val="22"/>
        </w:rPr>
        <w:t xml:space="preserve">Figure 7: </w:t>
      </w:r>
      <w:r w:rsidR="00956AAA" w:rsidRPr="00423533">
        <w:rPr>
          <w:sz w:val="22"/>
          <w:szCs w:val="22"/>
        </w:rPr>
        <w:t>Mechanical restraints are applied to Mr NR’s wrists</w:t>
      </w:r>
    </w:p>
    <w:p w14:paraId="474BE27C" w14:textId="03350F9E" w:rsidR="00956AAA" w:rsidRDefault="00956AAA" w:rsidP="00956AAA">
      <w:pPr>
        <w:pStyle w:val="NumberedParagraph"/>
      </w:pPr>
      <w:r>
        <w:t>After approximately one minute, the officers lift Mr NR to his feet. Again, he appears to resist their escort, during which time an officer’s report indicates that Mr NR kicked him in the groin and attempted to spit at him (</w:t>
      </w:r>
      <w:r w:rsidR="004C22C8">
        <w:t>F</w:t>
      </w:r>
      <w:r>
        <w:t>igure 8). The footage is not clear enough to confirm whether this occurred.</w:t>
      </w:r>
    </w:p>
    <w:p w14:paraId="453C9BEB" w14:textId="55B4AC7E" w:rsidR="00956AAA" w:rsidRDefault="00A13943" w:rsidP="00956AAA">
      <w:pPr>
        <w:pStyle w:val="NumberedParagraph"/>
        <w:numPr>
          <w:ilvl w:val="0"/>
          <w:numId w:val="0"/>
        </w:numPr>
        <w:jc w:val="center"/>
        <w:rPr>
          <w:b/>
          <w:bCs/>
          <w:sz w:val="22"/>
          <w:szCs w:val="22"/>
        </w:rPr>
      </w:pPr>
      <w:r w:rsidRPr="002C5337">
        <w:rPr>
          <w:noProof/>
        </w:rPr>
        <w:drawing>
          <wp:anchor distT="0" distB="0" distL="114300" distR="114300" simplePos="0" relativeHeight="251658247" behindDoc="0" locked="0" layoutInCell="1" allowOverlap="1" wp14:anchorId="6436AC58" wp14:editId="69245C06">
            <wp:simplePos x="0" y="0"/>
            <wp:positionH relativeFrom="column">
              <wp:posOffset>467995</wp:posOffset>
            </wp:positionH>
            <wp:positionV relativeFrom="paragraph">
              <wp:posOffset>635</wp:posOffset>
            </wp:positionV>
            <wp:extent cx="5040000" cy="2660400"/>
            <wp:effectExtent l="0" t="0" r="8255" b="6985"/>
            <wp:wrapSquare wrapText="bothSides"/>
            <wp:docPr id="12706088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0000" cy="266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365D4A" w14:textId="19C7EE3A" w:rsidR="00956AAA" w:rsidRDefault="00B94A06" w:rsidP="00956AAA">
      <w:pPr>
        <w:pStyle w:val="NumberedParagraph"/>
        <w:numPr>
          <w:ilvl w:val="0"/>
          <w:numId w:val="0"/>
        </w:numPr>
        <w:ind w:left="720"/>
        <w:rPr>
          <w:b/>
          <w:bCs/>
          <w:sz w:val="22"/>
          <w:szCs w:val="22"/>
        </w:rPr>
      </w:pPr>
      <w:r>
        <w:rPr>
          <w:b/>
          <w:bCs/>
          <w:sz w:val="22"/>
          <w:szCs w:val="22"/>
        </w:rPr>
        <w:br/>
      </w:r>
      <w:r w:rsidR="00956AAA">
        <w:rPr>
          <w:b/>
          <w:bCs/>
          <w:sz w:val="22"/>
          <w:szCs w:val="22"/>
        </w:rPr>
        <w:t xml:space="preserve">Figure 8: </w:t>
      </w:r>
      <w:r w:rsidR="00956AAA" w:rsidRPr="00423533">
        <w:rPr>
          <w:sz w:val="22"/>
          <w:szCs w:val="22"/>
        </w:rPr>
        <w:t>Upon lifting Mr NR from the ground, he is alleged to have kicked an officer in the groin, and spat at him</w:t>
      </w:r>
    </w:p>
    <w:p w14:paraId="5DA5AE55" w14:textId="3FF3A374" w:rsidR="00956AAA" w:rsidRDefault="00956AAA" w:rsidP="00956AAA">
      <w:pPr>
        <w:pStyle w:val="NumberedParagraph"/>
      </w:pPr>
      <w:r>
        <w:t>The officers again stabilise Mr NR to the ground (</w:t>
      </w:r>
      <w:r w:rsidR="004C22C8">
        <w:t>F</w:t>
      </w:r>
      <w:r>
        <w:t>igure 9), where they remain for approximately three minutes, before lifting him and carrying him out of the room in a horizontal position (</w:t>
      </w:r>
      <w:r w:rsidR="004C22C8">
        <w:t>F</w:t>
      </w:r>
      <w:r>
        <w:t>igure 10).</w:t>
      </w:r>
    </w:p>
    <w:p w14:paraId="381DD38A" w14:textId="633D29B3" w:rsidR="00956AAA" w:rsidRDefault="00956AAA" w:rsidP="00956AAA">
      <w:pPr>
        <w:pStyle w:val="NumberedParagraph"/>
        <w:numPr>
          <w:ilvl w:val="0"/>
          <w:numId w:val="0"/>
        </w:numPr>
        <w:jc w:val="center"/>
        <w:rPr>
          <w:b/>
          <w:bCs/>
          <w:sz w:val="22"/>
          <w:szCs w:val="22"/>
        </w:rPr>
      </w:pPr>
      <w:r w:rsidRPr="002C5337">
        <w:rPr>
          <w:noProof/>
        </w:rPr>
        <w:lastRenderedPageBreak/>
        <w:drawing>
          <wp:anchor distT="0" distB="0" distL="114300" distR="114300" simplePos="0" relativeHeight="251658248" behindDoc="0" locked="0" layoutInCell="1" allowOverlap="1" wp14:anchorId="3563B3E2" wp14:editId="081BA449">
            <wp:simplePos x="0" y="0"/>
            <wp:positionH relativeFrom="column">
              <wp:posOffset>467995</wp:posOffset>
            </wp:positionH>
            <wp:positionV relativeFrom="paragraph">
              <wp:posOffset>99</wp:posOffset>
            </wp:positionV>
            <wp:extent cx="5040000" cy="2455200"/>
            <wp:effectExtent l="0" t="0" r="8255" b="2540"/>
            <wp:wrapSquare wrapText="bothSides"/>
            <wp:docPr id="939289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0000" cy="245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4914BF" w14:textId="2D9CCC25" w:rsidR="00956AAA" w:rsidRDefault="00B94A06" w:rsidP="00B94A06">
      <w:pPr>
        <w:pStyle w:val="NumberedParagraph"/>
        <w:numPr>
          <w:ilvl w:val="0"/>
          <w:numId w:val="0"/>
        </w:numPr>
        <w:ind w:left="720"/>
        <w:rPr>
          <w:b/>
          <w:bCs/>
          <w:sz w:val="22"/>
          <w:szCs w:val="22"/>
        </w:rPr>
      </w:pPr>
      <w:r>
        <w:rPr>
          <w:b/>
          <w:bCs/>
          <w:sz w:val="22"/>
          <w:szCs w:val="22"/>
        </w:rPr>
        <w:br/>
      </w:r>
      <w:r w:rsidR="00956AAA">
        <w:rPr>
          <w:b/>
          <w:bCs/>
          <w:sz w:val="22"/>
          <w:szCs w:val="22"/>
        </w:rPr>
        <w:t xml:space="preserve">Figure 9: </w:t>
      </w:r>
      <w:r w:rsidR="00956AAA" w:rsidRPr="00423533">
        <w:rPr>
          <w:sz w:val="22"/>
          <w:szCs w:val="22"/>
        </w:rPr>
        <w:t>Officers ground stabilise Mr NR again</w:t>
      </w:r>
    </w:p>
    <w:p w14:paraId="6DADC564" w14:textId="5350FF3F" w:rsidR="00956AAA" w:rsidRDefault="00B94A06" w:rsidP="00956AAA">
      <w:pPr>
        <w:pStyle w:val="NumberedParagraph"/>
        <w:numPr>
          <w:ilvl w:val="0"/>
          <w:numId w:val="0"/>
        </w:numPr>
        <w:jc w:val="center"/>
        <w:rPr>
          <w:b/>
          <w:bCs/>
          <w:sz w:val="22"/>
          <w:szCs w:val="22"/>
        </w:rPr>
      </w:pPr>
      <w:r w:rsidRPr="00F901DC">
        <w:rPr>
          <w:noProof/>
        </w:rPr>
        <w:drawing>
          <wp:anchor distT="0" distB="0" distL="114300" distR="114300" simplePos="0" relativeHeight="251658249" behindDoc="0" locked="0" layoutInCell="1" allowOverlap="1" wp14:anchorId="7CA28227" wp14:editId="284C1269">
            <wp:simplePos x="0" y="0"/>
            <wp:positionH relativeFrom="column">
              <wp:posOffset>437431</wp:posOffset>
            </wp:positionH>
            <wp:positionV relativeFrom="paragraph">
              <wp:posOffset>0</wp:posOffset>
            </wp:positionV>
            <wp:extent cx="5040000" cy="2466000"/>
            <wp:effectExtent l="0" t="0" r="8255" b="0"/>
            <wp:wrapSquare wrapText="bothSides"/>
            <wp:docPr id="1266148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0000" cy="246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7A7DA5" w14:textId="721EC571" w:rsidR="00956AAA" w:rsidRDefault="00B94A06" w:rsidP="00B94A06">
      <w:pPr>
        <w:pStyle w:val="NumberedParagraph"/>
        <w:numPr>
          <w:ilvl w:val="0"/>
          <w:numId w:val="0"/>
        </w:numPr>
        <w:ind w:left="720"/>
        <w:rPr>
          <w:b/>
          <w:bCs/>
          <w:sz w:val="22"/>
          <w:szCs w:val="22"/>
        </w:rPr>
      </w:pPr>
      <w:r>
        <w:rPr>
          <w:b/>
          <w:bCs/>
          <w:sz w:val="22"/>
          <w:szCs w:val="22"/>
        </w:rPr>
        <w:br/>
      </w:r>
      <w:r w:rsidR="00956AAA">
        <w:rPr>
          <w:b/>
          <w:bCs/>
          <w:sz w:val="22"/>
          <w:szCs w:val="22"/>
        </w:rPr>
        <w:t xml:space="preserve">Figure 10: </w:t>
      </w:r>
      <w:r w:rsidR="00956AAA" w:rsidRPr="00423533">
        <w:rPr>
          <w:sz w:val="22"/>
          <w:szCs w:val="22"/>
        </w:rPr>
        <w:t>Mr NR is lifted by ERT officers and carried from the room</w:t>
      </w:r>
    </w:p>
    <w:p w14:paraId="7C330791" w14:textId="2532D19D" w:rsidR="00956AAA" w:rsidRDefault="00956AAA" w:rsidP="00956AAA">
      <w:pPr>
        <w:pStyle w:val="NumberedParagraph"/>
      </w:pPr>
      <w:r>
        <w:t>From there, two separate clips of CCTV footage from a corridor and another from a bedroom were provided to the Commission, showing Mr NR being carried towards</w:t>
      </w:r>
      <w:r w:rsidR="003A6E24">
        <w:t>,</w:t>
      </w:r>
      <w:r>
        <w:t xml:space="preserve"> (</w:t>
      </w:r>
      <w:r w:rsidR="00906E47">
        <w:t>F</w:t>
      </w:r>
      <w:r>
        <w:t>igure 11) and then into the bedroom (</w:t>
      </w:r>
      <w:r w:rsidR="00291B97">
        <w:t>F</w:t>
      </w:r>
      <w:r>
        <w:t>igure 12), where he is placed on a mattress on the floor and left, after the restraints are removed from his wrists.</w:t>
      </w:r>
    </w:p>
    <w:p w14:paraId="4CB643B4" w14:textId="36C3DFD2" w:rsidR="00956AAA" w:rsidRDefault="00956AAA" w:rsidP="00956AAA">
      <w:pPr>
        <w:pStyle w:val="NumberedParagraph"/>
        <w:numPr>
          <w:ilvl w:val="0"/>
          <w:numId w:val="0"/>
        </w:numPr>
        <w:jc w:val="center"/>
        <w:rPr>
          <w:b/>
          <w:bCs/>
          <w:sz w:val="22"/>
          <w:szCs w:val="22"/>
        </w:rPr>
      </w:pPr>
    </w:p>
    <w:p w14:paraId="68A444D7" w14:textId="77777777" w:rsidR="00197D76" w:rsidRDefault="00197D76" w:rsidP="00956AAA">
      <w:pPr>
        <w:pStyle w:val="NumberedParagraph"/>
        <w:numPr>
          <w:ilvl w:val="0"/>
          <w:numId w:val="0"/>
        </w:numPr>
        <w:jc w:val="center"/>
        <w:rPr>
          <w:b/>
          <w:bCs/>
          <w:sz w:val="22"/>
          <w:szCs w:val="22"/>
        </w:rPr>
      </w:pPr>
    </w:p>
    <w:p w14:paraId="58321057" w14:textId="77777777" w:rsidR="00197D76" w:rsidRDefault="00197D76" w:rsidP="00956AAA">
      <w:pPr>
        <w:pStyle w:val="NumberedParagraph"/>
        <w:numPr>
          <w:ilvl w:val="0"/>
          <w:numId w:val="0"/>
        </w:numPr>
        <w:jc w:val="center"/>
        <w:rPr>
          <w:b/>
          <w:bCs/>
          <w:sz w:val="22"/>
          <w:szCs w:val="22"/>
        </w:rPr>
      </w:pPr>
    </w:p>
    <w:p w14:paraId="734717AA" w14:textId="77777777" w:rsidR="00197D76" w:rsidRDefault="00197D76" w:rsidP="00956AAA">
      <w:pPr>
        <w:pStyle w:val="NumberedParagraph"/>
        <w:numPr>
          <w:ilvl w:val="0"/>
          <w:numId w:val="0"/>
        </w:numPr>
        <w:jc w:val="center"/>
        <w:rPr>
          <w:b/>
          <w:bCs/>
          <w:sz w:val="22"/>
          <w:szCs w:val="22"/>
        </w:rPr>
      </w:pPr>
    </w:p>
    <w:p w14:paraId="53D42B39" w14:textId="77777777" w:rsidR="00197D76" w:rsidRDefault="00197D76" w:rsidP="00956AAA">
      <w:pPr>
        <w:pStyle w:val="NumberedParagraph"/>
        <w:numPr>
          <w:ilvl w:val="0"/>
          <w:numId w:val="0"/>
        </w:numPr>
        <w:jc w:val="center"/>
        <w:rPr>
          <w:b/>
          <w:bCs/>
          <w:sz w:val="22"/>
          <w:szCs w:val="22"/>
        </w:rPr>
      </w:pPr>
    </w:p>
    <w:p w14:paraId="2983FE7D" w14:textId="6926E15C" w:rsidR="00197D76" w:rsidRDefault="00197D76" w:rsidP="00956AAA">
      <w:pPr>
        <w:pStyle w:val="NumberedParagraph"/>
        <w:numPr>
          <w:ilvl w:val="0"/>
          <w:numId w:val="0"/>
        </w:numPr>
        <w:jc w:val="center"/>
        <w:rPr>
          <w:b/>
          <w:bCs/>
          <w:sz w:val="22"/>
          <w:szCs w:val="22"/>
        </w:rPr>
      </w:pPr>
      <w:r w:rsidRPr="00F901DC">
        <w:rPr>
          <w:noProof/>
        </w:rPr>
        <w:lastRenderedPageBreak/>
        <w:drawing>
          <wp:anchor distT="0" distB="0" distL="114300" distR="114300" simplePos="0" relativeHeight="251658250" behindDoc="0" locked="0" layoutInCell="1" allowOverlap="1" wp14:anchorId="0F08EA1C" wp14:editId="13A06A74">
            <wp:simplePos x="0" y="0"/>
            <wp:positionH relativeFrom="column">
              <wp:posOffset>467995</wp:posOffset>
            </wp:positionH>
            <wp:positionV relativeFrom="paragraph">
              <wp:posOffset>41</wp:posOffset>
            </wp:positionV>
            <wp:extent cx="5040000" cy="2494800"/>
            <wp:effectExtent l="0" t="0" r="8255" b="1270"/>
            <wp:wrapSquare wrapText="bothSides"/>
            <wp:docPr id="1545027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0000" cy="249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ADE53E" w14:textId="6DFA8FD3" w:rsidR="00197D76" w:rsidRDefault="00197D76" w:rsidP="00956AAA">
      <w:pPr>
        <w:pStyle w:val="NumberedParagraph"/>
        <w:numPr>
          <w:ilvl w:val="0"/>
          <w:numId w:val="0"/>
        </w:numPr>
        <w:jc w:val="center"/>
        <w:rPr>
          <w:b/>
          <w:bCs/>
          <w:sz w:val="22"/>
          <w:szCs w:val="22"/>
        </w:rPr>
      </w:pPr>
    </w:p>
    <w:p w14:paraId="7A653EF6" w14:textId="23B3CA6A" w:rsidR="00197D76" w:rsidRDefault="00197D76" w:rsidP="00956AAA">
      <w:pPr>
        <w:pStyle w:val="NumberedParagraph"/>
        <w:numPr>
          <w:ilvl w:val="0"/>
          <w:numId w:val="0"/>
        </w:numPr>
        <w:jc w:val="center"/>
        <w:rPr>
          <w:b/>
          <w:bCs/>
          <w:sz w:val="22"/>
          <w:szCs w:val="22"/>
        </w:rPr>
      </w:pPr>
    </w:p>
    <w:p w14:paraId="7DD5E3D5" w14:textId="31404DB8" w:rsidR="00197D76" w:rsidRDefault="00197D76" w:rsidP="00956AAA">
      <w:pPr>
        <w:pStyle w:val="NumberedParagraph"/>
        <w:numPr>
          <w:ilvl w:val="0"/>
          <w:numId w:val="0"/>
        </w:numPr>
        <w:jc w:val="center"/>
        <w:rPr>
          <w:b/>
          <w:bCs/>
          <w:sz w:val="22"/>
          <w:szCs w:val="22"/>
        </w:rPr>
      </w:pPr>
    </w:p>
    <w:p w14:paraId="392D10AC" w14:textId="6EA974A8" w:rsidR="00197D76" w:rsidRDefault="00197D76" w:rsidP="00956AAA">
      <w:pPr>
        <w:pStyle w:val="NumberedParagraph"/>
        <w:numPr>
          <w:ilvl w:val="0"/>
          <w:numId w:val="0"/>
        </w:numPr>
        <w:jc w:val="center"/>
        <w:rPr>
          <w:b/>
          <w:bCs/>
          <w:sz w:val="22"/>
          <w:szCs w:val="22"/>
        </w:rPr>
      </w:pPr>
    </w:p>
    <w:p w14:paraId="49BD383C" w14:textId="77777777" w:rsidR="00197D76" w:rsidRDefault="00197D76" w:rsidP="00956AAA">
      <w:pPr>
        <w:pStyle w:val="NumberedParagraph"/>
        <w:numPr>
          <w:ilvl w:val="0"/>
          <w:numId w:val="0"/>
        </w:numPr>
        <w:jc w:val="center"/>
        <w:rPr>
          <w:b/>
          <w:bCs/>
          <w:sz w:val="22"/>
          <w:szCs w:val="22"/>
        </w:rPr>
      </w:pPr>
    </w:p>
    <w:p w14:paraId="0F493901" w14:textId="1B47CAE5" w:rsidR="00197D76" w:rsidRDefault="00197D76" w:rsidP="00956AAA">
      <w:pPr>
        <w:pStyle w:val="NumberedParagraph"/>
        <w:numPr>
          <w:ilvl w:val="0"/>
          <w:numId w:val="0"/>
        </w:numPr>
        <w:jc w:val="center"/>
        <w:rPr>
          <w:b/>
          <w:bCs/>
          <w:sz w:val="22"/>
          <w:szCs w:val="22"/>
        </w:rPr>
      </w:pPr>
    </w:p>
    <w:p w14:paraId="07503E50" w14:textId="6F448D6A" w:rsidR="00956AAA" w:rsidRPr="00423533" w:rsidRDefault="0005566C" w:rsidP="00197D76">
      <w:pPr>
        <w:pStyle w:val="NumberedParagraph"/>
        <w:numPr>
          <w:ilvl w:val="0"/>
          <w:numId w:val="0"/>
        </w:numPr>
        <w:ind w:left="720"/>
        <w:rPr>
          <w:sz w:val="22"/>
          <w:szCs w:val="22"/>
        </w:rPr>
      </w:pPr>
      <w:r w:rsidRPr="00F901DC">
        <w:rPr>
          <w:noProof/>
        </w:rPr>
        <w:drawing>
          <wp:anchor distT="0" distB="0" distL="114300" distR="114300" simplePos="0" relativeHeight="251658251" behindDoc="0" locked="0" layoutInCell="1" allowOverlap="1" wp14:anchorId="6B0008DD" wp14:editId="11AA55D5">
            <wp:simplePos x="0" y="0"/>
            <wp:positionH relativeFrom="column">
              <wp:posOffset>468608</wp:posOffset>
            </wp:positionH>
            <wp:positionV relativeFrom="page">
              <wp:posOffset>4169410</wp:posOffset>
            </wp:positionV>
            <wp:extent cx="5040000" cy="2487600"/>
            <wp:effectExtent l="0" t="0" r="8255" b="8255"/>
            <wp:wrapSquare wrapText="bothSides"/>
            <wp:docPr id="11505264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0000" cy="248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97D76">
        <w:rPr>
          <w:b/>
          <w:bCs/>
          <w:sz w:val="22"/>
          <w:szCs w:val="22"/>
        </w:rPr>
        <w:br/>
      </w:r>
      <w:r w:rsidR="00956AAA">
        <w:rPr>
          <w:b/>
          <w:bCs/>
          <w:sz w:val="22"/>
          <w:szCs w:val="22"/>
        </w:rPr>
        <w:t xml:space="preserve">Figure 11: </w:t>
      </w:r>
      <w:r w:rsidR="00956AAA" w:rsidRPr="00423533">
        <w:rPr>
          <w:sz w:val="22"/>
          <w:szCs w:val="22"/>
        </w:rPr>
        <w:t>Mr NR is carried through a corridor</w:t>
      </w:r>
    </w:p>
    <w:p w14:paraId="0A323622" w14:textId="3D11CF25" w:rsidR="00B94A06" w:rsidRDefault="00B94A06" w:rsidP="00956AAA">
      <w:pPr>
        <w:pStyle w:val="NumberedParagraph"/>
        <w:numPr>
          <w:ilvl w:val="0"/>
          <w:numId w:val="0"/>
        </w:numPr>
        <w:jc w:val="center"/>
        <w:rPr>
          <w:noProof/>
        </w:rPr>
      </w:pPr>
    </w:p>
    <w:p w14:paraId="7CF5800E" w14:textId="12FFAE9D" w:rsidR="00B94A06" w:rsidRDefault="00B94A06" w:rsidP="00956AAA">
      <w:pPr>
        <w:pStyle w:val="NumberedParagraph"/>
        <w:numPr>
          <w:ilvl w:val="0"/>
          <w:numId w:val="0"/>
        </w:numPr>
        <w:jc w:val="center"/>
        <w:rPr>
          <w:noProof/>
        </w:rPr>
      </w:pPr>
    </w:p>
    <w:p w14:paraId="2C734873" w14:textId="095EB0CE" w:rsidR="00956AAA" w:rsidRDefault="00956AAA" w:rsidP="00956AAA">
      <w:pPr>
        <w:pStyle w:val="NumberedParagraph"/>
        <w:numPr>
          <w:ilvl w:val="0"/>
          <w:numId w:val="0"/>
        </w:numPr>
        <w:jc w:val="center"/>
        <w:rPr>
          <w:b/>
          <w:bCs/>
          <w:sz w:val="22"/>
          <w:szCs w:val="22"/>
        </w:rPr>
      </w:pPr>
    </w:p>
    <w:p w14:paraId="5DAF1EE5" w14:textId="069E94B1" w:rsidR="00956AAA" w:rsidRDefault="00197D76" w:rsidP="00197D76">
      <w:pPr>
        <w:pStyle w:val="NumberedParagraph"/>
        <w:numPr>
          <w:ilvl w:val="0"/>
          <w:numId w:val="0"/>
        </w:numPr>
        <w:ind w:left="720"/>
      </w:pPr>
      <w:r>
        <w:rPr>
          <w:b/>
          <w:bCs/>
          <w:sz w:val="22"/>
          <w:szCs w:val="22"/>
        </w:rPr>
        <w:br/>
      </w:r>
      <w:r w:rsidR="00956AAA" w:rsidRPr="00DE279B">
        <w:rPr>
          <w:b/>
          <w:bCs/>
          <w:sz w:val="22"/>
          <w:szCs w:val="22"/>
        </w:rPr>
        <w:t xml:space="preserve">Figure 12: </w:t>
      </w:r>
      <w:r w:rsidR="00956AAA" w:rsidRPr="00423533">
        <w:rPr>
          <w:sz w:val="22"/>
          <w:szCs w:val="22"/>
        </w:rPr>
        <w:t>Mr NR is carried into a room and placed on a mattress on the floor</w:t>
      </w:r>
    </w:p>
    <w:p w14:paraId="22411D19" w14:textId="6A58BC94" w:rsidR="00956AAA" w:rsidRDefault="00956AAA" w:rsidP="00956AAA">
      <w:pPr>
        <w:pStyle w:val="NumberedParagraph"/>
      </w:pPr>
      <w:r>
        <w:t>As noted above, there is no audio on any of the CCTV footage. However, other contemporaneous records provide evidence about what was said during this incident.</w:t>
      </w:r>
    </w:p>
    <w:p w14:paraId="3705FCC2" w14:textId="77777777" w:rsidR="00956AAA" w:rsidRDefault="00956AAA" w:rsidP="00956AAA">
      <w:pPr>
        <w:pStyle w:val="NumberedParagraph"/>
      </w:pPr>
      <w:r>
        <w:t>A Serco officer’s report provided by the Department to the Commission contains the following description of the exchange between Mr NR and the officer, at approximately 11.40am:</w:t>
      </w:r>
    </w:p>
    <w:p w14:paraId="7BBE6C8C" w14:textId="1AC27C75" w:rsidR="00956AAA" w:rsidRDefault="00956AAA" w:rsidP="00956AAA">
      <w:pPr>
        <w:pStyle w:val="Quote"/>
      </w:pPr>
      <w:r>
        <w:t xml:space="preserve">I explained to detainee [NR] that his 24 hours of stay in HCA has finished and decision has been made by ABF to reallocate him to Gold 1 compound, detainee [NR] declined and stated that he had a fight with detainee [redacted] in Gold 1 and that Gold 1 was not safe for him, and that he will only except [sic] going to Blue 1 compound, I explained to detainee [NR] that he will be monitored by Gold 1 officers to make sure </w:t>
      </w:r>
      <w:r>
        <w:lastRenderedPageBreak/>
        <w:t>his [sic] safe, I also told detainee [NR] that he can put a request form to move compound but for now the only option for him is to go to Gold 1…</w:t>
      </w:r>
    </w:p>
    <w:p w14:paraId="53574167" w14:textId="77777777" w:rsidR="00956AAA" w:rsidRDefault="00956AAA" w:rsidP="00956AAA">
      <w:pPr>
        <w:pStyle w:val="NumberedParagraph"/>
      </w:pPr>
      <w:r>
        <w:t xml:space="preserve">In light of the corroboration by this officer’s report, and the other officer’s reports provided, I am satisfied that Mr NR did not want to relocate to the </w:t>
      </w:r>
      <w:proofErr w:type="gramStart"/>
      <w:r>
        <w:t>Gold</w:t>
      </w:r>
      <w:proofErr w:type="gramEnd"/>
      <w:r>
        <w:t xml:space="preserve"> compound from HCA on 29 and 30 March 2021 due to safety concerns that he held about another detainee there, and that he communicated this concern to the Serco officers.</w:t>
      </w:r>
    </w:p>
    <w:p w14:paraId="5574E0B6" w14:textId="77777777" w:rsidR="00956AAA" w:rsidRDefault="00956AAA" w:rsidP="00956AAA">
      <w:pPr>
        <w:pStyle w:val="NumberedParagraph"/>
      </w:pPr>
      <w:r>
        <w:t>The Commission requested that the Department provide information and supporting documentation about the decision to place Mr NR in the Gold compound, including any risk assessments carried out with respect to the concerns raised by him. Their response was as follows:</w:t>
      </w:r>
    </w:p>
    <w:p w14:paraId="7FDD8D37" w14:textId="77777777" w:rsidR="00956AAA" w:rsidRDefault="00956AAA" w:rsidP="00956AAA">
      <w:pPr>
        <w:pStyle w:val="Quote"/>
      </w:pPr>
      <w:r>
        <w:t xml:space="preserve">The Department advises the Commission that whilst </w:t>
      </w:r>
      <w:proofErr w:type="gramStart"/>
      <w:r>
        <w:t>Gold</w:t>
      </w:r>
      <w:proofErr w:type="gramEnd"/>
      <w:r>
        <w:t xml:space="preserve"> compound was considered as an alternative to placing Mr [NR] in Support Unit One on 30 March 2021, the ABF Detention Superintendent (North West Point IDC) approved his placement in Support Unit One and as such, Mr [NR] was not placed in Gold compound.</w:t>
      </w:r>
    </w:p>
    <w:p w14:paraId="717F74C8" w14:textId="77777777" w:rsidR="00956AAA" w:rsidRDefault="00956AAA" w:rsidP="00956AAA">
      <w:pPr>
        <w:pStyle w:val="NumberedParagraph"/>
      </w:pPr>
      <w:r>
        <w:t xml:space="preserve">Aside from this statement, the Department did not provide the Commission with any record of the initial decision to place Mr NR in the Gold compound, or the reasons for that decision including any assessment of the risk that he may face there. The Department did provide the Commission with email correspondence dated 30 March 2021 between Serco and the ABF, seeking approval to place Mr NR in the HCA for a further 24 hours after he refused to be taken to the </w:t>
      </w:r>
      <w:proofErr w:type="gramStart"/>
      <w:r>
        <w:t>Gold</w:t>
      </w:r>
      <w:proofErr w:type="gramEnd"/>
      <w:r>
        <w:t xml:space="preserve"> compound.</w:t>
      </w:r>
    </w:p>
    <w:p w14:paraId="41B01BF6" w14:textId="77777777" w:rsidR="00956AAA" w:rsidRDefault="00956AAA" w:rsidP="00956AAA">
      <w:pPr>
        <w:pStyle w:val="NumberedParagraph"/>
      </w:pPr>
      <w:r>
        <w:t>The option of placing Mr NR in the Gold compound is discussed as an alternative option in the email from Serco to ABF. The risks associated with this alternative option are described as follows:</w:t>
      </w:r>
    </w:p>
    <w:p w14:paraId="1C2D7739" w14:textId="77777777" w:rsidR="00956AAA" w:rsidRDefault="00956AAA" w:rsidP="00956AAA">
      <w:pPr>
        <w:pStyle w:val="Quote"/>
      </w:pPr>
      <w:r>
        <w:t xml:space="preserve">Detainee [NR] has demonstrated a willingness to commit violence and other harmful and disruptive acts to not be placed into this compound and remains in a highly agitated state and is likely to continue these acts if placed in this compound. Detainee will have access to the other detainees housed in Gold 1, potentially giving him access to weapons, drugs or other illicit substances and allowing other detainees to become involved in any adverse behaviour he may become involved in. </w:t>
      </w:r>
      <w:proofErr w:type="gramStart"/>
      <w:r>
        <w:t>However</w:t>
      </w:r>
      <w:proofErr w:type="gramEnd"/>
      <w:r>
        <w:t xml:space="preserve"> this is somewhat mitigated by Mr [NR] being moved away from his previously disruptive associates located in Blue 1 compound and not being able to directly access these individuals.</w:t>
      </w:r>
    </w:p>
    <w:p w14:paraId="17438ACB" w14:textId="77777777" w:rsidR="00956AAA" w:rsidRDefault="00956AAA" w:rsidP="00956AAA">
      <w:pPr>
        <w:pStyle w:val="NumberedParagraph"/>
      </w:pPr>
      <w:r>
        <w:t xml:space="preserve">This email correspondence again confirms that Mr NR was highly agitated at the prospect of being transferred to the </w:t>
      </w:r>
      <w:proofErr w:type="gramStart"/>
      <w:r>
        <w:t>Gold</w:t>
      </w:r>
      <w:proofErr w:type="gramEnd"/>
      <w:r>
        <w:t xml:space="preserve"> compound.  As noted above, I am satisfied that he communicated to Serco that this was because he was concerned for his personal safety. However, even after the use of force </w:t>
      </w:r>
      <w:r>
        <w:lastRenderedPageBreak/>
        <w:t>incident, there again appears to have been no attempt to assess the nature of the risk posed to Mr NR or how any risk could be mitigated.</w:t>
      </w:r>
    </w:p>
    <w:p w14:paraId="1530535B" w14:textId="77777777" w:rsidR="00956AAA" w:rsidRDefault="00956AAA" w:rsidP="00956AAA">
      <w:pPr>
        <w:pStyle w:val="NumberedParagraph"/>
      </w:pPr>
      <w:r>
        <w:t xml:space="preserve">The materials provided to the Commission do not reflect Serco, ABF or the Department taking seriously the concerns raised by Mr NR about his fears of placement in the </w:t>
      </w:r>
      <w:proofErr w:type="gramStart"/>
      <w:r>
        <w:t>Gold</w:t>
      </w:r>
      <w:proofErr w:type="gramEnd"/>
      <w:r>
        <w:t xml:space="preserve"> compound.</w:t>
      </w:r>
    </w:p>
    <w:p w14:paraId="79FA9A14" w14:textId="77777777" w:rsidR="00956AAA" w:rsidRDefault="00956AAA" w:rsidP="00956AAA">
      <w:pPr>
        <w:pStyle w:val="NumberedParagraph"/>
      </w:pPr>
      <w:r>
        <w:t>ERT 1, according to his own record of the incident, acknowledged that Mr NR made these concerns known. However, he informed Mr NR that no other option was available, and that Mr NR could request a transfer after relocation.</w:t>
      </w:r>
    </w:p>
    <w:p w14:paraId="1DF5F12C" w14:textId="29A04CD4" w:rsidR="00956AAA" w:rsidRDefault="00956AAA" w:rsidP="00956AAA">
      <w:pPr>
        <w:pStyle w:val="NumberedParagraph"/>
      </w:pPr>
      <w:r>
        <w:t xml:space="preserve">Importantly, at the time that ERT 1 made the decision to use force on Mr NR, it is apparent that other placement options were available. These options included a further temporary stay in HCA while more permanent options were considered, or placement in the White compound. It is clear that </w:t>
      </w:r>
      <w:proofErr w:type="gramStart"/>
      <w:r>
        <w:t>both of these</w:t>
      </w:r>
      <w:proofErr w:type="gramEnd"/>
      <w:r>
        <w:t xml:space="preserve"> options were available because both were utilised. No suggestion is made that Mr NR objected to his placement in White compound, and it does not appear that force was required to relocate him there on 31 March 2021.</w:t>
      </w:r>
    </w:p>
    <w:p w14:paraId="7F31DADB" w14:textId="1E301113" w:rsidR="00956AAA" w:rsidRPr="00824770" w:rsidRDefault="00956AAA" w:rsidP="00956AAA">
      <w:pPr>
        <w:pStyle w:val="NumberedParagraph"/>
      </w:pPr>
      <w:bookmarkStart w:id="30" w:name="_Ref160722008"/>
      <w:r>
        <w:t xml:space="preserve">The excerpts of the DSM cited at paragraph </w:t>
      </w:r>
      <w:r>
        <w:fldChar w:fldCharType="begin"/>
      </w:r>
      <w:r>
        <w:instrText xml:space="preserve"> REF _Ref150438752 \r \h </w:instrText>
      </w:r>
      <w:r>
        <w:fldChar w:fldCharType="separate"/>
      </w:r>
      <w:r w:rsidR="00B10F4B">
        <w:t>50</w:t>
      </w:r>
      <w:r>
        <w:fldChar w:fldCharType="end"/>
      </w:r>
      <w:r>
        <w:t xml:space="preserve"> include that force may be reasonably used in situations involving the </w:t>
      </w:r>
      <w:r w:rsidRPr="00824770">
        <w:t>prevent</w:t>
      </w:r>
      <w:r>
        <w:t>ion of</w:t>
      </w:r>
      <w:r w:rsidRPr="00824770">
        <w:t xml:space="preserve"> self-injury, injury to others, escaping or destruction of property</w:t>
      </w:r>
      <w:r>
        <w:t>. At the time that the direction to use force was given at 11.47am on 30 March 2021, Mr NR showed no indication of any of these risks arising from his behaviour.</w:t>
      </w:r>
      <w:bookmarkEnd w:id="30"/>
    </w:p>
    <w:p w14:paraId="36A5F467" w14:textId="77777777" w:rsidR="00956AAA" w:rsidRDefault="00956AAA" w:rsidP="00956AAA">
      <w:pPr>
        <w:pStyle w:val="NumberedParagraph"/>
      </w:pPr>
      <w:r>
        <w:t>I also consider that the aim of relocating Mr NR to the Gold compound from HCA involved no urgency, meaning that the officers involved had the opportunity to seek further direction from the ABF Detention Superintendent prior to deciding to initiate an unplanned use of force.</w:t>
      </w:r>
    </w:p>
    <w:p w14:paraId="179DDC2D" w14:textId="77777777" w:rsidR="00956AAA" w:rsidRDefault="00956AAA" w:rsidP="00956AAA">
      <w:pPr>
        <w:pStyle w:val="NumberedParagraph"/>
      </w:pPr>
      <w:r>
        <w:t xml:space="preserve">In its own review of the incident, Serco determined that the unplanned use of force against Mr NR was justified ‘due to non-compliance and assaulting ERT Officer [redacted]’. However, the resistance displayed by Mr NR and the alleged assault against the ERT officer only occurred after force had already been </w:t>
      </w:r>
      <w:proofErr w:type="gramStart"/>
      <w:r>
        <w:t>instigated, and</w:t>
      </w:r>
      <w:proofErr w:type="gramEnd"/>
      <w:r>
        <w:t xml:space="preserve"> cannot provide retrospective justification for the decision to use force. I am satisfied,</w:t>
      </w:r>
      <w:r w:rsidDel="009D7A60">
        <w:t xml:space="preserve"> </w:t>
      </w:r>
      <w:r>
        <w:t>based on the materials before me, that force was used after Mr NR refused to comply with the direction to be relocated to a compound about which he held safety concerns. I am also of the view that reasonable alternatives to the use of force were available.</w:t>
      </w:r>
    </w:p>
    <w:p w14:paraId="1E146C23" w14:textId="77777777" w:rsidR="00956AAA" w:rsidRDefault="00956AAA" w:rsidP="00956AAA">
      <w:pPr>
        <w:pStyle w:val="NumberedParagraph"/>
      </w:pPr>
      <w:r>
        <w:t xml:space="preserve">Ultimately, Mr NR was not transferred to a different compound on 30 March 2021. Instead, force was used to transfer him from the common area in the HCA to his accommodation room in the HCA while further consideration was </w:t>
      </w:r>
      <w:r>
        <w:lastRenderedPageBreak/>
        <w:t>given to a more substantial move. My view is that this use of force was wholly unnecessary.</w:t>
      </w:r>
    </w:p>
    <w:p w14:paraId="108540A0" w14:textId="77777777" w:rsidR="00956AAA" w:rsidRPr="00186BB1" w:rsidRDefault="00956AAA" w:rsidP="00956AAA">
      <w:pPr>
        <w:pStyle w:val="NumberedParagraph"/>
      </w:pPr>
      <w:r w:rsidRPr="00186BB1">
        <w:t xml:space="preserve">On 7 December 2023, I issued to the parties a notice under section 27 of the AHRC Act containing my preliminary view of Mr NR’s complaint. The Department responded to the notice on 4 March 2024, indicating that they were not </w:t>
      </w:r>
      <w:proofErr w:type="gramStart"/>
      <w:r w:rsidRPr="00186BB1">
        <w:t>in a position</w:t>
      </w:r>
      <w:proofErr w:type="gramEnd"/>
      <w:r w:rsidRPr="00186BB1">
        <w:t xml:space="preserve"> to comment on whether the acts raised by Mr NR in his complaint were inconsistent with or contrary to his human rights. The Department indicated that they would investigate further the </w:t>
      </w:r>
      <w:proofErr w:type="gramStart"/>
      <w:r w:rsidRPr="00186BB1">
        <w:t>allegations, and</w:t>
      </w:r>
      <w:proofErr w:type="gramEnd"/>
      <w:r w:rsidRPr="00186BB1">
        <w:t xml:space="preserve"> provide the Commission with information of the outcome of the review as soon as completed.</w:t>
      </w:r>
    </w:p>
    <w:p w14:paraId="630CFFA8" w14:textId="3B3F0656" w:rsidR="00956AAA" w:rsidRDefault="00956AAA" w:rsidP="00956AAA">
      <w:pPr>
        <w:pStyle w:val="NumberedParagraph"/>
      </w:pPr>
      <w:r>
        <w:t>I consider that the use of force against Mr NR at 11.47am on 30 March 2021</w:t>
      </w:r>
      <w:r w:rsidR="00475F1A">
        <w:t>,</w:t>
      </w:r>
      <w:r>
        <w:t xml:space="preserve"> with the intention to move him to another compound</w:t>
      </w:r>
      <w:r w:rsidR="00E4291A">
        <w:t>,</w:t>
      </w:r>
      <w:r>
        <w:t xml:space="preserve"> was not utilised as a measure of last resort, and did not have sufficient justification to warrant it, including because of the concerns that Mr NR raised for his personal safety and because of the availability of the other suitable accommodation options that would not have required force to be used. Further, the initial use of force in the form of EEP then escalated into further</w:t>
      </w:r>
      <w:r w:rsidR="00292F24">
        <w:t>,</w:t>
      </w:r>
      <w:r>
        <w:t xml:space="preserve"> more substantial uses of force when Mr NR resisted due to concerns for his personal safety. Those additional uses of force included</w:t>
      </w:r>
      <w:r w:rsidDel="007843F7">
        <w:t xml:space="preserve"> </w:t>
      </w:r>
      <w:r>
        <w:t>twice lowering him to the ground, applying mechanical restraints, and physically carrying him to his accommodation area. Accordingly, by using force at that time, Serco officers did not treat Mr NR with humanity or inherent respect for his dignity, contrary to article 10(1) of the ICCPR.</w:t>
      </w:r>
    </w:p>
    <w:p w14:paraId="04B8BF74" w14:textId="77D67623" w:rsidR="00956AAA" w:rsidRPr="006C62E3" w:rsidRDefault="00956AAA" w:rsidP="00956AAA">
      <w:pPr>
        <w:pStyle w:val="NumberedParagraph"/>
      </w:pPr>
      <w:r>
        <w:t>I am not satisfied that any sexual or other inappropriate touching occurred during the incident</w:t>
      </w:r>
      <w:r w:rsidR="00CB71A1">
        <w:t>,</w:t>
      </w:r>
      <w:r>
        <w:t xml:space="preserve"> as alleged by Mr NR, having watched all the available footage provided to the Commission. Without any audio recording of the events, I am also unable to be satisfied that Mr NR was threatened with any retribution for his complaints.</w:t>
      </w:r>
    </w:p>
    <w:p w14:paraId="3E957C70" w14:textId="77777777" w:rsidR="00956AAA" w:rsidRPr="004D321C" w:rsidRDefault="00956AAA" w:rsidP="00956AAA">
      <w:pPr>
        <w:pStyle w:val="Heading1"/>
      </w:pPr>
      <w:bookmarkStart w:id="31" w:name="_Toc158637340"/>
      <w:bookmarkStart w:id="32" w:name="_Toc160474533"/>
      <w:bookmarkStart w:id="33" w:name="_Toc160783040"/>
      <w:bookmarkStart w:id="34" w:name="_Toc172630193"/>
      <w:r w:rsidRPr="004D321C">
        <w:t>Recommendations</w:t>
      </w:r>
      <w:bookmarkEnd w:id="31"/>
      <w:bookmarkEnd w:id="32"/>
      <w:bookmarkEnd w:id="33"/>
      <w:bookmarkEnd w:id="34"/>
      <w:r w:rsidRPr="004D321C">
        <w:t xml:space="preserve"> </w:t>
      </w:r>
    </w:p>
    <w:p w14:paraId="07D3B07A" w14:textId="77777777" w:rsidR="00956AAA" w:rsidRPr="004D321C" w:rsidRDefault="00956AAA" w:rsidP="00956AAA">
      <w:pPr>
        <w:pStyle w:val="NumberedParagraph"/>
      </w:pPr>
      <w:r w:rsidRPr="004D321C">
        <w:t>Where, after conducting an inquiry, the Commission finds that an act or practice engaged in by a respondent is inconsistent with or contrary to any human right, the Commission is required to serve notice on the respondent setting out its findings and reasons for those findings.</w:t>
      </w:r>
      <w:r w:rsidRPr="007000E5">
        <w:rPr>
          <w:rStyle w:val="EndnoteReference"/>
          <w:rFonts w:eastAsia="MS Mincho"/>
        </w:rPr>
        <w:endnoteReference w:id="17"/>
      </w:r>
      <w:r w:rsidRPr="004D321C">
        <w:t xml:space="preserve"> The Commission may include in the notice any recommendations for preventing a repetition of the act or a continuation of the practice.</w:t>
      </w:r>
      <w:r w:rsidRPr="007000E5">
        <w:rPr>
          <w:rStyle w:val="EndnoteReference"/>
          <w:rFonts w:eastAsia="MS Mincho"/>
        </w:rPr>
        <w:endnoteReference w:id="18"/>
      </w:r>
      <w:r w:rsidRPr="004D321C">
        <w:t xml:space="preserve"> The Commission may also recommend other action to remedy or reduce the loss or damage suffered by a person.</w:t>
      </w:r>
      <w:r w:rsidRPr="007000E5">
        <w:rPr>
          <w:rStyle w:val="EndnoteReference"/>
          <w:rFonts w:eastAsia="MS Mincho"/>
        </w:rPr>
        <w:endnoteReference w:id="19"/>
      </w:r>
    </w:p>
    <w:p w14:paraId="5F25FF5A" w14:textId="77777777" w:rsidR="00956AAA" w:rsidRPr="00956AAA" w:rsidRDefault="00956AAA" w:rsidP="00956AAA">
      <w:pPr>
        <w:pStyle w:val="Heading2"/>
        <w:rPr>
          <w:sz w:val="28"/>
          <w:szCs w:val="24"/>
        </w:rPr>
      </w:pPr>
      <w:bookmarkStart w:id="35" w:name="_Toc160783041"/>
      <w:bookmarkStart w:id="36" w:name="_Toc172630194"/>
      <w:r w:rsidRPr="00956AAA">
        <w:rPr>
          <w:sz w:val="28"/>
          <w:szCs w:val="24"/>
        </w:rPr>
        <w:lastRenderedPageBreak/>
        <w:t>Apology and redress</w:t>
      </w:r>
      <w:bookmarkEnd w:id="35"/>
      <w:bookmarkEnd w:id="36"/>
    </w:p>
    <w:p w14:paraId="2A11101B" w14:textId="467E0C2C" w:rsidR="005F268E" w:rsidRDefault="001E6577" w:rsidP="00956AAA">
      <w:pPr>
        <w:pStyle w:val="NumberedParagraph"/>
      </w:pPr>
      <w:r>
        <w:t>Contemporaneous records show that immediately following the incident, Mr NR felt humiliated, especially from his perception that he had been inappropriately touched</w:t>
      </w:r>
      <w:r w:rsidR="005F268E">
        <w:t>.</w:t>
      </w:r>
    </w:p>
    <w:p w14:paraId="60AE4182" w14:textId="6880A399" w:rsidR="00956AAA" w:rsidRDefault="00956AAA" w:rsidP="00956AAA">
      <w:pPr>
        <w:pStyle w:val="NumberedParagraph"/>
      </w:pPr>
      <w:r>
        <w:t>In circumstances where I have found that the use of force against Mr NR was unnecessary, I consider it appropriate to recommend that the Commonwealth make an apology to Mr NR for any hurt and humiliation that was caused to him by the decision to use force on 30 March 2021.</w:t>
      </w:r>
    </w:p>
    <w:p w14:paraId="1813FB82" w14:textId="77777777" w:rsidR="00956AAA" w:rsidRDefault="00956AAA" w:rsidP="00956AAA">
      <w:pPr>
        <w:pStyle w:val="NumberedParagraph"/>
      </w:pPr>
      <w:r>
        <w:t>I would also expect that, following the Department’s internal review into the incident, that the reviewer’s findings and recommendations be shared with Mr NR.</w:t>
      </w:r>
    </w:p>
    <w:p w14:paraId="51A4778D" w14:textId="77777777" w:rsidR="00956AAA" w:rsidRPr="00280002" w:rsidRDefault="00956AAA" w:rsidP="00956AAA">
      <w:pPr>
        <w:pStyle w:val="NumberedParagraph"/>
        <w:numPr>
          <w:ilvl w:val="0"/>
          <w:numId w:val="0"/>
        </w:numPr>
        <w:ind w:left="720"/>
        <w:rPr>
          <w:b/>
          <w:bCs/>
        </w:rPr>
      </w:pPr>
      <w:r w:rsidRPr="00280002">
        <w:rPr>
          <w:b/>
          <w:bCs/>
        </w:rPr>
        <w:t>Recommendation 1</w:t>
      </w:r>
    </w:p>
    <w:p w14:paraId="2D8B4772" w14:textId="77777777" w:rsidR="00956AAA" w:rsidRDefault="00956AAA" w:rsidP="00956AAA">
      <w:pPr>
        <w:pStyle w:val="NumberedParagraph"/>
        <w:numPr>
          <w:ilvl w:val="0"/>
          <w:numId w:val="0"/>
        </w:numPr>
        <w:ind w:left="720"/>
      </w:pPr>
      <w:r>
        <w:t>The Commission recommends that the Commonwealth apologise to Mr NR for the use of force against him on 30 March 2021, and provide to him a copy of the outcome of the internal review being conducted by the Department.</w:t>
      </w:r>
    </w:p>
    <w:p w14:paraId="5340B77B" w14:textId="77777777" w:rsidR="00956AAA" w:rsidRPr="00280002" w:rsidRDefault="00956AAA" w:rsidP="00956AAA">
      <w:pPr>
        <w:pStyle w:val="NumberedParagraph"/>
        <w:numPr>
          <w:ilvl w:val="0"/>
          <w:numId w:val="0"/>
        </w:numPr>
        <w:ind w:left="720"/>
        <w:rPr>
          <w:b/>
          <w:bCs/>
        </w:rPr>
      </w:pPr>
      <w:r w:rsidRPr="00280002">
        <w:rPr>
          <w:b/>
          <w:bCs/>
        </w:rPr>
        <w:t>Recommendation 2</w:t>
      </w:r>
    </w:p>
    <w:p w14:paraId="74CBC611" w14:textId="77777777" w:rsidR="00956AAA" w:rsidRPr="004B54A5" w:rsidRDefault="00956AAA" w:rsidP="00956AAA">
      <w:pPr>
        <w:pStyle w:val="NumberedParagraph"/>
        <w:numPr>
          <w:ilvl w:val="0"/>
          <w:numId w:val="0"/>
        </w:numPr>
        <w:ind w:left="720"/>
      </w:pPr>
      <w:r>
        <w:t>The Commission recommends that the Department ensures that Mr NR’s incident history is updated to reflect that the unplanned use of force against him on 30 March 2021 was not a result of his own abusive or aggressive behaviour.</w:t>
      </w:r>
    </w:p>
    <w:p w14:paraId="487A78F4" w14:textId="77777777" w:rsidR="00956AAA" w:rsidRPr="00956AAA" w:rsidRDefault="00956AAA" w:rsidP="00956AAA">
      <w:pPr>
        <w:pStyle w:val="Heading2"/>
        <w:rPr>
          <w:sz w:val="28"/>
          <w:szCs w:val="24"/>
        </w:rPr>
      </w:pPr>
      <w:bookmarkStart w:id="37" w:name="_Toc160783042"/>
      <w:bookmarkStart w:id="38" w:name="_Toc172630195"/>
      <w:r w:rsidRPr="00956AAA">
        <w:rPr>
          <w:sz w:val="28"/>
          <w:szCs w:val="24"/>
        </w:rPr>
        <w:t>Body camera footage</w:t>
      </w:r>
      <w:bookmarkEnd w:id="37"/>
      <w:bookmarkEnd w:id="38"/>
    </w:p>
    <w:p w14:paraId="1D7F0F5F" w14:textId="39B583C4" w:rsidR="00956AAA" w:rsidRDefault="00956AAA" w:rsidP="00956AAA">
      <w:pPr>
        <w:pStyle w:val="NumberedParagraph"/>
      </w:pPr>
      <w:r>
        <w:t xml:space="preserve">At paragraph </w:t>
      </w:r>
      <w:r>
        <w:fldChar w:fldCharType="begin"/>
      </w:r>
      <w:r>
        <w:instrText xml:space="preserve"> REF _Ref160545524 \r \h </w:instrText>
      </w:r>
      <w:r>
        <w:fldChar w:fldCharType="separate"/>
      </w:r>
      <w:r w:rsidR="00B10F4B">
        <w:t>55</w:t>
      </w:r>
      <w:r>
        <w:fldChar w:fldCharType="end"/>
      </w:r>
      <w:r>
        <w:t xml:space="preserve"> above, an issue was identified which led to body camera footage being unavailable. The Commonwealth Ombudsman has also made a recommendation to the Department regarding the availability of body worn camera footage at </w:t>
      </w:r>
      <w:proofErr w:type="gramStart"/>
      <w:r>
        <w:t>North West</w:t>
      </w:r>
      <w:proofErr w:type="gramEnd"/>
      <w:r>
        <w:t xml:space="preserve"> Point IDC.</w:t>
      </w:r>
      <w:r>
        <w:rPr>
          <w:rStyle w:val="EndnoteReference"/>
          <w:rFonts w:eastAsia="MS Mincho"/>
        </w:rPr>
        <w:endnoteReference w:id="20"/>
      </w:r>
      <w:r>
        <w:t xml:space="preserve"> Without any further information from the Department about how this came to be, and whether the issue has been resolved, I am unable to make any specific recommendations. However, </w:t>
      </w:r>
      <w:proofErr w:type="gramStart"/>
      <w:r>
        <w:t>it is clear that body</w:t>
      </w:r>
      <w:proofErr w:type="gramEnd"/>
      <w:r>
        <w:t xml:space="preserve"> camera footage of this incident would have been useful. Given the Department has indicated that it will investigate the matter further, I consider it sufficient to recommend that the issue be included in the Department’s investigation.</w:t>
      </w:r>
    </w:p>
    <w:p w14:paraId="163DD5E5" w14:textId="77777777" w:rsidR="00431F53" w:rsidRDefault="00431F53" w:rsidP="00956AAA">
      <w:pPr>
        <w:pStyle w:val="NumberedParagraph"/>
        <w:numPr>
          <w:ilvl w:val="0"/>
          <w:numId w:val="0"/>
        </w:numPr>
        <w:ind w:left="720"/>
        <w:rPr>
          <w:b/>
          <w:bCs/>
        </w:rPr>
      </w:pPr>
    </w:p>
    <w:p w14:paraId="014938A3" w14:textId="77777777" w:rsidR="00431F53" w:rsidRDefault="00431F53" w:rsidP="00956AAA">
      <w:pPr>
        <w:pStyle w:val="NumberedParagraph"/>
        <w:numPr>
          <w:ilvl w:val="0"/>
          <w:numId w:val="0"/>
        </w:numPr>
        <w:ind w:left="720"/>
        <w:rPr>
          <w:b/>
          <w:bCs/>
        </w:rPr>
      </w:pPr>
    </w:p>
    <w:p w14:paraId="2E7D641D" w14:textId="5D437E18" w:rsidR="00956AAA" w:rsidRPr="00EA24B6" w:rsidRDefault="00956AAA" w:rsidP="00956AAA">
      <w:pPr>
        <w:pStyle w:val="NumberedParagraph"/>
        <w:numPr>
          <w:ilvl w:val="0"/>
          <w:numId w:val="0"/>
        </w:numPr>
        <w:ind w:left="720"/>
        <w:rPr>
          <w:b/>
          <w:bCs/>
        </w:rPr>
      </w:pPr>
      <w:r w:rsidRPr="00EA24B6">
        <w:rPr>
          <w:b/>
          <w:bCs/>
        </w:rPr>
        <w:lastRenderedPageBreak/>
        <w:t xml:space="preserve">Recommendation </w:t>
      </w:r>
      <w:r>
        <w:rPr>
          <w:b/>
          <w:bCs/>
        </w:rPr>
        <w:t>3</w:t>
      </w:r>
    </w:p>
    <w:p w14:paraId="1B7673A5" w14:textId="77777777" w:rsidR="00956AAA" w:rsidRDefault="00956AAA" w:rsidP="00956AAA">
      <w:pPr>
        <w:pStyle w:val="NumberedParagraph"/>
        <w:numPr>
          <w:ilvl w:val="0"/>
          <w:numId w:val="0"/>
        </w:numPr>
        <w:ind w:left="720"/>
      </w:pPr>
      <w:r>
        <w:t xml:space="preserve">The Commission recommends that, as part of the Department’s investigation into Mr NR’s complaint, the Department examine the circumstances in which the body camera footage failed to be downloaded, yet Serco correspondence to Mr NR indicates that footage had been watched as part of its internal review, </w:t>
      </w:r>
      <w:proofErr w:type="gramStart"/>
      <w:r>
        <w:t>in order to</w:t>
      </w:r>
      <w:proofErr w:type="gramEnd"/>
      <w:r>
        <w:t xml:space="preserve"> ensure that footage is available for any future investigations.</w:t>
      </w:r>
    </w:p>
    <w:p w14:paraId="2A3F42E1" w14:textId="77777777" w:rsidR="00956AAA" w:rsidRPr="00956AAA" w:rsidRDefault="00956AAA" w:rsidP="00956AAA">
      <w:pPr>
        <w:pStyle w:val="Heading2"/>
        <w:rPr>
          <w:sz w:val="28"/>
          <w:szCs w:val="24"/>
        </w:rPr>
      </w:pPr>
      <w:bookmarkStart w:id="39" w:name="_Toc160783043"/>
      <w:bookmarkStart w:id="40" w:name="_Toc172630196"/>
      <w:r w:rsidRPr="00956AAA">
        <w:rPr>
          <w:sz w:val="28"/>
          <w:szCs w:val="24"/>
        </w:rPr>
        <w:t>Risk assessments</w:t>
      </w:r>
      <w:bookmarkEnd w:id="39"/>
      <w:bookmarkEnd w:id="40"/>
    </w:p>
    <w:p w14:paraId="57F58595" w14:textId="77777777" w:rsidR="00956AAA" w:rsidRDefault="00956AAA" w:rsidP="00956AAA">
      <w:pPr>
        <w:pStyle w:val="NumberedParagraph"/>
      </w:pPr>
      <w:r>
        <w:t xml:space="preserve">It does not appear from the Commission’s inquiry that a risk assessment was carried out when determining the best placement option for Mr NR upon his transfer to Christmas Island. Given that Mr NR complained only about the use of force against him, the Commission did not inquire into this issue any further. However, it seems that, given Mr NR alleged that he had been assaulted by another detainee who was housed in the </w:t>
      </w:r>
      <w:proofErr w:type="gramStart"/>
      <w:r>
        <w:t>Gold</w:t>
      </w:r>
      <w:proofErr w:type="gramEnd"/>
      <w:r>
        <w:t xml:space="preserve"> compound, a risk assessment should have been carried out prior to deciding to place him there. At least, this should have been conducted after he specifically raised his concerns to the Serco officers who sought to escort him to that place.</w:t>
      </w:r>
    </w:p>
    <w:p w14:paraId="011288CA" w14:textId="77777777" w:rsidR="00956AAA" w:rsidRDefault="00956AAA" w:rsidP="00956AAA">
      <w:pPr>
        <w:pStyle w:val="NumberedParagraph"/>
      </w:pPr>
      <w:r>
        <w:t>The Commission has previously made detailed recommendations to the Department regarding the importance of carrying out risk assessments when incidents of detainee-on-detainee violence have occurred.</w:t>
      </w:r>
      <w:r>
        <w:rPr>
          <w:rStyle w:val="EndnoteReference"/>
          <w:rFonts w:eastAsia="MS Mincho"/>
        </w:rPr>
        <w:endnoteReference w:id="21"/>
      </w:r>
    </w:p>
    <w:p w14:paraId="3F1650D3" w14:textId="77777777" w:rsidR="00956AAA" w:rsidRDefault="00956AAA" w:rsidP="00956AAA">
      <w:pPr>
        <w:pStyle w:val="NumberedParagraph"/>
      </w:pPr>
      <w:r>
        <w:t>Those recommendations were noted, with the Department indicating that it considered its current processes sufficient for assessing risk to detainees following incidents of violence.</w:t>
      </w:r>
    </w:p>
    <w:p w14:paraId="56278545" w14:textId="77777777" w:rsidR="00956AAA" w:rsidRDefault="00956AAA" w:rsidP="00956AAA">
      <w:pPr>
        <w:pStyle w:val="NumberedParagraph"/>
      </w:pPr>
      <w:r>
        <w:t xml:space="preserve">I do not repeat the recommendations in this report, but encourage the Department, as part of its investigation into Mr NR’s complaint, to consider them again </w:t>
      </w:r>
      <w:proofErr w:type="gramStart"/>
      <w:r>
        <w:t>in light of</w:t>
      </w:r>
      <w:proofErr w:type="gramEnd"/>
      <w:r>
        <w:t xml:space="preserve"> the Commission’s findings.</w:t>
      </w:r>
    </w:p>
    <w:p w14:paraId="45308C78" w14:textId="77777777" w:rsidR="00956AAA" w:rsidRPr="008C07E8" w:rsidRDefault="00956AAA" w:rsidP="00956AAA">
      <w:pPr>
        <w:pStyle w:val="NumberedParagraph"/>
        <w:numPr>
          <w:ilvl w:val="0"/>
          <w:numId w:val="0"/>
        </w:numPr>
        <w:ind w:left="720"/>
        <w:rPr>
          <w:b/>
          <w:bCs/>
        </w:rPr>
      </w:pPr>
      <w:r w:rsidRPr="008C07E8">
        <w:rPr>
          <w:b/>
          <w:bCs/>
        </w:rPr>
        <w:t xml:space="preserve">Recommendation </w:t>
      </w:r>
      <w:r>
        <w:rPr>
          <w:b/>
          <w:bCs/>
        </w:rPr>
        <w:t>4</w:t>
      </w:r>
    </w:p>
    <w:p w14:paraId="7289C0B7" w14:textId="77777777" w:rsidR="00956AAA" w:rsidRDefault="00956AAA" w:rsidP="00956AAA">
      <w:pPr>
        <w:pStyle w:val="NumberedParagraph"/>
      </w:pPr>
      <w:r>
        <w:t xml:space="preserve">The Commission recommends that the Department, as part of its investigation into Mr NR’s complaint, consider whether sufficient steps were taken to consider any risk to Mr NR as a result of previous violence which had occurred between him and another detainee located in the </w:t>
      </w:r>
      <w:proofErr w:type="gramStart"/>
      <w:r>
        <w:t>Gold</w:t>
      </w:r>
      <w:proofErr w:type="gramEnd"/>
      <w:r>
        <w:t xml:space="preserve"> compound.</w:t>
      </w:r>
    </w:p>
    <w:p w14:paraId="29B3269E" w14:textId="77777777" w:rsidR="00956AAA" w:rsidRPr="00956AAA" w:rsidRDefault="00956AAA" w:rsidP="00956AAA">
      <w:pPr>
        <w:pStyle w:val="Heading2"/>
        <w:rPr>
          <w:sz w:val="28"/>
          <w:szCs w:val="24"/>
        </w:rPr>
      </w:pPr>
      <w:bookmarkStart w:id="41" w:name="_Toc160783044"/>
      <w:bookmarkStart w:id="42" w:name="_Toc172630197"/>
      <w:r w:rsidRPr="00956AAA">
        <w:rPr>
          <w:sz w:val="28"/>
          <w:szCs w:val="24"/>
        </w:rPr>
        <w:t>DSM and unplanned uses of force</w:t>
      </w:r>
      <w:bookmarkEnd w:id="41"/>
      <w:bookmarkEnd w:id="42"/>
    </w:p>
    <w:p w14:paraId="58DD31DF" w14:textId="440AE228" w:rsidR="00956AAA" w:rsidRDefault="00956AAA" w:rsidP="00956AAA">
      <w:pPr>
        <w:pStyle w:val="NumberedParagraph"/>
      </w:pPr>
      <w:r>
        <w:t xml:space="preserve">The DSM excerpt at paragraph </w:t>
      </w:r>
      <w:r>
        <w:fldChar w:fldCharType="begin"/>
      </w:r>
      <w:r>
        <w:instrText xml:space="preserve"> REF _Ref150438752 \r \h </w:instrText>
      </w:r>
      <w:r>
        <w:fldChar w:fldCharType="separate"/>
      </w:r>
      <w:r w:rsidR="00B10F4B">
        <w:t>50</w:t>
      </w:r>
      <w:r>
        <w:fldChar w:fldCharType="end"/>
      </w:r>
      <w:r>
        <w:t xml:space="preserve"> and discussed at paragraph </w:t>
      </w:r>
      <w:r>
        <w:fldChar w:fldCharType="begin"/>
      </w:r>
      <w:r>
        <w:instrText xml:space="preserve"> REF _Ref160722008 \r \h </w:instrText>
      </w:r>
      <w:r>
        <w:fldChar w:fldCharType="separate"/>
      </w:r>
      <w:r w:rsidR="00B10F4B">
        <w:t>76</w:t>
      </w:r>
      <w:r>
        <w:fldChar w:fldCharType="end"/>
      </w:r>
      <w:r>
        <w:t xml:space="preserve"> outlines permissible instances where an unplanned use of force may be considered justified. Mr NR’s case in the Commission’s view does not fall within these narrow categories.</w:t>
      </w:r>
    </w:p>
    <w:p w14:paraId="38CF13E0" w14:textId="77777777" w:rsidR="00956AAA" w:rsidRDefault="00956AAA" w:rsidP="00956AAA">
      <w:pPr>
        <w:pStyle w:val="NumberedParagraph"/>
      </w:pPr>
      <w:r>
        <w:lastRenderedPageBreak/>
        <w:t>It may be helpful for the training of officers for the DSM to include some specific examples of situations which do not justify an unplanned use of force. Relocating a detainee to another compound may be the type of situation where the unplanned use of force would rarely (if ever) be justified. Consideration could be given to including more guidance in the DSM, directing officers to:</w:t>
      </w:r>
    </w:p>
    <w:p w14:paraId="7B3A465F" w14:textId="77777777" w:rsidR="00956AAA" w:rsidRDefault="00956AAA" w:rsidP="00956AAA">
      <w:pPr>
        <w:pStyle w:val="NumberedParagraph"/>
        <w:numPr>
          <w:ilvl w:val="1"/>
          <w:numId w:val="49"/>
        </w:numPr>
      </w:pPr>
      <w:r>
        <w:t xml:space="preserve">request that management consider the appropriateness of the placement </w:t>
      </w:r>
      <w:proofErr w:type="gramStart"/>
      <w:r>
        <w:t>in light of</w:t>
      </w:r>
      <w:proofErr w:type="gramEnd"/>
      <w:r>
        <w:t xml:space="preserve"> any concerns raised</w:t>
      </w:r>
    </w:p>
    <w:p w14:paraId="05AAAE17" w14:textId="77777777" w:rsidR="00956AAA" w:rsidRDefault="00956AAA" w:rsidP="00956AAA">
      <w:pPr>
        <w:pStyle w:val="NumberedParagraph"/>
        <w:numPr>
          <w:ilvl w:val="1"/>
          <w:numId w:val="49"/>
        </w:numPr>
      </w:pPr>
      <w:r>
        <w:t>engage in negotiation with a detainee who is resisting their relocation</w:t>
      </w:r>
    </w:p>
    <w:p w14:paraId="7FE55A54" w14:textId="77777777" w:rsidR="00956AAA" w:rsidRDefault="00956AAA" w:rsidP="00956AAA">
      <w:pPr>
        <w:pStyle w:val="NumberedParagraph"/>
        <w:numPr>
          <w:ilvl w:val="1"/>
          <w:numId w:val="49"/>
        </w:numPr>
      </w:pPr>
      <w:r>
        <w:t>seeking approval to engage in any proposed use of force as a last resort.</w:t>
      </w:r>
    </w:p>
    <w:p w14:paraId="1CC74EA4" w14:textId="77777777" w:rsidR="00956AAA" w:rsidRPr="00D85D25" w:rsidRDefault="00956AAA" w:rsidP="00956AAA">
      <w:pPr>
        <w:pStyle w:val="NumberedParagraph"/>
        <w:numPr>
          <w:ilvl w:val="0"/>
          <w:numId w:val="0"/>
        </w:numPr>
        <w:ind w:left="720"/>
        <w:rPr>
          <w:b/>
          <w:bCs/>
        </w:rPr>
      </w:pPr>
      <w:r w:rsidRPr="00D85D25">
        <w:rPr>
          <w:b/>
          <w:bCs/>
        </w:rPr>
        <w:t>Recommendation 5</w:t>
      </w:r>
    </w:p>
    <w:p w14:paraId="2520A273" w14:textId="77777777" w:rsidR="00956AAA" w:rsidRPr="001B525F" w:rsidRDefault="00956AAA" w:rsidP="00956AAA">
      <w:pPr>
        <w:pStyle w:val="NumberedParagraph"/>
        <w:numPr>
          <w:ilvl w:val="0"/>
          <w:numId w:val="0"/>
        </w:numPr>
        <w:ind w:left="720"/>
      </w:pPr>
      <w:r>
        <w:t xml:space="preserve">The Commission recommends that the Department consider revising the DSM to include specific examples of times when an unplanned use of force is unlikely to be </w:t>
      </w:r>
      <w:proofErr w:type="gramStart"/>
      <w:r>
        <w:t>justified, and</w:t>
      </w:r>
      <w:proofErr w:type="gramEnd"/>
      <w:r>
        <w:t xml:space="preserve"> directing officers to seek approval prior to engaging in force.</w:t>
      </w:r>
    </w:p>
    <w:p w14:paraId="0F2E353C" w14:textId="2B75D146" w:rsidR="003423F4" w:rsidRDefault="00956AAA" w:rsidP="00FD0E8B">
      <w:pPr>
        <w:pStyle w:val="Heading1"/>
      </w:pPr>
      <w:bookmarkStart w:id="43" w:name="_Toc172630198"/>
      <w:r>
        <w:t>The Department’s response to my findings and recommendations</w:t>
      </w:r>
      <w:bookmarkEnd w:id="43"/>
    </w:p>
    <w:p w14:paraId="5F5685A1" w14:textId="08144FE2" w:rsidR="00FD0E8B" w:rsidRDefault="00FD0E8B" w:rsidP="00FD0E8B">
      <w:pPr>
        <w:pStyle w:val="NameInsert"/>
        <w:numPr>
          <w:ilvl w:val="0"/>
          <w:numId w:val="49"/>
        </w:numPr>
        <w:spacing w:before="240" w:after="240"/>
        <w:jc w:val="left"/>
        <w:rPr>
          <w:rFonts w:ascii="Open Sans" w:hAnsi="Open Sans" w:cs="Open Sans"/>
          <w:szCs w:val="24"/>
        </w:rPr>
      </w:pPr>
      <w:r>
        <w:rPr>
          <w:rFonts w:ascii="Open Sans" w:hAnsi="Open Sans" w:cs="Open Sans"/>
          <w:szCs w:val="24"/>
        </w:rPr>
        <w:t xml:space="preserve">On 4 April 2024, I provided the Department with </w:t>
      </w:r>
      <w:proofErr w:type="gramStart"/>
      <w:r>
        <w:rPr>
          <w:rFonts w:ascii="Open Sans" w:hAnsi="Open Sans" w:cs="Open Sans"/>
          <w:szCs w:val="24"/>
        </w:rPr>
        <w:t>a notice</w:t>
      </w:r>
      <w:proofErr w:type="gramEnd"/>
      <w:r>
        <w:rPr>
          <w:rFonts w:ascii="Open Sans" w:hAnsi="Open Sans" w:cs="Open Sans"/>
          <w:szCs w:val="24"/>
        </w:rPr>
        <w:t xml:space="preserve"> of my findings and recommendations. </w:t>
      </w:r>
    </w:p>
    <w:p w14:paraId="15515FB6" w14:textId="1D312F29" w:rsidR="00FD0E8B" w:rsidRDefault="00FD0E8B" w:rsidP="00FD0E8B">
      <w:pPr>
        <w:pStyle w:val="NameInsert"/>
        <w:numPr>
          <w:ilvl w:val="0"/>
          <w:numId w:val="49"/>
        </w:numPr>
        <w:spacing w:before="240" w:after="240"/>
        <w:jc w:val="left"/>
        <w:rPr>
          <w:rFonts w:ascii="Open Sans" w:hAnsi="Open Sans" w:cs="Open Sans"/>
          <w:szCs w:val="24"/>
        </w:rPr>
      </w:pPr>
      <w:r>
        <w:rPr>
          <w:rFonts w:ascii="Open Sans" w:hAnsi="Open Sans" w:cs="Open Sans"/>
          <w:szCs w:val="24"/>
        </w:rPr>
        <w:t xml:space="preserve">On 19 July 2024, the Department provided the following response to my findings and recommendations: </w:t>
      </w:r>
    </w:p>
    <w:p w14:paraId="177E0EF8" w14:textId="32A3664C" w:rsidR="00FD0E8B" w:rsidRPr="00FD0E8B" w:rsidRDefault="00FD0E8B" w:rsidP="00FD0E8B">
      <w:pPr>
        <w:pStyle w:val="Quote"/>
        <w:rPr>
          <w:szCs w:val="22"/>
        </w:rPr>
      </w:pPr>
      <w:r w:rsidRPr="00FD0E8B">
        <w:rPr>
          <w:szCs w:val="22"/>
        </w:rPr>
        <w:t>The Department of Home Affairs (the Department) values the role of the Australian Human Rights Commission</w:t>
      </w:r>
      <w:r w:rsidRPr="00FD0E8B">
        <w:rPr>
          <w:spacing w:val="-6"/>
          <w:szCs w:val="22"/>
        </w:rPr>
        <w:t xml:space="preserve"> </w:t>
      </w:r>
      <w:r w:rsidRPr="00FD0E8B">
        <w:rPr>
          <w:szCs w:val="22"/>
        </w:rPr>
        <w:t>(the</w:t>
      </w:r>
      <w:r w:rsidRPr="00FD0E8B">
        <w:rPr>
          <w:spacing w:val="-4"/>
          <w:szCs w:val="22"/>
        </w:rPr>
        <w:t xml:space="preserve"> </w:t>
      </w:r>
      <w:r w:rsidRPr="00FD0E8B">
        <w:rPr>
          <w:szCs w:val="22"/>
        </w:rPr>
        <w:t>Commission)</w:t>
      </w:r>
      <w:r w:rsidRPr="00FD0E8B">
        <w:rPr>
          <w:spacing w:val="-4"/>
          <w:szCs w:val="22"/>
        </w:rPr>
        <w:t xml:space="preserve"> </w:t>
      </w:r>
      <w:r w:rsidRPr="00FD0E8B">
        <w:rPr>
          <w:szCs w:val="22"/>
        </w:rPr>
        <w:t>to</w:t>
      </w:r>
      <w:r w:rsidRPr="00FD0E8B">
        <w:rPr>
          <w:spacing w:val="-4"/>
          <w:szCs w:val="22"/>
        </w:rPr>
        <w:t xml:space="preserve"> </w:t>
      </w:r>
      <w:r w:rsidRPr="00FD0E8B">
        <w:rPr>
          <w:szCs w:val="22"/>
        </w:rPr>
        <w:t>inquire</w:t>
      </w:r>
      <w:r w:rsidRPr="00FD0E8B">
        <w:rPr>
          <w:spacing w:val="-3"/>
          <w:szCs w:val="22"/>
        </w:rPr>
        <w:t xml:space="preserve"> </w:t>
      </w:r>
      <w:r w:rsidRPr="00FD0E8B">
        <w:rPr>
          <w:szCs w:val="22"/>
        </w:rPr>
        <w:t>into</w:t>
      </w:r>
      <w:r w:rsidRPr="00FD0E8B">
        <w:rPr>
          <w:spacing w:val="-6"/>
          <w:szCs w:val="22"/>
        </w:rPr>
        <w:t xml:space="preserve"> </w:t>
      </w:r>
      <w:r w:rsidRPr="00FD0E8B">
        <w:rPr>
          <w:szCs w:val="22"/>
        </w:rPr>
        <w:t>human</w:t>
      </w:r>
      <w:r w:rsidRPr="00FD0E8B">
        <w:rPr>
          <w:spacing w:val="-6"/>
          <w:szCs w:val="22"/>
        </w:rPr>
        <w:t xml:space="preserve"> </w:t>
      </w:r>
      <w:r w:rsidRPr="00FD0E8B">
        <w:rPr>
          <w:szCs w:val="22"/>
        </w:rPr>
        <w:t>rights</w:t>
      </w:r>
      <w:r w:rsidRPr="00FD0E8B">
        <w:rPr>
          <w:spacing w:val="-4"/>
          <w:szCs w:val="22"/>
        </w:rPr>
        <w:t xml:space="preserve"> </w:t>
      </w:r>
      <w:r w:rsidRPr="00FD0E8B">
        <w:rPr>
          <w:szCs w:val="22"/>
        </w:rPr>
        <w:t>complaints</w:t>
      </w:r>
      <w:r w:rsidRPr="00FD0E8B">
        <w:rPr>
          <w:spacing w:val="-2"/>
          <w:szCs w:val="22"/>
        </w:rPr>
        <w:t xml:space="preserve"> </w:t>
      </w:r>
      <w:r w:rsidRPr="00FD0E8B">
        <w:rPr>
          <w:szCs w:val="22"/>
        </w:rPr>
        <w:t>and</w:t>
      </w:r>
      <w:r w:rsidRPr="00FD0E8B">
        <w:rPr>
          <w:spacing w:val="-3"/>
          <w:szCs w:val="22"/>
        </w:rPr>
        <w:t xml:space="preserve"> </w:t>
      </w:r>
      <w:r w:rsidRPr="00FD0E8B">
        <w:rPr>
          <w:szCs w:val="22"/>
        </w:rPr>
        <w:t>acknowledges</w:t>
      </w:r>
      <w:r w:rsidRPr="00FD0E8B">
        <w:rPr>
          <w:spacing w:val="-4"/>
          <w:szCs w:val="22"/>
        </w:rPr>
        <w:t xml:space="preserve"> </w:t>
      </w:r>
      <w:r w:rsidRPr="00FD0E8B">
        <w:rPr>
          <w:szCs w:val="22"/>
        </w:rPr>
        <w:t>the</w:t>
      </w:r>
      <w:r w:rsidRPr="00FD0E8B">
        <w:rPr>
          <w:spacing w:val="-5"/>
          <w:szCs w:val="22"/>
        </w:rPr>
        <w:t xml:space="preserve"> </w:t>
      </w:r>
      <w:r w:rsidRPr="00FD0E8B">
        <w:rPr>
          <w:szCs w:val="22"/>
        </w:rPr>
        <w:t>findings identified in this report and the recommendations made by the President of the Commission.</w:t>
      </w:r>
    </w:p>
    <w:p w14:paraId="5A10EDCC" w14:textId="77777777" w:rsidR="00FD0E8B" w:rsidRPr="00FD0E8B" w:rsidRDefault="00FD0E8B" w:rsidP="00FD0E8B">
      <w:pPr>
        <w:pStyle w:val="Quote"/>
        <w:rPr>
          <w:b/>
          <w:iCs w:val="0"/>
          <w:szCs w:val="22"/>
        </w:rPr>
      </w:pPr>
      <w:r w:rsidRPr="00FD0E8B">
        <w:rPr>
          <w:b/>
          <w:iCs w:val="0"/>
          <w:szCs w:val="22"/>
        </w:rPr>
        <w:t>Recommendation</w:t>
      </w:r>
      <w:r w:rsidRPr="00FD0E8B">
        <w:rPr>
          <w:b/>
          <w:iCs w:val="0"/>
          <w:spacing w:val="-9"/>
          <w:szCs w:val="22"/>
        </w:rPr>
        <w:t xml:space="preserve"> </w:t>
      </w:r>
      <w:r w:rsidRPr="00FD0E8B">
        <w:rPr>
          <w:b/>
          <w:iCs w:val="0"/>
          <w:szCs w:val="22"/>
        </w:rPr>
        <w:t>1</w:t>
      </w:r>
      <w:r w:rsidRPr="00FD0E8B">
        <w:rPr>
          <w:b/>
          <w:iCs w:val="0"/>
          <w:spacing w:val="-7"/>
          <w:szCs w:val="22"/>
        </w:rPr>
        <w:t xml:space="preserve"> </w:t>
      </w:r>
      <w:r w:rsidRPr="00FD0E8B">
        <w:rPr>
          <w:b/>
          <w:iCs w:val="0"/>
          <w:szCs w:val="22"/>
        </w:rPr>
        <w:t>–</w:t>
      </w:r>
      <w:r w:rsidRPr="00FD0E8B">
        <w:rPr>
          <w:b/>
          <w:iCs w:val="0"/>
          <w:spacing w:val="-5"/>
          <w:szCs w:val="22"/>
        </w:rPr>
        <w:t xml:space="preserve"> </w:t>
      </w:r>
      <w:r w:rsidRPr="00FD0E8B">
        <w:rPr>
          <w:b/>
          <w:iCs w:val="0"/>
          <w:spacing w:val="-2"/>
          <w:szCs w:val="22"/>
        </w:rPr>
        <w:t>Disagree</w:t>
      </w:r>
    </w:p>
    <w:p w14:paraId="79B6BAEC" w14:textId="41984F1F" w:rsidR="00FD0E8B" w:rsidRPr="00FD0E8B" w:rsidRDefault="00FD0E8B" w:rsidP="00FD0E8B">
      <w:pPr>
        <w:pStyle w:val="Quote"/>
        <w:rPr>
          <w:i/>
          <w:iCs w:val="0"/>
          <w:szCs w:val="22"/>
        </w:rPr>
      </w:pPr>
      <w:r w:rsidRPr="00FD0E8B">
        <w:rPr>
          <w:i/>
          <w:iCs w:val="0"/>
          <w:szCs w:val="22"/>
        </w:rPr>
        <w:t>The Commission recommends that the Commonwealth apologise to Mr NR for the use of force against</w:t>
      </w:r>
      <w:r w:rsidRPr="00FD0E8B">
        <w:rPr>
          <w:i/>
          <w:iCs w:val="0"/>
          <w:spacing w:val="-3"/>
          <w:szCs w:val="22"/>
        </w:rPr>
        <w:t xml:space="preserve"> </w:t>
      </w:r>
      <w:r w:rsidRPr="00FD0E8B">
        <w:rPr>
          <w:i/>
          <w:iCs w:val="0"/>
          <w:szCs w:val="22"/>
        </w:rPr>
        <w:t>him</w:t>
      </w:r>
      <w:r w:rsidRPr="00FD0E8B">
        <w:rPr>
          <w:i/>
          <w:iCs w:val="0"/>
          <w:spacing w:val="-3"/>
          <w:szCs w:val="22"/>
        </w:rPr>
        <w:t xml:space="preserve"> </w:t>
      </w:r>
      <w:r w:rsidRPr="00FD0E8B">
        <w:rPr>
          <w:i/>
          <w:iCs w:val="0"/>
          <w:szCs w:val="22"/>
        </w:rPr>
        <w:t>on</w:t>
      </w:r>
      <w:r w:rsidRPr="00FD0E8B">
        <w:rPr>
          <w:i/>
          <w:iCs w:val="0"/>
          <w:spacing w:val="-1"/>
          <w:szCs w:val="22"/>
        </w:rPr>
        <w:t xml:space="preserve"> </w:t>
      </w:r>
      <w:r w:rsidRPr="00FD0E8B">
        <w:rPr>
          <w:i/>
          <w:iCs w:val="0"/>
          <w:szCs w:val="22"/>
        </w:rPr>
        <w:t>30</w:t>
      </w:r>
      <w:r w:rsidRPr="00FD0E8B">
        <w:rPr>
          <w:i/>
          <w:iCs w:val="0"/>
          <w:spacing w:val="-4"/>
          <w:szCs w:val="22"/>
        </w:rPr>
        <w:t xml:space="preserve"> </w:t>
      </w:r>
      <w:r w:rsidRPr="00FD0E8B">
        <w:rPr>
          <w:i/>
          <w:iCs w:val="0"/>
          <w:szCs w:val="22"/>
        </w:rPr>
        <w:t>March</w:t>
      </w:r>
      <w:r w:rsidRPr="00FD0E8B">
        <w:rPr>
          <w:i/>
          <w:iCs w:val="0"/>
          <w:spacing w:val="-1"/>
          <w:szCs w:val="22"/>
        </w:rPr>
        <w:t xml:space="preserve"> </w:t>
      </w:r>
      <w:r w:rsidRPr="00FD0E8B">
        <w:rPr>
          <w:i/>
          <w:iCs w:val="0"/>
          <w:szCs w:val="22"/>
        </w:rPr>
        <w:t>2021,</w:t>
      </w:r>
      <w:r w:rsidRPr="00FD0E8B">
        <w:rPr>
          <w:i/>
          <w:iCs w:val="0"/>
          <w:spacing w:val="-4"/>
          <w:szCs w:val="22"/>
        </w:rPr>
        <w:t xml:space="preserve"> </w:t>
      </w:r>
      <w:r w:rsidRPr="00FD0E8B">
        <w:rPr>
          <w:i/>
          <w:iCs w:val="0"/>
          <w:szCs w:val="22"/>
        </w:rPr>
        <w:t>and</w:t>
      </w:r>
      <w:r w:rsidRPr="00FD0E8B">
        <w:rPr>
          <w:i/>
          <w:iCs w:val="0"/>
          <w:spacing w:val="-3"/>
          <w:szCs w:val="22"/>
        </w:rPr>
        <w:t xml:space="preserve"> </w:t>
      </w:r>
      <w:r w:rsidRPr="00FD0E8B">
        <w:rPr>
          <w:i/>
          <w:iCs w:val="0"/>
          <w:szCs w:val="22"/>
        </w:rPr>
        <w:t>provides</w:t>
      </w:r>
      <w:r w:rsidRPr="00FD0E8B">
        <w:rPr>
          <w:i/>
          <w:iCs w:val="0"/>
          <w:spacing w:val="-2"/>
          <w:szCs w:val="22"/>
        </w:rPr>
        <w:t xml:space="preserve"> </w:t>
      </w:r>
      <w:r w:rsidRPr="00FD0E8B">
        <w:rPr>
          <w:i/>
          <w:iCs w:val="0"/>
          <w:szCs w:val="22"/>
        </w:rPr>
        <w:t>to</w:t>
      </w:r>
      <w:r w:rsidRPr="00FD0E8B">
        <w:rPr>
          <w:i/>
          <w:iCs w:val="0"/>
          <w:spacing w:val="-3"/>
          <w:szCs w:val="22"/>
        </w:rPr>
        <w:t xml:space="preserve"> </w:t>
      </w:r>
      <w:r w:rsidRPr="00FD0E8B">
        <w:rPr>
          <w:i/>
          <w:iCs w:val="0"/>
          <w:szCs w:val="22"/>
        </w:rPr>
        <w:t>him</w:t>
      </w:r>
      <w:r w:rsidRPr="00FD0E8B">
        <w:rPr>
          <w:i/>
          <w:iCs w:val="0"/>
          <w:spacing w:val="-3"/>
          <w:szCs w:val="22"/>
        </w:rPr>
        <w:t xml:space="preserve"> </w:t>
      </w:r>
      <w:r w:rsidRPr="00FD0E8B">
        <w:rPr>
          <w:i/>
          <w:iCs w:val="0"/>
          <w:szCs w:val="22"/>
        </w:rPr>
        <w:t>a</w:t>
      </w:r>
      <w:r w:rsidRPr="00FD0E8B">
        <w:rPr>
          <w:i/>
          <w:iCs w:val="0"/>
          <w:spacing w:val="-5"/>
          <w:szCs w:val="22"/>
        </w:rPr>
        <w:t xml:space="preserve"> </w:t>
      </w:r>
      <w:r w:rsidRPr="00FD0E8B">
        <w:rPr>
          <w:i/>
          <w:iCs w:val="0"/>
          <w:szCs w:val="22"/>
        </w:rPr>
        <w:t>copy</w:t>
      </w:r>
      <w:r w:rsidRPr="00FD0E8B">
        <w:rPr>
          <w:i/>
          <w:iCs w:val="0"/>
          <w:spacing w:val="-5"/>
          <w:szCs w:val="22"/>
        </w:rPr>
        <w:t xml:space="preserve"> </w:t>
      </w:r>
      <w:r w:rsidRPr="00FD0E8B">
        <w:rPr>
          <w:i/>
          <w:iCs w:val="0"/>
          <w:szCs w:val="22"/>
        </w:rPr>
        <w:t>of</w:t>
      </w:r>
      <w:r w:rsidRPr="00FD0E8B">
        <w:rPr>
          <w:i/>
          <w:iCs w:val="0"/>
          <w:spacing w:val="-2"/>
          <w:szCs w:val="22"/>
        </w:rPr>
        <w:t xml:space="preserve"> </w:t>
      </w:r>
      <w:r w:rsidRPr="00FD0E8B">
        <w:rPr>
          <w:i/>
          <w:iCs w:val="0"/>
          <w:szCs w:val="22"/>
        </w:rPr>
        <w:t>the</w:t>
      </w:r>
      <w:r w:rsidRPr="00FD0E8B">
        <w:rPr>
          <w:i/>
          <w:iCs w:val="0"/>
          <w:spacing w:val="-4"/>
          <w:szCs w:val="22"/>
        </w:rPr>
        <w:t xml:space="preserve"> </w:t>
      </w:r>
      <w:r w:rsidRPr="00FD0E8B">
        <w:rPr>
          <w:i/>
          <w:iCs w:val="0"/>
          <w:szCs w:val="22"/>
        </w:rPr>
        <w:t>outcome</w:t>
      </w:r>
      <w:r w:rsidRPr="00FD0E8B">
        <w:rPr>
          <w:i/>
          <w:iCs w:val="0"/>
          <w:spacing w:val="-2"/>
          <w:szCs w:val="22"/>
        </w:rPr>
        <w:t xml:space="preserve"> </w:t>
      </w:r>
      <w:r w:rsidRPr="00FD0E8B">
        <w:rPr>
          <w:i/>
          <w:iCs w:val="0"/>
          <w:szCs w:val="22"/>
        </w:rPr>
        <w:t>of</w:t>
      </w:r>
      <w:r w:rsidRPr="00FD0E8B">
        <w:rPr>
          <w:i/>
          <w:iCs w:val="0"/>
          <w:spacing w:val="-3"/>
          <w:szCs w:val="22"/>
        </w:rPr>
        <w:t xml:space="preserve"> </w:t>
      </w:r>
      <w:r w:rsidRPr="00FD0E8B">
        <w:rPr>
          <w:i/>
          <w:iCs w:val="0"/>
          <w:szCs w:val="22"/>
        </w:rPr>
        <w:t>the</w:t>
      </w:r>
      <w:r w:rsidRPr="00FD0E8B">
        <w:rPr>
          <w:i/>
          <w:iCs w:val="0"/>
          <w:spacing w:val="-4"/>
          <w:szCs w:val="22"/>
        </w:rPr>
        <w:t xml:space="preserve"> </w:t>
      </w:r>
      <w:r w:rsidRPr="00FD0E8B">
        <w:rPr>
          <w:i/>
          <w:iCs w:val="0"/>
          <w:szCs w:val="22"/>
        </w:rPr>
        <w:t>internal</w:t>
      </w:r>
      <w:r w:rsidRPr="00FD0E8B">
        <w:rPr>
          <w:i/>
          <w:iCs w:val="0"/>
          <w:spacing w:val="-2"/>
          <w:szCs w:val="22"/>
        </w:rPr>
        <w:t xml:space="preserve"> </w:t>
      </w:r>
      <w:r w:rsidRPr="00FD0E8B">
        <w:rPr>
          <w:i/>
          <w:iCs w:val="0"/>
          <w:szCs w:val="22"/>
        </w:rPr>
        <w:t>review being conducted by the Department.</w:t>
      </w:r>
    </w:p>
    <w:p w14:paraId="670A1F8E" w14:textId="0B20261E" w:rsidR="00FD0E8B" w:rsidRPr="00FD0E8B" w:rsidRDefault="00FD0E8B" w:rsidP="00FD0E8B">
      <w:pPr>
        <w:pStyle w:val="Quote"/>
        <w:rPr>
          <w:szCs w:val="22"/>
        </w:rPr>
      </w:pPr>
      <w:r w:rsidRPr="00FD0E8B">
        <w:rPr>
          <w:szCs w:val="22"/>
        </w:rPr>
        <w:t>The</w:t>
      </w:r>
      <w:r w:rsidRPr="00FD0E8B">
        <w:rPr>
          <w:spacing w:val="-6"/>
          <w:szCs w:val="22"/>
        </w:rPr>
        <w:t xml:space="preserve"> </w:t>
      </w:r>
      <w:r w:rsidRPr="00FD0E8B">
        <w:rPr>
          <w:szCs w:val="22"/>
        </w:rPr>
        <w:t>Department</w:t>
      </w:r>
      <w:r w:rsidRPr="00FD0E8B">
        <w:rPr>
          <w:spacing w:val="-5"/>
          <w:szCs w:val="22"/>
        </w:rPr>
        <w:t xml:space="preserve"> </w:t>
      </w:r>
      <w:r w:rsidRPr="00FD0E8B">
        <w:rPr>
          <w:szCs w:val="22"/>
        </w:rPr>
        <w:t>disagrees with</w:t>
      </w:r>
      <w:r w:rsidRPr="00FD0E8B">
        <w:rPr>
          <w:spacing w:val="-5"/>
          <w:szCs w:val="22"/>
        </w:rPr>
        <w:t xml:space="preserve"> </w:t>
      </w:r>
      <w:r w:rsidRPr="00FD0E8B">
        <w:rPr>
          <w:szCs w:val="22"/>
        </w:rPr>
        <w:t>recommendation</w:t>
      </w:r>
      <w:r w:rsidRPr="00FD0E8B">
        <w:rPr>
          <w:spacing w:val="-4"/>
          <w:szCs w:val="22"/>
        </w:rPr>
        <w:t xml:space="preserve"> </w:t>
      </w:r>
      <w:r w:rsidRPr="00FD0E8B">
        <w:rPr>
          <w:szCs w:val="22"/>
        </w:rPr>
        <w:t>one. The</w:t>
      </w:r>
      <w:r w:rsidRPr="00FD0E8B">
        <w:rPr>
          <w:spacing w:val="-5"/>
          <w:szCs w:val="22"/>
        </w:rPr>
        <w:t xml:space="preserve"> </w:t>
      </w:r>
      <w:r w:rsidRPr="00FD0E8B">
        <w:rPr>
          <w:szCs w:val="22"/>
        </w:rPr>
        <w:t>Department</w:t>
      </w:r>
      <w:r w:rsidRPr="00FD0E8B">
        <w:rPr>
          <w:spacing w:val="-5"/>
          <w:szCs w:val="22"/>
        </w:rPr>
        <w:t xml:space="preserve"> </w:t>
      </w:r>
      <w:r w:rsidRPr="00FD0E8B">
        <w:rPr>
          <w:szCs w:val="22"/>
        </w:rPr>
        <w:t>acknowledges</w:t>
      </w:r>
      <w:r w:rsidRPr="00FD0E8B">
        <w:rPr>
          <w:spacing w:val="-4"/>
          <w:szCs w:val="22"/>
        </w:rPr>
        <w:t xml:space="preserve"> </w:t>
      </w:r>
      <w:r w:rsidRPr="00FD0E8B">
        <w:rPr>
          <w:szCs w:val="22"/>
        </w:rPr>
        <w:t>the</w:t>
      </w:r>
      <w:r w:rsidRPr="00FD0E8B">
        <w:rPr>
          <w:spacing w:val="-3"/>
          <w:szCs w:val="22"/>
        </w:rPr>
        <w:t xml:space="preserve"> </w:t>
      </w:r>
      <w:r w:rsidRPr="00FD0E8B">
        <w:rPr>
          <w:szCs w:val="22"/>
        </w:rPr>
        <w:t xml:space="preserve">circumstances raised in the complaint, and while a </w:t>
      </w:r>
      <w:r w:rsidRPr="00FD0E8B">
        <w:rPr>
          <w:szCs w:val="22"/>
        </w:rPr>
        <w:lastRenderedPageBreak/>
        <w:t>review remains underway, the Department does not consider it appropriate to issue an apology or provide Mr NR details of the internal review at this time.</w:t>
      </w:r>
    </w:p>
    <w:p w14:paraId="0A696B52" w14:textId="77777777" w:rsidR="00FD0E8B" w:rsidRPr="00FD0E8B" w:rsidRDefault="00FD0E8B" w:rsidP="00FD0E8B">
      <w:pPr>
        <w:pStyle w:val="Quote"/>
        <w:rPr>
          <w:b/>
          <w:iCs w:val="0"/>
          <w:szCs w:val="22"/>
        </w:rPr>
      </w:pPr>
      <w:r w:rsidRPr="00FD0E8B">
        <w:rPr>
          <w:b/>
          <w:iCs w:val="0"/>
          <w:szCs w:val="22"/>
        </w:rPr>
        <w:t>Recommendation</w:t>
      </w:r>
      <w:r w:rsidRPr="00FD0E8B">
        <w:rPr>
          <w:b/>
          <w:iCs w:val="0"/>
          <w:spacing w:val="-8"/>
          <w:szCs w:val="22"/>
        </w:rPr>
        <w:t xml:space="preserve"> </w:t>
      </w:r>
      <w:r w:rsidRPr="00FD0E8B">
        <w:rPr>
          <w:b/>
          <w:iCs w:val="0"/>
          <w:szCs w:val="22"/>
        </w:rPr>
        <w:t>2</w:t>
      </w:r>
      <w:r w:rsidRPr="00FD0E8B">
        <w:rPr>
          <w:b/>
          <w:iCs w:val="0"/>
          <w:spacing w:val="-7"/>
          <w:szCs w:val="22"/>
        </w:rPr>
        <w:t xml:space="preserve"> </w:t>
      </w:r>
      <w:r w:rsidRPr="00FD0E8B">
        <w:rPr>
          <w:b/>
          <w:iCs w:val="0"/>
          <w:szCs w:val="22"/>
        </w:rPr>
        <w:t>–</w:t>
      </w:r>
      <w:r w:rsidRPr="00FD0E8B">
        <w:rPr>
          <w:b/>
          <w:iCs w:val="0"/>
          <w:spacing w:val="-6"/>
          <w:szCs w:val="22"/>
        </w:rPr>
        <w:t xml:space="preserve"> </w:t>
      </w:r>
      <w:r w:rsidRPr="00FD0E8B">
        <w:rPr>
          <w:b/>
          <w:iCs w:val="0"/>
          <w:szCs w:val="22"/>
        </w:rPr>
        <w:t>Partially</w:t>
      </w:r>
      <w:r w:rsidRPr="00FD0E8B">
        <w:rPr>
          <w:b/>
          <w:iCs w:val="0"/>
          <w:spacing w:val="-9"/>
          <w:szCs w:val="22"/>
        </w:rPr>
        <w:t xml:space="preserve"> </w:t>
      </w:r>
      <w:r w:rsidRPr="00FD0E8B">
        <w:rPr>
          <w:b/>
          <w:iCs w:val="0"/>
          <w:spacing w:val="-2"/>
          <w:szCs w:val="22"/>
        </w:rPr>
        <w:t>agree</w:t>
      </w:r>
    </w:p>
    <w:p w14:paraId="0159ED67" w14:textId="6B62F5CF" w:rsidR="00FD0E8B" w:rsidRPr="00FD0E8B" w:rsidRDefault="00FD0E8B" w:rsidP="00FD0E8B">
      <w:pPr>
        <w:pStyle w:val="Quote"/>
        <w:rPr>
          <w:i/>
          <w:iCs w:val="0"/>
          <w:szCs w:val="22"/>
        </w:rPr>
      </w:pPr>
      <w:r w:rsidRPr="00FD0E8B">
        <w:rPr>
          <w:i/>
          <w:iCs w:val="0"/>
          <w:szCs w:val="22"/>
        </w:rPr>
        <w:t>The</w:t>
      </w:r>
      <w:r w:rsidRPr="00FD0E8B">
        <w:rPr>
          <w:i/>
          <w:iCs w:val="0"/>
          <w:spacing w:val="-3"/>
          <w:szCs w:val="22"/>
        </w:rPr>
        <w:t xml:space="preserve"> </w:t>
      </w:r>
      <w:r w:rsidRPr="00FD0E8B">
        <w:rPr>
          <w:i/>
          <w:iCs w:val="0"/>
          <w:szCs w:val="22"/>
        </w:rPr>
        <w:t>Commission</w:t>
      </w:r>
      <w:r w:rsidRPr="00FD0E8B">
        <w:rPr>
          <w:i/>
          <w:iCs w:val="0"/>
          <w:spacing w:val="-2"/>
          <w:szCs w:val="22"/>
        </w:rPr>
        <w:t xml:space="preserve"> </w:t>
      </w:r>
      <w:r w:rsidRPr="00FD0E8B">
        <w:rPr>
          <w:i/>
          <w:iCs w:val="0"/>
          <w:szCs w:val="22"/>
        </w:rPr>
        <w:t>recommends</w:t>
      </w:r>
      <w:r w:rsidRPr="00FD0E8B">
        <w:rPr>
          <w:i/>
          <w:iCs w:val="0"/>
          <w:spacing w:val="-3"/>
          <w:szCs w:val="22"/>
        </w:rPr>
        <w:t xml:space="preserve"> </w:t>
      </w:r>
      <w:r w:rsidRPr="00FD0E8B">
        <w:rPr>
          <w:i/>
          <w:iCs w:val="0"/>
          <w:szCs w:val="22"/>
        </w:rPr>
        <w:t>that</w:t>
      </w:r>
      <w:r w:rsidRPr="00FD0E8B">
        <w:rPr>
          <w:i/>
          <w:iCs w:val="0"/>
          <w:spacing w:val="-3"/>
          <w:szCs w:val="22"/>
        </w:rPr>
        <w:t xml:space="preserve"> </w:t>
      </w:r>
      <w:r w:rsidRPr="00FD0E8B">
        <w:rPr>
          <w:i/>
          <w:iCs w:val="0"/>
          <w:szCs w:val="22"/>
        </w:rPr>
        <w:t>the</w:t>
      </w:r>
      <w:r w:rsidRPr="00FD0E8B">
        <w:rPr>
          <w:i/>
          <w:iCs w:val="0"/>
          <w:spacing w:val="-3"/>
          <w:szCs w:val="22"/>
        </w:rPr>
        <w:t xml:space="preserve"> </w:t>
      </w:r>
      <w:r w:rsidRPr="00FD0E8B">
        <w:rPr>
          <w:i/>
          <w:iCs w:val="0"/>
          <w:szCs w:val="22"/>
        </w:rPr>
        <w:t>Department ensures</w:t>
      </w:r>
      <w:r w:rsidRPr="00FD0E8B">
        <w:rPr>
          <w:i/>
          <w:iCs w:val="0"/>
          <w:spacing w:val="-3"/>
          <w:szCs w:val="22"/>
        </w:rPr>
        <w:t xml:space="preserve"> </w:t>
      </w:r>
      <w:r w:rsidRPr="00FD0E8B">
        <w:rPr>
          <w:i/>
          <w:iCs w:val="0"/>
          <w:szCs w:val="22"/>
        </w:rPr>
        <w:t>that</w:t>
      </w:r>
      <w:r w:rsidRPr="00FD0E8B">
        <w:rPr>
          <w:i/>
          <w:iCs w:val="0"/>
          <w:spacing w:val="-3"/>
          <w:szCs w:val="22"/>
        </w:rPr>
        <w:t xml:space="preserve"> </w:t>
      </w:r>
      <w:r w:rsidRPr="00FD0E8B">
        <w:rPr>
          <w:i/>
          <w:iCs w:val="0"/>
          <w:szCs w:val="22"/>
        </w:rPr>
        <w:t>Mr</w:t>
      </w:r>
      <w:r w:rsidRPr="00FD0E8B">
        <w:rPr>
          <w:i/>
          <w:iCs w:val="0"/>
          <w:spacing w:val="-3"/>
          <w:szCs w:val="22"/>
        </w:rPr>
        <w:t xml:space="preserve"> </w:t>
      </w:r>
      <w:r w:rsidRPr="00FD0E8B">
        <w:rPr>
          <w:i/>
          <w:iCs w:val="0"/>
          <w:szCs w:val="22"/>
        </w:rPr>
        <w:t>NR’s</w:t>
      </w:r>
      <w:r w:rsidRPr="00FD0E8B">
        <w:rPr>
          <w:i/>
          <w:iCs w:val="0"/>
          <w:spacing w:val="-3"/>
          <w:szCs w:val="22"/>
        </w:rPr>
        <w:t xml:space="preserve"> </w:t>
      </w:r>
      <w:r w:rsidRPr="00FD0E8B">
        <w:rPr>
          <w:i/>
          <w:iCs w:val="0"/>
          <w:szCs w:val="22"/>
        </w:rPr>
        <w:t>incident</w:t>
      </w:r>
      <w:r w:rsidRPr="00FD0E8B">
        <w:rPr>
          <w:i/>
          <w:iCs w:val="0"/>
          <w:spacing w:val="-2"/>
          <w:szCs w:val="22"/>
        </w:rPr>
        <w:t xml:space="preserve"> </w:t>
      </w:r>
      <w:r w:rsidRPr="00FD0E8B">
        <w:rPr>
          <w:i/>
          <w:iCs w:val="0"/>
          <w:szCs w:val="22"/>
        </w:rPr>
        <w:t>history</w:t>
      </w:r>
      <w:r w:rsidRPr="00FD0E8B">
        <w:rPr>
          <w:i/>
          <w:iCs w:val="0"/>
          <w:spacing w:val="-5"/>
          <w:szCs w:val="22"/>
        </w:rPr>
        <w:t xml:space="preserve"> </w:t>
      </w:r>
      <w:r w:rsidRPr="00FD0E8B">
        <w:rPr>
          <w:i/>
          <w:iCs w:val="0"/>
          <w:szCs w:val="22"/>
        </w:rPr>
        <w:t>is</w:t>
      </w:r>
      <w:r w:rsidRPr="00FD0E8B">
        <w:rPr>
          <w:i/>
          <w:iCs w:val="0"/>
          <w:spacing w:val="-3"/>
          <w:szCs w:val="22"/>
        </w:rPr>
        <w:t xml:space="preserve"> </w:t>
      </w:r>
      <w:r w:rsidRPr="00FD0E8B">
        <w:rPr>
          <w:i/>
          <w:iCs w:val="0"/>
          <w:szCs w:val="22"/>
        </w:rPr>
        <w:t>updated to reflect that the unplanned use of force against him on 30 March 2021 was not a result of his own abusive or aggressive behaviour.</w:t>
      </w:r>
    </w:p>
    <w:p w14:paraId="65B48CA2" w14:textId="4E7CE6C8" w:rsidR="00FD0E8B" w:rsidRPr="00FD0E8B" w:rsidRDefault="00FD0E8B" w:rsidP="00FD0E8B">
      <w:pPr>
        <w:pStyle w:val="Quote"/>
        <w:rPr>
          <w:szCs w:val="22"/>
        </w:rPr>
      </w:pPr>
      <w:r w:rsidRPr="00FD0E8B">
        <w:rPr>
          <w:szCs w:val="22"/>
        </w:rPr>
        <w:t>The</w:t>
      </w:r>
      <w:r w:rsidRPr="00FD0E8B">
        <w:rPr>
          <w:spacing w:val="-4"/>
          <w:szCs w:val="22"/>
        </w:rPr>
        <w:t xml:space="preserve"> </w:t>
      </w:r>
      <w:r w:rsidRPr="00FD0E8B">
        <w:rPr>
          <w:szCs w:val="22"/>
        </w:rPr>
        <w:t>Department</w:t>
      </w:r>
      <w:r w:rsidRPr="00FD0E8B">
        <w:rPr>
          <w:spacing w:val="-4"/>
          <w:szCs w:val="22"/>
        </w:rPr>
        <w:t xml:space="preserve"> </w:t>
      </w:r>
      <w:r w:rsidRPr="00FD0E8B">
        <w:rPr>
          <w:szCs w:val="22"/>
        </w:rPr>
        <w:t>partially</w:t>
      </w:r>
      <w:r w:rsidRPr="00FD0E8B">
        <w:rPr>
          <w:spacing w:val="-6"/>
          <w:szCs w:val="22"/>
        </w:rPr>
        <w:t xml:space="preserve"> </w:t>
      </w:r>
      <w:r w:rsidRPr="00FD0E8B">
        <w:rPr>
          <w:szCs w:val="22"/>
        </w:rPr>
        <w:t>agrees</w:t>
      </w:r>
      <w:r w:rsidRPr="00FD0E8B">
        <w:rPr>
          <w:spacing w:val="-3"/>
          <w:szCs w:val="22"/>
        </w:rPr>
        <w:t xml:space="preserve"> </w:t>
      </w:r>
      <w:r w:rsidRPr="00FD0E8B">
        <w:rPr>
          <w:szCs w:val="22"/>
        </w:rPr>
        <w:t>to</w:t>
      </w:r>
      <w:r w:rsidRPr="00FD0E8B">
        <w:rPr>
          <w:spacing w:val="-2"/>
          <w:szCs w:val="22"/>
        </w:rPr>
        <w:t xml:space="preserve"> </w:t>
      </w:r>
      <w:r w:rsidRPr="00FD0E8B">
        <w:rPr>
          <w:szCs w:val="22"/>
        </w:rPr>
        <w:t>recommendation</w:t>
      </w:r>
      <w:r w:rsidRPr="00FD0E8B">
        <w:rPr>
          <w:spacing w:val="-4"/>
          <w:szCs w:val="22"/>
        </w:rPr>
        <w:t xml:space="preserve"> </w:t>
      </w:r>
      <w:r w:rsidRPr="00FD0E8B">
        <w:rPr>
          <w:szCs w:val="22"/>
        </w:rPr>
        <w:t>two.</w:t>
      </w:r>
      <w:r w:rsidRPr="00FD0E8B">
        <w:rPr>
          <w:spacing w:val="-4"/>
          <w:szCs w:val="22"/>
        </w:rPr>
        <w:t xml:space="preserve"> </w:t>
      </w:r>
      <w:r w:rsidRPr="00FD0E8B">
        <w:rPr>
          <w:szCs w:val="22"/>
        </w:rPr>
        <w:t>The</w:t>
      </w:r>
      <w:r w:rsidRPr="00FD0E8B">
        <w:rPr>
          <w:spacing w:val="-4"/>
          <w:szCs w:val="22"/>
        </w:rPr>
        <w:t xml:space="preserve"> </w:t>
      </w:r>
      <w:r w:rsidRPr="00FD0E8B">
        <w:rPr>
          <w:szCs w:val="22"/>
        </w:rPr>
        <w:t>Department</w:t>
      </w:r>
      <w:r w:rsidRPr="00FD0E8B">
        <w:rPr>
          <w:spacing w:val="-3"/>
          <w:szCs w:val="22"/>
        </w:rPr>
        <w:t xml:space="preserve"> </w:t>
      </w:r>
      <w:r w:rsidRPr="00FD0E8B">
        <w:rPr>
          <w:szCs w:val="22"/>
        </w:rPr>
        <w:t>will</w:t>
      </w:r>
      <w:r w:rsidRPr="00FD0E8B">
        <w:rPr>
          <w:spacing w:val="-4"/>
          <w:szCs w:val="22"/>
        </w:rPr>
        <w:t xml:space="preserve"> </w:t>
      </w:r>
      <w:r w:rsidRPr="00FD0E8B">
        <w:rPr>
          <w:szCs w:val="22"/>
        </w:rPr>
        <w:t>consider</w:t>
      </w:r>
      <w:r w:rsidRPr="00FD0E8B">
        <w:rPr>
          <w:spacing w:val="-2"/>
          <w:szCs w:val="22"/>
        </w:rPr>
        <w:t xml:space="preserve"> </w:t>
      </w:r>
      <w:r w:rsidRPr="00FD0E8B">
        <w:rPr>
          <w:szCs w:val="22"/>
        </w:rPr>
        <w:t>this</w:t>
      </w:r>
      <w:r w:rsidRPr="00FD0E8B">
        <w:rPr>
          <w:spacing w:val="-3"/>
          <w:szCs w:val="22"/>
        </w:rPr>
        <w:t xml:space="preserve"> </w:t>
      </w:r>
      <w:r w:rsidRPr="00FD0E8B">
        <w:rPr>
          <w:szCs w:val="22"/>
        </w:rPr>
        <w:t>recommendation as part of the internal review currently underway into the allegations made by Mr NR.</w:t>
      </w:r>
    </w:p>
    <w:p w14:paraId="5A8410EC" w14:textId="77777777" w:rsidR="00FD0E8B" w:rsidRPr="00FD0E8B" w:rsidRDefault="00FD0E8B" w:rsidP="00FD0E8B">
      <w:pPr>
        <w:pStyle w:val="Quote"/>
        <w:rPr>
          <w:b/>
          <w:iCs w:val="0"/>
          <w:szCs w:val="22"/>
        </w:rPr>
      </w:pPr>
      <w:r w:rsidRPr="00FD0E8B">
        <w:rPr>
          <w:b/>
          <w:iCs w:val="0"/>
          <w:szCs w:val="22"/>
        </w:rPr>
        <w:t>Recommendation</w:t>
      </w:r>
      <w:r w:rsidRPr="00FD0E8B">
        <w:rPr>
          <w:b/>
          <w:iCs w:val="0"/>
          <w:spacing w:val="-6"/>
          <w:szCs w:val="22"/>
        </w:rPr>
        <w:t xml:space="preserve"> </w:t>
      </w:r>
      <w:r w:rsidRPr="00FD0E8B">
        <w:rPr>
          <w:b/>
          <w:iCs w:val="0"/>
          <w:szCs w:val="22"/>
        </w:rPr>
        <w:t>3</w:t>
      </w:r>
      <w:r w:rsidRPr="00FD0E8B">
        <w:rPr>
          <w:b/>
          <w:iCs w:val="0"/>
          <w:spacing w:val="-7"/>
          <w:szCs w:val="22"/>
        </w:rPr>
        <w:t xml:space="preserve"> </w:t>
      </w:r>
      <w:r w:rsidRPr="00FD0E8B">
        <w:rPr>
          <w:b/>
          <w:iCs w:val="0"/>
          <w:szCs w:val="22"/>
        </w:rPr>
        <w:t>–</w:t>
      </w:r>
      <w:r w:rsidRPr="00FD0E8B">
        <w:rPr>
          <w:b/>
          <w:iCs w:val="0"/>
          <w:spacing w:val="-6"/>
          <w:szCs w:val="22"/>
        </w:rPr>
        <w:t xml:space="preserve"> </w:t>
      </w:r>
      <w:r w:rsidRPr="00FD0E8B">
        <w:rPr>
          <w:b/>
          <w:iCs w:val="0"/>
          <w:szCs w:val="22"/>
        </w:rPr>
        <w:t>Accepted</w:t>
      </w:r>
      <w:r w:rsidRPr="00FD0E8B">
        <w:rPr>
          <w:b/>
          <w:iCs w:val="0"/>
          <w:spacing w:val="-5"/>
          <w:szCs w:val="22"/>
        </w:rPr>
        <w:t xml:space="preserve"> </w:t>
      </w:r>
      <w:r w:rsidRPr="00FD0E8B">
        <w:rPr>
          <w:b/>
          <w:iCs w:val="0"/>
          <w:szCs w:val="22"/>
        </w:rPr>
        <w:t>–</w:t>
      </w:r>
      <w:r w:rsidRPr="00FD0E8B">
        <w:rPr>
          <w:b/>
          <w:iCs w:val="0"/>
          <w:spacing w:val="-7"/>
          <w:szCs w:val="22"/>
        </w:rPr>
        <w:t xml:space="preserve"> </w:t>
      </w:r>
      <w:r w:rsidRPr="00FD0E8B">
        <w:rPr>
          <w:b/>
          <w:iCs w:val="0"/>
          <w:szCs w:val="22"/>
        </w:rPr>
        <w:t>already</w:t>
      </w:r>
      <w:r w:rsidRPr="00FD0E8B">
        <w:rPr>
          <w:b/>
          <w:iCs w:val="0"/>
          <w:spacing w:val="-8"/>
          <w:szCs w:val="22"/>
        </w:rPr>
        <w:t xml:space="preserve"> </w:t>
      </w:r>
      <w:r w:rsidRPr="00FD0E8B">
        <w:rPr>
          <w:b/>
          <w:iCs w:val="0"/>
          <w:spacing w:val="-2"/>
          <w:szCs w:val="22"/>
        </w:rPr>
        <w:t>addressed</w:t>
      </w:r>
    </w:p>
    <w:p w14:paraId="24574F54" w14:textId="28AE65BE" w:rsidR="00FD0E8B" w:rsidRPr="00FD0E8B" w:rsidRDefault="00FD0E8B" w:rsidP="00FD0E8B">
      <w:pPr>
        <w:pStyle w:val="Quote"/>
        <w:rPr>
          <w:i/>
          <w:iCs w:val="0"/>
          <w:szCs w:val="22"/>
        </w:rPr>
      </w:pPr>
      <w:r w:rsidRPr="00FD0E8B">
        <w:rPr>
          <w:i/>
          <w:iCs w:val="0"/>
          <w:szCs w:val="22"/>
        </w:rPr>
        <w:t>The</w:t>
      </w:r>
      <w:r w:rsidRPr="00FD0E8B">
        <w:rPr>
          <w:i/>
          <w:iCs w:val="0"/>
          <w:spacing w:val="-4"/>
          <w:szCs w:val="22"/>
        </w:rPr>
        <w:t xml:space="preserve"> </w:t>
      </w:r>
      <w:r w:rsidRPr="00FD0E8B">
        <w:rPr>
          <w:i/>
          <w:iCs w:val="0"/>
          <w:szCs w:val="22"/>
        </w:rPr>
        <w:t>Commission</w:t>
      </w:r>
      <w:r w:rsidRPr="00FD0E8B">
        <w:rPr>
          <w:i/>
          <w:iCs w:val="0"/>
          <w:spacing w:val="-3"/>
          <w:szCs w:val="22"/>
        </w:rPr>
        <w:t xml:space="preserve"> </w:t>
      </w:r>
      <w:r w:rsidRPr="00FD0E8B">
        <w:rPr>
          <w:i/>
          <w:iCs w:val="0"/>
          <w:szCs w:val="22"/>
        </w:rPr>
        <w:t>recommends</w:t>
      </w:r>
      <w:r w:rsidRPr="00FD0E8B">
        <w:rPr>
          <w:i/>
          <w:iCs w:val="0"/>
          <w:spacing w:val="-4"/>
          <w:szCs w:val="22"/>
        </w:rPr>
        <w:t xml:space="preserve"> </w:t>
      </w:r>
      <w:r w:rsidRPr="00FD0E8B">
        <w:rPr>
          <w:i/>
          <w:iCs w:val="0"/>
          <w:szCs w:val="22"/>
        </w:rPr>
        <w:t>that,</w:t>
      </w:r>
      <w:r w:rsidRPr="00FD0E8B">
        <w:rPr>
          <w:i/>
          <w:iCs w:val="0"/>
          <w:spacing w:val="-4"/>
          <w:szCs w:val="22"/>
        </w:rPr>
        <w:t xml:space="preserve"> </w:t>
      </w:r>
      <w:r w:rsidRPr="00FD0E8B">
        <w:rPr>
          <w:i/>
          <w:iCs w:val="0"/>
          <w:szCs w:val="22"/>
        </w:rPr>
        <w:t>as</w:t>
      </w:r>
      <w:r w:rsidRPr="00FD0E8B">
        <w:rPr>
          <w:i/>
          <w:iCs w:val="0"/>
          <w:spacing w:val="-2"/>
          <w:szCs w:val="22"/>
        </w:rPr>
        <w:t xml:space="preserve"> </w:t>
      </w:r>
      <w:r w:rsidRPr="00FD0E8B">
        <w:rPr>
          <w:i/>
          <w:iCs w:val="0"/>
          <w:szCs w:val="22"/>
        </w:rPr>
        <w:t>part</w:t>
      </w:r>
      <w:r w:rsidRPr="00FD0E8B">
        <w:rPr>
          <w:i/>
          <w:iCs w:val="0"/>
          <w:spacing w:val="-4"/>
          <w:szCs w:val="22"/>
        </w:rPr>
        <w:t xml:space="preserve"> </w:t>
      </w:r>
      <w:r w:rsidRPr="00FD0E8B">
        <w:rPr>
          <w:i/>
          <w:iCs w:val="0"/>
          <w:szCs w:val="22"/>
        </w:rPr>
        <w:t>of</w:t>
      </w:r>
      <w:r w:rsidRPr="00FD0E8B">
        <w:rPr>
          <w:i/>
          <w:iCs w:val="0"/>
          <w:spacing w:val="-3"/>
          <w:szCs w:val="22"/>
        </w:rPr>
        <w:t xml:space="preserve"> </w:t>
      </w:r>
      <w:r w:rsidRPr="00FD0E8B">
        <w:rPr>
          <w:i/>
          <w:iCs w:val="0"/>
          <w:szCs w:val="22"/>
        </w:rPr>
        <w:t>the</w:t>
      </w:r>
      <w:r w:rsidRPr="00FD0E8B">
        <w:rPr>
          <w:i/>
          <w:iCs w:val="0"/>
          <w:spacing w:val="-4"/>
          <w:szCs w:val="22"/>
        </w:rPr>
        <w:t xml:space="preserve"> </w:t>
      </w:r>
      <w:r w:rsidRPr="00FD0E8B">
        <w:rPr>
          <w:i/>
          <w:iCs w:val="0"/>
          <w:szCs w:val="22"/>
        </w:rPr>
        <w:t>Department’s</w:t>
      </w:r>
      <w:r w:rsidRPr="00FD0E8B">
        <w:rPr>
          <w:i/>
          <w:iCs w:val="0"/>
          <w:spacing w:val="-2"/>
          <w:szCs w:val="22"/>
        </w:rPr>
        <w:t xml:space="preserve"> </w:t>
      </w:r>
      <w:r w:rsidRPr="00FD0E8B">
        <w:rPr>
          <w:i/>
          <w:iCs w:val="0"/>
          <w:szCs w:val="22"/>
        </w:rPr>
        <w:t>investigation into</w:t>
      </w:r>
      <w:r w:rsidRPr="00FD0E8B">
        <w:rPr>
          <w:i/>
          <w:iCs w:val="0"/>
          <w:spacing w:val="-6"/>
          <w:szCs w:val="22"/>
        </w:rPr>
        <w:t xml:space="preserve"> </w:t>
      </w:r>
      <w:r w:rsidRPr="00FD0E8B">
        <w:rPr>
          <w:i/>
          <w:iCs w:val="0"/>
          <w:szCs w:val="22"/>
        </w:rPr>
        <w:t>Mr</w:t>
      </w:r>
      <w:r w:rsidRPr="00FD0E8B">
        <w:rPr>
          <w:i/>
          <w:iCs w:val="0"/>
          <w:spacing w:val="-4"/>
          <w:szCs w:val="22"/>
        </w:rPr>
        <w:t xml:space="preserve"> </w:t>
      </w:r>
      <w:r w:rsidRPr="00FD0E8B">
        <w:rPr>
          <w:i/>
          <w:iCs w:val="0"/>
          <w:szCs w:val="22"/>
        </w:rPr>
        <w:t>NR’s</w:t>
      </w:r>
      <w:r w:rsidRPr="00FD0E8B">
        <w:rPr>
          <w:i/>
          <w:iCs w:val="0"/>
          <w:spacing w:val="-4"/>
          <w:szCs w:val="22"/>
        </w:rPr>
        <w:t xml:space="preserve"> </w:t>
      </w:r>
      <w:r w:rsidRPr="00FD0E8B">
        <w:rPr>
          <w:i/>
          <w:iCs w:val="0"/>
          <w:szCs w:val="22"/>
        </w:rPr>
        <w:t xml:space="preserve">complaint, the Department examine the circumstances in which the body camera footage failed to be downloaded, yet Serco correspondence to Mr NR indicates that footage had been watched as part of its internal review, </w:t>
      </w:r>
      <w:proofErr w:type="gramStart"/>
      <w:r w:rsidRPr="00FD0E8B">
        <w:rPr>
          <w:i/>
          <w:iCs w:val="0"/>
          <w:szCs w:val="22"/>
        </w:rPr>
        <w:t>in order to</w:t>
      </w:r>
      <w:proofErr w:type="gramEnd"/>
      <w:r w:rsidRPr="00FD0E8B">
        <w:rPr>
          <w:i/>
          <w:iCs w:val="0"/>
          <w:szCs w:val="22"/>
        </w:rPr>
        <w:t xml:space="preserve"> ensure that footage is available for any future investigations.</w:t>
      </w:r>
    </w:p>
    <w:p w14:paraId="448B09CE" w14:textId="77777777" w:rsidR="00FD0E8B" w:rsidRPr="00FD0E8B" w:rsidRDefault="00FD0E8B" w:rsidP="00FD0E8B">
      <w:pPr>
        <w:pStyle w:val="Quote"/>
        <w:rPr>
          <w:szCs w:val="22"/>
        </w:rPr>
      </w:pPr>
      <w:r w:rsidRPr="00FD0E8B">
        <w:rPr>
          <w:szCs w:val="22"/>
        </w:rPr>
        <w:t>The</w:t>
      </w:r>
      <w:r w:rsidRPr="00FD0E8B">
        <w:rPr>
          <w:spacing w:val="-5"/>
          <w:szCs w:val="22"/>
        </w:rPr>
        <w:t xml:space="preserve"> </w:t>
      </w:r>
      <w:r w:rsidRPr="00FD0E8B">
        <w:rPr>
          <w:szCs w:val="22"/>
        </w:rPr>
        <w:t>Department</w:t>
      </w:r>
      <w:r w:rsidRPr="00FD0E8B">
        <w:rPr>
          <w:spacing w:val="-3"/>
          <w:szCs w:val="22"/>
        </w:rPr>
        <w:t xml:space="preserve"> </w:t>
      </w:r>
      <w:r w:rsidRPr="00FD0E8B">
        <w:rPr>
          <w:szCs w:val="22"/>
        </w:rPr>
        <w:t>accepts</w:t>
      </w:r>
      <w:r w:rsidRPr="00FD0E8B">
        <w:rPr>
          <w:spacing w:val="-3"/>
          <w:szCs w:val="22"/>
        </w:rPr>
        <w:t xml:space="preserve"> </w:t>
      </w:r>
      <w:r w:rsidRPr="00FD0E8B">
        <w:rPr>
          <w:szCs w:val="22"/>
        </w:rPr>
        <w:t>and</w:t>
      </w:r>
      <w:r w:rsidRPr="00FD0E8B">
        <w:rPr>
          <w:spacing w:val="-5"/>
          <w:szCs w:val="22"/>
        </w:rPr>
        <w:t xml:space="preserve"> </w:t>
      </w:r>
      <w:r w:rsidRPr="00FD0E8B">
        <w:rPr>
          <w:szCs w:val="22"/>
        </w:rPr>
        <w:t>has</w:t>
      </w:r>
      <w:r w:rsidRPr="00FD0E8B">
        <w:rPr>
          <w:spacing w:val="-3"/>
          <w:szCs w:val="22"/>
        </w:rPr>
        <w:t xml:space="preserve"> </w:t>
      </w:r>
      <w:r w:rsidRPr="00FD0E8B">
        <w:rPr>
          <w:szCs w:val="22"/>
        </w:rPr>
        <w:t>already</w:t>
      </w:r>
      <w:r w:rsidRPr="00FD0E8B">
        <w:rPr>
          <w:spacing w:val="-7"/>
          <w:szCs w:val="22"/>
        </w:rPr>
        <w:t xml:space="preserve"> </w:t>
      </w:r>
      <w:r w:rsidRPr="00FD0E8B">
        <w:rPr>
          <w:szCs w:val="22"/>
        </w:rPr>
        <w:t>addressed</w:t>
      </w:r>
      <w:r w:rsidRPr="00FD0E8B">
        <w:rPr>
          <w:spacing w:val="-1"/>
          <w:szCs w:val="22"/>
        </w:rPr>
        <w:t xml:space="preserve"> </w:t>
      </w:r>
      <w:r w:rsidRPr="00FD0E8B">
        <w:rPr>
          <w:szCs w:val="22"/>
        </w:rPr>
        <w:t>recommendation</w:t>
      </w:r>
      <w:r w:rsidRPr="00FD0E8B">
        <w:rPr>
          <w:spacing w:val="-3"/>
          <w:szCs w:val="22"/>
        </w:rPr>
        <w:t xml:space="preserve"> </w:t>
      </w:r>
      <w:r w:rsidRPr="00FD0E8B">
        <w:rPr>
          <w:szCs w:val="22"/>
        </w:rPr>
        <w:t>three.</w:t>
      </w:r>
      <w:r w:rsidRPr="00FD0E8B">
        <w:rPr>
          <w:spacing w:val="-4"/>
          <w:szCs w:val="22"/>
        </w:rPr>
        <w:t xml:space="preserve"> </w:t>
      </w:r>
      <w:r w:rsidRPr="00FD0E8B">
        <w:rPr>
          <w:szCs w:val="22"/>
        </w:rPr>
        <w:t>The</w:t>
      </w:r>
      <w:r w:rsidRPr="00FD0E8B">
        <w:rPr>
          <w:spacing w:val="-3"/>
          <w:szCs w:val="22"/>
        </w:rPr>
        <w:t xml:space="preserve"> </w:t>
      </w:r>
      <w:r w:rsidRPr="00FD0E8B">
        <w:rPr>
          <w:szCs w:val="22"/>
        </w:rPr>
        <w:t>Department</w:t>
      </w:r>
      <w:r w:rsidRPr="00FD0E8B">
        <w:rPr>
          <w:spacing w:val="-3"/>
          <w:szCs w:val="22"/>
        </w:rPr>
        <w:t xml:space="preserve"> </w:t>
      </w:r>
      <w:r w:rsidRPr="00FD0E8B">
        <w:rPr>
          <w:szCs w:val="22"/>
        </w:rPr>
        <w:t>further acknowledges this failure in process and systems.</w:t>
      </w:r>
    </w:p>
    <w:p w14:paraId="2503F7D5" w14:textId="77777777" w:rsidR="00FD0E8B" w:rsidRPr="00FD0E8B" w:rsidRDefault="00FD0E8B" w:rsidP="00FD0E8B">
      <w:pPr>
        <w:pStyle w:val="Quote"/>
        <w:rPr>
          <w:szCs w:val="22"/>
        </w:rPr>
      </w:pPr>
      <w:r w:rsidRPr="00FD0E8B">
        <w:rPr>
          <w:szCs w:val="22"/>
        </w:rPr>
        <w:t>The Facilities and Detainee Services Provider’s (FDSP) responsibility under reporting of incidents in the contract</w:t>
      </w:r>
      <w:r w:rsidRPr="00FD0E8B">
        <w:rPr>
          <w:spacing w:val="-3"/>
          <w:szCs w:val="22"/>
        </w:rPr>
        <w:t xml:space="preserve"> </w:t>
      </w:r>
      <w:r w:rsidRPr="00FD0E8B">
        <w:rPr>
          <w:szCs w:val="22"/>
        </w:rPr>
        <w:t>is</w:t>
      </w:r>
      <w:r w:rsidRPr="00FD0E8B">
        <w:rPr>
          <w:spacing w:val="-2"/>
          <w:szCs w:val="22"/>
        </w:rPr>
        <w:t xml:space="preserve"> </w:t>
      </w:r>
      <w:r w:rsidRPr="00FD0E8B">
        <w:rPr>
          <w:szCs w:val="22"/>
        </w:rPr>
        <w:t>to</w:t>
      </w:r>
      <w:r w:rsidRPr="00FD0E8B">
        <w:rPr>
          <w:spacing w:val="-1"/>
          <w:szCs w:val="22"/>
        </w:rPr>
        <w:t xml:space="preserve"> </w:t>
      </w:r>
      <w:r w:rsidRPr="00FD0E8B">
        <w:rPr>
          <w:szCs w:val="22"/>
        </w:rPr>
        <w:t>ensure that</w:t>
      </w:r>
      <w:r w:rsidRPr="00FD0E8B">
        <w:rPr>
          <w:spacing w:val="-3"/>
          <w:szCs w:val="22"/>
        </w:rPr>
        <w:t xml:space="preserve"> </w:t>
      </w:r>
      <w:r w:rsidRPr="00FD0E8B">
        <w:rPr>
          <w:szCs w:val="22"/>
        </w:rPr>
        <w:t>they</w:t>
      </w:r>
      <w:r w:rsidRPr="00FD0E8B">
        <w:rPr>
          <w:spacing w:val="-4"/>
          <w:szCs w:val="22"/>
        </w:rPr>
        <w:t xml:space="preserve"> </w:t>
      </w:r>
      <w:r w:rsidRPr="00FD0E8B">
        <w:rPr>
          <w:szCs w:val="22"/>
        </w:rPr>
        <w:t>internally</w:t>
      </w:r>
      <w:r w:rsidRPr="00FD0E8B">
        <w:rPr>
          <w:spacing w:val="-6"/>
          <w:szCs w:val="22"/>
        </w:rPr>
        <w:t xml:space="preserve"> </w:t>
      </w:r>
      <w:r w:rsidRPr="00FD0E8B">
        <w:rPr>
          <w:szCs w:val="22"/>
        </w:rPr>
        <w:t>audit</w:t>
      </w:r>
      <w:r w:rsidRPr="00FD0E8B">
        <w:rPr>
          <w:spacing w:val="-3"/>
          <w:szCs w:val="22"/>
        </w:rPr>
        <w:t xml:space="preserve"> </w:t>
      </w:r>
      <w:r w:rsidRPr="00FD0E8B">
        <w:rPr>
          <w:szCs w:val="22"/>
        </w:rPr>
        <w:t>100%</w:t>
      </w:r>
      <w:r w:rsidRPr="00FD0E8B">
        <w:rPr>
          <w:spacing w:val="-3"/>
          <w:szCs w:val="22"/>
        </w:rPr>
        <w:t xml:space="preserve"> </w:t>
      </w:r>
      <w:r w:rsidRPr="00FD0E8B">
        <w:rPr>
          <w:szCs w:val="22"/>
        </w:rPr>
        <w:t>of major</w:t>
      </w:r>
      <w:r w:rsidRPr="00FD0E8B">
        <w:rPr>
          <w:spacing w:val="-3"/>
          <w:szCs w:val="22"/>
        </w:rPr>
        <w:t xml:space="preserve"> </w:t>
      </w:r>
      <w:r w:rsidRPr="00FD0E8B">
        <w:rPr>
          <w:szCs w:val="22"/>
        </w:rPr>
        <w:t>incidents</w:t>
      </w:r>
      <w:r w:rsidRPr="00FD0E8B">
        <w:rPr>
          <w:spacing w:val="-2"/>
          <w:szCs w:val="22"/>
        </w:rPr>
        <w:t xml:space="preserve"> </w:t>
      </w:r>
      <w:r w:rsidRPr="00FD0E8B">
        <w:rPr>
          <w:szCs w:val="22"/>
        </w:rPr>
        <w:t>(unplanned</w:t>
      </w:r>
      <w:r w:rsidRPr="00FD0E8B">
        <w:rPr>
          <w:spacing w:val="-1"/>
          <w:szCs w:val="22"/>
        </w:rPr>
        <w:t xml:space="preserve"> </w:t>
      </w:r>
      <w:r w:rsidRPr="00FD0E8B">
        <w:rPr>
          <w:szCs w:val="22"/>
        </w:rPr>
        <w:t>use</w:t>
      </w:r>
      <w:r w:rsidRPr="00FD0E8B">
        <w:rPr>
          <w:spacing w:val="-3"/>
          <w:szCs w:val="22"/>
        </w:rPr>
        <w:t xml:space="preserve"> </w:t>
      </w:r>
      <w:r w:rsidRPr="00FD0E8B">
        <w:rPr>
          <w:szCs w:val="22"/>
        </w:rPr>
        <w:t>of</w:t>
      </w:r>
      <w:r w:rsidRPr="00FD0E8B">
        <w:rPr>
          <w:spacing w:val="-1"/>
          <w:szCs w:val="22"/>
        </w:rPr>
        <w:t xml:space="preserve"> </w:t>
      </w:r>
      <w:r w:rsidRPr="00FD0E8B">
        <w:rPr>
          <w:szCs w:val="22"/>
        </w:rPr>
        <w:t>force is</w:t>
      </w:r>
      <w:r w:rsidRPr="00FD0E8B">
        <w:rPr>
          <w:spacing w:val="-2"/>
          <w:szCs w:val="22"/>
        </w:rPr>
        <w:t xml:space="preserve"> </w:t>
      </w:r>
      <w:r w:rsidRPr="00FD0E8B">
        <w:rPr>
          <w:szCs w:val="22"/>
        </w:rPr>
        <w:t>categorised as</w:t>
      </w:r>
      <w:r w:rsidRPr="00FD0E8B">
        <w:rPr>
          <w:spacing w:val="-1"/>
          <w:szCs w:val="22"/>
        </w:rPr>
        <w:t xml:space="preserve"> </w:t>
      </w:r>
      <w:r w:rsidRPr="00FD0E8B">
        <w:rPr>
          <w:szCs w:val="22"/>
        </w:rPr>
        <w:t>a</w:t>
      </w:r>
      <w:r w:rsidRPr="00FD0E8B">
        <w:rPr>
          <w:spacing w:val="-3"/>
          <w:szCs w:val="22"/>
        </w:rPr>
        <w:t xml:space="preserve"> </w:t>
      </w:r>
      <w:r w:rsidRPr="00FD0E8B">
        <w:rPr>
          <w:szCs w:val="22"/>
        </w:rPr>
        <w:t>major</w:t>
      </w:r>
      <w:r w:rsidRPr="00FD0E8B">
        <w:rPr>
          <w:spacing w:val="-2"/>
          <w:szCs w:val="22"/>
        </w:rPr>
        <w:t xml:space="preserve"> </w:t>
      </w:r>
      <w:r w:rsidRPr="00FD0E8B">
        <w:rPr>
          <w:szCs w:val="22"/>
        </w:rPr>
        <w:t>incident) to</w:t>
      </w:r>
      <w:r w:rsidRPr="00FD0E8B">
        <w:rPr>
          <w:spacing w:val="-3"/>
          <w:szCs w:val="22"/>
        </w:rPr>
        <w:t xml:space="preserve"> </w:t>
      </w:r>
      <w:r w:rsidRPr="00FD0E8B">
        <w:rPr>
          <w:szCs w:val="22"/>
        </w:rPr>
        <w:t>continuously</w:t>
      </w:r>
      <w:r w:rsidRPr="00FD0E8B">
        <w:rPr>
          <w:spacing w:val="-3"/>
          <w:szCs w:val="22"/>
        </w:rPr>
        <w:t xml:space="preserve"> </w:t>
      </w:r>
      <w:r w:rsidRPr="00FD0E8B">
        <w:rPr>
          <w:szCs w:val="22"/>
        </w:rPr>
        <w:t>improve</w:t>
      </w:r>
      <w:r w:rsidRPr="00FD0E8B">
        <w:rPr>
          <w:spacing w:val="-2"/>
          <w:szCs w:val="22"/>
        </w:rPr>
        <w:t xml:space="preserve"> </w:t>
      </w:r>
      <w:r w:rsidRPr="00FD0E8B">
        <w:rPr>
          <w:szCs w:val="22"/>
        </w:rPr>
        <w:t>their</w:t>
      </w:r>
      <w:r w:rsidRPr="00FD0E8B">
        <w:rPr>
          <w:spacing w:val="-1"/>
          <w:szCs w:val="22"/>
        </w:rPr>
        <w:t xml:space="preserve"> </w:t>
      </w:r>
      <w:r w:rsidRPr="00FD0E8B">
        <w:rPr>
          <w:szCs w:val="22"/>
        </w:rPr>
        <w:t>response</w:t>
      </w:r>
      <w:r w:rsidRPr="00FD0E8B">
        <w:rPr>
          <w:spacing w:val="-2"/>
          <w:szCs w:val="22"/>
        </w:rPr>
        <w:t xml:space="preserve"> </w:t>
      </w:r>
      <w:r w:rsidRPr="00FD0E8B">
        <w:rPr>
          <w:szCs w:val="22"/>
        </w:rPr>
        <w:t>to such</w:t>
      </w:r>
      <w:r w:rsidRPr="00FD0E8B">
        <w:rPr>
          <w:spacing w:val="-2"/>
          <w:szCs w:val="22"/>
        </w:rPr>
        <w:t xml:space="preserve"> </w:t>
      </w:r>
      <w:r w:rsidRPr="00FD0E8B">
        <w:rPr>
          <w:szCs w:val="22"/>
        </w:rPr>
        <w:t>incidents.</w:t>
      </w:r>
      <w:r w:rsidRPr="00FD0E8B">
        <w:rPr>
          <w:spacing w:val="-2"/>
          <w:szCs w:val="22"/>
        </w:rPr>
        <w:t xml:space="preserve"> </w:t>
      </w:r>
      <w:r w:rsidRPr="00FD0E8B">
        <w:rPr>
          <w:szCs w:val="22"/>
        </w:rPr>
        <w:t>This</w:t>
      </w:r>
      <w:r w:rsidRPr="00FD0E8B">
        <w:rPr>
          <w:spacing w:val="-1"/>
          <w:szCs w:val="22"/>
        </w:rPr>
        <w:t xml:space="preserve"> </w:t>
      </w:r>
      <w:r w:rsidRPr="00FD0E8B">
        <w:rPr>
          <w:szCs w:val="22"/>
        </w:rPr>
        <w:t>process</w:t>
      </w:r>
      <w:r w:rsidRPr="00FD0E8B">
        <w:rPr>
          <w:spacing w:val="-1"/>
          <w:szCs w:val="22"/>
        </w:rPr>
        <w:t xml:space="preserve"> </w:t>
      </w:r>
      <w:r w:rsidRPr="00FD0E8B">
        <w:rPr>
          <w:szCs w:val="22"/>
        </w:rPr>
        <w:t>is</w:t>
      </w:r>
      <w:r w:rsidRPr="00FD0E8B">
        <w:rPr>
          <w:spacing w:val="-1"/>
          <w:szCs w:val="22"/>
        </w:rPr>
        <w:t xml:space="preserve"> </w:t>
      </w:r>
      <w:r w:rsidRPr="00FD0E8B">
        <w:rPr>
          <w:szCs w:val="22"/>
        </w:rPr>
        <w:t>independent</w:t>
      </w:r>
      <w:r w:rsidRPr="00FD0E8B">
        <w:rPr>
          <w:spacing w:val="-2"/>
          <w:szCs w:val="22"/>
        </w:rPr>
        <w:t xml:space="preserve"> </w:t>
      </w:r>
      <w:r w:rsidRPr="00FD0E8B">
        <w:rPr>
          <w:szCs w:val="22"/>
        </w:rPr>
        <w:t>of the Department.</w:t>
      </w:r>
    </w:p>
    <w:p w14:paraId="2447719C" w14:textId="77777777" w:rsidR="00FD0E8B" w:rsidRDefault="00FD0E8B" w:rsidP="00FD0E8B">
      <w:pPr>
        <w:pStyle w:val="Quote"/>
        <w:rPr>
          <w:szCs w:val="22"/>
        </w:rPr>
      </w:pPr>
      <w:r w:rsidRPr="00FD0E8B">
        <w:rPr>
          <w:szCs w:val="22"/>
        </w:rPr>
        <w:t>The FDSP has advised that, at the time, the body camera footage was reviewed by the FDSP Residential Manager, however, this recording was not properly downloaded and stored on a device, and therefore it is not available and no longer exists. As of October 2022, body camera systems have been updated by the FDSP.</w:t>
      </w:r>
      <w:r w:rsidRPr="00FD0E8B">
        <w:rPr>
          <w:spacing w:val="-5"/>
          <w:szCs w:val="22"/>
        </w:rPr>
        <w:t xml:space="preserve"> </w:t>
      </w:r>
      <w:r w:rsidRPr="00FD0E8B">
        <w:rPr>
          <w:szCs w:val="22"/>
        </w:rPr>
        <w:t>When</w:t>
      </w:r>
      <w:r w:rsidRPr="00FD0E8B">
        <w:rPr>
          <w:spacing w:val="-2"/>
          <w:szCs w:val="22"/>
        </w:rPr>
        <w:t xml:space="preserve"> </w:t>
      </w:r>
      <w:r w:rsidRPr="00FD0E8B">
        <w:rPr>
          <w:szCs w:val="22"/>
        </w:rPr>
        <w:t>a</w:t>
      </w:r>
      <w:r w:rsidRPr="00FD0E8B">
        <w:rPr>
          <w:spacing w:val="-3"/>
          <w:szCs w:val="22"/>
        </w:rPr>
        <w:t xml:space="preserve"> </w:t>
      </w:r>
      <w:r w:rsidRPr="00FD0E8B">
        <w:rPr>
          <w:szCs w:val="22"/>
        </w:rPr>
        <w:t>body</w:t>
      </w:r>
      <w:r w:rsidRPr="00FD0E8B">
        <w:rPr>
          <w:spacing w:val="-5"/>
          <w:szCs w:val="22"/>
        </w:rPr>
        <w:t xml:space="preserve"> </w:t>
      </w:r>
      <w:r w:rsidRPr="00FD0E8B">
        <w:rPr>
          <w:szCs w:val="22"/>
        </w:rPr>
        <w:t>camera</w:t>
      </w:r>
      <w:r w:rsidRPr="00FD0E8B">
        <w:rPr>
          <w:spacing w:val="-2"/>
          <w:szCs w:val="22"/>
        </w:rPr>
        <w:t xml:space="preserve"> </w:t>
      </w:r>
      <w:r w:rsidRPr="00FD0E8B">
        <w:rPr>
          <w:szCs w:val="22"/>
        </w:rPr>
        <w:t>is</w:t>
      </w:r>
      <w:r w:rsidRPr="00FD0E8B">
        <w:rPr>
          <w:spacing w:val="-1"/>
          <w:szCs w:val="22"/>
        </w:rPr>
        <w:t xml:space="preserve"> </w:t>
      </w:r>
      <w:r w:rsidRPr="00FD0E8B">
        <w:rPr>
          <w:szCs w:val="22"/>
        </w:rPr>
        <w:t>docked</w:t>
      </w:r>
      <w:r w:rsidRPr="00FD0E8B">
        <w:rPr>
          <w:spacing w:val="-3"/>
          <w:szCs w:val="22"/>
        </w:rPr>
        <w:t xml:space="preserve"> </w:t>
      </w:r>
      <w:r w:rsidRPr="00FD0E8B">
        <w:rPr>
          <w:szCs w:val="22"/>
        </w:rPr>
        <w:t>at</w:t>
      </w:r>
      <w:r w:rsidRPr="00FD0E8B">
        <w:rPr>
          <w:spacing w:val="-2"/>
          <w:szCs w:val="22"/>
        </w:rPr>
        <w:t xml:space="preserve"> </w:t>
      </w:r>
      <w:r w:rsidRPr="00FD0E8B">
        <w:rPr>
          <w:szCs w:val="22"/>
        </w:rPr>
        <w:t>the end of an</w:t>
      </w:r>
      <w:r w:rsidRPr="00FD0E8B">
        <w:rPr>
          <w:spacing w:val="-2"/>
          <w:szCs w:val="22"/>
        </w:rPr>
        <w:t xml:space="preserve"> </w:t>
      </w:r>
      <w:r w:rsidRPr="00FD0E8B">
        <w:rPr>
          <w:szCs w:val="22"/>
        </w:rPr>
        <w:t>officer’s shift,</w:t>
      </w:r>
      <w:r w:rsidRPr="00FD0E8B">
        <w:rPr>
          <w:spacing w:val="-2"/>
          <w:szCs w:val="22"/>
        </w:rPr>
        <w:t xml:space="preserve"> </w:t>
      </w:r>
      <w:r w:rsidRPr="00FD0E8B">
        <w:rPr>
          <w:szCs w:val="22"/>
        </w:rPr>
        <w:t>it will</w:t>
      </w:r>
      <w:r w:rsidRPr="00FD0E8B">
        <w:rPr>
          <w:spacing w:val="-1"/>
          <w:szCs w:val="22"/>
        </w:rPr>
        <w:t xml:space="preserve"> </w:t>
      </w:r>
      <w:r w:rsidRPr="00FD0E8B">
        <w:rPr>
          <w:szCs w:val="22"/>
        </w:rPr>
        <w:t>automatically</w:t>
      </w:r>
      <w:r w:rsidRPr="00FD0E8B">
        <w:rPr>
          <w:spacing w:val="-5"/>
          <w:szCs w:val="22"/>
        </w:rPr>
        <w:t xml:space="preserve"> </w:t>
      </w:r>
      <w:r w:rsidRPr="00FD0E8B">
        <w:rPr>
          <w:szCs w:val="22"/>
        </w:rPr>
        <w:t>download onto</w:t>
      </w:r>
      <w:r w:rsidRPr="00FD0E8B">
        <w:rPr>
          <w:spacing w:val="-3"/>
          <w:szCs w:val="22"/>
        </w:rPr>
        <w:t xml:space="preserve"> </w:t>
      </w:r>
      <w:r w:rsidRPr="00FD0E8B">
        <w:rPr>
          <w:szCs w:val="22"/>
        </w:rPr>
        <w:t>the system and is stored electronically.</w:t>
      </w:r>
    </w:p>
    <w:p w14:paraId="6603E740" w14:textId="77777777" w:rsidR="00FD0E8B" w:rsidRPr="00FD0E8B" w:rsidRDefault="00FD0E8B" w:rsidP="00FD0E8B">
      <w:pPr>
        <w:pStyle w:val="Quote"/>
        <w:rPr>
          <w:b/>
          <w:bCs/>
        </w:rPr>
      </w:pPr>
      <w:r w:rsidRPr="00FD0E8B">
        <w:rPr>
          <w:b/>
          <w:bCs/>
        </w:rPr>
        <w:t>Recommendation</w:t>
      </w:r>
      <w:r w:rsidRPr="00FD0E8B">
        <w:rPr>
          <w:b/>
          <w:bCs/>
          <w:spacing w:val="-8"/>
        </w:rPr>
        <w:t xml:space="preserve"> </w:t>
      </w:r>
      <w:r w:rsidRPr="00FD0E8B">
        <w:rPr>
          <w:b/>
          <w:bCs/>
        </w:rPr>
        <w:t>4</w:t>
      </w:r>
      <w:r w:rsidRPr="00FD0E8B">
        <w:rPr>
          <w:b/>
          <w:bCs/>
          <w:spacing w:val="-8"/>
        </w:rPr>
        <w:t xml:space="preserve"> </w:t>
      </w:r>
      <w:r w:rsidRPr="00FD0E8B">
        <w:rPr>
          <w:b/>
          <w:bCs/>
        </w:rPr>
        <w:t>–</w:t>
      </w:r>
      <w:r w:rsidRPr="00FD0E8B">
        <w:rPr>
          <w:b/>
          <w:bCs/>
          <w:spacing w:val="-5"/>
        </w:rPr>
        <w:t xml:space="preserve"> </w:t>
      </w:r>
      <w:r w:rsidRPr="00FD0E8B">
        <w:rPr>
          <w:b/>
          <w:bCs/>
          <w:spacing w:val="-2"/>
        </w:rPr>
        <w:t>Agreed</w:t>
      </w:r>
    </w:p>
    <w:p w14:paraId="3ECB635C" w14:textId="77777777" w:rsidR="00FD0E8B" w:rsidRPr="00FD0E8B" w:rsidRDefault="00FD0E8B" w:rsidP="00FD0E8B">
      <w:pPr>
        <w:pStyle w:val="Quote"/>
        <w:rPr>
          <w:i/>
          <w:iCs w:val="0"/>
        </w:rPr>
      </w:pPr>
      <w:r w:rsidRPr="00FD0E8B">
        <w:rPr>
          <w:i/>
          <w:iCs w:val="0"/>
        </w:rPr>
        <w:t>The Commission recommends that the Department, as part of its investigation into Mr NR’s complaint,</w:t>
      </w:r>
      <w:r w:rsidRPr="00FD0E8B">
        <w:rPr>
          <w:i/>
          <w:iCs w:val="0"/>
          <w:spacing w:val="-3"/>
        </w:rPr>
        <w:t xml:space="preserve"> </w:t>
      </w:r>
      <w:r w:rsidRPr="00FD0E8B">
        <w:rPr>
          <w:i/>
          <w:iCs w:val="0"/>
        </w:rPr>
        <w:t>consider</w:t>
      </w:r>
      <w:r w:rsidRPr="00FD0E8B">
        <w:rPr>
          <w:i/>
          <w:iCs w:val="0"/>
          <w:spacing w:val="-4"/>
        </w:rPr>
        <w:t xml:space="preserve"> </w:t>
      </w:r>
      <w:r w:rsidRPr="00FD0E8B">
        <w:rPr>
          <w:i/>
          <w:iCs w:val="0"/>
        </w:rPr>
        <w:t>whether</w:t>
      </w:r>
      <w:r w:rsidRPr="00FD0E8B">
        <w:rPr>
          <w:i/>
          <w:iCs w:val="0"/>
          <w:spacing w:val="-4"/>
        </w:rPr>
        <w:t xml:space="preserve"> </w:t>
      </w:r>
      <w:r w:rsidRPr="00FD0E8B">
        <w:rPr>
          <w:i/>
          <w:iCs w:val="0"/>
        </w:rPr>
        <w:t>sufficient</w:t>
      </w:r>
      <w:r w:rsidRPr="00FD0E8B">
        <w:rPr>
          <w:i/>
          <w:iCs w:val="0"/>
          <w:spacing w:val="-2"/>
        </w:rPr>
        <w:t xml:space="preserve"> </w:t>
      </w:r>
      <w:r w:rsidRPr="00FD0E8B">
        <w:rPr>
          <w:i/>
          <w:iCs w:val="0"/>
        </w:rPr>
        <w:t>steps</w:t>
      </w:r>
      <w:r w:rsidRPr="00FD0E8B">
        <w:rPr>
          <w:i/>
          <w:iCs w:val="0"/>
          <w:spacing w:val="-3"/>
        </w:rPr>
        <w:t xml:space="preserve"> </w:t>
      </w:r>
      <w:r w:rsidRPr="00FD0E8B">
        <w:rPr>
          <w:i/>
          <w:iCs w:val="0"/>
        </w:rPr>
        <w:t>were</w:t>
      </w:r>
      <w:r w:rsidRPr="00FD0E8B">
        <w:rPr>
          <w:i/>
          <w:iCs w:val="0"/>
          <w:spacing w:val="-1"/>
        </w:rPr>
        <w:t xml:space="preserve"> </w:t>
      </w:r>
      <w:r w:rsidRPr="00FD0E8B">
        <w:rPr>
          <w:i/>
          <w:iCs w:val="0"/>
        </w:rPr>
        <w:t>taken</w:t>
      </w:r>
      <w:r w:rsidRPr="00FD0E8B">
        <w:rPr>
          <w:i/>
          <w:iCs w:val="0"/>
          <w:spacing w:val="-3"/>
        </w:rPr>
        <w:t xml:space="preserve"> </w:t>
      </w:r>
      <w:r w:rsidRPr="00FD0E8B">
        <w:rPr>
          <w:i/>
          <w:iCs w:val="0"/>
        </w:rPr>
        <w:t>to</w:t>
      </w:r>
      <w:r w:rsidRPr="00FD0E8B">
        <w:rPr>
          <w:i/>
          <w:iCs w:val="0"/>
          <w:spacing w:val="-2"/>
        </w:rPr>
        <w:t xml:space="preserve"> </w:t>
      </w:r>
      <w:r w:rsidRPr="00FD0E8B">
        <w:rPr>
          <w:i/>
          <w:iCs w:val="0"/>
        </w:rPr>
        <w:t>consider</w:t>
      </w:r>
      <w:r w:rsidRPr="00FD0E8B">
        <w:rPr>
          <w:i/>
          <w:iCs w:val="0"/>
          <w:spacing w:val="-2"/>
        </w:rPr>
        <w:t xml:space="preserve"> </w:t>
      </w:r>
      <w:r w:rsidRPr="00FD0E8B">
        <w:rPr>
          <w:i/>
          <w:iCs w:val="0"/>
        </w:rPr>
        <w:t>any</w:t>
      </w:r>
      <w:r w:rsidRPr="00FD0E8B">
        <w:rPr>
          <w:i/>
          <w:iCs w:val="0"/>
          <w:spacing w:val="-5"/>
        </w:rPr>
        <w:t xml:space="preserve"> </w:t>
      </w:r>
      <w:r w:rsidRPr="00FD0E8B">
        <w:rPr>
          <w:i/>
          <w:iCs w:val="0"/>
        </w:rPr>
        <w:t>risk</w:t>
      </w:r>
      <w:r w:rsidRPr="00FD0E8B">
        <w:rPr>
          <w:i/>
          <w:iCs w:val="0"/>
          <w:spacing w:val="-3"/>
        </w:rPr>
        <w:t xml:space="preserve"> </w:t>
      </w:r>
      <w:r w:rsidRPr="00FD0E8B">
        <w:rPr>
          <w:i/>
          <w:iCs w:val="0"/>
        </w:rPr>
        <w:t>to</w:t>
      </w:r>
      <w:r w:rsidRPr="00FD0E8B">
        <w:rPr>
          <w:i/>
          <w:iCs w:val="0"/>
          <w:spacing w:val="-2"/>
        </w:rPr>
        <w:t xml:space="preserve"> </w:t>
      </w:r>
      <w:r w:rsidRPr="00FD0E8B">
        <w:rPr>
          <w:i/>
          <w:iCs w:val="0"/>
        </w:rPr>
        <w:t>Mr</w:t>
      </w:r>
      <w:r w:rsidRPr="00FD0E8B">
        <w:rPr>
          <w:i/>
          <w:iCs w:val="0"/>
          <w:spacing w:val="-3"/>
        </w:rPr>
        <w:t xml:space="preserve"> </w:t>
      </w:r>
      <w:r w:rsidRPr="00FD0E8B">
        <w:rPr>
          <w:i/>
          <w:iCs w:val="0"/>
        </w:rPr>
        <w:t>NR</w:t>
      </w:r>
      <w:r w:rsidRPr="00FD0E8B">
        <w:rPr>
          <w:i/>
          <w:iCs w:val="0"/>
          <w:spacing w:val="-3"/>
        </w:rPr>
        <w:t xml:space="preserve"> </w:t>
      </w:r>
      <w:r w:rsidRPr="00FD0E8B">
        <w:rPr>
          <w:i/>
          <w:iCs w:val="0"/>
        </w:rPr>
        <w:t>as</w:t>
      </w:r>
      <w:r w:rsidRPr="00FD0E8B">
        <w:rPr>
          <w:i/>
          <w:iCs w:val="0"/>
          <w:spacing w:val="-4"/>
        </w:rPr>
        <w:t xml:space="preserve"> </w:t>
      </w:r>
      <w:r w:rsidRPr="00FD0E8B">
        <w:rPr>
          <w:i/>
          <w:iCs w:val="0"/>
        </w:rPr>
        <w:t>a</w:t>
      </w:r>
      <w:r w:rsidRPr="00FD0E8B">
        <w:rPr>
          <w:i/>
          <w:iCs w:val="0"/>
          <w:spacing w:val="-1"/>
        </w:rPr>
        <w:t xml:space="preserve"> </w:t>
      </w:r>
      <w:r w:rsidRPr="00FD0E8B">
        <w:rPr>
          <w:i/>
          <w:iCs w:val="0"/>
        </w:rPr>
        <w:t>result</w:t>
      </w:r>
      <w:r w:rsidRPr="00FD0E8B">
        <w:rPr>
          <w:i/>
          <w:iCs w:val="0"/>
          <w:spacing w:val="-2"/>
        </w:rPr>
        <w:t xml:space="preserve"> </w:t>
      </w:r>
      <w:r w:rsidRPr="00FD0E8B">
        <w:rPr>
          <w:i/>
          <w:iCs w:val="0"/>
        </w:rPr>
        <w:t xml:space="preserve">of previous violence which had occurred between him and another detainee located in the </w:t>
      </w:r>
      <w:proofErr w:type="gramStart"/>
      <w:r w:rsidRPr="00FD0E8B">
        <w:rPr>
          <w:i/>
          <w:iCs w:val="0"/>
        </w:rPr>
        <w:t>Gold</w:t>
      </w:r>
      <w:proofErr w:type="gramEnd"/>
      <w:r w:rsidRPr="00FD0E8B">
        <w:rPr>
          <w:i/>
          <w:iCs w:val="0"/>
        </w:rPr>
        <w:t xml:space="preserve"> </w:t>
      </w:r>
      <w:r w:rsidRPr="00FD0E8B">
        <w:rPr>
          <w:i/>
          <w:iCs w:val="0"/>
          <w:spacing w:val="-2"/>
        </w:rPr>
        <w:t>compound.</w:t>
      </w:r>
    </w:p>
    <w:p w14:paraId="1BAF837C" w14:textId="77777777" w:rsidR="00FD0E8B" w:rsidRDefault="00FD0E8B" w:rsidP="00FD0E8B">
      <w:pPr>
        <w:pStyle w:val="Quote"/>
      </w:pPr>
    </w:p>
    <w:p w14:paraId="2AF763B8" w14:textId="519CC5EC" w:rsidR="00FD0E8B" w:rsidRDefault="00FD0E8B" w:rsidP="00FD0E8B">
      <w:pPr>
        <w:pStyle w:val="Quote"/>
      </w:pPr>
      <w:r>
        <w:lastRenderedPageBreak/>
        <w:t>The</w:t>
      </w:r>
      <w:r>
        <w:rPr>
          <w:spacing w:val="-5"/>
        </w:rPr>
        <w:t xml:space="preserve"> </w:t>
      </w:r>
      <w:r>
        <w:t>Department</w:t>
      </w:r>
      <w:r>
        <w:rPr>
          <w:spacing w:val="-3"/>
        </w:rPr>
        <w:t xml:space="preserve"> </w:t>
      </w:r>
      <w:r>
        <w:t>agrees</w:t>
      </w:r>
      <w:r>
        <w:rPr>
          <w:spacing w:val="-3"/>
        </w:rPr>
        <w:t xml:space="preserve"> </w:t>
      </w:r>
      <w:r>
        <w:t>to</w:t>
      </w:r>
      <w:r>
        <w:rPr>
          <w:spacing w:val="-1"/>
        </w:rPr>
        <w:t xml:space="preserve"> </w:t>
      </w:r>
      <w:r>
        <w:t>recommendation</w:t>
      </w:r>
      <w:r>
        <w:rPr>
          <w:spacing w:val="-3"/>
        </w:rPr>
        <w:t xml:space="preserve"> </w:t>
      </w:r>
      <w:r>
        <w:t>four.</w:t>
      </w:r>
      <w:r>
        <w:rPr>
          <w:spacing w:val="-4"/>
        </w:rPr>
        <w:t xml:space="preserve"> </w:t>
      </w:r>
      <w:r>
        <w:t>The</w:t>
      </w:r>
      <w:r>
        <w:rPr>
          <w:spacing w:val="-3"/>
        </w:rPr>
        <w:t xml:space="preserve"> </w:t>
      </w:r>
      <w:r>
        <w:t>Department will</w:t>
      </w:r>
      <w:r>
        <w:rPr>
          <w:spacing w:val="-5"/>
        </w:rPr>
        <w:t xml:space="preserve"> </w:t>
      </w:r>
      <w:r>
        <w:t>consider</w:t>
      </w:r>
      <w:r>
        <w:rPr>
          <w:spacing w:val="-2"/>
        </w:rPr>
        <w:t xml:space="preserve"> </w:t>
      </w:r>
      <w:r>
        <w:t>this</w:t>
      </w:r>
      <w:r>
        <w:rPr>
          <w:spacing w:val="-3"/>
        </w:rPr>
        <w:t xml:space="preserve"> </w:t>
      </w:r>
      <w:r>
        <w:t>recommendation as</w:t>
      </w:r>
      <w:r>
        <w:rPr>
          <w:spacing w:val="-3"/>
        </w:rPr>
        <w:t xml:space="preserve"> </w:t>
      </w:r>
      <w:r>
        <w:t>part of the internal review currently underway into the allegations made by Mr NR.</w:t>
      </w:r>
    </w:p>
    <w:p w14:paraId="6FB95944" w14:textId="77777777" w:rsidR="00FD0E8B" w:rsidRPr="00FD0E8B" w:rsidRDefault="00FD0E8B" w:rsidP="00FD0E8B">
      <w:pPr>
        <w:pStyle w:val="Quote"/>
        <w:rPr>
          <w:b/>
          <w:bCs/>
        </w:rPr>
      </w:pPr>
      <w:r w:rsidRPr="00FD0E8B">
        <w:rPr>
          <w:b/>
          <w:bCs/>
        </w:rPr>
        <w:t>Recommendation</w:t>
      </w:r>
      <w:r w:rsidRPr="00FD0E8B">
        <w:rPr>
          <w:b/>
          <w:bCs/>
          <w:spacing w:val="-8"/>
        </w:rPr>
        <w:t xml:space="preserve"> </w:t>
      </w:r>
      <w:r w:rsidRPr="00FD0E8B">
        <w:rPr>
          <w:b/>
          <w:bCs/>
        </w:rPr>
        <w:t>5</w:t>
      </w:r>
      <w:r w:rsidRPr="00FD0E8B">
        <w:rPr>
          <w:b/>
          <w:bCs/>
          <w:spacing w:val="-8"/>
        </w:rPr>
        <w:t xml:space="preserve"> </w:t>
      </w:r>
      <w:r w:rsidRPr="00FD0E8B">
        <w:rPr>
          <w:b/>
          <w:bCs/>
        </w:rPr>
        <w:t>–</w:t>
      </w:r>
      <w:r w:rsidRPr="00FD0E8B">
        <w:rPr>
          <w:b/>
          <w:bCs/>
          <w:spacing w:val="-5"/>
        </w:rPr>
        <w:t xml:space="preserve"> </w:t>
      </w:r>
      <w:r w:rsidRPr="00FD0E8B">
        <w:rPr>
          <w:b/>
          <w:bCs/>
          <w:spacing w:val="-2"/>
        </w:rPr>
        <w:t>Disagree</w:t>
      </w:r>
    </w:p>
    <w:p w14:paraId="5751858C" w14:textId="0661C847" w:rsidR="00FD0E8B" w:rsidRPr="00FD0E8B" w:rsidRDefault="00FD0E8B" w:rsidP="00FD0E8B">
      <w:pPr>
        <w:pStyle w:val="Quote"/>
        <w:rPr>
          <w:i/>
          <w:iCs w:val="0"/>
        </w:rPr>
      </w:pPr>
      <w:r w:rsidRPr="00FD0E8B">
        <w:rPr>
          <w:i/>
          <w:iCs w:val="0"/>
        </w:rPr>
        <w:t>The Commission recommends that the Department consider revising the DSM to include specific examples</w:t>
      </w:r>
      <w:r w:rsidRPr="00FD0E8B">
        <w:rPr>
          <w:i/>
          <w:iCs w:val="0"/>
          <w:spacing w:val="-4"/>
        </w:rPr>
        <w:t xml:space="preserve"> </w:t>
      </w:r>
      <w:r w:rsidRPr="00FD0E8B">
        <w:rPr>
          <w:i/>
          <w:iCs w:val="0"/>
        </w:rPr>
        <w:t>of</w:t>
      </w:r>
      <w:r w:rsidRPr="00FD0E8B">
        <w:rPr>
          <w:i/>
          <w:iCs w:val="0"/>
          <w:spacing w:val="-1"/>
        </w:rPr>
        <w:t xml:space="preserve"> </w:t>
      </w:r>
      <w:r w:rsidRPr="00FD0E8B">
        <w:rPr>
          <w:i/>
          <w:iCs w:val="0"/>
        </w:rPr>
        <w:t>times</w:t>
      </w:r>
      <w:r w:rsidRPr="00FD0E8B">
        <w:rPr>
          <w:i/>
          <w:iCs w:val="0"/>
          <w:spacing w:val="-3"/>
        </w:rPr>
        <w:t xml:space="preserve"> </w:t>
      </w:r>
      <w:r w:rsidRPr="00FD0E8B">
        <w:rPr>
          <w:i/>
          <w:iCs w:val="0"/>
        </w:rPr>
        <w:t>when</w:t>
      </w:r>
      <w:r w:rsidRPr="00FD0E8B">
        <w:rPr>
          <w:i/>
          <w:iCs w:val="0"/>
          <w:spacing w:val="-3"/>
        </w:rPr>
        <w:t xml:space="preserve"> </w:t>
      </w:r>
      <w:r w:rsidRPr="00FD0E8B">
        <w:rPr>
          <w:i/>
          <w:iCs w:val="0"/>
        </w:rPr>
        <w:t>an</w:t>
      </w:r>
      <w:r w:rsidRPr="00FD0E8B">
        <w:rPr>
          <w:i/>
          <w:iCs w:val="0"/>
          <w:spacing w:val="-3"/>
        </w:rPr>
        <w:t xml:space="preserve"> </w:t>
      </w:r>
      <w:r w:rsidRPr="00FD0E8B">
        <w:rPr>
          <w:i/>
          <w:iCs w:val="0"/>
        </w:rPr>
        <w:t>unplanned</w:t>
      </w:r>
      <w:r w:rsidRPr="00FD0E8B">
        <w:rPr>
          <w:i/>
          <w:iCs w:val="0"/>
          <w:spacing w:val="-3"/>
        </w:rPr>
        <w:t xml:space="preserve"> </w:t>
      </w:r>
      <w:r w:rsidRPr="00FD0E8B">
        <w:rPr>
          <w:i/>
          <w:iCs w:val="0"/>
        </w:rPr>
        <w:t>use</w:t>
      </w:r>
      <w:r w:rsidRPr="00FD0E8B">
        <w:rPr>
          <w:i/>
          <w:iCs w:val="0"/>
          <w:spacing w:val="-1"/>
        </w:rPr>
        <w:t xml:space="preserve"> </w:t>
      </w:r>
      <w:r w:rsidRPr="00FD0E8B">
        <w:rPr>
          <w:i/>
          <w:iCs w:val="0"/>
        </w:rPr>
        <w:t>of</w:t>
      </w:r>
      <w:r w:rsidRPr="00FD0E8B">
        <w:rPr>
          <w:i/>
          <w:iCs w:val="0"/>
          <w:spacing w:val="-1"/>
        </w:rPr>
        <w:t xml:space="preserve"> </w:t>
      </w:r>
      <w:r w:rsidRPr="00FD0E8B">
        <w:rPr>
          <w:i/>
          <w:iCs w:val="0"/>
        </w:rPr>
        <w:t>force</w:t>
      </w:r>
      <w:r w:rsidRPr="00FD0E8B">
        <w:rPr>
          <w:i/>
          <w:iCs w:val="0"/>
          <w:spacing w:val="-3"/>
        </w:rPr>
        <w:t xml:space="preserve"> </w:t>
      </w:r>
      <w:r w:rsidRPr="00FD0E8B">
        <w:rPr>
          <w:i/>
          <w:iCs w:val="0"/>
        </w:rPr>
        <w:t>is</w:t>
      </w:r>
      <w:r w:rsidRPr="00FD0E8B">
        <w:rPr>
          <w:i/>
          <w:iCs w:val="0"/>
          <w:spacing w:val="-3"/>
        </w:rPr>
        <w:t xml:space="preserve"> </w:t>
      </w:r>
      <w:r w:rsidRPr="00FD0E8B">
        <w:rPr>
          <w:i/>
          <w:iCs w:val="0"/>
        </w:rPr>
        <w:t>unlikely</w:t>
      </w:r>
      <w:r w:rsidRPr="00FD0E8B">
        <w:rPr>
          <w:i/>
          <w:iCs w:val="0"/>
          <w:spacing w:val="-3"/>
        </w:rPr>
        <w:t xml:space="preserve"> </w:t>
      </w:r>
      <w:r w:rsidRPr="00FD0E8B">
        <w:rPr>
          <w:i/>
          <w:iCs w:val="0"/>
        </w:rPr>
        <w:t>to</w:t>
      </w:r>
      <w:r w:rsidRPr="00FD0E8B">
        <w:rPr>
          <w:i/>
          <w:iCs w:val="0"/>
          <w:spacing w:val="-2"/>
        </w:rPr>
        <w:t xml:space="preserve"> </w:t>
      </w:r>
      <w:r w:rsidRPr="00FD0E8B">
        <w:rPr>
          <w:i/>
          <w:iCs w:val="0"/>
        </w:rPr>
        <w:t>be</w:t>
      </w:r>
      <w:r w:rsidRPr="00FD0E8B">
        <w:rPr>
          <w:i/>
          <w:iCs w:val="0"/>
          <w:spacing w:val="-3"/>
        </w:rPr>
        <w:t xml:space="preserve"> </w:t>
      </w:r>
      <w:proofErr w:type="gramStart"/>
      <w:r w:rsidRPr="00FD0E8B">
        <w:rPr>
          <w:i/>
          <w:iCs w:val="0"/>
        </w:rPr>
        <w:t>justified,</w:t>
      </w:r>
      <w:r w:rsidRPr="00FD0E8B">
        <w:rPr>
          <w:i/>
          <w:iCs w:val="0"/>
          <w:spacing w:val="-3"/>
        </w:rPr>
        <w:t xml:space="preserve"> </w:t>
      </w:r>
      <w:r w:rsidRPr="00FD0E8B">
        <w:rPr>
          <w:i/>
          <w:iCs w:val="0"/>
        </w:rPr>
        <w:t>and</w:t>
      </w:r>
      <w:proofErr w:type="gramEnd"/>
      <w:r w:rsidRPr="00FD0E8B">
        <w:rPr>
          <w:i/>
          <w:iCs w:val="0"/>
          <w:spacing w:val="-2"/>
        </w:rPr>
        <w:t xml:space="preserve"> </w:t>
      </w:r>
      <w:r w:rsidRPr="00FD0E8B">
        <w:rPr>
          <w:i/>
          <w:iCs w:val="0"/>
        </w:rPr>
        <w:t>directing</w:t>
      </w:r>
      <w:r w:rsidRPr="00FD0E8B">
        <w:rPr>
          <w:i/>
          <w:iCs w:val="0"/>
          <w:spacing w:val="-2"/>
        </w:rPr>
        <w:t xml:space="preserve"> </w:t>
      </w:r>
      <w:r w:rsidRPr="00FD0E8B">
        <w:rPr>
          <w:i/>
          <w:iCs w:val="0"/>
        </w:rPr>
        <w:t>officers</w:t>
      </w:r>
      <w:r w:rsidRPr="00FD0E8B">
        <w:rPr>
          <w:i/>
          <w:iCs w:val="0"/>
          <w:spacing w:val="-3"/>
        </w:rPr>
        <w:t xml:space="preserve"> </w:t>
      </w:r>
      <w:r w:rsidRPr="00FD0E8B">
        <w:rPr>
          <w:i/>
          <w:iCs w:val="0"/>
        </w:rPr>
        <w:t>to seek approval prior to engaging in force.</w:t>
      </w:r>
    </w:p>
    <w:p w14:paraId="6D7D39B4" w14:textId="77777777" w:rsidR="00FD0E8B" w:rsidRDefault="00FD0E8B" w:rsidP="00FD0E8B">
      <w:pPr>
        <w:pStyle w:val="Quote"/>
      </w:pPr>
      <w:r>
        <w:t>The</w:t>
      </w:r>
      <w:r>
        <w:rPr>
          <w:spacing w:val="-11"/>
        </w:rPr>
        <w:t xml:space="preserve"> </w:t>
      </w:r>
      <w:r>
        <w:t>Department</w:t>
      </w:r>
      <w:r>
        <w:rPr>
          <w:spacing w:val="-10"/>
        </w:rPr>
        <w:t xml:space="preserve"> </w:t>
      </w:r>
      <w:r>
        <w:t>disagrees</w:t>
      </w:r>
      <w:r>
        <w:rPr>
          <w:spacing w:val="-6"/>
        </w:rPr>
        <w:t xml:space="preserve"> </w:t>
      </w:r>
      <w:r>
        <w:t>with</w:t>
      </w:r>
      <w:r>
        <w:rPr>
          <w:spacing w:val="-11"/>
        </w:rPr>
        <w:t xml:space="preserve"> </w:t>
      </w:r>
      <w:r>
        <w:t>recommendation</w:t>
      </w:r>
      <w:r>
        <w:rPr>
          <w:spacing w:val="-11"/>
        </w:rPr>
        <w:t xml:space="preserve"> </w:t>
      </w:r>
      <w:r>
        <w:rPr>
          <w:spacing w:val="-4"/>
        </w:rPr>
        <w:t>five.</w:t>
      </w:r>
    </w:p>
    <w:p w14:paraId="781B932B" w14:textId="77777777" w:rsidR="00FD0E8B" w:rsidRDefault="00FD0E8B" w:rsidP="00FD0E8B">
      <w:pPr>
        <w:pStyle w:val="Quote"/>
      </w:pPr>
      <w:r>
        <w:t>Under current policy settings, officers are already required to seek approval prior to any planned use of force,</w:t>
      </w:r>
      <w:r>
        <w:rPr>
          <w:spacing w:val="-4"/>
        </w:rPr>
        <w:t xml:space="preserve"> </w:t>
      </w:r>
      <w:r>
        <w:t>unless</w:t>
      </w:r>
      <w:r>
        <w:rPr>
          <w:spacing w:val="-3"/>
        </w:rPr>
        <w:t xml:space="preserve"> </w:t>
      </w:r>
      <w:r>
        <w:t>exceptional</w:t>
      </w:r>
      <w:r>
        <w:rPr>
          <w:spacing w:val="-3"/>
        </w:rPr>
        <w:t xml:space="preserve"> </w:t>
      </w:r>
      <w:r>
        <w:t>time</w:t>
      </w:r>
      <w:r>
        <w:rPr>
          <w:spacing w:val="-4"/>
        </w:rPr>
        <w:t xml:space="preserve"> </w:t>
      </w:r>
      <w:r>
        <w:t>critical</w:t>
      </w:r>
      <w:r>
        <w:rPr>
          <w:spacing w:val="-5"/>
        </w:rPr>
        <w:t xml:space="preserve"> </w:t>
      </w:r>
      <w:r>
        <w:t>circumstances</w:t>
      </w:r>
      <w:r>
        <w:rPr>
          <w:spacing w:val="-3"/>
        </w:rPr>
        <w:t xml:space="preserve"> </w:t>
      </w:r>
      <w:r>
        <w:t>present, such</w:t>
      </w:r>
      <w:r>
        <w:rPr>
          <w:spacing w:val="-3"/>
        </w:rPr>
        <w:t xml:space="preserve"> </w:t>
      </w:r>
      <w:r>
        <w:t>incidents</w:t>
      </w:r>
      <w:r>
        <w:rPr>
          <w:spacing w:val="-3"/>
        </w:rPr>
        <w:t xml:space="preserve"> </w:t>
      </w:r>
      <w:r>
        <w:t>then</w:t>
      </w:r>
      <w:r>
        <w:rPr>
          <w:spacing w:val="-1"/>
        </w:rPr>
        <w:t xml:space="preserve"> </w:t>
      </w:r>
      <w:r>
        <w:t>become</w:t>
      </w:r>
      <w:r>
        <w:rPr>
          <w:spacing w:val="-4"/>
        </w:rPr>
        <w:t xml:space="preserve"> </w:t>
      </w:r>
      <w:r>
        <w:t>unplanned</w:t>
      </w:r>
      <w:r>
        <w:rPr>
          <w:spacing w:val="-5"/>
        </w:rPr>
        <w:t xml:space="preserve"> </w:t>
      </w:r>
      <w:r>
        <w:t>use</w:t>
      </w:r>
      <w:r>
        <w:rPr>
          <w:spacing w:val="-3"/>
        </w:rPr>
        <w:t xml:space="preserve"> </w:t>
      </w:r>
      <w:r>
        <w:t>of force incidents.</w:t>
      </w:r>
    </w:p>
    <w:p w14:paraId="02C0BDBD" w14:textId="08C5F75E" w:rsidR="00FD0E8B" w:rsidRPr="00FD0E8B" w:rsidRDefault="00FD0E8B" w:rsidP="00FD0E8B">
      <w:pPr>
        <w:pStyle w:val="Quote"/>
        <w:rPr>
          <w:spacing w:val="-2"/>
        </w:rPr>
      </w:pPr>
      <w:r>
        <w:t>Due</w:t>
      </w:r>
      <w:r>
        <w:rPr>
          <w:spacing w:val="-3"/>
        </w:rPr>
        <w:t xml:space="preserve"> </w:t>
      </w:r>
      <w:r>
        <w:t>to</w:t>
      </w:r>
      <w:r>
        <w:rPr>
          <w:spacing w:val="-2"/>
        </w:rPr>
        <w:t xml:space="preserve"> </w:t>
      </w:r>
      <w:r>
        <w:t>the</w:t>
      </w:r>
      <w:r>
        <w:rPr>
          <w:spacing w:val="-2"/>
        </w:rPr>
        <w:t xml:space="preserve"> </w:t>
      </w:r>
      <w:r>
        <w:t>operational</w:t>
      </w:r>
      <w:r>
        <w:rPr>
          <w:spacing w:val="-1"/>
        </w:rPr>
        <w:t xml:space="preserve"> </w:t>
      </w:r>
      <w:r>
        <w:t>nature</w:t>
      </w:r>
      <w:r>
        <w:rPr>
          <w:spacing w:val="-2"/>
        </w:rPr>
        <w:t xml:space="preserve"> </w:t>
      </w:r>
      <w:r>
        <w:t>of detention,</w:t>
      </w:r>
      <w:r>
        <w:rPr>
          <w:spacing w:val="-2"/>
        </w:rPr>
        <w:t xml:space="preserve"> </w:t>
      </w:r>
      <w:r>
        <w:t>not all</w:t>
      </w:r>
      <w:r>
        <w:rPr>
          <w:spacing w:val="-3"/>
        </w:rPr>
        <w:t xml:space="preserve"> </w:t>
      </w:r>
      <w:r>
        <w:t>use of force</w:t>
      </w:r>
      <w:r>
        <w:rPr>
          <w:spacing w:val="-2"/>
        </w:rPr>
        <w:t xml:space="preserve"> </w:t>
      </w:r>
      <w:r>
        <w:t>can</w:t>
      </w:r>
      <w:r>
        <w:rPr>
          <w:spacing w:val="-3"/>
        </w:rPr>
        <w:t xml:space="preserve"> </w:t>
      </w:r>
      <w:r>
        <w:t>be</w:t>
      </w:r>
      <w:r>
        <w:rPr>
          <w:spacing w:val="-3"/>
        </w:rPr>
        <w:t xml:space="preserve"> </w:t>
      </w:r>
      <w:r>
        <w:t>pre-approved.</w:t>
      </w:r>
      <w:r>
        <w:rPr>
          <w:spacing w:val="-2"/>
        </w:rPr>
        <w:t xml:space="preserve"> </w:t>
      </w:r>
      <w:r>
        <w:t>For</w:t>
      </w:r>
      <w:r>
        <w:rPr>
          <w:spacing w:val="-2"/>
        </w:rPr>
        <w:t xml:space="preserve"> </w:t>
      </w:r>
      <w:r>
        <w:t>the</w:t>
      </w:r>
      <w:r>
        <w:rPr>
          <w:spacing w:val="-3"/>
        </w:rPr>
        <w:t xml:space="preserve"> </w:t>
      </w:r>
      <w:r>
        <w:t>safety,</w:t>
      </w:r>
      <w:r>
        <w:rPr>
          <w:spacing w:val="-2"/>
        </w:rPr>
        <w:t xml:space="preserve"> </w:t>
      </w:r>
      <w:r>
        <w:t>security and</w:t>
      </w:r>
      <w:r>
        <w:rPr>
          <w:spacing w:val="-1"/>
        </w:rPr>
        <w:t xml:space="preserve"> </w:t>
      </w:r>
      <w:r>
        <w:t>good</w:t>
      </w:r>
      <w:r>
        <w:rPr>
          <w:spacing w:val="-3"/>
        </w:rPr>
        <w:t xml:space="preserve"> </w:t>
      </w:r>
      <w:r>
        <w:t>order</w:t>
      </w:r>
      <w:r>
        <w:rPr>
          <w:spacing w:val="-3"/>
        </w:rPr>
        <w:t xml:space="preserve"> </w:t>
      </w:r>
      <w:r>
        <w:t>of</w:t>
      </w:r>
      <w:r>
        <w:rPr>
          <w:spacing w:val="-1"/>
        </w:rPr>
        <w:t xml:space="preserve"> </w:t>
      </w:r>
      <w:r>
        <w:t>the</w:t>
      </w:r>
      <w:r>
        <w:rPr>
          <w:spacing w:val="-3"/>
        </w:rPr>
        <w:t xml:space="preserve"> </w:t>
      </w:r>
      <w:r>
        <w:t>centre,</w:t>
      </w:r>
      <w:r>
        <w:rPr>
          <w:spacing w:val="-3"/>
        </w:rPr>
        <w:t xml:space="preserve"> </w:t>
      </w:r>
      <w:r>
        <w:t>there</w:t>
      </w:r>
      <w:r>
        <w:rPr>
          <w:spacing w:val="-3"/>
        </w:rPr>
        <w:t xml:space="preserve"> </w:t>
      </w:r>
      <w:r>
        <w:t>may</w:t>
      </w:r>
      <w:r>
        <w:rPr>
          <w:spacing w:val="-7"/>
        </w:rPr>
        <w:t xml:space="preserve"> </w:t>
      </w:r>
      <w:r>
        <w:t>be</w:t>
      </w:r>
      <w:r>
        <w:rPr>
          <w:spacing w:val="-2"/>
        </w:rPr>
        <w:t xml:space="preserve"> </w:t>
      </w:r>
      <w:r>
        <w:t>situations</w:t>
      </w:r>
      <w:r>
        <w:rPr>
          <w:spacing w:val="-2"/>
        </w:rPr>
        <w:t xml:space="preserve"> </w:t>
      </w:r>
      <w:r>
        <w:t>where</w:t>
      </w:r>
      <w:r>
        <w:rPr>
          <w:spacing w:val="-3"/>
        </w:rPr>
        <w:t xml:space="preserve"> </w:t>
      </w:r>
      <w:r>
        <w:t>a</w:t>
      </w:r>
      <w:r>
        <w:rPr>
          <w:spacing w:val="-1"/>
        </w:rPr>
        <w:t xml:space="preserve"> </w:t>
      </w:r>
      <w:r>
        <w:t>response</w:t>
      </w:r>
      <w:r>
        <w:rPr>
          <w:spacing w:val="-1"/>
        </w:rPr>
        <w:t xml:space="preserve"> </w:t>
      </w:r>
      <w:r>
        <w:t>is</w:t>
      </w:r>
      <w:r>
        <w:rPr>
          <w:spacing w:val="-2"/>
        </w:rPr>
        <w:t xml:space="preserve"> </w:t>
      </w:r>
      <w:r>
        <w:t>immediately</w:t>
      </w:r>
      <w:r>
        <w:rPr>
          <w:spacing w:val="-6"/>
        </w:rPr>
        <w:t xml:space="preserve"> </w:t>
      </w:r>
      <w:r>
        <w:t>required,</w:t>
      </w:r>
      <w:r>
        <w:rPr>
          <w:spacing w:val="-3"/>
        </w:rPr>
        <w:t xml:space="preserve"> </w:t>
      </w:r>
      <w:r>
        <w:t>and</w:t>
      </w:r>
      <w:r>
        <w:rPr>
          <w:spacing w:val="-1"/>
        </w:rPr>
        <w:t xml:space="preserve"> </w:t>
      </w:r>
      <w:r>
        <w:t>it</w:t>
      </w:r>
      <w:r>
        <w:rPr>
          <w:spacing w:val="-3"/>
        </w:rPr>
        <w:t xml:space="preserve"> </w:t>
      </w:r>
      <w:r>
        <w:t xml:space="preserve">may be operationally impractical or potentially negligent to delay a response to an incident while approval is </w:t>
      </w:r>
      <w:r>
        <w:rPr>
          <w:spacing w:val="-2"/>
        </w:rPr>
        <w:t>sought.</w:t>
      </w:r>
      <w:r>
        <w:rPr>
          <w:spacing w:val="-2"/>
        </w:rPr>
        <w:br/>
      </w:r>
    </w:p>
    <w:p w14:paraId="47AA08FF" w14:textId="03404F69" w:rsidR="00FD0E8B" w:rsidRPr="00B4622D" w:rsidRDefault="00FD0E8B" w:rsidP="00FD0E8B">
      <w:pPr>
        <w:pStyle w:val="NameInsert"/>
        <w:numPr>
          <w:ilvl w:val="0"/>
          <w:numId w:val="49"/>
        </w:numPr>
        <w:spacing w:before="240" w:after="240"/>
        <w:jc w:val="left"/>
        <w:rPr>
          <w:rFonts w:ascii="Open Sans" w:hAnsi="Open Sans" w:cs="Open Sans"/>
          <w:szCs w:val="24"/>
        </w:rPr>
      </w:pPr>
      <w:r>
        <w:rPr>
          <w:rFonts w:ascii="Open Sans" w:hAnsi="Open Sans" w:cs="Open Sans"/>
          <w:szCs w:val="24"/>
        </w:rPr>
        <w:t>I report accordingly to the Attorney-General.</w:t>
      </w:r>
    </w:p>
    <w:p w14:paraId="7E19C996" w14:textId="77777777" w:rsidR="00956AAA" w:rsidRDefault="00956AAA" w:rsidP="00434945">
      <w:pPr>
        <w:pStyle w:val="ListNumber"/>
        <w:numPr>
          <w:ilvl w:val="0"/>
          <w:numId w:val="0"/>
        </w:numPr>
      </w:pPr>
    </w:p>
    <w:p w14:paraId="1FCADF3C" w14:textId="0FD8C082" w:rsidR="00BF19FD" w:rsidRDefault="136DFAD2" w:rsidP="53E5B90E">
      <w:pPr>
        <w:pStyle w:val="ListNumber"/>
        <w:numPr>
          <w:ilvl w:val="0"/>
          <w:numId w:val="0"/>
        </w:numPr>
      </w:pPr>
      <w:r>
        <w:rPr>
          <w:noProof/>
        </w:rPr>
        <w:drawing>
          <wp:inline distT="0" distB="0" distL="0" distR="0" wp14:anchorId="620D0CF4" wp14:editId="01A7D72C">
            <wp:extent cx="2505076" cy="621488"/>
            <wp:effectExtent l="0" t="0" r="0" b="0"/>
            <wp:docPr id="1665169393" name="Picture 166516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505076" cy="621488"/>
                    </a:xfrm>
                    <a:prstGeom prst="rect">
                      <a:avLst/>
                    </a:prstGeom>
                  </pic:spPr>
                </pic:pic>
              </a:graphicData>
            </a:graphic>
          </wp:inline>
        </w:drawing>
      </w:r>
    </w:p>
    <w:p w14:paraId="24229485" w14:textId="77777777" w:rsidR="00FD0E8B" w:rsidRDefault="00FD0E8B" w:rsidP="00FD0E8B">
      <w:pPr>
        <w:contextualSpacing/>
        <w:rPr>
          <w:rFonts w:cs="Open Sans"/>
        </w:rPr>
      </w:pPr>
    </w:p>
    <w:p w14:paraId="603E76DA" w14:textId="79A75987" w:rsidR="00FD0E8B" w:rsidRPr="000C5540" w:rsidRDefault="00FD0E8B" w:rsidP="00FD0E8B">
      <w:pPr>
        <w:contextualSpacing/>
        <w:rPr>
          <w:rFonts w:cs="Open Sans"/>
        </w:rPr>
      </w:pPr>
      <w:r w:rsidRPr="000C5540">
        <w:rPr>
          <w:rFonts w:cs="Open Sans"/>
        </w:rPr>
        <w:t>Emeritus Professor Rosalind Croucher AM</w:t>
      </w:r>
      <w:r>
        <w:rPr>
          <w:rFonts w:cs="Open Sans"/>
        </w:rPr>
        <w:t xml:space="preserve"> FAAL</w:t>
      </w:r>
    </w:p>
    <w:p w14:paraId="57626030" w14:textId="77777777" w:rsidR="00FD0E8B" w:rsidRPr="000C5540" w:rsidRDefault="00FD0E8B" w:rsidP="00FD0E8B">
      <w:pPr>
        <w:contextualSpacing/>
        <w:rPr>
          <w:rFonts w:cs="Open Sans"/>
        </w:rPr>
      </w:pPr>
      <w:r w:rsidRPr="000C5540">
        <w:rPr>
          <w:rFonts w:cs="Open Sans"/>
          <w:b/>
        </w:rPr>
        <w:t>President</w:t>
      </w:r>
      <w:r w:rsidRPr="000C5540">
        <w:rPr>
          <w:rFonts w:cs="Open Sans"/>
        </w:rPr>
        <w:t xml:space="preserve"> </w:t>
      </w:r>
    </w:p>
    <w:p w14:paraId="7410E6DA" w14:textId="77777777" w:rsidR="00FD0E8B" w:rsidRDefault="00FD0E8B" w:rsidP="00FD0E8B">
      <w:pPr>
        <w:contextualSpacing/>
        <w:rPr>
          <w:rFonts w:cs="Open Sans"/>
        </w:rPr>
      </w:pPr>
      <w:r w:rsidRPr="000C5540">
        <w:rPr>
          <w:rFonts w:cs="Open Sans"/>
        </w:rPr>
        <w:t>Australian Human Rights Commission</w:t>
      </w:r>
    </w:p>
    <w:p w14:paraId="47753C18" w14:textId="5509F275" w:rsidR="00FD0E8B" w:rsidRDefault="00FD0E8B" w:rsidP="00FD0E8B">
      <w:pPr>
        <w:contextualSpacing/>
        <w:rPr>
          <w:rFonts w:cs="Open Sans"/>
        </w:rPr>
      </w:pPr>
      <w:r>
        <w:rPr>
          <w:rFonts w:cs="Open Sans"/>
        </w:rPr>
        <w:t>July</w:t>
      </w:r>
      <w:r w:rsidRPr="000C5540">
        <w:rPr>
          <w:rFonts w:cs="Open Sans"/>
        </w:rPr>
        <w:t xml:space="preserve"> 202</w:t>
      </w:r>
      <w:r>
        <w:rPr>
          <w:rFonts w:cs="Open Sans"/>
        </w:rPr>
        <w:t>4</w:t>
      </w:r>
    </w:p>
    <w:p w14:paraId="610B4C20" w14:textId="5DA86B2F" w:rsidR="00956AAA" w:rsidRPr="00FD0E8B" w:rsidRDefault="00FD0E8B" w:rsidP="00FD0E8B">
      <w:pPr>
        <w:spacing w:before="0" w:after="0"/>
        <w:rPr>
          <w:rFonts w:cs="Open Sans"/>
        </w:rPr>
      </w:pPr>
      <w:r>
        <w:rPr>
          <w:rFonts w:cs="Open Sans"/>
        </w:rPr>
        <w:br w:type="page"/>
      </w:r>
    </w:p>
    <w:p w14:paraId="3CF8CAED" w14:textId="0A070AD0" w:rsidR="00956AAA" w:rsidRPr="00956AAA" w:rsidRDefault="00956AAA" w:rsidP="00434945">
      <w:pPr>
        <w:pStyle w:val="ListNumber"/>
        <w:numPr>
          <w:ilvl w:val="0"/>
          <w:numId w:val="0"/>
        </w:numPr>
        <w:rPr>
          <w:b/>
          <w:bCs/>
          <w:sz w:val="28"/>
          <w:szCs w:val="28"/>
        </w:rPr>
      </w:pPr>
      <w:r w:rsidRPr="00956AAA">
        <w:rPr>
          <w:b/>
          <w:bCs/>
          <w:sz w:val="28"/>
          <w:szCs w:val="28"/>
        </w:rPr>
        <w:lastRenderedPageBreak/>
        <w:t>Endnotes</w:t>
      </w:r>
    </w:p>
    <w:sectPr w:rsidR="00956AAA" w:rsidRPr="00956AAA" w:rsidSect="00E16DDD">
      <w:headerReference w:type="even" r:id="rId25"/>
      <w:headerReference w:type="default" r:id="rId26"/>
      <w:footerReference w:type="even" r:id="rId27"/>
      <w:footerReference w:type="default" r:id="rId28"/>
      <w:headerReference w:type="first" r:id="rId29"/>
      <w:footerReference w:type="first" r:id="rId30"/>
      <w:endnotePr>
        <w:numFmt w:val="decimal"/>
      </w:endnotePr>
      <w:pgSz w:w="11906" w:h="16838" w:code="9"/>
      <w:pgMar w:top="1134" w:right="1418" w:bottom="1134" w:left="1418" w:header="907" w:footer="283"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BEF23E" w14:textId="77777777" w:rsidR="000F5A3A" w:rsidRDefault="000F5A3A" w:rsidP="00F14C6D">
      <w:r>
        <w:separator/>
      </w:r>
    </w:p>
  </w:endnote>
  <w:endnote w:type="continuationSeparator" w:id="0">
    <w:p w14:paraId="287C2C5A" w14:textId="77777777" w:rsidR="000F5A3A" w:rsidRDefault="000F5A3A" w:rsidP="00F14C6D">
      <w:r>
        <w:continuationSeparator/>
      </w:r>
    </w:p>
  </w:endnote>
  <w:endnote w:type="continuationNotice" w:id="1">
    <w:p w14:paraId="2601087D" w14:textId="77777777" w:rsidR="000F5A3A" w:rsidRDefault="000F5A3A">
      <w:pPr>
        <w:spacing w:before="0" w:after="0"/>
      </w:pPr>
    </w:p>
  </w:endnote>
  <w:endnote w:id="2">
    <w:p w14:paraId="527F6F89" w14:textId="77777777" w:rsidR="00956AAA" w:rsidRPr="007659A0" w:rsidRDefault="00956AAA" w:rsidP="00956AAA">
      <w:pPr>
        <w:pStyle w:val="EndnoteText"/>
        <w:ind w:left="284" w:hanging="284"/>
        <w:rPr>
          <w:rStyle w:val="EndnoteReference"/>
          <w:rFonts w:cs="Open Sans"/>
          <w:i/>
        </w:rPr>
      </w:pPr>
      <w:r w:rsidRPr="007659A0">
        <w:rPr>
          <w:rStyle w:val="EndnoteReference"/>
          <w:rFonts w:cs="Open Sans"/>
        </w:rPr>
        <w:endnoteRef/>
      </w:r>
      <w:r w:rsidRPr="007659A0">
        <w:rPr>
          <w:rStyle w:val="EndnoteReference"/>
          <w:rFonts w:cs="Open Sans"/>
        </w:rPr>
        <w:t xml:space="preserve"> </w:t>
      </w:r>
      <w:r w:rsidRPr="007659A0">
        <w:rPr>
          <w:rStyle w:val="EndnoteReference"/>
          <w:rFonts w:cs="Open Sans"/>
        </w:rPr>
        <w:tab/>
      </w:r>
      <w:r w:rsidRPr="00BF19FD">
        <w:rPr>
          <w:rStyle w:val="EndnoteReference"/>
          <w:rFonts w:cs="Open Sans"/>
          <w:vertAlign w:val="baseline"/>
        </w:rPr>
        <w:t>The ICCPR is referred to in the definition of ‘human rights’ in s 3(1) of the AHRC Act.</w:t>
      </w:r>
      <w:r w:rsidRPr="007659A0">
        <w:rPr>
          <w:rStyle w:val="EndnoteReference"/>
          <w:rFonts w:cs="Open Sans"/>
        </w:rPr>
        <w:t xml:space="preserve"> </w:t>
      </w:r>
    </w:p>
  </w:endnote>
  <w:endnote w:id="3">
    <w:p w14:paraId="7DE6BCFF" w14:textId="77777777" w:rsidR="00956AAA" w:rsidRPr="007659A0" w:rsidRDefault="00956AAA" w:rsidP="00956AAA">
      <w:pPr>
        <w:pStyle w:val="EndnoteText"/>
        <w:ind w:left="284" w:hanging="284"/>
        <w:rPr>
          <w:rFonts w:cs="Open Sans"/>
        </w:rPr>
      </w:pPr>
      <w:r w:rsidRPr="007659A0">
        <w:rPr>
          <w:rStyle w:val="EndnoteReference"/>
          <w:rFonts w:cs="Open Sans"/>
        </w:rPr>
        <w:endnoteRef/>
      </w:r>
      <w:r w:rsidRPr="007659A0">
        <w:rPr>
          <w:rFonts w:cs="Open Sans"/>
        </w:rPr>
        <w:t xml:space="preserve"> </w:t>
      </w:r>
      <w:r w:rsidRPr="007659A0">
        <w:rPr>
          <w:rFonts w:cs="Open Sans"/>
        </w:rPr>
        <w:tab/>
        <w:t xml:space="preserve">See </w:t>
      </w:r>
      <w:r w:rsidRPr="007659A0">
        <w:rPr>
          <w:rFonts w:cs="Open Sans"/>
          <w:i/>
        </w:rPr>
        <w:t>Secretary, Department of Defence v HREOC, Burgess &amp; Ors</w:t>
      </w:r>
      <w:r w:rsidRPr="007659A0">
        <w:rPr>
          <w:rFonts w:cs="Open Sans"/>
        </w:rPr>
        <w:t xml:space="preserve"> (1997) 78 FCR 208.</w:t>
      </w:r>
    </w:p>
  </w:endnote>
  <w:endnote w:id="4">
    <w:p w14:paraId="17ED87DD" w14:textId="77777777" w:rsidR="00956AAA" w:rsidRPr="00F315E5" w:rsidRDefault="00956AAA" w:rsidP="00956AAA">
      <w:pPr>
        <w:pStyle w:val="EndnoteText"/>
        <w:ind w:left="284" w:hanging="284"/>
        <w:rPr>
          <w:rFonts w:cs="Open Sans"/>
        </w:rPr>
      </w:pPr>
      <w:r w:rsidRPr="00F315E5">
        <w:rPr>
          <w:rStyle w:val="EndnoteReference"/>
          <w:rFonts w:eastAsia="Arial" w:cs="Open Sans"/>
        </w:rPr>
        <w:endnoteRef/>
      </w:r>
      <w:r w:rsidRPr="00F315E5">
        <w:rPr>
          <w:rFonts w:eastAsia="Arial" w:cs="Open Sans"/>
        </w:rPr>
        <w:t xml:space="preserve"> </w:t>
      </w:r>
      <w:r>
        <w:rPr>
          <w:rFonts w:eastAsia="Arial" w:cs="Open Sans"/>
        </w:rPr>
        <w:tab/>
      </w:r>
      <w:r w:rsidRPr="00F315E5">
        <w:rPr>
          <w:rFonts w:eastAsia="Arial" w:cs="Open Sans"/>
        </w:rPr>
        <w:t xml:space="preserve">Human Rights Committee, </w:t>
      </w:r>
      <w:r w:rsidRPr="00F315E5">
        <w:rPr>
          <w:rFonts w:eastAsia="Arial" w:cs="Open Sans"/>
          <w:i/>
          <w:iCs/>
        </w:rPr>
        <w:t>General Comment No 21: Article 10 (Humane treatment of persons deprived of their liberty)</w:t>
      </w:r>
      <w:r w:rsidRPr="00F315E5">
        <w:rPr>
          <w:rFonts w:eastAsia="Arial" w:cs="Open Sans"/>
        </w:rPr>
        <w:t>, UN Doc HRI/GEN/1/Rev.1 at 33 (10 April 1992) [3].</w:t>
      </w:r>
    </w:p>
  </w:endnote>
  <w:endnote w:id="5">
    <w:p w14:paraId="0E81DB44" w14:textId="03D1DC5B" w:rsidR="00956AAA" w:rsidRPr="00F315E5" w:rsidRDefault="00956AAA" w:rsidP="00956AAA">
      <w:pPr>
        <w:pStyle w:val="EndnoteText"/>
        <w:ind w:left="284" w:hanging="284"/>
        <w:rPr>
          <w:rFonts w:cs="Open Sans"/>
        </w:rPr>
      </w:pPr>
      <w:r w:rsidRPr="00F315E5">
        <w:rPr>
          <w:rStyle w:val="EndnoteReference"/>
          <w:rFonts w:eastAsia="Arial" w:cs="Open Sans"/>
        </w:rPr>
        <w:endnoteRef/>
      </w:r>
      <w:r w:rsidRPr="00F315E5">
        <w:rPr>
          <w:rFonts w:eastAsia="Arial" w:cs="Open Sans"/>
        </w:rPr>
        <w:t xml:space="preserve"> </w:t>
      </w:r>
      <w:r>
        <w:rPr>
          <w:rFonts w:eastAsia="Arial" w:cs="Open Sans"/>
        </w:rPr>
        <w:tab/>
      </w:r>
      <w:r w:rsidR="00E436CE" w:rsidRPr="006B46CD">
        <w:rPr>
          <w:rFonts w:cs="Open Sans"/>
        </w:rPr>
        <w:t xml:space="preserve">UN Human Rights Committee, </w:t>
      </w:r>
      <w:r w:rsidR="00E436CE" w:rsidRPr="006B46CD">
        <w:rPr>
          <w:rFonts w:cs="Open Sans"/>
          <w:i/>
        </w:rPr>
        <w:t>General Comment No 21: Article 10 (Humane treatment of persons deprived of their liberty)</w:t>
      </w:r>
      <w:r w:rsidR="00E436CE" w:rsidRPr="006B46CD">
        <w:rPr>
          <w:rFonts w:cs="Open Sans"/>
        </w:rPr>
        <w:t>, 44</w:t>
      </w:r>
      <w:r w:rsidR="00E436CE" w:rsidRPr="006B46CD">
        <w:rPr>
          <w:rFonts w:cs="Open Sans"/>
          <w:vertAlign w:val="superscript"/>
        </w:rPr>
        <w:t>th</w:t>
      </w:r>
      <w:r w:rsidR="00E436CE" w:rsidRPr="006B46CD">
        <w:rPr>
          <w:rFonts w:cs="Open Sans"/>
        </w:rPr>
        <w:t xml:space="preserve"> sess, UN Doc HRI/GEN/1/Rev.9 (10 April 1992) 1 [3].</w:t>
      </w:r>
    </w:p>
  </w:endnote>
  <w:endnote w:id="6">
    <w:p w14:paraId="26C5791A" w14:textId="77777777" w:rsidR="00956AAA" w:rsidRPr="00F315E5" w:rsidRDefault="00956AAA" w:rsidP="00956AAA">
      <w:pPr>
        <w:pStyle w:val="EndnoteText"/>
        <w:ind w:left="284" w:hanging="284"/>
        <w:rPr>
          <w:rFonts w:cs="Open Sans"/>
        </w:rPr>
      </w:pPr>
      <w:r w:rsidRPr="00F315E5">
        <w:rPr>
          <w:rStyle w:val="EndnoteReference"/>
          <w:rFonts w:eastAsia="Arial" w:cs="Open Sans"/>
        </w:rPr>
        <w:endnoteRef/>
      </w:r>
      <w:r w:rsidRPr="00F315E5">
        <w:rPr>
          <w:rFonts w:eastAsia="Arial" w:cs="Open Sans"/>
        </w:rPr>
        <w:t xml:space="preserve"> </w:t>
      </w:r>
      <w:r>
        <w:rPr>
          <w:rFonts w:eastAsia="Arial" w:cs="Open Sans"/>
        </w:rPr>
        <w:tab/>
      </w:r>
      <w:r w:rsidRPr="00F315E5">
        <w:rPr>
          <w:rFonts w:eastAsia="Arial" w:cs="Open Sans"/>
        </w:rPr>
        <w:t xml:space="preserve">Manfred Nowak, </w:t>
      </w:r>
      <w:r w:rsidRPr="00F315E5">
        <w:rPr>
          <w:rFonts w:eastAsia="Arial" w:cs="Open Sans"/>
          <w:i/>
          <w:iCs/>
        </w:rPr>
        <w:t>UN Covenant on Civil and Political Rights CCPR Commentary</w:t>
      </w:r>
      <w:r w:rsidRPr="00F315E5">
        <w:rPr>
          <w:rFonts w:eastAsia="Arial" w:cs="Open Sans"/>
        </w:rPr>
        <w:t xml:space="preserve"> (N.P. Engel, 2</w:t>
      </w:r>
      <w:r w:rsidRPr="00F315E5">
        <w:rPr>
          <w:rFonts w:eastAsia="Arial" w:cs="Open Sans"/>
          <w:vertAlign w:val="superscript"/>
        </w:rPr>
        <w:t>nd</w:t>
      </w:r>
      <w:r w:rsidRPr="00F315E5">
        <w:rPr>
          <w:rFonts w:eastAsia="Arial" w:cs="Open Sans"/>
        </w:rPr>
        <w:t xml:space="preserve"> ed, 2005) 250.</w:t>
      </w:r>
    </w:p>
  </w:endnote>
  <w:endnote w:id="7">
    <w:p w14:paraId="00C3932C" w14:textId="7664547F" w:rsidR="00956AAA" w:rsidRPr="00F315E5" w:rsidRDefault="00956AAA" w:rsidP="00956AAA">
      <w:pPr>
        <w:pStyle w:val="EndnoteText"/>
        <w:ind w:left="284" w:hanging="284"/>
        <w:rPr>
          <w:rFonts w:cs="Open Sans"/>
        </w:rPr>
      </w:pPr>
      <w:r w:rsidRPr="00F315E5">
        <w:rPr>
          <w:rStyle w:val="EndnoteReference"/>
          <w:rFonts w:eastAsia="Arial" w:cs="Open Sans"/>
        </w:rPr>
        <w:endnoteRef/>
      </w:r>
      <w:r w:rsidRPr="00F315E5">
        <w:rPr>
          <w:rFonts w:eastAsia="Arial" w:cs="Open Sans"/>
        </w:rPr>
        <w:t xml:space="preserve"> </w:t>
      </w:r>
      <w:r>
        <w:rPr>
          <w:rFonts w:eastAsia="Arial" w:cs="Open Sans"/>
        </w:rPr>
        <w:tab/>
      </w:r>
      <w:r w:rsidR="00322E8B">
        <w:rPr>
          <w:rFonts w:eastAsia="Arial" w:cs="Open Sans"/>
        </w:rPr>
        <w:t xml:space="preserve">UN </w:t>
      </w:r>
      <w:r w:rsidR="00322E8B" w:rsidRPr="00D739CA">
        <w:rPr>
          <w:rFonts w:cs="Open Sans"/>
        </w:rPr>
        <w:t xml:space="preserve">Human Rights Committee, </w:t>
      </w:r>
      <w:r w:rsidR="00322E8B" w:rsidRPr="00317CB6">
        <w:rPr>
          <w:rFonts w:cs="Open Sans"/>
          <w:i/>
          <w:iCs/>
        </w:rPr>
        <w:t>Communication No 629/1993</w:t>
      </w:r>
      <w:r w:rsidR="00322E8B" w:rsidRPr="00D739CA">
        <w:rPr>
          <w:rFonts w:cs="Open Sans"/>
        </w:rPr>
        <w:t>, UN Doc CCPR/C/60/D/639/1995 (28 July 1997) (‘</w:t>
      </w:r>
      <w:r w:rsidR="00322E8B" w:rsidRPr="00317CB6">
        <w:rPr>
          <w:rFonts w:cs="Open Sans"/>
          <w:i/>
          <w:iCs/>
        </w:rPr>
        <w:t>Walker and Richards v Jamaica’</w:t>
      </w:r>
      <w:r w:rsidR="00322E8B" w:rsidRPr="00D739CA">
        <w:rPr>
          <w:rFonts w:cs="Open Sans"/>
        </w:rPr>
        <w:t xml:space="preserve">); </w:t>
      </w:r>
      <w:r w:rsidR="00322E8B">
        <w:rPr>
          <w:rFonts w:cs="Open Sans"/>
        </w:rPr>
        <w:t xml:space="preserve">UN </w:t>
      </w:r>
      <w:r w:rsidR="00322E8B" w:rsidRPr="00D739CA">
        <w:rPr>
          <w:rFonts w:cs="Open Sans"/>
        </w:rPr>
        <w:t xml:space="preserve">Human Rights Committee, </w:t>
      </w:r>
      <w:r w:rsidR="00322E8B" w:rsidRPr="00317CB6">
        <w:rPr>
          <w:rFonts w:cs="Open Sans"/>
          <w:i/>
          <w:iCs/>
        </w:rPr>
        <w:t>Communication No 845/1998</w:t>
      </w:r>
      <w:r w:rsidR="00322E8B" w:rsidRPr="00D739CA">
        <w:rPr>
          <w:rFonts w:cs="Open Sans"/>
        </w:rPr>
        <w:t xml:space="preserve">, 74th sess, UN Doc CCPR/C/74/D/845/1998 (26 March 2002) </w:t>
      </w:r>
      <w:r w:rsidR="00322E8B" w:rsidRPr="00317CB6">
        <w:rPr>
          <w:rFonts w:cs="Open Sans"/>
          <w:i/>
          <w:iCs/>
        </w:rPr>
        <w:t>(‘Kennedy v Trinidad and Tobago</w:t>
      </w:r>
      <w:r w:rsidR="00322E8B" w:rsidRPr="00D739CA">
        <w:rPr>
          <w:rFonts w:cs="Open Sans"/>
        </w:rPr>
        <w:t xml:space="preserve">’); </w:t>
      </w:r>
      <w:r w:rsidR="00322E8B">
        <w:rPr>
          <w:rFonts w:cs="Open Sans"/>
        </w:rPr>
        <w:t xml:space="preserve">UN </w:t>
      </w:r>
      <w:r w:rsidR="00322E8B" w:rsidRPr="00D739CA">
        <w:rPr>
          <w:rFonts w:cs="Open Sans"/>
        </w:rPr>
        <w:t xml:space="preserve">Human Rights Committee, </w:t>
      </w:r>
      <w:r w:rsidR="00322E8B" w:rsidRPr="00317CB6">
        <w:rPr>
          <w:rFonts w:cs="Open Sans"/>
          <w:i/>
          <w:iCs/>
        </w:rPr>
        <w:t>Communication No</w:t>
      </w:r>
      <w:r w:rsidR="00322E8B" w:rsidRPr="00D739CA">
        <w:rPr>
          <w:rFonts w:cs="Open Sans"/>
        </w:rPr>
        <w:t xml:space="preserve"> </w:t>
      </w:r>
      <w:r w:rsidR="00322E8B" w:rsidRPr="00317CB6">
        <w:rPr>
          <w:rFonts w:cs="Open Sans"/>
          <w:i/>
          <w:iCs/>
        </w:rPr>
        <w:t>684/1996</w:t>
      </w:r>
      <w:r w:rsidR="00322E8B" w:rsidRPr="00D739CA">
        <w:rPr>
          <w:rFonts w:cs="Open Sans"/>
        </w:rPr>
        <w:t>, 74th sess, UN Doc CCPR/C/74/D/684/1996 (2 April 2002) (‘</w:t>
      </w:r>
      <w:r w:rsidR="00322E8B" w:rsidRPr="00317CB6">
        <w:rPr>
          <w:rFonts w:cs="Open Sans"/>
          <w:i/>
          <w:iCs/>
        </w:rPr>
        <w:t>R.S. v Trinidad and Tobago’</w:t>
      </w:r>
      <w:r w:rsidR="00322E8B" w:rsidRPr="00D739CA">
        <w:rPr>
          <w:rFonts w:cs="Open Sans"/>
        </w:rPr>
        <w:t>)</w:t>
      </w:r>
      <w:r w:rsidR="00322E8B">
        <w:rPr>
          <w:rFonts w:cs="Open Sans"/>
        </w:rPr>
        <w:t>.</w:t>
      </w:r>
    </w:p>
  </w:endnote>
  <w:endnote w:id="8">
    <w:p w14:paraId="69F19F5A" w14:textId="77777777" w:rsidR="00956AAA" w:rsidRPr="00F315E5" w:rsidRDefault="00956AAA" w:rsidP="00956AAA">
      <w:pPr>
        <w:pStyle w:val="EndnoteText"/>
        <w:ind w:left="284" w:hanging="284"/>
        <w:rPr>
          <w:rFonts w:cs="Open Sans"/>
          <w:i/>
          <w:iCs/>
        </w:rPr>
      </w:pPr>
      <w:r w:rsidRPr="00F315E5">
        <w:rPr>
          <w:rStyle w:val="EndnoteReference"/>
          <w:rFonts w:eastAsia="Arial" w:cs="Open Sans"/>
        </w:rPr>
        <w:endnoteRef/>
      </w:r>
      <w:r w:rsidRPr="00F315E5">
        <w:rPr>
          <w:rFonts w:eastAsia="Arial" w:cs="Open Sans"/>
        </w:rPr>
        <w:t xml:space="preserve"> </w:t>
      </w:r>
      <w:r>
        <w:rPr>
          <w:rFonts w:eastAsia="Arial" w:cs="Open Sans"/>
        </w:rPr>
        <w:tab/>
      </w:r>
      <w:r w:rsidRPr="00F315E5">
        <w:rPr>
          <w:rFonts w:eastAsia="Arial" w:cs="Open Sans"/>
        </w:rPr>
        <w:t xml:space="preserve">Human Rights Committee, </w:t>
      </w:r>
      <w:r w:rsidRPr="00F315E5">
        <w:rPr>
          <w:rFonts w:eastAsia="Arial" w:cs="Open Sans"/>
          <w:i/>
          <w:iCs/>
        </w:rPr>
        <w:t>General Comment No 21: Article 10 (Humane treatment of persons deprived of their liberty)</w:t>
      </w:r>
      <w:r w:rsidRPr="00F315E5">
        <w:rPr>
          <w:rFonts w:eastAsia="Arial" w:cs="Open Sans"/>
        </w:rPr>
        <w:t>, UN Doc HRI/GEN/1/ Rev.1 at 33 (10 April 1992) [5].</w:t>
      </w:r>
    </w:p>
  </w:endnote>
  <w:endnote w:id="9">
    <w:p w14:paraId="757B2B84" w14:textId="77777777" w:rsidR="00956AAA" w:rsidRPr="00F315E5" w:rsidRDefault="00956AAA" w:rsidP="00956AAA">
      <w:pPr>
        <w:pStyle w:val="EndnoteText"/>
        <w:ind w:left="284" w:hanging="284"/>
        <w:rPr>
          <w:rFonts w:cs="Open Sans"/>
        </w:rPr>
      </w:pPr>
      <w:r w:rsidRPr="00F315E5">
        <w:rPr>
          <w:rStyle w:val="EndnoteReference"/>
          <w:rFonts w:eastAsia="Arial" w:cs="Open Sans"/>
        </w:rPr>
        <w:endnoteRef/>
      </w:r>
      <w:r w:rsidRPr="00F315E5">
        <w:rPr>
          <w:rFonts w:eastAsia="Arial" w:cs="Open Sans"/>
        </w:rPr>
        <w:t xml:space="preserve"> </w:t>
      </w:r>
      <w:r>
        <w:rPr>
          <w:rFonts w:eastAsia="Arial" w:cs="Open Sans"/>
        </w:rPr>
        <w:tab/>
      </w:r>
      <w:r w:rsidRPr="00F315E5">
        <w:rPr>
          <w:rFonts w:eastAsia="Arial" w:cs="Open Sans"/>
        </w:rPr>
        <w:t xml:space="preserve">UN General Assembly, </w:t>
      </w:r>
      <w:r w:rsidRPr="00F315E5">
        <w:rPr>
          <w:rFonts w:eastAsia="Arial" w:cs="Open Sans"/>
          <w:i/>
          <w:iCs/>
        </w:rPr>
        <w:t>Standard Minimum Rules for the Treatment of Prisoners</w:t>
      </w:r>
      <w:r w:rsidRPr="00F315E5">
        <w:rPr>
          <w:rFonts w:eastAsia="Arial" w:cs="Open Sans"/>
        </w:rPr>
        <w:t>, adopted by the First United Nations Congress on the Prevention of Crime and the Treatment of Offenders, United Nations Publication, UN Doc. A/CONF/611 (30 August 1955), as amended by ‘the Nelson Mandela Rules’, UN Doc A/RES/70/175 (17 December 2015).</w:t>
      </w:r>
    </w:p>
  </w:endnote>
  <w:endnote w:id="10">
    <w:p w14:paraId="11415ADF" w14:textId="77777777" w:rsidR="00956AAA" w:rsidRPr="00F315E5" w:rsidRDefault="00956AAA" w:rsidP="00956AAA">
      <w:pPr>
        <w:pStyle w:val="EndnoteText"/>
        <w:ind w:left="284" w:hanging="284"/>
        <w:rPr>
          <w:rFonts w:cs="Open Sans"/>
        </w:rPr>
      </w:pPr>
      <w:r w:rsidRPr="00F315E5">
        <w:rPr>
          <w:rStyle w:val="EndnoteReference"/>
          <w:rFonts w:eastAsia="Arial" w:cs="Open Sans"/>
        </w:rPr>
        <w:endnoteRef/>
      </w:r>
      <w:r w:rsidRPr="00F315E5">
        <w:rPr>
          <w:rFonts w:eastAsia="Arial" w:cs="Open Sans"/>
        </w:rPr>
        <w:t xml:space="preserve"> </w:t>
      </w:r>
      <w:r>
        <w:rPr>
          <w:rFonts w:eastAsia="Arial" w:cs="Open Sans"/>
        </w:rPr>
        <w:tab/>
      </w:r>
      <w:r w:rsidRPr="00F315E5">
        <w:rPr>
          <w:rFonts w:eastAsia="Arial" w:cs="Open Sans"/>
        </w:rPr>
        <w:t xml:space="preserve">The Body of Principles were adopted by the UN General Assembly in </w:t>
      </w:r>
      <w:r w:rsidRPr="00F315E5">
        <w:rPr>
          <w:rFonts w:eastAsia="Arial" w:cs="Open Sans"/>
          <w:i/>
          <w:iCs/>
        </w:rPr>
        <w:t>Body of Principles for the Protection of all Persons Under Any Form of Detention or Imprisonment</w:t>
      </w:r>
      <w:r w:rsidRPr="00F315E5">
        <w:rPr>
          <w:rFonts w:eastAsia="Arial" w:cs="Open Sans"/>
        </w:rPr>
        <w:t>, GA Res 43/173, UN GAOR,</w:t>
      </w:r>
      <w:r w:rsidRPr="00F315E5">
        <w:rPr>
          <w:rFonts w:eastAsia="Arial" w:cs="Open Sans"/>
          <w:i/>
          <w:iCs/>
        </w:rPr>
        <w:t xml:space="preserve"> </w:t>
      </w:r>
      <w:r w:rsidRPr="00F315E5">
        <w:rPr>
          <w:rFonts w:eastAsia="Arial" w:cs="Open Sans"/>
        </w:rPr>
        <w:t>6</w:t>
      </w:r>
      <w:r w:rsidRPr="00F315E5">
        <w:rPr>
          <w:rFonts w:eastAsia="Arial" w:cs="Open Sans"/>
          <w:vertAlign w:val="superscript"/>
        </w:rPr>
        <w:t>th</w:t>
      </w:r>
      <w:r w:rsidRPr="00F315E5">
        <w:rPr>
          <w:rFonts w:eastAsia="Arial" w:cs="Open Sans"/>
        </w:rPr>
        <w:t xml:space="preserve"> Comm, 43</w:t>
      </w:r>
      <w:r w:rsidRPr="00F315E5">
        <w:rPr>
          <w:rFonts w:eastAsia="Arial" w:cs="Open Sans"/>
          <w:vertAlign w:val="superscript"/>
        </w:rPr>
        <w:t>rd</w:t>
      </w:r>
      <w:r w:rsidRPr="00F315E5">
        <w:rPr>
          <w:rFonts w:eastAsia="Arial" w:cs="Open Sans"/>
        </w:rPr>
        <w:t xml:space="preserve"> sess, 76</w:t>
      </w:r>
      <w:r w:rsidRPr="00F315E5">
        <w:rPr>
          <w:rFonts w:eastAsia="Arial" w:cs="Open Sans"/>
          <w:vertAlign w:val="superscript"/>
        </w:rPr>
        <w:t>th</w:t>
      </w:r>
      <w:r w:rsidRPr="00F315E5">
        <w:rPr>
          <w:rFonts w:eastAsia="Arial" w:cs="Open Sans"/>
        </w:rPr>
        <w:t xml:space="preserve"> </w:t>
      </w:r>
      <w:proofErr w:type="spellStart"/>
      <w:r w:rsidRPr="00F315E5">
        <w:rPr>
          <w:rFonts w:eastAsia="Arial" w:cs="Open Sans"/>
        </w:rPr>
        <w:t>plen</w:t>
      </w:r>
      <w:proofErr w:type="spellEnd"/>
      <w:r w:rsidRPr="00F315E5">
        <w:rPr>
          <w:rFonts w:eastAsia="Arial" w:cs="Open Sans"/>
        </w:rPr>
        <w:t xml:space="preserve"> mtg, Agenda Item 138, UN Doc A/43/49 (9 December 1988) Annex.</w:t>
      </w:r>
    </w:p>
  </w:endnote>
  <w:endnote w:id="11">
    <w:p w14:paraId="1347D07E" w14:textId="77777777" w:rsidR="00956AAA" w:rsidRPr="008C4C22" w:rsidRDefault="00956AAA" w:rsidP="00956AAA">
      <w:pPr>
        <w:pStyle w:val="EndnoteText"/>
        <w:ind w:left="284" w:hanging="284"/>
        <w:rPr>
          <w:rFonts w:cs="Open Sans"/>
          <w:lang w:val="en-US"/>
        </w:rPr>
      </w:pPr>
      <w:r w:rsidRPr="00F315E5">
        <w:rPr>
          <w:rStyle w:val="EndnoteReference"/>
          <w:rFonts w:eastAsia="Arial" w:cs="Open Sans"/>
        </w:rPr>
        <w:endnoteRef/>
      </w:r>
      <w:r w:rsidRPr="00F315E5">
        <w:rPr>
          <w:rFonts w:eastAsia="Arial" w:cs="Open Sans"/>
        </w:rPr>
        <w:t xml:space="preserve"> </w:t>
      </w:r>
      <w:r>
        <w:rPr>
          <w:rFonts w:eastAsia="Arial" w:cs="Open Sans"/>
        </w:rPr>
        <w:tab/>
      </w:r>
      <w:r w:rsidRPr="00F315E5">
        <w:rPr>
          <w:rFonts w:eastAsia="Arial" w:cs="Open Sans"/>
        </w:rPr>
        <w:t xml:space="preserve">UN General Assembly, </w:t>
      </w:r>
      <w:r w:rsidRPr="00F315E5">
        <w:rPr>
          <w:rFonts w:eastAsia="Arial" w:cs="Open Sans"/>
          <w:i/>
          <w:iCs/>
        </w:rPr>
        <w:t>Standard Minimum Rules for the Treatment of Prisoners</w:t>
      </w:r>
      <w:r w:rsidRPr="00F315E5">
        <w:rPr>
          <w:rFonts w:eastAsia="Arial" w:cs="Open Sans"/>
        </w:rPr>
        <w:t>, adopted by the First United Nations Congress on the Prevention of Crime and the Treatment of Offenders, United Nations Publication, UN Doc. A/CONF/611 (30 August 1955), as amended by ‘the Nelson Mandela Rules’, UN Doc A/RES/70/175 (17 December 2015), preliminary observation 2(1), 7.</w:t>
      </w:r>
    </w:p>
  </w:endnote>
  <w:endnote w:id="12">
    <w:p w14:paraId="45161D15" w14:textId="77777777" w:rsidR="00956AAA" w:rsidRPr="006B46CD" w:rsidRDefault="00956AAA" w:rsidP="00956AAA">
      <w:pPr>
        <w:pStyle w:val="EndnoteText"/>
        <w:ind w:left="284" w:hanging="284"/>
        <w:rPr>
          <w:rFonts w:cs="Open Sans"/>
        </w:rPr>
      </w:pPr>
      <w:r w:rsidRPr="006B46CD">
        <w:rPr>
          <w:rStyle w:val="EndnoteReference"/>
          <w:rFonts w:cs="Open Sans"/>
        </w:rPr>
        <w:endnoteRef/>
      </w:r>
      <w:r w:rsidRPr="006B46CD">
        <w:rPr>
          <w:rFonts w:cs="Open Sans"/>
        </w:rPr>
        <w:t xml:space="preserve"> </w:t>
      </w:r>
      <w:r w:rsidRPr="006B46CD">
        <w:rPr>
          <w:rFonts w:cs="Open Sans"/>
        </w:rPr>
        <w:tab/>
        <w:t>Immigration Detention Facilities and Detainee Services Contract between the Commonwealth and Serco, 10 December 2014, Sch 2 (Statement of Work), Section 4 (Security Services) clause 3.8.</w:t>
      </w:r>
    </w:p>
  </w:endnote>
  <w:endnote w:id="13">
    <w:p w14:paraId="7C668804" w14:textId="77777777" w:rsidR="00956AAA" w:rsidRPr="006B46CD" w:rsidRDefault="00956AAA" w:rsidP="00956AAA">
      <w:pPr>
        <w:pStyle w:val="EndnoteText"/>
        <w:ind w:left="284" w:hanging="284"/>
        <w:rPr>
          <w:rFonts w:cs="Open Sans"/>
        </w:rPr>
      </w:pPr>
      <w:r w:rsidRPr="006B46CD">
        <w:rPr>
          <w:rStyle w:val="EndnoteReference"/>
          <w:rFonts w:cs="Open Sans"/>
        </w:rPr>
        <w:endnoteRef/>
      </w:r>
      <w:r w:rsidRPr="006B46CD">
        <w:rPr>
          <w:rFonts w:cs="Open Sans"/>
        </w:rPr>
        <w:t xml:space="preserve"> </w:t>
      </w:r>
      <w:r w:rsidRPr="006B46CD">
        <w:rPr>
          <w:rFonts w:cs="Open Sans"/>
        </w:rPr>
        <w:tab/>
        <w:t>Immigration Detention Facilities and Detainee Services Contract between the Commonwealth and Serco, 10 December 2014, Sch 2 (Statement of Work), Section 4 (Security Services) clause 3.10.</w:t>
      </w:r>
    </w:p>
  </w:endnote>
  <w:endnote w:id="14">
    <w:p w14:paraId="5BAADAA9" w14:textId="77777777" w:rsidR="00956AAA" w:rsidRPr="006103AF" w:rsidRDefault="00956AAA" w:rsidP="00956AAA">
      <w:pPr>
        <w:pStyle w:val="EndnoteText"/>
        <w:ind w:left="284" w:hanging="284"/>
        <w:rPr>
          <w:rFonts w:cs="Open Sans"/>
        </w:rPr>
      </w:pPr>
      <w:r>
        <w:rPr>
          <w:rStyle w:val="EndnoteReference"/>
        </w:rPr>
        <w:endnoteRef/>
      </w:r>
      <w:r>
        <w:t xml:space="preserve">  </w:t>
      </w:r>
      <w:r>
        <w:rPr>
          <w:rFonts w:cs="Open Sans"/>
        </w:rPr>
        <w:t xml:space="preserve">Department of Home Affairs, </w:t>
      </w:r>
      <w:r w:rsidRPr="00404422">
        <w:rPr>
          <w:rFonts w:cs="Open Sans"/>
          <w:i/>
          <w:iCs/>
        </w:rPr>
        <w:t>Detention Services Manual – Chapter 10.18 – Safety</w:t>
      </w:r>
      <w:r>
        <w:rPr>
          <w:rFonts w:cs="Open Sans"/>
          <w:i/>
          <w:iCs/>
        </w:rPr>
        <w:t xml:space="preserve"> </w:t>
      </w:r>
      <w:r w:rsidRPr="00404422">
        <w:rPr>
          <w:rFonts w:cs="Open Sans"/>
          <w:i/>
          <w:iCs/>
        </w:rPr>
        <w:t>and security –</w:t>
      </w:r>
      <w:r>
        <w:rPr>
          <w:rFonts w:cs="Open Sans"/>
        </w:rPr>
        <w:t xml:space="preserve"> </w:t>
      </w:r>
      <w:r w:rsidRPr="006103AF">
        <w:rPr>
          <w:rFonts w:cs="Open Sans"/>
          <w:i/>
          <w:iCs/>
        </w:rPr>
        <w:t>Use of force</w:t>
      </w:r>
      <w:r>
        <w:rPr>
          <w:rFonts w:cs="Open Sans"/>
        </w:rPr>
        <w:t xml:space="preserve"> (October 2018) [4]. </w:t>
      </w:r>
    </w:p>
  </w:endnote>
  <w:endnote w:id="15">
    <w:p w14:paraId="44935B0A" w14:textId="77777777" w:rsidR="00956AAA" w:rsidRPr="006B46CD" w:rsidRDefault="00956AAA" w:rsidP="00956AAA">
      <w:pPr>
        <w:pStyle w:val="EndnoteText"/>
        <w:ind w:left="284" w:hanging="284"/>
        <w:rPr>
          <w:rFonts w:cs="Open Sans"/>
        </w:rPr>
      </w:pPr>
      <w:r w:rsidRPr="006B46CD">
        <w:rPr>
          <w:rStyle w:val="EndnoteReference"/>
          <w:rFonts w:cs="Open Sans"/>
        </w:rPr>
        <w:endnoteRef/>
      </w:r>
      <w:r w:rsidRPr="006B46CD">
        <w:rPr>
          <w:rFonts w:cs="Open Sans"/>
        </w:rPr>
        <w:t xml:space="preserve"> </w:t>
      </w:r>
      <w:r w:rsidRPr="006B46CD">
        <w:rPr>
          <w:rFonts w:cs="Open Sans"/>
        </w:rPr>
        <w:tab/>
        <w:t xml:space="preserve">Department of </w:t>
      </w:r>
      <w:r>
        <w:rPr>
          <w:rFonts w:cs="Open Sans"/>
        </w:rPr>
        <w:t>Home Affairs</w:t>
      </w:r>
      <w:r w:rsidRPr="006B46CD">
        <w:rPr>
          <w:rFonts w:cs="Open Sans"/>
        </w:rPr>
        <w:t xml:space="preserve">, </w:t>
      </w:r>
      <w:r w:rsidRPr="006B46CD">
        <w:rPr>
          <w:rFonts w:cs="Open Sans"/>
          <w:i/>
        </w:rPr>
        <w:t xml:space="preserve">Detention Services Manual – Chapter </w:t>
      </w:r>
      <w:r>
        <w:rPr>
          <w:rFonts w:cs="Open Sans"/>
          <w:i/>
        </w:rPr>
        <w:t>10.18</w:t>
      </w:r>
      <w:r w:rsidRPr="006B46CD">
        <w:rPr>
          <w:rFonts w:cs="Open Sans"/>
          <w:i/>
        </w:rPr>
        <w:t xml:space="preserve"> – Safety and security – Use of force </w:t>
      </w:r>
      <w:r w:rsidRPr="006B46CD">
        <w:rPr>
          <w:rFonts w:cs="Open Sans"/>
        </w:rPr>
        <w:t>(</w:t>
      </w:r>
      <w:r>
        <w:rPr>
          <w:rFonts w:cs="Open Sans"/>
        </w:rPr>
        <w:t>October</w:t>
      </w:r>
      <w:r w:rsidRPr="006B46CD">
        <w:rPr>
          <w:rFonts w:cs="Open Sans"/>
        </w:rPr>
        <w:t xml:space="preserve"> 201</w:t>
      </w:r>
      <w:r>
        <w:rPr>
          <w:rFonts w:cs="Open Sans"/>
        </w:rPr>
        <w:t>8</w:t>
      </w:r>
      <w:r w:rsidRPr="006B46CD">
        <w:rPr>
          <w:rFonts w:cs="Open Sans"/>
        </w:rPr>
        <w:t>) </w:t>
      </w:r>
      <w:r>
        <w:rPr>
          <w:rFonts w:cs="Open Sans"/>
        </w:rPr>
        <w:t>[5]</w:t>
      </w:r>
      <w:r w:rsidRPr="006B46CD">
        <w:rPr>
          <w:rFonts w:cs="Open Sans"/>
        </w:rPr>
        <w:t>.</w:t>
      </w:r>
    </w:p>
  </w:endnote>
  <w:endnote w:id="16">
    <w:p w14:paraId="641859B6" w14:textId="77777777" w:rsidR="00956AAA" w:rsidRPr="006103AF" w:rsidRDefault="00956AAA" w:rsidP="00956AAA">
      <w:pPr>
        <w:pStyle w:val="EndnoteText"/>
        <w:ind w:left="284" w:hanging="284"/>
        <w:rPr>
          <w:rFonts w:cs="Open Sans"/>
        </w:rPr>
      </w:pPr>
      <w:r>
        <w:rPr>
          <w:rStyle w:val="EndnoteReference"/>
        </w:rPr>
        <w:endnoteRef/>
      </w:r>
      <w:r>
        <w:t xml:space="preserve">  </w:t>
      </w:r>
      <w:r>
        <w:rPr>
          <w:rFonts w:cs="Open Sans"/>
        </w:rPr>
        <w:t xml:space="preserve">Department of Home Affairs, </w:t>
      </w:r>
      <w:r w:rsidRPr="00404422">
        <w:rPr>
          <w:rFonts w:cs="Open Sans"/>
          <w:i/>
          <w:iCs/>
        </w:rPr>
        <w:t>Detention Services Manual – Chapter 10.18 – Safety and security – Use of force</w:t>
      </w:r>
      <w:r>
        <w:rPr>
          <w:rFonts w:cs="Open Sans"/>
        </w:rPr>
        <w:t xml:space="preserve"> (October 2018) [5].</w:t>
      </w:r>
    </w:p>
  </w:endnote>
  <w:endnote w:id="17">
    <w:p w14:paraId="1536751C" w14:textId="51F888D1" w:rsidR="00956AAA" w:rsidRPr="00B908D6" w:rsidRDefault="00956AAA" w:rsidP="00956AAA">
      <w:pPr>
        <w:pStyle w:val="EndnoteText"/>
        <w:ind w:left="284" w:hanging="284"/>
        <w:rPr>
          <w:rFonts w:cs="Open Sans"/>
        </w:rPr>
      </w:pPr>
      <w:r w:rsidRPr="00B908D6">
        <w:rPr>
          <w:rStyle w:val="EndnoteReference"/>
          <w:rFonts w:cs="Open Sans"/>
        </w:rPr>
        <w:endnoteRef/>
      </w:r>
      <w:r w:rsidRPr="00B908D6">
        <w:rPr>
          <w:rFonts w:cs="Open Sans"/>
        </w:rPr>
        <w:t xml:space="preserve"> </w:t>
      </w:r>
      <w:r w:rsidRPr="00B908D6">
        <w:rPr>
          <w:rFonts w:cs="Open Sans"/>
        </w:rPr>
        <w:tab/>
      </w:r>
      <w:r w:rsidR="002E2FF7">
        <w:rPr>
          <w:rFonts w:cs="Open Sans"/>
          <w:i/>
        </w:rPr>
        <w:t xml:space="preserve">Australian Human Rights Commission Act 1986 </w:t>
      </w:r>
      <w:r w:rsidR="002E2FF7">
        <w:rPr>
          <w:rFonts w:cs="Open Sans"/>
          <w:iCs/>
        </w:rPr>
        <w:t>(Cth) (‘</w:t>
      </w:r>
      <w:r w:rsidR="002E2FF7" w:rsidRPr="00BE4EF1">
        <w:rPr>
          <w:rFonts w:cs="Open Sans"/>
          <w:iCs/>
        </w:rPr>
        <w:t>AHRC Act’</w:t>
      </w:r>
      <w:r w:rsidR="002E2FF7">
        <w:rPr>
          <w:rFonts w:cs="Open Sans"/>
          <w:iCs/>
        </w:rPr>
        <w:t xml:space="preserve">) </w:t>
      </w:r>
      <w:r w:rsidR="002E2FF7">
        <w:rPr>
          <w:rFonts w:cs="Open Sans"/>
          <w:i/>
        </w:rPr>
        <w:t>s</w:t>
      </w:r>
      <w:r w:rsidR="002E2FF7">
        <w:rPr>
          <w:rStyle w:val="EndnoteReference"/>
          <w:rFonts w:cs="Open Sans"/>
        </w:rPr>
        <w:t xml:space="preserve"> </w:t>
      </w:r>
      <w:r w:rsidR="002E2FF7">
        <w:rPr>
          <w:rFonts w:cs="Open Sans"/>
        </w:rPr>
        <w:t>29(2)(a).</w:t>
      </w:r>
    </w:p>
  </w:endnote>
  <w:endnote w:id="18">
    <w:p w14:paraId="65376C6A" w14:textId="77777777" w:rsidR="00956AAA" w:rsidRPr="00B908D6" w:rsidRDefault="00956AAA" w:rsidP="00956AAA">
      <w:pPr>
        <w:pStyle w:val="EndnoteText"/>
        <w:ind w:left="284" w:hanging="284"/>
        <w:rPr>
          <w:rFonts w:cs="Open Sans"/>
        </w:rPr>
      </w:pPr>
      <w:r w:rsidRPr="00B908D6">
        <w:rPr>
          <w:rStyle w:val="EndnoteReference"/>
          <w:rFonts w:cs="Open Sans"/>
        </w:rPr>
        <w:endnoteRef/>
      </w:r>
      <w:r w:rsidRPr="00B908D6">
        <w:rPr>
          <w:rFonts w:cs="Open Sans"/>
        </w:rPr>
        <w:t xml:space="preserve"> </w:t>
      </w:r>
      <w:r w:rsidRPr="00B908D6">
        <w:rPr>
          <w:rFonts w:cs="Open Sans"/>
        </w:rPr>
        <w:tab/>
        <w:t>AHRC Act, s 29(2)(b).</w:t>
      </w:r>
    </w:p>
  </w:endnote>
  <w:endnote w:id="19">
    <w:p w14:paraId="1A471605" w14:textId="77777777" w:rsidR="00956AAA" w:rsidRDefault="00956AAA" w:rsidP="00956AAA">
      <w:pPr>
        <w:pStyle w:val="EndnoteText"/>
        <w:ind w:left="284" w:hanging="284"/>
      </w:pPr>
      <w:r w:rsidRPr="00B908D6">
        <w:rPr>
          <w:rStyle w:val="EndnoteReference"/>
          <w:rFonts w:cs="Open Sans"/>
        </w:rPr>
        <w:endnoteRef/>
      </w:r>
      <w:r w:rsidRPr="00B908D6">
        <w:rPr>
          <w:rFonts w:cs="Open Sans"/>
        </w:rPr>
        <w:t xml:space="preserve"> </w:t>
      </w:r>
      <w:r w:rsidRPr="00B908D6">
        <w:rPr>
          <w:rFonts w:cs="Open Sans"/>
        </w:rPr>
        <w:tab/>
        <w:t>AHRC Act, s 29(2)(c).</w:t>
      </w:r>
    </w:p>
  </w:endnote>
  <w:endnote w:id="20">
    <w:p w14:paraId="34248CCB" w14:textId="42429F79" w:rsidR="00956AAA" w:rsidRPr="00615717" w:rsidRDefault="00956AAA" w:rsidP="00956AAA">
      <w:pPr>
        <w:pStyle w:val="EndnoteText"/>
        <w:ind w:left="284" w:hanging="284"/>
        <w:rPr>
          <w:rFonts w:cs="Open Sans"/>
        </w:rPr>
      </w:pPr>
      <w:r w:rsidRPr="00615717">
        <w:rPr>
          <w:rStyle w:val="EndnoteReference"/>
          <w:rFonts w:cs="Open Sans"/>
        </w:rPr>
        <w:endnoteRef/>
      </w:r>
      <w:r w:rsidRPr="00615717">
        <w:rPr>
          <w:rFonts w:cs="Open Sans"/>
        </w:rPr>
        <w:t xml:space="preserve"> </w:t>
      </w:r>
      <w:r>
        <w:rPr>
          <w:rFonts w:cs="Open Sans"/>
        </w:rPr>
        <w:tab/>
      </w:r>
      <w:r w:rsidR="00A24381" w:rsidRPr="00672AA6">
        <w:rPr>
          <w:rFonts w:cs="Open Sans"/>
        </w:rPr>
        <w:t xml:space="preserve">Commonwealth Ombudsman, </w:t>
      </w:r>
      <w:r w:rsidR="00A24381" w:rsidRPr="00672AA6">
        <w:rPr>
          <w:rFonts w:cs="Open Sans"/>
          <w:i/>
          <w:iCs/>
        </w:rPr>
        <w:t>Monitoring Commonwealth Places of Detention: Annual Report of the Commonwealth National Preventive Mechanism under the Optional Protocol to the Convention Against Torture (OPCAT)</w:t>
      </w:r>
      <w:r w:rsidR="00A24381" w:rsidRPr="00672AA6">
        <w:rPr>
          <w:rFonts w:cs="Open Sans"/>
        </w:rPr>
        <w:t xml:space="preserve"> (</w:t>
      </w:r>
      <w:r w:rsidR="00A24381">
        <w:rPr>
          <w:rFonts w:cs="Open Sans"/>
        </w:rPr>
        <w:t xml:space="preserve">Report, </w:t>
      </w:r>
      <w:r w:rsidR="00A24381" w:rsidRPr="00672AA6">
        <w:rPr>
          <w:rFonts w:cs="Open Sans"/>
        </w:rPr>
        <w:t>2023)</w:t>
      </w:r>
      <w:r w:rsidR="00A24381">
        <w:rPr>
          <w:rFonts w:cs="Open Sans"/>
        </w:rPr>
        <w:t xml:space="preserve"> </w:t>
      </w:r>
      <w:r w:rsidR="00A23255">
        <w:rPr>
          <w:rFonts w:cs="Open Sans"/>
        </w:rPr>
        <w:t xml:space="preserve">62 </w:t>
      </w:r>
      <w:r w:rsidR="00A24381">
        <w:rPr>
          <w:rFonts w:cs="Open Sans"/>
        </w:rPr>
        <w:t>&lt;</w:t>
      </w:r>
      <w:hyperlink r:id="rId1" w:history="1">
        <w:r w:rsidR="00A24381" w:rsidRPr="00D75793">
          <w:rPr>
            <w:rStyle w:val="Hyperlink"/>
            <w:rFonts w:cs="Open Sans"/>
          </w:rPr>
          <w:t>https://www.ombudsman.gov.au/__data/assets/pdf_file/0022/290137/Commonwealth-NPM-Report.pdf</w:t>
        </w:r>
      </w:hyperlink>
      <w:r w:rsidR="00A24381">
        <w:rPr>
          <w:rStyle w:val="Hyperlink"/>
          <w:rFonts w:cs="Open Sans"/>
        </w:rPr>
        <w:t>&gt;</w:t>
      </w:r>
      <w:r w:rsidR="00A23255">
        <w:rPr>
          <w:rStyle w:val="Hyperlink"/>
          <w:rFonts w:cs="Open Sans"/>
        </w:rPr>
        <w:t>.</w:t>
      </w:r>
      <w:r w:rsidR="00A31330">
        <w:rPr>
          <w:rFonts w:cs="Open Sans"/>
        </w:rPr>
        <w:t xml:space="preserve"> </w:t>
      </w:r>
    </w:p>
  </w:endnote>
  <w:endnote w:id="21">
    <w:p w14:paraId="793A0C74" w14:textId="77777777" w:rsidR="00956AAA" w:rsidRPr="00615717" w:rsidRDefault="00956AAA" w:rsidP="00956AAA">
      <w:pPr>
        <w:pStyle w:val="EndnoteText"/>
        <w:ind w:left="284" w:hanging="284"/>
        <w:rPr>
          <w:rFonts w:cs="Open Sans"/>
        </w:rPr>
      </w:pPr>
      <w:r w:rsidRPr="00615717">
        <w:rPr>
          <w:rStyle w:val="EndnoteReference"/>
          <w:rFonts w:cs="Open Sans"/>
        </w:rPr>
        <w:endnoteRef/>
      </w:r>
      <w:r w:rsidRPr="00615717">
        <w:rPr>
          <w:rFonts w:cs="Open Sans"/>
        </w:rPr>
        <w:t xml:space="preserve"> </w:t>
      </w:r>
      <w:r w:rsidRPr="00615717">
        <w:rPr>
          <w:rFonts w:cs="Open Sans"/>
        </w:rPr>
        <w:tab/>
      </w:r>
      <w:r w:rsidRPr="00615717">
        <w:rPr>
          <w:rFonts w:cs="Open Sans"/>
          <w:i/>
          <w:iCs/>
        </w:rPr>
        <w:t xml:space="preserve">Mr RG v Commonwealth of Australia (Department of Home Affairs) </w:t>
      </w:r>
      <w:r w:rsidRPr="00615717">
        <w:rPr>
          <w:rFonts w:cs="Open Sans"/>
        </w:rPr>
        <w:t xml:space="preserve">[2023] AusHRC 148, pp 50-52; </w:t>
      </w:r>
      <w:r w:rsidRPr="00615717">
        <w:rPr>
          <w:rFonts w:cs="Open Sans"/>
          <w:i/>
          <w:iCs/>
        </w:rPr>
        <w:t xml:space="preserve">Mr </w:t>
      </w:r>
      <w:proofErr w:type="spellStart"/>
      <w:r w:rsidRPr="00615717">
        <w:rPr>
          <w:rFonts w:cs="Open Sans"/>
          <w:i/>
          <w:iCs/>
        </w:rPr>
        <w:t>Vakhabov</w:t>
      </w:r>
      <w:proofErr w:type="spellEnd"/>
      <w:r w:rsidRPr="00615717">
        <w:rPr>
          <w:rFonts w:cs="Open Sans"/>
          <w:i/>
          <w:iCs/>
        </w:rPr>
        <w:t xml:space="preserve"> v Commonwealth (Department of Home Affairs) </w:t>
      </w:r>
      <w:r w:rsidRPr="00615717">
        <w:rPr>
          <w:rFonts w:cs="Open Sans"/>
        </w:rPr>
        <w:t xml:space="preserve">[2022] AusHRC 146, pp 23-26; </w:t>
      </w:r>
      <w:r w:rsidRPr="00615717">
        <w:rPr>
          <w:rFonts w:cs="Open Sans"/>
          <w:i/>
          <w:iCs/>
        </w:rPr>
        <w:t xml:space="preserve">Mr </w:t>
      </w:r>
      <w:proofErr w:type="spellStart"/>
      <w:r w:rsidRPr="00615717">
        <w:rPr>
          <w:rFonts w:cs="Open Sans"/>
          <w:i/>
          <w:iCs/>
        </w:rPr>
        <w:t>Andrwas</w:t>
      </w:r>
      <w:proofErr w:type="spellEnd"/>
      <w:r w:rsidRPr="00615717">
        <w:rPr>
          <w:rFonts w:cs="Open Sans"/>
          <w:i/>
          <w:iCs/>
        </w:rPr>
        <w:t xml:space="preserve"> v The Commonwealth of Australia (Department of Home Affairs) </w:t>
      </w:r>
      <w:r w:rsidRPr="00615717">
        <w:rPr>
          <w:rFonts w:cs="Open Sans"/>
        </w:rPr>
        <w:t>[2023] AusHRC 147, pp 38-40.</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Open Sans Roman"/>
    <w:panose1 w:val="00000000000000000000"/>
    <w:charset w:val="00"/>
    <w:family w:val="auto"/>
    <w:pitch w:val="variable"/>
    <w:sig w:usb0="E00002FF" w:usb1="4000201B" w:usb2="00000028"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ArialMT">
    <w:altName w:val="Arial"/>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3EC900" w14:textId="77777777" w:rsidR="00AC636D" w:rsidRPr="000465F1" w:rsidRDefault="00AC636D" w:rsidP="000465F1">
    <w:pPr>
      <w:pStyle w:val="Footer"/>
    </w:pPr>
    <w:r w:rsidRPr="000465F1">
      <w:t>ABN 47 996 232 602</w:t>
    </w:r>
  </w:p>
  <w:p w14:paraId="5AB1DB2B" w14:textId="77777777" w:rsidR="00AC636D" w:rsidRPr="000465F1" w:rsidRDefault="00AC636D" w:rsidP="000465F1">
    <w:pPr>
      <w:pStyle w:val="Footer"/>
    </w:pPr>
    <w:r w:rsidRPr="000465F1">
      <w:t>GPO Box 5218, Sydney NSW 2001</w:t>
    </w:r>
  </w:p>
  <w:p w14:paraId="7431D61D" w14:textId="77777777" w:rsidR="00AC636D" w:rsidRPr="000465F1" w:rsidRDefault="00AC636D" w:rsidP="000465F1">
    <w:pPr>
      <w:pStyle w:val="Footer"/>
    </w:pPr>
    <w:r w:rsidRPr="000465F1">
      <w:t>General enquiries 1300 369 711</w:t>
    </w:r>
  </w:p>
  <w:p w14:paraId="36EFFA0A" w14:textId="77777777" w:rsidR="00AC636D" w:rsidRPr="000465F1" w:rsidRDefault="00990B81" w:rsidP="000465F1">
    <w:pPr>
      <w:pStyle w:val="Footer"/>
    </w:pPr>
    <w:r>
      <w:t>National Info Service</w:t>
    </w:r>
    <w:r w:rsidR="00AC636D" w:rsidRPr="000465F1">
      <w:t xml:space="preserve"> 1300 656 419</w:t>
    </w:r>
  </w:p>
  <w:p w14:paraId="2F5833DD" w14:textId="77777777" w:rsidR="00B34946" w:rsidRPr="000465F1" w:rsidRDefault="000465F1" w:rsidP="000465F1">
    <w:pPr>
      <w:pStyle w:val="Footer"/>
    </w:pPr>
    <w:r w:rsidRPr="000465F1">
      <w:t>TTY 1800 620 241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814901"/>
      <w:docPartObj>
        <w:docPartGallery w:val="Page Numbers (Bottom of Page)"/>
        <w:docPartUnique/>
      </w:docPartObj>
    </w:sdtPr>
    <w:sdtEndPr>
      <w:rPr>
        <w:noProof/>
      </w:rPr>
    </w:sdtEndPr>
    <w:sdtContent>
      <w:p w14:paraId="65F1BCB8" w14:textId="77777777" w:rsidR="00664316" w:rsidRDefault="0066431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5E1BCE2" w14:textId="77777777" w:rsidR="00DC343B" w:rsidRDefault="00DC343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5FEB27" w14:textId="77777777" w:rsidR="00DA1D32" w:rsidRDefault="00DA1D32" w:rsidP="00E53546">
    <w:pPr>
      <w:pStyle w:val="FooterOddPageNumber"/>
    </w:pPr>
    <w:r w:rsidRPr="00AB7C8F">
      <w:fldChar w:fldCharType="begin"/>
    </w:r>
    <w:r>
      <w:instrText xml:space="preserve"> PAGE   \* MERGEFORMAT </w:instrText>
    </w:r>
    <w:r w:rsidRPr="00AB7C8F">
      <w:fldChar w:fldCharType="separate"/>
    </w:r>
    <w:r w:rsidR="008E78F0">
      <w:rPr>
        <w:noProof/>
      </w:rPr>
      <w:t>3</w:t>
    </w:r>
    <w:r w:rsidRPr="00AB7C8F">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58183178"/>
      <w:docPartObj>
        <w:docPartGallery w:val="Page Numbers (Bottom of Page)"/>
        <w:docPartUnique/>
      </w:docPartObj>
    </w:sdtPr>
    <w:sdtEndPr>
      <w:rPr>
        <w:noProof/>
      </w:rPr>
    </w:sdtEndPr>
    <w:sdtContent>
      <w:p w14:paraId="35A69259" w14:textId="77777777" w:rsidR="00CF52CF" w:rsidRDefault="00CF52C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2492770" w14:textId="77777777" w:rsidR="0063009F" w:rsidRDefault="0063009F" w:rsidP="00E53546">
    <w:pPr>
      <w:pStyle w:val="FooterEvenPageNumb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CE28D50" w14:textId="77777777" w:rsidR="000F5A3A" w:rsidRDefault="000F5A3A" w:rsidP="00F14C6D">
      <w:r>
        <w:separator/>
      </w:r>
    </w:p>
  </w:footnote>
  <w:footnote w:type="continuationSeparator" w:id="0">
    <w:p w14:paraId="5457D515" w14:textId="77777777" w:rsidR="000F5A3A" w:rsidRDefault="000F5A3A" w:rsidP="00F14C6D">
      <w:r>
        <w:continuationSeparator/>
      </w:r>
    </w:p>
  </w:footnote>
  <w:footnote w:type="continuationNotice" w:id="1">
    <w:p w14:paraId="4E02361E" w14:textId="77777777" w:rsidR="000F5A3A" w:rsidRDefault="000F5A3A">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69D6DF" w14:textId="77777777" w:rsidR="00BF6406" w:rsidRPr="000465F1" w:rsidRDefault="002439A6" w:rsidP="000465F1">
    <w:pPr>
      <w:pStyle w:val="Header"/>
    </w:pPr>
    <w:r>
      <w:pict w14:anchorId="70CB6BC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833" o:spid="_x0000_s1043" type="#_x0000_t75" style="position:absolute;left:0;text-align:left;margin-left:0;margin-top:0;width:930.9pt;height:1359.95pt;z-index:-251658239;mso-position-horizontal:center;mso-position-horizontal-relative:margin;mso-position-vertical:center;mso-position-vertical-relative:margin" o:allowincell="f">
          <v:imagedata r:id="rId1" o:title="report watermark"/>
          <w10:wrap anchorx="margin" anchory="margin"/>
        </v:shape>
      </w:pict>
    </w:r>
    <w:r w:rsidR="00BF6406" w:rsidRPr="000465F1">
      <w:t>Australian Human Rights Commission</w:t>
    </w:r>
  </w:p>
  <w:p w14:paraId="6664F8CF" w14:textId="77777777" w:rsidR="00B34946" w:rsidRPr="00622508" w:rsidRDefault="00BF6406" w:rsidP="00622508">
    <w:pPr>
      <w:pStyle w:val="Footer"/>
    </w:pPr>
    <w:r w:rsidRPr="001F62CC">
      <w:rPr>
        <w:rStyle w:val="Reporttitleinheader"/>
      </w:rPr>
      <w:t>Short title</w:t>
    </w:r>
    <w:r w:rsidRPr="00622508">
      <w:rPr>
        <w:rStyle w:val="Reporttitleinheader"/>
      </w:rPr>
      <w:t>, report name</w:t>
    </w:r>
    <w:r w:rsidR="001F62CC" w:rsidRPr="00622508">
      <w:rPr>
        <w:rStyle w:val="Reporttitleinheader"/>
      </w:rPr>
      <w:t>,</w:t>
    </w:r>
    <w:r w:rsidR="001F62CC" w:rsidRPr="00622508">
      <w:t xml:space="preserve"> </w:t>
    </w:r>
    <w:r w:rsidRPr="00622508">
      <w:t>Date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94EB0" w14:textId="77777777" w:rsidR="00B34946" w:rsidRPr="000465F1" w:rsidRDefault="002439A6" w:rsidP="000465F1">
    <w:r>
      <w:pict w14:anchorId="46F22E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834" o:spid="_x0000_s1044" type="#_x0000_t75" style="position:absolute;margin-left:0;margin-top:0;width:930.9pt;height:1359.95pt;z-index:-251658238;mso-position-horizontal:center;mso-position-horizontal-relative:margin;mso-position-vertical:center;mso-position-vertical-relative:margin" o:allowincell="f">
          <v:imagedata r:id="rId1" o:title="report watermark"/>
          <w10:wrap anchorx="margin" anchory="margin"/>
        </v:shape>
      </w:pict>
    </w:r>
    <w:r w:rsidR="00B34946" w:rsidRPr="000465F1">
      <w:t>Australian Human Rights Commission</w:t>
    </w:r>
  </w:p>
  <w:p w14:paraId="181C9EB1" w14:textId="77777777" w:rsidR="00B34946" w:rsidRPr="000465F1" w:rsidRDefault="00B34946" w:rsidP="000465F1">
    <w:pPr>
      <w:pStyle w:val="Footer"/>
    </w:pPr>
    <w:r w:rsidRPr="000465F1">
      <w:t xml:space="preserve">Short document title, </w:t>
    </w:r>
    <w:proofErr w:type="gramStart"/>
    <w:r w:rsidRPr="000465F1">
      <w:t>Short</w:t>
    </w:r>
    <w:proofErr w:type="gramEnd"/>
    <w:r w:rsidRPr="000465F1">
      <w:t xml:space="preserve"> description – Date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BFA74E" w14:textId="77777777" w:rsidR="00CC2AA0" w:rsidRDefault="002439A6" w:rsidP="002012F7">
    <w:pPr>
      <w:pStyle w:val="Header"/>
    </w:pPr>
    <w:r>
      <w:pict w14:anchorId="53E9C9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4066017" o:spid="_x0000_s1047" type="#_x0000_t75" style="position:absolute;left:0;text-align:left;margin-left:-71.05pt;margin-top:-108.5pt;width:595.65pt;height:870.15pt;z-index:-251658237;mso-position-horizontal-relative:margin;mso-position-vertical-relative:margin" o:allowincell="f">
          <v:imagedata r:id="rId1" o:title="MS word cover1"/>
          <w10:wrap anchorx="margin" anchory="margin"/>
        </v:shape>
      </w:pict>
    </w:r>
    <w:r>
      <w:pict w14:anchorId="4AD8AFCC">
        <v:shape id="WordPictureWatermark1034832" o:spid="_x0000_s1042" type="#_x0000_t75" style="position:absolute;left:0;text-align:left;margin-left:-70.9pt;margin-top:-109.05pt;width:595.1pt;height:869.4pt;z-index:-251658240;mso-position-horizontal-relative:margin;mso-position-vertical-relative:margin" o:allowincell="f">
          <v:imagedata r:id="rId2" o:title="report watermark"/>
          <w10:wrap anchorx="margin" anchory="margin"/>
        </v:shape>
      </w:pict>
    </w:r>
  </w:p>
  <w:p w14:paraId="36822D9C" w14:textId="77777777" w:rsidR="008B3899" w:rsidRDefault="008B3899" w:rsidP="002012F7">
    <w:pPr>
      <w:pStyle w:val="Header"/>
    </w:pPr>
  </w:p>
  <w:p w14:paraId="3B1C7E15" w14:textId="77777777" w:rsidR="008B3899" w:rsidRDefault="008B3899" w:rsidP="002012F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3C57A2" w14:textId="77777777" w:rsidR="0015239E" w:rsidRPr="000465F1" w:rsidRDefault="0015239E" w:rsidP="0015239E">
    <w:pPr>
      <w:pStyle w:val="HeaderDocumentDa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CBB4D0" w14:textId="77777777" w:rsidR="00BF6406" w:rsidRPr="00902EC3" w:rsidRDefault="00BF6406" w:rsidP="00902EC3">
    <w:pPr>
      <w:pStyle w:val="Header"/>
    </w:pPr>
    <w:bookmarkStart w:id="44" w:name="_Hlk514672172"/>
    <w:bookmarkStart w:id="45" w:name="_Hlk514672173"/>
    <w:r w:rsidRPr="00902EC3">
      <w:t>Australian Human Rights Commission</w:t>
    </w:r>
  </w:p>
  <w:bookmarkEnd w:id="44"/>
  <w:bookmarkEnd w:id="45"/>
  <w:p w14:paraId="63E4558B" w14:textId="00D5330F" w:rsidR="002F5E96" w:rsidRDefault="00956AAA" w:rsidP="002F5E96">
    <w:pPr>
      <w:pStyle w:val="HeaderDocumentDate"/>
    </w:pPr>
    <w:r w:rsidRPr="00E131E0">
      <w:rPr>
        <w:rStyle w:val="Reporttitleinheader"/>
        <w:i/>
        <w:iCs/>
      </w:rPr>
      <w:t xml:space="preserve">Mr </w:t>
    </w:r>
    <w:r>
      <w:rPr>
        <w:rStyle w:val="Reporttitleinheader"/>
        <w:i/>
        <w:iCs/>
      </w:rPr>
      <w:t>NR</w:t>
    </w:r>
    <w:r w:rsidRPr="00E131E0">
      <w:rPr>
        <w:rStyle w:val="Reporttitleinheader"/>
        <w:i/>
        <w:iCs/>
      </w:rPr>
      <w:t xml:space="preserve"> v Commonwealth of Australia (Department of Home Affairs)</w:t>
    </w:r>
    <w:r>
      <w:rPr>
        <w:rStyle w:val="Reporttitleinheader"/>
      </w:rPr>
      <w:t xml:space="preserve"> AusHRC 172 </w:t>
    </w:r>
    <w:r w:rsidR="009B1CCE">
      <w:fldChar w:fldCharType="begin"/>
    </w:r>
    <w:r w:rsidR="009B1CCE">
      <w:instrText xml:space="preserve"> CREATEDATE  \@ "MMMM yyyy"  \* MERGEFORMAT </w:instrText>
    </w:r>
    <w:r w:rsidR="009B1CCE">
      <w:fldChar w:fldCharType="separate"/>
    </w:r>
    <w:r w:rsidR="00B10F4B">
      <w:rPr>
        <w:noProof/>
      </w:rPr>
      <w:t>August 2024</w:t>
    </w:r>
    <w:r w:rsidR="009B1CCE">
      <w:fldChar w:fldCharType="end"/>
    </w:r>
  </w:p>
  <w:p w14:paraId="747D8FA2" w14:textId="77777777" w:rsidR="00956AAA" w:rsidRPr="000465F1" w:rsidRDefault="00956AAA" w:rsidP="002F5E96">
    <w:pPr>
      <w:pStyle w:val="HeaderDocumentDa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799B3D" w14:textId="77777777" w:rsidR="0063009F" w:rsidRPr="00F51ECD" w:rsidRDefault="0063009F" w:rsidP="0063009F">
    <w:pPr>
      <w:pStyle w:val="Header"/>
      <w:rPr>
        <w:sz w:val="22"/>
        <w:szCs w:val="22"/>
      </w:rPr>
    </w:pPr>
    <w:r w:rsidRPr="00F51ECD">
      <w:rPr>
        <w:sz w:val="22"/>
        <w:szCs w:val="22"/>
      </w:rPr>
      <w:t>Australian Human Rights Commission</w:t>
    </w:r>
  </w:p>
  <w:p w14:paraId="5F4515DA" w14:textId="53C57379" w:rsidR="0063009F" w:rsidRDefault="00956AAA" w:rsidP="0063009F">
    <w:pPr>
      <w:pStyle w:val="HeaderDocumentDate"/>
    </w:pPr>
    <w:r w:rsidRPr="00E131E0">
      <w:rPr>
        <w:rStyle w:val="Reporttitleinheader"/>
        <w:i/>
        <w:iCs/>
      </w:rPr>
      <w:t xml:space="preserve">Mr </w:t>
    </w:r>
    <w:r>
      <w:rPr>
        <w:rStyle w:val="Reporttitleinheader"/>
        <w:i/>
        <w:iCs/>
      </w:rPr>
      <w:t>NR</w:t>
    </w:r>
    <w:r w:rsidRPr="00E131E0">
      <w:rPr>
        <w:rStyle w:val="Reporttitleinheader"/>
        <w:i/>
        <w:iCs/>
      </w:rPr>
      <w:t xml:space="preserve"> v Commonwealth of Australia (Department of Home Affairs)</w:t>
    </w:r>
    <w:r>
      <w:rPr>
        <w:rStyle w:val="Reporttitleinheader"/>
      </w:rPr>
      <w:t xml:space="preserve"> AusHRC 172 </w:t>
    </w:r>
    <w:r w:rsidR="009B1CCE">
      <w:fldChar w:fldCharType="begin"/>
    </w:r>
    <w:r w:rsidR="009B1CCE">
      <w:instrText xml:space="preserve"> CREATEDATE  \@ "MMMM yyyy"  \* MERGEFORMAT </w:instrText>
    </w:r>
    <w:r w:rsidR="009B1CCE">
      <w:fldChar w:fldCharType="separate"/>
    </w:r>
    <w:r w:rsidR="00B10F4B">
      <w:rPr>
        <w:noProof/>
      </w:rPr>
      <w:t>August 2024</w:t>
    </w:r>
    <w:r w:rsidR="009B1CCE">
      <w:fldChar w:fldCharType="end"/>
    </w:r>
  </w:p>
  <w:p w14:paraId="1B629C3D" w14:textId="77777777" w:rsidR="00956AAA" w:rsidRPr="000465F1" w:rsidRDefault="00956AAA" w:rsidP="0063009F">
    <w:pPr>
      <w:pStyle w:val="HeaderDocumentDa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4E30129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F36045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58AC8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1EC8FA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104E1E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2C21C3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656989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F9C86F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3FE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5D63CBA"/>
    <w:lvl w:ilvl="0">
      <w:start w:val="1"/>
      <w:numFmt w:val="bullet"/>
      <w:pStyle w:val="ListBullet"/>
      <w:lvlText w:val=""/>
      <w:lvlJc w:val="left"/>
      <w:pPr>
        <w:tabs>
          <w:tab w:val="num" w:pos="360"/>
        </w:tabs>
        <w:ind w:left="360" w:hanging="3"/>
      </w:pPr>
      <w:rPr>
        <w:rFonts w:ascii="Symbol" w:hAnsi="Symbol" w:hint="default"/>
      </w:rPr>
    </w:lvl>
  </w:abstractNum>
  <w:abstractNum w:abstractNumId="10" w15:restartNumberingAfterBreak="0">
    <w:nsid w:val="02785881"/>
    <w:multiLevelType w:val="multilevel"/>
    <w:tmpl w:val="0D60825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1" w15:restartNumberingAfterBreak="0">
    <w:nsid w:val="059A15E8"/>
    <w:multiLevelType w:val="hybridMultilevel"/>
    <w:tmpl w:val="3DA8D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99F39D2"/>
    <w:multiLevelType w:val="multilevel"/>
    <w:tmpl w:val="1376D2A8"/>
    <w:styleLink w:val="Style1"/>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3.1.1"/>
      <w:lvlJc w:val="left"/>
      <w:pPr>
        <w:tabs>
          <w:tab w:val="num" w:pos="851"/>
        </w:tabs>
        <w:ind w:left="851" w:hanging="851"/>
      </w:pPr>
      <w:rPr>
        <w:rFonts w:ascii="Times New Roman" w:hAnsi="Times New Roman" w:hint="default"/>
        <w:color w:val="auto"/>
      </w:rPr>
    </w:lvl>
    <w:lvl w:ilvl="3">
      <w:start w:val="1"/>
      <w:numFmt w:val="lowerLetter"/>
      <w:lvlText w:val="(%4)"/>
      <w:lvlJc w:val="left"/>
      <w:pPr>
        <w:tabs>
          <w:tab w:val="num" w:pos="851"/>
        </w:tabs>
        <w:ind w:left="851" w:hanging="851"/>
      </w:pPr>
      <w:rPr>
        <w:rFonts w:hint="default"/>
      </w:rPr>
    </w:lvl>
    <w:lvl w:ilvl="4">
      <w:start w:val="1"/>
      <w:numFmt w:val="lowerRoman"/>
      <w:lvlText w:val="%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3" w15:restartNumberingAfterBreak="0">
    <w:nsid w:val="0B8D5499"/>
    <w:multiLevelType w:val="multilevel"/>
    <w:tmpl w:val="8BE444DC"/>
    <w:styleLink w:val="AHRCReportHeadings"/>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none"/>
      <w:pStyle w:val="AHRCheading5"/>
      <w:lvlText w:val="-"/>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4" w15:restartNumberingAfterBreak="0">
    <w:nsid w:val="0E4809A7"/>
    <w:multiLevelType w:val="hybridMultilevel"/>
    <w:tmpl w:val="EDBCD4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1633D76"/>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13EF78B7"/>
    <w:multiLevelType w:val="multilevel"/>
    <w:tmpl w:val="8F7C2D8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7" w15:restartNumberingAfterBreak="0">
    <w:nsid w:val="16B95AB4"/>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18AA57BB"/>
    <w:multiLevelType w:val="multilevel"/>
    <w:tmpl w:val="4AB0A446"/>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851"/>
        </w:tabs>
        <w:ind w:left="851" w:hanging="851"/>
      </w:pPr>
      <w:rPr>
        <w:rFonts w:hint="default"/>
      </w:rPr>
    </w:lvl>
    <w:lvl w:ilvl="3">
      <w:start w:val="1"/>
      <w:numFmt w:val="lowerRoman"/>
      <w:lvlText w:val="(%4)"/>
      <w:lvlJc w:val="left"/>
      <w:pPr>
        <w:tabs>
          <w:tab w:val="num" w:pos="851"/>
        </w:tabs>
        <w:ind w:left="851" w:hanging="851"/>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9" w15:restartNumberingAfterBreak="0">
    <w:nsid w:val="1DCB237C"/>
    <w:multiLevelType w:val="hybridMultilevel"/>
    <w:tmpl w:val="F6E2FC0A"/>
    <w:lvl w:ilvl="0" w:tplc="A32EC982">
      <w:start w:val="1"/>
      <w:numFmt w:val="decimal"/>
      <w:pStyle w:val="SubmissionNormal"/>
      <w:lvlText w:val="%1."/>
      <w:lvlJc w:val="left"/>
      <w:pPr>
        <w:tabs>
          <w:tab w:val="num" w:pos="720"/>
        </w:tabs>
        <w:ind w:left="720" w:hanging="36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0" w15:restartNumberingAfterBreak="0">
    <w:nsid w:val="21B71560"/>
    <w:multiLevelType w:val="multilevel"/>
    <w:tmpl w:val="0C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1" w15:restartNumberingAfterBreak="0">
    <w:nsid w:val="236A5600"/>
    <w:multiLevelType w:val="hybridMultilevel"/>
    <w:tmpl w:val="AB123EEE"/>
    <w:lvl w:ilvl="0" w:tplc="A9B8A952">
      <w:start w:val="1"/>
      <w:numFmt w:val="decimal"/>
      <w:pStyle w:val="AHRCEndnote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43B1A64"/>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282130BC"/>
    <w:multiLevelType w:val="hybridMultilevel"/>
    <w:tmpl w:val="2848B230"/>
    <w:lvl w:ilvl="0" w:tplc="82BE52F8">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287970A2"/>
    <w:multiLevelType w:val="hybridMultilevel"/>
    <w:tmpl w:val="485EA6EA"/>
    <w:lvl w:ilvl="0" w:tplc="C3DC8B78">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2B4E0873"/>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349031F4"/>
    <w:multiLevelType w:val="hybridMultilevel"/>
    <w:tmpl w:val="19508716"/>
    <w:lvl w:ilvl="0" w:tplc="0C09000F">
      <w:start w:val="1"/>
      <w:numFmt w:val="decimal"/>
      <w:lvlText w:val="%1."/>
      <w:lvlJc w:val="left"/>
      <w:pPr>
        <w:tabs>
          <w:tab w:val="num" w:pos="720"/>
        </w:tabs>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27" w15:restartNumberingAfterBreak="0">
    <w:nsid w:val="3EC42FE8"/>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3ECE19DF"/>
    <w:multiLevelType w:val="multilevel"/>
    <w:tmpl w:val="4F443BA0"/>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61A09E4"/>
    <w:multiLevelType w:val="multilevel"/>
    <w:tmpl w:val="4F443BA0"/>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78E4767"/>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49FF7A73"/>
    <w:multiLevelType w:val="multilevel"/>
    <w:tmpl w:val="B7B64678"/>
    <w:lvl w:ilvl="0">
      <w:start w:val="1"/>
      <w:numFmt w:val="decimal"/>
      <w:pStyle w:val="Heading1"/>
      <w:lvlText w:val="%1"/>
      <w:lvlJc w:val="left"/>
      <w:pPr>
        <w:tabs>
          <w:tab w:val="num" w:pos="851"/>
        </w:tabs>
        <w:ind w:left="851" w:hanging="851"/>
      </w:pPr>
      <w:rPr>
        <w:rFonts w:hint="default"/>
      </w:rPr>
    </w:lvl>
    <w:lvl w:ilvl="1">
      <w:start w:val="1"/>
      <w:numFmt w:val="decimal"/>
      <w:pStyle w:val="Heading2"/>
      <w:lvlText w:val="%1.%2"/>
      <w:lvlJc w:val="left"/>
      <w:pPr>
        <w:tabs>
          <w:tab w:val="num" w:pos="851"/>
        </w:tabs>
        <w:ind w:left="851" w:hanging="851"/>
      </w:pPr>
      <w:rPr>
        <w:rFonts w:hint="default"/>
      </w:rPr>
    </w:lvl>
    <w:lvl w:ilvl="2">
      <w:start w:val="1"/>
      <w:numFmt w:val="lowerLetter"/>
      <w:pStyle w:val="Heading3"/>
      <w:lvlText w:val="(%3)"/>
      <w:lvlJc w:val="left"/>
      <w:pPr>
        <w:tabs>
          <w:tab w:val="num" w:pos="851"/>
        </w:tabs>
        <w:ind w:left="851" w:hanging="851"/>
      </w:pPr>
      <w:rPr>
        <w:rFonts w:hint="default"/>
      </w:rPr>
    </w:lvl>
    <w:lvl w:ilvl="3">
      <w:start w:val="1"/>
      <w:numFmt w:val="lowerRoman"/>
      <w:pStyle w:val="Heading4"/>
      <w:lvlText w:val="(%4)"/>
      <w:lvlJc w:val="left"/>
      <w:pPr>
        <w:tabs>
          <w:tab w:val="num" w:pos="851"/>
        </w:tabs>
        <w:ind w:left="851" w:hanging="851"/>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0"/>
        </w:tabs>
        <w:ind w:left="1008" w:hanging="1008"/>
      </w:pPr>
      <w:rPr>
        <w:rFonts w:hint="default"/>
      </w:rPr>
    </w:lvl>
    <w:lvl w:ilvl="5">
      <w:start w:val="1"/>
      <w:numFmt w:val="decimal"/>
      <w:pStyle w:val="Heading6"/>
      <w:lvlText w:val="%1.%2.%3.%4.%5.%6"/>
      <w:lvlJc w:val="left"/>
      <w:pPr>
        <w:tabs>
          <w:tab w:val="num" w:pos="0"/>
        </w:tabs>
        <w:ind w:left="1152" w:hanging="1152"/>
      </w:pPr>
      <w:rPr>
        <w:rFonts w:hint="default"/>
      </w:rPr>
    </w:lvl>
    <w:lvl w:ilvl="6">
      <w:start w:val="1"/>
      <w:numFmt w:val="decimal"/>
      <w:pStyle w:val="Heading7"/>
      <w:lvlText w:val="%1.%2.%3.%4.%5.%6.%7"/>
      <w:lvlJc w:val="left"/>
      <w:pPr>
        <w:tabs>
          <w:tab w:val="num" w:pos="0"/>
        </w:tabs>
        <w:ind w:left="1296" w:hanging="1296"/>
      </w:pPr>
      <w:rPr>
        <w:rFonts w:hint="default"/>
      </w:rPr>
    </w:lvl>
    <w:lvl w:ilvl="7">
      <w:start w:val="1"/>
      <w:numFmt w:val="decimal"/>
      <w:pStyle w:val="Heading8"/>
      <w:lvlText w:val="%1.%2.%3.%4.%5.%6.%7.%8"/>
      <w:lvlJc w:val="left"/>
      <w:pPr>
        <w:tabs>
          <w:tab w:val="num" w:pos="0"/>
        </w:tabs>
        <w:ind w:left="1440" w:hanging="1440"/>
      </w:pPr>
      <w:rPr>
        <w:rFonts w:hint="default"/>
      </w:rPr>
    </w:lvl>
    <w:lvl w:ilvl="8">
      <w:start w:val="1"/>
      <w:numFmt w:val="decimal"/>
      <w:pStyle w:val="Heading9"/>
      <w:lvlText w:val="%1.%2.%3.%4.%5.%6.%7.%8.%9"/>
      <w:lvlJc w:val="left"/>
      <w:pPr>
        <w:tabs>
          <w:tab w:val="num" w:pos="0"/>
        </w:tabs>
        <w:ind w:left="1584" w:hanging="1584"/>
      </w:pPr>
      <w:rPr>
        <w:rFonts w:hint="default"/>
      </w:rPr>
    </w:lvl>
  </w:abstractNum>
  <w:abstractNum w:abstractNumId="32" w15:restartNumberingAfterBreak="0">
    <w:nsid w:val="4B9008C2"/>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15:restartNumberingAfterBreak="0">
    <w:nsid w:val="4CC612F5"/>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4E4322A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5" w15:restartNumberingAfterBreak="0">
    <w:nsid w:val="4FC33B71"/>
    <w:multiLevelType w:val="hybridMultilevel"/>
    <w:tmpl w:val="6FBA9208"/>
    <w:lvl w:ilvl="0" w:tplc="0C09000F">
      <w:start w:val="1"/>
      <w:numFmt w:val="decimal"/>
      <w:lvlText w:val="%1."/>
      <w:lvlJc w:val="left"/>
      <w:pPr>
        <w:tabs>
          <w:tab w:val="num" w:pos="720"/>
        </w:tabs>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36" w15:restartNumberingAfterBreak="0">
    <w:nsid w:val="539D7D54"/>
    <w:multiLevelType w:val="hybridMultilevel"/>
    <w:tmpl w:val="065E8C4E"/>
    <w:lvl w:ilvl="0" w:tplc="4BF21658">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1AD6B9C"/>
    <w:multiLevelType w:val="multilevel"/>
    <w:tmpl w:val="1376D2A8"/>
    <w:numStyleLink w:val="Style1"/>
  </w:abstractNum>
  <w:abstractNum w:abstractNumId="38" w15:restartNumberingAfterBreak="0">
    <w:nsid w:val="6343539E"/>
    <w:multiLevelType w:val="hybridMultilevel"/>
    <w:tmpl w:val="5110461E"/>
    <w:lvl w:ilvl="0" w:tplc="0C090001">
      <w:start w:val="1"/>
      <w:numFmt w:val="bullet"/>
      <w:lvlText w:val=""/>
      <w:lvlJc w:val="left"/>
      <w:pPr>
        <w:tabs>
          <w:tab w:val="num" w:pos="1080"/>
        </w:tabs>
        <w:ind w:left="1080" w:hanging="360"/>
      </w:pPr>
      <w:rPr>
        <w:rFonts w:ascii="Symbol" w:hAnsi="Symbol" w:hint="default"/>
      </w:r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39" w15:restartNumberingAfterBreak="0">
    <w:nsid w:val="64D628DC"/>
    <w:multiLevelType w:val="hybridMultilevel"/>
    <w:tmpl w:val="809658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22E1368"/>
    <w:multiLevelType w:val="hybridMultilevel"/>
    <w:tmpl w:val="4F443BA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2BC79B0"/>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 w15:restartNumberingAfterBreak="0">
    <w:nsid w:val="74C74663"/>
    <w:multiLevelType w:val="multilevel"/>
    <w:tmpl w:val="BC98960A"/>
    <w:lvl w:ilvl="0">
      <w:start w:val="1"/>
      <w:numFmt w:val="decimal"/>
      <w:pStyle w:val="NumberedParagraph"/>
      <w:lvlText w:val="%1."/>
      <w:lvlJc w:val="left"/>
      <w:pPr>
        <w:tabs>
          <w:tab w:val="num" w:pos="720"/>
        </w:tabs>
        <w:ind w:left="720" w:hanging="720"/>
      </w:pPr>
      <w:rPr>
        <w:rFonts w:ascii="Open Sans" w:hAnsi="Open Sans" w:cs="Open Sans" w:hint="default"/>
        <w:b w:val="0"/>
        <w:i w:val="0"/>
        <w:sz w:val="24"/>
        <w:szCs w:val="24"/>
      </w:rPr>
    </w:lvl>
    <w:lvl w:ilvl="1">
      <w:start w:val="1"/>
      <w:numFmt w:val="bullet"/>
      <w:lvlText w:val=""/>
      <w:lvlJc w:val="left"/>
      <w:pPr>
        <w:ind w:left="1440" w:hanging="360"/>
      </w:pPr>
      <w:rPr>
        <w:rFonts w:ascii="Symbol" w:hAnsi="Symbol" w:hint="default"/>
      </w:rPr>
    </w:lvl>
    <w:lvl w:ilvl="2">
      <w:start w:val="1"/>
      <w:numFmt w:val="lowerRoman"/>
      <w:lvlText w:val="%3."/>
      <w:lvlJc w:val="right"/>
      <w:pPr>
        <w:tabs>
          <w:tab w:val="num" w:pos="2160"/>
        </w:tabs>
        <w:ind w:left="2160" w:hanging="180"/>
      </w:pPr>
      <w:rPr>
        <w:rFonts w:cs="Times New Roman" w:hint="default"/>
      </w:rPr>
    </w:lvl>
    <w:lvl w:ilvl="3">
      <w:start w:val="1"/>
      <w:numFmt w:val="bullet"/>
      <w:lvlText w:val=""/>
      <w:lvlJc w:val="left"/>
      <w:pPr>
        <w:tabs>
          <w:tab w:val="num" w:pos="2880"/>
        </w:tabs>
        <w:ind w:left="2880" w:hanging="360"/>
      </w:pPr>
      <w:rPr>
        <w:rFonts w:ascii="Symbol" w:hAnsi="Symbol"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43" w15:restartNumberingAfterBreak="0">
    <w:nsid w:val="774D1A58"/>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4" w15:restartNumberingAfterBreak="0">
    <w:nsid w:val="7E6B2A3E"/>
    <w:multiLevelType w:val="multilevel"/>
    <w:tmpl w:val="8BE444DC"/>
    <w:numStyleLink w:val="AHRCReportHeadings"/>
  </w:abstractNum>
  <w:num w:numId="1" w16cid:durableId="66193220">
    <w:abstractNumId w:val="24"/>
  </w:num>
  <w:num w:numId="2" w16cid:durableId="1134638733">
    <w:abstractNumId w:val="31"/>
  </w:num>
  <w:num w:numId="3" w16cid:durableId="228349764">
    <w:abstractNumId w:val="36"/>
  </w:num>
  <w:num w:numId="4" w16cid:durableId="282613289">
    <w:abstractNumId w:val="23"/>
  </w:num>
  <w:num w:numId="5" w16cid:durableId="50209229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8852271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642536975">
    <w:abstractNumId w:val="9"/>
  </w:num>
  <w:num w:numId="8" w16cid:durableId="985007447">
    <w:abstractNumId w:val="7"/>
  </w:num>
  <w:num w:numId="9" w16cid:durableId="593243347">
    <w:abstractNumId w:val="6"/>
  </w:num>
  <w:num w:numId="10" w16cid:durableId="1506822829">
    <w:abstractNumId w:val="5"/>
  </w:num>
  <w:num w:numId="11" w16cid:durableId="353699938">
    <w:abstractNumId w:val="4"/>
  </w:num>
  <w:num w:numId="12" w16cid:durableId="1228226007">
    <w:abstractNumId w:val="8"/>
  </w:num>
  <w:num w:numId="13" w16cid:durableId="2031098489">
    <w:abstractNumId w:val="1"/>
  </w:num>
  <w:num w:numId="14" w16cid:durableId="1466197699">
    <w:abstractNumId w:val="0"/>
  </w:num>
  <w:num w:numId="15" w16cid:durableId="941182855">
    <w:abstractNumId w:val="3"/>
  </w:num>
  <w:num w:numId="16" w16cid:durableId="697900807">
    <w:abstractNumId w:val="2"/>
  </w:num>
  <w:num w:numId="17" w16cid:durableId="784228331">
    <w:abstractNumId w:val="34"/>
  </w:num>
  <w:num w:numId="18" w16cid:durableId="826288606">
    <w:abstractNumId w:val="27"/>
  </w:num>
  <w:num w:numId="19" w16cid:durableId="682443194">
    <w:abstractNumId w:val="20"/>
  </w:num>
  <w:num w:numId="20" w16cid:durableId="1137646487">
    <w:abstractNumId w:val="40"/>
  </w:num>
  <w:num w:numId="21" w16cid:durableId="722565189">
    <w:abstractNumId w:val="29"/>
  </w:num>
  <w:num w:numId="22" w16cid:durableId="332728316">
    <w:abstractNumId w:val="28"/>
  </w:num>
  <w:num w:numId="23" w16cid:durableId="1509901559">
    <w:abstractNumId w:val="43"/>
  </w:num>
  <w:num w:numId="24" w16cid:durableId="905382191">
    <w:abstractNumId w:val="15"/>
  </w:num>
  <w:num w:numId="25" w16cid:durableId="41444115">
    <w:abstractNumId w:val="41"/>
  </w:num>
  <w:num w:numId="26" w16cid:durableId="1643539099">
    <w:abstractNumId w:val="30"/>
  </w:num>
  <w:num w:numId="27" w16cid:durableId="894513314">
    <w:abstractNumId w:val="17"/>
  </w:num>
  <w:num w:numId="28" w16cid:durableId="1541284774">
    <w:abstractNumId w:val="22"/>
  </w:num>
  <w:num w:numId="29" w16cid:durableId="1837071417">
    <w:abstractNumId w:val="33"/>
  </w:num>
  <w:num w:numId="30" w16cid:durableId="1685932278">
    <w:abstractNumId w:val="32"/>
  </w:num>
  <w:num w:numId="31" w16cid:durableId="208367225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0454374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05887489">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854222529">
    <w:abstractNumId w:val="25"/>
  </w:num>
  <w:num w:numId="35" w16cid:durableId="2037461357">
    <w:abstractNumId w:val="38"/>
  </w:num>
  <w:num w:numId="36" w16cid:durableId="1160081347">
    <w:abstractNumId w:val="19"/>
  </w:num>
  <w:num w:numId="37" w16cid:durableId="1820805121">
    <w:abstractNumId w:val="10"/>
  </w:num>
  <w:num w:numId="38" w16cid:durableId="1751462835">
    <w:abstractNumId w:val="9"/>
    <w:lvlOverride w:ilvl="0">
      <w:startOverride w:val="1"/>
    </w:lvlOverride>
  </w:num>
  <w:num w:numId="39" w16cid:durableId="1441026430">
    <w:abstractNumId w:val="12"/>
  </w:num>
  <w:num w:numId="40" w16cid:durableId="212932877">
    <w:abstractNumId w:val="37"/>
  </w:num>
  <w:num w:numId="41" w16cid:durableId="1419212918">
    <w:abstractNumId w:val="16"/>
  </w:num>
  <w:num w:numId="42" w16cid:durableId="318507080">
    <w:abstractNumId w:val="18"/>
  </w:num>
  <w:num w:numId="43" w16cid:durableId="743915631">
    <w:abstractNumId w:val="13"/>
  </w:num>
  <w:num w:numId="44" w16cid:durableId="975179838">
    <w:abstractNumId w:val="44"/>
  </w:num>
  <w:num w:numId="45" w16cid:durableId="404647210">
    <w:abstractNumId w:val="14"/>
  </w:num>
  <w:num w:numId="46" w16cid:durableId="1352759784">
    <w:abstractNumId w:val="39"/>
  </w:num>
  <w:num w:numId="47" w16cid:durableId="1645237067">
    <w:abstractNumId w:val="11"/>
  </w:num>
  <w:num w:numId="48" w16cid:durableId="1244954411">
    <w:abstractNumId w:val="21"/>
  </w:num>
  <w:num w:numId="49" w16cid:durableId="1106316720">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removePersonalInformation/>
  <w:removeDateAndTime/>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0"/>
  <w:documentProtection w:edit="trackedChanges" w:formatting="1" w:enforcement="0"/>
  <w:defaultTabStop w:val="720"/>
  <w:evenAndOddHeaders/>
  <w:drawingGridHorizontalSpacing w:val="120"/>
  <w:displayHorizontalDrawingGridEvery w:val="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6AAA"/>
    <w:rsid w:val="000015EC"/>
    <w:rsid w:val="00003EA5"/>
    <w:rsid w:val="000042CD"/>
    <w:rsid w:val="000161C2"/>
    <w:rsid w:val="0002476A"/>
    <w:rsid w:val="000341D9"/>
    <w:rsid w:val="00036BE4"/>
    <w:rsid w:val="000430B8"/>
    <w:rsid w:val="00045712"/>
    <w:rsid w:val="00045C4B"/>
    <w:rsid w:val="000465F1"/>
    <w:rsid w:val="000534AC"/>
    <w:rsid w:val="0005566C"/>
    <w:rsid w:val="000579B1"/>
    <w:rsid w:val="00061C6C"/>
    <w:rsid w:val="00065EEA"/>
    <w:rsid w:val="00066C68"/>
    <w:rsid w:val="00072B2E"/>
    <w:rsid w:val="00072EDA"/>
    <w:rsid w:val="00092868"/>
    <w:rsid w:val="000A1DB8"/>
    <w:rsid w:val="000A2864"/>
    <w:rsid w:val="000A48AC"/>
    <w:rsid w:val="000A520E"/>
    <w:rsid w:val="000B0603"/>
    <w:rsid w:val="000B0A5D"/>
    <w:rsid w:val="000B4B21"/>
    <w:rsid w:val="000B5B68"/>
    <w:rsid w:val="000C5608"/>
    <w:rsid w:val="000C5DA6"/>
    <w:rsid w:val="000E130A"/>
    <w:rsid w:val="000E4BAC"/>
    <w:rsid w:val="000F2156"/>
    <w:rsid w:val="000F5A3A"/>
    <w:rsid w:val="00107744"/>
    <w:rsid w:val="00112186"/>
    <w:rsid w:val="00134774"/>
    <w:rsid w:val="00140274"/>
    <w:rsid w:val="00143103"/>
    <w:rsid w:val="00151263"/>
    <w:rsid w:val="0015239E"/>
    <w:rsid w:val="0016266F"/>
    <w:rsid w:val="00162A8D"/>
    <w:rsid w:val="001647D8"/>
    <w:rsid w:val="00165E3C"/>
    <w:rsid w:val="001664F5"/>
    <w:rsid w:val="00173FB5"/>
    <w:rsid w:val="00174D9A"/>
    <w:rsid w:val="001761E6"/>
    <w:rsid w:val="001839D6"/>
    <w:rsid w:val="00195EDE"/>
    <w:rsid w:val="00197D76"/>
    <w:rsid w:val="001B0353"/>
    <w:rsid w:val="001C1F8B"/>
    <w:rsid w:val="001D0285"/>
    <w:rsid w:val="001D327F"/>
    <w:rsid w:val="001E3D61"/>
    <w:rsid w:val="001E45BA"/>
    <w:rsid w:val="001E5676"/>
    <w:rsid w:val="001E6577"/>
    <w:rsid w:val="001E7271"/>
    <w:rsid w:val="001F2BBB"/>
    <w:rsid w:val="001F52FD"/>
    <w:rsid w:val="001F62CC"/>
    <w:rsid w:val="00200677"/>
    <w:rsid w:val="002012F7"/>
    <w:rsid w:val="002027F6"/>
    <w:rsid w:val="0020576C"/>
    <w:rsid w:val="002068EB"/>
    <w:rsid w:val="002148E5"/>
    <w:rsid w:val="00214DB2"/>
    <w:rsid w:val="002254C1"/>
    <w:rsid w:val="00231ED1"/>
    <w:rsid w:val="002329AE"/>
    <w:rsid w:val="002411B3"/>
    <w:rsid w:val="00241523"/>
    <w:rsid w:val="00242624"/>
    <w:rsid w:val="002439A6"/>
    <w:rsid w:val="0024557E"/>
    <w:rsid w:val="002471FD"/>
    <w:rsid w:val="0025176E"/>
    <w:rsid w:val="00257344"/>
    <w:rsid w:val="002632EA"/>
    <w:rsid w:val="00266697"/>
    <w:rsid w:val="00275C6E"/>
    <w:rsid w:val="002834BB"/>
    <w:rsid w:val="002845A6"/>
    <w:rsid w:val="0028506A"/>
    <w:rsid w:val="002850B0"/>
    <w:rsid w:val="002863D7"/>
    <w:rsid w:val="002873B4"/>
    <w:rsid w:val="00291B97"/>
    <w:rsid w:val="00292AB5"/>
    <w:rsid w:val="00292F24"/>
    <w:rsid w:val="00293FB5"/>
    <w:rsid w:val="00296871"/>
    <w:rsid w:val="002A43C2"/>
    <w:rsid w:val="002B1B65"/>
    <w:rsid w:val="002B3F77"/>
    <w:rsid w:val="002B4686"/>
    <w:rsid w:val="002C02DB"/>
    <w:rsid w:val="002C1866"/>
    <w:rsid w:val="002C5943"/>
    <w:rsid w:val="002E2FF7"/>
    <w:rsid w:val="002E4D74"/>
    <w:rsid w:val="002E5A1B"/>
    <w:rsid w:val="002F4CE1"/>
    <w:rsid w:val="002F5E96"/>
    <w:rsid w:val="0030053D"/>
    <w:rsid w:val="00300F22"/>
    <w:rsid w:val="003026A0"/>
    <w:rsid w:val="00304441"/>
    <w:rsid w:val="00304A37"/>
    <w:rsid w:val="0031040E"/>
    <w:rsid w:val="00310ED4"/>
    <w:rsid w:val="00312301"/>
    <w:rsid w:val="0031492A"/>
    <w:rsid w:val="00316C1A"/>
    <w:rsid w:val="00321095"/>
    <w:rsid w:val="00322E8B"/>
    <w:rsid w:val="00323C73"/>
    <w:rsid w:val="00331141"/>
    <w:rsid w:val="00333204"/>
    <w:rsid w:val="003423F4"/>
    <w:rsid w:val="00344758"/>
    <w:rsid w:val="00347142"/>
    <w:rsid w:val="00350D1B"/>
    <w:rsid w:val="003565A8"/>
    <w:rsid w:val="003566EA"/>
    <w:rsid w:val="0036611F"/>
    <w:rsid w:val="003724A9"/>
    <w:rsid w:val="00372C79"/>
    <w:rsid w:val="00396C2D"/>
    <w:rsid w:val="003A09BB"/>
    <w:rsid w:val="003A168E"/>
    <w:rsid w:val="003A1DAD"/>
    <w:rsid w:val="003A48B7"/>
    <w:rsid w:val="003A6E24"/>
    <w:rsid w:val="003B251F"/>
    <w:rsid w:val="003B4931"/>
    <w:rsid w:val="003E52DB"/>
    <w:rsid w:val="003E5DEF"/>
    <w:rsid w:val="003E65F1"/>
    <w:rsid w:val="003F5145"/>
    <w:rsid w:val="0040497E"/>
    <w:rsid w:val="00420EEE"/>
    <w:rsid w:val="00422417"/>
    <w:rsid w:val="00423533"/>
    <w:rsid w:val="00424233"/>
    <w:rsid w:val="0043077C"/>
    <w:rsid w:val="00431F53"/>
    <w:rsid w:val="00432EBB"/>
    <w:rsid w:val="00434945"/>
    <w:rsid w:val="004376B9"/>
    <w:rsid w:val="004400A7"/>
    <w:rsid w:val="00442236"/>
    <w:rsid w:val="00445CB5"/>
    <w:rsid w:val="00460EE0"/>
    <w:rsid w:val="004667D2"/>
    <w:rsid w:val="00467F2E"/>
    <w:rsid w:val="004712FB"/>
    <w:rsid w:val="00471BB7"/>
    <w:rsid w:val="00472EFF"/>
    <w:rsid w:val="00474063"/>
    <w:rsid w:val="00475F1A"/>
    <w:rsid w:val="00476793"/>
    <w:rsid w:val="00481B2A"/>
    <w:rsid w:val="00482091"/>
    <w:rsid w:val="00494AAE"/>
    <w:rsid w:val="004A187B"/>
    <w:rsid w:val="004A24A5"/>
    <w:rsid w:val="004A2D3C"/>
    <w:rsid w:val="004A5303"/>
    <w:rsid w:val="004A6716"/>
    <w:rsid w:val="004C22C8"/>
    <w:rsid w:val="004C7412"/>
    <w:rsid w:val="004D04BF"/>
    <w:rsid w:val="004E0DFF"/>
    <w:rsid w:val="004F1C7C"/>
    <w:rsid w:val="004F48C2"/>
    <w:rsid w:val="005078E6"/>
    <w:rsid w:val="00510390"/>
    <w:rsid w:val="005123F0"/>
    <w:rsid w:val="00513540"/>
    <w:rsid w:val="00513941"/>
    <w:rsid w:val="00513B1A"/>
    <w:rsid w:val="00516A87"/>
    <w:rsid w:val="0052212D"/>
    <w:rsid w:val="0053051D"/>
    <w:rsid w:val="00541DAA"/>
    <w:rsid w:val="00547A14"/>
    <w:rsid w:val="00561019"/>
    <w:rsid w:val="00564208"/>
    <w:rsid w:val="00567A4B"/>
    <w:rsid w:val="00571CEB"/>
    <w:rsid w:val="00591951"/>
    <w:rsid w:val="00592D1C"/>
    <w:rsid w:val="005A0964"/>
    <w:rsid w:val="005A2F77"/>
    <w:rsid w:val="005B36F6"/>
    <w:rsid w:val="005C2ECF"/>
    <w:rsid w:val="005C45A4"/>
    <w:rsid w:val="005C5D41"/>
    <w:rsid w:val="005C7982"/>
    <w:rsid w:val="005D1F34"/>
    <w:rsid w:val="005D26E9"/>
    <w:rsid w:val="005D383D"/>
    <w:rsid w:val="005D4ED1"/>
    <w:rsid w:val="005F268E"/>
    <w:rsid w:val="00601A09"/>
    <w:rsid w:val="0061093A"/>
    <w:rsid w:val="00616F88"/>
    <w:rsid w:val="00622508"/>
    <w:rsid w:val="00622F4D"/>
    <w:rsid w:val="00630098"/>
    <w:rsid w:val="0063009F"/>
    <w:rsid w:val="0063301C"/>
    <w:rsid w:val="006356C5"/>
    <w:rsid w:val="00644B30"/>
    <w:rsid w:val="00645261"/>
    <w:rsid w:val="00650E26"/>
    <w:rsid w:val="00654793"/>
    <w:rsid w:val="00655BF2"/>
    <w:rsid w:val="00664316"/>
    <w:rsid w:val="00691E8A"/>
    <w:rsid w:val="00696AB3"/>
    <w:rsid w:val="006A6BB3"/>
    <w:rsid w:val="006B3DE1"/>
    <w:rsid w:val="006C0642"/>
    <w:rsid w:val="006D0407"/>
    <w:rsid w:val="006D5EE5"/>
    <w:rsid w:val="006E02B4"/>
    <w:rsid w:val="006E616B"/>
    <w:rsid w:val="006E6C0A"/>
    <w:rsid w:val="006E6D3B"/>
    <w:rsid w:val="00714FF5"/>
    <w:rsid w:val="007215DE"/>
    <w:rsid w:val="00730BD2"/>
    <w:rsid w:val="00731102"/>
    <w:rsid w:val="007540BF"/>
    <w:rsid w:val="0075445D"/>
    <w:rsid w:val="007637A8"/>
    <w:rsid w:val="00765B58"/>
    <w:rsid w:val="00770DCB"/>
    <w:rsid w:val="00775485"/>
    <w:rsid w:val="00783532"/>
    <w:rsid w:val="007846B5"/>
    <w:rsid w:val="0079569D"/>
    <w:rsid w:val="007B06EA"/>
    <w:rsid w:val="007B17AB"/>
    <w:rsid w:val="007B444D"/>
    <w:rsid w:val="007C5CF6"/>
    <w:rsid w:val="007D2F00"/>
    <w:rsid w:val="007D71AC"/>
    <w:rsid w:val="007E5B88"/>
    <w:rsid w:val="007F0C57"/>
    <w:rsid w:val="007F0D0B"/>
    <w:rsid w:val="008007A8"/>
    <w:rsid w:val="008023BE"/>
    <w:rsid w:val="008042D9"/>
    <w:rsid w:val="00814FC0"/>
    <w:rsid w:val="00817C73"/>
    <w:rsid w:val="00823005"/>
    <w:rsid w:val="00826B0B"/>
    <w:rsid w:val="008449B9"/>
    <w:rsid w:val="00847191"/>
    <w:rsid w:val="00850E3C"/>
    <w:rsid w:val="0086254F"/>
    <w:rsid w:val="008724DE"/>
    <w:rsid w:val="008758D9"/>
    <w:rsid w:val="00882B0A"/>
    <w:rsid w:val="008A3D57"/>
    <w:rsid w:val="008A7305"/>
    <w:rsid w:val="008A7EFF"/>
    <w:rsid w:val="008B23BC"/>
    <w:rsid w:val="008B3899"/>
    <w:rsid w:val="008C2A31"/>
    <w:rsid w:val="008C5173"/>
    <w:rsid w:val="008C778D"/>
    <w:rsid w:val="008E328C"/>
    <w:rsid w:val="008E3B6A"/>
    <w:rsid w:val="008E3D60"/>
    <w:rsid w:val="008E3F4C"/>
    <w:rsid w:val="008E78F0"/>
    <w:rsid w:val="008F062E"/>
    <w:rsid w:val="0090165F"/>
    <w:rsid w:val="00901B82"/>
    <w:rsid w:val="00902EC3"/>
    <w:rsid w:val="00906E47"/>
    <w:rsid w:val="009079CD"/>
    <w:rsid w:val="00912B09"/>
    <w:rsid w:val="0091693F"/>
    <w:rsid w:val="0091791D"/>
    <w:rsid w:val="009265B2"/>
    <w:rsid w:val="00934E5F"/>
    <w:rsid w:val="009432CF"/>
    <w:rsid w:val="00947A02"/>
    <w:rsid w:val="00952A0B"/>
    <w:rsid w:val="00956AAA"/>
    <w:rsid w:val="00961135"/>
    <w:rsid w:val="00966C2F"/>
    <w:rsid w:val="0096742A"/>
    <w:rsid w:val="0097512B"/>
    <w:rsid w:val="00975B0E"/>
    <w:rsid w:val="00982404"/>
    <w:rsid w:val="0099017A"/>
    <w:rsid w:val="00990B81"/>
    <w:rsid w:val="009A1259"/>
    <w:rsid w:val="009B1CCE"/>
    <w:rsid w:val="009B2C22"/>
    <w:rsid w:val="009C6A03"/>
    <w:rsid w:val="009D2D3E"/>
    <w:rsid w:val="009D3B49"/>
    <w:rsid w:val="009D4F31"/>
    <w:rsid w:val="009D634E"/>
    <w:rsid w:val="009D67F6"/>
    <w:rsid w:val="009E08D1"/>
    <w:rsid w:val="009E0FE1"/>
    <w:rsid w:val="009E4BD0"/>
    <w:rsid w:val="009F00BC"/>
    <w:rsid w:val="009F2764"/>
    <w:rsid w:val="009F36C0"/>
    <w:rsid w:val="00A0406E"/>
    <w:rsid w:val="00A05686"/>
    <w:rsid w:val="00A10406"/>
    <w:rsid w:val="00A11307"/>
    <w:rsid w:val="00A13943"/>
    <w:rsid w:val="00A13AF3"/>
    <w:rsid w:val="00A16C08"/>
    <w:rsid w:val="00A21388"/>
    <w:rsid w:val="00A23255"/>
    <w:rsid w:val="00A24381"/>
    <w:rsid w:val="00A27791"/>
    <w:rsid w:val="00A27ABE"/>
    <w:rsid w:val="00A31330"/>
    <w:rsid w:val="00A355F9"/>
    <w:rsid w:val="00A372B3"/>
    <w:rsid w:val="00A41355"/>
    <w:rsid w:val="00A437B6"/>
    <w:rsid w:val="00A43B92"/>
    <w:rsid w:val="00A47BCC"/>
    <w:rsid w:val="00A51C1D"/>
    <w:rsid w:val="00A54251"/>
    <w:rsid w:val="00A6179E"/>
    <w:rsid w:val="00A64316"/>
    <w:rsid w:val="00A706D9"/>
    <w:rsid w:val="00A75003"/>
    <w:rsid w:val="00A804D9"/>
    <w:rsid w:val="00A8362A"/>
    <w:rsid w:val="00A83D47"/>
    <w:rsid w:val="00A8573B"/>
    <w:rsid w:val="00A92915"/>
    <w:rsid w:val="00A92D96"/>
    <w:rsid w:val="00A92F92"/>
    <w:rsid w:val="00A96892"/>
    <w:rsid w:val="00AA2051"/>
    <w:rsid w:val="00AA70C4"/>
    <w:rsid w:val="00AA7DF8"/>
    <w:rsid w:val="00AB7C8F"/>
    <w:rsid w:val="00AC2192"/>
    <w:rsid w:val="00AC636D"/>
    <w:rsid w:val="00AD5F89"/>
    <w:rsid w:val="00AE5803"/>
    <w:rsid w:val="00AF1681"/>
    <w:rsid w:val="00AF49C7"/>
    <w:rsid w:val="00B00F61"/>
    <w:rsid w:val="00B10F4B"/>
    <w:rsid w:val="00B17A7E"/>
    <w:rsid w:val="00B22963"/>
    <w:rsid w:val="00B237FB"/>
    <w:rsid w:val="00B24B1D"/>
    <w:rsid w:val="00B26C33"/>
    <w:rsid w:val="00B277E0"/>
    <w:rsid w:val="00B34946"/>
    <w:rsid w:val="00B519FD"/>
    <w:rsid w:val="00B520BC"/>
    <w:rsid w:val="00B5287A"/>
    <w:rsid w:val="00B539CC"/>
    <w:rsid w:val="00B6243B"/>
    <w:rsid w:val="00B63D24"/>
    <w:rsid w:val="00B822C5"/>
    <w:rsid w:val="00B82C35"/>
    <w:rsid w:val="00B924E6"/>
    <w:rsid w:val="00B93F2A"/>
    <w:rsid w:val="00B94A06"/>
    <w:rsid w:val="00B94C23"/>
    <w:rsid w:val="00BA23E3"/>
    <w:rsid w:val="00BA262D"/>
    <w:rsid w:val="00BA5698"/>
    <w:rsid w:val="00BB3A8E"/>
    <w:rsid w:val="00BC508E"/>
    <w:rsid w:val="00BC79EB"/>
    <w:rsid w:val="00BD7FCF"/>
    <w:rsid w:val="00BF19FD"/>
    <w:rsid w:val="00BF1AB8"/>
    <w:rsid w:val="00BF6406"/>
    <w:rsid w:val="00C0344A"/>
    <w:rsid w:val="00C064DC"/>
    <w:rsid w:val="00C07F96"/>
    <w:rsid w:val="00C132CA"/>
    <w:rsid w:val="00C149BD"/>
    <w:rsid w:val="00C23AAB"/>
    <w:rsid w:val="00C25BDA"/>
    <w:rsid w:val="00C33104"/>
    <w:rsid w:val="00C332D4"/>
    <w:rsid w:val="00C4122C"/>
    <w:rsid w:val="00C44AE3"/>
    <w:rsid w:val="00C471D1"/>
    <w:rsid w:val="00C51011"/>
    <w:rsid w:val="00C560AC"/>
    <w:rsid w:val="00C5781C"/>
    <w:rsid w:val="00C60036"/>
    <w:rsid w:val="00C60343"/>
    <w:rsid w:val="00C63EAA"/>
    <w:rsid w:val="00C7387B"/>
    <w:rsid w:val="00C854D4"/>
    <w:rsid w:val="00C90556"/>
    <w:rsid w:val="00CA0D78"/>
    <w:rsid w:val="00CA4855"/>
    <w:rsid w:val="00CA5D90"/>
    <w:rsid w:val="00CB24FE"/>
    <w:rsid w:val="00CB71A1"/>
    <w:rsid w:val="00CC2AA0"/>
    <w:rsid w:val="00CC4730"/>
    <w:rsid w:val="00CD58FD"/>
    <w:rsid w:val="00CD73FF"/>
    <w:rsid w:val="00CD7AA4"/>
    <w:rsid w:val="00CE4078"/>
    <w:rsid w:val="00CF52CF"/>
    <w:rsid w:val="00CF66B5"/>
    <w:rsid w:val="00D03307"/>
    <w:rsid w:val="00D153C5"/>
    <w:rsid w:val="00D16774"/>
    <w:rsid w:val="00D23F1C"/>
    <w:rsid w:val="00D343FA"/>
    <w:rsid w:val="00D418FF"/>
    <w:rsid w:val="00D65C76"/>
    <w:rsid w:val="00D734C7"/>
    <w:rsid w:val="00D73612"/>
    <w:rsid w:val="00D7542B"/>
    <w:rsid w:val="00D75DF9"/>
    <w:rsid w:val="00D76C7E"/>
    <w:rsid w:val="00D8351F"/>
    <w:rsid w:val="00DA1D32"/>
    <w:rsid w:val="00DA2F73"/>
    <w:rsid w:val="00DA7A55"/>
    <w:rsid w:val="00DC307B"/>
    <w:rsid w:val="00DC343B"/>
    <w:rsid w:val="00DC462F"/>
    <w:rsid w:val="00DC499A"/>
    <w:rsid w:val="00DD604A"/>
    <w:rsid w:val="00DD6A21"/>
    <w:rsid w:val="00DE06BD"/>
    <w:rsid w:val="00DE18A7"/>
    <w:rsid w:val="00DE2EFB"/>
    <w:rsid w:val="00DE60CA"/>
    <w:rsid w:val="00DF01B6"/>
    <w:rsid w:val="00DF28F1"/>
    <w:rsid w:val="00E02517"/>
    <w:rsid w:val="00E05455"/>
    <w:rsid w:val="00E120A7"/>
    <w:rsid w:val="00E1290D"/>
    <w:rsid w:val="00E14833"/>
    <w:rsid w:val="00E1675F"/>
    <w:rsid w:val="00E16DDD"/>
    <w:rsid w:val="00E234CE"/>
    <w:rsid w:val="00E23DB3"/>
    <w:rsid w:val="00E24FA3"/>
    <w:rsid w:val="00E26B28"/>
    <w:rsid w:val="00E31465"/>
    <w:rsid w:val="00E328CD"/>
    <w:rsid w:val="00E3489E"/>
    <w:rsid w:val="00E3546C"/>
    <w:rsid w:val="00E362F0"/>
    <w:rsid w:val="00E36B95"/>
    <w:rsid w:val="00E4003F"/>
    <w:rsid w:val="00E4291A"/>
    <w:rsid w:val="00E436CE"/>
    <w:rsid w:val="00E44115"/>
    <w:rsid w:val="00E44A1C"/>
    <w:rsid w:val="00E458F6"/>
    <w:rsid w:val="00E45954"/>
    <w:rsid w:val="00E46704"/>
    <w:rsid w:val="00E53546"/>
    <w:rsid w:val="00E55F24"/>
    <w:rsid w:val="00E600D3"/>
    <w:rsid w:val="00E60C48"/>
    <w:rsid w:val="00E6269E"/>
    <w:rsid w:val="00E74601"/>
    <w:rsid w:val="00E8257F"/>
    <w:rsid w:val="00EA44D9"/>
    <w:rsid w:val="00EA7B73"/>
    <w:rsid w:val="00EB6A76"/>
    <w:rsid w:val="00ED18B2"/>
    <w:rsid w:val="00ED201C"/>
    <w:rsid w:val="00ED6EDE"/>
    <w:rsid w:val="00EE6C27"/>
    <w:rsid w:val="00EE6ED3"/>
    <w:rsid w:val="00EF155E"/>
    <w:rsid w:val="00EF1F25"/>
    <w:rsid w:val="00EF5263"/>
    <w:rsid w:val="00F0799D"/>
    <w:rsid w:val="00F107A0"/>
    <w:rsid w:val="00F127A8"/>
    <w:rsid w:val="00F14C6D"/>
    <w:rsid w:val="00F220A5"/>
    <w:rsid w:val="00F34362"/>
    <w:rsid w:val="00F34BC9"/>
    <w:rsid w:val="00F513AE"/>
    <w:rsid w:val="00F51ECD"/>
    <w:rsid w:val="00F81458"/>
    <w:rsid w:val="00F8302E"/>
    <w:rsid w:val="00F86DAB"/>
    <w:rsid w:val="00FA22A8"/>
    <w:rsid w:val="00FA4916"/>
    <w:rsid w:val="00FA4C56"/>
    <w:rsid w:val="00FA579B"/>
    <w:rsid w:val="00FA7E5C"/>
    <w:rsid w:val="00FB11A7"/>
    <w:rsid w:val="00FB193D"/>
    <w:rsid w:val="00FB3422"/>
    <w:rsid w:val="00FC7AA2"/>
    <w:rsid w:val="00FD01B5"/>
    <w:rsid w:val="00FD0E8B"/>
    <w:rsid w:val="00FD5BF0"/>
    <w:rsid w:val="00FD6475"/>
    <w:rsid w:val="00FD76A4"/>
    <w:rsid w:val="00FE09D3"/>
    <w:rsid w:val="136DFAD2"/>
    <w:rsid w:val="453FD2E0"/>
    <w:rsid w:val="53E5B90E"/>
    <w:rsid w:val="579BB5D2"/>
    <w:rsid w:val="68046493"/>
    <w:rsid w:val="71BF237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D0D60D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AU" w:eastAsia="en-AU" w:bidi="ar-SA"/>
      </w:rPr>
    </w:rPrDefault>
    <w:pPrDefault/>
  </w:docDefaults>
  <w:latentStyles w:defLockedState="1" w:defUIPriority="0" w:defSemiHidden="0" w:defUnhideWhenUsed="0" w:defQFormat="0" w:count="376">
    <w:lsdException w:name="Normal" w:locked="0" w:qFormat="1"/>
    <w:lsdException w:name="heading 1" w:locked="0"/>
    <w:lsdException w:name="heading 2" w:locked="0"/>
    <w:lsdException w:name="heading 3" w:locked="0"/>
    <w:lsdException w:name="heading 4" w:locked="0"/>
    <w:lsdException w:name="heading 5" w:locked="0"/>
    <w:lsdException w:name="heading 6" w:locked="0"/>
    <w:lsdException w:name="heading 7" w:locked="0"/>
    <w:lsdException w:name="heading 8" w:locked="0"/>
    <w:lsdException w:name="heading 9" w:locked="0"/>
    <w:lsdException w:name="toc 1" w:locked="0" w:uiPriority="39"/>
    <w:lsdException w:name="toc 2" w:locked="0" w:uiPriority="39"/>
    <w:lsdException w:name="toc 3" w:locked="0" w:uiPriority="39"/>
    <w:lsdException w:name="toc 4" w:locked="0" w:uiPriority="39"/>
    <w:lsdException w:name="header" w:locked="0" w:qFormat="1"/>
    <w:lsdException w:name="footer" w:locked="0" w:uiPriority="99"/>
    <w:lsdException w:name="caption" w:semiHidden="1" w:unhideWhenUsed="1" w:qFormat="1"/>
    <w:lsdException w:name="endnote reference" w:locked="0" w:uiPriority="99" w:qFormat="1"/>
    <w:lsdException w:name="endnote text" w:locked="0" w:uiPriority="99" w:qFormat="1"/>
    <w:lsdException w:name="List Bullet" w:qFormat="1"/>
    <w:lsdException w:name="List Number" w:qFormat="1"/>
    <w:lsdException w:name="Default Paragraph Font" w:locked="0"/>
    <w:lsdException w:name="Body Text" w:uiPriority="1" w:qFormat="1"/>
    <w:lsdException w:name="List Continue 4" w:locked="0"/>
    <w:lsdException w:name="Hyperlink" w:locked="0" w:uiPriority="99"/>
    <w:lsdException w:name="Strong" w:locked="0"/>
    <w:lsdException w:name="HTML Top of Form" w:locked="0"/>
    <w:lsdException w:name="HTML Bottom of Form" w:locked="0"/>
    <w:lsdException w:name="HTML Keyboard"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locked="0" w:semiHidden="1" w:uiPriority="99"/>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locked="0" w:uiPriority="34"/>
    <w:lsdException w:name="Quote" w:locked="0" w:qFormat="1"/>
    <w:lsdException w:name="Intense Quote" w:locked="0"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lsdException w:name="Intense Emphasis" w:locked="0" w:uiPriority="21"/>
    <w:lsdException w:name="Subtle Reference" w:locked="0" w:uiPriority="31"/>
    <w:lsdException w:name="Intense Reference" w:locked="0" w:uiPriority="32"/>
    <w:lsdException w:name="Book Title" w:locked="0" w:uiPriority="33"/>
    <w:lsdException w:name="Bibliography" w:locked="0" w:semiHidden="1" w:uiPriority="37" w:unhideWhenUsed="1"/>
    <w:lsdException w:name="TOC Heading" w:locked="0" w:semiHidden="1" w:uiPriority="39" w:unhideWhenUsed="1"/>
    <w:lsdException w:name="Plain Table 1" w:locked="0"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aliases w:val="AHRC plain text"/>
    <w:qFormat/>
    <w:rsid w:val="00E53546"/>
    <w:pPr>
      <w:spacing w:before="240" w:after="240"/>
    </w:pPr>
    <w:rPr>
      <w:rFonts w:ascii="Open Sans" w:eastAsia="MS Mincho" w:hAnsi="Open Sans"/>
      <w:sz w:val="24"/>
      <w:szCs w:val="24"/>
    </w:rPr>
  </w:style>
  <w:style w:type="paragraph" w:styleId="Heading1">
    <w:name w:val="heading 1"/>
    <w:basedOn w:val="Normal"/>
    <w:next w:val="Normal"/>
    <w:link w:val="Heading1Char"/>
    <w:rsid w:val="005C2ECF"/>
    <w:pPr>
      <w:keepNext/>
      <w:keepLines/>
      <w:numPr>
        <w:numId w:val="2"/>
      </w:numPr>
      <w:spacing w:before="360"/>
      <w:outlineLvl w:val="0"/>
    </w:pPr>
    <w:rPr>
      <w:b/>
      <w:bCs/>
      <w:sz w:val="36"/>
      <w:szCs w:val="28"/>
    </w:rPr>
  </w:style>
  <w:style w:type="paragraph" w:styleId="Heading2">
    <w:name w:val="heading 2"/>
    <w:basedOn w:val="Heading1"/>
    <w:next w:val="Normal"/>
    <w:link w:val="Heading2Char"/>
    <w:rsid w:val="00BA23E3"/>
    <w:pPr>
      <w:numPr>
        <w:ilvl w:val="1"/>
      </w:numPr>
      <w:outlineLvl w:val="1"/>
    </w:pPr>
    <w:rPr>
      <w:bCs w:val="0"/>
      <w:sz w:val="32"/>
      <w:szCs w:val="26"/>
    </w:rPr>
  </w:style>
  <w:style w:type="paragraph" w:styleId="Heading3">
    <w:name w:val="heading 3"/>
    <w:basedOn w:val="Heading2"/>
    <w:next w:val="Normal"/>
    <w:link w:val="Heading3Char"/>
    <w:rsid w:val="008007A8"/>
    <w:pPr>
      <w:numPr>
        <w:ilvl w:val="2"/>
      </w:numPr>
      <w:outlineLvl w:val="2"/>
    </w:pPr>
    <w:rPr>
      <w:b w:val="0"/>
      <w:bCs/>
      <w:sz w:val="24"/>
    </w:rPr>
  </w:style>
  <w:style w:type="paragraph" w:styleId="Heading4">
    <w:name w:val="heading 4"/>
    <w:basedOn w:val="Heading3"/>
    <w:next w:val="Normal"/>
    <w:link w:val="Heading4Char"/>
    <w:locked/>
    <w:rsid w:val="008007A8"/>
    <w:pPr>
      <w:numPr>
        <w:ilvl w:val="3"/>
      </w:numPr>
      <w:outlineLvl w:val="3"/>
    </w:pPr>
    <w:rPr>
      <w:bCs w:val="0"/>
      <w:i/>
      <w:iCs/>
    </w:rPr>
  </w:style>
  <w:style w:type="paragraph" w:styleId="Heading5">
    <w:name w:val="heading 5"/>
    <w:basedOn w:val="Normal"/>
    <w:next w:val="Normal"/>
    <w:link w:val="Heading5Char"/>
    <w:locked/>
    <w:rsid w:val="005C2ECF"/>
    <w:pPr>
      <w:keepNext/>
      <w:keepLines/>
      <w:numPr>
        <w:ilvl w:val="4"/>
        <w:numId w:val="2"/>
      </w:numPr>
      <w:spacing w:before="200"/>
      <w:outlineLvl w:val="4"/>
    </w:pPr>
  </w:style>
  <w:style w:type="paragraph" w:styleId="Heading6">
    <w:name w:val="heading 6"/>
    <w:basedOn w:val="Normal"/>
    <w:next w:val="Normal"/>
    <w:link w:val="Heading6Char"/>
    <w:locked/>
    <w:rsid w:val="005C2ECF"/>
    <w:pPr>
      <w:keepNext/>
      <w:keepLines/>
      <w:numPr>
        <w:ilvl w:val="5"/>
        <w:numId w:val="2"/>
      </w:numPr>
      <w:spacing w:before="200"/>
      <w:outlineLvl w:val="5"/>
    </w:pPr>
    <w:rPr>
      <w:i/>
      <w:iCs/>
    </w:rPr>
  </w:style>
  <w:style w:type="paragraph" w:styleId="Heading7">
    <w:name w:val="heading 7"/>
    <w:basedOn w:val="Normal"/>
    <w:next w:val="Normal"/>
    <w:link w:val="Heading7Char"/>
    <w:locked/>
    <w:rsid w:val="005C2ECF"/>
    <w:pPr>
      <w:keepNext/>
      <w:keepLines/>
      <w:numPr>
        <w:ilvl w:val="6"/>
        <w:numId w:val="2"/>
      </w:numPr>
      <w:spacing w:before="200"/>
      <w:outlineLvl w:val="6"/>
    </w:pPr>
    <w:rPr>
      <w:i/>
      <w:iCs/>
    </w:rPr>
  </w:style>
  <w:style w:type="paragraph" w:styleId="Heading8">
    <w:name w:val="heading 8"/>
    <w:basedOn w:val="Normal"/>
    <w:next w:val="Normal"/>
    <w:link w:val="Heading8Char"/>
    <w:locked/>
    <w:rsid w:val="005C2ECF"/>
    <w:pPr>
      <w:keepNext/>
      <w:keepLines/>
      <w:numPr>
        <w:ilvl w:val="7"/>
        <w:numId w:val="2"/>
      </w:numPr>
      <w:spacing w:before="200"/>
      <w:outlineLvl w:val="7"/>
    </w:pPr>
    <w:rPr>
      <w:sz w:val="20"/>
      <w:szCs w:val="20"/>
    </w:rPr>
  </w:style>
  <w:style w:type="paragraph" w:styleId="Heading9">
    <w:name w:val="heading 9"/>
    <w:basedOn w:val="Normal"/>
    <w:next w:val="Normal"/>
    <w:link w:val="Heading9Char"/>
    <w:locked/>
    <w:rsid w:val="005C2ECF"/>
    <w:pPr>
      <w:keepNext/>
      <w:keepLines/>
      <w:numPr>
        <w:ilvl w:val="8"/>
        <w:numId w:val="2"/>
      </w:numPr>
      <w:spacing w:before="200"/>
      <w:outlineLvl w:val="8"/>
    </w:pPr>
    <w:rPr>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C2ECF"/>
    <w:rPr>
      <w:rFonts w:ascii="Open Sans" w:eastAsia="MS Mincho" w:hAnsi="Open Sans"/>
      <w:b/>
      <w:bCs/>
      <w:sz w:val="36"/>
      <w:szCs w:val="28"/>
    </w:rPr>
  </w:style>
  <w:style w:type="character" w:customStyle="1" w:styleId="Heading2Char">
    <w:name w:val="Heading 2 Char"/>
    <w:link w:val="Heading2"/>
    <w:rsid w:val="00BA23E3"/>
    <w:rPr>
      <w:rFonts w:ascii="Open Sans" w:eastAsia="MS Mincho" w:hAnsi="Open Sans"/>
      <w:b/>
      <w:sz w:val="32"/>
      <w:szCs w:val="26"/>
    </w:rPr>
  </w:style>
  <w:style w:type="character" w:customStyle="1" w:styleId="Heading3Char">
    <w:name w:val="Heading 3 Char"/>
    <w:link w:val="Heading3"/>
    <w:rsid w:val="008007A8"/>
    <w:rPr>
      <w:rFonts w:ascii="Arial" w:eastAsia="MS Mincho" w:hAnsi="Arial"/>
      <w:bCs/>
      <w:i/>
      <w:sz w:val="24"/>
      <w:szCs w:val="26"/>
      <w:lang w:val="en-AU" w:eastAsia="en-AU" w:bidi="ar-SA"/>
    </w:rPr>
  </w:style>
  <w:style w:type="character" w:customStyle="1" w:styleId="Heading4Char">
    <w:name w:val="Heading 4 Char"/>
    <w:link w:val="Heading4"/>
    <w:rsid w:val="008007A8"/>
    <w:rPr>
      <w:rFonts w:ascii="Arial" w:eastAsia="MS Mincho" w:hAnsi="Arial"/>
      <w:iCs/>
      <w:sz w:val="24"/>
      <w:szCs w:val="26"/>
      <w:lang w:val="en-AU" w:eastAsia="en-AU" w:bidi="ar-SA"/>
    </w:rPr>
  </w:style>
  <w:style w:type="character" w:styleId="Strong">
    <w:name w:val="Strong"/>
    <w:locked/>
    <w:rsid w:val="00471BB7"/>
    <w:rPr>
      <w:rFonts w:ascii="Open Sans" w:hAnsi="Open Sans"/>
      <w:b/>
      <w:bCs/>
    </w:rPr>
  </w:style>
  <w:style w:type="character" w:customStyle="1" w:styleId="Heading5Char">
    <w:name w:val="Heading 5 Char"/>
    <w:link w:val="Heading5"/>
    <w:rsid w:val="005C2ECF"/>
    <w:rPr>
      <w:rFonts w:ascii="Open Sans" w:eastAsia="MS Mincho" w:hAnsi="Open Sans"/>
      <w:sz w:val="24"/>
      <w:szCs w:val="24"/>
    </w:rPr>
  </w:style>
  <w:style w:type="character" w:customStyle="1" w:styleId="Heading6Char">
    <w:name w:val="Heading 6 Char"/>
    <w:link w:val="Heading6"/>
    <w:rsid w:val="005C2ECF"/>
    <w:rPr>
      <w:rFonts w:ascii="Open Sans" w:eastAsia="MS Mincho" w:hAnsi="Open Sans"/>
      <w:i/>
      <w:iCs/>
      <w:sz w:val="24"/>
      <w:szCs w:val="24"/>
    </w:rPr>
  </w:style>
  <w:style w:type="character" w:customStyle="1" w:styleId="Heading7Char">
    <w:name w:val="Heading 7 Char"/>
    <w:link w:val="Heading7"/>
    <w:rsid w:val="005C2ECF"/>
    <w:rPr>
      <w:rFonts w:ascii="Open Sans" w:eastAsia="MS Mincho" w:hAnsi="Open Sans"/>
      <w:i/>
      <w:iCs/>
      <w:sz w:val="24"/>
      <w:szCs w:val="24"/>
    </w:rPr>
  </w:style>
  <w:style w:type="character" w:customStyle="1" w:styleId="Heading8Char">
    <w:name w:val="Heading 8 Char"/>
    <w:link w:val="Heading8"/>
    <w:rsid w:val="005C2ECF"/>
    <w:rPr>
      <w:rFonts w:ascii="Open Sans" w:eastAsia="MS Mincho" w:hAnsi="Open Sans"/>
    </w:rPr>
  </w:style>
  <w:style w:type="character" w:customStyle="1" w:styleId="Heading9Char">
    <w:name w:val="Heading 9 Char"/>
    <w:link w:val="Heading9"/>
    <w:rsid w:val="005C2ECF"/>
    <w:rPr>
      <w:rFonts w:ascii="Open Sans" w:eastAsia="MS Mincho" w:hAnsi="Open Sans"/>
      <w:i/>
      <w:iCs/>
    </w:rPr>
  </w:style>
  <w:style w:type="paragraph" w:styleId="Header">
    <w:name w:val="header"/>
    <w:basedOn w:val="Normal"/>
    <w:link w:val="HeaderChar"/>
    <w:qFormat/>
    <w:rsid w:val="00902EC3"/>
    <w:pPr>
      <w:tabs>
        <w:tab w:val="center" w:pos="4513"/>
        <w:tab w:val="right" w:pos="9026"/>
      </w:tabs>
      <w:spacing w:after="0"/>
      <w:jc w:val="right"/>
    </w:pPr>
    <w:rPr>
      <w:sz w:val="18"/>
    </w:rPr>
  </w:style>
  <w:style w:type="character" w:customStyle="1" w:styleId="HeaderChar">
    <w:name w:val="Header Char"/>
    <w:link w:val="Header"/>
    <w:rsid w:val="00902EC3"/>
    <w:rPr>
      <w:rFonts w:ascii="Open Sans" w:eastAsia="MS Mincho" w:hAnsi="Open Sans"/>
      <w:sz w:val="18"/>
      <w:szCs w:val="24"/>
    </w:rPr>
  </w:style>
  <w:style w:type="paragraph" w:styleId="Footer">
    <w:name w:val="footer"/>
    <w:basedOn w:val="Normal"/>
    <w:link w:val="FooterChar"/>
    <w:uiPriority w:val="99"/>
    <w:rsid w:val="0063009F"/>
    <w:pPr>
      <w:tabs>
        <w:tab w:val="right" w:pos="2835"/>
        <w:tab w:val="right" w:pos="5670"/>
      </w:tabs>
      <w:spacing w:before="0" w:after="0"/>
      <w:ind w:left="-868"/>
    </w:pPr>
    <w:rPr>
      <w:sz w:val="18"/>
    </w:rPr>
  </w:style>
  <w:style w:type="character" w:customStyle="1" w:styleId="FooterChar">
    <w:name w:val="Footer Char"/>
    <w:link w:val="Footer"/>
    <w:uiPriority w:val="99"/>
    <w:rsid w:val="0063009F"/>
    <w:rPr>
      <w:rFonts w:ascii="Open Sans" w:eastAsia="MS Mincho" w:hAnsi="Open Sans"/>
      <w:sz w:val="18"/>
      <w:szCs w:val="24"/>
    </w:rPr>
  </w:style>
  <w:style w:type="paragraph" w:styleId="TOC3">
    <w:name w:val="toc 3"/>
    <w:basedOn w:val="Normal"/>
    <w:next w:val="Normal"/>
    <w:uiPriority w:val="39"/>
    <w:locked/>
    <w:rsid w:val="00A92F92"/>
    <w:pPr>
      <w:tabs>
        <w:tab w:val="left" w:pos="1202"/>
        <w:tab w:val="right" w:leader="dot" w:pos="9060"/>
      </w:tabs>
      <w:spacing w:before="0" w:after="0"/>
      <w:ind w:left="1202" w:hanging="720"/>
    </w:pPr>
    <w:rPr>
      <w:rFonts w:cs="Arial"/>
      <w:i/>
      <w:noProof/>
    </w:rPr>
  </w:style>
  <w:style w:type="character" w:styleId="PlaceholderText">
    <w:name w:val="Placeholder Text"/>
    <w:uiPriority w:val="99"/>
    <w:semiHidden/>
    <w:rsid w:val="00471BB7"/>
    <w:rPr>
      <w:rFonts w:ascii="Open Sans" w:hAnsi="Open Sans"/>
      <w:color w:val="auto"/>
      <w:sz w:val="24"/>
    </w:rPr>
  </w:style>
  <w:style w:type="paragraph" w:styleId="ListContinue4">
    <w:name w:val="List Continue 4"/>
    <w:basedOn w:val="Normal"/>
    <w:semiHidden/>
    <w:locked/>
    <w:rsid w:val="005C2ECF"/>
    <w:pPr>
      <w:spacing w:after="120"/>
      <w:ind w:left="1132"/>
    </w:pPr>
  </w:style>
  <w:style w:type="numbering" w:styleId="111111">
    <w:name w:val="Outline List 2"/>
    <w:basedOn w:val="NoList"/>
    <w:semiHidden/>
    <w:locked/>
    <w:rsid w:val="00E45954"/>
    <w:pPr>
      <w:numPr>
        <w:numId w:val="17"/>
      </w:numPr>
    </w:pPr>
  </w:style>
  <w:style w:type="paragraph" w:styleId="TOC1">
    <w:name w:val="toc 1"/>
    <w:basedOn w:val="Normal"/>
    <w:next w:val="Normal"/>
    <w:uiPriority w:val="39"/>
    <w:rsid w:val="000B5B68"/>
    <w:pPr>
      <w:tabs>
        <w:tab w:val="right" w:leader="dot" w:pos="9060"/>
      </w:tabs>
      <w:spacing w:after="0"/>
      <w:ind w:left="720" w:hanging="720"/>
    </w:pPr>
    <w:rPr>
      <w:b/>
      <w:noProof/>
    </w:rPr>
  </w:style>
  <w:style w:type="paragraph" w:styleId="TOC2">
    <w:name w:val="toc 2"/>
    <w:basedOn w:val="Normal"/>
    <w:next w:val="Normal"/>
    <w:uiPriority w:val="39"/>
    <w:locked/>
    <w:rsid w:val="00A92F92"/>
    <w:pPr>
      <w:tabs>
        <w:tab w:val="right" w:leader="dot" w:pos="9060"/>
      </w:tabs>
      <w:spacing w:before="0" w:after="0"/>
      <w:ind w:left="958" w:hanging="720"/>
    </w:pPr>
    <w:rPr>
      <w:b/>
      <w:i/>
      <w:noProof/>
    </w:rPr>
  </w:style>
  <w:style w:type="paragraph" w:styleId="TOC4">
    <w:name w:val="toc 4"/>
    <w:basedOn w:val="Normal"/>
    <w:next w:val="Normal"/>
    <w:uiPriority w:val="39"/>
    <w:semiHidden/>
    <w:locked/>
    <w:rsid w:val="00814FC0"/>
    <w:pPr>
      <w:tabs>
        <w:tab w:val="left" w:pos="1440"/>
        <w:tab w:val="right" w:leader="dot" w:pos="9060"/>
      </w:tabs>
      <w:spacing w:before="0" w:after="0"/>
      <w:ind w:left="1440" w:hanging="720"/>
    </w:pPr>
    <w:rPr>
      <w:noProof/>
    </w:rPr>
  </w:style>
  <w:style w:type="character" w:styleId="Hyperlink">
    <w:name w:val="Hyperlink"/>
    <w:uiPriority w:val="99"/>
    <w:unhideWhenUsed/>
    <w:rsid w:val="00471BB7"/>
    <w:rPr>
      <w:rFonts w:ascii="Open Sans" w:hAnsi="Open Sans"/>
      <w:color w:val="0000FF"/>
      <w:u w:val="single"/>
    </w:rPr>
  </w:style>
  <w:style w:type="paragraph" w:styleId="TOCHeading">
    <w:name w:val="TOC Heading"/>
    <w:basedOn w:val="Normal"/>
    <w:next w:val="Normal"/>
    <w:uiPriority w:val="39"/>
    <w:rsid w:val="00471BB7"/>
    <w:pPr>
      <w:spacing w:before="0" w:after="360"/>
    </w:pPr>
    <w:rPr>
      <w:b/>
      <w:lang w:val="en-US" w:eastAsia="en-US"/>
    </w:rPr>
  </w:style>
  <w:style w:type="paragraph" w:styleId="EndnoteText">
    <w:name w:val="endnote text"/>
    <w:basedOn w:val="Normal"/>
    <w:link w:val="EndnoteTextChar1"/>
    <w:uiPriority w:val="99"/>
    <w:qFormat/>
    <w:rsid w:val="0002476A"/>
    <w:pPr>
      <w:spacing w:before="0" w:after="0"/>
      <w:ind w:left="142" w:hanging="142"/>
    </w:pPr>
    <w:rPr>
      <w:sz w:val="20"/>
      <w:szCs w:val="20"/>
    </w:rPr>
  </w:style>
  <w:style w:type="character" w:customStyle="1" w:styleId="EndnoteTextChar1">
    <w:name w:val="Endnote Text Char1"/>
    <w:link w:val="EndnoteText"/>
    <w:rsid w:val="00E55F24"/>
    <w:rPr>
      <w:rFonts w:ascii="Open Sans" w:eastAsia="MS Mincho" w:hAnsi="Open Sans"/>
    </w:rPr>
  </w:style>
  <w:style w:type="character" w:styleId="EndnoteReference">
    <w:name w:val="endnote reference"/>
    <w:aliases w:val="QUOTE"/>
    <w:uiPriority w:val="99"/>
    <w:qFormat/>
    <w:rsid w:val="00045C4B"/>
    <w:rPr>
      <w:rFonts w:ascii="Open Sans" w:hAnsi="Open Sans"/>
      <w:sz w:val="20"/>
      <w:vertAlign w:val="superscript"/>
    </w:rPr>
  </w:style>
  <w:style w:type="numbering" w:styleId="1ai">
    <w:name w:val="Outline List 1"/>
    <w:basedOn w:val="NoList"/>
    <w:uiPriority w:val="99"/>
    <w:semiHidden/>
    <w:locked/>
    <w:rsid w:val="00E45954"/>
    <w:pPr>
      <w:numPr>
        <w:numId w:val="18"/>
      </w:numPr>
    </w:pPr>
  </w:style>
  <w:style w:type="numbering" w:styleId="ArticleSection">
    <w:name w:val="Outline List 3"/>
    <w:basedOn w:val="NoList"/>
    <w:semiHidden/>
    <w:locked/>
    <w:rsid w:val="00E45954"/>
    <w:pPr>
      <w:numPr>
        <w:numId w:val="19"/>
      </w:numPr>
    </w:pPr>
  </w:style>
  <w:style w:type="paragraph" w:styleId="BlockText">
    <w:name w:val="Block Text"/>
    <w:basedOn w:val="Normal"/>
    <w:semiHidden/>
    <w:rsid w:val="00045C4B"/>
    <w:pPr>
      <w:spacing w:after="120"/>
      <w:ind w:left="1440" w:right="1440"/>
    </w:pPr>
  </w:style>
  <w:style w:type="paragraph" w:styleId="BodyText">
    <w:name w:val="Body Text"/>
    <w:basedOn w:val="Normal"/>
    <w:uiPriority w:val="1"/>
    <w:qFormat/>
    <w:rsid w:val="00045C4B"/>
    <w:pPr>
      <w:spacing w:after="120"/>
    </w:pPr>
  </w:style>
  <w:style w:type="paragraph" w:styleId="BodyText2">
    <w:name w:val="Body Text 2"/>
    <w:basedOn w:val="Normal"/>
    <w:semiHidden/>
    <w:rsid w:val="00045C4B"/>
    <w:pPr>
      <w:spacing w:after="120" w:line="480" w:lineRule="auto"/>
    </w:pPr>
  </w:style>
  <w:style w:type="paragraph" w:styleId="BodyText3">
    <w:name w:val="Body Text 3"/>
    <w:basedOn w:val="Normal"/>
    <w:semiHidden/>
    <w:rsid w:val="00045C4B"/>
    <w:pPr>
      <w:spacing w:after="120"/>
    </w:pPr>
    <w:rPr>
      <w:sz w:val="16"/>
      <w:szCs w:val="16"/>
    </w:rPr>
  </w:style>
  <w:style w:type="paragraph" w:styleId="BodyTextFirstIndent">
    <w:name w:val="Body Text First Indent"/>
    <w:basedOn w:val="BodyText"/>
    <w:semiHidden/>
    <w:rsid w:val="00E45954"/>
    <w:pPr>
      <w:ind w:firstLine="210"/>
    </w:pPr>
  </w:style>
  <w:style w:type="paragraph" w:styleId="BodyTextIndent">
    <w:name w:val="Body Text Indent"/>
    <w:basedOn w:val="Normal"/>
    <w:semiHidden/>
    <w:rsid w:val="00045C4B"/>
    <w:pPr>
      <w:spacing w:after="120"/>
      <w:ind w:left="283"/>
    </w:pPr>
  </w:style>
  <w:style w:type="paragraph" w:styleId="BodyTextFirstIndent2">
    <w:name w:val="Body Text First Indent 2"/>
    <w:basedOn w:val="BodyTextIndent"/>
    <w:semiHidden/>
    <w:rsid w:val="00045C4B"/>
    <w:pPr>
      <w:ind w:firstLine="210"/>
    </w:pPr>
  </w:style>
  <w:style w:type="paragraph" w:styleId="BodyTextIndent2">
    <w:name w:val="Body Text Indent 2"/>
    <w:basedOn w:val="Normal"/>
    <w:semiHidden/>
    <w:rsid w:val="00045C4B"/>
    <w:pPr>
      <w:spacing w:after="120" w:line="480" w:lineRule="auto"/>
      <w:ind w:left="283"/>
    </w:pPr>
  </w:style>
  <w:style w:type="paragraph" w:styleId="BodyTextIndent3">
    <w:name w:val="Body Text Indent 3"/>
    <w:basedOn w:val="Normal"/>
    <w:semiHidden/>
    <w:rsid w:val="00045C4B"/>
    <w:pPr>
      <w:spacing w:after="120"/>
      <w:ind w:left="283"/>
    </w:pPr>
    <w:rPr>
      <w:sz w:val="16"/>
      <w:szCs w:val="16"/>
    </w:rPr>
  </w:style>
  <w:style w:type="paragraph" w:styleId="Closing">
    <w:name w:val="Closing"/>
    <w:basedOn w:val="Normal"/>
    <w:semiHidden/>
    <w:rsid w:val="00045C4B"/>
    <w:pPr>
      <w:ind w:left="4252"/>
    </w:pPr>
  </w:style>
  <w:style w:type="paragraph" w:styleId="Date">
    <w:name w:val="Date"/>
    <w:basedOn w:val="Normal"/>
    <w:next w:val="Normal"/>
    <w:semiHidden/>
    <w:rsid w:val="005C2ECF"/>
    <w:pPr>
      <w:spacing w:before="120" w:after="120"/>
      <w:jc w:val="right"/>
    </w:pPr>
  </w:style>
  <w:style w:type="paragraph" w:styleId="E-mailSignature">
    <w:name w:val="E-mail Signature"/>
    <w:basedOn w:val="Normal"/>
    <w:semiHidden/>
    <w:rsid w:val="00045C4B"/>
  </w:style>
  <w:style w:type="character" w:styleId="Emphasis">
    <w:name w:val="Emphasis"/>
    <w:rsid w:val="00045C4B"/>
    <w:rPr>
      <w:rFonts w:ascii="Open Sans" w:hAnsi="Open Sans"/>
      <w:i w:val="0"/>
      <w:iCs/>
    </w:rPr>
  </w:style>
  <w:style w:type="paragraph" w:styleId="EnvelopeAddress">
    <w:name w:val="envelope address"/>
    <w:basedOn w:val="Normal"/>
    <w:semiHidden/>
    <w:rsid w:val="00045C4B"/>
    <w:pPr>
      <w:framePr w:w="7920" w:h="1980" w:hRule="exact" w:hSpace="180" w:wrap="auto" w:hAnchor="page" w:xAlign="center" w:yAlign="bottom"/>
      <w:spacing w:before="0" w:after="0"/>
      <w:ind w:left="2880"/>
    </w:pPr>
    <w:rPr>
      <w:rFonts w:cs="Arial"/>
    </w:rPr>
  </w:style>
  <w:style w:type="paragraph" w:styleId="EnvelopeReturn">
    <w:name w:val="envelope return"/>
    <w:basedOn w:val="Normal"/>
    <w:semiHidden/>
    <w:rsid w:val="00045C4B"/>
    <w:rPr>
      <w:rFonts w:cs="Arial"/>
      <w:sz w:val="20"/>
      <w:szCs w:val="20"/>
    </w:rPr>
  </w:style>
  <w:style w:type="character" w:styleId="HTMLAcronym">
    <w:name w:val="HTML Acronym"/>
    <w:semiHidden/>
    <w:rsid w:val="005C2ECF"/>
    <w:rPr>
      <w:rFonts w:ascii="Open Sans" w:hAnsi="Open Sans"/>
    </w:rPr>
  </w:style>
  <w:style w:type="paragraph" w:styleId="HTMLAddress">
    <w:name w:val="HTML Address"/>
    <w:basedOn w:val="Normal"/>
    <w:semiHidden/>
    <w:rsid w:val="005C2ECF"/>
    <w:rPr>
      <w:i/>
      <w:iCs/>
    </w:rPr>
  </w:style>
  <w:style w:type="character" w:styleId="HTMLCite">
    <w:name w:val="HTML Cite"/>
    <w:semiHidden/>
    <w:rsid w:val="005C2ECF"/>
    <w:rPr>
      <w:rFonts w:ascii="Open Sans" w:hAnsi="Open Sans"/>
      <w:i/>
      <w:iCs/>
    </w:rPr>
  </w:style>
  <w:style w:type="character" w:styleId="HTMLCode">
    <w:name w:val="HTML Code"/>
    <w:semiHidden/>
    <w:rsid w:val="005C2ECF"/>
    <w:rPr>
      <w:rFonts w:ascii="Open Sans" w:hAnsi="Open Sans" w:cs="Courier New"/>
      <w:sz w:val="20"/>
      <w:szCs w:val="20"/>
    </w:rPr>
  </w:style>
  <w:style w:type="character" w:styleId="HTMLDefinition">
    <w:name w:val="HTML Definition"/>
    <w:semiHidden/>
    <w:rsid w:val="005C2ECF"/>
    <w:rPr>
      <w:rFonts w:ascii="Open Sans" w:hAnsi="Open Sans"/>
      <w:i/>
      <w:iCs/>
    </w:rPr>
  </w:style>
  <w:style w:type="character" w:styleId="HTMLKeyboard">
    <w:name w:val="HTML Keyboard"/>
    <w:semiHidden/>
    <w:rsid w:val="005C2ECF"/>
    <w:rPr>
      <w:rFonts w:ascii="Open Sans" w:hAnsi="Open Sans" w:cs="Courier New"/>
      <w:sz w:val="20"/>
      <w:szCs w:val="20"/>
    </w:rPr>
  </w:style>
  <w:style w:type="paragraph" w:styleId="HTMLPreformatted">
    <w:name w:val="HTML Preformatted"/>
    <w:basedOn w:val="Normal"/>
    <w:semiHidden/>
    <w:rsid w:val="005C2ECF"/>
    <w:rPr>
      <w:rFonts w:cs="Courier New"/>
      <w:sz w:val="20"/>
      <w:szCs w:val="20"/>
    </w:rPr>
  </w:style>
  <w:style w:type="character" w:styleId="HTMLSample">
    <w:name w:val="HTML Sample"/>
    <w:semiHidden/>
    <w:rsid w:val="005C2ECF"/>
    <w:rPr>
      <w:rFonts w:ascii="Open Sans" w:hAnsi="Open Sans" w:cs="Courier New"/>
    </w:rPr>
  </w:style>
  <w:style w:type="character" w:styleId="HTMLTypewriter">
    <w:name w:val="HTML Typewriter"/>
    <w:semiHidden/>
    <w:rsid w:val="005C2ECF"/>
    <w:rPr>
      <w:rFonts w:ascii="Open Sans" w:hAnsi="Open Sans" w:cs="Courier New"/>
      <w:sz w:val="20"/>
      <w:szCs w:val="20"/>
    </w:rPr>
  </w:style>
  <w:style w:type="character" w:styleId="HTMLVariable">
    <w:name w:val="HTML Variable"/>
    <w:semiHidden/>
    <w:rsid w:val="005C2ECF"/>
    <w:rPr>
      <w:rFonts w:ascii="Open Sans" w:hAnsi="Open Sans"/>
      <w:i/>
      <w:iCs/>
    </w:rPr>
  </w:style>
  <w:style w:type="character" w:styleId="LineNumber">
    <w:name w:val="line number"/>
    <w:semiHidden/>
    <w:rsid w:val="005C2ECF"/>
    <w:rPr>
      <w:rFonts w:ascii="Open Sans" w:hAnsi="Open Sans"/>
    </w:rPr>
  </w:style>
  <w:style w:type="paragraph" w:styleId="List">
    <w:name w:val="List"/>
    <w:basedOn w:val="Normal"/>
    <w:semiHidden/>
    <w:locked/>
    <w:rsid w:val="005C2ECF"/>
    <w:pPr>
      <w:ind w:left="283" w:hanging="283"/>
    </w:pPr>
  </w:style>
  <w:style w:type="paragraph" w:styleId="List2">
    <w:name w:val="List 2"/>
    <w:basedOn w:val="Normal"/>
    <w:semiHidden/>
    <w:locked/>
    <w:rsid w:val="005C2ECF"/>
    <w:pPr>
      <w:ind w:left="566" w:hanging="283"/>
    </w:pPr>
  </w:style>
  <w:style w:type="paragraph" w:styleId="List3">
    <w:name w:val="List 3"/>
    <w:basedOn w:val="Normal"/>
    <w:semiHidden/>
    <w:locked/>
    <w:rsid w:val="005C2ECF"/>
    <w:pPr>
      <w:ind w:left="849" w:hanging="283"/>
    </w:pPr>
  </w:style>
  <w:style w:type="paragraph" w:styleId="List4">
    <w:name w:val="List 4"/>
    <w:basedOn w:val="Normal"/>
    <w:semiHidden/>
    <w:locked/>
    <w:rsid w:val="005C2ECF"/>
    <w:pPr>
      <w:ind w:left="1132" w:hanging="283"/>
    </w:pPr>
  </w:style>
  <w:style w:type="paragraph" w:styleId="List5">
    <w:name w:val="List 5"/>
    <w:basedOn w:val="Normal"/>
    <w:semiHidden/>
    <w:locked/>
    <w:rsid w:val="005C2ECF"/>
    <w:pPr>
      <w:ind w:left="1415" w:hanging="283"/>
    </w:pPr>
  </w:style>
  <w:style w:type="paragraph" w:styleId="ListBullet">
    <w:name w:val="List Bullet"/>
    <w:basedOn w:val="ListNumber"/>
    <w:qFormat/>
    <w:rsid w:val="002C5943"/>
    <w:pPr>
      <w:numPr>
        <w:numId w:val="7"/>
      </w:numPr>
      <w:ind w:left="1094" w:hanging="737"/>
    </w:pPr>
  </w:style>
  <w:style w:type="paragraph" w:styleId="ListBullet2">
    <w:name w:val="List Bullet 2"/>
    <w:basedOn w:val="Normal"/>
    <w:semiHidden/>
    <w:locked/>
    <w:rsid w:val="005C2ECF"/>
    <w:pPr>
      <w:numPr>
        <w:numId w:val="8"/>
      </w:numPr>
    </w:pPr>
  </w:style>
  <w:style w:type="paragraph" w:styleId="ListBullet3">
    <w:name w:val="List Bullet 3"/>
    <w:basedOn w:val="Normal"/>
    <w:semiHidden/>
    <w:locked/>
    <w:rsid w:val="005C2ECF"/>
    <w:pPr>
      <w:numPr>
        <w:numId w:val="9"/>
      </w:numPr>
    </w:pPr>
  </w:style>
  <w:style w:type="paragraph" w:styleId="ListBullet4">
    <w:name w:val="List Bullet 4"/>
    <w:basedOn w:val="Normal"/>
    <w:semiHidden/>
    <w:locked/>
    <w:rsid w:val="005C2ECF"/>
    <w:pPr>
      <w:numPr>
        <w:numId w:val="10"/>
      </w:numPr>
    </w:pPr>
  </w:style>
  <w:style w:type="paragraph" w:styleId="ListBullet5">
    <w:name w:val="List Bullet 5"/>
    <w:basedOn w:val="Normal"/>
    <w:semiHidden/>
    <w:locked/>
    <w:rsid w:val="005C2ECF"/>
    <w:pPr>
      <w:numPr>
        <w:numId w:val="11"/>
      </w:numPr>
    </w:pPr>
  </w:style>
  <w:style w:type="paragraph" w:styleId="ListContinue">
    <w:name w:val="List Continue"/>
    <w:basedOn w:val="Normal"/>
    <w:semiHidden/>
    <w:locked/>
    <w:rsid w:val="005C2ECF"/>
    <w:pPr>
      <w:spacing w:after="120"/>
      <w:ind w:left="283"/>
    </w:pPr>
  </w:style>
  <w:style w:type="paragraph" w:styleId="ListContinue2">
    <w:name w:val="List Continue 2"/>
    <w:basedOn w:val="Normal"/>
    <w:semiHidden/>
    <w:locked/>
    <w:rsid w:val="005C2ECF"/>
    <w:pPr>
      <w:spacing w:after="120"/>
      <w:ind w:left="566"/>
    </w:pPr>
  </w:style>
  <w:style w:type="paragraph" w:styleId="ListContinue3">
    <w:name w:val="List Continue 3"/>
    <w:basedOn w:val="Normal"/>
    <w:semiHidden/>
    <w:locked/>
    <w:rsid w:val="005C2ECF"/>
    <w:pPr>
      <w:spacing w:after="120"/>
      <w:ind w:left="849"/>
    </w:pPr>
  </w:style>
  <w:style w:type="paragraph" w:styleId="ListContinue5">
    <w:name w:val="List Continue 5"/>
    <w:basedOn w:val="Normal"/>
    <w:semiHidden/>
    <w:locked/>
    <w:rsid w:val="005C2ECF"/>
    <w:pPr>
      <w:spacing w:after="120"/>
      <w:ind w:left="1415"/>
    </w:pPr>
  </w:style>
  <w:style w:type="paragraph" w:styleId="ListNumber">
    <w:name w:val="List Number"/>
    <w:basedOn w:val="Normal"/>
    <w:qFormat/>
    <w:rsid w:val="002C5943"/>
    <w:pPr>
      <w:numPr>
        <w:numId w:val="12"/>
      </w:numPr>
      <w:tabs>
        <w:tab w:val="clear" w:pos="360"/>
        <w:tab w:val="left" w:pos="1134"/>
      </w:tabs>
      <w:spacing w:before="120" w:after="120"/>
      <w:ind w:left="1094" w:hanging="737"/>
      <w:contextualSpacing/>
    </w:pPr>
  </w:style>
  <w:style w:type="paragraph" w:styleId="ListNumber2">
    <w:name w:val="List Number 2"/>
    <w:basedOn w:val="Normal"/>
    <w:semiHidden/>
    <w:locked/>
    <w:rsid w:val="005C2ECF"/>
    <w:pPr>
      <w:numPr>
        <w:numId w:val="15"/>
      </w:numPr>
    </w:pPr>
  </w:style>
  <w:style w:type="paragraph" w:styleId="ListNumber3">
    <w:name w:val="List Number 3"/>
    <w:basedOn w:val="Normal"/>
    <w:semiHidden/>
    <w:locked/>
    <w:rsid w:val="005C2ECF"/>
    <w:pPr>
      <w:numPr>
        <w:numId w:val="16"/>
      </w:numPr>
    </w:pPr>
  </w:style>
  <w:style w:type="paragraph" w:styleId="ListNumber4">
    <w:name w:val="List Number 4"/>
    <w:basedOn w:val="Normal"/>
    <w:semiHidden/>
    <w:locked/>
    <w:rsid w:val="005C2ECF"/>
    <w:pPr>
      <w:numPr>
        <w:numId w:val="13"/>
      </w:numPr>
    </w:pPr>
  </w:style>
  <w:style w:type="paragraph" w:styleId="ListNumber5">
    <w:name w:val="List Number 5"/>
    <w:basedOn w:val="Normal"/>
    <w:semiHidden/>
    <w:locked/>
    <w:rsid w:val="005C2ECF"/>
    <w:pPr>
      <w:numPr>
        <w:numId w:val="14"/>
      </w:numPr>
    </w:pPr>
  </w:style>
  <w:style w:type="paragraph" w:styleId="MessageHeader">
    <w:name w:val="Message Header"/>
    <w:basedOn w:val="Normal"/>
    <w:semiHidden/>
    <w:locked/>
    <w:rsid w:val="005C2ECF"/>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paragraph" w:styleId="NormalWeb">
    <w:name w:val="Normal (Web)"/>
    <w:basedOn w:val="Normal"/>
    <w:semiHidden/>
    <w:rsid w:val="005C2ECF"/>
  </w:style>
  <w:style w:type="paragraph" w:styleId="NormalIndent">
    <w:name w:val="Normal Indent"/>
    <w:basedOn w:val="Normal"/>
    <w:semiHidden/>
    <w:rsid w:val="005C2ECF"/>
    <w:pPr>
      <w:ind w:left="720"/>
    </w:pPr>
  </w:style>
  <w:style w:type="paragraph" w:styleId="NoteHeading">
    <w:name w:val="Note Heading"/>
    <w:basedOn w:val="Normal"/>
    <w:next w:val="Normal"/>
    <w:semiHidden/>
    <w:rsid w:val="00E45954"/>
  </w:style>
  <w:style w:type="character" w:styleId="PageNumber">
    <w:name w:val="page number"/>
    <w:semiHidden/>
    <w:rsid w:val="00471BB7"/>
    <w:rPr>
      <w:rFonts w:ascii="Open Sans" w:hAnsi="Open Sans"/>
      <w:sz w:val="24"/>
    </w:rPr>
  </w:style>
  <w:style w:type="paragraph" w:styleId="PlainText">
    <w:name w:val="Plain Text"/>
    <w:basedOn w:val="Normal"/>
    <w:semiHidden/>
    <w:rsid w:val="00471BB7"/>
    <w:rPr>
      <w:rFonts w:cs="Courier New"/>
      <w:szCs w:val="20"/>
    </w:rPr>
  </w:style>
  <w:style w:type="paragraph" w:styleId="Salutation">
    <w:name w:val="Salutation"/>
    <w:basedOn w:val="Normal"/>
    <w:next w:val="Normal"/>
    <w:semiHidden/>
    <w:locked/>
    <w:rsid w:val="00471BB7"/>
  </w:style>
  <w:style w:type="paragraph" w:styleId="Signature">
    <w:name w:val="Signature"/>
    <w:basedOn w:val="Normal"/>
    <w:semiHidden/>
    <w:locked/>
    <w:rsid w:val="00E45954"/>
    <w:pPr>
      <w:ind w:left="4252"/>
    </w:pPr>
  </w:style>
  <w:style w:type="paragraph" w:styleId="Subtitle">
    <w:name w:val="Subtitle"/>
    <w:basedOn w:val="Normal"/>
    <w:link w:val="SubtitleChar"/>
    <w:rsid w:val="00817C73"/>
    <w:pPr>
      <w:jc w:val="right"/>
      <w:outlineLvl w:val="1"/>
    </w:pPr>
    <w:rPr>
      <w:rFonts w:cs="Arial"/>
      <w:color w:val="237BBC"/>
      <w:sz w:val="28"/>
    </w:rPr>
  </w:style>
  <w:style w:type="table" w:styleId="Table3Deffects1">
    <w:name w:val="Table 3D effects 1"/>
    <w:basedOn w:val="TableNormal"/>
    <w:semiHidden/>
    <w:locked/>
    <w:rsid w:val="00E45954"/>
    <w:pPr>
      <w:spacing w:after="2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E45954"/>
    <w:pPr>
      <w:spacing w:after="2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E45954"/>
    <w:pPr>
      <w:spacing w:after="2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E45954"/>
    <w:pPr>
      <w:spacing w:after="2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E45954"/>
    <w:pPr>
      <w:spacing w:after="2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E45954"/>
    <w:pPr>
      <w:spacing w:after="2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E45954"/>
    <w:pPr>
      <w:spacing w:after="2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E45954"/>
    <w:pPr>
      <w:spacing w:after="2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E45954"/>
    <w:pPr>
      <w:spacing w:after="2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E45954"/>
    <w:pPr>
      <w:spacing w:after="2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E45954"/>
    <w:pPr>
      <w:spacing w:after="2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E45954"/>
    <w:pPr>
      <w:spacing w:after="2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E45954"/>
    <w:pPr>
      <w:spacing w:after="2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E45954"/>
    <w:pPr>
      <w:spacing w:after="2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E45954"/>
    <w:pPr>
      <w:spacing w:after="2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E45954"/>
    <w:pPr>
      <w:spacing w:after="2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E45954"/>
    <w:pPr>
      <w:spacing w:after="2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E45954"/>
    <w:pPr>
      <w:spacing w:after="2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E45954"/>
    <w:pPr>
      <w:spacing w:after="2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E45954"/>
    <w:pPr>
      <w:spacing w:after="2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E45954"/>
    <w:pPr>
      <w:spacing w:after="2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E45954"/>
    <w:pPr>
      <w:spacing w:after="2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E45954"/>
    <w:pPr>
      <w:spacing w:after="2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E45954"/>
    <w:pPr>
      <w:spacing w:after="2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E45954"/>
    <w:pPr>
      <w:spacing w:after="2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E45954"/>
    <w:pPr>
      <w:spacing w:after="2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E45954"/>
    <w:pPr>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E45954"/>
    <w:pPr>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E45954"/>
    <w:pPr>
      <w:spacing w:after="2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E45954"/>
    <w:pPr>
      <w:spacing w:after="2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E45954"/>
    <w:pPr>
      <w:spacing w:after="2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E45954"/>
    <w:pPr>
      <w:spacing w:after="2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E45954"/>
    <w:pPr>
      <w:spacing w:after="2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E45954"/>
    <w:pPr>
      <w:spacing w:after="2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E45954"/>
    <w:pPr>
      <w:spacing w:after="2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E45954"/>
    <w:pPr>
      <w:spacing w:after="2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rsid w:val="00E45954"/>
    <w:pPr>
      <w:spacing w:after="60"/>
      <w:jc w:val="center"/>
      <w:outlineLvl w:val="0"/>
    </w:pPr>
    <w:rPr>
      <w:rFonts w:cs="Arial"/>
      <w:b/>
      <w:bCs/>
      <w:kern w:val="28"/>
      <w:sz w:val="32"/>
      <w:szCs w:val="32"/>
    </w:rPr>
  </w:style>
  <w:style w:type="character" w:styleId="FollowedHyperlink">
    <w:name w:val="FollowedHyperlink"/>
    <w:semiHidden/>
    <w:rsid w:val="00045C4B"/>
    <w:rPr>
      <w:rFonts w:ascii="Open Sans" w:hAnsi="Open Sans"/>
      <w:color w:val="800080"/>
      <w:u w:val="single"/>
    </w:rPr>
  </w:style>
  <w:style w:type="paragraph" w:customStyle="1" w:styleId="MainTitle">
    <w:name w:val="Main Title"/>
    <w:next w:val="Subtitle"/>
    <w:rsid w:val="00A355F9"/>
    <w:pPr>
      <w:spacing w:before="240" w:after="240" w:line="740" w:lineRule="exact"/>
      <w:contextualSpacing/>
      <w:jc w:val="right"/>
    </w:pPr>
    <w:rPr>
      <w:rFonts w:ascii="Open Sans" w:hAnsi="Open Sans"/>
      <w:bCs/>
      <w:color w:val="237BBC"/>
      <w:kern w:val="32"/>
      <w:sz w:val="56"/>
      <w:szCs w:val="32"/>
    </w:rPr>
  </w:style>
  <w:style w:type="paragraph" w:customStyle="1" w:styleId="HeaderFooter">
    <w:name w:val="Header &amp; Footer"/>
    <w:basedOn w:val="Normal"/>
    <w:semiHidden/>
    <w:locked/>
    <w:rsid w:val="005C2ECF"/>
    <w:pPr>
      <w:spacing w:line="200" w:lineRule="exact"/>
      <w:jc w:val="both"/>
    </w:pPr>
    <w:rPr>
      <w:rFonts w:eastAsia="Times New Roman" w:cs="ArialMT"/>
      <w:sz w:val="16"/>
      <w:lang w:eastAsia="en-US"/>
    </w:rPr>
  </w:style>
  <w:style w:type="paragraph" w:customStyle="1" w:styleId="LogoType">
    <w:name w:val="Logo Type"/>
    <w:basedOn w:val="Header"/>
    <w:semiHidden/>
    <w:locked/>
    <w:rsid w:val="005C2ECF"/>
    <w:pPr>
      <w:pBdr>
        <w:bottom w:val="single" w:sz="4" w:space="4" w:color="auto"/>
      </w:pBdr>
      <w:tabs>
        <w:tab w:val="clear" w:pos="4513"/>
        <w:tab w:val="clear" w:pos="9026"/>
        <w:tab w:val="left" w:pos="4686"/>
        <w:tab w:val="left" w:pos="7088"/>
        <w:tab w:val="left" w:pos="7242"/>
      </w:tabs>
      <w:spacing w:before="0" w:line="320" w:lineRule="exact"/>
    </w:pPr>
    <w:rPr>
      <w:rFonts w:cs="ArialMT"/>
      <w:b/>
      <w:spacing w:val="-20"/>
      <w:sz w:val="32"/>
      <w:lang w:eastAsia="en-US"/>
    </w:rPr>
  </w:style>
  <w:style w:type="paragraph" w:styleId="BalloonText">
    <w:name w:val="Balloon Text"/>
    <w:basedOn w:val="Normal"/>
    <w:link w:val="BalloonTextChar"/>
    <w:semiHidden/>
    <w:rsid w:val="00045C4B"/>
    <w:pPr>
      <w:spacing w:before="0" w:after="0"/>
    </w:pPr>
    <w:rPr>
      <w:rFonts w:cs="Tahoma"/>
      <w:sz w:val="16"/>
      <w:szCs w:val="16"/>
    </w:rPr>
  </w:style>
  <w:style w:type="character" w:customStyle="1" w:styleId="BalloonTextChar">
    <w:name w:val="Balloon Text Char"/>
    <w:link w:val="BalloonText"/>
    <w:semiHidden/>
    <w:rsid w:val="00045C4B"/>
    <w:rPr>
      <w:rFonts w:ascii="Open Sans" w:eastAsia="MS Mincho" w:hAnsi="Open Sans" w:cs="Tahoma"/>
      <w:sz w:val="16"/>
      <w:szCs w:val="16"/>
    </w:rPr>
  </w:style>
  <w:style w:type="character" w:customStyle="1" w:styleId="CharChar">
    <w:name w:val="Char Char"/>
    <w:semiHidden/>
    <w:locked/>
    <w:rsid w:val="00045C4B"/>
    <w:rPr>
      <w:rFonts w:ascii="Open Sans" w:hAnsi="Open Sans" w:cs="Arial"/>
      <w:lang w:val="en-AU" w:eastAsia="en-AU" w:bidi="ar-SA"/>
    </w:rPr>
  </w:style>
  <w:style w:type="character" w:customStyle="1" w:styleId="EndnoteTextChar">
    <w:name w:val="Endnote Text Char"/>
    <w:locked/>
    <w:rsid w:val="00045C4B"/>
    <w:rPr>
      <w:rFonts w:ascii="Open Sans" w:hAnsi="Open Sans"/>
      <w:sz w:val="20"/>
      <w:lang w:bidi="ar-SA"/>
    </w:rPr>
  </w:style>
  <w:style w:type="character" w:customStyle="1" w:styleId="SubtitleChar">
    <w:name w:val="Subtitle Char"/>
    <w:link w:val="Subtitle"/>
    <w:rsid w:val="00817C73"/>
    <w:rPr>
      <w:rFonts w:ascii="Open Sans" w:eastAsia="MS Mincho" w:hAnsi="Open Sans" w:cs="Arial"/>
      <w:color w:val="237BBC"/>
      <w:sz w:val="28"/>
      <w:szCs w:val="24"/>
    </w:rPr>
  </w:style>
  <w:style w:type="paragraph" w:customStyle="1" w:styleId="SubmissionNormal">
    <w:name w:val="Submission Normal"/>
    <w:aliases w:val="No Spacing1,No Spacing11,No Spacing111,No Spacing1111"/>
    <w:basedOn w:val="Normal"/>
    <w:link w:val="SubmissionNormalChar"/>
    <w:locked/>
    <w:rsid w:val="00B34946"/>
    <w:pPr>
      <w:numPr>
        <w:numId w:val="36"/>
      </w:numPr>
      <w:tabs>
        <w:tab w:val="clear" w:pos="720"/>
      </w:tabs>
      <w:ind w:hanging="720"/>
    </w:pPr>
    <w:rPr>
      <w:rFonts w:eastAsia="Times New Roman"/>
    </w:rPr>
  </w:style>
  <w:style w:type="character" w:customStyle="1" w:styleId="SubmissionNormalChar">
    <w:name w:val="Submission Normal Char"/>
    <w:aliases w:val="No Spacing1 Char,No Spacing11 Char"/>
    <w:link w:val="SubmissionNormal"/>
    <w:rsid w:val="00B34946"/>
    <w:rPr>
      <w:rFonts w:ascii="Arial" w:hAnsi="Arial"/>
      <w:sz w:val="24"/>
      <w:szCs w:val="24"/>
    </w:rPr>
  </w:style>
  <w:style w:type="paragraph" w:customStyle="1" w:styleId="coveraddresses">
    <w:name w:val="cover addresses"/>
    <w:basedOn w:val="Footer"/>
    <w:locked/>
    <w:rsid w:val="005C2ECF"/>
    <w:pPr>
      <w:spacing w:after="40"/>
    </w:pPr>
    <w:rPr>
      <w:szCs w:val="16"/>
    </w:rPr>
  </w:style>
  <w:style w:type="paragraph" w:customStyle="1" w:styleId="coveraddress">
    <w:name w:val="cover address"/>
    <w:basedOn w:val="coveraddresses"/>
    <w:locked/>
    <w:rsid w:val="005C2ECF"/>
  </w:style>
  <w:style w:type="paragraph" w:styleId="Caption">
    <w:name w:val="caption"/>
    <w:basedOn w:val="Normal"/>
    <w:next w:val="Normal"/>
    <w:semiHidden/>
    <w:unhideWhenUsed/>
    <w:qFormat/>
    <w:rsid w:val="00045C4B"/>
    <w:rPr>
      <w:b/>
      <w:bCs/>
      <w:sz w:val="20"/>
      <w:szCs w:val="20"/>
    </w:rPr>
  </w:style>
  <w:style w:type="character" w:styleId="CommentReference">
    <w:name w:val="annotation reference"/>
    <w:rsid w:val="00045C4B"/>
    <w:rPr>
      <w:rFonts w:ascii="Open Sans" w:hAnsi="Open Sans"/>
      <w:sz w:val="16"/>
      <w:szCs w:val="16"/>
    </w:rPr>
  </w:style>
  <w:style w:type="paragraph" w:styleId="CommentText">
    <w:name w:val="annotation text"/>
    <w:basedOn w:val="Normal"/>
    <w:link w:val="CommentTextChar"/>
    <w:rsid w:val="00045C4B"/>
    <w:rPr>
      <w:sz w:val="20"/>
      <w:szCs w:val="20"/>
    </w:rPr>
  </w:style>
  <w:style w:type="character" w:customStyle="1" w:styleId="CommentTextChar">
    <w:name w:val="Comment Text Char"/>
    <w:link w:val="CommentText"/>
    <w:rsid w:val="00045C4B"/>
    <w:rPr>
      <w:rFonts w:ascii="Open Sans" w:eastAsia="MS Mincho" w:hAnsi="Open Sans"/>
    </w:rPr>
  </w:style>
  <w:style w:type="paragraph" w:styleId="CommentSubject">
    <w:name w:val="annotation subject"/>
    <w:basedOn w:val="CommentText"/>
    <w:next w:val="CommentText"/>
    <w:link w:val="CommentSubjectChar"/>
    <w:rsid w:val="00045C4B"/>
    <w:rPr>
      <w:b/>
      <w:bCs/>
    </w:rPr>
  </w:style>
  <w:style w:type="character" w:customStyle="1" w:styleId="CommentSubjectChar">
    <w:name w:val="Comment Subject Char"/>
    <w:link w:val="CommentSubject"/>
    <w:rsid w:val="00045C4B"/>
    <w:rPr>
      <w:rFonts w:ascii="Open Sans" w:eastAsia="MS Mincho" w:hAnsi="Open Sans"/>
      <w:b/>
      <w:bCs/>
    </w:rPr>
  </w:style>
  <w:style w:type="paragraph" w:styleId="DocumentMap">
    <w:name w:val="Document Map"/>
    <w:basedOn w:val="Normal"/>
    <w:link w:val="DocumentMapChar"/>
    <w:rsid w:val="00045C4B"/>
    <w:rPr>
      <w:rFonts w:cs="Segoe UI"/>
      <w:sz w:val="16"/>
      <w:szCs w:val="16"/>
    </w:rPr>
  </w:style>
  <w:style w:type="character" w:customStyle="1" w:styleId="DocumentMapChar">
    <w:name w:val="Document Map Char"/>
    <w:link w:val="DocumentMap"/>
    <w:rsid w:val="00045C4B"/>
    <w:rPr>
      <w:rFonts w:ascii="Open Sans" w:eastAsia="MS Mincho" w:hAnsi="Open Sans" w:cs="Segoe UI"/>
      <w:sz w:val="16"/>
      <w:szCs w:val="16"/>
    </w:rPr>
  </w:style>
  <w:style w:type="paragraph" w:styleId="Index1">
    <w:name w:val="index 1"/>
    <w:basedOn w:val="Normal"/>
    <w:next w:val="Normal"/>
    <w:rsid w:val="005C2ECF"/>
    <w:pPr>
      <w:ind w:left="240" w:hanging="240"/>
    </w:pPr>
  </w:style>
  <w:style w:type="paragraph" w:styleId="Index2">
    <w:name w:val="index 2"/>
    <w:basedOn w:val="Normal"/>
    <w:next w:val="Normal"/>
    <w:rsid w:val="005C2ECF"/>
    <w:pPr>
      <w:ind w:left="480" w:hanging="240"/>
    </w:pPr>
  </w:style>
  <w:style w:type="paragraph" w:styleId="Index3">
    <w:name w:val="index 3"/>
    <w:basedOn w:val="Normal"/>
    <w:next w:val="Normal"/>
    <w:rsid w:val="005C2ECF"/>
    <w:pPr>
      <w:ind w:left="720" w:hanging="240"/>
    </w:pPr>
  </w:style>
  <w:style w:type="paragraph" w:styleId="Index4">
    <w:name w:val="index 4"/>
    <w:basedOn w:val="Normal"/>
    <w:next w:val="Normal"/>
    <w:rsid w:val="005C2ECF"/>
    <w:pPr>
      <w:ind w:left="960" w:hanging="240"/>
    </w:pPr>
  </w:style>
  <w:style w:type="paragraph" w:styleId="Index5">
    <w:name w:val="index 5"/>
    <w:basedOn w:val="Normal"/>
    <w:next w:val="Normal"/>
    <w:rsid w:val="005C2ECF"/>
    <w:pPr>
      <w:ind w:left="1200" w:hanging="240"/>
    </w:pPr>
  </w:style>
  <w:style w:type="paragraph" w:styleId="Index6">
    <w:name w:val="index 6"/>
    <w:basedOn w:val="Normal"/>
    <w:next w:val="Normal"/>
    <w:rsid w:val="005C2ECF"/>
    <w:pPr>
      <w:ind w:left="1440" w:hanging="240"/>
    </w:pPr>
  </w:style>
  <w:style w:type="paragraph" w:styleId="Index7">
    <w:name w:val="index 7"/>
    <w:basedOn w:val="Normal"/>
    <w:next w:val="Normal"/>
    <w:rsid w:val="005C2ECF"/>
    <w:pPr>
      <w:ind w:left="1680" w:hanging="240"/>
    </w:pPr>
  </w:style>
  <w:style w:type="paragraph" w:styleId="Index8">
    <w:name w:val="index 8"/>
    <w:basedOn w:val="Normal"/>
    <w:next w:val="Normal"/>
    <w:rsid w:val="005C2ECF"/>
    <w:pPr>
      <w:ind w:left="1920" w:hanging="240"/>
    </w:pPr>
  </w:style>
  <w:style w:type="paragraph" w:styleId="Index9">
    <w:name w:val="index 9"/>
    <w:basedOn w:val="Normal"/>
    <w:next w:val="Normal"/>
    <w:rsid w:val="005C2ECF"/>
    <w:pPr>
      <w:ind w:left="2160" w:hanging="240"/>
    </w:pPr>
  </w:style>
  <w:style w:type="paragraph" w:styleId="IndexHeading">
    <w:name w:val="index heading"/>
    <w:basedOn w:val="Normal"/>
    <w:next w:val="Index1"/>
    <w:rsid w:val="005C2ECF"/>
    <w:rPr>
      <w:rFonts w:eastAsia="Times New Roman"/>
      <w:b/>
      <w:bCs/>
    </w:rPr>
  </w:style>
  <w:style w:type="paragraph" w:styleId="MacroText">
    <w:name w:val="macro"/>
    <w:link w:val="MacroTextChar"/>
    <w:rsid w:val="005C2ECF"/>
    <w:pPr>
      <w:tabs>
        <w:tab w:val="left" w:pos="480"/>
        <w:tab w:val="left" w:pos="960"/>
        <w:tab w:val="left" w:pos="1440"/>
        <w:tab w:val="left" w:pos="1920"/>
        <w:tab w:val="left" w:pos="2400"/>
        <w:tab w:val="left" w:pos="2880"/>
        <w:tab w:val="left" w:pos="3360"/>
        <w:tab w:val="left" w:pos="3840"/>
        <w:tab w:val="left" w:pos="4320"/>
      </w:tabs>
      <w:spacing w:before="240" w:after="240"/>
    </w:pPr>
    <w:rPr>
      <w:rFonts w:ascii="Open Sans" w:eastAsia="MS Mincho" w:hAnsi="Open Sans" w:cs="Courier New"/>
    </w:rPr>
  </w:style>
  <w:style w:type="character" w:customStyle="1" w:styleId="MacroTextChar">
    <w:name w:val="Macro Text Char"/>
    <w:link w:val="MacroText"/>
    <w:rsid w:val="005C2ECF"/>
    <w:rPr>
      <w:rFonts w:ascii="Open Sans" w:eastAsia="MS Mincho" w:hAnsi="Open Sans" w:cs="Courier New"/>
    </w:rPr>
  </w:style>
  <w:style w:type="paragraph" w:styleId="TableofAuthorities">
    <w:name w:val="table of authorities"/>
    <w:basedOn w:val="Normal"/>
    <w:next w:val="Normal"/>
    <w:locked/>
    <w:rsid w:val="00471BB7"/>
    <w:pPr>
      <w:ind w:left="240" w:hanging="240"/>
    </w:pPr>
  </w:style>
  <w:style w:type="paragraph" w:styleId="TableofFigures">
    <w:name w:val="table of figures"/>
    <w:basedOn w:val="Normal"/>
    <w:next w:val="Normal"/>
    <w:locked/>
    <w:rsid w:val="00471BB7"/>
  </w:style>
  <w:style w:type="paragraph" w:styleId="TOAHeading">
    <w:name w:val="toa heading"/>
    <w:basedOn w:val="Normal"/>
    <w:next w:val="Normal"/>
    <w:locked/>
    <w:rsid w:val="00471BB7"/>
    <w:pPr>
      <w:spacing w:before="120"/>
    </w:pPr>
    <w:rPr>
      <w:rFonts w:eastAsia="Times New Roman"/>
      <w:b/>
      <w:bCs/>
    </w:rPr>
  </w:style>
  <w:style w:type="paragraph" w:styleId="TOC5">
    <w:name w:val="toc 5"/>
    <w:basedOn w:val="Normal"/>
    <w:next w:val="Normal"/>
    <w:semiHidden/>
    <w:locked/>
    <w:rsid w:val="00471BB7"/>
    <w:pPr>
      <w:ind w:left="960"/>
    </w:pPr>
  </w:style>
  <w:style w:type="paragraph" w:styleId="TOC6">
    <w:name w:val="toc 6"/>
    <w:basedOn w:val="Normal"/>
    <w:next w:val="Normal"/>
    <w:semiHidden/>
    <w:locked/>
    <w:rsid w:val="00471BB7"/>
    <w:pPr>
      <w:ind w:left="1200"/>
    </w:pPr>
  </w:style>
  <w:style w:type="paragraph" w:styleId="TOC7">
    <w:name w:val="toc 7"/>
    <w:basedOn w:val="Normal"/>
    <w:next w:val="Normal"/>
    <w:semiHidden/>
    <w:locked/>
    <w:rsid w:val="00471BB7"/>
    <w:pPr>
      <w:ind w:left="1440"/>
    </w:pPr>
  </w:style>
  <w:style w:type="paragraph" w:styleId="TOC8">
    <w:name w:val="toc 8"/>
    <w:basedOn w:val="Normal"/>
    <w:next w:val="Normal"/>
    <w:semiHidden/>
    <w:locked/>
    <w:rsid w:val="00471BB7"/>
    <w:pPr>
      <w:ind w:left="1680"/>
    </w:pPr>
  </w:style>
  <w:style w:type="paragraph" w:styleId="TOC9">
    <w:name w:val="toc 9"/>
    <w:basedOn w:val="Normal"/>
    <w:next w:val="Normal"/>
    <w:semiHidden/>
    <w:locked/>
    <w:rsid w:val="00471BB7"/>
    <w:pPr>
      <w:ind w:left="1920"/>
    </w:pPr>
  </w:style>
  <w:style w:type="paragraph" w:styleId="NoSpacing">
    <w:name w:val="No Spacing"/>
    <w:link w:val="NoSpacingChar"/>
    <w:uiPriority w:val="1"/>
    <w:qFormat/>
    <w:rsid w:val="00471BB7"/>
    <w:rPr>
      <w:rFonts w:ascii="Open Sans" w:eastAsia="MS Mincho" w:hAnsi="Open Sans"/>
      <w:sz w:val="24"/>
      <w:szCs w:val="24"/>
    </w:rPr>
  </w:style>
  <w:style w:type="character" w:styleId="SubtleEmphasis">
    <w:name w:val="Subtle Emphasis"/>
    <w:uiPriority w:val="19"/>
    <w:locked/>
    <w:rsid w:val="00471BB7"/>
    <w:rPr>
      <w:rFonts w:ascii="Open Sans" w:hAnsi="Open Sans"/>
      <w:i w:val="0"/>
      <w:iCs/>
      <w:color w:val="auto"/>
      <w:sz w:val="24"/>
    </w:rPr>
  </w:style>
  <w:style w:type="character" w:styleId="IntenseEmphasis">
    <w:name w:val="Intense Emphasis"/>
    <w:uiPriority w:val="21"/>
    <w:locked/>
    <w:rsid w:val="00471BB7"/>
    <w:rPr>
      <w:rFonts w:ascii="Open Sans" w:hAnsi="Open Sans"/>
      <w:i w:val="0"/>
      <w:iCs/>
      <w:color w:val="auto"/>
    </w:rPr>
  </w:style>
  <w:style w:type="paragraph" w:styleId="Quote">
    <w:name w:val="Quote"/>
    <w:basedOn w:val="Normal"/>
    <w:next w:val="Normal"/>
    <w:link w:val="QuoteChar"/>
    <w:qFormat/>
    <w:rsid w:val="000C5DA6"/>
    <w:pPr>
      <w:spacing w:before="200" w:after="160"/>
      <w:ind w:left="1440"/>
    </w:pPr>
    <w:rPr>
      <w:iCs/>
      <w:sz w:val="22"/>
    </w:rPr>
  </w:style>
  <w:style w:type="character" w:customStyle="1" w:styleId="QuoteChar">
    <w:name w:val="Quote Char"/>
    <w:link w:val="Quote"/>
    <w:rsid w:val="000C5DA6"/>
    <w:rPr>
      <w:rFonts w:ascii="Open Sans" w:eastAsia="MS Mincho" w:hAnsi="Open Sans"/>
      <w:iCs/>
      <w:sz w:val="22"/>
      <w:szCs w:val="24"/>
    </w:rPr>
  </w:style>
  <w:style w:type="paragraph" w:styleId="IntenseQuote">
    <w:name w:val="Intense Quote"/>
    <w:basedOn w:val="Normal"/>
    <w:next w:val="Normal"/>
    <w:link w:val="IntenseQuoteChar"/>
    <w:uiPriority w:val="30"/>
    <w:locked/>
    <w:rsid w:val="00471BB7"/>
    <w:pPr>
      <w:pBdr>
        <w:top w:val="single" w:sz="4" w:space="10" w:color="4472C4"/>
        <w:bottom w:val="single" w:sz="4" w:space="10" w:color="4472C4"/>
      </w:pBdr>
      <w:spacing w:before="360" w:after="360"/>
      <w:ind w:left="864" w:right="864"/>
      <w:jc w:val="center"/>
    </w:pPr>
    <w:rPr>
      <w:iCs/>
    </w:rPr>
  </w:style>
  <w:style w:type="character" w:customStyle="1" w:styleId="IntenseQuoteChar">
    <w:name w:val="Intense Quote Char"/>
    <w:link w:val="IntenseQuote"/>
    <w:uiPriority w:val="30"/>
    <w:rsid w:val="00471BB7"/>
    <w:rPr>
      <w:rFonts w:ascii="Open Sans" w:eastAsia="MS Mincho" w:hAnsi="Open Sans"/>
      <w:iCs/>
      <w:sz w:val="24"/>
      <w:szCs w:val="24"/>
    </w:rPr>
  </w:style>
  <w:style w:type="character" w:styleId="SubtleReference">
    <w:name w:val="Subtle Reference"/>
    <w:uiPriority w:val="31"/>
    <w:locked/>
    <w:rsid w:val="00471BB7"/>
    <w:rPr>
      <w:rFonts w:ascii="Open Sans" w:hAnsi="Open Sans"/>
      <w:smallCaps/>
      <w:color w:val="auto"/>
      <w:sz w:val="24"/>
    </w:rPr>
  </w:style>
  <w:style w:type="character" w:styleId="IntenseReference">
    <w:name w:val="Intense Reference"/>
    <w:uiPriority w:val="32"/>
    <w:locked/>
    <w:rsid w:val="00471BB7"/>
    <w:rPr>
      <w:rFonts w:ascii="Open Sans" w:hAnsi="Open Sans"/>
      <w:b w:val="0"/>
      <w:bCs/>
      <w:smallCaps/>
      <w:color w:val="auto"/>
      <w:spacing w:val="5"/>
      <w:sz w:val="24"/>
    </w:rPr>
  </w:style>
  <w:style w:type="character" w:styleId="BookTitle">
    <w:name w:val="Book Title"/>
    <w:aliases w:val="Text Title"/>
    <w:uiPriority w:val="33"/>
    <w:rsid w:val="00471BB7"/>
    <w:rPr>
      <w:rFonts w:ascii="Open Sans" w:hAnsi="Open Sans"/>
      <w:b w:val="0"/>
      <w:bCs/>
      <w:i/>
      <w:iCs/>
      <w:spacing w:val="5"/>
      <w:sz w:val="24"/>
    </w:rPr>
  </w:style>
  <w:style w:type="paragraph" w:styleId="ListParagraph">
    <w:name w:val="List Paragraph"/>
    <w:basedOn w:val="Normal"/>
    <w:link w:val="ListParagraphChar"/>
    <w:uiPriority w:val="34"/>
    <w:locked/>
    <w:rsid w:val="00471BB7"/>
    <w:pPr>
      <w:ind w:left="720"/>
    </w:pPr>
  </w:style>
  <w:style w:type="paragraph" w:styleId="Bibliography">
    <w:name w:val="Bibliography"/>
    <w:basedOn w:val="Normal"/>
    <w:next w:val="Normal"/>
    <w:uiPriority w:val="37"/>
    <w:semiHidden/>
    <w:unhideWhenUsed/>
    <w:rsid w:val="00471BB7"/>
  </w:style>
  <w:style w:type="character" w:customStyle="1" w:styleId="Hashtag1">
    <w:name w:val="Hashtag1"/>
    <w:uiPriority w:val="99"/>
    <w:semiHidden/>
    <w:unhideWhenUsed/>
    <w:locked/>
    <w:rsid w:val="00471BB7"/>
    <w:rPr>
      <w:rFonts w:ascii="Open Sans" w:hAnsi="Open Sans"/>
      <w:color w:val="2B579A"/>
      <w:shd w:val="clear" w:color="auto" w:fill="E6E6E6"/>
    </w:rPr>
  </w:style>
  <w:style w:type="character" w:customStyle="1" w:styleId="Mention1">
    <w:name w:val="Mention1"/>
    <w:uiPriority w:val="99"/>
    <w:semiHidden/>
    <w:unhideWhenUsed/>
    <w:locked/>
    <w:rsid w:val="00471BB7"/>
    <w:rPr>
      <w:rFonts w:ascii="Open Sans" w:hAnsi="Open Sans"/>
      <w:color w:val="auto"/>
      <w:shd w:val="clear" w:color="auto" w:fill="E6E6E6"/>
    </w:rPr>
  </w:style>
  <w:style w:type="character" w:customStyle="1" w:styleId="SmartHyperlink1">
    <w:name w:val="Smart Hyperlink1"/>
    <w:uiPriority w:val="99"/>
    <w:semiHidden/>
    <w:unhideWhenUsed/>
    <w:locked/>
    <w:rsid w:val="00471BB7"/>
    <w:rPr>
      <w:rFonts w:ascii="Open Sans" w:hAnsi="Open Sans"/>
      <w:u w:val="dotted"/>
    </w:rPr>
  </w:style>
  <w:style w:type="character" w:customStyle="1" w:styleId="UnresolvedMention1">
    <w:name w:val="Unresolved Mention1"/>
    <w:uiPriority w:val="99"/>
    <w:semiHidden/>
    <w:unhideWhenUsed/>
    <w:locked/>
    <w:rsid w:val="00471BB7"/>
    <w:rPr>
      <w:rFonts w:ascii="Open Sans" w:hAnsi="Open Sans"/>
      <w:color w:val="auto"/>
      <w:shd w:val="clear" w:color="auto" w:fill="E6E6E6"/>
    </w:rPr>
  </w:style>
  <w:style w:type="character" w:customStyle="1" w:styleId="Reporttitleinheader">
    <w:name w:val="Report title in header"/>
    <w:uiPriority w:val="1"/>
    <w:qFormat/>
    <w:rsid w:val="001F62CC"/>
    <w:rPr>
      <w:rFonts w:ascii="Open Sans" w:hAnsi="Open Sans"/>
      <w:b/>
      <w:noProof/>
      <w:sz w:val="18"/>
    </w:rPr>
  </w:style>
  <w:style w:type="paragraph" w:customStyle="1" w:styleId="HeaderDocumentDate">
    <w:name w:val="Header Document Date"/>
    <w:basedOn w:val="Footer"/>
    <w:qFormat/>
    <w:rsid w:val="002850B0"/>
    <w:pPr>
      <w:jc w:val="right"/>
    </w:pPr>
  </w:style>
  <w:style w:type="paragraph" w:customStyle="1" w:styleId="FooterEvenPageNumber">
    <w:name w:val="Footer Even Page Number"/>
    <w:basedOn w:val="Footer"/>
    <w:rsid w:val="00E53546"/>
  </w:style>
  <w:style w:type="paragraph" w:customStyle="1" w:styleId="FooterOddPageNumber">
    <w:name w:val="Footer Odd Page Number"/>
    <w:basedOn w:val="Footer"/>
    <w:rsid w:val="00E53546"/>
    <w:pPr>
      <w:jc w:val="right"/>
    </w:pPr>
  </w:style>
  <w:style w:type="paragraph" w:customStyle="1" w:styleId="Default">
    <w:name w:val="Default"/>
    <w:rsid w:val="00FD6475"/>
    <w:pPr>
      <w:autoSpaceDE w:val="0"/>
      <w:autoSpaceDN w:val="0"/>
      <w:adjustRightInd w:val="0"/>
    </w:pPr>
    <w:rPr>
      <w:rFonts w:ascii="Open Sans" w:hAnsi="Open Sans" w:cs="Open Sans"/>
      <w:color w:val="000000"/>
      <w:sz w:val="24"/>
      <w:szCs w:val="24"/>
    </w:rPr>
  </w:style>
  <w:style w:type="numbering" w:customStyle="1" w:styleId="Style1">
    <w:name w:val="Style1"/>
    <w:uiPriority w:val="99"/>
    <w:rsid w:val="0025176E"/>
    <w:pPr>
      <w:numPr>
        <w:numId w:val="39"/>
      </w:numPr>
    </w:pPr>
  </w:style>
  <w:style w:type="numbering" w:customStyle="1" w:styleId="AHRCReportHeadings">
    <w:name w:val="AHRC Report Headings"/>
    <w:uiPriority w:val="99"/>
    <w:rsid w:val="00592D1C"/>
    <w:pPr>
      <w:numPr>
        <w:numId w:val="43"/>
      </w:numPr>
    </w:pPr>
  </w:style>
  <w:style w:type="paragraph" w:customStyle="1" w:styleId="Reportplaintext">
    <w:name w:val="Report plain text"/>
    <w:basedOn w:val="Normal"/>
    <w:link w:val="ReportplaintextChar"/>
    <w:rsid w:val="00691E8A"/>
  </w:style>
  <w:style w:type="paragraph" w:customStyle="1" w:styleId="AHRCHeading4">
    <w:name w:val="AHRC Heading 4"/>
    <w:basedOn w:val="Heading4"/>
    <w:link w:val="AHRCHeading4Char"/>
    <w:qFormat/>
    <w:rsid w:val="00CF66B5"/>
    <w:rPr>
      <w:i w:val="0"/>
      <w:iCs w:val="0"/>
    </w:rPr>
  </w:style>
  <w:style w:type="character" w:customStyle="1" w:styleId="ReportplaintextChar">
    <w:name w:val="Report plain text Char"/>
    <w:basedOn w:val="DefaultParagraphFont"/>
    <w:link w:val="Reportplaintext"/>
    <w:rsid w:val="00691E8A"/>
    <w:rPr>
      <w:rFonts w:ascii="Open Sans" w:eastAsia="MS Mincho" w:hAnsi="Open Sans"/>
      <w:sz w:val="24"/>
      <w:szCs w:val="24"/>
    </w:rPr>
  </w:style>
  <w:style w:type="paragraph" w:customStyle="1" w:styleId="AHRCheading5">
    <w:name w:val="AHRC heading 5"/>
    <w:basedOn w:val="ListParagraph"/>
    <w:link w:val="AHRCheading5Char"/>
    <w:qFormat/>
    <w:rsid w:val="00CF66B5"/>
    <w:pPr>
      <w:numPr>
        <w:ilvl w:val="4"/>
        <w:numId w:val="44"/>
      </w:numPr>
      <w:tabs>
        <w:tab w:val="clear" w:pos="0"/>
        <w:tab w:val="left" w:pos="851"/>
      </w:tabs>
    </w:pPr>
  </w:style>
  <w:style w:type="character" w:customStyle="1" w:styleId="AHRCHeading4Char">
    <w:name w:val="AHRC Heading 4 Char"/>
    <w:basedOn w:val="Heading4Char"/>
    <w:link w:val="AHRCHeading4"/>
    <w:rsid w:val="00CF66B5"/>
    <w:rPr>
      <w:rFonts w:ascii="Open Sans" w:eastAsia="MS Mincho" w:hAnsi="Open Sans"/>
      <w:iCs w:val="0"/>
      <w:sz w:val="24"/>
      <w:szCs w:val="26"/>
      <w:lang w:val="en-AU" w:eastAsia="en-AU" w:bidi="ar-SA"/>
    </w:rPr>
  </w:style>
  <w:style w:type="paragraph" w:customStyle="1" w:styleId="AHRCHeading1">
    <w:name w:val="AHRC Heading 1"/>
    <w:basedOn w:val="Heading1"/>
    <w:link w:val="AHRCHeading1Char"/>
    <w:qFormat/>
    <w:rsid w:val="00321095"/>
  </w:style>
  <w:style w:type="character" w:customStyle="1" w:styleId="ListParagraphChar">
    <w:name w:val="List Paragraph Char"/>
    <w:basedOn w:val="DefaultParagraphFont"/>
    <w:link w:val="ListParagraph"/>
    <w:uiPriority w:val="34"/>
    <w:rsid w:val="00321095"/>
    <w:rPr>
      <w:rFonts w:ascii="Open Sans" w:eastAsia="MS Mincho" w:hAnsi="Open Sans"/>
      <w:sz w:val="24"/>
      <w:szCs w:val="24"/>
    </w:rPr>
  </w:style>
  <w:style w:type="character" w:customStyle="1" w:styleId="AHRCheading5Char">
    <w:name w:val="AHRC heading 5 Char"/>
    <w:basedOn w:val="ListParagraphChar"/>
    <w:link w:val="AHRCheading5"/>
    <w:rsid w:val="00CF66B5"/>
    <w:rPr>
      <w:rFonts w:ascii="Open Sans" w:eastAsia="MS Mincho" w:hAnsi="Open Sans"/>
      <w:sz w:val="24"/>
      <w:szCs w:val="24"/>
    </w:rPr>
  </w:style>
  <w:style w:type="paragraph" w:customStyle="1" w:styleId="AHRCHeading2">
    <w:name w:val="AHRC Heading 2"/>
    <w:basedOn w:val="Heading2"/>
    <w:link w:val="AHRCHeading2Char"/>
    <w:qFormat/>
    <w:rsid w:val="000534AC"/>
    <w:rPr>
      <w:sz w:val="28"/>
    </w:rPr>
  </w:style>
  <w:style w:type="character" w:customStyle="1" w:styleId="AHRCHeading1Char">
    <w:name w:val="AHRC Heading 1 Char"/>
    <w:basedOn w:val="Heading1Char"/>
    <w:link w:val="AHRCHeading1"/>
    <w:rsid w:val="00321095"/>
    <w:rPr>
      <w:rFonts w:ascii="Open Sans" w:eastAsia="MS Mincho" w:hAnsi="Open Sans"/>
      <w:b/>
      <w:bCs/>
      <w:sz w:val="36"/>
      <w:szCs w:val="28"/>
    </w:rPr>
  </w:style>
  <w:style w:type="paragraph" w:customStyle="1" w:styleId="AHRCHeading3">
    <w:name w:val="AHRC Heading 3"/>
    <w:basedOn w:val="Heading3"/>
    <w:link w:val="AHRCHeading3Char"/>
    <w:qFormat/>
    <w:rsid w:val="00321095"/>
  </w:style>
  <w:style w:type="character" w:customStyle="1" w:styleId="AHRCHeading2Char">
    <w:name w:val="AHRC Heading 2 Char"/>
    <w:basedOn w:val="Heading2Char"/>
    <w:link w:val="AHRCHeading2"/>
    <w:rsid w:val="000534AC"/>
    <w:rPr>
      <w:rFonts w:ascii="Open Sans" w:eastAsia="MS Mincho" w:hAnsi="Open Sans"/>
      <w:b/>
      <w:sz w:val="28"/>
      <w:szCs w:val="26"/>
    </w:rPr>
  </w:style>
  <w:style w:type="character" w:styleId="UnresolvedMention">
    <w:name w:val="Unresolved Mention"/>
    <w:basedOn w:val="DefaultParagraphFont"/>
    <w:uiPriority w:val="99"/>
    <w:semiHidden/>
    <w:unhideWhenUsed/>
    <w:rsid w:val="003026A0"/>
    <w:rPr>
      <w:color w:val="605E5C"/>
      <w:shd w:val="clear" w:color="auto" w:fill="E1DFDD"/>
    </w:rPr>
  </w:style>
  <w:style w:type="character" w:customStyle="1" w:styleId="AHRCHeading3Char">
    <w:name w:val="AHRC Heading 3 Char"/>
    <w:basedOn w:val="Heading3Char"/>
    <w:link w:val="AHRCHeading3"/>
    <w:rsid w:val="00321095"/>
    <w:rPr>
      <w:rFonts w:ascii="Open Sans" w:eastAsia="MS Mincho" w:hAnsi="Open Sans"/>
      <w:bCs/>
      <w:i w:val="0"/>
      <w:sz w:val="24"/>
      <w:szCs w:val="26"/>
      <w:lang w:val="en-AU" w:eastAsia="en-AU" w:bidi="ar-SA"/>
    </w:rPr>
  </w:style>
  <w:style w:type="paragraph" w:customStyle="1" w:styleId="Blockquote">
    <w:name w:val="Block quote"/>
    <w:basedOn w:val="Normal"/>
    <w:link w:val="BlockquoteChar"/>
    <w:qFormat/>
    <w:rsid w:val="008A7EFF"/>
    <w:pPr>
      <w:spacing w:after="0"/>
      <w:ind w:left="1090" w:right="3"/>
    </w:pPr>
  </w:style>
  <w:style w:type="character" w:customStyle="1" w:styleId="BlockquoteChar">
    <w:name w:val="Block quote Char"/>
    <w:basedOn w:val="DefaultParagraphFont"/>
    <w:link w:val="Blockquote"/>
    <w:rsid w:val="008A7EFF"/>
    <w:rPr>
      <w:rFonts w:ascii="Open Sans" w:eastAsia="MS Mincho" w:hAnsi="Open Sans"/>
      <w:sz w:val="24"/>
      <w:szCs w:val="24"/>
    </w:rPr>
  </w:style>
  <w:style w:type="paragraph" w:customStyle="1" w:styleId="AHRCImagecaption">
    <w:name w:val="AHRC Image caption"/>
    <w:basedOn w:val="Normal"/>
    <w:link w:val="AHRCImagecaptionChar"/>
    <w:qFormat/>
    <w:rsid w:val="00A51C1D"/>
    <w:rPr>
      <w:sz w:val="18"/>
      <w:szCs w:val="18"/>
    </w:rPr>
  </w:style>
  <w:style w:type="paragraph" w:customStyle="1" w:styleId="AHRCEndnotes">
    <w:name w:val="AHRC Endnotes"/>
    <w:basedOn w:val="NoSpacing"/>
    <w:link w:val="AHRCEndnotesChar"/>
    <w:qFormat/>
    <w:rsid w:val="00DD604A"/>
    <w:pPr>
      <w:widowControl w:val="0"/>
      <w:numPr>
        <w:numId w:val="48"/>
      </w:numPr>
      <w:autoSpaceDE w:val="0"/>
      <w:autoSpaceDN w:val="0"/>
    </w:pPr>
    <w:rPr>
      <w:sz w:val="20"/>
      <w:szCs w:val="20"/>
    </w:rPr>
  </w:style>
  <w:style w:type="character" w:customStyle="1" w:styleId="AHRCImagecaptionChar">
    <w:name w:val="AHRC Image caption Char"/>
    <w:basedOn w:val="DefaultParagraphFont"/>
    <w:link w:val="AHRCImagecaption"/>
    <w:rsid w:val="00A51C1D"/>
    <w:rPr>
      <w:rFonts w:ascii="Open Sans" w:eastAsia="MS Mincho" w:hAnsi="Open Sans"/>
      <w:sz w:val="18"/>
      <w:szCs w:val="18"/>
    </w:rPr>
  </w:style>
  <w:style w:type="character" w:customStyle="1" w:styleId="NoSpacingChar">
    <w:name w:val="No Spacing Char"/>
    <w:basedOn w:val="DefaultParagraphFont"/>
    <w:link w:val="NoSpacing"/>
    <w:uiPriority w:val="1"/>
    <w:rsid w:val="00DD604A"/>
    <w:rPr>
      <w:rFonts w:ascii="Open Sans" w:eastAsia="MS Mincho" w:hAnsi="Open Sans"/>
      <w:sz w:val="24"/>
      <w:szCs w:val="24"/>
    </w:rPr>
  </w:style>
  <w:style w:type="character" w:customStyle="1" w:styleId="AHRCEndnotesChar">
    <w:name w:val="AHRC Endnotes Char"/>
    <w:basedOn w:val="NoSpacingChar"/>
    <w:link w:val="AHRCEndnotes"/>
    <w:rsid w:val="00DD604A"/>
    <w:rPr>
      <w:rFonts w:ascii="Open Sans" w:eastAsia="MS Mincho" w:hAnsi="Open Sans"/>
      <w:sz w:val="24"/>
      <w:szCs w:val="24"/>
    </w:rPr>
  </w:style>
  <w:style w:type="paragraph" w:customStyle="1" w:styleId="NumberedParagraph">
    <w:name w:val="Numbered Paragraph"/>
    <w:basedOn w:val="Normal"/>
    <w:qFormat/>
    <w:rsid w:val="00956AAA"/>
    <w:pPr>
      <w:numPr>
        <w:numId w:val="49"/>
      </w:numPr>
    </w:pPr>
    <w:rPr>
      <w:rFonts w:eastAsia="Times New Roman" w:cs="Open Sans"/>
      <w:spacing w:val="-5"/>
      <w:lang w:eastAsia="en-US"/>
    </w:rPr>
  </w:style>
  <w:style w:type="character" w:customStyle="1" w:styleId="normaltextrun">
    <w:name w:val="normaltextrun"/>
    <w:basedOn w:val="DefaultParagraphFont"/>
    <w:rsid w:val="00956AAA"/>
  </w:style>
  <w:style w:type="paragraph" w:customStyle="1" w:styleId="NameInsert">
    <w:name w:val="Name Insert"/>
    <w:basedOn w:val="BodyText"/>
    <w:rsid w:val="00FD0E8B"/>
    <w:pPr>
      <w:spacing w:before="0"/>
      <w:jc w:val="both"/>
    </w:pPr>
    <w:rPr>
      <w:rFonts w:ascii="Arial" w:eastAsia="Times New Roman" w:hAnsi="Arial"/>
      <w:color w:val="000000"/>
      <w:szCs w:val="20"/>
      <w:lang w:val="en-US" w:eastAsia="en-US" w:bidi="en-US"/>
    </w:rPr>
  </w:style>
  <w:style w:type="paragraph" w:styleId="Revision">
    <w:name w:val="Revision"/>
    <w:hidden/>
    <w:uiPriority w:val="99"/>
    <w:semiHidden/>
    <w:rsid w:val="00293FB5"/>
    <w:rPr>
      <w:rFonts w:ascii="Open Sans" w:eastAsia="MS Mincho" w:hAnsi="Open San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37367260">
      <w:bodyDiv w:val="1"/>
      <w:marLeft w:val="0"/>
      <w:marRight w:val="0"/>
      <w:marTop w:val="0"/>
      <w:marBottom w:val="0"/>
      <w:divBdr>
        <w:top w:val="none" w:sz="0" w:space="0" w:color="auto"/>
        <w:left w:val="none" w:sz="0" w:space="0" w:color="auto"/>
        <w:bottom w:val="none" w:sz="0" w:space="0" w:color="auto"/>
        <w:right w:val="none" w:sz="0" w:space="0" w:color="auto"/>
      </w:divBdr>
    </w:div>
    <w:div w:id="779758380">
      <w:bodyDiv w:val="1"/>
      <w:marLeft w:val="0"/>
      <w:marRight w:val="0"/>
      <w:marTop w:val="0"/>
      <w:marBottom w:val="0"/>
      <w:divBdr>
        <w:top w:val="none" w:sz="0" w:space="0" w:color="auto"/>
        <w:left w:val="none" w:sz="0" w:space="0" w:color="auto"/>
        <w:bottom w:val="none" w:sz="0" w:space="0" w:color="auto"/>
        <w:right w:val="none" w:sz="0" w:space="0" w:color="auto"/>
      </w:divBdr>
    </w:div>
    <w:div w:id="977101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header" Target="header5.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footer" Target="footer3.xml"/><Relationship Id="rId10" Type="http://schemas.openxmlformats.org/officeDocument/2006/relationships/header" Target="header3.xml"/><Relationship Id="rId19" Type="http://schemas.openxmlformats.org/officeDocument/2006/relationships/image" Target="media/image10.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footer" Target="footer2.xml"/><Relationship Id="rId30" Type="http://schemas.openxmlformats.org/officeDocument/2006/relationships/footer" Target="footer4.xml"/></Relationships>
</file>

<file path=word/_rels/endnotes.xml.rels><?xml version="1.0" encoding="UTF-8" standalone="yes"?>
<Relationships xmlns="http://schemas.openxmlformats.org/package/2006/relationships"><Relationship Id="rId1" Type="http://schemas.openxmlformats.org/officeDocument/2006/relationships/hyperlink" Target="https://www.ombudsman.gov.au/__data/assets/pdf_file/0022/290137/Commonwealth-NPM-Report.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352C10-2325-43C8-85E1-6835753AE3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7415</Words>
  <Characters>37844</Characters>
  <Application>Microsoft Office Word</Application>
  <DocSecurity>0</DocSecurity>
  <Lines>315</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2024-08-08T23:17:00Z</dcterms:created>
  <dcterms:modified xsi:type="dcterms:W3CDTF">2024-08-08T23:17:00Z</dcterms:modified>
</cp:coreProperties>
</file>