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F934" w14:textId="77777777" w:rsidR="00EF2D8C" w:rsidRDefault="00EF2D8C" w:rsidP="008D5C8D">
      <w:pPr>
        <w:pStyle w:val="Heading1"/>
        <w:pBdr>
          <w:bottom w:val="single" w:sz="6" w:space="1" w:color="auto"/>
        </w:pBdr>
        <w:rPr>
          <w:rFonts w:ascii="Open Sans" w:eastAsia="Times New Roman" w:hAnsi="Open Sans" w:cs="Open Sans"/>
          <w:lang w:eastAsia="en-AU"/>
        </w:rPr>
      </w:pPr>
    </w:p>
    <w:p w14:paraId="317389DA" w14:textId="3010C9B5" w:rsidR="0034447D" w:rsidRPr="008D5C8D" w:rsidRDefault="000916A3" w:rsidP="008D5C8D">
      <w:pPr>
        <w:pStyle w:val="Heading1"/>
        <w:pBdr>
          <w:bottom w:val="single" w:sz="6" w:space="1" w:color="auto"/>
        </w:pBdr>
        <w:rPr>
          <w:rFonts w:ascii="Open Sans" w:eastAsia="Times New Roman" w:hAnsi="Open Sans" w:cs="Open Sans"/>
          <w:lang w:eastAsia="en-AU"/>
        </w:rPr>
      </w:pPr>
      <w:r>
        <w:rPr>
          <w:rFonts w:ascii="Open Sans" w:eastAsia="Times New Roman" w:hAnsi="Open Sans" w:cs="Open Sans"/>
          <w:lang w:eastAsia="en-AU"/>
        </w:rPr>
        <w:t xml:space="preserve">Requirements for successful applicants </w:t>
      </w:r>
    </w:p>
    <w:p w14:paraId="387C4D8F" w14:textId="77777777" w:rsidR="008D5C8D" w:rsidRDefault="008D5C8D" w:rsidP="0034447D">
      <w:pPr>
        <w:spacing w:after="100" w:afterAutospacing="1" w:line="240" w:lineRule="auto"/>
        <w:rPr>
          <w:rFonts w:ascii="Open Sans" w:eastAsia="Times New Roman" w:hAnsi="Open Sans" w:cs="Open Sans"/>
          <w:color w:val="1F1923"/>
          <w:sz w:val="24"/>
          <w:szCs w:val="24"/>
          <w:lang w:eastAsia="en-AU"/>
        </w:rPr>
      </w:pPr>
    </w:p>
    <w:p w14:paraId="13B826DE" w14:textId="4419B53C" w:rsidR="008D5C8D" w:rsidRPr="008E6396" w:rsidRDefault="008E6396" w:rsidP="008D5C8D">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sidRPr="008E6396">
        <w:rPr>
          <w:rFonts w:ascii="Open Sans" w:eastAsia="Times New Roman" w:hAnsi="Open Sans" w:cs="Open Sans"/>
          <w:b/>
          <w:bCs/>
          <w:color w:val="2F5496" w:themeColor="accent1" w:themeShade="BF"/>
          <w:sz w:val="24"/>
          <w:szCs w:val="24"/>
          <w:lang w:eastAsia="en-AU"/>
        </w:rPr>
        <w:t>Collaboration with other organisations</w:t>
      </w:r>
      <w:r w:rsidR="00B84ECC" w:rsidRPr="008E6396">
        <w:rPr>
          <w:rFonts w:ascii="Open Sans" w:eastAsia="Times New Roman" w:hAnsi="Open Sans" w:cs="Open Sans"/>
          <w:b/>
          <w:bCs/>
          <w:color w:val="2F5496" w:themeColor="accent1" w:themeShade="BF"/>
          <w:sz w:val="24"/>
          <w:szCs w:val="24"/>
          <w:lang w:eastAsia="en-AU"/>
        </w:rPr>
        <w:t xml:space="preserve"> </w:t>
      </w:r>
    </w:p>
    <w:p w14:paraId="208C4F04" w14:textId="47F64B3C" w:rsidR="008E6396" w:rsidRP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Both the sponsoring organisation(s) and their delegates (the successful applicants) will be expected to actively engage and collaborate with other Australian disability peak and advocacy organisations to seek their input and advice regarding issues for discussion at the international forum they are funded to attend.</w:t>
      </w:r>
    </w:p>
    <w:p w14:paraId="7BB291E4" w14:textId="2A91269A" w:rsidR="008E6396" w:rsidRPr="008E6396" w:rsidRDefault="008E6396" w:rsidP="008E6396">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sidRPr="008E6396">
        <w:rPr>
          <w:rFonts w:ascii="Open Sans" w:eastAsia="Times New Roman" w:hAnsi="Open Sans" w:cs="Open Sans"/>
          <w:b/>
          <w:bCs/>
          <w:color w:val="2F5496" w:themeColor="accent1" w:themeShade="BF"/>
          <w:sz w:val="24"/>
          <w:szCs w:val="24"/>
          <w:lang w:eastAsia="en-AU"/>
        </w:rPr>
        <w:t xml:space="preserve">Financial declaration </w:t>
      </w:r>
    </w:p>
    <w:p w14:paraId="0048596E" w14:textId="206B4AC2" w:rsidR="008E6396" w:rsidRP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 xml:space="preserve">DSS will require a financial acquittal report to be received no later than 30 November </w:t>
      </w:r>
      <w:r w:rsidR="00B867D8">
        <w:rPr>
          <w:rFonts w:ascii="Open Sans" w:hAnsi="Open Sans" w:cs="Open Sans"/>
          <w:color w:val="1F1923"/>
        </w:rPr>
        <w:t>2020,</w:t>
      </w:r>
      <w:r w:rsidRPr="008E6396">
        <w:rPr>
          <w:rFonts w:ascii="Open Sans" w:hAnsi="Open Sans" w:cs="Open Sans"/>
          <w:color w:val="1F1923"/>
        </w:rPr>
        <w:t xml:space="preserve"> </w:t>
      </w:r>
      <w:r w:rsidR="00B867D8">
        <w:rPr>
          <w:rFonts w:ascii="Open Sans" w:hAnsi="Open Sans" w:cs="Open Sans"/>
          <w:color w:val="1F1923"/>
        </w:rPr>
        <w:t>which</w:t>
      </w:r>
      <w:r w:rsidRPr="008E6396">
        <w:rPr>
          <w:rFonts w:ascii="Open Sans" w:hAnsi="Open Sans" w:cs="Open Sans"/>
          <w:color w:val="1F1923"/>
        </w:rPr>
        <w:t xml:space="preserve"> details how the funds provided have been spent.</w:t>
      </w:r>
    </w:p>
    <w:p w14:paraId="6B55EA33" w14:textId="64837E50" w:rsidR="008E6396" w:rsidRPr="008E6396" w:rsidRDefault="008E6396" w:rsidP="008E6396">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sidRPr="008E6396">
        <w:rPr>
          <w:rFonts w:ascii="Open Sans" w:eastAsia="Times New Roman" w:hAnsi="Open Sans" w:cs="Open Sans"/>
          <w:b/>
          <w:bCs/>
          <w:color w:val="2F5496" w:themeColor="accent1" w:themeShade="BF"/>
          <w:sz w:val="24"/>
          <w:szCs w:val="24"/>
          <w:lang w:eastAsia="en-AU"/>
        </w:rPr>
        <w:t>Post-event reporting</w:t>
      </w:r>
    </w:p>
    <w:p w14:paraId="52A7B4B2" w14:textId="337CC7B4" w:rsidR="008E6396" w:rsidRP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 xml:space="preserve">A post-event report will be required, which includes a brief statement </w:t>
      </w:r>
      <w:r>
        <w:rPr>
          <w:rFonts w:ascii="Open Sans" w:hAnsi="Open Sans" w:cs="Open Sans"/>
          <w:color w:val="1F1923"/>
        </w:rPr>
        <w:t>detailing:</w:t>
      </w:r>
    </w:p>
    <w:p w14:paraId="5B8DBEE4" w14:textId="77777777" w:rsidR="008E6396" w:rsidRPr="008E6396" w:rsidRDefault="008E6396" w:rsidP="008E6396">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 xml:space="preserve">who the funded participants </w:t>
      </w:r>
      <w:proofErr w:type="gramStart"/>
      <w:r w:rsidRPr="008E6396">
        <w:rPr>
          <w:rFonts w:ascii="Open Sans" w:hAnsi="Open Sans" w:cs="Open Sans"/>
          <w:color w:val="1F1923"/>
          <w:sz w:val="26"/>
          <w:szCs w:val="26"/>
        </w:rPr>
        <w:t>were</w:t>
      </w:r>
      <w:proofErr w:type="gramEnd"/>
    </w:p>
    <w:p w14:paraId="67E119F3" w14:textId="77777777" w:rsidR="008E6396" w:rsidRPr="008E6396" w:rsidRDefault="008E6396" w:rsidP="008E6396">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what (if any) presentations were delivered or matters raised by the delegation</w:t>
      </w:r>
    </w:p>
    <w:p w14:paraId="41AD7969" w14:textId="77777777" w:rsidR="008E6396" w:rsidRPr="008E6396" w:rsidRDefault="008E6396" w:rsidP="008E6396">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any outcomes</w:t>
      </w:r>
    </w:p>
    <w:p w14:paraId="37178DD5" w14:textId="3A06A34D" w:rsidR="008E6396" w:rsidRPr="008E6396" w:rsidRDefault="008E6396" w:rsidP="008E6396">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 xml:space="preserve">relevance, usefulness and benefits of the event </w:t>
      </w:r>
      <w:r w:rsidR="00CF2770" w:rsidRPr="00CF2770">
        <w:rPr>
          <w:rFonts w:ascii="Open Sans" w:hAnsi="Open Sans" w:cs="Open Sans"/>
          <w:color w:val="1F1923"/>
          <w:sz w:val="26"/>
          <w:szCs w:val="26"/>
        </w:rPr>
        <w:t>for the sponsor organisation and its work in the disability sector</w:t>
      </w:r>
    </w:p>
    <w:p w14:paraId="342869F7" w14:textId="15308620" w:rsidR="00A41738" w:rsidRDefault="008E6396" w:rsidP="00A41738">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information presented at the event that may inform Australian disability policy development</w:t>
      </w:r>
      <w:r w:rsidR="00A41738">
        <w:rPr>
          <w:rFonts w:ascii="Open Sans" w:hAnsi="Open Sans" w:cs="Open Sans"/>
          <w:color w:val="1F1923"/>
          <w:sz w:val="26"/>
          <w:szCs w:val="26"/>
        </w:rPr>
        <w:t xml:space="preserve">, including any </w:t>
      </w:r>
      <w:r w:rsidRPr="00A41738">
        <w:rPr>
          <w:rFonts w:ascii="Open Sans" w:hAnsi="Open Sans" w:cs="Open Sans"/>
          <w:color w:val="1F1923"/>
          <w:sz w:val="26"/>
          <w:szCs w:val="26"/>
        </w:rPr>
        <w:t>issues that Australia needs to be aware of/consider.</w:t>
      </w:r>
    </w:p>
    <w:p w14:paraId="0196369F" w14:textId="77777777" w:rsidR="00CF2770" w:rsidRPr="00CF2770" w:rsidRDefault="00CF2770" w:rsidP="00CF2770">
      <w:pPr>
        <w:spacing w:after="0" w:line="240" w:lineRule="auto"/>
        <w:ind w:left="720"/>
        <w:rPr>
          <w:rFonts w:ascii="Open Sans" w:hAnsi="Open Sans" w:cs="Open Sans"/>
          <w:color w:val="1F1923"/>
          <w:sz w:val="26"/>
          <w:szCs w:val="26"/>
        </w:rPr>
      </w:pPr>
    </w:p>
    <w:p w14:paraId="293FBA3B" w14:textId="063ED971" w:rsidR="008E6396" w:rsidRPr="008E6396" w:rsidRDefault="008E6396" w:rsidP="00A41738">
      <w:pPr>
        <w:pStyle w:val="NormalWeb"/>
        <w:spacing w:before="0" w:beforeAutospacing="0"/>
        <w:rPr>
          <w:rFonts w:ascii="Open Sans" w:hAnsi="Open Sans" w:cs="Open Sans"/>
          <w:color w:val="1F1923"/>
        </w:rPr>
      </w:pPr>
      <w:r w:rsidRPr="008E6396">
        <w:rPr>
          <w:rFonts w:ascii="Open Sans" w:hAnsi="Open Sans" w:cs="Open Sans"/>
          <w:color w:val="1F1923"/>
        </w:rPr>
        <w:t>It might also include discussion on:</w:t>
      </w:r>
    </w:p>
    <w:p w14:paraId="245F9A0A" w14:textId="62C43FC2" w:rsidR="008E6396" w:rsidRDefault="008E6396" w:rsidP="008E6396">
      <w:pPr>
        <w:numPr>
          <w:ilvl w:val="0"/>
          <w:numId w:val="8"/>
        </w:numPr>
        <w:spacing w:after="0" w:line="240" w:lineRule="auto"/>
        <w:rPr>
          <w:rFonts w:ascii="Open Sans" w:hAnsi="Open Sans" w:cs="Open Sans"/>
          <w:color w:val="1F1923"/>
          <w:sz w:val="26"/>
          <w:szCs w:val="26"/>
        </w:rPr>
      </w:pPr>
      <w:r w:rsidRPr="008E6396">
        <w:rPr>
          <w:rFonts w:ascii="Open Sans" w:hAnsi="Open Sans" w:cs="Open Sans"/>
          <w:color w:val="1F1923"/>
          <w:sz w:val="26"/>
          <w:szCs w:val="26"/>
        </w:rPr>
        <w:t>the benefits/shortcomings of this funding initiative, and other issues that may need to be considered in the funding arrangements, such as pre event preparation information that may assist future participants.</w:t>
      </w:r>
    </w:p>
    <w:p w14:paraId="1DCED1B7" w14:textId="77777777" w:rsidR="00A143D9" w:rsidRDefault="00A143D9" w:rsidP="00A143D9">
      <w:pPr>
        <w:spacing w:after="0" w:line="240" w:lineRule="auto"/>
        <w:ind w:left="720"/>
        <w:rPr>
          <w:rFonts w:ascii="Open Sans" w:hAnsi="Open Sans" w:cs="Open Sans"/>
          <w:color w:val="1F1923"/>
          <w:sz w:val="26"/>
          <w:szCs w:val="26"/>
        </w:rPr>
      </w:pPr>
    </w:p>
    <w:p w14:paraId="07940749" w14:textId="4F11FBF5" w:rsidR="00A41738" w:rsidRDefault="00A41738" w:rsidP="00A41738">
      <w:pPr>
        <w:spacing w:after="0" w:line="240" w:lineRule="auto"/>
        <w:rPr>
          <w:rFonts w:ascii="Open Sans" w:hAnsi="Open Sans" w:cs="Open Sans"/>
          <w:color w:val="1F1923"/>
          <w:sz w:val="26"/>
          <w:szCs w:val="26"/>
        </w:rPr>
      </w:pPr>
    </w:p>
    <w:p w14:paraId="6820D82C" w14:textId="6345B608" w:rsidR="00A41738" w:rsidRPr="00A143D9" w:rsidRDefault="00A41738" w:rsidP="00A143D9">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sidRPr="00A143D9">
        <w:rPr>
          <w:rFonts w:ascii="Open Sans" w:eastAsia="Times New Roman" w:hAnsi="Open Sans" w:cs="Open Sans"/>
          <w:b/>
          <w:bCs/>
          <w:color w:val="2F5496" w:themeColor="accent1" w:themeShade="BF"/>
          <w:sz w:val="24"/>
          <w:szCs w:val="24"/>
          <w:lang w:eastAsia="en-AU"/>
        </w:rPr>
        <w:t xml:space="preserve">Participation in feedback sessions </w:t>
      </w:r>
    </w:p>
    <w:p w14:paraId="5AB45E7C" w14:textId="521E1FA1" w:rsid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The Commission or DSS may conduct simple, in-confidence peer review feedback sessions with participants of the delegation in order to assist with mentoring and leadership development. These sessions would be held in confidence.</w:t>
      </w:r>
    </w:p>
    <w:p w14:paraId="4CC30A76" w14:textId="49C9B867" w:rsidR="00A41738" w:rsidRPr="008E6396" w:rsidRDefault="00A41738" w:rsidP="00A41738">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Pr>
          <w:rFonts w:ascii="Open Sans" w:eastAsia="Times New Roman" w:hAnsi="Open Sans" w:cs="Open Sans"/>
          <w:b/>
          <w:bCs/>
          <w:color w:val="2F5496" w:themeColor="accent1" w:themeShade="BF"/>
          <w:sz w:val="24"/>
          <w:szCs w:val="24"/>
          <w:lang w:eastAsia="en-AU"/>
        </w:rPr>
        <w:t xml:space="preserve">Requirements around cancellation of attendance </w:t>
      </w:r>
    </w:p>
    <w:p w14:paraId="27AEA390" w14:textId="77777777" w:rsidR="008E6396" w:rsidRP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 xml:space="preserve">If the delegate cancels attendance at the international event, the Commission and DSS will consider a nominated replacement from the same organisation or from an alternative </w:t>
      </w:r>
      <w:proofErr w:type="gramStart"/>
      <w:r w:rsidRPr="008E6396">
        <w:rPr>
          <w:rFonts w:ascii="Open Sans" w:hAnsi="Open Sans" w:cs="Open Sans"/>
          <w:color w:val="1F1923"/>
        </w:rPr>
        <w:t>organisation, but</w:t>
      </w:r>
      <w:proofErr w:type="gramEnd"/>
      <w:r w:rsidRPr="008E6396">
        <w:rPr>
          <w:rFonts w:ascii="Open Sans" w:hAnsi="Open Sans" w:cs="Open Sans"/>
          <w:color w:val="1F1923"/>
        </w:rPr>
        <w:t xml:space="preserve"> may decide to leave the place unfilled.</w:t>
      </w:r>
    </w:p>
    <w:p w14:paraId="71C597F6" w14:textId="4B52D3D0" w:rsidR="008E6396" w:rsidRDefault="008E6396" w:rsidP="008E6396">
      <w:pPr>
        <w:pStyle w:val="NormalWeb"/>
        <w:spacing w:before="0" w:beforeAutospacing="0"/>
        <w:rPr>
          <w:rFonts w:ascii="Open Sans" w:hAnsi="Open Sans" w:cs="Open Sans"/>
          <w:color w:val="1F1923"/>
        </w:rPr>
      </w:pPr>
      <w:r w:rsidRPr="008E6396">
        <w:rPr>
          <w:rFonts w:ascii="Open Sans" w:hAnsi="Open Sans" w:cs="Open Sans"/>
          <w:color w:val="1F1923"/>
        </w:rPr>
        <w:t>In such circumstances, if the delegate spot is not filled then the grant recipient must seek to obtain refunds from travel and accommodation and conference providers and return unspent funds to DSS.</w:t>
      </w:r>
    </w:p>
    <w:p w14:paraId="645D7142" w14:textId="27E2A962" w:rsidR="00A41738" w:rsidRPr="008E6396" w:rsidRDefault="00A41738" w:rsidP="00A41738">
      <w:pPr>
        <w:pStyle w:val="ListParagraph"/>
        <w:numPr>
          <w:ilvl w:val="0"/>
          <w:numId w:val="5"/>
        </w:numPr>
        <w:spacing w:after="100" w:afterAutospacing="1" w:line="240" w:lineRule="auto"/>
        <w:rPr>
          <w:rFonts w:ascii="Open Sans" w:eastAsia="Times New Roman" w:hAnsi="Open Sans" w:cs="Open Sans"/>
          <w:b/>
          <w:bCs/>
          <w:color w:val="2F5496" w:themeColor="accent1" w:themeShade="BF"/>
          <w:sz w:val="24"/>
          <w:szCs w:val="24"/>
          <w:lang w:eastAsia="en-AU"/>
        </w:rPr>
      </w:pPr>
      <w:r>
        <w:rPr>
          <w:rFonts w:ascii="Open Sans" w:eastAsia="Times New Roman" w:hAnsi="Open Sans" w:cs="Open Sans"/>
          <w:b/>
          <w:bCs/>
          <w:color w:val="2F5496" w:themeColor="accent1" w:themeShade="BF"/>
          <w:sz w:val="24"/>
          <w:szCs w:val="24"/>
          <w:lang w:eastAsia="en-AU"/>
        </w:rPr>
        <w:t>Breach of obligations</w:t>
      </w:r>
    </w:p>
    <w:p w14:paraId="54035DB0" w14:textId="2BBBB1F3" w:rsidR="001626FA" w:rsidRPr="00A41738" w:rsidRDefault="008E6396" w:rsidP="00A41738">
      <w:pPr>
        <w:pStyle w:val="NormalWeb"/>
        <w:spacing w:before="0" w:beforeAutospacing="0"/>
        <w:rPr>
          <w:rFonts w:ascii="Open Sans" w:hAnsi="Open Sans" w:cs="Open Sans"/>
          <w:color w:val="1F1923"/>
        </w:rPr>
      </w:pPr>
      <w:r w:rsidRPr="008E6396">
        <w:rPr>
          <w:rFonts w:ascii="Open Sans" w:hAnsi="Open Sans" w:cs="Open Sans"/>
          <w:color w:val="1F1923"/>
        </w:rPr>
        <w:t>Funded delegates who breach any of their funding obligations by failing to fulfil the pre-event obligations, participation or inappropriate behaviour, or failing to acquit their grants</w:t>
      </w:r>
      <w:bookmarkStart w:id="0" w:name="_GoBack"/>
      <w:r w:rsidR="004D7D38">
        <w:rPr>
          <w:rFonts w:ascii="Open Sans" w:hAnsi="Open Sans" w:cs="Open Sans"/>
          <w:color w:val="1F1923"/>
        </w:rPr>
        <w:t>,</w:t>
      </w:r>
      <w:bookmarkEnd w:id="0"/>
      <w:r w:rsidRPr="008E6396">
        <w:rPr>
          <w:rFonts w:ascii="Open Sans" w:hAnsi="Open Sans" w:cs="Open Sans"/>
          <w:color w:val="1F1923"/>
        </w:rPr>
        <w:t xml:space="preserve"> may be required to refund grants to DSS and may be ineligible for future grants. Such obligations are detailed in the Letter of Offer.</w:t>
      </w:r>
    </w:p>
    <w:sectPr w:rsidR="001626FA" w:rsidRPr="00A417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BE46" w14:textId="77777777" w:rsidR="009852CD" w:rsidRDefault="009852CD" w:rsidP="009852CD">
      <w:pPr>
        <w:spacing w:after="0" w:line="240" w:lineRule="auto"/>
      </w:pPr>
      <w:r>
        <w:separator/>
      </w:r>
    </w:p>
  </w:endnote>
  <w:endnote w:type="continuationSeparator" w:id="0">
    <w:p w14:paraId="34A1C83E" w14:textId="77777777" w:rsidR="009852CD" w:rsidRDefault="009852CD" w:rsidP="0098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EF2D8C" w:rsidRPr="00CD0701" w14:paraId="79A95A99" w14:textId="77777777" w:rsidTr="0060289C">
      <w:trPr>
        <w:jc w:val="center"/>
      </w:trPr>
      <w:tc>
        <w:tcPr>
          <w:tcW w:w="2109" w:type="dxa"/>
        </w:tcPr>
        <w:p w14:paraId="2987D718" w14:textId="77777777" w:rsidR="00EF2D8C" w:rsidRPr="00CD0701" w:rsidRDefault="00EF2D8C" w:rsidP="00EF2D8C">
          <w:pPr>
            <w:widowControl w:val="0"/>
            <w:tabs>
              <w:tab w:val="left" w:pos="5830"/>
            </w:tabs>
            <w:autoSpaceDE w:val="0"/>
            <w:autoSpaceDN w:val="0"/>
            <w:adjustRightInd w:val="0"/>
            <w:spacing w:after="0"/>
            <w:ind w:left="306"/>
            <w:textAlignment w:val="center"/>
            <w:rPr>
              <w:rFonts w:cs="HelveticaNeue-Light"/>
              <w:color w:val="646464"/>
              <w:sz w:val="10"/>
              <w:szCs w:val="10"/>
              <w:lang w:val="en-US" w:bidi="en-US"/>
            </w:rPr>
          </w:pPr>
        </w:p>
        <w:p w14:paraId="5B536ADD"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2A379480"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3148C1C6"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14:paraId="4F3EA983"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0"/>
              <w:szCs w:val="10"/>
              <w:lang w:val="en-US" w:bidi="en-US"/>
            </w:rPr>
          </w:pPr>
        </w:p>
        <w:p w14:paraId="31F9E59A"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14:paraId="5AEA04B5"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14:paraId="5EC383B2"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14:paraId="0DA02BBE"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0"/>
              <w:szCs w:val="10"/>
              <w:lang w:val="en-US" w:bidi="en-US"/>
            </w:rPr>
          </w:pPr>
        </w:p>
        <w:p w14:paraId="54BAD6F6"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1ED58B63"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01511DA6"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14:paraId="1FEB2420"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0"/>
              <w:szCs w:val="10"/>
              <w:lang w:val="en-US" w:bidi="en-US"/>
            </w:rPr>
          </w:pPr>
        </w:p>
        <w:p w14:paraId="1AD5A9A8" w14:textId="77777777" w:rsidR="00EF2D8C" w:rsidRPr="00CD0701" w:rsidRDefault="00EF2D8C" w:rsidP="00EF2D8C">
          <w:pPr>
            <w:widowControl w:val="0"/>
            <w:tabs>
              <w:tab w:val="left" w:pos="5830"/>
            </w:tabs>
            <w:autoSpaceDE w:val="0"/>
            <w:autoSpaceDN w:val="0"/>
            <w:adjustRightInd w:val="0"/>
            <w:spacing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11DA62B2" w14:textId="77777777" w:rsidR="00EF2D8C" w:rsidRPr="00CD0701" w:rsidRDefault="00EF2D8C" w:rsidP="00EF2D8C">
          <w:pPr>
            <w:widowControl w:val="0"/>
            <w:tabs>
              <w:tab w:val="left" w:pos="5830"/>
            </w:tabs>
            <w:autoSpaceDE w:val="0"/>
            <w:autoSpaceDN w:val="0"/>
            <w:adjustRightInd w:val="0"/>
            <w:spacing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0208FB88" w14:textId="77777777" w:rsidR="00EF2D8C" w:rsidRPr="00CD0701" w:rsidRDefault="00EF2D8C" w:rsidP="00EF2D8C">
          <w:pPr>
            <w:widowControl w:val="0"/>
            <w:tabs>
              <w:tab w:val="left" w:pos="5830"/>
            </w:tabs>
            <w:autoSpaceDE w:val="0"/>
            <w:autoSpaceDN w:val="0"/>
            <w:adjustRightInd w:val="0"/>
            <w:spacing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2DA6365C"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0"/>
              <w:szCs w:val="10"/>
              <w:lang w:val="en-US" w:bidi="en-US"/>
            </w:rPr>
          </w:pPr>
        </w:p>
        <w:p w14:paraId="5C802E1E"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3C76210F"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1ADF0AAD" w14:textId="77777777" w:rsidR="00EF2D8C" w:rsidRPr="00CD0701" w:rsidRDefault="00EF2D8C" w:rsidP="00EF2D8C">
          <w:pPr>
            <w:widowControl w:val="0"/>
            <w:tabs>
              <w:tab w:val="left" w:pos="5830"/>
            </w:tabs>
            <w:autoSpaceDE w:val="0"/>
            <w:autoSpaceDN w:val="0"/>
            <w:adjustRightInd w:val="0"/>
            <w:spacing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1C45C51A" w14:textId="77777777" w:rsidR="00EF2D8C" w:rsidRDefault="00EF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5574" w14:textId="77777777" w:rsidR="009852CD" w:rsidRDefault="009852CD" w:rsidP="009852CD">
      <w:pPr>
        <w:spacing w:after="0" w:line="240" w:lineRule="auto"/>
      </w:pPr>
      <w:r>
        <w:separator/>
      </w:r>
    </w:p>
  </w:footnote>
  <w:footnote w:type="continuationSeparator" w:id="0">
    <w:p w14:paraId="4474E16F" w14:textId="77777777" w:rsidR="009852CD" w:rsidRDefault="009852CD" w:rsidP="00985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D806" w14:textId="7FEB9CD3" w:rsidR="00EF2D8C" w:rsidRDefault="00EF2D8C" w:rsidP="009852CD">
    <w:pPr>
      <w:pStyle w:val="Header"/>
      <w:jc w:val="right"/>
      <w:rPr>
        <w:i/>
        <w:iCs/>
        <w:color w:val="2F5496" w:themeColor="accent1" w:themeShade="BF"/>
      </w:rPr>
    </w:pPr>
    <w:r w:rsidRPr="00EA46A1">
      <w:rPr>
        <w:rFonts w:ascii="Open Sans" w:eastAsia="Times New Roman" w:hAnsi="Open Sans" w:cs="Times New Roman"/>
        <w:noProof/>
        <w:sz w:val="24"/>
        <w:szCs w:val="24"/>
        <w:lang w:eastAsia="en-AU"/>
      </w:rPr>
      <w:drawing>
        <wp:anchor distT="0" distB="0" distL="114300" distR="114300" simplePos="0" relativeHeight="251659264" behindDoc="1" locked="0" layoutInCell="1" allowOverlap="1" wp14:anchorId="0E37BB94" wp14:editId="48C1893F">
          <wp:simplePos x="0" y="0"/>
          <wp:positionH relativeFrom="margin">
            <wp:align>left</wp:align>
          </wp:positionH>
          <wp:positionV relativeFrom="paragraph">
            <wp:posOffset>10795</wp:posOffset>
          </wp:positionV>
          <wp:extent cx="2180590" cy="742950"/>
          <wp:effectExtent l="0" t="0" r="0" b="0"/>
          <wp:wrapTight wrapText="bothSides">
            <wp:wrapPolygon edited="0">
              <wp:start x="3019" y="0"/>
              <wp:lineTo x="1887" y="554"/>
              <wp:lineTo x="0" y="6092"/>
              <wp:lineTo x="0" y="11077"/>
              <wp:lineTo x="566" y="17723"/>
              <wp:lineTo x="2453" y="21046"/>
              <wp:lineTo x="2642" y="21046"/>
              <wp:lineTo x="4906" y="21046"/>
              <wp:lineTo x="8869" y="21046"/>
              <wp:lineTo x="20191" y="18831"/>
              <wp:lineTo x="20002" y="17723"/>
              <wp:lineTo x="21323" y="12185"/>
              <wp:lineTo x="21323" y="8862"/>
              <wp:lineTo x="20380" y="8862"/>
              <wp:lineTo x="20568" y="4985"/>
              <wp:lineTo x="15285" y="2215"/>
              <wp:lineTo x="5095" y="0"/>
              <wp:lineTo x="3019" y="0"/>
            </wp:wrapPolygon>
          </wp:wrapTight>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14:sizeRelH relativeFrom="page">
            <wp14:pctWidth>0</wp14:pctWidth>
          </wp14:sizeRelH>
          <wp14:sizeRelV relativeFrom="page">
            <wp14:pctHeight>0</wp14:pctHeight>
          </wp14:sizeRelV>
        </wp:anchor>
      </w:drawing>
    </w:r>
  </w:p>
  <w:p w14:paraId="355472AB" w14:textId="72AD5D92" w:rsidR="009852CD" w:rsidRPr="009852CD" w:rsidRDefault="009852CD" w:rsidP="009852CD">
    <w:pPr>
      <w:pStyle w:val="Header"/>
      <w:jc w:val="right"/>
      <w:rPr>
        <w:i/>
        <w:iCs/>
        <w:color w:val="2F5496" w:themeColor="accent1" w:themeShade="BF"/>
      </w:rPr>
    </w:pPr>
    <w:r w:rsidRPr="009852CD">
      <w:rPr>
        <w:i/>
        <w:iCs/>
        <w:color w:val="2F5496" w:themeColor="accent1" w:themeShade="BF"/>
      </w:rPr>
      <w:t>Supporting disability peak and advocacy organisations to participate in the 2020 Conference of the Parties to the Convention on the Rights of People with Disabilities (COSP)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0DB"/>
    <w:multiLevelType w:val="multilevel"/>
    <w:tmpl w:val="F3B89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74BA9"/>
    <w:multiLevelType w:val="hybridMultilevel"/>
    <w:tmpl w:val="53C2A9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ED734B4"/>
    <w:multiLevelType w:val="hybridMultilevel"/>
    <w:tmpl w:val="55DE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A4782"/>
    <w:multiLevelType w:val="multilevel"/>
    <w:tmpl w:val="007A8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16C28"/>
    <w:multiLevelType w:val="multilevel"/>
    <w:tmpl w:val="1AC2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55C2C"/>
    <w:multiLevelType w:val="multilevel"/>
    <w:tmpl w:val="9FBE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E7CBC"/>
    <w:multiLevelType w:val="hybridMultilevel"/>
    <w:tmpl w:val="3CFC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855918"/>
    <w:multiLevelType w:val="multilevel"/>
    <w:tmpl w:val="4C4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lvlOverride w:ilvl="0">
      <w:startOverride w:val="8"/>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7D"/>
    <w:rsid w:val="000916A3"/>
    <w:rsid w:val="001A59B2"/>
    <w:rsid w:val="00203168"/>
    <w:rsid w:val="00250DB9"/>
    <w:rsid w:val="002609A6"/>
    <w:rsid w:val="0034447D"/>
    <w:rsid w:val="003E49E7"/>
    <w:rsid w:val="004D7D38"/>
    <w:rsid w:val="005A5E86"/>
    <w:rsid w:val="008D5C8D"/>
    <w:rsid w:val="008E6396"/>
    <w:rsid w:val="009852CD"/>
    <w:rsid w:val="009E0CE6"/>
    <w:rsid w:val="00A143D9"/>
    <w:rsid w:val="00A41738"/>
    <w:rsid w:val="00A971DA"/>
    <w:rsid w:val="00B769C6"/>
    <w:rsid w:val="00B84ECC"/>
    <w:rsid w:val="00B867D8"/>
    <w:rsid w:val="00BC6D5C"/>
    <w:rsid w:val="00C30B6D"/>
    <w:rsid w:val="00CF2770"/>
    <w:rsid w:val="00DF5A6B"/>
    <w:rsid w:val="00EB72AC"/>
    <w:rsid w:val="00EF2D8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557E"/>
  <w15:chartTrackingRefBased/>
  <w15:docId w15:val="{59FB8D11-6FC3-4269-921B-376D6315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6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E63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4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03168"/>
    <w:pPr>
      <w:ind w:left="720"/>
      <w:contextualSpacing/>
    </w:pPr>
  </w:style>
  <w:style w:type="character" w:styleId="CommentReference">
    <w:name w:val="annotation reference"/>
    <w:basedOn w:val="DefaultParagraphFont"/>
    <w:uiPriority w:val="99"/>
    <w:semiHidden/>
    <w:unhideWhenUsed/>
    <w:rsid w:val="00203168"/>
    <w:rPr>
      <w:sz w:val="16"/>
      <w:szCs w:val="16"/>
    </w:rPr>
  </w:style>
  <w:style w:type="paragraph" w:styleId="CommentText">
    <w:name w:val="annotation text"/>
    <w:basedOn w:val="Normal"/>
    <w:link w:val="CommentTextChar"/>
    <w:uiPriority w:val="99"/>
    <w:semiHidden/>
    <w:unhideWhenUsed/>
    <w:rsid w:val="00203168"/>
    <w:pPr>
      <w:spacing w:line="240" w:lineRule="auto"/>
    </w:pPr>
    <w:rPr>
      <w:sz w:val="20"/>
      <w:szCs w:val="20"/>
    </w:rPr>
  </w:style>
  <w:style w:type="character" w:customStyle="1" w:styleId="CommentTextChar">
    <w:name w:val="Comment Text Char"/>
    <w:basedOn w:val="DefaultParagraphFont"/>
    <w:link w:val="CommentText"/>
    <w:uiPriority w:val="99"/>
    <w:semiHidden/>
    <w:rsid w:val="00203168"/>
    <w:rPr>
      <w:sz w:val="20"/>
      <w:szCs w:val="20"/>
    </w:rPr>
  </w:style>
  <w:style w:type="paragraph" w:styleId="CommentSubject">
    <w:name w:val="annotation subject"/>
    <w:basedOn w:val="CommentText"/>
    <w:next w:val="CommentText"/>
    <w:link w:val="CommentSubjectChar"/>
    <w:uiPriority w:val="99"/>
    <w:semiHidden/>
    <w:unhideWhenUsed/>
    <w:rsid w:val="00203168"/>
    <w:rPr>
      <w:b/>
      <w:bCs/>
    </w:rPr>
  </w:style>
  <w:style w:type="character" w:customStyle="1" w:styleId="CommentSubjectChar">
    <w:name w:val="Comment Subject Char"/>
    <w:basedOn w:val="CommentTextChar"/>
    <w:link w:val="CommentSubject"/>
    <w:uiPriority w:val="99"/>
    <w:semiHidden/>
    <w:rsid w:val="00203168"/>
    <w:rPr>
      <w:b/>
      <w:bCs/>
      <w:sz w:val="20"/>
      <w:szCs w:val="20"/>
    </w:rPr>
  </w:style>
  <w:style w:type="paragraph" w:styleId="BalloonText">
    <w:name w:val="Balloon Text"/>
    <w:basedOn w:val="Normal"/>
    <w:link w:val="BalloonTextChar"/>
    <w:uiPriority w:val="99"/>
    <w:semiHidden/>
    <w:unhideWhenUsed/>
    <w:rsid w:val="0020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68"/>
    <w:rPr>
      <w:rFonts w:ascii="Segoe UI" w:hAnsi="Segoe UI" w:cs="Segoe UI"/>
      <w:sz w:val="18"/>
      <w:szCs w:val="18"/>
    </w:rPr>
  </w:style>
  <w:style w:type="paragraph" w:styleId="Header">
    <w:name w:val="header"/>
    <w:basedOn w:val="Normal"/>
    <w:link w:val="HeaderChar"/>
    <w:uiPriority w:val="99"/>
    <w:unhideWhenUsed/>
    <w:rsid w:val="0098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2CD"/>
  </w:style>
  <w:style w:type="paragraph" w:styleId="Footer">
    <w:name w:val="footer"/>
    <w:basedOn w:val="Normal"/>
    <w:link w:val="FooterChar"/>
    <w:uiPriority w:val="99"/>
    <w:unhideWhenUsed/>
    <w:rsid w:val="0098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2CD"/>
  </w:style>
  <w:style w:type="character" w:customStyle="1" w:styleId="Heading3Char">
    <w:name w:val="Heading 3 Char"/>
    <w:basedOn w:val="DefaultParagraphFont"/>
    <w:link w:val="Heading3"/>
    <w:uiPriority w:val="9"/>
    <w:semiHidden/>
    <w:rsid w:val="008E63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E639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E63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6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9E33-7AF8-45EE-86CE-32F53F5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Field</dc:creator>
  <cp:keywords/>
  <dc:description/>
  <cp:lastModifiedBy>Christopher Field</cp:lastModifiedBy>
  <cp:revision>12</cp:revision>
  <dcterms:created xsi:type="dcterms:W3CDTF">2019-11-29T01:17:00Z</dcterms:created>
  <dcterms:modified xsi:type="dcterms:W3CDTF">2019-12-02T06:07:00Z</dcterms:modified>
</cp:coreProperties>
</file>