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10B3" w14:textId="77777777" w:rsidR="00961B1A" w:rsidRDefault="00C87712" w:rsidP="00846360">
      <w:pPr>
        <w:pStyle w:val="Subtitle"/>
        <w:jc w:val="left"/>
        <w:rPr>
          <w:rFonts w:eastAsia="Times New Roman" w:cs="Times New Roman"/>
          <w:bCs/>
          <w:kern w:val="32"/>
          <w:sz w:val="56"/>
          <w:szCs w:val="32"/>
        </w:rPr>
      </w:pPr>
      <w:bookmarkStart w:id="0" w:name="_Toc132804662"/>
      <w:bookmarkStart w:id="1" w:name="_Toc133221666"/>
      <w:bookmarkStart w:id="2" w:name="_Toc515873204"/>
      <w:bookmarkStart w:id="3" w:name="_Toc129859058"/>
      <w:bookmarkStart w:id="4" w:name="_Toc129956220"/>
      <w:bookmarkStart w:id="5" w:name="_Toc131398028"/>
      <w:bookmarkStart w:id="6" w:name="_Toc132721332"/>
      <w:r w:rsidRPr="00C87712">
        <w:rPr>
          <w:rFonts w:eastAsia="Times New Roman" w:cs="Times New Roman"/>
          <w:bCs/>
          <w:kern w:val="32"/>
          <w:sz w:val="56"/>
          <w:szCs w:val="32"/>
        </w:rPr>
        <w:t>Human Rights in the Digital Age: Additional Material Submitted to the UN Global Digital Compact</w:t>
      </w:r>
      <w:bookmarkEnd w:id="0"/>
      <w:bookmarkEnd w:id="1"/>
      <w:r w:rsidRPr="00C87712">
        <w:rPr>
          <w:rFonts w:eastAsia="Times New Roman" w:cs="Times New Roman"/>
          <w:bCs/>
          <w:kern w:val="32"/>
          <w:sz w:val="56"/>
          <w:szCs w:val="32"/>
        </w:rPr>
        <w:t xml:space="preserve"> </w:t>
      </w:r>
    </w:p>
    <w:p w14:paraId="19A51A87" w14:textId="245C0D33" w:rsidR="00817C73" w:rsidRDefault="00817C73" w:rsidP="00846360">
      <w:pPr>
        <w:pStyle w:val="Subtitle"/>
        <w:jc w:val="left"/>
      </w:pPr>
      <w:bookmarkStart w:id="7" w:name="_Toc132804663"/>
      <w:bookmarkStart w:id="8" w:name="_Toc133221667"/>
      <w:r>
        <w:t>Australian Human Rights Commission</w:t>
      </w:r>
      <w:bookmarkEnd w:id="2"/>
      <w:bookmarkEnd w:id="3"/>
      <w:bookmarkEnd w:id="4"/>
      <w:bookmarkEnd w:id="5"/>
      <w:bookmarkEnd w:id="6"/>
      <w:bookmarkEnd w:id="7"/>
      <w:bookmarkEnd w:id="8"/>
    </w:p>
    <w:p w14:paraId="6DF766BC" w14:textId="3DE50072" w:rsidR="00817C73" w:rsidRDefault="00817C73" w:rsidP="00846360">
      <w:pPr>
        <w:pStyle w:val="Subtitle"/>
        <w:jc w:val="left"/>
      </w:pPr>
      <w:bookmarkStart w:id="9" w:name="_Toc129859059"/>
      <w:bookmarkStart w:id="10" w:name="_Toc515873205"/>
      <w:bookmarkStart w:id="11" w:name="_Toc129956221"/>
      <w:bookmarkStart w:id="12" w:name="_Toc131398029"/>
      <w:bookmarkStart w:id="13" w:name="_Toc132721333"/>
      <w:bookmarkStart w:id="14" w:name="_Toc132804664"/>
      <w:bookmarkStart w:id="15" w:name="_Toc133221668"/>
      <w:r>
        <w:t>Submission to</w:t>
      </w:r>
      <w:bookmarkEnd w:id="9"/>
      <w:r w:rsidR="005316B0">
        <w:t xml:space="preserve"> the United Nations</w:t>
      </w:r>
      <w:r w:rsidR="0091704D">
        <w:t>’</w:t>
      </w:r>
      <w:r w:rsidR="005316B0">
        <w:t xml:space="preserve"> </w:t>
      </w:r>
      <w:r w:rsidR="0091704D">
        <w:t>Office of the Secretary-General’s Envoy on Technology</w:t>
      </w:r>
      <w:bookmarkEnd w:id="10"/>
      <w:bookmarkEnd w:id="11"/>
      <w:bookmarkEnd w:id="12"/>
      <w:bookmarkEnd w:id="13"/>
      <w:bookmarkEnd w:id="14"/>
      <w:bookmarkEnd w:id="15"/>
    </w:p>
    <w:p w14:paraId="472D3541" w14:textId="08D8A96C" w:rsidR="00F220A5" w:rsidRPr="00817C73" w:rsidRDefault="00344BF6" w:rsidP="00846360">
      <w:pPr>
        <w:pStyle w:val="Date"/>
        <w:jc w:val="left"/>
      </w:pPr>
      <w:r w:rsidRPr="00E938C6">
        <w:t>30</w:t>
      </w:r>
      <w:r w:rsidR="00911F6F" w:rsidRPr="00E938C6">
        <w:t xml:space="preserve"> </w:t>
      </w:r>
      <w:r w:rsidR="00F06D22" w:rsidRPr="00E938C6">
        <w:t>A</w:t>
      </w:r>
      <w:r w:rsidR="00CC57ED" w:rsidRPr="00E938C6">
        <w:t>pril</w:t>
      </w:r>
      <w:r w:rsidR="00F06D22" w:rsidRPr="00E938C6">
        <w:t xml:space="preserve"> 202</w:t>
      </w:r>
      <w:r w:rsidR="00CC57ED" w:rsidRPr="00E938C6">
        <w:t>3</w:t>
      </w:r>
    </w:p>
    <w:p w14:paraId="2C60DB4D" w14:textId="77777777" w:rsidR="00AC636D" w:rsidRDefault="00AC636D" w:rsidP="00846360"/>
    <w:p w14:paraId="1AC9E6E7" w14:textId="77777777" w:rsidR="009E4BD0" w:rsidRPr="00AC636D" w:rsidRDefault="009E4BD0" w:rsidP="00846360">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7F7FFC4A" w14:textId="77777777" w:rsidR="003E0E61" w:rsidRDefault="000B5B68" w:rsidP="00846360">
      <w:pPr>
        <w:pStyle w:val="TOC1"/>
      </w:pPr>
      <w:bookmarkStart w:id="16" w:name="_Toc209316062"/>
      <w:bookmarkEnd w:id="16"/>
      <w:r>
        <w:lastRenderedPageBreak/>
        <w:t>Contents</w:t>
      </w:r>
      <w:r w:rsidRPr="000465F1">
        <w:fldChar w:fldCharType="begin"/>
      </w:r>
      <w:r>
        <w:instrText xml:space="preserve"> TOC \o "1-3" \h \z \u </w:instrText>
      </w:r>
      <w:r w:rsidRPr="000465F1">
        <w:fldChar w:fldCharType="separate"/>
      </w:r>
    </w:p>
    <w:p w14:paraId="5DB84275" w14:textId="3F899F23" w:rsidR="003E0E61" w:rsidRDefault="00042743">
      <w:pPr>
        <w:pStyle w:val="TOC1"/>
        <w:rPr>
          <w:rFonts w:asciiTheme="minorHAnsi" w:eastAsiaTheme="minorEastAsia" w:hAnsiTheme="minorHAnsi" w:cstheme="minorBidi"/>
          <w:b w:val="0"/>
          <w:sz w:val="22"/>
          <w:szCs w:val="22"/>
        </w:rPr>
      </w:pPr>
      <w:hyperlink w:anchor="_Toc133221669" w:history="1">
        <w:r w:rsidR="003E0E61" w:rsidRPr="00783988">
          <w:rPr>
            <w:rStyle w:val="Hyperlink"/>
          </w:rPr>
          <w:t>1</w:t>
        </w:r>
        <w:r w:rsidR="003E0E61">
          <w:rPr>
            <w:rFonts w:asciiTheme="minorHAnsi" w:eastAsiaTheme="minorEastAsia" w:hAnsiTheme="minorHAnsi" w:cstheme="minorBidi"/>
            <w:b w:val="0"/>
            <w:sz w:val="22"/>
            <w:szCs w:val="22"/>
          </w:rPr>
          <w:tab/>
        </w:r>
        <w:r w:rsidR="003E0E61" w:rsidRPr="00783988">
          <w:rPr>
            <w:rStyle w:val="Hyperlink"/>
          </w:rPr>
          <w:t>Introduction</w:t>
        </w:r>
        <w:r w:rsidR="003E0E61">
          <w:rPr>
            <w:webHidden/>
          </w:rPr>
          <w:tab/>
        </w:r>
        <w:r w:rsidR="003E0E61">
          <w:rPr>
            <w:webHidden/>
          </w:rPr>
          <w:fldChar w:fldCharType="begin"/>
        </w:r>
        <w:r w:rsidR="003E0E61">
          <w:rPr>
            <w:webHidden/>
          </w:rPr>
          <w:instrText xml:space="preserve"> PAGEREF _Toc133221669 \h </w:instrText>
        </w:r>
        <w:r w:rsidR="003E0E61">
          <w:rPr>
            <w:webHidden/>
          </w:rPr>
        </w:r>
        <w:r w:rsidR="003E0E61">
          <w:rPr>
            <w:webHidden/>
          </w:rPr>
          <w:fldChar w:fldCharType="separate"/>
        </w:r>
        <w:r w:rsidR="003E0E61">
          <w:rPr>
            <w:webHidden/>
          </w:rPr>
          <w:t>2</w:t>
        </w:r>
        <w:r w:rsidR="003E0E61">
          <w:rPr>
            <w:webHidden/>
          </w:rPr>
          <w:fldChar w:fldCharType="end"/>
        </w:r>
      </w:hyperlink>
    </w:p>
    <w:p w14:paraId="00DA7B5E" w14:textId="307F95A3" w:rsidR="003E0E61" w:rsidRDefault="00042743">
      <w:pPr>
        <w:pStyle w:val="TOC1"/>
        <w:rPr>
          <w:rFonts w:asciiTheme="minorHAnsi" w:eastAsiaTheme="minorEastAsia" w:hAnsiTheme="minorHAnsi" w:cstheme="minorBidi"/>
          <w:b w:val="0"/>
          <w:sz w:val="22"/>
          <w:szCs w:val="22"/>
        </w:rPr>
      </w:pPr>
      <w:hyperlink w:anchor="_Toc133221670" w:history="1">
        <w:r w:rsidR="003E0E61" w:rsidRPr="00783988">
          <w:rPr>
            <w:rStyle w:val="Hyperlink"/>
          </w:rPr>
          <w:t>2</w:t>
        </w:r>
        <w:r w:rsidR="003E0E61">
          <w:rPr>
            <w:rFonts w:asciiTheme="minorHAnsi" w:eastAsiaTheme="minorEastAsia" w:hAnsiTheme="minorHAnsi" w:cstheme="minorBidi"/>
            <w:b w:val="0"/>
            <w:sz w:val="22"/>
            <w:szCs w:val="22"/>
          </w:rPr>
          <w:tab/>
        </w:r>
        <w:r w:rsidR="003E0E61" w:rsidRPr="00783988">
          <w:rPr>
            <w:rStyle w:val="Hyperlink"/>
          </w:rPr>
          <w:t>Consultations</w:t>
        </w:r>
        <w:r w:rsidR="003E0E61">
          <w:rPr>
            <w:webHidden/>
          </w:rPr>
          <w:tab/>
        </w:r>
        <w:r w:rsidR="003E0E61">
          <w:rPr>
            <w:webHidden/>
          </w:rPr>
          <w:fldChar w:fldCharType="begin"/>
        </w:r>
        <w:r w:rsidR="003E0E61">
          <w:rPr>
            <w:webHidden/>
          </w:rPr>
          <w:instrText xml:space="preserve"> PAGEREF _Toc133221670 \h </w:instrText>
        </w:r>
        <w:r w:rsidR="003E0E61">
          <w:rPr>
            <w:webHidden/>
          </w:rPr>
        </w:r>
        <w:r w:rsidR="003E0E61">
          <w:rPr>
            <w:webHidden/>
          </w:rPr>
          <w:fldChar w:fldCharType="separate"/>
        </w:r>
        <w:r w:rsidR="003E0E61">
          <w:rPr>
            <w:webHidden/>
          </w:rPr>
          <w:t>3</w:t>
        </w:r>
        <w:r w:rsidR="003E0E61">
          <w:rPr>
            <w:webHidden/>
          </w:rPr>
          <w:fldChar w:fldCharType="end"/>
        </w:r>
      </w:hyperlink>
    </w:p>
    <w:p w14:paraId="58BB7819" w14:textId="41D6C224" w:rsidR="003E0E61" w:rsidRDefault="00042743">
      <w:pPr>
        <w:pStyle w:val="TOC1"/>
        <w:rPr>
          <w:rFonts w:asciiTheme="minorHAnsi" w:eastAsiaTheme="minorEastAsia" w:hAnsiTheme="minorHAnsi" w:cstheme="minorBidi"/>
          <w:b w:val="0"/>
          <w:sz w:val="22"/>
          <w:szCs w:val="22"/>
        </w:rPr>
      </w:pPr>
      <w:hyperlink w:anchor="_Toc133221671" w:history="1">
        <w:r w:rsidR="003E0E61" w:rsidRPr="00783988">
          <w:rPr>
            <w:rStyle w:val="Hyperlink"/>
          </w:rPr>
          <w:t>3</w:t>
        </w:r>
        <w:r w:rsidR="003E0E61">
          <w:rPr>
            <w:rFonts w:asciiTheme="minorHAnsi" w:eastAsiaTheme="minorEastAsia" w:hAnsiTheme="minorHAnsi" w:cstheme="minorBidi"/>
            <w:b w:val="0"/>
            <w:sz w:val="22"/>
            <w:szCs w:val="22"/>
          </w:rPr>
          <w:tab/>
        </w:r>
        <w:r w:rsidR="003E0E61" w:rsidRPr="00783988">
          <w:rPr>
            <w:rStyle w:val="Hyperlink"/>
          </w:rPr>
          <w:t>Protection of data</w:t>
        </w:r>
        <w:r w:rsidR="003E0E61">
          <w:rPr>
            <w:webHidden/>
          </w:rPr>
          <w:tab/>
        </w:r>
        <w:r w:rsidR="003E0E61">
          <w:rPr>
            <w:webHidden/>
          </w:rPr>
          <w:fldChar w:fldCharType="begin"/>
        </w:r>
        <w:r w:rsidR="003E0E61">
          <w:rPr>
            <w:webHidden/>
          </w:rPr>
          <w:instrText xml:space="preserve"> PAGEREF _Toc133221671 \h </w:instrText>
        </w:r>
        <w:r w:rsidR="003E0E61">
          <w:rPr>
            <w:webHidden/>
          </w:rPr>
        </w:r>
        <w:r w:rsidR="003E0E61">
          <w:rPr>
            <w:webHidden/>
          </w:rPr>
          <w:fldChar w:fldCharType="separate"/>
        </w:r>
        <w:r w:rsidR="003E0E61">
          <w:rPr>
            <w:webHidden/>
          </w:rPr>
          <w:t>4</w:t>
        </w:r>
        <w:r w:rsidR="003E0E61">
          <w:rPr>
            <w:webHidden/>
          </w:rPr>
          <w:fldChar w:fldCharType="end"/>
        </w:r>
      </w:hyperlink>
    </w:p>
    <w:p w14:paraId="2AFB44B4" w14:textId="2CAEF6A1" w:rsidR="003E0E61" w:rsidRDefault="00042743">
      <w:pPr>
        <w:pStyle w:val="TOC2"/>
        <w:rPr>
          <w:rFonts w:asciiTheme="minorHAnsi" w:eastAsiaTheme="minorEastAsia" w:hAnsiTheme="minorHAnsi" w:cstheme="minorBidi"/>
          <w:b w:val="0"/>
          <w:i w:val="0"/>
          <w:sz w:val="22"/>
          <w:szCs w:val="22"/>
        </w:rPr>
      </w:pPr>
      <w:hyperlink w:anchor="_Toc133221672" w:history="1">
        <w:r w:rsidR="003E0E61" w:rsidRPr="00783988">
          <w:rPr>
            <w:rStyle w:val="Hyperlink"/>
          </w:rPr>
          <w:t>3.1</w:t>
        </w:r>
        <w:r w:rsidR="003E0E61">
          <w:rPr>
            <w:rFonts w:asciiTheme="minorHAnsi" w:eastAsiaTheme="minorEastAsia" w:hAnsiTheme="minorHAnsi" w:cstheme="minorBidi"/>
            <w:b w:val="0"/>
            <w:i w:val="0"/>
            <w:sz w:val="22"/>
            <w:szCs w:val="22"/>
          </w:rPr>
          <w:tab/>
        </w:r>
        <w:r w:rsidR="003E0E61" w:rsidRPr="00783988">
          <w:rPr>
            <w:rStyle w:val="Hyperlink"/>
          </w:rPr>
          <w:t>Informed consent model</w:t>
        </w:r>
        <w:r w:rsidR="003E0E61">
          <w:rPr>
            <w:webHidden/>
          </w:rPr>
          <w:tab/>
        </w:r>
        <w:r w:rsidR="003E0E61">
          <w:rPr>
            <w:webHidden/>
          </w:rPr>
          <w:fldChar w:fldCharType="begin"/>
        </w:r>
        <w:r w:rsidR="003E0E61">
          <w:rPr>
            <w:webHidden/>
          </w:rPr>
          <w:instrText xml:space="preserve"> PAGEREF _Toc133221672 \h </w:instrText>
        </w:r>
        <w:r w:rsidR="003E0E61">
          <w:rPr>
            <w:webHidden/>
          </w:rPr>
        </w:r>
        <w:r w:rsidR="003E0E61">
          <w:rPr>
            <w:webHidden/>
          </w:rPr>
          <w:fldChar w:fldCharType="separate"/>
        </w:r>
        <w:r w:rsidR="003E0E61">
          <w:rPr>
            <w:webHidden/>
          </w:rPr>
          <w:t>5</w:t>
        </w:r>
        <w:r w:rsidR="003E0E61">
          <w:rPr>
            <w:webHidden/>
          </w:rPr>
          <w:fldChar w:fldCharType="end"/>
        </w:r>
      </w:hyperlink>
    </w:p>
    <w:p w14:paraId="048788BB" w14:textId="17E90105" w:rsidR="003E0E61" w:rsidRDefault="00042743">
      <w:pPr>
        <w:pStyle w:val="TOC2"/>
        <w:rPr>
          <w:rFonts w:asciiTheme="minorHAnsi" w:eastAsiaTheme="minorEastAsia" w:hAnsiTheme="minorHAnsi" w:cstheme="minorBidi"/>
          <w:b w:val="0"/>
          <w:i w:val="0"/>
          <w:sz w:val="22"/>
          <w:szCs w:val="22"/>
        </w:rPr>
      </w:pPr>
      <w:hyperlink w:anchor="_Toc133221673" w:history="1">
        <w:r w:rsidR="003E0E61" w:rsidRPr="00783988">
          <w:rPr>
            <w:rStyle w:val="Hyperlink"/>
          </w:rPr>
          <w:t>3.2</w:t>
        </w:r>
        <w:r w:rsidR="003E0E61">
          <w:rPr>
            <w:rFonts w:asciiTheme="minorHAnsi" w:eastAsiaTheme="minorEastAsia" w:hAnsiTheme="minorHAnsi" w:cstheme="minorBidi"/>
            <w:b w:val="0"/>
            <w:i w:val="0"/>
            <w:sz w:val="22"/>
            <w:szCs w:val="22"/>
          </w:rPr>
          <w:tab/>
        </w:r>
        <w:r w:rsidR="003E0E61" w:rsidRPr="00783988">
          <w:rPr>
            <w:rStyle w:val="Hyperlink"/>
          </w:rPr>
          <w:t>Review of existing legislative frameworks</w:t>
        </w:r>
        <w:r w:rsidR="003E0E61">
          <w:rPr>
            <w:webHidden/>
          </w:rPr>
          <w:tab/>
        </w:r>
        <w:r w:rsidR="003E0E61">
          <w:rPr>
            <w:webHidden/>
          </w:rPr>
          <w:fldChar w:fldCharType="begin"/>
        </w:r>
        <w:r w:rsidR="003E0E61">
          <w:rPr>
            <w:webHidden/>
          </w:rPr>
          <w:instrText xml:space="preserve"> PAGEREF _Toc133221673 \h </w:instrText>
        </w:r>
        <w:r w:rsidR="003E0E61">
          <w:rPr>
            <w:webHidden/>
          </w:rPr>
        </w:r>
        <w:r w:rsidR="003E0E61">
          <w:rPr>
            <w:webHidden/>
          </w:rPr>
          <w:fldChar w:fldCharType="separate"/>
        </w:r>
        <w:r w:rsidR="003E0E61">
          <w:rPr>
            <w:webHidden/>
          </w:rPr>
          <w:t>7</w:t>
        </w:r>
        <w:r w:rsidR="003E0E61">
          <w:rPr>
            <w:webHidden/>
          </w:rPr>
          <w:fldChar w:fldCharType="end"/>
        </w:r>
      </w:hyperlink>
    </w:p>
    <w:p w14:paraId="5E953184" w14:textId="5642E8BD" w:rsidR="003E0E61" w:rsidRDefault="00042743">
      <w:pPr>
        <w:pStyle w:val="TOC2"/>
        <w:rPr>
          <w:rFonts w:asciiTheme="minorHAnsi" w:eastAsiaTheme="minorEastAsia" w:hAnsiTheme="minorHAnsi" w:cstheme="minorBidi"/>
          <w:b w:val="0"/>
          <w:i w:val="0"/>
          <w:sz w:val="22"/>
          <w:szCs w:val="22"/>
        </w:rPr>
      </w:pPr>
      <w:hyperlink w:anchor="_Toc133221674" w:history="1">
        <w:r w:rsidR="003E0E61" w:rsidRPr="00783988">
          <w:rPr>
            <w:rStyle w:val="Hyperlink"/>
          </w:rPr>
          <w:t>3.3</w:t>
        </w:r>
        <w:r w:rsidR="003E0E61">
          <w:rPr>
            <w:rFonts w:asciiTheme="minorHAnsi" w:eastAsiaTheme="minorEastAsia" w:hAnsiTheme="minorHAnsi" w:cstheme="minorBidi"/>
            <w:b w:val="0"/>
            <w:i w:val="0"/>
            <w:sz w:val="22"/>
            <w:szCs w:val="22"/>
          </w:rPr>
          <w:tab/>
        </w:r>
        <w:r w:rsidR="003E0E61" w:rsidRPr="00783988">
          <w:rPr>
            <w:rStyle w:val="Hyperlink"/>
          </w:rPr>
          <w:t>Existing work and rights to privacy</w:t>
        </w:r>
        <w:r w:rsidR="003E0E61">
          <w:rPr>
            <w:webHidden/>
          </w:rPr>
          <w:tab/>
        </w:r>
        <w:r w:rsidR="003E0E61">
          <w:rPr>
            <w:webHidden/>
          </w:rPr>
          <w:fldChar w:fldCharType="begin"/>
        </w:r>
        <w:r w:rsidR="003E0E61">
          <w:rPr>
            <w:webHidden/>
          </w:rPr>
          <w:instrText xml:space="preserve"> PAGEREF _Toc133221674 \h </w:instrText>
        </w:r>
        <w:r w:rsidR="003E0E61">
          <w:rPr>
            <w:webHidden/>
          </w:rPr>
        </w:r>
        <w:r w:rsidR="003E0E61">
          <w:rPr>
            <w:webHidden/>
          </w:rPr>
          <w:fldChar w:fldCharType="separate"/>
        </w:r>
        <w:r w:rsidR="003E0E61">
          <w:rPr>
            <w:webHidden/>
          </w:rPr>
          <w:t>7</w:t>
        </w:r>
        <w:r w:rsidR="003E0E61">
          <w:rPr>
            <w:webHidden/>
          </w:rPr>
          <w:fldChar w:fldCharType="end"/>
        </w:r>
      </w:hyperlink>
    </w:p>
    <w:p w14:paraId="1C998F04" w14:textId="1A5E7C10" w:rsidR="003E0E61" w:rsidRDefault="00042743">
      <w:pPr>
        <w:pStyle w:val="TOC2"/>
        <w:rPr>
          <w:rFonts w:asciiTheme="minorHAnsi" w:eastAsiaTheme="minorEastAsia" w:hAnsiTheme="minorHAnsi" w:cstheme="minorBidi"/>
          <w:b w:val="0"/>
          <w:i w:val="0"/>
          <w:sz w:val="22"/>
          <w:szCs w:val="22"/>
        </w:rPr>
      </w:pPr>
      <w:hyperlink w:anchor="_Toc133221675" w:history="1">
        <w:r w:rsidR="003E0E61" w:rsidRPr="00783988">
          <w:rPr>
            <w:rStyle w:val="Hyperlink"/>
          </w:rPr>
          <w:t>3.4</w:t>
        </w:r>
        <w:r w:rsidR="003E0E61">
          <w:rPr>
            <w:rFonts w:asciiTheme="minorHAnsi" w:eastAsiaTheme="minorEastAsia" w:hAnsiTheme="minorHAnsi" w:cstheme="minorBidi"/>
            <w:b w:val="0"/>
            <w:i w:val="0"/>
            <w:sz w:val="22"/>
            <w:szCs w:val="22"/>
          </w:rPr>
          <w:tab/>
        </w:r>
        <w:r w:rsidR="003E0E61" w:rsidRPr="00783988">
          <w:rPr>
            <w:rStyle w:val="Hyperlink"/>
          </w:rPr>
          <w:t>How new and emerging technologies may risk privacy</w:t>
        </w:r>
        <w:r w:rsidR="003E0E61">
          <w:rPr>
            <w:webHidden/>
          </w:rPr>
          <w:tab/>
        </w:r>
        <w:r w:rsidR="003E0E61">
          <w:rPr>
            <w:webHidden/>
          </w:rPr>
          <w:fldChar w:fldCharType="begin"/>
        </w:r>
        <w:r w:rsidR="003E0E61">
          <w:rPr>
            <w:webHidden/>
          </w:rPr>
          <w:instrText xml:space="preserve"> PAGEREF _Toc133221675 \h </w:instrText>
        </w:r>
        <w:r w:rsidR="003E0E61">
          <w:rPr>
            <w:webHidden/>
          </w:rPr>
        </w:r>
        <w:r w:rsidR="003E0E61">
          <w:rPr>
            <w:webHidden/>
          </w:rPr>
          <w:fldChar w:fldCharType="separate"/>
        </w:r>
        <w:r w:rsidR="003E0E61">
          <w:rPr>
            <w:webHidden/>
          </w:rPr>
          <w:t>9</w:t>
        </w:r>
        <w:r w:rsidR="003E0E61">
          <w:rPr>
            <w:webHidden/>
          </w:rPr>
          <w:fldChar w:fldCharType="end"/>
        </w:r>
      </w:hyperlink>
    </w:p>
    <w:p w14:paraId="4A103BCF" w14:textId="33FBF262" w:rsidR="003E0E61" w:rsidRDefault="00042743">
      <w:pPr>
        <w:pStyle w:val="TOC1"/>
        <w:rPr>
          <w:rFonts w:asciiTheme="minorHAnsi" w:eastAsiaTheme="minorEastAsia" w:hAnsiTheme="minorHAnsi" w:cstheme="minorBidi"/>
          <w:b w:val="0"/>
          <w:sz w:val="22"/>
          <w:szCs w:val="22"/>
        </w:rPr>
      </w:pPr>
      <w:hyperlink w:anchor="_Toc133221676" w:history="1">
        <w:r w:rsidR="003E0E61" w:rsidRPr="00783988">
          <w:rPr>
            <w:rStyle w:val="Hyperlink"/>
          </w:rPr>
          <w:t>4</w:t>
        </w:r>
        <w:r w:rsidR="003E0E61">
          <w:rPr>
            <w:rFonts w:asciiTheme="minorHAnsi" w:eastAsiaTheme="minorEastAsia" w:hAnsiTheme="minorHAnsi" w:cstheme="minorBidi"/>
            <w:b w:val="0"/>
            <w:sz w:val="22"/>
            <w:szCs w:val="22"/>
          </w:rPr>
          <w:tab/>
        </w:r>
        <w:r w:rsidR="003E0E61" w:rsidRPr="00783988">
          <w:rPr>
            <w:rStyle w:val="Hyperlink"/>
          </w:rPr>
          <w:t>Promoting the regulation of artificial intelligence</w:t>
        </w:r>
        <w:r w:rsidR="003E0E61">
          <w:rPr>
            <w:webHidden/>
          </w:rPr>
          <w:tab/>
        </w:r>
        <w:r w:rsidR="003E0E61">
          <w:rPr>
            <w:webHidden/>
          </w:rPr>
          <w:fldChar w:fldCharType="begin"/>
        </w:r>
        <w:r w:rsidR="003E0E61">
          <w:rPr>
            <w:webHidden/>
          </w:rPr>
          <w:instrText xml:space="preserve"> PAGEREF _Toc133221676 \h </w:instrText>
        </w:r>
        <w:r w:rsidR="003E0E61">
          <w:rPr>
            <w:webHidden/>
          </w:rPr>
        </w:r>
        <w:r w:rsidR="003E0E61">
          <w:rPr>
            <w:webHidden/>
          </w:rPr>
          <w:fldChar w:fldCharType="separate"/>
        </w:r>
        <w:r w:rsidR="003E0E61">
          <w:rPr>
            <w:webHidden/>
          </w:rPr>
          <w:t>12</w:t>
        </w:r>
        <w:r w:rsidR="003E0E61">
          <w:rPr>
            <w:webHidden/>
          </w:rPr>
          <w:fldChar w:fldCharType="end"/>
        </w:r>
      </w:hyperlink>
    </w:p>
    <w:p w14:paraId="6BD3463E" w14:textId="2DC1CE80" w:rsidR="003E0E61" w:rsidRDefault="00042743">
      <w:pPr>
        <w:pStyle w:val="TOC2"/>
        <w:rPr>
          <w:rFonts w:asciiTheme="minorHAnsi" w:eastAsiaTheme="minorEastAsia" w:hAnsiTheme="minorHAnsi" w:cstheme="minorBidi"/>
          <w:b w:val="0"/>
          <w:i w:val="0"/>
          <w:sz w:val="22"/>
          <w:szCs w:val="22"/>
        </w:rPr>
      </w:pPr>
      <w:hyperlink w:anchor="_Toc133221677" w:history="1">
        <w:r w:rsidR="003E0E61" w:rsidRPr="00783988">
          <w:rPr>
            <w:rStyle w:val="Hyperlink"/>
          </w:rPr>
          <w:t>4.1</w:t>
        </w:r>
        <w:r w:rsidR="003E0E61">
          <w:rPr>
            <w:rFonts w:asciiTheme="minorHAnsi" w:eastAsiaTheme="minorEastAsia" w:hAnsiTheme="minorHAnsi" w:cstheme="minorBidi"/>
            <w:b w:val="0"/>
            <w:i w:val="0"/>
            <w:sz w:val="22"/>
            <w:szCs w:val="22"/>
          </w:rPr>
          <w:tab/>
        </w:r>
        <w:r w:rsidR="003E0E61" w:rsidRPr="00783988">
          <w:rPr>
            <w:rStyle w:val="Hyperlink"/>
          </w:rPr>
          <w:t>Algorithmic bias</w:t>
        </w:r>
        <w:r w:rsidR="003E0E61">
          <w:rPr>
            <w:webHidden/>
          </w:rPr>
          <w:tab/>
        </w:r>
        <w:r w:rsidR="003E0E61">
          <w:rPr>
            <w:webHidden/>
          </w:rPr>
          <w:fldChar w:fldCharType="begin"/>
        </w:r>
        <w:r w:rsidR="003E0E61">
          <w:rPr>
            <w:webHidden/>
          </w:rPr>
          <w:instrText xml:space="preserve"> PAGEREF _Toc133221677 \h </w:instrText>
        </w:r>
        <w:r w:rsidR="003E0E61">
          <w:rPr>
            <w:webHidden/>
          </w:rPr>
        </w:r>
        <w:r w:rsidR="003E0E61">
          <w:rPr>
            <w:webHidden/>
          </w:rPr>
          <w:fldChar w:fldCharType="separate"/>
        </w:r>
        <w:r w:rsidR="003E0E61">
          <w:rPr>
            <w:webHidden/>
          </w:rPr>
          <w:t>12</w:t>
        </w:r>
        <w:r w:rsidR="003E0E61">
          <w:rPr>
            <w:webHidden/>
          </w:rPr>
          <w:fldChar w:fldCharType="end"/>
        </w:r>
      </w:hyperlink>
    </w:p>
    <w:p w14:paraId="233AB4C2" w14:textId="6DAEF9BB" w:rsidR="003E0E61" w:rsidRDefault="00042743">
      <w:pPr>
        <w:pStyle w:val="TOC2"/>
        <w:rPr>
          <w:rFonts w:asciiTheme="minorHAnsi" w:eastAsiaTheme="minorEastAsia" w:hAnsiTheme="minorHAnsi" w:cstheme="minorBidi"/>
          <w:b w:val="0"/>
          <w:i w:val="0"/>
          <w:sz w:val="22"/>
          <w:szCs w:val="22"/>
        </w:rPr>
      </w:pPr>
      <w:hyperlink w:anchor="_Toc133221678" w:history="1">
        <w:r w:rsidR="003E0E61" w:rsidRPr="00783988">
          <w:rPr>
            <w:rStyle w:val="Hyperlink"/>
          </w:rPr>
          <w:t>4.2</w:t>
        </w:r>
        <w:r w:rsidR="003E0E61">
          <w:rPr>
            <w:rFonts w:asciiTheme="minorHAnsi" w:eastAsiaTheme="minorEastAsia" w:hAnsiTheme="minorHAnsi" w:cstheme="minorBidi"/>
            <w:b w:val="0"/>
            <w:i w:val="0"/>
            <w:sz w:val="22"/>
            <w:szCs w:val="22"/>
          </w:rPr>
          <w:tab/>
        </w:r>
        <w:r w:rsidR="003E0E61" w:rsidRPr="00783988">
          <w:rPr>
            <w:rStyle w:val="Hyperlink"/>
          </w:rPr>
          <w:t>AI Safety Commissioner</w:t>
        </w:r>
        <w:r w:rsidR="003E0E61">
          <w:rPr>
            <w:webHidden/>
          </w:rPr>
          <w:tab/>
        </w:r>
        <w:r w:rsidR="003E0E61">
          <w:rPr>
            <w:webHidden/>
          </w:rPr>
          <w:fldChar w:fldCharType="begin"/>
        </w:r>
        <w:r w:rsidR="003E0E61">
          <w:rPr>
            <w:webHidden/>
          </w:rPr>
          <w:instrText xml:space="preserve"> PAGEREF _Toc133221678 \h </w:instrText>
        </w:r>
        <w:r w:rsidR="003E0E61">
          <w:rPr>
            <w:webHidden/>
          </w:rPr>
        </w:r>
        <w:r w:rsidR="003E0E61">
          <w:rPr>
            <w:webHidden/>
          </w:rPr>
          <w:fldChar w:fldCharType="separate"/>
        </w:r>
        <w:r w:rsidR="003E0E61">
          <w:rPr>
            <w:webHidden/>
          </w:rPr>
          <w:t>13</w:t>
        </w:r>
        <w:r w:rsidR="003E0E61">
          <w:rPr>
            <w:webHidden/>
          </w:rPr>
          <w:fldChar w:fldCharType="end"/>
        </w:r>
      </w:hyperlink>
    </w:p>
    <w:p w14:paraId="1E353040" w14:textId="55CC1AA0" w:rsidR="003E0E61" w:rsidRDefault="00042743">
      <w:pPr>
        <w:pStyle w:val="TOC2"/>
        <w:rPr>
          <w:rFonts w:asciiTheme="minorHAnsi" w:eastAsiaTheme="minorEastAsia" w:hAnsiTheme="minorHAnsi" w:cstheme="minorBidi"/>
          <w:b w:val="0"/>
          <w:i w:val="0"/>
          <w:sz w:val="22"/>
          <w:szCs w:val="22"/>
        </w:rPr>
      </w:pPr>
      <w:hyperlink w:anchor="_Toc133221679" w:history="1">
        <w:r w:rsidR="003E0E61" w:rsidRPr="00783988">
          <w:rPr>
            <w:rStyle w:val="Hyperlink"/>
          </w:rPr>
          <w:t>4.3</w:t>
        </w:r>
        <w:r w:rsidR="003E0E61">
          <w:rPr>
            <w:rFonts w:asciiTheme="minorHAnsi" w:eastAsiaTheme="minorEastAsia" w:hAnsiTheme="minorHAnsi" w:cstheme="minorBidi"/>
            <w:b w:val="0"/>
            <w:i w:val="0"/>
            <w:sz w:val="22"/>
            <w:szCs w:val="22"/>
          </w:rPr>
          <w:tab/>
        </w:r>
        <w:r w:rsidR="003E0E61" w:rsidRPr="00783988">
          <w:rPr>
            <w:rStyle w:val="Hyperlink"/>
          </w:rPr>
          <w:t>Pessimism towards a timely legislative response</w:t>
        </w:r>
        <w:r w:rsidR="003E0E61">
          <w:rPr>
            <w:webHidden/>
          </w:rPr>
          <w:tab/>
        </w:r>
        <w:r w:rsidR="003E0E61">
          <w:rPr>
            <w:webHidden/>
          </w:rPr>
          <w:fldChar w:fldCharType="begin"/>
        </w:r>
        <w:r w:rsidR="003E0E61">
          <w:rPr>
            <w:webHidden/>
          </w:rPr>
          <w:instrText xml:space="preserve"> PAGEREF _Toc133221679 \h </w:instrText>
        </w:r>
        <w:r w:rsidR="003E0E61">
          <w:rPr>
            <w:webHidden/>
          </w:rPr>
        </w:r>
        <w:r w:rsidR="003E0E61">
          <w:rPr>
            <w:webHidden/>
          </w:rPr>
          <w:fldChar w:fldCharType="separate"/>
        </w:r>
        <w:r w:rsidR="003E0E61">
          <w:rPr>
            <w:webHidden/>
          </w:rPr>
          <w:t>15</w:t>
        </w:r>
        <w:r w:rsidR="003E0E61">
          <w:rPr>
            <w:webHidden/>
          </w:rPr>
          <w:fldChar w:fldCharType="end"/>
        </w:r>
      </w:hyperlink>
    </w:p>
    <w:p w14:paraId="7988BC72" w14:textId="093DEA9B" w:rsidR="003E0E61" w:rsidRDefault="00042743">
      <w:pPr>
        <w:pStyle w:val="TOC2"/>
        <w:rPr>
          <w:rFonts w:asciiTheme="minorHAnsi" w:eastAsiaTheme="minorEastAsia" w:hAnsiTheme="minorHAnsi" w:cstheme="minorBidi"/>
          <w:b w:val="0"/>
          <w:i w:val="0"/>
          <w:sz w:val="22"/>
          <w:szCs w:val="22"/>
        </w:rPr>
      </w:pPr>
      <w:hyperlink w:anchor="_Toc133221680" w:history="1">
        <w:r w:rsidR="003E0E61" w:rsidRPr="00783988">
          <w:rPr>
            <w:rStyle w:val="Hyperlink"/>
          </w:rPr>
          <w:t>4.4</w:t>
        </w:r>
        <w:r w:rsidR="003E0E61">
          <w:rPr>
            <w:rFonts w:asciiTheme="minorHAnsi" w:eastAsiaTheme="minorEastAsia" w:hAnsiTheme="minorHAnsi" w:cstheme="minorBidi"/>
            <w:b w:val="0"/>
            <w:i w:val="0"/>
            <w:sz w:val="22"/>
            <w:szCs w:val="22"/>
          </w:rPr>
          <w:tab/>
        </w:r>
        <w:r w:rsidR="003E0E61" w:rsidRPr="00783988">
          <w:rPr>
            <w:rStyle w:val="Hyperlink"/>
          </w:rPr>
          <w:t>Safety by design</w:t>
        </w:r>
        <w:r w:rsidR="003E0E61">
          <w:rPr>
            <w:webHidden/>
          </w:rPr>
          <w:tab/>
        </w:r>
        <w:r w:rsidR="003E0E61">
          <w:rPr>
            <w:webHidden/>
          </w:rPr>
          <w:fldChar w:fldCharType="begin"/>
        </w:r>
        <w:r w:rsidR="003E0E61">
          <w:rPr>
            <w:webHidden/>
          </w:rPr>
          <w:instrText xml:space="preserve"> PAGEREF _Toc133221680 \h </w:instrText>
        </w:r>
        <w:r w:rsidR="003E0E61">
          <w:rPr>
            <w:webHidden/>
          </w:rPr>
        </w:r>
        <w:r w:rsidR="003E0E61">
          <w:rPr>
            <w:webHidden/>
          </w:rPr>
          <w:fldChar w:fldCharType="separate"/>
        </w:r>
        <w:r w:rsidR="003E0E61">
          <w:rPr>
            <w:webHidden/>
          </w:rPr>
          <w:t>16</w:t>
        </w:r>
        <w:r w:rsidR="003E0E61">
          <w:rPr>
            <w:webHidden/>
          </w:rPr>
          <w:fldChar w:fldCharType="end"/>
        </w:r>
      </w:hyperlink>
    </w:p>
    <w:p w14:paraId="0DB26045" w14:textId="0DE244A2" w:rsidR="003E0E61" w:rsidRDefault="00042743">
      <w:pPr>
        <w:pStyle w:val="TOC2"/>
        <w:rPr>
          <w:rFonts w:asciiTheme="minorHAnsi" w:eastAsiaTheme="minorEastAsia" w:hAnsiTheme="minorHAnsi" w:cstheme="minorBidi"/>
          <w:b w:val="0"/>
          <w:i w:val="0"/>
          <w:sz w:val="22"/>
          <w:szCs w:val="22"/>
        </w:rPr>
      </w:pPr>
      <w:hyperlink w:anchor="_Toc133221681" w:history="1">
        <w:r w:rsidR="003E0E61" w:rsidRPr="00783988">
          <w:rPr>
            <w:rStyle w:val="Hyperlink"/>
          </w:rPr>
          <w:t>4.5</w:t>
        </w:r>
        <w:r w:rsidR="003E0E61">
          <w:rPr>
            <w:rFonts w:asciiTheme="minorHAnsi" w:eastAsiaTheme="minorEastAsia" w:hAnsiTheme="minorHAnsi" w:cstheme="minorBidi"/>
            <w:b w:val="0"/>
            <w:i w:val="0"/>
            <w:sz w:val="22"/>
            <w:szCs w:val="22"/>
          </w:rPr>
          <w:tab/>
        </w:r>
        <w:r w:rsidR="003E0E61" w:rsidRPr="00783988">
          <w:rPr>
            <w:rStyle w:val="Hyperlink"/>
          </w:rPr>
          <w:t>Impact assessments</w:t>
        </w:r>
        <w:r w:rsidR="003E0E61">
          <w:rPr>
            <w:webHidden/>
          </w:rPr>
          <w:tab/>
        </w:r>
        <w:r w:rsidR="003E0E61">
          <w:rPr>
            <w:webHidden/>
          </w:rPr>
          <w:fldChar w:fldCharType="begin"/>
        </w:r>
        <w:r w:rsidR="003E0E61">
          <w:rPr>
            <w:webHidden/>
          </w:rPr>
          <w:instrText xml:space="preserve"> PAGEREF _Toc133221681 \h </w:instrText>
        </w:r>
        <w:r w:rsidR="003E0E61">
          <w:rPr>
            <w:webHidden/>
          </w:rPr>
        </w:r>
        <w:r w:rsidR="003E0E61">
          <w:rPr>
            <w:webHidden/>
          </w:rPr>
          <w:fldChar w:fldCharType="separate"/>
        </w:r>
        <w:r w:rsidR="003E0E61">
          <w:rPr>
            <w:webHidden/>
          </w:rPr>
          <w:t>17</w:t>
        </w:r>
        <w:r w:rsidR="003E0E61">
          <w:rPr>
            <w:webHidden/>
          </w:rPr>
          <w:fldChar w:fldCharType="end"/>
        </w:r>
      </w:hyperlink>
    </w:p>
    <w:p w14:paraId="0F23FE7A" w14:textId="53C8997A" w:rsidR="003E0E61" w:rsidRDefault="00042743">
      <w:pPr>
        <w:pStyle w:val="TOC1"/>
        <w:rPr>
          <w:rFonts w:asciiTheme="minorHAnsi" w:eastAsiaTheme="minorEastAsia" w:hAnsiTheme="minorHAnsi" w:cstheme="minorBidi"/>
          <w:b w:val="0"/>
          <w:sz w:val="22"/>
          <w:szCs w:val="22"/>
        </w:rPr>
      </w:pPr>
      <w:hyperlink w:anchor="_Toc133221682" w:history="1">
        <w:r w:rsidR="003E0E61" w:rsidRPr="00783988">
          <w:rPr>
            <w:rStyle w:val="Hyperlink"/>
          </w:rPr>
          <w:t>5</w:t>
        </w:r>
        <w:r w:rsidR="003E0E61">
          <w:rPr>
            <w:rFonts w:asciiTheme="minorHAnsi" w:eastAsiaTheme="minorEastAsia" w:hAnsiTheme="minorHAnsi" w:cstheme="minorBidi"/>
            <w:b w:val="0"/>
            <w:sz w:val="22"/>
            <w:szCs w:val="22"/>
          </w:rPr>
          <w:tab/>
        </w:r>
        <w:r w:rsidR="003E0E61" w:rsidRPr="00783988">
          <w:rPr>
            <w:rStyle w:val="Hyperlink"/>
          </w:rPr>
          <w:t>Applying human rights online</w:t>
        </w:r>
        <w:r w:rsidR="003E0E61">
          <w:rPr>
            <w:webHidden/>
          </w:rPr>
          <w:tab/>
        </w:r>
        <w:r w:rsidR="003E0E61">
          <w:rPr>
            <w:webHidden/>
          </w:rPr>
          <w:fldChar w:fldCharType="begin"/>
        </w:r>
        <w:r w:rsidR="003E0E61">
          <w:rPr>
            <w:webHidden/>
          </w:rPr>
          <w:instrText xml:space="preserve"> PAGEREF _Toc133221682 \h </w:instrText>
        </w:r>
        <w:r w:rsidR="003E0E61">
          <w:rPr>
            <w:webHidden/>
          </w:rPr>
        </w:r>
        <w:r w:rsidR="003E0E61">
          <w:rPr>
            <w:webHidden/>
          </w:rPr>
          <w:fldChar w:fldCharType="separate"/>
        </w:r>
        <w:r w:rsidR="003E0E61">
          <w:rPr>
            <w:webHidden/>
          </w:rPr>
          <w:t>17</w:t>
        </w:r>
        <w:r w:rsidR="003E0E61">
          <w:rPr>
            <w:webHidden/>
          </w:rPr>
          <w:fldChar w:fldCharType="end"/>
        </w:r>
      </w:hyperlink>
    </w:p>
    <w:p w14:paraId="72E645C4" w14:textId="67B3BF3C" w:rsidR="003E0E61" w:rsidRDefault="00042743">
      <w:pPr>
        <w:pStyle w:val="TOC2"/>
        <w:rPr>
          <w:rFonts w:asciiTheme="minorHAnsi" w:eastAsiaTheme="minorEastAsia" w:hAnsiTheme="minorHAnsi" w:cstheme="minorBidi"/>
          <w:b w:val="0"/>
          <w:i w:val="0"/>
          <w:sz w:val="22"/>
          <w:szCs w:val="22"/>
        </w:rPr>
      </w:pPr>
      <w:hyperlink w:anchor="_Toc133221683" w:history="1">
        <w:r w:rsidR="003E0E61" w:rsidRPr="00783988">
          <w:rPr>
            <w:rStyle w:val="Hyperlink"/>
          </w:rPr>
          <w:t>5.1</w:t>
        </w:r>
        <w:r w:rsidR="003E0E61">
          <w:rPr>
            <w:rFonts w:asciiTheme="minorHAnsi" w:eastAsiaTheme="minorEastAsia" w:hAnsiTheme="minorHAnsi" w:cstheme="minorBidi"/>
            <w:b w:val="0"/>
            <w:i w:val="0"/>
            <w:sz w:val="22"/>
            <w:szCs w:val="22"/>
          </w:rPr>
          <w:tab/>
        </w:r>
        <w:r w:rsidR="003E0E61" w:rsidRPr="00783988">
          <w:rPr>
            <w:rStyle w:val="Hyperlink"/>
          </w:rPr>
          <w:t>A model for regulation and promotion of human rights</w:t>
        </w:r>
        <w:r w:rsidR="003E0E61">
          <w:rPr>
            <w:webHidden/>
          </w:rPr>
          <w:tab/>
        </w:r>
        <w:r w:rsidR="003E0E61">
          <w:rPr>
            <w:webHidden/>
          </w:rPr>
          <w:fldChar w:fldCharType="begin"/>
        </w:r>
        <w:r w:rsidR="003E0E61">
          <w:rPr>
            <w:webHidden/>
          </w:rPr>
          <w:instrText xml:space="preserve"> PAGEREF _Toc133221683 \h </w:instrText>
        </w:r>
        <w:r w:rsidR="003E0E61">
          <w:rPr>
            <w:webHidden/>
          </w:rPr>
        </w:r>
        <w:r w:rsidR="003E0E61">
          <w:rPr>
            <w:webHidden/>
          </w:rPr>
          <w:fldChar w:fldCharType="separate"/>
        </w:r>
        <w:r w:rsidR="003E0E61">
          <w:rPr>
            <w:webHidden/>
          </w:rPr>
          <w:t>18</w:t>
        </w:r>
        <w:r w:rsidR="003E0E61">
          <w:rPr>
            <w:webHidden/>
          </w:rPr>
          <w:fldChar w:fldCharType="end"/>
        </w:r>
      </w:hyperlink>
    </w:p>
    <w:p w14:paraId="070F59EE" w14:textId="79400FA9" w:rsidR="003E0E61" w:rsidRDefault="00042743">
      <w:pPr>
        <w:pStyle w:val="TOC1"/>
        <w:rPr>
          <w:rFonts w:asciiTheme="minorHAnsi" w:eastAsiaTheme="minorEastAsia" w:hAnsiTheme="minorHAnsi" w:cstheme="minorBidi"/>
          <w:b w:val="0"/>
          <w:sz w:val="22"/>
          <w:szCs w:val="22"/>
        </w:rPr>
      </w:pPr>
      <w:hyperlink w:anchor="_Toc133221684" w:history="1">
        <w:r w:rsidR="003E0E61" w:rsidRPr="00783988">
          <w:rPr>
            <w:rStyle w:val="Hyperlink"/>
          </w:rPr>
          <w:t>6</w:t>
        </w:r>
        <w:r w:rsidR="003E0E61">
          <w:rPr>
            <w:rFonts w:asciiTheme="minorHAnsi" w:eastAsiaTheme="minorEastAsia" w:hAnsiTheme="minorHAnsi" w:cstheme="minorBidi"/>
            <w:b w:val="0"/>
            <w:sz w:val="22"/>
            <w:szCs w:val="22"/>
          </w:rPr>
          <w:tab/>
        </w:r>
        <w:r w:rsidR="003E0E61" w:rsidRPr="00783988">
          <w:rPr>
            <w:rStyle w:val="Hyperlink"/>
          </w:rPr>
          <w:t>Introducing accountability criteria for discrimination and misleading content</w:t>
        </w:r>
        <w:r w:rsidR="003E0E61">
          <w:rPr>
            <w:webHidden/>
          </w:rPr>
          <w:tab/>
        </w:r>
        <w:r w:rsidR="003E0E61">
          <w:rPr>
            <w:webHidden/>
          </w:rPr>
          <w:fldChar w:fldCharType="begin"/>
        </w:r>
        <w:r w:rsidR="003E0E61">
          <w:rPr>
            <w:webHidden/>
          </w:rPr>
          <w:instrText xml:space="preserve"> PAGEREF _Toc133221684 \h </w:instrText>
        </w:r>
        <w:r w:rsidR="003E0E61">
          <w:rPr>
            <w:webHidden/>
          </w:rPr>
        </w:r>
        <w:r w:rsidR="003E0E61">
          <w:rPr>
            <w:webHidden/>
          </w:rPr>
          <w:fldChar w:fldCharType="separate"/>
        </w:r>
        <w:r w:rsidR="003E0E61">
          <w:rPr>
            <w:webHidden/>
          </w:rPr>
          <w:t>20</w:t>
        </w:r>
        <w:r w:rsidR="003E0E61">
          <w:rPr>
            <w:webHidden/>
          </w:rPr>
          <w:fldChar w:fldCharType="end"/>
        </w:r>
      </w:hyperlink>
    </w:p>
    <w:p w14:paraId="72F9BE53" w14:textId="60587376" w:rsidR="003E0E61" w:rsidRDefault="00042743">
      <w:pPr>
        <w:pStyle w:val="TOC2"/>
        <w:rPr>
          <w:rFonts w:asciiTheme="minorHAnsi" w:eastAsiaTheme="minorEastAsia" w:hAnsiTheme="minorHAnsi" w:cstheme="minorBidi"/>
          <w:b w:val="0"/>
          <w:i w:val="0"/>
          <w:sz w:val="22"/>
          <w:szCs w:val="22"/>
        </w:rPr>
      </w:pPr>
      <w:hyperlink w:anchor="_Toc133221685" w:history="1">
        <w:r w:rsidR="003E0E61" w:rsidRPr="00783988">
          <w:rPr>
            <w:rStyle w:val="Hyperlink"/>
          </w:rPr>
          <w:t>6.1</w:t>
        </w:r>
        <w:r w:rsidR="003E0E61">
          <w:rPr>
            <w:rFonts w:asciiTheme="minorHAnsi" w:eastAsiaTheme="minorEastAsia" w:hAnsiTheme="minorHAnsi" w:cstheme="minorBidi"/>
            <w:b w:val="0"/>
            <w:i w:val="0"/>
            <w:sz w:val="22"/>
            <w:szCs w:val="22"/>
          </w:rPr>
          <w:tab/>
        </w:r>
        <w:r w:rsidR="003E0E61" w:rsidRPr="00783988">
          <w:rPr>
            <w:rStyle w:val="Hyperlink"/>
          </w:rPr>
          <w:t>Model of regulation</w:t>
        </w:r>
        <w:r w:rsidR="003E0E61">
          <w:rPr>
            <w:webHidden/>
          </w:rPr>
          <w:tab/>
        </w:r>
        <w:r w:rsidR="003E0E61">
          <w:rPr>
            <w:webHidden/>
          </w:rPr>
          <w:fldChar w:fldCharType="begin"/>
        </w:r>
        <w:r w:rsidR="003E0E61">
          <w:rPr>
            <w:webHidden/>
          </w:rPr>
          <w:instrText xml:space="preserve"> PAGEREF _Toc133221685 \h </w:instrText>
        </w:r>
        <w:r w:rsidR="003E0E61">
          <w:rPr>
            <w:webHidden/>
          </w:rPr>
        </w:r>
        <w:r w:rsidR="003E0E61">
          <w:rPr>
            <w:webHidden/>
          </w:rPr>
          <w:fldChar w:fldCharType="separate"/>
        </w:r>
        <w:r w:rsidR="003E0E61">
          <w:rPr>
            <w:webHidden/>
          </w:rPr>
          <w:t>20</w:t>
        </w:r>
        <w:r w:rsidR="003E0E61">
          <w:rPr>
            <w:webHidden/>
          </w:rPr>
          <w:fldChar w:fldCharType="end"/>
        </w:r>
      </w:hyperlink>
    </w:p>
    <w:p w14:paraId="72075F33" w14:textId="1BCBEF35" w:rsidR="003E0E61" w:rsidRDefault="00042743">
      <w:pPr>
        <w:pStyle w:val="TOC2"/>
        <w:rPr>
          <w:rFonts w:asciiTheme="minorHAnsi" w:eastAsiaTheme="minorEastAsia" w:hAnsiTheme="minorHAnsi" w:cstheme="minorBidi"/>
          <w:b w:val="0"/>
          <w:i w:val="0"/>
          <w:sz w:val="22"/>
          <w:szCs w:val="22"/>
        </w:rPr>
      </w:pPr>
      <w:hyperlink w:anchor="_Toc133221686" w:history="1">
        <w:r w:rsidR="003E0E61" w:rsidRPr="00783988">
          <w:rPr>
            <w:rStyle w:val="Hyperlink"/>
          </w:rPr>
          <w:t>6.2</w:t>
        </w:r>
        <w:r w:rsidR="003E0E61">
          <w:rPr>
            <w:rFonts w:asciiTheme="minorHAnsi" w:eastAsiaTheme="minorEastAsia" w:hAnsiTheme="minorHAnsi" w:cstheme="minorBidi"/>
            <w:b w:val="0"/>
            <w:i w:val="0"/>
            <w:sz w:val="22"/>
            <w:szCs w:val="22"/>
          </w:rPr>
          <w:tab/>
        </w:r>
        <w:r w:rsidR="003E0E61" w:rsidRPr="00783988">
          <w:rPr>
            <w:rStyle w:val="Hyperlink"/>
          </w:rPr>
          <w:t>Freedom of expression</w:t>
        </w:r>
        <w:r w:rsidR="003E0E61">
          <w:rPr>
            <w:webHidden/>
          </w:rPr>
          <w:tab/>
        </w:r>
        <w:r w:rsidR="003E0E61">
          <w:rPr>
            <w:webHidden/>
          </w:rPr>
          <w:fldChar w:fldCharType="begin"/>
        </w:r>
        <w:r w:rsidR="003E0E61">
          <w:rPr>
            <w:webHidden/>
          </w:rPr>
          <w:instrText xml:space="preserve"> PAGEREF _Toc133221686 \h </w:instrText>
        </w:r>
        <w:r w:rsidR="003E0E61">
          <w:rPr>
            <w:webHidden/>
          </w:rPr>
        </w:r>
        <w:r w:rsidR="003E0E61">
          <w:rPr>
            <w:webHidden/>
          </w:rPr>
          <w:fldChar w:fldCharType="separate"/>
        </w:r>
        <w:r w:rsidR="003E0E61">
          <w:rPr>
            <w:webHidden/>
          </w:rPr>
          <w:t>21</w:t>
        </w:r>
        <w:r w:rsidR="003E0E61">
          <w:rPr>
            <w:webHidden/>
          </w:rPr>
          <w:fldChar w:fldCharType="end"/>
        </w:r>
      </w:hyperlink>
    </w:p>
    <w:p w14:paraId="1FDC1AD8" w14:textId="395225D5" w:rsidR="003E0E61" w:rsidRDefault="00042743">
      <w:pPr>
        <w:pStyle w:val="TOC1"/>
        <w:rPr>
          <w:rStyle w:val="Hyperlink"/>
        </w:rPr>
      </w:pPr>
      <w:hyperlink w:anchor="_Toc133221687" w:history="1">
        <w:r w:rsidR="003E0E61" w:rsidRPr="00783988">
          <w:rPr>
            <w:rStyle w:val="Hyperlink"/>
          </w:rPr>
          <w:t>7</w:t>
        </w:r>
        <w:r w:rsidR="003E0E61">
          <w:rPr>
            <w:rFonts w:asciiTheme="minorHAnsi" w:eastAsiaTheme="minorEastAsia" w:hAnsiTheme="minorHAnsi" w:cstheme="minorBidi"/>
            <w:b w:val="0"/>
            <w:sz w:val="22"/>
            <w:szCs w:val="22"/>
          </w:rPr>
          <w:tab/>
        </w:r>
        <w:r w:rsidR="003E0E61" w:rsidRPr="00783988">
          <w:rPr>
            <w:rStyle w:val="Hyperlink"/>
          </w:rPr>
          <w:t xml:space="preserve">Recommendations </w:t>
        </w:r>
        <w:r w:rsidR="003E0E61">
          <w:rPr>
            <w:webHidden/>
          </w:rPr>
          <w:tab/>
        </w:r>
        <w:r w:rsidR="003E0E61">
          <w:rPr>
            <w:webHidden/>
          </w:rPr>
          <w:fldChar w:fldCharType="begin"/>
        </w:r>
        <w:r w:rsidR="003E0E61">
          <w:rPr>
            <w:webHidden/>
          </w:rPr>
          <w:instrText xml:space="preserve"> PAGEREF _Toc133221687 \h </w:instrText>
        </w:r>
        <w:r w:rsidR="003E0E61">
          <w:rPr>
            <w:webHidden/>
          </w:rPr>
        </w:r>
        <w:r w:rsidR="003E0E61">
          <w:rPr>
            <w:webHidden/>
          </w:rPr>
          <w:fldChar w:fldCharType="separate"/>
        </w:r>
        <w:r w:rsidR="003E0E61">
          <w:rPr>
            <w:webHidden/>
          </w:rPr>
          <w:t>21</w:t>
        </w:r>
        <w:r w:rsidR="003E0E61">
          <w:rPr>
            <w:webHidden/>
          </w:rPr>
          <w:fldChar w:fldCharType="end"/>
        </w:r>
      </w:hyperlink>
    </w:p>
    <w:p w14:paraId="2821B043" w14:textId="6FC9B792" w:rsidR="003E0E61" w:rsidRDefault="003E0E61">
      <w:pPr>
        <w:spacing w:before="0" w:after="0"/>
      </w:pPr>
      <w:r>
        <w:br w:type="page"/>
      </w:r>
    </w:p>
    <w:p w14:paraId="77B2E1B1" w14:textId="5E53B648" w:rsidR="00510390" w:rsidRDefault="000B5B68" w:rsidP="00846360">
      <w:pPr>
        <w:pStyle w:val="Heading1"/>
      </w:pPr>
      <w:r w:rsidRPr="000465F1">
        <w:lastRenderedPageBreak/>
        <w:fldChar w:fldCharType="end"/>
      </w:r>
      <w:bookmarkStart w:id="17" w:name="_Toc207761830"/>
      <w:bookmarkStart w:id="18" w:name="_Toc209578266"/>
      <w:bookmarkStart w:id="19" w:name="_Toc209941766"/>
      <w:bookmarkStart w:id="20" w:name="_Toc133221669"/>
      <w:r w:rsidR="009F2764" w:rsidRPr="009E08D1">
        <w:t>Introduction</w:t>
      </w:r>
      <w:bookmarkEnd w:id="17"/>
      <w:bookmarkEnd w:id="18"/>
      <w:bookmarkEnd w:id="19"/>
      <w:bookmarkEnd w:id="20"/>
    </w:p>
    <w:p w14:paraId="35310F33" w14:textId="755A48BD" w:rsidR="006A45A8" w:rsidRDefault="006A45A8" w:rsidP="00846360">
      <w:pPr>
        <w:pStyle w:val="ListNumber"/>
      </w:pPr>
      <w:r>
        <w:t xml:space="preserve">The Australian Human Rights Commission (Commission) welcomes the opportunity to make this submission to </w:t>
      </w:r>
      <w:r w:rsidR="001B0BD7">
        <w:t xml:space="preserve">the </w:t>
      </w:r>
      <w:r w:rsidR="00FA60E4" w:rsidRPr="00FA60E4">
        <w:t>United Nations Office of the Secretary-General’s Envoy on Technology</w:t>
      </w:r>
      <w:r w:rsidR="004E5AF3">
        <w:t xml:space="preserve"> (Envoy)</w:t>
      </w:r>
      <w:r w:rsidR="00FA60E4">
        <w:t xml:space="preserve"> </w:t>
      </w:r>
      <w:r w:rsidR="00EC321E">
        <w:t>in respect of the Global Digital Compact (Compact)</w:t>
      </w:r>
      <w:r w:rsidR="007B3DB2">
        <w:t>.</w:t>
      </w:r>
    </w:p>
    <w:p w14:paraId="3620F14B" w14:textId="62F0A24C" w:rsidR="006A45A8" w:rsidRDefault="006A45A8" w:rsidP="00846360">
      <w:pPr>
        <w:pStyle w:val="ListNumber"/>
      </w:pPr>
      <w:r>
        <w:t>The role of the Commission is to work towards a</w:t>
      </w:r>
      <w:r w:rsidR="00167F94">
        <w:t xml:space="preserve"> world</w:t>
      </w:r>
      <w:r>
        <w:t xml:space="preserve"> in which human rights are respected, protected and promoted. While the Commission has expertise and knowledge in the area of human rights generally, relevant to th</w:t>
      </w:r>
      <w:r w:rsidR="00167F94">
        <w:t>e Compact</w:t>
      </w:r>
      <w:r w:rsidR="0046760E">
        <w:t>,</w:t>
      </w:r>
      <w:r>
        <w:t xml:space="preserve"> it has also developed specific expertise </w:t>
      </w:r>
      <w:r w:rsidR="000F467E">
        <w:t>in</w:t>
      </w:r>
      <w:r>
        <w:t xml:space="preserve"> respect </w:t>
      </w:r>
      <w:r w:rsidR="000F467E">
        <w:t>of</w:t>
      </w:r>
      <w:r>
        <w:t xml:space="preserve"> the human rights risks posed by </w:t>
      </w:r>
      <w:r w:rsidR="0046760E">
        <w:t>digital</w:t>
      </w:r>
      <w:r>
        <w:t xml:space="preserve"> technologies. Most recently, this can be seen in the Human Rights and Technology Project, which was a three-year, national investigation that culminated with the release of the </w:t>
      </w:r>
      <w:hyperlink r:id="rId18" w:anchor=":~:text=The%20Report%20sets%20out%20a,with%20robust%20human%20rights%20safeguards.">
        <w:r w:rsidRPr="0CB811F6">
          <w:rPr>
            <w:rStyle w:val="Hyperlink"/>
          </w:rPr>
          <w:t>Human Rights and Technology Project Final Report in 2021</w:t>
        </w:r>
      </w:hyperlink>
      <w:r>
        <w:t xml:space="preserve"> (Final Report).</w:t>
      </w:r>
    </w:p>
    <w:p w14:paraId="2B486CAA" w14:textId="77733860" w:rsidR="003834B7" w:rsidRDefault="00FC049A" w:rsidP="00846360">
      <w:pPr>
        <w:pStyle w:val="ListNumber"/>
      </w:pPr>
      <w:r>
        <w:t xml:space="preserve">This submission builds on the previous work that the Commission has done to advocate for </w:t>
      </w:r>
      <w:r w:rsidR="00F917A5">
        <w:t>human</w:t>
      </w:r>
      <w:r w:rsidR="00BD45A4">
        <w:t xml:space="preserve"> </w:t>
      </w:r>
      <w:r w:rsidR="00F917A5">
        <w:t>rights</w:t>
      </w:r>
      <w:r w:rsidR="003834B7">
        <w:t>-</w:t>
      </w:r>
      <w:r w:rsidR="00F917A5">
        <w:t>centred design and deployment of new and emerging technologies</w:t>
      </w:r>
      <w:r w:rsidR="00EA09BE">
        <w:t>,</w:t>
      </w:r>
      <w:r w:rsidR="00F917A5">
        <w:t xml:space="preserve"> </w:t>
      </w:r>
      <w:r>
        <w:t>and</w:t>
      </w:r>
      <w:r w:rsidR="00EA09BE">
        <w:t xml:space="preserve"> demonstrates</w:t>
      </w:r>
      <w:r>
        <w:t xml:space="preserve"> a commitment to global leadership </w:t>
      </w:r>
      <w:r w:rsidR="003834B7">
        <w:t>in</w:t>
      </w:r>
      <w:r>
        <w:t xml:space="preserve"> respect </w:t>
      </w:r>
      <w:r w:rsidR="003834B7">
        <w:t>of</w:t>
      </w:r>
      <w:r>
        <w:t xml:space="preserve"> </w:t>
      </w:r>
      <w:r w:rsidR="00F917A5">
        <w:t xml:space="preserve">human rights in digital spaces. </w:t>
      </w:r>
    </w:p>
    <w:p w14:paraId="0B1E5E4A" w14:textId="01F2EB38" w:rsidR="00ED5824" w:rsidRDefault="003834B7" w:rsidP="00846360">
      <w:pPr>
        <w:pStyle w:val="ListNumber"/>
      </w:pPr>
      <w:r>
        <w:t>T</w:t>
      </w:r>
      <w:r w:rsidR="00EA09BE">
        <w:t>h</w:t>
      </w:r>
      <w:r w:rsidR="00FB498E">
        <w:t xml:space="preserve">e Commission has </w:t>
      </w:r>
      <w:r w:rsidR="00AF322C">
        <w:t xml:space="preserve">continued its </w:t>
      </w:r>
      <w:r w:rsidR="00FB498E">
        <w:t>work in</w:t>
      </w:r>
      <w:r w:rsidR="003C1124">
        <w:t xml:space="preserve"> 2023</w:t>
      </w:r>
      <w:r w:rsidR="00ED5824">
        <w:t xml:space="preserve"> </w:t>
      </w:r>
      <w:r w:rsidR="003C1124">
        <w:t xml:space="preserve">on human rights </w:t>
      </w:r>
      <w:r w:rsidR="00ED5824">
        <w:t xml:space="preserve">and technology. This submission is in addition to </w:t>
      </w:r>
      <w:r w:rsidR="00AF322C">
        <w:t xml:space="preserve">other </w:t>
      </w:r>
      <w:r w:rsidR="00270BAE">
        <w:t>2023</w:t>
      </w:r>
      <w:r w:rsidR="00ED5824">
        <w:t xml:space="preserve"> submissions to</w:t>
      </w:r>
      <w:r w:rsidR="00AF322C">
        <w:t xml:space="preserve"> date, including to the</w:t>
      </w:r>
      <w:r w:rsidR="00ED5824">
        <w:t>:</w:t>
      </w:r>
    </w:p>
    <w:p w14:paraId="548A710C" w14:textId="4212F679" w:rsidR="00ED5824" w:rsidRDefault="00042743" w:rsidP="00D45FF5">
      <w:pPr>
        <w:pStyle w:val="ListNumber"/>
        <w:numPr>
          <w:ilvl w:val="0"/>
          <w:numId w:val="17"/>
        </w:numPr>
      </w:pPr>
      <w:hyperlink r:id="rId19" w:history="1">
        <w:r w:rsidR="003C1124" w:rsidRPr="003400D9">
          <w:rPr>
            <w:rStyle w:val="Hyperlink"/>
          </w:rPr>
          <w:t>Select Committee on Foreign Interference through Social Media</w:t>
        </w:r>
      </w:hyperlink>
    </w:p>
    <w:p w14:paraId="010DBE7F" w14:textId="79831507" w:rsidR="00ED5824" w:rsidRDefault="00042743" w:rsidP="00D45FF5">
      <w:pPr>
        <w:pStyle w:val="ListNumber"/>
        <w:numPr>
          <w:ilvl w:val="0"/>
          <w:numId w:val="17"/>
        </w:numPr>
      </w:pPr>
      <w:hyperlink r:id="rId20" w:history="1">
        <w:r w:rsidR="003C1124" w:rsidRPr="003400D9">
          <w:rPr>
            <w:rStyle w:val="Hyperlink"/>
          </w:rPr>
          <w:t>Targeted Review of Divisions 270</w:t>
        </w:r>
        <w:r w:rsidR="00BD45A4" w:rsidRPr="003400D9">
          <w:rPr>
            <w:rStyle w:val="Hyperlink"/>
          </w:rPr>
          <w:t>–</w:t>
        </w:r>
        <w:r w:rsidR="003C1124" w:rsidRPr="003400D9">
          <w:rPr>
            <w:rStyle w:val="Hyperlink"/>
          </w:rPr>
          <w:t xml:space="preserve">271 of the </w:t>
        </w:r>
        <w:r w:rsidR="003C1124" w:rsidRPr="003400D9">
          <w:rPr>
            <w:rStyle w:val="Hyperlink"/>
            <w:i/>
            <w:iCs/>
          </w:rPr>
          <w:t>Criminal Code Act 1995</w:t>
        </w:r>
        <w:r w:rsidR="003C1124" w:rsidRPr="003400D9">
          <w:rPr>
            <w:rStyle w:val="Hyperlink"/>
          </w:rPr>
          <w:t xml:space="preserve"> (</w:t>
        </w:r>
        <w:proofErr w:type="spellStart"/>
        <w:r w:rsidR="003C1124" w:rsidRPr="003400D9">
          <w:rPr>
            <w:rStyle w:val="Hyperlink"/>
          </w:rPr>
          <w:t>Cth</w:t>
        </w:r>
        <w:proofErr w:type="spellEnd"/>
        <w:r w:rsidR="003C1124" w:rsidRPr="003400D9">
          <w:rPr>
            <w:rStyle w:val="Hyperlink"/>
          </w:rPr>
          <w:t>)</w:t>
        </w:r>
      </w:hyperlink>
      <w:r w:rsidR="003C1124">
        <w:t xml:space="preserve"> (in respect of technology facilitated crime)</w:t>
      </w:r>
    </w:p>
    <w:p w14:paraId="13C89C01" w14:textId="5DC05269" w:rsidR="000E7B0C" w:rsidRDefault="00042743" w:rsidP="00D45FF5">
      <w:pPr>
        <w:pStyle w:val="ListNumber"/>
        <w:numPr>
          <w:ilvl w:val="0"/>
          <w:numId w:val="17"/>
        </w:numPr>
      </w:pPr>
      <w:hyperlink r:id="rId21" w:history="1">
        <w:r w:rsidR="003C1124" w:rsidRPr="00FC6BF5">
          <w:rPr>
            <w:rStyle w:val="Hyperlink"/>
          </w:rPr>
          <w:t xml:space="preserve">Attorney-General’s Department Review Report on the </w:t>
        </w:r>
        <w:r w:rsidR="003C1124" w:rsidRPr="00FC6BF5">
          <w:rPr>
            <w:rStyle w:val="Hyperlink"/>
            <w:i/>
            <w:iCs/>
          </w:rPr>
          <w:t>Privacy Act 1988</w:t>
        </w:r>
        <w:r w:rsidR="003C1124" w:rsidRPr="00FC6BF5">
          <w:rPr>
            <w:rStyle w:val="Hyperlink"/>
          </w:rPr>
          <w:t xml:space="preserve"> (</w:t>
        </w:r>
        <w:proofErr w:type="spellStart"/>
        <w:r w:rsidR="003C1124" w:rsidRPr="00FC6BF5">
          <w:rPr>
            <w:rStyle w:val="Hyperlink"/>
          </w:rPr>
          <w:t>Cth</w:t>
        </w:r>
        <w:proofErr w:type="spellEnd"/>
        <w:r w:rsidR="003C1124" w:rsidRPr="00FC6BF5">
          <w:rPr>
            <w:rStyle w:val="Hyperlink"/>
          </w:rPr>
          <w:t>)</w:t>
        </w:r>
      </w:hyperlink>
      <w:r w:rsidR="003C1124">
        <w:t xml:space="preserve"> </w:t>
      </w:r>
    </w:p>
    <w:p w14:paraId="0881D56A" w14:textId="3D206F0E" w:rsidR="00480DD5" w:rsidRDefault="007C0D1E" w:rsidP="00480DD5">
      <w:pPr>
        <w:pStyle w:val="ListNumber"/>
        <w:numPr>
          <w:ilvl w:val="0"/>
          <w:numId w:val="17"/>
        </w:numPr>
      </w:pPr>
      <w:hyperlink r:id="rId22" w:history="1">
        <w:r w:rsidR="00480DD5" w:rsidRPr="007C0D1E">
          <w:rPr>
            <w:rStyle w:val="Hyperlink"/>
          </w:rPr>
          <w:t>Special Rapporteur on contemporary forms of slavery, including its causes and consequences’ Call for input on the use of technology in facilitating and preventing contemporary forms of slavery</w:t>
        </w:r>
      </w:hyperlink>
    </w:p>
    <w:p w14:paraId="63AFD88B" w14:textId="74839B6E" w:rsidR="00F61A36" w:rsidRDefault="00F61A36" w:rsidP="00D45FF5">
      <w:pPr>
        <w:pStyle w:val="ListNumber"/>
        <w:numPr>
          <w:ilvl w:val="0"/>
          <w:numId w:val="17"/>
        </w:numPr>
      </w:pPr>
      <w:r>
        <w:t xml:space="preserve">Australian Competition and Consumer Commission </w:t>
      </w:r>
      <w:r w:rsidR="0009233D">
        <w:t>expanding digital platform ecosystem issues paper (pending public release)</w:t>
      </w:r>
      <w:r w:rsidR="00480DD5">
        <w:t>.</w:t>
      </w:r>
    </w:p>
    <w:p w14:paraId="5DAC4402" w14:textId="5EDBACF6" w:rsidR="004E5AF3" w:rsidRDefault="004E5AF3" w:rsidP="000F2D39">
      <w:pPr>
        <w:pStyle w:val="ListNumber"/>
      </w:pPr>
      <w:r>
        <w:t xml:space="preserve">In this submission the Commission addresses </w:t>
      </w:r>
      <w:r w:rsidR="003E3934">
        <w:t xml:space="preserve">the protection of data, regulation of artificial intelligence, application of human rights online and </w:t>
      </w:r>
      <w:r w:rsidR="000F467E">
        <w:t>the introduction of</w:t>
      </w:r>
      <w:r w:rsidR="00A048DF">
        <w:t xml:space="preserve"> an accountability criteria for discrimination and misleading content. The Commissions</w:t>
      </w:r>
      <w:r>
        <w:t xml:space="preserve"> welcomes further opportunities to provide submissions to the </w:t>
      </w:r>
      <w:r w:rsidR="00A048DF">
        <w:t>Envoy</w:t>
      </w:r>
      <w:r>
        <w:t>.</w:t>
      </w:r>
    </w:p>
    <w:p w14:paraId="144577B6" w14:textId="0D72DEB8" w:rsidR="00FE6A27" w:rsidRDefault="00A13D1D" w:rsidP="00846360">
      <w:pPr>
        <w:pStyle w:val="Heading1"/>
      </w:pPr>
      <w:bookmarkStart w:id="21" w:name="_Toc133221670"/>
      <w:r>
        <w:lastRenderedPageBreak/>
        <w:t>Consultations</w:t>
      </w:r>
      <w:bookmarkEnd w:id="21"/>
      <w:r w:rsidR="00FE6A27">
        <w:t xml:space="preserve"> </w:t>
      </w:r>
    </w:p>
    <w:p w14:paraId="096ACB6E" w14:textId="77777777" w:rsidR="002A4F13" w:rsidRDefault="002A4F13" w:rsidP="002A4F13">
      <w:pPr>
        <w:pStyle w:val="ListNumber"/>
      </w:pPr>
      <w:r>
        <w:t>Although the views expressed in this submission are those of the Commission, they have been informed by the views and opinions expressed by participants throughout the consultation process.</w:t>
      </w:r>
    </w:p>
    <w:p w14:paraId="322BAC21" w14:textId="4CEC2F3F" w:rsidR="0053309E" w:rsidRDefault="002743A0" w:rsidP="000F2D39">
      <w:pPr>
        <w:pStyle w:val="ListNumber"/>
      </w:pPr>
      <w:r>
        <w:t>The</w:t>
      </w:r>
      <w:r w:rsidR="00A13D1D">
        <w:t xml:space="preserve"> Commission </w:t>
      </w:r>
      <w:r w:rsidR="003F08B5">
        <w:t>facilitated two consultations with a range of stakeholders and experts from civil society</w:t>
      </w:r>
      <w:r w:rsidR="00747245">
        <w:t>,</w:t>
      </w:r>
      <w:r w:rsidR="003F08B5">
        <w:t xml:space="preserve"> business</w:t>
      </w:r>
      <w:r w:rsidR="00747245">
        <w:t xml:space="preserve">, regulators and government. </w:t>
      </w:r>
      <w:r w:rsidR="00F2088B">
        <w:t xml:space="preserve"> </w:t>
      </w:r>
      <w:r w:rsidR="00804162">
        <w:t xml:space="preserve"> </w:t>
      </w:r>
    </w:p>
    <w:p w14:paraId="5D3DBD6D" w14:textId="7BAD7025" w:rsidR="00817448" w:rsidRDefault="0012641F" w:rsidP="00846360">
      <w:pPr>
        <w:pStyle w:val="ListNumber"/>
      </w:pPr>
      <w:r>
        <w:t xml:space="preserve">Participants were provided with a </w:t>
      </w:r>
      <w:r w:rsidR="007A7E98">
        <w:t>C</w:t>
      </w:r>
      <w:r>
        <w:t xml:space="preserve">onsultation </w:t>
      </w:r>
      <w:r w:rsidR="007A7E98">
        <w:t>N</w:t>
      </w:r>
      <w:r>
        <w:t xml:space="preserve">ote when they were invited to attend the sessions. </w:t>
      </w:r>
      <w:r w:rsidR="00817448">
        <w:t xml:space="preserve">The </w:t>
      </w:r>
      <w:r w:rsidR="007A7E98">
        <w:t>C</w:t>
      </w:r>
      <w:r w:rsidR="00817448">
        <w:t xml:space="preserve">onsultation </w:t>
      </w:r>
      <w:r w:rsidR="007A7E98">
        <w:t>N</w:t>
      </w:r>
      <w:r w:rsidR="00817448">
        <w:t xml:space="preserve">ote </w:t>
      </w:r>
      <w:r w:rsidR="004A04D7">
        <w:t xml:space="preserve">set out </w:t>
      </w:r>
      <w:r w:rsidR="007A7E98">
        <w:t>what</w:t>
      </w:r>
      <w:r w:rsidR="004A04D7">
        <w:t xml:space="preserve"> the Commission </w:t>
      </w:r>
      <w:r w:rsidR="009376F6">
        <w:t xml:space="preserve">requested </w:t>
      </w:r>
      <w:r>
        <w:t>stakeholders</w:t>
      </w:r>
      <w:r w:rsidR="009376F6">
        <w:t xml:space="preserve"> to bear in mind</w:t>
      </w:r>
      <w:r>
        <w:t xml:space="preserve"> when engaging in the </w:t>
      </w:r>
      <w:r w:rsidR="007A7E98">
        <w:t>consultations</w:t>
      </w:r>
      <w:r>
        <w:t>.</w:t>
      </w:r>
      <w:r w:rsidR="001334B1">
        <w:t xml:space="preserve"> I</w:t>
      </w:r>
      <w:r w:rsidR="008A3660">
        <w:t>t</w:t>
      </w:r>
      <w:r w:rsidR="001334B1">
        <w:t xml:space="preserve"> emphasised that participants </w:t>
      </w:r>
      <w:r w:rsidR="008A3660">
        <w:t xml:space="preserve">should </w:t>
      </w:r>
      <w:r w:rsidR="001334B1">
        <w:t>consider</w:t>
      </w:r>
      <w:r w:rsidR="009376F6">
        <w:t>:</w:t>
      </w:r>
    </w:p>
    <w:p w14:paraId="3A8D6FF5" w14:textId="0FE3637D" w:rsidR="009376F6" w:rsidRDefault="009376F6" w:rsidP="00D45FF5">
      <w:pPr>
        <w:pStyle w:val="ListNumber"/>
        <w:numPr>
          <w:ilvl w:val="0"/>
          <w:numId w:val="18"/>
        </w:numPr>
      </w:pPr>
      <w:r w:rsidRPr="009376F6">
        <w:t>input on the core principles that all governments, companies, civil society organizations, and other stakeholders should adhere to in respect of the topic areas</w:t>
      </w:r>
      <w:r w:rsidR="00783593">
        <w:t>.</w:t>
      </w:r>
    </w:p>
    <w:p w14:paraId="0E42391F" w14:textId="49C9CBB2" w:rsidR="009376F6" w:rsidRDefault="009376F6" w:rsidP="00D45FF5">
      <w:pPr>
        <w:pStyle w:val="ListNumber"/>
        <w:numPr>
          <w:ilvl w:val="0"/>
          <w:numId w:val="18"/>
        </w:numPr>
      </w:pPr>
      <w:r w:rsidRPr="009376F6">
        <w:t xml:space="preserve">key commitments to bring about these specific principles. These </w:t>
      </w:r>
      <w:r w:rsidR="007A7E98">
        <w:t>could</w:t>
      </w:r>
      <w:r w:rsidRPr="009376F6">
        <w:t xml:space="preserve"> take the form of what should be done and/or based on what has already </w:t>
      </w:r>
      <w:r w:rsidR="007A7E98">
        <w:t>been done</w:t>
      </w:r>
      <w:r w:rsidRPr="009376F6">
        <w:t>.</w:t>
      </w:r>
    </w:p>
    <w:p w14:paraId="05322114" w14:textId="47B432F4" w:rsidR="009376F6" w:rsidRDefault="0018341B" w:rsidP="000F2D39">
      <w:pPr>
        <w:pStyle w:val="ListNumber"/>
      </w:pPr>
      <w:r>
        <w:t xml:space="preserve">The Commission also </w:t>
      </w:r>
      <w:r w:rsidR="008A3660">
        <w:t xml:space="preserve">encouraged </w:t>
      </w:r>
      <w:r>
        <w:t xml:space="preserve">invitees to provide written input via email where they were unable to attend the online consultations, or if they wished to further expand upon what was discussed. </w:t>
      </w:r>
    </w:p>
    <w:p w14:paraId="5A123117" w14:textId="18C3231F" w:rsidR="0056509B" w:rsidRDefault="00747245" w:rsidP="000F2D39">
      <w:pPr>
        <w:pStyle w:val="ListNumber"/>
      </w:pPr>
      <w:r>
        <w:t xml:space="preserve">Each consultation was </w:t>
      </w:r>
      <w:r w:rsidR="00065D11">
        <w:t>held via Microsoft Teams</w:t>
      </w:r>
      <w:r w:rsidR="004B1009">
        <w:t xml:space="preserve"> and </w:t>
      </w:r>
      <w:r w:rsidR="00983990">
        <w:t xml:space="preserve">conducted under </w:t>
      </w:r>
      <w:r w:rsidR="005F5E64">
        <w:t xml:space="preserve">the </w:t>
      </w:r>
      <w:r w:rsidR="001334B1">
        <w:t>‘</w:t>
      </w:r>
      <w:r w:rsidR="00983990">
        <w:t>Chatham House Rule</w:t>
      </w:r>
      <w:r w:rsidR="001334B1">
        <w:t>’</w:t>
      </w:r>
      <w:r w:rsidR="00983990">
        <w:t xml:space="preserve">. </w:t>
      </w:r>
      <w:r w:rsidR="00065D11">
        <w:t>Australian Human Rights Commissioner, Lorraine Finlay</w:t>
      </w:r>
      <w:r w:rsidR="002F15CA">
        <w:t xml:space="preserve">, provided the introduction to participants while the consultation was facilitated </w:t>
      </w:r>
      <w:r w:rsidR="0056509B">
        <w:t xml:space="preserve">by Human Rights Advisor (Business and Technology), Patrick Hooton. </w:t>
      </w:r>
    </w:p>
    <w:p w14:paraId="50C2491E" w14:textId="737C0D2D" w:rsidR="00897AEE" w:rsidRDefault="00CC0CA9" w:rsidP="00846360">
      <w:pPr>
        <w:pStyle w:val="ListNumber"/>
      </w:pPr>
      <w:r>
        <w:t>The first consultation was held on Monday</w:t>
      </w:r>
      <w:r w:rsidR="005F5E64">
        <w:t>,</w:t>
      </w:r>
      <w:r>
        <w:t xml:space="preserve"> 3 April</w:t>
      </w:r>
      <w:r w:rsidR="005F5E64">
        <w:t>,</w:t>
      </w:r>
      <w:r>
        <w:t xml:space="preserve"> and covered the protection of data and the </w:t>
      </w:r>
      <w:r w:rsidR="00A14B8C">
        <w:t>promotion of</w:t>
      </w:r>
      <w:r w:rsidRPr="00CC0CA9">
        <w:t xml:space="preserve"> the regulation of artificial intelligence</w:t>
      </w:r>
      <w:r w:rsidR="00A14B8C">
        <w:t xml:space="preserve"> (AI)</w:t>
      </w:r>
      <w:r w:rsidRPr="00CC0CA9">
        <w:t>.</w:t>
      </w:r>
      <w:r w:rsidR="004B1009">
        <w:t xml:space="preserve"> The first half of the consultation was dedicated to seeking the views of participants</w:t>
      </w:r>
      <w:r w:rsidR="00897AEE">
        <w:t xml:space="preserve"> on the protection of data. The second half was utilised to discuss the regulation of AI.</w:t>
      </w:r>
    </w:p>
    <w:p w14:paraId="55A84E4B" w14:textId="377DA4C0" w:rsidR="00897AEE" w:rsidRDefault="00897AEE" w:rsidP="00897AEE">
      <w:pPr>
        <w:pStyle w:val="ListNumber"/>
      </w:pPr>
      <w:r>
        <w:t>The second consultation was held on Thursday</w:t>
      </w:r>
      <w:r w:rsidR="00FE7D23">
        <w:t>,</w:t>
      </w:r>
      <w:r>
        <w:t xml:space="preserve"> 6 April</w:t>
      </w:r>
      <w:r w:rsidR="00FE7D23">
        <w:t>,</w:t>
      </w:r>
      <w:r>
        <w:t xml:space="preserve"> and covered </w:t>
      </w:r>
      <w:r w:rsidR="00047A86">
        <w:t>applying human rights online</w:t>
      </w:r>
      <w:r>
        <w:t xml:space="preserve"> and </w:t>
      </w:r>
      <w:r w:rsidR="00047A86" w:rsidRPr="00047A86">
        <w:t>introducing accountability criteria for discrimination and misleading content.</w:t>
      </w:r>
      <w:r>
        <w:t xml:space="preserve"> The first half of the consultation was dedicated to seeking the views of participants on </w:t>
      </w:r>
      <w:r w:rsidR="00047A86" w:rsidRPr="00047A86">
        <w:t>applying human rights online</w:t>
      </w:r>
      <w:r>
        <w:t>. The second half discuss</w:t>
      </w:r>
      <w:r w:rsidR="001334B1">
        <w:t>ed</w:t>
      </w:r>
      <w:r>
        <w:t xml:space="preserve"> the </w:t>
      </w:r>
      <w:r w:rsidR="00047A86">
        <w:t>introduction of</w:t>
      </w:r>
      <w:r w:rsidR="00047A86" w:rsidRPr="00047A86">
        <w:t xml:space="preserve"> accountability criteria for discrimination and misleading content</w:t>
      </w:r>
      <w:r>
        <w:t>.</w:t>
      </w:r>
    </w:p>
    <w:p w14:paraId="221A9C47" w14:textId="55AA4422" w:rsidR="00EC11D5" w:rsidRDefault="00EC11D5" w:rsidP="00897AEE">
      <w:pPr>
        <w:pStyle w:val="ListNumber"/>
      </w:pPr>
      <w:r>
        <w:t>Across the two sessions</w:t>
      </w:r>
      <w:r w:rsidR="00FE7D23">
        <w:t>,</w:t>
      </w:r>
      <w:r>
        <w:t xml:space="preserve"> </w:t>
      </w:r>
      <w:r w:rsidR="0071782F">
        <w:t>36</w:t>
      </w:r>
      <w:r w:rsidR="00F64789">
        <w:t xml:space="preserve"> participants </w:t>
      </w:r>
      <w:r w:rsidR="00EF4A51">
        <w:t xml:space="preserve">engaged in the Commission’s </w:t>
      </w:r>
      <w:r w:rsidR="000265D4">
        <w:t xml:space="preserve">consultations on the Compact. </w:t>
      </w:r>
      <w:r w:rsidR="00A53E3F">
        <w:t xml:space="preserve">A further </w:t>
      </w:r>
      <w:r w:rsidR="00047BDC">
        <w:t>7 stakeholders provided written submissions.</w:t>
      </w:r>
    </w:p>
    <w:p w14:paraId="24893F62" w14:textId="7AB13037" w:rsidR="009F2764" w:rsidRDefault="001731BB" w:rsidP="00846360">
      <w:pPr>
        <w:pStyle w:val="Heading1"/>
      </w:pPr>
      <w:bookmarkStart w:id="22" w:name="_Toc133221671"/>
      <w:r>
        <w:lastRenderedPageBreak/>
        <w:t>Protection of data</w:t>
      </w:r>
      <w:bookmarkEnd w:id="22"/>
    </w:p>
    <w:p w14:paraId="7514F329" w14:textId="1F41C32E" w:rsidR="007B5814" w:rsidRDefault="00ED4284" w:rsidP="00846360">
      <w:pPr>
        <w:pStyle w:val="ListNumber"/>
      </w:pPr>
      <w:r>
        <w:t xml:space="preserve">One of the key </w:t>
      </w:r>
      <w:r w:rsidR="002A4F13">
        <w:t xml:space="preserve">issues which must be addressed in protecting data is </w:t>
      </w:r>
      <w:r w:rsidR="00546FF6">
        <w:t>the consideration of</w:t>
      </w:r>
      <w:r>
        <w:t xml:space="preserve"> how </w:t>
      </w:r>
      <w:r w:rsidR="000F136A">
        <w:t xml:space="preserve">government and organisations </w:t>
      </w:r>
      <w:r w:rsidR="00546FF6">
        <w:t>can</w:t>
      </w:r>
      <w:r w:rsidR="000F136A">
        <w:t xml:space="preserve"> best protect individual users’ data.</w:t>
      </w:r>
    </w:p>
    <w:p w14:paraId="12230495" w14:textId="02F8C67C" w:rsidR="00D179C4" w:rsidRDefault="00D179C4" w:rsidP="00D179C4">
      <w:pPr>
        <w:pStyle w:val="Heading2"/>
      </w:pPr>
      <w:bookmarkStart w:id="23" w:name="_Toc133221672"/>
      <w:r>
        <w:t xml:space="preserve">Informed consent </w:t>
      </w:r>
      <w:r w:rsidR="002E07BD">
        <w:t>model</w:t>
      </w:r>
      <w:bookmarkEnd w:id="23"/>
    </w:p>
    <w:p w14:paraId="488935CB" w14:textId="170556D5" w:rsidR="00965B2B" w:rsidRDefault="00546FF6" w:rsidP="00534530">
      <w:pPr>
        <w:pStyle w:val="ListNumber"/>
      </w:pPr>
      <w:r>
        <w:t xml:space="preserve">Although </w:t>
      </w:r>
      <w:r w:rsidR="004E1B28">
        <w:t xml:space="preserve">there is always a need to improve digital literacy skills </w:t>
      </w:r>
      <w:r w:rsidR="00D179C4">
        <w:t>to empower people to make informed decisions about how their data is used</w:t>
      </w:r>
      <w:r w:rsidR="004E1B28">
        <w:t xml:space="preserve">, this </w:t>
      </w:r>
      <w:r w:rsidR="00965B2B">
        <w:t>in isolation is insufficient in protecting data</w:t>
      </w:r>
      <w:r w:rsidR="00CC63E8">
        <w:t>.</w:t>
      </w:r>
      <w:r w:rsidR="00DD7E87">
        <w:t xml:space="preserve"> </w:t>
      </w:r>
      <w:r w:rsidR="00965B2B">
        <w:t>R</w:t>
      </w:r>
      <w:r w:rsidR="00F21062">
        <w:t>elying too heavily on digital literacy training place</w:t>
      </w:r>
      <w:r w:rsidR="00965B2B">
        <w:t>s</w:t>
      </w:r>
      <w:r w:rsidR="00F21062">
        <w:t xml:space="preserve"> too great</w:t>
      </w:r>
      <w:r w:rsidR="005353D6">
        <w:t xml:space="preserve"> an</w:t>
      </w:r>
      <w:r w:rsidR="00F21062">
        <w:t xml:space="preserve"> onus on users to protect their data. </w:t>
      </w:r>
      <w:r w:rsidR="00965B2B">
        <w:t>Models of data protection which seek to place the onus on individual</w:t>
      </w:r>
      <w:r w:rsidR="00DB3B19">
        <w:t xml:space="preserve">s, and not the organisations that seek to utilise that data, </w:t>
      </w:r>
      <w:r w:rsidR="002C2FA3">
        <w:t>are</w:t>
      </w:r>
      <w:r w:rsidR="00DB3B19">
        <w:t xml:space="preserve"> problematic. </w:t>
      </w:r>
    </w:p>
    <w:p w14:paraId="0A536164" w14:textId="254FFE4E" w:rsidR="00B64EA7" w:rsidRDefault="28BC54C0" w:rsidP="000F2D39">
      <w:pPr>
        <w:pStyle w:val="ListNumber"/>
      </w:pPr>
      <w:r>
        <w:t xml:space="preserve">Australia has adopted a </w:t>
      </w:r>
      <w:r w:rsidR="00A815E5">
        <w:t xml:space="preserve">regulatory </w:t>
      </w:r>
      <w:r>
        <w:t xml:space="preserve">model which </w:t>
      </w:r>
      <w:r w:rsidR="00A815E5">
        <w:t xml:space="preserve">primarily </w:t>
      </w:r>
      <w:r>
        <w:t xml:space="preserve">places the onus on individuals to protect their data. For example, users are often </w:t>
      </w:r>
      <w:r w:rsidR="111DDEF9">
        <w:t xml:space="preserve">asked to accept </w:t>
      </w:r>
      <w:r>
        <w:t>the terms and conditions of long and complicated collection notices and privacy policies, in exchange for a product or service.</w:t>
      </w:r>
      <w:r w:rsidR="00F21062">
        <w:rPr>
          <w:rStyle w:val="EndnoteReference"/>
        </w:rPr>
        <w:endnoteReference w:id="2"/>
      </w:r>
      <w:r>
        <w:t xml:space="preserve"> </w:t>
      </w:r>
      <w:r w:rsidR="3078D27E">
        <w:t xml:space="preserve">Collection notices are often </w:t>
      </w:r>
      <w:r>
        <w:t>difficult</w:t>
      </w:r>
      <w:r w:rsidR="0D52188F">
        <w:t xml:space="preserve"> to understand, making it challenging for users to appreciate what information is being collected and how it may be used. </w:t>
      </w:r>
      <w:r w:rsidR="3078D27E">
        <w:t xml:space="preserve">This is supported by the </w:t>
      </w:r>
      <w:r w:rsidR="3078D27E" w:rsidRPr="00CC313B">
        <w:t>A</w:t>
      </w:r>
      <w:r w:rsidR="0B403CFD">
        <w:t xml:space="preserve">ustralian </w:t>
      </w:r>
      <w:r w:rsidR="3078D27E" w:rsidRPr="00CC313B">
        <w:t>C</w:t>
      </w:r>
      <w:r w:rsidR="0B403CFD">
        <w:t xml:space="preserve">ompetition and </w:t>
      </w:r>
      <w:r w:rsidR="3078D27E" w:rsidRPr="00CC313B">
        <w:t>C</w:t>
      </w:r>
      <w:r w:rsidR="0B403CFD">
        <w:t xml:space="preserve">onsumer </w:t>
      </w:r>
      <w:r w:rsidR="0B403CFD" w:rsidRPr="00CC313B">
        <w:t>C</w:t>
      </w:r>
      <w:r w:rsidR="0B403CFD">
        <w:t>ommission’s</w:t>
      </w:r>
      <w:r w:rsidR="26D35183">
        <w:t xml:space="preserve"> (ACCC)</w:t>
      </w:r>
      <w:r w:rsidR="3078D27E">
        <w:t xml:space="preserve"> </w:t>
      </w:r>
      <w:r w:rsidR="3078D27E" w:rsidRPr="002A2D57">
        <w:t>Digital Platforms Inquiry – Final Report</w:t>
      </w:r>
      <w:r w:rsidR="3078D27E">
        <w:t>, which highlighted how lengthy and complex documents were exacerbating issues surrounding transparency.</w:t>
      </w:r>
      <w:r w:rsidR="00B64EA7">
        <w:rPr>
          <w:rStyle w:val="EndnoteReference"/>
        </w:rPr>
        <w:endnoteReference w:id="3"/>
      </w:r>
      <w:r w:rsidR="3078D27E">
        <w:t xml:space="preserve"> </w:t>
      </w:r>
    </w:p>
    <w:p w14:paraId="102EF720" w14:textId="13724B71" w:rsidR="00F96CB1" w:rsidRDefault="00F96CB1" w:rsidP="00F96CB1">
      <w:pPr>
        <w:pStyle w:val="ListNumber"/>
      </w:pPr>
      <w:r>
        <w:t>Research has also shown the emergence of ‘dark patterns’ which confirms that the use of manipulative and deceptive designs can cause significant harm.</w:t>
      </w:r>
      <w:r>
        <w:rPr>
          <w:rStyle w:val="EndnoteReference"/>
        </w:rPr>
        <w:endnoteReference w:id="4"/>
      </w:r>
      <w:r>
        <w:t xml:space="preserve"> This can lead to individuals losing control of their data or being manipulated into making choices which are not in their interests.</w:t>
      </w:r>
      <w:r>
        <w:rPr>
          <w:rStyle w:val="EndnoteReference"/>
        </w:rPr>
        <w:endnoteReference w:id="5"/>
      </w:r>
    </w:p>
    <w:p w14:paraId="1332809D" w14:textId="1B00DAF8" w:rsidR="00F55B21" w:rsidRDefault="595353B5" w:rsidP="000F2D39">
      <w:pPr>
        <w:pStyle w:val="ListNumber"/>
      </w:pPr>
      <w:r>
        <w:t xml:space="preserve">However, even where an individual understands how their data may be used, they are </w:t>
      </w:r>
      <w:r w:rsidR="00F93CC4">
        <w:t xml:space="preserve">often </w:t>
      </w:r>
      <w:r w:rsidR="3143B68E">
        <w:t>ill-equipped</w:t>
      </w:r>
      <w:r w:rsidR="00A45CCF">
        <w:t>, in practice,</w:t>
      </w:r>
      <w:r w:rsidR="3143B68E">
        <w:t xml:space="preserve"> to do anything about it due to the immense power imbalance between ‘lonely individuals’ and monolithic organisations.</w:t>
      </w:r>
      <w:r w:rsidR="52F02DEB">
        <w:t xml:space="preserve"> </w:t>
      </w:r>
      <w:r w:rsidR="002E5997">
        <w:t>There is a very limited ability for individuals</w:t>
      </w:r>
      <w:r w:rsidR="3FD6F18C">
        <w:t xml:space="preserve"> to negotiate </w:t>
      </w:r>
      <w:r w:rsidR="11E86DAD">
        <w:t xml:space="preserve">how their data is used, </w:t>
      </w:r>
      <w:r w:rsidR="52F02DEB">
        <w:t>as</w:t>
      </w:r>
      <w:r w:rsidR="11E86DAD">
        <w:t xml:space="preserve"> such</w:t>
      </w:r>
      <w:r w:rsidR="52F02DEB">
        <w:t xml:space="preserve"> terms are provided on a ‘take-it-or-leave-it’ basis. </w:t>
      </w:r>
    </w:p>
    <w:p w14:paraId="36F6BEBF" w14:textId="752FA3F9" w:rsidR="00CC63E8" w:rsidRDefault="001B06F9" w:rsidP="000F2D39">
      <w:pPr>
        <w:pStyle w:val="ListNumber"/>
      </w:pPr>
      <w:r>
        <w:t xml:space="preserve">This ‘take-it-or-leave-it’ approach by organisations </w:t>
      </w:r>
      <w:r w:rsidR="00DF1D7C">
        <w:t>can lead to excessive data collection inconsistent with the wishes of the individua</w:t>
      </w:r>
      <w:r>
        <w:t>l.</w:t>
      </w:r>
      <w:r w:rsidRPr="00CC57ED">
        <w:rPr>
          <w:rStyle w:val="EndnoteReference"/>
        </w:rPr>
        <w:endnoteReference w:id="6"/>
      </w:r>
      <w:r w:rsidR="00F55B21">
        <w:t xml:space="preserve"> It also requires individuals to either accept the terms or </w:t>
      </w:r>
      <w:r w:rsidR="003212D6">
        <w:t>not</w:t>
      </w:r>
      <w:r w:rsidR="00F55B21">
        <w:t xml:space="preserve"> engage with the provided service</w:t>
      </w:r>
      <w:r w:rsidR="00942D1F">
        <w:t xml:space="preserve">. In the modern era, where online engagement has become integral to everyday living for many, </w:t>
      </w:r>
      <w:r w:rsidR="005F0A36">
        <w:t>this is no real ‘choice’ and doesn’t offer meaningful protection of data.</w:t>
      </w:r>
      <w:r w:rsidR="005F0A36">
        <w:rPr>
          <w:rStyle w:val="EndnoteReference"/>
        </w:rPr>
        <w:endnoteReference w:id="7"/>
      </w:r>
      <w:r w:rsidR="00F55B21">
        <w:t xml:space="preserve"> </w:t>
      </w:r>
    </w:p>
    <w:p w14:paraId="6C85EC55" w14:textId="4620BDA8" w:rsidR="0039695C" w:rsidRDefault="0039695C" w:rsidP="000F2D39">
      <w:pPr>
        <w:pStyle w:val="ListNumber"/>
      </w:pPr>
      <w:r>
        <w:lastRenderedPageBreak/>
        <w:t>Despite being aware</w:t>
      </w:r>
      <w:r w:rsidR="009B5404">
        <w:t>, and disapproving,</w:t>
      </w:r>
      <w:r>
        <w:t xml:space="preserve"> of the risks</w:t>
      </w:r>
      <w:r w:rsidR="009B5404">
        <w:t xml:space="preserve"> </w:t>
      </w:r>
      <w:r>
        <w:t>to privacy, individuals are often unwilling or unable to stop using appliances or services which threaten their privacy.</w:t>
      </w:r>
      <w:r>
        <w:rPr>
          <w:rStyle w:val="EndnoteReference"/>
        </w:rPr>
        <w:endnoteReference w:id="8"/>
      </w:r>
      <w:r w:rsidR="009B5404">
        <w:t xml:space="preserve"> </w:t>
      </w:r>
      <w:r>
        <w:t>This reluctance or inability to avoid products or services which threaten privacy</w:t>
      </w:r>
      <w:r w:rsidR="003212D6">
        <w:t>,</w:t>
      </w:r>
      <w:r>
        <w:t xml:space="preserve"> may partly</w:t>
      </w:r>
      <w:r w:rsidR="003212D6">
        <w:t xml:space="preserve"> be</w:t>
      </w:r>
      <w:r>
        <w:t xml:space="preserve"> in response to a lack of effective competition or alternative. The ACCC has previously found that a lack of competition and unavailability of reasonable alternatives (which may better protect privacy) can lead </w:t>
      </w:r>
      <w:r w:rsidR="009B5404">
        <w:t>users</w:t>
      </w:r>
      <w:r>
        <w:t xml:space="preserve"> to accept undesirable terms </w:t>
      </w:r>
      <w:r w:rsidR="009B5404">
        <w:t>and conditions</w:t>
      </w:r>
      <w:r>
        <w:t>.</w:t>
      </w:r>
      <w:r w:rsidRPr="00C275AA">
        <w:rPr>
          <w:rStyle w:val="EndnoteReference"/>
        </w:rPr>
        <w:endnoteReference w:id="9"/>
      </w:r>
      <w:r>
        <w:t xml:space="preserve"> </w:t>
      </w:r>
    </w:p>
    <w:p w14:paraId="211E9A4D" w14:textId="77777777" w:rsidR="0039695C" w:rsidRDefault="0039695C" w:rsidP="0039695C">
      <w:pPr>
        <w:pStyle w:val="ListNumber"/>
      </w:pPr>
      <w:r>
        <w:t>Even where an individual understands how their data will be used, this power imbalance remains, as ‘one party controls the design of applications and the other must operate within that design’.</w:t>
      </w:r>
      <w:r>
        <w:rPr>
          <w:rStyle w:val="EndnoteReference"/>
        </w:rPr>
        <w:endnoteReference w:id="10"/>
      </w:r>
      <w:r>
        <w:t xml:space="preserve"> </w:t>
      </w:r>
    </w:p>
    <w:p w14:paraId="4F98FE44" w14:textId="052BD6C1" w:rsidR="00AB376C" w:rsidRDefault="00CD2881" w:rsidP="00CD2881">
      <w:pPr>
        <w:pStyle w:val="ListNumber"/>
      </w:pPr>
      <w:r>
        <w:t>The Commission would also highlight the impact of the ‘privacy paradox’</w:t>
      </w:r>
      <w:r w:rsidR="00690949">
        <w:t>:</w:t>
      </w:r>
      <w:r>
        <w:t xml:space="preserve"> the phenomenon that, despite understanding the privacy risks of a product or service, there is no obvious influence upon an individual’s behaviour.</w:t>
      </w:r>
      <w:r>
        <w:rPr>
          <w:rStyle w:val="EndnoteReference"/>
        </w:rPr>
        <w:endnoteReference w:id="11"/>
      </w:r>
      <w:r>
        <w:t xml:space="preserve"> Namely, individuals will still engage with privacy-adverse products and services even where they are highly aware of the risks. </w:t>
      </w:r>
    </w:p>
    <w:p w14:paraId="04B2520E" w14:textId="797F353E" w:rsidR="00F52AF2" w:rsidRDefault="00CD2881" w:rsidP="000F2D39">
      <w:pPr>
        <w:pStyle w:val="ListNumber"/>
      </w:pPr>
      <w:r>
        <w:t xml:space="preserve">This does not mean that individuals do not care about their privacy. </w:t>
      </w:r>
      <w:r w:rsidR="00AB376C">
        <w:t xml:space="preserve">In </w:t>
      </w:r>
      <w:r w:rsidR="00F52AF2">
        <w:t>fact,</w:t>
      </w:r>
      <w:r w:rsidR="00AB376C">
        <w:t xml:space="preserve"> data protection is crucial in maintaining trust in digital ecosystems. The Office of the Australian Information Commissioner (OAIC) </w:t>
      </w:r>
      <w:hyperlink r:id="rId23" w:history="1">
        <w:r w:rsidR="00AB376C">
          <w:rPr>
            <w:rStyle w:val="Hyperlink"/>
          </w:rPr>
          <w:t>Australian Community Attitudes to Privacy Survey 2020</w:t>
        </w:r>
      </w:hyperlink>
      <w:r w:rsidR="00AB376C">
        <w:t xml:space="preserve"> report demonstrates that </w:t>
      </w:r>
      <w:r w:rsidR="0091472B">
        <w:t>a majority of Australians (around 70%) believe that privacy is a major concern in rapidly evolving digital environments.</w:t>
      </w:r>
      <w:r w:rsidR="0091472B">
        <w:rPr>
          <w:rStyle w:val="EndnoteReference"/>
        </w:rPr>
        <w:endnoteReference w:id="12"/>
      </w:r>
      <w:r w:rsidR="0091472B">
        <w:t xml:space="preserve"> </w:t>
      </w:r>
    </w:p>
    <w:p w14:paraId="6223C9B0" w14:textId="74DCE35C" w:rsidR="00CF7E84" w:rsidRDefault="002331B8" w:rsidP="000F2D39">
      <w:pPr>
        <w:pStyle w:val="ListNumber"/>
      </w:pPr>
      <w:r>
        <w:t>Moreover</w:t>
      </w:r>
      <w:r w:rsidR="00B316F2">
        <w:t>,</w:t>
      </w:r>
      <w:r w:rsidR="5AEB80F2">
        <w:t xml:space="preserve"> </w:t>
      </w:r>
      <w:r w:rsidR="7C69FC67">
        <w:t>79% of Australians agree that companies should not be able to sell a users’ data under any circumstances. A further 70% are uncomfortable with companies using data to monitor their online behaviours.</w:t>
      </w:r>
      <w:r w:rsidR="00CF7E84">
        <w:rPr>
          <w:rStyle w:val="EndnoteReference"/>
        </w:rPr>
        <w:endnoteReference w:id="13"/>
      </w:r>
    </w:p>
    <w:p w14:paraId="72B83D8F" w14:textId="26AF3458" w:rsidR="0039695C" w:rsidRDefault="00615DD1" w:rsidP="00846360">
      <w:pPr>
        <w:pStyle w:val="ListNumber"/>
      </w:pPr>
      <w:r>
        <w:t xml:space="preserve">The above highlights fundamental issues in a model which places the onus on individuals to </w:t>
      </w:r>
      <w:r w:rsidR="00A5248B">
        <w:t xml:space="preserve">protect their own data. The Commission is aware of emerging models which move away from such </w:t>
      </w:r>
      <w:r w:rsidR="00F52AF2">
        <w:t>individual-</w:t>
      </w:r>
      <w:r w:rsidR="00A5248B">
        <w:t>onus</w:t>
      </w:r>
      <w:r w:rsidR="00F52AF2">
        <w:t>-heavy</w:t>
      </w:r>
      <w:r w:rsidR="00A5248B">
        <w:t xml:space="preserve"> </w:t>
      </w:r>
      <w:r w:rsidR="00780480">
        <w:t>approach</w:t>
      </w:r>
      <w:r w:rsidR="00A5248B">
        <w:t xml:space="preserve">. </w:t>
      </w:r>
    </w:p>
    <w:p w14:paraId="39A60AC1" w14:textId="18793030" w:rsidR="00A5248B" w:rsidRDefault="00A5248B" w:rsidP="00846360">
      <w:pPr>
        <w:pStyle w:val="ListNumber"/>
      </w:pPr>
      <w:r>
        <w:t xml:space="preserve">For </w:t>
      </w:r>
      <w:r w:rsidR="00DF1D7C">
        <w:t>example,</w:t>
      </w:r>
      <w:r>
        <w:t xml:space="preserve"> the </w:t>
      </w:r>
      <w:r w:rsidR="00FE4467" w:rsidRPr="00FE4467">
        <w:t>Consumer Policy Research Centre</w:t>
      </w:r>
      <w:r w:rsidR="00FE4467">
        <w:t xml:space="preserve"> in its</w:t>
      </w:r>
      <w:r w:rsidR="00FE4467" w:rsidRPr="00FE4467">
        <w:t xml:space="preserve"> </w:t>
      </w:r>
      <w:hyperlink r:id="rId24" w:history="1">
        <w:r w:rsidR="00FE4467" w:rsidRPr="001B062B">
          <w:rPr>
            <w:rStyle w:val="Hyperlink"/>
          </w:rPr>
          <w:t>In whose interest? Why businesses need to keep consumers safe and treat their data with care</w:t>
        </w:r>
      </w:hyperlink>
      <w:r w:rsidR="00FE4467" w:rsidRPr="00FE4467">
        <w:t xml:space="preserve"> </w:t>
      </w:r>
      <w:r w:rsidR="00791209">
        <w:t>(Working Paper)</w:t>
      </w:r>
      <w:r w:rsidR="00FE4467">
        <w:t xml:space="preserve"> </w:t>
      </w:r>
      <w:r w:rsidR="0076442E">
        <w:t xml:space="preserve">put forward two alternative approaches to protecting data in Australia – which may have </w:t>
      </w:r>
      <w:r w:rsidR="001B062B">
        <w:t xml:space="preserve">global </w:t>
      </w:r>
      <w:r w:rsidR="0076442E">
        <w:t xml:space="preserve">application. </w:t>
      </w:r>
    </w:p>
    <w:p w14:paraId="3BDA4B93" w14:textId="5AC493A4" w:rsidR="0076442E" w:rsidRDefault="00791209" w:rsidP="00846360">
      <w:pPr>
        <w:pStyle w:val="ListNumber"/>
      </w:pPr>
      <w:r>
        <w:t>The Working Paper canvasses the creation of a duty of care or best-interest duty, which would operate similarly to fiduciary duties in the finance sector to hold businesses accountable for how they collect, share and use consumer data.</w:t>
      </w:r>
      <w:r w:rsidR="00075A0D">
        <w:rPr>
          <w:rStyle w:val="EndnoteReference"/>
        </w:rPr>
        <w:endnoteReference w:id="14"/>
      </w:r>
    </w:p>
    <w:p w14:paraId="10555677" w14:textId="3BFB9DE9" w:rsidR="00636BA9" w:rsidRDefault="00DF1D7C" w:rsidP="00075A0D">
      <w:pPr>
        <w:pStyle w:val="ListNumber"/>
      </w:pPr>
      <w:r>
        <w:t>The Working Paper</w:t>
      </w:r>
      <w:r w:rsidR="00075A0D">
        <w:t xml:space="preserve"> also advocates for a</w:t>
      </w:r>
      <w:r w:rsidR="00636BA9">
        <w:t>:</w:t>
      </w:r>
    </w:p>
    <w:p w14:paraId="0A80A782" w14:textId="655660A9" w:rsidR="00075A0D" w:rsidRDefault="00075A0D" w:rsidP="00574772">
      <w:pPr>
        <w:pStyle w:val="ListNumber"/>
        <w:numPr>
          <w:ilvl w:val="0"/>
          <w:numId w:val="0"/>
        </w:numPr>
        <w:ind w:left="1134"/>
      </w:pPr>
      <w:r>
        <w:lastRenderedPageBreak/>
        <w:t>Privacy Safety Regime which utilises concepts from product intervention powers and product safety interventions, proposing options that would allow governments and regulators to stop or limit obviously harmful uses of data as well as a process for regulators to proactively restrict and test new harmful practices as they evolve.</w:t>
      </w:r>
      <w:r w:rsidR="00B316F2">
        <w:rPr>
          <w:rStyle w:val="EndnoteReference"/>
        </w:rPr>
        <w:endnoteReference w:id="15"/>
      </w:r>
    </w:p>
    <w:p w14:paraId="1AD9D113" w14:textId="77777777" w:rsidR="00DF1D7C" w:rsidRDefault="00935BF4" w:rsidP="000F2D39">
      <w:pPr>
        <w:pStyle w:val="ListNumber"/>
      </w:pPr>
      <w:r>
        <w:t xml:space="preserve">While the Working Paper is specific to Australia, the Commission would call upon the </w:t>
      </w:r>
      <w:r w:rsidR="00DF1D7C">
        <w:t>Envoy</w:t>
      </w:r>
      <w:r>
        <w:t xml:space="preserve"> to consider how similar models may be applicable</w:t>
      </w:r>
      <w:r w:rsidR="00DF1D7C">
        <w:t>,</w:t>
      </w:r>
      <w:r>
        <w:t xml:space="preserve"> </w:t>
      </w:r>
      <w:r w:rsidR="00992942">
        <w:t>or could be adapted</w:t>
      </w:r>
      <w:r w:rsidR="00DF1D7C">
        <w:t>,</w:t>
      </w:r>
      <w:r w:rsidR="00992942">
        <w:t xml:space="preserve"> to inform </w:t>
      </w:r>
      <w:r w:rsidR="00DF1D7C">
        <w:t xml:space="preserve">the </w:t>
      </w:r>
      <w:r w:rsidR="00992942">
        <w:t>better protection of data</w:t>
      </w:r>
      <w:r w:rsidR="00DF1D7C">
        <w:t xml:space="preserve"> globally</w:t>
      </w:r>
      <w:r w:rsidR="00992942">
        <w:t>.</w:t>
      </w:r>
    </w:p>
    <w:p w14:paraId="3498ED21" w14:textId="77777777" w:rsidR="000910FA" w:rsidRDefault="000910FA" w:rsidP="000910FA">
      <w:pPr>
        <w:pStyle w:val="ListNumber"/>
        <w:numPr>
          <w:ilvl w:val="0"/>
          <w:numId w:val="0"/>
        </w:numPr>
        <w:ind w:left="360"/>
      </w:pPr>
    </w:p>
    <w:p w14:paraId="7408D8F8" w14:textId="30695B73" w:rsidR="000910FA" w:rsidRPr="000C7650" w:rsidRDefault="000910FA" w:rsidP="000910FA">
      <w:pPr>
        <w:pStyle w:val="ListNumber"/>
        <w:numPr>
          <w:ilvl w:val="0"/>
          <w:numId w:val="0"/>
        </w:numPr>
        <w:ind w:left="360"/>
        <w:rPr>
          <w:b/>
          <w:bCs/>
        </w:rPr>
      </w:pPr>
      <w:r w:rsidRPr="000C7650">
        <w:rPr>
          <w:b/>
          <w:bCs/>
        </w:rPr>
        <w:t xml:space="preserve">Recommendation 1: </w:t>
      </w:r>
      <w:r w:rsidR="00BB5A8B" w:rsidRPr="00BB5A8B">
        <w:rPr>
          <w:b/>
          <w:bCs/>
        </w:rPr>
        <w:t>Countries must consider models for protecting data and personal information online which do not place the primary onus on individuals to actively protect their personal information.</w:t>
      </w:r>
    </w:p>
    <w:p w14:paraId="1B9A0905" w14:textId="77777777" w:rsidR="000910FA" w:rsidRDefault="000910FA" w:rsidP="000910FA">
      <w:pPr>
        <w:pStyle w:val="ListNumber"/>
        <w:numPr>
          <w:ilvl w:val="0"/>
          <w:numId w:val="0"/>
        </w:numPr>
        <w:ind w:left="360"/>
      </w:pPr>
    </w:p>
    <w:p w14:paraId="73F55750" w14:textId="42C0634B" w:rsidR="00954E18" w:rsidRDefault="00954E18" w:rsidP="00954E18">
      <w:pPr>
        <w:pStyle w:val="Heading2"/>
      </w:pPr>
      <w:bookmarkStart w:id="24" w:name="_Toc133221673"/>
      <w:r>
        <w:t>Review of existing legislative frameworks</w:t>
      </w:r>
      <w:bookmarkEnd w:id="24"/>
    </w:p>
    <w:p w14:paraId="456EC2EA" w14:textId="1B69ECF3" w:rsidR="00892051" w:rsidRDefault="00150ED5" w:rsidP="000F2D39">
      <w:pPr>
        <w:pStyle w:val="ListNumber"/>
      </w:pPr>
      <w:r>
        <w:t xml:space="preserve">In 2023, </w:t>
      </w:r>
      <w:r w:rsidR="00892051">
        <w:t>the Australian</w:t>
      </w:r>
      <w:r w:rsidR="003667A3">
        <w:t xml:space="preserve"> Government </w:t>
      </w:r>
      <w:r w:rsidR="00892051">
        <w:t>A</w:t>
      </w:r>
      <w:r w:rsidR="00892051" w:rsidRPr="00261138">
        <w:t>ttorney-General’s Department</w:t>
      </w:r>
      <w:r w:rsidR="00892051">
        <w:t xml:space="preserve"> released </w:t>
      </w:r>
      <w:r w:rsidR="00FA2F22">
        <w:t>the</w:t>
      </w:r>
      <w:r w:rsidR="00892051">
        <w:t xml:space="preserve"> </w:t>
      </w:r>
      <w:hyperlink r:id="rId25" w:history="1">
        <w:r w:rsidR="00892051" w:rsidRPr="00492B58">
          <w:rPr>
            <w:rStyle w:val="Hyperlink"/>
          </w:rPr>
          <w:t xml:space="preserve">final report of its review of the </w:t>
        </w:r>
        <w:r w:rsidR="00892051" w:rsidRPr="00492B58">
          <w:rPr>
            <w:rStyle w:val="Hyperlink"/>
            <w:i/>
            <w:iCs/>
          </w:rPr>
          <w:t>Privacy Act 1988</w:t>
        </w:r>
        <w:r w:rsidR="00892051" w:rsidRPr="00492B58">
          <w:rPr>
            <w:rStyle w:val="Hyperlink"/>
          </w:rPr>
          <w:t xml:space="preserve"> (</w:t>
        </w:r>
        <w:proofErr w:type="spellStart"/>
        <w:r w:rsidR="00892051" w:rsidRPr="00492B58">
          <w:rPr>
            <w:rStyle w:val="Hyperlink"/>
          </w:rPr>
          <w:t>Cth</w:t>
        </w:r>
        <w:proofErr w:type="spellEnd"/>
        <w:r w:rsidR="00892051" w:rsidRPr="00492B58">
          <w:rPr>
            <w:rStyle w:val="Hyperlink"/>
          </w:rPr>
          <w:t>)</w:t>
        </w:r>
      </w:hyperlink>
      <w:r w:rsidR="00892051">
        <w:t xml:space="preserve"> which considered whether Australia’s privacy legislation was fit for purpose</w:t>
      </w:r>
      <w:r w:rsidR="009045E1">
        <w:t xml:space="preserve">. </w:t>
      </w:r>
      <w:r w:rsidR="00741B91">
        <w:t xml:space="preserve">This review </w:t>
      </w:r>
      <w:r w:rsidR="0075248E">
        <w:t>recognised</w:t>
      </w:r>
      <w:r w:rsidR="008F4487">
        <w:t xml:space="preserve"> </w:t>
      </w:r>
      <w:r w:rsidR="0075248E">
        <w:t>that Australians</w:t>
      </w:r>
      <w:r w:rsidR="00892051">
        <w:t xml:space="preserve"> now live much of their lives online</w:t>
      </w:r>
      <w:r w:rsidR="00147DEA">
        <w:t>,</w:t>
      </w:r>
      <w:r w:rsidR="00892051">
        <w:t xml:space="preserve"> where their information is collected and used for a myriad of purposes in the digital economy.</w:t>
      </w:r>
    </w:p>
    <w:p w14:paraId="1F9BC42C" w14:textId="35D6B594" w:rsidR="00492B58" w:rsidRDefault="00492B58" w:rsidP="000F2D39">
      <w:pPr>
        <w:pStyle w:val="ListNumber"/>
      </w:pPr>
      <w:r>
        <w:t xml:space="preserve">The </w:t>
      </w:r>
      <w:r w:rsidRPr="00492B58">
        <w:rPr>
          <w:i/>
          <w:iCs/>
        </w:rPr>
        <w:t>Privacy Act 1988</w:t>
      </w:r>
      <w:r>
        <w:t xml:space="preserve"> (</w:t>
      </w:r>
      <w:proofErr w:type="spellStart"/>
      <w:r>
        <w:t>Cth</w:t>
      </w:r>
      <w:proofErr w:type="spellEnd"/>
      <w:r>
        <w:t>) (Privacy Act) is a key legislative protection of individuals’ personal information in Australia. The 13 Australian Privacy Principles (APPs) are structured to reflect privacy obligations across the information lifecycle, as entities collect, hold, use, disclose, and destroy or de-identify personal information. The APPs are legally binding principles, which provide entities with the flexibility to take a risk-based approach to compliance based on their particular circumstances, including size, resources and business model, while ensuring the protection of individuals’ privacy.</w:t>
      </w:r>
    </w:p>
    <w:p w14:paraId="62CBE1DD" w14:textId="55462320" w:rsidR="00C5329A" w:rsidRDefault="365BD2C5" w:rsidP="000F2D39">
      <w:pPr>
        <w:pStyle w:val="ListNumber"/>
      </w:pPr>
      <w:r>
        <w:t xml:space="preserve">In considering how </w:t>
      </w:r>
      <w:r w:rsidR="00EB6ACF">
        <w:t xml:space="preserve">best </w:t>
      </w:r>
      <w:r>
        <w:t>to protec</w:t>
      </w:r>
      <w:r w:rsidR="2D27DE92">
        <w:t xml:space="preserve">t data, proactive reviews of key privacy legislation </w:t>
      </w:r>
      <w:r w:rsidR="70DD0355">
        <w:t>is</w:t>
      </w:r>
      <w:r w:rsidR="2D27DE92">
        <w:t xml:space="preserve"> essential</w:t>
      </w:r>
      <w:r w:rsidR="17E88CA4">
        <w:t xml:space="preserve">. Countries must regularly review their key pieces of privacy legislation to ensure it is modern, fit for purpose and </w:t>
      </w:r>
      <w:r w:rsidR="169114C1">
        <w:t xml:space="preserve">drafted in a technology neutral manner. </w:t>
      </w:r>
    </w:p>
    <w:p w14:paraId="1685BC8D" w14:textId="77777777" w:rsidR="007630DF" w:rsidRDefault="007630DF" w:rsidP="007630DF">
      <w:pPr>
        <w:pStyle w:val="ListNumber"/>
        <w:numPr>
          <w:ilvl w:val="0"/>
          <w:numId w:val="0"/>
        </w:numPr>
        <w:ind w:left="360"/>
      </w:pPr>
    </w:p>
    <w:p w14:paraId="11624B73" w14:textId="0FB0EFD7" w:rsidR="007630DF" w:rsidRPr="00F21C9D" w:rsidRDefault="007630DF" w:rsidP="007630DF">
      <w:pPr>
        <w:pStyle w:val="ListNumber"/>
        <w:numPr>
          <w:ilvl w:val="0"/>
          <w:numId w:val="0"/>
        </w:numPr>
        <w:ind w:left="360"/>
        <w:rPr>
          <w:b/>
          <w:bCs/>
        </w:rPr>
      </w:pPr>
      <w:r w:rsidRPr="00F21C9D">
        <w:rPr>
          <w:b/>
          <w:bCs/>
        </w:rPr>
        <w:t>Recommendation 2:</w:t>
      </w:r>
      <w:r w:rsidR="00974A55" w:rsidRPr="00F21C9D">
        <w:rPr>
          <w:b/>
          <w:bCs/>
        </w:rPr>
        <w:t xml:space="preserve"> </w:t>
      </w:r>
      <w:r w:rsidR="00557D73" w:rsidRPr="00557D73">
        <w:rPr>
          <w:b/>
          <w:bCs/>
        </w:rPr>
        <w:t xml:space="preserve">Countries should regularly engage in consultative reviews of the legislation which regulates privacy and data. Such </w:t>
      </w:r>
      <w:r w:rsidR="00557D73" w:rsidRPr="00557D73">
        <w:rPr>
          <w:b/>
          <w:bCs/>
        </w:rPr>
        <w:lastRenderedPageBreak/>
        <w:t>reviews should specifically consider if the relevant legislation is technology neutral.</w:t>
      </w:r>
    </w:p>
    <w:p w14:paraId="71476214" w14:textId="77777777" w:rsidR="007630DF" w:rsidRDefault="007630DF" w:rsidP="007630DF">
      <w:pPr>
        <w:pStyle w:val="ListNumber"/>
        <w:numPr>
          <w:ilvl w:val="0"/>
          <w:numId w:val="0"/>
        </w:numPr>
        <w:ind w:left="360"/>
      </w:pPr>
    </w:p>
    <w:p w14:paraId="2B9DB252" w14:textId="7B1CC8C8" w:rsidR="009E26FB" w:rsidRDefault="008948C8" w:rsidP="008948C8">
      <w:pPr>
        <w:pStyle w:val="Heading2"/>
      </w:pPr>
      <w:bookmarkStart w:id="25" w:name="_Toc133221674"/>
      <w:r>
        <w:t>Existing work</w:t>
      </w:r>
      <w:r w:rsidR="007A6F72">
        <w:t xml:space="preserve"> and rights to privacy</w:t>
      </w:r>
      <w:bookmarkEnd w:id="25"/>
    </w:p>
    <w:p w14:paraId="0D36A6DA" w14:textId="12E255B7" w:rsidR="00072F1D" w:rsidRDefault="00072F1D" w:rsidP="000F2D39">
      <w:pPr>
        <w:pStyle w:val="ListNumber"/>
      </w:pPr>
      <w:r w:rsidRPr="00072F1D">
        <w:t>In a written submission</w:t>
      </w:r>
      <w:r>
        <w:t>,</w:t>
      </w:r>
      <w:r w:rsidRPr="00072F1D">
        <w:t xml:space="preserve"> one stakeholder highlighted existing work that should inform the development of the Compact:</w:t>
      </w:r>
    </w:p>
    <w:p w14:paraId="479C7211" w14:textId="66C1469D" w:rsidR="00C5329A" w:rsidRDefault="52AEB72A" w:rsidP="00574772">
      <w:pPr>
        <w:pStyle w:val="ListNumber"/>
        <w:numPr>
          <w:ilvl w:val="0"/>
          <w:numId w:val="0"/>
        </w:numPr>
        <w:ind w:left="1134"/>
      </w:pPr>
      <w:r>
        <w:t xml:space="preserve">As the United Nations considers the core principles that governments, companies, civil society organisations and other stakeholders should adhere to in relation to data protection, it may find it helpful to consider the work of Data Protection Authorities in this space. In 2009 the International Conference of Data Protection and Privacy Commissioners (now called the Global Privacy Assembly, or GPA) passed a </w:t>
      </w:r>
      <w:hyperlink r:id="rId26">
        <w:r w:rsidR="3BFC2965" w:rsidRPr="1EB57796">
          <w:rPr>
            <w:rStyle w:val="Hyperlink"/>
          </w:rPr>
          <w:t>resolution</w:t>
        </w:r>
      </w:hyperlink>
      <w:r>
        <w:t xml:space="preserve"> recognising the Joint Proposal for a Draft of International Standards on the Protection of Privacy with regard to the processing of Personal Data as a set of principles, rights, obligations and procedures that any legal system of data protection and privacy should strive to meet (the Madrid Resolution). </w:t>
      </w:r>
    </w:p>
    <w:p w14:paraId="6A032170" w14:textId="765DF5AE" w:rsidR="008D47EC" w:rsidRDefault="52AEB72A" w:rsidP="00574772">
      <w:pPr>
        <w:pStyle w:val="ListNumber"/>
        <w:numPr>
          <w:ilvl w:val="0"/>
          <w:numId w:val="0"/>
        </w:numPr>
        <w:ind w:left="1134"/>
      </w:pPr>
      <w:r>
        <w:t xml:space="preserve">The purpose of the Madrid Resolution was to define a set of principles and rights guaranteeing the effective and internationally uniform protection of privacy with regard to the processing of personal data and to facilitate the international flows of personal data needed in a globalized world. The GPA’s Global Frameworks and Standards Working Group is undertaking work towards a resolution or policy statement to articulate the GPA’s view of high data protection and privacy standards, including through reviewing the Madrid Resolution. While its work is in its initial stages, the Madrid Resolution’s content is quite comprehensive and forward-thinking. It may therefore be useful for the UN to consider the Madrid Resolution, as well as the ongoing work of the GPA. </w:t>
      </w:r>
    </w:p>
    <w:p w14:paraId="350F9198" w14:textId="77777777" w:rsidR="007009B6" w:rsidRDefault="007009B6" w:rsidP="007009B6">
      <w:pPr>
        <w:pStyle w:val="ListNumber"/>
        <w:numPr>
          <w:ilvl w:val="0"/>
          <w:numId w:val="0"/>
        </w:numPr>
        <w:ind w:left="360"/>
      </w:pPr>
    </w:p>
    <w:p w14:paraId="08C91B6A" w14:textId="7BB6A3F6" w:rsidR="007009B6" w:rsidRPr="007009B6" w:rsidRDefault="007009B6" w:rsidP="004D4A14">
      <w:pPr>
        <w:pStyle w:val="ListNumber"/>
        <w:numPr>
          <w:ilvl w:val="0"/>
          <w:numId w:val="0"/>
        </w:numPr>
        <w:ind w:left="360"/>
        <w:rPr>
          <w:b/>
          <w:bCs/>
        </w:rPr>
      </w:pPr>
      <w:r w:rsidRPr="007009B6">
        <w:rPr>
          <w:b/>
          <w:bCs/>
        </w:rPr>
        <w:t xml:space="preserve">Recommendation 3: </w:t>
      </w:r>
      <w:r w:rsidR="00BA1C75" w:rsidRPr="00BA1C75">
        <w:rPr>
          <w:b/>
          <w:bCs/>
        </w:rPr>
        <w:t xml:space="preserve">The Envoy should </w:t>
      </w:r>
      <w:r w:rsidR="00A93D5E">
        <w:rPr>
          <w:b/>
          <w:bCs/>
        </w:rPr>
        <w:t>apply</w:t>
      </w:r>
      <w:r w:rsidR="00BA1C75" w:rsidRPr="00BA1C75">
        <w:rPr>
          <w:b/>
          <w:bCs/>
        </w:rPr>
        <w:t xml:space="preserve"> the Madrid Resolution and the ongoing work of the GPA in developing the Compact.</w:t>
      </w:r>
    </w:p>
    <w:p w14:paraId="1526FE67" w14:textId="77777777" w:rsidR="007009B6" w:rsidRDefault="007009B6" w:rsidP="007009B6">
      <w:pPr>
        <w:pStyle w:val="ListNumber"/>
        <w:numPr>
          <w:ilvl w:val="0"/>
          <w:numId w:val="0"/>
        </w:numPr>
        <w:ind w:left="360"/>
      </w:pPr>
    </w:p>
    <w:p w14:paraId="73FE63AF" w14:textId="353ECC67" w:rsidR="00BA75F5" w:rsidRDefault="00BA75F5" w:rsidP="00BA75F5">
      <w:pPr>
        <w:pStyle w:val="ListNumber"/>
      </w:pPr>
      <w:r>
        <w:t xml:space="preserve">The right to privacy is a human right under article 17 of the </w:t>
      </w:r>
      <w:r w:rsidRPr="6D05706E">
        <w:rPr>
          <w:i/>
          <w:iCs/>
        </w:rPr>
        <w:t>International Covenant on Civil and Political Rights</w:t>
      </w:r>
      <w:r>
        <w:t xml:space="preserve"> (ICCPR), as well as being enshrined in a number of other applicable international human rights instruments.</w:t>
      </w:r>
      <w:r>
        <w:rPr>
          <w:rStyle w:val="EndnoteReference"/>
        </w:rPr>
        <w:endnoteReference w:id="16"/>
      </w:r>
      <w:r>
        <w:t xml:space="preserve"> The human right to privacy must be central to any discussion of how to best protect data.</w:t>
      </w:r>
    </w:p>
    <w:p w14:paraId="01432325" w14:textId="77777777" w:rsidR="00BA75F5" w:rsidRDefault="00BA75F5" w:rsidP="00BA75F5">
      <w:pPr>
        <w:pStyle w:val="ListNumber"/>
        <w:numPr>
          <w:ilvl w:val="0"/>
          <w:numId w:val="0"/>
        </w:numPr>
        <w:ind w:left="360"/>
      </w:pPr>
    </w:p>
    <w:p w14:paraId="07A7EB95" w14:textId="55FD3F7A" w:rsidR="00BA75F5" w:rsidRPr="00E42A45" w:rsidRDefault="00BA75F5" w:rsidP="00BA75F5">
      <w:pPr>
        <w:pStyle w:val="ListNumber"/>
        <w:numPr>
          <w:ilvl w:val="0"/>
          <w:numId w:val="0"/>
        </w:numPr>
        <w:ind w:left="360"/>
        <w:rPr>
          <w:b/>
          <w:bCs/>
        </w:rPr>
      </w:pPr>
      <w:r w:rsidRPr="00E42A45">
        <w:rPr>
          <w:b/>
          <w:bCs/>
        </w:rPr>
        <w:t xml:space="preserve">Recommendation </w:t>
      </w:r>
      <w:r w:rsidR="00B04EFA">
        <w:rPr>
          <w:b/>
          <w:bCs/>
        </w:rPr>
        <w:t>4</w:t>
      </w:r>
      <w:r w:rsidRPr="00E42A45">
        <w:rPr>
          <w:b/>
          <w:bCs/>
        </w:rPr>
        <w:t xml:space="preserve">: </w:t>
      </w:r>
      <w:r w:rsidR="00BE69EB" w:rsidRPr="00BE69EB">
        <w:rPr>
          <w:b/>
          <w:bCs/>
        </w:rPr>
        <w:t xml:space="preserve">The Envoy should have regard </w:t>
      </w:r>
      <w:r w:rsidR="000D59E2">
        <w:rPr>
          <w:b/>
          <w:bCs/>
        </w:rPr>
        <w:t>to</w:t>
      </w:r>
      <w:r w:rsidR="00BE69EB" w:rsidRPr="00BE69EB">
        <w:rPr>
          <w:b/>
          <w:bCs/>
        </w:rPr>
        <w:t xml:space="preserve"> article 17 of the ICCPR in developing the Compact</w:t>
      </w:r>
      <w:r w:rsidRPr="00E42A45">
        <w:rPr>
          <w:b/>
          <w:bCs/>
        </w:rPr>
        <w:t>.</w:t>
      </w:r>
      <w:r>
        <w:rPr>
          <w:b/>
          <w:bCs/>
        </w:rPr>
        <w:t xml:space="preserve">  </w:t>
      </w:r>
    </w:p>
    <w:p w14:paraId="1F700BDE" w14:textId="77777777" w:rsidR="00BA75F5" w:rsidRDefault="00BA75F5" w:rsidP="00BA75F5">
      <w:pPr>
        <w:pStyle w:val="ListNumber"/>
        <w:numPr>
          <w:ilvl w:val="0"/>
          <w:numId w:val="0"/>
        </w:numPr>
        <w:ind w:left="360"/>
      </w:pPr>
    </w:p>
    <w:p w14:paraId="595DA1B3" w14:textId="3154686A" w:rsidR="007009B6" w:rsidRDefault="007808E1" w:rsidP="007009B6">
      <w:pPr>
        <w:pStyle w:val="ListNumber"/>
      </w:pPr>
      <w:r>
        <w:t>T</w:t>
      </w:r>
      <w:r w:rsidR="38802CA8">
        <w:t xml:space="preserve">he importance of accessibility of technology for vulnerable people and ensuring that people with </w:t>
      </w:r>
      <w:r w:rsidR="0F0648D4">
        <w:t xml:space="preserve">disability </w:t>
      </w:r>
      <w:r w:rsidR="465EC772">
        <w:t>can</w:t>
      </w:r>
      <w:r w:rsidR="38802CA8">
        <w:t xml:space="preserve"> also engage in modern living without their privacy being placed at risk</w:t>
      </w:r>
      <w:r>
        <w:t>, was raised during the consultations</w:t>
      </w:r>
      <w:r w:rsidR="38802CA8">
        <w:t>. Art</w:t>
      </w:r>
      <w:r w:rsidR="73D3DD79">
        <w:t>icle</w:t>
      </w:r>
      <w:r w:rsidR="38802CA8">
        <w:t xml:space="preserve"> 22 of the </w:t>
      </w:r>
      <w:r w:rsidR="38802CA8" w:rsidRPr="1EB57796">
        <w:rPr>
          <w:i/>
          <w:iCs/>
        </w:rPr>
        <w:t xml:space="preserve">Convention </w:t>
      </w:r>
      <w:r w:rsidR="002E2B02">
        <w:rPr>
          <w:i/>
          <w:iCs/>
        </w:rPr>
        <w:t>o</w:t>
      </w:r>
      <w:r w:rsidR="38802CA8" w:rsidRPr="1EB57796">
        <w:rPr>
          <w:i/>
          <w:iCs/>
        </w:rPr>
        <w:t xml:space="preserve">n </w:t>
      </w:r>
      <w:r w:rsidR="002E2B02">
        <w:rPr>
          <w:i/>
          <w:iCs/>
        </w:rPr>
        <w:t>t</w:t>
      </w:r>
      <w:r w:rsidR="38802CA8" w:rsidRPr="1EB57796">
        <w:rPr>
          <w:i/>
          <w:iCs/>
        </w:rPr>
        <w:t xml:space="preserve">he Rights </w:t>
      </w:r>
      <w:r w:rsidR="00A843BE">
        <w:rPr>
          <w:i/>
          <w:iCs/>
        </w:rPr>
        <w:t>o</w:t>
      </w:r>
      <w:r w:rsidR="38802CA8" w:rsidRPr="1EB57796">
        <w:rPr>
          <w:i/>
          <w:iCs/>
        </w:rPr>
        <w:t xml:space="preserve">f Persons </w:t>
      </w:r>
      <w:r w:rsidR="00A843BE">
        <w:rPr>
          <w:i/>
          <w:iCs/>
        </w:rPr>
        <w:t>w</w:t>
      </w:r>
      <w:r w:rsidR="38802CA8" w:rsidRPr="1EB57796">
        <w:rPr>
          <w:i/>
          <w:iCs/>
        </w:rPr>
        <w:t xml:space="preserve">ith Disabilities </w:t>
      </w:r>
      <w:r w:rsidR="38802CA8">
        <w:t xml:space="preserve">was raised to highlight the importance of the respect for privacy </w:t>
      </w:r>
      <w:r w:rsidR="73D3DD79">
        <w:t>for</w:t>
      </w:r>
      <w:r w:rsidR="38802CA8">
        <w:t xml:space="preserve"> people with disability.</w:t>
      </w:r>
      <w:r w:rsidR="009B662F">
        <w:t xml:space="preserve"> Equally, </w:t>
      </w:r>
      <w:r w:rsidR="001F2322">
        <w:t xml:space="preserve">article 16 of the </w:t>
      </w:r>
      <w:r w:rsidR="001F2322">
        <w:rPr>
          <w:i/>
          <w:iCs/>
        </w:rPr>
        <w:t>Convention o</w:t>
      </w:r>
      <w:r w:rsidR="002E2B02">
        <w:rPr>
          <w:i/>
          <w:iCs/>
        </w:rPr>
        <w:t>n</w:t>
      </w:r>
      <w:r w:rsidR="001F2322">
        <w:rPr>
          <w:i/>
          <w:iCs/>
        </w:rPr>
        <w:t xml:space="preserve"> the</w:t>
      </w:r>
      <w:r w:rsidR="002E2B02">
        <w:rPr>
          <w:i/>
          <w:iCs/>
        </w:rPr>
        <w:t xml:space="preserve"> Rights of the Child</w:t>
      </w:r>
      <w:r w:rsidR="002E2B02">
        <w:t xml:space="preserve"> is of </w:t>
      </w:r>
      <w:r w:rsidR="00A843BE">
        <w:t>significance</w:t>
      </w:r>
      <w:r w:rsidR="002E2B02">
        <w:t xml:space="preserve"> </w:t>
      </w:r>
      <w:r w:rsidR="00A843BE">
        <w:t>in protecting children and young people’s privacy.</w:t>
      </w:r>
      <w:r w:rsidR="001F2322">
        <w:rPr>
          <w:i/>
          <w:iCs/>
        </w:rPr>
        <w:t xml:space="preserve"> </w:t>
      </w:r>
      <w:r w:rsidR="38802CA8">
        <w:t xml:space="preserve"> This will be especially important when developing the Compact.</w:t>
      </w:r>
    </w:p>
    <w:p w14:paraId="0BA89B0A" w14:textId="77777777" w:rsidR="006051BA" w:rsidRDefault="006051BA" w:rsidP="006051BA">
      <w:pPr>
        <w:pStyle w:val="ListNumber"/>
        <w:numPr>
          <w:ilvl w:val="0"/>
          <w:numId w:val="0"/>
        </w:numPr>
        <w:ind w:left="360"/>
      </w:pPr>
    </w:p>
    <w:p w14:paraId="416666C4" w14:textId="4BD6192F" w:rsidR="006051BA" w:rsidRPr="006051BA" w:rsidRDefault="006051BA" w:rsidP="006051BA">
      <w:pPr>
        <w:pStyle w:val="ListNumber"/>
        <w:numPr>
          <w:ilvl w:val="0"/>
          <w:numId w:val="0"/>
        </w:numPr>
        <w:ind w:left="360"/>
        <w:rPr>
          <w:b/>
          <w:bCs/>
        </w:rPr>
      </w:pPr>
      <w:r w:rsidRPr="006051BA">
        <w:rPr>
          <w:b/>
          <w:bCs/>
        </w:rPr>
        <w:t xml:space="preserve">Recommendation </w:t>
      </w:r>
      <w:r w:rsidR="00B04EFA">
        <w:rPr>
          <w:b/>
          <w:bCs/>
        </w:rPr>
        <w:t>5</w:t>
      </w:r>
      <w:r w:rsidRPr="006051BA">
        <w:rPr>
          <w:b/>
          <w:bCs/>
        </w:rPr>
        <w:t xml:space="preserve">: </w:t>
      </w:r>
      <w:r w:rsidR="00035057" w:rsidRPr="00035057">
        <w:rPr>
          <w:b/>
          <w:bCs/>
        </w:rPr>
        <w:t xml:space="preserve">The Envoy should have regard </w:t>
      </w:r>
      <w:r w:rsidR="000D59E2">
        <w:rPr>
          <w:b/>
          <w:bCs/>
        </w:rPr>
        <w:t>to</w:t>
      </w:r>
      <w:r w:rsidR="00035057" w:rsidRPr="00035057">
        <w:rPr>
          <w:b/>
          <w:bCs/>
        </w:rPr>
        <w:t xml:space="preserve"> article 22 of the </w:t>
      </w:r>
      <w:r w:rsidR="00035057" w:rsidRPr="001F6ED8">
        <w:rPr>
          <w:b/>
          <w:bCs/>
          <w:i/>
          <w:iCs/>
        </w:rPr>
        <w:t>Convention on the Rights of Persons with Disabilities</w:t>
      </w:r>
      <w:r w:rsidR="00035057" w:rsidRPr="00035057">
        <w:rPr>
          <w:b/>
          <w:bCs/>
        </w:rPr>
        <w:t xml:space="preserve"> and article 16 of the </w:t>
      </w:r>
      <w:r w:rsidR="00035057" w:rsidRPr="001F6ED8">
        <w:rPr>
          <w:b/>
          <w:bCs/>
          <w:i/>
          <w:iCs/>
        </w:rPr>
        <w:t xml:space="preserve">Convention on the Rights of the Child </w:t>
      </w:r>
      <w:r w:rsidR="00035057" w:rsidRPr="00035057">
        <w:rPr>
          <w:b/>
          <w:bCs/>
        </w:rPr>
        <w:t>in developing the Compact.</w:t>
      </w:r>
    </w:p>
    <w:p w14:paraId="7DA9A2AC" w14:textId="77777777" w:rsidR="006051BA" w:rsidRDefault="006051BA" w:rsidP="006051BA">
      <w:pPr>
        <w:pStyle w:val="ListNumber"/>
        <w:numPr>
          <w:ilvl w:val="0"/>
          <w:numId w:val="0"/>
        </w:numPr>
        <w:ind w:left="360"/>
      </w:pPr>
    </w:p>
    <w:p w14:paraId="03E23D21" w14:textId="6D97E2DD" w:rsidR="0071503A" w:rsidRDefault="00E42A45" w:rsidP="0071503A">
      <w:pPr>
        <w:pStyle w:val="ListNumber"/>
      </w:pPr>
      <w:r>
        <w:t>T</w:t>
      </w:r>
      <w:r w:rsidR="0071503A">
        <w:t xml:space="preserve">he Commission launched </w:t>
      </w:r>
      <w:r w:rsidR="001A3310">
        <w:t>a</w:t>
      </w:r>
      <w:r w:rsidR="0071503A">
        <w:t xml:space="preserve"> </w:t>
      </w:r>
      <w:hyperlink r:id="rId27" w:history="1">
        <w:r w:rsidR="0071503A" w:rsidRPr="00887E92">
          <w:rPr>
            <w:rStyle w:val="Hyperlink"/>
          </w:rPr>
          <w:t>Position Paper: A Human Rights Act for Australia</w:t>
        </w:r>
      </w:hyperlink>
      <w:r w:rsidR="0071503A">
        <w:t xml:space="preserve"> (Position Paper) on 9 March</w:t>
      </w:r>
      <w:r w:rsidR="000C4874">
        <w:t xml:space="preserve"> 2023</w:t>
      </w:r>
      <w:r w:rsidR="0071503A">
        <w:t xml:space="preserve">. In the Position Paper the Commission recommends the inclusion of a ‘right to privacy and reputation’ in </w:t>
      </w:r>
      <w:r>
        <w:t>its</w:t>
      </w:r>
      <w:r w:rsidR="0071503A">
        <w:t xml:space="preserve"> proposed Australian Human Rights Act.</w:t>
      </w:r>
      <w:r w:rsidR="0071503A">
        <w:rPr>
          <w:rStyle w:val="EndnoteReference"/>
        </w:rPr>
        <w:endnoteReference w:id="17"/>
      </w:r>
      <w:r w:rsidR="0071503A">
        <w:t xml:space="preserve"> </w:t>
      </w:r>
      <w:r>
        <w:t>Au</w:t>
      </w:r>
      <w:r w:rsidR="0074432B">
        <w:t xml:space="preserve">stralia does not currently have a federal human rights act. </w:t>
      </w:r>
    </w:p>
    <w:p w14:paraId="577B7CBE" w14:textId="6DC03895" w:rsidR="00C71C7E" w:rsidRDefault="00C71C7E" w:rsidP="00C71C7E">
      <w:pPr>
        <w:pStyle w:val="ListNumber"/>
      </w:pPr>
      <w:r>
        <w:t xml:space="preserve">The proposed right to privacy and reputation outlined in the </w:t>
      </w:r>
      <w:r w:rsidR="002C3041">
        <w:t xml:space="preserve">proposed model for a </w:t>
      </w:r>
      <w:r>
        <w:t>Human Rights Act states:</w:t>
      </w:r>
    </w:p>
    <w:p w14:paraId="376D6D53" w14:textId="77777777" w:rsidR="00C71C7E" w:rsidRPr="001422F3" w:rsidRDefault="00C71C7E" w:rsidP="00C71C7E">
      <w:pPr>
        <w:pStyle w:val="ListNumber"/>
        <w:numPr>
          <w:ilvl w:val="0"/>
          <w:numId w:val="0"/>
        </w:numPr>
        <w:ind w:left="360"/>
        <w:rPr>
          <w:i/>
          <w:iCs/>
        </w:rPr>
      </w:pPr>
      <w:r>
        <w:tab/>
      </w:r>
      <w:r w:rsidRPr="001422F3">
        <w:rPr>
          <w:i/>
          <w:iCs/>
        </w:rPr>
        <w:t>A person has the right-</w:t>
      </w:r>
    </w:p>
    <w:p w14:paraId="7C07DCFE" w14:textId="77777777" w:rsidR="00C71C7E" w:rsidRPr="001422F3" w:rsidRDefault="00C71C7E" w:rsidP="00C71C7E">
      <w:pPr>
        <w:pStyle w:val="ListNumber"/>
        <w:numPr>
          <w:ilvl w:val="0"/>
          <w:numId w:val="0"/>
        </w:numPr>
        <w:ind w:left="1134"/>
        <w:rPr>
          <w:i/>
          <w:iCs/>
        </w:rPr>
      </w:pPr>
      <w:r w:rsidRPr="001422F3">
        <w:rPr>
          <w:i/>
          <w:iCs/>
        </w:rPr>
        <w:t>(a) not to have the person’s privacy, family, home or correspondence unlawfully or arbitrarily interfered with; and</w:t>
      </w:r>
    </w:p>
    <w:p w14:paraId="54B6064A" w14:textId="77777777" w:rsidR="00C71C7E" w:rsidRPr="001422F3" w:rsidRDefault="00C71C7E" w:rsidP="00C71C7E">
      <w:pPr>
        <w:pStyle w:val="ListNumber"/>
        <w:numPr>
          <w:ilvl w:val="0"/>
          <w:numId w:val="0"/>
        </w:numPr>
        <w:ind w:left="1134"/>
        <w:rPr>
          <w:i/>
          <w:iCs/>
        </w:rPr>
      </w:pPr>
      <w:r w:rsidRPr="001422F3">
        <w:rPr>
          <w:i/>
          <w:iCs/>
        </w:rPr>
        <w:t>(b) not to have the person’s reputation unlawfully attacked.</w:t>
      </w:r>
    </w:p>
    <w:p w14:paraId="661C3533" w14:textId="77777777" w:rsidR="00C71C7E" w:rsidRDefault="00C71C7E" w:rsidP="00C71C7E">
      <w:pPr>
        <w:pStyle w:val="ListNumber"/>
        <w:numPr>
          <w:ilvl w:val="0"/>
          <w:numId w:val="0"/>
        </w:numPr>
        <w:ind w:left="1134"/>
      </w:pPr>
      <w:r w:rsidRPr="009869B8">
        <w:rPr>
          <w:i/>
          <w:iCs/>
        </w:rPr>
        <w:t>Note: The right to privacy applies to the collection, processing or retention of personal data through all forms of technology, and includes state surveillance measures</w:t>
      </w:r>
      <w:r>
        <w:t>.</w:t>
      </w:r>
      <w:r>
        <w:rPr>
          <w:rStyle w:val="EndnoteReference"/>
        </w:rPr>
        <w:endnoteReference w:id="18"/>
      </w:r>
    </w:p>
    <w:p w14:paraId="6331CA14" w14:textId="27884591" w:rsidR="00C71C7E" w:rsidRDefault="00C71C7E" w:rsidP="00C71C7E">
      <w:pPr>
        <w:pStyle w:val="ListNumber"/>
      </w:pPr>
      <w:r>
        <w:t>This proposed right to privacy and reputation implements art</w:t>
      </w:r>
      <w:r w:rsidR="6F1C0FE8">
        <w:t>icle</w:t>
      </w:r>
      <w:r>
        <w:t xml:space="preserve"> 17 of the ICCPR (to which Australia has signed and ratified).</w:t>
      </w:r>
      <w:r>
        <w:rPr>
          <w:rStyle w:val="EndnoteReference"/>
        </w:rPr>
        <w:endnoteReference w:id="19"/>
      </w:r>
    </w:p>
    <w:p w14:paraId="08225855" w14:textId="099B81B8" w:rsidR="00C71C7E" w:rsidRDefault="00C71C7E" w:rsidP="00C71C7E">
      <w:pPr>
        <w:pStyle w:val="ListNumber"/>
      </w:pPr>
      <w:r>
        <w:t>Pertinently</w:t>
      </w:r>
      <w:r w:rsidR="3DE7D9D5">
        <w:t>,</w:t>
      </w:r>
      <w:r>
        <w:t xml:space="preserve"> the note clarifies that privacy rights extend to technological surveillance measures, noting the increased capacity of the state collect personal data and make decisions based on that data through </w:t>
      </w:r>
      <w:r w:rsidR="0074432B">
        <w:t>AI</w:t>
      </w:r>
      <w:r>
        <w:t>.</w:t>
      </w:r>
      <w:r>
        <w:rPr>
          <w:rStyle w:val="EndnoteReference"/>
        </w:rPr>
        <w:endnoteReference w:id="20"/>
      </w:r>
    </w:p>
    <w:p w14:paraId="72A5C6BC" w14:textId="489B7B85" w:rsidR="0074432B" w:rsidRDefault="0074432B" w:rsidP="00C71C7E">
      <w:pPr>
        <w:pStyle w:val="ListNumber"/>
      </w:pPr>
      <w:r>
        <w:lastRenderedPageBreak/>
        <w:t xml:space="preserve">In protecting data, </w:t>
      </w:r>
      <w:r w:rsidR="00A417BB">
        <w:t xml:space="preserve">the protection of the human right to privacy should be enshrined in domestic legislation, in addition to existing international obligations, to best protect user data. </w:t>
      </w:r>
    </w:p>
    <w:p w14:paraId="640F90E4" w14:textId="77777777" w:rsidR="00A417BB" w:rsidRDefault="00A417BB" w:rsidP="005F7E4A">
      <w:pPr>
        <w:pStyle w:val="ListNumber"/>
        <w:numPr>
          <w:ilvl w:val="0"/>
          <w:numId w:val="0"/>
        </w:numPr>
        <w:ind w:left="360"/>
      </w:pPr>
    </w:p>
    <w:p w14:paraId="13DE0394" w14:textId="3057A40C" w:rsidR="006051BA" w:rsidRPr="005F7E4A" w:rsidRDefault="00A417BB" w:rsidP="005F7E4A">
      <w:pPr>
        <w:pStyle w:val="ListNumber"/>
        <w:numPr>
          <w:ilvl w:val="0"/>
          <w:numId w:val="0"/>
        </w:numPr>
        <w:ind w:left="360"/>
        <w:rPr>
          <w:b/>
          <w:bCs/>
        </w:rPr>
      </w:pPr>
      <w:r w:rsidRPr="005F7E4A">
        <w:rPr>
          <w:b/>
          <w:bCs/>
        </w:rPr>
        <w:t xml:space="preserve">Recommendation </w:t>
      </w:r>
      <w:r w:rsidR="002B73BE">
        <w:rPr>
          <w:b/>
          <w:bCs/>
        </w:rPr>
        <w:t>6</w:t>
      </w:r>
      <w:r w:rsidRPr="005F7E4A">
        <w:rPr>
          <w:b/>
          <w:bCs/>
        </w:rPr>
        <w:t xml:space="preserve">: </w:t>
      </w:r>
      <w:r w:rsidR="00334054" w:rsidRPr="00334054">
        <w:rPr>
          <w:b/>
          <w:bCs/>
        </w:rPr>
        <w:t>Countries should ensure that their domestic legal framework includes protection for the right to privacy, with specific regard for the collection and use of data.</w:t>
      </w:r>
    </w:p>
    <w:p w14:paraId="242C9F7B" w14:textId="77777777" w:rsidR="007009B6" w:rsidRDefault="007009B6" w:rsidP="007009B6">
      <w:pPr>
        <w:pStyle w:val="ListNumber"/>
        <w:numPr>
          <w:ilvl w:val="0"/>
          <w:numId w:val="0"/>
        </w:numPr>
        <w:ind w:left="360"/>
      </w:pPr>
    </w:p>
    <w:p w14:paraId="7BB9D5B4" w14:textId="433E99A1" w:rsidR="002A1BBB" w:rsidRDefault="00872BF3" w:rsidP="00554280">
      <w:pPr>
        <w:pStyle w:val="Heading2"/>
      </w:pPr>
      <w:bookmarkStart w:id="26" w:name="_Toc133221675"/>
      <w:r>
        <w:t xml:space="preserve">How new and emerging technologies </w:t>
      </w:r>
      <w:r w:rsidR="00554280">
        <w:t>may risk privacy</w:t>
      </w:r>
      <w:bookmarkEnd w:id="26"/>
      <w:r w:rsidR="00554280">
        <w:t xml:space="preserve"> </w:t>
      </w:r>
    </w:p>
    <w:p w14:paraId="5B05077C" w14:textId="1B67A60F" w:rsidR="00663616" w:rsidRDefault="00CD5F4B" w:rsidP="00886B69">
      <w:pPr>
        <w:pStyle w:val="ListNumber"/>
      </w:pPr>
      <w:r>
        <w:t xml:space="preserve">There is a serious </w:t>
      </w:r>
      <w:r w:rsidR="00554280">
        <w:t xml:space="preserve">need to consider the protection of data in respect of new and emerging technologies. </w:t>
      </w:r>
      <w:r w:rsidR="00F40E33">
        <w:t>The</w:t>
      </w:r>
      <w:r w:rsidR="00554280">
        <w:t xml:space="preserve"> </w:t>
      </w:r>
      <w:r w:rsidR="00663616">
        <w:t>M</w:t>
      </w:r>
      <w:r w:rsidR="00554280">
        <w:t xml:space="preserve">etaverse </w:t>
      </w:r>
      <w:r>
        <w:t xml:space="preserve">is one prominent example of a new </w:t>
      </w:r>
      <w:r w:rsidR="00AD187F">
        <w:t>technology which threatens privacy. T</w:t>
      </w:r>
      <w:r w:rsidR="00663616">
        <w:t xml:space="preserve">he Metaverse </w:t>
      </w:r>
      <w:r w:rsidR="00C175BD">
        <w:t>utilise</w:t>
      </w:r>
      <w:r w:rsidR="00AD187F">
        <w:t>s</w:t>
      </w:r>
      <w:r w:rsidR="00C175BD">
        <w:t xml:space="preserve"> virtual reality (VR) goggles </w:t>
      </w:r>
      <w:r w:rsidR="00712E01">
        <w:t xml:space="preserve">and other technologies </w:t>
      </w:r>
      <w:r w:rsidR="5A54275B">
        <w:t xml:space="preserve">that </w:t>
      </w:r>
      <w:r w:rsidR="00C175BD">
        <w:t xml:space="preserve">are able to collect an unprecedented level of personal information. </w:t>
      </w:r>
    </w:p>
    <w:p w14:paraId="09F6E13E" w14:textId="57D289D2" w:rsidR="00E061E7" w:rsidRDefault="00E061E7" w:rsidP="00E061E7">
      <w:pPr>
        <w:pStyle w:val="ListNumber"/>
      </w:pPr>
      <w:r>
        <w:t>While the Commission has raised previous concerns about the erosion of privacy in digital spaces,</w:t>
      </w:r>
      <w:r>
        <w:rPr>
          <w:rStyle w:val="EndnoteReference"/>
        </w:rPr>
        <w:endnoteReference w:id="21"/>
      </w:r>
      <w:r>
        <w:t xml:space="preserve"> the Metaverse creates an unprecedented risk to privacy and data. The risk of privacy and security invasions in the Metaverse (inherited from underlying technologies or emerging from the new digital ecology) may be prolific.</w:t>
      </w:r>
      <w:r>
        <w:rPr>
          <w:rStyle w:val="EndnoteReference"/>
        </w:rPr>
        <w:endnoteReference w:id="22"/>
      </w:r>
    </w:p>
    <w:p w14:paraId="5F2BC09E" w14:textId="4277BEDA" w:rsidR="00E061E7" w:rsidRDefault="00E061E7" w:rsidP="00E061E7">
      <w:pPr>
        <w:pStyle w:val="ListNumber"/>
      </w:pPr>
      <w:r>
        <w:t>The Metaverse is a nebulous digital construct which is constantly evolving – but broadly speaking it can be considered as the next generation of the internet with the aim to be a fully immersive, hyper</w:t>
      </w:r>
      <w:r w:rsidR="00F144D8">
        <w:t>-</w:t>
      </w:r>
      <w:r>
        <w:t>spatiotemporal, and self-sustaining virtual shared space for humans to play, work, and socialize.</w:t>
      </w:r>
      <w:r>
        <w:rPr>
          <w:rStyle w:val="EndnoteReference"/>
        </w:rPr>
        <w:endnoteReference w:id="23"/>
      </w:r>
      <w:r>
        <w:t xml:space="preserve"> This allows individual users to live as ‘digital natives’ and experience an alternative virtual life,</w:t>
      </w:r>
      <w:r>
        <w:rPr>
          <w:rStyle w:val="EndnoteReference"/>
        </w:rPr>
        <w:endnoteReference w:id="24"/>
      </w:r>
      <w:r>
        <w:t xml:space="preserve"> while at the same time </w:t>
      </w:r>
      <w:r w:rsidR="00F144D8">
        <w:t xml:space="preserve">having </w:t>
      </w:r>
      <w:r>
        <w:t>the ability to facilitate transactions and activities that also have a presence in the physical world.</w:t>
      </w:r>
    </w:p>
    <w:p w14:paraId="35225692" w14:textId="2F90C785" w:rsidR="00E061E7" w:rsidRDefault="00E061E7" w:rsidP="00E061E7">
      <w:pPr>
        <w:pStyle w:val="ListNumber"/>
      </w:pPr>
      <w:r>
        <w:t>The personal data involved in the Metaverse will likely be ‘more granular and unprecedentedly ubiquitous to build a digital copy of the real world’.</w:t>
      </w:r>
      <w:r>
        <w:rPr>
          <w:rStyle w:val="EndnoteReference"/>
        </w:rPr>
        <w:endnoteReference w:id="25"/>
      </w:r>
      <w:r>
        <w:t xml:space="preserve"> The fusion of this granular data collected by Metaverse technologies and more traditional data collected by social networking platforms may compromise privacy at heightened levels. Such a fusion, or interoperability of data, may create unpredictably deeper data profiles about </w:t>
      </w:r>
      <w:r w:rsidR="00F40E33">
        <w:t>individuals</w:t>
      </w:r>
      <w:r>
        <w:t>.</w:t>
      </w:r>
      <w:r>
        <w:rPr>
          <w:rStyle w:val="EndnoteReference"/>
        </w:rPr>
        <w:endnoteReference w:id="26"/>
      </w:r>
      <w:r>
        <w:t xml:space="preserve"> </w:t>
      </w:r>
    </w:p>
    <w:p w14:paraId="5B2352AA" w14:textId="087050EC" w:rsidR="00E061E7" w:rsidRDefault="00E061E7" w:rsidP="00E061E7">
      <w:pPr>
        <w:pStyle w:val="ListNumber"/>
      </w:pPr>
      <w:r>
        <w:t>The Metaverse collects and processes vast amounts of data such as:</w:t>
      </w:r>
    </w:p>
    <w:p w14:paraId="75273A11" w14:textId="77777777" w:rsidR="00E061E7" w:rsidRDefault="00E061E7" w:rsidP="00E061E7">
      <w:pPr>
        <w:pStyle w:val="ListNumber"/>
        <w:numPr>
          <w:ilvl w:val="0"/>
          <w:numId w:val="16"/>
        </w:numPr>
      </w:pPr>
      <w:r>
        <w:t>biometrics</w:t>
      </w:r>
    </w:p>
    <w:p w14:paraId="7CEBA292" w14:textId="77777777" w:rsidR="00E061E7" w:rsidRDefault="00E061E7" w:rsidP="00E061E7">
      <w:pPr>
        <w:pStyle w:val="ListNumber"/>
        <w:numPr>
          <w:ilvl w:val="0"/>
          <w:numId w:val="16"/>
        </w:numPr>
      </w:pPr>
      <w:r>
        <w:t>facial expressions</w:t>
      </w:r>
    </w:p>
    <w:p w14:paraId="76C8B9BD" w14:textId="77777777" w:rsidR="00E061E7" w:rsidRDefault="00E061E7" w:rsidP="00E061E7">
      <w:pPr>
        <w:pStyle w:val="ListNumber"/>
        <w:numPr>
          <w:ilvl w:val="0"/>
          <w:numId w:val="16"/>
        </w:numPr>
      </w:pPr>
      <w:r>
        <w:t>eye movements</w:t>
      </w:r>
    </w:p>
    <w:p w14:paraId="0D8A8DDC" w14:textId="77777777" w:rsidR="00E061E7" w:rsidRDefault="00E061E7" w:rsidP="00E061E7">
      <w:pPr>
        <w:pStyle w:val="ListNumber"/>
        <w:numPr>
          <w:ilvl w:val="0"/>
          <w:numId w:val="16"/>
        </w:numPr>
      </w:pPr>
      <w:r>
        <w:lastRenderedPageBreak/>
        <w:t>iris movements</w:t>
      </w:r>
    </w:p>
    <w:p w14:paraId="1770F0B0" w14:textId="77777777" w:rsidR="00E061E7" w:rsidRDefault="00E061E7" w:rsidP="00E061E7">
      <w:pPr>
        <w:pStyle w:val="ListNumber"/>
        <w:numPr>
          <w:ilvl w:val="0"/>
          <w:numId w:val="16"/>
        </w:numPr>
      </w:pPr>
      <w:r>
        <w:t>hand movements</w:t>
      </w:r>
    </w:p>
    <w:p w14:paraId="62CE5984" w14:textId="77777777" w:rsidR="00E061E7" w:rsidRDefault="00E061E7" w:rsidP="00E061E7">
      <w:pPr>
        <w:pStyle w:val="ListNumber"/>
        <w:numPr>
          <w:ilvl w:val="0"/>
          <w:numId w:val="16"/>
        </w:numPr>
      </w:pPr>
      <w:r>
        <w:t>speech</w:t>
      </w:r>
    </w:p>
    <w:p w14:paraId="214D0508" w14:textId="77777777" w:rsidR="00E061E7" w:rsidRDefault="00E061E7" w:rsidP="00E061E7">
      <w:pPr>
        <w:pStyle w:val="ListNumber"/>
        <w:numPr>
          <w:ilvl w:val="0"/>
          <w:numId w:val="16"/>
        </w:numPr>
      </w:pPr>
      <w:r>
        <w:t>brain wave patterns</w:t>
      </w:r>
    </w:p>
    <w:p w14:paraId="22C6C2D9" w14:textId="77777777" w:rsidR="00E061E7" w:rsidRDefault="00E061E7" w:rsidP="00E061E7">
      <w:pPr>
        <w:pStyle w:val="ListNumber"/>
        <w:numPr>
          <w:ilvl w:val="0"/>
          <w:numId w:val="16"/>
        </w:numPr>
      </w:pPr>
      <w:r>
        <w:t>habits</w:t>
      </w:r>
    </w:p>
    <w:p w14:paraId="3E2DC87D" w14:textId="77777777" w:rsidR="00E061E7" w:rsidRDefault="00E061E7" w:rsidP="00E061E7">
      <w:pPr>
        <w:pStyle w:val="ListNumber"/>
        <w:numPr>
          <w:ilvl w:val="0"/>
          <w:numId w:val="16"/>
        </w:numPr>
      </w:pPr>
      <w:r>
        <w:t>choices</w:t>
      </w:r>
    </w:p>
    <w:p w14:paraId="7D712C16" w14:textId="77777777" w:rsidR="00E061E7" w:rsidRDefault="00E061E7" w:rsidP="00E061E7">
      <w:pPr>
        <w:pStyle w:val="ListNumber"/>
        <w:numPr>
          <w:ilvl w:val="0"/>
          <w:numId w:val="16"/>
        </w:numPr>
      </w:pPr>
      <w:r>
        <w:t>activities of users</w:t>
      </w:r>
    </w:p>
    <w:p w14:paraId="79B54F89" w14:textId="77777777" w:rsidR="00E061E7" w:rsidRDefault="00E061E7" w:rsidP="00E061E7">
      <w:pPr>
        <w:pStyle w:val="ListNumber"/>
        <w:numPr>
          <w:ilvl w:val="0"/>
          <w:numId w:val="16"/>
        </w:numPr>
      </w:pPr>
      <w:r>
        <w:t>behaviours</w:t>
      </w:r>
    </w:p>
    <w:p w14:paraId="3BB92B3D" w14:textId="77777777" w:rsidR="00E061E7" w:rsidRDefault="00E061E7" w:rsidP="00E061E7">
      <w:pPr>
        <w:pStyle w:val="ListNumber"/>
        <w:numPr>
          <w:ilvl w:val="0"/>
          <w:numId w:val="16"/>
        </w:numPr>
      </w:pPr>
      <w:r>
        <w:t>feelings</w:t>
      </w:r>
    </w:p>
    <w:p w14:paraId="49BC8F5D" w14:textId="77777777" w:rsidR="00E061E7" w:rsidRDefault="00E061E7" w:rsidP="00E061E7">
      <w:pPr>
        <w:pStyle w:val="ListNumber"/>
        <w:numPr>
          <w:ilvl w:val="0"/>
          <w:numId w:val="16"/>
        </w:numPr>
      </w:pPr>
      <w:r>
        <w:t>expressions</w:t>
      </w:r>
    </w:p>
    <w:p w14:paraId="61D4B235" w14:textId="77777777" w:rsidR="00E061E7" w:rsidRDefault="00E061E7" w:rsidP="00E061E7">
      <w:pPr>
        <w:pStyle w:val="ListNumber"/>
        <w:numPr>
          <w:ilvl w:val="0"/>
          <w:numId w:val="16"/>
        </w:numPr>
      </w:pPr>
      <w:r>
        <w:t>user conversations</w:t>
      </w:r>
    </w:p>
    <w:p w14:paraId="37C589C6" w14:textId="77777777" w:rsidR="00E061E7" w:rsidRDefault="00E061E7" w:rsidP="00E061E7">
      <w:pPr>
        <w:pStyle w:val="ListNumber"/>
        <w:numPr>
          <w:ilvl w:val="0"/>
          <w:numId w:val="16"/>
        </w:numPr>
      </w:pPr>
      <w:r>
        <w:t>internet history</w:t>
      </w:r>
    </w:p>
    <w:p w14:paraId="304347B3" w14:textId="77777777" w:rsidR="00E061E7" w:rsidRDefault="00E061E7" w:rsidP="00E061E7">
      <w:pPr>
        <w:pStyle w:val="ListNumber"/>
        <w:numPr>
          <w:ilvl w:val="0"/>
          <w:numId w:val="16"/>
        </w:numPr>
      </w:pPr>
      <w:r>
        <w:t>body movements</w:t>
      </w:r>
    </w:p>
    <w:p w14:paraId="20225E8B" w14:textId="77777777" w:rsidR="00E061E7" w:rsidRDefault="00E061E7" w:rsidP="00E061E7">
      <w:pPr>
        <w:pStyle w:val="ListNumber"/>
        <w:numPr>
          <w:ilvl w:val="0"/>
          <w:numId w:val="16"/>
        </w:numPr>
      </w:pPr>
      <w:r>
        <w:t>cultural data</w:t>
      </w:r>
    </w:p>
    <w:p w14:paraId="6191BD08" w14:textId="77777777" w:rsidR="00E061E7" w:rsidRDefault="00E061E7" w:rsidP="00E061E7">
      <w:pPr>
        <w:pStyle w:val="ListNumber"/>
        <w:numPr>
          <w:ilvl w:val="0"/>
          <w:numId w:val="16"/>
        </w:numPr>
      </w:pPr>
      <w:r>
        <w:t>financial data</w:t>
      </w:r>
    </w:p>
    <w:p w14:paraId="2F0DC123" w14:textId="77777777" w:rsidR="00E061E7" w:rsidRDefault="00E061E7" w:rsidP="00E061E7">
      <w:pPr>
        <w:pStyle w:val="ListNumber"/>
        <w:numPr>
          <w:ilvl w:val="0"/>
          <w:numId w:val="16"/>
        </w:numPr>
      </w:pPr>
      <w:r>
        <w:t>communications</w:t>
      </w:r>
    </w:p>
    <w:p w14:paraId="3DB71E67" w14:textId="77777777" w:rsidR="00E061E7" w:rsidRDefault="00E061E7" w:rsidP="00E061E7">
      <w:pPr>
        <w:pStyle w:val="ListNumber"/>
        <w:numPr>
          <w:ilvl w:val="0"/>
          <w:numId w:val="16"/>
        </w:numPr>
      </w:pPr>
      <w:r>
        <w:t>location</w:t>
      </w:r>
    </w:p>
    <w:p w14:paraId="35162238" w14:textId="77777777" w:rsidR="00E061E7" w:rsidRDefault="00E061E7" w:rsidP="00E061E7">
      <w:pPr>
        <w:pStyle w:val="ListNumber"/>
        <w:numPr>
          <w:ilvl w:val="0"/>
          <w:numId w:val="16"/>
        </w:numPr>
      </w:pPr>
      <w:r>
        <w:t>age</w:t>
      </w:r>
    </w:p>
    <w:p w14:paraId="2D2B9F27" w14:textId="77777777" w:rsidR="00E061E7" w:rsidRDefault="00E061E7" w:rsidP="00E061E7">
      <w:pPr>
        <w:pStyle w:val="ListNumber"/>
        <w:numPr>
          <w:ilvl w:val="0"/>
          <w:numId w:val="16"/>
        </w:numPr>
      </w:pPr>
      <w:r>
        <w:t>shopping preferences</w:t>
      </w:r>
    </w:p>
    <w:p w14:paraId="7D8568B7" w14:textId="77777777" w:rsidR="00E061E7" w:rsidRDefault="00E061E7" w:rsidP="00E061E7">
      <w:pPr>
        <w:pStyle w:val="ListNumber"/>
        <w:numPr>
          <w:ilvl w:val="0"/>
          <w:numId w:val="16"/>
        </w:numPr>
      </w:pPr>
      <w:r>
        <w:t>favourite movies</w:t>
      </w:r>
    </w:p>
    <w:p w14:paraId="020F349D" w14:textId="77777777" w:rsidR="00E061E7" w:rsidRDefault="00E061E7" w:rsidP="00E061E7">
      <w:pPr>
        <w:pStyle w:val="ListNumber"/>
        <w:numPr>
          <w:ilvl w:val="0"/>
          <w:numId w:val="16"/>
        </w:numPr>
      </w:pPr>
      <w:r>
        <w:t>identities</w:t>
      </w:r>
    </w:p>
    <w:p w14:paraId="1C620F87" w14:textId="77777777" w:rsidR="00E061E7" w:rsidRDefault="00E061E7" w:rsidP="00E061E7">
      <w:pPr>
        <w:pStyle w:val="ListNumber"/>
        <w:numPr>
          <w:ilvl w:val="0"/>
          <w:numId w:val="16"/>
        </w:numPr>
      </w:pPr>
      <w:r>
        <w:t>medical data</w:t>
      </w:r>
    </w:p>
    <w:p w14:paraId="78FA7320" w14:textId="77777777" w:rsidR="00E061E7" w:rsidRDefault="00E061E7" w:rsidP="00E061E7">
      <w:pPr>
        <w:pStyle w:val="ListNumber"/>
        <w:numPr>
          <w:ilvl w:val="0"/>
          <w:numId w:val="16"/>
        </w:numPr>
      </w:pPr>
      <w:r>
        <w:t>digital assets</w:t>
      </w:r>
    </w:p>
    <w:p w14:paraId="3B1F959A" w14:textId="77777777" w:rsidR="00E061E7" w:rsidRDefault="00E061E7" w:rsidP="00E061E7">
      <w:pPr>
        <w:pStyle w:val="ListNumber"/>
        <w:numPr>
          <w:ilvl w:val="0"/>
          <w:numId w:val="16"/>
        </w:numPr>
      </w:pPr>
      <w:r>
        <w:t>the identity of virtual items</w:t>
      </w:r>
    </w:p>
    <w:p w14:paraId="45BAFBE7" w14:textId="77777777" w:rsidR="00E061E7" w:rsidRDefault="00E061E7" w:rsidP="00E061E7">
      <w:pPr>
        <w:pStyle w:val="ListNumber"/>
        <w:numPr>
          <w:ilvl w:val="0"/>
          <w:numId w:val="16"/>
        </w:numPr>
      </w:pPr>
      <w:r>
        <w:t>cryptocurrency spending records</w:t>
      </w:r>
    </w:p>
    <w:p w14:paraId="315EA748" w14:textId="77777777" w:rsidR="00E061E7" w:rsidRDefault="00E061E7" w:rsidP="00E061E7">
      <w:pPr>
        <w:pStyle w:val="ListNumber"/>
        <w:numPr>
          <w:ilvl w:val="0"/>
          <w:numId w:val="16"/>
        </w:numPr>
      </w:pPr>
      <w:r>
        <w:t>physiological data</w:t>
      </w:r>
    </w:p>
    <w:p w14:paraId="1744513F" w14:textId="575A3C8A" w:rsidR="00E061E7" w:rsidRDefault="00E061E7" w:rsidP="00E061E7">
      <w:pPr>
        <w:pStyle w:val="ListNumber"/>
        <w:numPr>
          <w:ilvl w:val="0"/>
          <w:numId w:val="16"/>
        </w:numPr>
      </w:pPr>
      <w:r>
        <w:t>physical data.</w:t>
      </w:r>
      <w:r w:rsidR="004562D4">
        <w:rPr>
          <w:rStyle w:val="EndnoteReference"/>
        </w:rPr>
        <w:endnoteReference w:id="27"/>
      </w:r>
    </w:p>
    <w:p w14:paraId="32ED9A6E" w14:textId="4173C6EE" w:rsidR="00E061E7" w:rsidRDefault="00E061E7" w:rsidP="00E061E7">
      <w:pPr>
        <w:pStyle w:val="ListNumber"/>
      </w:pPr>
      <w:r>
        <w:t xml:space="preserve">Even the motion sensors and cameras usually built into </w:t>
      </w:r>
      <w:r w:rsidR="007C4278">
        <w:t>VR</w:t>
      </w:r>
      <w:r>
        <w:t xml:space="preserve"> helmets, which help track head direction and movement, will draw </w:t>
      </w:r>
      <w:r w:rsidR="0041330B">
        <w:t xml:space="preserve">an </w:t>
      </w:r>
      <w:r w:rsidR="006F50DD">
        <w:t>individual</w:t>
      </w:r>
      <w:r w:rsidR="003D1853">
        <w:t>’</w:t>
      </w:r>
      <w:r w:rsidR="006F50DD">
        <w:t>s</w:t>
      </w:r>
      <w:r>
        <w:t xml:space="preserve"> room and monitor </w:t>
      </w:r>
      <w:r w:rsidR="009D1771">
        <w:t>that</w:t>
      </w:r>
      <w:r>
        <w:t xml:space="preserve"> space while being used.</w:t>
      </w:r>
      <w:r>
        <w:rPr>
          <w:rStyle w:val="EndnoteReference"/>
        </w:rPr>
        <w:endnoteReference w:id="28"/>
      </w:r>
    </w:p>
    <w:p w14:paraId="43EBA357" w14:textId="77777777" w:rsidR="00902E6A" w:rsidRDefault="00E061E7" w:rsidP="00F40E33">
      <w:pPr>
        <w:pStyle w:val="ListNumber"/>
      </w:pPr>
      <w:r>
        <w:t>The collection of such vast and intrusive information will undoubtedly bring into question the protection of</w:t>
      </w:r>
      <w:r w:rsidR="00F40E33">
        <w:t xml:space="preserve"> </w:t>
      </w:r>
      <w:r>
        <w:t>personal data in the Metaverse</w:t>
      </w:r>
      <w:r w:rsidR="00F40E33">
        <w:t>.</w:t>
      </w:r>
      <w:r>
        <w:rPr>
          <w:rStyle w:val="EndnoteReference"/>
        </w:rPr>
        <w:endnoteReference w:id="29"/>
      </w:r>
      <w:r>
        <w:t xml:space="preserve"> </w:t>
      </w:r>
      <w:r w:rsidR="00F40E33">
        <w:t xml:space="preserve">However, </w:t>
      </w:r>
      <w:r w:rsidR="00F40E33">
        <w:lastRenderedPageBreak/>
        <w:t xml:space="preserve">the Metaverse is only one example of a new and emerging technology which may pose an increased risk to privacy and data online. </w:t>
      </w:r>
    </w:p>
    <w:p w14:paraId="2B80C6C1" w14:textId="586C2B55" w:rsidR="00902E6A" w:rsidRDefault="00FE3697" w:rsidP="00902E6A">
      <w:pPr>
        <w:pStyle w:val="ListNumber"/>
        <w:rPr>
          <w:rFonts w:ascii="Calibri" w:eastAsiaTheme="minorHAnsi" w:hAnsi="Calibri"/>
          <w:sz w:val="22"/>
          <w:szCs w:val="22"/>
        </w:rPr>
      </w:pPr>
      <w:r>
        <w:t xml:space="preserve">This highlights the need for </w:t>
      </w:r>
      <w:r w:rsidR="006D4BEB">
        <w:t xml:space="preserve">technology neutral </w:t>
      </w:r>
      <w:r w:rsidR="009F62AF">
        <w:t xml:space="preserve">legislation to adapt to new and emerging </w:t>
      </w:r>
      <w:r w:rsidR="00D423EC">
        <w:t>technologies</w:t>
      </w:r>
      <w:r w:rsidR="009F62AF">
        <w:t>.</w:t>
      </w:r>
    </w:p>
    <w:p w14:paraId="32540544" w14:textId="77777777" w:rsidR="00080B47" w:rsidRDefault="00080B47" w:rsidP="00080B47">
      <w:pPr>
        <w:pStyle w:val="ListNumber"/>
        <w:numPr>
          <w:ilvl w:val="0"/>
          <w:numId w:val="0"/>
        </w:numPr>
        <w:ind w:left="360"/>
      </w:pPr>
    </w:p>
    <w:p w14:paraId="3E559624" w14:textId="46EED671" w:rsidR="00080B47" w:rsidRPr="00080B47" w:rsidRDefault="00080B47" w:rsidP="00080B47">
      <w:pPr>
        <w:pStyle w:val="ListNumber"/>
        <w:numPr>
          <w:ilvl w:val="0"/>
          <w:numId w:val="0"/>
        </w:numPr>
        <w:ind w:left="360"/>
        <w:rPr>
          <w:b/>
          <w:bCs/>
        </w:rPr>
      </w:pPr>
      <w:r w:rsidRPr="00080B47">
        <w:rPr>
          <w:b/>
          <w:bCs/>
        </w:rPr>
        <w:t xml:space="preserve">Recommendation </w:t>
      </w:r>
      <w:r w:rsidR="002B73BE">
        <w:rPr>
          <w:b/>
          <w:bCs/>
        </w:rPr>
        <w:t>7</w:t>
      </w:r>
      <w:r w:rsidRPr="00080B47">
        <w:rPr>
          <w:b/>
          <w:bCs/>
        </w:rPr>
        <w:t xml:space="preserve">: </w:t>
      </w:r>
      <w:r w:rsidR="00D76068" w:rsidRPr="00D76068">
        <w:rPr>
          <w:b/>
          <w:bCs/>
        </w:rPr>
        <w:t>Privacy legislation must be drafted in technology</w:t>
      </w:r>
      <w:r w:rsidR="003D1853">
        <w:rPr>
          <w:b/>
          <w:bCs/>
        </w:rPr>
        <w:t>-</w:t>
      </w:r>
      <w:r w:rsidR="00D76068" w:rsidRPr="00D76068">
        <w:rPr>
          <w:b/>
          <w:bCs/>
        </w:rPr>
        <w:t>neutral terms.</w:t>
      </w:r>
    </w:p>
    <w:p w14:paraId="0A282214" w14:textId="77777777" w:rsidR="00080B47" w:rsidRDefault="00080B47" w:rsidP="00080B47">
      <w:pPr>
        <w:pStyle w:val="ListNumber"/>
        <w:numPr>
          <w:ilvl w:val="0"/>
          <w:numId w:val="0"/>
        </w:numPr>
        <w:ind w:left="360"/>
      </w:pPr>
    </w:p>
    <w:p w14:paraId="0DDEBACA" w14:textId="09058ADA" w:rsidR="001731BB" w:rsidRPr="00837AA9" w:rsidRDefault="001731BB" w:rsidP="00957384">
      <w:pPr>
        <w:pStyle w:val="Heading1"/>
      </w:pPr>
      <w:bookmarkStart w:id="27" w:name="_Toc133221676"/>
      <w:r w:rsidRPr="00837AA9">
        <w:t>Promoting the regulation of artificial intelligence</w:t>
      </w:r>
      <w:bookmarkEnd w:id="27"/>
    </w:p>
    <w:p w14:paraId="48DFFC97" w14:textId="6D249FA2" w:rsidR="00A94E52" w:rsidRDefault="00DF792E" w:rsidP="00846360">
      <w:pPr>
        <w:pStyle w:val="ListNumber"/>
      </w:pPr>
      <w:r>
        <w:t xml:space="preserve">There are numerous human rights risks associated with the unregulated use of AI. </w:t>
      </w:r>
      <w:r w:rsidR="00261AD9">
        <w:t xml:space="preserve">The following risks </w:t>
      </w:r>
      <w:r w:rsidR="00D46454">
        <w:t>of AI are especially relevant</w:t>
      </w:r>
      <w:r w:rsidR="0017207A">
        <w:t>:</w:t>
      </w:r>
    </w:p>
    <w:p w14:paraId="0B18F9E0" w14:textId="597E684C" w:rsidR="0017207A" w:rsidRDefault="00A94E52" w:rsidP="00D45FF5">
      <w:pPr>
        <w:pStyle w:val="ListNumber"/>
        <w:numPr>
          <w:ilvl w:val="0"/>
          <w:numId w:val="20"/>
        </w:numPr>
        <w:rPr>
          <w:lang w:eastAsia="en-US"/>
        </w:rPr>
      </w:pPr>
      <w:r w:rsidRPr="004C6EE3">
        <w:rPr>
          <w:lang w:eastAsia="en-US"/>
        </w:rPr>
        <w:t xml:space="preserve">malicious use </w:t>
      </w:r>
      <w:r w:rsidR="00237C12">
        <w:rPr>
          <w:lang w:eastAsia="en-US"/>
        </w:rPr>
        <w:t>of</w:t>
      </w:r>
      <w:r w:rsidRPr="004C6EE3">
        <w:rPr>
          <w:lang w:eastAsia="en-US"/>
        </w:rPr>
        <w:t xml:space="preserve"> a</w:t>
      </w:r>
      <w:r w:rsidR="000F3731">
        <w:rPr>
          <w:lang w:eastAsia="en-US"/>
        </w:rPr>
        <w:t>n AI</w:t>
      </w:r>
      <w:r w:rsidRPr="004C6EE3">
        <w:rPr>
          <w:lang w:eastAsia="en-US"/>
        </w:rPr>
        <w:t xml:space="preserve"> tool to commit crime or cause harm</w:t>
      </w:r>
    </w:p>
    <w:p w14:paraId="715D173A" w14:textId="77777777" w:rsidR="0017207A" w:rsidRDefault="00A94E52" w:rsidP="00D45FF5">
      <w:pPr>
        <w:pStyle w:val="ListNumber"/>
        <w:numPr>
          <w:ilvl w:val="0"/>
          <w:numId w:val="20"/>
        </w:numPr>
        <w:rPr>
          <w:lang w:eastAsia="en-US"/>
        </w:rPr>
      </w:pPr>
      <w:r w:rsidRPr="004C6EE3">
        <w:rPr>
          <w:lang w:eastAsia="en-US"/>
        </w:rPr>
        <w:t>enhanced surveillance that poses risks to privacy and human dignity</w:t>
      </w:r>
    </w:p>
    <w:p w14:paraId="2DF37CCC" w14:textId="77777777" w:rsidR="0017207A" w:rsidRDefault="00A94E52" w:rsidP="00D45FF5">
      <w:pPr>
        <w:pStyle w:val="ListNumber"/>
        <w:numPr>
          <w:ilvl w:val="0"/>
          <w:numId w:val="20"/>
        </w:numPr>
        <w:rPr>
          <w:lang w:eastAsia="en-US"/>
        </w:rPr>
      </w:pPr>
      <w:r w:rsidRPr="004C6EE3">
        <w:rPr>
          <w:lang w:eastAsia="en-US"/>
        </w:rPr>
        <w:t>safety risks and damage from negligence</w:t>
      </w:r>
    </w:p>
    <w:p w14:paraId="30824646" w14:textId="77777777" w:rsidR="0017207A" w:rsidRDefault="00A94E52" w:rsidP="00D45FF5">
      <w:pPr>
        <w:pStyle w:val="ListNumber"/>
        <w:numPr>
          <w:ilvl w:val="0"/>
          <w:numId w:val="20"/>
        </w:numPr>
        <w:rPr>
          <w:lang w:eastAsia="en-US"/>
        </w:rPr>
      </w:pPr>
      <w:r w:rsidRPr="004C6EE3">
        <w:rPr>
          <w:lang w:eastAsia="en-US"/>
        </w:rPr>
        <w:t>harm to consumers</w:t>
      </w:r>
    </w:p>
    <w:p w14:paraId="495E5C81" w14:textId="77777777" w:rsidR="0017207A" w:rsidRDefault="00A94E52" w:rsidP="00D45FF5">
      <w:pPr>
        <w:pStyle w:val="ListNumber"/>
        <w:numPr>
          <w:ilvl w:val="0"/>
          <w:numId w:val="20"/>
        </w:numPr>
        <w:rPr>
          <w:lang w:eastAsia="en-US"/>
        </w:rPr>
      </w:pPr>
      <w:r w:rsidRPr="004C6EE3">
        <w:rPr>
          <w:lang w:eastAsia="en-US"/>
        </w:rPr>
        <w:t>concerns about automation of decision-making, including bias and reduced accountability</w:t>
      </w:r>
    </w:p>
    <w:p w14:paraId="5C3A0FB0" w14:textId="77777777" w:rsidR="0017207A" w:rsidRDefault="00A94E52" w:rsidP="00D45FF5">
      <w:pPr>
        <w:pStyle w:val="ListNumber"/>
        <w:numPr>
          <w:ilvl w:val="0"/>
          <w:numId w:val="20"/>
        </w:numPr>
        <w:rPr>
          <w:lang w:eastAsia="en-US"/>
        </w:rPr>
      </w:pPr>
      <w:r w:rsidRPr="004C6EE3">
        <w:rPr>
          <w:lang w:eastAsia="en-US"/>
        </w:rPr>
        <w:t>potential threats to democracy</w:t>
      </w:r>
    </w:p>
    <w:p w14:paraId="13D3892A" w14:textId="77777777" w:rsidR="0017207A" w:rsidRDefault="00A94E52" w:rsidP="00D45FF5">
      <w:pPr>
        <w:pStyle w:val="ListNumber"/>
        <w:numPr>
          <w:ilvl w:val="0"/>
          <w:numId w:val="20"/>
        </w:numPr>
        <w:rPr>
          <w:lang w:eastAsia="en-US"/>
        </w:rPr>
      </w:pPr>
      <w:r w:rsidRPr="004C6EE3">
        <w:rPr>
          <w:lang w:eastAsia="en-US"/>
        </w:rPr>
        <w:t>reduced employment for humans</w:t>
      </w:r>
    </w:p>
    <w:p w14:paraId="37972E1E" w14:textId="06F083A3" w:rsidR="0017207A" w:rsidRDefault="00A94E52" w:rsidP="00D45FF5">
      <w:pPr>
        <w:pStyle w:val="ListNumber"/>
        <w:numPr>
          <w:ilvl w:val="0"/>
          <w:numId w:val="20"/>
        </w:numPr>
        <w:rPr>
          <w:lang w:eastAsia="en-US"/>
        </w:rPr>
      </w:pPr>
      <w:r w:rsidRPr="004C6EE3">
        <w:rPr>
          <w:lang w:eastAsia="en-US"/>
        </w:rPr>
        <w:t>potential threats from artificial general intelligence.</w:t>
      </w:r>
      <w:r w:rsidR="002C7111" w:rsidRPr="002C7111">
        <w:rPr>
          <w:sz w:val="20"/>
          <w:szCs w:val="20"/>
          <w:vertAlign w:val="superscript"/>
          <w:lang w:eastAsia="en-US"/>
        </w:rPr>
        <w:endnoteReference w:id="30"/>
      </w:r>
      <w:r w:rsidRPr="002C7111">
        <w:rPr>
          <w:sz w:val="20"/>
          <w:szCs w:val="20"/>
          <w:lang w:eastAsia="en-US"/>
        </w:rPr>
        <w:t xml:space="preserve"> </w:t>
      </w:r>
    </w:p>
    <w:p w14:paraId="551E46A0" w14:textId="271FC4EE" w:rsidR="00A94E52" w:rsidRDefault="0017207A" w:rsidP="00A94E52">
      <w:pPr>
        <w:pStyle w:val="ListNumber"/>
        <w:rPr>
          <w:lang w:eastAsia="en-US"/>
        </w:rPr>
      </w:pPr>
      <w:r>
        <w:rPr>
          <w:lang w:eastAsia="en-US"/>
        </w:rPr>
        <w:t xml:space="preserve">These are just some of the </w:t>
      </w:r>
      <w:r w:rsidR="00466FE0">
        <w:rPr>
          <w:lang w:eastAsia="en-US"/>
        </w:rPr>
        <w:t>risks which in-part justify the need for regulation of AI</w:t>
      </w:r>
      <w:r w:rsidR="00A94E52" w:rsidRPr="004C6EE3">
        <w:rPr>
          <w:lang w:eastAsia="en-US"/>
        </w:rPr>
        <w:t>.</w:t>
      </w:r>
      <w:r w:rsidR="0043452C">
        <w:rPr>
          <w:lang w:eastAsia="en-US"/>
        </w:rPr>
        <w:t xml:space="preserve"> The Commission is especially concerned about the role that algorithmic bias plays in entrenching discrimination. </w:t>
      </w:r>
    </w:p>
    <w:p w14:paraId="13E2C861" w14:textId="1C83C522" w:rsidR="00991A6C" w:rsidRDefault="00991A6C" w:rsidP="00991A6C">
      <w:pPr>
        <w:pStyle w:val="Heading2"/>
      </w:pPr>
      <w:bookmarkStart w:id="28" w:name="_Toc133221677"/>
      <w:r>
        <w:t>Algorithmic bias</w:t>
      </w:r>
      <w:bookmarkEnd w:id="28"/>
      <w:r>
        <w:t xml:space="preserve"> </w:t>
      </w:r>
    </w:p>
    <w:p w14:paraId="7E2DECE1" w14:textId="56301495" w:rsidR="00991A6C" w:rsidRDefault="00991A6C" w:rsidP="00991A6C">
      <w:pPr>
        <w:pStyle w:val="ListNumber"/>
      </w:pPr>
      <w:r>
        <w:t>While AI allows large amounts of relevant information to be considered in decision-making processes and may encourage efficient, data-driven decision making, its regulation is becoming increasingly important, due to its potential to produce ‘algorithmic bias’</w:t>
      </w:r>
      <w:r w:rsidR="004D1CDF">
        <w:t>.</w:t>
      </w:r>
      <w:r>
        <w:t xml:space="preserve"> Algorithmic bias arises where an </w:t>
      </w:r>
      <w:r w:rsidR="00FE7B49">
        <w:t>AI</w:t>
      </w:r>
      <w:r>
        <w:t xml:space="preserve"> tool produces outputs that result in unfairness.</w:t>
      </w:r>
      <w:r>
        <w:rPr>
          <w:rStyle w:val="EndnoteReference"/>
        </w:rPr>
        <w:endnoteReference w:id="31"/>
      </w:r>
      <w:r>
        <w:t xml:space="preserve"> Algorithmic bias can entrench unfairness, or even result in unlawful discrimination.</w:t>
      </w:r>
      <w:r>
        <w:rPr>
          <w:rStyle w:val="EndnoteReference"/>
        </w:rPr>
        <w:endnoteReference w:id="32"/>
      </w:r>
    </w:p>
    <w:p w14:paraId="42E5640E" w14:textId="7B3A8E50" w:rsidR="00991A6C" w:rsidRDefault="00FE7B49" w:rsidP="00991A6C">
      <w:pPr>
        <w:pStyle w:val="ListNumber"/>
      </w:pPr>
      <w:r>
        <w:lastRenderedPageBreak/>
        <w:t>AI</w:t>
      </w:r>
      <w:r w:rsidR="00991A6C">
        <w:t xml:space="preserve"> systems may unintentionally produce discrimination in the employee vetting process. For instance, Amazon used an AI software that was designed to review resumes and determine which applicants Amazon should hire.</w:t>
      </w:r>
      <w:r w:rsidR="00991A6C">
        <w:rPr>
          <w:rStyle w:val="EndnoteReference"/>
        </w:rPr>
        <w:endnoteReference w:id="33"/>
      </w:r>
      <w:r w:rsidR="00991A6C">
        <w:t xml:space="preserve"> The algorithm systemically discriminated against women applying for technical jobs, such as software engineer positions. This is because the existing pool of Amazon software engineers were by majority male, and as such, the new software was fed data about those engineers’ resumes.</w:t>
      </w:r>
      <w:r w:rsidR="00991A6C">
        <w:rPr>
          <w:rStyle w:val="EndnoteReference"/>
        </w:rPr>
        <w:endnoteReference w:id="34"/>
      </w:r>
      <w:r w:rsidR="00991A6C">
        <w:t xml:space="preserve"> The practice of directing software to discover</w:t>
      </w:r>
      <w:r w:rsidR="00B753E0">
        <w:t xml:space="preserve"> </w:t>
      </w:r>
      <w:r w:rsidR="00B753E0" w:rsidRPr="00B753E0">
        <w:t>resumes that harbor similarities to resumes in a training data set</w:t>
      </w:r>
      <w:r w:rsidR="00991A6C">
        <w:t xml:space="preserve"> will inevitably reproduce the demographics of the existing workforce.</w:t>
      </w:r>
      <w:r w:rsidR="00991A6C">
        <w:rPr>
          <w:rStyle w:val="EndnoteReference"/>
        </w:rPr>
        <w:endnoteReference w:id="35"/>
      </w:r>
      <w:r w:rsidR="00991A6C">
        <w:t xml:space="preserve"> </w:t>
      </w:r>
    </w:p>
    <w:p w14:paraId="753C51B6" w14:textId="77777777" w:rsidR="00991A6C" w:rsidRDefault="00991A6C" w:rsidP="00991A6C">
      <w:pPr>
        <w:pStyle w:val="ListNumber"/>
      </w:pPr>
      <w:r>
        <w:t>Another example of algorithmic bias was when, in 2019, a study discovered that a clinical algorithm used by many hospitals in the US to determine which patients required extra medical care produced racial bias.</w:t>
      </w:r>
      <w:r>
        <w:rPr>
          <w:rStyle w:val="EndnoteReference"/>
        </w:rPr>
        <w:endnoteReference w:id="36"/>
      </w:r>
      <w:r>
        <w:t xml:space="preserve"> The algorithm was trained on past data on healthcare spending, which reflects a trend whereby black patients have less income to spend on their healthcare as compared with white patients - a result of systemic wealth and income disparities.</w:t>
      </w:r>
      <w:r>
        <w:rPr>
          <w:rStyle w:val="EndnoteReference"/>
        </w:rPr>
        <w:endnoteReference w:id="37"/>
      </w:r>
      <w:r>
        <w:t xml:space="preserve"> As such, the algorithm’s outputs reflected a discriminatory result whereby white patients required more medical care than black patients.</w:t>
      </w:r>
      <w:r>
        <w:rPr>
          <w:rStyle w:val="EndnoteReference"/>
        </w:rPr>
        <w:endnoteReference w:id="38"/>
      </w:r>
      <w:r>
        <w:t xml:space="preserve"> </w:t>
      </w:r>
    </w:p>
    <w:p w14:paraId="2617B126" w14:textId="416BFAA7" w:rsidR="00991A6C" w:rsidRDefault="00991A6C" w:rsidP="00991A6C">
      <w:pPr>
        <w:pStyle w:val="ListNumber"/>
      </w:pPr>
      <w:r>
        <w:t>Such examples highlight why AI require</w:t>
      </w:r>
      <w:r w:rsidR="00FE7B49">
        <w:t>s</w:t>
      </w:r>
      <w:r>
        <w:t xml:space="preserve"> greater regulation, in the interests of increasing transparency</w:t>
      </w:r>
      <w:r w:rsidR="00467FBD">
        <w:t xml:space="preserve"> and</w:t>
      </w:r>
      <w:r>
        <w:t xml:space="preserve"> preventing unfairness and unlawful discrimination in algorithmic decision-making. This is especially the case given the difficulty of applying anti-discrimination law</w:t>
      </w:r>
      <w:r w:rsidR="00FE7B49">
        <w:t>s</w:t>
      </w:r>
      <w:r>
        <w:t xml:space="preserve"> to complex </w:t>
      </w:r>
      <w:r w:rsidR="00FE7B49">
        <w:t xml:space="preserve">AI </w:t>
      </w:r>
      <w:r>
        <w:t>systems.</w:t>
      </w:r>
      <w:r>
        <w:rPr>
          <w:rStyle w:val="EndnoteReference"/>
        </w:rPr>
        <w:endnoteReference w:id="39"/>
      </w:r>
      <w:r>
        <w:t xml:space="preserve"> The Commission emphasises its 2020 technical paper </w:t>
      </w:r>
      <w:hyperlink r:id="rId28" w:history="1">
        <w:r w:rsidRPr="0093057E">
          <w:rPr>
            <w:rStyle w:val="Hyperlink"/>
          </w:rPr>
          <w:t>Using artificial intelligence to make decisions: Addressing the problem of algorithmic bias</w:t>
        </w:r>
      </w:hyperlink>
      <w:r>
        <w:t xml:space="preserve"> which considers algorithmic bias in greater detail.</w:t>
      </w:r>
    </w:p>
    <w:p w14:paraId="075549E1" w14:textId="10F83570" w:rsidR="004D762B" w:rsidRDefault="00500537" w:rsidP="00500537">
      <w:pPr>
        <w:pStyle w:val="Heading2"/>
      </w:pPr>
      <w:bookmarkStart w:id="29" w:name="_Toc133221678"/>
      <w:r>
        <w:t>AI Safety Commissioner</w:t>
      </w:r>
      <w:bookmarkEnd w:id="29"/>
    </w:p>
    <w:p w14:paraId="288E614A" w14:textId="42D995FB" w:rsidR="00E56E63" w:rsidRDefault="00A94E52" w:rsidP="00BE434D">
      <w:pPr>
        <w:pStyle w:val="ListNumber"/>
      </w:pPr>
      <w:r>
        <w:t xml:space="preserve">In responding to how AI can be regulated </w:t>
      </w:r>
      <w:r w:rsidR="00DB3B19">
        <w:t>countries should, at first instance,</w:t>
      </w:r>
      <w:r>
        <w:t xml:space="preserve"> modify the</w:t>
      </w:r>
      <w:r w:rsidR="00DB3B19">
        <w:t>ir</w:t>
      </w:r>
      <w:r>
        <w:t xml:space="preserve"> existing laws, regulations and regulatory bodies in a manner which better allow</w:t>
      </w:r>
      <w:r w:rsidR="00DB3B19">
        <w:t>s</w:t>
      </w:r>
      <w:r>
        <w:t xml:space="preserve"> them to respond to the risks posed by AI. </w:t>
      </w:r>
      <w:r w:rsidR="003D600C">
        <w:t>However</w:t>
      </w:r>
      <w:r w:rsidR="002C7111">
        <w:t>,</w:t>
      </w:r>
      <w:r w:rsidR="003D600C">
        <w:t xml:space="preserve"> </w:t>
      </w:r>
      <w:r w:rsidR="00DB3B19">
        <w:t xml:space="preserve">this is a </w:t>
      </w:r>
      <w:r w:rsidR="00A8732A">
        <w:t>short-term</w:t>
      </w:r>
      <w:r w:rsidR="00DB3B19">
        <w:t xml:space="preserve"> response</w:t>
      </w:r>
      <w:r w:rsidR="00A8732A">
        <w:t>,</w:t>
      </w:r>
      <w:r w:rsidR="00DB3B19">
        <w:t xml:space="preserve"> and </w:t>
      </w:r>
      <w:r w:rsidR="009D4454">
        <w:t xml:space="preserve">there will </w:t>
      </w:r>
      <w:r w:rsidR="003D600C">
        <w:t>ultimately need to be an AI</w:t>
      </w:r>
      <w:r w:rsidR="00AD1660">
        <w:t xml:space="preserve">-specific </w:t>
      </w:r>
      <w:r w:rsidR="00A8732A">
        <w:t>statutory body</w:t>
      </w:r>
      <w:r w:rsidR="00AD1660">
        <w:t xml:space="preserve"> to respond to new and emerging risks</w:t>
      </w:r>
      <w:r w:rsidR="009D4454">
        <w:t xml:space="preserve"> in this area</w:t>
      </w:r>
      <w:r w:rsidR="00AD1660">
        <w:t>.</w:t>
      </w:r>
    </w:p>
    <w:p w14:paraId="08054D1E" w14:textId="62FAF2DE" w:rsidR="00041CC9" w:rsidRDefault="00A8732A" w:rsidP="00F5578E">
      <w:pPr>
        <w:pStyle w:val="ListNumber"/>
      </w:pPr>
      <w:r>
        <w:t>T</w:t>
      </w:r>
      <w:r w:rsidR="00500537">
        <w:t xml:space="preserve">he Commission notes recommendations 22 and 23 of its </w:t>
      </w:r>
      <w:hyperlink r:id="rId29" w:history="1">
        <w:r w:rsidR="00500537" w:rsidRPr="0017219B">
          <w:rPr>
            <w:rStyle w:val="Hyperlink"/>
          </w:rPr>
          <w:t>Final Report</w:t>
        </w:r>
      </w:hyperlink>
      <w:r w:rsidR="00500537">
        <w:t>.</w:t>
      </w:r>
      <w:r w:rsidR="00500537">
        <w:rPr>
          <w:rStyle w:val="EndnoteReference"/>
        </w:rPr>
        <w:endnoteReference w:id="40"/>
      </w:r>
      <w:r w:rsidR="00500537">
        <w:t xml:space="preserve"> </w:t>
      </w:r>
      <w:r w:rsidR="00041CC9">
        <w:t>Recommendation 22 stated:</w:t>
      </w:r>
    </w:p>
    <w:p w14:paraId="4E6C36C3" w14:textId="5EE66B52" w:rsidR="00041CC9" w:rsidRDefault="00041CC9" w:rsidP="00574772">
      <w:pPr>
        <w:pStyle w:val="ListNumber"/>
        <w:numPr>
          <w:ilvl w:val="0"/>
          <w:numId w:val="0"/>
        </w:numPr>
        <w:ind w:left="1134"/>
      </w:pPr>
      <w:r>
        <w:t>The Australian Government should establish an AI Safety Commissioner as an independent statutory office, focused on promoting safety and protecting human rights in the development and use of AI in Australia. The AI Safety Commissioner should:</w:t>
      </w:r>
    </w:p>
    <w:p w14:paraId="287DBFE4" w14:textId="25D72FD7" w:rsidR="00041CC9" w:rsidRDefault="00041CC9" w:rsidP="00574772">
      <w:pPr>
        <w:pStyle w:val="ListNumber"/>
        <w:numPr>
          <w:ilvl w:val="0"/>
          <w:numId w:val="0"/>
        </w:numPr>
        <w:ind w:left="1440"/>
      </w:pPr>
      <w:r>
        <w:lastRenderedPageBreak/>
        <w:t>(a) work with regulators to build their technical capacity regarding the development and use of AI in areas for which those regulators have responsibility</w:t>
      </w:r>
    </w:p>
    <w:p w14:paraId="7B375AA0" w14:textId="4CA6AD26" w:rsidR="00041CC9" w:rsidRDefault="00041CC9" w:rsidP="00574772">
      <w:pPr>
        <w:pStyle w:val="ListNumber"/>
        <w:numPr>
          <w:ilvl w:val="0"/>
          <w:numId w:val="0"/>
        </w:numPr>
        <w:ind w:left="1440"/>
      </w:pPr>
      <w:r>
        <w:t>(b) monitor and investigate developments and trends in the use of AI, especially in areas of particular human rights risk</w:t>
      </w:r>
    </w:p>
    <w:p w14:paraId="159CB34C" w14:textId="74E674E8" w:rsidR="00041CC9" w:rsidRDefault="00041CC9" w:rsidP="00574772">
      <w:pPr>
        <w:pStyle w:val="ListNumber"/>
        <w:numPr>
          <w:ilvl w:val="0"/>
          <w:numId w:val="0"/>
        </w:numPr>
        <w:ind w:left="1440"/>
      </w:pPr>
      <w:r>
        <w:t>(c) provide independent expertise relating to AI and human rights for Australian policy makers</w:t>
      </w:r>
    </w:p>
    <w:p w14:paraId="37973829" w14:textId="5881445D" w:rsidR="00041CC9" w:rsidRDefault="00041CC9" w:rsidP="00574772">
      <w:pPr>
        <w:pStyle w:val="ListNumber"/>
        <w:numPr>
          <w:ilvl w:val="0"/>
          <w:numId w:val="0"/>
        </w:numPr>
        <w:ind w:left="1440"/>
      </w:pPr>
      <w:r>
        <w:t>(d) issue guidance to government and the private sector on how to comply with laws and ethical requirements in the use of AI.</w:t>
      </w:r>
      <w:r w:rsidR="001027C1">
        <w:rPr>
          <w:rStyle w:val="EndnoteReference"/>
        </w:rPr>
        <w:endnoteReference w:id="41"/>
      </w:r>
    </w:p>
    <w:p w14:paraId="3F5256A9" w14:textId="77F9C13A" w:rsidR="00041CC9" w:rsidRDefault="00041CC9" w:rsidP="00041CC9">
      <w:pPr>
        <w:pStyle w:val="ListNumber"/>
      </w:pPr>
      <w:r>
        <w:t>Moreover recommendation 23 continued that:</w:t>
      </w:r>
    </w:p>
    <w:p w14:paraId="54D35C19" w14:textId="3B8B7BCB" w:rsidR="00041CC9" w:rsidRDefault="00041CC9" w:rsidP="00041CC9">
      <w:pPr>
        <w:pStyle w:val="ListNumber"/>
        <w:numPr>
          <w:ilvl w:val="0"/>
          <w:numId w:val="0"/>
        </w:numPr>
        <w:tabs>
          <w:tab w:val="clear" w:pos="1134"/>
          <w:tab w:val="left" w:pos="709"/>
        </w:tabs>
        <w:ind w:left="360"/>
      </w:pPr>
      <w:r>
        <w:tab/>
      </w:r>
      <w:r w:rsidR="00574772">
        <w:tab/>
      </w:r>
      <w:r>
        <w:t>The AI Safety Commissioner should:</w:t>
      </w:r>
    </w:p>
    <w:p w14:paraId="4B810898" w14:textId="77777777" w:rsidR="00041CC9" w:rsidRDefault="00041CC9" w:rsidP="00574772">
      <w:pPr>
        <w:pStyle w:val="ListNumber"/>
        <w:numPr>
          <w:ilvl w:val="0"/>
          <w:numId w:val="0"/>
        </w:numPr>
        <w:ind w:left="1440"/>
      </w:pPr>
      <w:r>
        <w:t>(a) be independent from government in its structure, operations and legislative mandate, but may be incorporated into an existing body or be formed as a new, separate body</w:t>
      </w:r>
    </w:p>
    <w:p w14:paraId="7C6727A1" w14:textId="77777777" w:rsidR="0057140C" w:rsidRDefault="00041CC9" w:rsidP="00574772">
      <w:pPr>
        <w:pStyle w:val="ListNumber"/>
        <w:numPr>
          <w:ilvl w:val="0"/>
          <w:numId w:val="0"/>
        </w:numPr>
        <w:ind w:left="1440"/>
      </w:pPr>
      <w:r>
        <w:t>(b) be adequately resourced, wholly or primarily by the Australian Governme</w:t>
      </w:r>
      <w:r w:rsidR="0014241B">
        <w:t>nt</w:t>
      </w:r>
    </w:p>
    <w:p w14:paraId="4251EAD0" w14:textId="4E03A1E8" w:rsidR="00041CC9" w:rsidRDefault="00041CC9" w:rsidP="00574772">
      <w:pPr>
        <w:pStyle w:val="ListNumber"/>
        <w:numPr>
          <w:ilvl w:val="0"/>
          <w:numId w:val="0"/>
        </w:numPr>
        <w:ind w:left="1440"/>
      </w:pPr>
      <w:r>
        <w:t>(c) be required to have regard to the impact of the development and use of AI on vulnerable and marginalised people in Australia</w:t>
      </w:r>
    </w:p>
    <w:p w14:paraId="5BAA0E25" w14:textId="11739773" w:rsidR="00041CC9" w:rsidRDefault="00041CC9" w:rsidP="00574772">
      <w:pPr>
        <w:pStyle w:val="ListNumber"/>
        <w:numPr>
          <w:ilvl w:val="0"/>
          <w:numId w:val="0"/>
        </w:numPr>
        <w:ind w:left="1440"/>
      </w:pPr>
      <w:r>
        <w:t>(d) draw on diverse expertise and perspectives including by convening an AI advisory council.</w:t>
      </w:r>
      <w:r w:rsidR="001027C1">
        <w:rPr>
          <w:rStyle w:val="EndnoteReference"/>
        </w:rPr>
        <w:endnoteReference w:id="42"/>
      </w:r>
    </w:p>
    <w:p w14:paraId="6CC91B8D" w14:textId="2BF2F935" w:rsidR="00500537" w:rsidRDefault="008F3426" w:rsidP="000F2D39">
      <w:pPr>
        <w:pStyle w:val="ListNumber"/>
      </w:pPr>
      <w:r>
        <w:t>The Commission considers that an AI Safety Commissioner could address three major needs</w:t>
      </w:r>
      <w:r w:rsidR="00E11F73">
        <w:t>:</w:t>
      </w:r>
    </w:p>
    <w:p w14:paraId="5FAA97B8" w14:textId="0A9BFE8F" w:rsidR="008F3426" w:rsidRDefault="00041CC9" w:rsidP="00574772">
      <w:pPr>
        <w:pStyle w:val="ListNumber"/>
        <w:numPr>
          <w:ilvl w:val="0"/>
          <w:numId w:val="0"/>
        </w:numPr>
        <w:ind w:left="1134"/>
      </w:pPr>
      <w:r>
        <w:t>First, government agencies and the private sector are often unclear on how to develop and use AI lawfully, ethically and in conformity with human rights. An AI Safety Commissioner could provide expert guidance on how to comply with laws and ethical standards that apply to the development and use of AI.</w:t>
      </w:r>
    </w:p>
    <w:p w14:paraId="22AA11BE" w14:textId="0A71DADD" w:rsidR="00041CC9" w:rsidRDefault="00041CC9" w:rsidP="00574772">
      <w:pPr>
        <w:pStyle w:val="ListNumber"/>
        <w:numPr>
          <w:ilvl w:val="0"/>
          <w:numId w:val="0"/>
        </w:numPr>
        <w:ind w:left="1134"/>
      </w:pPr>
      <w:r>
        <w:t>Secondly, regulators face the challenge of fulfilling their functions even as the bodies they regulate make important changes to how they operate. An AI Safety Commissioner could play a key role in building the capacity of existing regulators and, through them, of the broader ‘regulatory ecosystem’ to adapt and respond to the rise of AI.</w:t>
      </w:r>
    </w:p>
    <w:p w14:paraId="30958174" w14:textId="324D1D6E" w:rsidR="00041CC9" w:rsidRDefault="00041CC9" w:rsidP="00574772">
      <w:pPr>
        <w:pStyle w:val="ListNumber"/>
        <w:numPr>
          <w:ilvl w:val="0"/>
          <w:numId w:val="0"/>
        </w:numPr>
        <w:ind w:left="1134"/>
      </w:pPr>
      <w:r>
        <w:t>Thirdly, legislators and policy makers are under unprecedented pressure to ensure Australia has the right law and policy settings to address risks and take opportunities connected to the rise of AI. An AI Safety Commissioner could monitor trends in the use of AI here and overseas. This would help it to be a source of robust, independent expertise.</w:t>
      </w:r>
    </w:p>
    <w:p w14:paraId="6BFEB5D4" w14:textId="54B6E2F6" w:rsidR="00041CC9" w:rsidRDefault="00041CC9" w:rsidP="00574772">
      <w:pPr>
        <w:pStyle w:val="ListNumber"/>
        <w:numPr>
          <w:ilvl w:val="0"/>
          <w:numId w:val="0"/>
        </w:numPr>
        <w:ind w:left="1134"/>
      </w:pPr>
      <w:r>
        <w:lastRenderedPageBreak/>
        <w:t>As an independent statutory office that champions the public interest, including human rights, an AI Safety Commissioner could help build public trust in the safe use of AI.</w:t>
      </w:r>
      <w:r w:rsidR="001027C1">
        <w:rPr>
          <w:rStyle w:val="EndnoteReference"/>
        </w:rPr>
        <w:endnoteReference w:id="43"/>
      </w:r>
    </w:p>
    <w:p w14:paraId="36D57A4A" w14:textId="7DD5F86E" w:rsidR="00A95D3F" w:rsidRDefault="00A95D3F" w:rsidP="00A95D3F">
      <w:pPr>
        <w:pStyle w:val="ListNumber"/>
      </w:pPr>
      <w:r>
        <w:t>A more detailed explanation of the role of an AI Safety Commissioner can be found at pages 125–135 of the Final Report.</w:t>
      </w:r>
    </w:p>
    <w:p w14:paraId="011BDBB8" w14:textId="0EDDB897" w:rsidR="00F36AD9" w:rsidRDefault="004F50D2" w:rsidP="000F2D39">
      <w:pPr>
        <w:pStyle w:val="ListNumber"/>
      </w:pPr>
      <w:r>
        <w:t xml:space="preserve">Although the above </w:t>
      </w:r>
      <w:r w:rsidR="00041CC9">
        <w:t>is</w:t>
      </w:r>
      <w:r>
        <w:t xml:space="preserve"> specific to Australia, the </w:t>
      </w:r>
      <w:r w:rsidR="00041CC9">
        <w:t>notion</w:t>
      </w:r>
      <w:r>
        <w:t xml:space="preserve"> </w:t>
      </w:r>
      <w:r w:rsidR="000F6574">
        <w:t xml:space="preserve">is </w:t>
      </w:r>
      <w:r>
        <w:t xml:space="preserve">applicable more broadly. </w:t>
      </w:r>
      <w:r w:rsidR="00A95D3F">
        <w:t>All countries would benefit from the creation of such an independent statutory body to better promote the regulation of AI</w:t>
      </w:r>
      <w:r w:rsidR="00D13710">
        <w:t xml:space="preserve"> within their countries</w:t>
      </w:r>
      <w:r w:rsidR="00A95D3F">
        <w:t>.</w:t>
      </w:r>
    </w:p>
    <w:p w14:paraId="44A8C937" w14:textId="77777777" w:rsidR="00B163CF" w:rsidRDefault="00B163CF" w:rsidP="007742E5">
      <w:pPr>
        <w:pStyle w:val="ListNumber"/>
        <w:numPr>
          <w:ilvl w:val="0"/>
          <w:numId w:val="0"/>
        </w:numPr>
        <w:ind w:left="360"/>
      </w:pPr>
    </w:p>
    <w:p w14:paraId="2042D323" w14:textId="507DCE72" w:rsidR="00500537" w:rsidRPr="003871D8" w:rsidRDefault="007742E5" w:rsidP="007742E5">
      <w:pPr>
        <w:pStyle w:val="ListNumber"/>
        <w:numPr>
          <w:ilvl w:val="0"/>
          <w:numId w:val="0"/>
        </w:numPr>
        <w:ind w:left="360"/>
        <w:rPr>
          <w:b/>
          <w:bCs/>
        </w:rPr>
      </w:pPr>
      <w:r w:rsidRPr="003871D8">
        <w:rPr>
          <w:b/>
          <w:bCs/>
        </w:rPr>
        <w:t xml:space="preserve">Recommendation </w:t>
      </w:r>
      <w:r w:rsidR="008110BD">
        <w:rPr>
          <w:b/>
          <w:bCs/>
        </w:rPr>
        <w:t>8</w:t>
      </w:r>
      <w:r w:rsidRPr="003871D8">
        <w:rPr>
          <w:b/>
          <w:bCs/>
        </w:rPr>
        <w:t xml:space="preserve">: </w:t>
      </w:r>
      <w:r w:rsidR="00760493" w:rsidRPr="00760493">
        <w:rPr>
          <w:b/>
          <w:bCs/>
        </w:rPr>
        <w:t>Countries should establish statutory bodies specifically focused on promoting and protecting human rights in respect of AI. These statutory bodies should also work towards advancing AI regulation. Such bodies must be independent and appropriately funded.</w:t>
      </w:r>
    </w:p>
    <w:p w14:paraId="557032D7" w14:textId="77777777" w:rsidR="00B163CF" w:rsidRDefault="00B163CF" w:rsidP="007742E5">
      <w:pPr>
        <w:pStyle w:val="ListNumber"/>
        <w:numPr>
          <w:ilvl w:val="0"/>
          <w:numId w:val="0"/>
        </w:numPr>
        <w:ind w:left="360"/>
      </w:pPr>
    </w:p>
    <w:p w14:paraId="1BA47EFB" w14:textId="124EB896" w:rsidR="00500537" w:rsidRDefault="00500537" w:rsidP="00500537">
      <w:pPr>
        <w:pStyle w:val="ListNumber"/>
      </w:pPr>
      <w:r>
        <w:t xml:space="preserve">However, </w:t>
      </w:r>
      <w:r w:rsidR="00537D94">
        <w:t>t</w:t>
      </w:r>
      <w:r>
        <w:t xml:space="preserve">he creation of such a body </w:t>
      </w:r>
      <w:r w:rsidR="00537D94">
        <w:t>will</w:t>
      </w:r>
      <w:r>
        <w:t xml:space="preserve"> take time. In the meantime, countries must build upon the capacity of existing regulators.</w:t>
      </w:r>
    </w:p>
    <w:p w14:paraId="54D9AA9E" w14:textId="77777777" w:rsidR="00500537" w:rsidRDefault="00500537" w:rsidP="00863225">
      <w:pPr>
        <w:pStyle w:val="ListNumber"/>
        <w:numPr>
          <w:ilvl w:val="0"/>
          <w:numId w:val="0"/>
        </w:numPr>
        <w:ind w:left="360"/>
      </w:pPr>
    </w:p>
    <w:p w14:paraId="46D2750A" w14:textId="7978BD43" w:rsidR="00500537" w:rsidRPr="00863225" w:rsidRDefault="00A95D3F" w:rsidP="00863225">
      <w:pPr>
        <w:pStyle w:val="ListNumber"/>
        <w:numPr>
          <w:ilvl w:val="0"/>
          <w:numId w:val="0"/>
        </w:numPr>
        <w:ind w:left="360"/>
        <w:rPr>
          <w:b/>
          <w:bCs/>
        </w:rPr>
      </w:pPr>
      <w:r w:rsidRPr="00863225">
        <w:rPr>
          <w:b/>
          <w:bCs/>
        </w:rPr>
        <w:t xml:space="preserve">Recommendation </w:t>
      </w:r>
      <w:r w:rsidR="00D45FF5">
        <w:rPr>
          <w:b/>
          <w:bCs/>
        </w:rPr>
        <w:t>9</w:t>
      </w:r>
      <w:r w:rsidRPr="00863225">
        <w:rPr>
          <w:b/>
          <w:bCs/>
        </w:rPr>
        <w:t xml:space="preserve">: </w:t>
      </w:r>
      <w:r w:rsidR="00863225">
        <w:rPr>
          <w:b/>
          <w:bCs/>
        </w:rPr>
        <w:t>Until a</w:t>
      </w:r>
      <w:r w:rsidR="002D23A4">
        <w:rPr>
          <w:b/>
          <w:bCs/>
        </w:rPr>
        <w:t>n independent</w:t>
      </w:r>
      <w:r w:rsidR="00863225">
        <w:rPr>
          <w:b/>
          <w:bCs/>
        </w:rPr>
        <w:t xml:space="preserve"> statutory body, as described in Recommendation </w:t>
      </w:r>
      <w:r w:rsidR="00D45FF5">
        <w:rPr>
          <w:b/>
          <w:bCs/>
        </w:rPr>
        <w:t>8</w:t>
      </w:r>
      <w:r w:rsidR="00863225">
        <w:rPr>
          <w:b/>
          <w:bCs/>
        </w:rPr>
        <w:t xml:space="preserve"> is implemented, c</w:t>
      </w:r>
      <w:r w:rsidRPr="00863225">
        <w:rPr>
          <w:b/>
          <w:bCs/>
        </w:rPr>
        <w:t xml:space="preserve">ountries must build the capacity of existing regulators, including by increasing funding, </w:t>
      </w:r>
      <w:r w:rsidR="00863225" w:rsidRPr="00863225">
        <w:rPr>
          <w:b/>
          <w:bCs/>
        </w:rPr>
        <w:t>to better respond to the human rights risks of AI.</w:t>
      </w:r>
    </w:p>
    <w:p w14:paraId="56698E4B" w14:textId="77777777" w:rsidR="00500537" w:rsidRDefault="00500537" w:rsidP="00863225">
      <w:pPr>
        <w:pStyle w:val="ListNumber"/>
        <w:numPr>
          <w:ilvl w:val="0"/>
          <w:numId w:val="0"/>
        </w:numPr>
        <w:ind w:left="360"/>
      </w:pPr>
    </w:p>
    <w:p w14:paraId="256D00C0" w14:textId="249AB14D" w:rsidR="0062268C" w:rsidRDefault="007308CA" w:rsidP="0062268C">
      <w:pPr>
        <w:pStyle w:val="Heading2"/>
      </w:pPr>
      <w:bookmarkStart w:id="30" w:name="_Toc133221679"/>
      <w:r>
        <w:t>Pessimism towards a timely legislative response</w:t>
      </w:r>
      <w:bookmarkEnd w:id="30"/>
    </w:p>
    <w:p w14:paraId="42C24D3E" w14:textId="76CE2A7D" w:rsidR="001E6B32" w:rsidRDefault="00FA2A5F" w:rsidP="00846360">
      <w:pPr>
        <w:pStyle w:val="ListNumber"/>
      </w:pPr>
      <w:r>
        <w:t xml:space="preserve">The Commission is </w:t>
      </w:r>
      <w:r w:rsidR="00E56E63">
        <w:t>alarmed by the rise of generative AI</w:t>
      </w:r>
      <w:r w:rsidR="00343E07">
        <w:t>,</w:t>
      </w:r>
      <w:r w:rsidR="00E56E63">
        <w:t xml:space="preserve"> and stresse</w:t>
      </w:r>
      <w:r>
        <w:t>s</w:t>
      </w:r>
      <w:r w:rsidR="00E56E63">
        <w:t xml:space="preserve"> that this </w:t>
      </w:r>
      <w:r w:rsidR="00777144">
        <w:t xml:space="preserve">necessitates </w:t>
      </w:r>
      <w:r w:rsidR="003D600C">
        <w:t xml:space="preserve">an effective and fast response to </w:t>
      </w:r>
      <w:r w:rsidR="00F30D72">
        <w:t>its</w:t>
      </w:r>
      <w:r w:rsidR="003D600C">
        <w:t xml:space="preserve"> regulation. </w:t>
      </w:r>
      <w:r w:rsidR="00777144">
        <w:t xml:space="preserve">This is supported by the </w:t>
      </w:r>
      <w:r w:rsidR="001E6B32">
        <w:t>Future of</w:t>
      </w:r>
      <w:r w:rsidR="0062268C">
        <w:t xml:space="preserve"> Life</w:t>
      </w:r>
      <w:r w:rsidR="00F30D72">
        <w:t>’s</w:t>
      </w:r>
      <w:r w:rsidR="001E6B32">
        <w:t xml:space="preserve"> </w:t>
      </w:r>
      <w:hyperlink r:id="rId30" w:history="1">
        <w:r w:rsidR="0062268C">
          <w:rPr>
            <w:rStyle w:val="Hyperlink"/>
          </w:rPr>
          <w:t>Pause Giant AI Experiments: An Open Letter</w:t>
        </w:r>
      </w:hyperlink>
      <w:r w:rsidR="001E6B32">
        <w:t xml:space="preserve"> which calls</w:t>
      </w:r>
      <w:r w:rsidR="004D762B">
        <w:t xml:space="preserve"> on:</w:t>
      </w:r>
    </w:p>
    <w:p w14:paraId="62FD4434" w14:textId="75DE691B" w:rsidR="004D762B" w:rsidRDefault="004D762B" w:rsidP="00574772">
      <w:pPr>
        <w:pStyle w:val="ListNumber"/>
        <w:numPr>
          <w:ilvl w:val="0"/>
          <w:numId w:val="0"/>
        </w:numPr>
        <w:ind w:left="1134"/>
      </w:pPr>
      <w:r w:rsidRPr="004D762B">
        <w:t>all AI labs to immediately pause for at least 6 months the training of AI systems more powerful than GPT-4. This pause should be public and verifiable, and include all key actors. If such a pause cannot be enacted quickly, governments should step in and institute a moratorium.</w:t>
      </w:r>
      <w:r w:rsidR="005355C1">
        <w:rPr>
          <w:rStyle w:val="EndnoteReference"/>
        </w:rPr>
        <w:endnoteReference w:id="44"/>
      </w:r>
    </w:p>
    <w:p w14:paraId="45C9D21A" w14:textId="70732518" w:rsidR="00126F2C" w:rsidRDefault="001A2713" w:rsidP="00781F17">
      <w:pPr>
        <w:pStyle w:val="ListNumber"/>
      </w:pPr>
      <w:r>
        <w:t>Unfortunately the</w:t>
      </w:r>
      <w:r w:rsidR="004D762B">
        <w:t xml:space="preserve"> open letter </w:t>
      </w:r>
      <w:r>
        <w:t xml:space="preserve">is </w:t>
      </w:r>
      <w:r w:rsidR="004D762B">
        <w:t>unlikely</w:t>
      </w:r>
      <w:r w:rsidR="00EE1170">
        <w:t xml:space="preserve"> </w:t>
      </w:r>
      <w:r w:rsidR="004D762B">
        <w:t>to have any real effect in regulating AI</w:t>
      </w:r>
      <w:r w:rsidR="00E30E34">
        <w:t>,</w:t>
      </w:r>
      <w:r w:rsidR="004D762B">
        <w:t xml:space="preserve"> or addressing potential risks of AI</w:t>
      </w:r>
      <w:r>
        <w:t>, due to its non-binding nature</w:t>
      </w:r>
      <w:r w:rsidR="00AD1660">
        <w:t xml:space="preserve">. </w:t>
      </w:r>
      <w:r w:rsidR="00126F2C">
        <w:t xml:space="preserve">It is also questionable if any governments are even capable of </w:t>
      </w:r>
      <w:r w:rsidR="001D6D28">
        <w:lastRenderedPageBreak/>
        <w:t>enforcing a moratorium</w:t>
      </w:r>
      <w:r w:rsidR="00126F2C">
        <w:t xml:space="preserve"> at such short notice</w:t>
      </w:r>
      <w:r w:rsidR="001D6D28">
        <w:t xml:space="preserve">. </w:t>
      </w:r>
      <w:r w:rsidR="00126F2C">
        <w:t>T</w:t>
      </w:r>
      <w:r w:rsidR="002A7945">
        <w:t xml:space="preserve">he </w:t>
      </w:r>
      <w:r w:rsidR="00126F2C">
        <w:t>in</w:t>
      </w:r>
      <w:r w:rsidR="002A7945">
        <w:t>ability of legislation and regulation to respond in a timely manner to new and emerging technologies</w:t>
      </w:r>
      <w:r w:rsidR="00126F2C">
        <w:t xml:space="preserve"> is disappointing</w:t>
      </w:r>
      <w:r w:rsidR="002A7945">
        <w:t>.</w:t>
      </w:r>
      <w:r w:rsidR="004B13FC">
        <w:t xml:space="preserve"> However</w:t>
      </w:r>
      <w:r w:rsidR="005355C1">
        <w:t>,</w:t>
      </w:r>
      <w:r w:rsidR="004B13FC">
        <w:t xml:space="preserve"> countries should still pursue legislative responses aimed at regulating AI.</w:t>
      </w:r>
    </w:p>
    <w:p w14:paraId="3B007029" w14:textId="43545C77" w:rsidR="00900AAF" w:rsidRDefault="007D79F1" w:rsidP="00147ABB">
      <w:pPr>
        <w:pStyle w:val="ListNumber"/>
      </w:pPr>
      <w:r>
        <w:t xml:space="preserve">It is important to note that </w:t>
      </w:r>
      <w:r w:rsidR="00126F2C">
        <w:t>some have indicated that</w:t>
      </w:r>
      <w:r w:rsidR="00607944">
        <w:t xml:space="preserve"> regulation may </w:t>
      </w:r>
      <w:r w:rsidR="00182698">
        <w:t xml:space="preserve">stymie innovation in the AI space. However, the Commission would emphasise that not all regulation is anti-innovation. </w:t>
      </w:r>
      <w:r w:rsidR="00147ABB">
        <w:t xml:space="preserve">In </w:t>
      </w:r>
      <w:r w:rsidR="00E30E34">
        <w:t>fact,</w:t>
      </w:r>
      <w:r w:rsidR="00147ABB">
        <w:t xml:space="preserve"> it is often the case that regulation may stimulate innovation and promote, rather than restrict, new activity.</w:t>
      </w:r>
      <w:r w:rsidR="00147ABB" w:rsidRPr="004C6EE3">
        <w:rPr>
          <w:rFonts w:asciiTheme="minorHAnsi" w:eastAsia="Times New Roman" w:hAnsiTheme="minorHAnsi"/>
          <w:kern w:val="2"/>
          <w:sz w:val="22"/>
          <w:szCs w:val="22"/>
          <w:vertAlign w:val="superscript"/>
          <w:lang w:eastAsia="en-US"/>
        </w:rPr>
        <w:endnoteReference w:id="45"/>
      </w:r>
      <w:r w:rsidR="00147ABB">
        <w:t xml:space="preserve"> </w:t>
      </w:r>
    </w:p>
    <w:p w14:paraId="75F3F4AF" w14:textId="492BB6E5" w:rsidR="00900AAF" w:rsidRDefault="00900AAF" w:rsidP="00900AAF">
      <w:pPr>
        <w:pStyle w:val="Heading2"/>
      </w:pPr>
      <w:bookmarkStart w:id="31" w:name="_Toc133221680"/>
      <w:r>
        <w:t>Safety by design</w:t>
      </w:r>
      <w:bookmarkEnd w:id="31"/>
    </w:p>
    <w:p w14:paraId="5D52778B" w14:textId="75FEBCCB" w:rsidR="0051361F" w:rsidRDefault="00E943DA" w:rsidP="0051361F">
      <w:pPr>
        <w:pStyle w:val="ListNumber"/>
      </w:pPr>
      <w:r>
        <w:t>T</w:t>
      </w:r>
      <w:r w:rsidR="00460D37">
        <w:t xml:space="preserve">he Compact should consider </w:t>
      </w:r>
      <w:r w:rsidR="00985F79">
        <w:t xml:space="preserve">upstream solutions to the risks of AI in the design and development phases of AI products. This mitigates the risk of harms occurring </w:t>
      </w:r>
      <w:r w:rsidR="00A423F7">
        <w:t xml:space="preserve">at later stages when AI products are deployed. </w:t>
      </w:r>
    </w:p>
    <w:p w14:paraId="6A9D3C6A" w14:textId="04D94555" w:rsidR="00E82348" w:rsidRDefault="002E0918" w:rsidP="000F2D39">
      <w:pPr>
        <w:pStyle w:val="ListNumber"/>
      </w:pPr>
      <w:r>
        <w:t>The Commission would point</w:t>
      </w:r>
      <w:r w:rsidR="00A423F7">
        <w:t xml:space="preserve"> to the </w:t>
      </w:r>
      <w:proofErr w:type="spellStart"/>
      <w:r w:rsidR="00A423F7">
        <w:t>eSafety</w:t>
      </w:r>
      <w:proofErr w:type="spellEnd"/>
      <w:r w:rsidR="00A423F7">
        <w:t xml:space="preserve"> Commissioner’s</w:t>
      </w:r>
      <w:r w:rsidR="007271A6">
        <w:t xml:space="preserve"> work in ensuring that technology companies apply</w:t>
      </w:r>
      <w:r w:rsidR="00A423F7">
        <w:t xml:space="preserve"> </w:t>
      </w:r>
      <w:hyperlink r:id="rId31" w:history="1">
        <w:r w:rsidR="00A423F7" w:rsidRPr="007271A6">
          <w:rPr>
            <w:rStyle w:val="Hyperlink"/>
          </w:rPr>
          <w:t>Safety by Design</w:t>
        </w:r>
      </w:hyperlink>
      <w:r w:rsidR="007271A6">
        <w:t xml:space="preserve">. </w:t>
      </w:r>
      <w:r w:rsidR="00D80ACB">
        <w:t xml:space="preserve">This initiative </w:t>
      </w:r>
      <w:r w:rsidR="00BC4227">
        <w:t>positions</w:t>
      </w:r>
      <w:r w:rsidR="00D80ACB">
        <w:t xml:space="preserve"> individual user safety and rights </w:t>
      </w:r>
      <w:r w:rsidR="00BC4227">
        <w:t xml:space="preserve">as a central component in the design and deployment of digital </w:t>
      </w:r>
      <w:r w:rsidR="00D061E7">
        <w:t>products and services.</w:t>
      </w:r>
      <w:r w:rsidR="00D061E7">
        <w:rPr>
          <w:rStyle w:val="EndnoteReference"/>
        </w:rPr>
        <w:endnoteReference w:id="46"/>
      </w:r>
      <w:r w:rsidR="00D061E7">
        <w:t xml:space="preserve"> </w:t>
      </w:r>
      <w:r w:rsidR="00222049">
        <w:t>It seeks to alter the technology industry’s ‘move fast and break things’ ethos.</w:t>
      </w:r>
      <w:r w:rsidR="00222049">
        <w:rPr>
          <w:rStyle w:val="EndnoteReference"/>
          <w:rFonts w:eastAsia="Times New Roman"/>
        </w:rPr>
        <w:endnoteReference w:id="47"/>
      </w:r>
    </w:p>
    <w:p w14:paraId="1479509E" w14:textId="753AC8EE" w:rsidR="00C32AD5" w:rsidRPr="00C32AD5" w:rsidRDefault="00C32AD5" w:rsidP="000F2D39">
      <w:pPr>
        <w:pStyle w:val="ListNumber"/>
      </w:pPr>
      <w:r>
        <w:t xml:space="preserve">Safety by Design </w:t>
      </w:r>
      <w:r>
        <w:rPr>
          <w:rFonts w:eastAsia="Times New Roman"/>
        </w:rPr>
        <w:t>includes a set of three fundamental Safety by Design principles:</w:t>
      </w:r>
    </w:p>
    <w:p w14:paraId="091CA54B" w14:textId="0C1C575B" w:rsidR="00C32AD5" w:rsidRDefault="00C32AD5" w:rsidP="00D45FF5">
      <w:pPr>
        <w:pStyle w:val="ListNumber"/>
        <w:numPr>
          <w:ilvl w:val="0"/>
          <w:numId w:val="23"/>
        </w:numPr>
        <w:rPr>
          <w:b/>
          <w:bCs/>
          <w:i/>
          <w:iCs/>
        </w:rPr>
      </w:pPr>
      <w:r w:rsidRPr="004D584C">
        <w:rPr>
          <w:b/>
          <w:bCs/>
        </w:rPr>
        <w:t>Service provider responsibilities:</w:t>
      </w:r>
      <w:r>
        <w:rPr>
          <w:b/>
          <w:bCs/>
          <w:i/>
          <w:iCs/>
        </w:rPr>
        <w:t xml:space="preserve"> </w:t>
      </w:r>
      <w:r>
        <w:t>The burden of safety should never fall solely upon the user. Online service providers must take reasonable steps to</w:t>
      </w:r>
      <w:r w:rsidR="00F165B9">
        <w:t xml:space="preserve"> ensure a </w:t>
      </w:r>
      <w:r>
        <w:t>safe</w:t>
      </w:r>
      <w:r w:rsidR="00F165B9">
        <w:t xml:space="preserve"> digital environment for users</w:t>
      </w:r>
      <w:r>
        <w:t xml:space="preserve">, </w:t>
      </w:r>
      <w:r w:rsidR="00F165B9">
        <w:t xml:space="preserve">in addition to </w:t>
      </w:r>
      <w:r>
        <w:t xml:space="preserve">having clear ways for </w:t>
      </w:r>
      <w:r w:rsidR="00F165B9">
        <w:t xml:space="preserve">individuals </w:t>
      </w:r>
      <w:r>
        <w:t>to lodge complaints.</w:t>
      </w:r>
    </w:p>
    <w:p w14:paraId="7B8B227E" w14:textId="360ABF00" w:rsidR="00C32AD5" w:rsidRDefault="00C32AD5" w:rsidP="00D45FF5">
      <w:pPr>
        <w:pStyle w:val="ListNumber"/>
        <w:numPr>
          <w:ilvl w:val="0"/>
          <w:numId w:val="22"/>
        </w:numPr>
        <w:rPr>
          <w:b/>
          <w:bCs/>
          <w:i/>
          <w:iCs/>
        </w:rPr>
      </w:pPr>
      <w:r w:rsidRPr="004D584C">
        <w:rPr>
          <w:b/>
          <w:bCs/>
        </w:rPr>
        <w:t>User empowerment and autonomy:</w:t>
      </w:r>
      <w:r>
        <w:t xml:space="preserve"> The dignity of users is of central importance</w:t>
      </w:r>
      <w:r w:rsidR="00F15396">
        <w:t xml:space="preserve">. </w:t>
      </w:r>
      <w:r>
        <w:t xml:space="preserve">Products and services should align with the best interests of </w:t>
      </w:r>
      <w:r w:rsidR="00F15396">
        <w:t xml:space="preserve">all </w:t>
      </w:r>
      <w:r>
        <w:t>users</w:t>
      </w:r>
      <w:r w:rsidR="00F15396">
        <w:t xml:space="preserve"> online.</w:t>
      </w:r>
    </w:p>
    <w:p w14:paraId="1B4C3C58" w14:textId="44F802D4" w:rsidR="00C32AD5" w:rsidRDefault="00C32AD5" w:rsidP="00D45FF5">
      <w:pPr>
        <w:pStyle w:val="ListNumber"/>
        <w:numPr>
          <w:ilvl w:val="0"/>
          <w:numId w:val="21"/>
        </w:numPr>
      </w:pPr>
      <w:r w:rsidRPr="004D584C">
        <w:rPr>
          <w:b/>
          <w:bCs/>
        </w:rPr>
        <w:t>Transparency and accountability:</w:t>
      </w:r>
      <w:r>
        <w:rPr>
          <w:b/>
          <w:bCs/>
          <w:i/>
          <w:iCs/>
        </w:rPr>
        <w:t xml:space="preserve"> </w:t>
      </w:r>
      <w:r>
        <w:t xml:space="preserve">Transparency and accountability are hallmarks of a robust approach to safety. </w:t>
      </w:r>
      <w:r w:rsidR="00F15396">
        <w:t xml:space="preserve">This ensures </w:t>
      </w:r>
      <w:r w:rsidR="00760E7E">
        <w:t xml:space="preserve">product and service providers operate in accordance with their </w:t>
      </w:r>
      <w:r>
        <w:t xml:space="preserve">published safety objectives, </w:t>
      </w:r>
      <w:r w:rsidR="00371EBB">
        <w:t>and</w:t>
      </w:r>
      <w:r>
        <w:t xml:space="preserve"> assist</w:t>
      </w:r>
      <w:r w:rsidR="00760E7E">
        <w:t>s</w:t>
      </w:r>
      <w:r>
        <w:t xml:space="preserve"> in educating and empowering users about</w:t>
      </w:r>
      <w:r w:rsidR="004C671A">
        <w:t xml:space="preserve"> how they can </w:t>
      </w:r>
      <w:r>
        <w:t>address safety concerns.</w:t>
      </w:r>
      <w:r w:rsidR="005355C1">
        <w:rPr>
          <w:rStyle w:val="EndnoteReference"/>
          <w:rFonts w:eastAsia="Times New Roman"/>
        </w:rPr>
        <w:endnoteReference w:id="48"/>
      </w:r>
    </w:p>
    <w:p w14:paraId="2C5848B8" w14:textId="4291DDBD" w:rsidR="004D584C" w:rsidRPr="004D584C" w:rsidRDefault="00606728" w:rsidP="002D2994">
      <w:pPr>
        <w:pStyle w:val="ListNumber"/>
      </w:pPr>
      <w:r>
        <w:t xml:space="preserve">This initiative is heavily influenced </w:t>
      </w:r>
      <w:r w:rsidR="003E5B3C">
        <w:t>by human rights, digital ethics and the need to design online environments which are human-centric.</w:t>
      </w:r>
      <w:r w:rsidR="003E5B3C">
        <w:rPr>
          <w:rStyle w:val="EndnoteReference"/>
        </w:rPr>
        <w:endnoteReference w:id="49"/>
      </w:r>
      <w:r w:rsidR="004F0A55">
        <w:t xml:space="preserve"> As all countries grapple with the risks posed by </w:t>
      </w:r>
      <w:r w:rsidR="009B3D11">
        <w:t xml:space="preserve">the meteoric rise of technological advancements, </w:t>
      </w:r>
      <w:r w:rsidR="00FB321D">
        <w:t>Safety by Design should be proactively considered during the design and development of products and services</w:t>
      </w:r>
      <w:r w:rsidR="004D584C" w:rsidRPr="00D13635">
        <w:rPr>
          <w:rFonts w:eastAsia="Times New Roman"/>
        </w:rPr>
        <w:t xml:space="preserve">. </w:t>
      </w:r>
    </w:p>
    <w:p w14:paraId="046B579E" w14:textId="77777777" w:rsidR="005C6D13" w:rsidRPr="005C6D13" w:rsidRDefault="004D584C" w:rsidP="00F3076B">
      <w:pPr>
        <w:pStyle w:val="ListNumber"/>
      </w:pPr>
      <w:r>
        <w:rPr>
          <w:rFonts w:eastAsia="Times New Roman"/>
        </w:rPr>
        <w:lastRenderedPageBreak/>
        <w:t xml:space="preserve">Such principles demonstrate the importance of proactive </w:t>
      </w:r>
      <w:r w:rsidR="00B42D73">
        <w:rPr>
          <w:rFonts w:eastAsia="Times New Roman"/>
        </w:rPr>
        <w:t xml:space="preserve">and human rights-centred design and deployment of technology. Recognition and commitment to </w:t>
      </w:r>
      <w:r w:rsidR="005C6D13">
        <w:rPr>
          <w:rFonts w:eastAsia="Times New Roman"/>
        </w:rPr>
        <w:t>such principles within the Compact would go far in mitigating the harms of AI.</w:t>
      </w:r>
    </w:p>
    <w:p w14:paraId="70FC2E74" w14:textId="024B0354" w:rsidR="004D584C" w:rsidRPr="004D584C" w:rsidRDefault="004D584C" w:rsidP="009148A4">
      <w:pPr>
        <w:pStyle w:val="ListNumber"/>
        <w:numPr>
          <w:ilvl w:val="0"/>
          <w:numId w:val="0"/>
        </w:numPr>
        <w:ind w:left="360"/>
      </w:pPr>
    </w:p>
    <w:p w14:paraId="7EA04C9D" w14:textId="524254B0" w:rsidR="005C6D13" w:rsidRPr="009148A4" w:rsidRDefault="005C6D13" w:rsidP="009148A4">
      <w:pPr>
        <w:pStyle w:val="ListNumber"/>
        <w:numPr>
          <w:ilvl w:val="0"/>
          <w:numId w:val="0"/>
        </w:numPr>
        <w:ind w:left="360"/>
        <w:rPr>
          <w:b/>
          <w:bCs/>
        </w:rPr>
      </w:pPr>
      <w:r w:rsidRPr="009148A4">
        <w:rPr>
          <w:b/>
          <w:bCs/>
        </w:rPr>
        <w:t xml:space="preserve">Recommendation </w:t>
      </w:r>
      <w:r w:rsidR="00B23F40">
        <w:rPr>
          <w:b/>
          <w:bCs/>
        </w:rPr>
        <w:t>10</w:t>
      </w:r>
      <w:r w:rsidRPr="009148A4">
        <w:rPr>
          <w:b/>
          <w:bCs/>
        </w:rPr>
        <w:t xml:space="preserve">: </w:t>
      </w:r>
      <w:r w:rsidR="00DE78D1" w:rsidRPr="00DE78D1">
        <w:rPr>
          <w:b/>
          <w:bCs/>
        </w:rPr>
        <w:t xml:space="preserve">The Compact recognise and include the </w:t>
      </w:r>
      <w:proofErr w:type="spellStart"/>
      <w:r w:rsidR="00DE78D1" w:rsidRPr="00DE78D1">
        <w:rPr>
          <w:b/>
          <w:bCs/>
        </w:rPr>
        <w:t>eSafety</w:t>
      </w:r>
      <w:proofErr w:type="spellEnd"/>
      <w:r w:rsidR="00DE78D1" w:rsidRPr="00DE78D1">
        <w:rPr>
          <w:b/>
          <w:bCs/>
        </w:rPr>
        <w:t xml:space="preserve"> Commissioner’s Safety by Design Principles</w:t>
      </w:r>
      <w:r w:rsidR="009148A4" w:rsidRPr="009148A4">
        <w:rPr>
          <w:b/>
          <w:bCs/>
        </w:rPr>
        <w:t>.</w:t>
      </w:r>
    </w:p>
    <w:p w14:paraId="7924B120" w14:textId="77777777" w:rsidR="005224A5" w:rsidRDefault="005224A5" w:rsidP="005224A5">
      <w:pPr>
        <w:pStyle w:val="ListNumber"/>
        <w:numPr>
          <w:ilvl w:val="0"/>
          <w:numId w:val="0"/>
        </w:numPr>
      </w:pPr>
    </w:p>
    <w:p w14:paraId="636F06F6" w14:textId="0C045F28" w:rsidR="005224A5" w:rsidRDefault="005224A5" w:rsidP="005224A5">
      <w:pPr>
        <w:pStyle w:val="Heading2"/>
      </w:pPr>
      <w:bookmarkStart w:id="32" w:name="_Toc133221681"/>
      <w:r>
        <w:t>Impact assessments</w:t>
      </w:r>
      <w:bookmarkEnd w:id="32"/>
    </w:p>
    <w:p w14:paraId="453004B9" w14:textId="58C3F229" w:rsidR="005224A5" w:rsidRPr="00B753E0" w:rsidRDefault="00AD76CB" w:rsidP="000773F2">
      <w:pPr>
        <w:pStyle w:val="ListNumber"/>
      </w:pPr>
      <w:r>
        <w:t>In the Commission’s Final Report</w:t>
      </w:r>
      <w:r w:rsidR="0035103B">
        <w:t>,</w:t>
      </w:r>
      <w:r>
        <w:t xml:space="preserve"> it was recommended that </w:t>
      </w:r>
      <w:r w:rsidR="00EA2FE2">
        <w:t xml:space="preserve">the AI Safety Commissioner should develop </w:t>
      </w:r>
      <w:r w:rsidR="005672FE" w:rsidRPr="005672FE">
        <w:rPr>
          <w:rFonts w:eastAsia="Times New Roman"/>
        </w:rPr>
        <w:t>a tool to assist private sector bodies undertake human rights impact assessments (HRIAs) in developing AI</w:t>
      </w:r>
      <w:r w:rsidR="005672FE">
        <w:rPr>
          <w:rFonts w:eastAsia="Times New Roman"/>
        </w:rPr>
        <w:t xml:space="preserve"> </w:t>
      </w:r>
      <w:r w:rsidR="005672FE" w:rsidRPr="005672FE">
        <w:rPr>
          <w:rFonts w:eastAsia="Times New Roman"/>
        </w:rPr>
        <w:t>informed decision-making systems. Th</w:t>
      </w:r>
      <w:r w:rsidR="000A1EC3">
        <w:rPr>
          <w:rFonts w:eastAsia="Times New Roman"/>
        </w:rPr>
        <w:t>is included recommending that th</w:t>
      </w:r>
      <w:r w:rsidR="005672FE" w:rsidRPr="005672FE">
        <w:rPr>
          <w:rFonts w:eastAsia="Times New Roman"/>
        </w:rPr>
        <w:t>e Australian Government should maintain a public register of completed HRIAs.</w:t>
      </w:r>
      <w:r w:rsidR="005672FE">
        <w:rPr>
          <w:rStyle w:val="EndnoteReference"/>
          <w:rFonts w:eastAsia="Times New Roman"/>
        </w:rPr>
        <w:endnoteReference w:id="50"/>
      </w:r>
    </w:p>
    <w:p w14:paraId="387311DF" w14:textId="651A5A05" w:rsidR="005672FE" w:rsidRDefault="005672FE" w:rsidP="000773F2">
      <w:pPr>
        <w:pStyle w:val="ListNumber"/>
      </w:pPr>
      <w:r>
        <w:rPr>
          <w:rFonts w:eastAsia="Times New Roman"/>
        </w:rPr>
        <w:t xml:space="preserve">HRIA tools </w:t>
      </w:r>
      <w:r w:rsidR="00081764">
        <w:t xml:space="preserve">assess how a new product, service, law or policy will engage human rights. </w:t>
      </w:r>
      <w:r w:rsidR="002F2825">
        <w:t>They</w:t>
      </w:r>
      <w:r w:rsidR="00081764">
        <w:t xml:space="preserve"> also provide a framework for ensuring adequate rights protections.</w:t>
      </w:r>
    </w:p>
    <w:p w14:paraId="6DEA9041" w14:textId="2DB9E3C1" w:rsidR="00081764" w:rsidRDefault="00951E77" w:rsidP="000773F2">
      <w:pPr>
        <w:pStyle w:val="ListNumber"/>
      </w:pPr>
      <w:r>
        <w:t>As noted in the Final Report:</w:t>
      </w:r>
    </w:p>
    <w:p w14:paraId="01E44518" w14:textId="294C469E" w:rsidR="00951E77" w:rsidRDefault="00162640" w:rsidP="008917BB">
      <w:pPr>
        <w:pStyle w:val="ListNumber"/>
        <w:numPr>
          <w:ilvl w:val="0"/>
          <w:numId w:val="0"/>
        </w:numPr>
        <w:ind w:left="1134"/>
      </w:pPr>
      <w:r>
        <w:t>HRIAs are increasingly being used by government, the private sector and civil society organisations to measure the risk to human rights posed by their activities, ensure that measures are put in place to address human rights risks, and support the availability of remedies for any human rights infringements.</w:t>
      </w:r>
      <w:r w:rsidR="0035103B">
        <w:rPr>
          <w:rStyle w:val="EndnoteReference"/>
        </w:rPr>
        <w:endnoteReference w:id="51"/>
      </w:r>
    </w:p>
    <w:p w14:paraId="50A94B96" w14:textId="703CCD54" w:rsidR="005224A5" w:rsidRDefault="00162640" w:rsidP="005224A5">
      <w:pPr>
        <w:pStyle w:val="ListNumber"/>
      </w:pPr>
      <w:r>
        <w:t xml:space="preserve">The Commission’s previous work </w:t>
      </w:r>
      <w:r w:rsidR="00DF6111">
        <w:t xml:space="preserve">has found strong support </w:t>
      </w:r>
      <w:r w:rsidR="0066177A">
        <w:t>from the public and private sectors, for the Australian Government to develop an HRIA tool and associated guidance for AI-informed decision making.</w:t>
      </w:r>
      <w:r w:rsidR="0035103B">
        <w:rPr>
          <w:rStyle w:val="EndnoteReference"/>
        </w:rPr>
        <w:endnoteReference w:id="52"/>
      </w:r>
    </w:p>
    <w:p w14:paraId="393AB3BC" w14:textId="3A176229" w:rsidR="000A2400" w:rsidRDefault="00517BCC" w:rsidP="005224A5">
      <w:pPr>
        <w:pStyle w:val="ListNumber"/>
      </w:pPr>
      <w:r>
        <w:t xml:space="preserve">Although the Commission’s work in advancing HRIAs </w:t>
      </w:r>
      <w:r w:rsidR="007D2FAD">
        <w:t xml:space="preserve">in respect of AI </w:t>
      </w:r>
      <w:r>
        <w:t xml:space="preserve">has been specific to the Australian </w:t>
      </w:r>
      <w:r w:rsidR="0071092F">
        <w:t>jurisdiction</w:t>
      </w:r>
      <w:r>
        <w:t xml:space="preserve">, </w:t>
      </w:r>
      <w:r w:rsidR="000A2400">
        <w:t xml:space="preserve">the use of HRIAs </w:t>
      </w:r>
      <w:r w:rsidR="0071092F">
        <w:t xml:space="preserve">globally </w:t>
      </w:r>
      <w:r w:rsidR="000A2400">
        <w:t>would help to identify and address human rights issues at the earliest stage of the design</w:t>
      </w:r>
      <w:r w:rsidR="007E6DC2">
        <w:t xml:space="preserve"> in </w:t>
      </w:r>
      <w:r w:rsidR="000A2400">
        <w:t>AI-informed decision-making systems.</w:t>
      </w:r>
      <w:r w:rsidR="0071092F">
        <w:t xml:space="preserve"> </w:t>
      </w:r>
    </w:p>
    <w:p w14:paraId="71D5B05E" w14:textId="77777777" w:rsidR="000A2400" w:rsidRDefault="000A2400" w:rsidP="00B753E0">
      <w:pPr>
        <w:pStyle w:val="ListNumber"/>
        <w:numPr>
          <w:ilvl w:val="0"/>
          <w:numId w:val="0"/>
        </w:numPr>
        <w:ind w:left="360"/>
      </w:pPr>
    </w:p>
    <w:p w14:paraId="0F86CA12" w14:textId="3E5058FE" w:rsidR="000A2400" w:rsidRPr="000773F2" w:rsidRDefault="000A2400" w:rsidP="00B753E0">
      <w:pPr>
        <w:pStyle w:val="ListNumber"/>
        <w:numPr>
          <w:ilvl w:val="0"/>
          <w:numId w:val="0"/>
        </w:numPr>
        <w:ind w:left="360"/>
      </w:pPr>
      <w:r w:rsidRPr="00B753E0">
        <w:rPr>
          <w:b/>
          <w:bCs/>
        </w:rPr>
        <w:t xml:space="preserve">Recommendation 11: </w:t>
      </w:r>
      <w:r w:rsidR="00742E36" w:rsidRPr="00742E36">
        <w:rPr>
          <w:b/>
          <w:bCs/>
        </w:rPr>
        <w:t>HRIAs should be conducted when developing all AI products.</w:t>
      </w:r>
    </w:p>
    <w:p w14:paraId="528645E0" w14:textId="77777777" w:rsidR="000A2400" w:rsidRDefault="000A2400" w:rsidP="00B753E0">
      <w:pPr>
        <w:pStyle w:val="ListNumber"/>
        <w:numPr>
          <w:ilvl w:val="0"/>
          <w:numId w:val="0"/>
        </w:numPr>
        <w:ind w:left="360"/>
      </w:pPr>
    </w:p>
    <w:p w14:paraId="6545353A" w14:textId="1E087D85" w:rsidR="001731BB" w:rsidRDefault="001731BB" w:rsidP="00957384">
      <w:pPr>
        <w:pStyle w:val="Heading1"/>
      </w:pPr>
      <w:bookmarkStart w:id="33" w:name="_Toc133221682"/>
      <w:r>
        <w:lastRenderedPageBreak/>
        <w:t>Applying human rights online</w:t>
      </w:r>
      <w:bookmarkEnd w:id="33"/>
    </w:p>
    <w:p w14:paraId="551EE150" w14:textId="2484872D" w:rsidR="009B62D8" w:rsidRDefault="009B62D8" w:rsidP="00A90217">
      <w:pPr>
        <w:pStyle w:val="ListNumber"/>
      </w:pPr>
      <w:r w:rsidRPr="009B62D8">
        <w:t>A common theme that emerged in the consultations was the diversity of human rights that were relevant online. Specific rights that were discussed as being particularly significant in the online context included:</w:t>
      </w:r>
    </w:p>
    <w:p w14:paraId="49A640C0" w14:textId="74E6192E" w:rsidR="00A90217" w:rsidRDefault="0059204D" w:rsidP="00D45FF5">
      <w:pPr>
        <w:pStyle w:val="ListNumber"/>
        <w:numPr>
          <w:ilvl w:val="0"/>
          <w:numId w:val="19"/>
        </w:numPr>
      </w:pPr>
      <w:r>
        <w:t>f</w:t>
      </w:r>
      <w:r w:rsidR="00A90217">
        <w:t>ree</w:t>
      </w:r>
      <w:r w:rsidR="00DA3973">
        <w:t>dom of expression</w:t>
      </w:r>
    </w:p>
    <w:p w14:paraId="1F2B7F74" w14:textId="357196FB" w:rsidR="00EC4C70" w:rsidRDefault="0059204D" w:rsidP="00D45FF5">
      <w:pPr>
        <w:pStyle w:val="ListNumber"/>
        <w:numPr>
          <w:ilvl w:val="0"/>
          <w:numId w:val="19"/>
        </w:numPr>
      </w:pPr>
      <w:r>
        <w:t>c</w:t>
      </w:r>
      <w:r w:rsidR="00EC4C70">
        <w:t xml:space="preserve">yberbullying </w:t>
      </w:r>
    </w:p>
    <w:p w14:paraId="0B08268D" w14:textId="06AE5F6F" w:rsidR="00EA4B7F" w:rsidRDefault="00CA2538" w:rsidP="00D45FF5">
      <w:pPr>
        <w:pStyle w:val="ListNumber"/>
        <w:numPr>
          <w:ilvl w:val="0"/>
          <w:numId w:val="19"/>
        </w:numPr>
      </w:pPr>
      <w:r>
        <w:t>i</w:t>
      </w:r>
      <w:r w:rsidR="00EA4B7F">
        <w:t>nternet freedom</w:t>
      </w:r>
    </w:p>
    <w:p w14:paraId="6A5048CB" w14:textId="2CA7F4B2" w:rsidR="00EA4B7F" w:rsidRDefault="00CA2538" w:rsidP="00D45FF5">
      <w:pPr>
        <w:pStyle w:val="ListNumber"/>
        <w:numPr>
          <w:ilvl w:val="0"/>
          <w:numId w:val="19"/>
        </w:numPr>
      </w:pPr>
      <w:r>
        <w:t>a</w:t>
      </w:r>
      <w:r w:rsidR="00EA4B7F">
        <w:t>ccess to digital infrastructure</w:t>
      </w:r>
    </w:p>
    <w:p w14:paraId="117D900E" w14:textId="705434B0" w:rsidR="00EA4B7F" w:rsidRDefault="00CA2538" w:rsidP="00D45FF5">
      <w:pPr>
        <w:pStyle w:val="ListNumber"/>
        <w:numPr>
          <w:ilvl w:val="0"/>
          <w:numId w:val="19"/>
        </w:numPr>
      </w:pPr>
      <w:r>
        <w:t>p</w:t>
      </w:r>
      <w:r w:rsidR="00EA4B7F">
        <w:t xml:space="preserve">rivacy online </w:t>
      </w:r>
    </w:p>
    <w:p w14:paraId="40420C9E" w14:textId="799F6522" w:rsidR="00EA4B7F" w:rsidRDefault="00CA2538" w:rsidP="00D45FF5">
      <w:pPr>
        <w:pStyle w:val="ListNumber"/>
        <w:numPr>
          <w:ilvl w:val="0"/>
          <w:numId w:val="19"/>
        </w:numPr>
      </w:pPr>
      <w:r>
        <w:t>d</w:t>
      </w:r>
      <w:r w:rsidR="00EA4B7F">
        <w:t xml:space="preserve">igital exclusion </w:t>
      </w:r>
    </w:p>
    <w:p w14:paraId="1CA95756" w14:textId="72F7B432" w:rsidR="00CA2538" w:rsidRDefault="00CA2538" w:rsidP="00D45FF5">
      <w:pPr>
        <w:pStyle w:val="ListNumber"/>
        <w:numPr>
          <w:ilvl w:val="0"/>
          <w:numId w:val="19"/>
        </w:numPr>
      </w:pPr>
      <w:r w:rsidRPr="00CA2538">
        <w:t xml:space="preserve">freedom of assembly </w:t>
      </w:r>
    </w:p>
    <w:p w14:paraId="3C887E5E" w14:textId="23C8E344" w:rsidR="00EA4B7F" w:rsidRDefault="00CA2538" w:rsidP="00D45FF5">
      <w:pPr>
        <w:pStyle w:val="ListNumber"/>
        <w:numPr>
          <w:ilvl w:val="0"/>
          <w:numId w:val="19"/>
        </w:numPr>
      </w:pPr>
      <w:r w:rsidRPr="00CA2538">
        <w:t>freedom of association</w:t>
      </w:r>
      <w:r>
        <w:t>.</w:t>
      </w:r>
    </w:p>
    <w:p w14:paraId="290ECBEC" w14:textId="679E0800" w:rsidR="00AD66CC" w:rsidRPr="008E7A11" w:rsidRDefault="008D0492" w:rsidP="004C1F61">
      <w:pPr>
        <w:pStyle w:val="ListNumber"/>
      </w:pPr>
      <w:r>
        <w:t xml:space="preserve">It is important to note that </w:t>
      </w:r>
      <w:r w:rsidR="56D07345">
        <w:t>the</w:t>
      </w:r>
      <w:r w:rsidR="26267C5A">
        <w:t xml:space="preserve"> broader discussion of human rights online can often </w:t>
      </w:r>
      <w:r w:rsidR="5814C837">
        <w:t xml:space="preserve">become limited to a narrow </w:t>
      </w:r>
      <w:r w:rsidR="370A4620">
        <w:t xml:space="preserve">understanding </w:t>
      </w:r>
      <w:r w:rsidR="5814C837">
        <w:t>o</w:t>
      </w:r>
      <w:r w:rsidR="56D07345">
        <w:t>f</w:t>
      </w:r>
      <w:r w:rsidR="5814C837">
        <w:t xml:space="preserve"> freedom of expression and the right to privacy. </w:t>
      </w:r>
      <w:r>
        <w:t>When examining this discourse</w:t>
      </w:r>
      <w:r w:rsidR="0035103B">
        <w:t>,</w:t>
      </w:r>
      <w:r>
        <w:t xml:space="preserve"> it is crucial to carefully consider h</w:t>
      </w:r>
      <w:r w:rsidR="370A4620" w:rsidRPr="008D0492">
        <w:rPr>
          <w:rFonts w:eastAsia="Times New Roman"/>
        </w:rPr>
        <w:t>ow the rights to privacy and free expression may manifest differently for different individuals and groups.</w:t>
      </w:r>
    </w:p>
    <w:p w14:paraId="0FE23D7E" w14:textId="0BED20A4" w:rsidR="008E7A11" w:rsidRPr="009206CE" w:rsidRDefault="008D0492" w:rsidP="00A90217">
      <w:pPr>
        <w:pStyle w:val="ListNumber"/>
      </w:pPr>
      <w:r>
        <w:t>Moreover</w:t>
      </w:r>
      <w:r w:rsidR="00A24CCD">
        <w:t>,</w:t>
      </w:r>
      <w:r>
        <w:t xml:space="preserve"> </w:t>
      </w:r>
      <w:r w:rsidR="4AA19D34" w:rsidRPr="1EB57796">
        <w:rPr>
          <w:rFonts w:eastAsia="Times New Roman"/>
        </w:rPr>
        <w:t>legal frameworks which protect human rights (such as privacy and safety laws) are not mutually exclusive</w:t>
      </w:r>
      <w:r w:rsidR="2DDA9ED4" w:rsidRPr="1EB57796">
        <w:rPr>
          <w:rFonts w:eastAsia="Times New Roman"/>
        </w:rPr>
        <w:t xml:space="preserve">, as tensions may exist </w:t>
      </w:r>
      <w:r w:rsidR="004B4BB9">
        <w:rPr>
          <w:rFonts w:eastAsia="Times New Roman"/>
        </w:rPr>
        <w:t xml:space="preserve">as </w:t>
      </w:r>
      <w:r w:rsidR="2DDA9ED4" w:rsidRPr="1EB57796">
        <w:rPr>
          <w:rFonts w:eastAsia="Times New Roman"/>
        </w:rPr>
        <w:t xml:space="preserve">between </w:t>
      </w:r>
      <w:r w:rsidR="004B4BB9">
        <w:rPr>
          <w:rFonts w:eastAsia="Times New Roman"/>
        </w:rPr>
        <w:t>these</w:t>
      </w:r>
      <w:r w:rsidR="004B4BB9" w:rsidRPr="1EB57796">
        <w:rPr>
          <w:rFonts w:eastAsia="Times New Roman"/>
        </w:rPr>
        <w:t xml:space="preserve"> </w:t>
      </w:r>
      <w:r w:rsidR="2DDA9ED4" w:rsidRPr="1EB57796">
        <w:rPr>
          <w:rFonts w:eastAsia="Times New Roman"/>
        </w:rPr>
        <w:t>frameworks. W</w:t>
      </w:r>
      <w:r w:rsidR="4AA19D34" w:rsidRPr="1EB57796">
        <w:rPr>
          <w:rFonts w:eastAsia="Times New Roman"/>
        </w:rPr>
        <w:t>here tensions do exist across frameworks, </w:t>
      </w:r>
      <w:r w:rsidR="2DDA9ED4" w:rsidRPr="1EB57796">
        <w:rPr>
          <w:rFonts w:eastAsia="Times New Roman"/>
        </w:rPr>
        <w:t>they</w:t>
      </w:r>
      <w:r w:rsidR="4AA19D34" w:rsidRPr="1EB57796">
        <w:rPr>
          <w:rFonts w:eastAsia="Times New Roman"/>
        </w:rPr>
        <w:t xml:space="preserve"> should be examined and addressed in a way that is proportionate and gives effect to the objectives of protecting and promoting human rights</w:t>
      </w:r>
      <w:r w:rsidR="23D8400F" w:rsidRPr="1EB57796">
        <w:rPr>
          <w:rFonts w:eastAsia="Times New Roman"/>
        </w:rPr>
        <w:t>.</w:t>
      </w:r>
    </w:p>
    <w:p w14:paraId="0A47FB3E" w14:textId="2988683C" w:rsidR="009206CE" w:rsidRDefault="00F10C52" w:rsidP="00A90217">
      <w:pPr>
        <w:pStyle w:val="ListNumber"/>
      </w:pPr>
      <w:r>
        <w:rPr>
          <w:rFonts w:eastAsia="Times New Roman"/>
        </w:rPr>
        <w:t xml:space="preserve">In promoting human rights online, countries need to </w:t>
      </w:r>
      <w:r>
        <w:t>apply existing rights to these online spaces, in lieu of developing new human rights which were modified for new and emerging technologies.</w:t>
      </w:r>
      <w:r w:rsidR="008D0492">
        <w:t xml:space="preserve"> Specific regard should also be held for how </w:t>
      </w:r>
      <w:r w:rsidR="001605D2">
        <w:t>tensions between rights and frameworks are considered.</w:t>
      </w:r>
    </w:p>
    <w:p w14:paraId="76243B00" w14:textId="77777777" w:rsidR="004D5B46" w:rsidRDefault="004D5B46" w:rsidP="004D5B46">
      <w:pPr>
        <w:pStyle w:val="ListNumber"/>
        <w:numPr>
          <w:ilvl w:val="0"/>
          <w:numId w:val="0"/>
        </w:numPr>
        <w:ind w:left="360"/>
      </w:pPr>
    </w:p>
    <w:p w14:paraId="70CE0644" w14:textId="2B532B91" w:rsidR="004D5B46" w:rsidRPr="004D5B46" w:rsidRDefault="004D5B46" w:rsidP="004D5B46">
      <w:pPr>
        <w:pStyle w:val="ListNumber"/>
        <w:numPr>
          <w:ilvl w:val="0"/>
          <w:numId w:val="0"/>
        </w:numPr>
        <w:ind w:left="360"/>
        <w:rPr>
          <w:b/>
          <w:bCs/>
        </w:rPr>
      </w:pPr>
      <w:r w:rsidRPr="004D5B46">
        <w:rPr>
          <w:b/>
          <w:bCs/>
        </w:rPr>
        <w:t>Recommendation 1</w:t>
      </w:r>
      <w:r w:rsidR="00E32ED1">
        <w:rPr>
          <w:b/>
          <w:bCs/>
        </w:rPr>
        <w:t>2</w:t>
      </w:r>
      <w:r w:rsidRPr="004D5B46">
        <w:rPr>
          <w:b/>
          <w:bCs/>
        </w:rPr>
        <w:t xml:space="preserve">: </w:t>
      </w:r>
      <w:r w:rsidR="000C5C2B" w:rsidRPr="000C5C2B">
        <w:rPr>
          <w:b/>
          <w:bCs/>
        </w:rPr>
        <w:t>To promote human rights in digital ecosystems, the Compact should apply pre-existing human rights – as opposed to creating novel rights only applicable to online environments</w:t>
      </w:r>
      <w:r w:rsidRPr="004D5B46">
        <w:rPr>
          <w:b/>
          <w:bCs/>
        </w:rPr>
        <w:t>.</w:t>
      </w:r>
    </w:p>
    <w:p w14:paraId="645049BE" w14:textId="77777777" w:rsidR="004D5B46" w:rsidRDefault="004D5B46" w:rsidP="004D5B46">
      <w:pPr>
        <w:pStyle w:val="ListNumber"/>
        <w:numPr>
          <w:ilvl w:val="0"/>
          <w:numId w:val="0"/>
        </w:numPr>
        <w:ind w:left="360"/>
      </w:pPr>
    </w:p>
    <w:p w14:paraId="1C2E20BE" w14:textId="26FA55D0" w:rsidR="004D5B46" w:rsidRDefault="5B3EFE9C" w:rsidP="008F13A8">
      <w:pPr>
        <w:pStyle w:val="ListNumber"/>
      </w:pPr>
      <w:r>
        <w:t xml:space="preserve">Existing human rights already apply offline, </w:t>
      </w:r>
      <w:r w:rsidR="02403616">
        <w:t xml:space="preserve">however they must also apply </w:t>
      </w:r>
      <w:r w:rsidR="2E13D003">
        <w:t>in the whole digital ecosystem</w:t>
      </w:r>
      <w:r w:rsidR="0E7E1B93">
        <w:t xml:space="preserve"> – and not just on the internet or in relation to specific online spaces or products.</w:t>
      </w:r>
    </w:p>
    <w:p w14:paraId="7CE86214" w14:textId="77777777" w:rsidR="00D85A57" w:rsidRDefault="00D85A57" w:rsidP="007A6AE3">
      <w:pPr>
        <w:pStyle w:val="ListNumber"/>
        <w:numPr>
          <w:ilvl w:val="0"/>
          <w:numId w:val="0"/>
        </w:numPr>
        <w:ind w:left="360"/>
      </w:pPr>
    </w:p>
    <w:p w14:paraId="4F75500E" w14:textId="19042246" w:rsidR="00D85A57" w:rsidRPr="007A6AE3" w:rsidRDefault="00D85A57" w:rsidP="007A6AE3">
      <w:pPr>
        <w:pStyle w:val="ListNumber"/>
        <w:numPr>
          <w:ilvl w:val="0"/>
          <w:numId w:val="0"/>
        </w:numPr>
        <w:ind w:left="360"/>
        <w:rPr>
          <w:b/>
          <w:bCs/>
        </w:rPr>
      </w:pPr>
      <w:r w:rsidRPr="007A6AE3">
        <w:rPr>
          <w:b/>
          <w:bCs/>
        </w:rPr>
        <w:t>Recommendation 1</w:t>
      </w:r>
      <w:r w:rsidR="00E32ED1">
        <w:rPr>
          <w:b/>
          <w:bCs/>
        </w:rPr>
        <w:t>3</w:t>
      </w:r>
      <w:r w:rsidRPr="007A6AE3">
        <w:rPr>
          <w:b/>
          <w:bCs/>
        </w:rPr>
        <w:t xml:space="preserve">: </w:t>
      </w:r>
      <w:r w:rsidR="009E4440" w:rsidRPr="009E4440">
        <w:rPr>
          <w:b/>
          <w:bCs/>
        </w:rPr>
        <w:t>Human rights must apply to the whole digital ecosystem.</w:t>
      </w:r>
    </w:p>
    <w:p w14:paraId="23CE53EF" w14:textId="77777777" w:rsidR="0059204D" w:rsidRDefault="0059204D" w:rsidP="0059204D">
      <w:pPr>
        <w:pStyle w:val="ListNumber"/>
        <w:numPr>
          <w:ilvl w:val="0"/>
          <w:numId w:val="0"/>
        </w:numPr>
        <w:ind w:left="360"/>
      </w:pPr>
    </w:p>
    <w:p w14:paraId="21EC6634" w14:textId="4FB66D09" w:rsidR="00C36EAB" w:rsidRDefault="00C36EAB" w:rsidP="00C36EAB">
      <w:pPr>
        <w:pStyle w:val="Heading2"/>
      </w:pPr>
      <w:bookmarkStart w:id="34" w:name="_Toc133221683"/>
      <w:r>
        <w:t>A model for regulation and promotion of human rights</w:t>
      </w:r>
      <w:bookmarkEnd w:id="34"/>
    </w:p>
    <w:p w14:paraId="5F550280" w14:textId="53416FE9" w:rsidR="00DD6AC8" w:rsidRDefault="00B44948" w:rsidP="00D57BA3">
      <w:pPr>
        <w:pStyle w:val="ListNumber"/>
      </w:pPr>
      <w:r w:rsidRPr="00B44948">
        <w:t>Unlike in non-digital environments, no individual government bears primary responsibility or accountability for the maintenance of human rights online. These digital spaces are primarily run by private businesses who do not bear the same responsibility as governments. This complicates how human rights can be protected online</w:t>
      </w:r>
      <w:r>
        <w:t>.</w:t>
      </w:r>
    </w:p>
    <w:p w14:paraId="5AE0D662" w14:textId="2309EE53" w:rsidR="00D57BA3" w:rsidRDefault="00D57BA3" w:rsidP="00D57BA3">
      <w:pPr>
        <w:pStyle w:val="ListNumber"/>
      </w:pPr>
      <w:r>
        <w:t>One method to best protect human rights online is to ensure that all stakeholders engage in human rights-centre</w:t>
      </w:r>
      <w:r w:rsidR="00A24CCD">
        <w:t>d</w:t>
      </w:r>
      <w:r>
        <w:t xml:space="preserve"> design and deployment of new and emerging technologies. </w:t>
      </w:r>
    </w:p>
    <w:p w14:paraId="7E8D5C6B" w14:textId="77777777" w:rsidR="00D57BA3" w:rsidRDefault="00D57BA3" w:rsidP="00D57BA3">
      <w:pPr>
        <w:pStyle w:val="ListNumber"/>
        <w:numPr>
          <w:ilvl w:val="0"/>
          <w:numId w:val="0"/>
        </w:numPr>
        <w:ind w:left="360"/>
      </w:pPr>
    </w:p>
    <w:p w14:paraId="101F6784" w14:textId="04287F6D" w:rsidR="00D57BA3" w:rsidRPr="00D57BA3" w:rsidRDefault="00D57BA3" w:rsidP="00D57BA3">
      <w:pPr>
        <w:pStyle w:val="ListNumber"/>
        <w:numPr>
          <w:ilvl w:val="0"/>
          <w:numId w:val="0"/>
        </w:numPr>
        <w:ind w:left="360"/>
        <w:rPr>
          <w:b/>
          <w:bCs/>
        </w:rPr>
      </w:pPr>
      <w:r w:rsidRPr="00D57BA3">
        <w:rPr>
          <w:b/>
          <w:bCs/>
        </w:rPr>
        <w:t>Recommendation 1</w:t>
      </w:r>
      <w:r w:rsidR="006B0321">
        <w:rPr>
          <w:b/>
          <w:bCs/>
        </w:rPr>
        <w:t>4</w:t>
      </w:r>
      <w:r w:rsidRPr="00D57BA3">
        <w:rPr>
          <w:b/>
          <w:bCs/>
        </w:rPr>
        <w:t xml:space="preserve">: </w:t>
      </w:r>
      <w:r w:rsidR="002571C1" w:rsidRPr="002571C1">
        <w:rPr>
          <w:b/>
          <w:bCs/>
        </w:rPr>
        <w:t>Stakeholders must commit to human rights-centre design and deployment of new and emerging technologies</w:t>
      </w:r>
      <w:r w:rsidRPr="00D57BA3">
        <w:rPr>
          <w:b/>
          <w:bCs/>
        </w:rPr>
        <w:t>.</w:t>
      </w:r>
    </w:p>
    <w:p w14:paraId="304295B1" w14:textId="77777777" w:rsidR="00D57BA3" w:rsidRDefault="00D57BA3" w:rsidP="00B753E0">
      <w:pPr>
        <w:pStyle w:val="ListNumber"/>
        <w:numPr>
          <w:ilvl w:val="0"/>
          <w:numId w:val="0"/>
        </w:numPr>
        <w:ind w:left="360"/>
      </w:pPr>
    </w:p>
    <w:p w14:paraId="3D63AF25" w14:textId="49C1ED98" w:rsidR="00FC5279" w:rsidRDefault="7CAA8065" w:rsidP="000F2D39">
      <w:pPr>
        <w:pStyle w:val="ListNumber"/>
      </w:pPr>
      <w:r>
        <w:t>Co-regulation is sometimes referred to as enforced self-regulation</w:t>
      </w:r>
      <w:r w:rsidR="7C2A8329">
        <w:t xml:space="preserve">, that is enforced, or threatened to be enforced, by </w:t>
      </w:r>
      <w:r w:rsidR="3EC1E0FC">
        <w:t>a regulator or government.</w:t>
      </w:r>
      <w:r w:rsidR="00BF2B90">
        <w:rPr>
          <w:rStyle w:val="EndnoteReference"/>
        </w:rPr>
        <w:endnoteReference w:id="53"/>
      </w:r>
      <w:r w:rsidR="7C2A8329">
        <w:t xml:space="preserve"> </w:t>
      </w:r>
      <w:r w:rsidR="17FE2E0B">
        <w:t xml:space="preserve">Co-regulation utilises the </w:t>
      </w:r>
      <w:r w:rsidR="3859FCAB">
        <w:t xml:space="preserve">know-how of those within industry, but ensures an external oversight mechanism to </w:t>
      </w:r>
      <w:r w:rsidR="798E4269">
        <w:t>encourage compliance.</w:t>
      </w:r>
      <w:r w:rsidR="00E36394">
        <w:rPr>
          <w:rStyle w:val="EndnoteReference"/>
        </w:rPr>
        <w:endnoteReference w:id="54"/>
      </w:r>
      <w:r w:rsidR="798E4269">
        <w:t xml:space="preserve"> Self-regulation without the </w:t>
      </w:r>
      <w:r w:rsidR="0E52DF5C">
        <w:t xml:space="preserve">threat </w:t>
      </w:r>
      <w:r w:rsidR="675ED48D">
        <w:t xml:space="preserve">of enforcement by a regulator </w:t>
      </w:r>
      <w:r w:rsidR="76753AE5">
        <w:t xml:space="preserve">has led to a formidable history of industry abuse of </w:t>
      </w:r>
      <w:r w:rsidR="003005BC">
        <w:t>the</w:t>
      </w:r>
      <w:r w:rsidR="76753AE5">
        <w:t xml:space="preserve"> self-regulation privilege.</w:t>
      </w:r>
      <w:r w:rsidR="004E16CF">
        <w:rPr>
          <w:rStyle w:val="EndnoteReference"/>
        </w:rPr>
        <w:endnoteReference w:id="55"/>
      </w:r>
    </w:p>
    <w:p w14:paraId="7E6B8985" w14:textId="0C85B100" w:rsidR="00675445" w:rsidRDefault="50C31412" w:rsidP="000F2D39">
      <w:pPr>
        <w:pStyle w:val="ListNumber"/>
      </w:pPr>
      <w:r>
        <w:t xml:space="preserve">To best ensure that human rights can be applied, and protected, </w:t>
      </w:r>
      <w:r w:rsidR="3A3C17C4">
        <w:t xml:space="preserve">an </w:t>
      </w:r>
      <w:r>
        <w:t>online model which focuses on co-regulation is preferred over self-regulation.</w:t>
      </w:r>
      <w:r w:rsidR="6E4F87BE">
        <w:t xml:space="preserve"> It will also be important to ensure that relevant stakeholders </w:t>
      </w:r>
      <w:r w:rsidR="07A1A8D4">
        <w:t xml:space="preserve">are consulted with when </w:t>
      </w:r>
      <w:r w:rsidR="1EFEDB09">
        <w:t>drafting or applying any model of promoting human rights online.</w:t>
      </w:r>
    </w:p>
    <w:p w14:paraId="6B366146" w14:textId="77777777" w:rsidR="00C36EAB" w:rsidRDefault="00C36EAB" w:rsidP="00D12950">
      <w:pPr>
        <w:pStyle w:val="ListNumber"/>
        <w:numPr>
          <w:ilvl w:val="0"/>
          <w:numId w:val="0"/>
        </w:numPr>
        <w:ind w:left="360"/>
      </w:pPr>
    </w:p>
    <w:p w14:paraId="579E3B83" w14:textId="017FFAD4" w:rsidR="00C36EAB" w:rsidRDefault="00C36EAB" w:rsidP="00D12950">
      <w:pPr>
        <w:pStyle w:val="ListNumber"/>
        <w:numPr>
          <w:ilvl w:val="0"/>
          <w:numId w:val="0"/>
        </w:numPr>
        <w:ind w:left="360"/>
      </w:pPr>
      <w:r w:rsidRPr="00F02A3D">
        <w:rPr>
          <w:b/>
          <w:bCs/>
        </w:rPr>
        <w:t xml:space="preserve">Recommendation </w:t>
      </w:r>
      <w:r w:rsidR="004B750B">
        <w:rPr>
          <w:b/>
          <w:bCs/>
        </w:rPr>
        <w:t>1</w:t>
      </w:r>
      <w:r w:rsidR="00FC55FE">
        <w:rPr>
          <w:b/>
          <w:bCs/>
        </w:rPr>
        <w:t>5</w:t>
      </w:r>
      <w:r w:rsidRPr="00F02A3D">
        <w:rPr>
          <w:b/>
          <w:bCs/>
        </w:rPr>
        <w:t>:</w:t>
      </w:r>
      <w:r w:rsidR="00675445">
        <w:rPr>
          <w:b/>
          <w:bCs/>
        </w:rPr>
        <w:t xml:space="preserve"> </w:t>
      </w:r>
      <w:r w:rsidR="00D16574" w:rsidRPr="00D16574">
        <w:rPr>
          <w:b/>
          <w:bCs/>
        </w:rPr>
        <w:t>Any model for regulation which seeks to protect human rights online must adopt a co-regulatory model. Such a model should be developed in collaboration with relevant stakeholders.</w:t>
      </w:r>
      <w:r w:rsidR="008D4F0A">
        <w:rPr>
          <w:b/>
          <w:bCs/>
        </w:rPr>
        <w:t xml:space="preserve"> </w:t>
      </w:r>
    </w:p>
    <w:p w14:paraId="46D042C3" w14:textId="5F5AD117" w:rsidR="00F02A3D" w:rsidRDefault="00F02A3D" w:rsidP="00D12950">
      <w:pPr>
        <w:pStyle w:val="ListNumber"/>
        <w:numPr>
          <w:ilvl w:val="0"/>
          <w:numId w:val="0"/>
        </w:numPr>
        <w:ind w:left="360"/>
      </w:pPr>
    </w:p>
    <w:p w14:paraId="5184336F" w14:textId="2733DFA4" w:rsidR="00F02A3D" w:rsidRDefault="00CD5F4B" w:rsidP="00F02A3D">
      <w:pPr>
        <w:pStyle w:val="ListNumber"/>
      </w:pPr>
      <w:r>
        <w:t>W</w:t>
      </w:r>
      <w:r w:rsidR="26FDEBB1">
        <w:t>hen discussing these rights</w:t>
      </w:r>
      <w:r w:rsidR="507FE59D">
        <w:t>,</w:t>
      </w:r>
      <w:r w:rsidR="26FDEBB1">
        <w:t xml:space="preserve"> regard must be had for vulnerable people</w:t>
      </w:r>
      <w:r w:rsidR="0F855084">
        <w:t xml:space="preserve"> and people with disability</w:t>
      </w:r>
      <w:r w:rsidR="26FDEBB1">
        <w:t xml:space="preserve"> who are often</w:t>
      </w:r>
      <w:r w:rsidR="45255607">
        <w:t xml:space="preserve"> unable to fully enjoy</w:t>
      </w:r>
      <w:r w:rsidR="26FDEBB1">
        <w:t xml:space="preserve"> the benefits of new and emerging technologies. </w:t>
      </w:r>
      <w:r w:rsidR="0F855084">
        <w:t>R</w:t>
      </w:r>
      <w:r w:rsidR="26FDEBB1">
        <w:t>egard must</w:t>
      </w:r>
      <w:r>
        <w:t xml:space="preserve"> also</w:t>
      </w:r>
      <w:r w:rsidR="26FDEBB1">
        <w:t xml:space="preserve"> be had for the </w:t>
      </w:r>
      <w:r w:rsidR="26FDEBB1">
        <w:lastRenderedPageBreak/>
        <w:t xml:space="preserve">maintenance and protection of human rights for </w:t>
      </w:r>
      <w:r w:rsidR="0F855084">
        <w:t>all people</w:t>
      </w:r>
      <w:r w:rsidR="5E252E2C">
        <w:t xml:space="preserve"> including </w:t>
      </w:r>
      <w:r w:rsidR="6CD8A8DD">
        <w:t>children, young people, elderly people,</w:t>
      </w:r>
      <w:r w:rsidR="53CBCB0B">
        <w:t xml:space="preserve"> indigenous people,</w:t>
      </w:r>
      <w:r w:rsidR="6CD8A8DD">
        <w:t xml:space="preserve"> people with disability and people without access to technology or internet</w:t>
      </w:r>
      <w:r w:rsidR="26FDEBB1">
        <w:t xml:space="preserve">. </w:t>
      </w:r>
    </w:p>
    <w:p w14:paraId="46B884D1" w14:textId="77777777" w:rsidR="00F02A3D" w:rsidRDefault="00F02A3D" w:rsidP="00903B12">
      <w:pPr>
        <w:pStyle w:val="ListNumber"/>
        <w:numPr>
          <w:ilvl w:val="0"/>
          <w:numId w:val="0"/>
        </w:numPr>
        <w:ind w:left="360"/>
      </w:pPr>
    </w:p>
    <w:p w14:paraId="732ACBB4" w14:textId="328116D5" w:rsidR="007E4CB2" w:rsidRPr="00903B12" w:rsidRDefault="007E4CB2" w:rsidP="00903B12">
      <w:pPr>
        <w:pStyle w:val="ListNumber"/>
        <w:numPr>
          <w:ilvl w:val="0"/>
          <w:numId w:val="0"/>
        </w:numPr>
        <w:ind w:left="360"/>
        <w:rPr>
          <w:b/>
          <w:bCs/>
        </w:rPr>
      </w:pPr>
      <w:r w:rsidRPr="00903B12">
        <w:rPr>
          <w:b/>
          <w:bCs/>
        </w:rPr>
        <w:t>Recommendation 1</w:t>
      </w:r>
      <w:r w:rsidR="00B77F5E">
        <w:rPr>
          <w:b/>
          <w:bCs/>
        </w:rPr>
        <w:t>6</w:t>
      </w:r>
      <w:r w:rsidRPr="00903B12">
        <w:rPr>
          <w:b/>
          <w:bCs/>
        </w:rPr>
        <w:t xml:space="preserve">: </w:t>
      </w:r>
      <w:r w:rsidR="001F4E1E" w:rsidRPr="001F4E1E">
        <w:rPr>
          <w:b/>
          <w:bCs/>
        </w:rPr>
        <w:t>The Compact must ensure that all people can reap the benefits of new technologies – while also having their human rights promoted and protected.</w:t>
      </w:r>
    </w:p>
    <w:p w14:paraId="5E1513A0" w14:textId="77777777" w:rsidR="007E4CB2" w:rsidRDefault="007E4CB2" w:rsidP="00903B12">
      <w:pPr>
        <w:pStyle w:val="ListNumber"/>
        <w:numPr>
          <w:ilvl w:val="0"/>
          <w:numId w:val="0"/>
        </w:numPr>
        <w:ind w:left="360"/>
      </w:pPr>
    </w:p>
    <w:p w14:paraId="61FA33CD" w14:textId="77AD25A1" w:rsidR="00241F6A" w:rsidRDefault="00957384" w:rsidP="00241F6A">
      <w:pPr>
        <w:pStyle w:val="Heading1"/>
      </w:pPr>
      <w:bookmarkStart w:id="35" w:name="_Toc133221684"/>
      <w:r>
        <w:t>Introducing accountability criteria for discrimination and misleading content</w:t>
      </w:r>
      <w:bookmarkEnd w:id="35"/>
    </w:p>
    <w:p w14:paraId="24959884" w14:textId="7731028C" w:rsidR="00241F6A" w:rsidRDefault="00CD5F4B" w:rsidP="00241F6A">
      <w:pPr>
        <w:pStyle w:val="ListNumber"/>
      </w:pPr>
      <w:r>
        <w:t xml:space="preserve">The Commission </w:t>
      </w:r>
      <w:r w:rsidR="00D543F3">
        <w:t>questions</w:t>
      </w:r>
      <w:r w:rsidR="0D6490FC">
        <w:t xml:space="preserve"> how discriminatory and misleading content </w:t>
      </w:r>
      <w:r>
        <w:t>can</w:t>
      </w:r>
      <w:r w:rsidR="0D6490FC">
        <w:t xml:space="preserve"> be</w:t>
      </w:r>
      <w:r>
        <w:t xml:space="preserve"> effectively</w:t>
      </w:r>
      <w:r w:rsidR="0D6490FC">
        <w:t xml:space="preserve"> countered online. </w:t>
      </w:r>
      <w:r w:rsidR="75C84A49">
        <w:t>Combatting such content</w:t>
      </w:r>
      <w:r w:rsidR="0D6490FC">
        <w:t xml:space="preserve"> implicitly requires a right of reply – </w:t>
      </w:r>
      <w:r w:rsidR="0063539F" w:rsidRPr="0063539F">
        <w:t>which does</w:t>
      </w:r>
      <w:r w:rsidR="00D543F3">
        <w:t xml:space="preserve"> </w:t>
      </w:r>
      <w:r w:rsidR="0063539F" w:rsidRPr="0063539F">
        <w:t>n</w:t>
      </w:r>
      <w:r w:rsidR="00D543F3">
        <w:t>o</w:t>
      </w:r>
      <w:r w:rsidR="0063539F" w:rsidRPr="0063539F">
        <w:t>t automatically exist on digital platforms given their private ownership</w:t>
      </w:r>
      <w:r w:rsidR="0D6490FC">
        <w:t xml:space="preserve">. </w:t>
      </w:r>
      <w:r w:rsidR="00AD187F">
        <w:t>T</w:t>
      </w:r>
      <w:r w:rsidR="0D6490FC">
        <w:t>he time it take</w:t>
      </w:r>
      <w:r w:rsidR="00AD187F">
        <w:t>s</w:t>
      </w:r>
      <w:r w:rsidR="0D6490FC">
        <w:t xml:space="preserve"> to disprove </w:t>
      </w:r>
      <w:r w:rsidR="75C84A49">
        <w:t>misleading content</w:t>
      </w:r>
      <w:r w:rsidR="0D6490FC">
        <w:t xml:space="preserve"> </w:t>
      </w:r>
      <w:r w:rsidR="00AD187F">
        <w:t>is also</w:t>
      </w:r>
      <w:r w:rsidR="0D6490FC">
        <w:t xml:space="preserve"> too long when compared to how quickly</w:t>
      </w:r>
      <w:r w:rsidR="75C84A49">
        <w:t>,</w:t>
      </w:r>
      <w:r w:rsidR="0D6490FC">
        <w:t xml:space="preserve"> and efficiently</w:t>
      </w:r>
      <w:r w:rsidR="75C84A49">
        <w:t>,</w:t>
      </w:r>
      <w:r w:rsidR="0D6490FC">
        <w:t xml:space="preserve"> such misleading content can be created and circulated.</w:t>
      </w:r>
    </w:p>
    <w:p w14:paraId="3ADF6150" w14:textId="3DBBA01C" w:rsidR="00A4182A" w:rsidRDefault="00A4182A" w:rsidP="00A4182A">
      <w:pPr>
        <w:pStyle w:val="Heading2"/>
      </w:pPr>
      <w:bookmarkStart w:id="36" w:name="_Toc133221685"/>
      <w:r>
        <w:t>Model of regulation</w:t>
      </w:r>
      <w:bookmarkEnd w:id="36"/>
    </w:p>
    <w:p w14:paraId="5FF02603" w14:textId="3441A12F" w:rsidR="002102A8" w:rsidRDefault="001F2F32" w:rsidP="00846360">
      <w:pPr>
        <w:pStyle w:val="ListNumber"/>
      </w:pPr>
      <w:r>
        <w:t>T</w:t>
      </w:r>
      <w:r w:rsidR="6E99D7A9">
        <w:t xml:space="preserve">he </w:t>
      </w:r>
      <w:r w:rsidR="39C14386">
        <w:t xml:space="preserve">Human Rights Law Centre’s recent </w:t>
      </w:r>
      <w:hyperlink r:id="rId32">
        <w:r w:rsidR="39C14386" w:rsidRPr="1EB57796">
          <w:rPr>
            <w:rStyle w:val="Hyperlink"/>
          </w:rPr>
          <w:t xml:space="preserve">submission to the </w:t>
        </w:r>
        <w:r w:rsidR="7E1F077D" w:rsidRPr="1EB57796">
          <w:rPr>
            <w:rStyle w:val="Hyperlink"/>
          </w:rPr>
          <w:t>inquiry into the influence of international digital platforms</w:t>
        </w:r>
      </w:hyperlink>
      <w:r w:rsidR="7734868E">
        <w:t xml:space="preserve"> notes </w:t>
      </w:r>
      <w:r w:rsidR="0C465664">
        <w:t xml:space="preserve">the role that social media platforms play in driving </w:t>
      </w:r>
      <w:r w:rsidR="642E24CA">
        <w:t>t</w:t>
      </w:r>
      <w:r w:rsidR="259E5974">
        <w:t xml:space="preserve">he spread of disinformation and hate speech. </w:t>
      </w:r>
    </w:p>
    <w:p w14:paraId="74E3E21A" w14:textId="7168685D" w:rsidR="00610572" w:rsidRDefault="259E5974" w:rsidP="000F2D39">
      <w:pPr>
        <w:pStyle w:val="ListNumber"/>
      </w:pPr>
      <w:r>
        <w:t xml:space="preserve">Although Australia has been a world leader in </w:t>
      </w:r>
      <w:r w:rsidR="41DEC38C">
        <w:t>establish</w:t>
      </w:r>
      <w:r w:rsidR="026F9106">
        <w:t>ing</w:t>
      </w:r>
      <w:r w:rsidR="41DEC38C">
        <w:t xml:space="preserve"> the e-Safety Commissioner </w:t>
      </w:r>
      <w:r w:rsidR="026F9106">
        <w:t>(</w:t>
      </w:r>
      <w:r w:rsidR="41DEC38C">
        <w:t>which</w:t>
      </w:r>
      <w:r w:rsidR="026F9106">
        <w:t xml:space="preserve"> is </w:t>
      </w:r>
      <w:r w:rsidR="41DEC38C">
        <w:t>Australia’s independent regulator for online safety and is the world’s first government agency dedicated to keeping people safer online</w:t>
      </w:r>
      <w:r w:rsidR="026F9106">
        <w:t>)</w:t>
      </w:r>
      <w:r w:rsidR="001F2F32">
        <w:t>,</w:t>
      </w:r>
      <w:r w:rsidR="001812ED">
        <w:rPr>
          <w:rStyle w:val="EndnoteReference"/>
        </w:rPr>
        <w:endnoteReference w:id="56"/>
      </w:r>
      <w:r w:rsidR="026F9106">
        <w:t xml:space="preserve"> </w:t>
      </w:r>
      <w:r w:rsidR="4833F2E5">
        <w:t xml:space="preserve">Australia and other countries lag in regulating </w:t>
      </w:r>
      <w:r w:rsidR="508DDD07">
        <w:t xml:space="preserve">discrimination, hate speech and misleading content on digital platforms. </w:t>
      </w:r>
      <w:r w:rsidR="026F9106">
        <w:t xml:space="preserve"> </w:t>
      </w:r>
    </w:p>
    <w:p w14:paraId="4D48DA32" w14:textId="164F1601" w:rsidR="00232F2F" w:rsidRDefault="0B9B6937" w:rsidP="003D7C09">
      <w:pPr>
        <w:pStyle w:val="ListNumber"/>
      </w:pPr>
      <w:r>
        <w:t xml:space="preserve">One of the recommendations of the Human Rights Law Centre’s </w:t>
      </w:r>
      <w:hyperlink r:id="rId33">
        <w:r w:rsidRPr="1EB57796">
          <w:rPr>
            <w:rStyle w:val="Hyperlink"/>
          </w:rPr>
          <w:t>submission to the inquiry into the influence of international digital platforms</w:t>
        </w:r>
      </w:hyperlink>
      <w:r>
        <w:t xml:space="preserve"> </w:t>
      </w:r>
      <w:r w:rsidR="646CB858">
        <w:t xml:space="preserve">was a move away from self-regulatory and co-regulatory models for digital platforms, by replacing existing co-regulatory codes and ensuring new regulations are written by legislators or regulators. </w:t>
      </w:r>
    </w:p>
    <w:p w14:paraId="33248D07" w14:textId="36CB80EF" w:rsidR="00232F2F" w:rsidRDefault="7C2780CD" w:rsidP="000F2D39">
      <w:pPr>
        <w:pStyle w:val="ListNumber"/>
      </w:pPr>
      <w:r>
        <w:t>The submission further noted that:</w:t>
      </w:r>
    </w:p>
    <w:p w14:paraId="69ACBCB6" w14:textId="41C65A8B" w:rsidR="00E67B7A" w:rsidRDefault="001E76F8" w:rsidP="00574772">
      <w:pPr>
        <w:pStyle w:val="ListNumber"/>
        <w:numPr>
          <w:ilvl w:val="0"/>
          <w:numId w:val="0"/>
        </w:numPr>
        <w:ind w:left="1134"/>
      </w:pPr>
      <w:r>
        <w:t>In the EU,</w:t>
      </w:r>
      <w:r w:rsidR="00630B2F">
        <w:t xml:space="preserve"> the</w:t>
      </w:r>
      <w:r>
        <w:t xml:space="preserve"> </w:t>
      </w:r>
      <w:r w:rsidR="00630B2F">
        <w:t xml:space="preserve">introduction of the </w:t>
      </w:r>
      <w:r w:rsidR="00630B2F" w:rsidRPr="00B14032">
        <w:t>Digital Services Act</w:t>
      </w:r>
      <w:r w:rsidR="00630B2F">
        <w:t xml:space="preserve"> was driven by growing recognition that self- and co-regulatory models are inadequate and ineffective.</w:t>
      </w:r>
      <w:r w:rsidR="00490818" w:rsidRPr="00490818">
        <w:t xml:space="preserve"> </w:t>
      </w:r>
      <w:r w:rsidR="003B55E2" w:rsidRPr="00B14032">
        <w:t>…</w:t>
      </w:r>
      <w:r w:rsidR="003B55E2">
        <w:t xml:space="preserve"> </w:t>
      </w:r>
      <w:r w:rsidR="00490818" w:rsidRPr="00490818">
        <w:t>Regulator-drafted industry standards should be the norm.</w:t>
      </w:r>
      <w:r w:rsidR="003B55E2">
        <w:t xml:space="preserve"> … </w:t>
      </w:r>
      <w:r w:rsidR="003D7C09">
        <w:t xml:space="preserve">It is essential that the regulation of digital </w:t>
      </w:r>
      <w:r w:rsidR="003D7C09">
        <w:lastRenderedPageBreak/>
        <w:t>platforms in Australia evolve toward an</w:t>
      </w:r>
      <w:r w:rsidR="00232F2F">
        <w:t xml:space="preserve"> </w:t>
      </w:r>
      <w:r w:rsidR="003D7C09">
        <w:t>enforceable legal framework drafted by regulators and lawmakers and overseen by an appropriately</w:t>
      </w:r>
      <w:r w:rsidR="00232F2F">
        <w:t xml:space="preserve"> </w:t>
      </w:r>
      <w:r w:rsidR="003D7C09">
        <w:t>resourced and empowered regulator.</w:t>
      </w:r>
      <w:r w:rsidR="001812ED">
        <w:rPr>
          <w:rStyle w:val="EndnoteReference"/>
        </w:rPr>
        <w:endnoteReference w:id="57"/>
      </w:r>
    </w:p>
    <w:p w14:paraId="5F996E5E" w14:textId="2B7E4C3E" w:rsidR="00A66155" w:rsidRDefault="5CE1A6B6" w:rsidP="00846360">
      <w:pPr>
        <w:pStyle w:val="ListNumber"/>
      </w:pPr>
      <w:r>
        <w:t xml:space="preserve">This view differs from the co-regulatory model proposed in respect of </w:t>
      </w:r>
      <w:r w:rsidR="5D4230DB">
        <w:t>human rights more broadly</w:t>
      </w:r>
      <w:r w:rsidR="17D39CFE">
        <w:t xml:space="preserve">. However, the move away from a co-regulatory model in respect of countering discriminatory and misleading content </w:t>
      </w:r>
      <w:r w:rsidR="70B5F3A9">
        <w:t xml:space="preserve">is needed due to the profound harm it causes and difficulty in policing it. The Compact must recognise the need for countries to introduce domestic legislation which provides </w:t>
      </w:r>
      <w:r w:rsidR="680416E5">
        <w:t xml:space="preserve">an </w:t>
      </w:r>
      <w:r w:rsidR="70B5F3A9">
        <w:t xml:space="preserve">enforceable legal framework to counter </w:t>
      </w:r>
      <w:r w:rsidR="40950B3A">
        <w:t>discriminatory and misleading content.</w:t>
      </w:r>
    </w:p>
    <w:p w14:paraId="30E376BF" w14:textId="77777777" w:rsidR="002727B6" w:rsidRDefault="002727B6" w:rsidP="004D4E71">
      <w:pPr>
        <w:pStyle w:val="ListNumber"/>
        <w:numPr>
          <w:ilvl w:val="0"/>
          <w:numId w:val="0"/>
        </w:numPr>
        <w:ind w:left="360"/>
      </w:pPr>
    </w:p>
    <w:p w14:paraId="7CC0B301" w14:textId="3BB80483" w:rsidR="002727B6" w:rsidRPr="003A11FA" w:rsidRDefault="004D4E71" w:rsidP="004D4E71">
      <w:pPr>
        <w:pStyle w:val="ListNumber"/>
        <w:numPr>
          <w:ilvl w:val="0"/>
          <w:numId w:val="0"/>
        </w:numPr>
        <w:ind w:left="360"/>
        <w:rPr>
          <w:b/>
          <w:bCs/>
        </w:rPr>
      </w:pPr>
      <w:r w:rsidRPr="003A11FA">
        <w:rPr>
          <w:b/>
          <w:bCs/>
        </w:rPr>
        <w:t>Recommendation 1</w:t>
      </w:r>
      <w:r w:rsidR="009F5EEF">
        <w:rPr>
          <w:b/>
          <w:bCs/>
        </w:rPr>
        <w:t>7</w:t>
      </w:r>
      <w:r w:rsidRPr="003A11FA">
        <w:rPr>
          <w:b/>
          <w:bCs/>
        </w:rPr>
        <w:t xml:space="preserve">: </w:t>
      </w:r>
      <w:r w:rsidR="00ED2AF1" w:rsidRPr="003A11FA">
        <w:rPr>
          <w:b/>
          <w:bCs/>
        </w:rPr>
        <w:t xml:space="preserve">Countries should introduce enforceable domestic legislation </w:t>
      </w:r>
      <w:r w:rsidR="00153D16" w:rsidRPr="003A11FA">
        <w:rPr>
          <w:b/>
          <w:bCs/>
        </w:rPr>
        <w:t xml:space="preserve">which requires social media platforms </w:t>
      </w:r>
      <w:r w:rsidR="003A11FA" w:rsidRPr="003A11FA">
        <w:rPr>
          <w:b/>
          <w:bCs/>
        </w:rPr>
        <w:t>to better counter discriminatory and misleading content.</w:t>
      </w:r>
    </w:p>
    <w:p w14:paraId="276B4090" w14:textId="77777777" w:rsidR="002727B6" w:rsidRDefault="002727B6" w:rsidP="004D4E71">
      <w:pPr>
        <w:pStyle w:val="ListNumber"/>
        <w:numPr>
          <w:ilvl w:val="0"/>
          <w:numId w:val="0"/>
        </w:numPr>
        <w:ind w:left="360"/>
      </w:pPr>
    </w:p>
    <w:p w14:paraId="5BF45E63" w14:textId="264544F5" w:rsidR="003A2C41" w:rsidRDefault="1C36973B" w:rsidP="003A2C41">
      <w:pPr>
        <w:pStyle w:val="ListNumber"/>
      </w:pPr>
      <w:r>
        <w:t xml:space="preserve">Again, a large part of combatting </w:t>
      </w:r>
      <w:r w:rsidR="0D6490FC">
        <w:t>discriminatory</w:t>
      </w:r>
      <w:r w:rsidR="54BACC11">
        <w:t xml:space="preserve"> and misleading content</w:t>
      </w:r>
      <w:r>
        <w:t xml:space="preserve"> online </w:t>
      </w:r>
      <w:r w:rsidR="008C0C28">
        <w:t>is</w:t>
      </w:r>
      <w:r>
        <w:t xml:space="preserve"> by developing and deploying technologies which are not discriminatory</w:t>
      </w:r>
      <w:r w:rsidR="54BACC11">
        <w:t xml:space="preserve"> or misleading</w:t>
      </w:r>
      <w:r>
        <w:t xml:space="preserve"> in the first place</w:t>
      </w:r>
      <w:r w:rsidR="54BACC11">
        <w:t xml:space="preserve"> – or </w:t>
      </w:r>
      <w:r w:rsidR="344112EB">
        <w:t xml:space="preserve">that </w:t>
      </w:r>
      <w:r w:rsidR="54BACC11">
        <w:t xml:space="preserve">are at least capable of combatting such content upon deployment. </w:t>
      </w:r>
      <w:r>
        <w:t xml:space="preserve"> </w:t>
      </w:r>
    </w:p>
    <w:p w14:paraId="3C6C97A9" w14:textId="564FCE20" w:rsidR="0063539F" w:rsidRDefault="0063539F" w:rsidP="008B6A48">
      <w:pPr>
        <w:pStyle w:val="Heading2"/>
      </w:pPr>
      <w:bookmarkStart w:id="37" w:name="_Toc133221686"/>
      <w:r>
        <w:t>Freedom of expression</w:t>
      </w:r>
      <w:bookmarkEnd w:id="37"/>
      <w:r>
        <w:t xml:space="preserve"> </w:t>
      </w:r>
    </w:p>
    <w:p w14:paraId="0C4A7AD3" w14:textId="77777777" w:rsidR="007E12C0" w:rsidRDefault="007E12C0" w:rsidP="00C062C7">
      <w:pPr>
        <w:pStyle w:val="ListNumber"/>
      </w:pPr>
      <w:r>
        <w:t xml:space="preserve">Social media platforms, which function as a digital ‘town square’ for free speech and self-expression, are increasingly affected by censorship. </w:t>
      </w:r>
      <w:r w:rsidR="00C062C7">
        <w:t>T</w:t>
      </w:r>
      <w:r w:rsidR="00C062C7" w:rsidRPr="00D56FED">
        <w:t xml:space="preserve">he right to freedom of expression is often challenged in digital commons as users to seek to express their views on a wide range of topics. </w:t>
      </w:r>
    </w:p>
    <w:p w14:paraId="7B781959" w14:textId="77777777" w:rsidR="00B9313F" w:rsidRDefault="00C062C7" w:rsidP="00C062C7">
      <w:pPr>
        <w:pStyle w:val="ListNumber"/>
      </w:pPr>
      <w:r w:rsidRPr="00D56FED">
        <w:t>However, there is often a competing tension on where to draw the line between freedom of expression and content moderation. This is a line where reasonable minds may differ – however moderation should not unduly impact free speech, nor should hateful content be allowed to prosper under the guise of freedom of expression.</w:t>
      </w:r>
      <w:r>
        <w:t xml:space="preserve"> </w:t>
      </w:r>
    </w:p>
    <w:p w14:paraId="0CCCF02F" w14:textId="4BCC0579" w:rsidR="00F11640" w:rsidRDefault="00C062C7" w:rsidP="00F11640">
      <w:pPr>
        <w:pStyle w:val="ListNumber"/>
      </w:pPr>
      <w:r w:rsidRPr="00511DC9">
        <w:t>Transparency is the key to ensuring that any regulation which censors content does not unduly restrict the exercise of free speech</w:t>
      </w:r>
      <w:r w:rsidRPr="00C878A6">
        <w:t>.</w:t>
      </w:r>
      <w:r w:rsidR="00F11640">
        <w:t xml:space="preserve"> Where top-down regulation is utilised to counter discriminatory and misleading content, such regulation </w:t>
      </w:r>
      <w:r w:rsidR="00F11640" w:rsidRPr="00511DC9">
        <w:t>must maintain transparency in how they determine what content is to be moderated or censored to avoid producing a chilling effect on freedom of expression and democratic engagement online</w:t>
      </w:r>
      <w:r w:rsidR="00F11640">
        <w:t>.</w:t>
      </w:r>
    </w:p>
    <w:p w14:paraId="6583A546" w14:textId="77777777" w:rsidR="00C66F90" w:rsidRDefault="00C66F90" w:rsidP="008B6A48">
      <w:pPr>
        <w:pStyle w:val="ListNumber"/>
        <w:numPr>
          <w:ilvl w:val="0"/>
          <w:numId w:val="0"/>
        </w:numPr>
        <w:ind w:left="360"/>
      </w:pPr>
    </w:p>
    <w:p w14:paraId="091B86AB" w14:textId="03518B28" w:rsidR="00C062C7" w:rsidRPr="008B6A48" w:rsidRDefault="00C66F90" w:rsidP="008B6A48">
      <w:pPr>
        <w:pStyle w:val="ListNumber"/>
        <w:numPr>
          <w:ilvl w:val="0"/>
          <w:numId w:val="0"/>
        </w:numPr>
        <w:ind w:left="360"/>
        <w:rPr>
          <w:b/>
          <w:bCs/>
        </w:rPr>
      </w:pPr>
      <w:r w:rsidRPr="008B6A48">
        <w:rPr>
          <w:b/>
          <w:bCs/>
        </w:rPr>
        <w:lastRenderedPageBreak/>
        <w:t>Recommendation 18: Domestic legislation aimed at countering discriminatory and misleading content online must transparently set out how content is moderated and censored to avoid a chilling effect on free speech and democratic discourse.</w:t>
      </w:r>
    </w:p>
    <w:p w14:paraId="3A8F123C" w14:textId="77777777" w:rsidR="0063539F" w:rsidRDefault="0063539F" w:rsidP="008B6A48">
      <w:pPr>
        <w:pStyle w:val="ListNumber"/>
        <w:numPr>
          <w:ilvl w:val="0"/>
          <w:numId w:val="0"/>
        </w:numPr>
        <w:ind w:left="360"/>
      </w:pPr>
    </w:p>
    <w:p w14:paraId="4C7C3960" w14:textId="40727551" w:rsidR="00AD6AA9" w:rsidRDefault="00AD6AA9" w:rsidP="00AD6AA9">
      <w:pPr>
        <w:pStyle w:val="Heading1"/>
      </w:pPr>
      <w:bookmarkStart w:id="38" w:name="_Toc133221687"/>
      <w:r>
        <w:t xml:space="preserve">Recommendations </w:t>
      </w:r>
      <w:bookmarkEnd w:id="38"/>
    </w:p>
    <w:p w14:paraId="5C1365A9" w14:textId="77777777" w:rsidR="00C10975" w:rsidRDefault="31C05078" w:rsidP="00C10975">
      <w:pPr>
        <w:pStyle w:val="ListNumber"/>
      </w:pPr>
      <w:r>
        <w:t>The Commission makes the following recommendations.</w:t>
      </w:r>
    </w:p>
    <w:p w14:paraId="3AE9A92E" w14:textId="19809633" w:rsidR="00103B60" w:rsidRDefault="00103B60" w:rsidP="00103B60">
      <w:pPr>
        <w:pStyle w:val="ListNumber"/>
        <w:numPr>
          <w:ilvl w:val="0"/>
          <w:numId w:val="0"/>
        </w:numPr>
        <w:ind w:left="360"/>
        <w:rPr>
          <w:b/>
          <w:bCs/>
        </w:rPr>
      </w:pPr>
      <w:r w:rsidRPr="000C7650">
        <w:rPr>
          <w:b/>
          <w:bCs/>
        </w:rPr>
        <w:t xml:space="preserve">Recommendation 1 </w:t>
      </w:r>
    </w:p>
    <w:p w14:paraId="680F36A1" w14:textId="77A0CCC8" w:rsidR="00103B60" w:rsidRPr="00577C9B" w:rsidRDefault="00203C63" w:rsidP="00103B60">
      <w:pPr>
        <w:pStyle w:val="ListNumber"/>
        <w:numPr>
          <w:ilvl w:val="0"/>
          <w:numId w:val="0"/>
        </w:numPr>
        <w:ind w:left="360"/>
      </w:pPr>
      <w:r w:rsidRPr="00203C63">
        <w:t>Countries must consider models for protecting data and personal information online which do not place the primary onus on individuals to actively protect their personal information.</w:t>
      </w:r>
    </w:p>
    <w:p w14:paraId="559671A3" w14:textId="77777777" w:rsidR="00577C9B" w:rsidRDefault="00103B60" w:rsidP="00103B60">
      <w:pPr>
        <w:pStyle w:val="ListNumber"/>
        <w:numPr>
          <w:ilvl w:val="0"/>
          <w:numId w:val="0"/>
        </w:numPr>
        <w:ind w:left="360"/>
        <w:rPr>
          <w:b/>
          <w:bCs/>
        </w:rPr>
      </w:pPr>
      <w:r w:rsidRPr="00F21C9D">
        <w:rPr>
          <w:b/>
          <w:bCs/>
        </w:rPr>
        <w:t>Recommendation 2</w:t>
      </w:r>
    </w:p>
    <w:p w14:paraId="2AAFB5B3" w14:textId="37023A0C" w:rsidR="00103B60" w:rsidRPr="00577C9B" w:rsidRDefault="0034374F" w:rsidP="00103B60">
      <w:pPr>
        <w:pStyle w:val="ListNumber"/>
        <w:numPr>
          <w:ilvl w:val="0"/>
          <w:numId w:val="0"/>
        </w:numPr>
        <w:ind w:left="360"/>
      </w:pPr>
      <w:r w:rsidRPr="0034374F">
        <w:t>Countries should regularly engage in consultative reviews of the legislation which regulates privacy and data. Such reviews should specifically consider if the relevant legislation is technology neutral.</w:t>
      </w:r>
    </w:p>
    <w:p w14:paraId="7B6D4397" w14:textId="77777777" w:rsidR="00577C9B" w:rsidRDefault="00103B60" w:rsidP="00103B60">
      <w:pPr>
        <w:pStyle w:val="ListNumber"/>
        <w:numPr>
          <w:ilvl w:val="0"/>
          <w:numId w:val="0"/>
        </w:numPr>
        <w:ind w:left="360"/>
        <w:rPr>
          <w:b/>
          <w:bCs/>
        </w:rPr>
      </w:pPr>
      <w:r w:rsidRPr="007009B6">
        <w:rPr>
          <w:b/>
          <w:bCs/>
        </w:rPr>
        <w:t>Recommendation 3</w:t>
      </w:r>
    </w:p>
    <w:p w14:paraId="31DA6D7E" w14:textId="2C93F80D" w:rsidR="00103B60" w:rsidRPr="00577C9B" w:rsidRDefault="00836FFB" w:rsidP="00103B60">
      <w:pPr>
        <w:pStyle w:val="ListNumber"/>
        <w:numPr>
          <w:ilvl w:val="0"/>
          <w:numId w:val="0"/>
        </w:numPr>
        <w:ind w:left="360"/>
      </w:pPr>
      <w:r w:rsidRPr="00836FFB">
        <w:t xml:space="preserve">The Envoy should </w:t>
      </w:r>
      <w:r w:rsidR="00A93D5E">
        <w:t>apply</w:t>
      </w:r>
      <w:r w:rsidRPr="00836FFB">
        <w:t xml:space="preserve"> the Madrid Resolution and the ongoing work of the GPA in developing the Compact.</w:t>
      </w:r>
    </w:p>
    <w:p w14:paraId="42B2DD17" w14:textId="77777777" w:rsidR="00577C9B" w:rsidRPr="00577C9B" w:rsidRDefault="00103B60" w:rsidP="00103B60">
      <w:pPr>
        <w:pStyle w:val="ListNumber"/>
        <w:numPr>
          <w:ilvl w:val="0"/>
          <w:numId w:val="0"/>
        </w:numPr>
        <w:ind w:left="360"/>
        <w:rPr>
          <w:b/>
          <w:bCs/>
        </w:rPr>
      </w:pPr>
      <w:r w:rsidRPr="00577C9B">
        <w:rPr>
          <w:b/>
          <w:bCs/>
        </w:rPr>
        <w:t>Recommendation 4</w:t>
      </w:r>
    </w:p>
    <w:p w14:paraId="23A74FF8" w14:textId="261F2060" w:rsidR="00103B60" w:rsidRPr="006051BA" w:rsidRDefault="00656600" w:rsidP="00103B60">
      <w:pPr>
        <w:pStyle w:val="ListNumber"/>
        <w:numPr>
          <w:ilvl w:val="0"/>
          <w:numId w:val="0"/>
        </w:numPr>
        <w:ind w:left="360"/>
      </w:pPr>
      <w:r w:rsidRPr="00656600">
        <w:t xml:space="preserve">The Envoy should have regard </w:t>
      </w:r>
      <w:r w:rsidR="00AA06B0">
        <w:t>to</w:t>
      </w:r>
      <w:r w:rsidRPr="00656600">
        <w:t xml:space="preserve"> article 17 of the ICCPR in developing the Compact.</w:t>
      </w:r>
    </w:p>
    <w:p w14:paraId="7CB1C900" w14:textId="77777777" w:rsidR="00577C9B" w:rsidRPr="00577C9B" w:rsidRDefault="00103B60" w:rsidP="00103B60">
      <w:pPr>
        <w:pStyle w:val="ListNumber"/>
        <w:numPr>
          <w:ilvl w:val="0"/>
          <w:numId w:val="0"/>
        </w:numPr>
        <w:ind w:left="360"/>
        <w:rPr>
          <w:b/>
          <w:bCs/>
        </w:rPr>
      </w:pPr>
      <w:r w:rsidRPr="00577C9B">
        <w:rPr>
          <w:b/>
          <w:bCs/>
        </w:rPr>
        <w:t>Recommendation 5</w:t>
      </w:r>
    </w:p>
    <w:p w14:paraId="64B3A4B9" w14:textId="30F1FE71" w:rsidR="00103B60" w:rsidRPr="00E42A45" w:rsidRDefault="00F55A4D" w:rsidP="00103B60">
      <w:pPr>
        <w:pStyle w:val="ListNumber"/>
        <w:numPr>
          <w:ilvl w:val="0"/>
          <w:numId w:val="0"/>
        </w:numPr>
        <w:ind w:left="360"/>
      </w:pPr>
      <w:r w:rsidRPr="00F55A4D">
        <w:t xml:space="preserve">The Envoy should have regard for article 22 of the </w:t>
      </w:r>
      <w:r w:rsidRPr="001F6ED8">
        <w:rPr>
          <w:i/>
          <w:iCs/>
        </w:rPr>
        <w:t>Convention on the Rights of Persons with Disabilities</w:t>
      </w:r>
      <w:r w:rsidRPr="00F55A4D">
        <w:t xml:space="preserve"> and article 16 of the </w:t>
      </w:r>
      <w:r w:rsidRPr="001F6ED8">
        <w:rPr>
          <w:i/>
          <w:iCs/>
        </w:rPr>
        <w:t>Convention on the Rights of the Child</w:t>
      </w:r>
      <w:r w:rsidRPr="00F55A4D">
        <w:t xml:space="preserve"> in developing the Compact.</w:t>
      </w:r>
    </w:p>
    <w:p w14:paraId="2DD201B9" w14:textId="77777777" w:rsidR="00577C9B" w:rsidRPr="00577C9B" w:rsidRDefault="00103B60" w:rsidP="00103B60">
      <w:pPr>
        <w:pStyle w:val="ListNumber"/>
        <w:numPr>
          <w:ilvl w:val="0"/>
          <w:numId w:val="0"/>
        </w:numPr>
        <w:ind w:left="360"/>
        <w:rPr>
          <w:b/>
          <w:bCs/>
        </w:rPr>
      </w:pPr>
      <w:r w:rsidRPr="00577C9B">
        <w:rPr>
          <w:b/>
          <w:bCs/>
        </w:rPr>
        <w:t>Recommendation 6</w:t>
      </w:r>
    </w:p>
    <w:p w14:paraId="5AC33FEC" w14:textId="787FE024" w:rsidR="00103B60" w:rsidRPr="005F7E4A" w:rsidRDefault="00601392" w:rsidP="00103B60">
      <w:pPr>
        <w:pStyle w:val="ListNumber"/>
        <w:numPr>
          <w:ilvl w:val="0"/>
          <w:numId w:val="0"/>
        </w:numPr>
        <w:ind w:left="360"/>
      </w:pPr>
      <w:r w:rsidRPr="00601392">
        <w:t>Countries should ensure that their domestic legal framework includes protection for the right to privacy, with specific regard for the collection and use of data.</w:t>
      </w:r>
    </w:p>
    <w:p w14:paraId="1C1B7085" w14:textId="77777777" w:rsidR="00577C9B" w:rsidRPr="00577C9B" w:rsidRDefault="00103B60" w:rsidP="00103B60">
      <w:pPr>
        <w:pStyle w:val="ListNumber"/>
        <w:numPr>
          <w:ilvl w:val="0"/>
          <w:numId w:val="0"/>
        </w:numPr>
        <w:ind w:left="360"/>
        <w:rPr>
          <w:b/>
          <w:bCs/>
        </w:rPr>
      </w:pPr>
      <w:r w:rsidRPr="00577C9B">
        <w:rPr>
          <w:b/>
          <w:bCs/>
        </w:rPr>
        <w:t>Recommendation 7</w:t>
      </w:r>
    </w:p>
    <w:p w14:paraId="0F781E19" w14:textId="7D0936A4" w:rsidR="00103B60" w:rsidRPr="00080B47" w:rsidRDefault="00921C8B" w:rsidP="00103B60">
      <w:pPr>
        <w:pStyle w:val="ListNumber"/>
        <w:numPr>
          <w:ilvl w:val="0"/>
          <w:numId w:val="0"/>
        </w:numPr>
        <w:ind w:left="360"/>
      </w:pPr>
      <w:r w:rsidRPr="00921C8B">
        <w:t>Privacy legislation must be drafted in technology neutral terms.</w:t>
      </w:r>
    </w:p>
    <w:p w14:paraId="3AEAF4AD" w14:textId="77777777" w:rsidR="00577C9B" w:rsidRPr="00577C9B" w:rsidRDefault="00103B60" w:rsidP="00103B60">
      <w:pPr>
        <w:pStyle w:val="ListNumber"/>
        <w:numPr>
          <w:ilvl w:val="0"/>
          <w:numId w:val="0"/>
        </w:numPr>
        <w:ind w:left="360"/>
        <w:rPr>
          <w:b/>
          <w:bCs/>
        </w:rPr>
      </w:pPr>
      <w:r w:rsidRPr="00577C9B">
        <w:rPr>
          <w:b/>
          <w:bCs/>
        </w:rPr>
        <w:t>Recommendation 8</w:t>
      </w:r>
    </w:p>
    <w:p w14:paraId="0E276500" w14:textId="02C659EF" w:rsidR="00103B60" w:rsidRPr="003871D8" w:rsidRDefault="00711ACD" w:rsidP="00103B60">
      <w:pPr>
        <w:pStyle w:val="ListNumber"/>
        <w:numPr>
          <w:ilvl w:val="0"/>
          <w:numId w:val="0"/>
        </w:numPr>
        <w:ind w:left="360"/>
      </w:pPr>
      <w:r w:rsidRPr="00711ACD">
        <w:t xml:space="preserve">Countries should establish statutory bodies specifically focused on promoting and protecting human rights in respect of AI. These statutory bodies should </w:t>
      </w:r>
      <w:r w:rsidRPr="00711ACD">
        <w:lastRenderedPageBreak/>
        <w:t>also work towards advancing AI regulation. Such bodies must be independent and appropriately funded.</w:t>
      </w:r>
    </w:p>
    <w:p w14:paraId="0C3F8D10" w14:textId="77777777" w:rsidR="00577C9B" w:rsidRPr="00577C9B" w:rsidRDefault="00103B60" w:rsidP="00103B60">
      <w:pPr>
        <w:pStyle w:val="ListNumber"/>
        <w:numPr>
          <w:ilvl w:val="0"/>
          <w:numId w:val="0"/>
        </w:numPr>
        <w:ind w:left="360"/>
        <w:rPr>
          <w:b/>
          <w:bCs/>
        </w:rPr>
      </w:pPr>
      <w:r w:rsidRPr="00577C9B">
        <w:rPr>
          <w:b/>
          <w:bCs/>
        </w:rPr>
        <w:t>Recommendation 9</w:t>
      </w:r>
    </w:p>
    <w:p w14:paraId="185A6228" w14:textId="7B501E93" w:rsidR="00103B60" w:rsidRPr="00863225" w:rsidRDefault="00DD0740" w:rsidP="00103B60">
      <w:pPr>
        <w:pStyle w:val="ListNumber"/>
        <w:numPr>
          <w:ilvl w:val="0"/>
          <w:numId w:val="0"/>
        </w:numPr>
        <w:ind w:left="360"/>
      </w:pPr>
      <w:r w:rsidRPr="00DD0740">
        <w:t>Until an independent statutory body, as described in Recommendation 8 is implemented, countries must build the capacity of existing regulators, including by increasing funding, to better respond to the human rights risks of AI.</w:t>
      </w:r>
    </w:p>
    <w:p w14:paraId="2D4615F4" w14:textId="77777777" w:rsidR="00577C9B" w:rsidRPr="00577C9B" w:rsidRDefault="00103B60" w:rsidP="00103B60">
      <w:pPr>
        <w:pStyle w:val="ListNumber"/>
        <w:numPr>
          <w:ilvl w:val="0"/>
          <w:numId w:val="0"/>
        </w:numPr>
        <w:ind w:left="360"/>
        <w:rPr>
          <w:b/>
          <w:bCs/>
        </w:rPr>
      </w:pPr>
      <w:r w:rsidRPr="00577C9B">
        <w:rPr>
          <w:b/>
          <w:bCs/>
        </w:rPr>
        <w:t>Recommendation 10</w:t>
      </w:r>
    </w:p>
    <w:p w14:paraId="5E745200" w14:textId="21C2FA08" w:rsidR="00103B60" w:rsidRPr="009148A4" w:rsidRDefault="00437013" w:rsidP="00103B60">
      <w:pPr>
        <w:pStyle w:val="ListNumber"/>
        <w:numPr>
          <w:ilvl w:val="0"/>
          <w:numId w:val="0"/>
        </w:numPr>
        <w:ind w:left="360"/>
      </w:pPr>
      <w:r w:rsidRPr="00437013">
        <w:t xml:space="preserve">The Compact recognise and include the </w:t>
      </w:r>
      <w:proofErr w:type="spellStart"/>
      <w:r w:rsidRPr="00437013">
        <w:t>eSafety</w:t>
      </w:r>
      <w:proofErr w:type="spellEnd"/>
      <w:r w:rsidRPr="00437013">
        <w:t xml:space="preserve"> Commissioner’s Safety by Design Principles.</w:t>
      </w:r>
    </w:p>
    <w:p w14:paraId="5E5B1D38" w14:textId="77777777" w:rsidR="00577C9B" w:rsidRPr="00577C9B" w:rsidRDefault="00103B60" w:rsidP="00103B60">
      <w:pPr>
        <w:pStyle w:val="ListNumber"/>
        <w:numPr>
          <w:ilvl w:val="0"/>
          <w:numId w:val="0"/>
        </w:numPr>
        <w:ind w:left="360"/>
        <w:rPr>
          <w:b/>
          <w:bCs/>
        </w:rPr>
      </w:pPr>
      <w:r w:rsidRPr="00577C9B">
        <w:rPr>
          <w:b/>
          <w:bCs/>
        </w:rPr>
        <w:t>Recommendation 11</w:t>
      </w:r>
    </w:p>
    <w:p w14:paraId="2F7AB00E" w14:textId="66C40E81" w:rsidR="00103B60" w:rsidRPr="00F02A3D" w:rsidRDefault="006A7C53" w:rsidP="00103B60">
      <w:pPr>
        <w:pStyle w:val="ListNumber"/>
        <w:numPr>
          <w:ilvl w:val="0"/>
          <w:numId w:val="0"/>
        </w:numPr>
        <w:ind w:left="360"/>
      </w:pPr>
      <w:r w:rsidRPr="006A7C53">
        <w:t>HRIAs should be conducted when developing all AI products.</w:t>
      </w:r>
    </w:p>
    <w:p w14:paraId="3C409E1A" w14:textId="77777777" w:rsidR="00577C9B" w:rsidRPr="00577C9B" w:rsidRDefault="00103B60" w:rsidP="00103B60">
      <w:pPr>
        <w:pStyle w:val="ListNumber"/>
        <w:numPr>
          <w:ilvl w:val="0"/>
          <w:numId w:val="0"/>
        </w:numPr>
        <w:ind w:left="360"/>
        <w:rPr>
          <w:b/>
          <w:bCs/>
        </w:rPr>
      </w:pPr>
      <w:r w:rsidRPr="00577C9B">
        <w:rPr>
          <w:b/>
          <w:bCs/>
        </w:rPr>
        <w:t>Recommendation 12</w:t>
      </w:r>
    </w:p>
    <w:p w14:paraId="10C0CBB3" w14:textId="33D2E76E" w:rsidR="00103B60" w:rsidRDefault="00F9673B" w:rsidP="00103B60">
      <w:pPr>
        <w:pStyle w:val="ListNumber"/>
        <w:numPr>
          <w:ilvl w:val="0"/>
          <w:numId w:val="0"/>
        </w:numPr>
        <w:ind w:left="360"/>
      </w:pPr>
      <w:r w:rsidRPr="00F9673B">
        <w:t>To promote human rights in digital ecosystems, the Compact should apply pre-existing human rights – as opposed to creating novel rights only applicable to online environments.</w:t>
      </w:r>
    </w:p>
    <w:p w14:paraId="4295C3A1" w14:textId="77777777" w:rsidR="00577C9B" w:rsidRPr="00577C9B" w:rsidRDefault="00103B60" w:rsidP="00103B60">
      <w:pPr>
        <w:pStyle w:val="ListNumber"/>
        <w:numPr>
          <w:ilvl w:val="0"/>
          <w:numId w:val="0"/>
        </w:numPr>
        <w:ind w:left="360"/>
        <w:rPr>
          <w:b/>
          <w:bCs/>
        </w:rPr>
      </w:pPr>
      <w:r w:rsidRPr="00577C9B">
        <w:rPr>
          <w:b/>
          <w:bCs/>
        </w:rPr>
        <w:t>Recommendation 13</w:t>
      </w:r>
    </w:p>
    <w:p w14:paraId="4F5357DC" w14:textId="43CFC7FF" w:rsidR="00103B60" w:rsidRDefault="00DB041D" w:rsidP="00103B60">
      <w:pPr>
        <w:pStyle w:val="ListNumber"/>
        <w:numPr>
          <w:ilvl w:val="0"/>
          <w:numId w:val="0"/>
        </w:numPr>
        <w:ind w:left="360"/>
      </w:pPr>
      <w:r w:rsidRPr="00DB041D">
        <w:t>Human rights must apply to the whole digital ecosystem.</w:t>
      </w:r>
    </w:p>
    <w:p w14:paraId="1A95F759" w14:textId="77777777" w:rsidR="009A68C5" w:rsidRPr="009A68C5" w:rsidRDefault="009A68C5" w:rsidP="00103B60">
      <w:pPr>
        <w:pStyle w:val="ListNumber"/>
        <w:numPr>
          <w:ilvl w:val="0"/>
          <w:numId w:val="0"/>
        </w:numPr>
        <w:ind w:left="360"/>
        <w:rPr>
          <w:b/>
          <w:bCs/>
        </w:rPr>
      </w:pPr>
      <w:r w:rsidRPr="009A68C5">
        <w:rPr>
          <w:b/>
          <w:bCs/>
        </w:rPr>
        <w:t>Recommendation 14</w:t>
      </w:r>
    </w:p>
    <w:p w14:paraId="198BAAD5" w14:textId="5C74BBF6" w:rsidR="00A07F38" w:rsidRDefault="0030077C" w:rsidP="00103B60">
      <w:pPr>
        <w:pStyle w:val="ListNumber"/>
        <w:numPr>
          <w:ilvl w:val="0"/>
          <w:numId w:val="0"/>
        </w:numPr>
        <w:ind w:left="360"/>
      </w:pPr>
      <w:r w:rsidRPr="0030077C">
        <w:t>Stakeholders must commit to human rights-centre design and deployment of new and emerging technologies.</w:t>
      </w:r>
    </w:p>
    <w:p w14:paraId="0A76AF76" w14:textId="77777777" w:rsidR="006A02A7" w:rsidRPr="006A02A7" w:rsidRDefault="006A02A7" w:rsidP="00103B60">
      <w:pPr>
        <w:pStyle w:val="ListNumber"/>
        <w:numPr>
          <w:ilvl w:val="0"/>
          <w:numId w:val="0"/>
        </w:numPr>
        <w:ind w:left="360"/>
        <w:rPr>
          <w:b/>
          <w:bCs/>
        </w:rPr>
      </w:pPr>
      <w:r w:rsidRPr="006A02A7">
        <w:rPr>
          <w:b/>
          <w:bCs/>
        </w:rPr>
        <w:t>Recommendation 15</w:t>
      </w:r>
    </w:p>
    <w:p w14:paraId="22EC563F" w14:textId="70F5348E" w:rsidR="009A68C5" w:rsidRDefault="008043CD" w:rsidP="00103B60">
      <w:pPr>
        <w:pStyle w:val="ListNumber"/>
        <w:numPr>
          <w:ilvl w:val="0"/>
          <w:numId w:val="0"/>
        </w:numPr>
        <w:ind w:left="360"/>
      </w:pPr>
      <w:r w:rsidRPr="008043CD">
        <w:t>Any model for regulation which seeks to protect human rights online must adopt a co-regulatory model. Such a model should be developed in collaboration with relevant stakeholders..</w:t>
      </w:r>
      <w:r w:rsidR="006A02A7" w:rsidRPr="006A02A7">
        <w:t>.</w:t>
      </w:r>
    </w:p>
    <w:p w14:paraId="03B6365A" w14:textId="77777777" w:rsidR="00197BFA" w:rsidRPr="00197BFA" w:rsidRDefault="00197BFA" w:rsidP="00197BFA">
      <w:pPr>
        <w:pStyle w:val="ListNumber"/>
        <w:numPr>
          <w:ilvl w:val="0"/>
          <w:numId w:val="0"/>
        </w:numPr>
        <w:ind w:left="360"/>
        <w:rPr>
          <w:b/>
          <w:bCs/>
        </w:rPr>
      </w:pPr>
      <w:r w:rsidRPr="00197BFA">
        <w:rPr>
          <w:b/>
          <w:bCs/>
        </w:rPr>
        <w:t>Recommendation 16</w:t>
      </w:r>
    </w:p>
    <w:p w14:paraId="7F6C1D18" w14:textId="24E88A86" w:rsidR="00197BFA" w:rsidRDefault="001D3F76" w:rsidP="00197BFA">
      <w:pPr>
        <w:pStyle w:val="ListNumber"/>
        <w:numPr>
          <w:ilvl w:val="0"/>
          <w:numId w:val="0"/>
        </w:numPr>
        <w:ind w:left="360"/>
      </w:pPr>
      <w:r w:rsidRPr="001D3F76">
        <w:t>The Compact must ensure that all people can reap the benefits of new technologies – while also having their human rights promoted and protected.</w:t>
      </w:r>
    </w:p>
    <w:p w14:paraId="0CDCA1BD" w14:textId="77777777" w:rsidR="00C2748C" w:rsidRPr="00C2748C" w:rsidRDefault="00C2748C" w:rsidP="00C2748C">
      <w:pPr>
        <w:pStyle w:val="ListNumber"/>
        <w:numPr>
          <w:ilvl w:val="0"/>
          <w:numId w:val="0"/>
        </w:numPr>
        <w:ind w:left="360"/>
        <w:rPr>
          <w:b/>
          <w:bCs/>
        </w:rPr>
      </w:pPr>
      <w:r w:rsidRPr="00C2748C">
        <w:rPr>
          <w:b/>
          <w:bCs/>
        </w:rPr>
        <w:t>Recommendation 17</w:t>
      </w:r>
    </w:p>
    <w:p w14:paraId="7C8ABB83" w14:textId="64F912A6" w:rsidR="00C2748C" w:rsidRDefault="00A664D3" w:rsidP="00C2748C">
      <w:pPr>
        <w:pStyle w:val="ListNumber"/>
        <w:numPr>
          <w:ilvl w:val="0"/>
          <w:numId w:val="0"/>
        </w:numPr>
        <w:ind w:left="360"/>
      </w:pPr>
      <w:r w:rsidRPr="00A664D3">
        <w:t>Countries should introduce enforceable domestic legislation which requires social media platforms to better counter discriminatory and misleading content.</w:t>
      </w:r>
    </w:p>
    <w:p w14:paraId="45994F0B" w14:textId="3D146D04" w:rsidR="00A664D3" w:rsidRPr="00A635A0" w:rsidRDefault="00A664D3" w:rsidP="00C2748C">
      <w:pPr>
        <w:pStyle w:val="ListNumber"/>
        <w:numPr>
          <w:ilvl w:val="0"/>
          <w:numId w:val="0"/>
        </w:numPr>
        <w:ind w:left="360"/>
        <w:rPr>
          <w:b/>
          <w:bCs/>
        </w:rPr>
      </w:pPr>
      <w:r w:rsidRPr="00A635A0">
        <w:rPr>
          <w:b/>
          <w:bCs/>
        </w:rPr>
        <w:t>Recommendation 18</w:t>
      </w:r>
    </w:p>
    <w:p w14:paraId="471B0686" w14:textId="73C82AE3" w:rsidR="00DE1CE3" w:rsidRDefault="00A635A0" w:rsidP="003B4222">
      <w:pPr>
        <w:pStyle w:val="ListNumber"/>
        <w:numPr>
          <w:ilvl w:val="0"/>
          <w:numId w:val="0"/>
        </w:numPr>
        <w:ind w:left="360"/>
      </w:pPr>
      <w:r w:rsidRPr="00A635A0">
        <w:lastRenderedPageBreak/>
        <w:t>Domestic legislation aimed at countering discriminatory and misleading content online must transparently set out how content is moderated and censored to avoid a chilling effect on free speech and democratic discourse.</w:t>
      </w:r>
    </w:p>
    <w:p w14:paraId="42BE0007" w14:textId="058A03DA" w:rsidR="00A14305" w:rsidRDefault="00A14305">
      <w:pPr>
        <w:spacing w:before="0" w:after="0"/>
      </w:pPr>
      <w:r>
        <w:br w:type="page"/>
      </w:r>
    </w:p>
    <w:p w14:paraId="164A78E6" w14:textId="431ECEA5" w:rsidR="006B0533" w:rsidRPr="006B0533" w:rsidRDefault="006B0533" w:rsidP="003B4222">
      <w:pPr>
        <w:pStyle w:val="ListNumber"/>
        <w:numPr>
          <w:ilvl w:val="0"/>
          <w:numId w:val="0"/>
        </w:numPr>
        <w:ind w:left="360" w:hanging="360"/>
        <w:rPr>
          <w:b/>
          <w:bCs/>
        </w:rPr>
      </w:pPr>
      <w:r w:rsidRPr="006B0533">
        <w:rPr>
          <w:b/>
          <w:bCs/>
        </w:rPr>
        <w:lastRenderedPageBreak/>
        <w:t>Endnotes</w:t>
      </w:r>
    </w:p>
    <w:sectPr w:rsidR="006B0533" w:rsidRPr="006B0533" w:rsidSect="00460EE0">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7147" w14:textId="77777777" w:rsidR="002B3D70" w:rsidRDefault="002B3D70" w:rsidP="00F14C6D">
      <w:r>
        <w:separator/>
      </w:r>
    </w:p>
  </w:endnote>
  <w:endnote w:type="continuationSeparator" w:id="0">
    <w:p w14:paraId="756F5DB2" w14:textId="77777777" w:rsidR="002B3D70" w:rsidRDefault="002B3D70" w:rsidP="00F14C6D">
      <w:r>
        <w:continuationSeparator/>
      </w:r>
    </w:p>
  </w:endnote>
  <w:endnote w:type="continuationNotice" w:id="1">
    <w:p w14:paraId="2C6949B0" w14:textId="77777777" w:rsidR="002B3D70" w:rsidRDefault="002B3D70">
      <w:pPr>
        <w:spacing w:before="0" w:after="0"/>
      </w:pPr>
    </w:p>
  </w:endnote>
  <w:endnote w:id="2">
    <w:p w14:paraId="0BCB4D68" w14:textId="77777777" w:rsidR="00F21062" w:rsidRDefault="00F21062" w:rsidP="00F21062">
      <w:pPr>
        <w:pStyle w:val="EndnoteText"/>
      </w:pPr>
      <w:r>
        <w:rPr>
          <w:rStyle w:val="EndnoteReference"/>
        </w:rPr>
        <w:endnoteRef/>
      </w:r>
      <w:r w:rsidR="378BEB33">
        <w:t xml:space="preserve"> Consumer Policy Research Centre, ‘</w:t>
      </w:r>
      <w:r w:rsidR="378BEB33" w:rsidRPr="001220B6">
        <w:t xml:space="preserve">Not a </w:t>
      </w:r>
      <w:r w:rsidR="378BEB33">
        <w:t>F</w:t>
      </w:r>
      <w:r w:rsidR="378BEB33" w:rsidRPr="001220B6">
        <w:t xml:space="preserve">air </w:t>
      </w:r>
      <w:r w:rsidR="378BEB33">
        <w:t>T</w:t>
      </w:r>
      <w:r w:rsidR="378BEB33" w:rsidRPr="001220B6">
        <w:t xml:space="preserve">rade: Consumer </w:t>
      </w:r>
      <w:r w:rsidR="378BEB33">
        <w:t>v</w:t>
      </w:r>
      <w:r w:rsidR="378BEB33" w:rsidRPr="001220B6">
        <w:t xml:space="preserve">iews on how </w:t>
      </w:r>
      <w:r w:rsidR="378BEB33">
        <w:t>B</w:t>
      </w:r>
      <w:r w:rsidR="378BEB33" w:rsidRPr="001220B6">
        <w:t xml:space="preserve">usinesses use their </w:t>
      </w:r>
      <w:r w:rsidR="378BEB33">
        <w:t>D</w:t>
      </w:r>
      <w:r w:rsidR="378BEB33" w:rsidRPr="001220B6">
        <w:t>ata</w:t>
      </w:r>
      <w:r w:rsidR="378BEB33">
        <w:t xml:space="preserve">’ </w:t>
      </w:r>
      <w:r>
        <w:t>(</w:t>
      </w:r>
      <w:r w:rsidR="378BEB33">
        <w:t>Working Paper, March 2023) 4.</w:t>
      </w:r>
    </w:p>
  </w:endnote>
  <w:endnote w:id="3">
    <w:p w14:paraId="1B5674D8" w14:textId="24C6063E" w:rsidR="00B64EA7" w:rsidRDefault="00B64EA7" w:rsidP="00B64EA7">
      <w:pPr>
        <w:pStyle w:val="EndnoteText"/>
      </w:pPr>
      <w:r>
        <w:rPr>
          <w:rStyle w:val="EndnoteReference"/>
        </w:rPr>
        <w:endnoteRef/>
      </w:r>
      <w:r>
        <w:t xml:space="preserve"> </w:t>
      </w:r>
      <w:r w:rsidRPr="00084D27">
        <w:t>A</w:t>
      </w:r>
      <w:r w:rsidR="00BB3124">
        <w:t xml:space="preserve">ustralian </w:t>
      </w:r>
      <w:r>
        <w:t>C</w:t>
      </w:r>
      <w:r w:rsidR="00BB3124">
        <w:t xml:space="preserve">ompetition and </w:t>
      </w:r>
      <w:r>
        <w:t>C</w:t>
      </w:r>
      <w:r w:rsidR="00BB3124">
        <w:t xml:space="preserve">onsumer </w:t>
      </w:r>
      <w:r>
        <w:t>C</w:t>
      </w:r>
      <w:r w:rsidR="00BB3124">
        <w:t>ommission (‘ACCC’)</w:t>
      </w:r>
      <w:r>
        <w:t>,</w:t>
      </w:r>
      <w:r w:rsidRPr="00084D27">
        <w:t xml:space="preserve"> </w:t>
      </w:r>
      <w:r>
        <w:t>‘</w:t>
      </w:r>
      <w:r w:rsidRPr="427D76A9">
        <w:rPr>
          <w:i/>
          <w:iCs/>
        </w:rPr>
        <w:t>Digital Platforms Inquiry – Final Report</w:t>
      </w:r>
      <w:r>
        <w:t>’ (Commonwealth of Australia</w:t>
      </w:r>
      <w:r w:rsidRPr="00084D27">
        <w:t xml:space="preserve">, </w:t>
      </w:r>
      <w:r>
        <w:t xml:space="preserve">Final Report, </w:t>
      </w:r>
      <w:r w:rsidRPr="00084D27">
        <w:t>July 2019</w:t>
      </w:r>
      <w:r>
        <w:t xml:space="preserve">) </w:t>
      </w:r>
      <w:r w:rsidRPr="00084D27">
        <w:t>401–428</w:t>
      </w:r>
      <w:r>
        <w:t>.</w:t>
      </w:r>
    </w:p>
  </w:endnote>
  <w:endnote w:id="4">
    <w:p w14:paraId="74CB4B2E" w14:textId="77777777" w:rsidR="00F96CB1" w:rsidRDefault="00F96CB1" w:rsidP="00F96CB1">
      <w:pPr>
        <w:pStyle w:val="EndnoteText"/>
      </w:pPr>
      <w:r>
        <w:rPr>
          <w:rStyle w:val="EndnoteReference"/>
        </w:rPr>
        <w:endnoteRef/>
      </w:r>
      <w:r>
        <w:t xml:space="preserve"> </w:t>
      </w:r>
      <w:r w:rsidRPr="00560F6A">
        <w:t>Consumer Policy Research Centre</w:t>
      </w:r>
      <w:r>
        <w:t>, ‘</w:t>
      </w:r>
      <w:r w:rsidRPr="000F38B2">
        <w:rPr>
          <w:i/>
          <w:iCs/>
        </w:rPr>
        <w:t>Duped by Design – Manipulative online design: Dark patterns in Australia</w:t>
      </w:r>
      <w:r>
        <w:t>’ (Paper, June 2022) 6.</w:t>
      </w:r>
    </w:p>
  </w:endnote>
  <w:endnote w:id="5">
    <w:p w14:paraId="36102BA2" w14:textId="77777777" w:rsidR="00F96CB1" w:rsidRDefault="00F96CB1" w:rsidP="00F96CB1">
      <w:pPr>
        <w:pStyle w:val="EndnoteText"/>
      </w:pPr>
      <w:r>
        <w:rPr>
          <w:rStyle w:val="EndnoteReference"/>
        </w:rPr>
        <w:endnoteRef/>
      </w:r>
      <w:r>
        <w:t xml:space="preserve"> Consumer Policy Research Centre, ‘</w:t>
      </w:r>
      <w:r w:rsidRPr="006E68D0">
        <w:rPr>
          <w:i/>
          <w:iCs/>
        </w:rPr>
        <w:t>In whose interest? Why businesses need to keep consumers safe and treat their data with care</w:t>
      </w:r>
      <w:r>
        <w:t>’ (Working Paper, March 2023) 4.</w:t>
      </w:r>
    </w:p>
  </w:endnote>
  <w:endnote w:id="6">
    <w:p w14:paraId="71991F61" w14:textId="77777777" w:rsidR="001B06F9" w:rsidRDefault="001B06F9" w:rsidP="001B06F9">
      <w:pPr>
        <w:pStyle w:val="EndnoteText"/>
      </w:pPr>
      <w:r>
        <w:rPr>
          <w:rStyle w:val="EndnoteReference"/>
        </w:rPr>
        <w:endnoteRef/>
      </w:r>
      <w:r>
        <w:t xml:space="preserve"> ACCC, ‘</w:t>
      </w:r>
      <w:r w:rsidRPr="00A237E9">
        <w:rPr>
          <w:i/>
          <w:iCs/>
        </w:rPr>
        <w:t>Digital Platform Services Inquiry – September 2023 Report on the expanding ecosystems of digital platform service providers</w:t>
      </w:r>
      <w:r>
        <w:t>’ (Commonwealth of Australia, Issues Paper, March 2023) 7-8.</w:t>
      </w:r>
    </w:p>
  </w:endnote>
  <w:endnote w:id="7">
    <w:p w14:paraId="4D36438C" w14:textId="77777777" w:rsidR="005F0A36" w:rsidRDefault="005F0A36" w:rsidP="005F0A36">
      <w:pPr>
        <w:pStyle w:val="EndnoteText"/>
      </w:pPr>
      <w:r>
        <w:rPr>
          <w:rStyle w:val="EndnoteReference"/>
        </w:rPr>
        <w:endnoteRef/>
      </w:r>
      <w:r>
        <w:t xml:space="preserve"> Consumer Policy Research Centre, ‘</w:t>
      </w:r>
      <w:r w:rsidRPr="001220B6">
        <w:t xml:space="preserve">Not a </w:t>
      </w:r>
      <w:r>
        <w:t>F</w:t>
      </w:r>
      <w:r w:rsidRPr="001220B6">
        <w:t xml:space="preserve">air </w:t>
      </w:r>
      <w:r>
        <w:t>T</w:t>
      </w:r>
      <w:r w:rsidRPr="001220B6">
        <w:t xml:space="preserve">rade: Consumer </w:t>
      </w:r>
      <w:r>
        <w:t>v</w:t>
      </w:r>
      <w:r w:rsidRPr="001220B6">
        <w:t xml:space="preserve">iews on how </w:t>
      </w:r>
      <w:r>
        <w:t>B</w:t>
      </w:r>
      <w:r w:rsidRPr="001220B6">
        <w:t xml:space="preserve">usinesses use their </w:t>
      </w:r>
      <w:r>
        <w:t>D</w:t>
      </w:r>
      <w:r w:rsidRPr="001220B6">
        <w:t>ata</w:t>
      </w:r>
      <w:r>
        <w:t>’ (Working Paper, March 2023) 4.</w:t>
      </w:r>
    </w:p>
  </w:endnote>
  <w:endnote w:id="8">
    <w:p w14:paraId="6BE8A2D2" w14:textId="77777777" w:rsidR="0039695C" w:rsidRDefault="0039695C" w:rsidP="0039695C">
      <w:pPr>
        <w:pStyle w:val="EndnoteText"/>
      </w:pPr>
      <w:r>
        <w:rPr>
          <w:rStyle w:val="EndnoteReference"/>
        </w:rPr>
        <w:endnoteRef/>
      </w:r>
      <w:r>
        <w:t xml:space="preserve"> Li </w:t>
      </w:r>
      <w:proofErr w:type="spellStart"/>
      <w:r>
        <w:t>Li</w:t>
      </w:r>
      <w:proofErr w:type="spellEnd"/>
      <w:r>
        <w:t xml:space="preserve">, et al., ‘I will only know after using it: The repeat purchasers of smart home appliances and the privacy paradox problem’ 128 Computers &amp; Security (2023) </w:t>
      </w:r>
      <w:r w:rsidRPr="00D765D9">
        <w:t>1.</w:t>
      </w:r>
    </w:p>
  </w:endnote>
  <w:endnote w:id="9">
    <w:p w14:paraId="56BB5005" w14:textId="77777777" w:rsidR="0039695C" w:rsidRDefault="0039695C" w:rsidP="0039695C">
      <w:pPr>
        <w:pStyle w:val="EndnoteText"/>
      </w:pPr>
      <w:r>
        <w:rPr>
          <w:rStyle w:val="EndnoteReference"/>
        </w:rPr>
        <w:endnoteRef/>
      </w:r>
      <w:r>
        <w:t xml:space="preserve"> ACCC, ‘</w:t>
      </w:r>
      <w:r w:rsidRPr="00A237E9">
        <w:rPr>
          <w:i/>
          <w:iCs/>
        </w:rPr>
        <w:t>Digital Platform Services Inquiry – September 2023 Report on the expanding ecosystems of digital platform service providers</w:t>
      </w:r>
      <w:r>
        <w:t>’ (Commonwealth of Australia, Issues Paper, March 2023) 7 citing</w:t>
      </w:r>
      <w:r w:rsidRPr="00817923">
        <w:t xml:space="preserve"> </w:t>
      </w:r>
      <w:r>
        <w:t xml:space="preserve">ACCC, </w:t>
      </w:r>
      <w:r w:rsidRPr="00883139">
        <w:rPr>
          <w:i/>
          <w:iCs/>
        </w:rPr>
        <w:t>Digital Platform Services Inquiry Fifth Interim Report</w:t>
      </w:r>
      <w:r>
        <w:t xml:space="preserve"> (Commonwealth of Australia, Firth Interim Report, 11 November 2022) 44.</w:t>
      </w:r>
    </w:p>
  </w:endnote>
  <w:endnote w:id="10">
    <w:p w14:paraId="2E123F7C" w14:textId="77777777" w:rsidR="0039695C" w:rsidRDefault="0039695C" w:rsidP="0039695C">
      <w:pPr>
        <w:pStyle w:val="EndnoteText"/>
      </w:pPr>
      <w:r>
        <w:rPr>
          <w:rStyle w:val="EndnoteReference"/>
        </w:rPr>
        <w:endnoteRef/>
      </w:r>
      <w:r>
        <w:t xml:space="preserve"> Consumer Policy Research Centre, ‘</w:t>
      </w:r>
      <w:r w:rsidRPr="006E68D0">
        <w:rPr>
          <w:i/>
          <w:iCs/>
        </w:rPr>
        <w:t>In whose interest? Why businesses need to keep consumers safe and treat their data with care</w:t>
      </w:r>
      <w:r>
        <w:t xml:space="preserve">’ (Working Paper, March 2023) 10 citing Jack </w:t>
      </w:r>
      <w:proofErr w:type="spellStart"/>
      <w:r>
        <w:t>Balkin</w:t>
      </w:r>
      <w:proofErr w:type="spellEnd"/>
      <w:r>
        <w:t xml:space="preserve">, ‘The fiduciary model of privacy’ 134(11) </w:t>
      </w:r>
      <w:r w:rsidRPr="00B0357E">
        <w:rPr>
          <w:i/>
          <w:iCs/>
        </w:rPr>
        <w:t>Harvard Law Review Forum</w:t>
      </w:r>
      <w:r>
        <w:t xml:space="preserve"> (2020) 12.</w:t>
      </w:r>
    </w:p>
  </w:endnote>
  <w:endnote w:id="11">
    <w:p w14:paraId="2498A7CF" w14:textId="77777777" w:rsidR="00CD2881" w:rsidRDefault="00CD2881" w:rsidP="00CD2881">
      <w:pPr>
        <w:pStyle w:val="EndnoteText"/>
      </w:pPr>
      <w:r>
        <w:rPr>
          <w:rStyle w:val="EndnoteReference"/>
        </w:rPr>
        <w:endnoteRef/>
      </w:r>
      <w:r>
        <w:t xml:space="preserve"> Li </w:t>
      </w:r>
      <w:proofErr w:type="spellStart"/>
      <w:r>
        <w:t>Li</w:t>
      </w:r>
      <w:proofErr w:type="spellEnd"/>
      <w:r>
        <w:t>, et al., ‘</w:t>
      </w:r>
      <w:r w:rsidRPr="00645214">
        <w:t>I will only know after using it: The repeat purchasers of smart home appliances and the privacy paradox problem</w:t>
      </w:r>
      <w:r>
        <w:t xml:space="preserve">’ 128 </w:t>
      </w:r>
      <w:r w:rsidRPr="00895DA6">
        <w:rPr>
          <w:i/>
          <w:iCs/>
        </w:rPr>
        <w:t>Computers &amp; Security</w:t>
      </w:r>
      <w:r>
        <w:t xml:space="preserve"> (2023) 1.</w:t>
      </w:r>
    </w:p>
  </w:endnote>
  <w:endnote w:id="12">
    <w:p w14:paraId="70225522" w14:textId="4C7CD24D" w:rsidR="0091472B" w:rsidRDefault="0091472B">
      <w:pPr>
        <w:pStyle w:val="EndnoteText"/>
      </w:pPr>
      <w:r>
        <w:rPr>
          <w:rStyle w:val="EndnoteReference"/>
        </w:rPr>
        <w:endnoteRef/>
      </w:r>
      <w:r>
        <w:t xml:space="preserve"> </w:t>
      </w:r>
      <w:r w:rsidR="004A2E90">
        <w:t>Office of the Australian Information Commissioner</w:t>
      </w:r>
      <w:r w:rsidR="007733E9">
        <w:t xml:space="preserve"> (‘OAIC’)</w:t>
      </w:r>
      <w:r w:rsidR="004A2E90">
        <w:t>, ‘</w:t>
      </w:r>
      <w:r w:rsidR="003B0D88" w:rsidRPr="003B0D88">
        <w:rPr>
          <w:i/>
          <w:iCs/>
        </w:rPr>
        <w:t>Australian Community Attitudes to Privacy Survey 2020</w:t>
      </w:r>
      <w:r w:rsidR="003B0D88">
        <w:t xml:space="preserve">’ (Commonwealth Government of Australia, Report September 2020) </w:t>
      </w:r>
      <w:r w:rsidR="004A2E90">
        <w:t>4.</w:t>
      </w:r>
    </w:p>
  </w:endnote>
  <w:endnote w:id="13">
    <w:p w14:paraId="0A72F377" w14:textId="77777777" w:rsidR="00CF7E84" w:rsidRDefault="00CF7E84" w:rsidP="00CF7E84">
      <w:pPr>
        <w:pStyle w:val="EndnoteText"/>
      </w:pPr>
      <w:r>
        <w:rPr>
          <w:rStyle w:val="EndnoteReference"/>
        </w:rPr>
        <w:endnoteRef/>
      </w:r>
      <w:r>
        <w:t xml:space="preserve"> Consumer Policy Research Centre, ‘</w:t>
      </w:r>
      <w:r w:rsidRPr="001220B6">
        <w:t xml:space="preserve">Not a </w:t>
      </w:r>
      <w:r>
        <w:t>F</w:t>
      </w:r>
      <w:r w:rsidRPr="001220B6">
        <w:t xml:space="preserve">air </w:t>
      </w:r>
      <w:r>
        <w:t>T</w:t>
      </w:r>
      <w:r w:rsidRPr="001220B6">
        <w:t xml:space="preserve">rade: Consumer </w:t>
      </w:r>
      <w:r>
        <w:t>v</w:t>
      </w:r>
      <w:r w:rsidRPr="001220B6">
        <w:t xml:space="preserve">iews on how </w:t>
      </w:r>
      <w:r>
        <w:t>B</w:t>
      </w:r>
      <w:r w:rsidRPr="001220B6">
        <w:t xml:space="preserve">usinesses use their </w:t>
      </w:r>
      <w:r>
        <w:t>D</w:t>
      </w:r>
      <w:r w:rsidRPr="001220B6">
        <w:t>ata</w:t>
      </w:r>
      <w:r>
        <w:t>’ (Working Paper, March 2023) 4.</w:t>
      </w:r>
    </w:p>
  </w:endnote>
  <w:endnote w:id="14">
    <w:p w14:paraId="4C33E5D9" w14:textId="77777777" w:rsidR="00075A0D" w:rsidRDefault="00075A0D" w:rsidP="00075A0D">
      <w:pPr>
        <w:pStyle w:val="EndnoteText"/>
      </w:pPr>
      <w:r>
        <w:rPr>
          <w:rStyle w:val="EndnoteReference"/>
        </w:rPr>
        <w:endnoteRef/>
      </w:r>
      <w:r>
        <w:t xml:space="preserve"> Consumer Policy Research Centre, ‘</w:t>
      </w:r>
      <w:r w:rsidRPr="006E68D0">
        <w:rPr>
          <w:i/>
          <w:iCs/>
        </w:rPr>
        <w:t>In whose interest? Why businesses need to keep consumers safe and treat their data with care</w:t>
      </w:r>
      <w:r>
        <w:t>’ (Working Paper, March 2023) 4.</w:t>
      </w:r>
    </w:p>
  </w:endnote>
  <w:endnote w:id="15">
    <w:p w14:paraId="1202F478" w14:textId="77777777" w:rsidR="00B316F2" w:rsidRDefault="00B316F2" w:rsidP="00B316F2">
      <w:pPr>
        <w:pStyle w:val="EndnoteText"/>
      </w:pPr>
      <w:r>
        <w:rPr>
          <w:rStyle w:val="EndnoteReference"/>
        </w:rPr>
        <w:endnoteRef/>
      </w:r>
      <w:r>
        <w:t xml:space="preserve"> Consumer Policy Research Centre, ‘</w:t>
      </w:r>
      <w:r w:rsidRPr="006E68D0">
        <w:rPr>
          <w:i/>
          <w:iCs/>
        </w:rPr>
        <w:t>In whose interest? Why businesses need to keep consumers safe and treat their data with care</w:t>
      </w:r>
      <w:r>
        <w:t>’ (Working Paper, March 2023) 4.</w:t>
      </w:r>
    </w:p>
  </w:endnote>
  <w:endnote w:id="16">
    <w:p w14:paraId="50055BE4" w14:textId="16D05176" w:rsidR="00BA75F5" w:rsidRPr="003426B1" w:rsidRDefault="00BA75F5" w:rsidP="00BA75F5">
      <w:pPr>
        <w:pStyle w:val="EndnoteText"/>
        <w:rPr>
          <w:iCs/>
          <w:lang w:val="en-US"/>
        </w:rPr>
      </w:pPr>
      <w:r>
        <w:rPr>
          <w:rStyle w:val="EndnoteReference"/>
        </w:rPr>
        <w:endnoteRef/>
      </w:r>
      <w:r>
        <w:t xml:space="preserve"> </w:t>
      </w:r>
      <w:r>
        <w:rPr>
          <w:lang w:val="en-US"/>
        </w:rPr>
        <w:t xml:space="preserve">See </w:t>
      </w:r>
      <w:r w:rsidR="001F6ED8">
        <w:rPr>
          <w:lang w:val="en-US"/>
        </w:rPr>
        <w:t xml:space="preserve">e.g. </w:t>
      </w:r>
      <w:r>
        <w:rPr>
          <w:i/>
          <w:iCs/>
          <w:lang w:val="en-US"/>
        </w:rPr>
        <w:t xml:space="preserve">Universal Declaration of Human Rights, </w:t>
      </w:r>
      <w:r>
        <w:rPr>
          <w:lang w:val="en-US"/>
        </w:rPr>
        <w:t>article 12</w:t>
      </w:r>
      <w:r>
        <w:rPr>
          <w:iCs/>
          <w:lang w:val="en-US"/>
        </w:rPr>
        <w:t>.</w:t>
      </w:r>
    </w:p>
  </w:endnote>
  <w:endnote w:id="17">
    <w:p w14:paraId="194FBF8E" w14:textId="027D10FF" w:rsidR="0071503A" w:rsidRDefault="0071503A" w:rsidP="0071503A">
      <w:pPr>
        <w:pStyle w:val="EndnoteText"/>
      </w:pPr>
      <w:r>
        <w:rPr>
          <w:rStyle w:val="EndnoteReference"/>
        </w:rPr>
        <w:endnoteRef/>
      </w:r>
      <w:r>
        <w:t xml:space="preserve"> </w:t>
      </w:r>
      <w:r w:rsidR="00511FB7">
        <w:t>Australian Human Rights Commission (‘AHRC’), ‘</w:t>
      </w:r>
      <w:r w:rsidR="00511FB7" w:rsidRPr="00B7252C">
        <w:rPr>
          <w:i/>
          <w:iCs/>
        </w:rPr>
        <w:t>Free &amp; Equal Position Paper: A Human Rights Act for Australia</w:t>
      </w:r>
      <w:r w:rsidR="00511FB7">
        <w:t xml:space="preserve">’ (‘Position Paper’) (Position Paper, March 2023) </w:t>
      </w:r>
      <w:r>
        <w:t>111 &amp; 347.</w:t>
      </w:r>
    </w:p>
  </w:endnote>
  <w:endnote w:id="18">
    <w:p w14:paraId="28A35A0C" w14:textId="77777777" w:rsidR="00C71C7E" w:rsidRDefault="00C71C7E" w:rsidP="00C71C7E">
      <w:pPr>
        <w:pStyle w:val="EndnoteText"/>
      </w:pPr>
      <w:r>
        <w:rPr>
          <w:rStyle w:val="EndnoteReference"/>
        </w:rPr>
        <w:endnoteRef/>
      </w:r>
      <w:r>
        <w:t xml:space="preserve"> AHRC</w:t>
      </w:r>
      <w:r w:rsidRPr="00E61149">
        <w:t>,</w:t>
      </w:r>
      <w:r>
        <w:t xml:space="preserve"> Position Paper</w:t>
      </w:r>
      <w:r w:rsidRPr="00E61149">
        <w:t xml:space="preserve"> (Position Paper, March 2023) </w:t>
      </w:r>
      <w:r>
        <w:t>111 &amp; 347.</w:t>
      </w:r>
    </w:p>
  </w:endnote>
  <w:endnote w:id="19">
    <w:p w14:paraId="1DC2356F" w14:textId="77777777" w:rsidR="00C71C7E" w:rsidRDefault="00C71C7E" w:rsidP="00C71C7E">
      <w:pPr>
        <w:pStyle w:val="EndnoteText"/>
      </w:pPr>
      <w:r>
        <w:rPr>
          <w:rStyle w:val="EndnoteReference"/>
        </w:rPr>
        <w:endnoteRef/>
      </w:r>
      <w:r>
        <w:t xml:space="preserve"> AHRC</w:t>
      </w:r>
      <w:r w:rsidRPr="00E61149">
        <w:t>,</w:t>
      </w:r>
      <w:r>
        <w:t xml:space="preserve"> Position Paper</w:t>
      </w:r>
      <w:r w:rsidRPr="00E61149">
        <w:t xml:space="preserve"> (Position Paper, March 2023) </w:t>
      </w:r>
      <w:r>
        <w:t>347.</w:t>
      </w:r>
    </w:p>
  </w:endnote>
  <w:endnote w:id="20">
    <w:p w14:paraId="3E88AA35" w14:textId="77777777" w:rsidR="00C71C7E" w:rsidRDefault="00C71C7E" w:rsidP="00C71C7E">
      <w:pPr>
        <w:pStyle w:val="EndnoteText"/>
      </w:pPr>
      <w:r>
        <w:rPr>
          <w:rStyle w:val="EndnoteReference"/>
        </w:rPr>
        <w:endnoteRef/>
      </w:r>
      <w:r>
        <w:t xml:space="preserve"> AHRC</w:t>
      </w:r>
      <w:r w:rsidRPr="00E61149">
        <w:t>,</w:t>
      </w:r>
      <w:r>
        <w:t xml:space="preserve"> Position Paper</w:t>
      </w:r>
      <w:r w:rsidRPr="00E61149">
        <w:t xml:space="preserve"> (Position Paper, March 2023)</w:t>
      </w:r>
      <w:r>
        <w:t>.</w:t>
      </w:r>
    </w:p>
  </w:endnote>
  <w:endnote w:id="21">
    <w:p w14:paraId="70C5B3AA" w14:textId="118237AE" w:rsidR="00E061E7" w:rsidRDefault="00E061E7" w:rsidP="00E061E7">
      <w:pPr>
        <w:pStyle w:val="EndnoteText"/>
      </w:pPr>
      <w:r>
        <w:rPr>
          <w:rStyle w:val="EndnoteReference"/>
        </w:rPr>
        <w:endnoteRef/>
      </w:r>
      <w:r>
        <w:t xml:space="preserve"> See generally AHRC, </w:t>
      </w:r>
      <w:r w:rsidR="006C18BF">
        <w:t>‘</w:t>
      </w:r>
      <w:r w:rsidR="00686E33" w:rsidRPr="00686E33">
        <w:t>Safeguarding the right to privacy in Australia</w:t>
      </w:r>
      <w:r w:rsidR="00686E33">
        <w:t xml:space="preserve">’ </w:t>
      </w:r>
      <w:r>
        <w:t xml:space="preserve">Submission to </w:t>
      </w:r>
      <w:r w:rsidRPr="005A4834">
        <w:rPr>
          <w:i/>
          <w:iCs/>
        </w:rPr>
        <w:t>Attorney-General’s Department Privacy Act Review Report</w:t>
      </w:r>
      <w:r>
        <w:t xml:space="preserve"> </w:t>
      </w:r>
      <w:r w:rsidR="00686E33">
        <w:t>&lt;</w:t>
      </w:r>
      <w:hyperlink r:id="rId1" w:history="1">
        <w:r w:rsidR="00DD4D59" w:rsidRPr="0099024C">
          <w:rPr>
            <w:rStyle w:val="Hyperlink"/>
          </w:rPr>
          <w:t>https://humanrights.gov.au/our-work/legal/submission/safeguarding-right-privacy-australia</w:t>
        </w:r>
      </w:hyperlink>
      <w:r w:rsidR="00DD4D59">
        <w:t xml:space="preserve">&gt;. </w:t>
      </w:r>
    </w:p>
  </w:endnote>
  <w:endnote w:id="22">
    <w:p w14:paraId="6B8A85E7" w14:textId="77777777" w:rsidR="00E061E7" w:rsidRDefault="00E061E7" w:rsidP="00E061E7">
      <w:pPr>
        <w:pStyle w:val="EndnoteText"/>
      </w:pPr>
      <w:r>
        <w:rPr>
          <w:rStyle w:val="EndnoteReference"/>
        </w:rPr>
        <w:endnoteRef/>
      </w:r>
      <w:r>
        <w:t xml:space="preserve"> </w:t>
      </w:r>
      <w:proofErr w:type="spellStart"/>
      <w:r>
        <w:t>Yuntao</w:t>
      </w:r>
      <w:proofErr w:type="spellEnd"/>
      <w:r>
        <w:t xml:space="preserve">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23">
    <w:p w14:paraId="3C3FE694" w14:textId="77777777" w:rsidR="00E061E7" w:rsidRDefault="00E061E7" w:rsidP="00E061E7">
      <w:pPr>
        <w:pStyle w:val="EndnoteText"/>
      </w:pPr>
      <w:r>
        <w:rPr>
          <w:rStyle w:val="EndnoteReference"/>
        </w:rPr>
        <w:endnoteRef/>
      </w:r>
      <w:r>
        <w:t xml:space="preserve"> </w:t>
      </w:r>
      <w:proofErr w:type="spellStart"/>
      <w:r>
        <w:t>Yuntao</w:t>
      </w:r>
      <w:proofErr w:type="spellEnd"/>
      <w:r>
        <w:t xml:space="preserve">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24">
    <w:p w14:paraId="7A7D98C0" w14:textId="77777777" w:rsidR="00E061E7" w:rsidRDefault="00E061E7" w:rsidP="00E061E7">
      <w:pPr>
        <w:pStyle w:val="EndnoteText"/>
      </w:pPr>
      <w:r>
        <w:rPr>
          <w:rStyle w:val="EndnoteReference"/>
        </w:rPr>
        <w:endnoteRef/>
      </w:r>
      <w:r>
        <w:t xml:space="preserve"> </w:t>
      </w:r>
      <w:proofErr w:type="spellStart"/>
      <w:r>
        <w:t>Yuntao</w:t>
      </w:r>
      <w:proofErr w:type="spellEnd"/>
      <w:r>
        <w:t xml:space="preserve">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319.</w:t>
      </w:r>
    </w:p>
  </w:endnote>
  <w:endnote w:id="25">
    <w:p w14:paraId="7714D1FA" w14:textId="77777777" w:rsidR="00E061E7" w:rsidRDefault="00E061E7" w:rsidP="00E061E7">
      <w:pPr>
        <w:pStyle w:val="EndnoteText"/>
      </w:pPr>
      <w:r>
        <w:rPr>
          <w:rStyle w:val="EndnoteReference"/>
        </w:rPr>
        <w:endnoteRef/>
      </w:r>
      <w:r>
        <w:t xml:space="preserve"> </w:t>
      </w:r>
      <w:proofErr w:type="spellStart"/>
      <w:r>
        <w:t>Yuntao</w:t>
      </w:r>
      <w:proofErr w:type="spellEnd"/>
      <w:r>
        <w:t xml:space="preserve">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320; see also Yavuz </w:t>
      </w:r>
      <w:proofErr w:type="spellStart"/>
      <w:r w:rsidRPr="00205DF5">
        <w:t>Canbay</w:t>
      </w:r>
      <w:proofErr w:type="spellEnd"/>
      <w:r w:rsidRPr="00205DF5">
        <w:t xml:space="preserve">, </w:t>
      </w:r>
      <w:r>
        <w:t>Anil</w:t>
      </w:r>
      <w:r w:rsidRPr="00205DF5">
        <w:t xml:space="preserve"> </w:t>
      </w:r>
      <w:proofErr w:type="spellStart"/>
      <w:r w:rsidRPr="00205DF5">
        <w:t>Utku</w:t>
      </w:r>
      <w:proofErr w:type="spellEnd"/>
      <w:r>
        <w:t xml:space="preserve"> </w:t>
      </w:r>
      <w:r w:rsidRPr="00205DF5">
        <w:t xml:space="preserve">&amp; </w:t>
      </w:r>
      <w:r>
        <w:t xml:space="preserve">Pelin </w:t>
      </w:r>
      <w:proofErr w:type="spellStart"/>
      <w:r w:rsidRPr="00205DF5">
        <w:t>Canbay</w:t>
      </w:r>
      <w:proofErr w:type="spellEnd"/>
      <w:r w:rsidRPr="00205DF5">
        <w:t>,</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82.</w:t>
      </w:r>
    </w:p>
  </w:endnote>
  <w:endnote w:id="26">
    <w:p w14:paraId="74C86824" w14:textId="77777777" w:rsidR="00E061E7" w:rsidRDefault="00E061E7" w:rsidP="00E061E7">
      <w:pPr>
        <w:pStyle w:val="EndnoteText"/>
      </w:pPr>
      <w:r>
        <w:rPr>
          <w:rStyle w:val="EndnoteReference"/>
        </w:rPr>
        <w:endnoteRef/>
      </w:r>
      <w:r>
        <w:t xml:space="preserve"> Yavuz </w:t>
      </w:r>
      <w:proofErr w:type="spellStart"/>
      <w:r w:rsidRPr="00205DF5">
        <w:t>Canbay</w:t>
      </w:r>
      <w:proofErr w:type="spellEnd"/>
      <w:r w:rsidRPr="00205DF5">
        <w:t xml:space="preserve">, </w:t>
      </w:r>
      <w:r>
        <w:t>Anil</w:t>
      </w:r>
      <w:r w:rsidRPr="00205DF5">
        <w:t xml:space="preserve"> </w:t>
      </w:r>
      <w:proofErr w:type="spellStart"/>
      <w:r w:rsidRPr="00205DF5">
        <w:t>Utku</w:t>
      </w:r>
      <w:proofErr w:type="spellEnd"/>
      <w:r>
        <w:t xml:space="preserve"> </w:t>
      </w:r>
      <w:r w:rsidRPr="00205DF5">
        <w:t xml:space="preserve">&amp; </w:t>
      </w:r>
      <w:r>
        <w:t xml:space="preserve">Pelin </w:t>
      </w:r>
      <w:proofErr w:type="spellStart"/>
      <w:r w:rsidRPr="00205DF5">
        <w:t>Canbay</w:t>
      </w:r>
      <w:proofErr w:type="spellEnd"/>
      <w:r w:rsidRPr="00205DF5">
        <w:t>,</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27">
    <w:p w14:paraId="5A6B098D" w14:textId="77777777" w:rsidR="004562D4" w:rsidRDefault="004562D4" w:rsidP="004562D4">
      <w:pPr>
        <w:pStyle w:val="EndnoteText"/>
      </w:pPr>
      <w:r>
        <w:rPr>
          <w:rStyle w:val="EndnoteReference"/>
        </w:rPr>
        <w:endnoteRef/>
      </w:r>
      <w:r>
        <w:t xml:space="preserve"> Yavuz </w:t>
      </w:r>
      <w:proofErr w:type="spellStart"/>
      <w:r w:rsidRPr="00205DF5">
        <w:t>Canbay</w:t>
      </w:r>
      <w:proofErr w:type="spellEnd"/>
      <w:r w:rsidRPr="00205DF5">
        <w:t xml:space="preserve">, </w:t>
      </w:r>
      <w:r>
        <w:t>Anil</w:t>
      </w:r>
      <w:r w:rsidRPr="00205DF5">
        <w:t xml:space="preserve"> </w:t>
      </w:r>
      <w:proofErr w:type="spellStart"/>
      <w:r w:rsidRPr="00205DF5">
        <w:t>Utku</w:t>
      </w:r>
      <w:proofErr w:type="spellEnd"/>
      <w:r>
        <w:t xml:space="preserve"> </w:t>
      </w:r>
      <w:r w:rsidRPr="00205DF5">
        <w:t xml:space="preserve">&amp; </w:t>
      </w:r>
      <w:r>
        <w:t xml:space="preserve">Pelin </w:t>
      </w:r>
      <w:proofErr w:type="spellStart"/>
      <w:r w:rsidRPr="00205DF5">
        <w:t>Canbay</w:t>
      </w:r>
      <w:proofErr w:type="spellEnd"/>
      <w:r w:rsidRPr="00205DF5">
        <w:t>,</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28">
    <w:p w14:paraId="2CAD3261" w14:textId="77777777" w:rsidR="00E061E7" w:rsidRDefault="00E061E7" w:rsidP="00E061E7">
      <w:pPr>
        <w:pStyle w:val="EndnoteText"/>
      </w:pPr>
      <w:r>
        <w:rPr>
          <w:rStyle w:val="EndnoteReference"/>
        </w:rPr>
        <w:endnoteRef/>
      </w:r>
      <w:r>
        <w:t xml:space="preserve"> </w:t>
      </w:r>
      <w:proofErr w:type="spellStart"/>
      <w:r>
        <w:t>Yuntao</w:t>
      </w:r>
      <w:proofErr w:type="spellEnd"/>
      <w:r>
        <w:t xml:space="preserve"> Wang, et al., ‘</w:t>
      </w:r>
      <w:r w:rsidRPr="007E1FB5">
        <w:t>A Survey on Metaverse: Fundamentals, Security, and Privacy</w:t>
      </w:r>
      <w:r>
        <w:t xml:space="preserve">’ (2023) 25(1) </w:t>
      </w:r>
      <w:r w:rsidRPr="007E1FB5">
        <w:rPr>
          <w:i/>
          <w:iCs/>
        </w:rPr>
        <w:t>IEEE Communications Surveys &amp; Tutorials, Communications Surveys &amp; Tutorials</w:t>
      </w:r>
      <w:r>
        <w:t xml:space="preserve"> 334.</w:t>
      </w:r>
    </w:p>
  </w:endnote>
  <w:endnote w:id="29">
    <w:p w14:paraId="0B728FC7" w14:textId="77777777" w:rsidR="00E061E7" w:rsidRDefault="00E061E7" w:rsidP="00E061E7">
      <w:pPr>
        <w:pStyle w:val="EndnoteText"/>
      </w:pPr>
      <w:r>
        <w:rPr>
          <w:rStyle w:val="EndnoteReference"/>
        </w:rPr>
        <w:endnoteRef/>
      </w:r>
      <w:r>
        <w:t xml:space="preserve"> Yavuz </w:t>
      </w:r>
      <w:proofErr w:type="spellStart"/>
      <w:r w:rsidRPr="00205DF5">
        <w:t>Canbay</w:t>
      </w:r>
      <w:proofErr w:type="spellEnd"/>
      <w:r w:rsidRPr="00205DF5">
        <w:t xml:space="preserve">, </w:t>
      </w:r>
      <w:r>
        <w:t>Anil</w:t>
      </w:r>
      <w:r w:rsidRPr="00205DF5">
        <w:t xml:space="preserve"> </w:t>
      </w:r>
      <w:proofErr w:type="spellStart"/>
      <w:r w:rsidRPr="00205DF5">
        <w:t>Utku</w:t>
      </w:r>
      <w:proofErr w:type="spellEnd"/>
      <w:r>
        <w:t xml:space="preserve"> </w:t>
      </w:r>
      <w:r w:rsidRPr="00205DF5">
        <w:t xml:space="preserve">&amp; </w:t>
      </w:r>
      <w:r>
        <w:t xml:space="preserve">Pelin </w:t>
      </w:r>
      <w:proofErr w:type="spellStart"/>
      <w:r w:rsidRPr="00205DF5">
        <w:t>Canbay</w:t>
      </w:r>
      <w:proofErr w:type="spellEnd"/>
      <w:r w:rsidRPr="00205DF5">
        <w:t>,</w:t>
      </w:r>
      <w:r>
        <w:t xml:space="preserve"> ‘</w:t>
      </w:r>
      <w:r w:rsidRPr="00205DF5">
        <w:t>Privacy Concerns and Measures in Metaverse: A Review</w:t>
      </w:r>
      <w:r>
        <w:t xml:space="preserve">’ </w:t>
      </w:r>
      <w:r w:rsidRPr="00A237E9">
        <w:rPr>
          <w:i/>
          <w:iCs/>
        </w:rPr>
        <w:t>15th International Conference on Information Security and Cryptography</w:t>
      </w:r>
      <w:r>
        <w:t xml:space="preserve"> (Conference Paper, 2022) 84.</w:t>
      </w:r>
    </w:p>
  </w:endnote>
  <w:endnote w:id="30">
    <w:p w14:paraId="5881B849" w14:textId="77777777" w:rsidR="002C7111" w:rsidRDefault="002C7111" w:rsidP="002C7111">
      <w:pPr>
        <w:pStyle w:val="EndnoteText"/>
      </w:pPr>
      <w:r>
        <w:rPr>
          <w:rStyle w:val="EndnoteReference"/>
        </w:rPr>
        <w:endnoteRef/>
      </w:r>
      <w:r>
        <w:t xml:space="preserve"> Michael </w:t>
      </w:r>
      <w:proofErr w:type="spellStart"/>
      <w:r>
        <w:t>Guihot</w:t>
      </w:r>
      <w:proofErr w:type="spellEnd"/>
      <w:r>
        <w:t xml:space="preserve"> &amp; Lyria Bennett Moses, ‘Artificial Intelligence, Robots and the Law’ 2020 </w:t>
      </w:r>
      <w:r w:rsidRPr="00BB3124">
        <w:rPr>
          <w:i/>
          <w:iCs/>
        </w:rPr>
        <w:t>LexisNexis Australia</w:t>
      </w:r>
      <w:r>
        <w:t xml:space="preserve"> 319.</w:t>
      </w:r>
    </w:p>
  </w:endnote>
  <w:endnote w:id="31">
    <w:p w14:paraId="75F3C65C" w14:textId="19094B78" w:rsidR="00991A6C" w:rsidRDefault="00991A6C" w:rsidP="00991A6C">
      <w:pPr>
        <w:pStyle w:val="EndnoteText"/>
      </w:pPr>
      <w:r>
        <w:rPr>
          <w:rStyle w:val="EndnoteReference"/>
        </w:rPr>
        <w:endnoteRef/>
      </w:r>
      <w:r>
        <w:t xml:space="preserve"> </w:t>
      </w:r>
      <w:r w:rsidR="00AE0D45" w:rsidRPr="00AE0D45">
        <w:t>AHRC, ‘</w:t>
      </w:r>
      <w:r w:rsidR="00AE0D45" w:rsidRPr="00AE0D45">
        <w:rPr>
          <w:i/>
          <w:iCs/>
        </w:rPr>
        <w:t>Human Rights and Technology Final Report 2021</w:t>
      </w:r>
      <w:r w:rsidR="00AE0D45" w:rsidRPr="00AE0D45">
        <w:t>’ (‘Final Report’) (Final Report, 2021)</w:t>
      </w:r>
      <w:r w:rsidR="00AE0D45">
        <w:t xml:space="preserve"> </w:t>
      </w:r>
      <w:r>
        <w:t xml:space="preserve">13. </w:t>
      </w:r>
    </w:p>
  </w:endnote>
  <w:endnote w:id="32">
    <w:p w14:paraId="240DA32C" w14:textId="77777777" w:rsidR="00991A6C" w:rsidRDefault="00991A6C" w:rsidP="00991A6C">
      <w:pPr>
        <w:pStyle w:val="EndnoteText"/>
      </w:pPr>
      <w:r>
        <w:rPr>
          <w:rStyle w:val="EndnoteReference"/>
        </w:rPr>
        <w:endnoteRef/>
      </w:r>
      <w:r>
        <w:t xml:space="preserve"> AHRC, Final Report (Final Report, 2021) 13. </w:t>
      </w:r>
    </w:p>
  </w:endnote>
  <w:endnote w:id="33">
    <w:p w14:paraId="3A398A41" w14:textId="77777777" w:rsidR="00991A6C" w:rsidRPr="00AC49CD" w:rsidRDefault="00991A6C" w:rsidP="00991A6C">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 xml:space="preserve">(online, 12 October 2018) </w:t>
      </w:r>
      <w:hyperlink r:id="rId2" w:history="1">
        <w:r w:rsidRPr="00686642">
          <w:rPr>
            <w:rStyle w:val="Hyperlink"/>
          </w:rPr>
          <w:t>https://www.aclu.org/news/womens-rights/why-amazons-automated-hiring-tool-discriminated-against</w:t>
        </w:r>
      </w:hyperlink>
      <w:r>
        <w:t>.</w:t>
      </w:r>
    </w:p>
  </w:endnote>
  <w:endnote w:id="34">
    <w:p w14:paraId="4C79AD17" w14:textId="77777777" w:rsidR="00991A6C" w:rsidRDefault="00991A6C" w:rsidP="00991A6C">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 xml:space="preserve">(online, 12 October 2018) </w:t>
      </w:r>
      <w:hyperlink r:id="rId3" w:history="1">
        <w:r w:rsidRPr="00686642">
          <w:rPr>
            <w:rStyle w:val="Hyperlink"/>
          </w:rPr>
          <w:t>https://www.aclu.org/news/womens-rights/why-amazons-automated-hiring-tool-discriminated-against</w:t>
        </w:r>
      </w:hyperlink>
      <w:r>
        <w:t xml:space="preserve">. </w:t>
      </w:r>
    </w:p>
  </w:endnote>
  <w:endnote w:id="35">
    <w:p w14:paraId="72F21E26" w14:textId="77777777" w:rsidR="00991A6C" w:rsidRDefault="00991A6C" w:rsidP="00991A6C">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 xml:space="preserve">(online, 12 October 2018) </w:t>
      </w:r>
      <w:hyperlink r:id="rId4" w:history="1">
        <w:r w:rsidRPr="00686642">
          <w:rPr>
            <w:rStyle w:val="Hyperlink"/>
          </w:rPr>
          <w:t>https://www.aclu.org/news/womens-rights/why-amazons-automated-hiring-tool-discriminated-against</w:t>
        </w:r>
      </w:hyperlink>
      <w:r>
        <w:t xml:space="preserve">. </w:t>
      </w:r>
    </w:p>
  </w:endnote>
  <w:endnote w:id="36">
    <w:p w14:paraId="4D7B8CFE" w14:textId="77777777" w:rsidR="00991A6C" w:rsidRPr="003B3B55" w:rsidRDefault="00991A6C" w:rsidP="00991A6C">
      <w:pPr>
        <w:pStyle w:val="EndnoteText"/>
      </w:pPr>
      <w:r w:rsidRPr="003B3B55">
        <w:rPr>
          <w:rStyle w:val="EndnoteReference"/>
        </w:rPr>
        <w:endnoteRef/>
      </w:r>
      <w:r w:rsidRPr="003B3B55">
        <w:t xml:space="preserve"> Crystal Grant, ‘Algorithms are Making Decisions About Health Care, Which May Only Worsen Medical Racism’ </w:t>
      </w:r>
      <w:r w:rsidRPr="003B3B55">
        <w:rPr>
          <w:i/>
          <w:iCs/>
        </w:rPr>
        <w:t xml:space="preserve">American Civil Liberties Union </w:t>
      </w:r>
      <w:r w:rsidRPr="003B3B55">
        <w:t>(online</w:t>
      </w:r>
      <w:r>
        <w:t>,</w:t>
      </w:r>
      <w:r w:rsidRPr="003B3B55">
        <w:t xml:space="preserve"> 3 October 2022) </w:t>
      </w:r>
      <w:hyperlink r:id="rId5" w:history="1">
        <w:r w:rsidRPr="00686642">
          <w:rPr>
            <w:rStyle w:val="Hyperlink"/>
          </w:rPr>
          <w:t>https://www.aclu.org/news/privacy-technology/algorithms-in-health-care-may-worsen-medical-racism</w:t>
        </w:r>
      </w:hyperlink>
      <w:r>
        <w:rPr>
          <w:rStyle w:val="Hyperlink"/>
          <w:color w:val="auto"/>
          <w:u w:val="none"/>
        </w:rPr>
        <w:t xml:space="preserve">. </w:t>
      </w:r>
    </w:p>
  </w:endnote>
  <w:endnote w:id="37">
    <w:p w14:paraId="17DCC969" w14:textId="77777777" w:rsidR="00991A6C" w:rsidRPr="005E1555" w:rsidRDefault="00991A6C" w:rsidP="00991A6C">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(online</w:t>
      </w:r>
      <w:r>
        <w:t>,</w:t>
      </w:r>
      <w:r w:rsidRPr="003B3B55">
        <w:t xml:space="preserve"> 3 October 2022) </w:t>
      </w:r>
      <w:hyperlink r:id="rId6" w:history="1">
        <w:r w:rsidRPr="00686642">
          <w:rPr>
            <w:rStyle w:val="Hyperlink"/>
          </w:rPr>
          <w:t>https://www.aclu.org/news/privacy-technology/algorithms-in-health-care-may-worsen-medical-racism</w:t>
        </w:r>
      </w:hyperlink>
      <w:r>
        <w:t xml:space="preserve">. </w:t>
      </w:r>
    </w:p>
  </w:endnote>
  <w:endnote w:id="38">
    <w:p w14:paraId="0C279285" w14:textId="77777777" w:rsidR="00991A6C" w:rsidRDefault="00991A6C" w:rsidP="00991A6C">
      <w:pPr>
        <w:pStyle w:val="EndnoteText"/>
      </w:pPr>
      <w:r>
        <w:rPr>
          <w:rStyle w:val="EndnoteReference"/>
        </w:rPr>
        <w:endnoteRef/>
      </w:r>
      <w:r>
        <w:t xml:space="preserve"> </w:t>
      </w:r>
      <w:r w:rsidRPr="003B3B55">
        <w:t xml:space="preserve">Crystal Grant, ‘Algorithms are Making Decisions About Health Care, Which May Only Worsen Medical Racism’ </w:t>
      </w:r>
      <w:r w:rsidRPr="003B3B55">
        <w:rPr>
          <w:i/>
          <w:iCs/>
        </w:rPr>
        <w:t xml:space="preserve">American Civil Liberties Union </w:t>
      </w:r>
      <w:r w:rsidRPr="003B3B55">
        <w:t>(online</w:t>
      </w:r>
      <w:r>
        <w:t>,</w:t>
      </w:r>
      <w:r w:rsidRPr="003B3B55">
        <w:t xml:space="preserve"> 3 October 2022) </w:t>
      </w:r>
      <w:hyperlink r:id="rId7" w:history="1">
        <w:r w:rsidRPr="00686642">
          <w:rPr>
            <w:rStyle w:val="Hyperlink"/>
          </w:rPr>
          <w:t>https://www.aclu.org/news/privacy-technology/algorithms-in-health-care-may-worsen-medical-racism</w:t>
        </w:r>
      </w:hyperlink>
      <w:r>
        <w:t xml:space="preserve">. </w:t>
      </w:r>
    </w:p>
  </w:endnote>
  <w:endnote w:id="39">
    <w:p w14:paraId="652CB5D5" w14:textId="77777777" w:rsidR="00991A6C" w:rsidRDefault="00991A6C" w:rsidP="00991A6C">
      <w:pPr>
        <w:pStyle w:val="EndnoteText"/>
      </w:pPr>
      <w:r>
        <w:rPr>
          <w:rStyle w:val="EndnoteReference"/>
        </w:rPr>
        <w:endnoteRef/>
      </w:r>
      <w:r>
        <w:t xml:space="preserve"> AHRC, Final Report (Final Report, 2021) 108. </w:t>
      </w:r>
    </w:p>
  </w:endnote>
  <w:endnote w:id="40">
    <w:p w14:paraId="10A823A0" w14:textId="76B9C6A4" w:rsidR="00500537" w:rsidRDefault="00500537" w:rsidP="00500537">
      <w:pPr>
        <w:pStyle w:val="EndnoteText"/>
        <w:ind w:left="0" w:firstLine="0"/>
      </w:pPr>
      <w:r>
        <w:rPr>
          <w:rStyle w:val="EndnoteReference"/>
        </w:rPr>
        <w:endnoteRef/>
      </w:r>
      <w:r>
        <w:t xml:space="preserve"> See generally AHRC, </w:t>
      </w:r>
      <w:r w:rsidR="00990DB4">
        <w:t xml:space="preserve">Final Report (Final Report, 2021) </w:t>
      </w:r>
      <w:r>
        <w:t>125-135</w:t>
      </w:r>
      <w:r w:rsidR="00990DB4">
        <w:t>.</w:t>
      </w:r>
    </w:p>
  </w:endnote>
  <w:endnote w:id="41">
    <w:p w14:paraId="5F25BCA3" w14:textId="77777777" w:rsidR="001027C1" w:rsidRDefault="001027C1" w:rsidP="001027C1">
      <w:pPr>
        <w:pStyle w:val="EndnoteText"/>
      </w:pPr>
      <w:r>
        <w:rPr>
          <w:rStyle w:val="EndnoteReference"/>
        </w:rPr>
        <w:endnoteRef/>
      </w:r>
      <w:r>
        <w:t xml:space="preserve"> AHRC, Final Report (Final Report, 2021) 128.</w:t>
      </w:r>
    </w:p>
  </w:endnote>
  <w:endnote w:id="42">
    <w:p w14:paraId="40F6780A" w14:textId="77777777" w:rsidR="001027C1" w:rsidRDefault="001027C1" w:rsidP="001027C1">
      <w:pPr>
        <w:pStyle w:val="EndnoteText"/>
      </w:pPr>
      <w:r>
        <w:rPr>
          <w:rStyle w:val="EndnoteReference"/>
        </w:rPr>
        <w:endnoteRef/>
      </w:r>
      <w:r>
        <w:t xml:space="preserve"> AHRC, Final Report (Final Report, 2021) 129.</w:t>
      </w:r>
    </w:p>
  </w:endnote>
  <w:endnote w:id="43">
    <w:p w14:paraId="32BC65FF" w14:textId="77777777" w:rsidR="001027C1" w:rsidRDefault="001027C1" w:rsidP="001027C1">
      <w:pPr>
        <w:pStyle w:val="EndnoteText"/>
      </w:pPr>
      <w:r>
        <w:rPr>
          <w:rStyle w:val="EndnoteReference"/>
        </w:rPr>
        <w:endnoteRef/>
      </w:r>
      <w:r>
        <w:t xml:space="preserve"> AHRC, Final Report (Final Report, 2021) 125.</w:t>
      </w:r>
    </w:p>
  </w:endnote>
  <w:endnote w:id="44">
    <w:p w14:paraId="5C3A3282" w14:textId="77777777" w:rsidR="005355C1" w:rsidRDefault="005355C1" w:rsidP="005355C1">
      <w:pPr>
        <w:pStyle w:val="EndnoteText"/>
      </w:pPr>
      <w:r>
        <w:rPr>
          <w:rStyle w:val="EndnoteReference"/>
        </w:rPr>
        <w:endnoteRef/>
      </w:r>
      <w:r>
        <w:t xml:space="preserve"> Future of Life Institute, ‘</w:t>
      </w:r>
      <w:r w:rsidRPr="00F03623">
        <w:rPr>
          <w:i/>
          <w:iCs/>
        </w:rPr>
        <w:t>Pause Giant AI Experiments: An Open Letter</w:t>
      </w:r>
      <w:r>
        <w:t>’ (Open Letter, 22 March 2023).</w:t>
      </w:r>
    </w:p>
  </w:endnote>
  <w:endnote w:id="45">
    <w:p w14:paraId="053D871A" w14:textId="46BD8E24" w:rsidR="00147ABB" w:rsidRPr="00D9473E" w:rsidRDefault="00147ABB" w:rsidP="00147ABB">
      <w:pPr>
        <w:pStyle w:val="EndnoteText"/>
      </w:pPr>
      <w:r>
        <w:rPr>
          <w:rStyle w:val="EndnoteReference"/>
        </w:rPr>
        <w:endnoteRef/>
      </w:r>
      <w:r>
        <w:t xml:space="preserve"> </w:t>
      </w:r>
      <w:r w:rsidR="00D9473E">
        <w:t xml:space="preserve">Michael </w:t>
      </w:r>
      <w:proofErr w:type="spellStart"/>
      <w:r w:rsidR="00D9473E">
        <w:t>Guihot</w:t>
      </w:r>
      <w:proofErr w:type="spellEnd"/>
      <w:r w:rsidR="00D9473E">
        <w:t xml:space="preserve"> &amp; Lyria Bennett Moses, ‘Artificial Intelligence, Robots and the Law’ </w:t>
      </w:r>
      <w:r w:rsidR="00BA0893">
        <w:t xml:space="preserve">2020 </w:t>
      </w:r>
      <w:r w:rsidR="00D9473E" w:rsidRPr="00BB3124">
        <w:rPr>
          <w:i/>
          <w:iCs/>
        </w:rPr>
        <w:t>LexisNexis Australia</w:t>
      </w:r>
      <w:r w:rsidR="00D9473E">
        <w:rPr>
          <w:i/>
          <w:iCs/>
        </w:rPr>
        <w:t xml:space="preserve"> </w:t>
      </w:r>
      <w:r w:rsidR="00D9473E">
        <w:t>322.</w:t>
      </w:r>
    </w:p>
  </w:endnote>
  <w:endnote w:id="46">
    <w:p w14:paraId="477F154B" w14:textId="29108939" w:rsidR="00D061E7" w:rsidRDefault="00D061E7">
      <w:pPr>
        <w:pStyle w:val="EndnoteText"/>
      </w:pPr>
      <w:r>
        <w:rPr>
          <w:rStyle w:val="EndnoteReference"/>
        </w:rPr>
        <w:endnoteRef/>
      </w:r>
      <w:r>
        <w:t xml:space="preserve"> </w:t>
      </w:r>
      <w:r w:rsidR="00A14305">
        <w:t>OAIC, ‘Safety by Design’ (Webpage) &lt;</w:t>
      </w:r>
      <w:hyperlink r:id="rId8" w:history="1">
        <w:r w:rsidR="00A14305" w:rsidRPr="008155BC">
          <w:rPr>
            <w:rStyle w:val="Hyperlink"/>
          </w:rPr>
          <w:t>https://www.esafety.gov.au/industry/safety-by-design</w:t>
        </w:r>
      </w:hyperlink>
      <w:r w:rsidR="00A14305">
        <w:t xml:space="preserve">&gt;.  </w:t>
      </w:r>
    </w:p>
  </w:endnote>
  <w:endnote w:id="47">
    <w:p w14:paraId="0C6C9464" w14:textId="77777777" w:rsidR="00222049" w:rsidRDefault="00222049" w:rsidP="00222049">
      <w:pPr>
        <w:pStyle w:val="EndnoteText"/>
      </w:pPr>
      <w:r>
        <w:rPr>
          <w:rStyle w:val="EndnoteReference"/>
        </w:rPr>
        <w:endnoteRef/>
      </w:r>
      <w:r>
        <w:t xml:space="preserve"> OAIC, ‘Safety by Design’ (Webpage) &lt;</w:t>
      </w:r>
      <w:hyperlink r:id="rId9" w:history="1">
        <w:r w:rsidRPr="008155BC">
          <w:rPr>
            <w:rStyle w:val="Hyperlink"/>
          </w:rPr>
          <w:t>https://www.esafety.gov.au/industry/safety-by-design</w:t>
        </w:r>
      </w:hyperlink>
      <w:r>
        <w:t xml:space="preserve">&gt;.  </w:t>
      </w:r>
    </w:p>
  </w:endnote>
  <w:endnote w:id="48">
    <w:p w14:paraId="5B38B406" w14:textId="77777777" w:rsidR="005355C1" w:rsidRDefault="005355C1" w:rsidP="005355C1">
      <w:pPr>
        <w:pStyle w:val="EndnoteText"/>
      </w:pPr>
      <w:r w:rsidRPr="00A14305">
        <w:rPr>
          <w:rStyle w:val="EndnoteReference"/>
        </w:rPr>
        <w:endnoteRef/>
      </w:r>
      <w:r w:rsidRPr="00A14305">
        <w:t xml:space="preserve"> OAIC, ‘Principles and Background’ (Webpage) &lt;</w:t>
      </w:r>
      <w:hyperlink r:id="rId10" w:history="1">
        <w:r w:rsidRPr="00A14305">
          <w:rPr>
            <w:rStyle w:val="Hyperlink"/>
          </w:rPr>
          <w:t>https://www.esafety.gov.au/industry/safety-by-design/principles-and-background</w:t>
        </w:r>
      </w:hyperlink>
      <w:r w:rsidRPr="00A14305">
        <w:t>&gt;.</w:t>
      </w:r>
      <w:r>
        <w:t xml:space="preserve"> </w:t>
      </w:r>
    </w:p>
  </w:endnote>
  <w:endnote w:id="49">
    <w:p w14:paraId="37E5C422" w14:textId="23E35EE5" w:rsidR="003E5B3C" w:rsidRDefault="003E5B3C">
      <w:pPr>
        <w:pStyle w:val="EndnoteText"/>
      </w:pPr>
      <w:r>
        <w:rPr>
          <w:rStyle w:val="EndnoteReference"/>
        </w:rPr>
        <w:endnoteRef/>
      </w:r>
      <w:r>
        <w:t xml:space="preserve"> </w:t>
      </w:r>
      <w:r w:rsidR="00A14305" w:rsidRPr="00A14305">
        <w:t>OAIC, ‘Principles and Background’ (Webpage) &lt;</w:t>
      </w:r>
      <w:hyperlink r:id="rId11" w:history="1">
        <w:r w:rsidR="00A14305" w:rsidRPr="00A14305">
          <w:rPr>
            <w:rStyle w:val="Hyperlink"/>
          </w:rPr>
          <w:t>https://www.esafety.gov.au/industry/safety-by-design/principles-and-background</w:t>
        </w:r>
      </w:hyperlink>
      <w:r w:rsidR="00A14305" w:rsidRPr="00A14305">
        <w:t>&gt;.</w:t>
      </w:r>
    </w:p>
  </w:endnote>
  <w:endnote w:id="50">
    <w:p w14:paraId="2B067F53" w14:textId="36CCC8FB" w:rsidR="005672FE" w:rsidRDefault="005672FE">
      <w:pPr>
        <w:pStyle w:val="EndnoteText"/>
      </w:pPr>
      <w:r>
        <w:rPr>
          <w:rStyle w:val="EndnoteReference"/>
        </w:rPr>
        <w:endnoteRef/>
      </w:r>
      <w:r>
        <w:t xml:space="preserve"> </w:t>
      </w:r>
      <w:r w:rsidR="00A450BF">
        <w:t>AHRC, Final Report (Final Report, 2021) 98.</w:t>
      </w:r>
    </w:p>
  </w:endnote>
  <w:endnote w:id="51">
    <w:p w14:paraId="29495ACD" w14:textId="77777777" w:rsidR="0035103B" w:rsidRDefault="0035103B" w:rsidP="0035103B">
      <w:pPr>
        <w:pStyle w:val="EndnoteText"/>
      </w:pPr>
      <w:r>
        <w:rPr>
          <w:rStyle w:val="EndnoteReference"/>
        </w:rPr>
        <w:endnoteRef/>
      </w:r>
      <w:r>
        <w:t xml:space="preserve"> AHRC, Final Report (Final Report, 2021) 98.</w:t>
      </w:r>
    </w:p>
  </w:endnote>
  <w:endnote w:id="52">
    <w:p w14:paraId="09CD0F52" w14:textId="77777777" w:rsidR="0035103B" w:rsidRDefault="0035103B" w:rsidP="0035103B">
      <w:pPr>
        <w:pStyle w:val="EndnoteText"/>
      </w:pPr>
      <w:r>
        <w:rPr>
          <w:rStyle w:val="EndnoteReference"/>
        </w:rPr>
        <w:endnoteRef/>
      </w:r>
      <w:r>
        <w:t xml:space="preserve"> See generally AHRC, Final Report (Final Report, 2021).</w:t>
      </w:r>
    </w:p>
  </w:endnote>
  <w:endnote w:id="53">
    <w:p w14:paraId="4B503A28" w14:textId="2CF49366" w:rsidR="00BF2B90" w:rsidRPr="00D9473E" w:rsidRDefault="00BF2B90">
      <w:pPr>
        <w:pStyle w:val="EndnoteText"/>
      </w:pPr>
      <w:r>
        <w:rPr>
          <w:rStyle w:val="EndnoteReference"/>
        </w:rPr>
        <w:endnoteRef/>
      </w:r>
      <w:r>
        <w:t xml:space="preserve"> </w:t>
      </w:r>
      <w:r w:rsidR="00D9473E">
        <w:t>Michael Guihot &amp; Lyria Bennett Moses, ‘Artificial Intelligence, Robots and the Law’</w:t>
      </w:r>
      <w:r w:rsidR="00BA0893">
        <w:t xml:space="preserve"> 2020</w:t>
      </w:r>
      <w:r w:rsidR="00D9473E">
        <w:t xml:space="preserve"> </w:t>
      </w:r>
      <w:r w:rsidR="00D9473E" w:rsidRPr="00BB3124">
        <w:rPr>
          <w:i/>
          <w:iCs/>
        </w:rPr>
        <w:t>LexisNexis Australia</w:t>
      </w:r>
      <w:r w:rsidR="00D9473E">
        <w:rPr>
          <w:i/>
          <w:iCs/>
        </w:rPr>
        <w:t xml:space="preserve"> </w:t>
      </w:r>
      <w:r w:rsidR="00D9473E">
        <w:t>327.</w:t>
      </w:r>
    </w:p>
  </w:endnote>
  <w:endnote w:id="54">
    <w:p w14:paraId="56DA225B" w14:textId="7F03D274" w:rsidR="00E36394" w:rsidRDefault="00E36394" w:rsidP="00E36394">
      <w:pPr>
        <w:pStyle w:val="EndnoteText"/>
      </w:pPr>
      <w:r>
        <w:rPr>
          <w:rStyle w:val="EndnoteReference"/>
        </w:rPr>
        <w:endnoteRef/>
      </w:r>
      <w:r>
        <w:t xml:space="preserve"> </w:t>
      </w:r>
      <w:r w:rsidR="00D9473E">
        <w:t>Michael Guihot &amp; Lyria Bennett Moses, ‘Artificial Intelligence, Robots and the Law’</w:t>
      </w:r>
      <w:r w:rsidR="00BA0893">
        <w:t xml:space="preserve"> 2020</w:t>
      </w:r>
      <w:r w:rsidR="00D9473E">
        <w:t xml:space="preserve"> </w:t>
      </w:r>
      <w:r w:rsidR="00D9473E" w:rsidRPr="00BB3124">
        <w:rPr>
          <w:i/>
          <w:iCs/>
        </w:rPr>
        <w:t>LexisNexis Australia</w:t>
      </w:r>
      <w:r w:rsidR="00D9473E">
        <w:t xml:space="preserve"> 327 citing Fiona Haines, </w:t>
      </w:r>
      <w:r w:rsidR="00CD439F">
        <w:t xml:space="preserve">‘Regulation and Risk’ in Peter Drahos, </w:t>
      </w:r>
      <w:r w:rsidR="00786E0B">
        <w:t xml:space="preserve">‘Regulatory Theory: Foundatins and Applications’ </w:t>
      </w:r>
      <w:r w:rsidR="00786E0B">
        <w:rPr>
          <w:i/>
          <w:iCs/>
        </w:rPr>
        <w:t xml:space="preserve">ANU </w:t>
      </w:r>
      <w:r w:rsidR="00786E0B" w:rsidRPr="00786E0B">
        <w:rPr>
          <w:i/>
          <w:iCs/>
        </w:rPr>
        <w:t>Press</w:t>
      </w:r>
      <w:r w:rsidR="00786E0B">
        <w:t>.</w:t>
      </w:r>
    </w:p>
  </w:endnote>
  <w:endnote w:id="55">
    <w:p w14:paraId="0A23EE88" w14:textId="6E58BA2D" w:rsidR="004E16CF" w:rsidRDefault="004E16CF" w:rsidP="00620C0F">
      <w:pPr>
        <w:pStyle w:val="EndnoteText"/>
      </w:pPr>
      <w:r>
        <w:rPr>
          <w:rStyle w:val="EndnoteReference"/>
        </w:rPr>
        <w:endnoteRef/>
      </w:r>
      <w:r>
        <w:t xml:space="preserve"> </w:t>
      </w:r>
      <w:r w:rsidR="00BA0893">
        <w:t xml:space="preserve">Michael Guihot &amp; Lyria Bennett Moses, ‘Artificial Intelligence, Robots and the Law’ 2020 </w:t>
      </w:r>
      <w:r w:rsidR="00BA0893" w:rsidRPr="00BB3124">
        <w:rPr>
          <w:i/>
          <w:iCs/>
        </w:rPr>
        <w:t>LexisNexis Australia</w:t>
      </w:r>
      <w:r w:rsidR="00BA0893">
        <w:t xml:space="preserve"> 327 </w:t>
      </w:r>
      <w:r w:rsidR="005C3CB1">
        <w:t xml:space="preserve">quoting John Braithwaite, ‘Types of </w:t>
      </w:r>
      <w:r w:rsidR="00713BAB">
        <w:t xml:space="preserve">Responsiveness’ </w:t>
      </w:r>
      <w:r w:rsidR="00934D0A">
        <w:t>in</w:t>
      </w:r>
      <w:r w:rsidR="00934D0A" w:rsidRPr="00934D0A">
        <w:t xml:space="preserve"> </w:t>
      </w:r>
      <w:r w:rsidR="00934D0A">
        <w:t xml:space="preserve">Peter Drahos, ‘Regulatory Theory: Foundatins and Applications’ </w:t>
      </w:r>
      <w:r w:rsidR="00934D0A">
        <w:rPr>
          <w:i/>
          <w:iCs/>
        </w:rPr>
        <w:t xml:space="preserve">ANU </w:t>
      </w:r>
      <w:r w:rsidR="00934D0A" w:rsidRPr="00786E0B">
        <w:rPr>
          <w:i/>
          <w:iCs/>
        </w:rPr>
        <w:t>Press</w:t>
      </w:r>
      <w:r w:rsidR="00BB3123">
        <w:t xml:space="preserve"> 117, 124.</w:t>
      </w:r>
    </w:p>
  </w:endnote>
  <w:endnote w:id="56">
    <w:p w14:paraId="1915830E" w14:textId="77777777" w:rsidR="001812ED" w:rsidRDefault="001812ED" w:rsidP="001812ED">
      <w:pPr>
        <w:pStyle w:val="EndnoteText"/>
      </w:pPr>
      <w:r>
        <w:rPr>
          <w:rStyle w:val="EndnoteReference"/>
        </w:rPr>
        <w:endnoteRef/>
      </w:r>
      <w:r>
        <w:t xml:space="preserve"> E-Safety Commissioner, ‘</w:t>
      </w:r>
      <w:r>
        <w:rPr>
          <w:i/>
          <w:iCs/>
        </w:rPr>
        <w:t>Who are we</w:t>
      </w:r>
      <w:r>
        <w:t>’ (Web Page) &lt;</w:t>
      </w:r>
      <w:hyperlink r:id="rId12" w:history="1">
        <w:r w:rsidRPr="00BE5073">
          <w:rPr>
            <w:rStyle w:val="Hyperlink"/>
          </w:rPr>
          <w:t>https://www.esafety.gov.au/about-us/who-we-are</w:t>
        </w:r>
      </w:hyperlink>
      <w:r>
        <w:t xml:space="preserve">&gt;. </w:t>
      </w:r>
    </w:p>
  </w:endnote>
  <w:endnote w:id="57">
    <w:p w14:paraId="79C1BD22" w14:textId="77777777" w:rsidR="001812ED" w:rsidRDefault="001812ED" w:rsidP="001812ED">
      <w:pPr>
        <w:pStyle w:val="EndnoteText"/>
      </w:pPr>
      <w:r>
        <w:rPr>
          <w:rStyle w:val="EndnoteReference"/>
        </w:rPr>
        <w:endnoteRef/>
      </w:r>
      <w:r>
        <w:t xml:space="preserve"> Human Rights Law Centre, Submission No 50 to the </w:t>
      </w:r>
      <w:r w:rsidRPr="000F5EFF">
        <w:rPr>
          <w:i/>
          <w:iCs/>
        </w:rPr>
        <w:t>Senate Economics</w:t>
      </w:r>
      <w:r w:rsidRPr="000F5EFF">
        <w:rPr>
          <w:i/>
          <w:iCs/>
        </w:rPr>
        <w:t xml:space="preserve"> Reference Committee</w:t>
      </w:r>
      <w:r>
        <w:t xml:space="preserve"> (2023) </w:t>
      </w:r>
      <w:r w:rsidRPr="00157A74">
        <w:t>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3941" w14:textId="77777777" w:rsidR="002B3D70" w:rsidRDefault="002B3D70" w:rsidP="00F14C6D">
      <w:r>
        <w:separator/>
      </w:r>
    </w:p>
  </w:footnote>
  <w:footnote w:type="continuationSeparator" w:id="0">
    <w:p w14:paraId="1CCF6209" w14:textId="77777777" w:rsidR="002B3D70" w:rsidRDefault="002B3D70" w:rsidP="00F14C6D">
      <w:r>
        <w:continuationSeparator/>
      </w:r>
    </w:p>
  </w:footnote>
  <w:footnote w:type="continuationNotice" w:id="1">
    <w:p w14:paraId="5D0041A5" w14:textId="77777777" w:rsidR="002B3D70" w:rsidRDefault="002B3D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42743"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42743"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42743"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371F0970" w:rsidR="00C00733" w:rsidRPr="000465F1" w:rsidRDefault="00344BF6" w:rsidP="00344BF6">
    <w:pPr>
      <w:pStyle w:val="HeaderDocumentDate"/>
    </w:pPr>
    <w:r w:rsidRPr="00344BF6">
      <w:rPr>
        <w:rStyle w:val="HeaderDocumentTitle"/>
      </w:rPr>
      <w:t>Human Rights in the Digital Age: Additional Material Submitted to the UN Global Digital Compact</w:t>
    </w:r>
    <w:r w:rsidRPr="00E938C6">
      <w:rPr>
        <w:rStyle w:val="HeaderDocumentTitle"/>
      </w:rPr>
      <w:t>,</w:t>
    </w:r>
    <w:r w:rsidRPr="00E938C6">
      <w:t xml:space="preserve"> </w:t>
    </w:r>
    <w:r w:rsidR="00E938C6" w:rsidRPr="00E938C6">
      <w:t xml:space="preserve">30 </w:t>
    </w:r>
    <w:r w:rsidRPr="00E938C6">
      <w:t>April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39" w:name="_Hlk514672172"/>
    <w:bookmarkStart w:id="40" w:name="_Hlk514672173"/>
    <w:r w:rsidRPr="000465F1">
      <w:t>Australian Human Rights Commission</w:t>
    </w:r>
  </w:p>
  <w:bookmarkEnd w:id="39"/>
  <w:bookmarkEnd w:id="40"/>
  <w:p w14:paraId="05273B3B" w14:textId="7CBE9D09" w:rsidR="00C00733" w:rsidRPr="000465F1" w:rsidRDefault="00344BF6" w:rsidP="00344BF6">
    <w:pPr>
      <w:pStyle w:val="HeaderDocumentDate"/>
    </w:pPr>
    <w:r w:rsidRPr="00344BF6">
      <w:rPr>
        <w:rStyle w:val="HeaderDocumentTitle"/>
      </w:rPr>
      <w:t>Human Rights in the Digital Age: Additional Material Submitted to the UN Global Digital Compact</w:t>
    </w:r>
    <w:r w:rsidRPr="00E938C6">
      <w:rPr>
        <w:rStyle w:val="HeaderDocumentTitle"/>
      </w:rPr>
      <w:t>,</w:t>
    </w:r>
    <w:r w:rsidRPr="00E938C6">
      <w:t xml:space="preserve"> </w:t>
    </w:r>
    <w:r w:rsidR="00E938C6" w:rsidRPr="00E938C6">
      <w:t xml:space="preserve">30 </w:t>
    </w:r>
    <w:r w:rsidRPr="00E938C6">
      <w:t>April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107E7791" w:rsidR="0063009F" w:rsidRPr="000465F1" w:rsidRDefault="00344BF6" w:rsidP="0063009F">
    <w:pPr>
      <w:pStyle w:val="HeaderDocumentDate"/>
    </w:pPr>
    <w:r w:rsidRPr="00344BF6">
      <w:rPr>
        <w:rStyle w:val="HeaderDocumentTitle"/>
      </w:rPr>
      <w:t>Human Rights in the Digital Age: Additional Material Submitted to the UN Global Digital Compact</w:t>
    </w:r>
    <w:r w:rsidR="0063009F" w:rsidRPr="00E938C6">
      <w:rPr>
        <w:rStyle w:val="HeaderDocumentTitle"/>
      </w:rPr>
      <w:t>,</w:t>
    </w:r>
    <w:r w:rsidR="0063009F" w:rsidRPr="00E938C6">
      <w:t xml:space="preserve"> </w:t>
    </w:r>
    <w:r w:rsidR="00E938C6" w:rsidRPr="00E938C6">
      <w:t xml:space="preserve">30 </w:t>
    </w:r>
    <w:r w:rsidR="00CC57ED" w:rsidRPr="00E938C6">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6D450"/>
    <w:lvl w:ilvl="0">
      <w:start w:val="1"/>
      <w:numFmt w:val="decimal"/>
      <w:pStyle w:val="ListNumber"/>
      <w:lvlText w:val="%1."/>
      <w:lvlJc w:val="left"/>
      <w:pPr>
        <w:tabs>
          <w:tab w:val="num" w:pos="644"/>
        </w:tabs>
        <w:ind w:left="644"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3B539FA"/>
    <w:multiLevelType w:val="hybridMultilevel"/>
    <w:tmpl w:val="D3ECC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B50FA7"/>
    <w:multiLevelType w:val="hybridMultilevel"/>
    <w:tmpl w:val="5D1EA4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BD32DE"/>
    <w:multiLevelType w:val="hybridMultilevel"/>
    <w:tmpl w:val="3266E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B1E5453"/>
    <w:multiLevelType w:val="hybridMultilevel"/>
    <w:tmpl w:val="900A5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4E57E49"/>
    <w:multiLevelType w:val="hybridMultilevel"/>
    <w:tmpl w:val="38FA3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5A75909"/>
    <w:multiLevelType w:val="hybridMultilevel"/>
    <w:tmpl w:val="DB805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F37CE2"/>
    <w:multiLevelType w:val="hybridMultilevel"/>
    <w:tmpl w:val="91980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15"/>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16"/>
  </w:num>
  <w:num w:numId="13" w16cid:durableId="523905181">
    <w:abstractNumId w:val="14"/>
  </w:num>
  <w:num w:numId="14" w16cid:durableId="895287567">
    <w:abstractNumId w:val="12"/>
  </w:num>
  <w:num w:numId="15" w16cid:durableId="1271008918">
    <w:abstractNumId w:val="11"/>
  </w:num>
  <w:num w:numId="16" w16cid:durableId="1078869235">
    <w:abstractNumId w:val="22"/>
  </w:num>
  <w:num w:numId="17" w16cid:durableId="1312561332">
    <w:abstractNumId w:val="17"/>
  </w:num>
  <w:num w:numId="18" w16cid:durableId="1285623460">
    <w:abstractNumId w:val="19"/>
  </w:num>
  <w:num w:numId="19" w16cid:durableId="686366710">
    <w:abstractNumId w:val="20"/>
  </w:num>
  <w:num w:numId="20" w16cid:durableId="30805822">
    <w:abstractNumId w:val="21"/>
  </w:num>
  <w:num w:numId="21" w16cid:durableId="1106656660">
    <w:abstractNumId w:val="10"/>
  </w:num>
  <w:num w:numId="22" w16cid:durableId="8603330">
    <w:abstractNumId w:val="13"/>
  </w:num>
  <w:num w:numId="23" w16cid:durableId="1707218890">
    <w:abstractNumId w:val="18"/>
  </w:num>
  <w:num w:numId="24" w16cid:durableId="1169562444">
    <w:abstractNumId w:val="8"/>
  </w:num>
  <w:num w:numId="25" w16cid:durableId="1923175382">
    <w:abstractNumId w:val="8"/>
  </w:num>
  <w:num w:numId="26" w16cid:durableId="150027710">
    <w:abstractNumId w:val="8"/>
  </w:num>
  <w:num w:numId="27" w16cid:durableId="1115174722">
    <w:abstractNumId w:val="8"/>
  </w:num>
  <w:num w:numId="28" w16cid:durableId="1002853026">
    <w:abstractNumId w:val="8"/>
  </w:num>
  <w:num w:numId="29" w16cid:durableId="1669820517">
    <w:abstractNumId w:val="8"/>
  </w:num>
  <w:num w:numId="30" w16cid:durableId="1332172650">
    <w:abstractNumId w:val="8"/>
  </w:num>
  <w:num w:numId="31" w16cid:durableId="998848259">
    <w:abstractNumId w:val="8"/>
  </w:num>
  <w:num w:numId="32" w16cid:durableId="1041438589">
    <w:abstractNumId w:val="8"/>
  </w:num>
  <w:num w:numId="33" w16cid:durableId="15531529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090"/>
    <w:rsid w:val="0000114B"/>
    <w:rsid w:val="000012A1"/>
    <w:rsid w:val="000015EC"/>
    <w:rsid w:val="00001EC1"/>
    <w:rsid w:val="00002674"/>
    <w:rsid w:val="00002A91"/>
    <w:rsid w:val="00003EA5"/>
    <w:rsid w:val="00006792"/>
    <w:rsid w:val="00006986"/>
    <w:rsid w:val="00006F95"/>
    <w:rsid w:val="00007C93"/>
    <w:rsid w:val="00011857"/>
    <w:rsid w:val="00015061"/>
    <w:rsid w:val="00015613"/>
    <w:rsid w:val="000161C2"/>
    <w:rsid w:val="00023A49"/>
    <w:rsid w:val="0002476A"/>
    <w:rsid w:val="000265D4"/>
    <w:rsid w:val="000321BE"/>
    <w:rsid w:val="00035057"/>
    <w:rsid w:val="00036363"/>
    <w:rsid w:val="00036BE4"/>
    <w:rsid w:val="000401A4"/>
    <w:rsid w:val="00040CB7"/>
    <w:rsid w:val="00041CC9"/>
    <w:rsid w:val="00042743"/>
    <w:rsid w:val="000428F7"/>
    <w:rsid w:val="00042EB9"/>
    <w:rsid w:val="000430B8"/>
    <w:rsid w:val="00045235"/>
    <w:rsid w:val="00045712"/>
    <w:rsid w:val="00045725"/>
    <w:rsid w:val="00045C4B"/>
    <w:rsid w:val="00046037"/>
    <w:rsid w:val="000462C6"/>
    <w:rsid w:val="000465F1"/>
    <w:rsid w:val="0004775C"/>
    <w:rsid w:val="00047A86"/>
    <w:rsid w:val="00047BDC"/>
    <w:rsid w:val="0005022E"/>
    <w:rsid w:val="00051C9F"/>
    <w:rsid w:val="00052904"/>
    <w:rsid w:val="00052C69"/>
    <w:rsid w:val="00053B83"/>
    <w:rsid w:val="0005439C"/>
    <w:rsid w:val="00054BFC"/>
    <w:rsid w:val="00055847"/>
    <w:rsid w:val="00055B74"/>
    <w:rsid w:val="000567B8"/>
    <w:rsid w:val="000579B1"/>
    <w:rsid w:val="0005C046"/>
    <w:rsid w:val="00061B8E"/>
    <w:rsid w:val="00061C6C"/>
    <w:rsid w:val="00065054"/>
    <w:rsid w:val="00065D11"/>
    <w:rsid w:val="000660E0"/>
    <w:rsid w:val="0006621D"/>
    <w:rsid w:val="00070D96"/>
    <w:rsid w:val="00071715"/>
    <w:rsid w:val="000729B7"/>
    <w:rsid w:val="00072E61"/>
    <w:rsid w:val="00072EDA"/>
    <w:rsid w:val="00072F1D"/>
    <w:rsid w:val="0007397B"/>
    <w:rsid w:val="00075A0D"/>
    <w:rsid w:val="00076303"/>
    <w:rsid w:val="000773F2"/>
    <w:rsid w:val="00080B47"/>
    <w:rsid w:val="00081764"/>
    <w:rsid w:val="00082A28"/>
    <w:rsid w:val="00085398"/>
    <w:rsid w:val="000855D5"/>
    <w:rsid w:val="00085B48"/>
    <w:rsid w:val="00086CCC"/>
    <w:rsid w:val="00086F00"/>
    <w:rsid w:val="0008719F"/>
    <w:rsid w:val="00090475"/>
    <w:rsid w:val="000910FA"/>
    <w:rsid w:val="0009233D"/>
    <w:rsid w:val="00092901"/>
    <w:rsid w:val="0009407C"/>
    <w:rsid w:val="00094E78"/>
    <w:rsid w:val="000951AD"/>
    <w:rsid w:val="000A00DA"/>
    <w:rsid w:val="000A0D44"/>
    <w:rsid w:val="000A1DB8"/>
    <w:rsid w:val="000A1EC3"/>
    <w:rsid w:val="000A2400"/>
    <w:rsid w:val="000A48AC"/>
    <w:rsid w:val="000A520E"/>
    <w:rsid w:val="000A54C9"/>
    <w:rsid w:val="000A5A02"/>
    <w:rsid w:val="000A62AB"/>
    <w:rsid w:val="000A657C"/>
    <w:rsid w:val="000A67FD"/>
    <w:rsid w:val="000A7489"/>
    <w:rsid w:val="000B0603"/>
    <w:rsid w:val="000B0A5D"/>
    <w:rsid w:val="000B206D"/>
    <w:rsid w:val="000B5B68"/>
    <w:rsid w:val="000B5BEC"/>
    <w:rsid w:val="000C1670"/>
    <w:rsid w:val="000C1AA5"/>
    <w:rsid w:val="000C3729"/>
    <w:rsid w:val="000C4874"/>
    <w:rsid w:val="000C5608"/>
    <w:rsid w:val="000C5C2B"/>
    <w:rsid w:val="000C5DA6"/>
    <w:rsid w:val="000C7650"/>
    <w:rsid w:val="000D064A"/>
    <w:rsid w:val="000D45DC"/>
    <w:rsid w:val="000D59E2"/>
    <w:rsid w:val="000D5D90"/>
    <w:rsid w:val="000E0EE3"/>
    <w:rsid w:val="000E130A"/>
    <w:rsid w:val="000E2434"/>
    <w:rsid w:val="000E387D"/>
    <w:rsid w:val="000E48B5"/>
    <w:rsid w:val="000E5119"/>
    <w:rsid w:val="000E5A8E"/>
    <w:rsid w:val="000E7B0C"/>
    <w:rsid w:val="000F136A"/>
    <w:rsid w:val="000F2D39"/>
    <w:rsid w:val="000F33D7"/>
    <w:rsid w:val="000F35FD"/>
    <w:rsid w:val="000F3731"/>
    <w:rsid w:val="000F467E"/>
    <w:rsid w:val="000F5194"/>
    <w:rsid w:val="000F5EFF"/>
    <w:rsid w:val="000F6574"/>
    <w:rsid w:val="0010019B"/>
    <w:rsid w:val="001027C1"/>
    <w:rsid w:val="00102E99"/>
    <w:rsid w:val="00103B60"/>
    <w:rsid w:val="00104ED7"/>
    <w:rsid w:val="00106656"/>
    <w:rsid w:val="00107803"/>
    <w:rsid w:val="00107AEE"/>
    <w:rsid w:val="00111838"/>
    <w:rsid w:val="00112B93"/>
    <w:rsid w:val="00112F9F"/>
    <w:rsid w:val="00113180"/>
    <w:rsid w:val="00116A63"/>
    <w:rsid w:val="0011715F"/>
    <w:rsid w:val="001174A8"/>
    <w:rsid w:val="0012070B"/>
    <w:rsid w:val="001220B6"/>
    <w:rsid w:val="001228B0"/>
    <w:rsid w:val="00123A63"/>
    <w:rsid w:val="00123CCF"/>
    <w:rsid w:val="00124A0F"/>
    <w:rsid w:val="001254A3"/>
    <w:rsid w:val="0012608D"/>
    <w:rsid w:val="0012641F"/>
    <w:rsid w:val="00126548"/>
    <w:rsid w:val="00126F2C"/>
    <w:rsid w:val="001306C5"/>
    <w:rsid w:val="0013221B"/>
    <w:rsid w:val="001334B1"/>
    <w:rsid w:val="00134774"/>
    <w:rsid w:val="00135225"/>
    <w:rsid w:val="00140274"/>
    <w:rsid w:val="0014241B"/>
    <w:rsid w:val="00142530"/>
    <w:rsid w:val="001435E0"/>
    <w:rsid w:val="0014385C"/>
    <w:rsid w:val="00145458"/>
    <w:rsid w:val="0014551B"/>
    <w:rsid w:val="0014554B"/>
    <w:rsid w:val="00147519"/>
    <w:rsid w:val="00147ABB"/>
    <w:rsid w:val="00147DEA"/>
    <w:rsid w:val="00150ED5"/>
    <w:rsid w:val="00150F90"/>
    <w:rsid w:val="00151263"/>
    <w:rsid w:val="001519F1"/>
    <w:rsid w:val="0015239E"/>
    <w:rsid w:val="00153B1D"/>
    <w:rsid w:val="00153D16"/>
    <w:rsid w:val="00154112"/>
    <w:rsid w:val="00156C8B"/>
    <w:rsid w:val="00157A74"/>
    <w:rsid w:val="00157BFE"/>
    <w:rsid w:val="001605D2"/>
    <w:rsid w:val="00160925"/>
    <w:rsid w:val="0016202E"/>
    <w:rsid w:val="00162640"/>
    <w:rsid w:val="0016266F"/>
    <w:rsid w:val="00162A8D"/>
    <w:rsid w:val="0016567F"/>
    <w:rsid w:val="00165E3C"/>
    <w:rsid w:val="00167F94"/>
    <w:rsid w:val="001702FA"/>
    <w:rsid w:val="0017207A"/>
    <w:rsid w:val="0017219B"/>
    <w:rsid w:val="0017219E"/>
    <w:rsid w:val="0017222B"/>
    <w:rsid w:val="00172F3A"/>
    <w:rsid w:val="00172FE1"/>
    <w:rsid w:val="001731BB"/>
    <w:rsid w:val="00173FB5"/>
    <w:rsid w:val="00174D9A"/>
    <w:rsid w:val="00180583"/>
    <w:rsid w:val="00180623"/>
    <w:rsid w:val="001812ED"/>
    <w:rsid w:val="001825C4"/>
    <w:rsid w:val="00182698"/>
    <w:rsid w:val="0018341B"/>
    <w:rsid w:val="001852E5"/>
    <w:rsid w:val="00185520"/>
    <w:rsid w:val="00186314"/>
    <w:rsid w:val="00186792"/>
    <w:rsid w:val="00186C52"/>
    <w:rsid w:val="0019176C"/>
    <w:rsid w:val="00191BC6"/>
    <w:rsid w:val="00191E73"/>
    <w:rsid w:val="00194714"/>
    <w:rsid w:val="00195B63"/>
    <w:rsid w:val="00195B73"/>
    <w:rsid w:val="00195EDE"/>
    <w:rsid w:val="00197BFA"/>
    <w:rsid w:val="00197DD5"/>
    <w:rsid w:val="001A07F5"/>
    <w:rsid w:val="001A1C76"/>
    <w:rsid w:val="001A2713"/>
    <w:rsid w:val="001A3310"/>
    <w:rsid w:val="001A3DBC"/>
    <w:rsid w:val="001A3E00"/>
    <w:rsid w:val="001A54FD"/>
    <w:rsid w:val="001A5D4E"/>
    <w:rsid w:val="001B0353"/>
    <w:rsid w:val="001B062B"/>
    <w:rsid w:val="001B06F9"/>
    <w:rsid w:val="001B0BD7"/>
    <w:rsid w:val="001B16CD"/>
    <w:rsid w:val="001B346F"/>
    <w:rsid w:val="001B43F8"/>
    <w:rsid w:val="001B4FEE"/>
    <w:rsid w:val="001B52C9"/>
    <w:rsid w:val="001B5489"/>
    <w:rsid w:val="001B5BAF"/>
    <w:rsid w:val="001B6EDF"/>
    <w:rsid w:val="001B73DF"/>
    <w:rsid w:val="001B787C"/>
    <w:rsid w:val="001C0771"/>
    <w:rsid w:val="001C1006"/>
    <w:rsid w:val="001C1F8B"/>
    <w:rsid w:val="001C35DB"/>
    <w:rsid w:val="001C450A"/>
    <w:rsid w:val="001C5541"/>
    <w:rsid w:val="001C61A3"/>
    <w:rsid w:val="001C76F5"/>
    <w:rsid w:val="001C7C77"/>
    <w:rsid w:val="001D21F5"/>
    <w:rsid w:val="001D24BE"/>
    <w:rsid w:val="001D3F76"/>
    <w:rsid w:val="001D437D"/>
    <w:rsid w:val="001D4635"/>
    <w:rsid w:val="001D6D28"/>
    <w:rsid w:val="001D6EBA"/>
    <w:rsid w:val="001E093B"/>
    <w:rsid w:val="001E1257"/>
    <w:rsid w:val="001E2267"/>
    <w:rsid w:val="001E2335"/>
    <w:rsid w:val="001E27E7"/>
    <w:rsid w:val="001E3953"/>
    <w:rsid w:val="001E5676"/>
    <w:rsid w:val="001E6B32"/>
    <w:rsid w:val="001E7005"/>
    <w:rsid w:val="001E76F8"/>
    <w:rsid w:val="001E7875"/>
    <w:rsid w:val="001F0D50"/>
    <w:rsid w:val="001F104B"/>
    <w:rsid w:val="001F2322"/>
    <w:rsid w:val="001F271C"/>
    <w:rsid w:val="001F2BBB"/>
    <w:rsid w:val="001F2F32"/>
    <w:rsid w:val="001F3796"/>
    <w:rsid w:val="001F4448"/>
    <w:rsid w:val="001F4E1E"/>
    <w:rsid w:val="001F52FD"/>
    <w:rsid w:val="001F62CC"/>
    <w:rsid w:val="001F6ED8"/>
    <w:rsid w:val="001F7CF3"/>
    <w:rsid w:val="00200677"/>
    <w:rsid w:val="002012F7"/>
    <w:rsid w:val="002016CD"/>
    <w:rsid w:val="002027F6"/>
    <w:rsid w:val="00203B4C"/>
    <w:rsid w:val="00203C63"/>
    <w:rsid w:val="00205DF5"/>
    <w:rsid w:val="002068EB"/>
    <w:rsid w:val="00206F65"/>
    <w:rsid w:val="002102A8"/>
    <w:rsid w:val="00210BDD"/>
    <w:rsid w:val="00210DCA"/>
    <w:rsid w:val="00210DE6"/>
    <w:rsid w:val="0021179A"/>
    <w:rsid w:val="00214D50"/>
    <w:rsid w:val="002205F1"/>
    <w:rsid w:val="00221BC7"/>
    <w:rsid w:val="00222049"/>
    <w:rsid w:val="00223F4C"/>
    <w:rsid w:val="00227BDD"/>
    <w:rsid w:val="00230B67"/>
    <w:rsid w:val="00231ED1"/>
    <w:rsid w:val="0023235C"/>
    <w:rsid w:val="002323A0"/>
    <w:rsid w:val="00232F2F"/>
    <w:rsid w:val="002331B8"/>
    <w:rsid w:val="00233AEA"/>
    <w:rsid w:val="002350E2"/>
    <w:rsid w:val="00237C12"/>
    <w:rsid w:val="00237DB0"/>
    <w:rsid w:val="002401FB"/>
    <w:rsid w:val="00241523"/>
    <w:rsid w:val="00241A0F"/>
    <w:rsid w:val="00241AF9"/>
    <w:rsid w:val="00241F6A"/>
    <w:rsid w:val="00242624"/>
    <w:rsid w:val="00245127"/>
    <w:rsid w:val="0024557E"/>
    <w:rsid w:val="00245733"/>
    <w:rsid w:val="00245ADE"/>
    <w:rsid w:val="002471FD"/>
    <w:rsid w:val="00250377"/>
    <w:rsid w:val="002544F2"/>
    <w:rsid w:val="00254A08"/>
    <w:rsid w:val="0025517D"/>
    <w:rsid w:val="00255375"/>
    <w:rsid w:val="002571C1"/>
    <w:rsid w:val="00257499"/>
    <w:rsid w:val="00261AD9"/>
    <w:rsid w:val="002632EA"/>
    <w:rsid w:val="00264CBD"/>
    <w:rsid w:val="00265395"/>
    <w:rsid w:val="002653C9"/>
    <w:rsid w:val="00266AEE"/>
    <w:rsid w:val="00266DA8"/>
    <w:rsid w:val="0026765D"/>
    <w:rsid w:val="00270BAE"/>
    <w:rsid w:val="002719F1"/>
    <w:rsid w:val="002727B6"/>
    <w:rsid w:val="002740DA"/>
    <w:rsid w:val="002743A0"/>
    <w:rsid w:val="0027613E"/>
    <w:rsid w:val="0027792C"/>
    <w:rsid w:val="002817E2"/>
    <w:rsid w:val="00283B51"/>
    <w:rsid w:val="002840C8"/>
    <w:rsid w:val="0028506A"/>
    <w:rsid w:val="002850B0"/>
    <w:rsid w:val="002863D7"/>
    <w:rsid w:val="002873B4"/>
    <w:rsid w:val="002911B1"/>
    <w:rsid w:val="00291341"/>
    <w:rsid w:val="002917D9"/>
    <w:rsid w:val="00291972"/>
    <w:rsid w:val="00292AB5"/>
    <w:rsid w:val="0029487A"/>
    <w:rsid w:val="00294A21"/>
    <w:rsid w:val="00297525"/>
    <w:rsid w:val="002A1BBB"/>
    <w:rsid w:val="002A4185"/>
    <w:rsid w:val="002A43C2"/>
    <w:rsid w:val="002A4F13"/>
    <w:rsid w:val="002A5069"/>
    <w:rsid w:val="002A6687"/>
    <w:rsid w:val="002A6BF2"/>
    <w:rsid w:val="002A6F36"/>
    <w:rsid w:val="002A7945"/>
    <w:rsid w:val="002B0ADD"/>
    <w:rsid w:val="002B112A"/>
    <w:rsid w:val="002B12DD"/>
    <w:rsid w:val="002B1B65"/>
    <w:rsid w:val="002B35E7"/>
    <w:rsid w:val="002B3D70"/>
    <w:rsid w:val="002B6374"/>
    <w:rsid w:val="002B73BE"/>
    <w:rsid w:val="002B778A"/>
    <w:rsid w:val="002B7DCB"/>
    <w:rsid w:val="002C02DB"/>
    <w:rsid w:val="002C02E1"/>
    <w:rsid w:val="002C055A"/>
    <w:rsid w:val="002C0B33"/>
    <w:rsid w:val="002C1118"/>
    <w:rsid w:val="002C15DC"/>
    <w:rsid w:val="002C169F"/>
    <w:rsid w:val="002C1866"/>
    <w:rsid w:val="002C1C4E"/>
    <w:rsid w:val="002C2343"/>
    <w:rsid w:val="002C2E7E"/>
    <w:rsid w:val="002C2FA0"/>
    <w:rsid w:val="002C2FA3"/>
    <w:rsid w:val="002C3041"/>
    <w:rsid w:val="002C3837"/>
    <w:rsid w:val="002C38EE"/>
    <w:rsid w:val="002C446F"/>
    <w:rsid w:val="002C4B14"/>
    <w:rsid w:val="002C4B9A"/>
    <w:rsid w:val="002C6B0B"/>
    <w:rsid w:val="002C7111"/>
    <w:rsid w:val="002D08EB"/>
    <w:rsid w:val="002D23A4"/>
    <w:rsid w:val="002D265D"/>
    <w:rsid w:val="002D281D"/>
    <w:rsid w:val="002D2896"/>
    <w:rsid w:val="002D2C4E"/>
    <w:rsid w:val="002D5E12"/>
    <w:rsid w:val="002D6559"/>
    <w:rsid w:val="002D778B"/>
    <w:rsid w:val="002E07BD"/>
    <w:rsid w:val="002E0918"/>
    <w:rsid w:val="002E0FC2"/>
    <w:rsid w:val="002E2B02"/>
    <w:rsid w:val="002E2C92"/>
    <w:rsid w:val="002E2EC6"/>
    <w:rsid w:val="002E3B69"/>
    <w:rsid w:val="002E5997"/>
    <w:rsid w:val="002E5A1B"/>
    <w:rsid w:val="002E65D9"/>
    <w:rsid w:val="002E7842"/>
    <w:rsid w:val="002E78EC"/>
    <w:rsid w:val="002F15CA"/>
    <w:rsid w:val="002F2822"/>
    <w:rsid w:val="002F2825"/>
    <w:rsid w:val="002F2FAB"/>
    <w:rsid w:val="002F4610"/>
    <w:rsid w:val="002F4AF3"/>
    <w:rsid w:val="002F4CE1"/>
    <w:rsid w:val="002F5E96"/>
    <w:rsid w:val="0030053D"/>
    <w:rsid w:val="00300541"/>
    <w:rsid w:val="003005BC"/>
    <w:rsid w:val="0030077C"/>
    <w:rsid w:val="00300F22"/>
    <w:rsid w:val="00303B7F"/>
    <w:rsid w:val="00304A37"/>
    <w:rsid w:val="00304E28"/>
    <w:rsid w:val="00305452"/>
    <w:rsid w:val="00306A2B"/>
    <w:rsid w:val="0031040E"/>
    <w:rsid w:val="00310ED4"/>
    <w:rsid w:val="003120F8"/>
    <w:rsid w:val="00312301"/>
    <w:rsid w:val="00313A68"/>
    <w:rsid w:val="0031492A"/>
    <w:rsid w:val="00314EFB"/>
    <w:rsid w:val="00314F4E"/>
    <w:rsid w:val="00316C1A"/>
    <w:rsid w:val="0031769C"/>
    <w:rsid w:val="003212D6"/>
    <w:rsid w:val="00321C98"/>
    <w:rsid w:val="003238E3"/>
    <w:rsid w:val="00323C73"/>
    <w:rsid w:val="00324C19"/>
    <w:rsid w:val="00324CC5"/>
    <w:rsid w:val="00326297"/>
    <w:rsid w:val="00331141"/>
    <w:rsid w:val="00331DAC"/>
    <w:rsid w:val="00331EE2"/>
    <w:rsid w:val="003325EC"/>
    <w:rsid w:val="00334054"/>
    <w:rsid w:val="0033448F"/>
    <w:rsid w:val="00334BBF"/>
    <w:rsid w:val="00336602"/>
    <w:rsid w:val="003400D9"/>
    <w:rsid w:val="00342082"/>
    <w:rsid w:val="003423F4"/>
    <w:rsid w:val="00342B17"/>
    <w:rsid w:val="0034374F"/>
    <w:rsid w:val="003437E5"/>
    <w:rsid w:val="00343E07"/>
    <w:rsid w:val="00344758"/>
    <w:rsid w:val="00344BF6"/>
    <w:rsid w:val="0034535F"/>
    <w:rsid w:val="00347142"/>
    <w:rsid w:val="003501A0"/>
    <w:rsid w:val="00350D1B"/>
    <w:rsid w:val="0035103B"/>
    <w:rsid w:val="003532D8"/>
    <w:rsid w:val="00354EBB"/>
    <w:rsid w:val="003553EA"/>
    <w:rsid w:val="003565A8"/>
    <w:rsid w:val="003566EA"/>
    <w:rsid w:val="00356808"/>
    <w:rsid w:val="00357291"/>
    <w:rsid w:val="003624CA"/>
    <w:rsid w:val="0036268F"/>
    <w:rsid w:val="00363497"/>
    <w:rsid w:val="0036555F"/>
    <w:rsid w:val="003667A3"/>
    <w:rsid w:val="00367729"/>
    <w:rsid w:val="0037055F"/>
    <w:rsid w:val="00370D8C"/>
    <w:rsid w:val="00371EBB"/>
    <w:rsid w:val="00372633"/>
    <w:rsid w:val="00372B6F"/>
    <w:rsid w:val="00372C79"/>
    <w:rsid w:val="003771E5"/>
    <w:rsid w:val="003834B7"/>
    <w:rsid w:val="0038372E"/>
    <w:rsid w:val="003871D8"/>
    <w:rsid w:val="00391E25"/>
    <w:rsid w:val="003935F6"/>
    <w:rsid w:val="00393725"/>
    <w:rsid w:val="00394CBC"/>
    <w:rsid w:val="0039520F"/>
    <w:rsid w:val="00395FDB"/>
    <w:rsid w:val="00396217"/>
    <w:rsid w:val="0039695C"/>
    <w:rsid w:val="003971DE"/>
    <w:rsid w:val="00397B84"/>
    <w:rsid w:val="003A033B"/>
    <w:rsid w:val="003A0E03"/>
    <w:rsid w:val="003A11FA"/>
    <w:rsid w:val="003A168E"/>
    <w:rsid w:val="003A2C41"/>
    <w:rsid w:val="003A3174"/>
    <w:rsid w:val="003A34A9"/>
    <w:rsid w:val="003A3D5A"/>
    <w:rsid w:val="003A48B7"/>
    <w:rsid w:val="003A69BD"/>
    <w:rsid w:val="003A6B0B"/>
    <w:rsid w:val="003A6B89"/>
    <w:rsid w:val="003B0D88"/>
    <w:rsid w:val="003B3CB4"/>
    <w:rsid w:val="003B4222"/>
    <w:rsid w:val="003B4D55"/>
    <w:rsid w:val="003B55E2"/>
    <w:rsid w:val="003B571E"/>
    <w:rsid w:val="003B6006"/>
    <w:rsid w:val="003C1124"/>
    <w:rsid w:val="003C3AE9"/>
    <w:rsid w:val="003C6533"/>
    <w:rsid w:val="003C6C5C"/>
    <w:rsid w:val="003C7555"/>
    <w:rsid w:val="003C7903"/>
    <w:rsid w:val="003D00B7"/>
    <w:rsid w:val="003D1853"/>
    <w:rsid w:val="003D3A12"/>
    <w:rsid w:val="003D600C"/>
    <w:rsid w:val="003D7C09"/>
    <w:rsid w:val="003D7DCE"/>
    <w:rsid w:val="003E0BE5"/>
    <w:rsid w:val="003E0E61"/>
    <w:rsid w:val="003E0F80"/>
    <w:rsid w:val="003E1268"/>
    <w:rsid w:val="003E1A52"/>
    <w:rsid w:val="003E1E34"/>
    <w:rsid w:val="003E3934"/>
    <w:rsid w:val="003E5432"/>
    <w:rsid w:val="003E5B3C"/>
    <w:rsid w:val="003E5DEF"/>
    <w:rsid w:val="003E6A9D"/>
    <w:rsid w:val="003E7543"/>
    <w:rsid w:val="003E77D8"/>
    <w:rsid w:val="003F03D6"/>
    <w:rsid w:val="003F08B5"/>
    <w:rsid w:val="003F0E10"/>
    <w:rsid w:val="003F21E2"/>
    <w:rsid w:val="003F5427"/>
    <w:rsid w:val="003F5A49"/>
    <w:rsid w:val="003F5F39"/>
    <w:rsid w:val="0040076F"/>
    <w:rsid w:val="00402288"/>
    <w:rsid w:val="004032FB"/>
    <w:rsid w:val="004048C6"/>
    <w:rsid w:val="0040497E"/>
    <w:rsid w:val="00405CAB"/>
    <w:rsid w:val="0040700D"/>
    <w:rsid w:val="00412899"/>
    <w:rsid w:val="0041330B"/>
    <w:rsid w:val="004133FB"/>
    <w:rsid w:val="00415782"/>
    <w:rsid w:val="004214CC"/>
    <w:rsid w:val="004223EC"/>
    <w:rsid w:val="00422417"/>
    <w:rsid w:val="0042252A"/>
    <w:rsid w:val="00422FE9"/>
    <w:rsid w:val="00423446"/>
    <w:rsid w:val="00424233"/>
    <w:rsid w:val="00427A94"/>
    <w:rsid w:val="004300A1"/>
    <w:rsid w:val="00430E3A"/>
    <w:rsid w:val="00431620"/>
    <w:rsid w:val="00432DDE"/>
    <w:rsid w:val="00434146"/>
    <w:rsid w:val="0043452C"/>
    <w:rsid w:val="00434C6F"/>
    <w:rsid w:val="00437013"/>
    <w:rsid w:val="0043729B"/>
    <w:rsid w:val="0044000C"/>
    <w:rsid w:val="0044146A"/>
    <w:rsid w:val="0044186F"/>
    <w:rsid w:val="0044318F"/>
    <w:rsid w:val="00443FFD"/>
    <w:rsid w:val="004451F7"/>
    <w:rsid w:val="00445505"/>
    <w:rsid w:val="004456BA"/>
    <w:rsid w:val="00445CB5"/>
    <w:rsid w:val="004470DE"/>
    <w:rsid w:val="0045019B"/>
    <w:rsid w:val="004526E7"/>
    <w:rsid w:val="00454AF3"/>
    <w:rsid w:val="004562D4"/>
    <w:rsid w:val="0045695D"/>
    <w:rsid w:val="00456A0E"/>
    <w:rsid w:val="00457A68"/>
    <w:rsid w:val="004601D3"/>
    <w:rsid w:val="00460B5B"/>
    <w:rsid w:val="00460B6B"/>
    <w:rsid w:val="00460D37"/>
    <w:rsid w:val="00460EE0"/>
    <w:rsid w:val="00461B86"/>
    <w:rsid w:val="00463124"/>
    <w:rsid w:val="00463B68"/>
    <w:rsid w:val="004649BA"/>
    <w:rsid w:val="00464A97"/>
    <w:rsid w:val="00466208"/>
    <w:rsid w:val="00466FE0"/>
    <w:rsid w:val="00467393"/>
    <w:rsid w:val="0046760E"/>
    <w:rsid w:val="00467FBD"/>
    <w:rsid w:val="00470756"/>
    <w:rsid w:val="004712FB"/>
    <w:rsid w:val="00471BB7"/>
    <w:rsid w:val="00472EFF"/>
    <w:rsid w:val="00474063"/>
    <w:rsid w:val="00474230"/>
    <w:rsid w:val="00476788"/>
    <w:rsid w:val="00476793"/>
    <w:rsid w:val="004767A3"/>
    <w:rsid w:val="004804EB"/>
    <w:rsid w:val="00480DD5"/>
    <w:rsid w:val="00481B2A"/>
    <w:rsid w:val="00482091"/>
    <w:rsid w:val="004822C9"/>
    <w:rsid w:val="004829C6"/>
    <w:rsid w:val="004835F0"/>
    <w:rsid w:val="00483915"/>
    <w:rsid w:val="00483EE9"/>
    <w:rsid w:val="004862E6"/>
    <w:rsid w:val="004871AA"/>
    <w:rsid w:val="00490818"/>
    <w:rsid w:val="00490E09"/>
    <w:rsid w:val="00490F85"/>
    <w:rsid w:val="00492B58"/>
    <w:rsid w:val="00493A1A"/>
    <w:rsid w:val="00496DF8"/>
    <w:rsid w:val="004A04D7"/>
    <w:rsid w:val="004A11F2"/>
    <w:rsid w:val="004A127F"/>
    <w:rsid w:val="004A187B"/>
    <w:rsid w:val="004A1C78"/>
    <w:rsid w:val="004A2D3C"/>
    <w:rsid w:val="004A2E90"/>
    <w:rsid w:val="004A7CA1"/>
    <w:rsid w:val="004B00E5"/>
    <w:rsid w:val="004B1009"/>
    <w:rsid w:val="004B13FC"/>
    <w:rsid w:val="004B2744"/>
    <w:rsid w:val="004B2895"/>
    <w:rsid w:val="004B2AA4"/>
    <w:rsid w:val="004B3F7F"/>
    <w:rsid w:val="004B44AA"/>
    <w:rsid w:val="004B4BB9"/>
    <w:rsid w:val="004B750B"/>
    <w:rsid w:val="004C1EFA"/>
    <w:rsid w:val="004C3E13"/>
    <w:rsid w:val="004C57F4"/>
    <w:rsid w:val="004C671A"/>
    <w:rsid w:val="004C68B7"/>
    <w:rsid w:val="004C6EE3"/>
    <w:rsid w:val="004C7412"/>
    <w:rsid w:val="004D04BF"/>
    <w:rsid w:val="004D0AE7"/>
    <w:rsid w:val="004D1CDF"/>
    <w:rsid w:val="004D21AA"/>
    <w:rsid w:val="004D4A14"/>
    <w:rsid w:val="004D4E71"/>
    <w:rsid w:val="004D5236"/>
    <w:rsid w:val="004D584C"/>
    <w:rsid w:val="004D59E6"/>
    <w:rsid w:val="004D5B46"/>
    <w:rsid w:val="004D6119"/>
    <w:rsid w:val="004D6494"/>
    <w:rsid w:val="004D6DF3"/>
    <w:rsid w:val="004D762B"/>
    <w:rsid w:val="004D77BC"/>
    <w:rsid w:val="004D7AF5"/>
    <w:rsid w:val="004E0DFF"/>
    <w:rsid w:val="004E16CF"/>
    <w:rsid w:val="004E1B28"/>
    <w:rsid w:val="004E2503"/>
    <w:rsid w:val="004E3551"/>
    <w:rsid w:val="004E5AF3"/>
    <w:rsid w:val="004E6378"/>
    <w:rsid w:val="004E718E"/>
    <w:rsid w:val="004F0A55"/>
    <w:rsid w:val="004F0E91"/>
    <w:rsid w:val="004F0F4B"/>
    <w:rsid w:val="004F1C7C"/>
    <w:rsid w:val="004F3376"/>
    <w:rsid w:val="004F3D63"/>
    <w:rsid w:val="004F50D2"/>
    <w:rsid w:val="004F5894"/>
    <w:rsid w:val="004F5F79"/>
    <w:rsid w:val="004F6251"/>
    <w:rsid w:val="004F7259"/>
    <w:rsid w:val="004F73FB"/>
    <w:rsid w:val="004F7996"/>
    <w:rsid w:val="00500537"/>
    <w:rsid w:val="00501471"/>
    <w:rsid w:val="00501680"/>
    <w:rsid w:val="005019E2"/>
    <w:rsid w:val="00501CAB"/>
    <w:rsid w:val="00502A65"/>
    <w:rsid w:val="0050380D"/>
    <w:rsid w:val="00504338"/>
    <w:rsid w:val="00504A20"/>
    <w:rsid w:val="0050600A"/>
    <w:rsid w:val="005060AF"/>
    <w:rsid w:val="00510323"/>
    <w:rsid w:val="00510390"/>
    <w:rsid w:val="0051193C"/>
    <w:rsid w:val="00511DC9"/>
    <w:rsid w:val="00511FB7"/>
    <w:rsid w:val="005123F0"/>
    <w:rsid w:val="00512735"/>
    <w:rsid w:val="00513540"/>
    <w:rsid w:val="0051361F"/>
    <w:rsid w:val="00513941"/>
    <w:rsid w:val="0051484E"/>
    <w:rsid w:val="00514AC7"/>
    <w:rsid w:val="00516A06"/>
    <w:rsid w:val="00517003"/>
    <w:rsid w:val="00517B5C"/>
    <w:rsid w:val="00517BCC"/>
    <w:rsid w:val="005209D6"/>
    <w:rsid w:val="0052130F"/>
    <w:rsid w:val="005224A5"/>
    <w:rsid w:val="00526ECA"/>
    <w:rsid w:val="0052787C"/>
    <w:rsid w:val="00527905"/>
    <w:rsid w:val="0053051D"/>
    <w:rsid w:val="00530FC5"/>
    <w:rsid w:val="005316B0"/>
    <w:rsid w:val="00532CDD"/>
    <w:rsid w:val="00532FDD"/>
    <w:rsid w:val="0053309E"/>
    <w:rsid w:val="005353D6"/>
    <w:rsid w:val="005355C1"/>
    <w:rsid w:val="0053714A"/>
    <w:rsid w:val="00537CCF"/>
    <w:rsid w:val="00537D94"/>
    <w:rsid w:val="00540941"/>
    <w:rsid w:val="00541E63"/>
    <w:rsid w:val="00542367"/>
    <w:rsid w:val="00545E93"/>
    <w:rsid w:val="00546FF6"/>
    <w:rsid w:val="00550971"/>
    <w:rsid w:val="00552044"/>
    <w:rsid w:val="0055323F"/>
    <w:rsid w:val="00554280"/>
    <w:rsid w:val="0055650B"/>
    <w:rsid w:val="00556EA6"/>
    <w:rsid w:val="00557D73"/>
    <w:rsid w:val="00560F6A"/>
    <w:rsid w:val="005617ED"/>
    <w:rsid w:val="00562AC8"/>
    <w:rsid w:val="00564208"/>
    <w:rsid w:val="0056509B"/>
    <w:rsid w:val="005672FE"/>
    <w:rsid w:val="00570241"/>
    <w:rsid w:val="005708C3"/>
    <w:rsid w:val="0057140C"/>
    <w:rsid w:val="00571CEB"/>
    <w:rsid w:val="005728A2"/>
    <w:rsid w:val="0057404E"/>
    <w:rsid w:val="00574536"/>
    <w:rsid w:val="00574772"/>
    <w:rsid w:val="00575120"/>
    <w:rsid w:val="0057614D"/>
    <w:rsid w:val="00576A7F"/>
    <w:rsid w:val="00577C9B"/>
    <w:rsid w:val="00581796"/>
    <w:rsid w:val="00582189"/>
    <w:rsid w:val="005839DD"/>
    <w:rsid w:val="00583CB0"/>
    <w:rsid w:val="00584C19"/>
    <w:rsid w:val="00585C61"/>
    <w:rsid w:val="00586123"/>
    <w:rsid w:val="005862CE"/>
    <w:rsid w:val="00586688"/>
    <w:rsid w:val="005869EC"/>
    <w:rsid w:val="00586ADD"/>
    <w:rsid w:val="0058795F"/>
    <w:rsid w:val="00587B12"/>
    <w:rsid w:val="00587D6D"/>
    <w:rsid w:val="005915FA"/>
    <w:rsid w:val="00591951"/>
    <w:rsid w:val="0059204D"/>
    <w:rsid w:val="005941BC"/>
    <w:rsid w:val="005958C4"/>
    <w:rsid w:val="005A02F3"/>
    <w:rsid w:val="005A0444"/>
    <w:rsid w:val="005A090B"/>
    <w:rsid w:val="005A0964"/>
    <w:rsid w:val="005A1D88"/>
    <w:rsid w:val="005A3B34"/>
    <w:rsid w:val="005A4834"/>
    <w:rsid w:val="005A5B89"/>
    <w:rsid w:val="005A6DF6"/>
    <w:rsid w:val="005A75C2"/>
    <w:rsid w:val="005B0459"/>
    <w:rsid w:val="005B35F0"/>
    <w:rsid w:val="005B36F6"/>
    <w:rsid w:val="005B3EE2"/>
    <w:rsid w:val="005B4F00"/>
    <w:rsid w:val="005C2ECF"/>
    <w:rsid w:val="005C31F2"/>
    <w:rsid w:val="005C3B84"/>
    <w:rsid w:val="005C3CB1"/>
    <w:rsid w:val="005C5B0A"/>
    <w:rsid w:val="005C5D41"/>
    <w:rsid w:val="005C6908"/>
    <w:rsid w:val="005C6D13"/>
    <w:rsid w:val="005C6F2A"/>
    <w:rsid w:val="005D1519"/>
    <w:rsid w:val="005D18C3"/>
    <w:rsid w:val="005D1F34"/>
    <w:rsid w:val="005D383D"/>
    <w:rsid w:val="005D4493"/>
    <w:rsid w:val="005D78BA"/>
    <w:rsid w:val="005E1142"/>
    <w:rsid w:val="005E17FA"/>
    <w:rsid w:val="005E2D9C"/>
    <w:rsid w:val="005E33CB"/>
    <w:rsid w:val="005E3946"/>
    <w:rsid w:val="005E44F7"/>
    <w:rsid w:val="005E5009"/>
    <w:rsid w:val="005E503F"/>
    <w:rsid w:val="005E6C7E"/>
    <w:rsid w:val="005E707F"/>
    <w:rsid w:val="005E726A"/>
    <w:rsid w:val="005F03A8"/>
    <w:rsid w:val="005F08B5"/>
    <w:rsid w:val="005F0A36"/>
    <w:rsid w:val="005F0C18"/>
    <w:rsid w:val="005F1D63"/>
    <w:rsid w:val="005F3DB3"/>
    <w:rsid w:val="005F3DB4"/>
    <w:rsid w:val="005F4BA0"/>
    <w:rsid w:val="005F59BF"/>
    <w:rsid w:val="005F5E64"/>
    <w:rsid w:val="005F706A"/>
    <w:rsid w:val="005F7E4A"/>
    <w:rsid w:val="00601392"/>
    <w:rsid w:val="006020A7"/>
    <w:rsid w:val="00602FFD"/>
    <w:rsid w:val="00604854"/>
    <w:rsid w:val="006051BA"/>
    <w:rsid w:val="00606728"/>
    <w:rsid w:val="00606A81"/>
    <w:rsid w:val="00607887"/>
    <w:rsid w:val="00607944"/>
    <w:rsid w:val="006100F9"/>
    <w:rsid w:val="00610572"/>
    <w:rsid w:val="00611A30"/>
    <w:rsid w:val="00611E3A"/>
    <w:rsid w:val="00615285"/>
    <w:rsid w:val="006153B9"/>
    <w:rsid w:val="006157CF"/>
    <w:rsid w:val="00615D3A"/>
    <w:rsid w:val="00615DD1"/>
    <w:rsid w:val="00616F88"/>
    <w:rsid w:val="00617B31"/>
    <w:rsid w:val="00620C0F"/>
    <w:rsid w:val="00620DDC"/>
    <w:rsid w:val="006214A0"/>
    <w:rsid w:val="006220BA"/>
    <w:rsid w:val="00622508"/>
    <w:rsid w:val="0062268C"/>
    <w:rsid w:val="00624C4E"/>
    <w:rsid w:val="00624CA4"/>
    <w:rsid w:val="00625AED"/>
    <w:rsid w:val="006273E0"/>
    <w:rsid w:val="0063009F"/>
    <w:rsid w:val="0063038F"/>
    <w:rsid w:val="0063099F"/>
    <w:rsid w:val="00630B2F"/>
    <w:rsid w:val="00630DF8"/>
    <w:rsid w:val="00630EF8"/>
    <w:rsid w:val="006331D7"/>
    <w:rsid w:val="0063344E"/>
    <w:rsid w:val="0063391D"/>
    <w:rsid w:val="0063539F"/>
    <w:rsid w:val="006356C5"/>
    <w:rsid w:val="00635DCA"/>
    <w:rsid w:val="00635EBF"/>
    <w:rsid w:val="00636BA9"/>
    <w:rsid w:val="0063C226"/>
    <w:rsid w:val="0064016F"/>
    <w:rsid w:val="006403EA"/>
    <w:rsid w:val="00640816"/>
    <w:rsid w:val="00641203"/>
    <w:rsid w:val="00641D3E"/>
    <w:rsid w:val="00642D63"/>
    <w:rsid w:val="0064385E"/>
    <w:rsid w:val="006446A5"/>
    <w:rsid w:val="00645214"/>
    <w:rsid w:val="00650E26"/>
    <w:rsid w:val="00651BB0"/>
    <w:rsid w:val="00654793"/>
    <w:rsid w:val="0065479D"/>
    <w:rsid w:val="006556DB"/>
    <w:rsid w:val="00655A6F"/>
    <w:rsid w:val="00656600"/>
    <w:rsid w:val="00657A03"/>
    <w:rsid w:val="00660723"/>
    <w:rsid w:val="00660BA9"/>
    <w:rsid w:val="0066177A"/>
    <w:rsid w:val="00663593"/>
    <w:rsid w:val="00663616"/>
    <w:rsid w:val="00663B89"/>
    <w:rsid w:val="0066713B"/>
    <w:rsid w:val="006705AD"/>
    <w:rsid w:val="00671AFE"/>
    <w:rsid w:val="00672D73"/>
    <w:rsid w:val="00674363"/>
    <w:rsid w:val="00675445"/>
    <w:rsid w:val="00675FF2"/>
    <w:rsid w:val="006762A5"/>
    <w:rsid w:val="0068002A"/>
    <w:rsid w:val="00681214"/>
    <w:rsid w:val="006837DA"/>
    <w:rsid w:val="00684823"/>
    <w:rsid w:val="00684A77"/>
    <w:rsid w:val="0068548D"/>
    <w:rsid w:val="00686A07"/>
    <w:rsid w:val="00686E33"/>
    <w:rsid w:val="00687CBC"/>
    <w:rsid w:val="006902B4"/>
    <w:rsid w:val="00690389"/>
    <w:rsid w:val="00690949"/>
    <w:rsid w:val="00691020"/>
    <w:rsid w:val="00693756"/>
    <w:rsid w:val="0069567B"/>
    <w:rsid w:val="00695B80"/>
    <w:rsid w:val="00695F3B"/>
    <w:rsid w:val="006976E9"/>
    <w:rsid w:val="00697B1F"/>
    <w:rsid w:val="006A02A7"/>
    <w:rsid w:val="006A0908"/>
    <w:rsid w:val="006A1AF2"/>
    <w:rsid w:val="006A4393"/>
    <w:rsid w:val="006A45A8"/>
    <w:rsid w:val="006A4CA9"/>
    <w:rsid w:val="006A5152"/>
    <w:rsid w:val="006A6BB3"/>
    <w:rsid w:val="006A72A1"/>
    <w:rsid w:val="006A7910"/>
    <w:rsid w:val="006A7C53"/>
    <w:rsid w:val="006B0131"/>
    <w:rsid w:val="006B023D"/>
    <w:rsid w:val="006B0321"/>
    <w:rsid w:val="006B045D"/>
    <w:rsid w:val="006B0533"/>
    <w:rsid w:val="006B0BE3"/>
    <w:rsid w:val="006B1DBF"/>
    <w:rsid w:val="006B3156"/>
    <w:rsid w:val="006B3DE1"/>
    <w:rsid w:val="006B3E81"/>
    <w:rsid w:val="006B4B47"/>
    <w:rsid w:val="006B6258"/>
    <w:rsid w:val="006B6829"/>
    <w:rsid w:val="006B6BE9"/>
    <w:rsid w:val="006B729F"/>
    <w:rsid w:val="006C0642"/>
    <w:rsid w:val="006C18BF"/>
    <w:rsid w:val="006C1DC4"/>
    <w:rsid w:val="006C30B3"/>
    <w:rsid w:val="006C58A2"/>
    <w:rsid w:val="006D0407"/>
    <w:rsid w:val="006D2378"/>
    <w:rsid w:val="006D41D8"/>
    <w:rsid w:val="006D4BEB"/>
    <w:rsid w:val="006D51E9"/>
    <w:rsid w:val="006D5533"/>
    <w:rsid w:val="006D5D08"/>
    <w:rsid w:val="006D5EE5"/>
    <w:rsid w:val="006D65E8"/>
    <w:rsid w:val="006D7029"/>
    <w:rsid w:val="006D7204"/>
    <w:rsid w:val="006E0C40"/>
    <w:rsid w:val="006E2399"/>
    <w:rsid w:val="006E3DB8"/>
    <w:rsid w:val="006E6D3B"/>
    <w:rsid w:val="006E7696"/>
    <w:rsid w:val="006F14D7"/>
    <w:rsid w:val="006F205E"/>
    <w:rsid w:val="006F2912"/>
    <w:rsid w:val="006F2DC9"/>
    <w:rsid w:val="006F3643"/>
    <w:rsid w:val="006F36BA"/>
    <w:rsid w:val="006F50DD"/>
    <w:rsid w:val="007009B6"/>
    <w:rsid w:val="00700C79"/>
    <w:rsid w:val="00700D05"/>
    <w:rsid w:val="00701D84"/>
    <w:rsid w:val="007021FD"/>
    <w:rsid w:val="007027AC"/>
    <w:rsid w:val="007058AA"/>
    <w:rsid w:val="00706C63"/>
    <w:rsid w:val="007070B0"/>
    <w:rsid w:val="00707465"/>
    <w:rsid w:val="007077D2"/>
    <w:rsid w:val="0071092F"/>
    <w:rsid w:val="007117A5"/>
    <w:rsid w:val="00711ACD"/>
    <w:rsid w:val="00712E01"/>
    <w:rsid w:val="00713208"/>
    <w:rsid w:val="007136A5"/>
    <w:rsid w:val="00713BAB"/>
    <w:rsid w:val="00714EFD"/>
    <w:rsid w:val="00714FF5"/>
    <w:rsid w:val="0071503A"/>
    <w:rsid w:val="00716646"/>
    <w:rsid w:val="00716871"/>
    <w:rsid w:val="0071782F"/>
    <w:rsid w:val="0072012F"/>
    <w:rsid w:val="0072122C"/>
    <w:rsid w:val="00723195"/>
    <w:rsid w:val="00724C32"/>
    <w:rsid w:val="0072510A"/>
    <w:rsid w:val="007270ED"/>
    <w:rsid w:val="007271A6"/>
    <w:rsid w:val="007308CA"/>
    <w:rsid w:val="00730BD2"/>
    <w:rsid w:val="00734523"/>
    <w:rsid w:val="00736F2E"/>
    <w:rsid w:val="0073707F"/>
    <w:rsid w:val="007400F6"/>
    <w:rsid w:val="00741288"/>
    <w:rsid w:val="00741B91"/>
    <w:rsid w:val="00742E36"/>
    <w:rsid w:val="0074432B"/>
    <w:rsid w:val="00744588"/>
    <w:rsid w:val="00747023"/>
    <w:rsid w:val="00747245"/>
    <w:rsid w:val="0075110B"/>
    <w:rsid w:val="0075248E"/>
    <w:rsid w:val="007525F8"/>
    <w:rsid w:val="0075379B"/>
    <w:rsid w:val="007540BF"/>
    <w:rsid w:val="00756107"/>
    <w:rsid w:val="0075618F"/>
    <w:rsid w:val="00760493"/>
    <w:rsid w:val="00760E7E"/>
    <w:rsid w:val="00762679"/>
    <w:rsid w:val="007630DF"/>
    <w:rsid w:val="007637A8"/>
    <w:rsid w:val="0076442E"/>
    <w:rsid w:val="00765B58"/>
    <w:rsid w:val="00765CCC"/>
    <w:rsid w:val="00770DCB"/>
    <w:rsid w:val="00771312"/>
    <w:rsid w:val="00771A94"/>
    <w:rsid w:val="007725BC"/>
    <w:rsid w:val="007733E9"/>
    <w:rsid w:val="007742E5"/>
    <w:rsid w:val="00774B27"/>
    <w:rsid w:val="00775485"/>
    <w:rsid w:val="00775805"/>
    <w:rsid w:val="00775B88"/>
    <w:rsid w:val="00777144"/>
    <w:rsid w:val="00780480"/>
    <w:rsid w:val="007808E1"/>
    <w:rsid w:val="007817B0"/>
    <w:rsid w:val="00781965"/>
    <w:rsid w:val="007826D0"/>
    <w:rsid w:val="00782DD8"/>
    <w:rsid w:val="00783303"/>
    <w:rsid w:val="00783532"/>
    <w:rsid w:val="00783593"/>
    <w:rsid w:val="007846B5"/>
    <w:rsid w:val="00784AAC"/>
    <w:rsid w:val="00785DD7"/>
    <w:rsid w:val="0078667D"/>
    <w:rsid w:val="00786CE4"/>
    <w:rsid w:val="00786E0B"/>
    <w:rsid w:val="0078708F"/>
    <w:rsid w:val="00790B46"/>
    <w:rsid w:val="00791209"/>
    <w:rsid w:val="007918AF"/>
    <w:rsid w:val="00792580"/>
    <w:rsid w:val="00792594"/>
    <w:rsid w:val="00793B2A"/>
    <w:rsid w:val="007942E6"/>
    <w:rsid w:val="00797C4E"/>
    <w:rsid w:val="00797FA4"/>
    <w:rsid w:val="007A14DE"/>
    <w:rsid w:val="007A5933"/>
    <w:rsid w:val="007A61EF"/>
    <w:rsid w:val="007A6652"/>
    <w:rsid w:val="007A6AE3"/>
    <w:rsid w:val="007A6F72"/>
    <w:rsid w:val="007A7070"/>
    <w:rsid w:val="007A7633"/>
    <w:rsid w:val="007A7D4E"/>
    <w:rsid w:val="007A7E98"/>
    <w:rsid w:val="007B06EA"/>
    <w:rsid w:val="007B3DB2"/>
    <w:rsid w:val="007B430C"/>
    <w:rsid w:val="007B5814"/>
    <w:rsid w:val="007B71E7"/>
    <w:rsid w:val="007B7387"/>
    <w:rsid w:val="007C0D1E"/>
    <w:rsid w:val="007C27C6"/>
    <w:rsid w:val="007C4278"/>
    <w:rsid w:val="007C4457"/>
    <w:rsid w:val="007C49FA"/>
    <w:rsid w:val="007C7576"/>
    <w:rsid w:val="007D1813"/>
    <w:rsid w:val="007D2152"/>
    <w:rsid w:val="007D2AF4"/>
    <w:rsid w:val="007D2F00"/>
    <w:rsid w:val="007D2FAD"/>
    <w:rsid w:val="007D60BF"/>
    <w:rsid w:val="007D79F1"/>
    <w:rsid w:val="007E0EDE"/>
    <w:rsid w:val="007E12C0"/>
    <w:rsid w:val="007E1780"/>
    <w:rsid w:val="007E1FB5"/>
    <w:rsid w:val="007E4CB2"/>
    <w:rsid w:val="007E5B88"/>
    <w:rsid w:val="007E65A5"/>
    <w:rsid w:val="007E68C2"/>
    <w:rsid w:val="007E6DC2"/>
    <w:rsid w:val="007E7CFE"/>
    <w:rsid w:val="007F0096"/>
    <w:rsid w:val="007F0D0B"/>
    <w:rsid w:val="007F2BDA"/>
    <w:rsid w:val="007F3607"/>
    <w:rsid w:val="007F404D"/>
    <w:rsid w:val="007F405C"/>
    <w:rsid w:val="007F59FB"/>
    <w:rsid w:val="007F5A30"/>
    <w:rsid w:val="007F7DBF"/>
    <w:rsid w:val="008007A8"/>
    <w:rsid w:val="008008B1"/>
    <w:rsid w:val="008008B7"/>
    <w:rsid w:val="00800F39"/>
    <w:rsid w:val="0080161E"/>
    <w:rsid w:val="008017E8"/>
    <w:rsid w:val="00804162"/>
    <w:rsid w:val="008042D9"/>
    <w:rsid w:val="008043CD"/>
    <w:rsid w:val="0080640F"/>
    <w:rsid w:val="008100A4"/>
    <w:rsid w:val="00810E95"/>
    <w:rsid w:val="008110BD"/>
    <w:rsid w:val="008130AB"/>
    <w:rsid w:val="00814E8A"/>
    <w:rsid w:val="00814FC0"/>
    <w:rsid w:val="00816FB7"/>
    <w:rsid w:val="00817448"/>
    <w:rsid w:val="00817923"/>
    <w:rsid w:val="00817C43"/>
    <w:rsid w:val="00817C73"/>
    <w:rsid w:val="00817D91"/>
    <w:rsid w:val="00822210"/>
    <w:rsid w:val="00823005"/>
    <w:rsid w:val="00824599"/>
    <w:rsid w:val="00825CED"/>
    <w:rsid w:val="00827029"/>
    <w:rsid w:val="00831453"/>
    <w:rsid w:val="00832631"/>
    <w:rsid w:val="00833A84"/>
    <w:rsid w:val="0083536E"/>
    <w:rsid w:val="00836FFB"/>
    <w:rsid w:val="00837AA9"/>
    <w:rsid w:val="008409C5"/>
    <w:rsid w:val="00840D2F"/>
    <w:rsid w:val="0084192C"/>
    <w:rsid w:val="00844398"/>
    <w:rsid w:val="00844907"/>
    <w:rsid w:val="008449B9"/>
    <w:rsid w:val="00846360"/>
    <w:rsid w:val="00846C8D"/>
    <w:rsid w:val="00847191"/>
    <w:rsid w:val="00847363"/>
    <w:rsid w:val="00850E70"/>
    <w:rsid w:val="00852501"/>
    <w:rsid w:val="00853BEF"/>
    <w:rsid w:val="00855A7E"/>
    <w:rsid w:val="008574AC"/>
    <w:rsid w:val="00857A16"/>
    <w:rsid w:val="00857E98"/>
    <w:rsid w:val="00857EBF"/>
    <w:rsid w:val="008607C7"/>
    <w:rsid w:val="00862238"/>
    <w:rsid w:val="0086254F"/>
    <w:rsid w:val="0086288E"/>
    <w:rsid w:val="00863225"/>
    <w:rsid w:val="00863914"/>
    <w:rsid w:val="00863DAC"/>
    <w:rsid w:val="00864727"/>
    <w:rsid w:val="008675F8"/>
    <w:rsid w:val="00867A58"/>
    <w:rsid w:val="00872406"/>
    <w:rsid w:val="008724DE"/>
    <w:rsid w:val="0087291F"/>
    <w:rsid w:val="0087295B"/>
    <w:rsid w:val="00872BF3"/>
    <w:rsid w:val="00872FF2"/>
    <w:rsid w:val="008758D9"/>
    <w:rsid w:val="00875C17"/>
    <w:rsid w:val="0087702E"/>
    <w:rsid w:val="00880CA2"/>
    <w:rsid w:val="00880F29"/>
    <w:rsid w:val="008815D7"/>
    <w:rsid w:val="00882B0A"/>
    <w:rsid w:val="00882BED"/>
    <w:rsid w:val="00883139"/>
    <w:rsid w:val="00883BC7"/>
    <w:rsid w:val="008840AA"/>
    <w:rsid w:val="00884DE1"/>
    <w:rsid w:val="00885425"/>
    <w:rsid w:val="00886E84"/>
    <w:rsid w:val="008877CA"/>
    <w:rsid w:val="00887896"/>
    <w:rsid w:val="008906A3"/>
    <w:rsid w:val="00890BD3"/>
    <w:rsid w:val="008917BB"/>
    <w:rsid w:val="00892051"/>
    <w:rsid w:val="00892A97"/>
    <w:rsid w:val="008934DF"/>
    <w:rsid w:val="008948C8"/>
    <w:rsid w:val="00894F28"/>
    <w:rsid w:val="00895AE2"/>
    <w:rsid w:val="00895DA6"/>
    <w:rsid w:val="0089691A"/>
    <w:rsid w:val="00897280"/>
    <w:rsid w:val="00897865"/>
    <w:rsid w:val="00897AEE"/>
    <w:rsid w:val="00897C1F"/>
    <w:rsid w:val="008A3660"/>
    <w:rsid w:val="008A36E4"/>
    <w:rsid w:val="008A3D57"/>
    <w:rsid w:val="008A3D8D"/>
    <w:rsid w:val="008A5585"/>
    <w:rsid w:val="008A58D8"/>
    <w:rsid w:val="008A5C65"/>
    <w:rsid w:val="008A61C1"/>
    <w:rsid w:val="008A63D6"/>
    <w:rsid w:val="008A7680"/>
    <w:rsid w:val="008A7867"/>
    <w:rsid w:val="008B0D92"/>
    <w:rsid w:val="008B0E1A"/>
    <w:rsid w:val="008B16BF"/>
    <w:rsid w:val="008B23BC"/>
    <w:rsid w:val="008B3899"/>
    <w:rsid w:val="008B3F41"/>
    <w:rsid w:val="008B5CB7"/>
    <w:rsid w:val="008B6A48"/>
    <w:rsid w:val="008B7643"/>
    <w:rsid w:val="008B7C84"/>
    <w:rsid w:val="008C0C28"/>
    <w:rsid w:val="008C14A5"/>
    <w:rsid w:val="008C18BC"/>
    <w:rsid w:val="008C2C4A"/>
    <w:rsid w:val="008C34B4"/>
    <w:rsid w:val="008C49AC"/>
    <w:rsid w:val="008C501E"/>
    <w:rsid w:val="008C6A4F"/>
    <w:rsid w:val="008C7ED2"/>
    <w:rsid w:val="008D0492"/>
    <w:rsid w:val="008D08DB"/>
    <w:rsid w:val="008D2A16"/>
    <w:rsid w:val="008D3213"/>
    <w:rsid w:val="008D4467"/>
    <w:rsid w:val="008D47EC"/>
    <w:rsid w:val="008D4F0A"/>
    <w:rsid w:val="008E0435"/>
    <w:rsid w:val="008E2A73"/>
    <w:rsid w:val="008E2E67"/>
    <w:rsid w:val="008E328C"/>
    <w:rsid w:val="008E3AE2"/>
    <w:rsid w:val="008E3D60"/>
    <w:rsid w:val="008E3F4C"/>
    <w:rsid w:val="008E42B6"/>
    <w:rsid w:val="008E4FC8"/>
    <w:rsid w:val="008E6450"/>
    <w:rsid w:val="008E66F0"/>
    <w:rsid w:val="008E7962"/>
    <w:rsid w:val="008E7A11"/>
    <w:rsid w:val="008F062E"/>
    <w:rsid w:val="008F0CA4"/>
    <w:rsid w:val="008F1386"/>
    <w:rsid w:val="008F13A8"/>
    <w:rsid w:val="008F1C77"/>
    <w:rsid w:val="008F3426"/>
    <w:rsid w:val="008F4487"/>
    <w:rsid w:val="008F527C"/>
    <w:rsid w:val="008F5856"/>
    <w:rsid w:val="008F58A6"/>
    <w:rsid w:val="009008EE"/>
    <w:rsid w:val="00900AAF"/>
    <w:rsid w:val="00900CB6"/>
    <w:rsid w:val="0090165F"/>
    <w:rsid w:val="00901B82"/>
    <w:rsid w:val="00901DCD"/>
    <w:rsid w:val="00901E9F"/>
    <w:rsid w:val="00902073"/>
    <w:rsid w:val="00902E6A"/>
    <w:rsid w:val="00903B12"/>
    <w:rsid w:val="00903F56"/>
    <w:rsid w:val="009045E1"/>
    <w:rsid w:val="00905410"/>
    <w:rsid w:val="0090763D"/>
    <w:rsid w:val="009101B8"/>
    <w:rsid w:val="00910D61"/>
    <w:rsid w:val="009110CF"/>
    <w:rsid w:val="00911F6F"/>
    <w:rsid w:val="00912B09"/>
    <w:rsid w:val="0091472B"/>
    <w:rsid w:val="009148A4"/>
    <w:rsid w:val="0091537B"/>
    <w:rsid w:val="009155A4"/>
    <w:rsid w:val="00915EFC"/>
    <w:rsid w:val="0091704D"/>
    <w:rsid w:val="009176FB"/>
    <w:rsid w:val="009206CE"/>
    <w:rsid w:val="00920FBC"/>
    <w:rsid w:val="00921C8B"/>
    <w:rsid w:val="00922936"/>
    <w:rsid w:val="00922BE2"/>
    <w:rsid w:val="009300C0"/>
    <w:rsid w:val="009315BD"/>
    <w:rsid w:val="009318F3"/>
    <w:rsid w:val="00934D0A"/>
    <w:rsid w:val="009352F5"/>
    <w:rsid w:val="00935802"/>
    <w:rsid w:val="00935BF4"/>
    <w:rsid w:val="0093684A"/>
    <w:rsid w:val="009376F6"/>
    <w:rsid w:val="0094191D"/>
    <w:rsid w:val="00941D7D"/>
    <w:rsid w:val="00942C2A"/>
    <w:rsid w:val="00942D1F"/>
    <w:rsid w:val="009432CF"/>
    <w:rsid w:val="009437AF"/>
    <w:rsid w:val="00944591"/>
    <w:rsid w:val="00945A11"/>
    <w:rsid w:val="0094611B"/>
    <w:rsid w:val="0095101B"/>
    <w:rsid w:val="00951E77"/>
    <w:rsid w:val="00953AFF"/>
    <w:rsid w:val="00954E18"/>
    <w:rsid w:val="00955F4A"/>
    <w:rsid w:val="00956EAF"/>
    <w:rsid w:val="00957384"/>
    <w:rsid w:val="00957734"/>
    <w:rsid w:val="009609BA"/>
    <w:rsid w:val="0096137E"/>
    <w:rsid w:val="00961B1A"/>
    <w:rsid w:val="00964817"/>
    <w:rsid w:val="0096582D"/>
    <w:rsid w:val="00965B2B"/>
    <w:rsid w:val="00966B52"/>
    <w:rsid w:val="00966C2F"/>
    <w:rsid w:val="00967181"/>
    <w:rsid w:val="0096742A"/>
    <w:rsid w:val="00972EC1"/>
    <w:rsid w:val="009736C1"/>
    <w:rsid w:val="00973D4A"/>
    <w:rsid w:val="00974007"/>
    <w:rsid w:val="00974176"/>
    <w:rsid w:val="00974902"/>
    <w:rsid w:val="00974A55"/>
    <w:rsid w:val="00974B84"/>
    <w:rsid w:val="0097512B"/>
    <w:rsid w:val="009772F8"/>
    <w:rsid w:val="0098180F"/>
    <w:rsid w:val="00982404"/>
    <w:rsid w:val="00982422"/>
    <w:rsid w:val="0098279E"/>
    <w:rsid w:val="0098301C"/>
    <w:rsid w:val="00983990"/>
    <w:rsid w:val="009839B7"/>
    <w:rsid w:val="00985384"/>
    <w:rsid w:val="00985F79"/>
    <w:rsid w:val="009873C1"/>
    <w:rsid w:val="00987E38"/>
    <w:rsid w:val="00990DB4"/>
    <w:rsid w:val="00991A6C"/>
    <w:rsid w:val="00991FD4"/>
    <w:rsid w:val="00992942"/>
    <w:rsid w:val="00992B5F"/>
    <w:rsid w:val="00992BAD"/>
    <w:rsid w:val="009931E0"/>
    <w:rsid w:val="00994858"/>
    <w:rsid w:val="00994C31"/>
    <w:rsid w:val="0099701A"/>
    <w:rsid w:val="00997982"/>
    <w:rsid w:val="009A1259"/>
    <w:rsid w:val="009A1296"/>
    <w:rsid w:val="009A2526"/>
    <w:rsid w:val="009A2C1C"/>
    <w:rsid w:val="009A68C5"/>
    <w:rsid w:val="009A70DA"/>
    <w:rsid w:val="009A77DA"/>
    <w:rsid w:val="009B048F"/>
    <w:rsid w:val="009B0AA5"/>
    <w:rsid w:val="009B0AA9"/>
    <w:rsid w:val="009B238C"/>
    <w:rsid w:val="009B23EB"/>
    <w:rsid w:val="009B3284"/>
    <w:rsid w:val="009B3AC1"/>
    <w:rsid w:val="009B3D11"/>
    <w:rsid w:val="009B5404"/>
    <w:rsid w:val="009B5CCF"/>
    <w:rsid w:val="009B62D8"/>
    <w:rsid w:val="009B6470"/>
    <w:rsid w:val="009B662F"/>
    <w:rsid w:val="009B7AFD"/>
    <w:rsid w:val="009B7B69"/>
    <w:rsid w:val="009C0DA8"/>
    <w:rsid w:val="009C19B4"/>
    <w:rsid w:val="009C4E1F"/>
    <w:rsid w:val="009C5CF8"/>
    <w:rsid w:val="009C61C9"/>
    <w:rsid w:val="009D1771"/>
    <w:rsid w:val="009D4454"/>
    <w:rsid w:val="009D4DB5"/>
    <w:rsid w:val="009D6149"/>
    <w:rsid w:val="009D67F6"/>
    <w:rsid w:val="009E08D1"/>
    <w:rsid w:val="009E0FE1"/>
    <w:rsid w:val="009E1E83"/>
    <w:rsid w:val="009E26FB"/>
    <w:rsid w:val="009E2B3A"/>
    <w:rsid w:val="009E3626"/>
    <w:rsid w:val="009E3761"/>
    <w:rsid w:val="009E4440"/>
    <w:rsid w:val="009E4BD0"/>
    <w:rsid w:val="009E5581"/>
    <w:rsid w:val="009E61CF"/>
    <w:rsid w:val="009E6D84"/>
    <w:rsid w:val="009E71A8"/>
    <w:rsid w:val="009F2764"/>
    <w:rsid w:val="009F3E3D"/>
    <w:rsid w:val="009F5132"/>
    <w:rsid w:val="009F5EEF"/>
    <w:rsid w:val="009F61C5"/>
    <w:rsid w:val="009F62AF"/>
    <w:rsid w:val="009F6827"/>
    <w:rsid w:val="00A01673"/>
    <w:rsid w:val="00A0406E"/>
    <w:rsid w:val="00A048DF"/>
    <w:rsid w:val="00A0579E"/>
    <w:rsid w:val="00A06C54"/>
    <w:rsid w:val="00A074D6"/>
    <w:rsid w:val="00A07F38"/>
    <w:rsid w:val="00A10777"/>
    <w:rsid w:val="00A11307"/>
    <w:rsid w:val="00A13AF3"/>
    <w:rsid w:val="00A13D1D"/>
    <w:rsid w:val="00A13E5B"/>
    <w:rsid w:val="00A14305"/>
    <w:rsid w:val="00A144FD"/>
    <w:rsid w:val="00A14B8C"/>
    <w:rsid w:val="00A17DC5"/>
    <w:rsid w:val="00A17E1E"/>
    <w:rsid w:val="00A21388"/>
    <w:rsid w:val="00A237E9"/>
    <w:rsid w:val="00A248FE"/>
    <w:rsid w:val="00A249AD"/>
    <w:rsid w:val="00A24CCD"/>
    <w:rsid w:val="00A26968"/>
    <w:rsid w:val="00A27791"/>
    <w:rsid w:val="00A27ABE"/>
    <w:rsid w:val="00A317BC"/>
    <w:rsid w:val="00A31B9E"/>
    <w:rsid w:val="00A355F9"/>
    <w:rsid w:val="00A36289"/>
    <w:rsid w:val="00A36C96"/>
    <w:rsid w:val="00A37230"/>
    <w:rsid w:val="00A376F1"/>
    <w:rsid w:val="00A40C5B"/>
    <w:rsid w:val="00A41355"/>
    <w:rsid w:val="00A417BB"/>
    <w:rsid w:val="00A4182A"/>
    <w:rsid w:val="00A423F7"/>
    <w:rsid w:val="00A437B6"/>
    <w:rsid w:val="00A43B92"/>
    <w:rsid w:val="00A43E39"/>
    <w:rsid w:val="00A4456E"/>
    <w:rsid w:val="00A450BF"/>
    <w:rsid w:val="00A45CCF"/>
    <w:rsid w:val="00A46D44"/>
    <w:rsid w:val="00A46DC0"/>
    <w:rsid w:val="00A4799A"/>
    <w:rsid w:val="00A51916"/>
    <w:rsid w:val="00A5248B"/>
    <w:rsid w:val="00A52679"/>
    <w:rsid w:val="00A53E3F"/>
    <w:rsid w:val="00A54251"/>
    <w:rsid w:val="00A55B15"/>
    <w:rsid w:val="00A55D4C"/>
    <w:rsid w:val="00A57C7A"/>
    <w:rsid w:val="00A6007D"/>
    <w:rsid w:val="00A6063A"/>
    <w:rsid w:val="00A6179E"/>
    <w:rsid w:val="00A63290"/>
    <w:rsid w:val="00A635A0"/>
    <w:rsid w:val="00A63968"/>
    <w:rsid w:val="00A64316"/>
    <w:rsid w:val="00A647D4"/>
    <w:rsid w:val="00A66044"/>
    <w:rsid w:val="00A66155"/>
    <w:rsid w:val="00A664D3"/>
    <w:rsid w:val="00A66AF7"/>
    <w:rsid w:val="00A673AE"/>
    <w:rsid w:val="00A71256"/>
    <w:rsid w:val="00A7274F"/>
    <w:rsid w:val="00A74F22"/>
    <w:rsid w:val="00A758BA"/>
    <w:rsid w:val="00A75B8C"/>
    <w:rsid w:val="00A75C57"/>
    <w:rsid w:val="00A76195"/>
    <w:rsid w:val="00A770EC"/>
    <w:rsid w:val="00A80020"/>
    <w:rsid w:val="00A804D9"/>
    <w:rsid w:val="00A804F4"/>
    <w:rsid w:val="00A815E5"/>
    <w:rsid w:val="00A82445"/>
    <w:rsid w:val="00A83543"/>
    <w:rsid w:val="00A843BE"/>
    <w:rsid w:val="00A84E1A"/>
    <w:rsid w:val="00A8573B"/>
    <w:rsid w:val="00A85D18"/>
    <w:rsid w:val="00A8732A"/>
    <w:rsid w:val="00A87A3E"/>
    <w:rsid w:val="00A90217"/>
    <w:rsid w:val="00A90C7A"/>
    <w:rsid w:val="00A91357"/>
    <w:rsid w:val="00A91D23"/>
    <w:rsid w:val="00A92915"/>
    <w:rsid w:val="00A92F92"/>
    <w:rsid w:val="00A9375A"/>
    <w:rsid w:val="00A93D5E"/>
    <w:rsid w:val="00A94E52"/>
    <w:rsid w:val="00A95D3F"/>
    <w:rsid w:val="00A96892"/>
    <w:rsid w:val="00A97D01"/>
    <w:rsid w:val="00AA0251"/>
    <w:rsid w:val="00AA06B0"/>
    <w:rsid w:val="00AA2051"/>
    <w:rsid w:val="00AA241B"/>
    <w:rsid w:val="00AA3516"/>
    <w:rsid w:val="00AA392C"/>
    <w:rsid w:val="00AA4AC4"/>
    <w:rsid w:val="00AA59A0"/>
    <w:rsid w:val="00AA70C4"/>
    <w:rsid w:val="00AB061A"/>
    <w:rsid w:val="00AB376C"/>
    <w:rsid w:val="00AB3DE8"/>
    <w:rsid w:val="00AB479E"/>
    <w:rsid w:val="00AB71C9"/>
    <w:rsid w:val="00AB7C8F"/>
    <w:rsid w:val="00AC06DF"/>
    <w:rsid w:val="00AC084E"/>
    <w:rsid w:val="00AC1DD8"/>
    <w:rsid w:val="00AC2192"/>
    <w:rsid w:val="00AC4C54"/>
    <w:rsid w:val="00AC636D"/>
    <w:rsid w:val="00AC685B"/>
    <w:rsid w:val="00AD0750"/>
    <w:rsid w:val="00AD1660"/>
    <w:rsid w:val="00AD1845"/>
    <w:rsid w:val="00AD187F"/>
    <w:rsid w:val="00AD2829"/>
    <w:rsid w:val="00AD2D30"/>
    <w:rsid w:val="00AD31E9"/>
    <w:rsid w:val="00AD35BF"/>
    <w:rsid w:val="00AD3B58"/>
    <w:rsid w:val="00AD4583"/>
    <w:rsid w:val="00AD513D"/>
    <w:rsid w:val="00AD5554"/>
    <w:rsid w:val="00AD590E"/>
    <w:rsid w:val="00AD5C6E"/>
    <w:rsid w:val="00AD66CC"/>
    <w:rsid w:val="00AD6AA9"/>
    <w:rsid w:val="00AD6AAF"/>
    <w:rsid w:val="00AD76CB"/>
    <w:rsid w:val="00AD7CA4"/>
    <w:rsid w:val="00AE0D45"/>
    <w:rsid w:val="00AE1FE7"/>
    <w:rsid w:val="00AE2DF3"/>
    <w:rsid w:val="00AE5B3A"/>
    <w:rsid w:val="00AE6985"/>
    <w:rsid w:val="00AF0371"/>
    <w:rsid w:val="00AF0687"/>
    <w:rsid w:val="00AF13BA"/>
    <w:rsid w:val="00AF322C"/>
    <w:rsid w:val="00AF3459"/>
    <w:rsid w:val="00AF349F"/>
    <w:rsid w:val="00AF34D8"/>
    <w:rsid w:val="00AF4BFC"/>
    <w:rsid w:val="00AF70EB"/>
    <w:rsid w:val="00AF76C1"/>
    <w:rsid w:val="00B00F61"/>
    <w:rsid w:val="00B01899"/>
    <w:rsid w:val="00B018E6"/>
    <w:rsid w:val="00B024F9"/>
    <w:rsid w:val="00B04624"/>
    <w:rsid w:val="00B04EFA"/>
    <w:rsid w:val="00B0703E"/>
    <w:rsid w:val="00B1075E"/>
    <w:rsid w:val="00B10D6C"/>
    <w:rsid w:val="00B111C2"/>
    <w:rsid w:val="00B13548"/>
    <w:rsid w:val="00B14032"/>
    <w:rsid w:val="00B14371"/>
    <w:rsid w:val="00B153A8"/>
    <w:rsid w:val="00B15F1D"/>
    <w:rsid w:val="00B163CF"/>
    <w:rsid w:val="00B168CA"/>
    <w:rsid w:val="00B17B13"/>
    <w:rsid w:val="00B17C1E"/>
    <w:rsid w:val="00B203D4"/>
    <w:rsid w:val="00B205DA"/>
    <w:rsid w:val="00B21D3D"/>
    <w:rsid w:val="00B21EF1"/>
    <w:rsid w:val="00B22309"/>
    <w:rsid w:val="00B235E8"/>
    <w:rsid w:val="00B237FB"/>
    <w:rsid w:val="00B23F40"/>
    <w:rsid w:val="00B24B1D"/>
    <w:rsid w:val="00B25544"/>
    <w:rsid w:val="00B26C33"/>
    <w:rsid w:val="00B277E0"/>
    <w:rsid w:val="00B304D4"/>
    <w:rsid w:val="00B30835"/>
    <w:rsid w:val="00B31287"/>
    <w:rsid w:val="00B316F2"/>
    <w:rsid w:val="00B34946"/>
    <w:rsid w:val="00B3567D"/>
    <w:rsid w:val="00B35D3A"/>
    <w:rsid w:val="00B40C15"/>
    <w:rsid w:val="00B41C15"/>
    <w:rsid w:val="00B41C8E"/>
    <w:rsid w:val="00B42967"/>
    <w:rsid w:val="00B42D73"/>
    <w:rsid w:val="00B44948"/>
    <w:rsid w:val="00B44AC7"/>
    <w:rsid w:val="00B45C60"/>
    <w:rsid w:val="00B471C2"/>
    <w:rsid w:val="00B512C1"/>
    <w:rsid w:val="00B519FD"/>
    <w:rsid w:val="00B51BBB"/>
    <w:rsid w:val="00B520BC"/>
    <w:rsid w:val="00B52BEB"/>
    <w:rsid w:val="00B539CC"/>
    <w:rsid w:val="00B55987"/>
    <w:rsid w:val="00B56C7A"/>
    <w:rsid w:val="00B6316D"/>
    <w:rsid w:val="00B63D24"/>
    <w:rsid w:val="00B64EA7"/>
    <w:rsid w:val="00B657F9"/>
    <w:rsid w:val="00B666E1"/>
    <w:rsid w:val="00B7033A"/>
    <w:rsid w:val="00B70D2A"/>
    <w:rsid w:val="00B71C89"/>
    <w:rsid w:val="00B71E70"/>
    <w:rsid w:val="00B721DD"/>
    <w:rsid w:val="00B753E0"/>
    <w:rsid w:val="00B77F5E"/>
    <w:rsid w:val="00B80147"/>
    <w:rsid w:val="00B80F5C"/>
    <w:rsid w:val="00B8235E"/>
    <w:rsid w:val="00B82A01"/>
    <w:rsid w:val="00B83225"/>
    <w:rsid w:val="00B86A35"/>
    <w:rsid w:val="00B86D2D"/>
    <w:rsid w:val="00B8774D"/>
    <w:rsid w:val="00B901BA"/>
    <w:rsid w:val="00B91E3D"/>
    <w:rsid w:val="00B924E6"/>
    <w:rsid w:val="00B92CC7"/>
    <w:rsid w:val="00B9313F"/>
    <w:rsid w:val="00B9338D"/>
    <w:rsid w:val="00B9393D"/>
    <w:rsid w:val="00B962E3"/>
    <w:rsid w:val="00B9662D"/>
    <w:rsid w:val="00B96BD0"/>
    <w:rsid w:val="00B97F4F"/>
    <w:rsid w:val="00BA0893"/>
    <w:rsid w:val="00BA0CB2"/>
    <w:rsid w:val="00BA1C75"/>
    <w:rsid w:val="00BA262D"/>
    <w:rsid w:val="00BA5698"/>
    <w:rsid w:val="00BA56DF"/>
    <w:rsid w:val="00BA75F5"/>
    <w:rsid w:val="00BB0695"/>
    <w:rsid w:val="00BB0802"/>
    <w:rsid w:val="00BB0AE6"/>
    <w:rsid w:val="00BB1539"/>
    <w:rsid w:val="00BB168E"/>
    <w:rsid w:val="00BB3123"/>
    <w:rsid w:val="00BB3124"/>
    <w:rsid w:val="00BB38D5"/>
    <w:rsid w:val="00BB3A8E"/>
    <w:rsid w:val="00BB3B43"/>
    <w:rsid w:val="00BB425C"/>
    <w:rsid w:val="00BB5A8B"/>
    <w:rsid w:val="00BC3A27"/>
    <w:rsid w:val="00BC4227"/>
    <w:rsid w:val="00BC5138"/>
    <w:rsid w:val="00BC5BCA"/>
    <w:rsid w:val="00BC79EB"/>
    <w:rsid w:val="00BD16E3"/>
    <w:rsid w:val="00BD2EED"/>
    <w:rsid w:val="00BD3C80"/>
    <w:rsid w:val="00BD45A4"/>
    <w:rsid w:val="00BD5A34"/>
    <w:rsid w:val="00BD6103"/>
    <w:rsid w:val="00BD7FCF"/>
    <w:rsid w:val="00BD7FED"/>
    <w:rsid w:val="00BE18D3"/>
    <w:rsid w:val="00BE3088"/>
    <w:rsid w:val="00BE38BC"/>
    <w:rsid w:val="00BE4043"/>
    <w:rsid w:val="00BE42AA"/>
    <w:rsid w:val="00BE44CB"/>
    <w:rsid w:val="00BE455E"/>
    <w:rsid w:val="00BE5A71"/>
    <w:rsid w:val="00BE5BBD"/>
    <w:rsid w:val="00BE60D7"/>
    <w:rsid w:val="00BE69EB"/>
    <w:rsid w:val="00BE7133"/>
    <w:rsid w:val="00BE7F38"/>
    <w:rsid w:val="00BF04C2"/>
    <w:rsid w:val="00BF1C88"/>
    <w:rsid w:val="00BF2B90"/>
    <w:rsid w:val="00BF59A8"/>
    <w:rsid w:val="00BF6406"/>
    <w:rsid w:val="00BF72AF"/>
    <w:rsid w:val="00BF75A8"/>
    <w:rsid w:val="00C0017D"/>
    <w:rsid w:val="00C00733"/>
    <w:rsid w:val="00C00FA9"/>
    <w:rsid w:val="00C01045"/>
    <w:rsid w:val="00C017C8"/>
    <w:rsid w:val="00C03508"/>
    <w:rsid w:val="00C04116"/>
    <w:rsid w:val="00C04255"/>
    <w:rsid w:val="00C05393"/>
    <w:rsid w:val="00C062C7"/>
    <w:rsid w:val="00C0649D"/>
    <w:rsid w:val="00C064DC"/>
    <w:rsid w:val="00C10954"/>
    <w:rsid w:val="00C10975"/>
    <w:rsid w:val="00C109DF"/>
    <w:rsid w:val="00C11074"/>
    <w:rsid w:val="00C149BD"/>
    <w:rsid w:val="00C14A93"/>
    <w:rsid w:val="00C157F1"/>
    <w:rsid w:val="00C175BD"/>
    <w:rsid w:val="00C204F1"/>
    <w:rsid w:val="00C2061D"/>
    <w:rsid w:val="00C2087F"/>
    <w:rsid w:val="00C22DAC"/>
    <w:rsid w:val="00C2390C"/>
    <w:rsid w:val="00C23B52"/>
    <w:rsid w:val="00C25040"/>
    <w:rsid w:val="00C25BDA"/>
    <w:rsid w:val="00C26035"/>
    <w:rsid w:val="00C26580"/>
    <w:rsid w:val="00C26B53"/>
    <w:rsid w:val="00C2748C"/>
    <w:rsid w:val="00C275AA"/>
    <w:rsid w:val="00C30141"/>
    <w:rsid w:val="00C308D3"/>
    <w:rsid w:val="00C30990"/>
    <w:rsid w:val="00C31E4F"/>
    <w:rsid w:val="00C32AD5"/>
    <w:rsid w:val="00C33104"/>
    <w:rsid w:val="00C332D4"/>
    <w:rsid w:val="00C340A9"/>
    <w:rsid w:val="00C350D3"/>
    <w:rsid w:val="00C36C2D"/>
    <w:rsid w:val="00C36EAB"/>
    <w:rsid w:val="00C36F44"/>
    <w:rsid w:val="00C37BBC"/>
    <w:rsid w:val="00C40C8E"/>
    <w:rsid w:val="00C40CDF"/>
    <w:rsid w:val="00C40EE6"/>
    <w:rsid w:val="00C42063"/>
    <w:rsid w:val="00C427B5"/>
    <w:rsid w:val="00C42F6E"/>
    <w:rsid w:val="00C460F2"/>
    <w:rsid w:val="00C50EDB"/>
    <w:rsid w:val="00C51011"/>
    <w:rsid w:val="00C517B9"/>
    <w:rsid w:val="00C51A66"/>
    <w:rsid w:val="00C52EA8"/>
    <w:rsid w:val="00C5329A"/>
    <w:rsid w:val="00C54959"/>
    <w:rsid w:val="00C556B5"/>
    <w:rsid w:val="00C557D2"/>
    <w:rsid w:val="00C560AC"/>
    <w:rsid w:val="00C5781C"/>
    <w:rsid w:val="00C60343"/>
    <w:rsid w:val="00C60CA0"/>
    <w:rsid w:val="00C61727"/>
    <w:rsid w:val="00C625F8"/>
    <w:rsid w:val="00C66F90"/>
    <w:rsid w:val="00C67CE7"/>
    <w:rsid w:val="00C70A0D"/>
    <w:rsid w:val="00C70D95"/>
    <w:rsid w:val="00C70DE1"/>
    <w:rsid w:val="00C71C7E"/>
    <w:rsid w:val="00C7263C"/>
    <w:rsid w:val="00C73C02"/>
    <w:rsid w:val="00C75152"/>
    <w:rsid w:val="00C766B1"/>
    <w:rsid w:val="00C822FE"/>
    <w:rsid w:val="00C84180"/>
    <w:rsid w:val="00C843B8"/>
    <w:rsid w:val="00C84C8E"/>
    <w:rsid w:val="00C84CC0"/>
    <w:rsid w:val="00C851D9"/>
    <w:rsid w:val="00C854D4"/>
    <w:rsid w:val="00C859C1"/>
    <w:rsid w:val="00C8682C"/>
    <w:rsid w:val="00C86AD3"/>
    <w:rsid w:val="00C86E41"/>
    <w:rsid w:val="00C86F88"/>
    <w:rsid w:val="00C87712"/>
    <w:rsid w:val="00C90556"/>
    <w:rsid w:val="00C9228B"/>
    <w:rsid w:val="00C9298B"/>
    <w:rsid w:val="00C93B88"/>
    <w:rsid w:val="00C96518"/>
    <w:rsid w:val="00C96625"/>
    <w:rsid w:val="00CA01E2"/>
    <w:rsid w:val="00CA05DF"/>
    <w:rsid w:val="00CA0D78"/>
    <w:rsid w:val="00CA14F8"/>
    <w:rsid w:val="00CA2538"/>
    <w:rsid w:val="00CA45CB"/>
    <w:rsid w:val="00CA4855"/>
    <w:rsid w:val="00CA5400"/>
    <w:rsid w:val="00CA59BC"/>
    <w:rsid w:val="00CA5D90"/>
    <w:rsid w:val="00CA7058"/>
    <w:rsid w:val="00CA75CB"/>
    <w:rsid w:val="00CA7805"/>
    <w:rsid w:val="00CB106A"/>
    <w:rsid w:val="00CB1D4D"/>
    <w:rsid w:val="00CB24FE"/>
    <w:rsid w:val="00CB25A3"/>
    <w:rsid w:val="00CB2D0D"/>
    <w:rsid w:val="00CB3890"/>
    <w:rsid w:val="00CB5BA4"/>
    <w:rsid w:val="00CB5F93"/>
    <w:rsid w:val="00CB6084"/>
    <w:rsid w:val="00CB6665"/>
    <w:rsid w:val="00CC0096"/>
    <w:rsid w:val="00CC0CA9"/>
    <w:rsid w:val="00CC0EAE"/>
    <w:rsid w:val="00CC181D"/>
    <w:rsid w:val="00CC2630"/>
    <w:rsid w:val="00CC2AA0"/>
    <w:rsid w:val="00CC566E"/>
    <w:rsid w:val="00CC57ED"/>
    <w:rsid w:val="00CC5C30"/>
    <w:rsid w:val="00CC63E8"/>
    <w:rsid w:val="00CD0BF4"/>
    <w:rsid w:val="00CD2823"/>
    <w:rsid w:val="00CD2881"/>
    <w:rsid w:val="00CD2A45"/>
    <w:rsid w:val="00CD41CF"/>
    <w:rsid w:val="00CD439F"/>
    <w:rsid w:val="00CD4A7C"/>
    <w:rsid w:val="00CD4CA5"/>
    <w:rsid w:val="00CD4E6A"/>
    <w:rsid w:val="00CD58FD"/>
    <w:rsid w:val="00CD5F4B"/>
    <w:rsid w:val="00CD7838"/>
    <w:rsid w:val="00CDBA1A"/>
    <w:rsid w:val="00CE1522"/>
    <w:rsid w:val="00CE3428"/>
    <w:rsid w:val="00CE4355"/>
    <w:rsid w:val="00CE5CDC"/>
    <w:rsid w:val="00CE7E98"/>
    <w:rsid w:val="00CF01D0"/>
    <w:rsid w:val="00CF1220"/>
    <w:rsid w:val="00CF4DEE"/>
    <w:rsid w:val="00CF6D10"/>
    <w:rsid w:val="00CF7E84"/>
    <w:rsid w:val="00D01A79"/>
    <w:rsid w:val="00D03307"/>
    <w:rsid w:val="00D038B1"/>
    <w:rsid w:val="00D047AC"/>
    <w:rsid w:val="00D0549A"/>
    <w:rsid w:val="00D061E7"/>
    <w:rsid w:val="00D0661B"/>
    <w:rsid w:val="00D068CF"/>
    <w:rsid w:val="00D10327"/>
    <w:rsid w:val="00D11544"/>
    <w:rsid w:val="00D11815"/>
    <w:rsid w:val="00D12616"/>
    <w:rsid w:val="00D12950"/>
    <w:rsid w:val="00D13635"/>
    <w:rsid w:val="00D136B7"/>
    <w:rsid w:val="00D13710"/>
    <w:rsid w:val="00D155F5"/>
    <w:rsid w:val="00D157DA"/>
    <w:rsid w:val="00D16574"/>
    <w:rsid w:val="00D179C4"/>
    <w:rsid w:val="00D17ABC"/>
    <w:rsid w:val="00D17AD8"/>
    <w:rsid w:val="00D207B3"/>
    <w:rsid w:val="00D21C41"/>
    <w:rsid w:val="00D23007"/>
    <w:rsid w:val="00D24CA2"/>
    <w:rsid w:val="00D27164"/>
    <w:rsid w:val="00D310A4"/>
    <w:rsid w:val="00D32DCE"/>
    <w:rsid w:val="00D343FA"/>
    <w:rsid w:val="00D34F50"/>
    <w:rsid w:val="00D35E31"/>
    <w:rsid w:val="00D35FCA"/>
    <w:rsid w:val="00D36CE3"/>
    <w:rsid w:val="00D3746B"/>
    <w:rsid w:val="00D37709"/>
    <w:rsid w:val="00D37737"/>
    <w:rsid w:val="00D41079"/>
    <w:rsid w:val="00D418FF"/>
    <w:rsid w:val="00D4204B"/>
    <w:rsid w:val="00D423EC"/>
    <w:rsid w:val="00D434DD"/>
    <w:rsid w:val="00D43F30"/>
    <w:rsid w:val="00D44BC2"/>
    <w:rsid w:val="00D45FF5"/>
    <w:rsid w:val="00D46454"/>
    <w:rsid w:val="00D46492"/>
    <w:rsid w:val="00D466C0"/>
    <w:rsid w:val="00D50875"/>
    <w:rsid w:val="00D50D35"/>
    <w:rsid w:val="00D5188E"/>
    <w:rsid w:val="00D52219"/>
    <w:rsid w:val="00D5246F"/>
    <w:rsid w:val="00D52590"/>
    <w:rsid w:val="00D537ED"/>
    <w:rsid w:val="00D543F3"/>
    <w:rsid w:val="00D5664D"/>
    <w:rsid w:val="00D5754E"/>
    <w:rsid w:val="00D576E2"/>
    <w:rsid w:val="00D57BA3"/>
    <w:rsid w:val="00D61CCC"/>
    <w:rsid w:val="00D62F80"/>
    <w:rsid w:val="00D6553F"/>
    <w:rsid w:val="00D65C76"/>
    <w:rsid w:val="00D709CE"/>
    <w:rsid w:val="00D727CD"/>
    <w:rsid w:val="00D734C7"/>
    <w:rsid w:val="00D736E5"/>
    <w:rsid w:val="00D7542B"/>
    <w:rsid w:val="00D75AC5"/>
    <w:rsid w:val="00D76068"/>
    <w:rsid w:val="00D765D9"/>
    <w:rsid w:val="00D7699A"/>
    <w:rsid w:val="00D76AF9"/>
    <w:rsid w:val="00D7746A"/>
    <w:rsid w:val="00D77B25"/>
    <w:rsid w:val="00D77CAA"/>
    <w:rsid w:val="00D77D89"/>
    <w:rsid w:val="00D8050F"/>
    <w:rsid w:val="00D80ACB"/>
    <w:rsid w:val="00D8351F"/>
    <w:rsid w:val="00D85A57"/>
    <w:rsid w:val="00D85D69"/>
    <w:rsid w:val="00D86156"/>
    <w:rsid w:val="00D86264"/>
    <w:rsid w:val="00D86282"/>
    <w:rsid w:val="00D90EF9"/>
    <w:rsid w:val="00D9473E"/>
    <w:rsid w:val="00D953B9"/>
    <w:rsid w:val="00DA0120"/>
    <w:rsid w:val="00DA0D0B"/>
    <w:rsid w:val="00DA12F5"/>
    <w:rsid w:val="00DA1CAC"/>
    <w:rsid w:val="00DA1D32"/>
    <w:rsid w:val="00DA1E30"/>
    <w:rsid w:val="00DA2B72"/>
    <w:rsid w:val="00DA2F73"/>
    <w:rsid w:val="00DA3973"/>
    <w:rsid w:val="00DA56EC"/>
    <w:rsid w:val="00DA60AA"/>
    <w:rsid w:val="00DA7A55"/>
    <w:rsid w:val="00DB041D"/>
    <w:rsid w:val="00DB1003"/>
    <w:rsid w:val="00DB1B54"/>
    <w:rsid w:val="00DB205B"/>
    <w:rsid w:val="00DB2E43"/>
    <w:rsid w:val="00DB3B19"/>
    <w:rsid w:val="00DB4C4F"/>
    <w:rsid w:val="00DB537F"/>
    <w:rsid w:val="00DC08DC"/>
    <w:rsid w:val="00DC307B"/>
    <w:rsid w:val="00DC343B"/>
    <w:rsid w:val="00DC376E"/>
    <w:rsid w:val="00DC37D1"/>
    <w:rsid w:val="00DC462F"/>
    <w:rsid w:val="00DC499A"/>
    <w:rsid w:val="00DD0740"/>
    <w:rsid w:val="00DD0B1E"/>
    <w:rsid w:val="00DD2FE3"/>
    <w:rsid w:val="00DD47F8"/>
    <w:rsid w:val="00DD4BD0"/>
    <w:rsid w:val="00DD4D59"/>
    <w:rsid w:val="00DD5793"/>
    <w:rsid w:val="00DD610E"/>
    <w:rsid w:val="00DD6A21"/>
    <w:rsid w:val="00DD6AC8"/>
    <w:rsid w:val="00DD7129"/>
    <w:rsid w:val="00DD7E87"/>
    <w:rsid w:val="00DE0B85"/>
    <w:rsid w:val="00DE18A7"/>
    <w:rsid w:val="00DE1CE3"/>
    <w:rsid w:val="00DE270B"/>
    <w:rsid w:val="00DE2927"/>
    <w:rsid w:val="00DE2EFB"/>
    <w:rsid w:val="00DE5A54"/>
    <w:rsid w:val="00DE60CA"/>
    <w:rsid w:val="00DE78D1"/>
    <w:rsid w:val="00DE7FCB"/>
    <w:rsid w:val="00DF12AE"/>
    <w:rsid w:val="00DF1B12"/>
    <w:rsid w:val="00DF1D7C"/>
    <w:rsid w:val="00DF3955"/>
    <w:rsid w:val="00DF3E0E"/>
    <w:rsid w:val="00DF4A35"/>
    <w:rsid w:val="00DF5E3A"/>
    <w:rsid w:val="00DF6111"/>
    <w:rsid w:val="00DF6E03"/>
    <w:rsid w:val="00DF792E"/>
    <w:rsid w:val="00E0038B"/>
    <w:rsid w:val="00E00AFE"/>
    <w:rsid w:val="00E0204F"/>
    <w:rsid w:val="00E02517"/>
    <w:rsid w:val="00E061E7"/>
    <w:rsid w:val="00E10F06"/>
    <w:rsid w:val="00E11369"/>
    <w:rsid w:val="00E116A5"/>
    <w:rsid w:val="00E11D8E"/>
    <w:rsid w:val="00E11F73"/>
    <w:rsid w:val="00E12D45"/>
    <w:rsid w:val="00E13148"/>
    <w:rsid w:val="00E140BC"/>
    <w:rsid w:val="00E1438C"/>
    <w:rsid w:val="00E14833"/>
    <w:rsid w:val="00E15016"/>
    <w:rsid w:val="00E15B0C"/>
    <w:rsid w:val="00E16161"/>
    <w:rsid w:val="00E1675F"/>
    <w:rsid w:val="00E21467"/>
    <w:rsid w:val="00E22C57"/>
    <w:rsid w:val="00E24FA3"/>
    <w:rsid w:val="00E26ADB"/>
    <w:rsid w:val="00E26B28"/>
    <w:rsid w:val="00E30E34"/>
    <w:rsid w:val="00E3142C"/>
    <w:rsid w:val="00E31465"/>
    <w:rsid w:val="00E31AAD"/>
    <w:rsid w:val="00E3250B"/>
    <w:rsid w:val="00E328CD"/>
    <w:rsid w:val="00E32ED1"/>
    <w:rsid w:val="00E3489E"/>
    <w:rsid w:val="00E35202"/>
    <w:rsid w:val="00E356A3"/>
    <w:rsid w:val="00E362F0"/>
    <w:rsid w:val="00E36394"/>
    <w:rsid w:val="00E36B95"/>
    <w:rsid w:val="00E37A14"/>
    <w:rsid w:val="00E37E1D"/>
    <w:rsid w:val="00E4003F"/>
    <w:rsid w:val="00E408BA"/>
    <w:rsid w:val="00E42A45"/>
    <w:rsid w:val="00E43705"/>
    <w:rsid w:val="00E438CE"/>
    <w:rsid w:val="00E458F6"/>
    <w:rsid w:val="00E45954"/>
    <w:rsid w:val="00E45F9B"/>
    <w:rsid w:val="00E46704"/>
    <w:rsid w:val="00E51360"/>
    <w:rsid w:val="00E52C9E"/>
    <w:rsid w:val="00E53546"/>
    <w:rsid w:val="00E545C2"/>
    <w:rsid w:val="00E55F24"/>
    <w:rsid w:val="00E56835"/>
    <w:rsid w:val="00E56E63"/>
    <w:rsid w:val="00E57BEE"/>
    <w:rsid w:val="00E600D2"/>
    <w:rsid w:val="00E60F97"/>
    <w:rsid w:val="00E623B0"/>
    <w:rsid w:val="00E638BD"/>
    <w:rsid w:val="00E63A8E"/>
    <w:rsid w:val="00E65ACA"/>
    <w:rsid w:val="00E6712D"/>
    <w:rsid w:val="00E67B7A"/>
    <w:rsid w:val="00E71AFD"/>
    <w:rsid w:val="00E72690"/>
    <w:rsid w:val="00E7387A"/>
    <w:rsid w:val="00E73A14"/>
    <w:rsid w:val="00E73A5B"/>
    <w:rsid w:val="00E760EE"/>
    <w:rsid w:val="00E81828"/>
    <w:rsid w:val="00E82348"/>
    <w:rsid w:val="00E82D90"/>
    <w:rsid w:val="00E843D3"/>
    <w:rsid w:val="00E846FA"/>
    <w:rsid w:val="00E85980"/>
    <w:rsid w:val="00E85BC9"/>
    <w:rsid w:val="00E86C84"/>
    <w:rsid w:val="00E938C6"/>
    <w:rsid w:val="00E943DA"/>
    <w:rsid w:val="00E977CF"/>
    <w:rsid w:val="00E97B8E"/>
    <w:rsid w:val="00EA09BE"/>
    <w:rsid w:val="00EA09E1"/>
    <w:rsid w:val="00EA0F3B"/>
    <w:rsid w:val="00EA1068"/>
    <w:rsid w:val="00EA110C"/>
    <w:rsid w:val="00EA1C06"/>
    <w:rsid w:val="00EA2E1D"/>
    <w:rsid w:val="00EA2FE2"/>
    <w:rsid w:val="00EA32A7"/>
    <w:rsid w:val="00EA3A6A"/>
    <w:rsid w:val="00EA44D9"/>
    <w:rsid w:val="00EA4B7F"/>
    <w:rsid w:val="00EA60DE"/>
    <w:rsid w:val="00EB045F"/>
    <w:rsid w:val="00EB13C0"/>
    <w:rsid w:val="00EB48BB"/>
    <w:rsid w:val="00EB6A76"/>
    <w:rsid w:val="00EB6ACF"/>
    <w:rsid w:val="00EB6F13"/>
    <w:rsid w:val="00EB7238"/>
    <w:rsid w:val="00EB7F83"/>
    <w:rsid w:val="00EC0859"/>
    <w:rsid w:val="00EC11D5"/>
    <w:rsid w:val="00EC2D15"/>
    <w:rsid w:val="00EC321E"/>
    <w:rsid w:val="00EC3C35"/>
    <w:rsid w:val="00EC4C70"/>
    <w:rsid w:val="00EC4E33"/>
    <w:rsid w:val="00EC5733"/>
    <w:rsid w:val="00EC595B"/>
    <w:rsid w:val="00EC787E"/>
    <w:rsid w:val="00EC7E60"/>
    <w:rsid w:val="00ED2AF1"/>
    <w:rsid w:val="00ED4284"/>
    <w:rsid w:val="00ED4565"/>
    <w:rsid w:val="00ED5824"/>
    <w:rsid w:val="00ED621F"/>
    <w:rsid w:val="00ED75AA"/>
    <w:rsid w:val="00EE02D0"/>
    <w:rsid w:val="00EE0F26"/>
    <w:rsid w:val="00EE1170"/>
    <w:rsid w:val="00EE1D55"/>
    <w:rsid w:val="00EE252B"/>
    <w:rsid w:val="00EE364A"/>
    <w:rsid w:val="00EE3D4C"/>
    <w:rsid w:val="00EE4288"/>
    <w:rsid w:val="00EE4A80"/>
    <w:rsid w:val="00EE762D"/>
    <w:rsid w:val="00EF147D"/>
    <w:rsid w:val="00EF485D"/>
    <w:rsid w:val="00EF4A51"/>
    <w:rsid w:val="00EF6224"/>
    <w:rsid w:val="00EF7718"/>
    <w:rsid w:val="00EF7BDC"/>
    <w:rsid w:val="00F0209F"/>
    <w:rsid w:val="00F023D3"/>
    <w:rsid w:val="00F02A3D"/>
    <w:rsid w:val="00F03623"/>
    <w:rsid w:val="00F0586F"/>
    <w:rsid w:val="00F05B56"/>
    <w:rsid w:val="00F069AE"/>
    <w:rsid w:val="00F06D22"/>
    <w:rsid w:val="00F0799D"/>
    <w:rsid w:val="00F107A0"/>
    <w:rsid w:val="00F10C52"/>
    <w:rsid w:val="00F1151A"/>
    <w:rsid w:val="00F11640"/>
    <w:rsid w:val="00F127A8"/>
    <w:rsid w:val="00F141A8"/>
    <w:rsid w:val="00F144B2"/>
    <w:rsid w:val="00F144D8"/>
    <w:rsid w:val="00F14C6D"/>
    <w:rsid w:val="00F14EC1"/>
    <w:rsid w:val="00F15396"/>
    <w:rsid w:val="00F159E1"/>
    <w:rsid w:val="00F15D1A"/>
    <w:rsid w:val="00F165B9"/>
    <w:rsid w:val="00F176CA"/>
    <w:rsid w:val="00F2088B"/>
    <w:rsid w:val="00F20C77"/>
    <w:rsid w:val="00F21062"/>
    <w:rsid w:val="00F21C9D"/>
    <w:rsid w:val="00F220A5"/>
    <w:rsid w:val="00F23884"/>
    <w:rsid w:val="00F24A75"/>
    <w:rsid w:val="00F25D19"/>
    <w:rsid w:val="00F27704"/>
    <w:rsid w:val="00F3076B"/>
    <w:rsid w:val="00F30D72"/>
    <w:rsid w:val="00F34362"/>
    <w:rsid w:val="00F3473A"/>
    <w:rsid w:val="00F34BC9"/>
    <w:rsid w:val="00F34F4C"/>
    <w:rsid w:val="00F3545C"/>
    <w:rsid w:val="00F364F9"/>
    <w:rsid w:val="00F36AD9"/>
    <w:rsid w:val="00F406B5"/>
    <w:rsid w:val="00F40E20"/>
    <w:rsid w:val="00F40E33"/>
    <w:rsid w:val="00F410A0"/>
    <w:rsid w:val="00F41428"/>
    <w:rsid w:val="00F41F6C"/>
    <w:rsid w:val="00F458F6"/>
    <w:rsid w:val="00F4681F"/>
    <w:rsid w:val="00F46B20"/>
    <w:rsid w:val="00F47547"/>
    <w:rsid w:val="00F47827"/>
    <w:rsid w:val="00F47BCE"/>
    <w:rsid w:val="00F50989"/>
    <w:rsid w:val="00F50FBD"/>
    <w:rsid w:val="00F513AE"/>
    <w:rsid w:val="00F52AF2"/>
    <w:rsid w:val="00F5459B"/>
    <w:rsid w:val="00F55A4D"/>
    <w:rsid w:val="00F55B19"/>
    <w:rsid w:val="00F55B21"/>
    <w:rsid w:val="00F55DB6"/>
    <w:rsid w:val="00F569EC"/>
    <w:rsid w:val="00F56D84"/>
    <w:rsid w:val="00F60C3D"/>
    <w:rsid w:val="00F61A36"/>
    <w:rsid w:val="00F62CC4"/>
    <w:rsid w:val="00F63F1B"/>
    <w:rsid w:val="00F64789"/>
    <w:rsid w:val="00F64E47"/>
    <w:rsid w:val="00F64FE8"/>
    <w:rsid w:val="00F678FE"/>
    <w:rsid w:val="00F70427"/>
    <w:rsid w:val="00F708E8"/>
    <w:rsid w:val="00F710B8"/>
    <w:rsid w:val="00F71A98"/>
    <w:rsid w:val="00F72C1C"/>
    <w:rsid w:val="00F72C59"/>
    <w:rsid w:val="00F730AE"/>
    <w:rsid w:val="00F73480"/>
    <w:rsid w:val="00F73CD6"/>
    <w:rsid w:val="00F73DEB"/>
    <w:rsid w:val="00F7493B"/>
    <w:rsid w:val="00F76E0A"/>
    <w:rsid w:val="00F77725"/>
    <w:rsid w:val="00F81573"/>
    <w:rsid w:val="00F8302E"/>
    <w:rsid w:val="00F839CE"/>
    <w:rsid w:val="00F8401A"/>
    <w:rsid w:val="00F868A6"/>
    <w:rsid w:val="00F86DAB"/>
    <w:rsid w:val="00F86DAD"/>
    <w:rsid w:val="00F87485"/>
    <w:rsid w:val="00F87636"/>
    <w:rsid w:val="00F9096F"/>
    <w:rsid w:val="00F917A5"/>
    <w:rsid w:val="00F9180A"/>
    <w:rsid w:val="00F91B19"/>
    <w:rsid w:val="00F91D1D"/>
    <w:rsid w:val="00F922C4"/>
    <w:rsid w:val="00F936C9"/>
    <w:rsid w:val="00F93CC4"/>
    <w:rsid w:val="00F94C0C"/>
    <w:rsid w:val="00F94D5C"/>
    <w:rsid w:val="00F954D0"/>
    <w:rsid w:val="00F9673B"/>
    <w:rsid w:val="00F96CB1"/>
    <w:rsid w:val="00F96ED1"/>
    <w:rsid w:val="00F973A6"/>
    <w:rsid w:val="00FA01F8"/>
    <w:rsid w:val="00FA2966"/>
    <w:rsid w:val="00FA2A5F"/>
    <w:rsid w:val="00FA2BBE"/>
    <w:rsid w:val="00FA2F22"/>
    <w:rsid w:val="00FA4916"/>
    <w:rsid w:val="00FA60D5"/>
    <w:rsid w:val="00FA60E4"/>
    <w:rsid w:val="00FA7E5C"/>
    <w:rsid w:val="00FB16E4"/>
    <w:rsid w:val="00FB193D"/>
    <w:rsid w:val="00FB29D9"/>
    <w:rsid w:val="00FB2F88"/>
    <w:rsid w:val="00FB321D"/>
    <w:rsid w:val="00FB3422"/>
    <w:rsid w:val="00FB498E"/>
    <w:rsid w:val="00FB5007"/>
    <w:rsid w:val="00FC049A"/>
    <w:rsid w:val="00FC3425"/>
    <w:rsid w:val="00FC4A52"/>
    <w:rsid w:val="00FC4FD4"/>
    <w:rsid w:val="00FC5279"/>
    <w:rsid w:val="00FC533B"/>
    <w:rsid w:val="00FC55FE"/>
    <w:rsid w:val="00FC5765"/>
    <w:rsid w:val="00FC6993"/>
    <w:rsid w:val="00FC6BF5"/>
    <w:rsid w:val="00FD01B5"/>
    <w:rsid w:val="00FD4DF1"/>
    <w:rsid w:val="00FD5BF0"/>
    <w:rsid w:val="00FD5E3C"/>
    <w:rsid w:val="00FD6202"/>
    <w:rsid w:val="00FD6ABD"/>
    <w:rsid w:val="00FE1E93"/>
    <w:rsid w:val="00FE2202"/>
    <w:rsid w:val="00FE28DC"/>
    <w:rsid w:val="00FE2AA5"/>
    <w:rsid w:val="00FE3697"/>
    <w:rsid w:val="00FE3A09"/>
    <w:rsid w:val="00FE4467"/>
    <w:rsid w:val="00FE4B93"/>
    <w:rsid w:val="00FE6322"/>
    <w:rsid w:val="00FE6A27"/>
    <w:rsid w:val="00FE6C39"/>
    <w:rsid w:val="00FE764C"/>
    <w:rsid w:val="00FE7B49"/>
    <w:rsid w:val="00FE7D23"/>
    <w:rsid w:val="00FF0197"/>
    <w:rsid w:val="00FF02C2"/>
    <w:rsid w:val="00FF3AA6"/>
    <w:rsid w:val="00FF3F01"/>
    <w:rsid w:val="00FF45E8"/>
    <w:rsid w:val="00FF60C4"/>
    <w:rsid w:val="00FF6D82"/>
    <w:rsid w:val="00FF7E02"/>
    <w:rsid w:val="02403616"/>
    <w:rsid w:val="026F9106"/>
    <w:rsid w:val="029D4388"/>
    <w:rsid w:val="02B6F773"/>
    <w:rsid w:val="032EAE5B"/>
    <w:rsid w:val="05363641"/>
    <w:rsid w:val="05859DC0"/>
    <w:rsid w:val="078F59ED"/>
    <w:rsid w:val="07A1A8D4"/>
    <w:rsid w:val="08BF6FAC"/>
    <w:rsid w:val="09FB0B3A"/>
    <w:rsid w:val="0AA51D85"/>
    <w:rsid w:val="0B403CFD"/>
    <w:rsid w:val="0B58725F"/>
    <w:rsid w:val="0B9B6937"/>
    <w:rsid w:val="0C465664"/>
    <w:rsid w:val="0D52188F"/>
    <w:rsid w:val="0D6490FC"/>
    <w:rsid w:val="0D6CBE6D"/>
    <w:rsid w:val="0D935EE1"/>
    <w:rsid w:val="0E0B6B8D"/>
    <w:rsid w:val="0E52DF5C"/>
    <w:rsid w:val="0E7E1B93"/>
    <w:rsid w:val="0EF3942B"/>
    <w:rsid w:val="0F0648D4"/>
    <w:rsid w:val="0F855084"/>
    <w:rsid w:val="105CA493"/>
    <w:rsid w:val="10B459E2"/>
    <w:rsid w:val="111DDEF9"/>
    <w:rsid w:val="118FD967"/>
    <w:rsid w:val="11E86DAD"/>
    <w:rsid w:val="1217C93C"/>
    <w:rsid w:val="148FE42E"/>
    <w:rsid w:val="153BA362"/>
    <w:rsid w:val="15E9592B"/>
    <w:rsid w:val="166A2B81"/>
    <w:rsid w:val="169114C1"/>
    <w:rsid w:val="16D2D0A7"/>
    <w:rsid w:val="17D39CFE"/>
    <w:rsid w:val="17E88CA4"/>
    <w:rsid w:val="17FE2E0B"/>
    <w:rsid w:val="184557EE"/>
    <w:rsid w:val="18814E14"/>
    <w:rsid w:val="196D2381"/>
    <w:rsid w:val="1AA8B983"/>
    <w:rsid w:val="1B335BBD"/>
    <w:rsid w:val="1C124C86"/>
    <w:rsid w:val="1C36973B"/>
    <w:rsid w:val="1C48140B"/>
    <w:rsid w:val="1E4094A4"/>
    <w:rsid w:val="1EB57796"/>
    <w:rsid w:val="1EFCB91F"/>
    <w:rsid w:val="1EFEDB09"/>
    <w:rsid w:val="208D6AF4"/>
    <w:rsid w:val="20BC952E"/>
    <w:rsid w:val="20EC956D"/>
    <w:rsid w:val="23728F82"/>
    <w:rsid w:val="23C957B4"/>
    <w:rsid w:val="23D8400F"/>
    <w:rsid w:val="2430F733"/>
    <w:rsid w:val="2444CE58"/>
    <w:rsid w:val="250FA7E4"/>
    <w:rsid w:val="2580D088"/>
    <w:rsid w:val="259E5974"/>
    <w:rsid w:val="25B83889"/>
    <w:rsid w:val="25E8290A"/>
    <w:rsid w:val="26267C5A"/>
    <w:rsid w:val="2697ECAF"/>
    <w:rsid w:val="26D35183"/>
    <w:rsid w:val="26FDEBB1"/>
    <w:rsid w:val="27551D42"/>
    <w:rsid w:val="2778DC78"/>
    <w:rsid w:val="27B8977A"/>
    <w:rsid w:val="28B757D6"/>
    <w:rsid w:val="28BC54C0"/>
    <w:rsid w:val="2914ACD9"/>
    <w:rsid w:val="298B34D1"/>
    <w:rsid w:val="2AA005D5"/>
    <w:rsid w:val="2D27DE92"/>
    <w:rsid w:val="2D6CA969"/>
    <w:rsid w:val="2DDA9ED4"/>
    <w:rsid w:val="2E13D003"/>
    <w:rsid w:val="2EEDE7B3"/>
    <w:rsid w:val="2F5F1ACF"/>
    <w:rsid w:val="2FEDBC7B"/>
    <w:rsid w:val="2FFA7655"/>
    <w:rsid w:val="3078D27E"/>
    <w:rsid w:val="3143B68E"/>
    <w:rsid w:val="319646B6"/>
    <w:rsid w:val="31C05078"/>
    <w:rsid w:val="324F09E0"/>
    <w:rsid w:val="3314CFCD"/>
    <w:rsid w:val="33A55A58"/>
    <w:rsid w:val="340D9D69"/>
    <w:rsid w:val="344112EB"/>
    <w:rsid w:val="3517E06E"/>
    <w:rsid w:val="35949519"/>
    <w:rsid w:val="365BD2C5"/>
    <w:rsid w:val="370A4620"/>
    <w:rsid w:val="378BEB33"/>
    <w:rsid w:val="3859FCAB"/>
    <w:rsid w:val="38802CA8"/>
    <w:rsid w:val="393F3764"/>
    <w:rsid w:val="39C14386"/>
    <w:rsid w:val="3A3C17C4"/>
    <w:rsid w:val="3AE961CA"/>
    <w:rsid w:val="3AFA44B0"/>
    <w:rsid w:val="3BC0680A"/>
    <w:rsid w:val="3BFC2965"/>
    <w:rsid w:val="3D3D0BFB"/>
    <w:rsid w:val="3DE15BBE"/>
    <w:rsid w:val="3DE7D9D5"/>
    <w:rsid w:val="3EC1E0FC"/>
    <w:rsid w:val="3EC40DE4"/>
    <w:rsid w:val="3F7892CD"/>
    <w:rsid w:val="3F8B1715"/>
    <w:rsid w:val="3FB33F2A"/>
    <w:rsid w:val="3FD6F18C"/>
    <w:rsid w:val="3FF256B6"/>
    <w:rsid w:val="401757BA"/>
    <w:rsid w:val="40950B3A"/>
    <w:rsid w:val="40A44245"/>
    <w:rsid w:val="41DEC38C"/>
    <w:rsid w:val="42039D21"/>
    <w:rsid w:val="42B4CCE1"/>
    <w:rsid w:val="4397CF79"/>
    <w:rsid w:val="443774E5"/>
    <w:rsid w:val="44782B22"/>
    <w:rsid w:val="44D2D06B"/>
    <w:rsid w:val="45255607"/>
    <w:rsid w:val="45B1341C"/>
    <w:rsid w:val="465EC772"/>
    <w:rsid w:val="47883E04"/>
    <w:rsid w:val="48044A0F"/>
    <w:rsid w:val="4833F2E5"/>
    <w:rsid w:val="48642510"/>
    <w:rsid w:val="49C88927"/>
    <w:rsid w:val="49CF7007"/>
    <w:rsid w:val="4A42E9B1"/>
    <w:rsid w:val="4AA19D34"/>
    <w:rsid w:val="4B4211EF"/>
    <w:rsid w:val="4C4987A7"/>
    <w:rsid w:val="4CE45DB2"/>
    <w:rsid w:val="4D303537"/>
    <w:rsid w:val="4E1F8659"/>
    <w:rsid w:val="4F96D5F3"/>
    <w:rsid w:val="504158FC"/>
    <w:rsid w:val="507FE59D"/>
    <w:rsid w:val="508BC13A"/>
    <w:rsid w:val="508DDD07"/>
    <w:rsid w:val="50C31412"/>
    <w:rsid w:val="50E8E558"/>
    <w:rsid w:val="525804E8"/>
    <w:rsid w:val="52AEB72A"/>
    <w:rsid w:val="52D1C734"/>
    <w:rsid w:val="52F02DEB"/>
    <w:rsid w:val="5344C144"/>
    <w:rsid w:val="53CBCB0B"/>
    <w:rsid w:val="54071E1C"/>
    <w:rsid w:val="54BACC11"/>
    <w:rsid w:val="54C3294F"/>
    <w:rsid w:val="56948B73"/>
    <w:rsid w:val="56B9994A"/>
    <w:rsid w:val="56C6954A"/>
    <w:rsid w:val="56D07345"/>
    <w:rsid w:val="56DA13FB"/>
    <w:rsid w:val="572268A5"/>
    <w:rsid w:val="57B88A0B"/>
    <w:rsid w:val="5814C837"/>
    <w:rsid w:val="58DCBDE3"/>
    <w:rsid w:val="5942E22C"/>
    <w:rsid w:val="595353B5"/>
    <w:rsid w:val="5A14CCC5"/>
    <w:rsid w:val="5A43A94E"/>
    <w:rsid w:val="5A54275B"/>
    <w:rsid w:val="5AEB80F2"/>
    <w:rsid w:val="5B3EFE9C"/>
    <w:rsid w:val="5CE1A6B6"/>
    <w:rsid w:val="5D4230DB"/>
    <w:rsid w:val="5E09FF37"/>
    <w:rsid w:val="5E252E2C"/>
    <w:rsid w:val="5E2FDECA"/>
    <w:rsid w:val="5E93254E"/>
    <w:rsid w:val="5EE83DE8"/>
    <w:rsid w:val="607533B6"/>
    <w:rsid w:val="60C250F6"/>
    <w:rsid w:val="612F6FEB"/>
    <w:rsid w:val="61E55494"/>
    <w:rsid w:val="61F26621"/>
    <w:rsid w:val="6221DABB"/>
    <w:rsid w:val="62C6BF78"/>
    <w:rsid w:val="63131EBB"/>
    <w:rsid w:val="6366EE81"/>
    <w:rsid w:val="642E24CA"/>
    <w:rsid w:val="646CB858"/>
    <w:rsid w:val="6555C924"/>
    <w:rsid w:val="65BEC942"/>
    <w:rsid w:val="65D6B761"/>
    <w:rsid w:val="65D9B295"/>
    <w:rsid w:val="6732E310"/>
    <w:rsid w:val="675ED48D"/>
    <w:rsid w:val="6792755F"/>
    <w:rsid w:val="680416E5"/>
    <w:rsid w:val="69A0655D"/>
    <w:rsid w:val="69CA213B"/>
    <w:rsid w:val="6AC04ACC"/>
    <w:rsid w:val="6CC62F14"/>
    <w:rsid w:val="6CD8A8DD"/>
    <w:rsid w:val="6DB1907F"/>
    <w:rsid w:val="6E4F87BE"/>
    <w:rsid w:val="6E99D7A9"/>
    <w:rsid w:val="6F1C0FE8"/>
    <w:rsid w:val="7002C804"/>
    <w:rsid w:val="703CC957"/>
    <w:rsid w:val="70AA4BA4"/>
    <w:rsid w:val="70B5F3A9"/>
    <w:rsid w:val="70C49E6B"/>
    <w:rsid w:val="70DD0355"/>
    <w:rsid w:val="71069002"/>
    <w:rsid w:val="717097ED"/>
    <w:rsid w:val="735A3ED7"/>
    <w:rsid w:val="73B9A71A"/>
    <w:rsid w:val="73BFEAC5"/>
    <w:rsid w:val="73D3DD79"/>
    <w:rsid w:val="75C84A49"/>
    <w:rsid w:val="76107474"/>
    <w:rsid w:val="76753AE5"/>
    <w:rsid w:val="76CF53DA"/>
    <w:rsid w:val="7734868E"/>
    <w:rsid w:val="7957315F"/>
    <w:rsid w:val="798E4269"/>
    <w:rsid w:val="79DE8921"/>
    <w:rsid w:val="79FBB1EC"/>
    <w:rsid w:val="7AAD06AA"/>
    <w:rsid w:val="7ACA5A23"/>
    <w:rsid w:val="7B0AA012"/>
    <w:rsid w:val="7C2780CD"/>
    <w:rsid w:val="7C2A8329"/>
    <w:rsid w:val="7C69FC67"/>
    <w:rsid w:val="7C770AD8"/>
    <w:rsid w:val="7C7B6F3A"/>
    <w:rsid w:val="7CAA8065"/>
    <w:rsid w:val="7CDAF5D9"/>
    <w:rsid w:val="7CEB10BD"/>
    <w:rsid w:val="7D26B9CA"/>
    <w:rsid w:val="7D6BEB09"/>
    <w:rsid w:val="7D8F03E5"/>
    <w:rsid w:val="7E1F077D"/>
    <w:rsid w:val="7E41277E"/>
    <w:rsid w:val="7F0F6A70"/>
    <w:rsid w:val="7F90A36A"/>
    <w:rsid w:val="7F9A87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AEA12C9C-9B1C-4257-9C84-075B8D5F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nuc-modal-bodycitation-content">
    <w:name w:val="nuc-modal-body__citation-content"/>
    <w:basedOn w:val="Normal"/>
    <w:rsid w:val="00A80020"/>
    <w:pPr>
      <w:spacing w:before="100" w:beforeAutospacing="1" w:after="100" w:afterAutospacing="1"/>
    </w:pPr>
    <w:rPr>
      <w:rFonts w:ascii="Times New Roman" w:eastAsia="Times New Roman" w:hAnsi="Times New Roman"/>
    </w:rPr>
  </w:style>
  <w:style w:type="character" w:customStyle="1" w:styleId="ui-provider">
    <w:name w:val="ui-provider"/>
    <w:basedOn w:val="DefaultParagraphFont"/>
    <w:rsid w:val="00397B84"/>
  </w:style>
  <w:style w:type="paragraph" w:customStyle="1" w:styleId="paragraph">
    <w:name w:val="paragraph"/>
    <w:basedOn w:val="Normal"/>
    <w:rsid w:val="002B7DC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B7DCB"/>
  </w:style>
  <w:style w:type="character" w:customStyle="1" w:styleId="scxw156822864">
    <w:name w:val="scxw156822864"/>
    <w:basedOn w:val="DefaultParagraphFont"/>
    <w:rsid w:val="002B7DCB"/>
  </w:style>
  <w:style w:type="character" w:customStyle="1" w:styleId="eop">
    <w:name w:val="eop"/>
    <w:basedOn w:val="DefaultParagraphFont"/>
    <w:rsid w:val="002B7DCB"/>
  </w:style>
  <w:style w:type="character" w:customStyle="1" w:styleId="scxw99857853">
    <w:name w:val="scxw99857853"/>
    <w:basedOn w:val="DefaultParagraphFont"/>
    <w:rsid w:val="002B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696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55435392">
      <w:bodyDiv w:val="1"/>
      <w:marLeft w:val="0"/>
      <w:marRight w:val="0"/>
      <w:marTop w:val="0"/>
      <w:marBottom w:val="0"/>
      <w:divBdr>
        <w:top w:val="none" w:sz="0" w:space="0" w:color="auto"/>
        <w:left w:val="none" w:sz="0" w:space="0" w:color="auto"/>
        <w:bottom w:val="none" w:sz="0" w:space="0" w:color="auto"/>
        <w:right w:val="none" w:sz="0" w:space="0" w:color="auto"/>
      </w:divBdr>
    </w:div>
    <w:div w:id="1303773708">
      <w:bodyDiv w:val="1"/>
      <w:marLeft w:val="0"/>
      <w:marRight w:val="0"/>
      <w:marTop w:val="0"/>
      <w:marBottom w:val="0"/>
      <w:divBdr>
        <w:top w:val="none" w:sz="0" w:space="0" w:color="auto"/>
        <w:left w:val="none" w:sz="0" w:space="0" w:color="auto"/>
        <w:bottom w:val="none" w:sz="0" w:space="0" w:color="auto"/>
        <w:right w:val="none" w:sz="0" w:space="0" w:color="auto"/>
      </w:divBdr>
    </w:div>
    <w:div w:id="1338192604">
      <w:bodyDiv w:val="1"/>
      <w:marLeft w:val="0"/>
      <w:marRight w:val="0"/>
      <w:marTop w:val="0"/>
      <w:marBottom w:val="0"/>
      <w:divBdr>
        <w:top w:val="none" w:sz="0" w:space="0" w:color="auto"/>
        <w:left w:val="none" w:sz="0" w:space="0" w:color="auto"/>
        <w:bottom w:val="none" w:sz="0" w:space="0" w:color="auto"/>
        <w:right w:val="none" w:sz="0" w:space="0" w:color="auto"/>
      </w:divBdr>
    </w:div>
    <w:div w:id="1598560022">
      <w:bodyDiv w:val="1"/>
      <w:marLeft w:val="0"/>
      <w:marRight w:val="0"/>
      <w:marTop w:val="0"/>
      <w:marBottom w:val="0"/>
      <w:divBdr>
        <w:top w:val="none" w:sz="0" w:space="0" w:color="auto"/>
        <w:left w:val="none" w:sz="0" w:space="0" w:color="auto"/>
        <w:bottom w:val="none" w:sz="0" w:space="0" w:color="auto"/>
        <w:right w:val="none" w:sz="0" w:space="0" w:color="auto"/>
      </w:divBdr>
      <w:divsChild>
        <w:div w:id="189496665">
          <w:marLeft w:val="0"/>
          <w:marRight w:val="0"/>
          <w:marTop w:val="0"/>
          <w:marBottom w:val="0"/>
          <w:divBdr>
            <w:top w:val="none" w:sz="0" w:space="0" w:color="auto"/>
            <w:left w:val="none" w:sz="0" w:space="0" w:color="auto"/>
            <w:bottom w:val="none" w:sz="0" w:space="0" w:color="auto"/>
            <w:right w:val="none" w:sz="0" w:space="0" w:color="auto"/>
          </w:divBdr>
        </w:div>
        <w:div w:id="234046258">
          <w:marLeft w:val="0"/>
          <w:marRight w:val="0"/>
          <w:marTop w:val="0"/>
          <w:marBottom w:val="0"/>
          <w:divBdr>
            <w:top w:val="none" w:sz="0" w:space="0" w:color="auto"/>
            <w:left w:val="none" w:sz="0" w:space="0" w:color="auto"/>
            <w:bottom w:val="none" w:sz="0" w:space="0" w:color="auto"/>
            <w:right w:val="none" w:sz="0" w:space="0" w:color="auto"/>
          </w:divBdr>
        </w:div>
        <w:div w:id="491681887">
          <w:marLeft w:val="0"/>
          <w:marRight w:val="0"/>
          <w:marTop w:val="0"/>
          <w:marBottom w:val="0"/>
          <w:divBdr>
            <w:top w:val="none" w:sz="0" w:space="0" w:color="auto"/>
            <w:left w:val="none" w:sz="0" w:space="0" w:color="auto"/>
            <w:bottom w:val="none" w:sz="0" w:space="0" w:color="auto"/>
            <w:right w:val="none" w:sz="0" w:space="0" w:color="auto"/>
          </w:divBdr>
        </w:div>
        <w:div w:id="508372708">
          <w:marLeft w:val="0"/>
          <w:marRight w:val="0"/>
          <w:marTop w:val="0"/>
          <w:marBottom w:val="0"/>
          <w:divBdr>
            <w:top w:val="none" w:sz="0" w:space="0" w:color="auto"/>
            <w:left w:val="none" w:sz="0" w:space="0" w:color="auto"/>
            <w:bottom w:val="none" w:sz="0" w:space="0" w:color="auto"/>
            <w:right w:val="none" w:sz="0" w:space="0" w:color="auto"/>
          </w:divBdr>
        </w:div>
        <w:div w:id="636498744">
          <w:marLeft w:val="0"/>
          <w:marRight w:val="0"/>
          <w:marTop w:val="0"/>
          <w:marBottom w:val="0"/>
          <w:divBdr>
            <w:top w:val="none" w:sz="0" w:space="0" w:color="auto"/>
            <w:left w:val="none" w:sz="0" w:space="0" w:color="auto"/>
            <w:bottom w:val="none" w:sz="0" w:space="0" w:color="auto"/>
            <w:right w:val="none" w:sz="0" w:space="0" w:color="auto"/>
          </w:divBdr>
        </w:div>
        <w:div w:id="731925694">
          <w:marLeft w:val="0"/>
          <w:marRight w:val="0"/>
          <w:marTop w:val="0"/>
          <w:marBottom w:val="0"/>
          <w:divBdr>
            <w:top w:val="none" w:sz="0" w:space="0" w:color="auto"/>
            <w:left w:val="none" w:sz="0" w:space="0" w:color="auto"/>
            <w:bottom w:val="none" w:sz="0" w:space="0" w:color="auto"/>
            <w:right w:val="none" w:sz="0" w:space="0" w:color="auto"/>
          </w:divBdr>
        </w:div>
        <w:div w:id="1155956585">
          <w:marLeft w:val="0"/>
          <w:marRight w:val="0"/>
          <w:marTop w:val="0"/>
          <w:marBottom w:val="0"/>
          <w:divBdr>
            <w:top w:val="none" w:sz="0" w:space="0" w:color="auto"/>
            <w:left w:val="none" w:sz="0" w:space="0" w:color="auto"/>
            <w:bottom w:val="none" w:sz="0" w:space="0" w:color="auto"/>
            <w:right w:val="none" w:sz="0" w:space="0" w:color="auto"/>
          </w:divBdr>
          <w:divsChild>
            <w:div w:id="436216900">
              <w:marLeft w:val="0"/>
              <w:marRight w:val="0"/>
              <w:marTop w:val="0"/>
              <w:marBottom w:val="0"/>
              <w:divBdr>
                <w:top w:val="none" w:sz="0" w:space="0" w:color="auto"/>
                <w:left w:val="none" w:sz="0" w:space="0" w:color="auto"/>
                <w:bottom w:val="none" w:sz="0" w:space="0" w:color="auto"/>
                <w:right w:val="none" w:sz="0" w:space="0" w:color="auto"/>
              </w:divBdr>
            </w:div>
          </w:divsChild>
        </w:div>
        <w:div w:id="1423381125">
          <w:marLeft w:val="0"/>
          <w:marRight w:val="0"/>
          <w:marTop w:val="0"/>
          <w:marBottom w:val="0"/>
          <w:divBdr>
            <w:top w:val="none" w:sz="0" w:space="0" w:color="auto"/>
            <w:left w:val="none" w:sz="0" w:space="0" w:color="auto"/>
            <w:bottom w:val="none" w:sz="0" w:space="0" w:color="auto"/>
            <w:right w:val="none" w:sz="0" w:space="0" w:color="auto"/>
          </w:divBdr>
          <w:divsChild>
            <w:div w:id="458232946">
              <w:marLeft w:val="0"/>
              <w:marRight w:val="0"/>
              <w:marTop w:val="0"/>
              <w:marBottom w:val="0"/>
              <w:divBdr>
                <w:top w:val="none" w:sz="0" w:space="0" w:color="auto"/>
                <w:left w:val="none" w:sz="0" w:space="0" w:color="auto"/>
                <w:bottom w:val="none" w:sz="0" w:space="0" w:color="auto"/>
                <w:right w:val="none" w:sz="0" w:space="0" w:color="auto"/>
              </w:divBdr>
            </w:div>
            <w:div w:id="1889535930">
              <w:marLeft w:val="0"/>
              <w:marRight w:val="0"/>
              <w:marTop w:val="0"/>
              <w:marBottom w:val="0"/>
              <w:divBdr>
                <w:top w:val="none" w:sz="0" w:space="0" w:color="auto"/>
                <w:left w:val="none" w:sz="0" w:space="0" w:color="auto"/>
                <w:bottom w:val="none" w:sz="0" w:space="0" w:color="auto"/>
                <w:right w:val="none" w:sz="0" w:space="0" w:color="auto"/>
              </w:divBdr>
            </w:div>
            <w:div w:id="2118215866">
              <w:marLeft w:val="0"/>
              <w:marRight w:val="0"/>
              <w:marTop w:val="0"/>
              <w:marBottom w:val="0"/>
              <w:divBdr>
                <w:top w:val="none" w:sz="0" w:space="0" w:color="auto"/>
                <w:left w:val="none" w:sz="0" w:space="0" w:color="auto"/>
                <w:bottom w:val="none" w:sz="0" w:space="0" w:color="auto"/>
                <w:right w:val="none" w:sz="0" w:space="0" w:color="auto"/>
              </w:divBdr>
            </w:div>
          </w:divsChild>
        </w:div>
        <w:div w:id="1617058807">
          <w:marLeft w:val="0"/>
          <w:marRight w:val="0"/>
          <w:marTop w:val="0"/>
          <w:marBottom w:val="0"/>
          <w:divBdr>
            <w:top w:val="none" w:sz="0" w:space="0" w:color="auto"/>
            <w:left w:val="none" w:sz="0" w:space="0" w:color="auto"/>
            <w:bottom w:val="none" w:sz="0" w:space="0" w:color="auto"/>
            <w:right w:val="none" w:sz="0" w:space="0" w:color="auto"/>
          </w:divBdr>
        </w:div>
        <w:div w:id="1631667310">
          <w:marLeft w:val="0"/>
          <w:marRight w:val="0"/>
          <w:marTop w:val="0"/>
          <w:marBottom w:val="0"/>
          <w:divBdr>
            <w:top w:val="none" w:sz="0" w:space="0" w:color="auto"/>
            <w:left w:val="none" w:sz="0" w:space="0" w:color="auto"/>
            <w:bottom w:val="none" w:sz="0" w:space="0" w:color="auto"/>
            <w:right w:val="none" w:sz="0" w:space="0" w:color="auto"/>
          </w:divBdr>
          <w:divsChild>
            <w:div w:id="880018228">
              <w:marLeft w:val="0"/>
              <w:marRight w:val="0"/>
              <w:marTop w:val="0"/>
              <w:marBottom w:val="0"/>
              <w:divBdr>
                <w:top w:val="none" w:sz="0" w:space="0" w:color="auto"/>
                <w:left w:val="none" w:sz="0" w:space="0" w:color="auto"/>
                <w:bottom w:val="none" w:sz="0" w:space="0" w:color="auto"/>
                <w:right w:val="none" w:sz="0" w:space="0" w:color="auto"/>
              </w:divBdr>
            </w:div>
            <w:div w:id="1516193833">
              <w:marLeft w:val="0"/>
              <w:marRight w:val="0"/>
              <w:marTop w:val="0"/>
              <w:marBottom w:val="0"/>
              <w:divBdr>
                <w:top w:val="none" w:sz="0" w:space="0" w:color="auto"/>
                <w:left w:val="none" w:sz="0" w:space="0" w:color="auto"/>
                <w:bottom w:val="none" w:sz="0" w:space="0" w:color="auto"/>
                <w:right w:val="none" w:sz="0" w:space="0" w:color="auto"/>
              </w:divBdr>
            </w:div>
            <w:div w:id="1909924175">
              <w:marLeft w:val="0"/>
              <w:marRight w:val="0"/>
              <w:marTop w:val="0"/>
              <w:marBottom w:val="0"/>
              <w:divBdr>
                <w:top w:val="none" w:sz="0" w:space="0" w:color="auto"/>
                <w:left w:val="none" w:sz="0" w:space="0" w:color="auto"/>
                <w:bottom w:val="none" w:sz="0" w:space="0" w:color="auto"/>
                <w:right w:val="none" w:sz="0" w:space="0" w:color="auto"/>
              </w:divBdr>
            </w:div>
            <w:div w:id="1995182334">
              <w:marLeft w:val="0"/>
              <w:marRight w:val="0"/>
              <w:marTop w:val="0"/>
              <w:marBottom w:val="0"/>
              <w:divBdr>
                <w:top w:val="none" w:sz="0" w:space="0" w:color="auto"/>
                <w:left w:val="none" w:sz="0" w:space="0" w:color="auto"/>
                <w:bottom w:val="none" w:sz="0" w:space="0" w:color="auto"/>
                <w:right w:val="none" w:sz="0" w:space="0" w:color="auto"/>
              </w:divBdr>
            </w:div>
            <w:div w:id="2086149361">
              <w:marLeft w:val="0"/>
              <w:marRight w:val="0"/>
              <w:marTop w:val="0"/>
              <w:marBottom w:val="0"/>
              <w:divBdr>
                <w:top w:val="none" w:sz="0" w:space="0" w:color="auto"/>
                <w:left w:val="none" w:sz="0" w:space="0" w:color="auto"/>
                <w:bottom w:val="none" w:sz="0" w:space="0" w:color="auto"/>
                <w:right w:val="none" w:sz="0" w:space="0" w:color="auto"/>
              </w:divBdr>
            </w:div>
          </w:divsChild>
        </w:div>
        <w:div w:id="1709407798">
          <w:marLeft w:val="0"/>
          <w:marRight w:val="0"/>
          <w:marTop w:val="0"/>
          <w:marBottom w:val="0"/>
          <w:divBdr>
            <w:top w:val="none" w:sz="0" w:space="0" w:color="auto"/>
            <w:left w:val="none" w:sz="0" w:space="0" w:color="auto"/>
            <w:bottom w:val="none" w:sz="0" w:space="0" w:color="auto"/>
            <w:right w:val="none" w:sz="0" w:space="0" w:color="auto"/>
          </w:divBdr>
          <w:divsChild>
            <w:div w:id="1488596998">
              <w:marLeft w:val="0"/>
              <w:marRight w:val="0"/>
              <w:marTop w:val="0"/>
              <w:marBottom w:val="0"/>
              <w:divBdr>
                <w:top w:val="none" w:sz="0" w:space="0" w:color="auto"/>
                <w:left w:val="none" w:sz="0" w:space="0" w:color="auto"/>
                <w:bottom w:val="none" w:sz="0" w:space="0" w:color="auto"/>
                <w:right w:val="none" w:sz="0" w:space="0" w:color="auto"/>
              </w:divBdr>
            </w:div>
            <w:div w:id="1530223121">
              <w:marLeft w:val="0"/>
              <w:marRight w:val="0"/>
              <w:marTop w:val="0"/>
              <w:marBottom w:val="0"/>
              <w:divBdr>
                <w:top w:val="none" w:sz="0" w:space="0" w:color="auto"/>
                <w:left w:val="none" w:sz="0" w:space="0" w:color="auto"/>
                <w:bottom w:val="none" w:sz="0" w:space="0" w:color="auto"/>
                <w:right w:val="none" w:sz="0" w:space="0" w:color="auto"/>
              </w:divBdr>
            </w:div>
            <w:div w:id="1797213542">
              <w:marLeft w:val="0"/>
              <w:marRight w:val="0"/>
              <w:marTop w:val="0"/>
              <w:marBottom w:val="0"/>
              <w:divBdr>
                <w:top w:val="none" w:sz="0" w:space="0" w:color="auto"/>
                <w:left w:val="none" w:sz="0" w:space="0" w:color="auto"/>
                <w:bottom w:val="none" w:sz="0" w:space="0" w:color="auto"/>
                <w:right w:val="none" w:sz="0" w:space="0" w:color="auto"/>
              </w:divBdr>
            </w:div>
            <w:div w:id="1846280771">
              <w:marLeft w:val="0"/>
              <w:marRight w:val="0"/>
              <w:marTop w:val="0"/>
              <w:marBottom w:val="0"/>
              <w:divBdr>
                <w:top w:val="none" w:sz="0" w:space="0" w:color="auto"/>
                <w:left w:val="none" w:sz="0" w:space="0" w:color="auto"/>
                <w:bottom w:val="none" w:sz="0" w:space="0" w:color="auto"/>
                <w:right w:val="none" w:sz="0" w:space="0" w:color="auto"/>
              </w:divBdr>
            </w:div>
            <w:div w:id="2146510246">
              <w:marLeft w:val="0"/>
              <w:marRight w:val="0"/>
              <w:marTop w:val="0"/>
              <w:marBottom w:val="0"/>
              <w:divBdr>
                <w:top w:val="none" w:sz="0" w:space="0" w:color="auto"/>
                <w:left w:val="none" w:sz="0" w:space="0" w:color="auto"/>
                <w:bottom w:val="none" w:sz="0" w:space="0" w:color="auto"/>
                <w:right w:val="none" w:sz="0" w:space="0" w:color="auto"/>
              </w:divBdr>
            </w:div>
          </w:divsChild>
        </w:div>
        <w:div w:id="2044355846">
          <w:marLeft w:val="0"/>
          <w:marRight w:val="0"/>
          <w:marTop w:val="0"/>
          <w:marBottom w:val="0"/>
          <w:divBdr>
            <w:top w:val="none" w:sz="0" w:space="0" w:color="auto"/>
            <w:left w:val="none" w:sz="0" w:space="0" w:color="auto"/>
            <w:bottom w:val="none" w:sz="0" w:space="0" w:color="auto"/>
            <w:right w:val="none" w:sz="0" w:space="0" w:color="auto"/>
          </w:divBdr>
        </w:div>
        <w:div w:id="2098820333">
          <w:marLeft w:val="0"/>
          <w:marRight w:val="0"/>
          <w:marTop w:val="0"/>
          <w:marBottom w:val="0"/>
          <w:divBdr>
            <w:top w:val="none" w:sz="0" w:space="0" w:color="auto"/>
            <w:left w:val="none" w:sz="0" w:space="0" w:color="auto"/>
            <w:bottom w:val="none" w:sz="0" w:space="0" w:color="auto"/>
            <w:right w:val="none" w:sz="0" w:space="0" w:color="auto"/>
          </w:divBdr>
          <w:divsChild>
            <w:div w:id="476726929">
              <w:marLeft w:val="0"/>
              <w:marRight w:val="0"/>
              <w:marTop w:val="0"/>
              <w:marBottom w:val="0"/>
              <w:divBdr>
                <w:top w:val="none" w:sz="0" w:space="0" w:color="auto"/>
                <w:left w:val="none" w:sz="0" w:space="0" w:color="auto"/>
                <w:bottom w:val="none" w:sz="0" w:space="0" w:color="auto"/>
                <w:right w:val="none" w:sz="0" w:space="0" w:color="auto"/>
              </w:divBdr>
            </w:div>
            <w:div w:id="566887564">
              <w:marLeft w:val="0"/>
              <w:marRight w:val="0"/>
              <w:marTop w:val="0"/>
              <w:marBottom w:val="0"/>
              <w:divBdr>
                <w:top w:val="none" w:sz="0" w:space="0" w:color="auto"/>
                <w:left w:val="none" w:sz="0" w:space="0" w:color="auto"/>
                <w:bottom w:val="none" w:sz="0" w:space="0" w:color="auto"/>
                <w:right w:val="none" w:sz="0" w:space="0" w:color="auto"/>
              </w:divBdr>
            </w:div>
            <w:div w:id="1058088012">
              <w:marLeft w:val="0"/>
              <w:marRight w:val="0"/>
              <w:marTop w:val="0"/>
              <w:marBottom w:val="0"/>
              <w:divBdr>
                <w:top w:val="none" w:sz="0" w:space="0" w:color="auto"/>
                <w:left w:val="none" w:sz="0" w:space="0" w:color="auto"/>
                <w:bottom w:val="none" w:sz="0" w:space="0" w:color="auto"/>
                <w:right w:val="none" w:sz="0" w:space="0" w:color="auto"/>
              </w:divBdr>
            </w:div>
            <w:div w:id="1091200679">
              <w:marLeft w:val="0"/>
              <w:marRight w:val="0"/>
              <w:marTop w:val="0"/>
              <w:marBottom w:val="0"/>
              <w:divBdr>
                <w:top w:val="none" w:sz="0" w:space="0" w:color="auto"/>
                <w:left w:val="none" w:sz="0" w:space="0" w:color="auto"/>
                <w:bottom w:val="none" w:sz="0" w:space="0" w:color="auto"/>
                <w:right w:val="none" w:sz="0" w:space="0" w:color="auto"/>
              </w:divBdr>
            </w:div>
            <w:div w:id="11443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045">
      <w:bodyDiv w:val="1"/>
      <w:marLeft w:val="0"/>
      <w:marRight w:val="0"/>
      <w:marTop w:val="0"/>
      <w:marBottom w:val="0"/>
      <w:divBdr>
        <w:top w:val="none" w:sz="0" w:space="0" w:color="auto"/>
        <w:left w:val="none" w:sz="0" w:space="0" w:color="auto"/>
        <w:bottom w:val="none" w:sz="0" w:space="0" w:color="auto"/>
        <w:right w:val="none" w:sz="0" w:space="0" w:color="auto"/>
      </w:divBdr>
      <w:divsChild>
        <w:div w:id="150148149">
          <w:marLeft w:val="0"/>
          <w:marRight w:val="0"/>
          <w:marTop w:val="0"/>
          <w:marBottom w:val="0"/>
          <w:divBdr>
            <w:top w:val="none" w:sz="0" w:space="0" w:color="auto"/>
            <w:left w:val="none" w:sz="0" w:space="0" w:color="auto"/>
            <w:bottom w:val="none" w:sz="0" w:space="0" w:color="auto"/>
            <w:right w:val="none" w:sz="0" w:space="0" w:color="auto"/>
          </w:divBdr>
        </w:div>
        <w:div w:id="255670478">
          <w:marLeft w:val="0"/>
          <w:marRight w:val="0"/>
          <w:marTop w:val="0"/>
          <w:marBottom w:val="0"/>
          <w:divBdr>
            <w:top w:val="none" w:sz="0" w:space="0" w:color="auto"/>
            <w:left w:val="none" w:sz="0" w:space="0" w:color="auto"/>
            <w:bottom w:val="none" w:sz="0" w:space="0" w:color="auto"/>
            <w:right w:val="none" w:sz="0" w:space="0" w:color="auto"/>
          </w:divBdr>
        </w:div>
        <w:div w:id="562134420">
          <w:marLeft w:val="0"/>
          <w:marRight w:val="0"/>
          <w:marTop w:val="0"/>
          <w:marBottom w:val="0"/>
          <w:divBdr>
            <w:top w:val="none" w:sz="0" w:space="0" w:color="auto"/>
            <w:left w:val="none" w:sz="0" w:space="0" w:color="auto"/>
            <w:bottom w:val="none" w:sz="0" w:space="0" w:color="auto"/>
            <w:right w:val="none" w:sz="0" w:space="0" w:color="auto"/>
          </w:divBdr>
        </w:div>
        <w:div w:id="631255971">
          <w:marLeft w:val="0"/>
          <w:marRight w:val="0"/>
          <w:marTop w:val="0"/>
          <w:marBottom w:val="0"/>
          <w:divBdr>
            <w:top w:val="none" w:sz="0" w:space="0" w:color="auto"/>
            <w:left w:val="none" w:sz="0" w:space="0" w:color="auto"/>
            <w:bottom w:val="none" w:sz="0" w:space="0" w:color="auto"/>
            <w:right w:val="none" w:sz="0" w:space="0" w:color="auto"/>
          </w:divBdr>
        </w:div>
        <w:div w:id="913008301">
          <w:marLeft w:val="0"/>
          <w:marRight w:val="0"/>
          <w:marTop w:val="0"/>
          <w:marBottom w:val="0"/>
          <w:divBdr>
            <w:top w:val="none" w:sz="0" w:space="0" w:color="auto"/>
            <w:left w:val="none" w:sz="0" w:space="0" w:color="auto"/>
            <w:bottom w:val="none" w:sz="0" w:space="0" w:color="auto"/>
            <w:right w:val="none" w:sz="0" w:space="0" w:color="auto"/>
          </w:divBdr>
        </w:div>
        <w:div w:id="978923493">
          <w:marLeft w:val="0"/>
          <w:marRight w:val="0"/>
          <w:marTop w:val="0"/>
          <w:marBottom w:val="0"/>
          <w:divBdr>
            <w:top w:val="none" w:sz="0" w:space="0" w:color="auto"/>
            <w:left w:val="none" w:sz="0" w:space="0" w:color="auto"/>
            <w:bottom w:val="none" w:sz="0" w:space="0" w:color="auto"/>
            <w:right w:val="none" w:sz="0" w:space="0" w:color="auto"/>
          </w:divBdr>
        </w:div>
        <w:div w:id="1136877187">
          <w:marLeft w:val="0"/>
          <w:marRight w:val="0"/>
          <w:marTop w:val="0"/>
          <w:marBottom w:val="0"/>
          <w:divBdr>
            <w:top w:val="none" w:sz="0" w:space="0" w:color="auto"/>
            <w:left w:val="none" w:sz="0" w:space="0" w:color="auto"/>
            <w:bottom w:val="none" w:sz="0" w:space="0" w:color="auto"/>
            <w:right w:val="none" w:sz="0" w:space="0" w:color="auto"/>
          </w:divBdr>
        </w:div>
        <w:div w:id="1204292342">
          <w:marLeft w:val="0"/>
          <w:marRight w:val="0"/>
          <w:marTop w:val="0"/>
          <w:marBottom w:val="0"/>
          <w:divBdr>
            <w:top w:val="none" w:sz="0" w:space="0" w:color="auto"/>
            <w:left w:val="none" w:sz="0" w:space="0" w:color="auto"/>
            <w:bottom w:val="none" w:sz="0" w:space="0" w:color="auto"/>
            <w:right w:val="none" w:sz="0" w:space="0" w:color="auto"/>
          </w:divBdr>
        </w:div>
        <w:div w:id="1265500543">
          <w:marLeft w:val="0"/>
          <w:marRight w:val="0"/>
          <w:marTop w:val="0"/>
          <w:marBottom w:val="0"/>
          <w:divBdr>
            <w:top w:val="none" w:sz="0" w:space="0" w:color="auto"/>
            <w:left w:val="none" w:sz="0" w:space="0" w:color="auto"/>
            <w:bottom w:val="none" w:sz="0" w:space="0" w:color="auto"/>
            <w:right w:val="none" w:sz="0" w:space="0" w:color="auto"/>
          </w:divBdr>
        </w:div>
        <w:div w:id="1545405506">
          <w:marLeft w:val="0"/>
          <w:marRight w:val="0"/>
          <w:marTop w:val="0"/>
          <w:marBottom w:val="0"/>
          <w:divBdr>
            <w:top w:val="none" w:sz="0" w:space="0" w:color="auto"/>
            <w:left w:val="none" w:sz="0" w:space="0" w:color="auto"/>
            <w:bottom w:val="none" w:sz="0" w:space="0" w:color="auto"/>
            <w:right w:val="none" w:sz="0" w:space="0" w:color="auto"/>
          </w:divBdr>
        </w:div>
        <w:div w:id="1609852985">
          <w:marLeft w:val="0"/>
          <w:marRight w:val="0"/>
          <w:marTop w:val="0"/>
          <w:marBottom w:val="0"/>
          <w:divBdr>
            <w:top w:val="none" w:sz="0" w:space="0" w:color="auto"/>
            <w:left w:val="none" w:sz="0" w:space="0" w:color="auto"/>
            <w:bottom w:val="none" w:sz="0" w:space="0" w:color="auto"/>
            <w:right w:val="none" w:sz="0" w:space="0" w:color="auto"/>
          </w:divBdr>
        </w:div>
        <w:div w:id="1692292246">
          <w:marLeft w:val="0"/>
          <w:marRight w:val="0"/>
          <w:marTop w:val="0"/>
          <w:marBottom w:val="0"/>
          <w:divBdr>
            <w:top w:val="none" w:sz="0" w:space="0" w:color="auto"/>
            <w:left w:val="none" w:sz="0" w:space="0" w:color="auto"/>
            <w:bottom w:val="none" w:sz="0" w:space="0" w:color="auto"/>
            <w:right w:val="none" w:sz="0" w:space="0" w:color="auto"/>
          </w:divBdr>
        </w:div>
        <w:div w:id="1710449617">
          <w:marLeft w:val="0"/>
          <w:marRight w:val="0"/>
          <w:marTop w:val="0"/>
          <w:marBottom w:val="0"/>
          <w:divBdr>
            <w:top w:val="none" w:sz="0" w:space="0" w:color="auto"/>
            <w:left w:val="none" w:sz="0" w:space="0" w:color="auto"/>
            <w:bottom w:val="none" w:sz="0" w:space="0" w:color="auto"/>
            <w:right w:val="none" w:sz="0" w:space="0" w:color="auto"/>
          </w:divBdr>
        </w:div>
        <w:div w:id="1732651229">
          <w:marLeft w:val="0"/>
          <w:marRight w:val="0"/>
          <w:marTop w:val="0"/>
          <w:marBottom w:val="0"/>
          <w:divBdr>
            <w:top w:val="none" w:sz="0" w:space="0" w:color="auto"/>
            <w:left w:val="none" w:sz="0" w:space="0" w:color="auto"/>
            <w:bottom w:val="none" w:sz="0" w:space="0" w:color="auto"/>
            <w:right w:val="none" w:sz="0" w:space="0" w:color="auto"/>
          </w:divBdr>
        </w:div>
        <w:div w:id="2011791007">
          <w:marLeft w:val="0"/>
          <w:marRight w:val="0"/>
          <w:marTop w:val="0"/>
          <w:marBottom w:val="0"/>
          <w:divBdr>
            <w:top w:val="none" w:sz="0" w:space="0" w:color="auto"/>
            <w:left w:val="none" w:sz="0" w:space="0" w:color="auto"/>
            <w:bottom w:val="none" w:sz="0" w:space="0" w:color="auto"/>
            <w:right w:val="none" w:sz="0" w:space="0" w:color="auto"/>
          </w:divBdr>
        </w:div>
        <w:div w:id="2060395713">
          <w:marLeft w:val="0"/>
          <w:marRight w:val="0"/>
          <w:marTop w:val="0"/>
          <w:marBottom w:val="0"/>
          <w:divBdr>
            <w:top w:val="none" w:sz="0" w:space="0" w:color="auto"/>
            <w:left w:val="none" w:sz="0" w:space="0" w:color="auto"/>
            <w:bottom w:val="none" w:sz="0" w:space="0" w:color="auto"/>
            <w:right w:val="none" w:sz="0" w:space="0" w:color="auto"/>
          </w:divBdr>
        </w:div>
      </w:divsChild>
    </w:div>
    <w:div w:id="1760563828">
      <w:bodyDiv w:val="1"/>
      <w:marLeft w:val="0"/>
      <w:marRight w:val="0"/>
      <w:marTop w:val="0"/>
      <w:marBottom w:val="0"/>
      <w:divBdr>
        <w:top w:val="none" w:sz="0" w:space="0" w:color="auto"/>
        <w:left w:val="none" w:sz="0" w:space="0" w:color="auto"/>
        <w:bottom w:val="none" w:sz="0" w:space="0" w:color="auto"/>
        <w:right w:val="none" w:sz="0" w:space="0" w:color="auto"/>
      </w:divBdr>
    </w:div>
    <w:div w:id="1848864713">
      <w:bodyDiv w:val="1"/>
      <w:marLeft w:val="0"/>
      <w:marRight w:val="0"/>
      <w:marTop w:val="0"/>
      <w:marBottom w:val="0"/>
      <w:divBdr>
        <w:top w:val="none" w:sz="0" w:space="0" w:color="auto"/>
        <w:left w:val="none" w:sz="0" w:space="0" w:color="auto"/>
        <w:bottom w:val="none" w:sz="0" w:space="0" w:color="auto"/>
        <w:right w:val="none" w:sz="0" w:space="0" w:color="auto"/>
      </w:divBdr>
    </w:div>
    <w:div w:id="1948653148">
      <w:bodyDiv w:val="1"/>
      <w:marLeft w:val="0"/>
      <w:marRight w:val="0"/>
      <w:marTop w:val="0"/>
      <w:marBottom w:val="0"/>
      <w:divBdr>
        <w:top w:val="none" w:sz="0" w:space="0" w:color="auto"/>
        <w:left w:val="none" w:sz="0" w:space="0" w:color="auto"/>
        <w:bottom w:val="none" w:sz="0" w:space="0" w:color="auto"/>
        <w:right w:val="none" w:sz="0" w:space="0" w:color="auto"/>
      </w:divBdr>
    </w:div>
    <w:div w:id="1995406902">
      <w:bodyDiv w:val="1"/>
      <w:marLeft w:val="0"/>
      <w:marRight w:val="0"/>
      <w:marTop w:val="0"/>
      <w:marBottom w:val="0"/>
      <w:divBdr>
        <w:top w:val="none" w:sz="0" w:space="0" w:color="auto"/>
        <w:left w:val="none" w:sz="0" w:space="0" w:color="auto"/>
        <w:bottom w:val="none" w:sz="0" w:space="0" w:color="auto"/>
        <w:right w:val="none" w:sz="0" w:space="0" w:color="auto"/>
      </w:divBdr>
      <w:divsChild>
        <w:div w:id="129175333">
          <w:marLeft w:val="0"/>
          <w:marRight w:val="0"/>
          <w:marTop w:val="0"/>
          <w:marBottom w:val="0"/>
          <w:divBdr>
            <w:top w:val="none" w:sz="0" w:space="0" w:color="auto"/>
            <w:left w:val="none" w:sz="0" w:space="0" w:color="auto"/>
            <w:bottom w:val="none" w:sz="0" w:space="0" w:color="auto"/>
            <w:right w:val="none" w:sz="0" w:space="0" w:color="auto"/>
          </w:divBdr>
        </w:div>
        <w:div w:id="166479545">
          <w:marLeft w:val="0"/>
          <w:marRight w:val="0"/>
          <w:marTop w:val="0"/>
          <w:marBottom w:val="0"/>
          <w:divBdr>
            <w:top w:val="none" w:sz="0" w:space="0" w:color="auto"/>
            <w:left w:val="none" w:sz="0" w:space="0" w:color="auto"/>
            <w:bottom w:val="none" w:sz="0" w:space="0" w:color="auto"/>
            <w:right w:val="none" w:sz="0" w:space="0" w:color="auto"/>
          </w:divBdr>
        </w:div>
        <w:div w:id="179314875">
          <w:marLeft w:val="0"/>
          <w:marRight w:val="0"/>
          <w:marTop w:val="0"/>
          <w:marBottom w:val="0"/>
          <w:divBdr>
            <w:top w:val="none" w:sz="0" w:space="0" w:color="auto"/>
            <w:left w:val="none" w:sz="0" w:space="0" w:color="auto"/>
            <w:bottom w:val="none" w:sz="0" w:space="0" w:color="auto"/>
            <w:right w:val="none" w:sz="0" w:space="0" w:color="auto"/>
          </w:divBdr>
        </w:div>
        <w:div w:id="350573870">
          <w:marLeft w:val="0"/>
          <w:marRight w:val="0"/>
          <w:marTop w:val="0"/>
          <w:marBottom w:val="0"/>
          <w:divBdr>
            <w:top w:val="none" w:sz="0" w:space="0" w:color="auto"/>
            <w:left w:val="none" w:sz="0" w:space="0" w:color="auto"/>
            <w:bottom w:val="none" w:sz="0" w:space="0" w:color="auto"/>
            <w:right w:val="none" w:sz="0" w:space="0" w:color="auto"/>
          </w:divBdr>
        </w:div>
        <w:div w:id="398871033">
          <w:marLeft w:val="0"/>
          <w:marRight w:val="0"/>
          <w:marTop w:val="0"/>
          <w:marBottom w:val="0"/>
          <w:divBdr>
            <w:top w:val="none" w:sz="0" w:space="0" w:color="auto"/>
            <w:left w:val="none" w:sz="0" w:space="0" w:color="auto"/>
            <w:bottom w:val="none" w:sz="0" w:space="0" w:color="auto"/>
            <w:right w:val="none" w:sz="0" w:space="0" w:color="auto"/>
          </w:divBdr>
        </w:div>
        <w:div w:id="529883330">
          <w:marLeft w:val="0"/>
          <w:marRight w:val="0"/>
          <w:marTop w:val="0"/>
          <w:marBottom w:val="0"/>
          <w:divBdr>
            <w:top w:val="none" w:sz="0" w:space="0" w:color="auto"/>
            <w:left w:val="none" w:sz="0" w:space="0" w:color="auto"/>
            <w:bottom w:val="none" w:sz="0" w:space="0" w:color="auto"/>
            <w:right w:val="none" w:sz="0" w:space="0" w:color="auto"/>
          </w:divBdr>
        </w:div>
        <w:div w:id="734665559">
          <w:marLeft w:val="0"/>
          <w:marRight w:val="0"/>
          <w:marTop w:val="0"/>
          <w:marBottom w:val="0"/>
          <w:divBdr>
            <w:top w:val="none" w:sz="0" w:space="0" w:color="auto"/>
            <w:left w:val="none" w:sz="0" w:space="0" w:color="auto"/>
            <w:bottom w:val="none" w:sz="0" w:space="0" w:color="auto"/>
            <w:right w:val="none" w:sz="0" w:space="0" w:color="auto"/>
          </w:divBdr>
        </w:div>
        <w:div w:id="764035876">
          <w:marLeft w:val="0"/>
          <w:marRight w:val="0"/>
          <w:marTop w:val="0"/>
          <w:marBottom w:val="0"/>
          <w:divBdr>
            <w:top w:val="none" w:sz="0" w:space="0" w:color="auto"/>
            <w:left w:val="none" w:sz="0" w:space="0" w:color="auto"/>
            <w:bottom w:val="none" w:sz="0" w:space="0" w:color="auto"/>
            <w:right w:val="none" w:sz="0" w:space="0" w:color="auto"/>
          </w:divBdr>
        </w:div>
        <w:div w:id="886377431">
          <w:marLeft w:val="0"/>
          <w:marRight w:val="0"/>
          <w:marTop w:val="0"/>
          <w:marBottom w:val="0"/>
          <w:divBdr>
            <w:top w:val="none" w:sz="0" w:space="0" w:color="auto"/>
            <w:left w:val="none" w:sz="0" w:space="0" w:color="auto"/>
            <w:bottom w:val="none" w:sz="0" w:space="0" w:color="auto"/>
            <w:right w:val="none" w:sz="0" w:space="0" w:color="auto"/>
          </w:divBdr>
        </w:div>
        <w:div w:id="951090391">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387140006">
          <w:marLeft w:val="0"/>
          <w:marRight w:val="0"/>
          <w:marTop w:val="0"/>
          <w:marBottom w:val="0"/>
          <w:divBdr>
            <w:top w:val="none" w:sz="0" w:space="0" w:color="auto"/>
            <w:left w:val="none" w:sz="0" w:space="0" w:color="auto"/>
            <w:bottom w:val="none" w:sz="0" w:space="0" w:color="auto"/>
            <w:right w:val="none" w:sz="0" w:space="0" w:color="auto"/>
          </w:divBdr>
        </w:div>
        <w:div w:id="1393891314">
          <w:marLeft w:val="0"/>
          <w:marRight w:val="0"/>
          <w:marTop w:val="0"/>
          <w:marBottom w:val="0"/>
          <w:divBdr>
            <w:top w:val="none" w:sz="0" w:space="0" w:color="auto"/>
            <w:left w:val="none" w:sz="0" w:space="0" w:color="auto"/>
            <w:bottom w:val="none" w:sz="0" w:space="0" w:color="auto"/>
            <w:right w:val="none" w:sz="0" w:space="0" w:color="auto"/>
          </w:divBdr>
        </w:div>
        <w:div w:id="1547914788">
          <w:marLeft w:val="0"/>
          <w:marRight w:val="0"/>
          <w:marTop w:val="0"/>
          <w:marBottom w:val="0"/>
          <w:divBdr>
            <w:top w:val="none" w:sz="0" w:space="0" w:color="auto"/>
            <w:left w:val="none" w:sz="0" w:space="0" w:color="auto"/>
            <w:bottom w:val="none" w:sz="0" w:space="0" w:color="auto"/>
            <w:right w:val="none" w:sz="0" w:space="0" w:color="auto"/>
          </w:divBdr>
        </w:div>
        <w:div w:id="1548486833">
          <w:marLeft w:val="0"/>
          <w:marRight w:val="0"/>
          <w:marTop w:val="0"/>
          <w:marBottom w:val="0"/>
          <w:divBdr>
            <w:top w:val="none" w:sz="0" w:space="0" w:color="auto"/>
            <w:left w:val="none" w:sz="0" w:space="0" w:color="auto"/>
            <w:bottom w:val="none" w:sz="0" w:space="0" w:color="auto"/>
            <w:right w:val="none" w:sz="0" w:space="0" w:color="auto"/>
          </w:divBdr>
        </w:div>
        <w:div w:id="1776291708">
          <w:marLeft w:val="0"/>
          <w:marRight w:val="0"/>
          <w:marTop w:val="0"/>
          <w:marBottom w:val="0"/>
          <w:divBdr>
            <w:top w:val="none" w:sz="0" w:space="0" w:color="auto"/>
            <w:left w:val="none" w:sz="0" w:space="0" w:color="auto"/>
            <w:bottom w:val="none" w:sz="0" w:space="0" w:color="auto"/>
            <w:right w:val="none" w:sz="0" w:space="0" w:color="auto"/>
          </w:divBdr>
        </w:div>
        <w:div w:id="1779832070">
          <w:marLeft w:val="0"/>
          <w:marRight w:val="0"/>
          <w:marTop w:val="0"/>
          <w:marBottom w:val="0"/>
          <w:divBdr>
            <w:top w:val="none" w:sz="0" w:space="0" w:color="auto"/>
            <w:left w:val="none" w:sz="0" w:space="0" w:color="auto"/>
            <w:bottom w:val="none" w:sz="0" w:space="0" w:color="auto"/>
            <w:right w:val="none" w:sz="0" w:space="0" w:color="auto"/>
          </w:divBdr>
        </w:div>
        <w:div w:id="1808930833">
          <w:marLeft w:val="0"/>
          <w:marRight w:val="0"/>
          <w:marTop w:val="0"/>
          <w:marBottom w:val="0"/>
          <w:divBdr>
            <w:top w:val="none" w:sz="0" w:space="0" w:color="auto"/>
            <w:left w:val="none" w:sz="0" w:space="0" w:color="auto"/>
            <w:bottom w:val="none" w:sz="0" w:space="0" w:color="auto"/>
            <w:right w:val="none" w:sz="0" w:space="0" w:color="auto"/>
          </w:divBdr>
        </w:div>
        <w:div w:id="1912423347">
          <w:marLeft w:val="0"/>
          <w:marRight w:val="0"/>
          <w:marTop w:val="0"/>
          <w:marBottom w:val="0"/>
          <w:divBdr>
            <w:top w:val="none" w:sz="0" w:space="0" w:color="auto"/>
            <w:left w:val="none" w:sz="0" w:space="0" w:color="auto"/>
            <w:bottom w:val="none" w:sz="0" w:space="0" w:color="auto"/>
            <w:right w:val="none" w:sz="0" w:space="0" w:color="auto"/>
          </w:divBdr>
        </w:div>
        <w:div w:id="1931157919">
          <w:marLeft w:val="0"/>
          <w:marRight w:val="0"/>
          <w:marTop w:val="0"/>
          <w:marBottom w:val="0"/>
          <w:divBdr>
            <w:top w:val="none" w:sz="0" w:space="0" w:color="auto"/>
            <w:left w:val="none" w:sz="0" w:space="0" w:color="auto"/>
            <w:bottom w:val="none" w:sz="0" w:space="0" w:color="auto"/>
            <w:right w:val="none" w:sz="0" w:space="0" w:color="auto"/>
          </w:divBdr>
        </w:div>
        <w:div w:id="1936672516">
          <w:marLeft w:val="0"/>
          <w:marRight w:val="0"/>
          <w:marTop w:val="0"/>
          <w:marBottom w:val="0"/>
          <w:divBdr>
            <w:top w:val="none" w:sz="0" w:space="0" w:color="auto"/>
            <w:left w:val="none" w:sz="0" w:space="0" w:color="auto"/>
            <w:bottom w:val="none" w:sz="0" w:space="0" w:color="auto"/>
            <w:right w:val="none" w:sz="0" w:space="0" w:color="auto"/>
          </w:divBdr>
        </w:div>
        <w:div w:id="1971469129">
          <w:marLeft w:val="0"/>
          <w:marRight w:val="0"/>
          <w:marTop w:val="0"/>
          <w:marBottom w:val="0"/>
          <w:divBdr>
            <w:top w:val="none" w:sz="0" w:space="0" w:color="auto"/>
            <w:left w:val="none" w:sz="0" w:space="0" w:color="auto"/>
            <w:bottom w:val="none" w:sz="0" w:space="0" w:color="auto"/>
            <w:right w:val="none" w:sz="0" w:space="0" w:color="auto"/>
          </w:divBdr>
        </w:div>
        <w:div w:id="1975938112">
          <w:marLeft w:val="0"/>
          <w:marRight w:val="0"/>
          <w:marTop w:val="0"/>
          <w:marBottom w:val="0"/>
          <w:divBdr>
            <w:top w:val="none" w:sz="0" w:space="0" w:color="auto"/>
            <w:left w:val="none" w:sz="0" w:space="0" w:color="auto"/>
            <w:bottom w:val="none" w:sz="0" w:space="0" w:color="auto"/>
            <w:right w:val="none" w:sz="0" w:space="0" w:color="auto"/>
          </w:divBdr>
        </w:div>
        <w:div w:id="2026587634">
          <w:marLeft w:val="0"/>
          <w:marRight w:val="0"/>
          <w:marTop w:val="0"/>
          <w:marBottom w:val="0"/>
          <w:divBdr>
            <w:top w:val="none" w:sz="0" w:space="0" w:color="auto"/>
            <w:left w:val="none" w:sz="0" w:space="0" w:color="auto"/>
            <w:bottom w:val="none" w:sz="0" w:space="0" w:color="auto"/>
            <w:right w:val="none" w:sz="0" w:space="0" w:color="auto"/>
          </w:divBdr>
        </w:div>
        <w:div w:id="21298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umanrights.gov.au/our-work/rights-and-freedoms/publications/human-rights-and-technology-final-report-2021" TargetMode="External"/><Relationship Id="rId26" Type="http://schemas.openxmlformats.org/officeDocument/2006/relationships/hyperlink" Target="https://aus01.safelinks.protection.outlook.com/?url=https%3A%2F%2Fglobalprivacyassembly.org%2Fwp-content%2Fuploads%2F2015%2F02%2FThe-Madrid-Resolution.pdf&amp;data=05%7C01%7Cpatrick.hooton%40humanrights.gov.au%7C72a97f64af0a4cdb747308db3ca6b49c%7Cea4cdebd454f4218919b7adc32bf1549%7C0%7C0%7C638170459678856978%7CUnknown%7CTWFpbGZsb3d8eyJWIjoiMC4wLjAwMDAiLCJQIjoiV2luMzIiLCJBTiI6Ik1haWwiLCJXVCI6Mn0%3D%7C3000%7C%7C%7C&amp;sdata=cQbCvmtCsupWSG5Lg2cu%2BVdEQ1uEqvTEHnoCxB7qCNU%3D&amp;reserved=0" TargetMode="External"/><Relationship Id="rId39" Type="http://schemas.openxmlformats.org/officeDocument/2006/relationships/footer" Target="footer4.xml"/><Relationship Id="rId21" Type="http://schemas.openxmlformats.org/officeDocument/2006/relationships/hyperlink" Target="https://humanrights.gov.au/our-work/legal/submission/safeguarding-right-privacy-australia" TargetMode="External"/><Relationship Id="rId34"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manrights.gov.au/our-work/legal/submission/submission-targeted-review-divisions-270-and-271-criminal-code" TargetMode="External"/><Relationship Id="rId29" Type="http://schemas.openxmlformats.org/officeDocument/2006/relationships/hyperlink" Target="https://humanrights.gov.au/our-work/rights-and-freedoms/publications/human-rights-and-technology-final-report-2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prc.org.au/in-whose-interest/" TargetMode="External"/><Relationship Id="rId32" Type="http://schemas.openxmlformats.org/officeDocument/2006/relationships/hyperlink" Target="https://www.hrlc.org.au/submissions/2023/3/15/disinformation-inquiry"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aic.gov.au/engage-with-us/research-and-training-resources/research/australian-community-attitudes-to-privacy-survey/australian-community-attitudes-to-privacy-survey-2020" TargetMode="External"/><Relationship Id="rId28" Type="http://schemas.openxmlformats.org/officeDocument/2006/relationships/hyperlink" Target="https://humanrights.gov.au/our-work/rights-and-freedoms/publications/using-artificial-intelligence-make-decisions-addressing"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humanrights.gov.au/our-work/legal/submission/inquiry-risk-posed-australias-democracy-foreign-interference-through" TargetMode="External"/><Relationship Id="rId31" Type="http://schemas.openxmlformats.org/officeDocument/2006/relationships/hyperlink" Target="https://www.esafety.gov.au/industry/safety-by-desig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humanrights.gov.au/our-work/legal/submission/tackling-technology-facilitated-slavery" TargetMode="External"/><Relationship Id="rId27" Type="http://schemas.openxmlformats.org/officeDocument/2006/relationships/hyperlink" Target="https://humanrights.gov.au/human-rights-act-for-australia" TargetMode="External"/><Relationship Id="rId30" Type="http://schemas.openxmlformats.org/officeDocument/2006/relationships/hyperlink" Target="https://futureoflife.org/open-letter/pause-giant-ai-experiments/" TargetMode="External"/><Relationship Id="rId35" Type="http://schemas.openxmlformats.org/officeDocument/2006/relationships/header" Target="header5.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ag.gov.au/rights-and-protections/publications/privacy-act-review-report" TargetMode="External"/><Relationship Id="rId33" Type="http://schemas.openxmlformats.org/officeDocument/2006/relationships/hyperlink" Target="https://www.hrlc.org.au/submissions/2023/3/15/disinformation-inquiry" TargetMode="External"/><Relationship Id="rId38"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esafety.gov.au/industry/safety-by-design" TargetMode="External"/><Relationship Id="rId3" Type="http://schemas.openxmlformats.org/officeDocument/2006/relationships/hyperlink" Target="https://www.aclu.org/news/womens-rights/why-amazons-automated-hiring-tool-discriminated-against" TargetMode="External"/><Relationship Id="rId7" Type="http://schemas.openxmlformats.org/officeDocument/2006/relationships/hyperlink" Target="https://www.aclu.org/news/privacy-technology/algorithms-in-health-care-may-worsen-medical-racism" TargetMode="External"/><Relationship Id="rId12" Type="http://schemas.openxmlformats.org/officeDocument/2006/relationships/hyperlink" Target="https://www.esafety.gov.au/about-us/who-we-are" TargetMode="External"/><Relationship Id="rId2" Type="http://schemas.openxmlformats.org/officeDocument/2006/relationships/hyperlink" Target="https://www.aclu.org/news/womens-rights/why-amazons-automated-hiring-tool-discriminated-against" TargetMode="External"/><Relationship Id="rId1" Type="http://schemas.openxmlformats.org/officeDocument/2006/relationships/hyperlink" Target="https://humanrights.gov.au/our-work/legal/submission/safeguarding-right-privacy-australia" TargetMode="External"/><Relationship Id="rId6" Type="http://schemas.openxmlformats.org/officeDocument/2006/relationships/hyperlink" Target="https://www.aclu.org/news/privacy-technology/algorithms-in-health-care-may-worsen-medical-racism" TargetMode="External"/><Relationship Id="rId11" Type="http://schemas.openxmlformats.org/officeDocument/2006/relationships/hyperlink" Target="https://www.esafety.gov.au/industry/safety-by-design/principles-and-background" TargetMode="External"/><Relationship Id="rId5" Type="http://schemas.openxmlformats.org/officeDocument/2006/relationships/hyperlink" Target="https://www.aclu.org/news/privacy-technology/algorithms-in-health-care-may-worsen-medical-racism" TargetMode="External"/><Relationship Id="rId10" Type="http://schemas.openxmlformats.org/officeDocument/2006/relationships/hyperlink" Target="https://www.esafety.gov.au/industry/safety-by-design/principles-and-background" TargetMode="External"/><Relationship Id="rId4" Type="http://schemas.openxmlformats.org/officeDocument/2006/relationships/hyperlink" Target="https://www.aclu.org/news/womens-rights/why-amazons-automated-hiring-tool-discriminated-against" TargetMode="External"/><Relationship Id="rId9" Type="http://schemas.openxmlformats.org/officeDocument/2006/relationships/hyperlink" Target="https://www.esafety.gov.au/industry/safety-by-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8" ma:contentTypeDescription="Create a new document." ma:contentTypeScope="" ma:versionID="994830597f462adefc1f596272a9f3e4">
  <xsd:schema xmlns:xsd="http://www.w3.org/2001/XMLSchema" xmlns:xs="http://www.w3.org/2001/XMLSchema" xmlns:p="http://schemas.microsoft.com/office/2006/metadata/properties" xmlns:ns2="6500fe01-343b-4fb9-a1b0-68ac19d62e01" xmlns:ns3="dcf9cf1c-9180-40ad-b26b-60fa0a0503fc" targetNamespace="http://schemas.microsoft.com/office/2006/metadata/properties" ma:root="true" ma:fieldsID="4361226c1304f6d7d65b8bca658952ac" ns2:_="" ns3:_="">
    <xsd:import namespace="6500fe01-343b-4fb9-a1b0-68ac19d62e01"/>
    <xsd:import namespace="dcf9cf1c-9180-40ad-b26b-60fa0a0503fc"/>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WCE3WTZKT7T4-154947539-82</_dlc_DocId>
    <_dlc_DocIdUrl xmlns="6500fe01-343b-4fb9-a1b0-68ac19d62e01">
      <Url>https://australianhrc.sharepoint.com/sites/HumanRightsScrutiny/_layouts/15/DocIdRedir.aspx?ID=WCE3WTZKT7T4-154947539-82</Url>
      <Description>WCE3WTZKT7T4-154947539-82</Description>
    </_dlc_DocIdUrl>
    <Divider xmlns="6500fe01-343b-4fb9-a1b0-68ac19d62e01"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61290-26FD-4C95-9EF9-D8490C276FF6}">
  <ds:schemaRefs>
    <ds:schemaRef ds:uri="Microsoft.SharePoint.Taxonomy.ContentTypeSync"/>
  </ds:schemaRefs>
</ds:datastoreItem>
</file>

<file path=customXml/itemProps2.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3.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4.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5.xml><?xml version="1.0" encoding="utf-8"?>
<ds:datastoreItem xmlns:ds="http://schemas.openxmlformats.org/officeDocument/2006/customXml" ds:itemID="{587E6DE1-B464-4F25-A7EC-86BC7D24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234E28-B345-4108-8EB3-981E9AB2F75F}">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6500fe01-343b-4fb9-a1b0-68ac19d62e01"/>
    <ds:schemaRef ds:uri="http://schemas.openxmlformats.org/package/2006/metadata/core-properties"/>
    <ds:schemaRef ds:uri="dcf9cf1c-9180-40ad-b26b-60fa0a0503fc"/>
    <ds:schemaRef ds:uri="http://purl.org/dc/dcmitype/"/>
  </ds:schemaRefs>
</ds:datastoreItem>
</file>

<file path=customXml/itemProps7.xml><?xml version="1.0" encoding="utf-8"?>
<ds:datastoreItem xmlns:ds="http://schemas.openxmlformats.org/officeDocument/2006/customXml" ds:itemID="{B034F6BE-1A64-4A1C-92AD-238F0159A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Submission.dotx</Template>
  <TotalTime>201</TotalTime>
  <Pages>28</Pages>
  <Words>6561</Words>
  <Characters>39924</Characters>
  <Application>Microsoft Office Word</Application>
  <DocSecurity>0</DocSecurity>
  <Lines>332</Lines>
  <Paragraphs>92</Paragraphs>
  <ScaleCrop>false</ScaleCrop>
  <Company>Human Rights and Equal Opportunity Commission</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dc:description/>
  <cp:lastModifiedBy>Patrick Hooton</cp:lastModifiedBy>
  <cp:revision>2010</cp:revision>
  <cp:lastPrinted>2023-04-05T16:26:00Z</cp:lastPrinted>
  <dcterms:created xsi:type="dcterms:W3CDTF">2022-08-03T20:15:00Z</dcterms:created>
  <dcterms:modified xsi:type="dcterms:W3CDTF">2023-04-29T22:07:00Z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58f07d7a-23a7-4be3-b5c9-ea8a2e2c797f</vt:lpwstr>
  </property>
  <property fmtid="{D5CDD505-2E9C-101B-9397-08002B2CF9AE}" pid="4" name="TaxKeyword">
    <vt:lpwstr/>
  </property>
</Properties>
</file>