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7234" w14:textId="793CE58B" w:rsidR="00246E08" w:rsidRPr="00246E08" w:rsidRDefault="00D31654" w:rsidP="00561BD4">
      <w:pPr>
        <w:pStyle w:val="MainTitle"/>
        <w:jc w:val="left"/>
      </w:pPr>
      <w:r>
        <w:t>Safeguarding</w:t>
      </w:r>
      <w:r w:rsidR="00F25619">
        <w:t xml:space="preserve"> t</w:t>
      </w:r>
      <w:r w:rsidR="006D5D56">
        <w:t>he right to privacy</w:t>
      </w:r>
      <w:r w:rsidR="00F25619">
        <w:t xml:space="preserve"> in Australia</w:t>
      </w:r>
    </w:p>
    <w:p w14:paraId="19A51A87" w14:textId="77777777" w:rsidR="00817C73" w:rsidRDefault="00817C73" w:rsidP="00561BD4">
      <w:pPr>
        <w:pStyle w:val="Subtitle"/>
        <w:jc w:val="left"/>
      </w:pPr>
      <w:bookmarkStart w:id="0" w:name="_Toc515873204"/>
      <w:bookmarkStart w:id="1" w:name="_Toc123891567"/>
      <w:bookmarkStart w:id="2" w:name="_Toc124238572"/>
      <w:bookmarkStart w:id="3" w:name="_Toc126216742"/>
      <w:bookmarkStart w:id="4" w:name="_Toc126220103"/>
      <w:bookmarkStart w:id="5" w:name="_Toc127873762"/>
      <w:bookmarkStart w:id="6" w:name="_Toc128491662"/>
      <w:bookmarkStart w:id="7" w:name="_Toc128748690"/>
      <w:bookmarkStart w:id="8" w:name="_Toc129249580"/>
      <w:bookmarkStart w:id="9" w:name="_Toc129516122"/>
      <w:bookmarkStart w:id="10" w:name="_Toc130043355"/>
      <w:bookmarkStart w:id="11" w:name="_Toc130043400"/>
      <w:bookmarkStart w:id="12" w:name="_Toc130221920"/>
      <w:bookmarkStart w:id="13" w:name="_Toc130728275"/>
      <w:bookmarkStart w:id="14" w:name="_Toc131585347"/>
      <w:r>
        <w:t>Australian Human Rights Commission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6DF766BC" w14:textId="045E96E7" w:rsidR="00817C73" w:rsidRDefault="00817C73" w:rsidP="00561BD4">
      <w:pPr>
        <w:pStyle w:val="Subtitle"/>
        <w:jc w:val="left"/>
      </w:pPr>
      <w:bookmarkStart w:id="15" w:name="_Toc127873763"/>
      <w:bookmarkStart w:id="16" w:name="_Toc128491663"/>
      <w:bookmarkStart w:id="17" w:name="_Toc128748691"/>
      <w:bookmarkStart w:id="18" w:name="_Toc129249581"/>
      <w:bookmarkStart w:id="19" w:name="_Toc129516123"/>
      <w:bookmarkStart w:id="20" w:name="_Toc130043356"/>
      <w:bookmarkStart w:id="21" w:name="_Toc130043401"/>
      <w:bookmarkStart w:id="22" w:name="_Toc130221921"/>
      <w:bookmarkStart w:id="23" w:name="_Toc130728276"/>
      <w:bookmarkStart w:id="24" w:name="_Toc131585348"/>
      <w:bookmarkStart w:id="25" w:name="_Toc515873205"/>
      <w:bookmarkStart w:id="26" w:name="_Toc123891568"/>
      <w:bookmarkStart w:id="27" w:name="_Toc124238573"/>
      <w:bookmarkStart w:id="28" w:name="_Toc126216743"/>
      <w:bookmarkStart w:id="29" w:name="_Toc126220104"/>
      <w:r>
        <w:t>Submission to</w:t>
      </w:r>
      <w:bookmarkEnd w:id="15"/>
      <w:bookmarkEnd w:id="16"/>
      <w:bookmarkEnd w:id="17"/>
      <w:bookmarkEnd w:id="18"/>
      <w:bookmarkEnd w:id="19"/>
      <w:r w:rsidR="00D31654">
        <w:t xml:space="preserve"> Attorney-General’s Department </w:t>
      </w:r>
      <w:r w:rsidR="00E306D9">
        <w:t>Privacy Act Review Report 2022</w:t>
      </w:r>
      <w:bookmarkEnd w:id="20"/>
      <w:bookmarkEnd w:id="21"/>
      <w:bookmarkEnd w:id="22"/>
      <w:bookmarkEnd w:id="23"/>
      <w:bookmarkEnd w:id="24"/>
      <w:r>
        <w:t xml:space="preserve"> </w:t>
      </w:r>
      <w:bookmarkEnd w:id="25"/>
      <w:bookmarkEnd w:id="26"/>
      <w:bookmarkEnd w:id="27"/>
      <w:bookmarkEnd w:id="28"/>
      <w:bookmarkEnd w:id="29"/>
    </w:p>
    <w:p w14:paraId="472D3541" w14:textId="78CB8657" w:rsidR="00F220A5" w:rsidRPr="00817C73" w:rsidRDefault="00013094" w:rsidP="00561BD4">
      <w:pPr>
        <w:pStyle w:val="Date"/>
        <w:jc w:val="left"/>
      </w:pPr>
      <w:r w:rsidRPr="003B14B5">
        <w:t>05</w:t>
      </w:r>
      <w:r w:rsidR="00E56919" w:rsidRPr="003B14B5">
        <w:t xml:space="preserve"> </w:t>
      </w:r>
      <w:r w:rsidR="00A47A2A" w:rsidRPr="003B14B5">
        <w:t>April</w:t>
      </w:r>
      <w:r w:rsidR="00F06D22" w:rsidRPr="003B14B5">
        <w:t xml:space="preserve"> 202</w:t>
      </w:r>
      <w:r w:rsidR="002B19B4" w:rsidRPr="003B14B5">
        <w:t>3</w:t>
      </w:r>
    </w:p>
    <w:p w14:paraId="2C60DB4D" w14:textId="77777777" w:rsidR="00AC636D" w:rsidRDefault="00AC636D" w:rsidP="00561BD4"/>
    <w:p w14:paraId="1AC9E6E7" w14:textId="77777777" w:rsidR="009E4BD0" w:rsidRPr="00AC636D" w:rsidRDefault="009E4BD0" w:rsidP="00561BD4">
      <w:pPr>
        <w:sectPr w:rsidR="009E4BD0" w:rsidRPr="00AC636D" w:rsidSect="00AC636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2"/>
          <w:cols w:space="708"/>
          <w:titlePg/>
          <w:docGrid w:linePitch="360"/>
        </w:sectPr>
      </w:pPr>
    </w:p>
    <w:p w14:paraId="1AB1CD34" w14:textId="77777777" w:rsidR="001951B5" w:rsidRDefault="000B5B68" w:rsidP="00561BD4">
      <w:pPr>
        <w:pStyle w:val="TOC1"/>
      </w:pPr>
      <w:bookmarkStart w:id="30" w:name="_Toc209316062"/>
      <w:bookmarkEnd w:id="30"/>
      <w:r>
        <w:lastRenderedPageBreak/>
        <w:t>Contents</w:t>
      </w:r>
      <w:r w:rsidRPr="000465F1">
        <w:fldChar w:fldCharType="begin"/>
      </w:r>
      <w:r>
        <w:instrText xml:space="preserve"> TOC \o "1-3" \h \z \u </w:instrText>
      </w:r>
      <w:r w:rsidRPr="000465F1">
        <w:fldChar w:fldCharType="separate"/>
      </w:r>
    </w:p>
    <w:p w14:paraId="1336C1BD" w14:textId="5E86A392" w:rsidR="001951B5" w:rsidRDefault="00000000">
      <w:pPr>
        <w:pStyle w:val="TOC1"/>
        <w:rPr>
          <w:rFonts w:asciiTheme="minorHAnsi" w:eastAsiaTheme="minorEastAsia" w:hAnsiTheme="minorHAnsi" w:cstheme="minorBidi"/>
          <w:b w:val="0"/>
          <w:sz w:val="22"/>
          <w:szCs w:val="22"/>
        </w:rPr>
      </w:pPr>
      <w:hyperlink w:anchor="_Toc131585349" w:history="1">
        <w:r w:rsidR="001951B5" w:rsidRPr="001123A4">
          <w:rPr>
            <w:rStyle w:val="Hyperlink"/>
          </w:rPr>
          <w:t>1</w:t>
        </w:r>
        <w:r w:rsidR="001951B5">
          <w:rPr>
            <w:rFonts w:asciiTheme="minorHAnsi" w:eastAsiaTheme="minorEastAsia" w:hAnsiTheme="minorHAnsi" w:cstheme="minorBidi"/>
            <w:b w:val="0"/>
            <w:sz w:val="22"/>
            <w:szCs w:val="22"/>
          </w:rPr>
          <w:tab/>
        </w:r>
        <w:r w:rsidR="001951B5" w:rsidRPr="001123A4">
          <w:rPr>
            <w:rStyle w:val="Hyperlink"/>
          </w:rPr>
          <w:t>Introduction</w:t>
        </w:r>
        <w:r w:rsidR="001951B5">
          <w:rPr>
            <w:webHidden/>
          </w:rPr>
          <w:tab/>
        </w:r>
        <w:r w:rsidR="001951B5">
          <w:rPr>
            <w:webHidden/>
          </w:rPr>
          <w:fldChar w:fldCharType="begin"/>
        </w:r>
        <w:r w:rsidR="001951B5">
          <w:rPr>
            <w:webHidden/>
          </w:rPr>
          <w:instrText xml:space="preserve"> PAGEREF _Toc131585349 \h </w:instrText>
        </w:r>
        <w:r w:rsidR="001951B5">
          <w:rPr>
            <w:webHidden/>
          </w:rPr>
        </w:r>
        <w:r w:rsidR="001951B5">
          <w:rPr>
            <w:webHidden/>
          </w:rPr>
          <w:fldChar w:fldCharType="separate"/>
        </w:r>
        <w:r w:rsidR="00A40881">
          <w:rPr>
            <w:webHidden/>
          </w:rPr>
          <w:t>4</w:t>
        </w:r>
        <w:r w:rsidR="001951B5">
          <w:rPr>
            <w:webHidden/>
          </w:rPr>
          <w:fldChar w:fldCharType="end"/>
        </w:r>
      </w:hyperlink>
    </w:p>
    <w:p w14:paraId="36B31CD8" w14:textId="405CA365" w:rsidR="001951B5" w:rsidRDefault="00000000">
      <w:pPr>
        <w:pStyle w:val="TOC1"/>
        <w:rPr>
          <w:rFonts w:asciiTheme="minorHAnsi" w:eastAsiaTheme="minorEastAsia" w:hAnsiTheme="minorHAnsi" w:cstheme="minorBidi"/>
          <w:b w:val="0"/>
          <w:sz w:val="22"/>
          <w:szCs w:val="22"/>
        </w:rPr>
      </w:pPr>
      <w:hyperlink w:anchor="_Toc131585350" w:history="1">
        <w:r w:rsidR="001951B5" w:rsidRPr="001123A4">
          <w:rPr>
            <w:rStyle w:val="Hyperlink"/>
          </w:rPr>
          <w:t>2</w:t>
        </w:r>
        <w:r w:rsidR="001951B5">
          <w:rPr>
            <w:rFonts w:asciiTheme="minorHAnsi" w:eastAsiaTheme="minorEastAsia" w:hAnsiTheme="minorHAnsi" w:cstheme="minorBidi"/>
            <w:b w:val="0"/>
            <w:sz w:val="22"/>
            <w:szCs w:val="22"/>
          </w:rPr>
          <w:tab/>
        </w:r>
        <w:r w:rsidR="001951B5" w:rsidRPr="001123A4">
          <w:rPr>
            <w:rStyle w:val="Hyperlink"/>
          </w:rPr>
          <w:t>Proposal 3.1</w:t>
        </w:r>
        <w:r w:rsidR="001951B5">
          <w:rPr>
            <w:webHidden/>
          </w:rPr>
          <w:tab/>
        </w:r>
        <w:r w:rsidR="001951B5">
          <w:rPr>
            <w:webHidden/>
          </w:rPr>
          <w:fldChar w:fldCharType="begin"/>
        </w:r>
        <w:r w:rsidR="001951B5">
          <w:rPr>
            <w:webHidden/>
          </w:rPr>
          <w:instrText xml:space="preserve"> PAGEREF _Toc131585350 \h </w:instrText>
        </w:r>
        <w:r w:rsidR="001951B5">
          <w:rPr>
            <w:webHidden/>
          </w:rPr>
        </w:r>
        <w:r w:rsidR="001951B5">
          <w:rPr>
            <w:webHidden/>
          </w:rPr>
          <w:fldChar w:fldCharType="separate"/>
        </w:r>
        <w:r w:rsidR="00A40881">
          <w:rPr>
            <w:webHidden/>
          </w:rPr>
          <w:t>5</w:t>
        </w:r>
        <w:r w:rsidR="001951B5">
          <w:rPr>
            <w:webHidden/>
          </w:rPr>
          <w:fldChar w:fldCharType="end"/>
        </w:r>
      </w:hyperlink>
    </w:p>
    <w:p w14:paraId="10665241" w14:textId="255C5EDD" w:rsidR="001951B5" w:rsidRDefault="00000000">
      <w:pPr>
        <w:pStyle w:val="TOC2"/>
        <w:rPr>
          <w:rFonts w:asciiTheme="minorHAnsi" w:eastAsiaTheme="minorEastAsia" w:hAnsiTheme="minorHAnsi" w:cstheme="minorBidi"/>
          <w:b w:val="0"/>
          <w:i w:val="0"/>
          <w:sz w:val="22"/>
          <w:szCs w:val="22"/>
        </w:rPr>
      </w:pPr>
      <w:hyperlink w:anchor="_Toc131585351" w:history="1">
        <w:r w:rsidR="001951B5" w:rsidRPr="001123A4">
          <w:rPr>
            <w:rStyle w:val="Hyperlink"/>
          </w:rPr>
          <w:t>2.1</w:t>
        </w:r>
        <w:r w:rsidR="001951B5">
          <w:rPr>
            <w:rFonts w:asciiTheme="minorHAnsi" w:eastAsiaTheme="minorEastAsia" w:hAnsiTheme="minorHAnsi" w:cstheme="minorBidi"/>
            <w:b w:val="0"/>
            <w:i w:val="0"/>
            <w:sz w:val="22"/>
            <w:szCs w:val="22"/>
          </w:rPr>
          <w:tab/>
        </w:r>
        <w:r w:rsidR="001951B5" w:rsidRPr="001123A4">
          <w:rPr>
            <w:rStyle w:val="Hyperlink"/>
          </w:rPr>
          <w:t>Privacy in the 21</w:t>
        </w:r>
        <w:r w:rsidR="001951B5" w:rsidRPr="001123A4">
          <w:rPr>
            <w:rStyle w:val="Hyperlink"/>
            <w:vertAlign w:val="superscript"/>
          </w:rPr>
          <w:t>st</w:t>
        </w:r>
        <w:r w:rsidR="001951B5" w:rsidRPr="001123A4">
          <w:rPr>
            <w:rStyle w:val="Hyperlink"/>
          </w:rPr>
          <w:t xml:space="preserve"> century</w:t>
        </w:r>
        <w:r w:rsidR="001951B5">
          <w:rPr>
            <w:webHidden/>
          </w:rPr>
          <w:tab/>
        </w:r>
        <w:r w:rsidR="001951B5">
          <w:rPr>
            <w:webHidden/>
          </w:rPr>
          <w:fldChar w:fldCharType="begin"/>
        </w:r>
        <w:r w:rsidR="001951B5">
          <w:rPr>
            <w:webHidden/>
          </w:rPr>
          <w:instrText xml:space="preserve"> PAGEREF _Toc131585351 \h </w:instrText>
        </w:r>
        <w:r w:rsidR="001951B5">
          <w:rPr>
            <w:webHidden/>
          </w:rPr>
        </w:r>
        <w:r w:rsidR="001951B5">
          <w:rPr>
            <w:webHidden/>
          </w:rPr>
          <w:fldChar w:fldCharType="separate"/>
        </w:r>
        <w:r w:rsidR="00A40881">
          <w:rPr>
            <w:webHidden/>
          </w:rPr>
          <w:t>6</w:t>
        </w:r>
        <w:r w:rsidR="001951B5">
          <w:rPr>
            <w:webHidden/>
          </w:rPr>
          <w:fldChar w:fldCharType="end"/>
        </w:r>
      </w:hyperlink>
    </w:p>
    <w:p w14:paraId="406E3B8A" w14:textId="7649E5C0" w:rsidR="001951B5" w:rsidRDefault="00000000">
      <w:pPr>
        <w:pStyle w:val="TOC2"/>
        <w:rPr>
          <w:rFonts w:asciiTheme="minorHAnsi" w:eastAsiaTheme="minorEastAsia" w:hAnsiTheme="minorHAnsi" w:cstheme="minorBidi"/>
          <w:b w:val="0"/>
          <w:i w:val="0"/>
          <w:sz w:val="22"/>
          <w:szCs w:val="22"/>
        </w:rPr>
      </w:pPr>
      <w:hyperlink w:anchor="_Toc131585352" w:history="1">
        <w:r w:rsidR="001951B5" w:rsidRPr="001123A4">
          <w:rPr>
            <w:rStyle w:val="Hyperlink"/>
          </w:rPr>
          <w:t>2.2</w:t>
        </w:r>
        <w:r w:rsidR="001951B5">
          <w:rPr>
            <w:rFonts w:asciiTheme="minorHAnsi" w:eastAsiaTheme="minorEastAsia" w:hAnsiTheme="minorHAnsi" w:cstheme="minorBidi"/>
            <w:b w:val="0"/>
            <w:i w:val="0"/>
            <w:sz w:val="22"/>
            <w:szCs w:val="22"/>
          </w:rPr>
          <w:tab/>
        </w:r>
        <w:r w:rsidR="001951B5" w:rsidRPr="001123A4">
          <w:rPr>
            <w:rStyle w:val="Hyperlink"/>
          </w:rPr>
          <w:t>A Human Rights Act for Australia</w:t>
        </w:r>
        <w:r w:rsidR="001951B5">
          <w:rPr>
            <w:webHidden/>
          </w:rPr>
          <w:tab/>
        </w:r>
        <w:r w:rsidR="001951B5">
          <w:rPr>
            <w:webHidden/>
          </w:rPr>
          <w:fldChar w:fldCharType="begin"/>
        </w:r>
        <w:r w:rsidR="001951B5">
          <w:rPr>
            <w:webHidden/>
          </w:rPr>
          <w:instrText xml:space="preserve"> PAGEREF _Toc131585352 \h </w:instrText>
        </w:r>
        <w:r w:rsidR="001951B5">
          <w:rPr>
            <w:webHidden/>
          </w:rPr>
        </w:r>
        <w:r w:rsidR="001951B5">
          <w:rPr>
            <w:webHidden/>
          </w:rPr>
          <w:fldChar w:fldCharType="separate"/>
        </w:r>
        <w:r w:rsidR="00A40881">
          <w:rPr>
            <w:webHidden/>
          </w:rPr>
          <w:t>6</w:t>
        </w:r>
        <w:r w:rsidR="001951B5">
          <w:rPr>
            <w:webHidden/>
          </w:rPr>
          <w:fldChar w:fldCharType="end"/>
        </w:r>
      </w:hyperlink>
    </w:p>
    <w:p w14:paraId="5FEEF240" w14:textId="75DCDE85" w:rsidR="001951B5" w:rsidRDefault="00000000">
      <w:pPr>
        <w:pStyle w:val="TOC1"/>
        <w:rPr>
          <w:rFonts w:asciiTheme="minorHAnsi" w:eastAsiaTheme="minorEastAsia" w:hAnsiTheme="minorHAnsi" w:cstheme="minorBidi"/>
          <w:b w:val="0"/>
          <w:sz w:val="22"/>
          <w:szCs w:val="22"/>
        </w:rPr>
      </w:pPr>
      <w:hyperlink w:anchor="_Toc131585353" w:history="1">
        <w:r w:rsidR="001951B5" w:rsidRPr="001123A4">
          <w:rPr>
            <w:rStyle w:val="Hyperlink"/>
          </w:rPr>
          <w:t>3</w:t>
        </w:r>
        <w:r w:rsidR="001951B5">
          <w:rPr>
            <w:rFonts w:asciiTheme="minorHAnsi" w:eastAsiaTheme="minorEastAsia" w:hAnsiTheme="minorHAnsi" w:cstheme="minorBidi"/>
            <w:b w:val="0"/>
            <w:sz w:val="22"/>
            <w:szCs w:val="22"/>
          </w:rPr>
          <w:tab/>
        </w:r>
        <w:r w:rsidR="001951B5" w:rsidRPr="001123A4">
          <w:rPr>
            <w:rStyle w:val="Hyperlink"/>
          </w:rPr>
          <w:t>Proposal 4.10</w:t>
        </w:r>
        <w:r w:rsidR="001951B5">
          <w:rPr>
            <w:webHidden/>
          </w:rPr>
          <w:tab/>
        </w:r>
        <w:r w:rsidR="001951B5">
          <w:rPr>
            <w:webHidden/>
          </w:rPr>
          <w:fldChar w:fldCharType="begin"/>
        </w:r>
        <w:r w:rsidR="001951B5">
          <w:rPr>
            <w:webHidden/>
          </w:rPr>
          <w:instrText xml:space="preserve"> PAGEREF _Toc131585353 \h </w:instrText>
        </w:r>
        <w:r w:rsidR="001951B5">
          <w:rPr>
            <w:webHidden/>
          </w:rPr>
        </w:r>
        <w:r w:rsidR="001951B5">
          <w:rPr>
            <w:webHidden/>
          </w:rPr>
          <w:fldChar w:fldCharType="separate"/>
        </w:r>
        <w:r w:rsidR="00A40881">
          <w:rPr>
            <w:webHidden/>
          </w:rPr>
          <w:t>9</w:t>
        </w:r>
        <w:r w:rsidR="001951B5">
          <w:rPr>
            <w:webHidden/>
          </w:rPr>
          <w:fldChar w:fldCharType="end"/>
        </w:r>
      </w:hyperlink>
    </w:p>
    <w:p w14:paraId="6CD06846" w14:textId="143D3557" w:rsidR="001951B5" w:rsidRDefault="00000000">
      <w:pPr>
        <w:pStyle w:val="TOC2"/>
        <w:rPr>
          <w:rFonts w:asciiTheme="minorHAnsi" w:eastAsiaTheme="minorEastAsia" w:hAnsiTheme="minorHAnsi" w:cstheme="minorBidi"/>
          <w:b w:val="0"/>
          <w:i w:val="0"/>
          <w:sz w:val="22"/>
          <w:szCs w:val="22"/>
        </w:rPr>
      </w:pPr>
      <w:hyperlink w:anchor="_Toc131585354" w:history="1">
        <w:r w:rsidR="001951B5" w:rsidRPr="001123A4">
          <w:rPr>
            <w:rStyle w:val="Hyperlink"/>
          </w:rPr>
          <w:t>3.1</w:t>
        </w:r>
        <w:r w:rsidR="001951B5">
          <w:rPr>
            <w:rFonts w:asciiTheme="minorHAnsi" w:eastAsiaTheme="minorEastAsia" w:hAnsiTheme="minorHAnsi" w:cstheme="minorBidi"/>
            <w:b w:val="0"/>
            <w:i w:val="0"/>
            <w:sz w:val="22"/>
            <w:szCs w:val="22"/>
          </w:rPr>
          <w:tab/>
        </w:r>
        <w:r w:rsidR="001951B5" w:rsidRPr="001123A4">
          <w:rPr>
            <w:rStyle w:val="Hyperlink"/>
          </w:rPr>
          <w:t>Recognising the sensitivity of location tracking data</w:t>
        </w:r>
        <w:r w:rsidR="001951B5">
          <w:rPr>
            <w:webHidden/>
          </w:rPr>
          <w:tab/>
        </w:r>
        <w:r w:rsidR="001951B5">
          <w:rPr>
            <w:webHidden/>
          </w:rPr>
          <w:fldChar w:fldCharType="begin"/>
        </w:r>
        <w:r w:rsidR="001951B5">
          <w:rPr>
            <w:webHidden/>
          </w:rPr>
          <w:instrText xml:space="preserve"> PAGEREF _Toc131585354 \h </w:instrText>
        </w:r>
        <w:r w:rsidR="001951B5">
          <w:rPr>
            <w:webHidden/>
          </w:rPr>
        </w:r>
        <w:r w:rsidR="001951B5">
          <w:rPr>
            <w:webHidden/>
          </w:rPr>
          <w:fldChar w:fldCharType="separate"/>
        </w:r>
        <w:r w:rsidR="00A40881">
          <w:rPr>
            <w:webHidden/>
          </w:rPr>
          <w:t>9</w:t>
        </w:r>
        <w:r w:rsidR="001951B5">
          <w:rPr>
            <w:webHidden/>
          </w:rPr>
          <w:fldChar w:fldCharType="end"/>
        </w:r>
      </w:hyperlink>
    </w:p>
    <w:p w14:paraId="123D3C45" w14:textId="68533302" w:rsidR="001951B5" w:rsidRDefault="00000000">
      <w:pPr>
        <w:pStyle w:val="TOC1"/>
        <w:rPr>
          <w:rFonts w:asciiTheme="minorHAnsi" w:eastAsiaTheme="minorEastAsia" w:hAnsiTheme="minorHAnsi" w:cstheme="minorBidi"/>
          <w:b w:val="0"/>
          <w:sz w:val="22"/>
          <w:szCs w:val="22"/>
        </w:rPr>
      </w:pPr>
      <w:hyperlink w:anchor="_Toc131585355" w:history="1">
        <w:r w:rsidR="001951B5" w:rsidRPr="001123A4">
          <w:rPr>
            <w:rStyle w:val="Hyperlink"/>
          </w:rPr>
          <w:t>4</w:t>
        </w:r>
        <w:r w:rsidR="001951B5">
          <w:rPr>
            <w:rFonts w:asciiTheme="minorHAnsi" w:eastAsiaTheme="minorEastAsia" w:hAnsiTheme="minorHAnsi" w:cstheme="minorBidi"/>
            <w:b w:val="0"/>
            <w:sz w:val="22"/>
            <w:szCs w:val="22"/>
          </w:rPr>
          <w:tab/>
        </w:r>
        <w:r w:rsidR="001951B5" w:rsidRPr="001123A4">
          <w:rPr>
            <w:rStyle w:val="Hyperlink"/>
          </w:rPr>
          <w:t>Proposal 10.1</w:t>
        </w:r>
        <w:r w:rsidR="001951B5">
          <w:rPr>
            <w:webHidden/>
          </w:rPr>
          <w:tab/>
        </w:r>
        <w:r w:rsidR="001951B5">
          <w:rPr>
            <w:webHidden/>
          </w:rPr>
          <w:fldChar w:fldCharType="begin"/>
        </w:r>
        <w:r w:rsidR="001951B5">
          <w:rPr>
            <w:webHidden/>
          </w:rPr>
          <w:instrText xml:space="preserve"> PAGEREF _Toc131585355 \h </w:instrText>
        </w:r>
        <w:r w:rsidR="001951B5">
          <w:rPr>
            <w:webHidden/>
          </w:rPr>
        </w:r>
        <w:r w:rsidR="001951B5">
          <w:rPr>
            <w:webHidden/>
          </w:rPr>
          <w:fldChar w:fldCharType="separate"/>
        </w:r>
        <w:r w:rsidR="00A40881">
          <w:rPr>
            <w:webHidden/>
          </w:rPr>
          <w:t>10</w:t>
        </w:r>
        <w:r w:rsidR="001951B5">
          <w:rPr>
            <w:webHidden/>
          </w:rPr>
          <w:fldChar w:fldCharType="end"/>
        </w:r>
      </w:hyperlink>
    </w:p>
    <w:p w14:paraId="523DD9D7" w14:textId="4A7B0C51" w:rsidR="001951B5" w:rsidRDefault="00000000">
      <w:pPr>
        <w:pStyle w:val="TOC2"/>
        <w:rPr>
          <w:rFonts w:asciiTheme="minorHAnsi" w:eastAsiaTheme="minorEastAsia" w:hAnsiTheme="minorHAnsi" w:cstheme="minorBidi"/>
          <w:b w:val="0"/>
          <w:i w:val="0"/>
          <w:sz w:val="22"/>
          <w:szCs w:val="22"/>
        </w:rPr>
      </w:pPr>
      <w:hyperlink w:anchor="_Toc131585356" w:history="1">
        <w:r w:rsidR="001951B5" w:rsidRPr="001123A4">
          <w:rPr>
            <w:rStyle w:val="Hyperlink"/>
          </w:rPr>
          <w:t>4.1</w:t>
        </w:r>
        <w:r w:rsidR="001951B5">
          <w:rPr>
            <w:rFonts w:asciiTheme="minorHAnsi" w:eastAsiaTheme="minorEastAsia" w:hAnsiTheme="minorHAnsi" w:cstheme="minorBidi"/>
            <w:b w:val="0"/>
            <w:i w:val="0"/>
            <w:sz w:val="22"/>
            <w:szCs w:val="22"/>
          </w:rPr>
          <w:tab/>
        </w:r>
        <w:r w:rsidR="001951B5" w:rsidRPr="001123A4">
          <w:rPr>
            <w:rStyle w:val="Hyperlink"/>
          </w:rPr>
          <w:t>Onus on individuals</w:t>
        </w:r>
        <w:r w:rsidR="001951B5">
          <w:rPr>
            <w:webHidden/>
          </w:rPr>
          <w:tab/>
        </w:r>
        <w:r w:rsidR="001951B5">
          <w:rPr>
            <w:webHidden/>
          </w:rPr>
          <w:fldChar w:fldCharType="begin"/>
        </w:r>
        <w:r w:rsidR="001951B5">
          <w:rPr>
            <w:webHidden/>
          </w:rPr>
          <w:instrText xml:space="preserve"> PAGEREF _Toc131585356 \h </w:instrText>
        </w:r>
        <w:r w:rsidR="001951B5">
          <w:rPr>
            <w:webHidden/>
          </w:rPr>
        </w:r>
        <w:r w:rsidR="001951B5">
          <w:rPr>
            <w:webHidden/>
          </w:rPr>
          <w:fldChar w:fldCharType="separate"/>
        </w:r>
        <w:r w:rsidR="00A40881">
          <w:rPr>
            <w:webHidden/>
          </w:rPr>
          <w:t>12</w:t>
        </w:r>
        <w:r w:rsidR="001951B5">
          <w:rPr>
            <w:webHidden/>
          </w:rPr>
          <w:fldChar w:fldCharType="end"/>
        </w:r>
      </w:hyperlink>
    </w:p>
    <w:p w14:paraId="29DADE7B" w14:textId="6CFB10DA" w:rsidR="001951B5" w:rsidRDefault="00000000">
      <w:pPr>
        <w:pStyle w:val="TOC1"/>
        <w:rPr>
          <w:rFonts w:asciiTheme="minorHAnsi" w:eastAsiaTheme="minorEastAsia" w:hAnsiTheme="minorHAnsi" w:cstheme="minorBidi"/>
          <w:b w:val="0"/>
          <w:sz w:val="22"/>
          <w:szCs w:val="22"/>
        </w:rPr>
      </w:pPr>
      <w:hyperlink w:anchor="_Toc131585357" w:history="1">
        <w:r w:rsidR="001951B5" w:rsidRPr="001123A4">
          <w:rPr>
            <w:rStyle w:val="Hyperlink"/>
          </w:rPr>
          <w:t>5</w:t>
        </w:r>
        <w:r w:rsidR="001951B5">
          <w:rPr>
            <w:rFonts w:asciiTheme="minorHAnsi" w:eastAsiaTheme="minorEastAsia" w:hAnsiTheme="minorHAnsi" w:cstheme="minorBidi"/>
            <w:b w:val="0"/>
            <w:sz w:val="22"/>
            <w:szCs w:val="22"/>
          </w:rPr>
          <w:tab/>
        </w:r>
        <w:r w:rsidR="001951B5" w:rsidRPr="001123A4">
          <w:rPr>
            <w:rStyle w:val="Hyperlink"/>
          </w:rPr>
          <w:t>Proposal 11.1</w:t>
        </w:r>
        <w:r w:rsidR="001951B5">
          <w:rPr>
            <w:webHidden/>
          </w:rPr>
          <w:tab/>
        </w:r>
        <w:r w:rsidR="001951B5">
          <w:rPr>
            <w:webHidden/>
          </w:rPr>
          <w:fldChar w:fldCharType="begin"/>
        </w:r>
        <w:r w:rsidR="001951B5">
          <w:rPr>
            <w:webHidden/>
          </w:rPr>
          <w:instrText xml:space="preserve"> PAGEREF _Toc131585357 \h </w:instrText>
        </w:r>
        <w:r w:rsidR="001951B5">
          <w:rPr>
            <w:webHidden/>
          </w:rPr>
        </w:r>
        <w:r w:rsidR="001951B5">
          <w:rPr>
            <w:webHidden/>
          </w:rPr>
          <w:fldChar w:fldCharType="separate"/>
        </w:r>
        <w:r w:rsidR="00A40881">
          <w:rPr>
            <w:webHidden/>
          </w:rPr>
          <w:t>14</w:t>
        </w:r>
        <w:r w:rsidR="001951B5">
          <w:rPr>
            <w:webHidden/>
          </w:rPr>
          <w:fldChar w:fldCharType="end"/>
        </w:r>
      </w:hyperlink>
    </w:p>
    <w:p w14:paraId="4C95D233" w14:textId="192541EE" w:rsidR="001951B5" w:rsidRDefault="00000000">
      <w:pPr>
        <w:pStyle w:val="TOC1"/>
        <w:rPr>
          <w:rFonts w:asciiTheme="minorHAnsi" w:eastAsiaTheme="minorEastAsia" w:hAnsiTheme="minorHAnsi" w:cstheme="minorBidi"/>
          <w:b w:val="0"/>
          <w:sz w:val="22"/>
          <w:szCs w:val="22"/>
        </w:rPr>
      </w:pPr>
      <w:hyperlink w:anchor="_Toc131585358" w:history="1">
        <w:r w:rsidR="001951B5" w:rsidRPr="001123A4">
          <w:rPr>
            <w:rStyle w:val="Hyperlink"/>
          </w:rPr>
          <w:t>6</w:t>
        </w:r>
        <w:r w:rsidR="001951B5">
          <w:rPr>
            <w:rFonts w:asciiTheme="minorHAnsi" w:eastAsiaTheme="minorEastAsia" w:hAnsiTheme="minorHAnsi" w:cstheme="minorBidi"/>
            <w:b w:val="0"/>
            <w:sz w:val="22"/>
            <w:szCs w:val="22"/>
          </w:rPr>
          <w:tab/>
        </w:r>
        <w:r w:rsidR="001951B5" w:rsidRPr="001123A4">
          <w:rPr>
            <w:rStyle w:val="Hyperlink"/>
          </w:rPr>
          <w:t>Proposal 13.2</w:t>
        </w:r>
        <w:r w:rsidR="001951B5">
          <w:rPr>
            <w:webHidden/>
          </w:rPr>
          <w:tab/>
        </w:r>
        <w:r w:rsidR="001951B5">
          <w:rPr>
            <w:webHidden/>
          </w:rPr>
          <w:fldChar w:fldCharType="begin"/>
        </w:r>
        <w:r w:rsidR="001951B5">
          <w:rPr>
            <w:webHidden/>
          </w:rPr>
          <w:instrText xml:space="preserve"> PAGEREF _Toc131585358 \h </w:instrText>
        </w:r>
        <w:r w:rsidR="001951B5">
          <w:rPr>
            <w:webHidden/>
          </w:rPr>
        </w:r>
        <w:r w:rsidR="001951B5">
          <w:rPr>
            <w:webHidden/>
          </w:rPr>
          <w:fldChar w:fldCharType="separate"/>
        </w:r>
        <w:r w:rsidR="00A40881">
          <w:rPr>
            <w:webHidden/>
          </w:rPr>
          <w:t>15</w:t>
        </w:r>
        <w:r w:rsidR="001951B5">
          <w:rPr>
            <w:webHidden/>
          </w:rPr>
          <w:fldChar w:fldCharType="end"/>
        </w:r>
      </w:hyperlink>
    </w:p>
    <w:p w14:paraId="2AADCD3D" w14:textId="6C5CA65A" w:rsidR="001951B5" w:rsidRDefault="00000000">
      <w:pPr>
        <w:pStyle w:val="TOC2"/>
        <w:rPr>
          <w:rFonts w:asciiTheme="minorHAnsi" w:eastAsiaTheme="minorEastAsia" w:hAnsiTheme="minorHAnsi" w:cstheme="minorBidi"/>
          <w:b w:val="0"/>
          <w:i w:val="0"/>
          <w:sz w:val="22"/>
          <w:szCs w:val="22"/>
        </w:rPr>
      </w:pPr>
      <w:hyperlink w:anchor="_Toc131585359" w:history="1">
        <w:r w:rsidR="001951B5" w:rsidRPr="001123A4">
          <w:rPr>
            <w:rStyle w:val="Hyperlink"/>
          </w:rPr>
          <w:t>6.1</w:t>
        </w:r>
        <w:r w:rsidR="001951B5">
          <w:rPr>
            <w:rFonts w:asciiTheme="minorHAnsi" w:eastAsiaTheme="minorEastAsia" w:hAnsiTheme="minorHAnsi" w:cstheme="minorBidi"/>
            <w:b w:val="0"/>
            <w:i w:val="0"/>
            <w:sz w:val="22"/>
            <w:szCs w:val="22"/>
          </w:rPr>
          <w:tab/>
        </w:r>
        <w:r w:rsidR="001951B5" w:rsidRPr="001123A4">
          <w:rPr>
            <w:rStyle w:val="Hyperlink"/>
          </w:rPr>
          <w:t>Facial recognition technologies</w:t>
        </w:r>
        <w:r w:rsidR="001951B5">
          <w:rPr>
            <w:webHidden/>
          </w:rPr>
          <w:tab/>
        </w:r>
        <w:r w:rsidR="001951B5">
          <w:rPr>
            <w:webHidden/>
          </w:rPr>
          <w:fldChar w:fldCharType="begin"/>
        </w:r>
        <w:r w:rsidR="001951B5">
          <w:rPr>
            <w:webHidden/>
          </w:rPr>
          <w:instrText xml:space="preserve"> PAGEREF _Toc131585359 \h </w:instrText>
        </w:r>
        <w:r w:rsidR="001951B5">
          <w:rPr>
            <w:webHidden/>
          </w:rPr>
        </w:r>
        <w:r w:rsidR="001951B5">
          <w:rPr>
            <w:webHidden/>
          </w:rPr>
          <w:fldChar w:fldCharType="separate"/>
        </w:r>
        <w:r w:rsidR="00A40881">
          <w:rPr>
            <w:webHidden/>
          </w:rPr>
          <w:t>15</w:t>
        </w:r>
        <w:r w:rsidR="001951B5">
          <w:rPr>
            <w:webHidden/>
          </w:rPr>
          <w:fldChar w:fldCharType="end"/>
        </w:r>
      </w:hyperlink>
    </w:p>
    <w:p w14:paraId="68A76769" w14:textId="33EAD4B0" w:rsidR="001951B5" w:rsidRDefault="00000000">
      <w:pPr>
        <w:pStyle w:val="TOC2"/>
        <w:tabs>
          <w:tab w:val="left" w:pos="1202"/>
        </w:tabs>
        <w:rPr>
          <w:rFonts w:asciiTheme="minorHAnsi" w:eastAsiaTheme="minorEastAsia" w:hAnsiTheme="minorHAnsi" w:cstheme="minorBidi"/>
          <w:b w:val="0"/>
          <w:i w:val="0"/>
          <w:sz w:val="22"/>
          <w:szCs w:val="22"/>
        </w:rPr>
      </w:pPr>
      <w:hyperlink w:anchor="_Toc131585360" w:history="1">
        <w:r w:rsidR="001951B5" w:rsidRPr="001123A4">
          <w:rPr>
            <w:rStyle w:val="Hyperlink"/>
          </w:rPr>
          <w:t>4.1.1</w:t>
        </w:r>
        <w:r w:rsidR="001951B5">
          <w:rPr>
            <w:rFonts w:asciiTheme="minorHAnsi" w:eastAsiaTheme="minorEastAsia" w:hAnsiTheme="minorHAnsi" w:cstheme="minorBidi"/>
            <w:b w:val="0"/>
            <w:i w:val="0"/>
            <w:sz w:val="22"/>
            <w:szCs w:val="22"/>
          </w:rPr>
          <w:tab/>
        </w:r>
        <w:r w:rsidR="001951B5" w:rsidRPr="001123A4">
          <w:rPr>
            <w:rStyle w:val="Hyperlink"/>
          </w:rPr>
          <w:t>The duality of facial recognition technology</w:t>
        </w:r>
        <w:r w:rsidR="001951B5">
          <w:rPr>
            <w:webHidden/>
          </w:rPr>
          <w:tab/>
        </w:r>
        <w:r w:rsidR="001951B5">
          <w:rPr>
            <w:webHidden/>
          </w:rPr>
          <w:fldChar w:fldCharType="begin"/>
        </w:r>
        <w:r w:rsidR="001951B5">
          <w:rPr>
            <w:webHidden/>
          </w:rPr>
          <w:instrText xml:space="preserve"> PAGEREF _Toc131585360 \h </w:instrText>
        </w:r>
        <w:r w:rsidR="001951B5">
          <w:rPr>
            <w:webHidden/>
          </w:rPr>
        </w:r>
        <w:r w:rsidR="001951B5">
          <w:rPr>
            <w:webHidden/>
          </w:rPr>
          <w:fldChar w:fldCharType="separate"/>
        </w:r>
        <w:r w:rsidR="00A40881">
          <w:rPr>
            <w:webHidden/>
          </w:rPr>
          <w:t>16</w:t>
        </w:r>
        <w:r w:rsidR="001951B5">
          <w:rPr>
            <w:webHidden/>
          </w:rPr>
          <w:fldChar w:fldCharType="end"/>
        </w:r>
      </w:hyperlink>
    </w:p>
    <w:p w14:paraId="79372792" w14:textId="16270B1A" w:rsidR="001951B5" w:rsidRDefault="00000000">
      <w:pPr>
        <w:pStyle w:val="TOC2"/>
        <w:tabs>
          <w:tab w:val="left" w:pos="1202"/>
        </w:tabs>
        <w:rPr>
          <w:rFonts w:asciiTheme="minorHAnsi" w:eastAsiaTheme="minorEastAsia" w:hAnsiTheme="minorHAnsi" w:cstheme="minorBidi"/>
          <w:b w:val="0"/>
          <w:i w:val="0"/>
          <w:sz w:val="22"/>
          <w:szCs w:val="22"/>
        </w:rPr>
      </w:pPr>
      <w:hyperlink w:anchor="_Toc131585361" w:history="1">
        <w:r w:rsidR="001951B5" w:rsidRPr="001123A4">
          <w:rPr>
            <w:rStyle w:val="Hyperlink"/>
          </w:rPr>
          <w:t>4.1.2</w:t>
        </w:r>
        <w:r w:rsidR="001951B5">
          <w:rPr>
            <w:rFonts w:asciiTheme="minorHAnsi" w:eastAsiaTheme="minorEastAsia" w:hAnsiTheme="minorHAnsi" w:cstheme="minorBidi"/>
            <w:b w:val="0"/>
            <w:i w:val="0"/>
            <w:sz w:val="22"/>
            <w:szCs w:val="22"/>
          </w:rPr>
          <w:tab/>
        </w:r>
        <w:r w:rsidR="001951B5" w:rsidRPr="001123A4">
          <w:rPr>
            <w:rStyle w:val="Hyperlink"/>
          </w:rPr>
          <w:t>The human rights harms of facial recognition technology</w:t>
        </w:r>
        <w:r w:rsidR="001951B5">
          <w:rPr>
            <w:webHidden/>
          </w:rPr>
          <w:tab/>
        </w:r>
        <w:r w:rsidR="001951B5">
          <w:rPr>
            <w:webHidden/>
          </w:rPr>
          <w:fldChar w:fldCharType="begin"/>
        </w:r>
        <w:r w:rsidR="001951B5">
          <w:rPr>
            <w:webHidden/>
          </w:rPr>
          <w:instrText xml:space="preserve"> PAGEREF _Toc131585361 \h </w:instrText>
        </w:r>
        <w:r w:rsidR="001951B5">
          <w:rPr>
            <w:webHidden/>
          </w:rPr>
        </w:r>
        <w:r w:rsidR="001951B5">
          <w:rPr>
            <w:webHidden/>
          </w:rPr>
          <w:fldChar w:fldCharType="separate"/>
        </w:r>
        <w:r w:rsidR="00A40881">
          <w:rPr>
            <w:webHidden/>
          </w:rPr>
          <w:t>19</w:t>
        </w:r>
        <w:r w:rsidR="001951B5">
          <w:rPr>
            <w:webHidden/>
          </w:rPr>
          <w:fldChar w:fldCharType="end"/>
        </w:r>
      </w:hyperlink>
    </w:p>
    <w:p w14:paraId="53F5F29D" w14:textId="53A7E93E" w:rsidR="001951B5" w:rsidRDefault="00000000">
      <w:pPr>
        <w:pStyle w:val="TOC1"/>
        <w:rPr>
          <w:rFonts w:asciiTheme="minorHAnsi" w:eastAsiaTheme="minorEastAsia" w:hAnsiTheme="minorHAnsi" w:cstheme="minorBidi"/>
          <w:b w:val="0"/>
          <w:sz w:val="22"/>
          <w:szCs w:val="22"/>
        </w:rPr>
      </w:pPr>
      <w:hyperlink w:anchor="_Toc131585362" w:history="1">
        <w:r w:rsidR="001951B5" w:rsidRPr="001123A4">
          <w:rPr>
            <w:rStyle w:val="Hyperlink"/>
          </w:rPr>
          <w:t>7</w:t>
        </w:r>
        <w:r w:rsidR="001951B5">
          <w:rPr>
            <w:rFonts w:asciiTheme="minorHAnsi" w:eastAsiaTheme="minorEastAsia" w:hAnsiTheme="minorHAnsi" w:cstheme="minorBidi"/>
            <w:b w:val="0"/>
            <w:sz w:val="22"/>
            <w:szCs w:val="22"/>
          </w:rPr>
          <w:tab/>
        </w:r>
        <w:r w:rsidR="001951B5" w:rsidRPr="001123A4">
          <w:rPr>
            <w:rStyle w:val="Hyperlink"/>
          </w:rPr>
          <w:t>Proposal 16.1</w:t>
        </w:r>
        <w:r w:rsidR="001951B5">
          <w:rPr>
            <w:webHidden/>
          </w:rPr>
          <w:tab/>
        </w:r>
        <w:r w:rsidR="001951B5">
          <w:rPr>
            <w:webHidden/>
          </w:rPr>
          <w:fldChar w:fldCharType="begin"/>
        </w:r>
        <w:r w:rsidR="001951B5">
          <w:rPr>
            <w:webHidden/>
          </w:rPr>
          <w:instrText xml:space="preserve"> PAGEREF _Toc131585362 \h </w:instrText>
        </w:r>
        <w:r w:rsidR="001951B5">
          <w:rPr>
            <w:webHidden/>
          </w:rPr>
        </w:r>
        <w:r w:rsidR="001951B5">
          <w:rPr>
            <w:webHidden/>
          </w:rPr>
          <w:fldChar w:fldCharType="separate"/>
        </w:r>
        <w:r w:rsidR="00A40881">
          <w:rPr>
            <w:webHidden/>
          </w:rPr>
          <w:t>22</w:t>
        </w:r>
        <w:r w:rsidR="001951B5">
          <w:rPr>
            <w:webHidden/>
          </w:rPr>
          <w:fldChar w:fldCharType="end"/>
        </w:r>
      </w:hyperlink>
    </w:p>
    <w:p w14:paraId="1D696481" w14:textId="387B44E8" w:rsidR="001951B5" w:rsidRDefault="00000000">
      <w:pPr>
        <w:pStyle w:val="TOC2"/>
        <w:rPr>
          <w:rFonts w:asciiTheme="minorHAnsi" w:eastAsiaTheme="minorEastAsia" w:hAnsiTheme="minorHAnsi" w:cstheme="minorBidi"/>
          <w:b w:val="0"/>
          <w:i w:val="0"/>
          <w:sz w:val="22"/>
          <w:szCs w:val="22"/>
        </w:rPr>
      </w:pPr>
      <w:hyperlink w:anchor="_Toc131585363" w:history="1">
        <w:r w:rsidR="001951B5" w:rsidRPr="001123A4">
          <w:rPr>
            <w:rStyle w:val="Hyperlink"/>
          </w:rPr>
          <w:t>7.1</w:t>
        </w:r>
        <w:r w:rsidR="001951B5">
          <w:rPr>
            <w:rFonts w:asciiTheme="minorHAnsi" w:eastAsiaTheme="minorEastAsia" w:hAnsiTheme="minorHAnsi" w:cstheme="minorBidi"/>
            <w:b w:val="0"/>
            <w:i w:val="0"/>
            <w:sz w:val="22"/>
            <w:szCs w:val="22"/>
          </w:rPr>
          <w:tab/>
        </w:r>
        <w:r w:rsidR="001951B5" w:rsidRPr="001123A4">
          <w:rPr>
            <w:rStyle w:val="Hyperlink"/>
          </w:rPr>
          <w:t>Specific risks related to children</w:t>
        </w:r>
        <w:r w:rsidR="001951B5">
          <w:rPr>
            <w:webHidden/>
          </w:rPr>
          <w:tab/>
        </w:r>
        <w:r w:rsidR="001951B5">
          <w:rPr>
            <w:webHidden/>
          </w:rPr>
          <w:fldChar w:fldCharType="begin"/>
        </w:r>
        <w:r w:rsidR="001951B5">
          <w:rPr>
            <w:webHidden/>
          </w:rPr>
          <w:instrText xml:space="preserve"> PAGEREF _Toc131585363 \h </w:instrText>
        </w:r>
        <w:r w:rsidR="001951B5">
          <w:rPr>
            <w:webHidden/>
          </w:rPr>
        </w:r>
        <w:r w:rsidR="001951B5">
          <w:rPr>
            <w:webHidden/>
          </w:rPr>
          <w:fldChar w:fldCharType="separate"/>
        </w:r>
        <w:r w:rsidR="00A40881">
          <w:rPr>
            <w:webHidden/>
          </w:rPr>
          <w:t>24</w:t>
        </w:r>
        <w:r w:rsidR="001951B5">
          <w:rPr>
            <w:webHidden/>
          </w:rPr>
          <w:fldChar w:fldCharType="end"/>
        </w:r>
      </w:hyperlink>
    </w:p>
    <w:p w14:paraId="6F4158D1" w14:textId="21195498" w:rsidR="001951B5" w:rsidRDefault="00000000">
      <w:pPr>
        <w:pStyle w:val="TOC2"/>
        <w:rPr>
          <w:rFonts w:asciiTheme="minorHAnsi" w:eastAsiaTheme="minorEastAsia" w:hAnsiTheme="minorHAnsi" w:cstheme="minorBidi"/>
          <w:b w:val="0"/>
          <w:i w:val="0"/>
          <w:sz w:val="22"/>
          <w:szCs w:val="22"/>
        </w:rPr>
      </w:pPr>
      <w:hyperlink w:anchor="_Toc131585364" w:history="1">
        <w:r w:rsidR="001951B5" w:rsidRPr="001123A4">
          <w:rPr>
            <w:rStyle w:val="Hyperlink"/>
          </w:rPr>
          <w:t>7.2</w:t>
        </w:r>
        <w:r w:rsidR="001951B5">
          <w:rPr>
            <w:rFonts w:asciiTheme="minorHAnsi" w:eastAsiaTheme="minorEastAsia" w:hAnsiTheme="minorHAnsi" w:cstheme="minorBidi"/>
            <w:b w:val="0"/>
            <w:i w:val="0"/>
            <w:sz w:val="22"/>
            <w:szCs w:val="22"/>
          </w:rPr>
          <w:tab/>
        </w:r>
        <w:r w:rsidR="001951B5" w:rsidRPr="001123A4">
          <w:rPr>
            <w:rStyle w:val="Hyperlink"/>
          </w:rPr>
          <w:t>EdTech as a case study for the better protection of children</w:t>
        </w:r>
        <w:r w:rsidR="001951B5">
          <w:rPr>
            <w:webHidden/>
          </w:rPr>
          <w:tab/>
        </w:r>
        <w:r w:rsidR="001951B5">
          <w:rPr>
            <w:webHidden/>
          </w:rPr>
          <w:fldChar w:fldCharType="begin"/>
        </w:r>
        <w:r w:rsidR="001951B5">
          <w:rPr>
            <w:webHidden/>
          </w:rPr>
          <w:instrText xml:space="preserve"> PAGEREF _Toc131585364 \h </w:instrText>
        </w:r>
        <w:r w:rsidR="001951B5">
          <w:rPr>
            <w:webHidden/>
          </w:rPr>
        </w:r>
        <w:r w:rsidR="001951B5">
          <w:rPr>
            <w:webHidden/>
          </w:rPr>
          <w:fldChar w:fldCharType="separate"/>
        </w:r>
        <w:r w:rsidR="00A40881">
          <w:rPr>
            <w:webHidden/>
          </w:rPr>
          <w:t>25</w:t>
        </w:r>
        <w:r w:rsidR="001951B5">
          <w:rPr>
            <w:webHidden/>
          </w:rPr>
          <w:fldChar w:fldCharType="end"/>
        </w:r>
      </w:hyperlink>
    </w:p>
    <w:p w14:paraId="38F92D5B" w14:textId="18E52F21" w:rsidR="001951B5" w:rsidRDefault="00000000">
      <w:pPr>
        <w:pStyle w:val="TOC1"/>
        <w:rPr>
          <w:rFonts w:asciiTheme="minorHAnsi" w:eastAsiaTheme="minorEastAsia" w:hAnsiTheme="minorHAnsi" w:cstheme="minorBidi"/>
          <w:b w:val="0"/>
          <w:sz w:val="22"/>
          <w:szCs w:val="22"/>
        </w:rPr>
      </w:pPr>
      <w:hyperlink w:anchor="_Toc131585365" w:history="1">
        <w:r w:rsidR="001951B5" w:rsidRPr="001123A4">
          <w:rPr>
            <w:rStyle w:val="Hyperlink"/>
          </w:rPr>
          <w:t>8</w:t>
        </w:r>
        <w:r w:rsidR="001951B5">
          <w:rPr>
            <w:rFonts w:asciiTheme="minorHAnsi" w:eastAsiaTheme="minorEastAsia" w:hAnsiTheme="minorHAnsi" w:cstheme="minorBidi"/>
            <w:b w:val="0"/>
            <w:sz w:val="22"/>
            <w:szCs w:val="22"/>
          </w:rPr>
          <w:tab/>
        </w:r>
        <w:r w:rsidR="001951B5" w:rsidRPr="001123A4">
          <w:rPr>
            <w:rStyle w:val="Hyperlink"/>
          </w:rPr>
          <w:t>Paragraph one of Proposal 16.2</w:t>
        </w:r>
        <w:r w:rsidR="001951B5">
          <w:rPr>
            <w:webHidden/>
          </w:rPr>
          <w:tab/>
        </w:r>
        <w:r w:rsidR="001951B5">
          <w:rPr>
            <w:webHidden/>
          </w:rPr>
          <w:fldChar w:fldCharType="begin"/>
        </w:r>
        <w:r w:rsidR="001951B5">
          <w:rPr>
            <w:webHidden/>
          </w:rPr>
          <w:instrText xml:space="preserve"> PAGEREF _Toc131585365 \h </w:instrText>
        </w:r>
        <w:r w:rsidR="001951B5">
          <w:rPr>
            <w:webHidden/>
          </w:rPr>
        </w:r>
        <w:r w:rsidR="001951B5">
          <w:rPr>
            <w:webHidden/>
          </w:rPr>
          <w:fldChar w:fldCharType="separate"/>
        </w:r>
        <w:r w:rsidR="00A40881">
          <w:rPr>
            <w:webHidden/>
          </w:rPr>
          <w:t>27</w:t>
        </w:r>
        <w:r w:rsidR="001951B5">
          <w:rPr>
            <w:webHidden/>
          </w:rPr>
          <w:fldChar w:fldCharType="end"/>
        </w:r>
      </w:hyperlink>
    </w:p>
    <w:p w14:paraId="4A4DD765" w14:textId="61CCA654" w:rsidR="001951B5" w:rsidRDefault="00000000">
      <w:pPr>
        <w:pStyle w:val="TOC1"/>
        <w:rPr>
          <w:rFonts w:asciiTheme="minorHAnsi" w:eastAsiaTheme="minorEastAsia" w:hAnsiTheme="minorHAnsi" w:cstheme="minorBidi"/>
          <w:b w:val="0"/>
          <w:sz w:val="22"/>
          <w:szCs w:val="22"/>
        </w:rPr>
      </w:pPr>
      <w:hyperlink w:anchor="_Toc131585366" w:history="1">
        <w:r w:rsidR="001951B5" w:rsidRPr="001123A4">
          <w:rPr>
            <w:rStyle w:val="Hyperlink"/>
          </w:rPr>
          <w:t>9</w:t>
        </w:r>
        <w:r w:rsidR="001951B5">
          <w:rPr>
            <w:rFonts w:asciiTheme="minorHAnsi" w:eastAsiaTheme="minorEastAsia" w:hAnsiTheme="minorHAnsi" w:cstheme="minorBidi"/>
            <w:b w:val="0"/>
            <w:sz w:val="22"/>
            <w:szCs w:val="22"/>
          </w:rPr>
          <w:tab/>
        </w:r>
        <w:r w:rsidR="001951B5" w:rsidRPr="001123A4">
          <w:rPr>
            <w:rStyle w:val="Hyperlink"/>
          </w:rPr>
          <w:t>Proposal 16.3</w:t>
        </w:r>
        <w:r w:rsidR="001951B5">
          <w:rPr>
            <w:webHidden/>
          </w:rPr>
          <w:tab/>
        </w:r>
        <w:r w:rsidR="001951B5">
          <w:rPr>
            <w:webHidden/>
          </w:rPr>
          <w:fldChar w:fldCharType="begin"/>
        </w:r>
        <w:r w:rsidR="001951B5">
          <w:rPr>
            <w:webHidden/>
          </w:rPr>
          <w:instrText xml:space="preserve"> PAGEREF _Toc131585366 \h </w:instrText>
        </w:r>
        <w:r w:rsidR="001951B5">
          <w:rPr>
            <w:webHidden/>
          </w:rPr>
        </w:r>
        <w:r w:rsidR="001951B5">
          <w:rPr>
            <w:webHidden/>
          </w:rPr>
          <w:fldChar w:fldCharType="separate"/>
        </w:r>
        <w:r w:rsidR="00A40881">
          <w:rPr>
            <w:webHidden/>
          </w:rPr>
          <w:t>27</w:t>
        </w:r>
        <w:r w:rsidR="001951B5">
          <w:rPr>
            <w:webHidden/>
          </w:rPr>
          <w:fldChar w:fldCharType="end"/>
        </w:r>
      </w:hyperlink>
    </w:p>
    <w:p w14:paraId="274D27A4" w14:textId="77875472" w:rsidR="001951B5" w:rsidRDefault="00000000">
      <w:pPr>
        <w:pStyle w:val="TOC1"/>
        <w:rPr>
          <w:rFonts w:asciiTheme="minorHAnsi" w:eastAsiaTheme="minorEastAsia" w:hAnsiTheme="minorHAnsi" w:cstheme="minorBidi"/>
          <w:b w:val="0"/>
          <w:sz w:val="22"/>
          <w:szCs w:val="22"/>
        </w:rPr>
      </w:pPr>
      <w:hyperlink w:anchor="_Toc131585367" w:history="1">
        <w:r w:rsidR="001951B5" w:rsidRPr="001123A4">
          <w:rPr>
            <w:rStyle w:val="Hyperlink"/>
          </w:rPr>
          <w:t>10</w:t>
        </w:r>
        <w:r w:rsidR="001951B5">
          <w:rPr>
            <w:rFonts w:asciiTheme="minorHAnsi" w:eastAsiaTheme="minorEastAsia" w:hAnsiTheme="minorHAnsi" w:cstheme="minorBidi"/>
            <w:b w:val="0"/>
            <w:sz w:val="22"/>
            <w:szCs w:val="22"/>
          </w:rPr>
          <w:tab/>
        </w:r>
        <w:r w:rsidR="001951B5" w:rsidRPr="001123A4">
          <w:rPr>
            <w:rStyle w:val="Hyperlink"/>
          </w:rPr>
          <w:t>Proposal 16.4</w:t>
        </w:r>
        <w:r w:rsidR="001951B5">
          <w:rPr>
            <w:webHidden/>
          </w:rPr>
          <w:tab/>
        </w:r>
        <w:r w:rsidR="001951B5">
          <w:rPr>
            <w:webHidden/>
          </w:rPr>
          <w:fldChar w:fldCharType="begin"/>
        </w:r>
        <w:r w:rsidR="001951B5">
          <w:rPr>
            <w:webHidden/>
          </w:rPr>
          <w:instrText xml:space="preserve"> PAGEREF _Toc131585367 \h </w:instrText>
        </w:r>
        <w:r w:rsidR="001951B5">
          <w:rPr>
            <w:webHidden/>
          </w:rPr>
        </w:r>
        <w:r w:rsidR="001951B5">
          <w:rPr>
            <w:webHidden/>
          </w:rPr>
          <w:fldChar w:fldCharType="separate"/>
        </w:r>
        <w:r w:rsidR="00A40881">
          <w:rPr>
            <w:webHidden/>
          </w:rPr>
          <w:t>30</w:t>
        </w:r>
        <w:r w:rsidR="001951B5">
          <w:rPr>
            <w:webHidden/>
          </w:rPr>
          <w:fldChar w:fldCharType="end"/>
        </w:r>
      </w:hyperlink>
    </w:p>
    <w:p w14:paraId="55F69246" w14:textId="5B8EDE66" w:rsidR="001951B5" w:rsidRDefault="00000000">
      <w:pPr>
        <w:pStyle w:val="TOC1"/>
        <w:rPr>
          <w:rFonts w:asciiTheme="minorHAnsi" w:eastAsiaTheme="minorEastAsia" w:hAnsiTheme="minorHAnsi" w:cstheme="minorBidi"/>
          <w:b w:val="0"/>
          <w:sz w:val="22"/>
          <w:szCs w:val="22"/>
        </w:rPr>
      </w:pPr>
      <w:hyperlink w:anchor="_Toc131585368" w:history="1">
        <w:r w:rsidR="001951B5" w:rsidRPr="001123A4">
          <w:rPr>
            <w:rStyle w:val="Hyperlink"/>
          </w:rPr>
          <w:t>11</w:t>
        </w:r>
        <w:r w:rsidR="001951B5">
          <w:rPr>
            <w:rFonts w:asciiTheme="minorHAnsi" w:eastAsiaTheme="minorEastAsia" w:hAnsiTheme="minorHAnsi" w:cstheme="minorBidi"/>
            <w:b w:val="0"/>
            <w:sz w:val="22"/>
            <w:szCs w:val="22"/>
          </w:rPr>
          <w:tab/>
        </w:r>
        <w:r w:rsidR="001951B5" w:rsidRPr="001123A4">
          <w:rPr>
            <w:rStyle w:val="Hyperlink"/>
          </w:rPr>
          <w:t>Proposal 16.5</w:t>
        </w:r>
        <w:r w:rsidR="001951B5">
          <w:rPr>
            <w:webHidden/>
          </w:rPr>
          <w:tab/>
        </w:r>
        <w:r w:rsidR="001951B5">
          <w:rPr>
            <w:webHidden/>
          </w:rPr>
          <w:fldChar w:fldCharType="begin"/>
        </w:r>
        <w:r w:rsidR="001951B5">
          <w:rPr>
            <w:webHidden/>
          </w:rPr>
          <w:instrText xml:space="preserve"> PAGEREF _Toc131585368 \h </w:instrText>
        </w:r>
        <w:r w:rsidR="001951B5">
          <w:rPr>
            <w:webHidden/>
          </w:rPr>
        </w:r>
        <w:r w:rsidR="001951B5">
          <w:rPr>
            <w:webHidden/>
          </w:rPr>
          <w:fldChar w:fldCharType="separate"/>
        </w:r>
        <w:r w:rsidR="00A40881">
          <w:rPr>
            <w:webHidden/>
          </w:rPr>
          <w:t>32</w:t>
        </w:r>
        <w:r w:rsidR="001951B5">
          <w:rPr>
            <w:webHidden/>
          </w:rPr>
          <w:fldChar w:fldCharType="end"/>
        </w:r>
      </w:hyperlink>
    </w:p>
    <w:p w14:paraId="6F565D25" w14:textId="21D05BFE" w:rsidR="001951B5" w:rsidRDefault="00000000">
      <w:pPr>
        <w:pStyle w:val="TOC1"/>
        <w:rPr>
          <w:rFonts w:asciiTheme="minorHAnsi" w:eastAsiaTheme="minorEastAsia" w:hAnsiTheme="minorHAnsi" w:cstheme="minorBidi"/>
          <w:b w:val="0"/>
          <w:sz w:val="22"/>
          <w:szCs w:val="22"/>
        </w:rPr>
      </w:pPr>
      <w:hyperlink w:anchor="_Toc131585369" w:history="1">
        <w:r w:rsidR="001951B5" w:rsidRPr="001123A4">
          <w:rPr>
            <w:rStyle w:val="Hyperlink"/>
          </w:rPr>
          <w:t>12</w:t>
        </w:r>
        <w:r w:rsidR="001951B5">
          <w:rPr>
            <w:rFonts w:asciiTheme="minorHAnsi" w:eastAsiaTheme="minorEastAsia" w:hAnsiTheme="minorHAnsi" w:cstheme="minorBidi"/>
            <w:b w:val="0"/>
            <w:sz w:val="22"/>
            <w:szCs w:val="22"/>
          </w:rPr>
          <w:tab/>
        </w:r>
        <w:r w:rsidR="001951B5" w:rsidRPr="001123A4">
          <w:rPr>
            <w:rStyle w:val="Hyperlink"/>
          </w:rPr>
          <w:t>Proposal 17.1</w:t>
        </w:r>
        <w:r w:rsidR="001951B5">
          <w:rPr>
            <w:webHidden/>
          </w:rPr>
          <w:tab/>
        </w:r>
        <w:r w:rsidR="001951B5">
          <w:rPr>
            <w:webHidden/>
          </w:rPr>
          <w:fldChar w:fldCharType="begin"/>
        </w:r>
        <w:r w:rsidR="001951B5">
          <w:rPr>
            <w:webHidden/>
          </w:rPr>
          <w:instrText xml:space="preserve"> PAGEREF _Toc131585369 \h </w:instrText>
        </w:r>
        <w:r w:rsidR="001951B5">
          <w:rPr>
            <w:webHidden/>
          </w:rPr>
        </w:r>
        <w:r w:rsidR="001951B5">
          <w:rPr>
            <w:webHidden/>
          </w:rPr>
          <w:fldChar w:fldCharType="separate"/>
        </w:r>
        <w:r w:rsidR="00A40881">
          <w:rPr>
            <w:webHidden/>
          </w:rPr>
          <w:t>34</w:t>
        </w:r>
        <w:r w:rsidR="001951B5">
          <w:rPr>
            <w:webHidden/>
          </w:rPr>
          <w:fldChar w:fldCharType="end"/>
        </w:r>
      </w:hyperlink>
    </w:p>
    <w:p w14:paraId="5F404CD9" w14:textId="4DF91764" w:rsidR="001951B5" w:rsidRDefault="00000000">
      <w:pPr>
        <w:pStyle w:val="TOC1"/>
        <w:rPr>
          <w:rFonts w:asciiTheme="minorHAnsi" w:eastAsiaTheme="minorEastAsia" w:hAnsiTheme="minorHAnsi" w:cstheme="minorBidi"/>
          <w:b w:val="0"/>
          <w:sz w:val="22"/>
          <w:szCs w:val="22"/>
        </w:rPr>
      </w:pPr>
      <w:hyperlink w:anchor="_Toc131585370" w:history="1">
        <w:r w:rsidR="001951B5" w:rsidRPr="001123A4">
          <w:rPr>
            <w:rStyle w:val="Hyperlink"/>
          </w:rPr>
          <w:t>13</w:t>
        </w:r>
        <w:r w:rsidR="001951B5">
          <w:rPr>
            <w:rFonts w:asciiTheme="minorHAnsi" w:eastAsiaTheme="minorEastAsia" w:hAnsiTheme="minorHAnsi" w:cstheme="minorBidi"/>
            <w:b w:val="0"/>
            <w:sz w:val="22"/>
            <w:szCs w:val="22"/>
          </w:rPr>
          <w:tab/>
        </w:r>
        <w:r w:rsidR="001951B5" w:rsidRPr="001123A4">
          <w:rPr>
            <w:rStyle w:val="Hyperlink"/>
          </w:rPr>
          <w:t>Proposal 17.2</w:t>
        </w:r>
        <w:r w:rsidR="001951B5">
          <w:rPr>
            <w:webHidden/>
          </w:rPr>
          <w:tab/>
        </w:r>
        <w:r w:rsidR="001951B5">
          <w:rPr>
            <w:webHidden/>
          </w:rPr>
          <w:fldChar w:fldCharType="begin"/>
        </w:r>
        <w:r w:rsidR="001951B5">
          <w:rPr>
            <w:webHidden/>
          </w:rPr>
          <w:instrText xml:space="preserve"> PAGEREF _Toc131585370 \h </w:instrText>
        </w:r>
        <w:r w:rsidR="001951B5">
          <w:rPr>
            <w:webHidden/>
          </w:rPr>
        </w:r>
        <w:r w:rsidR="001951B5">
          <w:rPr>
            <w:webHidden/>
          </w:rPr>
          <w:fldChar w:fldCharType="separate"/>
        </w:r>
        <w:r w:rsidR="00A40881">
          <w:rPr>
            <w:webHidden/>
          </w:rPr>
          <w:t>36</w:t>
        </w:r>
        <w:r w:rsidR="001951B5">
          <w:rPr>
            <w:webHidden/>
          </w:rPr>
          <w:fldChar w:fldCharType="end"/>
        </w:r>
      </w:hyperlink>
    </w:p>
    <w:p w14:paraId="40D11D23" w14:textId="5DF22B3F" w:rsidR="001951B5" w:rsidRDefault="00000000">
      <w:pPr>
        <w:pStyle w:val="TOC1"/>
        <w:rPr>
          <w:rFonts w:asciiTheme="minorHAnsi" w:eastAsiaTheme="minorEastAsia" w:hAnsiTheme="minorHAnsi" w:cstheme="minorBidi"/>
          <w:b w:val="0"/>
          <w:sz w:val="22"/>
          <w:szCs w:val="22"/>
        </w:rPr>
      </w:pPr>
      <w:hyperlink w:anchor="_Toc131585371" w:history="1">
        <w:r w:rsidR="001951B5" w:rsidRPr="001123A4">
          <w:rPr>
            <w:rStyle w:val="Hyperlink"/>
          </w:rPr>
          <w:t>14</w:t>
        </w:r>
        <w:r w:rsidR="001951B5">
          <w:rPr>
            <w:rFonts w:asciiTheme="minorHAnsi" w:eastAsiaTheme="minorEastAsia" w:hAnsiTheme="minorHAnsi" w:cstheme="minorBidi"/>
            <w:b w:val="0"/>
            <w:sz w:val="22"/>
            <w:szCs w:val="22"/>
          </w:rPr>
          <w:tab/>
        </w:r>
        <w:r w:rsidR="001951B5" w:rsidRPr="001123A4">
          <w:rPr>
            <w:rStyle w:val="Hyperlink"/>
          </w:rPr>
          <w:t>Proposal 17.3</w:t>
        </w:r>
        <w:r w:rsidR="001951B5">
          <w:rPr>
            <w:webHidden/>
          </w:rPr>
          <w:tab/>
        </w:r>
        <w:r w:rsidR="001951B5">
          <w:rPr>
            <w:webHidden/>
          </w:rPr>
          <w:fldChar w:fldCharType="begin"/>
        </w:r>
        <w:r w:rsidR="001951B5">
          <w:rPr>
            <w:webHidden/>
          </w:rPr>
          <w:instrText xml:space="preserve"> PAGEREF _Toc131585371 \h </w:instrText>
        </w:r>
        <w:r w:rsidR="001951B5">
          <w:rPr>
            <w:webHidden/>
          </w:rPr>
        </w:r>
        <w:r w:rsidR="001951B5">
          <w:rPr>
            <w:webHidden/>
          </w:rPr>
          <w:fldChar w:fldCharType="separate"/>
        </w:r>
        <w:r w:rsidR="00A40881">
          <w:rPr>
            <w:webHidden/>
          </w:rPr>
          <w:t>36</w:t>
        </w:r>
        <w:r w:rsidR="001951B5">
          <w:rPr>
            <w:webHidden/>
          </w:rPr>
          <w:fldChar w:fldCharType="end"/>
        </w:r>
      </w:hyperlink>
    </w:p>
    <w:p w14:paraId="3157AEAB" w14:textId="67B80159" w:rsidR="001951B5" w:rsidRDefault="00000000">
      <w:pPr>
        <w:pStyle w:val="TOC1"/>
        <w:rPr>
          <w:rFonts w:asciiTheme="minorHAnsi" w:eastAsiaTheme="minorEastAsia" w:hAnsiTheme="minorHAnsi" w:cstheme="minorBidi"/>
          <w:b w:val="0"/>
          <w:sz w:val="22"/>
          <w:szCs w:val="22"/>
        </w:rPr>
      </w:pPr>
      <w:hyperlink w:anchor="_Toc131585372" w:history="1">
        <w:r w:rsidR="001951B5" w:rsidRPr="001123A4">
          <w:rPr>
            <w:rStyle w:val="Hyperlink"/>
          </w:rPr>
          <w:t>15</w:t>
        </w:r>
        <w:r w:rsidR="001951B5">
          <w:rPr>
            <w:rFonts w:asciiTheme="minorHAnsi" w:eastAsiaTheme="minorEastAsia" w:hAnsiTheme="minorHAnsi" w:cstheme="minorBidi"/>
            <w:b w:val="0"/>
            <w:sz w:val="22"/>
            <w:szCs w:val="22"/>
          </w:rPr>
          <w:tab/>
        </w:r>
        <w:r w:rsidR="001951B5" w:rsidRPr="001123A4">
          <w:rPr>
            <w:rStyle w:val="Hyperlink"/>
          </w:rPr>
          <w:t>Proposal 19.1</w:t>
        </w:r>
        <w:r w:rsidR="001951B5">
          <w:rPr>
            <w:webHidden/>
          </w:rPr>
          <w:tab/>
        </w:r>
        <w:r w:rsidR="001951B5">
          <w:rPr>
            <w:webHidden/>
          </w:rPr>
          <w:fldChar w:fldCharType="begin"/>
        </w:r>
        <w:r w:rsidR="001951B5">
          <w:rPr>
            <w:webHidden/>
          </w:rPr>
          <w:instrText xml:space="preserve"> PAGEREF _Toc131585372 \h </w:instrText>
        </w:r>
        <w:r w:rsidR="001951B5">
          <w:rPr>
            <w:webHidden/>
          </w:rPr>
        </w:r>
        <w:r w:rsidR="001951B5">
          <w:rPr>
            <w:webHidden/>
          </w:rPr>
          <w:fldChar w:fldCharType="separate"/>
        </w:r>
        <w:r w:rsidR="00A40881">
          <w:rPr>
            <w:webHidden/>
          </w:rPr>
          <w:t>38</w:t>
        </w:r>
        <w:r w:rsidR="001951B5">
          <w:rPr>
            <w:webHidden/>
          </w:rPr>
          <w:fldChar w:fldCharType="end"/>
        </w:r>
      </w:hyperlink>
    </w:p>
    <w:p w14:paraId="0BD49FA1" w14:textId="5E3A3F2A" w:rsidR="001951B5" w:rsidRDefault="00000000">
      <w:pPr>
        <w:pStyle w:val="TOC2"/>
        <w:rPr>
          <w:rFonts w:asciiTheme="minorHAnsi" w:eastAsiaTheme="minorEastAsia" w:hAnsiTheme="minorHAnsi" w:cstheme="minorBidi"/>
          <w:b w:val="0"/>
          <w:i w:val="0"/>
          <w:sz w:val="22"/>
          <w:szCs w:val="22"/>
        </w:rPr>
      </w:pPr>
      <w:hyperlink w:anchor="_Toc131585373" w:history="1">
        <w:r w:rsidR="001951B5" w:rsidRPr="001123A4">
          <w:rPr>
            <w:rStyle w:val="Hyperlink"/>
          </w:rPr>
          <w:t>15.1</w:t>
        </w:r>
        <w:r w:rsidR="001951B5">
          <w:rPr>
            <w:rFonts w:asciiTheme="minorHAnsi" w:eastAsiaTheme="minorEastAsia" w:hAnsiTheme="minorHAnsi" w:cstheme="minorBidi"/>
            <w:b w:val="0"/>
            <w:i w:val="0"/>
            <w:sz w:val="22"/>
            <w:szCs w:val="22"/>
          </w:rPr>
          <w:tab/>
        </w:r>
        <w:r w:rsidR="001951B5" w:rsidRPr="001123A4">
          <w:rPr>
            <w:rStyle w:val="Hyperlink"/>
          </w:rPr>
          <w:t>The role of transparency in privacy policies</w:t>
        </w:r>
        <w:r w:rsidR="001951B5">
          <w:rPr>
            <w:webHidden/>
          </w:rPr>
          <w:tab/>
        </w:r>
        <w:r w:rsidR="001951B5">
          <w:rPr>
            <w:webHidden/>
          </w:rPr>
          <w:fldChar w:fldCharType="begin"/>
        </w:r>
        <w:r w:rsidR="001951B5">
          <w:rPr>
            <w:webHidden/>
          </w:rPr>
          <w:instrText xml:space="preserve"> PAGEREF _Toc131585373 \h </w:instrText>
        </w:r>
        <w:r w:rsidR="001951B5">
          <w:rPr>
            <w:webHidden/>
          </w:rPr>
        </w:r>
        <w:r w:rsidR="001951B5">
          <w:rPr>
            <w:webHidden/>
          </w:rPr>
          <w:fldChar w:fldCharType="separate"/>
        </w:r>
        <w:r w:rsidR="00A40881">
          <w:rPr>
            <w:webHidden/>
          </w:rPr>
          <w:t>38</w:t>
        </w:r>
        <w:r w:rsidR="001951B5">
          <w:rPr>
            <w:webHidden/>
          </w:rPr>
          <w:fldChar w:fldCharType="end"/>
        </w:r>
      </w:hyperlink>
    </w:p>
    <w:p w14:paraId="76FC9E3B" w14:textId="4642D2EF" w:rsidR="001951B5" w:rsidRDefault="00000000">
      <w:pPr>
        <w:pStyle w:val="TOC2"/>
        <w:rPr>
          <w:rFonts w:asciiTheme="minorHAnsi" w:eastAsiaTheme="minorEastAsia" w:hAnsiTheme="minorHAnsi" w:cstheme="minorBidi"/>
          <w:b w:val="0"/>
          <w:i w:val="0"/>
          <w:sz w:val="22"/>
          <w:szCs w:val="22"/>
        </w:rPr>
      </w:pPr>
      <w:hyperlink w:anchor="_Toc131585374" w:history="1">
        <w:r w:rsidR="001951B5" w:rsidRPr="001123A4">
          <w:rPr>
            <w:rStyle w:val="Hyperlink"/>
          </w:rPr>
          <w:t>15.2</w:t>
        </w:r>
        <w:r w:rsidR="001951B5">
          <w:rPr>
            <w:rFonts w:asciiTheme="minorHAnsi" w:eastAsiaTheme="minorEastAsia" w:hAnsiTheme="minorHAnsi" w:cstheme="minorBidi"/>
            <w:b w:val="0"/>
            <w:i w:val="0"/>
            <w:sz w:val="22"/>
            <w:szCs w:val="22"/>
          </w:rPr>
          <w:tab/>
        </w:r>
        <w:r w:rsidR="001951B5" w:rsidRPr="001123A4">
          <w:rPr>
            <w:rStyle w:val="Hyperlink"/>
          </w:rPr>
          <w:t>Legal or similarly significant effect</w:t>
        </w:r>
        <w:r w:rsidR="001951B5">
          <w:rPr>
            <w:webHidden/>
          </w:rPr>
          <w:tab/>
        </w:r>
        <w:r w:rsidR="001951B5">
          <w:rPr>
            <w:webHidden/>
          </w:rPr>
          <w:fldChar w:fldCharType="begin"/>
        </w:r>
        <w:r w:rsidR="001951B5">
          <w:rPr>
            <w:webHidden/>
          </w:rPr>
          <w:instrText xml:space="preserve"> PAGEREF _Toc131585374 \h </w:instrText>
        </w:r>
        <w:r w:rsidR="001951B5">
          <w:rPr>
            <w:webHidden/>
          </w:rPr>
        </w:r>
        <w:r w:rsidR="001951B5">
          <w:rPr>
            <w:webHidden/>
          </w:rPr>
          <w:fldChar w:fldCharType="separate"/>
        </w:r>
        <w:r w:rsidR="00A40881">
          <w:rPr>
            <w:webHidden/>
          </w:rPr>
          <w:t>39</w:t>
        </w:r>
        <w:r w:rsidR="001951B5">
          <w:rPr>
            <w:webHidden/>
          </w:rPr>
          <w:fldChar w:fldCharType="end"/>
        </w:r>
      </w:hyperlink>
    </w:p>
    <w:p w14:paraId="544F26DB" w14:textId="6376E515" w:rsidR="001951B5" w:rsidRDefault="00000000">
      <w:pPr>
        <w:pStyle w:val="TOC2"/>
        <w:rPr>
          <w:rFonts w:asciiTheme="minorHAnsi" w:eastAsiaTheme="minorEastAsia" w:hAnsiTheme="minorHAnsi" w:cstheme="minorBidi"/>
          <w:b w:val="0"/>
          <w:i w:val="0"/>
          <w:sz w:val="22"/>
          <w:szCs w:val="22"/>
        </w:rPr>
      </w:pPr>
      <w:hyperlink w:anchor="_Toc131585375" w:history="1">
        <w:r w:rsidR="001951B5" w:rsidRPr="001123A4">
          <w:rPr>
            <w:rStyle w:val="Hyperlink"/>
          </w:rPr>
          <w:t>15.3</w:t>
        </w:r>
        <w:r w:rsidR="001951B5">
          <w:rPr>
            <w:rFonts w:asciiTheme="minorHAnsi" w:eastAsiaTheme="minorEastAsia" w:hAnsiTheme="minorHAnsi" w:cstheme="minorBidi"/>
            <w:b w:val="0"/>
            <w:i w:val="0"/>
            <w:sz w:val="22"/>
            <w:szCs w:val="22"/>
          </w:rPr>
          <w:tab/>
        </w:r>
        <w:r w:rsidR="001951B5" w:rsidRPr="001123A4">
          <w:rPr>
            <w:rStyle w:val="Hyperlink"/>
          </w:rPr>
          <w:t>Substantially automated decision</w:t>
        </w:r>
        <w:r w:rsidR="001951B5">
          <w:rPr>
            <w:webHidden/>
          </w:rPr>
          <w:tab/>
        </w:r>
        <w:r w:rsidR="001951B5">
          <w:rPr>
            <w:webHidden/>
          </w:rPr>
          <w:fldChar w:fldCharType="begin"/>
        </w:r>
        <w:r w:rsidR="001951B5">
          <w:rPr>
            <w:webHidden/>
          </w:rPr>
          <w:instrText xml:space="preserve"> PAGEREF _Toc131585375 \h </w:instrText>
        </w:r>
        <w:r w:rsidR="001951B5">
          <w:rPr>
            <w:webHidden/>
          </w:rPr>
        </w:r>
        <w:r w:rsidR="001951B5">
          <w:rPr>
            <w:webHidden/>
          </w:rPr>
          <w:fldChar w:fldCharType="separate"/>
        </w:r>
        <w:r w:rsidR="00A40881">
          <w:rPr>
            <w:webHidden/>
          </w:rPr>
          <w:t>40</w:t>
        </w:r>
        <w:r w:rsidR="001951B5">
          <w:rPr>
            <w:webHidden/>
          </w:rPr>
          <w:fldChar w:fldCharType="end"/>
        </w:r>
      </w:hyperlink>
    </w:p>
    <w:p w14:paraId="7B928F46" w14:textId="0C77E325" w:rsidR="001951B5" w:rsidRDefault="00000000">
      <w:pPr>
        <w:pStyle w:val="TOC1"/>
        <w:rPr>
          <w:rFonts w:asciiTheme="minorHAnsi" w:eastAsiaTheme="minorEastAsia" w:hAnsiTheme="minorHAnsi" w:cstheme="minorBidi"/>
          <w:b w:val="0"/>
          <w:sz w:val="22"/>
          <w:szCs w:val="22"/>
        </w:rPr>
      </w:pPr>
      <w:hyperlink w:anchor="_Toc131585376" w:history="1">
        <w:r w:rsidR="001951B5" w:rsidRPr="001123A4">
          <w:rPr>
            <w:rStyle w:val="Hyperlink"/>
          </w:rPr>
          <w:t>16</w:t>
        </w:r>
        <w:r w:rsidR="001951B5">
          <w:rPr>
            <w:rFonts w:asciiTheme="minorHAnsi" w:eastAsiaTheme="minorEastAsia" w:hAnsiTheme="minorHAnsi" w:cstheme="minorBidi"/>
            <w:b w:val="0"/>
            <w:sz w:val="22"/>
            <w:szCs w:val="22"/>
          </w:rPr>
          <w:tab/>
        </w:r>
        <w:r w:rsidR="001951B5" w:rsidRPr="001123A4">
          <w:rPr>
            <w:rStyle w:val="Hyperlink"/>
          </w:rPr>
          <w:t>Proposal 19.3</w:t>
        </w:r>
        <w:r w:rsidR="001951B5">
          <w:rPr>
            <w:webHidden/>
          </w:rPr>
          <w:tab/>
        </w:r>
        <w:r w:rsidR="001951B5">
          <w:rPr>
            <w:webHidden/>
          </w:rPr>
          <w:fldChar w:fldCharType="begin"/>
        </w:r>
        <w:r w:rsidR="001951B5">
          <w:rPr>
            <w:webHidden/>
          </w:rPr>
          <w:instrText xml:space="preserve"> PAGEREF _Toc131585376 \h </w:instrText>
        </w:r>
        <w:r w:rsidR="001951B5">
          <w:rPr>
            <w:webHidden/>
          </w:rPr>
        </w:r>
        <w:r w:rsidR="001951B5">
          <w:rPr>
            <w:webHidden/>
          </w:rPr>
          <w:fldChar w:fldCharType="separate"/>
        </w:r>
        <w:r w:rsidR="00A40881">
          <w:rPr>
            <w:webHidden/>
          </w:rPr>
          <w:t>41</w:t>
        </w:r>
        <w:r w:rsidR="001951B5">
          <w:rPr>
            <w:webHidden/>
          </w:rPr>
          <w:fldChar w:fldCharType="end"/>
        </w:r>
      </w:hyperlink>
    </w:p>
    <w:p w14:paraId="408F69F7" w14:textId="516636E7" w:rsidR="001951B5" w:rsidRDefault="00000000">
      <w:pPr>
        <w:pStyle w:val="TOC2"/>
        <w:rPr>
          <w:rFonts w:asciiTheme="minorHAnsi" w:eastAsiaTheme="minorEastAsia" w:hAnsiTheme="minorHAnsi" w:cstheme="minorBidi"/>
          <w:b w:val="0"/>
          <w:i w:val="0"/>
          <w:sz w:val="22"/>
          <w:szCs w:val="22"/>
        </w:rPr>
      </w:pPr>
      <w:hyperlink w:anchor="_Toc131585377" w:history="1">
        <w:r w:rsidR="001951B5" w:rsidRPr="001123A4">
          <w:rPr>
            <w:rStyle w:val="Hyperlink"/>
          </w:rPr>
          <w:t>16.1</w:t>
        </w:r>
        <w:r w:rsidR="001951B5">
          <w:rPr>
            <w:rFonts w:asciiTheme="minorHAnsi" w:eastAsiaTheme="minorEastAsia" w:hAnsiTheme="minorHAnsi" w:cstheme="minorBidi"/>
            <w:b w:val="0"/>
            <w:i w:val="0"/>
            <w:sz w:val="22"/>
            <w:szCs w:val="22"/>
          </w:rPr>
          <w:tab/>
        </w:r>
        <w:r w:rsidR="001951B5" w:rsidRPr="001123A4">
          <w:rPr>
            <w:rStyle w:val="Hyperlink"/>
          </w:rPr>
          <w:t>Right to reasons</w:t>
        </w:r>
        <w:r w:rsidR="001951B5">
          <w:rPr>
            <w:webHidden/>
          </w:rPr>
          <w:tab/>
        </w:r>
        <w:r w:rsidR="001951B5">
          <w:rPr>
            <w:webHidden/>
          </w:rPr>
          <w:fldChar w:fldCharType="begin"/>
        </w:r>
        <w:r w:rsidR="001951B5">
          <w:rPr>
            <w:webHidden/>
          </w:rPr>
          <w:instrText xml:space="preserve"> PAGEREF _Toc131585377 \h </w:instrText>
        </w:r>
        <w:r w:rsidR="001951B5">
          <w:rPr>
            <w:webHidden/>
          </w:rPr>
        </w:r>
        <w:r w:rsidR="001951B5">
          <w:rPr>
            <w:webHidden/>
          </w:rPr>
          <w:fldChar w:fldCharType="separate"/>
        </w:r>
        <w:r w:rsidR="00A40881">
          <w:rPr>
            <w:webHidden/>
          </w:rPr>
          <w:t>41</w:t>
        </w:r>
        <w:r w:rsidR="001951B5">
          <w:rPr>
            <w:webHidden/>
          </w:rPr>
          <w:fldChar w:fldCharType="end"/>
        </w:r>
      </w:hyperlink>
    </w:p>
    <w:p w14:paraId="58E0F42F" w14:textId="30BA7EF1" w:rsidR="001951B5" w:rsidRDefault="00000000">
      <w:pPr>
        <w:pStyle w:val="TOC2"/>
        <w:rPr>
          <w:rFonts w:asciiTheme="minorHAnsi" w:eastAsiaTheme="minorEastAsia" w:hAnsiTheme="minorHAnsi" w:cstheme="minorBidi"/>
          <w:b w:val="0"/>
          <w:i w:val="0"/>
          <w:sz w:val="22"/>
          <w:szCs w:val="22"/>
        </w:rPr>
      </w:pPr>
      <w:hyperlink w:anchor="_Toc131585378" w:history="1">
        <w:r w:rsidR="001951B5" w:rsidRPr="001123A4">
          <w:rPr>
            <w:rStyle w:val="Hyperlink"/>
          </w:rPr>
          <w:t>16.2</w:t>
        </w:r>
        <w:r w:rsidR="001951B5">
          <w:rPr>
            <w:rFonts w:asciiTheme="minorHAnsi" w:eastAsiaTheme="minorEastAsia" w:hAnsiTheme="minorHAnsi" w:cstheme="minorBidi"/>
            <w:b w:val="0"/>
            <w:i w:val="0"/>
            <w:sz w:val="22"/>
            <w:szCs w:val="22"/>
          </w:rPr>
          <w:tab/>
        </w:r>
        <w:r w:rsidR="001951B5" w:rsidRPr="001123A4">
          <w:rPr>
            <w:rStyle w:val="Hyperlink"/>
          </w:rPr>
          <w:t>Further work in regulating AI and ADM</w:t>
        </w:r>
        <w:r w:rsidR="001951B5">
          <w:rPr>
            <w:webHidden/>
          </w:rPr>
          <w:tab/>
        </w:r>
        <w:r w:rsidR="001951B5">
          <w:rPr>
            <w:webHidden/>
          </w:rPr>
          <w:fldChar w:fldCharType="begin"/>
        </w:r>
        <w:r w:rsidR="001951B5">
          <w:rPr>
            <w:webHidden/>
          </w:rPr>
          <w:instrText xml:space="preserve"> PAGEREF _Toc131585378 \h </w:instrText>
        </w:r>
        <w:r w:rsidR="001951B5">
          <w:rPr>
            <w:webHidden/>
          </w:rPr>
        </w:r>
        <w:r w:rsidR="001951B5">
          <w:rPr>
            <w:webHidden/>
          </w:rPr>
          <w:fldChar w:fldCharType="separate"/>
        </w:r>
        <w:r w:rsidR="00A40881">
          <w:rPr>
            <w:webHidden/>
          </w:rPr>
          <w:t>44</w:t>
        </w:r>
        <w:r w:rsidR="001951B5">
          <w:rPr>
            <w:webHidden/>
          </w:rPr>
          <w:fldChar w:fldCharType="end"/>
        </w:r>
      </w:hyperlink>
    </w:p>
    <w:p w14:paraId="4904858B" w14:textId="330B4220" w:rsidR="001951B5" w:rsidRDefault="00000000">
      <w:pPr>
        <w:pStyle w:val="TOC2"/>
        <w:rPr>
          <w:rFonts w:asciiTheme="minorHAnsi" w:eastAsiaTheme="minorEastAsia" w:hAnsiTheme="minorHAnsi" w:cstheme="minorBidi"/>
          <w:b w:val="0"/>
          <w:i w:val="0"/>
          <w:sz w:val="22"/>
          <w:szCs w:val="22"/>
        </w:rPr>
      </w:pPr>
      <w:hyperlink w:anchor="_Toc131585379" w:history="1">
        <w:r w:rsidR="001951B5" w:rsidRPr="001123A4">
          <w:rPr>
            <w:rStyle w:val="Hyperlink"/>
          </w:rPr>
          <w:t>16.3</w:t>
        </w:r>
        <w:r w:rsidR="001951B5">
          <w:rPr>
            <w:rFonts w:asciiTheme="minorHAnsi" w:eastAsiaTheme="minorEastAsia" w:hAnsiTheme="minorHAnsi" w:cstheme="minorBidi"/>
            <w:b w:val="0"/>
            <w:i w:val="0"/>
            <w:sz w:val="22"/>
            <w:szCs w:val="22"/>
          </w:rPr>
          <w:tab/>
        </w:r>
        <w:r w:rsidR="001951B5" w:rsidRPr="001123A4">
          <w:rPr>
            <w:rStyle w:val="Hyperlink"/>
          </w:rPr>
          <w:t>Algorithmic bias</w:t>
        </w:r>
        <w:r w:rsidR="001951B5">
          <w:rPr>
            <w:webHidden/>
          </w:rPr>
          <w:tab/>
        </w:r>
        <w:r w:rsidR="001951B5">
          <w:rPr>
            <w:webHidden/>
          </w:rPr>
          <w:fldChar w:fldCharType="begin"/>
        </w:r>
        <w:r w:rsidR="001951B5">
          <w:rPr>
            <w:webHidden/>
          </w:rPr>
          <w:instrText xml:space="preserve"> PAGEREF _Toc131585379 \h </w:instrText>
        </w:r>
        <w:r w:rsidR="001951B5">
          <w:rPr>
            <w:webHidden/>
          </w:rPr>
        </w:r>
        <w:r w:rsidR="001951B5">
          <w:rPr>
            <w:webHidden/>
          </w:rPr>
          <w:fldChar w:fldCharType="separate"/>
        </w:r>
        <w:r w:rsidR="00A40881">
          <w:rPr>
            <w:webHidden/>
          </w:rPr>
          <w:t>44</w:t>
        </w:r>
        <w:r w:rsidR="001951B5">
          <w:rPr>
            <w:webHidden/>
          </w:rPr>
          <w:fldChar w:fldCharType="end"/>
        </w:r>
      </w:hyperlink>
    </w:p>
    <w:p w14:paraId="4D83F080" w14:textId="2C241D1E" w:rsidR="001951B5" w:rsidRDefault="00000000">
      <w:pPr>
        <w:pStyle w:val="TOC1"/>
        <w:rPr>
          <w:rFonts w:asciiTheme="minorHAnsi" w:eastAsiaTheme="minorEastAsia" w:hAnsiTheme="minorHAnsi" w:cstheme="minorBidi"/>
          <w:b w:val="0"/>
          <w:sz w:val="22"/>
          <w:szCs w:val="22"/>
        </w:rPr>
      </w:pPr>
      <w:hyperlink w:anchor="_Toc131585380" w:history="1">
        <w:r w:rsidR="001951B5" w:rsidRPr="001123A4">
          <w:rPr>
            <w:rStyle w:val="Hyperlink"/>
          </w:rPr>
          <w:t>17</w:t>
        </w:r>
        <w:r w:rsidR="001951B5">
          <w:rPr>
            <w:rFonts w:asciiTheme="minorHAnsi" w:eastAsiaTheme="minorEastAsia" w:hAnsiTheme="minorHAnsi" w:cstheme="minorBidi"/>
            <w:b w:val="0"/>
            <w:sz w:val="22"/>
            <w:szCs w:val="22"/>
          </w:rPr>
          <w:tab/>
        </w:r>
        <w:r w:rsidR="001951B5" w:rsidRPr="001123A4">
          <w:rPr>
            <w:rStyle w:val="Hyperlink"/>
          </w:rPr>
          <w:t>Proposal 27.1</w:t>
        </w:r>
        <w:r w:rsidR="001951B5">
          <w:rPr>
            <w:webHidden/>
          </w:rPr>
          <w:tab/>
        </w:r>
        <w:r w:rsidR="001951B5">
          <w:rPr>
            <w:webHidden/>
          </w:rPr>
          <w:fldChar w:fldCharType="begin"/>
        </w:r>
        <w:r w:rsidR="001951B5">
          <w:rPr>
            <w:webHidden/>
          </w:rPr>
          <w:instrText xml:space="preserve"> PAGEREF _Toc131585380 \h </w:instrText>
        </w:r>
        <w:r w:rsidR="001951B5">
          <w:rPr>
            <w:webHidden/>
          </w:rPr>
        </w:r>
        <w:r w:rsidR="001951B5">
          <w:rPr>
            <w:webHidden/>
          </w:rPr>
          <w:fldChar w:fldCharType="separate"/>
        </w:r>
        <w:r w:rsidR="00A40881">
          <w:rPr>
            <w:webHidden/>
          </w:rPr>
          <w:t>46</w:t>
        </w:r>
        <w:r w:rsidR="001951B5">
          <w:rPr>
            <w:webHidden/>
          </w:rPr>
          <w:fldChar w:fldCharType="end"/>
        </w:r>
      </w:hyperlink>
    </w:p>
    <w:p w14:paraId="59AE3185" w14:textId="759240A0" w:rsidR="001951B5" w:rsidRDefault="00000000">
      <w:pPr>
        <w:pStyle w:val="TOC2"/>
        <w:rPr>
          <w:rFonts w:asciiTheme="minorHAnsi" w:eastAsiaTheme="minorEastAsia" w:hAnsiTheme="minorHAnsi" w:cstheme="minorBidi"/>
          <w:b w:val="0"/>
          <w:i w:val="0"/>
          <w:sz w:val="22"/>
          <w:szCs w:val="22"/>
        </w:rPr>
      </w:pPr>
      <w:hyperlink w:anchor="_Toc131585381" w:history="1">
        <w:r w:rsidR="001951B5" w:rsidRPr="001123A4">
          <w:rPr>
            <w:rStyle w:val="Hyperlink"/>
          </w:rPr>
          <w:t>17.1</w:t>
        </w:r>
        <w:r w:rsidR="001951B5">
          <w:rPr>
            <w:rFonts w:asciiTheme="minorHAnsi" w:eastAsiaTheme="minorEastAsia" w:hAnsiTheme="minorHAnsi" w:cstheme="minorBidi"/>
            <w:b w:val="0"/>
            <w:i w:val="0"/>
            <w:sz w:val="22"/>
            <w:szCs w:val="22"/>
          </w:rPr>
          <w:tab/>
        </w:r>
        <w:r w:rsidR="001951B5" w:rsidRPr="001123A4">
          <w:rPr>
            <w:rStyle w:val="Hyperlink"/>
          </w:rPr>
          <w:t>Freedom of expression</w:t>
        </w:r>
        <w:r w:rsidR="001951B5">
          <w:rPr>
            <w:webHidden/>
          </w:rPr>
          <w:tab/>
        </w:r>
        <w:r w:rsidR="001951B5">
          <w:rPr>
            <w:webHidden/>
          </w:rPr>
          <w:fldChar w:fldCharType="begin"/>
        </w:r>
        <w:r w:rsidR="001951B5">
          <w:rPr>
            <w:webHidden/>
          </w:rPr>
          <w:instrText xml:space="preserve"> PAGEREF _Toc131585381 \h </w:instrText>
        </w:r>
        <w:r w:rsidR="001951B5">
          <w:rPr>
            <w:webHidden/>
          </w:rPr>
        </w:r>
        <w:r w:rsidR="001951B5">
          <w:rPr>
            <w:webHidden/>
          </w:rPr>
          <w:fldChar w:fldCharType="separate"/>
        </w:r>
        <w:r w:rsidR="00A40881">
          <w:rPr>
            <w:webHidden/>
          </w:rPr>
          <w:t>46</w:t>
        </w:r>
        <w:r w:rsidR="001951B5">
          <w:rPr>
            <w:webHidden/>
          </w:rPr>
          <w:fldChar w:fldCharType="end"/>
        </w:r>
      </w:hyperlink>
    </w:p>
    <w:p w14:paraId="0AAE9F0D" w14:textId="7DA186D5" w:rsidR="001951B5" w:rsidRDefault="00000000">
      <w:pPr>
        <w:pStyle w:val="TOC2"/>
        <w:rPr>
          <w:rFonts w:asciiTheme="minorHAnsi" w:eastAsiaTheme="minorEastAsia" w:hAnsiTheme="minorHAnsi" w:cstheme="minorBidi"/>
          <w:b w:val="0"/>
          <w:i w:val="0"/>
          <w:sz w:val="22"/>
          <w:szCs w:val="22"/>
        </w:rPr>
      </w:pPr>
      <w:hyperlink w:anchor="_Toc131585382" w:history="1">
        <w:r w:rsidR="001951B5" w:rsidRPr="001123A4">
          <w:rPr>
            <w:rStyle w:val="Hyperlink"/>
          </w:rPr>
          <w:t>17.2</w:t>
        </w:r>
        <w:r w:rsidR="001951B5">
          <w:rPr>
            <w:rFonts w:asciiTheme="minorHAnsi" w:eastAsiaTheme="minorEastAsia" w:hAnsiTheme="minorHAnsi" w:cstheme="minorBidi"/>
            <w:b w:val="0"/>
            <w:i w:val="0"/>
            <w:sz w:val="22"/>
            <w:szCs w:val="22"/>
          </w:rPr>
          <w:tab/>
        </w:r>
        <w:r w:rsidR="001951B5" w:rsidRPr="001123A4">
          <w:rPr>
            <w:rStyle w:val="Hyperlink"/>
          </w:rPr>
          <w:t>Fault element</w:t>
        </w:r>
        <w:r w:rsidR="001951B5">
          <w:rPr>
            <w:webHidden/>
          </w:rPr>
          <w:tab/>
        </w:r>
        <w:r w:rsidR="001951B5">
          <w:rPr>
            <w:webHidden/>
          </w:rPr>
          <w:fldChar w:fldCharType="begin"/>
        </w:r>
        <w:r w:rsidR="001951B5">
          <w:rPr>
            <w:webHidden/>
          </w:rPr>
          <w:instrText xml:space="preserve"> PAGEREF _Toc131585382 \h </w:instrText>
        </w:r>
        <w:r w:rsidR="001951B5">
          <w:rPr>
            <w:webHidden/>
          </w:rPr>
        </w:r>
        <w:r w:rsidR="001951B5">
          <w:rPr>
            <w:webHidden/>
          </w:rPr>
          <w:fldChar w:fldCharType="separate"/>
        </w:r>
        <w:r w:rsidR="00A40881">
          <w:rPr>
            <w:webHidden/>
          </w:rPr>
          <w:t>47</w:t>
        </w:r>
        <w:r w:rsidR="001951B5">
          <w:rPr>
            <w:webHidden/>
          </w:rPr>
          <w:fldChar w:fldCharType="end"/>
        </w:r>
      </w:hyperlink>
    </w:p>
    <w:p w14:paraId="68186021" w14:textId="03199AAD" w:rsidR="001951B5" w:rsidRDefault="00000000">
      <w:pPr>
        <w:pStyle w:val="TOC2"/>
        <w:rPr>
          <w:rFonts w:asciiTheme="minorHAnsi" w:eastAsiaTheme="minorEastAsia" w:hAnsiTheme="minorHAnsi" w:cstheme="minorBidi"/>
          <w:b w:val="0"/>
          <w:i w:val="0"/>
          <w:sz w:val="22"/>
          <w:szCs w:val="22"/>
        </w:rPr>
      </w:pPr>
      <w:hyperlink w:anchor="_Toc131585383" w:history="1">
        <w:r w:rsidR="001951B5" w:rsidRPr="001123A4">
          <w:rPr>
            <w:rStyle w:val="Hyperlink"/>
          </w:rPr>
          <w:t>17.3</w:t>
        </w:r>
        <w:r w:rsidR="001951B5">
          <w:rPr>
            <w:rFonts w:asciiTheme="minorHAnsi" w:eastAsiaTheme="minorEastAsia" w:hAnsiTheme="minorHAnsi" w:cstheme="minorBidi"/>
            <w:b w:val="0"/>
            <w:i w:val="0"/>
            <w:sz w:val="22"/>
            <w:szCs w:val="22"/>
          </w:rPr>
          <w:tab/>
        </w:r>
        <w:r w:rsidR="001951B5" w:rsidRPr="001123A4">
          <w:rPr>
            <w:rStyle w:val="Hyperlink"/>
          </w:rPr>
          <w:t>A non-restrictive tort</w:t>
        </w:r>
        <w:r w:rsidR="001951B5">
          <w:rPr>
            <w:webHidden/>
          </w:rPr>
          <w:tab/>
        </w:r>
        <w:r w:rsidR="001951B5">
          <w:rPr>
            <w:webHidden/>
          </w:rPr>
          <w:fldChar w:fldCharType="begin"/>
        </w:r>
        <w:r w:rsidR="001951B5">
          <w:rPr>
            <w:webHidden/>
          </w:rPr>
          <w:instrText xml:space="preserve"> PAGEREF _Toc131585383 \h </w:instrText>
        </w:r>
        <w:r w:rsidR="001951B5">
          <w:rPr>
            <w:webHidden/>
          </w:rPr>
        </w:r>
        <w:r w:rsidR="001951B5">
          <w:rPr>
            <w:webHidden/>
          </w:rPr>
          <w:fldChar w:fldCharType="separate"/>
        </w:r>
        <w:r w:rsidR="00A40881">
          <w:rPr>
            <w:webHidden/>
          </w:rPr>
          <w:t>48</w:t>
        </w:r>
        <w:r w:rsidR="001951B5">
          <w:rPr>
            <w:webHidden/>
          </w:rPr>
          <w:fldChar w:fldCharType="end"/>
        </w:r>
      </w:hyperlink>
    </w:p>
    <w:p w14:paraId="0A2CCADA" w14:textId="6EFDF3B6" w:rsidR="001951B5" w:rsidRDefault="00000000">
      <w:pPr>
        <w:pStyle w:val="TOC1"/>
        <w:rPr>
          <w:rStyle w:val="Hyperlink"/>
        </w:rPr>
      </w:pPr>
      <w:hyperlink w:anchor="_Toc131585384" w:history="1">
        <w:r w:rsidR="001951B5" w:rsidRPr="001123A4">
          <w:rPr>
            <w:rStyle w:val="Hyperlink"/>
          </w:rPr>
          <w:t>18</w:t>
        </w:r>
        <w:r w:rsidR="001951B5">
          <w:rPr>
            <w:rFonts w:asciiTheme="minorHAnsi" w:eastAsiaTheme="minorEastAsia" w:hAnsiTheme="minorHAnsi" w:cstheme="minorBidi"/>
            <w:b w:val="0"/>
            <w:sz w:val="22"/>
            <w:szCs w:val="22"/>
          </w:rPr>
          <w:tab/>
        </w:r>
        <w:r w:rsidR="001951B5" w:rsidRPr="001123A4">
          <w:rPr>
            <w:rStyle w:val="Hyperlink"/>
          </w:rPr>
          <w:t>Recommendations</w:t>
        </w:r>
        <w:r w:rsidR="001951B5">
          <w:rPr>
            <w:webHidden/>
          </w:rPr>
          <w:tab/>
        </w:r>
        <w:r w:rsidR="001951B5">
          <w:rPr>
            <w:webHidden/>
          </w:rPr>
          <w:fldChar w:fldCharType="begin"/>
        </w:r>
        <w:r w:rsidR="001951B5">
          <w:rPr>
            <w:webHidden/>
          </w:rPr>
          <w:instrText xml:space="preserve"> PAGEREF _Toc131585384 \h </w:instrText>
        </w:r>
        <w:r w:rsidR="001951B5">
          <w:rPr>
            <w:webHidden/>
          </w:rPr>
        </w:r>
        <w:r w:rsidR="001951B5">
          <w:rPr>
            <w:webHidden/>
          </w:rPr>
          <w:fldChar w:fldCharType="separate"/>
        </w:r>
        <w:r w:rsidR="00A40881">
          <w:rPr>
            <w:webHidden/>
          </w:rPr>
          <w:t>48</w:t>
        </w:r>
        <w:r w:rsidR="001951B5">
          <w:rPr>
            <w:webHidden/>
          </w:rPr>
          <w:fldChar w:fldCharType="end"/>
        </w:r>
      </w:hyperlink>
    </w:p>
    <w:p w14:paraId="6CF532DE" w14:textId="15AD6F74" w:rsidR="004723BE" w:rsidRDefault="004723BE">
      <w:pPr>
        <w:spacing w:before="0" w:after="0"/>
      </w:pPr>
      <w:r>
        <w:br w:type="page"/>
      </w:r>
    </w:p>
    <w:p w14:paraId="77B2E1B1" w14:textId="62EB6684" w:rsidR="00510390" w:rsidRDefault="000B5B68" w:rsidP="00561BD4">
      <w:pPr>
        <w:pStyle w:val="Heading1"/>
      </w:pPr>
      <w:r w:rsidRPr="000465F1">
        <w:lastRenderedPageBreak/>
        <w:fldChar w:fldCharType="end"/>
      </w:r>
      <w:bookmarkStart w:id="31" w:name="_Toc131585349"/>
      <w:r w:rsidR="00253BEC">
        <w:t>Introduction</w:t>
      </w:r>
      <w:bookmarkEnd w:id="31"/>
    </w:p>
    <w:p w14:paraId="0ED63F10" w14:textId="44C2C758" w:rsidR="008A6D91" w:rsidRDefault="0F8EFA9D" w:rsidP="00561BD4">
      <w:pPr>
        <w:pStyle w:val="ListNumber"/>
      </w:pPr>
      <w:r>
        <w:t xml:space="preserve">The Australian Human Rights Commission (Commission) </w:t>
      </w:r>
      <w:r w:rsidR="2191B4F9">
        <w:t>welcomes the opportunity to make this submission to the</w:t>
      </w:r>
      <w:r w:rsidR="005E4E4B">
        <w:t xml:space="preserve"> Attorney-General’s Department</w:t>
      </w:r>
      <w:r w:rsidR="008A6D91">
        <w:t xml:space="preserve"> on the </w:t>
      </w:r>
      <w:r w:rsidR="008A6D91" w:rsidRPr="6D05706E">
        <w:rPr>
          <w:i/>
          <w:iCs/>
        </w:rPr>
        <w:t>Privacy Act 1988</w:t>
      </w:r>
      <w:r w:rsidR="008A6D91">
        <w:t xml:space="preserve"> (</w:t>
      </w:r>
      <w:proofErr w:type="spellStart"/>
      <w:r w:rsidR="008A6D91">
        <w:t>Cth</w:t>
      </w:r>
      <w:proofErr w:type="spellEnd"/>
      <w:r w:rsidR="008A6D91">
        <w:t>) (Act) in response to the Privacy Act Review Report 2022 (Review Report).</w:t>
      </w:r>
    </w:p>
    <w:p w14:paraId="5DB18F7A" w14:textId="01FA721C" w:rsidR="00F4707E" w:rsidRDefault="0F8EFA9D" w:rsidP="00561BD4">
      <w:pPr>
        <w:pStyle w:val="ListNumber"/>
      </w:pPr>
      <w:r>
        <w:t>The role of the Commission is to work towards an Australia in which human rights are respected, protected and promoted</w:t>
      </w:r>
      <w:r w:rsidR="1C65847F">
        <w:t>.</w:t>
      </w:r>
      <w:r w:rsidR="62014B58">
        <w:t xml:space="preserve"> </w:t>
      </w:r>
      <w:r w:rsidR="00F4707E">
        <w:t xml:space="preserve">In respect of the Review Report, the Commission has taken a targeted approach to </w:t>
      </w:r>
      <w:r w:rsidR="006A480F">
        <w:t xml:space="preserve">this </w:t>
      </w:r>
      <w:r w:rsidR="00F4707E">
        <w:t>submission</w:t>
      </w:r>
      <w:r w:rsidR="006A480F">
        <w:t xml:space="preserve">, reflecting </w:t>
      </w:r>
      <w:r w:rsidR="00580D2D" w:rsidRPr="00580D2D">
        <w:t>the Commission’s relevant expertise in certain areas, and current capacity.</w:t>
      </w:r>
    </w:p>
    <w:p w14:paraId="54EB7C16" w14:textId="6D0268CF" w:rsidR="00832034" w:rsidRDefault="1C65847F" w:rsidP="00561BD4">
      <w:pPr>
        <w:pStyle w:val="ListNumber"/>
      </w:pPr>
      <w:r>
        <w:t>While the Commission has expertise and knowledge in the area of human rights generally, it has</w:t>
      </w:r>
      <w:r w:rsidR="112536C9">
        <w:t xml:space="preserve"> also</w:t>
      </w:r>
      <w:r>
        <w:t xml:space="preserve"> developed specific expertise with respect </w:t>
      </w:r>
      <w:r w:rsidR="3B94ED02">
        <w:t>to the</w:t>
      </w:r>
      <w:r w:rsidR="0AB4E965">
        <w:t xml:space="preserve"> human rights risks posed by</w:t>
      </w:r>
      <w:r w:rsidR="3B94ED02">
        <w:t xml:space="preserve"> new and emerging technologies.</w:t>
      </w:r>
      <w:r w:rsidR="00580D2D">
        <w:t xml:space="preserve"> </w:t>
      </w:r>
      <w:r w:rsidR="0F8EFA9D">
        <w:t>Most recently, this can be seen in the Human Rights and Technology Project</w:t>
      </w:r>
      <w:r w:rsidR="0AB4E965">
        <w:t xml:space="preserve">, which was a </w:t>
      </w:r>
      <w:r w:rsidR="0F8EFA9D">
        <w:t xml:space="preserve">three-year, national investigation that culminated </w:t>
      </w:r>
      <w:r w:rsidR="00CE2047">
        <w:t xml:space="preserve">in </w:t>
      </w:r>
      <w:r w:rsidR="0F8EFA9D">
        <w:t xml:space="preserve">the release of the </w:t>
      </w:r>
      <w:hyperlink r:id="rId20" w:anchor=":~:text=The%20Report%20sets%20out%20a,with%20robust%20human%20rights%20safeguards.">
        <w:r w:rsidR="0F8EFA9D" w:rsidRPr="6D05706E">
          <w:rPr>
            <w:rStyle w:val="Hyperlink"/>
          </w:rPr>
          <w:t>Human Rights and Technology Project Final Report in 2021</w:t>
        </w:r>
      </w:hyperlink>
      <w:r w:rsidR="40285BD3">
        <w:t xml:space="preserve"> (Final Report).</w:t>
      </w:r>
    </w:p>
    <w:p w14:paraId="457F0CB7" w14:textId="13C360E1" w:rsidR="00D11337" w:rsidRDefault="00D11337" w:rsidP="00561BD4">
      <w:pPr>
        <w:pStyle w:val="ListNumber"/>
      </w:pPr>
      <w:r>
        <w:t>This submission builds on the previous work that the Commission has done to advocate for human</w:t>
      </w:r>
      <w:r w:rsidR="00CE2047">
        <w:t xml:space="preserve"> </w:t>
      </w:r>
      <w:r>
        <w:t xml:space="preserve">rights-centred design and deployment of new and emerging technologies, and demonstrates a commitment to leadership in respect of human rights in digital spaces. </w:t>
      </w:r>
    </w:p>
    <w:p w14:paraId="7F7DFB62" w14:textId="6D5D9A48" w:rsidR="00737CD2" w:rsidRDefault="00737CD2" w:rsidP="00561BD4">
      <w:pPr>
        <w:pStyle w:val="ListNumber"/>
      </w:pPr>
      <w:r>
        <w:t>The Commission</w:t>
      </w:r>
      <w:r w:rsidR="00D275D6">
        <w:t xml:space="preserve"> has previously</w:t>
      </w:r>
      <w:r>
        <w:t xml:space="preserve"> submitted a child rights</w:t>
      </w:r>
      <w:r w:rsidR="6AB10E95">
        <w:t>-</w:t>
      </w:r>
      <w:r>
        <w:t xml:space="preserve">specific submission to the </w:t>
      </w:r>
      <w:r w:rsidR="00333A72">
        <w:t>Attorney-General’s Department</w:t>
      </w:r>
      <w:r w:rsidR="00380102">
        <w:t xml:space="preserve"> on the </w:t>
      </w:r>
      <w:r w:rsidR="008F3795">
        <w:t xml:space="preserve">Privacy Legislation </w:t>
      </w:r>
      <w:r w:rsidR="006F5094">
        <w:t>Amendment</w:t>
      </w:r>
      <w:r w:rsidR="008F3795">
        <w:t xml:space="preserve"> (Enhancing Online Privacy Measures</w:t>
      </w:r>
      <w:r w:rsidR="5620D5C7">
        <w:t>)</w:t>
      </w:r>
      <w:r w:rsidR="008F3795">
        <w:t xml:space="preserve"> Bill 2021</w:t>
      </w:r>
      <w:r w:rsidR="70AC299E">
        <w:t>,</w:t>
      </w:r>
      <w:r w:rsidR="008F3795">
        <w:t xml:space="preserve"> </w:t>
      </w:r>
      <w:r w:rsidR="006F5094">
        <w:t>preceding</w:t>
      </w:r>
      <w:r w:rsidR="008F3795">
        <w:t xml:space="preserve"> the </w:t>
      </w:r>
      <w:r w:rsidR="006F5094">
        <w:t>Review Report. This submission predominantly focused on issues of privacy relating to children</w:t>
      </w:r>
      <w:r w:rsidR="00CE593C">
        <w:t xml:space="preserve">. </w:t>
      </w:r>
      <w:r w:rsidR="0068724B">
        <w:t>Reiterating</w:t>
      </w:r>
      <w:r w:rsidR="00253964">
        <w:t xml:space="preserve"> the </w:t>
      </w:r>
      <w:r w:rsidR="0068724B">
        <w:t xml:space="preserve">importance </w:t>
      </w:r>
      <w:r w:rsidR="00253964">
        <w:t xml:space="preserve">of </w:t>
      </w:r>
      <w:r w:rsidR="45F677A8">
        <w:t xml:space="preserve">children’s rights, </w:t>
      </w:r>
      <w:r w:rsidR="00253964">
        <w:t xml:space="preserve">the </w:t>
      </w:r>
      <w:r w:rsidR="47924809">
        <w:t>issues raised in that</w:t>
      </w:r>
      <w:r w:rsidR="0068724B">
        <w:t xml:space="preserve"> submission</w:t>
      </w:r>
      <w:r w:rsidR="47924809">
        <w:t xml:space="preserve"> have</w:t>
      </w:r>
      <w:r w:rsidR="0068724B">
        <w:t xml:space="preserve"> </w:t>
      </w:r>
      <w:r w:rsidR="000F18A7">
        <w:t xml:space="preserve">informed </w:t>
      </w:r>
      <w:r w:rsidR="00215B1C">
        <w:t>proposals 16.1 to 16.</w:t>
      </w:r>
      <w:r w:rsidR="002D21ED">
        <w:t>5</w:t>
      </w:r>
      <w:r w:rsidR="000F18A7">
        <w:t xml:space="preserve"> of this submission to the Review Report</w:t>
      </w:r>
      <w:r w:rsidR="002D21ED">
        <w:t>.</w:t>
      </w:r>
    </w:p>
    <w:p w14:paraId="0ACFC3E8" w14:textId="106CB247" w:rsidR="008A6D91" w:rsidRDefault="008A6D91" w:rsidP="00561BD4">
      <w:pPr>
        <w:pStyle w:val="ListNumber"/>
      </w:pPr>
      <w:r>
        <w:t xml:space="preserve">The Commission has </w:t>
      </w:r>
      <w:r w:rsidR="004A3875">
        <w:t>continued its</w:t>
      </w:r>
      <w:r>
        <w:t xml:space="preserve"> work in 2023 on human rights and technology. This submission is in addition to </w:t>
      </w:r>
      <w:r w:rsidR="00371BC6">
        <w:t xml:space="preserve">other </w:t>
      </w:r>
      <w:r>
        <w:t>2023 submissions to</w:t>
      </w:r>
      <w:r w:rsidR="00371BC6">
        <w:t xml:space="preserve"> date, including</w:t>
      </w:r>
      <w:r w:rsidR="00611E15">
        <w:t xml:space="preserve"> to the</w:t>
      </w:r>
      <w:r>
        <w:t>:</w:t>
      </w:r>
    </w:p>
    <w:p w14:paraId="5F9B4A2F" w14:textId="3110466C" w:rsidR="008A6D91" w:rsidRDefault="00000000" w:rsidP="00561BD4">
      <w:pPr>
        <w:pStyle w:val="ListNumber"/>
        <w:numPr>
          <w:ilvl w:val="0"/>
          <w:numId w:val="29"/>
        </w:numPr>
      </w:pPr>
      <w:hyperlink r:id="rId21" w:history="1">
        <w:r w:rsidR="008A6D91" w:rsidRPr="001E6662">
          <w:rPr>
            <w:rStyle w:val="Hyperlink"/>
          </w:rPr>
          <w:t>Select Committee on Foreign Interference through Social Media</w:t>
        </w:r>
      </w:hyperlink>
    </w:p>
    <w:p w14:paraId="6379E209" w14:textId="70B09BAC" w:rsidR="008A6D91" w:rsidRDefault="00000000" w:rsidP="00561BD4">
      <w:pPr>
        <w:pStyle w:val="ListNumber"/>
        <w:numPr>
          <w:ilvl w:val="0"/>
          <w:numId w:val="29"/>
        </w:numPr>
      </w:pPr>
      <w:hyperlink r:id="rId22" w:history="1">
        <w:r w:rsidR="008A6D91" w:rsidRPr="006C2E5D">
          <w:rPr>
            <w:rStyle w:val="Hyperlink"/>
          </w:rPr>
          <w:t xml:space="preserve">Targeted Review of Divisions 270-271 of the </w:t>
        </w:r>
        <w:r w:rsidR="008A6D91" w:rsidRPr="006C2E5D">
          <w:rPr>
            <w:rStyle w:val="Hyperlink"/>
            <w:i/>
            <w:iCs/>
          </w:rPr>
          <w:t>Criminal Code Act 1995</w:t>
        </w:r>
        <w:r w:rsidR="008A6D91" w:rsidRPr="006C2E5D">
          <w:rPr>
            <w:rStyle w:val="Hyperlink"/>
          </w:rPr>
          <w:t xml:space="preserve"> (</w:t>
        </w:r>
        <w:proofErr w:type="spellStart"/>
        <w:r w:rsidR="008A6D91" w:rsidRPr="006C2E5D">
          <w:rPr>
            <w:rStyle w:val="Hyperlink"/>
          </w:rPr>
          <w:t>Cth</w:t>
        </w:r>
        <w:proofErr w:type="spellEnd"/>
        <w:r w:rsidR="008A6D91" w:rsidRPr="006C2E5D">
          <w:rPr>
            <w:rStyle w:val="Hyperlink"/>
          </w:rPr>
          <w:t>)</w:t>
        </w:r>
      </w:hyperlink>
      <w:r w:rsidR="008A6D91">
        <w:t xml:space="preserve"> (in respect of technology facilitated crime)</w:t>
      </w:r>
    </w:p>
    <w:p w14:paraId="55E161DD" w14:textId="48395687" w:rsidR="008A6D91" w:rsidRDefault="008A6D91" w:rsidP="00561BD4">
      <w:pPr>
        <w:pStyle w:val="ListNumber"/>
        <w:numPr>
          <w:ilvl w:val="0"/>
          <w:numId w:val="29"/>
        </w:numPr>
      </w:pPr>
      <w:r>
        <w:t xml:space="preserve">Australian Competition and Consumer Commission’s </w:t>
      </w:r>
      <w:r w:rsidR="000C096B">
        <w:t>‘</w:t>
      </w:r>
      <w:r w:rsidR="000C096B" w:rsidRPr="000C096B">
        <w:t>Digital Platform Services Inquiry – September 2023 Report on the expanding ecosystems of digital platform service providers issue paper</w:t>
      </w:r>
      <w:r w:rsidR="000C096B">
        <w:t>’</w:t>
      </w:r>
      <w:r w:rsidR="00371BC6">
        <w:t xml:space="preserve"> (pending)</w:t>
      </w:r>
      <w:r>
        <w:t xml:space="preserve">. </w:t>
      </w:r>
    </w:p>
    <w:p w14:paraId="3A8CC56F" w14:textId="21AF3563" w:rsidR="00D11337" w:rsidRDefault="008A6D91" w:rsidP="00561BD4">
      <w:pPr>
        <w:pStyle w:val="ListNumber"/>
      </w:pPr>
      <w:r>
        <w:lastRenderedPageBreak/>
        <w:t xml:space="preserve">The Commission welcomes further opportunities to provide </w:t>
      </w:r>
      <w:r w:rsidR="003C2481">
        <w:t>input, and consult with the Attorney-General’s Department, in respect of</w:t>
      </w:r>
      <w:r w:rsidR="00536F65">
        <w:t xml:space="preserve"> reforming the Act.</w:t>
      </w:r>
    </w:p>
    <w:p w14:paraId="1278F587" w14:textId="47052ED6" w:rsidR="007A66CB" w:rsidRDefault="007A66CB" w:rsidP="00561BD4">
      <w:pPr>
        <w:pStyle w:val="ListNumber"/>
      </w:pPr>
      <w:r>
        <w:t xml:space="preserve">The Commission has made 36 recommendations to the Review Report, which have all been collated at the end of this submission. </w:t>
      </w:r>
    </w:p>
    <w:p w14:paraId="2C0AC30F" w14:textId="5A726AA1" w:rsidR="00F65D40" w:rsidRDefault="00AF46C7" w:rsidP="00561BD4">
      <w:pPr>
        <w:pStyle w:val="Heading1"/>
      </w:pPr>
      <w:bookmarkStart w:id="32" w:name="_Toc131585350"/>
      <w:r>
        <w:t xml:space="preserve">Proposal </w:t>
      </w:r>
      <w:r w:rsidR="00FA7CE1">
        <w:t>3.1</w:t>
      </w:r>
      <w:bookmarkEnd w:id="32"/>
    </w:p>
    <w:p w14:paraId="4FCB6FFB" w14:textId="31BEA178" w:rsidR="0089483B" w:rsidRPr="00F462DB" w:rsidRDefault="00F462DB" w:rsidP="00561BD4">
      <w:pPr>
        <w:pStyle w:val="ListNumber"/>
        <w:numPr>
          <w:ilvl w:val="0"/>
          <w:numId w:val="0"/>
        </w:numPr>
        <w:ind w:left="360"/>
        <w:rPr>
          <w:i/>
          <w:iCs/>
        </w:rPr>
      </w:pPr>
      <w:r w:rsidRPr="00F462DB">
        <w:rPr>
          <w:i/>
          <w:iCs/>
        </w:rPr>
        <w:t>Amend the objects of the Act to clarify that the Act is about the protection of personal information</w:t>
      </w:r>
    </w:p>
    <w:p w14:paraId="5DCA1C1A" w14:textId="5D3AF74A" w:rsidR="00F462DB" w:rsidRDefault="53E36F15" w:rsidP="00561BD4">
      <w:pPr>
        <w:pStyle w:val="ListNumber"/>
      </w:pPr>
      <w:r>
        <w:t>The Commission</w:t>
      </w:r>
      <w:r w:rsidR="005B48BE">
        <w:t xml:space="preserve"> agrees with </w:t>
      </w:r>
      <w:r>
        <w:t>Proposal 3.1,</w:t>
      </w:r>
      <w:r w:rsidR="685614A3">
        <w:t xml:space="preserve"> as </w:t>
      </w:r>
      <w:r w:rsidR="2600179F">
        <w:t xml:space="preserve">clarifying the </w:t>
      </w:r>
      <w:r w:rsidR="6B8D74F7">
        <w:t>role of the Act in protecting personal information is a necessary reform.</w:t>
      </w:r>
    </w:p>
    <w:p w14:paraId="4BB118DB" w14:textId="77777777" w:rsidR="00695636" w:rsidRDefault="00695636" w:rsidP="00561BD4">
      <w:pPr>
        <w:pStyle w:val="ListNumber"/>
        <w:numPr>
          <w:ilvl w:val="0"/>
          <w:numId w:val="0"/>
        </w:numPr>
        <w:ind w:left="360"/>
      </w:pPr>
    </w:p>
    <w:p w14:paraId="76A1827E" w14:textId="3F6F6FA8" w:rsidR="00695636" w:rsidRPr="00695636" w:rsidRDefault="00695636" w:rsidP="00561BD4">
      <w:pPr>
        <w:pStyle w:val="ListNumber"/>
        <w:numPr>
          <w:ilvl w:val="0"/>
          <w:numId w:val="0"/>
        </w:numPr>
        <w:ind w:left="360"/>
        <w:rPr>
          <w:b/>
          <w:bCs/>
        </w:rPr>
      </w:pPr>
      <w:r w:rsidRPr="00695636">
        <w:rPr>
          <w:b/>
          <w:bCs/>
        </w:rPr>
        <w:t>Recommendation 1: Amend the objects of the Act to clarify that the Act is about the protection of personal information</w:t>
      </w:r>
      <w:r w:rsidR="00F74C49">
        <w:rPr>
          <w:b/>
          <w:bCs/>
        </w:rPr>
        <w:t>.</w:t>
      </w:r>
    </w:p>
    <w:p w14:paraId="55242562" w14:textId="77777777" w:rsidR="00695636" w:rsidRDefault="00695636" w:rsidP="00561BD4">
      <w:pPr>
        <w:pStyle w:val="ListNumber"/>
        <w:numPr>
          <w:ilvl w:val="0"/>
          <w:numId w:val="0"/>
        </w:numPr>
        <w:ind w:left="360"/>
      </w:pPr>
    </w:p>
    <w:p w14:paraId="73D2D68B" w14:textId="2BFE7F48" w:rsidR="00E3562E" w:rsidRDefault="6B8D74F7" w:rsidP="00561BD4">
      <w:pPr>
        <w:pStyle w:val="ListNumber"/>
      </w:pPr>
      <w:r>
        <w:t>However</w:t>
      </w:r>
      <w:r w:rsidR="2B6900EF">
        <w:t>, this reform alone is insufficient in</w:t>
      </w:r>
      <w:r w:rsidR="000769CF">
        <w:t xml:space="preserve"> strengthening the focus on the protection of </w:t>
      </w:r>
      <w:r w:rsidR="2B6900EF">
        <w:t xml:space="preserve">the rights of Australians. </w:t>
      </w:r>
      <w:r w:rsidR="6B701712">
        <w:t>T</w:t>
      </w:r>
      <w:r w:rsidR="2AF3D236">
        <w:t xml:space="preserve">he </w:t>
      </w:r>
      <w:r w:rsidR="7A1DBFBE">
        <w:t xml:space="preserve">Privacy Act Review </w:t>
      </w:r>
      <w:r w:rsidR="2AF3D236" w:rsidRPr="0030261C">
        <w:t>Discussion Paper</w:t>
      </w:r>
      <w:r w:rsidR="009A7369" w:rsidRPr="0030261C">
        <w:rPr>
          <w:rStyle w:val="EndnoteReference"/>
        </w:rPr>
        <w:endnoteReference w:id="2"/>
      </w:r>
      <w:r w:rsidR="7A1DBFBE">
        <w:t xml:space="preserve"> (Discussion Paper)</w:t>
      </w:r>
      <w:r w:rsidR="2AF3D236">
        <w:t xml:space="preserve"> and </w:t>
      </w:r>
      <w:r w:rsidR="3CAD55FF">
        <w:t xml:space="preserve">Review </w:t>
      </w:r>
      <w:r w:rsidR="2AF3D236">
        <w:t>Report</w:t>
      </w:r>
      <w:r w:rsidR="00AA0F70">
        <w:t>,</w:t>
      </w:r>
      <w:r w:rsidR="009A7369">
        <w:rPr>
          <w:rStyle w:val="EndnoteReference"/>
        </w:rPr>
        <w:endnoteReference w:id="3"/>
      </w:r>
      <w:r w:rsidR="2AF3D236">
        <w:t xml:space="preserve"> </w:t>
      </w:r>
      <w:r w:rsidR="3AE78822">
        <w:t xml:space="preserve">indicate that including a positive right to privacy in the objects of the Act </w:t>
      </w:r>
      <w:r w:rsidR="5C92ECF3">
        <w:t>i</w:t>
      </w:r>
      <w:r w:rsidR="3AE78822">
        <w:t xml:space="preserve">s </w:t>
      </w:r>
      <w:r w:rsidR="5C92ECF3">
        <w:t xml:space="preserve">superfluous to reform which aspires to </w:t>
      </w:r>
      <w:r w:rsidR="48A43B6A">
        <w:t>place</w:t>
      </w:r>
      <w:r w:rsidR="5C92ECF3">
        <w:t xml:space="preserve"> </w:t>
      </w:r>
      <w:r w:rsidR="58513B48">
        <w:t>‘</w:t>
      </w:r>
      <w:r w:rsidR="5C92ECF3">
        <w:t>greater weight to the protection of individuals’ privacy</w:t>
      </w:r>
      <w:r w:rsidR="58513B48">
        <w:t>’</w:t>
      </w:r>
      <w:r w:rsidR="5C92ECF3">
        <w:t>.</w:t>
      </w:r>
      <w:r w:rsidR="000C198D">
        <w:rPr>
          <w:rStyle w:val="EndnoteReference"/>
        </w:rPr>
        <w:endnoteReference w:id="4"/>
      </w:r>
      <w:r w:rsidR="5C92ECF3">
        <w:t xml:space="preserve"> </w:t>
      </w:r>
    </w:p>
    <w:p w14:paraId="65F6CD9D" w14:textId="166AA01C" w:rsidR="005355AA" w:rsidRDefault="1F62D168" w:rsidP="00561BD4">
      <w:pPr>
        <w:pStyle w:val="ListNumber"/>
      </w:pPr>
      <w:r>
        <w:t xml:space="preserve">The Review Report </w:t>
      </w:r>
      <w:r w:rsidR="63577ABF">
        <w:t>discusses the right to privac</w:t>
      </w:r>
      <w:r w:rsidR="24837E19">
        <w:t>y as an object in the Act,</w:t>
      </w:r>
      <w:r w:rsidR="00DF3154">
        <w:rPr>
          <w:rStyle w:val="EndnoteReference"/>
        </w:rPr>
        <w:endnoteReference w:id="5"/>
      </w:r>
      <w:r w:rsidR="24837E19">
        <w:t xml:space="preserve"> but does not </w:t>
      </w:r>
      <w:r w:rsidR="6A1B2854">
        <w:t>put this forward as a proposed reform.</w:t>
      </w:r>
      <w:r w:rsidR="7B055C9A">
        <w:t xml:space="preserve"> The Discussion Paper </w:t>
      </w:r>
      <w:r w:rsidR="3A5F7B0D">
        <w:t xml:space="preserve">states that a right to privacy should not be included in s 2A </w:t>
      </w:r>
      <w:r w:rsidR="00A41420">
        <w:t xml:space="preserve">of the </w:t>
      </w:r>
      <w:r w:rsidR="3A5F7B0D">
        <w:t xml:space="preserve">Act as </w:t>
      </w:r>
      <w:r w:rsidR="1F6D2049">
        <w:t>‘It is not appropriate for the objects to refer to a ‘right to privacy’ because, despite common parlance, Art 17 does not confer such a right, nor does it amount to absolute protection.’</w:t>
      </w:r>
      <w:r w:rsidR="00F91D5E">
        <w:rPr>
          <w:rStyle w:val="EndnoteReference"/>
        </w:rPr>
        <w:endnoteReference w:id="6"/>
      </w:r>
      <w:r w:rsidR="24837E19">
        <w:t xml:space="preserve"> </w:t>
      </w:r>
    </w:p>
    <w:p w14:paraId="6BFD3F71" w14:textId="787CAD5E" w:rsidR="0066562E" w:rsidRDefault="008C048E" w:rsidP="00561BD4">
      <w:pPr>
        <w:pStyle w:val="ListNumber"/>
      </w:pPr>
      <w:r>
        <w:t>A</w:t>
      </w:r>
      <w:r w:rsidR="27661893">
        <w:t xml:space="preserve"> refusal to acknowledge the right to privacy in the objects of the Act is inconsistent with </w:t>
      </w:r>
      <w:r w:rsidR="380E5793">
        <w:t xml:space="preserve">not only a best practice adherence to Australia’s international obligations under the </w:t>
      </w:r>
      <w:r w:rsidR="03043760" w:rsidRPr="6D05706E">
        <w:rPr>
          <w:i/>
          <w:iCs/>
        </w:rPr>
        <w:t xml:space="preserve">International Covenant on Civil and Political Rights </w:t>
      </w:r>
      <w:r w:rsidR="03043760" w:rsidRPr="00FE09F9">
        <w:t>(ICCPR)</w:t>
      </w:r>
      <w:r>
        <w:t>,</w:t>
      </w:r>
      <w:r w:rsidR="380E5793">
        <w:t xml:space="preserve"> but </w:t>
      </w:r>
      <w:r w:rsidR="57B71B9F">
        <w:t xml:space="preserve">also at odds with a genuine attempt by these reforms to place ‘greater weight </w:t>
      </w:r>
      <w:r>
        <w:t xml:space="preserve">on </w:t>
      </w:r>
      <w:r w:rsidR="57B71B9F">
        <w:t>the protection of individuals’ privacy’.</w:t>
      </w:r>
      <w:r w:rsidR="00181687">
        <w:rPr>
          <w:rStyle w:val="EndnoteReference"/>
        </w:rPr>
        <w:endnoteReference w:id="7"/>
      </w:r>
    </w:p>
    <w:p w14:paraId="243B8159" w14:textId="792706C1" w:rsidR="00DD3B0C" w:rsidRDefault="7D1F5D09" w:rsidP="00561BD4">
      <w:pPr>
        <w:pStyle w:val="ListNumber"/>
      </w:pPr>
      <w:r>
        <w:t xml:space="preserve">To best protect individuals’ privacy, </w:t>
      </w:r>
      <w:r w:rsidR="006B4177">
        <w:t xml:space="preserve">recognising </w:t>
      </w:r>
      <w:r w:rsidR="4E2F898C">
        <w:t>a positive</w:t>
      </w:r>
      <w:r w:rsidR="6DD4FA73">
        <w:t xml:space="preserve"> and </w:t>
      </w:r>
      <w:r w:rsidR="00C90B81">
        <w:t xml:space="preserve">predominant </w:t>
      </w:r>
      <w:r w:rsidR="4E2F898C">
        <w:t xml:space="preserve">right to privacy in the objects of the Act is necessary to ensure that judicial </w:t>
      </w:r>
      <w:r w:rsidR="34AB0942">
        <w:t>consideration</w:t>
      </w:r>
      <w:r w:rsidR="4E2F898C">
        <w:t xml:space="preserve"> of the </w:t>
      </w:r>
      <w:r w:rsidR="34AB0942">
        <w:t xml:space="preserve">Act is predicated on upholding the human right to privacy. </w:t>
      </w:r>
      <w:r w:rsidR="723205FD">
        <w:t xml:space="preserve">The Commission strongly supports </w:t>
      </w:r>
      <w:r w:rsidR="447DC343">
        <w:t>submi</w:t>
      </w:r>
      <w:r w:rsidR="0A7F7A82">
        <w:t xml:space="preserve">ssions which have previously called for the objects </w:t>
      </w:r>
      <w:r w:rsidR="736111C8">
        <w:t>of the Act</w:t>
      </w:r>
      <w:r w:rsidR="0A7F7A82">
        <w:t xml:space="preserve"> to recognise a positive right to privac</w:t>
      </w:r>
      <w:r w:rsidR="0A7F7A82" w:rsidRPr="00A72223">
        <w:t>y</w:t>
      </w:r>
      <w:r w:rsidR="6DD4FA73" w:rsidRPr="00A72223">
        <w:t>.</w:t>
      </w:r>
      <w:r w:rsidR="00A27130" w:rsidRPr="00A72223">
        <w:rPr>
          <w:rStyle w:val="EndnoteReference"/>
        </w:rPr>
        <w:endnoteReference w:id="8"/>
      </w:r>
      <w:r w:rsidR="0A7F7A82">
        <w:t xml:space="preserve"> </w:t>
      </w:r>
    </w:p>
    <w:p w14:paraId="5807E1BB" w14:textId="6A2E86F7" w:rsidR="005706B3" w:rsidRDefault="1836DEE8" w:rsidP="002F3C82">
      <w:pPr>
        <w:pStyle w:val="ListNumber"/>
      </w:pPr>
      <w:r>
        <w:lastRenderedPageBreak/>
        <w:t xml:space="preserve">The right to privacy is a human right under </w:t>
      </w:r>
      <w:r w:rsidR="78141809">
        <w:t xml:space="preserve">article 17 of </w:t>
      </w:r>
      <w:r>
        <w:t xml:space="preserve">the </w:t>
      </w:r>
      <w:r w:rsidR="3841BEB7">
        <w:t>ICCPR</w:t>
      </w:r>
      <w:r w:rsidR="00E82B99">
        <w:t xml:space="preserve">, as well as being </w:t>
      </w:r>
      <w:r w:rsidR="0091186C">
        <w:t xml:space="preserve">enshrined in a number of other </w:t>
      </w:r>
      <w:r w:rsidR="00205FF8">
        <w:t xml:space="preserve">applicable </w:t>
      </w:r>
      <w:r w:rsidR="0091186C">
        <w:t>international human rights instruments</w:t>
      </w:r>
      <w:r w:rsidR="78141809">
        <w:t>.</w:t>
      </w:r>
      <w:r w:rsidR="0091186C">
        <w:rPr>
          <w:rStyle w:val="EndnoteReference"/>
        </w:rPr>
        <w:endnoteReference w:id="9"/>
      </w:r>
      <w:r w:rsidR="78141809">
        <w:t xml:space="preserve"> Although the right </w:t>
      </w:r>
      <w:r w:rsidR="4F3F8E42">
        <w:t xml:space="preserve">to privacy is not </w:t>
      </w:r>
      <w:r w:rsidR="2F70E731">
        <w:t xml:space="preserve">an absolute right, and is one which is </w:t>
      </w:r>
      <w:proofErr w:type="spellStart"/>
      <w:r w:rsidR="56F0D3FF" w:rsidRPr="005374CD">
        <w:t>deroga</w:t>
      </w:r>
      <w:r w:rsidR="56F0D3FF">
        <w:t>ble</w:t>
      </w:r>
      <w:proofErr w:type="spellEnd"/>
      <w:r w:rsidR="005374CD">
        <w:rPr>
          <w:rStyle w:val="EndnoteReference"/>
        </w:rPr>
        <w:endnoteReference w:id="10"/>
      </w:r>
      <w:r w:rsidR="2F70E731">
        <w:t xml:space="preserve"> </w:t>
      </w:r>
      <w:r w:rsidR="40A4D7F8">
        <w:t>under the ICCPR</w:t>
      </w:r>
      <w:r w:rsidR="27816F0F">
        <w:t>,</w:t>
      </w:r>
      <w:r w:rsidR="40A4D7F8">
        <w:t xml:space="preserve"> </w:t>
      </w:r>
      <w:r w:rsidR="27816F0F">
        <w:t xml:space="preserve">this </w:t>
      </w:r>
      <w:r w:rsidR="15713ADE">
        <w:t>does not mean it should be excluded in the objects of the Act</w:t>
      </w:r>
      <w:r w:rsidR="2553F559">
        <w:t>– especially when the right to privacy is not fully</w:t>
      </w:r>
      <w:r w:rsidR="1B3F0340">
        <w:t xml:space="preserve"> </w:t>
      </w:r>
      <w:r w:rsidR="2553F559">
        <w:t>protected in Australian law.</w:t>
      </w:r>
      <w:r w:rsidR="00B519BD">
        <w:rPr>
          <w:rStyle w:val="EndnoteReference"/>
        </w:rPr>
        <w:endnoteReference w:id="11"/>
      </w:r>
    </w:p>
    <w:p w14:paraId="29F17D8D" w14:textId="77777777" w:rsidR="00B814F5" w:rsidRDefault="00B814F5" w:rsidP="00561BD4">
      <w:pPr>
        <w:pStyle w:val="Heading2"/>
      </w:pPr>
      <w:bookmarkStart w:id="33" w:name="_Toc131585351"/>
      <w:r>
        <w:t>Privacy in the 21</w:t>
      </w:r>
      <w:r w:rsidRPr="007C2B1F">
        <w:rPr>
          <w:vertAlign w:val="superscript"/>
        </w:rPr>
        <w:t>st</w:t>
      </w:r>
      <w:r>
        <w:t xml:space="preserve"> century</w:t>
      </w:r>
      <w:bookmarkEnd w:id="33"/>
      <w:r>
        <w:t xml:space="preserve"> </w:t>
      </w:r>
    </w:p>
    <w:p w14:paraId="306A444B" w14:textId="77163B44" w:rsidR="00B814F5" w:rsidRDefault="694E4E26" w:rsidP="00561BD4">
      <w:pPr>
        <w:pStyle w:val="ListNumber"/>
      </w:pPr>
      <w:r>
        <w:t xml:space="preserve">The right to privacy is a </w:t>
      </w:r>
      <w:r w:rsidR="27FE2024">
        <w:t>cornerstone</w:t>
      </w:r>
      <w:r>
        <w:t xml:space="preserve"> human right</w:t>
      </w:r>
      <w:r w:rsidR="00E90CE0">
        <w:t>.</w:t>
      </w:r>
      <w:r>
        <w:t xml:space="preserve"> </w:t>
      </w:r>
      <w:r w:rsidR="00E90CE0">
        <w:t>A</w:t>
      </w:r>
      <w:r>
        <w:t>s noted by the Office of the Australian Information Commissioner (OAIC), it also underpins freedoms of association, thought and expression, as well as freedom from discrimination.</w:t>
      </w:r>
      <w:r w:rsidR="00B814F5">
        <w:rPr>
          <w:rStyle w:val="EndnoteReference"/>
        </w:rPr>
        <w:endnoteReference w:id="12"/>
      </w:r>
    </w:p>
    <w:p w14:paraId="71499C6D" w14:textId="00627ED5" w:rsidR="001162CE" w:rsidRDefault="00EF1EED" w:rsidP="00561BD4">
      <w:pPr>
        <w:pStyle w:val="ListNumber"/>
      </w:pPr>
      <w:r w:rsidRPr="00EF1EED">
        <w:t>The right to privacy developed over centuries. For example, in the fourth</w:t>
      </w:r>
      <w:r>
        <w:t xml:space="preserve"> </w:t>
      </w:r>
      <w:r w:rsidRPr="00EF1EED">
        <w:t>century B.C.E Aristotle drew the distinction between the public sphere of politics and the private sphere of domestic life. Thousands of years later, the ‘fourth industrial revolution’ is characterised by rapid technological development. These changes have arguably reinforced the central importance of the right to privacy.</w:t>
      </w:r>
    </w:p>
    <w:p w14:paraId="453BED82" w14:textId="3E3A489E" w:rsidR="0026765A" w:rsidRDefault="2C7D5682" w:rsidP="00561BD4">
      <w:pPr>
        <w:pStyle w:val="ListNumber"/>
      </w:pPr>
      <w:r>
        <w:t xml:space="preserve">The rapid pace of technological advancement has, in part, been </w:t>
      </w:r>
      <w:r w:rsidR="3047BD10">
        <w:t xml:space="preserve">paid for by the harvesting of </w:t>
      </w:r>
      <w:r w:rsidR="694E4E26">
        <w:t>individuals’ personal data.</w:t>
      </w:r>
      <w:r w:rsidR="00B814F5">
        <w:rPr>
          <w:rStyle w:val="EndnoteReference"/>
        </w:rPr>
        <w:endnoteReference w:id="13"/>
      </w:r>
      <w:r w:rsidR="694E4E26">
        <w:t xml:space="preserve"> </w:t>
      </w:r>
      <w:r w:rsidR="22FBE03F">
        <w:t xml:space="preserve">This is especially so for technologies </w:t>
      </w:r>
      <w:r w:rsidR="13D65958">
        <w:t>or applications which are free</w:t>
      </w:r>
      <w:r w:rsidR="2426321A">
        <w:t xml:space="preserve"> to use</w:t>
      </w:r>
      <w:r w:rsidR="13D65958">
        <w:t xml:space="preserve"> – as the saying goes</w:t>
      </w:r>
      <w:r w:rsidR="2E49A3E5">
        <w:t>;</w:t>
      </w:r>
      <w:r w:rsidR="13D65958">
        <w:t xml:space="preserve"> </w:t>
      </w:r>
      <w:r w:rsidR="2426321A">
        <w:t>‘</w:t>
      </w:r>
      <w:r w:rsidR="13D65958">
        <w:t xml:space="preserve">if you aren’t paying for </w:t>
      </w:r>
      <w:r w:rsidR="2E49A3E5">
        <w:t>the product,</w:t>
      </w:r>
      <w:r w:rsidR="13D65958">
        <w:t xml:space="preserve"> you are the product</w:t>
      </w:r>
      <w:r w:rsidR="2426321A">
        <w:t>’</w:t>
      </w:r>
      <w:r w:rsidR="13D65958">
        <w:t>.</w:t>
      </w:r>
    </w:p>
    <w:p w14:paraId="5EEDC0FC" w14:textId="08BDA0C9" w:rsidR="007C5257" w:rsidRDefault="1D408D86" w:rsidP="00561BD4">
      <w:pPr>
        <w:pStyle w:val="ListNumber"/>
      </w:pPr>
      <w:r>
        <w:t>In an age where digital participation is essential to modern living, users are being given an illusion of choice – agree to have data collected and used or be excluded from participating in everyday living. The Commission does not accept that digital participation should come at the expense of privacy.</w:t>
      </w:r>
    </w:p>
    <w:p w14:paraId="20E0C73B" w14:textId="61D6297A" w:rsidR="007F480A" w:rsidRDefault="1D408D86" w:rsidP="00561BD4">
      <w:pPr>
        <w:pStyle w:val="ListNumber"/>
      </w:pPr>
      <w:proofErr w:type="spellStart"/>
      <w:r>
        <w:t>Vint</w:t>
      </w:r>
      <w:proofErr w:type="spellEnd"/>
      <w:r>
        <w:t xml:space="preserve"> Cerf, Vice President and Chief Internet Evangelist at Google, once stated that ‘privacy may actually be an anomaly’.</w:t>
      </w:r>
      <w:r w:rsidR="007C5257" w:rsidRPr="00CF4821">
        <w:rPr>
          <w:rStyle w:val="EndnoteReference"/>
        </w:rPr>
        <w:endnoteReference w:id="14"/>
      </w:r>
      <w:r>
        <w:t xml:space="preserve"> </w:t>
      </w:r>
      <w:r w:rsidR="0031388E">
        <w:t xml:space="preserve">The recognised challenges to privacy protection are magnified </w:t>
      </w:r>
      <w:r w:rsidR="00044670">
        <w:t xml:space="preserve">in light of expanding </w:t>
      </w:r>
      <w:r w:rsidR="00172DBF">
        <w:t xml:space="preserve">interoperability, data sharing and new and emerging technologies. </w:t>
      </w:r>
      <w:r w:rsidR="0031388E">
        <w:t xml:space="preserve"> </w:t>
      </w:r>
    </w:p>
    <w:p w14:paraId="452EBA51" w14:textId="71994B0B" w:rsidR="007C5257" w:rsidRDefault="1D408D86" w:rsidP="00561BD4">
      <w:pPr>
        <w:pStyle w:val="ListNumber"/>
      </w:pPr>
      <w:r>
        <w:t>This alarming statement</w:t>
      </w:r>
      <w:r w:rsidR="00B11143">
        <w:t xml:space="preserve"> which</w:t>
      </w:r>
      <w:r>
        <w:t xml:space="preserve"> at first glance may seem hyperbolic or exaggerated. However,</w:t>
      </w:r>
      <w:r w:rsidR="00883024">
        <w:t xml:space="preserve"> there is concern</w:t>
      </w:r>
      <w:r>
        <w:t xml:space="preserve"> that the continued disintegration of the right to privacy</w:t>
      </w:r>
      <w:r w:rsidR="00B11143">
        <w:t>,</w:t>
      </w:r>
      <w:r>
        <w:t xml:space="preserve"> </w:t>
      </w:r>
      <w:r w:rsidR="003C50FD">
        <w:t>risks seeing</w:t>
      </w:r>
      <w:r>
        <w:t xml:space="preserve"> this statement </w:t>
      </w:r>
      <w:r w:rsidR="00883024">
        <w:t>come to fruition</w:t>
      </w:r>
      <w:r>
        <w:t>.</w:t>
      </w:r>
    </w:p>
    <w:p w14:paraId="6D78FAC2" w14:textId="321DC279" w:rsidR="00955FE7" w:rsidRDefault="00955FE7" w:rsidP="00561BD4">
      <w:pPr>
        <w:pStyle w:val="Heading2"/>
      </w:pPr>
      <w:bookmarkStart w:id="34" w:name="_Toc131585352"/>
      <w:r>
        <w:t>A Human</w:t>
      </w:r>
      <w:r w:rsidR="001129CF">
        <w:t xml:space="preserve"> Rights Act for Australia</w:t>
      </w:r>
      <w:bookmarkEnd w:id="34"/>
    </w:p>
    <w:p w14:paraId="75006D07" w14:textId="3299A278" w:rsidR="007E33FB" w:rsidRDefault="3D1ED7C2" w:rsidP="00561BD4">
      <w:pPr>
        <w:pStyle w:val="ListNumber"/>
      </w:pPr>
      <w:r>
        <w:t xml:space="preserve">The Review Report </w:t>
      </w:r>
      <w:r w:rsidR="4572B67C">
        <w:t xml:space="preserve">refers to the Commission’s </w:t>
      </w:r>
      <w:hyperlink r:id="rId23" w:history="1">
        <w:r w:rsidR="73F4AB12" w:rsidRPr="001D72B5">
          <w:rPr>
            <w:rStyle w:val="Hyperlink"/>
          </w:rPr>
          <w:t>Free and Equal: An Australian conversation on human right</w:t>
        </w:r>
      </w:hyperlink>
      <w:r w:rsidR="782F92BB">
        <w:t xml:space="preserve"> project.</w:t>
      </w:r>
      <w:r w:rsidR="001E6F7A">
        <w:rPr>
          <w:rStyle w:val="EndnoteReference"/>
        </w:rPr>
        <w:endnoteReference w:id="15"/>
      </w:r>
      <w:r w:rsidR="30680DA0">
        <w:t xml:space="preserve"> </w:t>
      </w:r>
      <w:r w:rsidR="6931DB2A">
        <w:t>Since then</w:t>
      </w:r>
      <w:r w:rsidR="00454C12">
        <w:t>,</w:t>
      </w:r>
      <w:r w:rsidR="6931DB2A">
        <w:t xml:space="preserve"> t</w:t>
      </w:r>
      <w:r w:rsidR="306D5C82">
        <w:t xml:space="preserve">he Commission </w:t>
      </w:r>
      <w:r w:rsidR="672112B0">
        <w:t>launched its</w:t>
      </w:r>
      <w:r w:rsidR="1417EC7D">
        <w:t xml:space="preserve"> </w:t>
      </w:r>
      <w:hyperlink r:id="rId24" w:history="1">
        <w:r w:rsidR="1417EC7D" w:rsidRPr="00887E92">
          <w:rPr>
            <w:rStyle w:val="Hyperlink"/>
          </w:rPr>
          <w:t>Position Paper: A Human Rights Act for Australia</w:t>
        </w:r>
      </w:hyperlink>
      <w:r w:rsidR="751296E7">
        <w:t xml:space="preserve"> </w:t>
      </w:r>
      <w:r w:rsidR="132A5455">
        <w:t>(Position Paper)</w:t>
      </w:r>
      <w:r w:rsidR="00454C12">
        <w:t xml:space="preserve"> on 9 March</w:t>
      </w:r>
      <w:r w:rsidR="132A5455">
        <w:t>. In</w:t>
      </w:r>
      <w:r w:rsidR="3A6084A2">
        <w:t xml:space="preserve"> the Position Paper </w:t>
      </w:r>
      <w:r w:rsidR="12DE0BFE">
        <w:t>the Commission</w:t>
      </w:r>
      <w:r w:rsidR="3A6084A2">
        <w:t xml:space="preserve"> specifically</w:t>
      </w:r>
      <w:r w:rsidR="12DE0BFE">
        <w:t xml:space="preserve"> </w:t>
      </w:r>
      <w:r w:rsidR="09FBE56B">
        <w:t>recommend</w:t>
      </w:r>
      <w:r w:rsidR="132A5455">
        <w:t>s</w:t>
      </w:r>
      <w:r w:rsidR="09FBE56B">
        <w:t xml:space="preserve"> the </w:t>
      </w:r>
      <w:r w:rsidR="09FBE56B">
        <w:lastRenderedPageBreak/>
        <w:t xml:space="preserve">inclusion of </w:t>
      </w:r>
      <w:r w:rsidR="6BFB14AA">
        <w:t xml:space="preserve">a </w:t>
      </w:r>
      <w:r w:rsidR="3A6084A2">
        <w:t>‘</w:t>
      </w:r>
      <w:r w:rsidR="6BFB14AA">
        <w:t>right to privacy and reputation</w:t>
      </w:r>
      <w:r w:rsidR="3A6084A2">
        <w:t>’</w:t>
      </w:r>
      <w:r w:rsidR="6BFB14AA">
        <w:t xml:space="preserve"> </w:t>
      </w:r>
      <w:r w:rsidR="12BA623A">
        <w:t xml:space="preserve">in </w:t>
      </w:r>
      <w:r w:rsidR="67C5341F">
        <w:t>the proposed</w:t>
      </w:r>
      <w:r w:rsidR="12BA623A">
        <w:t xml:space="preserve"> Australian Human Rights Act.</w:t>
      </w:r>
      <w:r w:rsidR="0022672B">
        <w:rPr>
          <w:rStyle w:val="EndnoteReference"/>
        </w:rPr>
        <w:endnoteReference w:id="16"/>
      </w:r>
      <w:r w:rsidR="12BA623A">
        <w:t xml:space="preserve"> </w:t>
      </w:r>
    </w:p>
    <w:p w14:paraId="25279B53" w14:textId="726FB7B8" w:rsidR="00E72A2A" w:rsidRDefault="17E48414" w:rsidP="00561BD4">
      <w:pPr>
        <w:pStyle w:val="ListNumber"/>
      </w:pPr>
      <w:r>
        <w:t xml:space="preserve">The inclusion of </w:t>
      </w:r>
      <w:r w:rsidR="349E61AB">
        <w:t>a</w:t>
      </w:r>
      <w:r w:rsidR="0003233A">
        <w:t xml:space="preserve"> positive duty </w:t>
      </w:r>
      <w:r w:rsidR="004B3858">
        <w:t>to act in compliance with human rights (such as the right to privacy and reputation)</w:t>
      </w:r>
      <w:r w:rsidR="00B20706">
        <w:t xml:space="preserve"> in t</w:t>
      </w:r>
      <w:r>
        <w:t xml:space="preserve">he proposed </w:t>
      </w:r>
      <w:r w:rsidR="001478BD">
        <w:t>model for a</w:t>
      </w:r>
      <w:r w:rsidR="00772ADF">
        <w:t>n</w:t>
      </w:r>
      <w:r w:rsidR="001478BD">
        <w:t xml:space="preserve"> </w:t>
      </w:r>
      <w:r>
        <w:t xml:space="preserve">Australian </w:t>
      </w:r>
      <w:r w:rsidR="6AEBD7D2">
        <w:t>H</w:t>
      </w:r>
      <w:r>
        <w:t xml:space="preserve">uman </w:t>
      </w:r>
      <w:r w:rsidR="6AEBD7D2">
        <w:t>R</w:t>
      </w:r>
      <w:r>
        <w:t xml:space="preserve">ights </w:t>
      </w:r>
      <w:r w:rsidR="6AEBD7D2">
        <w:t>A</w:t>
      </w:r>
      <w:r>
        <w:t xml:space="preserve">ct demonstrates the importance of the right to privacy in the digital age – especially in relation to the collection and use of personal data. </w:t>
      </w:r>
    </w:p>
    <w:p w14:paraId="6A0A05DF" w14:textId="0464B527" w:rsidR="00F057A7" w:rsidRDefault="0282E277" w:rsidP="00561BD4">
      <w:pPr>
        <w:pStyle w:val="ListNumber"/>
      </w:pPr>
      <w:r>
        <w:t xml:space="preserve">The </w:t>
      </w:r>
      <w:r w:rsidR="001478BD">
        <w:t>Commission’s model includes</w:t>
      </w:r>
      <w:r w:rsidR="57DA282E">
        <w:t xml:space="preserve"> a </w:t>
      </w:r>
      <w:r w:rsidR="08E3B7D7">
        <w:t>legislative obligation</w:t>
      </w:r>
      <w:r w:rsidR="57DA282E">
        <w:t xml:space="preserve"> for public authorities to act compatibly with the human rights expressed in the Human Rights Act </w:t>
      </w:r>
      <w:r w:rsidR="1C7FA31F">
        <w:t>(such as the right to privacy</w:t>
      </w:r>
      <w:r w:rsidR="00EF2819">
        <w:t xml:space="preserve"> and reputation</w:t>
      </w:r>
      <w:r w:rsidR="1C7FA31F">
        <w:t xml:space="preserve">) </w:t>
      </w:r>
      <w:r w:rsidR="57DA282E">
        <w:t>and consider human rights when making decis</w:t>
      </w:r>
      <w:r w:rsidR="66594867">
        <w:t>ions</w:t>
      </w:r>
      <w:r w:rsidR="20EFB9BA">
        <w:t>.</w:t>
      </w:r>
      <w:r w:rsidR="00734BB4">
        <w:rPr>
          <w:rStyle w:val="EndnoteReference"/>
        </w:rPr>
        <w:endnoteReference w:id="17"/>
      </w:r>
      <w:r w:rsidR="20EFB9BA">
        <w:t xml:space="preserve"> This is known </w:t>
      </w:r>
      <w:r w:rsidR="3709C5CD">
        <w:t xml:space="preserve">as a ‘positive duty’ and compliance with it would be judicially reviewable. </w:t>
      </w:r>
    </w:p>
    <w:p w14:paraId="1ECD52F3" w14:textId="16C23B80" w:rsidR="006A7BB9" w:rsidRDefault="4B96C187" w:rsidP="00561BD4">
      <w:pPr>
        <w:pStyle w:val="ListNumber"/>
      </w:pPr>
      <w:r>
        <w:t xml:space="preserve">The positive duty builds upon the understanding of human rights over more than 10 years of engagement in the </w:t>
      </w:r>
      <w:r w:rsidR="08E3B7D7">
        <w:t>p</w:t>
      </w:r>
      <w:r>
        <w:t xml:space="preserve">arliamentary scrutiny process involving statements of compatibility and review by the </w:t>
      </w:r>
      <w:r w:rsidR="07FA01A7" w:rsidRPr="00612460">
        <w:t xml:space="preserve">Parliamentary Joint Committee on Human Rights </w:t>
      </w:r>
      <w:r w:rsidR="07FA01A7">
        <w:t>(</w:t>
      </w:r>
      <w:r>
        <w:t>PJCHR</w:t>
      </w:r>
      <w:r w:rsidR="07FA01A7">
        <w:t>)</w:t>
      </w:r>
      <w:r>
        <w:t>.</w:t>
      </w:r>
      <w:r w:rsidR="006A7BB9">
        <w:rPr>
          <w:rStyle w:val="EndnoteReference"/>
        </w:rPr>
        <w:endnoteReference w:id="18"/>
      </w:r>
    </w:p>
    <w:p w14:paraId="47F74EA7" w14:textId="36A01E66" w:rsidR="00183447" w:rsidRDefault="2C43AE03" w:rsidP="00561BD4">
      <w:pPr>
        <w:pStyle w:val="ListNumber"/>
      </w:pPr>
      <w:r>
        <w:t xml:space="preserve">The requirement to give ‘proper consideration’ to human rights applies to making decisions and implementing legislation and policy – it is a procedural obligation. The requirement to ‘act compatibly’ with human rights is a substantive obligation on public authorities. </w:t>
      </w:r>
      <w:r w:rsidR="1B9A8DD9">
        <w:t>Under the proposed Human Rights Act, p</w:t>
      </w:r>
      <w:r>
        <w:t>ublic authorities would also be required to engage in participation processes where the ‘participation duty’ is relevant, as part of the ‘proper consideration’ limb. Compliance with the positive duty would be reviewable by courts (and possibly by tribunals). The positive duty would require decision makers to consider human rights at an early stage, helping to prevent breaches from occurring</w:t>
      </w:r>
      <w:r w:rsidR="28A7301A">
        <w:t>.</w:t>
      </w:r>
      <w:r w:rsidR="00183447">
        <w:rPr>
          <w:rStyle w:val="EndnoteReference"/>
        </w:rPr>
        <w:endnoteReference w:id="19"/>
      </w:r>
      <w:r w:rsidR="23644A72">
        <w:t xml:space="preserve"> Further details can be found in the </w:t>
      </w:r>
      <w:hyperlink r:id="rId25" w:history="1">
        <w:r w:rsidR="23644A72" w:rsidRPr="008F190B">
          <w:rPr>
            <w:rStyle w:val="Hyperlink"/>
          </w:rPr>
          <w:t>Commission</w:t>
        </w:r>
        <w:r w:rsidR="00147A49" w:rsidRPr="008F190B">
          <w:rPr>
            <w:rStyle w:val="Hyperlink"/>
          </w:rPr>
          <w:t>’</w:t>
        </w:r>
        <w:r w:rsidR="23644A72" w:rsidRPr="008F190B">
          <w:rPr>
            <w:rStyle w:val="Hyperlink"/>
          </w:rPr>
          <w:t>s Position Paper</w:t>
        </w:r>
      </w:hyperlink>
      <w:r w:rsidR="23644A72">
        <w:t>.</w:t>
      </w:r>
    </w:p>
    <w:p w14:paraId="210149D7" w14:textId="34E738C8" w:rsidR="00205DFB" w:rsidRDefault="00394495" w:rsidP="00561BD4">
      <w:pPr>
        <w:pStyle w:val="ListNumber"/>
      </w:pPr>
      <w:r>
        <w:t>T</w:t>
      </w:r>
      <w:r w:rsidR="28A7301A">
        <w:t>he Position Paper</w:t>
      </w:r>
      <w:r>
        <w:t xml:space="preserve"> proposes the inclusion of an interpretive clause in the Human Rights Act</w:t>
      </w:r>
      <w:r w:rsidR="00115A14">
        <w:t xml:space="preserve"> stating that </w:t>
      </w:r>
      <w:r w:rsidR="28A7301A">
        <w:t>c</w:t>
      </w:r>
      <w:r w:rsidR="6A62974C">
        <w:t>ourts are to prefer an interpretation that is compatible with human rights, provided that this is consistent with the intention of Parliament, as expressed through the statute under analysis.</w:t>
      </w:r>
      <w:r w:rsidR="00205DFB">
        <w:rPr>
          <w:rStyle w:val="EndnoteReference"/>
        </w:rPr>
        <w:endnoteReference w:id="20"/>
      </w:r>
      <w:r w:rsidR="6A62974C">
        <w:t xml:space="preserve"> </w:t>
      </w:r>
      <w:r w:rsidR="00D053A9">
        <w:t>This approach is consistent with</w:t>
      </w:r>
      <w:r w:rsidR="00631649">
        <w:t>, and builds on,</w:t>
      </w:r>
      <w:r w:rsidR="00D053A9">
        <w:t xml:space="preserve"> the </w:t>
      </w:r>
      <w:r w:rsidR="008E715C">
        <w:t>‘principle of legality’, a common law principle of statutory interpretation that presumes Parliament ‘does not intend to interfere with common law rights and freedoms except by clear and unequivocal language’.</w:t>
      </w:r>
      <w:r w:rsidR="008E715C">
        <w:rPr>
          <w:rStyle w:val="EndnoteReference"/>
        </w:rPr>
        <w:endnoteReference w:id="21"/>
      </w:r>
      <w:r w:rsidR="008E715C">
        <w:t xml:space="preserve"> </w:t>
      </w:r>
      <w:r w:rsidR="008F35F3">
        <w:t>Th</w:t>
      </w:r>
      <w:r w:rsidR="00582B74">
        <w:t xml:space="preserve">ese approaches to interpretation reinforce the significance of including the right to privacy </w:t>
      </w:r>
      <w:r w:rsidR="000247CE">
        <w:t>in the objectives of the Act</w:t>
      </w:r>
      <w:r w:rsidR="00097D4D">
        <w:t xml:space="preserve"> as a</w:t>
      </w:r>
      <w:r w:rsidR="000E4A6A">
        <w:t xml:space="preserve"> clear indication of the intention of Parliament. </w:t>
      </w:r>
    </w:p>
    <w:p w14:paraId="387039FE" w14:textId="1A49FBE4" w:rsidR="00C438FE" w:rsidRDefault="12BA623A" w:rsidP="00561BD4">
      <w:pPr>
        <w:pStyle w:val="ListNumber"/>
      </w:pPr>
      <w:r>
        <w:t xml:space="preserve">The </w:t>
      </w:r>
      <w:r w:rsidR="6AD6F59F">
        <w:t>proposed right</w:t>
      </w:r>
      <w:r w:rsidR="2C43AE03">
        <w:t xml:space="preserve"> to privacy and reputation</w:t>
      </w:r>
      <w:r w:rsidR="6AD6F59F">
        <w:t xml:space="preserve"> </w:t>
      </w:r>
      <w:r w:rsidR="00B664A1">
        <w:t xml:space="preserve">outlined in the Human Rights Act </w:t>
      </w:r>
      <w:r w:rsidR="56A0BC60">
        <w:t>states:</w:t>
      </w:r>
    </w:p>
    <w:p w14:paraId="5ADC7739" w14:textId="6252808B" w:rsidR="009869B8" w:rsidRPr="001422F3" w:rsidRDefault="00CA6ABC" w:rsidP="00561BD4">
      <w:pPr>
        <w:pStyle w:val="ListNumber"/>
        <w:numPr>
          <w:ilvl w:val="0"/>
          <w:numId w:val="0"/>
        </w:numPr>
        <w:ind w:left="360"/>
        <w:rPr>
          <w:i/>
          <w:iCs/>
        </w:rPr>
      </w:pPr>
      <w:r>
        <w:tab/>
      </w:r>
      <w:r w:rsidRPr="001422F3">
        <w:rPr>
          <w:i/>
          <w:iCs/>
        </w:rPr>
        <w:t>A person has the right-</w:t>
      </w:r>
    </w:p>
    <w:p w14:paraId="121CE7A0" w14:textId="374AF036" w:rsidR="00962C6A" w:rsidRPr="001422F3" w:rsidRDefault="00545E8E" w:rsidP="00561BD4">
      <w:pPr>
        <w:pStyle w:val="ListNumber"/>
        <w:numPr>
          <w:ilvl w:val="0"/>
          <w:numId w:val="0"/>
        </w:numPr>
        <w:ind w:left="1134"/>
        <w:rPr>
          <w:i/>
          <w:iCs/>
        </w:rPr>
      </w:pPr>
      <w:r w:rsidRPr="001422F3">
        <w:rPr>
          <w:i/>
          <w:iCs/>
        </w:rPr>
        <w:lastRenderedPageBreak/>
        <w:t>(a) not to have the person’s privacy, family, home or correspondence unlawfully or arbitrarily interfered with; and</w:t>
      </w:r>
    </w:p>
    <w:p w14:paraId="1664A85B" w14:textId="0716AE78" w:rsidR="00545E8E" w:rsidRPr="001422F3" w:rsidRDefault="00545E8E" w:rsidP="00561BD4">
      <w:pPr>
        <w:pStyle w:val="ListNumber"/>
        <w:numPr>
          <w:ilvl w:val="0"/>
          <w:numId w:val="0"/>
        </w:numPr>
        <w:ind w:left="1134"/>
        <w:rPr>
          <w:i/>
          <w:iCs/>
        </w:rPr>
      </w:pPr>
      <w:r w:rsidRPr="001422F3">
        <w:rPr>
          <w:i/>
          <w:iCs/>
        </w:rPr>
        <w:t xml:space="preserve">(b) </w:t>
      </w:r>
      <w:r w:rsidR="00A61C04" w:rsidRPr="001422F3">
        <w:rPr>
          <w:i/>
          <w:iCs/>
        </w:rPr>
        <w:t>not to have the person’s reputation unlawfully attacked.</w:t>
      </w:r>
    </w:p>
    <w:p w14:paraId="26EC18C3" w14:textId="4BD3E9FC" w:rsidR="00A61C04" w:rsidRDefault="009869B8" w:rsidP="00561BD4">
      <w:pPr>
        <w:pStyle w:val="ListNumber"/>
        <w:numPr>
          <w:ilvl w:val="0"/>
          <w:numId w:val="0"/>
        </w:numPr>
        <w:ind w:left="1134"/>
      </w:pPr>
      <w:r w:rsidRPr="009869B8">
        <w:rPr>
          <w:i/>
          <w:iCs/>
        </w:rPr>
        <w:t>Note: The right to privacy applies to the collection, processing or retention of personal data through all forms of technology, and includes state surveillance measures</w:t>
      </w:r>
      <w:r>
        <w:t>.</w:t>
      </w:r>
      <w:r w:rsidR="00694AD3">
        <w:rPr>
          <w:rStyle w:val="EndnoteReference"/>
        </w:rPr>
        <w:endnoteReference w:id="22"/>
      </w:r>
    </w:p>
    <w:p w14:paraId="6B570239" w14:textId="42F15C4B" w:rsidR="009869B8" w:rsidRDefault="00B664A1" w:rsidP="00561BD4">
      <w:pPr>
        <w:pStyle w:val="ListNumber"/>
      </w:pPr>
      <w:r>
        <w:t xml:space="preserve">This </w:t>
      </w:r>
      <w:r w:rsidR="18139EDC">
        <w:t xml:space="preserve">proposed right to privacy and reputation implements </w:t>
      </w:r>
      <w:r w:rsidR="00C672CE">
        <w:t>art</w:t>
      </w:r>
      <w:r w:rsidR="18139EDC">
        <w:t xml:space="preserve"> 17 of the ICCPR </w:t>
      </w:r>
      <w:r w:rsidR="03068E7B">
        <w:t>(to which Australia has signed and ratified)</w:t>
      </w:r>
      <w:r w:rsidR="0431054C">
        <w:t xml:space="preserve">. The proposed right is also worded closely on </w:t>
      </w:r>
      <w:r w:rsidR="48B8F496">
        <w:t xml:space="preserve">s 13 </w:t>
      </w:r>
      <w:r w:rsidR="48B8F496" w:rsidRPr="6D05706E">
        <w:rPr>
          <w:i/>
          <w:iCs/>
        </w:rPr>
        <w:t>Victorian Charter</w:t>
      </w:r>
      <w:r w:rsidR="743BB73E" w:rsidRPr="6D05706E">
        <w:rPr>
          <w:i/>
          <w:iCs/>
        </w:rPr>
        <w:t xml:space="preserve"> of Human Rights and Responsibilities Act 2006 </w:t>
      </w:r>
      <w:r w:rsidR="743BB73E">
        <w:t>(Vic)</w:t>
      </w:r>
      <w:r w:rsidR="48B8F496">
        <w:t xml:space="preserve">, s 25 </w:t>
      </w:r>
      <w:r w:rsidR="48B8F496" w:rsidRPr="6D05706E">
        <w:rPr>
          <w:i/>
          <w:iCs/>
        </w:rPr>
        <w:t>Human Rights Act</w:t>
      </w:r>
      <w:r w:rsidR="14D3CBCF" w:rsidRPr="6D05706E">
        <w:rPr>
          <w:i/>
          <w:iCs/>
        </w:rPr>
        <w:t xml:space="preserve"> 2019</w:t>
      </w:r>
      <w:r w:rsidR="69C5AD77">
        <w:t xml:space="preserve"> (Qld)</w:t>
      </w:r>
      <w:r w:rsidR="48B8F496">
        <w:t xml:space="preserve"> and s 12 </w:t>
      </w:r>
      <w:r w:rsidR="48B8F496" w:rsidRPr="6D05706E">
        <w:rPr>
          <w:i/>
          <w:iCs/>
        </w:rPr>
        <w:t>Human Rights Act</w:t>
      </w:r>
      <w:r w:rsidR="3F934C10" w:rsidRPr="6D05706E">
        <w:rPr>
          <w:i/>
          <w:iCs/>
        </w:rPr>
        <w:t xml:space="preserve"> 2004</w:t>
      </w:r>
      <w:r w:rsidR="3F934C10">
        <w:t xml:space="preserve"> (ACT).</w:t>
      </w:r>
      <w:r w:rsidR="00DA06B5">
        <w:rPr>
          <w:rStyle w:val="EndnoteReference"/>
        </w:rPr>
        <w:endnoteReference w:id="23"/>
      </w:r>
    </w:p>
    <w:p w14:paraId="1339F2AD" w14:textId="7963BDD4" w:rsidR="00851A5C" w:rsidRDefault="408241D7" w:rsidP="00561BD4">
      <w:pPr>
        <w:pStyle w:val="ListNumber"/>
      </w:pPr>
      <w:r>
        <w:t xml:space="preserve">Pertinently the </w:t>
      </w:r>
      <w:r w:rsidR="573133AF">
        <w:t xml:space="preserve">note </w:t>
      </w:r>
      <w:r w:rsidR="1D8D5AD6">
        <w:t>clarifies that privacy rights extend to technological surveillance measures, noting the increased capacity of the state collect personal data and make decisions based on that data through artificial intelligence</w:t>
      </w:r>
      <w:r w:rsidR="3B36AC1F">
        <w:t xml:space="preserve"> (AI)</w:t>
      </w:r>
      <w:r w:rsidR="1D8D5AD6">
        <w:t>.</w:t>
      </w:r>
      <w:r w:rsidR="001422F3">
        <w:rPr>
          <w:rStyle w:val="EndnoteReference"/>
        </w:rPr>
        <w:endnoteReference w:id="24"/>
      </w:r>
    </w:p>
    <w:p w14:paraId="68437EC9" w14:textId="624D009A" w:rsidR="00672751" w:rsidRDefault="7BF1D543" w:rsidP="00561BD4">
      <w:pPr>
        <w:pStyle w:val="ListNumber"/>
      </w:pPr>
      <w:r>
        <w:t>The inclusion of a right to privacy in the propose</w:t>
      </w:r>
      <w:r w:rsidR="79AB4239">
        <w:t>d</w:t>
      </w:r>
      <w:r>
        <w:t xml:space="preserve"> Human Rights Act is especially relevant given </w:t>
      </w:r>
      <w:r w:rsidR="79AB4239">
        <w:t xml:space="preserve">PJCHR </w:t>
      </w:r>
      <w:r w:rsidR="3254B5B3">
        <w:t xml:space="preserve">findings. </w:t>
      </w:r>
      <w:r w:rsidR="3A9BF54B">
        <w:t>The PJCHR</w:t>
      </w:r>
      <w:r w:rsidR="6D988E4D">
        <w:t xml:space="preserve">’s annual report </w:t>
      </w:r>
      <w:r w:rsidR="6B10F33B">
        <w:t xml:space="preserve">sets out the most commonly listed rights engaged </w:t>
      </w:r>
      <w:r w:rsidR="006C6824">
        <w:t xml:space="preserve">by the legislation which the </w:t>
      </w:r>
      <w:r w:rsidR="00C6721C">
        <w:t xml:space="preserve">PJCHR examined and substantively commented on </w:t>
      </w:r>
      <w:r w:rsidR="6B10F33B">
        <w:t xml:space="preserve">during the year. </w:t>
      </w:r>
      <w:r w:rsidR="5BAFEF9C">
        <w:t xml:space="preserve">The </w:t>
      </w:r>
      <w:r w:rsidR="4A0EC538">
        <w:t xml:space="preserve">2020 annual report </w:t>
      </w:r>
      <w:r w:rsidR="48422170">
        <w:t xml:space="preserve">evidenced the right to privacy as the most commonly engaged with </w:t>
      </w:r>
      <w:r w:rsidR="796396B4">
        <w:t>right at 28%</w:t>
      </w:r>
      <w:r w:rsidR="14A661B7">
        <w:t>.</w:t>
      </w:r>
      <w:r w:rsidR="00ED40CF">
        <w:rPr>
          <w:rStyle w:val="EndnoteReference"/>
        </w:rPr>
        <w:endnoteReference w:id="25"/>
      </w:r>
      <w:r w:rsidR="5F271109">
        <w:t xml:space="preserve"> </w:t>
      </w:r>
      <w:r w:rsidR="67D43E79">
        <w:t>This was also true in 2021</w:t>
      </w:r>
      <w:r w:rsidR="5978090E">
        <w:t>.</w:t>
      </w:r>
      <w:r w:rsidR="00680666">
        <w:rPr>
          <w:rStyle w:val="EndnoteReference"/>
        </w:rPr>
        <w:endnoteReference w:id="26"/>
      </w:r>
      <w:r w:rsidR="6A83243A">
        <w:t xml:space="preserve"> </w:t>
      </w:r>
      <w:r w:rsidR="16FC3A30">
        <w:t>H</w:t>
      </w:r>
      <w:r w:rsidR="5F271109">
        <w:t>owever</w:t>
      </w:r>
      <w:r w:rsidR="16FC3A30">
        <w:t>, as far back as 2016 the right to privacy has been one of the most commonly engaged rights each year.</w:t>
      </w:r>
      <w:r w:rsidR="00D305A8">
        <w:rPr>
          <w:rStyle w:val="EndnoteReference"/>
        </w:rPr>
        <w:endnoteReference w:id="27"/>
      </w:r>
    </w:p>
    <w:p w14:paraId="7D43A381" w14:textId="48B2048C" w:rsidR="00364099" w:rsidRDefault="008C30EF" w:rsidP="00561BD4">
      <w:pPr>
        <w:pStyle w:val="ListNumber"/>
      </w:pPr>
      <w:r>
        <w:t xml:space="preserve">Protecting </w:t>
      </w:r>
      <w:r w:rsidR="287B74B1">
        <w:t xml:space="preserve">the right to privacy is increasingly important as </w:t>
      </w:r>
      <w:r w:rsidR="002C53A4">
        <w:t>the rapid pace of change</w:t>
      </w:r>
      <w:r w:rsidR="00886BFF">
        <w:t xml:space="preserve"> </w:t>
      </w:r>
      <w:r>
        <w:t xml:space="preserve">in digital spaces </w:t>
      </w:r>
      <w:r w:rsidR="00EB01B3">
        <w:t>elevates the</w:t>
      </w:r>
      <w:r>
        <w:t xml:space="preserve"> risk</w:t>
      </w:r>
      <w:r w:rsidR="00EB01B3">
        <w:t xml:space="preserve"> of this right being increasingly overlooked </w:t>
      </w:r>
      <w:r w:rsidR="39FD6109">
        <w:t xml:space="preserve">when introducing legislation. For </w:t>
      </w:r>
      <w:r w:rsidR="2484BBD5">
        <w:t>example,</w:t>
      </w:r>
      <w:r w:rsidR="39FD6109">
        <w:t xml:space="preserve"> </w:t>
      </w:r>
      <w:r w:rsidR="6595FF9C">
        <w:t xml:space="preserve">the </w:t>
      </w:r>
      <w:r w:rsidR="6595FF9C" w:rsidRPr="6D05706E">
        <w:rPr>
          <w:i/>
          <w:iCs/>
        </w:rPr>
        <w:t>Telecommunications (Interception and Access) Amendment (Data Retention) Act 2015</w:t>
      </w:r>
      <w:r w:rsidR="6595FF9C">
        <w:t xml:space="preserve"> (</w:t>
      </w:r>
      <w:proofErr w:type="spellStart"/>
      <w:r w:rsidR="6595FF9C">
        <w:t>Cth</w:t>
      </w:r>
      <w:proofErr w:type="spellEnd"/>
      <w:r w:rsidR="6595FF9C">
        <w:t>) was passed in 2015</w:t>
      </w:r>
      <w:r w:rsidR="00882737">
        <w:t xml:space="preserve"> –</w:t>
      </w:r>
      <w:r w:rsidR="6595FF9C">
        <w:t xml:space="preserve"> despite concerns </w:t>
      </w:r>
      <w:r w:rsidR="7CEE3E7F">
        <w:t>in respect of privacy</w:t>
      </w:r>
      <w:r w:rsidR="4143C7B3">
        <w:t>.</w:t>
      </w:r>
      <w:r w:rsidR="002541FC">
        <w:rPr>
          <w:rStyle w:val="EndnoteReference"/>
        </w:rPr>
        <w:endnoteReference w:id="28"/>
      </w:r>
      <w:r w:rsidR="2484BBD5">
        <w:t xml:space="preserve"> Since then</w:t>
      </w:r>
      <w:r w:rsidR="00882737">
        <w:t>,</w:t>
      </w:r>
      <w:r w:rsidR="2484BBD5">
        <w:t xml:space="preserve"> </w:t>
      </w:r>
      <w:r w:rsidR="1C8AC2CF">
        <w:t>further surv</w:t>
      </w:r>
      <w:r w:rsidR="67E54957">
        <w:t xml:space="preserve">eillance measures have been introduced, </w:t>
      </w:r>
      <w:r w:rsidR="7E51DD2A">
        <w:t>vastly expanding executive power and limiting the right to privacy for Australians.</w:t>
      </w:r>
      <w:r w:rsidR="00BA3766">
        <w:rPr>
          <w:rStyle w:val="EndnoteReference"/>
        </w:rPr>
        <w:endnoteReference w:id="29"/>
      </w:r>
    </w:p>
    <w:p w14:paraId="44A15855" w14:textId="0AAFBBCB" w:rsidR="00D47C5A" w:rsidRDefault="0F213398" w:rsidP="00561BD4">
      <w:pPr>
        <w:pStyle w:val="ListNumber"/>
      </w:pPr>
      <w:r>
        <w:t xml:space="preserve">Subsequent </w:t>
      </w:r>
      <w:r w:rsidR="14A80098">
        <w:t xml:space="preserve">reviews of </w:t>
      </w:r>
      <w:r w:rsidR="07ABD750">
        <w:t xml:space="preserve">metadata retention and surveillance laws by the Parliamentary Joint Committee on Intelligence and Security (PJCIS) and the Independent National Security Legislation Monitor (INSLM) </w:t>
      </w:r>
      <w:r w:rsidR="00045CFC">
        <w:t xml:space="preserve">have </w:t>
      </w:r>
      <w:r w:rsidR="07ABD750">
        <w:t xml:space="preserve">recommended the mitigation or removal of overreaching surveillance powers. </w:t>
      </w:r>
      <w:r w:rsidR="7C939AEF">
        <w:t>However,</w:t>
      </w:r>
      <w:r w:rsidR="07ABD750">
        <w:t xml:space="preserve"> these recommendations </w:t>
      </w:r>
      <w:r w:rsidR="00045CFC">
        <w:t xml:space="preserve">are too </w:t>
      </w:r>
      <w:r w:rsidR="07ABD750">
        <w:t>often not implemented.</w:t>
      </w:r>
      <w:r w:rsidR="00E93B98">
        <w:rPr>
          <w:rStyle w:val="EndnoteReference"/>
        </w:rPr>
        <w:endnoteReference w:id="30"/>
      </w:r>
    </w:p>
    <w:p w14:paraId="398C47D4" w14:textId="1F19D363" w:rsidR="008A2333" w:rsidRDefault="615C6DA9" w:rsidP="00561BD4">
      <w:pPr>
        <w:pStyle w:val="ListNumber"/>
      </w:pPr>
      <w:r>
        <w:t xml:space="preserve">The Commission’s proposed </w:t>
      </w:r>
      <w:r w:rsidR="004B7FD8">
        <w:t xml:space="preserve">model for a </w:t>
      </w:r>
      <w:r>
        <w:t xml:space="preserve">federal Human Rights Act is one way to anchor the promotion and protection of human rights in Australia. </w:t>
      </w:r>
      <w:r w:rsidR="00435181">
        <w:t>A</w:t>
      </w:r>
      <w:r>
        <w:t xml:space="preserve">ction is also needed across all areas of law reform to ensure compliance with Australia’s </w:t>
      </w:r>
      <w:r w:rsidR="004B0F9B">
        <w:t xml:space="preserve">international human rights obligations and to reflect our </w:t>
      </w:r>
      <w:r>
        <w:t xml:space="preserve">commitment to </w:t>
      </w:r>
      <w:r w:rsidR="004B0F9B">
        <w:t xml:space="preserve">fundamental </w:t>
      </w:r>
      <w:r>
        <w:t>human rights.</w:t>
      </w:r>
      <w:r w:rsidR="5FD8921D">
        <w:t xml:space="preserve"> </w:t>
      </w:r>
    </w:p>
    <w:p w14:paraId="6432BDA7" w14:textId="3575B6E9" w:rsidR="003E6938" w:rsidRDefault="0B147FB0" w:rsidP="00561BD4">
      <w:pPr>
        <w:pStyle w:val="ListNumber"/>
      </w:pPr>
      <w:r>
        <w:lastRenderedPageBreak/>
        <w:t xml:space="preserve">Without </w:t>
      </w:r>
      <w:r w:rsidR="004B0F9B">
        <w:t xml:space="preserve">the </w:t>
      </w:r>
      <w:r>
        <w:t>right to privacy</w:t>
      </w:r>
      <w:r w:rsidR="004B0F9B">
        <w:t xml:space="preserve"> being</w:t>
      </w:r>
      <w:r>
        <w:t xml:space="preserve"> </w:t>
      </w:r>
      <w:r w:rsidR="00FA098E">
        <w:t xml:space="preserve">included </w:t>
      </w:r>
      <w:r w:rsidR="004B0F9B">
        <w:t xml:space="preserve">as the paramount object </w:t>
      </w:r>
      <w:r>
        <w:t>in s 2A of the Act, the Commission is concerned</w:t>
      </w:r>
      <w:r w:rsidR="00DC472E">
        <w:t xml:space="preserve"> that the Act does not fully reflect </w:t>
      </w:r>
      <w:r w:rsidR="008647B9">
        <w:t>Australia’s commitment to this foundational human right</w:t>
      </w:r>
      <w:r w:rsidR="00F37C1D">
        <w:t>, nor the importance of protecting this right in the 21</w:t>
      </w:r>
      <w:r w:rsidR="00F37C1D" w:rsidRPr="003426B1">
        <w:rPr>
          <w:vertAlign w:val="superscript"/>
        </w:rPr>
        <w:t>st</w:t>
      </w:r>
      <w:r w:rsidR="00F37C1D">
        <w:t xml:space="preserve"> century.</w:t>
      </w:r>
    </w:p>
    <w:p w14:paraId="1AA22AC9" w14:textId="77777777" w:rsidR="008A2333" w:rsidRDefault="008A2333" w:rsidP="00561BD4">
      <w:pPr>
        <w:pStyle w:val="ListNumber"/>
        <w:numPr>
          <w:ilvl w:val="0"/>
          <w:numId w:val="0"/>
        </w:numPr>
        <w:ind w:left="360"/>
      </w:pPr>
    </w:p>
    <w:p w14:paraId="00F2F852" w14:textId="026D4504" w:rsidR="008A2333" w:rsidRPr="008A2333" w:rsidRDefault="008A2333" w:rsidP="00561BD4">
      <w:pPr>
        <w:pStyle w:val="ListNumber"/>
        <w:numPr>
          <w:ilvl w:val="0"/>
          <w:numId w:val="0"/>
        </w:numPr>
        <w:ind w:left="360"/>
        <w:rPr>
          <w:b/>
          <w:bCs/>
        </w:rPr>
      </w:pPr>
      <w:r w:rsidRPr="008A2333">
        <w:rPr>
          <w:b/>
          <w:bCs/>
        </w:rPr>
        <w:t xml:space="preserve">Recommendation </w:t>
      </w:r>
      <w:r w:rsidR="00F74C49">
        <w:rPr>
          <w:b/>
          <w:bCs/>
        </w:rPr>
        <w:t>2</w:t>
      </w:r>
      <w:r w:rsidRPr="008A2333">
        <w:rPr>
          <w:b/>
          <w:bCs/>
        </w:rPr>
        <w:t xml:space="preserve">: The human right to privacy must be included as the paramount object in s 2A of the Act. </w:t>
      </w:r>
    </w:p>
    <w:p w14:paraId="77E9BA99" w14:textId="77777777" w:rsidR="008A2333" w:rsidRDefault="008A2333" w:rsidP="00561BD4">
      <w:pPr>
        <w:pStyle w:val="ListNumber"/>
        <w:numPr>
          <w:ilvl w:val="0"/>
          <w:numId w:val="0"/>
        </w:numPr>
        <w:ind w:left="360"/>
      </w:pPr>
    </w:p>
    <w:p w14:paraId="7C917E14" w14:textId="472FA5DD" w:rsidR="006B1B12" w:rsidRDefault="006B1B12" w:rsidP="00561BD4">
      <w:pPr>
        <w:pStyle w:val="Heading1"/>
      </w:pPr>
      <w:bookmarkStart w:id="35" w:name="_Toc131585353"/>
      <w:bookmarkStart w:id="36" w:name="_Ref129527511"/>
      <w:r>
        <w:t>Proposal 4.</w:t>
      </w:r>
      <w:r w:rsidR="008718DD">
        <w:t>10</w:t>
      </w:r>
      <w:bookmarkEnd w:id="35"/>
      <w:r>
        <w:t xml:space="preserve"> </w:t>
      </w:r>
    </w:p>
    <w:p w14:paraId="36871698" w14:textId="1FB30D6D" w:rsidR="008718DD" w:rsidRPr="008718DD" w:rsidRDefault="008718DD" w:rsidP="00561BD4">
      <w:pPr>
        <w:pStyle w:val="ListNumber"/>
        <w:numPr>
          <w:ilvl w:val="0"/>
          <w:numId w:val="0"/>
        </w:numPr>
        <w:ind w:left="360"/>
        <w:rPr>
          <w:i/>
          <w:iCs/>
        </w:rPr>
      </w:pPr>
      <w:r w:rsidRPr="008718DD">
        <w:rPr>
          <w:i/>
          <w:iCs/>
        </w:rPr>
        <w:t>Proposal 4.10 Recognise collection, use, disclosure and storage of precise geolocation tracking data as a practice which requires consent. Define ‘geolocation tracking data’ as personal information which shows an individual’s precise geolocation which is collected and stored by reference to a particular individual at a particular place and time, and tracked over time.</w:t>
      </w:r>
    </w:p>
    <w:p w14:paraId="2DF48111" w14:textId="77777777" w:rsidR="005C5C7B" w:rsidRDefault="005C5C7B" w:rsidP="00561BD4">
      <w:pPr>
        <w:pStyle w:val="Heading2"/>
      </w:pPr>
      <w:bookmarkStart w:id="37" w:name="_Toc131585354"/>
      <w:r>
        <w:t>Recognising the sensitivity of location tracking data</w:t>
      </w:r>
      <w:bookmarkEnd w:id="37"/>
    </w:p>
    <w:p w14:paraId="6131C3A2" w14:textId="3B4CCF04" w:rsidR="00FC1FB4" w:rsidRDefault="710D01E3" w:rsidP="00561BD4">
      <w:pPr>
        <w:pStyle w:val="ListNumber"/>
      </w:pPr>
      <w:r>
        <w:t>With nearly nine out of ten Australians owning a mobile phone</w:t>
      </w:r>
      <w:r w:rsidR="00A11C6E">
        <w:t>,</w:t>
      </w:r>
      <w:r w:rsidR="00FC1FB4">
        <w:rPr>
          <w:rStyle w:val="EndnoteReference"/>
        </w:rPr>
        <w:endnoteReference w:id="31"/>
      </w:r>
      <w:r>
        <w:t xml:space="preserve"> concerns about the way location tracking data is used are increasing. Location tracking data can be collected by the user’s proximity to cell phone towers, or through websites and apps.  </w:t>
      </w:r>
    </w:p>
    <w:p w14:paraId="4D2B1895" w14:textId="77777777" w:rsidR="00FC1FB4" w:rsidRDefault="710D01E3" w:rsidP="00561BD4">
      <w:pPr>
        <w:pStyle w:val="ListNumber"/>
      </w:pPr>
      <w:r>
        <w:t xml:space="preserve">Location tracking data has the potential to be misused in a way that reveals other sensitive information about individuals to third parties without their knowledge or consent.  </w:t>
      </w:r>
    </w:p>
    <w:p w14:paraId="095AFA34" w14:textId="4765ACFC" w:rsidR="00FC1FB4" w:rsidRDefault="710D01E3" w:rsidP="00561BD4">
      <w:pPr>
        <w:pStyle w:val="ListNumber"/>
      </w:pPr>
      <w:r>
        <w:t>The</w:t>
      </w:r>
      <w:r w:rsidR="00146CB4">
        <w:t xml:space="preserve"> Consumer Views and Behaviours on Digital Platforms Final Report, prepared for the</w:t>
      </w:r>
      <w:r>
        <w:t xml:space="preserve"> </w:t>
      </w:r>
      <w:r w:rsidR="00DD43CB">
        <w:t>Australian Competition and Consumer Commission (</w:t>
      </w:r>
      <w:r>
        <w:t>ACCC</w:t>
      </w:r>
      <w:r w:rsidR="00DD43CB">
        <w:t>)</w:t>
      </w:r>
      <w:r w:rsidR="00146CB4">
        <w:t xml:space="preserve"> in 2018</w:t>
      </w:r>
      <w:r w:rsidR="003E461B">
        <w:t>,</w:t>
      </w:r>
      <w:r w:rsidR="00957C9B">
        <w:t xml:space="preserve"> revealed</w:t>
      </w:r>
      <w:r>
        <w:t xml:space="preserve"> that 86</w:t>
      </w:r>
      <w:r w:rsidR="008448E3">
        <w:t>%</w:t>
      </w:r>
      <w:r>
        <w:t xml:space="preserve"> of </w:t>
      </w:r>
      <w:r w:rsidR="00590CA8">
        <w:t xml:space="preserve">survey </w:t>
      </w:r>
      <w:r>
        <w:t>respondents consider</w:t>
      </w:r>
      <w:r w:rsidR="1FA8B895">
        <w:t>ed</w:t>
      </w:r>
      <w:r>
        <w:t xml:space="preserve"> that monitoring of offline location and movement without consent was a misuse of personal information.</w:t>
      </w:r>
      <w:r w:rsidR="00FC1FB4">
        <w:rPr>
          <w:rStyle w:val="EndnoteReference"/>
        </w:rPr>
        <w:endnoteReference w:id="32"/>
      </w:r>
    </w:p>
    <w:p w14:paraId="0446E313" w14:textId="40D1F3FE" w:rsidR="00FC1FB4" w:rsidRDefault="008A37E9" w:rsidP="00561BD4">
      <w:pPr>
        <w:pStyle w:val="ListNumber"/>
      </w:pPr>
      <w:r>
        <w:t>G</w:t>
      </w:r>
      <w:r w:rsidR="710D01E3">
        <w:t>eolocation tracking data is</w:t>
      </w:r>
      <w:r w:rsidR="00590CA8">
        <w:t xml:space="preserve"> currently</w:t>
      </w:r>
      <w:r w:rsidR="710D01E3">
        <w:t xml:space="preserve"> categorised as </w:t>
      </w:r>
      <w:r>
        <w:t>‘</w:t>
      </w:r>
      <w:r w:rsidR="710D01E3">
        <w:t>personal information</w:t>
      </w:r>
      <w:r>
        <w:t>’</w:t>
      </w:r>
      <w:r w:rsidR="710D01E3">
        <w:t xml:space="preserve">. </w:t>
      </w:r>
      <w:r w:rsidR="007A3594">
        <w:t xml:space="preserve">In </w:t>
      </w:r>
      <w:r w:rsidR="00ED7AC2">
        <w:t xml:space="preserve">the </w:t>
      </w:r>
      <w:r w:rsidR="002818C6">
        <w:t>Commission’s</w:t>
      </w:r>
      <w:r w:rsidR="007A3594">
        <w:t xml:space="preserve"> view, this does not fully recognise the </w:t>
      </w:r>
      <w:r w:rsidR="003F517F">
        <w:t>sensitivity of this data</w:t>
      </w:r>
      <w:r w:rsidR="0031571B">
        <w:t xml:space="preserve"> and the significant privacy harms that can result from its misuse. </w:t>
      </w:r>
      <w:r w:rsidR="00ED7AC2">
        <w:t>T</w:t>
      </w:r>
      <w:r w:rsidR="710D01E3">
        <w:t>his data should be designated as ‘sensitive information</w:t>
      </w:r>
      <w:r w:rsidR="00880C64">
        <w:t>’</w:t>
      </w:r>
      <w:r>
        <w:t xml:space="preserve">, which </w:t>
      </w:r>
      <w:r w:rsidR="710D01E3">
        <w:t>is subject to more stringent requirements for its use and disclosure.</w:t>
      </w:r>
      <w:r w:rsidR="00FC1FB4">
        <w:rPr>
          <w:rStyle w:val="EndnoteReference"/>
        </w:rPr>
        <w:endnoteReference w:id="33"/>
      </w:r>
    </w:p>
    <w:p w14:paraId="2E821032" w14:textId="4711D186" w:rsidR="00FC1FB4" w:rsidRDefault="710D01E3" w:rsidP="00561BD4">
      <w:pPr>
        <w:pStyle w:val="ListNumber"/>
      </w:pPr>
      <w:r>
        <w:t>Sensitive information is defined in the Act as including information or an opinion about a range of personal opinions, beliefs or affiliations.</w:t>
      </w:r>
      <w:r w:rsidR="00FC1FB4">
        <w:rPr>
          <w:rStyle w:val="EndnoteReference"/>
        </w:rPr>
        <w:endnoteReference w:id="34"/>
      </w:r>
      <w:r>
        <w:t xml:space="preserve"> </w:t>
      </w:r>
    </w:p>
    <w:p w14:paraId="4EB412CA" w14:textId="77777777" w:rsidR="00FC1FB4" w:rsidRDefault="710D01E3" w:rsidP="00561BD4">
      <w:pPr>
        <w:pStyle w:val="ListNumber"/>
      </w:pPr>
      <w:r>
        <w:lastRenderedPageBreak/>
        <w:t xml:space="preserve">As geolocation tracking data allows inferences to be made about a person that would constitute sensitive information under the current definition, the Commission recommends that it be categorised as sensitive information. </w:t>
      </w:r>
    </w:p>
    <w:p w14:paraId="6D41A8A8" w14:textId="6FEE80BA" w:rsidR="00FC1FB4" w:rsidRDefault="710D01E3" w:rsidP="00561BD4">
      <w:pPr>
        <w:pStyle w:val="ListNumber"/>
      </w:pPr>
      <w:r>
        <w:t xml:space="preserve">The misuse of geolocation tracking data may provide the basis for unjustified discrimination and risk the safety of individuals. </w:t>
      </w:r>
    </w:p>
    <w:p w14:paraId="0AF03251" w14:textId="5A8BB817" w:rsidR="00FC1FB4" w:rsidRDefault="710D01E3" w:rsidP="00561BD4">
      <w:pPr>
        <w:pStyle w:val="ListNumber"/>
      </w:pPr>
      <w:r>
        <w:t xml:space="preserve">For example, </w:t>
      </w:r>
      <w:r w:rsidR="006B1434">
        <w:t xml:space="preserve">the potential for misuse of location data was highlighted by the publication of a report by </w:t>
      </w:r>
      <w:r>
        <w:t xml:space="preserve">consumer insight firm </w:t>
      </w:r>
      <w:proofErr w:type="spellStart"/>
      <w:r>
        <w:t>Mobilewalla</w:t>
      </w:r>
      <w:proofErr w:type="spellEnd"/>
      <w:r>
        <w:t xml:space="preserve"> in 2020 </w:t>
      </w:r>
      <w:r w:rsidR="007B3EB6">
        <w:t xml:space="preserve">that </w:t>
      </w:r>
      <w:r w:rsidR="009A20E4">
        <w:t>used phone location data secretly collected during the Black Lives Matters protests</w:t>
      </w:r>
      <w:r>
        <w:t>. The firm buys mobile phone data and, at the time the article was published, had 80</w:t>
      </w:r>
      <w:r w:rsidR="00854197">
        <w:t>–</w:t>
      </w:r>
      <w:r>
        <w:t>90% device coverage in the United States.</w:t>
      </w:r>
      <w:r w:rsidR="00FC1FB4">
        <w:rPr>
          <w:rStyle w:val="EndnoteReference"/>
        </w:rPr>
        <w:endnoteReference w:id="35"/>
      </w:r>
      <w:r>
        <w:t xml:space="preserve"> The report published age, gender, ethnicity and location of attendees at Black Lives Matter protests in 2020.</w:t>
      </w:r>
      <w:r w:rsidR="00FC1FB4">
        <w:rPr>
          <w:rStyle w:val="EndnoteReference"/>
        </w:rPr>
        <w:endnoteReference w:id="36"/>
      </w:r>
      <w:r>
        <w:t xml:space="preserve"> The report is no longer available online.</w:t>
      </w:r>
    </w:p>
    <w:p w14:paraId="3BC6F583" w14:textId="624431EA" w:rsidR="00FC1FB4" w:rsidRDefault="710D01E3" w:rsidP="00561BD4">
      <w:pPr>
        <w:pStyle w:val="ListNumber"/>
      </w:pPr>
      <w:r>
        <w:t>There are also reports that the same company was able to use geolocation tracking data to determine how frequently people attended evangelical churches in the leadup to the American election.</w:t>
      </w:r>
      <w:r w:rsidR="00FC1FB4">
        <w:rPr>
          <w:rStyle w:val="EndnoteReference"/>
        </w:rPr>
        <w:endnoteReference w:id="37"/>
      </w:r>
      <w:r>
        <w:t xml:space="preserve"> The firm then used that data to tell people it classed as </w:t>
      </w:r>
      <w:r w:rsidR="003B494D">
        <w:t>‘</w:t>
      </w:r>
      <w:r>
        <w:t>evangelicals</w:t>
      </w:r>
      <w:r w:rsidR="003B494D">
        <w:t>’</w:t>
      </w:r>
      <w:r>
        <w:t xml:space="preserve"> to vote</w:t>
      </w:r>
      <w:r w:rsidR="00854197">
        <w:t>,</w:t>
      </w:r>
      <w:r>
        <w:t xml:space="preserve"> if their phone hadn’t been seen near a polling place on election day.</w:t>
      </w:r>
      <w:r w:rsidR="00FC1FB4">
        <w:rPr>
          <w:rStyle w:val="EndnoteReference"/>
        </w:rPr>
        <w:endnoteReference w:id="38"/>
      </w:r>
    </w:p>
    <w:p w14:paraId="5AC5833F" w14:textId="661AB840" w:rsidR="00FC1FB4" w:rsidRDefault="710D01E3" w:rsidP="00561BD4">
      <w:pPr>
        <w:pStyle w:val="ListNumber"/>
      </w:pPr>
      <w:r>
        <w:t xml:space="preserve">The </w:t>
      </w:r>
      <w:r w:rsidR="00B742C8">
        <w:t>use of</w:t>
      </w:r>
      <w:r>
        <w:t xml:space="preserve"> individuals</w:t>
      </w:r>
      <w:r w:rsidR="00262A91">
        <w:t>’</w:t>
      </w:r>
      <w:r>
        <w:t xml:space="preserve"> data in this way without consent</w:t>
      </w:r>
      <w:r w:rsidR="00AA30A9">
        <w:t xml:space="preserve"> is concerning</w:t>
      </w:r>
      <w:r>
        <w:t xml:space="preserve">. The examples above highlight the need for voluntary and informed consent in relation to geolocation tracking data. The examples also illustrate the need for geolocation tracking data to be classified as sensitive information. The inferences drawn from geolocation data </w:t>
      </w:r>
      <w:r w:rsidR="00C633CD">
        <w:t xml:space="preserve">are </w:t>
      </w:r>
      <w:r>
        <w:t xml:space="preserve">clearly </w:t>
      </w:r>
      <w:r w:rsidR="00890629">
        <w:t xml:space="preserve">capable of </w:t>
      </w:r>
      <w:r>
        <w:t>meet</w:t>
      </w:r>
      <w:r w:rsidR="00890629">
        <w:t>ing</w:t>
      </w:r>
      <w:r>
        <w:t xml:space="preserve"> the definition of sensitive information in the Act.</w:t>
      </w:r>
      <w:r w:rsidR="00FC1FB4">
        <w:rPr>
          <w:rStyle w:val="EndnoteReference"/>
        </w:rPr>
        <w:endnoteReference w:id="39"/>
      </w:r>
    </w:p>
    <w:p w14:paraId="445940A0" w14:textId="77777777" w:rsidR="00760CE8" w:rsidRDefault="00760CE8" w:rsidP="00561BD4">
      <w:pPr>
        <w:pStyle w:val="ListNumber"/>
        <w:numPr>
          <w:ilvl w:val="0"/>
          <w:numId w:val="0"/>
        </w:numPr>
        <w:ind w:left="360"/>
      </w:pPr>
    </w:p>
    <w:p w14:paraId="71DF58D6" w14:textId="4FC658CF" w:rsidR="005066FE" w:rsidRPr="00760CE8" w:rsidRDefault="00760CE8" w:rsidP="00561BD4">
      <w:pPr>
        <w:pStyle w:val="ListNumber"/>
        <w:numPr>
          <w:ilvl w:val="0"/>
          <w:numId w:val="0"/>
        </w:numPr>
        <w:ind w:left="360"/>
        <w:rPr>
          <w:b/>
          <w:bCs/>
        </w:rPr>
      </w:pPr>
      <w:r w:rsidRPr="00760CE8">
        <w:rPr>
          <w:b/>
          <w:bCs/>
        </w:rPr>
        <w:t xml:space="preserve">Recommendation </w:t>
      </w:r>
      <w:r w:rsidR="000A4F2A">
        <w:rPr>
          <w:b/>
          <w:bCs/>
        </w:rPr>
        <w:t>3</w:t>
      </w:r>
      <w:r w:rsidRPr="00760CE8">
        <w:rPr>
          <w:b/>
          <w:bCs/>
        </w:rPr>
        <w:t xml:space="preserve">: ‘Geolocation tracking data’ should be defined as sensitive information </w:t>
      </w:r>
      <w:r w:rsidR="00DE1145">
        <w:rPr>
          <w:b/>
          <w:bCs/>
        </w:rPr>
        <w:t>which</w:t>
      </w:r>
      <w:r w:rsidR="00DE1145" w:rsidRPr="00760CE8">
        <w:rPr>
          <w:b/>
          <w:bCs/>
        </w:rPr>
        <w:t xml:space="preserve"> </w:t>
      </w:r>
      <w:r w:rsidRPr="00760CE8">
        <w:rPr>
          <w:b/>
          <w:bCs/>
        </w:rPr>
        <w:t>shows an individual’s precise geolocation</w:t>
      </w:r>
      <w:r w:rsidR="00DE1145">
        <w:rPr>
          <w:b/>
          <w:bCs/>
        </w:rPr>
        <w:t xml:space="preserve"> which</w:t>
      </w:r>
      <w:r w:rsidRPr="00760CE8">
        <w:rPr>
          <w:b/>
          <w:bCs/>
        </w:rPr>
        <w:t xml:space="preserve"> is collected and stored by reference to </w:t>
      </w:r>
      <w:r w:rsidR="00256AD9">
        <w:rPr>
          <w:b/>
          <w:bCs/>
        </w:rPr>
        <w:t>a</w:t>
      </w:r>
      <w:r w:rsidR="00256AD9" w:rsidRPr="00760CE8">
        <w:rPr>
          <w:b/>
          <w:bCs/>
        </w:rPr>
        <w:t xml:space="preserve"> </w:t>
      </w:r>
      <w:r w:rsidRPr="00760CE8">
        <w:rPr>
          <w:b/>
          <w:bCs/>
        </w:rPr>
        <w:t xml:space="preserve">particular individual at </w:t>
      </w:r>
      <w:r w:rsidR="00256AD9">
        <w:rPr>
          <w:b/>
          <w:bCs/>
        </w:rPr>
        <w:t xml:space="preserve">a </w:t>
      </w:r>
      <w:r w:rsidRPr="00760CE8">
        <w:rPr>
          <w:b/>
          <w:bCs/>
        </w:rPr>
        <w:t>particular place and time, and tracked over time.</w:t>
      </w:r>
    </w:p>
    <w:p w14:paraId="3C09E9FB" w14:textId="77777777" w:rsidR="00760CE8" w:rsidRDefault="00760CE8" w:rsidP="00561BD4">
      <w:pPr>
        <w:pStyle w:val="ListNumber"/>
        <w:numPr>
          <w:ilvl w:val="0"/>
          <w:numId w:val="0"/>
        </w:numPr>
        <w:ind w:left="360"/>
      </w:pPr>
    </w:p>
    <w:p w14:paraId="60004CC7" w14:textId="7869593D" w:rsidR="008B1937" w:rsidRDefault="008B1937" w:rsidP="00561BD4">
      <w:pPr>
        <w:pStyle w:val="Heading1"/>
      </w:pPr>
      <w:bookmarkStart w:id="38" w:name="_Toc131585355"/>
      <w:r>
        <w:t>Proposal 10.1</w:t>
      </w:r>
      <w:bookmarkEnd w:id="36"/>
      <w:bookmarkEnd w:id="38"/>
    </w:p>
    <w:p w14:paraId="5D74014D" w14:textId="104D1217" w:rsidR="00C028EE" w:rsidRPr="00E76504" w:rsidRDefault="00E76504" w:rsidP="00561BD4">
      <w:pPr>
        <w:pStyle w:val="ListNumber"/>
        <w:numPr>
          <w:ilvl w:val="0"/>
          <w:numId w:val="0"/>
        </w:numPr>
        <w:ind w:left="360"/>
        <w:rPr>
          <w:i/>
          <w:iCs/>
        </w:rPr>
      </w:pPr>
      <w:bookmarkStart w:id="39" w:name="_Ref128731895"/>
      <w:r w:rsidRPr="00E76504">
        <w:rPr>
          <w:i/>
          <w:iCs/>
        </w:rPr>
        <w:t>Introduce an express requirement in APP 5 that requires collection notices to be clear, up-to-date, concise and understandable. Appropriate accessibility measures should also be in place.</w:t>
      </w:r>
    </w:p>
    <w:bookmarkEnd w:id="39"/>
    <w:p w14:paraId="64A32ECE" w14:textId="2833384C" w:rsidR="000460A6" w:rsidRDefault="2EFBEDE0" w:rsidP="00561BD4">
      <w:pPr>
        <w:pStyle w:val="ListNumber"/>
      </w:pPr>
      <w:r>
        <w:t xml:space="preserve">Collection notices </w:t>
      </w:r>
      <w:r w:rsidR="710F94BE">
        <w:t>are often couched in language which make</w:t>
      </w:r>
      <w:r w:rsidR="2FC6A201">
        <w:t xml:space="preserve"> them </w:t>
      </w:r>
      <w:r w:rsidR="710F94BE">
        <w:t xml:space="preserve">difficult, if not impossible, for </w:t>
      </w:r>
      <w:r w:rsidR="6265F613">
        <w:t>lay people</w:t>
      </w:r>
      <w:r w:rsidR="710F94BE">
        <w:t xml:space="preserve"> to</w:t>
      </w:r>
      <w:r w:rsidR="5C656599">
        <w:t xml:space="preserve"> </w:t>
      </w:r>
      <w:r w:rsidR="710F94BE">
        <w:t xml:space="preserve">understand. </w:t>
      </w:r>
      <w:r w:rsidR="51747300">
        <w:t xml:space="preserve">This makes it incredibly </w:t>
      </w:r>
      <w:r w:rsidR="20C83067">
        <w:t>challenging</w:t>
      </w:r>
      <w:r w:rsidR="51747300">
        <w:t xml:space="preserve"> for </w:t>
      </w:r>
      <w:r w:rsidR="00560C10">
        <w:t>individuals</w:t>
      </w:r>
      <w:r w:rsidR="51747300">
        <w:t xml:space="preserve"> to </w:t>
      </w:r>
      <w:r w:rsidR="0E5E9AF0">
        <w:t>appreciate what personal information is being collected</w:t>
      </w:r>
      <w:r w:rsidR="20C83067">
        <w:t>,</w:t>
      </w:r>
      <w:r w:rsidR="0E5E9AF0">
        <w:t xml:space="preserve"> and how it may be used. This is supported by the </w:t>
      </w:r>
      <w:r w:rsidR="0E5E9AF0" w:rsidRPr="00CC313B">
        <w:t>ACCC</w:t>
      </w:r>
      <w:r w:rsidR="00DD43CB">
        <w:t xml:space="preserve">‘s </w:t>
      </w:r>
      <w:r w:rsidR="002A2D57" w:rsidRPr="002A2D57">
        <w:t xml:space="preserve">Digital </w:t>
      </w:r>
      <w:r w:rsidR="002A2D57" w:rsidRPr="002A2D57">
        <w:lastRenderedPageBreak/>
        <w:t>Platforms Inquiry – Final Report</w:t>
      </w:r>
      <w:r w:rsidR="20C83067">
        <w:t>,</w:t>
      </w:r>
      <w:r w:rsidR="0E5E9AF0">
        <w:t xml:space="preserve"> which highlighted </w:t>
      </w:r>
      <w:r w:rsidR="1EB00827">
        <w:t>how lengthy and complex documents were exacerbating issue</w:t>
      </w:r>
      <w:r w:rsidR="6E602CC3">
        <w:t>s surrounding transparency in collection notices</w:t>
      </w:r>
      <w:r w:rsidR="1EB00827">
        <w:t>.</w:t>
      </w:r>
      <w:r w:rsidR="00084D27">
        <w:rPr>
          <w:rStyle w:val="EndnoteReference"/>
        </w:rPr>
        <w:endnoteReference w:id="40"/>
      </w:r>
      <w:r w:rsidR="1EB00827">
        <w:t xml:space="preserve"> </w:t>
      </w:r>
    </w:p>
    <w:p w14:paraId="0724D2E0" w14:textId="167F65C5" w:rsidR="00A61C4D" w:rsidRDefault="60E4B61C" w:rsidP="00561BD4">
      <w:pPr>
        <w:pStyle w:val="ListNumber"/>
      </w:pPr>
      <w:r>
        <w:t xml:space="preserve">Although many organisations may attempt to provide clear and easy-to-understand collection notices, </w:t>
      </w:r>
      <w:r w:rsidR="1AC3AE30">
        <w:t>a Deloitte survey indicated that 40% of brands still provided vague information</w:t>
      </w:r>
      <w:r w:rsidR="2A50A794">
        <w:t xml:space="preserve"> about how data would be used</w:t>
      </w:r>
      <w:r w:rsidR="1AC3AE30">
        <w:t xml:space="preserve"> in collection notices.</w:t>
      </w:r>
      <w:r w:rsidR="00656CF3">
        <w:rPr>
          <w:rStyle w:val="EndnoteReference"/>
        </w:rPr>
        <w:endnoteReference w:id="41"/>
      </w:r>
      <w:r w:rsidR="1AC3AE30">
        <w:t xml:space="preserve"> </w:t>
      </w:r>
      <w:r w:rsidR="52C97347">
        <w:t xml:space="preserve">Poor collection notices not only </w:t>
      </w:r>
      <w:r w:rsidR="008C7E00">
        <w:t>affect many</w:t>
      </w:r>
      <w:r w:rsidR="52C97347">
        <w:t xml:space="preserve"> human rights, but also consumer </w:t>
      </w:r>
      <w:r w:rsidR="1D33D2A6">
        <w:t>trust in the organisations which operate in digital environments</w:t>
      </w:r>
      <w:r w:rsidR="1717D75F">
        <w:t>.</w:t>
      </w:r>
      <w:r w:rsidR="1D33D2A6">
        <w:t xml:space="preserve"> </w:t>
      </w:r>
      <w:r w:rsidR="00024C65">
        <w:t xml:space="preserve">The same survey </w:t>
      </w:r>
      <w:r w:rsidR="00E07024">
        <w:t xml:space="preserve">stated that </w:t>
      </w:r>
      <w:r w:rsidR="1D33D2A6">
        <w:t xml:space="preserve">70% of consumers </w:t>
      </w:r>
      <w:r w:rsidR="1717D75F">
        <w:t>previously</w:t>
      </w:r>
      <w:r w:rsidR="1D33D2A6">
        <w:t xml:space="preserve"> indicated that they have greater trust in brands with transparent and clear privacy notices.</w:t>
      </w:r>
      <w:r w:rsidR="00B50CE8">
        <w:rPr>
          <w:rStyle w:val="EndnoteReference"/>
        </w:rPr>
        <w:endnoteReference w:id="42"/>
      </w:r>
    </w:p>
    <w:p w14:paraId="6A802611" w14:textId="547B4815" w:rsidR="0006522A" w:rsidRDefault="0006522A" w:rsidP="00561BD4">
      <w:pPr>
        <w:pStyle w:val="ListNumber"/>
      </w:pPr>
      <w:r>
        <w:t xml:space="preserve">Research has also shown the emergence of ‘dark patterns’ which confirms </w:t>
      </w:r>
      <w:r w:rsidR="00E07024">
        <w:t xml:space="preserve">that </w:t>
      </w:r>
      <w:r>
        <w:t xml:space="preserve">the use of manipulative and deceptive designs </w:t>
      </w:r>
      <w:r w:rsidR="00A9340E">
        <w:t xml:space="preserve">can </w:t>
      </w:r>
      <w:r>
        <w:t>cause</w:t>
      </w:r>
      <w:r w:rsidR="00A9340E">
        <w:t xml:space="preserve"> significant consumer</w:t>
      </w:r>
      <w:r>
        <w:t xml:space="preserve"> harm.</w:t>
      </w:r>
      <w:r>
        <w:rPr>
          <w:rStyle w:val="EndnoteReference"/>
        </w:rPr>
        <w:endnoteReference w:id="43"/>
      </w:r>
      <w:r>
        <w:t xml:space="preserve"> This can lead to </w:t>
      </w:r>
      <w:r w:rsidR="00560C10">
        <w:t>individuals</w:t>
      </w:r>
      <w:r>
        <w:t xml:space="preserve"> losing control of their data or being manipulated into making choices which are not in their interests.</w:t>
      </w:r>
      <w:r>
        <w:rPr>
          <w:rStyle w:val="EndnoteReference"/>
        </w:rPr>
        <w:endnoteReference w:id="44"/>
      </w:r>
    </w:p>
    <w:p w14:paraId="67265EC6" w14:textId="460D27BB" w:rsidR="006E376F" w:rsidRDefault="00BE2EB9" w:rsidP="00561BD4">
      <w:pPr>
        <w:pStyle w:val="ListNumber"/>
      </w:pPr>
      <w:r>
        <w:t>W</w:t>
      </w:r>
      <w:r w:rsidR="37F75B39">
        <w:t xml:space="preserve">here individuals are unable to ascertain what </w:t>
      </w:r>
      <w:r w:rsidR="3E486D9F">
        <w:t xml:space="preserve">data </w:t>
      </w:r>
      <w:r w:rsidR="37F75B39">
        <w:t xml:space="preserve">is being collected, for what purposes, </w:t>
      </w:r>
      <w:r w:rsidR="00823A5D">
        <w:t xml:space="preserve">and how it may be stored, transferred or </w:t>
      </w:r>
      <w:r w:rsidR="00B14A53">
        <w:t xml:space="preserve">shared, </w:t>
      </w:r>
      <w:r w:rsidR="37F75B39">
        <w:t xml:space="preserve">it enables organisations to </w:t>
      </w:r>
      <w:r w:rsidR="3E486D9F">
        <w:t>evade</w:t>
      </w:r>
      <w:r w:rsidR="37F75B39">
        <w:t xml:space="preserve"> accountability</w:t>
      </w:r>
      <w:r w:rsidR="2FC6A201">
        <w:t xml:space="preserve"> – meaning organisations can</w:t>
      </w:r>
      <w:r w:rsidR="37F75B39">
        <w:t xml:space="preserve"> utilise </w:t>
      </w:r>
      <w:r w:rsidR="3AAE0D90">
        <w:t xml:space="preserve">information that an individual would not ordinarily </w:t>
      </w:r>
      <w:r w:rsidR="00657F64">
        <w:t xml:space="preserve">have </w:t>
      </w:r>
      <w:r w:rsidR="3AAE0D90">
        <w:t>agreed to share. This may contribute to violations of the human right to privacy more broadly, but depending on the circumstances</w:t>
      </w:r>
      <w:r w:rsidR="2FC6A201">
        <w:t>,</w:t>
      </w:r>
      <w:r w:rsidR="3AAE0D90">
        <w:t xml:space="preserve"> can </w:t>
      </w:r>
      <w:r>
        <w:t xml:space="preserve">also </w:t>
      </w:r>
      <w:r w:rsidR="3AAE0D90">
        <w:t>have broader impacts</w:t>
      </w:r>
      <w:r w:rsidR="5D207F6A">
        <w:t xml:space="preserve"> </w:t>
      </w:r>
      <w:r w:rsidR="3E486D9F">
        <w:t>on several</w:t>
      </w:r>
      <w:r w:rsidR="5D207F6A">
        <w:t xml:space="preserve"> human rights</w:t>
      </w:r>
      <w:r w:rsidR="3AAE0D90">
        <w:t>.</w:t>
      </w:r>
      <w:r w:rsidR="5D207F6A">
        <w:t xml:space="preserve"> The issue of how personal data can be misused to facilitate human rights abuses is canvassed throughout this submission</w:t>
      </w:r>
      <w:r w:rsidR="4A6F6C5B">
        <w:t xml:space="preserve">. </w:t>
      </w:r>
      <w:r w:rsidR="00657F64">
        <w:t xml:space="preserve">Having </w:t>
      </w:r>
      <w:r w:rsidR="5D207F6A">
        <w:t>c</w:t>
      </w:r>
      <w:r w:rsidR="3C4A1820">
        <w:t xml:space="preserve">lear, up-to-date, concise and understandable collection notices is </w:t>
      </w:r>
      <w:r w:rsidR="4A6F6C5B">
        <w:t xml:space="preserve">a strong </w:t>
      </w:r>
      <w:r w:rsidR="3C4A1820">
        <w:t xml:space="preserve">step in protecting </w:t>
      </w:r>
      <w:r w:rsidR="00847066">
        <w:t xml:space="preserve">against </w:t>
      </w:r>
      <w:r w:rsidR="3C4A1820">
        <w:t>the misuse of information.</w:t>
      </w:r>
    </w:p>
    <w:p w14:paraId="17F76D3B" w14:textId="759B75B1" w:rsidR="00BC5851" w:rsidRDefault="5E775AB5" w:rsidP="00561BD4">
      <w:pPr>
        <w:pStyle w:val="ListNumber"/>
      </w:pPr>
      <w:r>
        <w:t>Proposal 10.1</w:t>
      </w:r>
      <w:r w:rsidR="5668F2A3">
        <w:t xml:space="preserve"> will allow individuals to regain </w:t>
      </w:r>
      <w:r w:rsidR="5404184C">
        <w:t xml:space="preserve">some </w:t>
      </w:r>
      <w:r w:rsidR="5668F2A3">
        <w:t>control of their digital lives in a</w:t>
      </w:r>
      <w:r w:rsidR="5404184C">
        <w:t>n</w:t>
      </w:r>
      <w:r w:rsidR="5668F2A3">
        <w:t xml:space="preserve"> era where it is very difficult to live without </w:t>
      </w:r>
      <w:r w:rsidR="4D7B2A48">
        <w:t xml:space="preserve">interacting in online spaces. Better informed individuals will </w:t>
      </w:r>
      <w:r w:rsidR="00457516">
        <w:t xml:space="preserve">have greater </w:t>
      </w:r>
      <w:r w:rsidR="4D7B2A48">
        <w:t>understand</w:t>
      </w:r>
      <w:r w:rsidR="00457516">
        <w:t>ing of</w:t>
      </w:r>
      <w:r w:rsidR="4D7B2A48">
        <w:t xml:space="preserve"> their rights and hopefully </w:t>
      </w:r>
      <w:r w:rsidR="00457516">
        <w:t xml:space="preserve">lead to </w:t>
      </w:r>
      <w:r w:rsidR="4D7B2A48">
        <w:t xml:space="preserve">informed decisions about their data </w:t>
      </w:r>
      <w:r w:rsidR="66E5B3C6">
        <w:t>in high-risk settings.</w:t>
      </w:r>
      <w:r w:rsidR="198B0497">
        <w:t xml:space="preserve"> The Commission supports Proposal 10.1.</w:t>
      </w:r>
    </w:p>
    <w:p w14:paraId="15F16C70" w14:textId="77777777" w:rsidR="00E50989" w:rsidRDefault="00E50989" w:rsidP="00561BD4">
      <w:pPr>
        <w:pStyle w:val="ListNumber"/>
        <w:numPr>
          <w:ilvl w:val="0"/>
          <w:numId w:val="0"/>
        </w:numPr>
        <w:ind w:left="360"/>
      </w:pPr>
    </w:p>
    <w:p w14:paraId="3B1379A7" w14:textId="374426E0" w:rsidR="00E50989" w:rsidRPr="00E50989" w:rsidRDefault="00E50989" w:rsidP="00561BD4">
      <w:pPr>
        <w:pStyle w:val="ListNumber"/>
        <w:numPr>
          <w:ilvl w:val="0"/>
          <w:numId w:val="0"/>
        </w:numPr>
        <w:ind w:left="360"/>
        <w:rPr>
          <w:b/>
          <w:bCs/>
        </w:rPr>
      </w:pPr>
      <w:r w:rsidRPr="00E50989">
        <w:rPr>
          <w:b/>
          <w:bCs/>
        </w:rPr>
        <w:t xml:space="preserve">Recommendation </w:t>
      </w:r>
      <w:r w:rsidR="000A4F2A">
        <w:rPr>
          <w:b/>
          <w:bCs/>
        </w:rPr>
        <w:t>4</w:t>
      </w:r>
      <w:r w:rsidRPr="00E50989">
        <w:rPr>
          <w:b/>
          <w:bCs/>
        </w:rPr>
        <w:t xml:space="preserve">: </w:t>
      </w:r>
      <w:r w:rsidR="00FC558E">
        <w:rPr>
          <w:b/>
          <w:bCs/>
        </w:rPr>
        <w:t>Introduce a</w:t>
      </w:r>
      <w:r w:rsidR="00FC558E" w:rsidRPr="00E50989">
        <w:rPr>
          <w:b/>
          <w:bCs/>
        </w:rPr>
        <w:t xml:space="preserve">n </w:t>
      </w:r>
      <w:r w:rsidRPr="00E50989">
        <w:rPr>
          <w:b/>
          <w:bCs/>
        </w:rPr>
        <w:t>express requirement in APP 5 that requires collection notices to be clear, up-to-date, concise and understandable</w:t>
      </w:r>
      <w:r w:rsidR="00FC558E">
        <w:rPr>
          <w:b/>
          <w:bCs/>
        </w:rPr>
        <w:t>. A</w:t>
      </w:r>
      <w:r w:rsidRPr="00E50989">
        <w:rPr>
          <w:b/>
          <w:bCs/>
        </w:rPr>
        <w:t>ppropriate accessibility measures should also be in place.</w:t>
      </w:r>
    </w:p>
    <w:p w14:paraId="79C4C75E" w14:textId="77777777" w:rsidR="00E50989" w:rsidRDefault="00E50989" w:rsidP="00561BD4">
      <w:pPr>
        <w:pStyle w:val="ListNumber"/>
        <w:numPr>
          <w:ilvl w:val="0"/>
          <w:numId w:val="0"/>
        </w:numPr>
        <w:ind w:left="360"/>
      </w:pPr>
    </w:p>
    <w:p w14:paraId="3925F016" w14:textId="00D1ECFA" w:rsidR="002D7863" w:rsidRDefault="0991E207" w:rsidP="00561BD4">
      <w:pPr>
        <w:pStyle w:val="ListNumber"/>
      </w:pPr>
      <w:r>
        <w:t>The Commission</w:t>
      </w:r>
      <w:r w:rsidR="74BA6A38">
        <w:t xml:space="preserve"> also</w:t>
      </w:r>
      <w:r>
        <w:t xml:space="preserve"> supports clarity of language in respect of</w:t>
      </w:r>
      <w:r w:rsidR="76C73C95">
        <w:t xml:space="preserve"> using the term</w:t>
      </w:r>
      <w:r>
        <w:t xml:space="preserve"> </w:t>
      </w:r>
      <w:r w:rsidR="76C73C95">
        <w:t>‘</w:t>
      </w:r>
      <w:r>
        <w:t>up-to-date</w:t>
      </w:r>
      <w:r w:rsidR="76C73C95">
        <w:t>’ in lieu of</w:t>
      </w:r>
      <w:r>
        <w:t xml:space="preserve"> </w:t>
      </w:r>
      <w:r w:rsidR="76C73C95">
        <w:t>‘</w:t>
      </w:r>
      <w:r>
        <w:t>current</w:t>
      </w:r>
      <w:r w:rsidR="76C73C95">
        <w:t>’</w:t>
      </w:r>
      <w:r>
        <w:t>. However,</w:t>
      </w:r>
      <w:r w:rsidR="001A4C80">
        <w:t xml:space="preserve"> OAIC guidance on the meaning of ‘up-to-date’ may further assist entities in better understanding any deadlines such language places upon them.</w:t>
      </w:r>
    </w:p>
    <w:p w14:paraId="5901E873" w14:textId="77777777" w:rsidR="00316B73" w:rsidRDefault="00316B73" w:rsidP="00561BD4">
      <w:pPr>
        <w:pStyle w:val="ListNumber"/>
        <w:numPr>
          <w:ilvl w:val="0"/>
          <w:numId w:val="0"/>
        </w:numPr>
        <w:ind w:left="360"/>
      </w:pPr>
    </w:p>
    <w:p w14:paraId="29365EBB" w14:textId="6A61674F" w:rsidR="001D73F2" w:rsidRPr="00316B73" w:rsidRDefault="00732873" w:rsidP="00561BD4">
      <w:pPr>
        <w:pStyle w:val="ListNumber"/>
        <w:numPr>
          <w:ilvl w:val="0"/>
          <w:numId w:val="0"/>
        </w:numPr>
        <w:ind w:left="360"/>
        <w:rPr>
          <w:b/>
          <w:bCs/>
        </w:rPr>
      </w:pPr>
      <w:r w:rsidRPr="00316B73">
        <w:rPr>
          <w:b/>
          <w:bCs/>
        </w:rPr>
        <w:t xml:space="preserve">Recommendation </w:t>
      </w:r>
      <w:r w:rsidR="000A4F2A">
        <w:rPr>
          <w:b/>
          <w:bCs/>
        </w:rPr>
        <w:t>5</w:t>
      </w:r>
      <w:r w:rsidRPr="00316B73">
        <w:rPr>
          <w:b/>
          <w:bCs/>
        </w:rPr>
        <w:t xml:space="preserve">: </w:t>
      </w:r>
      <w:r w:rsidR="001A4C80">
        <w:rPr>
          <w:b/>
          <w:bCs/>
        </w:rPr>
        <w:t xml:space="preserve">The OAIC provides guidance on the meaning to ‘up-to-date’ in respect of Proposal 10.1. </w:t>
      </w:r>
    </w:p>
    <w:p w14:paraId="6681FD94" w14:textId="77777777" w:rsidR="006C36F5" w:rsidRDefault="006C36F5" w:rsidP="00561BD4">
      <w:pPr>
        <w:pStyle w:val="ListNumber"/>
        <w:numPr>
          <w:ilvl w:val="0"/>
          <w:numId w:val="0"/>
        </w:numPr>
      </w:pPr>
    </w:p>
    <w:p w14:paraId="67A0761E" w14:textId="664BDF7F" w:rsidR="00D50879" w:rsidRDefault="00D50879" w:rsidP="00561BD4">
      <w:pPr>
        <w:pStyle w:val="Heading2"/>
      </w:pPr>
      <w:bookmarkStart w:id="40" w:name="_Toc131585356"/>
      <w:bookmarkStart w:id="41" w:name="_Ref130019067"/>
      <w:r>
        <w:t xml:space="preserve">Onus on </w:t>
      </w:r>
      <w:r w:rsidR="001E2FAF">
        <w:t>individuals</w:t>
      </w:r>
      <w:bookmarkEnd w:id="40"/>
      <w:r w:rsidR="001E2FAF">
        <w:t xml:space="preserve"> </w:t>
      </w:r>
      <w:bookmarkEnd w:id="41"/>
      <w:r>
        <w:t xml:space="preserve"> </w:t>
      </w:r>
    </w:p>
    <w:p w14:paraId="2537059E" w14:textId="66B8F1A3" w:rsidR="00D50879" w:rsidRDefault="00C562F5" w:rsidP="00561BD4">
      <w:pPr>
        <w:pStyle w:val="ListNumber"/>
      </w:pPr>
      <w:r>
        <w:t xml:space="preserve">Proposal 10.1 operates on a model which places the onus on </w:t>
      </w:r>
      <w:r w:rsidR="001E2FAF">
        <w:t xml:space="preserve">individuals </w:t>
      </w:r>
      <w:r>
        <w:t>to be responsible for the protection of their data</w:t>
      </w:r>
      <w:r w:rsidR="00A562D9">
        <w:t>, and to make informed decisions. However, the Commission has reservations about this approach more generally.</w:t>
      </w:r>
    </w:p>
    <w:p w14:paraId="3719F7F2" w14:textId="2B92E110" w:rsidR="008B2D9E" w:rsidRDefault="003D276F" w:rsidP="00561BD4">
      <w:pPr>
        <w:pStyle w:val="ListNumber"/>
      </w:pPr>
      <w:r>
        <w:t xml:space="preserve">Although collection notices may be </w:t>
      </w:r>
      <w:r w:rsidR="00427B86">
        <w:t>improved in line with Proposal 10.1 (in addition to other reforms recommended in relation to privacy notices)</w:t>
      </w:r>
      <w:r w:rsidR="008A1597">
        <w:t>,</w:t>
      </w:r>
      <w:r w:rsidR="00427B86">
        <w:t xml:space="preserve"> the Commission questions what practical effect this will have on </w:t>
      </w:r>
      <w:r w:rsidR="001E2FAF">
        <w:t>ind</w:t>
      </w:r>
      <w:r w:rsidR="002646E6">
        <w:t>ividuals</w:t>
      </w:r>
      <w:r w:rsidR="00617798">
        <w:t xml:space="preserve">’ actual behaviour. While </w:t>
      </w:r>
      <w:r w:rsidR="00ED1639">
        <w:t xml:space="preserve">they </w:t>
      </w:r>
      <w:r w:rsidR="00617798">
        <w:t>may improve transparency</w:t>
      </w:r>
      <w:r w:rsidR="00340CFF">
        <w:t>,</w:t>
      </w:r>
      <w:r w:rsidR="00617798">
        <w:t xml:space="preserve"> it is possible that such reform</w:t>
      </w:r>
      <w:r w:rsidR="00ED1639">
        <w:t>s</w:t>
      </w:r>
      <w:r w:rsidR="00617798">
        <w:t xml:space="preserve"> will</w:t>
      </w:r>
      <w:r w:rsidR="00EF7A61">
        <w:t xml:space="preserve">, in practice, be insufficient in </w:t>
      </w:r>
      <w:r w:rsidR="005E4C21">
        <w:t>providing</w:t>
      </w:r>
      <w:r w:rsidR="00617798">
        <w:t xml:space="preserve"> individuals </w:t>
      </w:r>
      <w:r w:rsidR="005E4C21">
        <w:t xml:space="preserve">with the ability to </w:t>
      </w:r>
      <w:r w:rsidR="00617798">
        <w:t>better protect their data.</w:t>
      </w:r>
    </w:p>
    <w:p w14:paraId="70566472" w14:textId="4A0B91E0" w:rsidR="00F35486" w:rsidRDefault="00F35486" w:rsidP="00561BD4">
      <w:pPr>
        <w:pStyle w:val="ListNumber"/>
      </w:pPr>
      <w:r>
        <w:t>The Commission</w:t>
      </w:r>
      <w:r w:rsidR="00340CFF">
        <w:t>’</w:t>
      </w:r>
      <w:r>
        <w:t xml:space="preserve">s concern is predicated upon several </w:t>
      </w:r>
      <w:r w:rsidR="00562F4D">
        <w:t>matters:</w:t>
      </w:r>
    </w:p>
    <w:p w14:paraId="4FA2F9DB" w14:textId="7C3EC3EE" w:rsidR="00562F4D" w:rsidRDefault="007127E5" w:rsidP="00561BD4">
      <w:pPr>
        <w:pStyle w:val="ListNumber"/>
        <w:numPr>
          <w:ilvl w:val="0"/>
          <w:numId w:val="28"/>
        </w:numPr>
      </w:pPr>
      <w:r>
        <w:t>t</w:t>
      </w:r>
      <w:r w:rsidR="00562F4D">
        <w:t xml:space="preserve">he </w:t>
      </w:r>
      <w:r>
        <w:t>‘</w:t>
      </w:r>
      <w:r w:rsidR="00562F4D">
        <w:t>privacy paradox</w:t>
      </w:r>
      <w:r>
        <w:t>’</w:t>
      </w:r>
    </w:p>
    <w:p w14:paraId="02EE7A36" w14:textId="089C629A" w:rsidR="00562F4D" w:rsidRDefault="00562F4D" w:rsidP="00561BD4">
      <w:pPr>
        <w:pStyle w:val="ListNumber"/>
        <w:numPr>
          <w:ilvl w:val="0"/>
          <w:numId w:val="28"/>
        </w:numPr>
      </w:pPr>
      <w:r>
        <w:t>lack of competition/alternatives whi</w:t>
      </w:r>
      <w:r w:rsidR="00FC6536">
        <w:t>ch a</w:t>
      </w:r>
      <w:r w:rsidR="003B1F95">
        <w:t>re</w:t>
      </w:r>
      <w:r w:rsidR="00FC6536">
        <w:t xml:space="preserve"> more data secure</w:t>
      </w:r>
    </w:p>
    <w:p w14:paraId="04599E0A" w14:textId="206AF459" w:rsidR="00FC6536" w:rsidRDefault="007127E5" w:rsidP="00561BD4">
      <w:pPr>
        <w:pStyle w:val="ListNumber"/>
        <w:numPr>
          <w:ilvl w:val="0"/>
          <w:numId w:val="28"/>
        </w:numPr>
      </w:pPr>
      <w:r>
        <w:t>t</w:t>
      </w:r>
      <w:r w:rsidR="00FC6536">
        <w:t>he illusion of choice</w:t>
      </w:r>
    </w:p>
    <w:p w14:paraId="11F82CC5" w14:textId="0C841B77" w:rsidR="00FC6536" w:rsidRDefault="007127E5" w:rsidP="00561BD4">
      <w:pPr>
        <w:pStyle w:val="ListNumber"/>
        <w:numPr>
          <w:ilvl w:val="0"/>
          <w:numId w:val="27"/>
        </w:numPr>
      </w:pPr>
      <w:r>
        <w:t>power imbalances</w:t>
      </w:r>
      <w:r w:rsidR="00525271">
        <w:t>.</w:t>
      </w:r>
    </w:p>
    <w:p w14:paraId="5C5875B3" w14:textId="1049FA3F" w:rsidR="0006522A" w:rsidRDefault="00F35486" w:rsidP="00561BD4">
      <w:pPr>
        <w:pStyle w:val="ListNumber"/>
      </w:pPr>
      <w:r>
        <w:t xml:space="preserve">The </w:t>
      </w:r>
      <w:r w:rsidR="00AF6E51">
        <w:t>‘</w:t>
      </w:r>
      <w:r>
        <w:t>privacy paradox</w:t>
      </w:r>
      <w:r w:rsidR="00AF6E51">
        <w:t>’</w:t>
      </w:r>
      <w:r>
        <w:t xml:space="preserve"> refers to</w:t>
      </w:r>
      <w:r w:rsidR="00903266">
        <w:t xml:space="preserve"> the </w:t>
      </w:r>
      <w:r w:rsidR="00AF6E51">
        <w:t xml:space="preserve">phenomenon </w:t>
      </w:r>
      <w:r w:rsidR="00903266">
        <w:t>that</w:t>
      </w:r>
      <w:r w:rsidR="000F0853">
        <w:t>,</w:t>
      </w:r>
      <w:r w:rsidR="00903266">
        <w:t xml:space="preserve"> despite understanding </w:t>
      </w:r>
      <w:r w:rsidR="003D4EDC">
        <w:t xml:space="preserve">the </w:t>
      </w:r>
      <w:r w:rsidR="009D0990">
        <w:t xml:space="preserve">privacy risks of a product or service, there is no obvious influence </w:t>
      </w:r>
      <w:r w:rsidR="003D4EDC">
        <w:t>upon an</w:t>
      </w:r>
      <w:r w:rsidR="009D0990">
        <w:t xml:space="preserve"> </w:t>
      </w:r>
      <w:r w:rsidR="006C0B88">
        <w:t>individual’s</w:t>
      </w:r>
      <w:r w:rsidR="009D0990">
        <w:t xml:space="preserve"> behaviour</w:t>
      </w:r>
      <w:r w:rsidR="006C0B88">
        <w:t>.</w:t>
      </w:r>
      <w:r w:rsidR="006C0B88">
        <w:rPr>
          <w:rStyle w:val="EndnoteReference"/>
        </w:rPr>
        <w:endnoteReference w:id="45"/>
      </w:r>
      <w:r w:rsidR="006C0B88">
        <w:t xml:space="preserve"> </w:t>
      </w:r>
      <w:r w:rsidR="000F0853">
        <w:t>Namely</w:t>
      </w:r>
      <w:r w:rsidR="003D4EDC">
        <w:t>,</w:t>
      </w:r>
      <w:r w:rsidR="006C0B88">
        <w:t xml:space="preserve"> </w:t>
      </w:r>
      <w:r w:rsidR="003D4EDC">
        <w:t xml:space="preserve">individuals </w:t>
      </w:r>
      <w:r w:rsidR="006C0B88">
        <w:t>will still engage with privacy</w:t>
      </w:r>
      <w:r w:rsidR="000F0853">
        <w:t>-</w:t>
      </w:r>
      <w:r w:rsidR="006C0B88">
        <w:t xml:space="preserve">adverse products and services even </w:t>
      </w:r>
      <w:r w:rsidR="003D4EDC">
        <w:t xml:space="preserve">where </w:t>
      </w:r>
      <w:r w:rsidR="006C0B88">
        <w:t xml:space="preserve">they are highly </w:t>
      </w:r>
      <w:r w:rsidR="003D4EDC">
        <w:t xml:space="preserve">aware </w:t>
      </w:r>
      <w:r w:rsidR="006C0B88">
        <w:t xml:space="preserve">of the risks. </w:t>
      </w:r>
      <w:r w:rsidR="009B7B8E">
        <w:t xml:space="preserve">This </w:t>
      </w:r>
      <w:r w:rsidR="000F0853">
        <w:t>does not mean</w:t>
      </w:r>
      <w:r w:rsidR="006C0B88">
        <w:t xml:space="preserve"> that </w:t>
      </w:r>
      <w:r w:rsidR="002646E6">
        <w:t>individuals</w:t>
      </w:r>
      <w:r w:rsidR="006C0B88">
        <w:t xml:space="preserve"> do not care about their privacy. </w:t>
      </w:r>
      <w:r>
        <w:t xml:space="preserve">For </w:t>
      </w:r>
      <w:r w:rsidR="00340CFF">
        <w:t>example,</w:t>
      </w:r>
      <w:r>
        <w:t xml:space="preserve"> 74% of </w:t>
      </w:r>
      <w:r w:rsidR="002646E6">
        <w:t>individuals</w:t>
      </w:r>
      <w:r>
        <w:t xml:space="preserve"> have safety concerns in relation to being targeted by products or services.</w:t>
      </w:r>
      <w:r>
        <w:rPr>
          <w:rStyle w:val="EndnoteReference"/>
        </w:rPr>
        <w:endnoteReference w:id="46"/>
      </w:r>
      <w:r>
        <w:t xml:space="preserve"> </w:t>
      </w:r>
      <w:r w:rsidR="000F0853">
        <w:t>A </w:t>
      </w:r>
      <w:r>
        <w:t xml:space="preserve">further 76% </w:t>
      </w:r>
      <w:r w:rsidR="000F0853">
        <w:t xml:space="preserve">consider </w:t>
      </w:r>
      <w:r>
        <w:t>it is unfair when personal information is to make predictions about them, while a further 85% consider it is unfair or very unfair for their personal information to be shared with other companies.</w:t>
      </w:r>
      <w:r>
        <w:rPr>
          <w:rStyle w:val="EndnoteReference"/>
        </w:rPr>
        <w:endnoteReference w:id="47"/>
      </w:r>
      <w:r>
        <w:t xml:space="preserve"> </w:t>
      </w:r>
    </w:p>
    <w:p w14:paraId="78981C70" w14:textId="341F6A4B" w:rsidR="0006522A" w:rsidRDefault="0006522A" w:rsidP="00561BD4">
      <w:pPr>
        <w:pStyle w:val="ListNumber"/>
      </w:pPr>
      <w:r>
        <w:t xml:space="preserve">Furthermore, </w:t>
      </w:r>
      <w:r w:rsidR="00433154">
        <w:t xml:space="preserve">even where individuals do not genuinely understand how their data is being used, people </w:t>
      </w:r>
      <w:r w:rsidR="000C50B8">
        <w:t xml:space="preserve">will still disapprove of its misuse. Individuals have been shown to have a very strong negative reaction when confronted with the </w:t>
      </w:r>
      <w:r w:rsidR="00183BDE">
        <w:t>difference between:</w:t>
      </w:r>
    </w:p>
    <w:p w14:paraId="1FEADE67" w14:textId="45B99F8A" w:rsidR="00183BDE" w:rsidRDefault="00183BDE" w:rsidP="00561BD4">
      <w:pPr>
        <w:pStyle w:val="ListNumber"/>
        <w:numPr>
          <w:ilvl w:val="0"/>
          <w:numId w:val="27"/>
        </w:numPr>
      </w:pPr>
      <w:r>
        <w:t>how their data is</w:t>
      </w:r>
      <w:r w:rsidR="006706D6">
        <w:t xml:space="preserve"> actually</w:t>
      </w:r>
      <w:r>
        <w:t xml:space="preserve"> being used</w:t>
      </w:r>
    </w:p>
    <w:p w14:paraId="79746036" w14:textId="4F21F48E" w:rsidR="00183BDE" w:rsidRDefault="006706D6" w:rsidP="00561BD4">
      <w:pPr>
        <w:pStyle w:val="ListNumber"/>
        <w:numPr>
          <w:ilvl w:val="0"/>
          <w:numId w:val="27"/>
        </w:numPr>
      </w:pPr>
      <w:r>
        <w:t>versus their perception of how it is being</w:t>
      </w:r>
      <w:r w:rsidR="001F0839">
        <w:t xml:space="preserve"> used</w:t>
      </w:r>
      <w:r w:rsidR="00340CFF">
        <w:t>.</w:t>
      </w:r>
      <w:r w:rsidR="000F0853">
        <w:rPr>
          <w:rStyle w:val="EndnoteReference"/>
        </w:rPr>
        <w:endnoteReference w:id="48"/>
      </w:r>
    </w:p>
    <w:p w14:paraId="750EDBD1" w14:textId="497E4F2D" w:rsidR="0006522A" w:rsidRDefault="00691D60" w:rsidP="00561BD4">
      <w:pPr>
        <w:pStyle w:val="ListNumber"/>
      </w:pPr>
      <w:r>
        <w:lastRenderedPageBreak/>
        <w:t xml:space="preserve">This is particularly the </w:t>
      </w:r>
      <w:r w:rsidR="002646E6">
        <w:t>c</w:t>
      </w:r>
      <w:r>
        <w:t xml:space="preserve">ase </w:t>
      </w:r>
      <w:r w:rsidR="0006522A">
        <w:t>where the difference becomes explicit and too contrast</w:t>
      </w:r>
      <w:r w:rsidR="00825B17">
        <w:t>ing</w:t>
      </w:r>
      <w:r w:rsidR="0006522A">
        <w:t>.</w:t>
      </w:r>
      <w:r w:rsidR="0006522A">
        <w:rPr>
          <w:rStyle w:val="EndnoteReference"/>
        </w:rPr>
        <w:endnoteReference w:id="49"/>
      </w:r>
      <w:r w:rsidR="0006522A">
        <w:t xml:space="preserve"> The Cambridge Analytica Data Scandal provides an apt example</w:t>
      </w:r>
      <w:r w:rsidR="003A459F">
        <w:t>. M</w:t>
      </w:r>
      <w:r w:rsidR="0006522A">
        <w:t>any consumers willingly shared data on Facebook</w:t>
      </w:r>
      <w:r w:rsidR="003A459F">
        <w:t>, h</w:t>
      </w:r>
      <w:r w:rsidR="0006522A">
        <w:t>owever when the use of that data by Cambridge Analytica came to light there was public outcry</w:t>
      </w:r>
      <w:r w:rsidR="003A459F">
        <w:t>, with</w:t>
      </w:r>
      <w:r w:rsidR="0006522A">
        <w:t xml:space="preserve"> Facebook </w:t>
      </w:r>
      <w:r w:rsidR="003A459F">
        <w:t>being required to appear at hearings before both the</w:t>
      </w:r>
      <w:r w:rsidR="0006522A">
        <w:t xml:space="preserve"> US congress and UK Parliament.</w:t>
      </w:r>
      <w:r w:rsidR="0006522A">
        <w:rPr>
          <w:rStyle w:val="EndnoteReference"/>
        </w:rPr>
        <w:endnoteReference w:id="50"/>
      </w:r>
    </w:p>
    <w:p w14:paraId="387F8438" w14:textId="3C79E0DE" w:rsidR="00F35486" w:rsidRDefault="00F35486" w:rsidP="00561BD4">
      <w:pPr>
        <w:pStyle w:val="ListNumber"/>
      </w:pPr>
      <w:r>
        <w:t xml:space="preserve">Despite being aware of the risks, and disapproving of those risks to privacy, </w:t>
      </w:r>
      <w:r w:rsidR="006C0B88">
        <w:t>individuals</w:t>
      </w:r>
      <w:r>
        <w:t xml:space="preserve"> are </w:t>
      </w:r>
      <w:r w:rsidR="00CF75C0">
        <w:t xml:space="preserve">often </w:t>
      </w:r>
      <w:r>
        <w:t>unwilling</w:t>
      </w:r>
      <w:r w:rsidR="006C0B88">
        <w:t>,</w:t>
      </w:r>
      <w:r>
        <w:t xml:space="preserve"> or unable</w:t>
      </w:r>
      <w:r w:rsidR="006C0B88">
        <w:t>,</w:t>
      </w:r>
      <w:r>
        <w:t xml:space="preserve"> to stop using appliances or services which threaten their privacy.</w:t>
      </w:r>
      <w:r>
        <w:rPr>
          <w:rStyle w:val="EndnoteReference"/>
        </w:rPr>
        <w:endnoteReference w:id="51"/>
      </w:r>
    </w:p>
    <w:p w14:paraId="5224DD69" w14:textId="0111FCA9" w:rsidR="005D5C7D" w:rsidRDefault="003D276F" w:rsidP="00561BD4">
      <w:pPr>
        <w:pStyle w:val="ListNumber"/>
      </w:pPr>
      <w:r>
        <w:t>This reluctance</w:t>
      </w:r>
      <w:r w:rsidR="005D5C7D">
        <w:t>,</w:t>
      </w:r>
      <w:r>
        <w:t xml:space="preserve"> or inability</w:t>
      </w:r>
      <w:r w:rsidR="005D5C7D">
        <w:t>,</w:t>
      </w:r>
      <w:r>
        <w:t xml:space="preserve"> to </w:t>
      </w:r>
      <w:r w:rsidR="005D5C7D">
        <w:t xml:space="preserve">avoid products or services which threaten </w:t>
      </w:r>
      <w:r w:rsidR="00F14AC5">
        <w:t>p</w:t>
      </w:r>
      <w:r w:rsidR="005D5C7D">
        <w:t xml:space="preserve">rivacy may </w:t>
      </w:r>
      <w:r w:rsidR="00F14AC5">
        <w:t xml:space="preserve">be partly in response to a lack of effective competition or alternative. The ACCC has previously found that a lack of competition </w:t>
      </w:r>
      <w:r w:rsidR="001D447F">
        <w:t>and unavailability of reasonable alternatives (which may better protect privacy) can lead consumers to accept undesirable terms of use.</w:t>
      </w:r>
      <w:r w:rsidR="001D447F" w:rsidRPr="00C275AA">
        <w:rPr>
          <w:rStyle w:val="EndnoteReference"/>
        </w:rPr>
        <w:endnoteReference w:id="52"/>
      </w:r>
      <w:r w:rsidR="001D447F">
        <w:t xml:space="preserve"> </w:t>
      </w:r>
      <w:r w:rsidR="00890F62">
        <w:t>In</w:t>
      </w:r>
      <w:r w:rsidR="001D447F">
        <w:t xml:space="preserve"> addition</w:t>
      </w:r>
      <w:r w:rsidR="00890F62">
        <w:t xml:space="preserve">, </w:t>
      </w:r>
      <w:r w:rsidR="00933114">
        <w:t>terms</w:t>
      </w:r>
      <w:r w:rsidR="009565E7">
        <w:t xml:space="preserve"> of use </w:t>
      </w:r>
      <w:r w:rsidR="00933114">
        <w:t xml:space="preserve">may be provided on a ‘take-it-or-leave-it’ basis across interrelated services which </w:t>
      </w:r>
      <w:r w:rsidR="009565E7">
        <w:t xml:space="preserve">potentially </w:t>
      </w:r>
      <w:r w:rsidR="00933114">
        <w:t>lead</w:t>
      </w:r>
      <w:r w:rsidR="009565E7">
        <w:t>s</w:t>
      </w:r>
      <w:r w:rsidR="00933114">
        <w:t xml:space="preserve"> to excessive data collection inconsistent with </w:t>
      </w:r>
      <w:r w:rsidR="009565E7">
        <w:t xml:space="preserve">the </w:t>
      </w:r>
      <w:r w:rsidR="00933114">
        <w:t>wishes</w:t>
      </w:r>
      <w:r w:rsidR="009565E7">
        <w:t xml:space="preserve"> of the individual consumer</w:t>
      </w:r>
      <w:r w:rsidR="00933114">
        <w:t>.</w:t>
      </w:r>
      <w:r w:rsidR="00933114" w:rsidRPr="00CC57ED">
        <w:rPr>
          <w:rStyle w:val="EndnoteReference"/>
        </w:rPr>
        <w:endnoteReference w:id="53"/>
      </w:r>
      <w:r w:rsidR="00A907B3">
        <w:t xml:space="preserve"> While i</w:t>
      </w:r>
      <w:r w:rsidR="00817135">
        <w:t>t is helpful to have understandable collection notices (and privacy policies)</w:t>
      </w:r>
      <w:r w:rsidR="00FC5E60">
        <w:t>,</w:t>
      </w:r>
      <w:r w:rsidR="00A03C9A">
        <w:t xml:space="preserve"> </w:t>
      </w:r>
      <w:r w:rsidR="00A907B3">
        <w:t xml:space="preserve">as </w:t>
      </w:r>
      <w:r w:rsidR="00A03C9A">
        <w:t>increasing transparency is an important goal in itself</w:t>
      </w:r>
      <w:r w:rsidR="00C603B0">
        <w:t xml:space="preserve">, </w:t>
      </w:r>
      <w:r w:rsidR="00A03C9A">
        <w:t xml:space="preserve">the </w:t>
      </w:r>
      <w:r w:rsidR="00891F55">
        <w:t xml:space="preserve">overall </w:t>
      </w:r>
      <w:r w:rsidR="00A03C9A">
        <w:t xml:space="preserve">benefit </w:t>
      </w:r>
      <w:r w:rsidR="00870D68">
        <w:t xml:space="preserve">to the individual </w:t>
      </w:r>
      <w:r w:rsidR="00891F55">
        <w:t xml:space="preserve">in terms of protecting privacy will be </w:t>
      </w:r>
      <w:r w:rsidR="000B70FA">
        <w:t>severely limited</w:t>
      </w:r>
      <w:r w:rsidR="00C603B0">
        <w:t xml:space="preserve"> if all services and products require </w:t>
      </w:r>
      <w:r w:rsidR="000F0853">
        <w:t xml:space="preserve">access to </w:t>
      </w:r>
      <w:r w:rsidR="00C603B0">
        <w:t xml:space="preserve">the same </w:t>
      </w:r>
      <w:r w:rsidR="007A09DD">
        <w:t>amounts of intrusive personal data</w:t>
      </w:r>
      <w:r w:rsidR="00A907B3">
        <w:t>.</w:t>
      </w:r>
      <w:r w:rsidR="007A09DD">
        <w:t xml:space="preserve"> </w:t>
      </w:r>
    </w:p>
    <w:p w14:paraId="55399EBF" w14:textId="242CC71A" w:rsidR="003D276F" w:rsidRDefault="007A09DD" w:rsidP="00561BD4">
      <w:pPr>
        <w:pStyle w:val="ListNumber"/>
      </w:pPr>
      <w:r>
        <w:t xml:space="preserve">This affords </w:t>
      </w:r>
      <w:r w:rsidR="002646E6">
        <w:t>individuals</w:t>
      </w:r>
      <w:r w:rsidR="003D276F">
        <w:t xml:space="preserve"> very little ability to ‘choose’ services and products which enable modern living without risking their privacy. The illusion of choice in respect of privacy </w:t>
      </w:r>
      <w:r>
        <w:t xml:space="preserve">is not addressed by </w:t>
      </w:r>
      <w:r w:rsidR="00067449">
        <w:t xml:space="preserve">the </w:t>
      </w:r>
      <w:r w:rsidR="000A0C53">
        <w:t>reforms</w:t>
      </w:r>
      <w:r w:rsidR="00067449">
        <w:t xml:space="preserve"> proposed in respect of collection notices (as set out in Proposal 10.1) or privacy policies more broadly</w:t>
      </w:r>
      <w:r w:rsidR="003D276F">
        <w:t xml:space="preserve">. </w:t>
      </w:r>
      <w:r w:rsidR="000A0C53">
        <w:t>This</w:t>
      </w:r>
      <w:r w:rsidR="003D276F">
        <w:t xml:space="preserve"> model of regulation place</w:t>
      </w:r>
      <w:r w:rsidR="000A0C53">
        <w:t>s</w:t>
      </w:r>
      <w:r w:rsidR="003D276F">
        <w:t xml:space="preserve"> great emphasis on </w:t>
      </w:r>
      <w:r w:rsidR="000A0C53">
        <w:t xml:space="preserve">informed </w:t>
      </w:r>
      <w:r w:rsidR="003D276F">
        <w:t>‘choice’ as an effective safeguard for data and privacy.</w:t>
      </w:r>
      <w:r w:rsidR="003D276F" w:rsidRPr="00A40C5B">
        <w:rPr>
          <w:rStyle w:val="EndnoteReference"/>
        </w:rPr>
        <w:endnoteReference w:id="54"/>
      </w:r>
      <w:r w:rsidR="003D276F">
        <w:t xml:space="preserve"> </w:t>
      </w:r>
      <w:r w:rsidR="000A0C53">
        <w:t xml:space="preserve">While Proposal 10.1 does ensure that </w:t>
      </w:r>
      <w:r w:rsidR="009C3E02">
        <w:t>individuals</w:t>
      </w:r>
      <w:r w:rsidR="000A0C53">
        <w:t xml:space="preserve"> are ‘informed’ it does little to </w:t>
      </w:r>
      <w:r w:rsidR="00965C17">
        <w:t>enable any choice in how they can engage in modern living without signing away their data. T</w:t>
      </w:r>
      <w:r w:rsidR="003D276F">
        <w:t xml:space="preserve">he privacy paradox and numerous behavioural studies demonstrate that placing the onus on </w:t>
      </w:r>
      <w:r w:rsidR="00965C17">
        <w:t>individuals</w:t>
      </w:r>
      <w:r w:rsidR="003D276F">
        <w:t xml:space="preserve"> to protect their own data is insufficient.</w:t>
      </w:r>
      <w:r w:rsidR="003D276F" w:rsidRPr="00A40C5B">
        <w:rPr>
          <w:rStyle w:val="EndnoteReference"/>
        </w:rPr>
        <w:endnoteReference w:id="55"/>
      </w:r>
      <w:r w:rsidR="003D276F">
        <w:t xml:space="preserve"> </w:t>
      </w:r>
    </w:p>
    <w:p w14:paraId="1E8BE885" w14:textId="21A24D73" w:rsidR="003D276F" w:rsidRDefault="003D276F" w:rsidP="00561BD4">
      <w:pPr>
        <w:pStyle w:val="ListNumber"/>
      </w:pPr>
      <w:r>
        <w:t xml:space="preserve">Such a model also does not acknowledge the substantial power difference between </w:t>
      </w:r>
      <w:r w:rsidR="00971EC4">
        <w:t>large</w:t>
      </w:r>
      <w:r>
        <w:t xml:space="preserve"> companies and </w:t>
      </w:r>
      <w:r w:rsidR="00971EC4">
        <w:t xml:space="preserve">individual </w:t>
      </w:r>
      <w:r>
        <w:t>consumers. Even where an individual understands how their data will be used, this power imbalance remains</w:t>
      </w:r>
      <w:r w:rsidR="00AE5303">
        <w:t>,</w:t>
      </w:r>
      <w:r>
        <w:t xml:space="preserve"> as ‘one party controls the design of applications and the other must operate within that design’.</w:t>
      </w:r>
      <w:r>
        <w:rPr>
          <w:rStyle w:val="EndnoteReference"/>
        </w:rPr>
        <w:endnoteReference w:id="56"/>
      </w:r>
      <w:r>
        <w:t xml:space="preserve"> </w:t>
      </w:r>
    </w:p>
    <w:p w14:paraId="4EF5F141" w14:textId="75795B4D" w:rsidR="00A562D9" w:rsidRPr="00D50879" w:rsidRDefault="003D276F" w:rsidP="00561BD4">
      <w:pPr>
        <w:pStyle w:val="ListNumber"/>
      </w:pPr>
      <w:r>
        <w:t xml:space="preserve">The privacy paradox, illusion of choice and power imbalances may all contribute to </w:t>
      </w:r>
      <w:r w:rsidR="00F04522">
        <w:t>individuals</w:t>
      </w:r>
      <w:r>
        <w:t xml:space="preserve"> being unable to engage in modern living without relinquishing their privacy.</w:t>
      </w:r>
      <w:r w:rsidR="0011781B">
        <w:t xml:space="preserve"> Although improved transparency in collection notices and privacy policies is a good first step</w:t>
      </w:r>
      <w:r w:rsidR="00261A04">
        <w:t xml:space="preserve">, the Commission would </w:t>
      </w:r>
      <w:r w:rsidR="00E97ED2">
        <w:t xml:space="preserve">encourage </w:t>
      </w:r>
      <w:r w:rsidR="00261A04">
        <w:t xml:space="preserve">the Attorney-General’s Department to consider alternative models </w:t>
      </w:r>
      <w:r w:rsidR="00261A04">
        <w:lastRenderedPageBreak/>
        <w:t>which do not place the onus on individuals to protect their data</w:t>
      </w:r>
      <w:r w:rsidR="004A4E18">
        <w:t xml:space="preserve">. By way of example only, the Commission is aware that the </w:t>
      </w:r>
      <w:r w:rsidR="004A4E18" w:rsidRPr="004A4E18">
        <w:t>Consumer Policy Research Centre</w:t>
      </w:r>
      <w:r w:rsidR="001E6DC4" w:rsidRPr="001E6DC4">
        <w:t xml:space="preserve"> </w:t>
      </w:r>
      <w:r w:rsidR="001E6DC4" w:rsidRPr="004A4E18">
        <w:t>Working Paper</w:t>
      </w:r>
      <w:r w:rsidR="004A4E18" w:rsidRPr="004A4E18">
        <w:t>, ‘In whose interest? Why businesses need to keep consumers safe and treat their data with care’</w:t>
      </w:r>
      <w:r w:rsidR="00197E3B">
        <w:t>,</w:t>
      </w:r>
      <w:r w:rsidR="004A4E18" w:rsidRPr="004A4E18">
        <w:t xml:space="preserve"> </w:t>
      </w:r>
      <w:r w:rsidR="004A4E18">
        <w:t xml:space="preserve">considers alternative models </w:t>
      </w:r>
      <w:r w:rsidR="00445AF7">
        <w:t xml:space="preserve">which </w:t>
      </w:r>
      <w:r w:rsidR="007924B9">
        <w:t>might be useful to</w:t>
      </w:r>
      <w:r w:rsidR="00445AF7">
        <w:t xml:space="preserve"> consider.</w:t>
      </w:r>
    </w:p>
    <w:p w14:paraId="66358D91" w14:textId="77777777" w:rsidR="00D50879" w:rsidRPr="008B1937" w:rsidRDefault="00D50879" w:rsidP="00561BD4">
      <w:pPr>
        <w:pStyle w:val="ListNumber"/>
        <w:numPr>
          <w:ilvl w:val="0"/>
          <w:numId w:val="0"/>
        </w:numPr>
      </w:pPr>
    </w:p>
    <w:p w14:paraId="732F2980" w14:textId="716585FA" w:rsidR="008F3289" w:rsidRDefault="008F3289" w:rsidP="00561BD4">
      <w:pPr>
        <w:pStyle w:val="Heading1"/>
      </w:pPr>
      <w:bookmarkStart w:id="42" w:name="_Toc131585357"/>
      <w:r>
        <w:t>Proposal 11.</w:t>
      </w:r>
      <w:r w:rsidR="00AB1820">
        <w:t>1</w:t>
      </w:r>
      <w:bookmarkEnd w:id="42"/>
    </w:p>
    <w:p w14:paraId="4E225AD5" w14:textId="3BB34DDA" w:rsidR="008F3289" w:rsidRDefault="00B937C7" w:rsidP="00561BD4">
      <w:pPr>
        <w:pStyle w:val="ListNumber"/>
        <w:numPr>
          <w:ilvl w:val="0"/>
          <w:numId w:val="0"/>
        </w:numPr>
        <w:ind w:left="360"/>
      </w:pPr>
      <w:r w:rsidRPr="009F24AC">
        <w:rPr>
          <w:i/>
          <w:iCs/>
        </w:rPr>
        <w:t>Amend the definition of consent to provide that it must be voluntary, informed, current, specific, and unambiguous</w:t>
      </w:r>
      <w:r w:rsidRPr="00B937C7">
        <w:t>.</w:t>
      </w:r>
    </w:p>
    <w:p w14:paraId="11793A9B" w14:textId="661C3018" w:rsidR="003B07AA" w:rsidRDefault="00AF6E6B" w:rsidP="00561BD4">
      <w:pPr>
        <w:pStyle w:val="ListNumber"/>
      </w:pPr>
      <w:r>
        <w:t xml:space="preserve">The Commission agrees with </w:t>
      </w:r>
      <w:r w:rsidR="00497BB1">
        <w:t>P</w:t>
      </w:r>
      <w:r>
        <w:t>roposal</w:t>
      </w:r>
      <w:r w:rsidR="00497BB1">
        <w:t xml:space="preserve"> 11.1</w:t>
      </w:r>
      <w:r>
        <w:t xml:space="preserve">. </w:t>
      </w:r>
    </w:p>
    <w:p w14:paraId="7DC644FB" w14:textId="77777777" w:rsidR="003B07AA" w:rsidRDefault="003B07AA" w:rsidP="00561BD4">
      <w:pPr>
        <w:pStyle w:val="ListNumber"/>
        <w:numPr>
          <w:ilvl w:val="0"/>
          <w:numId w:val="0"/>
        </w:numPr>
        <w:ind w:left="360"/>
      </w:pPr>
    </w:p>
    <w:p w14:paraId="23F13113" w14:textId="6A365B55" w:rsidR="003B07AA" w:rsidRPr="0053042F" w:rsidRDefault="003B07AA" w:rsidP="00561BD4">
      <w:pPr>
        <w:pStyle w:val="ListNumber"/>
        <w:numPr>
          <w:ilvl w:val="0"/>
          <w:numId w:val="0"/>
        </w:numPr>
        <w:ind w:left="360"/>
        <w:rPr>
          <w:b/>
          <w:bCs/>
        </w:rPr>
      </w:pPr>
      <w:r w:rsidRPr="0053042F">
        <w:rPr>
          <w:b/>
          <w:bCs/>
        </w:rPr>
        <w:t xml:space="preserve">Recommendation </w:t>
      </w:r>
      <w:r w:rsidR="000A4F2A">
        <w:rPr>
          <w:b/>
          <w:bCs/>
        </w:rPr>
        <w:t>6</w:t>
      </w:r>
      <w:r w:rsidRPr="0053042F">
        <w:rPr>
          <w:b/>
          <w:bCs/>
        </w:rPr>
        <w:t>: The definition of consent be amended to provide that it must be voluntary, informed, current, specific, and unambiguous</w:t>
      </w:r>
      <w:r w:rsidR="0053042F" w:rsidRPr="0053042F">
        <w:rPr>
          <w:b/>
          <w:bCs/>
        </w:rPr>
        <w:t>.</w:t>
      </w:r>
    </w:p>
    <w:p w14:paraId="602203DB" w14:textId="77777777" w:rsidR="003B07AA" w:rsidRDefault="003B07AA" w:rsidP="00561BD4">
      <w:pPr>
        <w:pStyle w:val="ListNumber"/>
        <w:numPr>
          <w:ilvl w:val="0"/>
          <w:numId w:val="0"/>
        </w:numPr>
        <w:ind w:left="360"/>
      </w:pPr>
    </w:p>
    <w:p w14:paraId="2E707D89" w14:textId="3D36E05B" w:rsidR="00AF6E6B" w:rsidRDefault="00AC614F" w:rsidP="00561BD4">
      <w:pPr>
        <w:pStyle w:val="ListNumber"/>
      </w:pPr>
      <w:r>
        <w:t xml:space="preserve">Although </w:t>
      </w:r>
      <w:r w:rsidR="00AB1820">
        <w:t>Proposal 11.1 largely codifies OAIC guidance</w:t>
      </w:r>
      <w:r w:rsidR="00303238">
        <w:t>,</w:t>
      </w:r>
      <w:r w:rsidR="00AB1820">
        <w:rPr>
          <w:rStyle w:val="EndnoteReference"/>
        </w:rPr>
        <w:endnoteReference w:id="57"/>
      </w:r>
      <w:r w:rsidR="00303238">
        <w:t xml:space="preserve"> in light of this </w:t>
      </w:r>
      <w:r w:rsidR="00E752A2">
        <w:t>proposed amendment to the Act</w:t>
      </w:r>
      <w:r w:rsidR="006D5556">
        <w:t xml:space="preserve"> it would also be beneficial to strengthen</w:t>
      </w:r>
      <w:r w:rsidR="00E752A2">
        <w:t xml:space="preserve"> existing OAIC guidance </w:t>
      </w:r>
      <w:r w:rsidR="006D5556">
        <w:t xml:space="preserve">to ensure that </w:t>
      </w:r>
      <w:r w:rsidR="00DC74B8">
        <w:t>it</w:t>
      </w:r>
      <w:r w:rsidR="006D5556">
        <w:t xml:space="preserve"> fully</w:t>
      </w:r>
      <w:r w:rsidR="00551BCC">
        <w:t xml:space="preserve"> reflect</w:t>
      </w:r>
      <w:r w:rsidR="00DC74B8">
        <w:t>s</w:t>
      </w:r>
      <w:r w:rsidR="00AF6E6B">
        <w:t xml:space="preserve"> the </w:t>
      </w:r>
      <w:r w:rsidR="009F4288">
        <w:t>National Decision</w:t>
      </w:r>
      <w:r w:rsidR="00AF6E6B">
        <w:t xml:space="preserve">-making </w:t>
      </w:r>
      <w:r w:rsidR="009F4288">
        <w:t xml:space="preserve">Principles </w:t>
      </w:r>
      <w:r w:rsidR="00AF6E6B">
        <w:t>from the</w:t>
      </w:r>
      <w:r w:rsidR="00AF6E6B" w:rsidRPr="00046B62">
        <w:t xml:space="preserve"> </w:t>
      </w:r>
      <w:r w:rsidR="00AF6E6B">
        <w:t xml:space="preserve">2014 Australian Law Reform Commission (ALRC) Report </w:t>
      </w:r>
      <w:r w:rsidR="00AF6E6B" w:rsidRPr="00551BCC">
        <w:rPr>
          <w:i/>
          <w:iCs/>
        </w:rPr>
        <w:t>‘Equality, Capacity and Disability in Commonwealth Laws’</w:t>
      </w:r>
      <w:r w:rsidR="00AF6E6B" w:rsidRPr="00167D51">
        <w:t xml:space="preserve"> (ALRC Report 124)</w:t>
      </w:r>
      <w:r w:rsidR="00DC74B8">
        <w:t>, namely that</w:t>
      </w:r>
      <w:r w:rsidR="00AF6E6B">
        <w:t>:</w:t>
      </w:r>
    </w:p>
    <w:p w14:paraId="2C8CB9AD" w14:textId="77777777" w:rsidR="00AF6E6B" w:rsidRPr="003C6670" w:rsidRDefault="00AF6E6B" w:rsidP="00561BD4">
      <w:pPr>
        <w:pStyle w:val="ListParagraph"/>
        <w:numPr>
          <w:ilvl w:val="0"/>
          <w:numId w:val="30"/>
        </w:numPr>
        <w:rPr>
          <w:rStyle w:val="CommentReference"/>
          <w:sz w:val="24"/>
          <w:szCs w:val="24"/>
        </w:rPr>
      </w:pPr>
      <w:r>
        <w:t>All adults have an equal right to make decisions that affect their lives and to have those decisions respected.</w:t>
      </w:r>
    </w:p>
    <w:p w14:paraId="2DBBF193" w14:textId="77777777" w:rsidR="00AF6E6B" w:rsidRDefault="00AF6E6B" w:rsidP="00561BD4">
      <w:pPr>
        <w:pStyle w:val="ListParagraph"/>
        <w:numPr>
          <w:ilvl w:val="0"/>
          <w:numId w:val="30"/>
        </w:numPr>
      </w:pPr>
      <w:r>
        <w:t>Persons who require support in decision-making must be provided with access to the support necessary for them to make, communicate and participate in decisions that affect their lives.</w:t>
      </w:r>
    </w:p>
    <w:p w14:paraId="1E2F5212" w14:textId="77777777" w:rsidR="00AF6E6B" w:rsidRDefault="00AF6E6B" w:rsidP="00561BD4">
      <w:pPr>
        <w:pStyle w:val="ListParagraph"/>
        <w:numPr>
          <w:ilvl w:val="0"/>
          <w:numId w:val="30"/>
        </w:numPr>
      </w:pPr>
      <w:r>
        <w:t>The will, preferences and rights of persons who may require decision-making support must direct decisions that affect their lives.</w:t>
      </w:r>
    </w:p>
    <w:p w14:paraId="186C42D3" w14:textId="7D32189E" w:rsidR="00AF6E6B" w:rsidRDefault="00AF6E6B" w:rsidP="00561BD4">
      <w:pPr>
        <w:pStyle w:val="ListParagraph"/>
        <w:numPr>
          <w:ilvl w:val="0"/>
          <w:numId w:val="30"/>
        </w:numPr>
      </w:pPr>
      <w:r>
        <w:t>Laws and legal frameworks must contain appropriate and effective safeguards in relation to interventions for persons who may require decision-making</w:t>
      </w:r>
      <w:r w:rsidR="00C4630D">
        <w:t xml:space="preserve"> support</w:t>
      </w:r>
      <w:r>
        <w:t>, including to prevent abuse and undue influence.</w:t>
      </w:r>
      <w:r>
        <w:rPr>
          <w:rStyle w:val="EndnoteReference"/>
        </w:rPr>
        <w:endnoteReference w:id="58"/>
      </w:r>
    </w:p>
    <w:p w14:paraId="33081A50" w14:textId="77777777" w:rsidR="0053042F" w:rsidRDefault="00AF6E6B" w:rsidP="00561BD4">
      <w:pPr>
        <w:pStyle w:val="ListNumber"/>
      </w:pPr>
      <w:r>
        <w:t>Consent, as a decision, falls within these decision-making principles.</w:t>
      </w:r>
    </w:p>
    <w:p w14:paraId="0C4C5AAB" w14:textId="3656AFA5" w:rsidR="00AF6E6B" w:rsidRDefault="00AF6E6B" w:rsidP="00561BD4">
      <w:pPr>
        <w:pStyle w:val="ListNumber"/>
        <w:numPr>
          <w:ilvl w:val="0"/>
          <w:numId w:val="0"/>
        </w:numPr>
        <w:ind w:left="360"/>
      </w:pPr>
      <w:r>
        <w:t xml:space="preserve"> </w:t>
      </w:r>
    </w:p>
    <w:p w14:paraId="3E6ACE14" w14:textId="2BED45FF" w:rsidR="0053042F" w:rsidRPr="00BC6C20" w:rsidRDefault="0053042F" w:rsidP="00561BD4">
      <w:pPr>
        <w:pStyle w:val="ListNumber"/>
        <w:numPr>
          <w:ilvl w:val="0"/>
          <w:numId w:val="0"/>
        </w:numPr>
        <w:ind w:left="360"/>
        <w:rPr>
          <w:b/>
          <w:bCs/>
        </w:rPr>
      </w:pPr>
      <w:r w:rsidRPr="00BC6C20">
        <w:rPr>
          <w:b/>
          <w:bCs/>
        </w:rPr>
        <w:lastRenderedPageBreak/>
        <w:t xml:space="preserve">Recommendation </w:t>
      </w:r>
      <w:r w:rsidR="000A4F2A">
        <w:rPr>
          <w:b/>
          <w:bCs/>
        </w:rPr>
        <w:t>7</w:t>
      </w:r>
      <w:r w:rsidRPr="00BC6C20">
        <w:rPr>
          <w:b/>
          <w:bCs/>
        </w:rPr>
        <w:t xml:space="preserve">: OAIC guidance </w:t>
      </w:r>
      <w:r w:rsidR="00E54168">
        <w:rPr>
          <w:b/>
          <w:bCs/>
        </w:rPr>
        <w:t>should be strengthened</w:t>
      </w:r>
      <w:r w:rsidR="00591479">
        <w:rPr>
          <w:b/>
          <w:bCs/>
        </w:rPr>
        <w:t xml:space="preserve"> to fully</w:t>
      </w:r>
      <w:r w:rsidR="00BC6C20" w:rsidRPr="00BC6C20">
        <w:rPr>
          <w:b/>
          <w:bCs/>
        </w:rPr>
        <w:t xml:space="preserve"> incorporate the ALRC Report 124 </w:t>
      </w:r>
      <w:r w:rsidR="00056C8F">
        <w:rPr>
          <w:b/>
          <w:bCs/>
        </w:rPr>
        <w:t xml:space="preserve">national </w:t>
      </w:r>
      <w:r w:rsidR="00BC6C20" w:rsidRPr="00BC6C20">
        <w:rPr>
          <w:b/>
          <w:bCs/>
        </w:rPr>
        <w:t>decision-making principles.</w:t>
      </w:r>
    </w:p>
    <w:p w14:paraId="64F60E8A" w14:textId="77777777" w:rsidR="00B937C7" w:rsidRPr="008F3289" w:rsidRDefault="00B937C7" w:rsidP="00561BD4">
      <w:pPr>
        <w:pStyle w:val="ListNumber"/>
        <w:numPr>
          <w:ilvl w:val="0"/>
          <w:numId w:val="0"/>
        </w:numPr>
        <w:ind w:left="360"/>
      </w:pPr>
    </w:p>
    <w:p w14:paraId="5ED40019" w14:textId="5ABF2D06" w:rsidR="00C17B9F" w:rsidRPr="002D2397" w:rsidRDefault="00A13602" w:rsidP="00561BD4">
      <w:pPr>
        <w:pStyle w:val="Heading1"/>
      </w:pPr>
      <w:bookmarkStart w:id="43" w:name="_Toc131585358"/>
      <w:r>
        <w:t>Proposal 13.2</w:t>
      </w:r>
      <w:bookmarkEnd w:id="43"/>
      <w:r w:rsidR="0024681F">
        <w:t xml:space="preserve"> </w:t>
      </w:r>
      <w:r w:rsidR="00C17B9F" w:rsidRPr="002D2397">
        <w:t xml:space="preserve"> </w:t>
      </w:r>
    </w:p>
    <w:p w14:paraId="12BA3950" w14:textId="1808A35C" w:rsidR="00311975" w:rsidRPr="00B23A12" w:rsidRDefault="00B23A12" w:rsidP="00561BD4">
      <w:pPr>
        <w:pStyle w:val="ListNumber"/>
        <w:numPr>
          <w:ilvl w:val="0"/>
          <w:numId w:val="0"/>
        </w:numPr>
        <w:ind w:left="360"/>
        <w:rPr>
          <w:i/>
          <w:iCs/>
        </w:rPr>
      </w:pPr>
      <w:r w:rsidRPr="00B23A12">
        <w:rPr>
          <w:i/>
          <w:iCs/>
        </w:rPr>
        <w:t>Consider how enhanced risk assessment requirements for facial recognition technology and other uses of biometric information may be adopted as part of the implementation of Proposal 13.1 to require Privacy Impact Assessments for high privacy risk activities. This work should be done as part of a broader consideration by government of the regulation of biometric technologies</w:t>
      </w:r>
      <w:r>
        <w:rPr>
          <w:i/>
          <w:iCs/>
        </w:rPr>
        <w:t>.</w:t>
      </w:r>
    </w:p>
    <w:p w14:paraId="481CF075" w14:textId="17BE8193" w:rsidR="00E13E40" w:rsidRDefault="00F67640" w:rsidP="00561BD4">
      <w:pPr>
        <w:pStyle w:val="ListNumber"/>
      </w:pPr>
      <w:r>
        <w:t>F</w:t>
      </w:r>
      <w:r w:rsidR="29CA27A8">
        <w:t>acial recognition technology (</w:t>
      </w:r>
      <w:r w:rsidR="5D5B2FBB">
        <w:t>FRT</w:t>
      </w:r>
      <w:r w:rsidR="29CA27A8">
        <w:t>)</w:t>
      </w:r>
      <w:r w:rsidR="5D5B2FBB">
        <w:t xml:space="preserve"> can be used </w:t>
      </w:r>
      <w:r w:rsidR="00C44EB0">
        <w:t>in simple ways</w:t>
      </w:r>
      <w:r>
        <w:t xml:space="preserve">, </w:t>
      </w:r>
      <w:r w:rsidR="00C44EB0">
        <w:t>such as</w:t>
      </w:r>
      <w:r w:rsidR="4A44964A">
        <w:t xml:space="preserve"> to unlock a phone</w:t>
      </w:r>
      <w:r w:rsidR="29CA27A8">
        <w:t>.</w:t>
      </w:r>
      <w:r w:rsidR="4A44964A">
        <w:t xml:space="preserve"> </w:t>
      </w:r>
      <w:r w:rsidR="29CA27A8">
        <w:t>H</w:t>
      </w:r>
      <w:r w:rsidR="4A44964A">
        <w:t>owever</w:t>
      </w:r>
      <w:r w:rsidR="19DA2FD0">
        <w:t>,</w:t>
      </w:r>
      <w:r w:rsidR="4A44964A">
        <w:t xml:space="preserve"> it can also be used in policing or decisions which have a legal or similarly significant effect on an individual. </w:t>
      </w:r>
      <w:r w:rsidR="00356583">
        <w:t xml:space="preserve">The Commission made </w:t>
      </w:r>
      <w:r w:rsidR="008D4CA1">
        <w:t>various</w:t>
      </w:r>
      <w:r w:rsidR="00356583">
        <w:t xml:space="preserve"> recommendations with respect to the use of FRT in </w:t>
      </w:r>
      <w:r w:rsidR="42A4BF77">
        <w:t>the Final Report</w:t>
      </w:r>
      <w:r w:rsidR="00C273FE">
        <w:rPr>
          <w:rStyle w:val="EndnoteReference"/>
        </w:rPr>
        <w:endnoteReference w:id="59"/>
      </w:r>
      <w:r w:rsidR="42A4BF77">
        <w:t xml:space="preserve"> </w:t>
      </w:r>
      <w:r w:rsidR="00E45E0C">
        <w:t>and, building upon those recommendations</w:t>
      </w:r>
      <w:r w:rsidR="008D4CA1">
        <w:t xml:space="preserve">, </w:t>
      </w:r>
      <w:r w:rsidR="32754B97">
        <w:t>encourage</w:t>
      </w:r>
      <w:r w:rsidR="00C6466E">
        <w:t>s</w:t>
      </w:r>
      <w:r w:rsidR="32754B97">
        <w:t xml:space="preserve"> </w:t>
      </w:r>
      <w:r w:rsidR="32C49444">
        <w:t xml:space="preserve">more thorough risk assessment requirements in respect of FRT and the use of biometric information. </w:t>
      </w:r>
    </w:p>
    <w:p w14:paraId="5AF01D53" w14:textId="2FA48DFF" w:rsidR="00ED43E6" w:rsidRDefault="32C49444" w:rsidP="00561BD4">
      <w:pPr>
        <w:pStyle w:val="ListNumber"/>
      </w:pPr>
      <w:r>
        <w:t xml:space="preserve">Proposal 13.2 provides that </w:t>
      </w:r>
      <w:r w:rsidR="29CA27A8">
        <w:t>‘</w:t>
      </w:r>
      <w:r w:rsidRPr="000B763B">
        <w:t>This work should be done as part of a broader consideration by government of the regulation of biometric technologies</w:t>
      </w:r>
      <w:r w:rsidR="29CA27A8">
        <w:t>’</w:t>
      </w:r>
      <w:r w:rsidR="64FAAB04">
        <w:t>.</w:t>
      </w:r>
      <w:r>
        <w:t xml:space="preserve"> The Commission </w:t>
      </w:r>
      <w:r w:rsidR="51DB6E75">
        <w:t>is pleased that government is conscious of the need for regulation of FRT</w:t>
      </w:r>
      <w:r w:rsidR="3B36AC1F">
        <w:t xml:space="preserve"> -</w:t>
      </w:r>
      <w:r w:rsidR="51DB6E75">
        <w:t xml:space="preserve"> which collects and utilises biometric data. </w:t>
      </w:r>
      <w:r w:rsidR="26A02863">
        <w:t xml:space="preserve">The use of </w:t>
      </w:r>
      <w:r w:rsidR="00C6466E">
        <w:t xml:space="preserve">AI </w:t>
      </w:r>
      <w:r w:rsidR="26A02863">
        <w:t>in</w:t>
      </w:r>
      <w:r w:rsidR="737C89E0">
        <w:t xml:space="preserve"> conjunction with FRT and</w:t>
      </w:r>
      <w:r w:rsidR="26A02863">
        <w:t xml:space="preserve"> biometric</w:t>
      </w:r>
      <w:r w:rsidR="737C89E0">
        <w:t xml:space="preserve"> information</w:t>
      </w:r>
      <w:r w:rsidR="26A02863">
        <w:t xml:space="preserve"> has prompted growing concern</w:t>
      </w:r>
      <w:r w:rsidR="00820DF3">
        <w:t>s, amongst both experts and the general public</w:t>
      </w:r>
      <w:r w:rsidR="64FAAB04">
        <w:t>.</w:t>
      </w:r>
      <w:r w:rsidR="00E51811">
        <w:rPr>
          <w:rStyle w:val="EndnoteReference"/>
        </w:rPr>
        <w:endnoteReference w:id="60"/>
      </w:r>
    </w:p>
    <w:p w14:paraId="71D91F2B" w14:textId="00F1C267" w:rsidR="0024681F" w:rsidRDefault="0024681F" w:rsidP="00561BD4">
      <w:pPr>
        <w:pStyle w:val="Heading2"/>
      </w:pPr>
      <w:bookmarkStart w:id="44" w:name="_Toc131585359"/>
      <w:r>
        <w:t>Facial recognition technologies</w:t>
      </w:r>
      <w:bookmarkEnd w:id="44"/>
      <w:r>
        <w:t xml:space="preserve"> </w:t>
      </w:r>
    </w:p>
    <w:p w14:paraId="18417227" w14:textId="59A114B9" w:rsidR="009A72FE" w:rsidRDefault="03EE9B5E" w:rsidP="00561BD4">
      <w:pPr>
        <w:pStyle w:val="ListNumber"/>
      </w:pPr>
      <w:r>
        <w:t>New and emerging technologies often bring with them a range of ethical issues a</w:t>
      </w:r>
      <w:r w:rsidR="05FC72F6">
        <w:t xml:space="preserve">s society grapples with how best </w:t>
      </w:r>
      <w:r w:rsidR="000B66FC">
        <w:t xml:space="preserve">to </w:t>
      </w:r>
      <w:r w:rsidR="00820DF3">
        <w:t>harness</w:t>
      </w:r>
      <w:r w:rsidR="05FC72F6">
        <w:t xml:space="preserve"> the </w:t>
      </w:r>
      <w:r w:rsidR="00820DF3">
        <w:t xml:space="preserve">prospective </w:t>
      </w:r>
      <w:r w:rsidR="05FC72F6">
        <w:t xml:space="preserve">benefits of new technology, while mitigating the </w:t>
      </w:r>
      <w:r w:rsidR="00820DF3">
        <w:t xml:space="preserve">potential </w:t>
      </w:r>
      <w:r w:rsidR="05FC72F6">
        <w:t xml:space="preserve">harms. This is </w:t>
      </w:r>
      <w:r w:rsidR="7D705AB3">
        <w:t xml:space="preserve">especially </w:t>
      </w:r>
      <w:r w:rsidR="05FC72F6">
        <w:t>true of FRT</w:t>
      </w:r>
      <w:r w:rsidR="000B66FC">
        <w:t>,</w:t>
      </w:r>
      <w:r w:rsidR="7D705AB3">
        <w:t xml:space="preserve"> </w:t>
      </w:r>
      <w:r w:rsidR="534D061E">
        <w:t xml:space="preserve">which has had persistent problems with accuracy and fairness </w:t>
      </w:r>
      <w:r w:rsidR="2778E729">
        <w:t xml:space="preserve">in its use – particularly </w:t>
      </w:r>
      <w:r w:rsidR="00C6466E">
        <w:t>in</w:t>
      </w:r>
      <w:r w:rsidR="00BE0CD4">
        <w:t xml:space="preserve"> respect </w:t>
      </w:r>
      <w:r w:rsidR="00C6466E">
        <w:t>of</w:t>
      </w:r>
      <w:r w:rsidR="00667C04">
        <w:t xml:space="preserve"> racial and gender bias</w:t>
      </w:r>
      <w:r w:rsidR="05250390">
        <w:t>. These concerns have led to the technology being banned in some place</w:t>
      </w:r>
      <w:r w:rsidR="00545F4D">
        <w:t>s</w:t>
      </w:r>
      <w:r w:rsidR="05250390">
        <w:t xml:space="preserve">, </w:t>
      </w:r>
      <w:r w:rsidR="00545F4D">
        <w:t xml:space="preserve">and </w:t>
      </w:r>
      <w:r w:rsidR="64CE4ABC">
        <w:t xml:space="preserve">yet </w:t>
      </w:r>
      <w:r w:rsidR="00545F4D">
        <w:t>it</w:t>
      </w:r>
      <w:r w:rsidR="64CE4ABC">
        <w:t xml:space="preserve"> continues to be</w:t>
      </w:r>
      <w:r w:rsidR="05250390">
        <w:t xml:space="preserve"> commonplace in others.</w:t>
      </w:r>
      <w:r w:rsidR="00344C82">
        <w:rPr>
          <w:rStyle w:val="EndnoteReference"/>
        </w:rPr>
        <w:endnoteReference w:id="61"/>
      </w:r>
      <w:r w:rsidR="7D705AB3">
        <w:t xml:space="preserve"> </w:t>
      </w:r>
    </w:p>
    <w:p w14:paraId="63DC2796" w14:textId="7DC7E9E8" w:rsidR="004F3239" w:rsidRDefault="05250390" w:rsidP="00561BD4">
      <w:pPr>
        <w:pStyle w:val="ListNumber"/>
      </w:pPr>
      <w:r>
        <w:t xml:space="preserve">FRT is being adopted by </w:t>
      </w:r>
      <w:r w:rsidR="304F8A09">
        <w:t>government</w:t>
      </w:r>
      <w:r w:rsidR="6A1D7986">
        <w:t xml:space="preserve"> and businesses</w:t>
      </w:r>
      <w:r w:rsidR="60F45DB6">
        <w:t xml:space="preserve"> in Australia at an exponential rate</w:t>
      </w:r>
      <w:r w:rsidR="304F8A09">
        <w:t>.</w:t>
      </w:r>
      <w:r w:rsidR="005A3EFF">
        <w:rPr>
          <w:rStyle w:val="EndnoteReference"/>
        </w:rPr>
        <w:endnoteReference w:id="62"/>
      </w:r>
      <w:r w:rsidR="6EC97139">
        <w:t xml:space="preserve"> </w:t>
      </w:r>
      <w:r w:rsidR="006E60AF">
        <w:t>T</w:t>
      </w:r>
      <w:r w:rsidR="6EC97139">
        <w:t xml:space="preserve">hese tools are also </w:t>
      </w:r>
      <w:r w:rsidR="006E60AF">
        <w:t xml:space="preserve">increasingly </w:t>
      </w:r>
      <w:r w:rsidR="6EC97139">
        <w:t>being used in workplaces, schools, shopping centres and residential areas to identify members of the public and monitor behaviour.</w:t>
      </w:r>
      <w:r w:rsidR="004F3239">
        <w:rPr>
          <w:rStyle w:val="EndnoteReference"/>
        </w:rPr>
        <w:endnoteReference w:id="63"/>
      </w:r>
    </w:p>
    <w:p w14:paraId="320BACC8" w14:textId="0D54A46C" w:rsidR="00997B37" w:rsidRDefault="2CDCCDD6" w:rsidP="00561BD4">
      <w:pPr>
        <w:pStyle w:val="ListNumber"/>
      </w:pPr>
      <w:r>
        <w:t xml:space="preserve">As the technology has become increasingly mainstream, so too have the voices </w:t>
      </w:r>
      <w:r w:rsidR="1E6304AF">
        <w:t>raising ethical concerns and calling for greater regulation.</w:t>
      </w:r>
      <w:r w:rsidR="00F05C8F">
        <w:rPr>
          <w:rStyle w:val="EndnoteReference"/>
        </w:rPr>
        <w:endnoteReference w:id="64"/>
      </w:r>
      <w:r w:rsidR="1E6304AF">
        <w:t xml:space="preserve"> Al</w:t>
      </w:r>
      <w:r w:rsidR="459C67B0">
        <w:t xml:space="preserve">l new and </w:t>
      </w:r>
      <w:r w:rsidR="459C67B0">
        <w:lastRenderedPageBreak/>
        <w:t xml:space="preserve">emerging technologies </w:t>
      </w:r>
      <w:r w:rsidR="00C00C7E">
        <w:t xml:space="preserve">need to be used in a responsible and ethical way, and </w:t>
      </w:r>
      <w:r w:rsidR="53DE2FC6">
        <w:t>need</w:t>
      </w:r>
      <w:r w:rsidR="459C67B0">
        <w:t xml:space="preserve"> a code of ethics and regulation to mitigate any harms.</w:t>
      </w:r>
      <w:r w:rsidR="00DA4A90">
        <w:rPr>
          <w:rStyle w:val="EndnoteReference"/>
        </w:rPr>
        <w:endnoteReference w:id="65"/>
      </w:r>
      <w:r w:rsidR="459C67B0">
        <w:t xml:space="preserve"> Although this submission focuses on legislative responses to FRT, </w:t>
      </w:r>
      <w:r w:rsidR="23D5CE9D">
        <w:t xml:space="preserve">the Commission encourages greater discussion </w:t>
      </w:r>
      <w:r w:rsidR="60F45DB6">
        <w:t>of</w:t>
      </w:r>
      <w:r w:rsidR="23D5CE9D">
        <w:t xml:space="preserve"> the limitations of FRT and how developers can better </w:t>
      </w:r>
      <w:r w:rsidR="62225F86">
        <w:t>manage those limitations to increase equity and fairness.</w:t>
      </w:r>
      <w:r w:rsidR="00410013">
        <w:rPr>
          <w:rStyle w:val="EndnoteReference"/>
        </w:rPr>
        <w:endnoteReference w:id="66"/>
      </w:r>
      <w:r w:rsidR="62225F86">
        <w:t xml:space="preserve"> Regulation and legislation are only one strategy to handling risk, </w:t>
      </w:r>
      <w:r w:rsidR="00C84927">
        <w:t xml:space="preserve">and </w:t>
      </w:r>
      <w:r w:rsidR="62225F86">
        <w:t xml:space="preserve">not the </w:t>
      </w:r>
      <w:r w:rsidR="002E099F">
        <w:t xml:space="preserve">answer </w:t>
      </w:r>
      <w:r w:rsidR="62225F86">
        <w:t>to fundamental issues in the technology itself.</w:t>
      </w:r>
    </w:p>
    <w:p w14:paraId="6E0587A0" w14:textId="77777777" w:rsidR="00471896" w:rsidRDefault="00471896" w:rsidP="00561BD4">
      <w:pPr>
        <w:pStyle w:val="ListNumber"/>
        <w:numPr>
          <w:ilvl w:val="0"/>
          <w:numId w:val="0"/>
        </w:numPr>
        <w:ind w:left="360"/>
      </w:pPr>
    </w:p>
    <w:p w14:paraId="6DE02B0E" w14:textId="35D7D087" w:rsidR="005D50A1" w:rsidRPr="00CC584B" w:rsidRDefault="00471896" w:rsidP="00561BD4">
      <w:pPr>
        <w:pStyle w:val="ListNumber"/>
        <w:numPr>
          <w:ilvl w:val="0"/>
          <w:numId w:val="0"/>
        </w:numPr>
        <w:ind w:left="360"/>
        <w:rPr>
          <w:b/>
          <w:bCs/>
        </w:rPr>
      </w:pPr>
      <w:r w:rsidRPr="00CC584B">
        <w:rPr>
          <w:b/>
          <w:bCs/>
        </w:rPr>
        <w:t xml:space="preserve">Recommendation </w:t>
      </w:r>
      <w:r w:rsidR="000A4F2A">
        <w:rPr>
          <w:b/>
          <w:bCs/>
        </w:rPr>
        <w:t>8</w:t>
      </w:r>
      <w:r w:rsidRPr="00CC584B">
        <w:rPr>
          <w:b/>
          <w:bCs/>
        </w:rPr>
        <w:t xml:space="preserve">: </w:t>
      </w:r>
      <w:r w:rsidR="00E46654" w:rsidRPr="00CC584B">
        <w:rPr>
          <w:b/>
          <w:bCs/>
        </w:rPr>
        <w:t xml:space="preserve">A </w:t>
      </w:r>
      <w:r w:rsidR="00251CF1">
        <w:rPr>
          <w:b/>
          <w:bCs/>
        </w:rPr>
        <w:t>parliamentary</w:t>
      </w:r>
      <w:r w:rsidR="00251CF1" w:rsidRPr="00CC584B">
        <w:rPr>
          <w:b/>
          <w:bCs/>
        </w:rPr>
        <w:t xml:space="preserve"> </w:t>
      </w:r>
      <w:r w:rsidR="00E46654" w:rsidRPr="00CC584B">
        <w:rPr>
          <w:b/>
          <w:bCs/>
        </w:rPr>
        <w:t xml:space="preserve">inquiry into the </w:t>
      </w:r>
      <w:r w:rsidR="00251F41" w:rsidRPr="00CC584B">
        <w:rPr>
          <w:b/>
          <w:bCs/>
        </w:rPr>
        <w:t xml:space="preserve">risks of facial recognition technologies </w:t>
      </w:r>
      <w:r w:rsidR="00B96A13" w:rsidRPr="00CC584B">
        <w:rPr>
          <w:b/>
          <w:bCs/>
        </w:rPr>
        <w:t xml:space="preserve">be commenced with terms of reference which, among other things, specifically </w:t>
      </w:r>
      <w:r w:rsidR="00251CF1">
        <w:rPr>
          <w:b/>
          <w:bCs/>
        </w:rPr>
        <w:t>considers</w:t>
      </w:r>
      <w:r w:rsidR="00CC584B" w:rsidRPr="00CC584B">
        <w:rPr>
          <w:b/>
          <w:bCs/>
        </w:rPr>
        <w:t xml:space="preserve"> the human rights risks of the </w:t>
      </w:r>
      <w:r w:rsidR="00392429" w:rsidRPr="00CC584B">
        <w:rPr>
          <w:b/>
          <w:bCs/>
        </w:rPr>
        <w:t>technolog</w:t>
      </w:r>
      <w:r w:rsidR="00392429">
        <w:rPr>
          <w:b/>
          <w:bCs/>
        </w:rPr>
        <w:t>ies</w:t>
      </w:r>
      <w:r w:rsidR="00CC584B" w:rsidRPr="00CC584B">
        <w:rPr>
          <w:b/>
          <w:bCs/>
        </w:rPr>
        <w:t>.</w:t>
      </w:r>
    </w:p>
    <w:p w14:paraId="23E2C20F" w14:textId="77777777" w:rsidR="00471896" w:rsidRDefault="00471896" w:rsidP="00561BD4">
      <w:pPr>
        <w:pStyle w:val="ListNumber"/>
        <w:numPr>
          <w:ilvl w:val="0"/>
          <w:numId w:val="0"/>
        </w:numPr>
        <w:ind w:left="360"/>
      </w:pPr>
    </w:p>
    <w:p w14:paraId="344C910C" w14:textId="5BFB13BA" w:rsidR="00463252" w:rsidRDefault="00463252" w:rsidP="00561BD4">
      <w:pPr>
        <w:pStyle w:val="Heading2"/>
        <w:numPr>
          <w:ilvl w:val="1"/>
          <w:numId w:val="17"/>
        </w:numPr>
      </w:pPr>
      <w:bookmarkStart w:id="45" w:name="_Toc131585360"/>
      <w:r>
        <w:t xml:space="preserve">The duality of </w:t>
      </w:r>
      <w:r w:rsidR="00A85E24">
        <w:t>facial recognition technology</w:t>
      </w:r>
      <w:bookmarkEnd w:id="45"/>
    </w:p>
    <w:p w14:paraId="5A2F81A2" w14:textId="2A8330A8" w:rsidR="00323A6C" w:rsidRDefault="07C8E0CD" w:rsidP="00561BD4">
      <w:pPr>
        <w:pStyle w:val="ListNumber"/>
      </w:pPr>
      <w:r>
        <w:t xml:space="preserve">Handling the risks of FRT requires a prudent approach, as the </w:t>
      </w:r>
      <w:r w:rsidR="00A20C71">
        <w:t xml:space="preserve">potential </w:t>
      </w:r>
      <w:r>
        <w:t xml:space="preserve">benefits of the technology must be measured against its potential harms. </w:t>
      </w:r>
      <w:r w:rsidR="008320D4">
        <w:t>While</w:t>
      </w:r>
      <w:r w:rsidR="76A8E890">
        <w:t xml:space="preserve"> </w:t>
      </w:r>
      <w:r w:rsidR="23B102A0">
        <w:t xml:space="preserve">the technology </w:t>
      </w:r>
      <w:r w:rsidR="00203E6F">
        <w:t>has the potential</w:t>
      </w:r>
      <w:r w:rsidR="1CA11D7C">
        <w:t xml:space="preserve"> to improve public services and law enforcement (i.e. traffic congestion, pollution controls and public security)</w:t>
      </w:r>
      <w:r w:rsidR="008320D4">
        <w:t>, it can also</w:t>
      </w:r>
      <w:r w:rsidR="56E6451F">
        <w:t xml:space="preserve"> be used for mass surveillance, ethnic profiling, targeted repression and privacy violations.</w:t>
      </w:r>
      <w:r w:rsidR="007C758B">
        <w:rPr>
          <w:rStyle w:val="EndnoteReference"/>
        </w:rPr>
        <w:endnoteReference w:id="67"/>
      </w:r>
    </w:p>
    <w:p w14:paraId="0E4CCFBF" w14:textId="29FA5959" w:rsidR="00BF534E" w:rsidRDefault="008C01BA" w:rsidP="00561BD4">
      <w:pPr>
        <w:pStyle w:val="ListNumber"/>
      </w:pPr>
      <w:r>
        <w:t>As</w:t>
      </w:r>
      <w:r w:rsidR="1A7AE859">
        <w:t xml:space="preserve"> of 2019</w:t>
      </w:r>
      <w:r w:rsidR="008320D4">
        <w:t>,</w:t>
      </w:r>
      <w:r w:rsidR="1A7AE859">
        <w:t xml:space="preserve"> </w:t>
      </w:r>
      <w:r w:rsidR="009A504A">
        <w:t>at least</w:t>
      </w:r>
      <w:r w:rsidR="4402A851">
        <w:t xml:space="preserve"> 64 </w:t>
      </w:r>
      <w:r w:rsidR="54D4A574">
        <w:t xml:space="preserve">countries </w:t>
      </w:r>
      <w:r w:rsidR="009A504A">
        <w:t xml:space="preserve">were identified as actively using </w:t>
      </w:r>
      <w:r w:rsidR="54D4A574">
        <w:t>some type of FRT scheme</w:t>
      </w:r>
      <w:r w:rsidR="009A504A">
        <w:t xml:space="preserve"> for surveillance purposes</w:t>
      </w:r>
      <w:r w:rsidR="54D4A574">
        <w:t>.</w:t>
      </w:r>
      <w:r w:rsidR="002D2FFF">
        <w:rPr>
          <w:rStyle w:val="EndnoteReference"/>
        </w:rPr>
        <w:endnoteReference w:id="68"/>
      </w:r>
      <w:r w:rsidR="69ABC7E4">
        <w:t xml:space="preserve"> FRT is an attractive investment for many aspects of private and public organisations</w:t>
      </w:r>
      <w:r w:rsidR="008320D4">
        <w:t>,</w:t>
      </w:r>
      <w:r w:rsidR="69ABC7E4">
        <w:t xml:space="preserve"> as it </w:t>
      </w:r>
      <w:r w:rsidR="7F4C7D0D">
        <w:t xml:space="preserve">decreases the time, effort and money needed to identify faces and tie those faces to other information </w:t>
      </w:r>
      <w:r w:rsidR="053848CF">
        <w:t>(such as other pieces of personal data about an individual).</w:t>
      </w:r>
      <w:r w:rsidR="00B35737">
        <w:rPr>
          <w:rStyle w:val="EndnoteReference"/>
        </w:rPr>
        <w:endnoteReference w:id="69"/>
      </w:r>
      <w:r w:rsidR="53A8CF97">
        <w:t xml:space="preserve"> </w:t>
      </w:r>
      <w:r w:rsidR="053848CF">
        <w:t>However, organisations</w:t>
      </w:r>
      <w:r w:rsidR="42451EA1">
        <w:t xml:space="preserve"> and government</w:t>
      </w:r>
      <w:r w:rsidR="053848CF">
        <w:t xml:space="preserve"> must be </w:t>
      </w:r>
      <w:r w:rsidR="4222E345">
        <w:t>cautious</w:t>
      </w:r>
      <w:r w:rsidR="053848CF">
        <w:t xml:space="preserve"> </w:t>
      </w:r>
      <w:r w:rsidR="53A8CF97">
        <w:t xml:space="preserve">when considering the </w:t>
      </w:r>
      <w:r w:rsidR="002772BC">
        <w:t xml:space="preserve">use </w:t>
      </w:r>
      <w:r w:rsidR="53A8CF97">
        <w:t>of FRT</w:t>
      </w:r>
      <w:r w:rsidR="002772BC">
        <w:t xml:space="preserve"> and the risks that attach to this</w:t>
      </w:r>
      <w:r w:rsidR="53A8CF97">
        <w:t>.</w:t>
      </w:r>
    </w:p>
    <w:p w14:paraId="00553174" w14:textId="4CAB0C96" w:rsidR="002D2FFF" w:rsidRDefault="16B131E8" w:rsidP="00561BD4">
      <w:pPr>
        <w:pStyle w:val="ListNumber"/>
      </w:pPr>
      <w:r>
        <w:t>India’s use</w:t>
      </w:r>
      <w:r w:rsidR="08D907FA">
        <w:t xml:space="preserve"> of FRT</w:t>
      </w:r>
      <w:r>
        <w:t xml:space="preserve"> is </w:t>
      </w:r>
      <w:r w:rsidR="08D907FA">
        <w:t xml:space="preserve">just </w:t>
      </w:r>
      <w:r>
        <w:t xml:space="preserve">one example of the </w:t>
      </w:r>
      <w:r w:rsidR="0B6C459A">
        <w:t xml:space="preserve">duality </w:t>
      </w:r>
      <w:r w:rsidR="002772BC">
        <w:t>that is inherent within this technology</w:t>
      </w:r>
      <w:r w:rsidR="0B6C459A">
        <w:t xml:space="preserve">. In 2018 Delhi police used FRT to </w:t>
      </w:r>
      <w:r w:rsidR="78B5B717">
        <w:t>reunite nearly 3,000 children with their parents in just four days.</w:t>
      </w:r>
      <w:r w:rsidR="00A02A80">
        <w:rPr>
          <w:rStyle w:val="EndnoteReference"/>
        </w:rPr>
        <w:endnoteReference w:id="70"/>
      </w:r>
      <w:r w:rsidR="14B6D1D7">
        <w:t xml:space="preserve"> </w:t>
      </w:r>
      <w:r w:rsidR="28F85EDF">
        <w:t xml:space="preserve">This pilot </w:t>
      </w:r>
      <w:r w:rsidR="441F03F4">
        <w:t xml:space="preserve">FRT </w:t>
      </w:r>
      <w:r w:rsidR="28F85EDF">
        <w:t xml:space="preserve">programme had later reunited </w:t>
      </w:r>
      <w:r w:rsidR="441F03F4">
        <w:t>10,561 missing children with their families after only 15 months in operation.</w:t>
      </w:r>
      <w:r w:rsidR="002F3159">
        <w:rPr>
          <w:rStyle w:val="EndnoteReference"/>
        </w:rPr>
        <w:endnoteReference w:id="71"/>
      </w:r>
      <w:r w:rsidR="18EFF4B1">
        <w:t xml:space="preserve"> The profound</w:t>
      </w:r>
      <w:r w:rsidR="00AE2DF4">
        <w:t>ly</w:t>
      </w:r>
      <w:r w:rsidR="18EFF4B1">
        <w:t xml:space="preserve"> positive impact this technology can have is astounding</w:t>
      </w:r>
      <w:r w:rsidR="08D907FA">
        <w:t>,</w:t>
      </w:r>
      <w:r w:rsidR="18EFF4B1">
        <w:t xml:space="preserve"> as it can identify and match faces using one-to-many technology faster than any human is capable of. </w:t>
      </w:r>
      <w:r w:rsidR="00666399">
        <w:t>This program is one example of the potential of FRT to be used in ways that enhances human rights.</w:t>
      </w:r>
      <w:r w:rsidR="008D2CE3">
        <w:rPr>
          <w:rStyle w:val="EndnoteReference"/>
        </w:rPr>
        <w:endnoteReference w:id="72"/>
      </w:r>
    </w:p>
    <w:p w14:paraId="28DAF588" w14:textId="3E5E5CBB" w:rsidR="00C90D10" w:rsidRDefault="6E91BE81" w:rsidP="00561BD4">
      <w:pPr>
        <w:pStyle w:val="ListNumber"/>
      </w:pPr>
      <w:r>
        <w:t>However,</w:t>
      </w:r>
      <w:r w:rsidR="18EFF4B1">
        <w:t xml:space="preserve"> </w:t>
      </w:r>
      <w:r w:rsidR="00D41EC4">
        <w:t xml:space="preserve">there have </w:t>
      </w:r>
      <w:r w:rsidR="007A72D6">
        <w:t xml:space="preserve">also </w:t>
      </w:r>
      <w:r w:rsidR="00D41EC4">
        <w:t xml:space="preserve">been criticisms of the </w:t>
      </w:r>
      <w:r w:rsidR="00345EBE">
        <w:t xml:space="preserve">Indian </w:t>
      </w:r>
      <w:r w:rsidR="00D41EC4">
        <w:t xml:space="preserve">government using this same FRT technology in 2020 </w:t>
      </w:r>
      <w:r w:rsidR="1B38C9E7">
        <w:t xml:space="preserve">to </w:t>
      </w:r>
      <w:r w:rsidR="00D41EC4">
        <w:t xml:space="preserve">facilitate the </w:t>
      </w:r>
      <w:r w:rsidR="1B38C9E7">
        <w:t>arrest</w:t>
      </w:r>
      <w:r w:rsidR="00D41EC4">
        <w:t xml:space="preserve"> of</w:t>
      </w:r>
      <w:r w:rsidR="1B38C9E7">
        <w:t xml:space="preserve"> protesters </w:t>
      </w:r>
      <w:r w:rsidR="0E9F7CFA">
        <w:t xml:space="preserve">of a citizenship law which critics </w:t>
      </w:r>
      <w:r>
        <w:t>conten</w:t>
      </w:r>
      <w:r w:rsidR="7D0857C6">
        <w:t>d</w:t>
      </w:r>
      <w:r>
        <w:t xml:space="preserve"> marginalises Muslims.</w:t>
      </w:r>
      <w:r w:rsidR="0067038A">
        <w:rPr>
          <w:rStyle w:val="EndnoteReference"/>
        </w:rPr>
        <w:endnoteReference w:id="73"/>
      </w:r>
    </w:p>
    <w:p w14:paraId="3A63FFB2" w14:textId="633B8EFC" w:rsidR="000F02E6" w:rsidRDefault="007A72D6" w:rsidP="00561BD4">
      <w:pPr>
        <w:pStyle w:val="ListNumber"/>
      </w:pPr>
      <w:r>
        <w:lastRenderedPageBreak/>
        <w:t>E</w:t>
      </w:r>
      <w:r w:rsidR="50A234BD">
        <w:t>xamples of ‘function creep’</w:t>
      </w:r>
      <w:r w:rsidR="003319B8">
        <w:t>, where FRT is applied beyond the initially intended purpose,</w:t>
      </w:r>
      <w:r w:rsidR="50A234BD">
        <w:t xml:space="preserve"> can be found globally – most notably when it is used against marginalised populations,</w:t>
      </w:r>
      <w:r w:rsidR="008E025E">
        <w:rPr>
          <w:rStyle w:val="EndnoteReference"/>
        </w:rPr>
        <w:endnoteReference w:id="74"/>
      </w:r>
      <w:r w:rsidR="50A234BD">
        <w:t xml:space="preserve"> such as the Muslim </w:t>
      </w:r>
      <w:r w:rsidR="00325806">
        <w:t xml:space="preserve">Uyghur </w:t>
      </w:r>
      <w:r w:rsidR="50A234BD">
        <w:t>minorities in China’s Xinjian</w:t>
      </w:r>
      <w:r w:rsidR="005F1C13">
        <w:t>g</w:t>
      </w:r>
      <w:r w:rsidR="50A234BD">
        <w:t xml:space="preserve"> </w:t>
      </w:r>
      <w:r w:rsidR="009A7EB3">
        <w:t>Uyghur Autonomous Region</w:t>
      </w:r>
      <w:r w:rsidR="50A234BD">
        <w:t>.</w:t>
      </w:r>
      <w:r w:rsidR="008E025E">
        <w:rPr>
          <w:rStyle w:val="EndnoteReference"/>
        </w:rPr>
        <w:endnoteReference w:id="75"/>
      </w:r>
      <w:r w:rsidR="50A234BD">
        <w:t xml:space="preserve"> </w:t>
      </w:r>
      <w:r w:rsidR="00E17117">
        <w:t xml:space="preserve">The 2022 report by the Office of the United Nations High Commissioner for Human Rights </w:t>
      </w:r>
      <w:r w:rsidR="0034302C">
        <w:t xml:space="preserve">that </w:t>
      </w:r>
      <w:r w:rsidR="005F1C13">
        <w:t>focused on human rights concerns in t</w:t>
      </w:r>
      <w:r w:rsidR="00CB3028">
        <w:t>his region</w:t>
      </w:r>
      <w:r w:rsidR="000878A0">
        <w:t xml:space="preserve"> </w:t>
      </w:r>
      <w:r w:rsidR="00B8632E">
        <w:t xml:space="preserve">described </w:t>
      </w:r>
      <w:r w:rsidR="00932937">
        <w:t>‘an ever-present network of surveillance cameras, including deploying</w:t>
      </w:r>
      <w:r w:rsidR="00B8632E">
        <w:t xml:space="preserve"> facial recognition capabilities</w:t>
      </w:r>
      <w:r w:rsidR="00574A03">
        <w:t>’ as one element of ‘what has been alleged to be a sophisticated, large-scale and systematized surveillance system in practice</w:t>
      </w:r>
      <w:r w:rsidR="00CB3028">
        <w:t>.</w:t>
      </w:r>
      <w:r w:rsidR="004D2B27">
        <w:t>’</w:t>
      </w:r>
      <w:r w:rsidR="00153098">
        <w:rPr>
          <w:rStyle w:val="EndnoteReference"/>
        </w:rPr>
        <w:endnoteReference w:id="76"/>
      </w:r>
    </w:p>
    <w:p w14:paraId="7A952A0F" w14:textId="32117E72" w:rsidR="00601960" w:rsidRDefault="5D31CA37" w:rsidP="00561BD4">
      <w:pPr>
        <w:pStyle w:val="ListNumber"/>
      </w:pPr>
      <w:r>
        <w:t xml:space="preserve"> ‘</w:t>
      </w:r>
      <w:r w:rsidR="007B3630">
        <w:t xml:space="preserve">Function </w:t>
      </w:r>
      <w:r>
        <w:t xml:space="preserve">creep’ </w:t>
      </w:r>
      <w:r w:rsidR="007B3630">
        <w:t xml:space="preserve">can have </w:t>
      </w:r>
      <w:r w:rsidR="006C722B">
        <w:t xml:space="preserve">potentially </w:t>
      </w:r>
      <w:r w:rsidR="7295A9B2">
        <w:t xml:space="preserve">devastating impacts for human rights. </w:t>
      </w:r>
      <w:r w:rsidR="007B3630">
        <w:t xml:space="preserve">Specific </w:t>
      </w:r>
      <w:r w:rsidR="7295A9B2">
        <w:t>regulation targeting FRT is essential to protect human rights.</w:t>
      </w:r>
      <w:r w:rsidR="50A234BD">
        <w:t xml:space="preserve"> </w:t>
      </w:r>
    </w:p>
    <w:p w14:paraId="761750AE" w14:textId="0D81EDE8" w:rsidR="000A7110" w:rsidRDefault="50A234BD" w:rsidP="00561BD4">
      <w:pPr>
        <w:pStyle w:val="ListNumber"/>
      </w:pPr>
      <w:r>
        <w:t xml:space="preserve">It </w:t>
      </w:r>
      <w:r w:rsidR="55B5D89B">
        <w:t xml:space="preserve">is likely due to the duality of FRT, which is largely unregulated, </w:t>
      </w:r>
      <w:r w:rsidR="107A5AA9">
        <w:t>that individuals globally vary on their acceptance of the technology.</w:t>
      </w:r>
      <w:r w:rsidR="00EC549E">
        <w:t xml:space="preserve"> For example, an online survey conducted across four countries in 2019 found that </w:t>
      </w:r>
      <w:r w:rsidR="007B3630">
        <w:t xml:space="preserve">while </w:t>
      </w:r>
      <w:r w:rsidR="00412AD2">
        <w:t>51% of Chinese respondents were strongly or somewhat accepting of FRT</w:t>
      </w:r>
      <w:r w:rsidR="0094479E">
        <w:t xml:space="preserve"> for public use, this dropped to only</w:t>
      </w:r>
      <w:r w:rsidR="06C77223">
        <w:t xml:space="preserve"> 37% of Americans and 38% of Germans</w:t>
      </w:r>
      <w:r w:rsidR="00917176">
        <w:t>.</w:t>
      </w:r>
      <w:r w:rsidR="0094479E" w:rsidRPr="00D830C6">
        <w:rPr>
          <w:rStyle w:val="EndnoteReference"/>
        </w:rPr>
        <w:endnoteReference w:id="77"/>
      </w:r>
    </w:p>
    <w:p w14:paraId="1D86829E" w14:textId="27E74DB0" w:rsidR="00F17EF7" w:rsidRDefault="0AD7C9AD" w:rsidP="00561BD4">
      <w:pPr>
        <w:pStyle w:val="ListNumber"/>
      </w:pPr>
      <w:r>
        <w:t>Acceptance rates of FRT may be</w:t>
      </w:r>
      <w:r w:rsidR="2E3EBE70">
        <w:t xml:space="preserve"> positively</w:t>
      </w:r>
      <w:r>
        <w:t xml:space="preserve"> influenced by factors </w:t>
      </w:r>
      <w:r w:rsidR="2E3EBE70">
        <w:t>such as:</w:t>
      </w:r>
    </w:p>
    <w:p w14:paraId="67B8D270" w14:textId="0796F6FB" w:rsidR="00FF2DF3" w:rsidRDefault="00925EB8" w:rsidP="00561BD4">
      <w:pPr>
        <w:pStyle w:val="ListNumber"/>
        <w:numPr>
          <w:ilvl w:val="0"/>
          <w:numId w:val="16"/>
        </w:numPr>
      </w:pPr>
      <w:r>
        <w:t>t</w:t>
      </w:r>
      <w:r w:rsidR="00FF2DF3">
        <w:t>rust in the government</w:t>
      </w:r>
    </w:p>
    <w:p w14:paraId="5490B0A8" w14:textId="0781C31A" w:rsidR="00FF2DF3" w:rsidRDefault="00925EB8" w:rsidP="00561BD4">
      <w:pPr>
        <w:pStyle w:val="ListNumber"/>
        <w:numPr>
          <w:ilvl w:val="0"/>
          <w:numId w:val="16"/>
        </w:numPr>
      </w:pPr>
      <w:r>
        <w:t>c</w:t>
      </w:r>
      <w:r w:rsidR="00FF2DF3">
        <w:t>oncerns about</w:t>
      </w:r>
      <w:r w:rsidR="00BE1E07">
        <w:t xml:space="preserve"> </w:t>
      </w:r>
      <w:r w:rsidR="004077F4">
        <w:t>specific risks</w:t>
      </w:r>
      <w:r w:rsidR="00BE1E07">
        <w:t>, such as</w:t>
      </w:r>
      <w:r w:rsidR="00FF2DF3">
        <w:t xml:space="preserve"> terrorism</w:t>
      </w:r>
    </w:p>
    <w:p w14:paraId="25EF9B58" w14:textId="3A3DAC78" w:rsidR="00FF2DF3" w:rsidRDefault="00925EB8" w:rsidP="00561BD4">
      <w:pPr>
        <w:pStyle w:val="ListNumber"/>
        <w:numPr>
          <w:ilvl w:val="0"/>
          <w:numId w:val="16"/>
        </w:numPr>
      </w:pPr>
      <w:r>
        <w:t>h</w:t>
      </w:r>
      <w:r w:rsidR="00AA1CE6">
        <w:t>igh levels of technological affinity in a population</w:t>
      </w:r>
      <w:r w:rsidR="00F32ABC">
        <w:t>.</w:t>
      </w:r>
      <w:r w:rsidR="007B3630">
        <w:rPr>
          <w:rStyle w:val="EndnoteReference"/>
        </w:rPr>
        <w:endnoteReference w:id="78"/>
      </w:r>
    </w:p>
    <w:p w14:paraId="6DA8D3F9" w14:textId="59C5F918" w:rsidR="00AA1CE6" w:rsidRDefault="4A536263" w:rsidP="00561BD4">
      <w:pPr>
        <w:pStyle w:val="ListNumber"/>
      </w:pPr>
      <w:r>
        <w:t>Conversely</w:t>
      </w:r>
      <w:r w:rsidR="107A5AA9">
        <w:t>,</w:t>
      </w:r>
      <w:r>
        <w:t xml:space="preserve"> </w:t>
      </w:r>
      <w:r w:rsidR="6E0A6B67">
        <w:t xml:space="preserve">awareness of a country’s </w:t>
      </w:r>
      <w:r w:rsidR="261AD135">
        <w:t xml:space="preserve">adverse </w:t>
      </w:r>
      <w:r w:rsidR="0C1FB842">
        <w:t xml:space="preserve">use of surveillance methods in the past </w:t>
      </w:r>
      <w:r w:rsidR="107A5AA9">
        <w:t>(</w:t>
      </w:r>
      <w:r w:rsidR="0C1FB842">
        <w:t>and concerns in respect of privacy violations</w:t>
      </w:r>
      <w:r w:rsidR="107A5AA9">
        <w:t>)</w:t>
      </w:r>
      <w:r w:rsidR="0C1FB842">
        <w:t xml:space="preserve"> </w:t>
      </w:r>
      <w:r w:rsidR="051DA955">
        <w:t>foster a more apprehensive attitude towards FRT in public settings.</w:t>
      </w:r>
      <w:r w:rsidR="00356C8A">
        <w:rPr>
          <w:rStyle w:val="EndnoteReference"/>
        </w:rPr>
        <w:endnoteReference w:id="79"/>
      </w:r>
      <w:r w:rsidR="051DA955">
        <w:t xml:space="preserve"> </w:t>
      </w:r>
    </w:p>
    <w:p w14:paraId="6737D18E" w14:textId="544CEDAA" w:rsidR="00BF3564" w:rsidRDefault="051DA955" w:rsidP="00561BD4">
      <w:pPr>
        <w:pStyle w:val="ListNumber"/>
      </w:pPr>
      <w:r>
        <w:t>Domestically</w:t>
      </w:r>
      <w:r w:rsidR="2D9050C8">
        <w:t>,</w:t>
      </w:r>
      <w:r>
        <w:t xml:space="preserve"> </w:t>
      </w:r>
      <w:r w:rsidR="00F32ABC">
        <w:t>individuals</w:t>
      </w:r>
      <w:r w:rsidR="192ABBE0">
        <w:t xml:space="preserve"> are also concerned </w:t>
      </w:r>
      <w:r w:rsidR="71F39818">
        <w:t>about the use of FRT. In a nationally representative survey</w:t>
      </w:r>
      <w:r w:rsidR="00950FB5">
        <w:t>,</w:t>
      </w:r>
      <w:r w:rsidR="71F39818">
        <w:t xml:space="preserve"> CHOICE </w:t>
      </w:r>
      <w:r w:rsidR="11BB4C81">
        <w:t>asked respondents about the use of FRT</w:t>
      </w:r>
      <w:r w:rsidR="2D9050C8">
        <w:t xml:space="preserve"> in retail stores</w:t>
      </w:r>
      <w:r w:rsidR="11BB4C81">
        <w:t xml:space="preserve">. </w:t>
      </w:r>
      <w:r w:rsidR="0D249CB5">
        <w:t xml:space="preserve">65% of respondents were concerned about </w:t>
      </w:r>
      <w:r w:rsidR="5949578C">
        <w:t xml:space="preserve">stores using technology to create customer profiles which could cause them harm, while a </w:t>
      </w:r>
      <w:r w:rsidR="7C5C9B32">
        <w:t>further 78% expressed concern about the secure storage of faceprint data.</w:t>
      </w:r>
      <w:r w:rsidR="00A13C2A">
        <w:rPr>
          <w:rStyle w:val="EndnoteReference"/>
        </w:rPr>
        <w:endnoteReference w:id="80"/>
      </w:r>
    </w:p>
    <w:p w14:paraId="7C91755A" w14:textId="79CE5F05" w:rsidR="00356C8A" w:rsidRDefault="66900DAA" w:rsidP="00561BD4">
      <w:pPr>
        <w:pStyle w:val="ListNumber"/>
      </w:pPr>
      <w:r>
        <w:t xml:space="preserve">A subsequent investigation into retailers using FRT led to the OAIC </w:t>
      </w:r>
      <w:r w:rsidR="3C337DF0">
        <w:t xml:space="preserve">launching </w:t>
      </w:r>
      <w:r w:rsidR="003D3867">
        <w:t>an</w:t>
      </w:r>
      <w:r w:rsidR="3C337DF0">
        <w:t xml:space="preserve"> investigation into both Kmart and Bunnings’ use of FRT</w:t>
      </w:r>
      <w:r w:rsidR="3A09D058">
        <w:t>,</w:t>
      </w:r>
      <w:r w:rsidR="004D4921">
        <w:rPr>
          <w:rStyle w:val="EndnoteReference"/>
        </w:rPr>
        <w:endnoteReference w:id="81"/>
      </w:r>
      <w:r w:rsidR="3A09D058">
        <w:t xml:space="preserve"> while the Good Guys </w:t>
      </w:r>
      <w:r w:rsidR="00B63105">
        <w:t xml:space="preserve">chain </w:t>
      </w:r>
      <w:r w:rsidR="00392702">
        <w:t>has paused its use of FRT in stores</w:t>
      </w:r>
      <w:r w:rsidR="6C1BD945">
        <w:t xml:space="preserve"> while the OAIC investigates a complaint made by CHOICE.</w:t>
      </w:r>
      <w:r w:rsidR="00536B0F">
        <w:rPr>
          <w:rStyle w:val="EndnoteReference"/>
        </w:rPr>
        <w:endnoteReference w:id="82"/>
      </w:r>
    </w:p>
    <w:p w14:paraId="0953F22B" w14:textId="584639E1" w:rsidR="008B058F" w:rsidRDefault="4394AB8A" w:rsidP="00561BD4">
      <w:pPr>
        <w:pStyle w:val="ListNumber"/>
      </w:pPr>
      <w:r>
        <w:t xml:space="preserve">Without </w:t>
      </w:r>
      <w:r w:rsidR="08172A0F">
        <w:t>FRT-specific</w:t>
      </w:r>
      <w:r>
        <w:t xml:space="preserve"> regulation</w:t>
      </w:r>
      <w:r w:rsidR="08172A0F">
        <w:t xml:space="preserve">, such as that proposed by the </w:t>
      </w:r>
      <w:r w:rsidR="26C3A8CE">
        <w:t xml:space="preserve">University of Technology Sydney’s </w:t>
      </w:r>
      <w:r w:rsidR="08172A0F">
        <w:t>Model Law</w:t>
      </w:r>
      <w:r w:rsidR="26C3A8CE">
        <w:t xml:space="preserve"> (Model Law)</w:t>
      </w:r>
      <w:r w:rsidR="08172A0F">
        <w:t>,</w:t>
      </w:r>
      <w:r w:rsidR="0023799C">
        <w:rPr>
          <w:rStyle w:val="EndnoteReference"/>
        </w:rPr>
        <w:endnoteReference w:id="83"/>
      </w:r>
      <w:r w:rsidR="08172A0F">
        <w:t xml:space="preserve"> it is difficult to imagine circumstances </w:t>
      </w:r>
      <w:r w:rsidR="70BF8BE0">
        <w:t xml:space="preserve">where </w:t>
      </w:r>
      <w:r w:rsidR="00F56BA6">
        <w:t>individuals</w:t>
      </w:r>
      <w:r w:rsidR="70BF8BE0">
        <w:t xml:space="preserve"> will be trusting of FRT to the point that </w:t>
      </w:r>
      <w:r w:rsidR="26C3A8CE">
        <w:t xml:space="preserve">all of its benefits can be appreciated without </w:t>
      </w:r>
      <w:r w:rsidR="59DDED58">
        <w:t xml:space="preserve">posing a </w:t>
      </w:r>
      <w:r w:rsidR="00B74140">
        <w:t xml:space="preserve">disproportionate </w:t>
      </w:r>
      <w:r w:rsidR="59DDED58">
        <w:t>risk to human rights</w:t>
      </w:r>
      <w:r w:rsidR="70BF8BE0">
        <w:t xml:space="preserve">. There are </w:t>
      </w:r>
      <w:r w:rsidR="7F421E71">
        <w:t xml:space="preserve">undoubtedly </w:t>
      </w:r>
      <w:r w:rsidR="70BF8BE0">
        <w:t xml:space="preserve">benefits </w:t>
      </w:r>
      <w:r w:rsidR="7F421E71">
        <w:t xml:space="preserve">to the technology, as </w:t>
      </w:r>
      <w:r w:rsidR="00990400">
        <w:t xml:space="preserve">highlighted </w:t>
      </w:r>
      <w:r w:rsidR="7F421E71">
        <w:t xml:space="preserve">above </w:t>
      </w:r>
      <w:r w:rsidR="00990400">
        <w:t>with the example from</w:t>
      </w:r>
      <w:r w:rsidR="7F421E71">
        <w:t xml:space="preserve"> India, but regulation is needed to harness </w:t>
      </w:r>
      <w:r w:rsidR="33A5A1A7">
        <w:t xml:space="preserve">these </w:t>
      </w:r>
      <w:r w:rsidR="73607393">
        <w:t xml:space="preserve">advantages in a human </w:t>
      </w:r>
      <w:r w:rsidR="77A2DB3C">
        <w:t>rights’</w:t>
      </w:r>
      <w:r w:rsidR="73607393">
        <w:t xml:space="preserve"> compliant manner.</w:t>
      </w:r>
      <w:r w:rsidR="77161E31">
        <w:t xml:space="preserve"> </w:t>
      </w:r>
    </w:p>
    <w:p w14:paraId="2F6826F8" w14:textId="79EA1E47" w:rsidR="008B058F" w:rsidRDefault="2996A472" w:rsidP="00561BD4">
      <w:pPr>
        <w:pStyle w:val="ListNumber"/>
      </w:pPr>
      <w:r>
        <w:lastRenderedPageBreak/>
        <w:t>While it is generally undesirable to regulate a specific technology, there are exceptions</w:t>
      </w:r>
      <w:r w:rsidR="00294B3F">
        <w:t xml:space="preserve"> to this general principle</w:t>
      </w:r>
      <w:r>
        <w:t xml:space="preserve">. For example, </w:t>
      </w:r>
      <w:r w:rsidR="00294B3F">
        <w:t xml:space="preserve">as was highlighted in the Final Report, </w:t>
      </w:r>
      <w:r>
        <w:t>governments have a tendency to regulate technology deemed high-risk</w:t>
      </w:r>
      <w:r w:rsidR="00F75393">
        <w:t xml:space="preserve">, which </w:t>
      </w:r>
      <w:r>
        <w:t xml:space="preserve">helps to explain the comparatively strict laws which govern fields such as gene technology, aviation, healthcare and </w:t>
      </w:r>
      <w:r w:rsidR="00F75393">
        <w:t>the energy industry</w:t>
      </w:r>
      <w:r>
        <w:t>.</w:t>
      </w:r>
      <w:r w:rsidR="00AA548F">
        <w:rPr>
          <w:rStyle w:val="EndnoteReference"/>
        </w:rPr>
        <w:endnoteReference w:id="84"/>
      </w:r>
      <w:r>
        <w:t xml:space="preserve"> It is in these areas that regulation </w:t>
      </w:r>
      <w:r w:rsidR="00AA548F">
        <w:t xml:space="preserve">is often applied </w:t>
      </w:r>
      <w:r>
        <w:t xml:space="preserve">to both the technologies themselves as well as their use. In relation to </w:t>
      </w:r>
      <w:r w:rsidR="77A2DB3C">
        <w:t>FRT</w:t>
      </w:r>
      <w:r>
        <w:t xml:space="preserve">, the greater the risk to human rights, the greater the need for regulation.   </w:t>
      </w:r>
    </w:p>
    <w:p w14:paraId="3888A6DF" w14:textId="00415DBA" w:rsidR="00F93AB4" w:rsidRDefault="74BDEE25" w:rsidP="00561BD4">
      <w:pPr>
        <w:pStyle w:val="ListNumber"/>
      </w:pPr>
      <w:r>
        <w:t xml:space="preserve">In respect of </w:t>
      </w:r>
      <w:r w:rsidR="7FF51173">
        <w:t xml:space="preserve">the </w:t>
      </w:r>
      <w:r w:rsidR="18AB108B">
        <w:t>Review Report</w:t>
      </w:r>
      <w:r w:rsidR="00FA3042">
        <w:t>’</w:t>
      </w:r>
      <w:r w:rsidR="18AB108B">
        <w:t>s proposal for ‘</w:t>
      </w:r>
      <w:r w:rsidR="7FF51173">
        <w:t>consideration</w:t>
      </w:r>
      <w:r w:rsidR="0FE9BFC5">
        <w:t xml:space="preserve"> by</w:t>
      </w:r>
      <w:r w:rsidR="7FF51173">
        <w:t xml:space="preserve"> government</w:t>
      </w:r>
      <w:r w:rsidR="0FE9BFC5">
        <w:t xml:space="preserve"> of the regulation of biometric technologies</w:t>
      </w:r>
      <w:r w:rsidR="18AB108B">
        <w:t>’</w:t>
      </w:r>
      <w:r w:rsidR="7FF51173">
        <w:t xml:space="preserve"> </w:t>
      </w:r>
      <w:r w:rsidR="593D047B">
        <w:t>the Commission recommendations the following</w:t>
      </w:r>
      <w:r w:rsidR="00947BED">
        <w:t xml:space="preserve"> to ensure FRT is regulated to engender </w:t>
      </w:r>
      <w:r w:rsidR="4A76F8A7">
        <w:t>trust and minimise risk.</w:t>
      </w:r>
    </w:p>
    <w:p w14:paraId="75ABEF68" w14:textId="77777777" w:rsidR="00A05139" w:rsidRDefault="00A05139" w:rsidP="00561BD4">
      <w:pPr>
        <w:pStyle w:val="ListNumber"/>
        <w:numPr>
          <w:ilvl w:val="0"/>
          <w:numId w:val="0"/>
        </w:numPr>
        <w:ind w:left="360"/>
      </w:pPr>
    </w:p>
    <w:p w14:paraId="1D3DD878" w14:textId="6E8FD7B3" w:rsidR="000134B6" w:rsidRPr="002444C6" w:rsidRDefault="000134B6" w:rsidP="00561BD4">
      <w:pPr>
        <w:pStyle w:val="ListNumber"/>
        <w:numPr>
          <w:ilvl w:val="0"/>
          <w:numId w:val="0"/>
        </w:numPr>
        <w:ind w:left="360"/>
        <w:rPr>
          <w:b/>
          <w:bCs/>
        </w:rPr>
      </w:pPr>
      <w:r w:rsidRPr="002444C6">
        <w:rPr>
          <w:b/>
          <w:bCs/>
        </w:rPr>
        <w:t xml:space="preserve">Recommendation </w:t>
      </w:r>
      <w:r w:rsidR="000A4F2A">
        <w:rPr>
          <w:b/>
          <w:bCs/>
        </w:rPr>
        <w:t>9</w:t>
      </w:r>
      <w:r w:rsidRPr="002444C6">
        <w:rPr>
          <w:b/>
          <w:bCs/>
        </w:rPr>
        <w:t xml:space="preserve">: Federal, State and Territory governments </w:t>
      </w:r>
      <w:r w:rsidR="00B62220">
        <w:rPr>
          <w:b/>
          <w:bCs/>
        </w:rPr>
        <w:t>should</w:t>
      </w:r>
      <w:r w:rsidR="00B62220" w:rsidRPr="002444C6">
        <w:rPr>
          <w:b/>
          <w:bCs/>
        </w:rPr>
        <w:t xml:space="preserve"> </w:t>
      </w:r>
      <w:r w:rsidRPr="002444C6">
        <w:rPr>
          <w:b/>
          <w:bCs/>
        </w:rPr>
        <w:t xml:space="preserve">introduce legislation which specifically regulates the use of facial recognition and other biometric technologies. Such legislation </w:t>
      </w:r>
      <w:r w:rsidR="00165C04">
        <w:rPr>
          <w:b/>
          <w:bCs/>
        </w:rPr>
        <w:t>should</w:t>
      </w:r>
      <w:r w:rsidRPr="002444C6">
        <w:rPr>
          <w:b/>
          <w:bCs/>
        </w:rPr>
        <w:t>:</w:t>
      </w:r>
    </w:p>
    <w:p w14:paraId="68A646FD" w14:textId="3FFEAC21" w:rsidR="000134B6" w:rsidRPr="002444C6" w:rsidRDefault="000134B6" w:rsidP="00561BD4">
      <w:pPr>
        <w:pStyle w:val="ListNumber"/>
        <w:numPr>
          <w:ilvl w:val="0"/>
          <w:numId w:val="16"/>
        </w:numPr>
        <w:rPr>
          <w:b/>
          <w:bCs/>
        </w:rPr>
      </w:pPr>
      <w:r w:rsidRPr="002444C6">
        <w:rPr>
          <w:b/>
          <w:bCs/>
        </w:rPr>
        <w:t>expressly protect human rights</w:t>
      </w:r>
    </w:p>
    <w:p w14:paraId="4DFE381E" w14:textId="238C8BCE" w:rsidR="000134B6" w:rsidRPr="002444C6" w:rsidRDefault="000134B6" w:rsidP="00561BD4">
      <w:pPr>
        <w:pStyle w:val="ListNumber"/>
        <w:numPr>
          <w:ilvl w:val="0"/>
          <w:numId w:val="16"/>
        </w:numPr>
        <w:rPr>
          <w:b/>
          <w:bCs/>
        </w:rPr>
      </w:pPr>
      <w:r w:rsidRPr="002444C6">
        <w:rPr>
          <w:b/>
          <w:bCs/>
        </w:rPr>
        <w:t xml:space="preserve">apply to the use of this technology in decision making that has a legal, or similarly significant, effect for individuals, or where there is a high risk to human rights, such as in policing and law enforcement </w:t>
      </w:r>
    </w:p>
    <w:p w14:paraId="2CBBB96E" w14:textId="77777777" w:rsidR="000134B6" w:rsidRDefault="000134B6" w:rsidP="00561BD4">
      <w:pPr>
        <w:pStyle w:val="ListNumber"/>
        <w:numPr>
          <w:ilvl w:val="0"/>
          <w:numId w:val="16"/>
        </w:numPr>
        <w:rPr>
          <w:b/>
          <w:bCs/>
        </w:rPr>
      </w:pPr>
      <w:r w:rsidRPr="002444C6">
        <w:rPr>
          <w:b/>
          <w:bCs/>
        </w:rPr>
        <w:t>be developed through in-depth consultation with the community, industry and expert bodies such as the Australian Human Rights Commission and the Office of the Australian Information Commissioner.</w:t>
      </w:r>
    </w:p>
    <w:p w14:paraId="55BD0D89" w14:textId="77777777" w:rsidR="00A05139" w:rsidRPr="002444C6" w:rsidRDefault="00A05139" w:rsidP="00561BD4">
      <w:pPr>
        <w:pStyle w:val="ListNumber"/>
        <w:numPr>
          <w:ilvl w:val="0"/>
          <w:numId w:val="0"/>
        </w:numPr>
        <w:ind w:left="1140"/>
        <w:rPr>
          <w:b/>
          <w:bCs/>
        </w:rPr>
      </w:pPr>
    </w:p>
    <w:p w14:paraId="15DFBC5A" w14:textId="12262977" w:rsidR="00A05139" w:rsidRDefault="4A636F73" w:rsidP="00561BD4">
      <w:pPr>
        <w:pStyle w:val="ListNumber"/>
      </w:pPr>
      <w:r>
        <w:t xml:space="preserve">The Commission provides in-principle support for the Model Law on </w:t>
      </w:r>
      <w:r w:rsidR="3AEDF377">
        <w:t>FRT</w:t>
      </w:r>
      <w:r>
        <w:t>.</w:t>
      </w:r>
      <w:r w:rsidR="009C21BB">
        <w:rPr>
          <w:rStyle w:val="EndnoteReference"/>
        </w:rPr>
        <w:endnoteReference w:id="85"/>
      </w:r>
      <w:r>
        <w:t xml:space="preserve"> </w:t>
      </w:r>
      <w:r w:rsidR="1E0432BF">
        <w:t xml:space="preserve">This includes </w:t>
      </w:r>
      <w:r w:rsidR="00F71DC7">
        <w:t>the provision</w:t>
      </w:r>
      <w:r w:rsidR="1E0432BF">
        <w:t xml:space="preserve"> </w:t>
      </w:r>
      <w:r w:rsidR="0CD03C6F">
        <w:t>that</w:t>
      </w:r>
      <w:r w:rsidR="00F71DC7">
        <w:t xml:space="preserve"> FRT developers and</w:t>
      </w:r>
      <w:r w:rsidR="0CD03C6F">
        <w:t xml:space="preserve"> deployers must complete a Facial Recognition Impact Assessment of the potential harms, including the potential human rights risk. This Facial Recognition Impact Assessment would be registered, publicly available and could be challenged by the regulator or interested parties.</w:t>
      </w:r>
    </w:p>
    <w:p w14:paraId="798EF916" w14:textId="66C70CAD" w:rsidR="0049282E" w:rsidRDefault="0032679A" w:rsidP="00561BD4">
      <w:pPr>
        <w:pStyle w:val="ListNumber"/>
      </w:pPr>
      <w:r>
        <w:t>The Model L</w:t>
      </w:r>
      <w:r w:rsidR="00F96D9E">
        <w:t xml:space="preserve">aw </w:t>
      </w:r>
      <w:r w:rsidR="00B803C9">
        <w:t xml:space="preserve">provides a </w:t>
      </w:r>
      <w:r w:rsidR="00457C06">
        <w:t>significant</w:t>
      </w:r>
      <w:r w:rsidR="00B803C9">
        <w:t xml:space="preserve"> reference point when</w:t>
      </w:r>
      <w:r w:rsidR="6974152C">
        <w:t xml:space="preserve"> considering how to en</w:t>
      </w:r>
      <w:r w:rsidR="4F5D0909">
        <w:t>hance risk assessments in respect of FRT as set out in Proposal 13.2</w:t>
      </w:r>
      <w:r w:rsidR="003616F8">
        <w:t xml:space="preserve">. It offers a viable framework for the regulation </w:t>
      </w:r>
      <w:r w:rsidR="12B6D5BB">
        <w:t xml:space="preserve">of FRT and </w:t>
      </w:r>
      <w:r w:rsidR="003616F8">
        <w:t xml:space="preserve">ensuring </w:t>
      </w:r>
      <w:r w:rsidR="12B6D5BB">
        <w:t>human-rights-compliant impact assessments</w:t>
      </w:r>
      <w:r w:rsidR="0B14BFAE">
        <w:t>, especially in high-risk settings</w:t>
      </w:r>
      <w:r w:rsidR="12B6D5BB">
        <w:t>.</w:t>
      </w:r>
    </w:p>
    <w:p w14:paraId="25F44543" w14:textId="77777777" w:rsidR="00FC58DD" w:rsidRDefault="00FC58DD" w:rsidP="00561BD4">
      <w:pPr>
        <w:pStyle w:val="ListNumber"/>
        <w:numPr>
          <w:ilvl w:val="0"/>
          <w:numId w:val="0"/>
        </w:numPr>
        <w:ind w:left="360"/>
      </w:pPr>
    </w:p>
    <w:p w14:paraId="69EC38ED" w14:textId="7563F4E1" w:rsidR="005327A9" w:rsidRPr="00FC58DD" w:rsidRDefault="009277FB" w:rsidP="00561BD4">
      <w:pPr>
        <w:pStyle w:val="ListNumber"/>
        <w:numPr>
          <w:ilvl w:val="0"/>
          <w:numId w:val="0"/>
        </w:numPr>
        <w:ind w:left="360"/>
        <w:rPr>
          <w:b/>
          <w:bCs/>
        </w:rPr>
      </w:pPr>
      <w:r w:rsidRPr="00FC58DD">
        <w:rPr>
          <w:b/>
          <w:bCs/>
        </w:rPr>
        <w:lastRenderedPageBreak/>
        <w:t xml:space="preserve">Recommendation </w:t>
      </w:r>
      <w:r w:rsidR="000A4F2A">
        <w:rPr>
          <w:b/>
          <w:bCs/>
        </w:rPr>
        <w:t>10</w:t>
      </w:r>
      <w:r w:rsidRPr="00FC58DD">
        <w:rPr>
          <w:b/>
          <w:bCs/>
        </w:rPr>
        <w:t xml:space="preserve">: The Model Law </w:t>
      </w:r>
      <w:r w:rsidR="009A03BF" w:rsidRPr="00FC58DD">
        <w:rPr>
          <w:b/>
          <w:bCs/>
        </w:rPr>
        <w:t xml:space="preserve">be implemented by government, </w:t>
      </w:r>
      <w:r w:rsidR="00114938">
        <w:rPr>
          <w:b/>
          <w:bCs/>
        </w:rPr>
        <w:t>with</w:t>
      </w:r>
      <w:r w:rsidR="009A03BF" w:rsidRPr="00FC58DD">
        <w:rPr>
          <w:b/>
          <w:bCs/>
        </w:rPr>
        <w:t xml:space="preserve"> </w:t>
      </w:r>
      <w:r w:rsidR="00DA4B60" w:rsidRPr="00FC58DD">
        <w:rPr>
          <w:b/>
          <w:bCs/>
        </w:rPr>
        <w:t xml:space="preserve">in-depth consultations with the community, industry and expert bodies such as the Australian Human Rights Commission and the Office of the Australian Information Commissioner </w:t>
      </w:r>
      <w:r w:rsidR="00114938" w:rsidRPr="00FC58DD">
        <w:rPr>
          <w:b/>
          <w:bCs/>
        </w:rPr>
        <w:t>b</w:t>
      </w:r>
      <w:r w:rsidR="00114938">
        <w:rPr>
          <w:b/>
          <w:bCs/>
        </w:rPr>
        <w:t>eing</w:t>
      </w:r>
      <w:r w:rsidR="00114938" w:rsidRPr="00FC58DD">
        <w:rPr>
          <w:b/>
          <w:bCs/>
        </w:rPr>
        <w:t xml:space="preserve"> </w:t>
      </w:r>
      <w:r w:rsidR="00DA4B60" w:rsidRPr="00FC58DD">
        <w:rPr>
          <w:b/>
          <w:bCs/>
        </w:rPr>
        <w:t xml:space="preserve">held </w:t>
      </w:r>
      <w:r w:rsidR="00114938">
        <w:rPr>
          <w:b/>
          <w:bCs/>
        </w:rPr>
        <w:t xml:space="preserve">to assist </w:t>
      </w:r>
      <w:r w:rsidR="00DA4B60" w:rsidRPr="00FC58DD">
        <w:rPr>
          <w:b/>
          <w:bCs/>
        </w:rPr>
        <w:t xml:space="preserve">before </w:t>
      </w:r>
      <w:r w:rsidR="008640D9" w:rsidRPr="00FC58DD">
        <w:rPr>
          <w:b/>
          <w:bCs/>
        </w:rPr>
        <w:t xml:space="preserve">any legislation </w:t>
      </w:r>
      <w:r w:rsidR="008653CB">
        <w:rPr>
          <w:b/>
          <w:bCs/>
        </w:rPr>
        <w:t>is</w:t>
      </w:r>
      <w:r w:rsidR="008640D9" w:rsidRPr="00FC58DD">
        <w:rPr>
          <w:b/>
          <w:bCs/>
        </w:rPr>
        <w:t xml:space="preserve"> finalised.</w:t>
      </w:r>
    </w:p>
    <w:p w14:paraId="48ECE17F" w14:textId="77777777" w:rsidR="00F83B72" w:rsidRPr="00FC58DD" w:rsidRDefault="00F83B72" w:rsidP="00561BD4">
      <w:pPr>
        <w:pStyle w:val="ListNumber"/>
        <w:numPr>
          <w:ilvl w:val="0"/>
          <w:numId w:val="0"/>
        </w:numPr>
        <w:ind w:left="360"/>
        <w:rPr>
          <w:b/>
          <w:bCs/>
        </w:rPr>
      </w:pPr>
    </w:p>
    <w:p w14:paraId="2682E8F4" w14:textId="779CFDFC" w:rsidR="00182482" w:rsidRDefault="00040954" w:rsidP="00561BD4">
      <w:pPr>
        <w:pStyle w:val="Heading2"/>
        <w:numPr>
          <w:ilvl w:val="1"/>
          <w:numId w:val="18"/>
        </w:numPr>
      </w:pPr>
      <w:bookmarkStart w:id="46" w:name="_Toc131585361"/>
      <w:r>
        <w:t>The human right</w:t>
      </w:r>
      <w:r w:rsidR="006777D8">
        <w:t>s</w:t>
      </w:r>
      <w:r>
        <w:t xml:space="preserve"> harms of </w:t>
      </w:r>
      <w:r w:rsidR="004C392F">
        <w:t>facial recognition technology</w:t>
      </w:r>
      <w:bookmarkEnd w:id="46"/>
    </w:p>
    <w:p w14:paraId="7512B106" w14:textId="5F5CEE6E" w:rsidR="005F6FD2" w:rsidRDefault="00D1592D" w:rsidP="00561BD4">
      <w:pPr>
        <w:pStyle w:val="ListNumber"/>
      </w:pPr>
      <w:r>
        <w:t>The</w:t>
      </w:r>
      <w:r w:rsidR="097D7D66">
        <w:t xml:space="preserve"> length of time it will </w:t>
      </w:r>
      <w:r w:rsidR="00AE3E14">
        <w:t xml:space="preserve">necessarily </w:t>
      </w:r>
      <w:r w:rsidR="097D7D66">
        <w:t xml:space="preserve">take to implement </w:t>
      </w:r>
      <w:r w:rsidR="7758DD30">
        <w:t>FRT regulation and impact assessments</w:t>
      </w:r>
      <w:r w:rsidR="00E61048">
        <w:t xml:space="preserve"> means that </w:t>
      </w:r>
      <w:r w:rsidR="7758DD30">
        <w:t xml:space="preserve">there is a </w:t>
      </w:r>
      <w:r w:rsidR="00E61048">
        <w:t xml:space="preserve">continuing </w:t>
      </w:r>
      <w:r w:rsidR="7758DD30">
        <w:t>risk of</w:t>
      </w:r>
      <w:r w:rsidR="017AE045">
        <w:t xml:space="preserve"> </w:t>
      </w:r>
      <w:r w:rsidR="00BF2763">
        <w:t xml:space="preserve">significant </w:t>
      </w:r>
      <w:r w:rsidR="017AE045">
        <w:t xml:space="preserve">human rights </w:t>
      </w:r>
      <w:r w:rsidR="00BF2763">
        <w:t xml:space="preserve">harms being </w:t>
      </w:r>
      <w:r w:rsidR="0C059C08">
        <w:t>facilitated</w:t>
      </w:r>
      <w:r w:rsidR="017AE045">
        <w:t xml:space="preserve"> </w:t>
      </w:r>
      <w:r w:rsidR="0C059C08">
        <w:t xml:space="preserve">by </w:t>
      </w:r>
      <w:r w:rsidR="017AE045">
        <w:t xml:space="preserve">FRT </w:t>
      </w:r>
      <w:r w:rsidR="60D52F04">
        <w:t>in both public and private spheres</w:t>
      </w:r>
      <w:r w:rsidR="017AE045">
        <w:t xml:space="preserve">. </w:t>
      </w:r>
    </w:p>
    <w:p w14:paraId="34B43941" w14:textId="1AB54120" w:rsidR="00307BDE" w:rsidRDefault="19825AAB" w:rsidP="00561BD4">
      <w:pPr>
        <w:pStyle w:val="ListNumber"/>
      </w:pPr>
      <w:r>
        <w:t xml:space="preserve">One example </w:t>
      </w:r>
      <w:r w:rsidR="00BF2763">
        <w:t>has been highlighted by</w:t>
      </w:r>
      <w:r w:rsidR="56708A50">
        <w:t xml:space="preserve"> the </w:t>
      </w:r>
      <w:r w:rsidR="6797E4DD">
        <w:t xml:space="preserve">work of </w:t>
      </w:r>
      <w:r w:rsidR="65E3272F">
        <w:t xml:space="preserve">Dr Michal Kosinski, Associate Professor of Organizational Behaviour at Stanford University. </w:t>
      </w:r>
      <w:r w:rsidR="7EB04813">
        <w:t>In 2018</w:t>
      </w:r>
      <w:r w:rsidR="00E61048">
        <w:t>,</w:t>
      </w:r>
      <w:r w:rsidR="7EB04813">
        <w:t xml:space="preserve"> Kosinski and </w:t>
      </w:r>
      <w:proofErr w:type="spellStart"/>
      <w:r w:rsidR="08D85AB0">
        <w:t>Yilun</w:t>
      </w:r>
      <w:proofErr w:type="spellEnd"/>
      <w:r w:rsidR="08D85AB0">
        <w:t xml:space="preserve"> Wang published research claiming that </w:t>
      </w:r>
      <w:r w:rsidR="1A183DCC">
        <w:t>computer-vision algorithms could predict sexuality from a single image of a person’s face.</w:t>
      </w:r>
      <w:r w:rsidR="00966C22">
        <w:rPr>
          <w:rStyle w:val="EndnoteReference"/>
        </w:rPr>
        <w:endnoteReference w:id="86"/>
      </w:r>
      <w:r w:rsidR="5460D117">
        <w:t xml:space="preserve"> Kosinski published further research in 2021 </w:t>
      </w:r>
      <w:r w:rsidR="4B1143F1">
        <w:t xml:space="preserve">claiming that computer-vision algorithms could equally predict political orientation from a single image of </w:t>
      </w:r>
      <w:r w:rsidR="00AD0F97">
        <w:t xml:space="preserve">a person’s </w:t>
      </w:r>
      <w:r w:rsidR="4B1143F1">
        <w:t>face.</w:t>
      </w:r>
      <w:r w:rsidR="00130A39">
        <w:rPr>
          <w:rStyle w:val="EndnoteReference"/>
        </w:rPr>
        <w:endnoteReference w:id="87"/>
      </w:r>
      <w:r w:rsidR="3A64C9C0">
        <w:t xml:space="preserve"> Either claim is troubling </w:t>
      </w:r>
      <w:r w:rsidR="00646652">
        <w:t xml:space="preserve">from a </w:t>
      </w:r>
      <w:r w:rsidR="3A64C9C0">
        <w:t>human rights</w:t>
      </w:r>
      <w:r w:rsidR="00646652">
        <w:t xml:space="preserve"> perspective</w:t>
      </w:r>
      <w:r w:rsidR="56708A50">
        <w:t xml:space="preserve"> – regardless of</w:t>
      </w:r>
      <w:r w:rsidR="00646652">
        <w:t xml:space="preserve"> whether</w:t>
      </w:r>
      <w:r w:rsidR="3A64C9C0">
        <w:t xml:space="preserve"> the technology </w:t>
      </w:r>
      <w:r w:rsidR="56708A50">
        <w:t xml:space="preserve">is as efficient </w:t>
      </w:r>
      <w:r w:rsidR="32BA5DA1">
        <w:t xml:space="preserve">as claimed (see below at </w:t>
      </w:r>
      <w:r w:rsidR="00646652">
        <w:t>[</w:t>
      </w:r>
      <w:r w:rsidR="00266A42">
        <w:fldChar w:fldCharType="begin"/>
      </w:r>
      <w:r w:rsidR="00266A42">
        <w:instrText xml:space="preserve"> REF _Ref129520554 \r \h </w:instrText>
      </w:r>
      <w:r w:rsidR="00561BD4">
        <w:instrText xml:space="preserve"> \* MERGEFORMAT </w:instrText>
      </w:r>
      <w:r w:rsidR="00266A42">
        <w:fldChar w:fldCharType="separate"/>
      </w:r>
      <w:r w:rsidR="00A40881">
        <w:t>89</w:t>
      </w:r>
      <w:r w:rsidR="00266A42">
        <w:fldChar w:fldCharType="end"/>
      </w:r>
      <w:r w:rsidR="00646652">
        <w:t>]</w:t>
      </w:r>
      <w:r w:rsidR="32BA5DA1">
        <w:t>)</w:t>
      </w:r>
      <w:r w:rsidR="3A64C9C0">
        <w:t xml:space="preserve">. </w:t>
      </w:r>
    </w:p>
    <w:p w14:paraId="41465DFB" w14:textId="228C97F2" w:rsidR="001B3B22" w:rsidRDefault="009B3307" w:rsidP="00561BD4">
      <w:pPr>
        <w:pStyle w:val="ListNumber"/>
      </w:pPr>
      <w:r>
        <w:t xml:space="preserve">The 2020 update of the Global Legislation Overview of the State-Sponsored Homophobia Report concluded that </w:t>
      </w:r>
      <w:r w:rsidR="000D0B91">
        <w:t xml:space="preserve">there </w:t>
      </w:r>
      <w:r>
        <w:t xml:space="preserve">were 67 Member States with provisions criminalising consensual same-sex conduct, and six UN Member States </w:t>
      </w:r>
      <w:r w:rsidR="006E1DB2">
        <w:t>that continue to impose the death penalty for consensual same-sex conduct</w:t>
      </w:r>
      <w:r w:rsidR="79103BF5">
        <w:t>.</w:t>
      </w:r>
      <w:r w:rsidR="006E1DB2">
        <w:rPr>
          <w:rStyle w:val="EndnoteReference"/>
        </w:rPr>
        <w:endnoteReference w:id="88"/>
      </w:r>
      <w:r w:rsidR="00A01C91">
        <w:t xml:space="preserve"> This is in addition to the </w:t>
      </w:r>
      <w:r w:rsidR="000D0B91">
        <w:t xml:space="preserve">many </w:t>
      </w:r>
      <w:r w:rsidR="00A01C91">
        <w:t xml:space="preserve">countries where </w:t>
      </w:r>
      <w:r w:rsidR="00835648">
        <w:t xml:space="preserve">individuals </w:t>
      </w:r>
      <w:r w:rsidR="000E7FA9">
        <w:t xml:space="preserve">continue to face persecution and violence on a daily basis because of their </w:t>
      </w:r>
      <w:r w:rsidR="00444875">
        <w:t>sexual orientation or gender identity</w:t>
      </w:r>
      <w:r w:rsidR="000E7FA9">
        <w:t>.</w:t>
      </w:r>
    </w:p>
    <w:p w14:paraId="31FFDB16" w14:textId="77777777" w:rsidR="004B33D8" w:rsidRDefault="7D3ADCEF" w:rsidP="00561BD4">
      <w:pPr>
        <w:pStyle w:val="ListNumber"/>
      </w:pPr>
      <w:bookmarkStart w:id="47" w:name="_Ref129520554"/>
      <w:r>
        <w:t>If the FRT is accurate</w:t>
      </w:r>
      <w:r w:rsidR="000C5311">
        <w:t xml:space="preserve"> (Kosinski claims the technology is accurate 81% of the time </w:t>
      </w:r>
      <w:r w:rsidR="32BA5DA1">
        <w:t>for</w:t>
      </w:r>
      <w:r w:rsidR="000C5311">
        <w:t xml:space="preserve"> men and </w:t>
      </w:r>
      <w:r w:rsidR="7BC81F45">
        <w:t xml:space="preserve">74% </w:t>
      </w:r>
      <w:r w:rsidR="32BA5DA1">
        <w:t>for</w:t>
      </w:r>
      <w:r w:rsidR="7BC81F45">
        <w:t xml:space="preserve"> women)</w:t>
      </w:r>
      <w:r w:rsidR="000D0B91">
        <w:t>,</w:t>
      </w:r>
      <w:r w:rsidR="000D0B91">
        <w:rPr>
          <w:rStyle w:val="EndnoteReference"/>
        </w:rPr>
        <w:endnoteReference w:id="89"/>
      </w:r>
      <w:r>
        <w:t xml:space="preserve"> </w:t>
      </w:r>
      <w:r w:rsidR="7BC81F45">
        <w:t xml:space="preserve">this technology could provide </w:t>
      </w:r>
      <w:r w:rsidR="1C191503">
        <w:t>regimes, which punish homosexual</w:t>
      </w:r>
      <w:r w:rsidR="32BA5DA1">
        <w:t>ity</w:t>
      </w:r>
      <w:r w:rsidR="1C191503">
        <w:t xml:space="preserve">, with </w:t>
      </w:r>
      <w:r w:rsidR="00C76484">
        <w:t>the</w:t>
      </w:r>
      <w:r w:rsidR="1C191503">
        <w:t xml:space="preserve"> widespread ability to identify, isolate and </w:t>
      </w:r>
      <w:r w:rsidR="71D00E7C">
        <w:t xml:space="preserve">even kill people </w:t>
      </w:r>
      <w:r w:rsidR="00100894">
        <w:t xml:space="preserve">based on an assessment of their sexual orientation </w:t>
      </w:r>
      <w:r w:rsidR="007B18A6">
        <w:t>made by FRT</w:t>
      </w:r>
      <w:r w:rsidR="71D00E7C">
        <w:t xml:space="preserve"> – facilitating an </w:t>
      </w:r>
      <w:r w:rsidR="7F1BDCE0">
        <w:t>uncomfortable level of efficiency in</w:t>
      </w:r>
      <w:r w:rsidR="71D00E7C">
        <w:t xml:space="preserve"> human rights abuses</w:t>
      </w:r>
      <w:r w:rsidR="7F1BDCE0">
        <w:t>.</w:t>
      </w:r>
      <w:bookmarkEnd w:id="47"/>
      <w:r w:rsidR="7F1BDCE0">
        <w:t xml:space="preserve"> </w:t>
      </w:r>
    </w:p>
    <w:p w14:paraId="5951F836" w14:textId="46279B64" w:rsidR="0088402B" w:rsidRDefault="004B33D8" w:rsidP="00922DF7">
      <w:pPr>
        <w:pStyle w:val="ListNumber"/>
      </w:pPr>
      <w:r>
        <w:t xml:space="preserve">However, </w:t>
      </w:r>
      <w:r w:rsidR="008C248B">
        <w:t>Kosinski’s work has been openly criticised as being inaccurate and unreliable.</w:t>
      </w:r>
      <w:r w:rsidR="008C248B" w:rsidRPr="00194C3E">
        <w:rPr>
          <w:rStyle w:val="EndnoteReference"/>
        </w:rPr>
        <w:endnoteReference w:id="90"/>
      </w:r>
      <w:r w:rsidR="008A76E8">
        <w:t xml:space="preserve"> Unfortunately, t</w:t>
      </w:r>
      <w:r w:rsidR="00203A74">
        <w:t>he</w:t>
      </w:r>
      <w:r w:rsidR="1EA314E2">
        <w:t xml:space="preserve"> inaccuracy of FRT tools does not </w:t>
      </w:r>
      <w:r w:rsidR="008A30EA">
        <w:t xml:space="preserve">necessarily </w:t>
      </w:r>
      <w:r w:rsidR="57669FC4">
        <w:t>reduce the risk of persecution and violence against individuals</w:t>
      </w:r>
      <w:r w:rsidR="00BC71A0">
        <w:t xml:space="preserve"> who might be targeted by this technology – whether on the basis of sexual orientation or other characteristics</w:t>
      </w:r>
      <w:r w:rsidR="57669FC4">
        <w:t xml:space="preserve">. If this technology is perceived to be accurate by </w:t>
      </w:r>
      <w:r w:rsidR="4E17A686">
        <w:t xml:space="preserve">regimes which punish homosexuality, it may still be adopted. This will result in harms </w:t>
      </w:r>
      <w:r w:rsidR="4E17A686">
        <w:lastRenderedPageBreak/>
        <w:t>to both individuals correctly identified as being homosexual</w:t>
      </w:r>
      <w:r w:rsidR="00FF48F4">
        <w:t>,</w:t>
      </w:r>
      <w:r w:rsidR="4E17A686">
        <w:t xml:space="preserve"> as well as those who are incorrectly identified as homosexual. </w:t>
      </w:r>
    </w:p>
    <w:p w14:paraId="25353BE4" w14:textId="6A4ECBD0" w:rsidR="00AE4E4C" w:rsidRDefault="5E08B625" w:rsidP="00561BD4">
      <w:pPr>
        <w:pStyle w:val="ListNumber"/>
      </w:pPr>
      <w:r>
        <w:t xml:space="preserve">Although an extreme example, </w:t>
      </w:r>
      <w:r w:rsidR="4EC92DAA">
        <w:t xml:space="preserve">the movement to develop these kinds of </w:t>
      </w:r>
      <w:r w:rsidR="000F193F">
        <w:t xml:space="preserve">FRT </w:t>
      </w:r>
      <w:r w:rsidR="32BA5DA1">
        <w:t>capabilities</w:t>
      </w:r>
      <w:r w:rsidR="4EC92DAA">
        <w:t xml:space="preserve"> may usher in an era of </w:t>
      </w:r>
      <w:r w:rsidR="322AC162">
        <w:t xml:space="preserve">human rights </w:t>
      </w:r>
      <w:r w:rsidR="7C079662">
        <w:t>discrimination and abuse</w:t>
      </w:r>
      <w:r w:rsidR="00352A2E">
        <w:t xml:space="preserve"> facilitated by technology</w:t>
      </w:r>
      <w:r w:rsidR="322AC162">
        <w:t>.</w:t>
      </w:r>
      <w:r w:rsidR="7C079662">
        <w:t xml:space="preserve"> FRT may exacerbate systematic discrimination</w:t>
      </w:r>
      <w:r w:rsidR="16CDAC38">
        <w:t xml:space="preserve"> </w:t>
      </w:r>
      <w:r w:rsidR="00E021CB">
        <w:t>on a variety of fronts</w:t>
      </w:r>
      <w:r w:rsidR="7C079662">
        <w:t xml:space="preserve">, as people of colour, transgender and non-binary people </w:t>
      </w:r>
      <w:r w:rsidR="00C60671">
        <w:t xml:space="preserve">are </w:t>
      </w:r>
      <w:r w:rsidR="7C079662">
        <w:t>often</w:t>
      </w:r>
      <w:r w:rsidR="00E021CB">
        <w:t xml:space="preserve"> being</w:t>
      </w:r>
      <w:r w:rsidR="7C079662">
        <w:t xml:space="preserve"> subject to disproportionate levels of tracking, judging and inaccurate results</w:t>
      </w:r>
      <w:r w:rsidR="7C079662" w:rsidRPr="00652F86">
        <w:t>.</w:t>
      </w:r>
      <w:r w:rsidR="00AE4E4C" w:rsidRPr="00652F86">
        <w:rPr>
          <w:rStyle w:val="EndnoteReference"/>
        </w:rPr>
        <w:endnoteReference w:id="91"/>
      </w:r>
      <w:r w:rsidR="7C079662" w:rsidRPr="00652F86">
        <w:t xml:space="preserve"> </w:t>
      </w:r>
    </w:p>
    <w:p w14:paraId="42D73560" w14:textId="6E12A87E" w:rsidR="00307BDE" w:rsidRDefault="6B108229" w:rsidP="00561BD4">
      <w:pPr>
        <w:pStyle w:val="ListNumber"/>
      </w:pPr>
      <w:r>
        <w:t>More broadly, t</w:t>
      </w:r>
      <w:r w:rsidR="101449C7">
        <w:t xml:space="preserve">he Commission’s Final Report </w:t>
      </w:r>
      <w:r w:rsidR="00BF2A15">
        <w:t>highlighted concerns expressed</w:t>
      </w:r>
      <w:r w:rsidR="00735270">
        <w:t xml:space="preserve"> around three particular risks</w:t>
      </w:r>
      <w:r w:rsidR="1E4D63D5">
        <w:t>:</w:t>
      </w:r>
    </w:p>
    <w:p w14:paraId="671925D1" w14:textId="5DCD883A" w:rsidR="007B4760" w:rsidRDefault="00735270" w:rsidP="00561BD4">
      <w:pPr>
        <w:pStyle w:val="ListNumber"/>
        <w:numPr>
          <w:ilvl w:val="0"/>
          <w:numId w:val="16"/>
        </w:numPr>
      </w:pPr>
      <w:r>
        <w:t xml:space="preserve">the contribution of FRT to the </w:t>
      </w:r>
      <w:r w:rsidR="00E24B90">
        <w:t>g</w:t>
      </w:r>
      <w:r w:rsidR="007B4760">
        <w:t>rowth in surveillance</w:t>
      </w:r>
    </w:p>
    <w:p w14:paraId="5F07482D" w14:textId="2E98BF07" w:rsidR="007B4760" w:rsidRDefault="00E24B90" w:rsidP="00561BD4">
      <w:pPr>
        <w:pStyle w:val="ListNumber"/>
        <w:numPr>
          <w:ilvl w:val="0"/>
          <w:numId w:val="16"/>
        </w:numPr>
      </w:pPr>
      <w:r>
        <w:t>t</w:t>
      </w:r>
      <w:r w:rsidR="007B4760">
        <w:t>he use of data derived from FRT to en</w:t>
      </w:r>
      <w:r w:rsidR="00664264">
        <w:t>gage in profiling</w:t>
      </w:r>
    </w:p>
    <w:p w14:paraId="4F90294C" w14:textId="12120C48" w:rsidR="00664264" w:rsidRDefault="00664264" w:rsidP="00561BD4">
      <w:pPr>
        <w:pStyle w:val="ListNumber"/>
        <w:numPr>
          <w:ilvl w:val="0"/>
          <w:numId w:val="16"/>
        </w:numPr>
      </w:pPr>
      <w:r w:rsidRPr="00664264">
        <w:t>the risk that errors connected to facial recognition disproportionately affect certain groups</w:t>
      </w:r>
      <w:r w:rsidR="001911B1">
        <w:t>.</w:t>
      </w:r>
      <w:r w:rsidR="00325D43">
        <w:rPr>
          <w:rStyle w:val="EndnoteReference"/>
        </w:rPr>
        <w:endnoteReference w:id="92"/>
      </w:r>
    </w:p>
    <w:p w14:paraId="2744D519" w14:textId="55C4F63B" w:rsidR="008338EF" w:rsidRDefault="185D2C96" w:rsidP="00561BD4">
      <w:pPr>
        <w:pStyle w:val="ListNumber"/>
      </w:pPr>
      <w:r>
        <w:t>This is in addition to the use</w:t>
      </w:r>
      <w:r w:rsidR="6B108229">
        <w:t xml:space="preserve"> of</w:t>
      </w:r>
      <w:r>
        <w:t xml:space="preserve"> FRT in the private sector which </w:t>
      </w:r>
      <w:r w:rsidR="00822002">
        <w:t>‘</w:t>
      </w:r>
      <w:r>
        <w:t xml:space="preserve">raises </w:t>
      </w:r>
      <w:r w:rsidR="32C7E95B">
        <w:t xml:space="preserve">distinct concerns </w:t>
      </w:r>
      <w:r w:rsidR="00822002">
        <w:t xml:space="preserve">as </w:t>
      </w:r>
      <w:r w:rsidR="32C7E95B">
        <w:t>there may be a lower degree of accountability and fewer legal protections</w:t>
      </w:r>
      <w:r w:rsidR="00822002">
        <w:t>’</w:t>
      </w:r>
      <w:r w:rsidR="32C7E95B">
        <w:t>.</w:t>
      </w:r>
      <w:r w:rsidR="00E24B90">
        <w:rPr>
          <w:rStyle w:val="EndnoteReference"/>
        </w:rPr>
        <w:endnoteReference w:id="93"/>
      </w:r>
    </w:p>
    <w:p w14:paraId="7813A467" w14:textId="0AF284D2" w:rsidR="008338EF" w:rsidRDefault="113977B1" w:rsidP="00561BD4">
      <w:pPr>
        <w:pStyle w:val="ListNumber"/>
      </w:pPr>
      <w:r>
        <w:t>In respect of</w:t>
      </w:r>
      <w:r w:rsidR="007D56A5">
        <w:t xml:space="preserve"> the growing use of</w:t>
      </w:r>
      <w:r>
        <w:t xml:space="preserve"> FRT-</w:t>
      </w:r>
      <w:r w:rsidR="5064A9CB">
        <w:t xml:space="preserve">enabled </w:t>
      </w:r>
      <w:r>
        <w:t xml:space="preserve">surveillance, the Commission found that </w:t>
      </w:r>
      <w:r w:rsidR="5064A9CB">
        <w:t xml:space="preserve">this would lead to an inevitable reduction of personal privacy, and that the threat of closer </w:t>
      </w:r>
      <w:r w:rsidR="667C3E20">
        <w:t>security</w:t>
      </w:r>
      <w:r w:rsidR="5064A9CB">
        <w:t xml:space="preserve"> by police and government agencies can impede </w:t>
      </w:r>
      <w:r w:rsidR="667C3E20">
        <w:t xml:space="preserve">participation in lawful democratic processes </w:t>
      </w:r>
      <w:r w:rsidR="00B002CD">
        <w:t xml:space="preserve">– </w:t>
      </w:r>
      <w:r w:rsidR="667C3E20">
        <w:t>such as protests and meetings.</w:t>
      </w:r>
      <w:r w:rsidR="00866041">
        <w:rPr>
          <w:rStyle w:val="EndnoteReference"/>
        </w:rPr>
        <w:endnoteReference w:id="94"/>
      </w:r>
      <w:r w:rsidR="667C3E20">
        <w:t xml:space="preserve"> This raises the risk profile in protecting the</w:t>
      </w:r>
      <w:r w:rsidR="7616278F">
        <w:t xml:space="preserve"> rights to</w:t>
      </w:r>
      <w:r w:rsidR="667C3E20">
        <w:t>:</w:t>
      </w:r>
    </w:p>
    <w:p w14:paraId="21F301CF" w14:textId="38D0507A" w:rsidR="00866041" w:rsidRDefault="007A4A13" w:rsidP="00561BD4">
      <w:pPr>
        <w:pStyle w:val="ListNumber"/>
        <w:numPr>
          <w:ilvl w:val="0"/>
          <w:numId w:val="16"/>
        </w:numPr>
      </w:pPr>
      <w:r>
        <w:t>f</w:t>
      </w:r>
      <w:r w:rsidR="0089603E">
        <w:t>reedom of association and assembly</w:t>
      </w:r>
    </w:p>
    <w:p w14:paraId="7E52B510" w14:textId="0137C67D" w:rsidR="0089603E" w:rsidRDefault="007A4A13" w:rsidP="00561BD4">
      <w:pPr>
        <w:pStyle w:val="ListNumber"/>
        <w:numPr>
          <w:ilvl w:val="0"/>
          <w:numId w:val="16"/>
        </w:numPr>
      </w:pPr>
      <w:r>
        <w:t>f</w:t>
      </w:r>
      <w:r w:rsidR="0089603E">
        <w:t>reedom of expression and opinion</w:t>
      </w:r>
    </w:p>
    <w:p w14:paraId="0A0063F3" w14:textId="2AA712BB" w:rsidR="0089603E" w:rsidRDefault="007A4A13" w:rsidP="00561BD4">
      <w:pPr>
        <w:pStyle w:val="ListNumber"/>
        <w:numPr>
          <w:ilvl w:val="0"/>
          <w:numId w:val="16"/>
        </w:numPr>
      </w:pPr>
      <w:r>
        <w:t>f</w:t>
      </w:r>
      <w:r w:rsidR="00AA4CAA">
        <w:t>reedom from unlawful and arbitrary arrest</w:t>
      </w:r>
      <w:r w:rsidR="008B248E">
        <w:t>.</w:t>
      </w:r>
      <w:r w:rsidR="00B002CD">
        <w:rPr>
          <w:rStyle w:val="EndnoteReference"/>
        </w:rPr>
        <w:endnoteReference w:id="95"/>
      </w:r>
    </w:p>
    <w:p w14:paraId="50617D49" w14:textId="6B1DFB97" w:rsidR="008338EF" w:rsidRDefault="008929B7" w:rsidP="00561BD4">
      <w:pPr>
        <w:pStyle w:val="ListNumber"/>
      </w:pPr>
      <w:r>
        <w:t>Moreover</w:t>
      </w:r>
      <w:r w:rsidR="03A410AD">
        <w:t>,</w:t>
      </w:r>
      <w:r>
        <w:t xml:space="preserve"> the Commission has previously raised concern</w:t>
      </w:r>
      <w:r w:rsidR="00B002CD">
        <w:t>s</w:t>
      </w:r>
      <w:r>
        <w:t xml:space="preserve"> </w:t>
      </w:r>
      <w:r w:rsidR="6B49D51D">
        <w:t xml:space="preserve">about the gathering of seemingly small and innocuous pieces of personal data (including facial data) </w:t>
      </w:r>
      <w:r w:rsidR="6B108229">
        <w:t xml:space="preserve">which </w:t>
      </w:r>
      <w:r w:rsidR="6B49D51D">
        <w:t xml:space="preserve">can, </w:t>
      </w:r>
      <w:r w:rsidR="00AD1C2A">
        <w:t>accumulatively</w:t>
      </w:r>
      <w:r w:rsidR="6B49D51D">
        <w:t xml:space="preserve">, </w:t>
      </w:r>
      <w:r w:rsidR="78535F69">
        <w:t>provide a detailed profile of an individual – dubbed the ‘mosaic effect’.</w:t>
      </w:r>
      <w:r w:rsidR="009B088C">
        <w:rPr>
          <w:rStyle w:val="EndnoteReference"/>
        </w:rPr>
        <w:endnoteReference w:id="96"/>
      </w:r>
    </w:p>
    <w:p w14:paraId="56DA81DB" w14:textId="31CA92B0" w:rsidR="00343178" w:rsidRDefault="5B6C8A09" w:rsidP="00561BD4">
      <w:pPr>
        <w:pStyle w:val="ListNumber"/>
      </w:pPr>
      <w:r>
        <w:t xml:space="preserve">With the inclusion of </w:t>
      </w:r>
      <w:r w:rsidR="6B108229">
        <w:t xml:space="preserve">additional </w:t>
      </w:r>
      <w:r>
        <w:t>biometric</w:t>
      </w:r>
      <w:r w:rsidR="6B108229">
        <w:t xml:space="preserve"> and non-biometric</w:t>
      </w:r>
      <w:r>
        <w:t xml:space="preserve"> information</w:t>
      </w:r>
      <w:r w:rsidR="6B108229">
        <w:t>,</w:t>
      </w:r>
      <w:r>
        <w:t xml:space="preserve"> this can allow sensitive personal information to be extracted or inferred</w:t>
      </w:r>
      <w:r w:rsidR="6B108229">
        <w:t xml:space="preserve"> about a person</w:t>
      </w:r>
      <w:r>
        <w:t xml:space="preserve">, including </w:t>
      </w:r>
      <w:r w:rsidR="6B108229">
        <w:t>their</w:t>
      </w:r>
      <w:r>
        <w:t xml:space="preserve"> age, race, sex and health.</w:t>
      </w:r>
      <w:r w:rsidR="00343178">
        <w:rPr>
          <w:rStyle w:val="EndnoteReference"/>
        </w:rPr>
        <w:endnoteReference w:id="97"/>
      </w:r>
    </w:p>
    <w:p w14:paraId="0FAA1D14" w14:textId="5BC779A0" w:rsidR="00343178" w:rsidRDefault="5B6C8A09" w:rsidP="00561BD4">
      <w:pPr>
        <w:pStyle w:val="ListNumber"/>
      </w:pPr>
      <w:r>
        <w:t>Such information and inferences can be used in ‘profiling’</w:t>
      </w:r>
      <w:r w:rsidR="4B635CB3">
        <w:t xml:space="preserve"> </w:t>
      </w:r>
      <w:r w:rsidR="6E4A0800">
        <w:t>–</w:t>
      </w:r>
      <w:r w:rsidR="4B635CB3">
        <w:t xml:space="preserve"> </w:t>
      </w:r>
      <w:r>
        <w:t xml:space="preserve">where intrusive action is taken by reference to people’s characteristics. An example of this kind of profiling, which may result in people of a particular racial or ethnic group being disproportionately subjected to police identity checks, has </w:t>
      </w:r>
      <w:r w:rsidR="00B60A9B">
        <w:t xml:space="preserve">been highlighted </w:t>
      </w:r>
      <w:r w:rsidR="007A5AF2">
        <w:t>by Human Rights Watch in the report</w:t>
      </w:r>
      <w:r w:rsidR="00AD1C2A">
        <w:t>,</w:t>
      </w:r>
      <w:r w:rsidR="007A5AF2">
        <w:t xml:space="preserve"> </w:t>
      </w:r>
      <w:r w:rsidR="007A5AF2">
        <w:rPr>
          <w:i/>
          <w:iCs/>
        </w:rPr>
        <w:t xml:space="preserve">China’s Algorithms of </w:t>
      </w:r>
      <w:r w:rsidR="004F0A07">
        <w:rPr>
          <w:i/>
          <w:iCs/>
        </w:rPr>
        <w:t>Repression</w:t>
      </w:r>
      <w:r w:rsidR="007A5AF2">
        <w:rPr>
          <w:i/>
          <w:iCs/>
        </w:rPr>
        <w:t xml:space="preserve">: Reverse Engineering a Xinjiang Police Mass Surveillance App, </w:t>
      </w:r>
      <w:r w:rsidR="007A5AF2">
        <w:t xml:space="preserve">which </w:t>
      </w:r>
      <w:r w:rsidR="007A5AF2">
        <w:lastRenderedPageBreak/>
        <w:t xml:space="preserve">provided </w:t>
      </w:r>
      <w:r w:rsidR="00B2263E">
        <w:t xml:space="preserve">a detailed analysis </w:t>
      </w:r>
      <w:r w:rsidR="00247CCD">
        <w:t xml:space="preserve">of the technology used for mass surveillance in Xinjiang, including the aggregation of </w:t>
      </w:r>
      <w:r w:rsidR="00080D4E">
        <w:t>data</w:t>
      </w:r>
      <w:r>
        <w:t>.</w:t>
      </w:r>
      <w:r w:rsidR="00343178">
        <w:rPr>
          <w:rStyle w:val="EndnoteReference"/>
        </w:rPr>
        <w:endnoteReference w:id="98"/>
      </w:r>
    </w:p>
    <w:p w14:paraId="6E5FC248" w14:textId="0B9DE7BA" w:rsidR="009C61BD" w:rsidRDefault="19163909" w:rsidP="00561BD4">
      <w:pPr>
        <w:pStyle w:val="ListNumber"/>
      </w:pPr>
      <w:r>
        <w:t xml:space="preserve">The above risks are further exacerbated </w:t>
      </w:r>
      <w:r w:rsidR="106D4170">
        <w:t>by</w:t>
      </w:r>
      <w:r w:rsidR="00080D4E">
        <w:t xml:space="preserve"> the potential for</w:t>
      </w:r>
      <w:r w:rsidR="106D4170">
        <w:t xml:space="preserve"> errors in the technology</w:t>
      </w:r>
      <w:r w:rsidR="04400355">
        <w:t>, as risks are at their highest where this technology is used in decision making that affects an individual’s legal or similarly significant rights. This is most obvious when the technology fails.</w:t>
      </w:r>
      <w:r w:rsidR="774C8A1F">
        <w:t xml:space="preserve"> </w:t>
      </w:r>
    </w:p>
    <w:p w14:paraId="514853CF" w14:textId="782543B5" w:rsidR="006D5C9C" w:rsidRDefault="774C8A1F" w:rsidP="00561BD4">
      <w:pPr>
        <w:pStyle w:val="ListNumber"/>
      </w:pPr>
      <w:r>
        <w:t xml:space="preserve">For example, if an error in </w:t>
      </w:r>
      <w:r w:rsidR="650D0FBE">
        <w:t>FRT</w:t>
      </w:r>
      <w:r>
        <w:t xml:space="preserve"> on a smartphone causes a delay in an individual ‘unlocking’ their device, generally this would present little more than an annoyance. However, if a person is wrongly accused of a crime on the basis of an error in police use of </w:t>
      </w:r>
      <w:r w:rsidR="650D0FBE">
        <w:t>FRT</w:t>
      </w:r>
      <w:r>
        <w:t>, the risk of harm is far greater.</w:t>
      </w:r>
      <w:r w:rsidR="6FEC8704" w:rsidRPr="00260100">
        <w:t xml:space="preserve"> </w:t>
      </w:r>
      <w:r w:rsidR="008957CE">
        <w:t xml:space="preserve">There have been examples reported </w:t>
      </w:r>
      <w:r w:rsidR="6FEC8704">
        <w:t xml:space="preserve">where individuals </w:t>
      </w:r>
      <w:r w:rsidR="008957CE">
        <w:t>have been</w:t>
      </w:r>
      <w:r w:rsidR="6FEC8704">
        <w:t xml:space="preserve"> falsely arrested and imprisoned due to FRT.</w:t>
      </w:r>
      <w:r w:rsidR="00260100">
        <w:rPr>
          <w:rStyle w:val="EndnoteReference"/>
        </w:rPr>
        <w:endnoteReference w:id="99"/>
      </w:r>
      <w:r w:rsidR="6FEC8704">
        <w:t xml:space="preserve"> </w:t>
      </w:r>
    </w:p>
    <w:p w14:paraId="3281C8C2" w14:textId="776EBEB0" w:rsidR="009D1235" w:rsidRDefault="27B24C2E" w:rsidP="00561BD4">
      <w:pPr>
        <w:pStyle w:val="ListNumber"/>
      </w:pPr>
      <w:r>
        <w:t>Generally speaking, FRT is far from perfect and is often criticised as being less accurate when identifying women, or people from minority racial groups, as compared with other peopl</w:t>
      </w:r>
      <w:r w:rsidRPr="004877DD">
        <w:t>e.</w:t>
      </w:r>
      <w:r w:rsidR="00FF43C9" w:rsidRPr="004877DD">
        <w:rPr>
          <w:rStyle w:val="EndnoteReference"/>
        </w:rPr>
        <w:endnoteReference w:id="100"/>
      </w:r>
      <w:r>
        <w:t xml:space="preserve"> </w:t>
      </w:r>
      <w:r w:rsidR="6FEC8704">
        <w:t>Amazon</w:t>
      </w:r>
      <w:r w:rsidR="000B4731">
        <w:t>,</w:t>
      </w:r>
      <w:r w:rsidR="6FEC8704">
        <w:t xml:space="preserve"> Microsoft and IBM </w:t>
      </w:r>
      <w:r>
        <w:t xml:space="preserve">have </w:t>
      </w:r>
      <w:r w:rsidR="6FEC8704">
        <w:t xml:space="preserve">all </w:t>
      </w:r>
      <w:r>
        <w:t>previously</w:t>
      </w:r>
      <w:r w:rsidR="6FEC8704">
        <w:t xml:space="preserve"> announced they would stop</w:t>
      </w:r>
      <w:r>
        <w:t>,</w:t>
      </w:r>
      <w:r w:rsidR="6FEC8704">
        <w:t xml:space="preserve"> or pause</w:t>
      </w:r>
      <w:r>
        <w:t>,</w:t>
      </w:r>
      <w:r w:rsidR="6FEC8704">
        <w:t xml:space="preserve"> offering this</w:t>
      </w:r>
      <w:r w:rsidR="5754AD6F">
        <w:t xml:space="preserve"> technology</w:t>
      </w:r>
      <w:r w:rsidR="6FEC8704">
        <w:t xml:space="preserve"> to law enforcement.</w:t>
      </w:r>
      <w:r w:rsidR="00260100" w:rsidRPr="004877DD">
        <w:rPr>
          <w:rStyle w:val="EndnoteReference"/>
        </w:rPr>
        <w:endnoteReference w:id="101"/>
      </w:r>
    </w:p>
    <w:p w14:paraId="11BA80DA" w14:textId="220D62AA" w:rsidR="00375643" w:rsidRDefault="19803E57" w:rsidP="00561BD4">
      <w:pPr>
        <w:pStyle w:val="ListNumber"/>
      </w:pPr>
      <w:r>
        <w:t xml:space="preserve">However as there is currently no legislation </w:t>
      </w:r>
      <w:r w:rsidR="2F1EB814">
        <w:t>regulating FRT, n</w:t>
      </w:r>
      <w:r>
        <w:t>or a moratorium in place</w:t>
      </w:r>
      <w:r w:rsidR="2F1EB814">
        <w:t xml:space="preserve"> in the interim</w:t>
      </w:r>
      <w:r>
        <w:t xml:space="preserve">, </w:t>
      </w:r>
      <w:r w:rsidR="00972CDE">
        <w:t>others have continued to facilitate the use of FRT</w:t>
      </w:r>
      <w:r w:rsidR="002B0093">
        <w:t xml:space="preserve"> by </w:t>
      </w:r>
      <w:r w:rsidR="3C0F87A6">
        <w:t xml:space="preserve">government agencies and police forces globally. </w:t>
      </w:r>
    </w:p>
    <w:p w14:paraId="7ED2B8E6" w14:textId="04B70AAF" w:rsidR="00585DB5" w:rsidRDefault="004D7CB6" w:rsidP="00561BD4">
      <w:pPr>
        <w:pStyle w:val="ListNumber"/>
      </w:pPr>
      <w:r>
        <w:t xml:space="preserve">An example of the risks that this poses for human rights can be seen in the illustrative example of </w:t>
      </w:r>
      <w:r w:rsidR="00CB0E26">
        <w:t xml:space="preserve">the activities of Clearview AI, who scraped </w:t>
      </w:r>
      <w:r w:rsidR="7DAF30CC">
        <w:t xml:space="preserve">approximately 3 billion </w:t>
      </w:r>
      <w:r w:rsidR="22F708F9">
        <w:t>images of faces from publicly accessible sources (such as Facebook and Google)</w:t>
      </w:r>
      <w:r w:rsidR="73E5628E">
        <w:t xml:space="preserve"> to create a database</w:t>
      </w:r>
      <w:r w:rsidR="600D3331">
        <w:t xml:space="preserve">. The company then </w:t>
      </w:r>
      <w:r w:rsidR="73E5628E">
        <w:t>licensed</w:t>
      </w:r>
      <w:r w:rsidR="600D3331">
        <w:t xml:space="preserve"> this database</w:t>
      </w:r>
      <w:r w:rsidR="73E5628E">
        <w:t xml:space="preserve"> to over 600 hundred law enforcement agencies</w:t>
      </w:r>
      <w:r w:rsidR="061F69E5">
        <w:t xml:space="preserve"> (in addition to banks, private companies and schools)</w:t>
      </w:r>
      <w:r w:rsidR="73E5628E">
        <w:t>.</w:t>
      </w:r>
      <w:r w:rsidR="0038377D">
        <w:rPr>
          <w:rStyle w:val="EndnoteReference"/>
        </w:rPr>
        <w:endnoteReference w:id="102"/>
      </w:r>
      <w:r w:rsidR="600D3331">
        <w:t xml:space="preserve"> </w:t>
      </w:r>
      <w:r w:rsidR="36B2C73E">
        <w:t xml:space="preserve">Reports </w:t>
      </w:r>
      <w:r w:rsidR="600D3331">
        <w:t xml:space="preserve">have </w:t>
      </w:r>
      <w:r w:rsidR="36B2C73E">
        <w:t>show</w:t>
      </w:r>
      <w:r w:rsidR="600D3331">
        <w:t>n</w:t>
      </w:r>
      <w:r w:rsidR="36B2C73E">
        <w:t xml:space="preserve"> that employees at law enforcement agencies in the US were running </w:t>
      </w:r>
      <w:r w:rsidR="59A15A0E">
        <w:t>thousands of Clearview AI facial recognition searches – often without the public’s knowledge</w:t>
      </w:r>
      <w:r w:rsidR="600D3331">
        <w:t xml:space="preserve"> or consent</w:t>
      </w:r>
      <w:r w:rsidR="59A15A0E">
        <w:t>.</w:t>
      </w:r>
      <w:r w:rsidR="00544AC3">
        <w:rPr>
          <w:rStyle w:val="EndnoteReference"/>
        </w:rPr>
        <w:endnoteReference w:id="103"/>
      </w:r>
      <w:r w:rsidR="59A15A0E">
        <w:t xml:space="preserve"> </w:t>
      </w:r>
    </w:p>
    <w:p w14:paraId="7187834A" w14:textId="17ACC890" w:rsidR="00F94E2C" w:rsidRDefault="0071408F" w:rsidP="00561BD4">
      <w:pPr>
        <w:pStyle w:val="ListNumber"/>
      </w:pPr>
      <w:r>
        <w:t xml:space="preserve">Clearview AI’s </w:t>
      </w:r>
      <w:r w:rsidR="003F74A6">
        <w:t xml:space="preserve">wrongful conduct has since been investigated. A determination </w:t>
      </w:r>
      <w:r w:rsidR="00C4652F">
        <w:t xml:space="preserve">was made by the OAIC that </w:t>
      </w:r>
      <w:proofErr w:type="spellStart"/>
      <w:r w:rsidR="00C4652F">
        <w:t>Cleaview</w:t>
      </w:r>
      <w:proofErr w:type="spellEnd"/>
      <w:r w:rsidR="00C4652F">
        <w:t xml:space="preserve"> AI </w:t>
      </w:r>
      <w:r w:rsidR="004D69B8">
        <w:t>breached</w:t>
      </w:r>
      <w:r w:rsidR="00C4652F">
        <w:t xml:space="preserve"> </w:t>
      </w:r>
      <w:r w:rsidR="004D69B8" w:rsidRPr="004D69B8">
        <w:t>Australians’ privacy by scraping their biometric information from the web and disclosing it through a facial recognition tool.</w:t>
      </w:r>
      <w:r w:rsidR="004D69B8">
        <w:rPr>
          <w:rStyle w:val="EndnoteReference"/>
        </w:rPr>
        <w:endnoteReference w:id="104"/>
      </w:r>
      <w:r w:rsidR="004D69B8">
        <w:t xml:space="preserve"> </w:t>
      </w:r>
      <w:r w:rsidR="00FA598B">
        <w:t>This was preceded by a joint investigation between the OAIC and UK Information Commissioner’s Office.</w:t>
      </w:r>
      <w:r w:rsidR="00060C6D">
        <w:rPr>
          <w:rStyle w:val="EndnoteReference"/>
        </w:rPr>
        <w:endnoteReference w:id="105"/>
      </w:r>
    </w:p>
    <w:p w14:paraId="190AAA3C" w14:textId="772D9044" w:rsidR="002566EE" w:rsidRDefault="6C01653E" w:rsidP="00561BD4">
      <w:pPr>
        <w:pStyle w:val="ListNumber"/>
      </w:pPr>
      <w:r>
        <w:t>Although domestic legislation</w:t>
      </w:r>
      <w:r w:rsidR="600D3331">
        <w:t xml:space="preserve"> on FRT</w:t>
      </w:r>
      <w:r>
        <w:t xml:space="preserve"> and a moratorium would not </w:t>
      </w:r>
      <w:r w:rsidR="000D0615">
        <w:t xml:space="preserve">entirely </w:t>
      </w:r>
      <w:r w:rsidR="00F76E0F">
        <w:t xml:space="preserve">have </w:t>
      </w:r>
      <w:r w:rsidR="000D0615">
        <w:t xml:space="preserve">prevented </w:t>
      </w:r>
      <w:r>
        <w:t>all of Clearview AI’s activities</w:t>
      </w:r>
      <w:r w:rsidR="600D3331">
        <w:t>,</w:t>
      </w:r>
      <w:r>
        <w:t xml:space="preserve"> </w:t>
      </w:r>
      <w:r w:rsidR="002A7690">
        <w:t>the Australian Information Commissioner and Privacy Commissioner</w:t>
      </w:r>
      <w:r w:rsidR="00F76E0F">
        <w:t>,</w:t>
      </w:r>
      <w:r w:rsidR="002A7690">
        <w:t xml:space="preserve"> </w:t>
      </w:r>
      <w:proofErr w:type="spellStart"/>
      <w:r w:rsidR="002A7690">
        <w:t>Angelene</w:t>
      </w:r>
      <w:proofErr w:type="spellEnd"/>
      <w:r w:rsidR="002A7690">
        <w:t xml:space="preserve"> Falk</w:t>
      </w:r>
      <w:r w:rsidR="00F76E0F">
        <w:t>,</w:t>
      </w:r>
      <w:r w:rsidR="002A7690">
        <w:t xml:space="preserve"> has stated that </w:t>
      </w:r>
      <w:r w:rsidR="00CE35A9">
        <w:t xml:space="preserve">the case of Clearview AI ‘reinforces the need to strengthen </w:t>
      </w:r>
      <w:r w:rsidR="004F0A07">
        <w:t>protection</w:t>
      </w:r>
      <w:r w:rsidR="00CE35A9">
        <w:t xml:space="preserve"> through the current review of the Privacy Act, including restricting </w:t>
      </w:r>
      <w:r w:rsidR="00CE35A9">
        <w:lastRenderedPageBreak/>
        <w:t>or prohibiting practices such as data scraping personal information from online platforms’.</w:t>
      </w:r>
      <w:r w:rsidR="00820F2D">
        <w:rPr>
          <w:rStyle w:val="EndnoteReference"/>
        </w:rPr>
        <w:endnoteReference w:id="106"/>
      </w:r>
      <w:r>
        <w:t xml:space="preserve"> </w:t>
      </w:r>
    </w:p>
    <w:p w14:paraId="40F007D3" w14:textId="64B3F434" w:rsidR="00620A49" w:rsidRDefault="6C01653E" w:rsidP="00561BD4">
      <w:pPr>
        <w:pStyle w:val="ListNumber"/>
      </w:pPr>
      <w:r>
        <w:t xml:space="preserve"> </w:t>
      </w:r>
      <w:r w:rsidR="7E92B329">
        <w:t xml:space="preserve">While regulating a specific </w:t>
      </w:r>
      <w:r w:rsidR="003B3C73">
        <w:t xml:space="preserve">kind of </w:t>
      </w:r>
      <w:r w:rsidR="7E92B329">
        <w:t xml:space="preserve">technology may </w:t>
      </w:r>
      <w:r w:rsidR="005814FF">
        <w:t xml:space="preserve">result in </w:t>
      </w:r>
      <w:r w:rsidR="00376AA1">
        <w:t>delay</w:t>
      </w:r>
      <w:r w:rsidR="005814FF">
        <w:t>s on</w:t>
      </w:r>
      <w:r w:rsidR="7E92B329">
        <w:t xml:space="preserve"> its uptake or </w:t>
      </w:r>
      <w:r w:rsidR="005814FF">
        <w:t xml:space="preserve">the realisation of </w:t>
      </w:r>
      <w:r w:rsidR="7E92B329">
        <w:t xml:space="preserve">economic benefits, </w:t>
      </w:r>
      <w:r w:rsidR="62CDD168">
        <w:t xml:space="preserve">there are often good reasons to do so where that technology is deemed high-risk. </w:t>
      </w:r>
      <w:r w:rsidR="43368AD8">
        <w:t>FRT is a technology which poses an unacceptable risk to human rights</w:t>
      </w:r>
      <w:r w:rsidR="0C034311">
        <w:t xml:space="preserve"> without regulation.</w:t>
      </w:r>
      <w:r w:rsidR="005C70EF">
        <w:t xml:space="preserve"> </w:t>
      </w:r>
    </w:p>
    <w:p w14:paraId="375427F2" w14:textId="6281A7E8" w:rsidR="003B58F9" w:rsidRDefault="6FBEAE24" w:rsidP="00561BD4">
      <w:pPr>
        <w:pStyle w:val="ListNumber"/>
      </w:pPr>
      <w:r>
        <w:t xml:space="preserve">In respect of the </w:t>
      </w:r>
      <w:r w:rsidR="7C079662">
        <w:t>‘</w:t>
      </w:r>
      <w:r>
        <w:t>consideration by government of the regulation of biometric technologies</w:t>
      </w:r>
      <w:r w:rsidR="7C079662">
        <w:t>’</w:t>
      </w:r>
      <w:r w:rsidR="003B3C73">
        <w:t>,</w:t>
      </w:r>
      <w:r>
        <w:t xml:space="preserve"> the Commission recommendations the following in response to Proposal 13.2.</w:t>
      </w:r>
      <w:r w:rsidR="35B2F4A1">
        <w:t xml:space="preserve"> </w:t>
      </w:r>
    </w:p>
    <w:p w14:paraId="2485C9A3" w14:textId="77777777" w:rsidR="0097436A" w:rsidRDefault="0097436A" w:rsidP="00561BD4">
      <w:pPr>
        <w:pStyle w:val="ListNumber"/>
        <w:numPr>
          <w:ilvl w:val="0"/>
          <w:numId w:val="0"/>
        </w:numPr>
        <w:ind w:left="360"/>
      </w:pPr>
    </w:p>
    <w:p w14:paraId="374C1D5C" w14:textId="36C8CEE6" w:rsidR="0097436A" w:rsidRPr="0097436A" w:rsidRDefault="0097436A" w:rsidP="00561BD4">
      <w:pPr>
        <w:pStyle w:val="ListNumber"/>
        <w:numPr>
          <w:ilvl w:val="0"/>
          <w:numId w:val="0"/>
        </w:numPr>
        <w:ind w:left="360"/>
        <w:rPr>
          <w:b/>
          <w:bCs/>
        </w:rPr>
      </w:pPr>
      <w:bookmarkStart w:id="48" w:name="_Ref128482630"/>
      <w:r w:rsidRPr="0097436A">
        <w:rPr>
          <w:b/>
          <w:bCs/>
        </w:rPr>
        <w:t xml:space="preserve">Recommendation </w:t>
      </w:r>
      <w:r w:rsidR="005E1320">
        <w:rPr>
          <w:b/>
          <w:bCs/>
        </w:rPr>
        <w:t>11</w:t>
      </w:r>
      <w:r w:rsidRPr="0097436A">
        <w:rPr>
          <w:b/>
          <w:bCs/>
        </w:rPr>
        <w:t xml:space="preserve">: Until </w:t>
      </w:r>
      <w:r w:rsidR="00434FDF">
        <w:rPr>
          <w:b/>
          <w:bCs/>
        </w:rPr>
        <w:t xml:space="preserve">the </w:t>
      </w:r>
      <w:r w:rsidRPr="0097436A">
        <w:rPr>
          <w:b/>
          <w:bCs/>
        </w:rPr>
        <w:t>legislation</w:t>
      </w:r>
      <w:r w:rsidR="00434FDF">
        <w:rPr>
          <w:b/>
          <w:bCs/>
        </w:rPr>
        <w:t xml:space="preserve"> recommended in </w:t>
      </w:r>
      <w:r w:rsidR="00434FDF" w:rsidRPr="00F739F3">
        <w:rPr>
          <w:b/>
          <w:bCs/>
        </w:rPr>
        <w:t xml:space="preserve">Recommendation </w:t>
      </w:r>
      <w:r w:rsidR="00F739F3">
        <w:rPr>
          <w:b/>
          <w:bCs/>
        </w:rPr>
        <w:t>9</w:t>
      </w:r>
      <w:r w:rsidRPr="0097436A">
        <w:rPr>
          <w:b/>
          <w:bCs/>
        </w:rPr>
        <w:t xml:space="preserve"> comes into effect, Australia’s federal, state and territory governments should introduce a moratorium on the use of </w:t>
      </w:r>
      <w:bookmarkStart w:id="49" w:name="_Hlk128482541"/>
      <w:r w:rsidRPr="0097436A">
        <w:rPr>
          <w:b/>
          <w:bCs/>
        </w:rPr>
        <w:t>facial recognition and other biometric technology in decision making that has a legal, or similarly significant, effect for individuals, or where there is a high risk to human rights, such as in policing and law enforcement</w:t>
      </w:r>
      <w:bookmarkEnd w:id="49"/>
      <w:r w:rsidRPr="0097436A">
        <w:rPr>
          <w:b/>
          <w:bCs/>
        </w:rPr>
        <w:t>.</w:t>
      </w:r>
      <w:bookmarkEnd w:id="48"/>
    </w:p>
    <w:p w14:paraId="235150C2" w14:textId="77777777" w:rsidR="0097436A" w:rsidRDefault="0097436A" w:rsidP="00561BD4">
      <w:pPr>
        <w:pStyle w:val="ListNumber"/>
        <w:numPr>
          <w:ilvl w:val="0"/>
          <w:numId w:val="0"/>
        </w:numPr>
        <w:ind w:left="360"/>
      </w:pPr>
      <w:bookmarkStart w:id="50" w:name="_Ref128482712"/>
    </w:p>
    <w:p w14:paraId="7E0F2F8E" w14:textId="37FBAE47" w:rsidR="0097436A" w:rsidRDefault="65575F9B" w:rsidP="00561BD4">
      <w:pPr>
        <w:pStyle w:val="ListNumber"/>
      </w:pPr>
      <w:r>
        <w:t xml:space="preserve">This moratorium would not apply to all uses of facial and biometric technology. It would apply only to uses of such technology to make decisions that affect legal or similarly significant rights, unless and until </w:t>
      </w:r>
      <w:r w:rsidR="00C06F2A">
        <w:t xml:space="preserve">specific </w:t>
      </w:r>
      <w:r>
        <w:t>legislation is introduced with effective human rights safeguards.</w:t>
      </w:r>
      <w:bookmarkEnd w:id="50"/>
    </w:p>
    <w:p w14:paraId="2C2776BD" w14:textId="4665F500" w:rsidR="00627B5C" w:rsidRDefault="65575F9B" w:rsidP="00561BD4">
      <w:pPr>
        <w:pStyle w:val="ListNumber"/>
      </w:pPr>
      <w:r>
        <w:t xml:space="preserve">The Commission is not alone in </w:t>
      </w:r>
      <w:r w:rsidR="00C06F2A">
        <w:t>recommending</w:t>
      </w:r>
      <w:r>
        <w:t xml:space="preserve"> a moratorium on the use of FRT</w:t>
      </w:r>
      <w:r w:rsidR="00C06F2A">
        <w:t>. For</w:t>
      </w:r>
      <w:r>
        <w:t xml:space="preserve"> </w:t>
      </w:r>
      <w:r w:rsidR="00C06F2A">
        <w:t xml:space="preserve">example, </w:t>
      </w:r>
      <w:r>
        <w:t xml:space="preserve">in June 2020 the </w:t>
      </w:r>
      <w:r w:rsidRPr="6D05706E">
        <w:rPr>
          <w:i/>
          <w:iCs/>
        </w:rPr>
        <w:t>Facial Recognition and Biometrics Technology Moratorium Act</w:t>
      </w:r>
      <w:r>
        <w:t xml:space="preserve"> </w:t>
      </w:r>
      <w:r w:rsidR="00C06F2A">
        <w:t xml:space="preserve">was introduced </w:t>
      </w:r>
      <w:r>
        <w:t>in</w:t>
      </w:r>
      <w:r w:rsidR="00C06F2A">
        <w:t>to</w:t>
      </w:r>
      <w:r>
        <w:t xml:space="preserve"> </w:t>
      </w:r>
      <w:r w:rsidR="00620A49">
        <w:t>US</w:t>
      </w:r>
      <w:r>
        <w:t xml:space="preserve"> Congress. In June 2021</w:t>
      </w:r>
      <w:r w:rsidR="00AF3F80">
        <w:t>,</w:t>
      </w:r>
      <w:r>
        <w:t xml:space="preserve"> US senators reintroduced that same act in response to reports that US law enforcement agencies have used unregulated FRT, in addition to research indicating that approximately half of</w:t>
      </w:r>
      <w:r w:rsidR="00C06F2A">
        <w:t xml:space="preserve"> the</w:t>
      </w:r>
      <w:r>
        <w:t xml:space="preserve"> </w:t>
      </w:r>
      <w:r w:rsidR="00C06F2A">
        <w:t xml:space="preserve">adult US population </w:t>
      </w:r>
      <w:r>
        <w:t>are already in facial recognition databases</w:t>
      </w:r>
      <w:r w:rsidR="008B7F50">
        <w:t>.</w:t>
      </w:r>
      <w:r w:rsidR="008B7F50">
        <w:rPr>
          <w:rStyle w:val="EndnoteReference"/>
        </w:rPr>
        <w:endnoteReference w:id="107"/>
      </w:r>
    </w:p>
    <w:p w14:paraId="635E9A65" w14:textId="0F15F26F" w:rsidR="00780E29" w:rsidRPr="008E2607" w:rsidRDefault="00780E29" w:rsidP="00561BD4">
      <w:pPr>
        <w:pStyle w:val="Heading1"/>
      </w:pPr>
      <w:bookmarkStart w:id="51" w:name="_Toc131585362"/>
      <w:r w:rsidRPr="008E2607">
        <w:t>Proposal 16.1</w:t>
      </w:r>
      <w:bookmarkEnd w:id="51"/>
    </w:p>
    <w:p w14:paraId="679BC10F" w14:textId="7E38E3CE" w:rsidR="00780E29" w:rsidRPr="00732B12" w:rsidRDefault="000E2A25" w:rsidP="00561BD4">
      <w:pPr>
        <w:pStyle w:val="ListNumber"/>
        <w:numPr>
          <w:ilvl w:val="0"/>
          <w:numId w:val="0"/>
        </w:numPr>
        <w:ind w:left="360"/>
        <w:rPr>
          <w:i/>
          <w:iCs/>
        </w:rPr>
      </w:pPr>
      <w:r w:rsidRPr="00732B12">
        <w:rPr>
          <w:i/>
          <w:iCs/>
        </w:rPr>
        <w:t>Define a child as an individual who has not reached 18 years of age</w:t>
      </w:r>
      <w:r w:rsidR="00732B12">
        <w:rPr>
          <w:i/>
          <w:iCs/>
        </w:rPr>
        <w:t>.</w:t>
      </w:r>
    </w:p>
    <w:p w14:paraId="03595695" w14:textId="69A7F311" w:rsidR="006D2AB1" w:rsidRPr="00A2620E" w:rsidRDefault="04BB0C43" w:rsidP="00561BD4">
      <w:pPr>
        <w:pStyle w:val="ListNumber"/>
      </w:pPr>
      <w:r w:rsidRPr="6D05706E">
        <w:rPr>
          <w:rFonts w:cs="Open Sans"/>
        </w:rPr>
        <w:t>The Commission</w:t>
      </w:r>
      <w:r w:rsidR="009F7425">
        <w:rPr>
          <w:rFonts w:cs="Open Sans"/>
        </w:rPr>
        <w:t xml:space="preserve"> </w:t>
      </w:r>
      <w:r w:rsidR="009808B9">
        <w:rPr>
          <w:rFonts w:cs="Open Sans"/>
        </w:rPr>
        <w:t>recommends</w:t>
      </w:r>
      <w:r w:rsidRPr="6D05706E">
        <w:rPr>
          <w:rFonts w:cs="Open Sans"/>
        </w:rPr>
        <w:t xml:space="preserve"> that </w:t>
      </w:r>
      <w:r w:rsidR="31C09C79" w:rsidRPr="6D05706E">
        <w:rPr>
          <w:rFonts w:cs="Open Sans"/>
        </w:rPr>
        <w:t xml:space="preserve">the amendment in Proposal 16.1 and all other proposals of the Review Report (in respect of children) be considered in light of </w:t>
      </w:r>
      <w:r w:rsidR="004A5CD3">
        <w:rPr>
          <w:rFonts w:cs="Open Sans"/>
        </w:rPr>
        <w:t>Committee on the Rights of the Child</w:t>
      </w:r>
      <w:r w:rsidR="31C09C79" w:rsidRPr="6D05706E">
        <w:rPr>
          <w:rFonts w:cs="Open Sans"/>
        </w:rPr>
        <w:t xml:space="preserve">’s General Comment 25 on </w:t>
      </w:r>
      <w:r w:rsidR="00972C32">
        <w:rPr>
          <w:rFonts w:cs="Open Sans"/>
        </w:rPr>
        <w:t>c</w:t>
      </w:r>
      <w:r w:rsidR="31C09C79" w:rsidRPr="6D05706E">
        <w:rPr>
          <w:rFonts w:cs="Open Sans"/>
        </w:rPr>
        <w:t>hildren’s rights in relation to the digital environment</w:t>
      </w:r>
      <w:r w:rsidR="00E13083">
        <w:rPr>
          <w:rFonts w:cs="Open Sans"/>
        </w:rPr>
        <w:t>,</w:t>
      </w:r>
      <w:r w:rsidR="31C09C79" w:rsidRPr="6D05706E">
        <w:rPr>
          <w:rFonts w:cs="Open Sans"/>
        </w:rPr>
        <w:t xml:space="preserve"> and </w:t>
      </w:r>
      <w:r w:rsidR="31C09C79" w:rsidRPr="6D05706E">
        <w:rPr>
          <w:rFonts w:cs="Open Sans"/>
        </w:rPr>
        <w:lastRenderedPageBreak/>
        <w:t>the 2021 Report of the Special Rapporteur on the Right to Privacy on children’s privacy (Special Rapporteur).</w:t>
      </w:r>
    </w:p>
    <w:p w14:paraId="5F7E6887" w14:textId="1BB2D42E" w:rsidR="00491B31" w:rsidRPr="0064484B" w:rsidRDefault="00491B31" w:rsidP="00561BD4">
      <w:pPr>
        <w:pStyle w:val="ListNumber"/>
      </w:pPr>
      <w:r>
        <w:t xml:space="preserve">Any measures that respond to children must also recognise their differing levels of </w:t>
      </w:r>
      <w:r w:rsidR="009F6E36">
        <w:t>decision-making ability</w:t>
      </w:r>
      <w:r>
        <w:t>, based on their maturity and development. A one-size fits all approach for children will not be effective in protecting their rights.</w:t>
      </w:r>
    </w:p>
    <w:p w14:paraId="4DC4CC70" w14:textId="0468644D" w:rsidR="00BE3F89" w:rsidRDefault="2DEABE0D" w:rsidP="00561BD4">
      <w:pPr>
        <w:pStyle w:val="ListNumber"/>
        <w:rPr>
          <w:rFonts w:cs="Open Sans"/>
        </w:rPr>
      </w:pPr>
      <w:r w:rsidRPr="6D05706E">
        <w:rPr>
          <w:rFonts w:cs="Open Sans"/>
        </w:rPr>
        <w:t xml:space="preserve">The primary instrument enshrining children’s rights is the </w:t>
      </w:r>
      <w:r w:rsidR="004A5CD3">
        <w:rPr>
          <w:rFonts w:cs="Open Sans"/>
        </w:rPr>
        <w:t>Convention of the Rights of the Child (</w:t>
      </w:r>
      <w:r w:rsidRPr="6D05706E">
        <w:rPr>
          <w:rFonts w:cs="Open Sans"/>
        </w:rPr>
        <w:t>CRC</w:t>
      </w:r>
      <w:r w:rsidR="004A5CD3">
        <w:rPr>
          <w:rFonts w:cs="Open Sans"/>
        </w:rPr>
        <w:t>)</w:t>
      </w:r>
      <w:r w:rsidRPr="6D05706E">
        <w:rPr>
          <w:rFonts w:cs="Open Sans"/>
        </w:rPr>
        <w:t xml:space="preserve">, which Australia has ratified. </w:t>
      </w:r>
      <w:r w:rsidR="004F5E9F">
        <w:rPr>
          <w:rFonts w:cs="Open Sans"/>
        </w:rPr>
        <w:t>Article 1 of the CRC states that a child be defined as any individual under the age of 18.</w:t>
      </w:r>
    </w:p>
    <w:p w14:paraId="676235CF" w14:textId="7046234A" w:rsidR="006D2AB1" w:rsidRDefault="2DEABE0D" w:rsidP="00561BD4">
      <w:pPr>
        <w:pStyle w:val="ListNumber"/>
        <w:rPr>
          <w:rFonts w:cs="Open Sans"/>
        </w:rPr>
      </w:pPr>
      <w:r w:rsidRPr="6D05706E">
        <w:rPr>
          <w:rFonts w:cs="Open Sans"/>
        </w:rPr>
        <w:t xml:space="preserve">Article 16 of the CRC protects the right to privacy. It states that: </w:t>
      </w:r>
    </w:p>
    <w:p w14:paraId="1B5FE7BA" w14:textId="7112CD5D" w:rsidR="00747417" w:rsidRPr="00747417" w:rsidRDefault="00747417" w:rsidP="00561BD4">
      <w:pPr>
        <w:pStyle w:val="ListNumber"/>
        <w:numPr>
          <w:ilvl w:val="0"/>
          <w:numId w:val="0"/>
        </w:numPr>
        <w:ind w:left="1134"/>
        <w:rPr>
          <w:rFonts w:cs="Open Sans"/>
          <w:i/>
          <w:iCs/>
        </w:rPr>
      </w:pPr>
      <w:r w:rsidRPr="00747417">
        <w:rPr>
          <w:rFonts w:cs="Open Sans"/>
          <w:i/>
          <w:iCs/>
        </w:rPr>
        <w:t>No child shall be subject to arbitrary or unlawful interference with his or her privacy, family, home or correspondence, nor to unlawful interference with his or her honour and reputation</w:t>
      </w:r>
      <w:r w:rsidR="001E6E6F">
        <w:rPr>
          <w:rFonts w:cs="Open Sans"/>
          <w:i/>
          <w:iCs/>
        </w:rPr>
        <w:t>.</w:t>
      </w:r>
      <w:r w:rsidRPr="00747417">
        <w:rPr>
          <w:rFonts w:cs="Open Sans"/>
          <w:i/>
          <w:iCs/>
        </w:rPr>
        <w:t xml:space="preserve"> </w:t>
      </w:r>
    </w:p>
    <w:p w14:paraId="4D37C4BD" w14:textId="178F789C" w:rsidR="00747417" w:rsidRPr="00747417" w:rsidRDefault="00747417" w:rsidP="00561BD4">
      <w:pPr>
        <w:pStyle w:val="ListNumber"/>
        <w:numPr>
          <w:ilvl w:val="0"/>
          <w:numId w:val="0"/>
        </w:numPr>
        <w:ind w:left="1134"/>
        <w:rPr>
          <w:rFonts w:cs="Open Sans"/>
          <w:i/>
          <w:iCs/>
        </w:rPr>
      </w:pPr>
      <w:r w:rsidRPr="00747417">
        <w:rPr>
          <w:rFonts w:cs="Open Sans"/>
          <w:i/>
          <w:iCs/>
        </w:rPr>
        <w:t xml:space="preserve">The child has the right to protection of the law against such interference or attacks. </w:t>
      </w:r>
    </w:p>
    <w:p w14:paraId="4841A6BA" w14:textId="4B8756CA" w:rsidR="006D2AB1" w:rsidRPr="00A212AB" w:rsidRDefault="2DEABE0D" w:rsidP="00561BD4">
      <w:pPr>
        <w:pStyle w:val="ListNumber"/>
        <w:rPr>
          <w:rFonts w:cs="Open Sans"/>
        </w:rPr>
      </w:pPr>
      <w:r w:rsidRPr="00A212AB">
        <w:rPr>
          <w:rFonts w:cs="Open Sans"/>
        </w:rPr>
        <w:t xml:space="preserve">Of relevance are considerations around ‘information privacy’, which protects information created </w:t>
      </w:r>
      <w:r w:rsidRPr="00747417">
        <w:rPr>
          <w:sz w:val="22"/>
          <w:szCs w:val="22"/>
        </w:rPr>
        <w:t>about</w:t>
      </w:r>
      <w:r w:rsidRPr="6D05706E">
        <w:rPr>
          <w:i/>
          <w:iCs/>
          <w:sz w:val="22"/>
          <w:szCs w:val="22"/>
        </w:rPr>
        <w:t xml:space="preserve"> </w:t>
      </w:r>
      <w:r w:rsidRPr="00A212AB">
        <w:rPr>
          <w:rFonts w:cs="Open Sans"/>
        </w:rPr>
        <w:t>children.</w:t>
      </w:r>
      <w:r w:rsidR="006D2AB1" w:rsidRPr="00A96BC9">
        <w:rPr>
          <w:sz w:val="22"/>
          <w:szCs w:val="22"/>
          <w:vertAlign w:val="superscript"/>
        </w:rPr>
        <w:endnoteReference w:id="108"/>
      </w:r>
      <w:r w:rsidRPr="00A212AB">
        <w:rPr>
          <w:rFonts w:cs="Open Sans"/>
        </w:rPr>
        <w:t xml:space="preserve"> This may include information about ‘children’s identities, activities, location, communication, emotions, health and relationships’.</w:t>
      </w:r>
      <w:r w:rsidR="006D2AB1" w:rsidRPr="00A96BC9">
        <w:rPr>
          <w:sz w:val="22"/>
          <w:szCs w:val="22"/>
          <w:vertAlign w:val="superscript"/>
        </w:rPr>
        <w:endnoteReference w:id="109"/>
      </w:r>
      <w:r w:rsidRPr="00A212AB">
        <w:rPr>
          <w:rFonts w:cs="Open Sans"/>
        </w:rPr>
        <w:t xml:space="preserve"> As the </w:t>
      </w:r>
      <w:r w:rsidR="004D538F">
        <w:rPr>
          <w:rFonts w:cs="Open Sans"/>
        </w:rPr>
        <w:t>Committee on the Rights of the Child</w:t>
      </w:r>
      <w:r w:rsidR="004D538F" w:rsidRPr="00A212AB">
        <w:rPr>
          <w:rFonts w:cs="Open Sans"/>
        </w:rPr>
        <w:t xml:space="preserve"> </w:t>
      </w:r>
      <w:r w:rsidRPr="00A212AB">
        <w:rPr>
          <w:rFonts w:cs="Open Sans"/>
        </w:rPr>
        <w:t>has recognised in General Comment 25, there are significant implications for children’s privacy associated with increasingly ‘routine’ practices that include ‘automated data processing, profiling, behavioural targeting, mandatory identity verification, information filtering and mass surveillance</w:t>
      </w:r>
      <w:r>
        <w:rPr>
          <w:rFonts w:cs="Open Sans"/>
        </w:rPr>
        <w:t>’</w:t>
      </w:r>
      <w:r w:rsidRPr="00A212AB">
        <w:rPr>
          <w:rFonts w:cs="Open Sans"/>
        </w:rPr>
        <w:t>.</w:t>
      </w:r>
      <w:r w:rsidR="006D2AB1" w:rsidRPr="00A96BC9">
        <w:rPr>
          <w:sz w:val="22"/>
          <w:szCs w:val="22"/>
          <w:vertAlign w:val="superscript"/>
        </w:rPr>
        <w:endnoteReference w:id="110"/>
      </w:r>
      <w:r w:rsidRPr="00A212AB">
        <w:rPr>
          <w:rFonts w:cs="Open Sans"/>
        </w:rPr>
        <w:t xml:space="preserve"> </w:t>
      </w:r>
    </w:p>
    <w:p w14:paraId="19A606E3" w14:textId="410E74E9" w:rsidR="006D2AB1" w:rsidRPr="00A212AB" w:rsidRDefault="2DEABE0D" w:rsidP="00561BD4">
      <w:pPr>
        <w:pStyle w:val="ListNumber"/>
      </w:pPr>
      <w:r w:rsidRPr="00A212AB">
        <w:t>Children’s rights are universal, indivisible, interdependent and interrelated.</w:t>
      </w:r>
      <w:r w:rsidR="006D2AB1" w:rsidRPr="00A96BC9">
        <w:rPr>
          <w:sz w:val="22"/>
          <w:szCs w:val="22"/>
          <w:vertAlign w:val="superscript"/>
        </w:rPr>
        <w:endnoteReference w:id="111"/>
      </w:r>
      <w:r w:rsidRPr="00A212AB">
        <w:t xml:space="preserve"> The right to privacy is necessary for the protection of other rights, including rights to freedom of expression, thought and association (</w:t>
      </w:r>
      <w:r w:rsidR="00D46DBF">
        <w:t xml:space="preserve">CRC </w:t>
      </w:r>
      <w:r w:rsidR="000B57E1">
        <w:t>art</w:t>
      </w:r>
      <w:r w:rsidRPr="00A212AB">
        <w:t>s 13, 14, 15). The Special Rapporteur has observed that ‘the foundations of future intellectual, emotional and sexual life are developed in childhood and adolescence, aided by the conditions of a private life’.</w:t>
      </w:r>
      <w:r w:rsidR="006D2AB1" w:rsidRPr="00A96BC9">
        <w:rPr>
          <w:sz w:val="22"/>
          <w:szCs w:val="22"/>
          <w:vertAlign w:val="superscript"/>
        </w:rPr>
        <w:endnoteReference w:id="112"/>
      </w:r>
      <w:r w:rsidRPr="00A212AB">
        <w:t xml:space="preserve"> As such, privacy is essential to children’s development. </w:t>
      </w:r>
    </w:p>
    <w:p w14:paraId="7C4A5F26" w14:textId="471BCBAA" w:rsidR="002A38CD" w:rsidRDefault="00B36B26" w:rsidP="00561BD4">
      <w:pPr>
        <w:pStyle w:val="ListNumber"/>
      </w:pPr>
      <w:r>
        <w:t>C</w:t>
      </w:r>
      <w:r w:rsidR="2DEABE0D">
        <w:t xml:space="preserve">hildren’s privacy is </w:t>
      </w:r>
      <w:r w:rsidR="00BE5093">
        <w:t xml:space="preserve">also </w:t>
      </w:r>
      <w:r w:rsidR="2DEABE0D">
        <w:t>more complex than adults</w:t>
      </w:r>
      <w:r w:rsidR="00BE5093">
        <w:t>’</w:t>
      </w:r>
      <w:r w:rsidR="2DEABE0D">
        <w:t xml:space="preserve"> right to privacy, due to</w:t>
      </w:r>
      <w:r w:rsidR="00887B84">
        <w:t xml:space="preserve"> a range of factors including</w:t>
      </w:r>
      <w:r w:rsidR="2DEABE0D">
        <w:t xml:space="preserve">: </w:t>
      </w:r>
    </w:p>
    <w:p w14:paraId="5659F721" w14:textId="77777777" w:rsidR="002A38CD" w:rsidRDefault="006D2AB1" w:rsidP="00561BD4">
      <w:pPr>
        <w:pStyle w:val="ListNumber"/>
        <w:numPr>
          <w:ilvl w:val="0"/>
          <w:numId w:val="21"/>
        </w:numPr>
      </w:pPr>
      <w:r w:rsidRPr="00A212AB">
        <w:t>the particular vulnerability of children</w:t>
      </w:r>
    </w:p>
    <w:p w14:paraId="007A3FDC" w14:textId="77777777" w:rsidR="002A38CD" w:rsidRDefault="006D2AB1" w:rsidP="00561BD4">
      <w:pPr>
        <w:pStyle w:val="ListNumber"/>
        <w:numPr>
          <w:ilvl w:val="0"/>
          <w:numId w:val="21"/>
        </w:numPr>
      </w:pPr>
      <w:r w:rsidRPr="00A212AB">
        <w:t>parental rights to raise their child</w:t>
      </w:r>
    </w:p>
    <w:p w14:paraId="091C969A" w14:textId="77777777" w:rsidR="002A38CD" w:rsidRPr="002A38CD" w:rsidRDefault="006D2AB1" w:rsidP="00561BD4">
      <w:pPr>
        <w:pStyle w:val="ListNumber"/>
        <w:numPr>
          <w:ilvl w:val="0"/>
          <w:numId w:val="21"/>
        </w:numPr>
      </w:pPr>
      <w:r w:rsidRPr="00A212AB">
        <w:t>children’s changing capacities and development that affect, for example, the application of consent mechanisms.</w:t>
      </w:r>
      <w:r>
        <w:rPr>
          <w:sz w:val="22"/>
          <w:szCs w:val="22"/>
          <w:vertAlign w:val="superscript"/>
        </w:rPr>
        <w:t xml:space="preserve"> </w:t>
      </w:r>
    </w:p>
    <w:p w14:paraId="1A9FE19A" w14:textId="7A1799FB" w:rsidR="00BC4BC3" w:rsidRDefault="6861FD98" w:rsidP="00561BD4">
      <w:pPr>
        <w:pStyle w:val="ListNumber"/>
      </w:pPr>
      <w:r>
        <w:t xml:space="preserve">Children are </w:t>
      </w:r>
      <w:r w:rsidR="46F8B665">
        <w:t xml:space="preserve">especially vulnerable to privacy risks and harms as they may lack necessary technical, critical and social skills to engage with digital </w:t>
      </w:r>
      <w:r w:rsidR="46F8B665">
        <w:lastRenderedPageBreak/>
        <w:t>spaces in a safe and beneficial manner.</w:t>
      </w:r>
      <w:r w:rsidR="005B2879">
        <w:rPr>
          <w:rStyle w:val="EndnoteReference"/>
        </w:rPr>
        <w:endnoteReference w:id="113"/>
      </w:r>
      <w:r w:rsidR="7EDCEE3E">
        <w:t xml:space="preserve"> This risk is exacerbated as many </w:t>
      </w:r>
      <w:r w:rsidR="03A93147">
        <w:t xml:space="preserve">online services designed to engage with children and young people may not always be </w:t>
      </w:r>
      <w:r w:rsidR="312C447F">
        <w:t>safe, appropriate and privacy protective.</w:t>
      </w:r>
      <w:r w:rsidR="002B1FA2">
        <w:rPr>
          <w:rStyle w:val="EndnoteReference"/>
        </w:rPr>
        <w:endnoteReference w:id="114"/>
      </w:r>
    </w:p>
    <w:p w14:paraId="0736958A" w14:textId="747E37E6" w:rsidR="00F27C51" w:rsidRPr="00657680" w:rsidRDefault="00F27C51" w:rsidP="00561BD4">
      <w:pPr>
        <w:pStyle w:val="Heading2"/>
      </w:pPr>
      <w:bookmarkStart w:id="52" w:name="_Toc131585363"/>
      <w:r>
        <w:t>Specific risks related to children</w:t>
      </w:r>
      <w:bookmarkEnd w:id="52"/>
    </w:p>
    <w:p w14:paraId="286303FE" w14:textId="2124F220" w:rsidR="00D65DBF" w:rsidRDefault="1EF2EEE0" w:rsidP="00561BD4">
      <w:pPr>
        <w:pStyle w:val="ListNumber"/>
      </w:pPr>
      <w:r>
        <w:t>The Commission is especially concerned about the risks that children and young people face in respect of</w:t>
      </w:r>
      <w:r w:rsidR="2A6CB67A">
        <w:t>:</w:t>
      </w:r>
    </w:p>
    <w:p w14:paraId="67CBCFC2" w14:textId="34194361" w:rsidR="00646759" w:rsidRDefault="009A1327" w:rsidP="00561BD4">
      <w:pPr>
        <w:pStyle w:val="ListNumber"/>
        <w:numPr>
          <w:ilvl w:val="0"/>
          <w:numId w:val="16"/>
        </w:numPr>
      </w:pPr>
      <w:r>
        <w:t>h</w:t>
      </w:r>
      <w:r w:rsidR="00646759">
        <w:t>ow their personal information may be monetised</w:t>
      </w:r>
    </w:p>
    <w:p w14:paraId="4F75B14F" w14:textId="483ABB20" w:rsidR="00646759" w:rsidRDefault="00646759" w:rsidP="00561BD4">
      <w:pPr>
        <w:pStyle w:val="ListNumber"/>
        <w:numPr>
          <w:ilvl w:val="0"/>
          <w:numId w:val="16"/>
        </w:numPr>
      </w:pPr>
      <w:r>
        <w:t>the social impacts of sharing personal information on their reputation and life opportunities</w:t>
      </w:r>
    </w:p>
    <w:p w14:paraId="3C10FAC7" w14:textId="5F909235" w:rsidR="00646759" w:rsidRDefault="00640523" w:rsidP="00561BD4">
      <w:pPr>
        <w:pStyle w:val="ListNumber"/>
        <w:numPr>
          <w:ilvl w:val="0"/>
          <w:numId w:val="16"/>
        </w:numPr>
      </w:pPr>
      <w:r w:rsidRPr="00640523">
        <w:t>online safety risks</w:t>
      </w:r>
    </w:p>
    <w:p w14:paraId="6B98EAA9" w14:textId="3F0911F8" w:rsidR="00640523" w:rsidRDefault="00640523" w:rsidP="00561BD4">
      <w:pPr>
        <w:pStyle w:val="ListNumber"/>
        <w:numPr>
          <w:ilvl w:val="0"/>
          <w:numId w:val="16"/>
        </w:numPr>
      </w:pPr>
      <w:r>
        <w:t>the rise of surveillance of young people in everyday settings, such as in classrooms</w:t>
      </w:r>
    </w:p>
    <w:p w14:paraId="3F8D2194" w14:textId="54D2D28F" w:rsidR="007F291C" w:rsidRDefault="007F291C" w:rsidP="00561BD4">
      <w:pPr>
        <w:pStyle w:val="ListNumber"/>
      </w:pPr>
      <w:r>
        <w:t>Inadequate privacy protections online also risk children’s right</w:t>
      </w:r>
      <w:r w:rsidR="00F73869">
        <w:t>s</w:t>
      </w:r>
      <w:r>
        <w:t xml:space="preserve"> to life, survival, and development (CRC </w:t>
      </w:r>
      <w:r w:rsidR="000B57E1">
        <w:t>art</w:t>
      </w:r>
      <w:r>
        <w:t xml:space="preserve"> 6), including but not limited to: </w:t>
      </w:r>
    </w:p>
    <w:p w14:paraId="244DFCE4" w14:textId="77777777" w:rsidR="007F291C" w:rsidRDefault="007F291C" w:rsidP="00561BD4">
      <w:pPr>
        <w:pStyle w:val="ListNumber"/>
        <w:numPr>
          <w:ilvl w:val="0"/>
          <w:numId w:val="19"/>
        </w:numPr>
      </w:pPr>
      <w:r w:rsidRPr="00A212AB">
        <w:t>exposure to online exploitation or abuse</w:t>
      </w:r>
      <w:r>
        <w:t xml:space="preserve">, </w:t>
      </w:r>
      <w:r w:rsidRPr="00A212AB">
        <w:t>harassment, and cyberbullying</w:t>
      </w:r>
    </w:p>
    <w:p w14:paraId="5EEB6D4D" w14:textId="77777777" w:rsidR="007F291C" w:rsidRDefault="007F291C" w:rsidP="00561BD4">
      <w:pPr>
        <w:pStyle w:val="ListNumber"/>
        <w:numPr>
          <w:ilvl w:val="0"/>
          <w:numId w:val="19"/>
        </w:numPr>
      </w:pPr>
      <w:r w:rsidRPr="00A212AB">
        <w:t>targeting by criminal entities</w:t>
      </w:r>
    </w:p>
    <w:p w14:paraId="08CCFED7" w14:textId="6BB625E1" w:rsidR="007F291C" w:rsidRDefault="007F291C" w:rsidP="00561BD4">
      <w:pPr>
        <w:pStyle w:val="ListNumber"/>
        <w:numPr>
          <w:ilvl w:val="0"/>
          <w:numId w:val="19"/>
        </w:numPr>
      </w:pPr>
      <w:r w:rsidRPr="00A212AB">
        <w:t>exposure to violent or sexual content</w:t>
      </w:r>
      <w:r w:rsidR="000B57E1">
        <w:t>.</w:t>
      </w:r>
      <w:r w:rsidRPr="00512702">
        <w:rPr>
          <w:sz w:val="22"/>
          <w:szCs w:val="22"/>
          <w:vertAlign w:val="superscript"/>
        </w:rPr>
        <w:endnoteReference w:id="115"/>
      </w:r>
      <w:r>
        <w:t xml:space="preserve"> </w:t>
      </w:r>
    </w:p>
    <w:p w14:paraId="3B5925BE" w14:textId="77777777" w:rsidR="007F291C" w:rsidRPr="00AD2140" w:rsidRDefault="007F291C" w:rsidP="00561BD4">
      <w:pPr>
        <w:pStyle w:val="ListNumber"/>
      </w:pPr>
      <w:r>
        <w:t>For example, early and frequent exposure to online pornography has been connected to a range of harms affecting children.</w:t>
      </w:r>
      <w:r w:rsidRPr="0029293B">
        <w:rPr>
          <w:rFonts w:ascii="Arial" w:hAnsi="Arial" w:cs="Arial"/>
          <w:color w:val="444444"/>
          <w:sz w:val="23"/>
          <w:szCs w:val="23"/>
          <w:shd w:val="clear" w:color="auto" w:fill="FFFFFF"/>
        </w:rPr>
        <w:t xml:space="preserve"> </w:t>
      </w:r>
      <w:r w:rsidRPr="0029293B">
        <w:t>Nearly half of children between the ages of 9</w:t>
      </w:r>
      <w:r>
        <w:t>–</w:t>
      </w:r>
      <w:r w:rsidRPr="0029293B">
        <w:t>16 experience regular exposure to sexual images</w:t>
      </w:r>
      <w:r>
        <w:t>.</w:t>
      </w:r>
      <w:r>
        <w:rPr>
          <w:rStyle w:val="EndnoteReference"/>
          <w:rFonts w:cs="Open Sans"/>
        </w:rPr>
        <w:endnoteReference w:id="116"/>
      </w:r>
      <w:r>
        <w:t xml:space="preserve"> Studies have found that ‘p</w:t>
      </w:r>
      <w:r w:rsidRPr="00AD2140">
        <w:t>ornography both contributes to and reinforces the kinds of social norms and attitudes</w:t>
      </w:r>
      <w:r>
        <w:t xml:space="preserve"> </w:t>
      </w:r>
      <w:r w:rsidRPr="00AD2140">
        <w:t>that have been identified as drivers of violence against women</w:t>
      </w:r>
      <w:r>
        <w:t>’,</w:t>
      </w:r>
      <w:r>
        <w:rPr>
          <w:rStyle w:val="EndnoteReference"/>
          <w:rFonts w:cs="Open Sans"/>
        </w:rPr>
        <w:endnoteReference w:id="117"/>
      </w:r>
      <w:r>
        <w:t xml:space="preserve"> and that viewing pornography is ‘</w:t>
      </w:r>
      <w:r w:rsidRPr="00B00D7F">
        <w:t>associated with unsafe sexual health practice</w:t>
      </w:r>
      <w:r>
        <w:t>’.</w:t>
      </w:r>
      <w:r>
        <w:rPr>
          <w:rStyle w:val="EndnoteReference"/>
          <w:rFonts w:cs="Open Sans"/>
        </w:rPr>
        <w:endnoteReference w:id="118"/>
      </w:r>
      <w:r>
        <w:t xml:space="preserve"> </w:t>
      </w:r>
    </w:p>
    <w:p w14:paraId="6609C73B" w14:textId="77777777" w:rsidR="007F291C" w:rsidRDefault="007F291C" w:rsidP="00561BD4">
      <w:pPr>
        <w:pStyle w:val="ListNumber"/>
      </w:pPr>
      <w:r>
        <w:t>Insufficient privacy protections for children also creates potential for discrimination through:</w:t>
      </w:r>
    </w:p>
    <w:p w14:paraId="202D2124" w14:textId="77777777" w:rsidR="007F291C" w:rsidRDefault="007F291C" w:rsidP="00561BD4">
      <w:pPr>
        <w:pStyle w:val="ListNumber"/>
        <w:numPr>
          <w:ilvl w:val="0"/>
          <w:numId w:val="22"/>
        </w:numPr>
      </w:pPr>
      <w:r w:rsidRPr="00A212AB">
        <w:t>exclusion from online services</w:t>
      </w:r>
    </w:p>
    <w:p w14:paraId="7E5D1B78" w14:textId="77777777" w:rsidR="007F291C" w:rsidRDefault="007F291C" w:rsidP="00561BD4">
      <w:pPr>
        <w:pStyle w:val="ListNumber"/>
        <w:numPr>
          <w:ilvl w:val="0"/>
          <w:numId w:val="22"/>
        </w:numPr>
      </w:pPr>
      <w:r w:rsidRPr="00A212AB">
        <w:t>subjection to profiling or targeting by AI systems on the basis of biased or unfairly obtained data</w:t>
      </w:r>
    </w:p>
    <w:p w14:paraId="54F3D00A" w14:textId="77777777" w:rsidR="007F291C" w:rsidRPr="00A212AB" w:rsidRDefault="007F291C" w:rsidP="00561BD4">
      <w:pPr>
        <w:pStyle w:val="ListNumber"/>
        <w:numPr>
          <w:ilvl w:val="0"/>
          <w:numId w:val="22"/>
        </w:numPr>
      </w:pPr>
      <w:r w:rsidRPr="00A212AB">
        <w:t>receipt of hateful content on online platforms</w:t>
      </w:r>
      <w:r>
        <w:t>.</w:t>
      </w:r>
      <w:r w:rsidRPr="00512702">
        <w:rPr>
          <w:sz w:val="22"/>
          <w:szCs w:val="22"/>
          <w:vertAlign w:val="superscript"/>
        </w:rPr>
        <w:endnoteReference w:id="119"/>
      </w:r>
      <w:r w:rsidRPr="00A212AB">
        <w:t xml:space="preserve"> </w:t>
      </w:r>
    </w:p>
    <w:p w14:paraId="2880FCCE" w14:textId="33BCFB62" w:rsidR="007F291C" w:rsidRDefault="007F291C" w:rsidP="00561BD4">
      <w:pPr>
        <w:pStyle w:val="ListNumber"/>
      </w:pPr>
      <w:r>
        <w:t>The Commission also reiterates the following additional risks:</w:t>
      </w:r>
    </w:p>
    <w:p w14:paraId="776F3742" w14:textId="77777777" w:rsidR="007F291C" w:rsidRPr="00A212AB" w:rsidRDefault="007F291C" w:rsidP="00561BD4">
      <w:pPr>
        <w:pStyle w:val="ListNumber"/>
        <w:numPr>
          <w:ilvl w:val="0"/>
          <w:numId w:val="23"/>
        </w:numPr>
      </w:pPr>
      <w:r w:rsidRPr="00A212AB">
        <w:t>Automated search and information filtering that ‘prioritise paid content with a commercial or political motivation’ and impinge upon children’s autonomy and right to access information.</w:t>
      </w:r>
      <w:r w:rsidRPr="00512702">
        <w:rPr>
          <w:sz w:val="22"/>
          <w:szCs w:val="22"/>
          <w:vertAlign w:val="superscript"/>
        </w:rPr>
        <w:endnoteReference w:id="120"/>
      </w:r>
    </w:p>
    <w:p w14:paraId="00A7E9AC" w14:textId="77777777" w:rsidR="007F291C" w:rsidRDefault="007F291C" w:rsidP="00561BD4">
      <w:pPr>
        <w:pStyle w:val="ListNumber"/>
        <w:numPr>
          <w:ilvl w:val="0"/>
          <w:numId w:val="23"/>
        </w:numPr>
      </w:pPr>
      <w:r w:rsidRPr="00A212AB">
        <w:rPr>
          <w:rFonts w:cs="Open Sans"/>
        </w:rPr>
        <w:lastRenderedPageBreak/>
        <w:t>Behavioural techniques designed to increase engagement with platforms, which ‘trigger impulsive behaviours, influence decision-making, spark fear of exclusion and override privacy concerns’.</w:t>
      </w:r>
      <w:r w:rsidRPr="00512702">
        <w:rPr>
          <w:sz w:val="22"/>
          <w:szCs w:val="22"/>
          <w:vertAlign w:val="superscript"/>
        </w:rPr>
        <w:endnoteReference w:id="121"/>
      </w:r>
    </w:p>
    <w:p w14:paraId="6F9CC4DD" w14:textId="77777777" w:rsidR="00486F0D" w:rsidRDefault="00486F0D" w:rsidP="00561BD4">
      <w:pPr>
        <w:pStyle w:val="ListNumber"/>
      </w:pPr>
      <w:r>
        <w:t>The rise of targeted marketing is well noted in the Review Report, and the Commission agrees with the observations made in the OAIC’s submission surrounding the negative impacts such advertising can have in increasing problems such as obesity, early alcohol consumption or smoking cigarettes or e-cigarettes.</w:t>
      </w:r>
      <w:r w:rsidRPr="002B7F0D">
        <w:rPr>
          <w:rStyle w:val="EndnoteReference"/>
        </w:rPr>
        <w:endnoteReference w:id="122"/>
      </w:r>
    </w:p>
    <w:p w14:paraId="6C3939AF" w14:textId="77777777" w:rsidR="00486F0D" w:rsidRDefault="00486F0D" w:rsidP="00561BD4">
      <w:pPr>
        <w:pStyle w:val="ListNumber"/>
      </w:pPr>
      <w:r>
        <w:t>Equally the OAIC’s concern that such marketing may modify psychological or mental health surrounding body image, sexualisation of children, entrenchment of gender stereotypes, stigmatisation of poverty and reduction in parents’ authority and influence is also supported by the Commission.</w:t>
      </w:r>
      <w:r>
        <w:rPr>
          <w:rStyle w:val="EndnoteReference"/>
        </w:rPr>
        <w:endnoteReference w:id="123"/>
      </w:r>
      <w:r>
        <w:t xml:space="preserve"> This is also true of the OAIC’s submission in respect of reputational risk.</w:t>
      </w:r>
      <w:r>
        <w:rPr>
          <w:rStyle w:val="EndnoteReference"/>
        </w:rPr>
        <w:endnoteReference w:id="124"/>
      </w:r>
    </w:p>
    <w:p w14:paraId="6A66E1E3" w14:textId="67A397DE" w:rsidR="00486F0D" w:rsidRDefault="00486F0D" w:rsidP="00561BD4">
      <w:pPr>
        <w:pStyle w:val="ListNumber"/>
      </w:pPr>
      <w:r>
        <w:t>However, the Commission emphasises the risk of surveillance more generally as threatening children’s right to privacy. For example, the Commission is deeply concerned by the rise of surveillance and information harvesting by educational technology (EdTech).</w:t>
      </w:r>
    </w:p>
    <w:p w14:paraId="5D7382AF" w14:textId="41AB262C" w:rsidR="000263A2" w:rsidRDefault="000263A2" w:rsidP="00561BD4">
      <w:pPr>
        <w:pStyle w:val="Heading2"/>
      </w:pPr>
      <w:bookmarkStart w:id="54" w:name="_Toc131585364"/>
      <w:r>
        <w:t>EdTech as a case study for the better protection of children</w:t>
      </w:r>
      <w:bookmarkEnd w:id="54"/>
    </w:p>
    <w:p w14:paraId="7F161C6B" w14:textId="07B93654" w:rsidR="001532E6" w:rsidRDefault="47A4E0DA" w:rsidP="00561BD4">
      <w:pPr>
        <w:pStyle w:val="ListNumber"/>
        <w:rPr>
          <w:rFonts w:cs="Open Sans"/>
        </w:rPr>
      </w:pPr>
      <w:r>
        <w:rPr>
          <w:rFonts w:cs="Open Sans"/>
        </w:rPr>
        <w:t xml:space="preserve">In 2022, Human Rights Watch published a global study of </w:t>
      </w:r>
      <w:r w:rsidR="4FC12E99">
        <w:rPr>
          <w:rFonts w:cs="Open Sans"/>
        </w:rPr>
        <w:t xml:space="preserve">the </w:t>
      </w:r>
      <w:r>
        <w:rPr>
          <w:rFonts w:cs="Open Sans"/>
        </w:rPr>
        <w:t>EdTech</w:t>
      </w:r>
      <w:r w:rsidR="4FC12E99">
        <w:rPr>
          <w:rFonts w:cs="Open Sans"/>
        </w:rPr>
        <w:t xml:space="preserve"> products</w:t>
      </w:r>
      <w:r>
        <w:rPr>
          <w:rFonts w:cs="Open Sans"/>
        </w:rPr>
        <w:t xml:space="preserve"> endorsed by governments during the Covid-19 pandemic.</w:t>
      </w:r>
      <w:r w:rsidR="00D81F8A">
        <w:rPr>
          <w:rStyle w:val="EndnoteReference"/>
          <w:rFonts w:cs="Open Sans"/>
        </w:rPr>
        <w:endnoteReference w:id="125"/>
      </w:r>
      <w:r>
        <w:rPr>
          <w:rFonts w:cs="Open Sans"/>
        </w:rPr>
        <w:t xml:space="preserve"> That study found</w:t>
      </w:r>
      <w:r w:rsidRPr="6D05706E">
        <w:rPr>
          <w:rFonts w:cs="Open Sans"/>
          <w:i/>
          <w:iCs/>
        </w:rPr>
        <w:t xml:space="preserve"> </w:t>
      </w:r>
      <w:r w:rsidRPr="00096F81">
        <w:rPr>
          <w:rFonts w:cs="Open Sans"/>
        </w:rPr>
        <w:t>that</w:t>
      </w:r>
      <w:r w:rsidRPr="6D05706E">
        <w:rPr>
          <w:rFonts w:cs="Open Sans"/>
          <w:i/>
          <w:iCs/>
        </w:rPr>
        <w:t xml:space="preserve"> </w:t>
      </w:r>
      <w:r>
        <w:rPr>
          <w:rFonts w:cs="Open Sans"/>
        </w:rPr>
        <w:t>endorsement of the majority of the 163 EdTech products reviewed</w:t>
      </w:r>
      <w:r w:rsidR="005535FF">
        <w:rPr>
          <w:rFonts w:cs="Open Sans"/>
        </w:rPr>
        <w:t>,</w:t>
      </w:r>
      <w:r>
        <w:rPr>
          <w:rFonts w:cs="Open Sans"/>
        </w:rPr>
        <w:t xml:space="preserve"> ‘put at risk </w:t>
      </w:r>
      <w:r w:rsidRPr="00767F8F">
        <w:rPr>
          <w:rFonts w:cs="Open Sans"/>
        </w:rPr>
        <w:t>or directly violate</w:t>
      </w:r>
      <w:r>
        <w:rPr>
          <w:rFonts w:cs="Open Sans"/>
        </w:rPr>
        <w:t>d children’s privacy and other children’s rights, for purposes unrelated to their education’</w:t>
      </w:r>
      <w:r w:rsidR="49E99991">
        <w:rPr>
          <w:rFonts w:cs="Open Sans"/>
        </w:rPr>
        <w:t>.</w:t>
      </w:r>
      <w:r w:rsidR="003651A9">
        <w:rPr>
          <w:rStyle w:val="EndnoteReference"/>
          <w:rFonts w:cs="Open Sans"/>
        </w:rPr>
        <w:endnoteReference w:id="126"/>
      </w:r>
      <w:r>
        <w:rPr>
          <w:rFonts w:cs="Open Sans"/>
        </w:rPr>
        <w:t xml:space="preserve"> </w:t>
      </w:r>
    </w:p>
    <w:p w14:paraId="1EF20EF8" w14:textId="7532CC90" w:rsidR="001532E6" w:rsidRDefault="35346933" w:rsidP="00561BD4">
      <w:pPr>
        <w:pStyle w:val="ListNumber"/>
        <w:rPr>
          <w:rFonts w:cs="Open Sans"/>
        </w:rPr>
      </w:pPr>
      <w:r>
        <w:t>EdTech rose to prominence during the COVID-19 pandemic as many schools were closed and classes were taught remotely</w:t>
      </w:r>
      <w:r w:rsidR="006B0396">
        <w:t>. D</w:t>
      </w:r>
      <w:r>
        <w:t>uring this time children’s use of EdTech apps increased by 90%.</w:t>
      </w:r>
      <w:r w:rsidR="001532E6">
        <w:rPr>
          <w:rStyle w:val="EndnoteReference"/>
        </w:rPr>
        <w:endnoteReference w:id="127"/>
      </w:r>
      <w:r>
        <w:t xml:space="preserve"> Unfortunately in the rapid </w:t>
      </w:r>
      <w:r w:rsidR="4FC12E99">
        <w:t>switch</w:t>
      </w:r>
      <w:r>
        <w:t xml:space="preserve"> to remote learning</w:t>
      </w:r>
      <w:r w:rsidR="4FC12E99">
        <w:t>,</w:t>
      </w:r>
      <w:r>
        <w:t xml:space="preserve"> many governments and schools failed to check if these </w:t>
      </w:r>
      <w:r w:rsidR="4FC12E99">
        <w:t>EdTech products</w:t>
      </w:r>
      <w:r>
        <w:t xml:space="preserve"> sufficiently protected children’s information.</w:t>
      </w:r>
      <w:r w:rsidR="001532E6">
        <w:rPr>
          <w:rStyle w:val="EndnoteReference"/>
        </w:rPr>
        <w:endnoteReference w:id="128"/>
      </w:r>
    </w:p>
    <w:p w14:paraId="1885B49B" w14:textId="6F0FBE4B" w:rsidR="001532E6" w:rsidRDefault="00492196" w:rsidP="00561BD4">
      <w:pPr>
        <w:pStyle w:val="ListNumber"/>
      </w:pPr>
      <w:r>
        <w:t>T</w:t>
      </w:r>
      <w:r w:rsidR="35346933">
        <w:t>he Commission notes that many EdTech platforms were already in prolific use in Australia before the pandemic, and that there has been growing concern regarding their impact on children for many years now.</w:t>
      </w:r>
      <w:r w:rsidR="001532E6">
        <w:rPr>
          <w:rStyle w:val="EndnoteReference"/>
          <w:rFonts w:cs="Open Sans"/>
        </w:rPr>
        <w:endnoteReference w:id="129"/>
      </w:r>
      <w:r w:rsidR="35346933">
        <w:t xml:space="preserve"> For example</w:t>
      </w:r>
      <w:r w:rsidR="00DB1000">
        <w:t>,</w:t>
      </w:r>
      <w:r w:rsidR="35346933">
        <w:t xml:space="preserve"> in 2019, Class Dojo was used in 95% of classrooms in the US and over 50% in Australia.</w:t>
      </w:r>
      <w:r w:rsidR="001532E6">
        <w:rPr>
          <w:rStyle w:val="EndnoteReference"/>
          <w:rFonts w:cs="Open Sans"/>
        </w:rPr>
        <w:endnoteReference w:id="130"/>
      </w:r>
      <w:r w:rsidR="35346933">
        <w:t xml:space="preserve"> </w:t>
      </w:r>
    </w:p>
    <w:p w14:paraId="4445B0BB" w14:textId="4ECEACB7" w:rsidR="00D81F8A" w:rsidRDefault="00772FCA" w:rsidP="00561BD4">
      <w:pPr>
        <w:pStyle w:val="ListNumber"/>
        <w:rPr>
          <w:rFonts w:cs="Open Sans"/>
        </w:rPr>
      </w:pPr>
      <w:r>
        <w:rPr>
          <w:rFonts w:cs="Open Sans"/>
        </w:rPr>
        <w:t>The Human Rights Watch study found that</w:t>
      </w:r>
      <w:r w:rsidR="36B26CEE">
        <w:rPr>
          <w:rFonts w:cs="Open Sans"/>
        </w:rPr>
        <w:t xml:space="preserve"> </w:t>
      </w:r>
      <w:r w:rsidR="47A4E0DA">
        <w:rPr>
          <w:rFonts w:cs="Open Sans"/>
        </w:rPr>
        <w:t>89% of the Ed Tech products</w:t>
      </w:r>
      <w:r w:rsidR="006E1B96">
        <w:rPr>
          <w:rFonts w:cs="Open Sans"/>
        </w:rPr>
        <w:t xml:space="preserve"> reviewed</w:t>
      </w:r>
      <w:r w:rsidR="47A4E0DA">
        <w:rPr>
          <w:rFonts w:cs="Open Sans"/>
        </w:rPr>
        <w:t xml:space="preserve"> appeared to engage in privacy-threatening or privacy-</w:t>
      </w:r>
      <w:r w:rsidR="47A4E0DA">
        <w:rPr>
          <w:rFonts w:cs="Open Sans"/>
        </w:rPr>
        <w:lastRenderedPageBreak/>
        <w:t>breaching data practices at a given point in time</w:t>
      </w:r>
      <w:r w:rsidR="70ADA862">
        <w:rPr>
          <w:rFonts w:cs="Open Sans"/>
        </w:rPr>
        <w:t>.</w:t>
      </w:r>
      <w:r w:rsidR="003651A9">
        <w:rPr>
          <w:rStyle w:val="EndnoteReference"/>
        </w:rPr>
        <w:endnoteReference w:id="131"/>
      </w:r>
      <w:r w:rsidR="70ADA862">
        <w:rPr>
          <w:rStyle w:val="EndnoteReference"/>
        </w:rPr>
        <w:t xml:space="preserve"> </w:t>
      </w:r>
      <w:r w:rsidR="70ADA862">
        <w:rPr>
          <w:rFonts w:cs="Open Sans"/>
        </w:rPr>
        <w:t xml:space="preserve">Such privacy </w:t>
      </w:r>
      <w:r w:rsidR="1CD6A859">
        <w:rPr>
          <w:rFonts w:cs="Open Sans"/>
        </w:rPr>
        <w:t>intrusions facilitated by</w:t>
      </w:r>
      <w:r w:rsidR="256E77DA">
        <w:rPr>
          <w:rFonts w:cs="Open Sans"/>
        </w:rPr>
        <w:t xml:space="preserve"> EdTech may</w:t>
      </w:r>
      <w:r w:rsidR="70ADA862">
        <w:rPr>
          <w:rFonts w:cs="Open Sans"/>
        </w:rPr>
        <w:t xml:space="preserve"> </w:t>
      </w:r>
      <w:r w:rsidR="47A4E0DA">
        <w:rPr>
          <w:rFonts w:cs="Open Sans"/>
        </w:rPr>
        <w:t>includ</w:t>
      </w:r>
      <w:r w:rsidR="256E77DA">
        <w:rPr>
          <w:rFonts w:cs="Open Sans"/>
        </w:rPr>
        <w:t>e</w:t>
      </w:r>
      <w:r w:rsidR="47A4E0DA">
        <w:rPr>
          <w:rFonts w:cs="Open Sans"/>
        </w:rPr>
        <w:t>:</w:t>
      </w:r>
    </w:p>
    <w:p w14:paraId="3C5C62B0" w14:textId="67B06E7A" w:rsidR="0031121F" w:rsidRDefault="0031121F" w:rsidP="00561BD4">
      <w:pPr>
        <w:pStyle w:val="ListNumber"/>
        <w:numPr>
          <w:ilvl w:val="0"/>
          <w:numId w:val="20"/>
        </w:numPr>
      </w:pPr>
      <w:r w:rsidRPr="00FE309F">
        <w:t>Tracking technologies</w:t>
      </w:r>
      <w:r>
        <w:t xml:space="preserve"> </w:t>
      </w:r>
      <w:r w:rsidR="00FE309F">
        <w:t xml:space="preserve">which </w:t>
      </w:r>
      <w:r>
        <w:t xml:space="preserve">trail children </w:t>
      </w:r>
      <w:r w:rsidR="00FE309F">
        <w:t>‘</w:t>
      </w:r>
      <w:r>
        <w:t>outside</w:t>
      </w:r>
      <w:r w:rsidR="00FE309F">
        <w:t>’</w:t>
      </w:r>
      <w:r>
        <w:t xml:space="preserve"> of their virtual classrooms and across the internet over time. </w:t>
      </w:r>
      <w:r w:rsidR="003859EF">
        <w:t xml:space="preserve">For </w:t>
      </w:r>
      <w:r w:rsidR="00DD786B">
        <w:t>example,</w:t>
      </w:r>
      <w:r w:rsidR="003859EF">
        <w:t xml:space="preserve"> where a child does homework via an EdTech program</w:t>
      </w:r>
      <w:r w:rsidR="0002773E">
        <w:t>,</w:t>
      </w:r>
      <w:r w:rsidR="003859EF">
        <w:t xml:space="preserve"> but </w:t>
      </w:r>
      <w:r w:rsidR="00DD49DF">
        <w:t>is led to</w:t>
      </w:r>
      <w:r w:rsidR="002C3735">
        <w:t xml:space="preserve"> click a link to another site</w:t>
      </w:r>
      <w:r w:rsidR="00DD49DF">
        <w:t xml:space="preserve"> where</w:t>
      </w:r>
      <w:r w:rsidR="002C3735">
        <w:t xml:space="preserve"> </w:t>
      </w:r>
      <w:r w:rsidR="00DD786B">
        <w:t xml:space="preserve">the harvesting of data </w:t>
      </w:r>
      <w:r w:rsidR="00CD5555">
        <w:t>will</w:t>
      </w:r>
      <w:r w:rsidR="00DD786B">
        <w:t xml:space="preserve"> continue.</w:t>
      </w:r>
      <w:r>
        <w:rPr>
          <w:rStyle w:val="EndnoteReference"/>
          <w:rFonts w:cs="Open Sans"/>
        </w:rPr>
        <w:endnoteReference w:id="132"/>
      </w:r>
      <w:r>
        <w:t xml:space="preserve"> </w:t>
      </w:r>
    </w:p>
    <w:p w14:paraId="582B1A5A" w14:textId="26CE40B6" w:rsidR="00DB7B4F" w:rsidRPr="00DB7B4F" w:rsidRDefault="003A3E0D" w:rsidP="00561BD4">
      <w:pPr>
        <w:pStyle w:val="ListNumber"/>
        <w:numPr>
          <w:ilvl w:val="0"/>
          <w:numId w:val="19"/>
        </w:numPr>
      </w:pPr>
      <w:r>
        <w:t>Granting access to children’s data to third party companies, such as advertising technology firms</w:t>
      </w:r>
      <w:r w:rsidR="00394B03">
        <w:t>,</w:t>
      </w:r>
      <w:r w:rsidR="0007476D">
        <w:rPr>
          <w:rStyle w:val="EndnoteReference"/>
          <w:rFonts w:cs="Open Sans"/>
        </w:rPr>
        <w:endnoteReference w:id="133"/>
      </w:r>
      <w:r w:rsidR="007E7C6D">
        <w:t xml:space="preserve"> is especially concerning as access to </w:t>
      </w:r>
      <w:r w:rsidR="0002773E">
        <w:t>small pieces of data can</w:t>
      </w:r>
      <w:r w:rsidR="00AD18D6">
        <w:t xml:space="preserve">, per the mosaic effect, </w:t>
      </w:r>
      <w:r w:rsidR="0007476D">
        <w:t>provide a detailed profile about a child.</w:t>
      </w:r>
      <w:r w:rsidR="002B37BC">
        <w:t xml:space="preserve"> This provides organisations with the ability to make informed decisions about a child’s personal characteristics and interests, pr</w:t>
      </w:r>
      <w:r w:rsidR="00AE4705">
        <w:t>edict</w:t>
      </w:r>
      <w:r w:rsidR="002B37BC">
        <w:t xml:space="preserve"> what a child might do next and how they might be influenced.</w:t>
      </w:r>
      <w:r w:rsidR="002B37BC">
        <w:rPr>
          <w:rStyle w:val="EndnoteReference"/>
          <w:rFonts w:cs="Open Sans"/>
        </w:rPr>
        <w:endnoteReference w:id="134"/>
      </w:r>
    </w:p>
    <w:p w14:paraId="51C23F8B" w14:textId="38A6F595" w:rsidR="00A52C1B" w:rsidRDefault="4C50D981" w:rsidP="00561BD4">
      <w:pPr>
        <w:pStyle w:val="ListNumber"/>
      </w:pPr>
      <w:r>
        <w:t xml:space="preserve">Perhaps most significantly, Human Rights Watch found a </w:t>
      </w:r>
      <w:r w:rsidRPr="005A5A2A">
        <w:t>lack of transparency on the part of governments and EdTech companies</w:t>
      </w:r>
      <w:r w:rsidR="4FE4AECB">
        <w:t xml:space="preserve"> as </w:t>
      </w:r>
      <w:r>
        <w:t>c</w:t>
      </w:r>
      <w:r w:rsidRPr="00621A7D">
        <w:t>hildren, parents, and teachers were</w:t>
      </w:r>
      <w:r w:rsidR="4FE4AECB">
        <w:t xml:space="preserve"> kept in the dark </w:t>
      </w:r>
      <w:r w:rsidR="6FF54349">
        <w:t xml:space="preserve">– unable to scrutinise </w:t>
      </w:r>
      <w:r w:rsidR="008A4F70">
        <w:t xml:space="preserve">properly </w:t>
      </w:r>
      <w:r w:rsidR="6FF54349">
        <w:t>the risk to children’s privacy</w:t>
      </w:r>
      <w:r w:rsidRPr="00621A7D">
        <w:t>.</w:t>
      </w:r>
      <w:r w:rsidR="002C402F">
        <w:rPr>
          <w:rStyle w:val="EndnoteReference"/>
        </w:rPr>
        <w:endnoteReference w:id="135"/>
      </w:r>
      <w:r w:rsidRPr="00621A7D">
        <w:t xml:space="preserve"> </w:t>
      </w:r>
    </w:p>
    <w:p w14:paraId="5D3202A0" w14:textId="3D2CD1EE" w:rsidR="00482CF8" w:rsidRDefault="00481183" w:rsidP="00561BD4">
      <w:pPr>
        <w:pStyle w:val="ListNumber"/>
      </w:pPr>
      <w:r>
        <w:t>Although there are benefits to utilising technologies in the educational settings, t</w:t>
      </w:r>
      <w:r w:rsidR="31F7BAFB" w:rsidRPr="00222F6A">
        <w:t xml:space="preserve">he Commission echoes concerns regarding a lack of transparency, and notes that consent forms </w:t>
      </w:r>
      <w:r w:rsidR="4BEE9453">
        <w:t>(</w:t>
      </w:r>
      <w:r w:rsidR="31F7BAFB" w:rsidRPr="00222F6A">
        <w:t>asking parents to agree to the collection of data by third party online providers</w:t>
      </w:r>
      <w:r w:rsidR="4BEE9453">
        <w:t>)</w:t>
      </w:r>
      <w:r w:rsidR="31F7BAFB" w:rsidRPr="00222F6A">
        <w:t xml:space="preserve"> appear to obfuscate </w:t>
      </w:r>
      <w:r w:rsidR="27D30DD4">
        <w:t>what data is collected</w:t>
      </w:r>
      <w:r w:rsidR="00CD5555">
        <w:t>,</w:t>
      </w:r>
      <w:r w:rsidR="27D30DD4">
        <w:t xml:space="preserve"> and how it is used</w:t>
      </w:r>
      <w:r w:rsidR="31F7BAFB" w:rsidRPr="00222F6A">
        <w:t>.</w:t>
      </w:r>
      <w:r w:rsidR="0B8364F6">
        <w:t xml:space="preserve"> Often </w:t>
      </w:r>
      <w:r w:rsidR="3F26B37F">
        <w:t xml:space="preserve">such forms reference </w:t>
      </w:r>
      <w:r w:rsidR="3F26B37F" w:rsidRPr="00D73B8D">
        <w:t>privacy policies</w:t>
      </w:r>
      <w:r w:rsidR="00CD5555">
        <w:t xml:space="preserve"> which</w:t>
      </w:r>
      <w:r w:rsidR="3F26B37F" w:rsidRPr="00D73B8D">
        <w:t xml:space="preserve"> can be hundreds of pages long and impenetrable to the average person</w:t>
      </w:r>
      <w:r w:rsidR="00CD5555">
        <w:t xml:space="preserve"> –</w:t>
      </w:r>
      <w:r w:rsidR="3F26B37F" w:rsidRPr="00D73B8D">
        <w:t xml:space="preserve"> or even the average lawyer.</w:t>
      </w:r>
      <w:r w:rsidR="009B33D9" w:rsidRPr="00D73B8D">
        <w:rPr>
          <w:rStyle w:val="EndnoteReference"/>
          <w:rFonts w:cs="Open Sans"/>
        </w:rPr>
        <w:endnoteReference w:id="136"/>
      </w:r>
    </w:p>
    <w:p w14:paraId="55D3941D" w14:textId="28692F83" w:rsidR="00F25D9F" w:rsidRDefault="00F25D9F" w:rsidP="00561BD4">
      <w:pPr>
        <w:pStyle w:val="ListNumber"/>
      </w:pPr>
      <w:r>
        <w:t>EdTech is one example of the unique privacy risks facing children, and has been used for illustrative purposes. This is not indicative of the relative importance of the particular example in comparison to other issues. Rather, it reflects the Commission’s relevant expertise in certain areas, and current capacity. There are also myriad other risks.</w:t>
      </w:r>
    </w:p>
    <w:p w14:paraId="483A15E1" w14:textId="479E9A29" w:rsidR="00486F0D" w:rsidRDefault="00486F0D" w:rsidP="00561BD4">
      <w:pPr>
        <w:pStyle w:val="ListNumber"/>
      </w:pPr>
      <w:r>
        <w:t>While the Commission separately notes the urgent need for a comprehensive response by Federal and State and Territory governments to privacy concerns in respect of EdTech, the Commission views the inclusion of a definition of a ‘child’ as a necessary first step in recognising and appropriately responding to the increased risks young people face when online privacy protections are not in place.</w:t>
      </w:r>
    </w:p>
    <w:p w14:paraId="687869BE" w14:textId="77777777" w:rsidR="00927571" w:rsidRDefault="00927571" w:rsidP="00561BD4">
      <w:pPr>
        <w:pStyle w:val="ListNumber"/>
        <w:numPr>
          <w:ilvl w:val="0"/>
          <w:numId w:val="0"/>
        </w:numPr>
        <w:ind w:left="360"/>
      </w:pPr>
    </w:p>
    <w:p w14:paraId="13A4E5A4" w14:textId="2B37F766" w:rsidR="0069312B" w:rsidRPr="00927571" w:rsidRDefault="0069312B" w:rsidP="00561BD4">
      <w:pPr>
        <w:pStyle w:val="ListNumber"/>
        <w:numPr>
          <w:ilvl w:val="0"/>
          <w:numId w:val="0"/>
        </w:numPr>
        <w:ind w:left="360"/>
        <w:rPr>
          <w:b/>
          <w:bCs/>
        </w:rPr>
      </w:pPr>
      <w:r w:rsidRPr="00927571">
        <w:rPr>
          <w:b/>
          <w:bCs/>
        </w:rPr>
        <w:t xml:space="preserve">Recommendation </w:t>
      </w:r>
      <w:r w:rsidR="005E1320">
        <w:rPr>
          <w:b/>
          <w:bCs/>
        </w:rPr>
        <w:t>1</w:t>
      </w:r>
      <w:r w:rsidR="00EB6113">
        <w:rPr>
          <w:b/>
          <w:bCs/>
        </w:rPr>
        <w:t>2</w:t>
      </w:r>
      <w:r w:rsidRPr="00927571">
        <w:rPr>
          <w:b/>
          <w:bCs/>
        </w:rPr>
        <w:t>: A child be defined as an individual who has not reached 18 years of age.</w:t>
      </w:r>
    </w:p>
    <w:p w14:paraId="4B0C658C" w14:textId="77777777" w:rsidR="00927571" w:rsidRDefault="00927571" w:rsidP="00561BD4">
      <w:pPr>
        <w:pStyle w:val="ListNumber"/>
        <w:numPr>
          <w:ilvl w:val="0"/>
          <w:numId w:val="0"/>
        </w:numPr>
        <w:ind w:left="360" w:hanging="360"/>
      </w:pPr>
    </w:p>
    <w:p w14:paraId="2EEB6411" w14:textId="1AF3DB99" w:rsidR="00577925" w:rsidRDefault="003036FB" w:rsidP="00561BD4">
      <w:pPr>
        <w:pStyle w:val="Heading1"/>
      </w:pPr>
      <w:bookmarkStart w:id="55" w:name="_Toc131585365"/>
      <w:r>
        <w:lastRenderedPageBreak/>
        <w:t>Paragraph one</w:t>
      </w:r>
      <w:r w:rsidR="00FE0329">
        <w:t xml:space="preserve"> of </w:t>
      </w:r>
      <w:r w:rsidR="00577925">
        <w:t>Proposal 16.2</w:t>
      </w:r>
      <w:bookmarkEnd w:id="55"/>
    </w:p>
    <w:p w14:paraId="6800A9A2" w14:textId="2645AF43" w:rsidR="007B49A3" w:rsidRPr="007B49A3" w:rsidRDefault="007B49A3" w:rsidP="00561BD4">
      <w:pPr>
        <w:pStyle w:val="ListNumber"/>
        <w:numPr>
          <w:ilvl w:val="0"/>
          <w:numId w:val="0"/>
        </w:numPr>
        <w:ind w:left="360"/>
        <w:rPr>
          <w:rFonts w:eastAsia="Open Sans" w:cs="Open Sans"/>
          <w:i/>
          <w:iCs/>
          <w:color w:val="000000" w:themeColor="text1"/>
        </w:rPr>
      </w:pPr>
      <w:r w:rsidRPr="007B49A3">
        <w:rPr>
          <w:i/>
          <w:iCs/>
        </w:rPr>
        <w:t xml:space="preserve">Existing OAIC guidance on children and young people and capacity should continue to be relied upon by APP entities. An entity must decide if an individual under the age of 18 has the capacity to consent on a case-by-case basis. If that is not practical, an entity may assume an individual over the age of 15 has capacity, unless there is something to suggest otherwise. </w:t>
      </w:r>
    </w:p>
    <w:p w14:paraId="0A3BDECF" w14:textId="4027C65F" w:rsidR="008876D0" w:rsidRDefault="7D8B5D9A" w:rsidP="00561BD4">
      <w:pPr>
        <w:pStyle w:val="ListNumber"/>
        <w:rPr>
          <w:rStyle w:val="eop"/>
          <w:rFonts w:eastAsia="Open Sans" w:cs="Open Sans"/>
          <w:color w:val="000000" w:themeColor="text1"/>
        </w:rPr>
      </w:pPr>
      <w:r w:rsidRPr="008876D0">
        <w:rPr>
          <w:rStyle w:val="normaltextrun"/>
          <w:rFonts w:eastAsia="Open Sans" w:cs="Open Sans"/>
          <w:color w:val="000000" w:themeColor="text1"/>
        </w:rPr>
        <w:t xml:space="preserve">As </w:t>
      </w:r>
      <w:r w:rsidR="72E5C7F5" w:rsidRPr="008876D0">
        <w:rPr>
          <w:rStyle w:val="normaltextrun"/>
          <w:rFonts w:eastAsia="Open Sans" w:cs="Open Sans"/>
          <w:color w:val="000000" w:themeColor="text1"/>
        </w:rPr>
        <w:t>discussed</w:t>
      </w:r>
      <w:r w:rsidR="008876D0" w:rsidRPr="008876D0">
        <w:rPr>
          <w:rStyle w:val="normaltextrun"/>
          <w:rFonts w:eastAsia="Open Sans" w:cs="Open Sans"/>
          <w:color w:val="000000" w:themeColor="text1"/>
        </w:rPr>
        <w:t xml:space="preserve"> throughout this submission</w:t>
      </w:r>
      <w:r w:rsidR="72E5C7F5" w:rsidRPr="008876D0">
        <w:rPr>
          <w:rStyle w:val="normaltextrun"/>
          <w:rFonts w:eastAsia="Open Sans" w:cs="Open Sans"/>
          <w:color w:val="000000" w:themeColor="text1"/>
        </w:rPr>
        <w:t>,</w:t>
      </w:r>
      <w:r w:rsidRPr="008876D0">
        <w:rPr>
          <w:rStyle w:val="normaltextrun"/>
          <w:rFonts w:eastAsia="Open Sans" w:cs="Open Sans"/>
          <w:color w:val="000000" w:themeColor="text1"/>
        </w:rPr>
        <w:t xml:space="preserve"> the </w:t>
      </w:r>
      <w:r w:rsidR="23F1D84A" w:rsidRPr="008876D0">
        <w:rPr>
          <w:rStyle w:val="normaltextrun"/>
          <w:rFonts w:eastAsia="Open Sans" w:cs="Open Sans"/>
          <w:color w:val="000000" w:themeColor="text1"/>
        </w:rPr>
        <w:t xml:space="preserve">online environment allows for both opportunities and risks </w:t>
      </w:r>
      <w:r w:rsidR="004C0D70">
        <w:rPr>
          <w:rStyle w:val="normaltextrun"/>
          <w:rFonts w:eastAsia="Open Sans" w:cs="Open Sans"/>
          <w:color w:val="000000" w:themeColor="text1"/>
        </w:rPr>
        <w:t>with respect to</w:t>
      </w:r>
      <w:r w:rsidR="004C0D70" w:rsidRPr="008876D0">
        <w:rPr>
          <w:rStyle w:val="normaltextrun"/>
          <w:rFonts w:eastAsia="Open Sans" w:cs="Open Sans"/>
          <w:color w:val="000000" w:themeColor="text1"/>
        </w:rPr>
        <w:t xml:space="preserve"> </w:t>
      </w:r>
      <w:r w:rsidR="23F1D84A" w:rsidRPr="008876D0">
        <w:rPr>
          <w:rStyle w:val="normaltextrun"/>
          <w:rFonts w:eastAsia="Open Sans" w:cs="Open Sans"/>
          <w:color w:val="000000" w:themeColor="text1"/>
        </w:rPr>
        <w:t>children</w:t>
      </w:r>
      <w:r w:rsidR="004C0D70">
        <w:rPr>
          <w:rStyle w:val="normaltextrun"/>
          <w:rFonts w:eastAsia="Open Sans" w:cs="Open Sans"/>
          <w:color w:val="000000" w:themeColor="text1"/>
        </w:rPr>
        <w:t xml:space="preserve"> and their human rights</w:t>
      </w:r>
      <w:r w:rsidR="23F1D84A" w:rsidRPr="008876D0">
        <w:rPr>
          <w:rStyle w:val="normaltextrun"/>
          <w:rFonts w:eastAsia="Open Sans" w:cs="Open Sans"/>
          <w:color w:val="000000" w:themeColor="text1"/>
        </w:rPr>
        <w:t xml:space="preserve">. </w:t>
      </w:r>
      <w:r w:rsidR="04B0FBB8" w:rsidRPr="008876D0">
        <w:rPr>
          <w:rStyle w:val="eop"/>
          <w:rFonts w:eastAsia="Open Sans" w:cs="Open Sans"/>
          <w:color w:val="000000" w:themeColor="text1"/>
        </w:rPr>
        <w:t>The Commission understands that what is age</w:t>
      </w:r>
      <w:r w:rsidR="004974F6">
        <w:rPr>
          <w:rStyle w:val="eop"/>
          <w:rFonts w:eastAsia="Open Sans" w:cs="Open Sans"/>
          <w:color w:val="000000" w:themeColor="text1"/>
        </w:rPr>
        <w:t>-</w:t>
      </w:r>
      <w:r w:rsidR="04B0FBB8" w:rsidRPr="008876D0">
        <w:rPr>
          <w:rStyle w:val="eop"/>
          <w:rFonts w:eastAsia="Open Sans" w:cs="Open Sans"/>
          <w:color w:val="000000" w:themeColor="text1"/>
        </w:rPr>
        <w:t xml:space="preserve">appropriate depends on a range of factors, </w:t>
      </w:r>
      <w:r w:rsidR="1B967C7D" w:rsidRPr="008876D0">
        <w:rPr>
          <w:rStyle w:val="eop"/>
          <w:rFonts w:eastAsia="Open Sans" w:cs="Open Sans"/>
          <w:color w:val="000000" w:themeColor="text1"/>
        </w:rPr>
        <w:t xml:space="preserve">as </w:t>
      </w:r>
      <w:r w:rsidR="04B0FBB8" w:rsidRPr="008876D0">
        <w:rPr>
          <w:rStyle w:val="eop"/>
          <w:rFonts w:eastAsia="Open Sans" w:cs="Open Sans"/>
          <w:color w:val="000000" w:themeColor="text1"/>
        </w:rPr>
        <w:t xml:space="preserve">children vary </w:t>
      </w:r>
      <w:r w:rsidR="00C7149E">
        <w:rPr>
          <w:rStyle w:val="eop"/>
          <w:rFonts w:eastAsia="Open Sans" w:cs="Open Sans"/>
          <w:color w:val="000000" w:themeColor="text1"/>
        </w:rPr>
        <w:t>greatly</w:t>
      </w:r>
      <w:r w:rsidR="04B0FBB8" w:rsidRPr="008876D0">
        <w:rPr>
          <w:rStyle w:val="eop"/>
          <w:rFonts w:eastAsia="Open Sans" w:cs="Open Sans"/>
          <w:color w:val="000000" w:themeColor="text1"/>
        </w:rPr>
        <w:t xml:space="preserve"> in their physical, intellectual, social and emotional </w:t>
      </w:r>
      <w:r w:rsidR="00C7149E">
        <w:rPr>
          <w:rStyle w:val="eop"/>
          <w:rFonts w:eastAsia="Open Sans" w:cs="Open Sans"/>
          <w:color w:val="000000" w:themeColor="text1"/>
        </w:rPr>
        <w:t>abilities</w:t>
      </w:r>
      <w:r w:rsidR="04B0FBB8" w:rsidRPr="008876D0">
        <w:rPr>
          <w:rStyle w:val="eop"/>
          <w:rFonts w:eastAsia="Open Sans" w:cs="Open Sans"/>
          <w:color w:val="000000" w:themeColor="text1"/>
        </w:rPr>
        <w:t xml:space="preserve">. </w:t>
      </w:r>
    </w:p>
    <w:p w14:paraId="1063CA1F" w14:textId="4C87511C" w:rsidR="2F469A42" w:rsidRDefault="04B0FBB8" w:rsidP="00561BD4">
      <w:pPr>
        <w:pStyle w:val="ListNumber"/>
        <w:rPr>
          <w:rStyle w:val="eop"/>
          <w:rFonts w:eastAsia="Open Sans" w:cs="Open Sans"/>
          <w:color w:val="000000" w:themeColor="text1"/>
        </w:rPr>
      </w:pPr>
      <w:r w:rsidRPr="008876D0">
        <w:rPr>
          <w:rStyle w:val="eop"/>
          <w:rFonts w:eastAsia="Open Sans" w:cs="Open Sans"/>
          <w:color w:val="000000" w:themeColor="text1"/>
        </w:rPr>
        <w:t xml:space="preserve">The Special Rapporteur also urges </w:t>
      </w:r>
      <w:r w:rsidR="0C0C8006" w:rsidRPr="008876D0">
        <w:rPr>
          <w:rStyle w:val="eop"/>
          <w:rFonts w:eastAsia="Open Sans" w:cs="Open Sans"/>
          <w:color w:val="000000" w:themeColor="text1"/>
        </w:rPr>
        <w:t>state parties</w:t>
      </w:r>
      <w:r w:rsidRPr="008876D0">
        <w:rPr>
          <w:rStyle w:val="eop"/>
          <w:rFonts w:eastAsia="Open Sans" w:cs="Open Sans"/>
          <w:color w:val="000000" w:themeColor="text1"/>
        </w:rPr>
        <w:t xml:space="preserve"> to ‘adopt age-appropriate standards as regulatory instrument only with the greatest of caution when no better means exist’</w:t>
      </w:r>
      <w:r w:rsidR="000267DD" w:rsidRPr="008876D0">
        <w:rPr>
          <w:rStyle w:val="eop"/>
          <w:rFonts w:eastAsia="Open Sans" w:cs="Open Sans"/>
          <w:color w:val="000000" w:themeColor="text1"/>
        </w:rPr>
        <w:t>.</w:t>
      </w:r>
      <w:r w:rsidR="2F469A42" w:rsidRPr="6D05706E">
        <w:rPr>
          <w:rStyle w:val="EndnoteReference"/>
          <w:rFonts w:eastAsia="Open Sans" w:cs="Open Sans"/>
          <w:color w:val="000000" w:themeColor="text1"/>
          <w:sz w:val="24"/>
        </w:rPr>
        <w:endnoteReference w:id="137"/>
      </w:r>
      <w:r w:rsidRPr="008876D0">
        <w:rPr>
          <w:rStyle w:val="eop"/>
          <w:rFonts w:eastAsia="Open Sans" w:cs="Open Sans"/>
          <w:color w:val="000000" w:themeColor="text1"/>
        </w:rPr>
        <w:t xml:space="preserve"> It should be acknowledged that material deemed ‘age-appropriate’ can still cause harm and pose inequalities for children with differing </w:t>
      </w:r>
      <w:r w:rsidR="00EE29FA">
        <w:rPr>
          <w:rStyle w:val="eop"/>
          <w:rFonts w:eastAsia="Open Sans" w:cs="Open Sans"/>
          <w:color w:val="000000" w:themeColor="text1"/>
        </w:rPr>
        <w:t xml:space="preserve">maturity and </w:t>
      </w:r>
      <w:r w:rsidRPr="008876D0">
        <w:rPr>
          <w:rStyle w:val="eop"/>
          <w:rFonts w:eastAsia="Open Sans" w:cs="Open Sans"/>
          <w:color w:val="000000" w:themeColor="text1"/>
        </w:rPr>
        <w:t>capacities</w:t>
      </w:r>
      <w:r w:rsidR="000267DD" w:rsidRPr="008876D0">
        <w:rPr>
          <w:rStyle w:val="eop"/>
          <w:rFonts w:eastAsia="Open Sans" w:cs="Open Sans"/>
          <w:color w:val="000000" w:themeColor="text1"/>
        </w:rPr>
        <w:t>.</w:t>
      </w:r>
      <w:r w:rsidR="2F469A42" w:rsidRPr="6D05706E">
        <w:rPr>
          <w:rStyle w:val="EndnoteReference"/>
          <w:rFonts w:eastAsia="Open Sans" w:cs="Open Sans"/>
          <w:color w:val="000000" w:themeColor="text1"/>
          <w:sz w:val="24"/>
        </w:rPr>
        <w:endnoteReference w:id="138"/>
      </w:r>
      <w:r w:rsidR="000267DD" w:rsidRPr="008876D0">
        <w:rPr>
          <w:rStyle w:val="eop"/>
          <w:rFonts w:eastAsia="Open Sans" w:cs="Open Sans"/>
          <w:color w:val="000000" w:themeColor="text1"/>
        </w:rPr>
        <w:t xml:space="preserve"> </w:t>
      </w:r>
    </w:p>
    <w:p w14:paraId="16AA02C5" w14:textId="77777777" w:rsidR="006638A7" w:rsidRDefault="008876D0" w:rsidP="00561BD4">
      <w:pPr>
        <w:pStyle w:val="ListNumber"/>
        <w:rPr>
          <w:rStyle w:val="eop"/>
          <w:rFonts w:eastAsia="Open Sans" w:cs="Open Sans"/>
          <w:color w:val="000000" w:themeColor="text1"/>
        </w:rPr>
      </w:pPr>
      <w:r w:rsidRPr="006638A7">
        <w:rPr>
          <w:rStyle w:val="eop"/>
          <w:rFonts w:eastAsia="Open Sans" w:cs="Open Sans"/>
          <w:color w:val="000000" w:themeColor="text1"/>
        </w:rPr>
        <w:t xml:space="preserve">The Commission </w:t>
      </w:r>
      <w:r w:rsidR="00B422E6" w:rsidRPr="006638A7">
        <w:rPr>
          <w:rStyle w:val="eop"/>
          <w:rFonts w:eastAsia="Open Sans" w:cs="Open Sans"/>
          <w:color w:val="000000" w:themeColor="text1"/>
        </w:rPr>
        <w:t xml:space="preserve">has reservations about </w:t>
      </w:r>
      <w:r w:rsidR="00E81E5B" w:rsidRPr="006638A7">
        <w:rPr>
          <w:rStyle w:val="eop"/>
          <w:rFonts w:eastAsia="Open Sans" w:cs="Open Sans"/>
          <w:color w:val="000000" w:themeColor="text1"/>
        </w:rPr>
        <w:t>the existing approach within the APP Guidelines</w:t>
      </w:r>
      <w:r w:rsidR="00361982" w:rsidRPr="006638A7">
        <w:rPr>
          <w:rStyle w:val="eop"/>
          <w:rFonts w:eastAsia="Open Sans" w:cs="Open Sans"/>
          <w:color w:val="000000" w:themeColor="text1"/>
        </w:rPr>
        <w:t xml:space="preserve"> that </w:t>
      </w:r>
      <w:r w:rsidR="00B23CF5" w:rsidRPr="006638A7">
        <w:rPr>
          <w:rStyle w:val="eop"/>
          <w:rFonts w:eastAsia="Open Sans" w:cs="Open Sans"/>
          <w:color w:val="000000" w:themeColor="text1"/>
        </w:rPr>
        <w:t>where it is not practicable or reasonable to assess the capacity of an individual under 18 on a case-by-case basis,</w:t>
      </w:r>
      <w:r w:rsidR="006638A7" w:rsidRPr="006638A7">
        <w:rPr>
          <w:rStyle w:val="eop"/>
          <w:rFonts w:eastAsia="Open Sans" w:cs="Open Sans"/>
          <w:color w:val="000000" w:themeColor="text1"/>
        </w:rPr>
        <w:t xml:space="preserve"> an APP entity may</w:t>
      </w:r>
      <w:r w:rsidR="00361982" w:rsidRPr="006638A7">
        <w:rPr>
          <w:rStyle w:val="eop"/>
          <w:rFonts w:eastAsia="Open Sans" w:cs="Open Sans"/>
          <w:color w:val="000000" w:themeColor="text1"/>
        </w:rPr>
        <w:t xml:space="preserve"> presume</w:t>
      </w:r>
      <w:r w:rsidR="00B422E6" w:rsidRPr="006638A7">
        <w:rPr>
          <w:rStyle w:val="eop"/>
          <w:rFonts w:eastAsia="Open Sans" w:cs="Open Sans"/>
          <w:color w:val="000000" w:themeColor="text1"/>
        </w:rPr>
        <w:t xml:space="preserve"> that </w:t>
      </w:r>
      <w:r w:rsidR="00845737" w:rsidRPr="006638A7">
        <w:rPr>
          <w:rStyle w:val="eop"/>
          <w:rFonts w:eastAsia="Open Sans" w:cs="Open Sans"/>
          <w:color w:val="000000" w:themeColor="text1"/>
        </w:rPr>
        <w:t xml:space="preserve">young people aged between 15 and 18 have capacity to consent (provided there is no evidence to suggest otherwise). </w:t>
      </w:r>
    </w:p>
    <w:p w14:paraId="23D8E87D" w14:textId="0B0695B5" w:rsidR="00854383" w:rsidRPr="006638A7" w:rsidRDefault="00FD2BF8" w:rsidP="00561BD4">
      <w:pPr>
        <w:pStyle w:val="ListNumber"/>
        <w:rPr>
          <w:rStyle w:val="eop"/>
          <w:rFonts w:eastAsia="Open Sans" w:cs="Open Sans"/>
          <w:color w:val="000000" w:themeColor="text1"/>
        </w:rPr>
      </w:pPr>
      <w:r w:rsidRPr="006638A7">
        <w:rPr>
          <w:rStyle w:val="eop"/>
          <w:rFonts w:eastAsia="Open Sans" w:cs="Open Sans"/>
          <w:color w:val="000000" w:themeColor="text1"/>
        </w:rPr>
        <w:t xml:space="preserve">Such an approach places an onus on entities to consider any information </w:t>
      </w:r>
      <w:r w:rsidR="003A3615" w:rsidRPr="006638A7">
        <w:rPr>
          <w:rStyle w:val="eop"/>
          <w:rFonts w:eastAsia="Open Sans" w:cs="Open Sans"/>
          <w:color w:val="000000" w:themeColor="text1"/>
        </w:rPr>
        <w:t xml:space="preserve">regarding </w:t>
      </w:r>
      <w:r w:rsidRPr="006638A7">
        <w:rPr>
          <w:rStyle w:val="eop"/>
          <w:rFonts w:eastAsia="Open Sans" w:cs="Open Sans"/>
          <w:color w:val="000000" w:themeColor="text1"/>
        </w:rPr>
        <w:t xml:space="preserve">a young person which </w:t>
      </w:r>
      <w:r w:rsidR="004D6082" w:rsidRPr="006638A7">
        <w:rPr>
          <w:rStyle w:val="eop"/>
          <w:rFonts w:eastAsia="Open Sans" w:cs="Open Sans"/>
          <w:color w:val="000000" w:themeColor="text1"/>
        </w:rPr>
        <w:t>demonstrates</w:t>
      </w:r>
      <w:r w:rsidRPr="006638A7">
        <w:rPr>
          <w:rStyle w:val="eop"/>
          <w:rFonts w:eastAsia="Open Sans" w:cs="Open Sans"/>
          <w:color w:val="000000" w:themeColor="text1"/>
        </w:rPr>
        <w:t xml:space="preserve"> they do not have </w:t>
      </w:r>
      <w:r w:rsidR="00FC14A9" w:rsidRPr="006638A7">
        <w:rPr>
          <w:rStyle w:val="eop"/>
          <w:rFonts w:eastAsia="Open Sans" w:cs="Open Sans"/>
          <w:color w:val="000000" w:themeColor="text1"/>
        </w:rPr>
        <w:t xml:space="preserve">that </w:t>
      </w:r>
      <w:r w:rsidRPr="006638A7">
        <w:rPr>
          <w:rStyle w:val="eop"/>
          <w:rFonts w:eastAsia="Open Sans" w:cs="Open Sans"/>
          <w:color w:val="000000" w:themeColor="text1"/>
        </w:rPr>
        <w:t xml:space="preserve">capacity. </w:t>
      </w:r>
      <w:r w:rsidR="002E646B" w:rsidRPr="006638A7">
        <w:rPr>
          <w:rStyle w:val="eop"/>
          <w:rFonts w:eastAsia="Open Sans" w:cs="Open Sans"/>
          <w:color w:val="000000" w:themeColor="text1"/>
        </w:rPr>
        <w:t>Although entities operate in data rich environments</w:t>
      </w:r>
      <w:r w:rsidR="004D6082" w:rsidRPr="006638A7">
        <w:rPr>
          <w:rStyle w:val="eop"/>
          <w:rFonts w:eastAsia="Open Sans" w:cs="Open Sans"/>
          <w:color w:val="000000" w:themeColor="text1"/>
        </w:rPr>
        <w:t>,</w:t>
      </w:r>
      <w:r w:rsidR="002E646B" w:rsidRPr="006638A7">
        <w:rPr>
          <w:rStyle w:val="eop"/>
          <w:rFonts w:eastAsia="Open Sans" w:cs="Open Sans"/>
          <w:color w:val="000000" w:themeColor="text1"/>
        </w:rPr>
        <w:t xml:space="preserve"> the Commission remains concerned that this approach may incentivise </w:t>
      </w:r>
      <w:r w:rsidR="002B3C43" w:rsidRPr="006638A7">
        <w:rPr>
          <w:rStyle w:val="eop"/>
          <w:rFonts w:eastAsia="Open Sans" w:cs="Open Sans"/>
          <w:color w:val="000000" w:themeColor="text1"/>
        </w:rPr>
        <w:t>entities</w:t>
      </w:r>
      <w:r w:rsidR="002E646B" w:rsidRPr="006638A7">
        <w:rPr>
          <w:rStyle w:val="eop"/>
          <w:rFonts w:eastAsia="Open Sans" w:cs="Open Sans"/>
          <w:color w:val="000000" w:themeColor="text1"/>
        </w:rPr>
        <w:t xml:space="preserve"> to not look for contradictory evidence – allowing them to assume </w:t>
      </w:r>
      <w:r w:rsidR="002B3C43" w:rsidRPr="006638A7">
        <w:rPr>
          <w:rStyle w:val="eop"/>
          <w:rFonts w:eastAsia="Open Sans" w:cs="Open Sans"/>
          <w:color w:val="000000" w:themeColor="text1"/>
        </w:rPr>
        <w:t xml:space="preserve">a person </w:t>
      </w:r>
      <w:r w:rsidR="00FC14A9" w:rsidRPr="006638A7">
        <w:rPr>
          <w:rStyle w:val="eop"/>
          <w:rFonts w:eastAsia="Open Sans" w:cs="Open Sans"/>
          <w:color w:val="000000" w:themeColor="text1"/>
        </w:rPr>
        <w:t xml:space="preserve">aged </w:t>
      </w:r>
      <w:r w:rsidR="002B3C43" w:rsidRPr="006638A7">
        <w:rPr>
          <w:rStyle w:val="eop"/>
          <w:rFonts w:eastAsia="Open Sans" w:cs="Open Sans"/>
          <w:color w:val="000000" w:themeColor="text1"/>
        </w:rPr>
        <w:t>between 15 and 18 has capacity</w:t>
      </w:r>
      <w:r w:rsidR="00A0716C" w:rsidRPr="006638A7">
        <w:rPr>
          <w:rStyle w:val="eop"/>
          <w:rFonts w:eastAsia="Open Sans" w:cs="Open Sans"/>
          <w:color w:val="000000" w:themeColor="text1"/>
        </w:rPr>
        <w:t xml:space="preserve"> for informed consent</w:t>
      </w:r>
      <w:r w:rsidR="002B3C43" w:rsidRPr="006638A7">
        <w:rPr>
          <w:rStyle w:val="eop"/>
          <w:rFonts w:eastAsia="Open Sans" w:cs="Open Sans"/>
          <w:color w:val="000000" w:themeColor="text1"/>
        </w:rPr>
        <w:t xml:space="preserve">. </w:t>
      </w:r>
    </w:p>
    <w:p w14:paraId="54059761" w14:textId="1607EDE5" w:rsidR="00814F9E" w:rsidRDefault="00E44743" w:rsidP="00561BD4">
      <w:pPr>
        <w:pStyle w:val="ListNumber"/>
        <w:rPr>
          <w:rStyle w:val="eop"/>
          <w:rFonts w:eastAsia="Open Sans" w:cs="Open Sans"/>
          <w:color w:val="000000" w:themeColor="text1"/>
        </w:rPr>
      </w:pPr>
      <w:r>
        <w:rPr>
          <w:rStyle w:val="eop"/>
          <w:rFonts w:eastAsia="Open Sans" w:cs="Open Sans"/>
          <w:color w:val="000000" w:themeColor="text1"/>
        </w:rPr>
        <w:t>T</w:t>
      </w:r>
      <w:r w:rsidR="002B3C43">
        <w:rPr>
          <w:rStyle w:val="eop"/>
          <w:rFonts w:eastAsia="Open Sans" w:cs="Open Sans"/>
          <w:color w:val="000000" w:themeColor="text1"/>
        </w:rPr>
        <w:t>he Commission</w:t>
      </w:r>
      <w:r w:rsidR="002C4F35">
        <w:rPr>
          <w:rStyle w:val="eop"/>
          <w:rFonts w:eastAsia="Open Sans" w:cs="Open Sans"/>
          <w:color w:val="000000" w:themeColor="text1"/>
        </w:rPr>
        <w:t xml:space="preserve"> recognises the burden that conducting such checks may have on an entity</w:t>
      </w:r>
      <w:r w:rsidR="004D6082">
        <w:rPr>
          <w:rStyle w:val="eop"/>
          <w:rFonts w:eastAsia="Open Sans" w:cs="Open Sans"/>
          <w:color w:val="000000" w:themeColor="text1"/>
        </w:rPr>
        <w:t xml:space="preserve"> (and the risk it poses to young people’s privacy). </w:t>
      </w:r>
      <w:r w:rsidR="00561D84">
        <w:rPr>
          <w:rStyle w:val="eop"/>
          <w:rFonts w:eastAsia="Open Sans" w:cs="Open Sans"/>
          <w:color w:val="000000" w:themeColor="text1"/>
        </w:rPr>
        <w:t xml:space="preserve">Any OAIC guidance on how to determine capacity must balance the need for genuine checks </w:t>
      </w:r>
      <w:r w:rsidR="00A64DFA">
        <w:rPr>
          <w:rStyle w:val="eop"/>
          <w:rFonts w:eastAsia="Open Sans" w:cs="Open Sans"/>
          <w:color w:val="000000" w:themeColor="text1"/>
        </w:rPr>
        <w:t>and the need to protect privacy</w:t>
      </w:r>
      <w:r w:rsidR="002C4F35">
        <w:rPr>
          <w:rStyle w:val="eop"/>
          <w:rFonts w:eastAsia="Open Sans" w:cs="Open Sans"/>
          <w:color w:val="000000" w:themeColor="text1"/>
        </w:rPr>
        <w:t>.</w:t>
      </w:r>
    </w:p>
    <w:p w14:paraId="45D2B55D" w14:textId="77777777" w:rsidR="00164A8D" w:rsidRDefault="00164A8D" w:rsidP="00561BD4">
      <w:pPr>
        <w:pStyle w:val="ListNumber"/>
        <w:numPr>
          <w:ilvl w:val="0"/>
          <w:numId w:val="0"/>
        </w:numPr>
        <w:rPr>
          <w:rStyle w:val="eop"/>
          <w:rFonts w:eastAsia="Open Sans" w:cs="Open Sans"/>
          <w:color w:val="000000" w:themeColor="text1"/>
        </w:rPr>
      </w:pPr>
    </w:p>
    <w:p w14:paraId="75529CBC" w14:textId="4D2F6967" w:rsidR="00246E08" w:rsidRPr="00C84E13" w:rsidRDefault="00246E08" w:rsidP="00561BD4">
      <w:pPr>
        <w:pStyle w:val="Heading1"/>
      </w:pPr>
      <w:bookmarkStart w:id="56" w:name="_Toc131585366"/>
      <w:r>
        <w:t>Proposal 16.3</w:t>
      </w:r>
      <w:bookmarkEnd w:id="56"/>
    </w:p>
    <w:p w14:paraId="71ABBC24" w14:textId="713AC97D" w:rsidR="00406C23" w:rsidRPr="00406C23" w:rsidRDefault="00406C23" w:rsidP="00561BD4">
      <w:pPr>
        <w:pStyle w:val="ListNumber"/>
        <w:numPr>
          <w:ilvl w:val="0"/>
          <w:numId w:val="0"/>
        </w:numPr>
        <w:ind w:left="360"/>
        <w:rPr>
          <w:i/>
          <w:iCs/>
        </w:rPr>
      </w:pPr>
      <w:r w:rsidRPr="00406C23">
        <w:rPr>
          <w:i/>
          <w:iCs/>
        </w:rPr>
        <w:t>Amend the Privacy Act to require that collection notices and privacy policies be clear and understandable, in particular for any information addressed specifically to a child.*</w:t>
      </w:r>
    </w:p>
    <w:p w14:paraId="39BE4C44" w14:textId="7B0792D8" w:rsidR="00406C23" w:rsidRPr="00406C23" w:rsidRDefault="00406C23" w:rsidP="00561BD4">
      <w:pPr>
        <w:pStyle w:val="ListNumber"/>
        <w:numPr>
          <w:ilvl w:val="0"/>
          <w:numId w:val="0"/>
        </w:numPr>
        <w:ind w:left="360"/>
        <w:rPr>
          <w:i/>
          <w:iCs/>
        </w:rPr>
      </w:pPr>
      <w:r w:rsidRPr="00406C23">
        <w:rPr>
          <w:i/>
          <w:iCs/>
        </w:rPr>
        <w:lastRenderedPageBreak/>
        <w:t xml:space="preserve">In the context of online services, these </w:t>
      </w:r>
      <w:bookmarkStart w:id="57" w:name="_Hlk128737341"/>
      <w:r w:rsidRPr="00406C23">
        <w:rPr>
          <w:i/>
          <w:iCs/>
        </w:rPr>
        <w:t>requirements should be further specified in a Children’s Online Privacy Code, which should provide guidance on the format, timing and readability of collection notices and privacy policies</w:t>
      </w:r>
      <w:bookmarkEnd w:id="57"/>
      <w:r w:rsidRPr="00406C23">
        <w:rPr>
          <w:i/>
          <w:iCs/>
        </w:rPr>
        <w:t>.</w:t>
      </w:r>
    </w:p>
    <w:p w14:paraId="3B407FBB" w14:textId="2E1E06B1" w:rsidR="00246E08" w:rsidRDefault="00F607FE" w:rsidP="00561BD4">
      <w:pPr>
        <w:pStyle w:val="ListNumber"/>
        <w:numPr>
          <w:ilvl w:val="0"/>
          <w:numId w:val="0"/>
        </w:numPr>
        <w:ind w:left="360"/>
        <w:rPr>
          <w:i/>
          <w:iCs/>
        </w:rPr>
      </w:pPr>
      <w:r w:rsidRPr="00F607FE">
        <w:rPr>
          <w:i/>
          <w:iCs/>
        </w:rPr>
        <w:t>*The final wording of any legislative provision will be developed through the legislative drafting process.</w:t>
      </w:r>
    </w:p>
    <w:p w14:paraId="4EF98487" w14:textId="53BDAA28" w:rsidR="00F11B90" w:rsidRDefault="0879FFBC" w:rsidP="00561BD4">
      <w:pPr>
        <w:pStyle w:val="ListNumber"/>
      </w:pPr>
      <w:r>
        <w:t>The Commission supports amendments which require collection notices and privacy policies to be clear and understandable</w:t>
      </w:r>
      <w:r w:rsidR="0ADE8020">
        <w:t>, especially where such information is addressed to children.</w:t>
      </w:r>
      <w:r w:rsidR="42FE1BDA">
        <w:t xml:space="preserve"> </w:t>
      </w:r>
      <w:r w:rsidR="0ADE8020">
        <w:t>This is broadly in line with</w:t>
      </w:r>
      <w:r w:rsidR="42FE1BDA">
        <w:t xml:space="preserve"> the need to simplify collections notices</w:t>
      </w:r>
      <w:r w:rsidR="0ADE8020">
        <w:t xml:space="preserve"> (see above at</w:t>
      </w:r>
      <w:r w:rsidR="67B680BC">
        <w:t xml:space="preserve"> </w:t>
      </w:r>
      <w:r w:rsidR="00740F88">
        <w:fldChar w:fldCharType="begin"/>
      </w:r>
      <w:r w:rsidR="00740F88">
        <w:instrText xml:space="preserve"> REF _Ref129527511 \r \h </w:instrText>
      </w:r>
      <w:r w:rsidR="00561BD4">
        <w:instrText xml:space="preserve"> \* MERGEFORMAT </w:instrText>
      </w:r>
      <w:r w:rsidR="00740F88">
        <w:fldChar w:fldCharType="separate"/>
      </w:r>
      <w:r w:rsidR="00A40881">
        <w:t>3</w:t>
      </w:r>
      <w:r w:rsidR="00740F88">
        <w:fldChar w:fldCharType="end"/>
      </w:r>
      <w:r w:rsidR="5AF9565B">
        <w:t>).</w:t>
      </w:r>
      <w:r w:rsidR="785D758C">
        <w:t xml:space="preserve"> </w:t>
      </w:r>
      <w:r w:rsidR="00F00191">
        <w:t>As such</w:t>
      </w:r>
      <w:r w:rsidR="00FD13BC">
        <w:t>,</w:t>
      </w:r>
      <w:r w:rsidR="785D758C">
        <w:t xml:space="preserve"> consultation with children, young people and relevant stakeholders is necessary. </w:t>
      </w:r>
      <w:r w:rsidR="5AF9565B">
        <w:t xml:space="preserve"> </w:t>
      </w:r>
    </w:p>
    <w:p w14:paraId="4E50B621" w14:textId="01E6993F" w:rsidR="00166262" w:rsidRPr="00A212AB" w:rsidRDefault="785D758C" w:rsidP="00561BD4">
      <w:pPr>
        <w:pStyle w:val="ListNumber"/>
      </w:pPr>
      <w:r w:rsidRPr="00A212AB">
        <w:t>Article 12</w:t>
      </w:r>
      <w:r w:rsidR="00305CBA">
        <w:t xml:space="preserve"> of the</w:t>
      </w:r>
      <w:r>
        <w:t xml:space="preserve"> CRC</w:t>
      </w:r>
      <w:r w:rsidRPr="00A212AB">
        <w:t xml:space="preserve"> ‘enables and informs’ the child’s rights under Article 16, requiring that children’s views are given weight on an individual basis, and ‘[present</w:t>
      </w:r>
      <w:r w:rsidR="00366055">
        <w:t>s</w:t>
      </w:r>
      <w:r w:rsidRPr="00A212AB">
        <w:t>] children with an opportunity to identify issues which may interfere with their right to privacy’.</w:t>
      </w:r>
      <w:r w:rsidR="00166262" w:rsidRPr="00A96BC9">
        <w:rPr>
          <w:sz w:val="22"/>
          <w:szCs w:val="22"/>
          <w:vertAlign w:val="superscript"/>
        </w:rPr>
        <w:endnoteReference w:id="139"/>
      </w:r>
      <w:r w:rsidRPr="00A212AB">
        <w:t xml:space="preserve"> Children should be provided with an opportunity to participate in legislative and policy development processes on issues that affect children’s privacy</w:t>
      </w:r>
      <w:r w:rsidR="00C2351B">
        <w:t xml:space="preserve"> –</w:t>
      </w:r>
      <w:r w:rsidRPr="00A212AB">
        <w:t xml:space="preserve"> including those conducted by the business community, and to have an active say in their individual lives over how their privacy is treated.</w:t>
      </w:r>
      <w:r w:rsidR="00166262" w:rsidRPr="00A96BC9">
        <w:rPr>
          <w:sz w:val="22"/>
          <w:szCs w:val="22"/>
          <w:vertAlign w:val="superscript"/>
        </w:rPr>
        <w:endnoteReference w:id="140"/>
      </w:r>
      <w:r w:rsidRPr="00A212AB">
        <w:t xml:space="preserve"> </w:t>
      </w:r>
    </w:p>
    <w:p w14:paraId="7118A8A8" w14:textId="0691C461" w:rsidR="00166262" w:rsidRDefault="5A44611A" w:rsidP="00561BD4">
      <w:pPr>
        <w:pStyle w:val="ListNumber"/>
      </w:pPr>
      <w:r>
        <w:t>T</w:t>
      </w:r>
      <w:r w:rsidR="785D758C">
        <w:t xml:space="preserve">he Commission </w:t>
      </w:r>
      <w:r>
        <w:t xml:space="preserve">supports amendments which require collection notices and privacy policies to be clear and understandable </w:t>
      </w:r>
      <w:r w:rsidR="785D758C">
        <w:t xml:space="preserve">on the basis that further consultation is conducted with children, parents, child development experts, child-welfare advocates, industry, OAIC, the </w:t>
      </w:r>
      <w:proofErr w:type="spellStart"/>
      <w:r w:rsidR="785D758C">
        <w:t>eSafety</w:t>
      </w:r>
      <w:proofErr w:type="spellEnd"/>
      <w:r w:rsidR="785D758C">
        <w:t xml:space="preserve"> Commissioner and the Commission. </w:t>
      </w:r>
    </w:p>
    <w:p w14:paraId="0730F893" w14:textId="77777777" w:rsidR="006E1F48" w:rsidRDefault="006E1F48" w:rsidP="00561BD4">
      <w:pPr>
        <w:pStyle w:val="ListNumber"/>
        <w:numPr>
          <w:ilvl w:val="0"/>
          <w:numId w:val="0"/>
        </w:numPr>
        <w:ind w:left="360"/>
      </w:pPr>
    </w:p>
    <w:p w14:paraId="5AAFE0BB" w14:textId="58863B22" w:rsidR="00386A49" w:rsidRDefault="00711077" w:rsidP="00561BD4">
      <w:pPr>
        <w:pStyle w:val="ListNumber"/>
        <w:numPr>
          <w:ilvl w:val="0"/>
          <w:numId w:val="0"/>
        </w:numPr>
        <w:ind w:left="360" w:hanging="360"/>
        <w:rPr>
          <w:b/>
          <w:bCs/>
        </w:rPr>
      </w:pPr>
      <w:r>
        <w:tab/>
      </w:r>
      <w:r w:rsidR="00386A49" w:rsidRPr="00711077">
        <w:rPr>
          <w:b/>
          <w:bCs/>
        </w:rPr>
        <w:t xml:space="preserve">Recommendation </w:t>
      </w:r>
      <w:r w:rsidR="005E1320">
        <w:rPr>
          <w:b/>
          <w:bCs/>
        </w:rPr>
        <w:t>1</w:t>
      </w:r>
      <w:r w:rsidR="00C56C87">
        <w:rPr>
          <w:b/>
          <w:bCs/>
        </w:rPr>
        <w:t>3</w:t>
      </w:r>
      <w:r w:rsidR="005C756E" w:rsidRPr="00711077">
        <w:rPr>
          <w:b/>
          <w:bCs/>
        </w:rPr>
        <w:t xml:space="preserve">: The Act be amended to require that collection notices and privacy policies </w:t>
      </w:r>
      <w:r w:rsidR="50DC5DC7" w:rsidRPr="00711077">
        <w:rPr>
          <w:b/>
          <w:bCs/>
        </w:rPr>
        <w:t>are</w:t>
      </w:r>
      <w:r w:rsidR="005C756E" w:rsidRPr="00711077">
        <w:rPr>
          <w:b/>
          <w:bCs/>
        </w:rPr>
        <w:t xml:space="preserve"> clear and understandable, in particular for any information </w:t>
      </w:r>
      <w:r w:rsidRPr="00711077">
        <w:rPr>
          <w:b/>
          <w:bCs/>
        </w:rPr>
        <w:t>likely to be accessed by children.</w:t>
      </w:r>
      <w:r w:rsidR="00B25D20">
        <w:rPr>
          <w:b/>
          <w:bCs/>
        </w:rPr>
        <w:t xml:space="preserve"> This should be done in with </w:t>
      </w:r>
      <w:r w:rsidR="00B25D20" w:rsidRPr="006878B4">
        <w:rPr>
          <w:b/>
          <w:bCs/>
        </w:rPr>
        <w:t xml:space="preserve">children, parents and carers, child development experts, child-welfare advocates, industry, OAIC, the </w:t>
      </w:r>
      <w:proofErr w:type="spellStart"/>
      <w:r w:rsidR="00B25D20" w:rsidRPr="006878B4">
        <w:rPr>
          <w:b/>
          <w:bCs/>
        </w:rPr>
        <w:t>eSafety</w:t>
      </w:r>
      <w:proofErr w:type="spellEnd"/>
      <w:r w:rsidR="00B25D20" w:rsidRPr="006878B4">
        <w:rPr>
          <w:b/>
          <w:bCs/>
        </w:rPr>
        <w:t xml:space="preserve"> Commissioner and the Australian Human Rights Commission</w:t>
      </w:r>
      <w:r w:rsidR="00551E0A">
        <w:rPr>
          <w:b/>
          <w:bCs/>
        </w:rPr>
        <w:t>.</w:t>
      </w:r>
    </w:p>
    <w:p w14:paraId="7055118A" w14:textId="77777777" w:rsidR="006E1F48" w:rsidRPr="00711077" w:rsidRDefault="006E1F48" w:rsidP="00561BD4">
      <w:pPr>
        <w:pStyle w:val="ListNumber"/>
        <w:numPr>
          <w:ilvl w:val="0"/>
          <w:numId w:val="0"/>
        </w:numPr>
        <w:ind w:left="360" w:hanging="360"/>
        <w:rPr>
          <w:b/>
          <w:bCs/>
        </w:rPr>
      </w:pPr>
    </w:p>
    <w:p w14:paraId="7827466F" w14:textId="77FECA0E" w:rsidR="00386A49" w:rsidRDefault="27A163C2" w:rsidP="00561BD4">
      <w:pPr>
        <w:pStyle w:val="ListNumber"/>
      </w:pPr>
      <w:r>
        <w:t xml:space="preserve">The use of the term </w:t>
      </w:r>
      <w:r w:rsidR="5D022688">
        <w:t>‘addressed specifically’</w:t>
      </w:r>
      <w:r w:rsidR="53E4857D">
        <w:t xml:space="preserve"> in Proposal 16.3</w:t>
      </w:r>
      <w:r w:rsidR="5D022688">
        <w:t xml:space="preserve"> </w:t>
      </w:r>
      <w:r w:rsidR="45F414B0">
        <w:t xml:space="preserve">potentially </w:t>
      </w:r>
      <w:r w:rsidR="5D022688">
        <w:t xml:space="preserve">casts a narrow </w:t>
      </w:r>
      <w:r w:rsidR="036C3F33">
        <w:t xml:space="preserve">net over what circumstances would carry with them an obligation to </w:t>
      </w:r>
      <w:r w:rsidR="45F414B0">
        <w:t xml:space="preserve">provide collection notices and privacy policies in a manner that children can easily understand. </w:t>
      </w:r>
      <w:r w:rsidR="6FDD7A80">
        <w:t>Although the Review Report contains the express caveat that the final wording of any legislation will be developed through the legislative drafting process</w:t>
      </w:r>
      <w:r w:rsidR="53E4857D">
        <w:t xml:space="preserve"> </w:t>
      </w:r>
      <w:r w:rsidR="00BC35FE">
        <w:t xml:space="preserve">– </w:t>
      </w:r>
      <w:r w:rsidR="6FDD7A80">
        <w:t>the Commission holds concern over the language</w:t>
      </w:r>
      <w:r w:rsidR="00B73EED">
        <w:t xml:space="preserve"> currently proposed</w:t>
      </w:r>
      <w:r w:rsidR="6FDD7A80">
        <w:t xml:space="preserve">. </w:t>
      </w:r>
    </w:p>
    <w:p w14:paraId="6DD7C9A2" w14:textId="7F9EB93B" w:rsidR="00841FA9" w:rsidRDefault="00FF623C" w:rsidP="00561BD4">
      <w:pPr>
        <w:pStyle w:val="ListNumber"/>
      </w:pPr>
      <w:r>
        <w:lastRenderedPageBreak/>
        <w:t>Broader</w:t>
      </w:r>
      <w:r w:rsidR="6FDD7A80">
        <w:t xml:space="preserve"> language which realistically covers </w:t>
      </w:r>
      <w:r w:rsidR="644F2F6F">
        <w:t xml:space="preserve">the full range of circumstances where a child or young person may come across a collection notice or privacy policy </w:t>
      </w:r>
      <w:r w:rsidR="2614035E">
        <w:t xml:space="preserve">is necessary to ensure that they understand how their data may be </w:t>
      </w:r>
      <w:r w:rsidR="656ABEBB">
        <w:t xml:space="preserve">collected and </w:t>
      </w:r>
      <w:r w:rsidR="2614035E">
        <w:t xml:space="preserve">utilised. </w:t>
      </w:r>
      <w:r w:rsidR="1FAD9D0E">
        <w:t>Accordingly,</w:t>
      </w:r>
      <w:r w:rsidR="2614035E">
        <w:t xml:space="preserve"> the Commission prefers </w:t>
      </w:r>
      <w:r w:rsidR="7D05981C">
        <w:t xml:space="preserve">wider language such as ‘which is likely to be accessed by children’. </w:t>
      </w:r>
      <w:r w:rsidR="001D6519">
        <w:t xml:space="preserve">As </w:t>
      </w:r>
      <w:r w:rsidR="7D05981C">
        <w:t>this may impose a</w:t>
      </w:r>
      <w:r w:rsidR="1FAD9D0E">
        <w:t>dditional</w:t>
      </w:r>
      <w:r w:rsidR="7D05981C">
        <w:t xml:space="preserve"> burden on </w:t>
      </w:r>
      <w:r w:rsidR="1FAD9D0E">
        <w:t>business</w:t>
      </w:r>
      <w:r w:rsidR="001D6519">
        <w:t xml:space="preserve">, </w:t>
      </w:r>
      <w:r w:rsidR="1FAD9D0E">
        <w:t xml:space="preserve">consultation </w:t>
      </w:r>
      <w:r w:rsidR="005E0833">
        <w:t xml:space="preserve">will be </w:t>
      </w:r>
      <w:r w:rsidR="1FAD9D0E">
        <w:t xml:space="preserve">necessary </w:t>
      </w:r>
      <w:r w:rsidR="005E0833">
        <w:t xml:space="preserve">to refine </w:t>
      </w:r>
      <w:r w:rsidR="1FAD9D0E">
        <w:t>the language used.</w:t>
      </w:r>
    </w:p>
    <w:p w14:paraId="661F2BEF" w14:textId="77777777" w:rsidR="00B04E9C" w:rsidRDefault="00B04E9C" w:rsidP="00561BD4">
      <w:pPr>
        <w:pStyle w:val="ListNumber"/>
        <w:numPr>
          <w:ilvl w:val="0"/>
          <w:numId w:val="0"/>
        </w:numPr>
        <w:ind w:left="360"/>
      </w:pPr>
    </w:p>
    <w:p w14:paraId="2B445B22" w14:textId="03EAA4D2" w:rsidR="00B04E9C" w:rsidRPr="00AF42C0" w:rsidRDefault="00B04E9C" w:rsidP="00561BD4">
      <w:pPr>
        <w:pStyle w:val="ListNumber"/>
        <w:numPr>
          <w:ilvl w:val="0"/>
          <w:numId w:val="0"/>
        </w:numPr>
        <w:ind w:left="360"/>
        <w:rPr>
          <w:b/>
          <w:bCs/>
        </w:rPr>
      </w:pPr>
      <w:r w:rsidRPr="00AF42C0">
        <w:rPr>
          <w:b/>
          <w:bCs/>
        </w:rPr>
        <w:t>Recommendation 1</w:t>
      </w:r>
      <w:r w:rsidR="00C56C87">
        <w:rPr>
          <w:b/>
          <w:bCs/>
        </w:rPr>
        <w:t>4</w:t>
      </w:r>
      <w:r w:rsidRPr="00AF42C0">
        <w:rPr>
          <w:b/>
          <w:bCs/>
        </w:rPr>
        <w:t xml:space="preserve">: </w:t>
      </w:r>
      <w:r w:rsidR="00E069D0" w:rsidRPr="00AF42C0">
        <w:rPr>
          <w:b/>
          <w:bCs/>
        </w:rPr>
        <w:t>The amendment</w:t>
      </w:r>
      <w:r w:rsidR="00B73EED">
        <w:rPr>
          <w:b/>
          <w:bCs/>
        </w:rPr>
        <w:t>s</w:t>
      </w:r>
      <w:r w:rsidR="00E069D0" w:rsidRPr="00AF42C0">
        <w:rPr>
          <w:b/>
          <w:bCs/>
        </w:rPr>
        <w:t xml:space="preserve"> refer</w:t>
      </w:r>
      <w:r w:rsidR="00592AD1" w:rsidRPr="00AF42C0">
        <w:rPr>
          <w:b/>
          <w:bCs/>
        </w:rPr>
        <w:t>r</w:t>
      </w:r>
      <w:r w:rsidR="00E069D0" w:rsidRPr="00AF42C0">
        <w:rPr>
          <w:b/>
          <w:bCs/>
        </w:rPr>
        <w:t xml:space="preserve">ed to in Recommendation </w:t>
      </w:r>
      <w:r w:rsidR="00C50B46">
        <w:rPr>
          <w:b/>
          <w:bCs/>
        </w:rPr>
        <w:t>1</w:t>
      </w:r>
      <w:r w:rsidR="00C2351B">
        <w:rPr>
          <w:b/>
          <w:bCs/>
        </w:rPr>
        <w:t>3</w:t>
      </w:r>
      <w:r w:rsidR="00E069D0" w:rsidRPr="00AF42C0">
        <w:rPr>
          <w:b/>
          <w:bCs/>
        </w:rPr>
        <w:t xml:space="preserve"> </w:t>
      </w:r>
      <w:r w:rsidR="00B73EED">
        <w:rPr>
          <w:b/>
          <w:bCs/>
        </w:rPr>
        <w:t xml:space="preserve">should </w:t>
      </w:r>
      <w:r w:rsidR="00416CD1" w:rsidRPr="00AF42C0">
        <w:rPr>
          <w:b/>
          <w:bCs/>
        </w:rPr>
        <w:t>utilise broader language</w:t>
      </w:r>
      <w:r w:rsidR="004A0982">
        <w:rPr>
          <w:b/>
          <w:bCs/>
        </w:rPr>
        <w:t xml:space="preserve"> (as determined through consultations)</w:t>
      </w:r>
      <w:r w:rsidR="00416CD1" w:rsidRPr="00AF42C0">
        <w:rPr>
          <w:b/>
          <w:bCs/>
        </w:rPr>
        <w:t xml:space="preserve"> to capture </w:t>
      </w:r>
      <w:r w:rsidR="004A0982">
        <w:rPr>
          <w:b/>
          <w:bCs/>
        </w:rPr>
        <w:t>the true</w:t>
      </w:r>
      <w:r w:rsidR="00DD6EC8" w:rsidRPr="00AF42C0">
        <w:rPr>
          <w:b/>
          <w:bCs/>
        </w:rPr>
        <w:t xml:space="preserve"> range of circumstances in which </w:t>
      </w:r>
      <w:r w:rsidR="003E1907" w:rsidRPr="00AF42C0">
        <w:rPr>
          <w:b/>
          <w:bCs/>
        </w:rPr>
        <w:t xml:space="preserve">children may need to understand collection notices or privacy policies. </w:t>
      </w:r>
    </w:p>
    <w:p w14:paraId="69683C39" w14:textId="77777777" w:rsidR="00E069D0" w:rsidRDefault="00E069D0" w:rsidP="00561BD4">
      <w:pPr>
        <w:pStyle w:val="ListNumber"/>
        <w:numPr>
          <w:ilvl w:val="0"/>
          <w:numId w:val="0"/>
        </w:numPr>
        <w:ind w:left="360"/>
      </w:pPr>
    </w:p>
    <w:p w14:paraId="7D216BDE" w14:textId="345D0B0A" w:rsidR="00AF42C0" w:rsidRDefault="0E6A3D4D" w:rsidP="00561BD4">
      <w:pPr>
        <w:pStyle w:val="ListNumber"/>
      </w:pPr>
      <w:r>
        <w:t>T</w:t>
      </w:r>
      <w:r w:rsidR="019C2CE5">
        <w:t>he Commission is broadly supportive of a Children’s Online Privacy Code. In respect of Proposal 16.3</w:t>
      </w:r>
      <w:r w:rsidR="00CF2D36">
        <w:t>,</w:t>
      </w:r>
      <w:r w:rsidR="019C2CE5">
        <w:t xml:space="preserve"> </w:t>
      </w:r>
      <w:r w:rsidR="799A8967">
        <w:t>the Commission believes that</w:t>
      </w:r>
      <w:r>
        <w:t xml:space="preserve"> including</w:t>
      </w:r>
      <w:r w:rsidR="799A8967">
        <w:t xml:space="preserve"> guidance on the format, timing and readability of collection notices and privacy policies </w:t>
      </w:r>
      <w:r>
        <w:t xml:space="preserve">in a Children’s Online Privacy Code </w:t>
      </w:r>
      <w:r w:rsidR="799A8967">
        <w:t>is essential</w:t>
      </w:r>
      <w:r w:rsidR="710608DD">
        <w:t>.</w:t>
      </w:r>
    </w:p>
    <w:p w14:paraId="176C7B71" w14:textId="77777777" w:rsidR="00BA1CF4" w:rsidRDefault="00BA1CF4" w:rsidP="00561BD4">
      <w:pPr>
        <w:pStyle w:val="ListNumber"/>
        <w:numPr>
          <w:ilvl w:val="0"/>
          <w:numId w:val="0"/>
        </w:numPr>
        <w:ind w:left="360"/>
      </w:pPr>
    </w:p>
    <w:p w14:paraId="40277A9E" w14:textId="52A3C238" w:rsidR="00172561" w:rsidRPr="00501DC4" w:rsidRDefault="00BA1CF4" w:rsidP="00561BD4">
      <w:pPr>
        <w:pStyle w:val="ListNumber"/>
        <w:numPr>
          <w:ilvl w:val="0"/>
          <w:numId w:val="0"/>
        </w:numPr>
        <w:ind w:left="360"/>
        <w:rPr>
          <w:b/>
          <w:bCs/>
        </w:rPr>
      </w:pPr>
      <w:r w:rsidRPr="00501DC4">
        <w:rPr>
          <w:b/>
          <w:bCs/>
        </w:rPr>
        <w:t>Recommendation 1</w:t>
      </w:r>
      <w:r w:rsidR="00C56C87">
        <w:rPr>
          <w:b/>
          <w:bCs/>
        </w:rPr>
        <w:t>5</w:t>
      </w:r>
      <w:r w:rsidRPr="00501DC4">
        <w:rPr>
          <w:b/>
          <w:bCs/>
        </w:rPr>
        <w:t xml:space="preserve">: </w:t>
      </w:r>
      <w:r w:rsidR="00501DC4" w:rsidRPr="00501DC4">
        <w:rPr>
          <w:b/>
          <w:bCs/>
        </w:rPr>
        <w:t xml:space="preserve">The </w:t>
      </w:r>
      <w:r w:rsidRPr="00501DC4">
        <w:rPr>
          <w:b/>
          <w:bCs/>
        </w:rPr>
        <w:t>requirements</w:t>
      </w:r>
      <w:r w:rsidR="00501DC4" w:rsidRPr="00501DC4">
        <w:rPr>
          <w:b/>
          <w:bCs/>
        </w:rPr>
        <w:t xml:space="preserve"> contained within Proposal 16.3</w:t>
      </w:r>
      <w:r w:rsidRPr="00501DC4">
        <w:rPr>
          <w:b/>
          <w:bCs/>
        </w:rPr>
        <w:t xml:space="preserve"> should be further specified in a Children’s Online Privacy Code, which should provide guidance on the format, timing and readability of collection notices and privacy policies</w:t>
      </w:r>
      <w:r w:rsidR="00501DC4" w:rsidRPr="00501DC4">
        <w:rPr>
          <w:b/>
          <w:bCs/>
        </w:rPr>
        <w:t>.</w:t>
      </w:r>
    </w:p>
    <w:p w14:paraId="1B70CAC5" w14:textId="77777777" w:rsidR="00BA1CF4" w:rsidRDefault="00BA1CF4" w:rsidP="00561BD4">
      <w:pPr>
        <w:pStyle w:val="ListNumber"/>
        <w:numPr>
          <w:ilvl w:val="0"/>
          <w:numId w:val="0"/>
        </w:numPr>
        <w:ind w:left="360"/>
      </w:pPr>
    </w:p>
    <w:p w14:paraId="219FAFEF" w14:textId="77849AB4" w:rsidR="00172561" w:rsidRDefault="14308940" w:rsidP="00561BD4">
      <w:pPr>
        <w:pStyle w:val="ListNumber"/>
      </w:pPr>
      <w:r>
        <w:t>However, t</w:t>
      </w:r>
      <w:r w:rsidR="6138F6FB">
        <w:t>o ensure that children understand how their personal information is utilised in respect of collection notices and privacy policies</w:t>
      </w:r>
      <w:r w:rsidR="009D516F">
        <w:t>,</w:t>
      </w:r>
      <w:r w:rsidR="6138F6FB">
        <w:t xml:space="preserve"> </w:t>
      </w:r>
      <w:r w:rsidR="4849F3CE">
        <w:t xml:space="preserve">more must be done. It is insufficient, in </w:t>
      </w:r>
      <w:r w:rsidR="2D025F94">
        <w:t>isolation</w:t>
      </w:r>
      <w:r w:rsidR="4849F3CE">
        <w:t xml:space="preserve">, </w:t>
      </w:r>
      <w:r w:rsidR="003A5CE5">
        <w:t xml:space="preserve">to </w:t>
      </w:r>
      <w:r w:rsidR="4849F3CE">
        <w:t>provide easy to read collection notices and privacy policies if children and young people are not</w:t>
      </w:r>
      <w:r w:rsidR="05EBA8ED">
        <w:t xml:space="preserve"> digitally literate. </w:t>
      </w:r>
    </w:p>
    <w:p w14:paraId="1DE6AE90" w14:textId="2B7E3029" w:rsidR="001B1C8B" w:rsidRDefault="05EBA8ED" w:rsidP="00561BD4">
      <w:pPr>
        <w:pStyle w:val="ListNumber"/>
      </w:pPr>
      <w:r>
        <w:t>Children are engaging with online services a</w:t>
      </w:r>
      <w:r w:rsidR="005163AD">
        <w:t>t a young age and while existing</w:t>
      </w:r>
      <w:r w:rsidR="7EDC7F2F">
        <w:t xml:space="preserve"> school programs </w:t>
      </w:r>
      <w:r w:rsidR="005163AD">
        <w:t xml:space="preserve">may </w:t>
      </w:r>
      <w:r w:rsidR="7EDC7F2F">
        <w:t xml:space="preserve">often </w:t>
      </w:r>
      <w:r w:rsidR="11B8D008">
        <w:t>teach</w:t>
      </w:r>
      <w:r w:rsidR="7EDC7F2F">
        <w:t xml:space="preserve"> children and young people </w:t>
      </w:r>
      <w:r w:rsidR="11B8D008">
        <w:t xml:space="preserve">digital literacy, greater investment is needed in teaching them about privacy and data in particular – especially how </w:t>
      </w:r>
      <w:r w:rsidR="783D0607">
        <w:t xml:space="preserve">their information may be harvested and used for targeted advertising and profiling. </w:t>
      </w:r>
    </w:p>
    <w:p w14:paraId="07126205" w14:textId="15D441C3" w:rsidR="00E26A8E" w:rsidRDefault="15DBEE5C" w:rsidP="00561BD4">
      <w:pPr>
        <w:pStyle w:val="ListNumber"/>
      </w:pPr>
      <w:r>
        <w:t xml:space="preserve">Young children should become familiar with the notion of a ‘digital footprint’ early </w:t>
      </w:r>
      <w:r w:rsidR="0DC3D874">
        <w:t>in</w:t>
      </w:r>
      <w:r>
        <w:t xml:space="preserve"> their primary education. Children are using online services at an incredibly young age with many </w:t>
      </w:r>
      <w:r w:rsidR="005F01A2">
        <w:t>becoming proficient in the use of technology</w:t>
      </w:r>
      <w:r w:rsidR="00AF0A8E">
        <w:t xml:space="preserve"> relatively</w:t>
      </w:r>
      <w:r w:rsidR="0DC3D874">
        <w:t xml:space="preserve"> early</w:t>
      </w:r>
      <w:r w:rsidR="00AF0A8E">
        <w:t xml:space="preserve"> in</w:t>
      </w:r>
      <w:r w:rsidR="0DC3D874">
        <w:t xml:space="preserve"> life.</w:t>
      </w:r>
      <w:r>
        <w:t xml:space="preserve"> It is imperative that they have a rudimental understanding of a </w:t>
      </w:r>
      <w:r w:rsidR="0DC3D874">
        <w:t>‘</w:t>
      </w:r>
      <w:r>
        <w:t>digital footprint</w:t>
      </w:r>
      <w:r w:rsidR="0DC3D874">
        <w:t>’</w:t>
      </w:r>
      <w:r>
        <w:t xml:space="preserve"> as early as possible</w:t>
      </w:r>
      <w:r w:rsidR="0DC3D874">
        <w:t xml:space="preserve"> to reflect the young age at which they first engage with digital spaces</w:t>
      </w:r>
      <w:r>
        <w:t xml:space="preserve">. </w:t>
      </w:r>
    </w:p>
    <w:p w14:paraId="0672F5A6" w14:textId="570DC9DF" w:rsidR="00013CEF" w:rsidRDefault="04CC61E2" w:rsidP="00561BD4">
      <w:pPr>
        <w:pStyle w:val="ListNumber"/>
      </w:pPr>
      <w:r>
        <w:lastRenderedPageBreak/>
        <w:t xml:space="preserve">Any investment in teaching privacy and data must align with the specific ways in which collection notices and </w:t>
      </w:r>
      <w:r w:rsidR="6CB94C59">
        <w:t>privacy policies will be provided to children. For example</w:t>
      </w:r>
      <w:r w:rsidR="278C9249">
        <w:t>,</w:t>
      </w:r>
      <w:r w:rsidR="6CB94C59">
        <w:t xml:space="preserve"> </w:t>
      </w:r>
      <w:r w:rsidR="278C9249">
        <w:t>schools</w:t>
      </w:r>
      <w:r w:rsidR="6CB94C59">
        <w:t xml:space="preserve"> should teach children how to read collection notices and privacy policies </w:t>
      </w:r>
      <w:r w:rsidR="278C9249">
        <w:t xml:space="preserve">consistent with how </w:t>
      </w:r>
      <w:r w:rsidR="4138C767">
        <w:t>notices and policies are to be drafted under the proposed reforms. This will ensure that notices and policies are not only easy to read and engage with, but that children actually understand what they are reading and how it may impact them.</w:t>
      </w:r>
    </w:p>
    <w:p w14:paraId="06715625" w14:textId="77777777" w:rsidR="00440D28" w:rsidRDefault="00440D28" w:rsidP="00561BD4">
      <w:pPr>
        <w:pStyle w:val="ListNumber"/>
        <w:numPr>
          <w:ilvl w:val="0"/>
          <w:numId w:val="0"/>
        </w:numPr>
        <w:ind w:left="360"/>
      </w:pPr>
    </w:p>
    <w:p w14:paraId="52004AA4" w14:textId="7A390533" w:rsidR="004C57CC" w:rsidRPr="000559A1" w:rsidRDefault="00440D28" w:rsidP="00561BD4">
      <w:pPr>
        <w:pStyle w:val="ListNumber"/>
        <w:numPr>
          <w:ilvl w:val="0"/>
          <w:numId w:val="0"/>
        </w:numPr>
        <w:ind w:left="360"/>
        <w:rPr>
          <w:b/>
          <w:bCs/>
        </w:rPr>
      </w:pPr>
      <w:r w:rsidRPr="000559A1">
        <w:rPr>
          <w:b/>
          <w:bCs/>
        </w:rPr>
        <w:t>Recommendation 1</w:t>
      </w:r>
      <w:r w:rsidR="00C56C87">
        <w:rPr>
          <w:b/>
          <w:bCs/>
        </w:rPr>
        <w:t>6</w:t>
      </w:r>
      <w:r w:rsidRPr="000559A1">
        <w:rPr>
          <w:b/>
          <w:bCs/>
        </w:rPr>
        <w:t xml:space="preserve">: Greater investment be provided to schools </w:t>
      </w:r>
      <w:r w:rsidR="009B5199">
        <w:rPr>
          <w:b/>
          <w:bCs/>
        </w:rPr>
        <w:t xml:space="preserve">to </w:t>
      </w:r>
      <w:r w:rsidR="009B5199" w:rsidRPr="000559A1">
        <w:rPr>
          <w:b/>
          <w:bCs/>
        </w:rPr>
        <w:t>enabl</w:t>
      </w:r>
      <w:r w:rsidR="009B5199">
        <w:rPr>
          <w:b/>
          <w:bCs/>
        </w:rPr>
        <w:t>e</w:t>
      </w:r>
      <w:r w:rsidR="009B5199" w:rsidRPr="000559A1">
        <w:rPr>
          <w:b/>
          <w:bCs/>
        </w:rPr>
        <w:t xml:space="preserve"> </w:t>
      </w:r>
      <w:r w:rsidRPr="000559A1">
        <w:rPr>
          <w:b/>
          <w:bCs/>
        </w:rPr>
        <w:t>them to te</w:t>
      </w:r>
      <w:r w:rsidR="002B2DFC">
        <w:rPr>
          <w:b/>
          <w:bCs/>
        </w:rPr>
        <w:t>a</w:t>
      </w:r>
      <w:r w:rsidRPr="000559A1">
        <w:rPr>
          <w:b/>
          <w:bCs/>
        </w:rPr>
        <w:t xml:space="preserve">ch children from </w:t>
      </w:r>
      <w:r w:rsidR="005070A7" w:rsidRPr="000559A1">
        <w:rPr>
          <w:b/>
          <w:bCs/>
        </w:rPr>
        <w:t xml:space="preserve">the start of their primary education about how </w:t>
      </w:r>
      <w:r w:rsidR="00E607C1" w:rsidRPr="000559A1">
        <w:rPr>
          <w:b/>
          <w:bCs/>
        </w:rPr>
        <w:t>privacy and data may affect them online</w:t>
      </w:r>
      <w:r w:rsidR="000559A1" w:rsidRPr="000559A1">
        <w:rPr>
          <w:b/>
          <w:bCs/>
        </w:rPr>
        <w:t xml:space="preserve">. </w:t>
      </w:r>
      <w:r w:rsidR="0070119E">
        <w:rPr>
          <w:b/>
          <w:bCs/>
        </w:rPr>
        <w:t>C</w:t>
      </w:r>
      <w:r w:rsidR="000559A1" w:rsidRPr="000559A1">
        <w:rPr>
          <w:b/>
          <w:bCs/>
        </w:rPr>
        <w:t>hildren must be taught how to read</w:t>
      </w:r>
      <w:r w:rsidR="0070119E">
        <w:rPr>
          <w:b/>
          <w:bCs/>
        </w:rPr>
        <w:t>/</w:t>
      </w:r>
      <w:r w:rsidR="000559A1" w:rsidRPr="000559A1">
        <w:rPr>
          <w:b/>
          <w:bCs/>
        </w:rPr>
        <w:t>understand collection notices and privacy policies in the prescribed format as determined by the Act and/or the Children’s Online Privacy Code.</w:t>
      </w:r>
    </w:p>
    <w:p w14:paraId="0EC5938B" w14:textId="77777777" w:rsidR="00B9448A" w:rsidRDefault="00B9448A" w:rsidP="00561BD4">
      <w:pPr>
        <w:pStyle w:val="ListNumber"/>
        <w:numPr>
          <w:ilvl w:val="0"/>
          <w:numId w:val="0"/>
        </w:numPr>
        <w:ind w:left="360"/>
      </w:pPr>
    </w:p>
    <w:p w14:paraId="35DF0F87" w14:textId="5878E406" w:rsidR="002B7AC3" w:rsidRDefault="002B7AC3" w:rsidP="00561BD4">
      <w:pPr>
        <w:pStyle w:val="Heading1"/>
      </w:pPr>
      <w:bookmarkStart w:id="58" w:name="_Toc131585367"/>
      <w:r>
        <w:t>Proposal 16.4</w:t>
      </w:r>
      <w:bookmarkEnd w:id="58"/>
    </w:p>
    <w:p w14:paraId="73A20C41" w14:textId="0690329B" w:rsidR="002B7AC3" w:rsidRPr="003426B1" w:rsidRDefault="008A6100" w:rsidP="00561BD4">
      <w:pPr>
        <w:rPr>
          <w:i/>
          <w:iCs/>
        </w:rPr>
      </w:pPr>
      <w:r w:rsidRPr="003426B1">
        <w:rPr>
          <w:i/>
          <w:iCs/>
        </w:rPr>
        <w:t>Require entities to have regard to the best interests of the child as part of considering whether a collection, use or disclosure is fair and reasonable in the circumstances.</w:t>
      </w:r>
    </w:p>
    <w:p w14:paraId="48EEB6AD" w14:textId="64DB6430" w:rsidR="008A6100" w:rsidRPr="00AD119F" w:rsidRDefault="008A6100" w:rsidP="00561BD4">
      <w:pPr>
        <w:pStyle w:val="ListNumber"/>
        <w:rPr>
          <w:rFonts w:cs="Open Sans"/>
        </w:rPr>
      </w:pPr>
      <w:r w:rsidRPr="00AD119F">
        <w:t xml:space="preserve">Online privacy and safety measures should be developed in accordance </w:t>
      </w:r>
      <w:r>
        <w:t>with a</w:t>
      </w:r>
      <w:r w:rsidRPr="00AD119F">
        <w:t>rt 3 of the CRC</w:t>
      </w:r>
      <w:r w:rsidR="00DE3023">
        <w:t>,</w:t>
      </w:r>
      <w:r w:rsidRPr="00AD119F">
        <w:t xml:space="preserve"> </w:t>
      </w:r>
      <w:r>
        <w:t xml:space="preserve">which </w:t>
      </w:r>
      <w:r w:rsidRPr="00AD119F">
        <w:t xml:space="preserve">requires that the </w:t>
      </w:r>
      <w:r w:rsidR="00D52160">
        <w:t>‘</w:t>
      </w:r>
      <w:r w:rsidRPr="00AD119F">
        <w:t>best interests</w:t>
      </w:r>
      <w:r w:rsidR="00D52160">
        <w:t>’</w:t>
      </w:r>
      <w:r w:rsidRPr="00AD119F">
        <w:t xml:space="preserve"> of the child be a primary consideration in all actions concerning them. This is one of </w:t>
      </w:r>
      <w:r w:rsidR="00DE3023">
        <w:t xml:space="preserve">the </w:t>
      </w:r>
      <w:r w:rsidRPr="00AD119F">
        <w:t xml:space="preserve">four guiding principles of the CRC.  </w:t>
      </w:r>
    </w:p>
    <w:p w14:paraId="08E2F8FF" w14:textId="77777777" w:rsidR="008A6100" w:rsidRPr="002E7290" w:rsidRDefault="008A6100" w:rsidP="00561BD4">
      <w:pPr>
        <w:pStyle w:val="ListNumber"/>
        <w:rPr>
          <w:rFonts w:cs="Open Sans"/>
        </w:rPr>
      </w:pPr>
      <w:r>
        <w:t xml:space="preserve">The </w:t>
      </w:r>
      <w:r w:rsidRPr="00257899">
        <w:t xml:space="preserve">best interests of every child </w:t>
      </w:r>
      <w:r>
        <w:t xml:space="preserve">should be </w:t>
      </w:r>
      <w:r w:rsidRPr="00257899">
        <w:t>a primary consideration</w:t>
      </w:r>
      <w:r w:rsidRPr="002E7290">
        <w:rPr>
          <w:rFonts w:cs="Open Sans"/>
        </w:rPr>
        <w:t xml:space="preserve"> in the digital environment.</w:t>
      </w:r>
      <w:r w:rsidRPr="00F22E9B">
        <w:rPr>
          <w:sz w:val="20"/>
          <w:szCs w:val="20"/>
          <w:vertAlign w:val="superscript"/>
        </w:rPr>
        <w:endnoteReference w:id="141"/>
      </w:r>
      <w:r w:rsidRPr="002E7290">
        <w:rPr>
          <w:rFonts w:cs="Open Sans"/>
          <w:sz w:val="22"/>
          <w:szCs w:val="22"/>
        </w:rPr>
        <w:t xml:space="preserve"> </w:t>
      </w:r>
      <w:r w:rsidRPr="002E7290">
        <w:rPr>
          <w:rFonts w:cs="Open Sans"/>
        </w:rPr>
        <w:t>When considering the best interests of the child, regard should be had to ‘all children’s rights, including their right to seek, receive and impart information, to be protected from harm and to have their views given due weight’ in addition to ensuring transparency over the criteria applied to determine best interests.</w:t>
      </w:r>
      <w:r w:rsidRPr="00F22E9B">
        <w:rPr>
          <w:sz w:val="20"/>
          <w:szCs w:val="20"/>
          <w:vertAlign w:val="superscript"/>
        </w:rPr>
        <w:endnoteReference w:id="142"/>
      </w:r>
      <w:r w:rsidRPr="002E7290">
        <w:rPr>
          <w:rFonts w:cs="Open Sans"/>
        </w:rPr>
        <w:t xml:space="preserve"> Where rights are limited to protect children from online harms, limitations must be lawful, necessary and proportionate. Maximising children’s privacy and securing their personal data is itself a ‘crucial means of acting in their best interests’.</w:t>
      </w:r>
      <w:r w:rsidRPr="00F22E9B">
        <w:rPr>
          <w:sz w:val="20"/>
          <w:szCs w:val="20"/>
          <w:vertAlign w:val="superscript"/>
        </w:rPr>
        <w:endnoteReference w:id="143"/>
      </w:r>
      <w:r w:rsidRPr="002E7290">
        <w:rPr>
          <w:rFonts w:cs="Open Sans"/>
        </w:rPr>
        <w:t xml:space="preserve"> </w:t>
      </w:r>
    </w:p>
    <w:p w14:paraId="06770291" w14:textId="77777777" w:rsidR="008A6100" w:rsidRPr="003F1623" w:rsidRDefault="008A6100" w:rsidP="00561BD4">
      <w:pPr>
        <w:pStyle w:val="ListNumber"/>
        <w:rPr>
          <w:rFonts w:cs="Open Sans"/>
        </w:rPr>
      </w:pPr>
      <w:r w:rsidRPr="00B35EAE">
        <w:rPr>
          <w:rFonts w:cs="Open Sans"/>
        </w:rPr>
        <w:t xml:space="preserve">Children’s privacy should not be construed narrowly as relating only to data protection measures, and should recognise the importance of children’s autonomy and choice over their private lives. </w:t>
      </w:r>
      <w:r>
        <w:rPr>
          <w:rFonts w:cs="Open Sans"/>
        </w:rPr>
        <w:t>A</w:t>
      </w:r>
      <w:r w:rsidRPr="00B35EAE">
        <w:rPr>
          <w:rFonts w:cs="Open Sans"/>
        </w:rPr>
        <w:t xml:space="preserve"> best interests approach may require implementing clear boundaries to prevent practices that both infringe upon children’s rights and are contrary to their best interests, including by curtailing routine and indiscriminate digital surveillance measures.</w:t>
      </w:r>
      <w:r w:rsidRPr="00893FF0">
        <w:rPr>
          <w:sz w:val="20"/>
          <w:szCs w:val="20"/>
          <w:vertAlign w:val="superscript"/>
        </w:rPr>
        <w:endnoteReference w:id="144"/>
      </w:r>
      <w:r w:rsidRPr="00B35EAE">
        <w:rPr>
          <w:rFonts w:cs="Open Sans"/>
          <w:sz w:val="22"/>
          <w:szCs w:val="22"/>
        </w:rPr>
        <w:t xml:space="preserve"> </w:t>
      </w:r>
    </w:p>
    <w:p w14:paraId="1EAA236F" w14:textId="77777777" w:rsidR="008A6100" w:rsidRPr="005C0009" w:rsidRDefault="008A6100" w:rsidP="00561BD4">
      <w:pPr>
        <w:pStyle w:val="ListNumber"/>
        <w:rPr>
          <w:rFonts w:cs="Open Sans"/>
        </w:rPr>
      </w:pPr>
      <w:r w:rsidRPr="00A212AB">
        <w:rPr>
          <w:rFonts w:cs="Open Sans"/>
        </w:rPr>
        <w:lastRenderedPageBreak/>
        <w:t>Children should have access to complaint and remedial mechanisms if their right to privacy is breached, and child-friendly information</w:t>
      </w:r>
      <w:r>
        <w:rPr>
          <w:rFonts w:cs="Open Sans"/>
        </w:rPr>
        <w:t xml:space="preserve"> tailored to children’s level of maturity and development</w:t>
      </w:r>
      <w:r w:rsidRPr="00A212AB">
        <w:rPr>
          <w:rFonts w:cs="Open Sans"/>
        </w:rPr>
        <w:t xml:space="preserve"> about recourses should be readily accessible.</w:t>
      </w:r>
      <w:r w:rsidRPr="00F22E9B">
        <w:rPr>
          <w:sz w:val="20"/>
          <w:szCs w:val="20"/>
          <w:vertAlign w:val="superscript"/>
        </w:rPr>
        <w:endnoteReference w:id="145"/>
      </w:r>
      <w:r w:rsidRPr="00F22E9B">
        <w:rPr>
          <w:rFonts w:cs="Open Sans"/>
          <w:sz w:val="22"/>
          <w:szCs w:val="22"/>
        </w:rPr>
        <w:t xml:space="preserve"> </w:t>
      </w:r>
      <w:r w:rsidRPr="00A212AB">
        <w:rPr>
          <w:rFonts w:cs="Open Sans"/>
        </w:rPr>
        <w:t xml:space="preserve">To secure children’s privacy it is necessary to integrate human rights-by-design into digital products and services and to require high default privacy settings for </w:t>
      </w:r>
      <w:r w:rsidRPr="00D204B3">
        <w:rPr>
          <w:sz w:val="22"/>
          <w:szCs w:val="22"/>
        </w:rPr>
        <w:t>all</w:t>
      </w:r>
      <w:r w:rsidRPr="6D05706E">
        <w:rPr>
          <w:i/>
          <w:iCs/>
          <w:sz w:val="22"/>
          <w:szCs w:val="22"/>
        </w:rPr>
        <w:t xml:space="preserve"> </w:t>
      </w:r>
      <w:r w:rsidRPr="00A212AB">
        <w:rPr>
          <w:rFonts w:cs="Open Sans"/>
        </w:rPr>
        <w:t>users of online services.</w:t>
      </w:r>
      <w:r w:rsidRPr="00F22E9B">
        <w:rPr>
          <w:sz w:val="20"/>
          <w:szCs w:val="20"/>
          <w:vertAlign w:val="superscript"/>
        </w:rPr>
        <w:endnoteReference w:id="146"/>
      </w:r>
      <w:r w:rsidRPr="00A212AB">
        <w:rPr>
          <w:rFonts w:cs="Open Sans"/>
        </w:rPr>
        <w:t xml:space="preserve"> </w:t>
      </w:r>
    </w:p>
    <w:p w14:paraId="001E19FE" w14:textId="77777777" w:rsidR="008A6100" w:rsidRPr="00B35EAE" w:rsidRDefault="008A6100" w:rsidP="00561BD4">
      <w:pPr>
        <w:pStyle w:val="ListNumber"/>
        <w:rPr>
          <w:rFonts w:cs="Open Sans"/>
        </w:rPr>
      </w:pPr>
      <w:r w:rsidRPr="6D05706E">
        <w:rPr>
          <w:rFonts w:cs="Open Sans"/>
        </w:rPr>
        <w:t xml:space="preserve">Practices such as online tracking, profiling, behavioural monitoring and ‘nudging’, the collection of biometric and geolocation data from children, automated decisions affecting children and the unjustifiable sale or transfer of children’s personal data to third parties should be banned or heavily restricted to protect children’s rights. For example, among other things, General Comment 25 requires parties to: </w:t>
      </w:r>
    </w:p>
    <w:p w14:paraId="1DD7CF63" w14:textId="77777777" w:rsidR="008A6100" w:rsidRPr="00A212AB" w:rsidRDefault="008A6100" w:rsidP="00561BD4">
      <w:pPr>
        <w:pStyle w:val="NoSpacing"/>
        <w:rPr>
          <w:rFonts w:cs="Open Sans"/>
        </w:rPr>
      </w:pPr>
    </w:p>
    <w:p w14:paraId="7B3BBF96" w14:textId="3765E140" w:rsidR="008A6100" w:rsidRPr="00813745" w:rsidRDefault="008A6100" w:rsidP="00561BD4">
      <w:pPr>
        <w:pStyle w:val="NoSpacing"/>
        <w:ind w:left="720"/>
        <w:rPr>
          <w:i/>
          <w:sz w:val="20"/>
          <w:szCs w:val="20"/>
        </w:rPr>
      </w:pPr>
      <w:r w:rsidRPr="00813745">
        <w:rPr>
          <w:rFonts w:cs="Open Sans"/>
          <w:sz w:val="22"/>
          <w:szCs w:val="22"/>
          <w:lang w:val="en-GB"/>
        </w:rPr>
        <w:t>[P]</w:t>
      </w:r>
      <w:proofErr w:type="spellStart"/>
      <w:r w:rsidRPr="00813745">
        <w:rPr>
          <w:rFonts w:cs="Open Sans"/>
          <w:sz w:val="22"/>
          <w:szCs w:val="22"/>
          <w:lang w:val="en-GB"/>
        </w:rPr>
        <w:t>rohibit</w:t>
      </w:r>
      <w:proofErr w:type="spellEnd"/>
      <w:r w:rsidRPr="00813745">
        <w:rPr>
          <w:rFonts w:cs="Open Sans"/>
          <w:sz w:val="22"/>
          <w:szCs w:val="22"/>
          <w:lang w:val="en-GB"/>
        </w:rPr>
        <w:t xml:space="preserve"> by law the profiling or targeting of children of any age for commercial purposes on the basis of a digital record of their actual or inferred characteristics, including group or collective data, targeting by association or affinity profiling. Practices that rely on neuromarketing, emotional analytics, immersive advertising and advertising in virtual and augmented reality environments to promote products, applications and services should also be prohibited from engagement directly or indirectly with children</w:t>
      </w:r>
      <w:r w:rsidRPr="00813745">
        <w:rPr>
          <w:sz w:val="20"/>
          <w:szCs w:val="20"/>
          <w:vertAlign w:val="superscript"/>
        </w:rPr>
        <w:endnoteReference w:id="147"/>
      </w:r>
    </w:p>
    <w:p w14:paraId="3E31D5AD" w14:textId="77777777" w:rsidR="008A6100" w:rsidRPr="00A212AB" w:rsidRDefault="008A6100" w:rsidP="00561BD4">
      <w:pPr>
        <w:pStyle w:val="NoSpacing"/>
        <w:rPr>
          <w:rFonts w:cs="Open Sans"/>
        </w:rPr>
      </w:pPr>
    </w:p>
    <w:p w14:paraId="18DF352D" w14:textId="77777777" w:rsidR="008A6100" w:rsidRPr="00584231" w:rsidRDefault="008A6100" w:rsidP="00561BD4">
      <w:pPr>
        <w:pStyle w:val="ListNumber"/>
        <w:rPr>
          <w:rFonts w:cs="Open Sans"/>
        </w:rPr>
      </w:pPr>
      <w:r>
        <w:rPr>
          <w:rFonts w:cs="Open Sans"/>
        </w:rPr>
        <w:t xml:space="preserve">This is especially important given </w:t>
      </w:r>
      <w:r w:rsidRPr="00584231">
        <w:rPr>
          <w:rFonts w:cs="Open Sans"/>
        </w:rPr>
        <w:t>the Special Rapporteur estimated that the ‘the online advertising market for children could be worth 1.7 billion by 2021, with more than 72 million pieces of data collected for each child by online advertising companies before the child reaches the age of 13’.</w:t>
      </w:r>
      <w:r w:rsidRPr="002C5E82">
        <w:rPr>
          <w:sz w:val="22"/>
          <w:szCs w:val="22"/>
          <w:vertAlign w:val="superscript"/>
        </w:rPr>
        <w:endnoteReference w:id="148"/>
      </w:r>
      <w:r w:rsidRPr="00A212AB">
        <w:rPr>
          <w:rFonts w:cs="Open Sans"/>
        </w:rPr>
        <w:t xml:space="preserve"> </w:t>
      </w:r>
      <w:r w:rsidRPr="00584231">
        <w:rPr>
          <w:rFonts w:cs="Open Sans"/>
        </w:rPr>
        <w:t xml:space="preserve">    </w:t>
      </w:r>
    </w:p>
    <w:p w14:paraId="4607C555" w14:textId="3968632C" w:rsidR="008A6100" w:rsidRPr="00A212AB" w:rsidRDefault="000E76CA" w:rsidP="00561BD4">
      <w:pPr>
        <w:pStyle w:val="ListNumber"/>
        <w:rPr>
          <w:rFonts w:cs="Open Sans"/>
        </w:rPr>
      </w:pPr>
      <w:r>
        <w:rPr>
          <w:rFonts w:cs="Open Sans"/>
        </w:rPr>
        <w:t>B</w:t>
      </w:r>
      <w:r w:rsidRPr="00A212AB">
        <w:rPr>
          <w:rFonts w:cs="Open Sans"/>
        </w:rPr>
        <w:t xml:space="preserve">est </w:t>
      </w:r>
      <w:r w:rsidR="008A6100" w:rsidRPr="00A212AB">
        <w:rPr>
          <w:rFonts w:cs="Open Sans"/>
        </w:rPr>
        <w:t xml:space="preserve">interest considerations </w:t>
      </w:r>
      <w:r>
        <w:rPr>
          <w:rFonts w:cs="Open Sans"/>
        </w:rPr>
        <w:t>should</w:t>
      </w:r>
      <w:r w:rsidRPr="00A212AB">
        <w:rPr>
          <w:rFonts w:cs="Open Sans"/>
        </w:rPr>
        <w:t xml:space="preserve"> </w:t>
      </w:r>
      <w:r w:rsidR="008A6100" w:rsidRPr="00A212AB">
        <w:rPr>
          <w:rFonts w:cs="Open Sans"/>
        </w:rPr>
        <w:t xml:space="preserve">not </w:t>
      </w:r>
      <w:r>
        <w:rPr>
          <w:rFonts w:cs="Open Sans"/>
        </w:rPr>
        <w:t xml:space="preserve">be </w:t>
      </w:r>
      <w:r w:rsidR="008A6100" w:rsidRPr="00A212AB">
        <w:rPr>
          <w:rFonts w:cs="Open Sans"/>
        </w:rPr>
        <w:t>based on assumptions about what is in the interests of children</w:t>
      </w:r>
      <w:r w:rsidR="00903276">
        <w:rPr>
          <w:rFonts w:cs="Open Sans"/>
        </w:rPr>
        <w:t>. T</w:t>
      </w:r>
      <w:r w:rsidR="008A6100" w:rsidRPr="00A212AB">
        <w:rPr>
          <w:rFonts w:cs="Open Sans"/>
        </w:rPr>
        <w:t xml:space="preserve">heir views </w:t>
      </w:r>
      <w:r>
        <w:rPr>
          <w:rFonts w:cs="Open Sans"/>
        </w:rPr>
        <w:t>should be</w:t>
      </w:r>
      <w:r w:rsidRPr="00A212AB">
        <w:rPr>
          <w:rFonts w:cs="Open Sans"/>
        </w:rPr>
        <w:t xml:space="preserve"> </w:t>
      </w:r>
      <w:r w:rsidR="008A6100" w:rsidRPr="00A212AB">
        <w:rPr>
          <w:rFonts w:cs="Open Sans"/>
        </w:rPr>
        <w:t>actively considered.</w:t>
      </w:r>
      <w:r w:rsidR="008A6100" w:rsidRPr="2849F4EA">
        <w:rPr>
          <w:rStyle w:val="EndnoteReference"/>
        </w:rPr>
        <w:endnoteReference w:id="149"/>
      </w:r>
      <w:r w:rsidR="008A6100" w:rsidRPr="00A212AB">
        <w:rPr>
          <w:rFonts w:cs="Open Sans"/>
        </w:rPr>
        <w:t xml:space="preserve"> In this regard</w:t>
      </w:r>
      <w:r w:rsidR="008A6100">
        <w:rPr>
          <w:rFonts w:cs="Open Sans"/>
        </w:rPr>
        <w:t>,</w:t>
      </w:r>
      <w:r w:rsidR="008A6100" w:rsidRPr="00A212AB">
        <w:rPr>
          <w:rFonts w:cs="Open Sans"/>
        </w:rPr>
        <w:t xml:space="preserve"> the Special Rapporteur notes that</w:t>
      </w:r>
      <w:r>
        <w:rPr>
          <w:rFonts w:cs="Open Sans"/>
        </w:rPr>
        <w:t xml:space="preserve"> an</w:t>
      </w:r>
      <w:r w:rsidR="008A6100" w:rsidRPr="00A212AB">
        <w:rPr>
          <w:rFonts w:cs="Open Sans"/>
        </w:rPr>
        <w:t xml:space="preserve"> ‘adult’s interpretation of children’s privacy needs can impede the healthy development of autonomy and independence, and restrict children’s privacy in the name of protection’.</w:t>
      </w:r>
      <w:r w:rsidR="008A6100" w:rsidRPr="00813745">
        <w:rPr>
          <w:sz w:val="20"/>
          <w:szCs w:val="20"/>
          <w:vertAlign w:val="superscript"/>
        </w:rPr>
        <w:endnoteReference w:id="150"/>
      </w:r>
      <w:r w:rsidR="008A6100" w:rsidRPr="00A212AB">
        <w:rPr>
          <w:rFonts w:cs="Open Sans"/>
        </w:rPr>
        <w:t xml:space="preserve"> </w:t>
      </w:r>
      <w:r w:rsidR="006170DD">
        <w:rPr>
          <w:rFonts w:cs="Open Sans"/>
        </w:rPr>
        <w:t>The Special Rapporteur</w:t>
      </w:r>
      <w:r w:rsidR="008A6100" w:rsidRPr="00A212AB">
        <w:rPr>
          <w:rFonts w:cs="Open Sans"/>
        </w:rPr>
        <w:t xml:space="preserve"> elaborates: </w:t>
      </w:r>
    </w:p>
    <w:p w14:paraId="332A1A62" w14:textId="77777777" w:rsidR="008A6100" w:rsidRPr="00A212AB" w:rsidRDefault="008A6100" w:rsidP="00561BD4">
      <w:pPr>
        <w:pStyle w:val="NoSpacing"/>
        <w:rPr>
          <w:rFonts w:cs="Open Sans"/>
        </w:rPr>
      </w:pPr>
    </w:p>
    <w:p w14:paraId="7142E688" w14:textId="72746101" w:rsidR="008A6100" w:rsidRDefault="008A6100" w:rsidP="00561BD4">
      <w:pPr>
        <w:pStyle w:val="NoSpacing"/>
        <w:ind w:left="720"/>
        <w:rPr>
          <w:i/>
          <w:iCs/>
          <w:sz w:val="22"/>
          <w:szCs w:val="22"/>
        </w:rPr>
      </w:pPr>
      <w:r w:rsidRPr="00813745">
        <w:rPr>
          <w:rFonts w:cs="Open Sans"/>
          <w:sz w:val="22"/>
          <w:szCs w:val="22"/>
        </w:rPr>
        <w:t>While children’s dependency, hence vulnerability, can result in risks, risk does not equate to harm and navigating some risk is necessary for children to develop resilience and coping skills. Defining children by their vulnerability only, without consideration of their capacity or potential, is likely to result in overly protectionist agendas, potentially harmful to children’s personality</w:t>
      </w:r>
      <w:r w:rsidRPr="6D05706E">
        <w:rPr>
          <w:i/>
          <w:iCs/>
          <w:sz w:val="20"/>
          <w:szCs w:val="20"/>
        </w:rPr>
        <w:t>.</w:t>
      </w:r>
      <w:r w:rsidRPr="2849F4EA">
        <w:rPr>
          <w:rStyle w:val="EndnoteReference"/>
        </w:rPr>
        <w:endnoteReference w:id="151"/>
      </w:r>
    </w:p>
    <w:p w14:paraId="2E92F3CE" w14:textId="77777777" w:rsidR="008A6100" w:rsidRDefault="008A6100" w:rsidP="00561BD4">
      <w:pPr>
        <w:pStyle w:val="NoSpacing"/>
        <w:rPr>
          <w:sz w:val="22"/>
          <w:szCs w:val="22"/>
        </w:rPr>
      </w:pPr>
    </w:p>
    <w:p w14:paraId="569FFE2D" w14:textId="2A4D3DA5" w:rsidR="008A6100" w:rsidRDefault="008A6100" w:rsidP="00561BD4">
      <w:pPr>
        <w:pStyle w:val="ListNumber"/>
      </w:pPr>
      <w:r>
        <w:t xml:space="preserve">In order to ensure that the Children’s Online Privacy Code is not based on assumptions about children’s best interests, and that children’s views are properly considered, children should have an opportunity to participate in the </w:t>
      </w:r>
      <w:r>
        <w:lastRenderedPageBreak/>
        <w:t>process of developing, implementing, monitoring and evaluating the Children’s Online Privacy Code.</w:t>
      </w:r>
    </w:p>
    <w:p w14:paraId="7EC9BEE4" w14:textId="15B7AE9A" w:rsidR="008A6100" w:rsidRDefault="008A6100" w:rsidP="00561BD4">
      <w:pPr>
        <w:pStyle w:val="ListNumber"/>
        <w:rPr>
          <w:rFonts w:cs="Open Sans"/>
        </w:rPr>
      </w:pPr>
      <w:r>
        <w:t>The</w:t>
      </w:r>
      <w:r w:rsidRPr="6D05706E">
        <w:rPr>
          <w:rFonts w:cs="Open Sans"/>
        </w:rPr>
        <w:t xml:space="preserve"> Commission therefore recommends that the principle of the ‘best interests of the child’ should be used as the primary test in the Children’s Online Privacy Code, ideally with a positive duty on relevant actors to demonstrate that the principle is applied as a priority </w:t>
      </w:r>
      <w:r>
        <w:rPr>
          <w:rFonts w:cs="Open Sans"/>
        </w:rPr>
        <w:t>in</w:t>
      </w:r>
      <w:r w:rsidRPr="6D05706E">
        <w:rPr>
          <w:rFonts w:cs="Open Sans"/>
        </w:rPr>
        <w:t xml:space="preserve"> both the development and application of the instrument (in this case, the Children’s Online Privacy Code). </w:t>
      </w:r>
      <w:r w:rsidR="00EE471E">
        <w:rPr>
          <w:rFonts w:cs="Open Sans"/>
        </w:rPr>
        <w:t>This is reinforced by the Commission</w:t>
      </w:r>
      <w:r w:rsidR="009777EE">
        <w:rPr>
          <w:rFonts w:cs="Open Sans"/>
        </w:rPr>
        <w:t>’</w:t>
      </w:r>
      <w:r w:rsidR="00EE471E">
        <w:rPr>
          <w:rFonts w:cs="Open Sans"/>
        </w:rPr>
        <w:t>s Position Paper.</w:t>
      </w:r>
      <w:r w:rsidR="00EE471E">
        <w:rPr>
          <w:rStyle w:val="EndnoteReference"/>
          <w:rFonts w:cs="Open Sans"/>
        </w:rPr>
        <w:endnoteReference w:id="152"/>
      </w:r>
    </w:p>
    <w:p w14:paraId="1CAD1DED" w14:textId="77777777" w:rsidR="008A6100" w:rsidRDefault="008A6100" w:rsidP="00561BD4">
      <w:pPr>
        <w:pStyle w:val="ListNumber"/>
        <w:numPr>
          <w:ilvl w:val="0"/>
          <w:numId w:val="0"/>
        </w:numPr>
        <w:ind w:left="360"/>
        <w:rPr>
          <w:rFonts w:cs="Open Sans"/>
        </w:rPr>
      </w:pPr>
    </w:p>
    <w:p w14:paraId="3861D28F" w14:textId="33AF7670" w:rsidR="008A6100" w:rsidRDefault="008A6100" w:rsidP="00561BD4">
      <w:pPr>
        <w:pStyle w:val="ListNumber"/>
        <w:numPr>
          <w:ilvl w:val="0"/>
          <w:numId w:val="0"/>
        </w:numPr>
        <w:ind w:left="360"/>
        <w:rPr>
          <w:b/>
          <w:bCs/>
        </w:rPr>
      </w:pPr>
      <w:r w:rsidRPr="00E147D4">
        <w:rPr>
          <w:b/>
          <w:bCs/>
        </w:rPr>
        <w:t xml:space="preserve">Recommendation </w:t>
      </w:r>
      <w:r w:rsidR="009500C1">
        <w:rPr>
          <w:b/>
          <w:bCs/>
        </w:rPr>
        <w:t>1</w:t>
      </w:r>
      <w:r w:rsidR="00C56C87">
        <w:rPr>
          <w:b/>
          <w:bCs/>
        </w:rPr>
        <w:t>7</w:t>
      </w:r>
      <w:r w:rsidRPr="00E147D4">
        <w:rPr>
          <w:b/>
          <w:bCs/>
        </w:rPr>
        <w:t xml:space="preserve">: </w:t>
      </w:r>
      <w:r>
        <w:rPr>
          <w:b/>
          <w:bCs/>
        </w:rPr>
        <w:t>T</w:t>
      </w:r>
      <w:r w:rsidRPr="00D548D6">
        <w:rPr>
          <w:b/>
          <w:bCs/>
        </w:rPr>
        <w:t xml:space="preserve">he principle of the ‘best interests of the child’ should be the primary test used across all instruments affecting children online, including the </w:t>
      </w:r>
      <w:r>
        <w:rPr>
          <w:b/>
          <w:bCs/>
        </w:rPr>
        <w:t xml:space="preserve">Children’s </w:t>
      </w:r>
      <w:r w:rsidRPr="00D548D6">
        <w:rPr>
          <w:b/>
          <w:bCs/>
        </w:rPr>
        <w:t>Online Privacy Code, with a positive duty on relevant actors to demonstrate that the principle is applied</w:t>
      </w:r>
      <w:r>
        <w:rPr>
          <w:b/>
          <w:bCs/>
        </w:rPr>
        <w:t>.</w:t>
      </w:r>
    </w:p>
    <w:p w14:paraId="111A04CA" w14:textId="5DCA5300" w:rsidR="008F20A5" w:rsidRDefault="008B2A1E" w:rsidP="00561BD4">
      <w:pPr>
        <w:pStyle w:val="Heading1"/>
      </w:pPr>
      <w:bookmarkStart w:id="59" w:name="_Toc131585368"/>
      <w:r>
        <w:t xml:space="preserve">Proposal </w:t>
      </w:r>
      <w:r w:rsidR="008F20A5">
        <w:t>16.5</w:t>
      </w:r>
      <w:bookmarkEnd w:id="59"/>
    </w:p>
    <w:p w14:paraId="72269227" w14:textId="7F0B799A" w:rsidR="000323B2" w:rsidRPr="000323B2" w:rsidRDefault="000323B2" w:rsidP="00561BD4">
      <w:pPr>
        <w:pStyle w:val="ListNumber"/>
        <w:numPr>
          <w:ilvl w:val="0"/>
          <w:numId w:val="0"/>
        </w:numPr>
        <w:ind w:left="360"/>
        <w:rPr>
          <w:i/>
          <w:iCs/>
        </w:rPr>
      </w:pPr>
      <w:bookmarkStart w:id="60" w:name="_Ref128737192"/>
      <w:r w:rsidRPr="000323B2">
        <w:rPr>
          <w:i/>
          <w:iCs/>
        </w:rPr>
        <w:t>Introduce a Children’s Online Privacy Code that applies to online services that are ‘likely to be accessed by children’. To the extent possible, the scope of an Australian children’s online privacy code could align with the scope of the UK Age Appropriate Design Code, including its exemptions for certain entities including preventative or counselling services.</w:t>
      </w:r>
    </w:p>
    <w:p w14:paraId="4CC1CD3D" w14:textId="5D126DEA" w:rsidR="000323B2" w:rsidRPr="000323B2" w:rsidRDefault="000323B2" w:rsidP="00561BD4">
      <w:pPr>
        <w:pStyle w:val="ListNumber"/>
        <w:numPr>
          <w:ilvl w:val="0"/>
          <w:numId w:val="0"/>
        </w:numPr>
        <w:ind w:left="360"/>
        <w:rPr>
          <w:i/>
          <w:iCs/>
        </w:rPr>
      </w:pPr>
      <w:r w:rsidRPr="000323B2">
        <w:rPr>
          <w:i/>
          <w:iCs/>
        </w:rPr>
        <w:t>The code developer should be required to consult broadly with children, parents, child development experts, child</w:t>
      </w:r>
      <w:r w:rsidR="006F6C81">
        <w:rPr>
          <w:i/>
          <w:iCs/>
        </w:rPr>
        <w:t xml:space="preserve"> </w:t>
      </w:r>
      <w:r w:rsidRPr="000323B2">
        <w:rPr>
          <w:i/>
          <w:iCs/>
        </w:rPr>
        <w:t xml:space="preserve">welfare advocates and industry in developing the Code. The </w:t>
      </w:r>
      <w:proofErr w:type="spellStart"/>
      <w:r w:rsidRPr="000323B2">
        <w:rPr>
          <w:i/>
          <w:iCs/>
        </w:rPr>
        <w:t>eSafety</w:t>
      </w:r>
      <w:proofErr w:type="spellEnd"/>
      <w:r w:rsidRPr="000323B2">
        <w:rPr>
          <w:i/>
          <w:iCs/>
        </w:rPr>
        <w:t xml:space="preserve"> Commissioner should also be consulted.</w:t>
      </w:r>
    </w:p>
    <w:p w14:paraId="46B89B6E" w14:textId="3C9452C5" w:rsidR="000C2E20" w:rsidRPr="000323B2" w:rsidRDefault="000323B2" w:rsidP="00561BD4">
      <w:pPr>
        <w:pStyle w:val="ListNumber"/>
        <w:numPr>
          <w:ilvl w:val="0"/>
          <w:numId w:val="0"/>
        </w:numPr>
        <w:ind w:left="360"/>
        <w:rPr>
          <w:i/>
          <w:iCs/>
        </w:rPr>
      </w:pPr>
      <w:r w:rsidRPr="000323B2">
        <w:rPr>
          <w:i/>
          <w:iCs/>
        </w:rPr>
        <w:t>The substantive requirements of the Code could address how the best interests of child users should be supported in the design of an online service.</w:t>
      </w:r>
    </w:p>
    <w:p w14:paraId="14BA973F" w14:textId="77777777" w:rsidR="0019068D" w:rsidRDefault="64B45F82" w:rsidP="00561BD4">
      <w:pPr>
        <w:pStyle w:val="ListNumber"/>
      </w:pPr>
      <w:r>
        <w:t>The Commission is broadly supportive of the introduction of a Children’s Online Privacy Code</w:t>
      </w:r>
      <w:r w:rsidR="28D83F0F">
        <w:t xml:space="preserve"> which applies to online services that are likely to be accessed by children.</w:t>
      </w:r>
      <w:bookmarkEnd w:id="60"/>
      <w:r w:rsidR="28D83F0F">
        <w:t xml:space="preserve"> </w:t>
      </w:r>
    </w:p>
    <w:p w14:paraId="2C652626" w14:textId="41612778" w:rsidR="008B2A1E" w:rsidRDefault="00663E08" w:rsidP="00561BD4">
      <w:pPr>
        <w:pStyle w:val="ListNumber"/>
      </w:pPr>
      <w:r>
        <w:t>As</w:t>
      </w:r>
      <w:r w:rsidR="00CA2587">
        <w:t xml:space="preserve"> art</w:t>
      </w:r>
      <w:r>
        <w:t xml:space="preserve"> 12 of the CRC states, children have </w:t>
      </w:r>
      <w:r w:rsidR="00EA6BFE">
        <w:t xml:space="preserve">a </w:t>
      </w:r>
      <w:r>
        <w:t>right to</w:t>
      </w:r>
      <w:r w:rsidR="00EF63AF">
        <w:t xml:space="preserve"> express </w:t>
      </w:r>
      <w:r w:rsidR="00E81CA6">
        <w:t>their</w:t>
      </w:r>
      <w:r>
        <w:t xml:space="preserve"> views and opinions</w:t>
      </w:r>
      <w:r w:rsidR="00C258DA">
        <w:t xml:space="preserve"> freely in all matters impacting them</w:t>
      </w:r>
      <w:r>
        <w:t>, and be listened to</w:t>
      </w:r>
      <w:r w:rsidR="0082113B">
        <w:t xml:space="preserve"> with </w:t>
      </w:r>
      <w:r w:rsidR="00C258DA">
        <w:t xml:space="preserve">due </w:t>
      </w:r>
      <w:r w:rsidR="0082113B">
        <w:t xml:space="preserve">weight </w:t>
      </w:r>
      <w:r w:rsidR="00E81CA6">
        <w:t xml:space="preserve">in </w:t>
      </w:r>
      <w:r w:rsidR="0082113B">
        <w:t>accord</w:t>
      </w:r>
      <w:r w:rsidR="00E81CA6">
        <w:t>ance with</w:t>
      </w:r>
      <w:r w:rsidR="0082113B">
        <w:t xml:space="preserve"> their level of development and circumstance. </w:t>
      </w:r>
      <w:r w:rsidR="00E81CA6">
        <w:t>Accordingly, i</w:t>
      </w:r>
      <w:r w:rsidR="0082113B">
        <w:t xml:space="preserve">t is imperative that their </w:t>
      </w:r>
      <w:r w:rsidR="00B06018">
        <w:t xml:space="preserve">views and experiences are included in the development, implementation, monitoring and evaluation of a </w:t>
      </w:r>
      <w:r w:rsidR="00101970">
        <w:t>Children’s Online Privacy Code.</w:t>
      </w:r>
    </w:p>
    <w:p w14:paraId="65FBF82C" w14:textId="4733F6FE" w:rsidR="001E49DF" w:rsidRDefault="0013597B" w:rsidP="00561BD4">
      <w:pPr>
        <w:pStyle w:val="ListNumber"/>
      </w:pPr>
      <w:r>
        <w:t>T</w:t>
      </w:r>
      <w:r w:rsidR="67E209AE">
        <w:t xml:space="preserve">he Commission would reinforce the need for broad consultation and input from children, young people, parents and schools </w:t>
      </w:r>
      <w:r w:rsidR="36BF60AE">
        <w:t xml:space="preserve">on the kinds of online services which children are likely to access. </w:t>
      </w:r>
      <w:r w:rsidR="006839CC">
        <w:t xml:space="preserve">It will also be of particular </w:t>
      </w:r>
      <w:r w:rsidR="006839CC">
        <w:lastRenderedPageBreak/>
        <w:t>importance to include</w:t>
      </w:r>
      <w:r w:rsidR="00F828EC">
        <w:t>, for example,</w:t>
      </w:r>
      <w:r w:rsidR="006839CC">
        <w:t xml:space="preserve"> children</w:t>
      </w:r>
      <w:r w:rsidR="00437AF2">
        <w:t xml:space="preserve"> and young people</w:t>
      </w:r>
      <w:r w:rsidR="006839CC">
        <w:t xml:space="preserve"> from diverse </w:t>
      </w:r>
      <w:r w:rsidR="00E666FE">
        <w:t xml:space="preserve">backgrounds, including those who are Aboriginal and Torres Strait Islander, culturally and linguistically diverse, </w:t>
      </w:r>
      <w:r w:rsidR="0056194F">
        <w:t xml:space="preserve">living with disability, </w:t>
      </w:r>
      <w:r w:rsidR="00F828EC">
        <w:t xml:space="preserve">and </w:t>
      </w:r>
      <w:r w:rsidR="0056194F">
        <w:t>from refugee backgrounds</w:t>
      </w:r>
      <w:r w:rsidR="0010568B">
        <w:t>, to understand the full spectrum of experiences</w:t>
      </w:r>
      <w:r w:rsidR="00307C5D">
        <w:t>, views and opinions held by</w:t>
      </w:r>
      <w:r w:rsidR="0010568B">
        <w:t xml:space="preserve"> children and young people</w:t>
      </w:r>
      <w:r w:rsidR="00D828BE">
        <w:t xml:space="preserve">. </w:t>
      </w:r>
      <w:r w:rsidR="00326B1C">
        <w:t xml:space="preserve">These consultations will require </w:t>
      </w:r>
      <w:r w:rsidR="008A62F7">
        <w:t>child-specific methodologie</w:t>
      </w:r>
      <w:r w:rsidR="00BE3652">
        <w:t xml:space="preserve">s. </w:t>
      </w:r>
    </w:p>
    <w:p w14:paraId="06F3ED5B" w14:textId="504452AC" w:rsidR="000E4E7A" w:rsidRDefault="36BF60AE" w:rsidP="00561BD4">
      <w:pPr>
        <w:pStyle w:val="ListNumber"/>
      </w:pPr>
      <w:r>
        <w:t xml:space="preserve">This may include </w:t>
      </w:r>
      <w:r w:rsidR="34A69D99">
        <w:t xml:space="preserve">acknowledging that </w:t>
      </w:r>
      <w:r w:rsidR="0013597B">
        <w:t>children</w:t>
      </w:r>
      <w:r w:rsidR="34A69D99">
        <w:t xml:space="preserve"> may be accessing online services which are age restricted </w:t>
      </w:r>
      <w:r w:rsidR="774FF58E">
        <w:t>(</w:t>
      </w:r>
      <w:r w:rsidR="6E19893A">
        <w:t xml:space="preserve">services which require a </w:t>
      </w:r>
      <w:r w:rsidR="774FF58E">
        <w:t>user</w:t>
      </w:r>
      <w:r w:rsidR="6E19893A">
        <w:t xml:space="preserve"> to</w:t>
      </w:r>
      <w:r w:rsidR="774FF58E">
        <w:t xml:space="preserve"> be over 18 years old)</w:t>
      </w:r>
      <w:r w:rsidR="0F27D58B">
        <w:t xml:space="preserve">. For example, </w:t>
      </w:r>
      <w:r w:rsidR="6E19893A">
        <w:t xml:space="preserve">pornography is </w:t>
      </w:r>
      <w:r w:rsidR="5551F607">
        <w:t>often age restricted and yet is frequently utilised by children and young people. R</w:t>
      </w:r>
      <w:r w:rsidR="14D38137">
        <w:t xml:space="preserve">esearch has shown that 28% of children aged 11 to 12 years had seen pornography, while that same study also found that 65% of children aged </w:t>
      </w:r>
      <w:r w:rsidR="37474D0D">
        <w:t>15 to 16 had seen pornography online – with 94% of those having first seen it by the age of 14.</w:t>
      </w:r>
      <w:r w:rsidR="00C96D26">
        <w:rPr>
          <w:rStyle w:val="EndnoteReference"/>
        </w:rPr>
        <w:endnoteReference w:id="153"/>
      </w:r>
      <w:r w:rsidR="774FF58E">
        <w:t xml:space="preserve"> </w:t>
      </w:r>
      <w:r w:rsidR="65F87CA7">
        <w:t xml:space="preserve">Pornography is just one example of children accessing material online which </w:t>
      </w:r>
      <w:r w:rsidR="762B62BF">
        <w:t xml:space="preserve">is traditionally not </w:t>
      </w:r>
      <w:r w:rsidR="00610AE3">
        <w:t xml:space="preserve">meant to be </w:t>
      </w:r>
      <w:r w:rsidR="762B62BF">
        <w:t>targeted to them</w:t>
      </w:r>
      <w:r w:rsidR="00610AE3">
        <w:t>. T</w:t>
      </w:r>
      <w:r w:rsidR="762B62BF">
        <w:t xml:space="preserve">here is a variety of other </w:t>
      </w:r>
      <w:r w:rsidR="0068341C">
        <w:t>material</w:t>
      </w:r>
      <w:r w:rsidR="00F65371">
        <w:t>, such as violent or gambling content,</w:t>
      </w:r>
      <w:r w:rsidR="762B62BF">
        <w:t xml:space="preserve"> which is also not traditionally </w:t>
      </w:r>
      <w:r w:rsidR="00610AE3">
        <w:t xml:space="preserve">meant to be </w:t>
      </w:r>
      <w:r w:rsidR="762B62BF">
        <w:t>targeted to</w:t>
      </w:r>
      <w:r w:rsidR="00610AE3">
        <w:t>wards</w:t>
      </w:r>
      <w:r w:rsidR="762B62BF">
        <w:t xml:space="preserve"> children, </w:t>
      </w:r>
      <w:r w:rsidR="00F65371">
        <w:t>bu</w:t>
      </w:r>
      <w:r w:rsidR="66317663">
        <w:t>t</w:t>
      </w:r>
      <w:r w:rsidR="00F65371">
        <w:t xml:space="preserve"> </w:t>
      </w:r>
      <w:r w:rsidR="762B62BF">
        <w:t>which children often access.</w:t>
      </w:r>
      <w:r w:rsidR="0CABDC13">
        <w:t xml:space="preserve"> </w:t>
      </w:r>
    </w:p>
    <w:p w14:paraId="5AB62A61" w14:textId="3D1404A5" w:rsidR="00DD1ED0" w:rsidRDefault="0CABDC13" w:rsidP="00561BD4">
      <w:pPr>
        <w:pStyle w:val="ListNumber"/>
      </w:pPr>
      <w:r>
        <w:t xml:space="preserve">These sorts of online </w:t>
      </w:r>
      <w:r w:rsidR="000E7A86">
        <w:t xml:space="preserve">environments </w:t>
      </w:r>
      <w:r>
        <w:t xml:space="preserve">which children </w:t>
      </w:r>
      <w:r w:rsidR="0013597B">
        <w:t xml:space="preserve">may </w:t>
      </w:r>
      <w:r>
        <w:t xml:space="preserve">be accessing must be considered in </w:t>
      </w:r>
      <w:r w:rsidR="00F65371">
        <w:t xml:space="preserve">the development of </w:t>
      </w:r>
      <w:r>
        <w:t xml:space="preserve">a Children’s Online Privacy Code. It is insufficient to limit the application of ‘likely to be accessed by children’ to just online services which traditionally target children. The application must reflect how children and young people actually engage with online services. </w:t>
      </w:r>
    </w:p>
    <w:p w14:paraId="1D935B57" w14:textId="77777777" w:rsidR="00EC7091" w:rsidRDefault="00EC7091" w:rsidP="00561BD4">
      <w:pPr>
        <w:pStyle w:val="ListNumber"/>
        <w:numPr>
          <w:ilvl w:val="0"/>
          <w:numId w:val="0"/>
        </w:numPr>
      </w:pPr>
    </w:p>
    <w:p w14:paraId="72912CDA" w14:textId="7FEFF975" w:rsidR="001B46AA" w:rsidRPr="00EC7091" w:rsidRDefault="001B46AA" w:rsidP="00561BD4">
      <w:pPr>
        <w:pStyle w:val="ListNumber"/>
        <w:numPr>
          <w:ilvl w:val="0"/>
          <w:numId w:val="0"/>
        </w:numPr>
        <w:ind w:left="360"/>
        <w:rPr>
          <w:b/>
          <w:bCs/>
        </w:rPr>
      </w:pPr>
      <w:r w:rsidRPr="00EC7091">
        <w:rPr>
          <w:b/>
          <w:bCs/>
        </w:rPr>
        <w:t xml:space="preserve">Recommendation </w:t>
      </w:r>
      <w:r>
        <w:rPr>
          <w:b/>
          <w:bCs/>
        </w:rPr>
        <w:t>1</w:t>
      </w:r>
      <w:r w:rsidR="00C56C87">
        <w:rPr>
          <w:b/>
          <w:bCs/>
        </w:rPr>
        <w:t>8</w:t>
      </w:r>
      <w:r w:rsidRPr="00EC7091">
        <w:rPr>
          <w:b/>
          <w:bCs/>
        </w:rPr>
        <w:t xml:space="preserve">: </w:t>
      </w:r>
      <w:r w:rsidR="33BD74CC" w:rsidRPr="37D143BB">
        <w:rPr>
          <w:b/>
          <w:bCs/>
        </w:rPr>
        <w:t>A</w:t>
      </w:r>
      <w:r w:rsidRPr="00EC7091">
        <w:rPr>
          <w:b/>
          <w:bCs/>
        </w:rPr>
        <w:t xml:space="preserve"> Children’s Online Privacy Code</w:t>
      </w:r>
      <w:r w:rsidR="2466C065" w:rsidRPr="37D143BB">
        <w:rPr>
          <w:b/>
          <w:bCs/>
        </w:rPr>
        <w:t xml:space="preserve"> should adopt</w:t>
      </w:r>
      <w:r w:rsidRPr="00EC7091">
        <w:rPr>
          <w:b/>
          <w:bCs/>
        </w:rPr>
        <w:t xml:space="preserve"> a broad definition of services that are ‘likely to be accessed by children’. </w:t>
      </w:r>
    </w:p>
    <w:p w14:paraId="58F7553A" w14:textId="77777777" w:rsidR="00EC7091" w:rsidRDefault="00EC7091" w:rsidP="00561BD4">
      <w:pPr>
        <w:pStyle w:val="ListNumber"/>
        <w:numPr>
          <w:ilvl w:val="0"/>
          <w:numId w:val="0"/>
        </w:numPr>
        <w:ind w:left="360"/>
      </w:pPr>
    </w:p>
    <w:p w14:paraId="28DB82E8" w14:textId="2A169498" w:rsidR="008F20A5" w:rsidRDefault="2C980304" w:rsidP="00561BD4">
      <w:pPr>
        <w:pStyle w:val="ListNumber"/>
      </w:pPr>
      <w:r>
        <w:t>The</w:t>
      </w:r>
      <w:r w:rsidR="2F1E6665">
        <w:t xml:space="preserve"> Commission stresses </w:t>
      </w:r>
      <w:r w:rsidR="43741B01">
        <w:t xml:space="preserve">the need to engage </w:t>
      </w:r>
      <w:r w:rsidR="00C7595D">
        <w:t xml:space="preserve">with all </w:t>
      </w:r>
      <w:r w:rsidR="00F31460">
        <w:t xml:space="preserve">experts that understand the </w:t>
      </w:r>
      <w:r w:rsidR="005D25D6">
        <w:t>lived experiences, risks and opportunities posed by the digital environment on children. As children are the experts of their own lives, they should be made a priority in consultations. Additional stakeholder</w:t>
      </w:r>
      <w:r w:rsidR="006E26E1">
        <w:t>s,</w:t>
      </w:r>
      <w:r w:rsidR="005D25D6">
        <w:t xml:space="preserve"> such as parents </w:t>
      </w:r>
      <w:r w:rsidR="006E26E1">
        <w:t xml:space="preserve">and carers, </w:t>
      </w:r>
      <w:r w:rsidR="005D25D6">
        <w:t xml:space="preserve">schools and </w:t>
      </w:r>
      <w:r w:rsidR="00B87AAA">
        <w:t>children’</w:t>
      </w:r>
      <w:r w:rsidR="005D25D6">
        <w:t>s</w:t>
      </w:r>
      <w:r w:rsidR="00B87AAA">
        <w:t xml:space="preserve"> rights experts</w:t>
      </w:r>
      <w:r w:rsidR="005D25D6">
        <w:t xml:space="preserve"> will be </w:t>
      </w:r>
      <w:r w:rsidR="00056119">
        <w:t>beneficial</w:t>
      </w:r>
      <w:r w:rsidR="00D70A83">
        <w:t xml:space="preserve"> </w:t>
      </w:r>
      <w:r w:rsidR="6E420562">
        <w:t>in introducing a Children’s Online Privacy Code. This is necessary to ensure the prioritisation of privacy and other human rights standards over commercial interests.</w:t>
      </w:r>
      <w:r w:rsidR="1773F6DE">
        <w:t xml:space="preserve"> </w:t>
      </w:r>
    </w:p>
    <w:p w14:paraId="145F1B79" w14:textId="5C809282" w:rsidR="00732F83" w:rsidRDefault="00732F83" w:rsidP="00561BD4">
      <w:pPr>
        <w:pStyle w:val="ListNumber"/>
        <w:numPr>
          <w:ilvl w:val="0"/>
          <w:numId w:val="0"/>
        </w:numPr>
        <w:tabs>
          <w:tab w:val="clear" w:pos="1134"/>
          <w:tab w:val="left" w:pos="284"/>
        </w:tabs>
        <w:ind w:left="360" w:hanging="360"/>
      </w:pPr>
    </w:p>
    <w:p w14:paraId="1F1ED21F" w14:textId="6F647FDA" w:rsidR="006E26E1" w:rsidRDefault="006E26E1" w:rsidP="00561BD4">
      <w:pPr>
        <w:pStyle w:val="ListNumber"/>
        <w:numPr>
          <w:ilvl w:val="0"/>
          <w:numId w:val="0"/>
        </w:numPr>
        <w:tabs>
          <w:tab w:val="clear" w:pos="1134"/>
          <w:tab w:val="left" w:pos="284"/>
        </w:tabs>
        <w:ind w:left="360" w:hanging="360"/>
        <w:rPr>
          <w:b/>
          <w:bCs/>
        </w:rPr>
      </w:pPr>
      <w:r>
        <w:rPr>
          <w:b/>
          <w:bCs/>
        </w:rPr>
        <w:tab/>
      </w:r>
      <w:r>
        <w:rPr>
          <w:b/>
          <w:bCs/>
        </w:rPr>
        <w:tab/>
      </w:r>
      <w:r w:rsidRPr="004F6F8A">
        <w:rPr>
          <w:b/>
          <w:bCs/>
        </w:rPr>
        <w:t xml:space="preserve">Recommendation </w:t>
      </w:r>
      <w:r w:rsidR="00C56C87">
        <w:rPr>
          <w:b/>
          <w:bCs/>
        </w:rPr>
        <w:t>19</w:t>
      </w:r>
      <w:r w:rsidRPr="004F6F8A">
        <w:rPr>
          <w:b/>
          <w:bCs/>
        </w:rPr>
        <w:t xml:space="preserve">: </w:t>
      </w:r>
      <w:r>
        <w:rPr>
          <w:b/>
          <w:bCs/>
        </w:rPr>
        <w:t>A</w:t>
      </w:r>
      <w:r w:rsidRPr="004F6F8A">
        <w:rPr>
          <w:b/>
          <w:bCs/>
        </w:rPr>
        <w:t xml:space="preserve"> Children’s Online Privacy </w:t>
      </w:r>
      <w:r>
        <w:rPr>
          <w:b/>
          <w:bCs/>
        </w:rPr>
        <w:t xml:space="preserve">Code should be developed following consultations </w:t>
      </w:r>
      <w:r w:rsidRPr="00587B39">
        <w:rPr>
          <w:b/>
          <w:bCs/>
        </w:rPr>
        <w:t>with children</w:t>
      </w:r>
      <w:r>
        <w:rPr>
          <w:b/>
          <w:bCs/>
        </w:rPr>
        <w:t xml:space="preserve"> and young people,</w:t>
      </w:r>
      <w:r w:rsidRPr="00587B39">
        <w:rPr>
          <w:b/>
          <w:bCs/>
        </w:rPr>
        <w:t xml:space="preserve"> parents</w:t>
      </w:r>
      <w:r>
        <w:rPr>
          <w:b/>
          <w:bCs/>
        </w:rPr>
        <w:t xml:space="preserve"> and carers</w:t>
      </w:r>
      <w:r w:rsidRPr="00587B39">
        <w:rPr>
          <w:b/>
          <w:bCs/>
        </w:rPr>
        <w:t>,</w:t>
      </w:r>
      <w:r w:rsidR="004E5ADE">
        <w:rPr>
          <w:b/>
          <w:bCs/>
        </w:rPr>
        <w:t xml:space="preserve"> schools,</w:t>
      </w:r>
      <w:r w:rsidRPr="00587B39">
        <w:rPr>
          <w:b/>
          <w:bCs/>
        </w:rPr>
        <w:t xml:space="preserve"> child development</w:t>
      </w:r>
      <w:r>
        <w:rPr>
          <w:b/>
          <w:bCs/>
        </w:rPr>
        <w:t>/welfare</w:t>
      </w:r>
      <w:r w:rsidRPr="00587B39">
        <w:rPr>
          <w:b/>
          <w:bCs/>
        </w:rPr>
        <w:t xml:space="preserve"> experts</w:t>
      </w:r>
      <w:r>
        <w:rPr>
          <w:b/>
          <w:bCs/>
        </w:rPr>
        <w:t xml:space="preserve"> and </w:t>
      </w:r>
      <w:r w:rsidR="00F10D3D">
        <w:rPr>
          <w:b/>
          <w:bCs/>
        </w:rPr>
        <w:lastRenderedPageBreak/>
        <w:t xml:space="preserve">both </w:t>
      </w:r>
      <w:r>
        <w:rPr>
          <w:b/>
          <w:bCs/>
        </w:rPr>
        <w:t xml:space="preserve">the </w:t>
      </w:r>
      <w:proofErr w:type="spellStart"/>
      <w:r>
        <w:rPr>
          <w:b/>
          <w:bCs/>
        </w:rPr>
        <w:t>eSafety</w:t>
      </w:r>
      <w:proofErr w:type="spellEnd"/>
      <w:r>
        <w:rPr>
          <w:b/>
          <w:bCs/>
        </w:rPr>
        <w:t xml:space="preserve"> Commissioner and the Australian Human Rights Commission</w:t>
      </w:r>
      <w:r w:rsidRPr="00587B39">
        <w:rPr>
          <w:b/>
          <w:bCs/>
        </w:rPr>
        <w:t>.</w:t>
      </w:r>
      <w:r w:rsidRPr="000E1F65">
        <w:t xml:space="preserve"> </w:t>
      </w:r>
    </w:p>
    <w:p w14:paraId="1B61D585" w14:textId="77777777" w:rsidR="0048179D" w:rsidRDefault="0048179D" w:rsidP="00561BD4">
      <w:pPr>
        <w:pStyle w:val="ListNumber"/>
        <w:numPr>
          <w:ilvl w:val="0"/>
          <w:numId w:val="0"/>
        </w:numPr>
        <w:tabs>
          <w:tab w:val="clear" w:pos="1134"/>
          <w:tab w:val="left" w:pos="284"/>
        </w:tabs>
        <w:ind w:left="360" w:hanging="360"/>
        <w:rPr>
          <w:b/>
          <w:bCs/>
        </w:rPr>
      </w:pPr>
    </w:p>
    <w:p w14:paraId="489AA741" w14:textId="43BFF25D" w:rsidR="001B56CD" w:rsidRDefault="001B56CD" w:rsidP="00561BD4">
      <w:pPr>
        <w:pStyle w:val="Heading1"/>
      </w:pPr>
      <w:bookmarkStart w:id="61" w:name="_Toc131585369"/>
      <w:r>
        <w:t>Proposal 17</w:t>
      </w:r>
      <w:r w:rsidR="00796A74">
        <w:t>.1</w:t>
      </w:r>
      <w:bookmarkEnd w:id="61"/>
    </w:p>
    <w:p w14:paraId="62CFD5E6" w14:textId="09936003" w:rsidR="00796A74" w:rsidRPr="00B15781" w:rsidRDefault="007D5348" w:rsidP="00561BD4">
      <w:pPr>
        <w:rPr>
          <w:i/>
          <w:iCs/>
        </w:rPr>
      </w:pPr>
      <w:r w:rsidRPr="00B15781">
        <w:rPr>
          <w:i/>
          <w:iCs/>
        </w:rPr>
        <w:t>Introduce, in OAIC guidance, a non-exhaustive list of factors that indicate when an individual may be experiencing vulnerability and at higher risk of harm from interferences with their personal information.</w:t>
      </w:r>
    </w:p>
    <w:p w14:paraId="581D7813" w14:textId="5DD95D1A" w:rsidR="007D5348" w:rsidRDefault="00AE149A" w:rsidP="00561BD4">
      <w:pPr>
        <w:pStyle w:val="ListNumber"/>
      </w:pPr>
      <w:r w:rsidRPr="00AE149A">
        <w:t>In its 2017 report</w:t>
      </w:r>
      <w:r w:rsidR="001B309C">
        <w:t>,</w:t>
      </w:r>
      <w:r w:rsidRPr="00AE149A">
        <w:t xml:space="preserve"> Elder Abuse—A National Legal Response (ALRC Report 131), the ALRC recommends adult safeguarding laws should define ‘at-risk adults’ to mean people aged 18 years and over who:</w:t>
      </w:r>
    </w:p>
    <w:p w14:paraId="26E53DB6" w14:textId="1FA17E04" w:rsidR="00AE149A" w:rsidRDefault="004F48DC" w:rsidP="00561BD4">
      <w:pPr>
        <w:pStyle w:val="ListNumber"/>
        <w:numPr>
          <w:ilvl w:val="0"/>
          <w:numId w:val="31"/>
        </w:numPr>
      </w:pPr>
      <w:r>
        <w:t>have care and support needs</w:t>
      </w:r>
    </w:p>
    <w:p w14:paraId="5C657D09" w14:textId="48904D4A" w:rsidR="004F48DC" w:rsidRDefault="009721D6" w:rsidP="00561BD4">
      <w:pPr>
        <w:pStyle w:val="ListNumber"/>
        <w:numPr>
          <w:ilvl w:val="0"/>
          <w:numId w:val="31"/>
        </w:numPr>
      </w:pPr>
      <w:r>
        <w:t>are being abused or neglected, or are at risk of abuse or neglect</w:t>
      </w:r>
      <w:r w:rsidR="00FA761E">
        <w:t xml:space="preserve"> and</w:t>
      </w:r>
    </w:p>
    <w:p w14:paraId="12A9A2C3" w14:textId="32D4CD76" w:rsidR="009721D6" w:rsidRDefault="00FA761E" w:rsidP="00561BD4">
      <w:pPr>
        <w:pStyle w:val="ListNumber"/>
        <w:numPr>
          <w:ilvl w:val="0"/>
          <w:numId w:val="31"/>
        </w:numPr>
      </w:pPr>
      <w:r>
        <w:t>are unable to protect themselves from abuse or neglect because of their care and support needs</w:t>
      </w:r>
      <w:r w:rsidR="00E324BA">
        <w:t>.</w:t>
      </w:r>
      <w:r w:rsidR="00E20CF5">
        <w:rPr>
          <w:rStyle w:val="EndnoteReference"/>
        </w:rPr>
        <w:endnoteReference w:id="154"/>
      </w:r>
    </w:p>
    <w:p w14:paraId="67A8FD7B" w14:textId="2B28863A" w:rsidR="00D871F5" w:rsidRDefault="00D871F5" w:rsidP="00561BD4">
      <w:pPr>
        <w:pStyle w:val="ListNumber"/>
      </w:pPr>
      <w:r>
        <w:t>The Commission proposes this definition</w:t>
      </w:r>
      <w:r w:rsidR="00EB4E98">
        <w:t xml:space="preserve"> </w:t>
      </w:r>
      <w:r w:rsidR="00C67077">
        <w:t>– which</w:t>
      </w:r>
      <w:r>
        <w:t xml:space="preserve"> is supported by key adult safeguarding agencies, such as the Victorian</w:t>
      </w:r>
      <w:r>
        <w:rPr>
          <w:rStyle w:val="EndnoteReference"/>
        </w:rPr>
        <w:endnoteReference w:id="155"/>
      </w:r>
      <w:r>
        <w:t xml:space="preserve"> and Queensland</w:t>
      </w:r>
      <w:r>
        <w:rPr>
          <w:rStyle w:val="EndnoteReference"/>
        </w:rPr>
        <w:endnoteReference w:id="156"/>
      </w:r>
      <w:r>
        <w:t xml:space="preserve"> Offices of the Public Advocate</w:t>
      </w:r>
      <w:r w:rsidR="00EB4E98">
        <w:t xml:space="preserve"> – be included in any OIAC guidance and the Act where appropriate</w:t>
      </w:r>
      <w:r>
        <w:t>.</w:t>
      </w:r>
    </w:p>
    <w:p w14:paraId="50FF4E7A" w14:textId="77777777" w:rsidR="009E297C" w:rsidRDefault="009E297C" w:rsidP="00561BD4">
      <w:pPr>
        <w:pStyle w:val="ListNumber"/>
        <w:numPr>
          <w:ilvl w:val="0"/>
          <w:numId w:val="0"/>
        </w:numPr>
        <w:ind w:left="360"/>
      </w:pPr>
    </w:p>
    <w:p w14:paraId="786E8B09" w14:textId="41608175" w:rsidR="0080558A" w:rsidRDefault="009E297C" w:rsidP="00561BD4">
      <w:pPr>
        <w:pStyle w:val="ListNumber"/>
        <w:numPr>
          <w:ilvl w:val="0"/>
          <w:numId w:val="0"/>
        </w:numPr>
        <w:ind w:left="360"/>
        <w:rPr>
          <w:b/>
          <w:bCs/>
        </w:rPr>
      </w:pPr>
      <w:r w:rsidRPr="007F21D5">
        <w:rPr>
          <w:b/>
          <w:bCs/>
        </w:rPr>
        <w:t>Recommendation 2</w:t>
      </w:r>
      <w:r w:rsidR="00C56C87">
        <w:rPr>
          <w:b/>
          <w:bCs/>
        </w:rPr>
        <w:t>0</w:t>
      </w:r>
      <w:r w:rsidRPr="007F21D5">
        <w:rPr>
          <w:b/>
          <w:bCs/>
        </w:rPr>
        <w:t>: The definition of ‘at-risk adult’</w:t>
      </w:r>
      <w:r w:rsidR="007F21D5" w:rsidRPr="007F21D5">
        <w:rPr>
          <w:b/>
          <w:bCs/>
        </w:rPr>
        <w:t>,</w:t>
      </w:r>
      <w:r w:rsidRPr="007F21D5">
        <w:rPr>
          <w:b/>
          <w:bCs/>
        </w:rPr>
        <w:t xml:space="preserve"> </w:t>
      </w:r>
      <w:r w:rsidR="007F21D5" w:rsidRPr="007F21D5">
        <w:rPr>
          <w:b/>
          <w:bCs/>
        </w:rPr>
        <w:t>provided in ALRC Report 131, be included in any OAIC guidance</w:t>
      </w:r>
      <w:r w:rsidR="0080558A">
        <w:rPr>
          <w:b/>
          <w:bCs/>
        </w:rPr>
        <w:t xml:space="preserve">, and the Act where appropriate. </w:t>
      </w:r>
    </w:p>
    <w:p w14:paraId="6F8E1BF1" w14:textId="77777777" w:rsidR="0080558A" w:rsidRDefault="0080558A" w:rsidP="00561BD4">
      <w:pPr>
        <w:pStyle w:val="ListNumber"/>
        <w:numPr>
          <w:ilvl w:val="0"/>
          <w:numId w:val="0"/>
        </w:numPr>
        <w:ind w:left="360"/>
        <w:rPr>
          <w:b/>
          <w:bCs/>
        </w:rPr>
      </w:pPr>
    </w:p>
    <w:p w14:paraId="5ED12807" w14:textId="48228220" w:rsidR="009E297C" w:rsidRDefault="0080558A" w:rsidP="00561BD4">
      <w:pPr>
        <w:pStyle w:val="ListNumber"/>
        <w:numPr>
          <w:ilvl w:val="0"/>
          <w:numId w:val="0"/>
        </w:numPr>
        <w:ind w:left="360"/>
      </w:pPr>
      <w:r>
        <w:rPr>
          <w:b/>
          <w:bCs/>
        </w:rPr>
        <w:t>Recommendation 2</w:t>
      </w:r>
      <w:r w:rsidR="00C56C87">
        <w:rPr>
          <w:b/>
          <w:bCs/>
        </w:rPr>
        <w:t>1</w:t>
      </w:r>
      <w:r>
        <w:rPr>
          <w:b/>
          <w:bCs/>
        </w:rPr>
        <w:t xml:space="preserve">: </w:t>
      </w:r>
      <w:r w:rsidR="007F21D5" w:rsidRPr="007F21D5">
        <w:rPr>
          <w:b/>
          <w:bCs/>
        </w:rPr>
        <w:t xml:space="preserve"> </w:t>
      </w:r>
      <w:r w:rsidRPr="007F21D5">
        <w:rPr>
          <w:b/>
          <w:bCs/>
        </w:rPr>
        <w:t xml:space="preserve">OAIC guidance </w:t>
      </w:r>
      <w:r>
        <w:rPr>
          <w:b/>
          <w:bCs/>
        </w:rPr>
        <w:t>must</w:t>
      </w:r>
      <w:r w:rsidR="007F21D5" w:rsidRPr="007F21D5">
        <w:rPr>
          <w:b/>
          <w:bCs/>
        </w:rPr>
        <w:t xml:space="preserve"> set out a non-exhaustive list of factors that indicate when an individual may be experiencing vulnerability and at higher risk of harm from interferences with their personal information</w:t>
      </w:r>
      <w:r w:rsidR="007F21D5">
        <w:t>.</w:t>
      </w:r>
    </w:p>
    <w:p w14:paraId="33E9F8D4" w14:textId="77777777" w:rsidR="009E297C" w:rsidRDefault="009E297C" w:rsidP="00561BD4">
      <w:pPr>
        <w:pStyle w:val="ListNumber"/>
        <w:numPr>
          <w:ilvl w:val="0"/>
          <w:numId w:val="0"/>
        </w:numPr>
        <w:ind w:left="360"/>
      </w:pPr>
    </w:p>
    <w:p w14:paraId="1330271F" w14:textId="6942AD70" w:rsidR="00B01739" w:rsidRDefault="00B01739" w:rsidP="00561BD4">
      <w:pPr>
        <w:pStyle w:val="ListNumber"/>
      </w:pPr>
      <w:r>
        <w:t>This broad definition of ‘at-risk’</w:t>
      </w:r>
      <w:r>
        <w:rPr>
          <w:rFonts w:cs="Open Sans"/>
        </w:rPr>
        <w:t xml:space="preserve"> (</w:t>
      </w:r>
      <w:r>
        <w:t>which also serves to define the experience of vulnerability) allows for a situational rather than intrinsic conception of vulnerability as</w:t>
      </w:r>
      <w:r w:rsidR="00632307">
        <w:t xml:space="preserve"> – </w:t>
      </w:r>
      <w:r>
        <w:t xml:space="preserve">to use the terminology of the </w:t>
      </w:r>
      <w:r w:rsidRPr="001645EA">
        <w:t>Review Report</w:t>
      </w:r>
      <w:r w:rsidR="00632307">
        <w:t xml:space="preserve"> </w:t>
      </w:r>
      <w:r w:rsidR="00140C63">
        <w:t xml:space="preserve">– </w:t>
      </w:r>
      <w:r w:rsidR="00140C63" w:rsidRPr="00511AC7">
        <w:t>‘</w:t>
      </w:r>
      <w:r w:rsidRPr="00511AC7">
        <w:t>multifaceted, not confined to mental or physical capacity,</w:t>
      </w:r>
      <w:r w:rsidRPr="00511AC7">
        <w:rPr>
          <w:vertAlign w:val="superscript"/>
        </w:rPr>
        <w:endnoteReference w:id="157"/>
      </w:r>
      <w:r w:rsidRPr="00511AC7">
        <w:t xml:space="preserve"> nor a fixed trait associated with a specific group or identifiable threshold</w:t>
      </w:r>
      <w:r>
        <w:t>’</w:t>
      </w:r>
      <w:r w:rsidR="00253BFF">
        <w:t>.</w:t>
      </w:r>
      <w:r w:rsidRPr="00511AC7">
        <w:rPr>
          <w:vertAlign w:val="superscript"/>
        </w:rPr>
        <w:endnoteReference w:id="158"/>
      </w:r>
    </w:p>
    <w:p w14:paraId="24ABFD4B" w14:textId="2A02C2D5" w:rsidR="000319C0" w:rsidRDefault="000319C0" w:rsidP="00561BD4">
      <w:pPr>
        <w:pStyle w:val="ListNumber"/>
      </w:pPr>
      <w:r>
        <w:t xml:space="preserve">The above definition recognises that </w:t>
      </w:r>
      <w:r w:rsidRPr="00511AC7">
        <w:t>a person can move in and out of vulnerability,</w:t>
      </w:r>
      <w:r>
        <w:t xml:space="preserve"> and therefore </w:t>
      </w:r>
      <w:r w:rsidR="004E0D58">
        <w:t xml:space="preserve">better </w:t>
      </w:r>
      <w:r>
        <w:t>aligns with the proposal</w:t>
      </w:r>
      <w:r w:rsidRPr="00511AC7">
        <w:t xml:space="preserve"> to refer to </w:t>
      </w:r>
      <w:r>
        <w:t>‘</w:t>
      </w:r>
      <w:r w:rsidRPr="00511AC7">
        <w:t xml:space="preserve">people </w:t>
      </w:r>
      <w:r w:rsidRPr="00511AC7">
        <w:lastRenderedPageBreak/>
        <w:t>experiencing vulnerability</w:t>
      </w:r>
      <w:r>
        <w:t>’</w:t>
      </w:r>
      <w:r w:rsidRPr="00511AC7">
        <w:t xml:space="preserve"> </w:t>
      </w:r>
      <w:r w:rsidR="004A72BC">
        <w:t xml:space="preserve">rather </w:t>
      </w:r>
      <w:r w:rsidRPr="00511AC7">
        <w:t xml:space="preserve">than </w:t>
      </w:r>
      <w:r>
        <w:t>‘</w:t>
      </w:r>
      <w:r w:rsidRPr="00511AC7">
        <w:t>vulnerable groups</w:t>
      </w:r>
      <w:r>
        <w:t>’</w:t>
      </w:r>
      <w:r w:rsidRPr="00511AC7">
        <w:t xml:space="preserve"> or </w:t>
      </w:r>
      <w:r>
        <w:t>‘</w:t>
      </w:r>
      <w:r w:rsidRPr="00511AC7">
        <w:t>vulnerable individuals</w:t>
      </w:r>
      <w:r>
        <w:t>’.</w:t>
      </w:r>
      <w:r>
        <w:rPr>
          <w:rStyle w:val="EndnoteReference"/>
        </w:rPr>
        <w:endnoteReference w:id="159"/>
      </w:r>
    </w:p>
    <w:p w14:paraId="38644753" w14:textId="77777777" w:rsidR="003422A9" w:rsidRDefault="003422A9" w:rsidP="00561BD4">
      <w:pPr>
        <w:pStyle w:val="ListNumber"/>
        <w:numPr>
          <w:ilvl w:val="0"/>
          <w:numId w:val="0"/>
        </w:numPr>
        <w:ind w:left="360"/>
      </w:pPr>
    </w:p>
    <w:p w14:paraId="7C7BE4A6" w14:textId="2CDACA17" w:rsidR="003422A9" w:rsidRPr="007A1EBA" w:rsidRDefault="003422A9" w:rsidP="00561BD4">
      <w:pPr>
        <w:pStyle w:val="ListNumber"/>
        <w:numPr>
          <w:ilvl w:val="0"/>
          <w:numId w:val="0"/>
        </w:numPr>
        <w:ind w:left="360"/>
        <w:rPr>
          <w:b/>
          <w:bCs/>
        </w:rPr>
      </w:pPr>
      <w:r w:rsidRPr="007A1EBA">
        <w:rPr>
          <w:b/>
          <w:bCs/>
        </w:rPr>
        <w:t>Recommendation 2</w:t>
      </w:r>
      <w:r w:rsidR="00C56C87">
        <w:rPr>
          <w:b/>
          <w:bCs/>
        </w:rPr>
        <w:t>2</w:t>
      </w:r>
      <w:r w:rsidRPr="007A1EBA">
        <w:rPr>
          <w:b/>
          <w:bCs/>
        </w:rPr>
        <w:t xml:space="preserve">: </w:t>
      </w:r>
      <w:r w:rsidR="007A1EBA" w:rsidRPr="007A1EBA">
        <w:rPr>
          <w:b/>
          <w:bCs/>
        </w:rPr>
        <w:t>T</w:t>
      </w:r>
      <w:r w:rsidRPr="007A1EBA">
        <w:rPr>
          <w:b/>
          <w:bCs/>
        </w:rPr>
        <w:t xml:space="preserve">he term </w:t>
      </w:r>
      <w:r w:rsidR="007A1EBA" w:rsidRPr="007A1EBA">
        <w:rPr>
          <w:b/>
          <w:bCs/>
        </w:rPr>
        <w:t>‘people experiencing vulnerability</w:t>
      </w:r>
      <w:r w:rsidR="0080558A">
        <w:rPr>
          <w:b/>
          <w:bCs/>
        </w:rPr>
        <w:t>’</w:t>
      </w:r>
      <w:r w:rsidR="007A1EBA" w:rsidRPr="007A1EBA">
        <w:rPr>
          <w:b/>
          <w:bCs/>
        </w:rPr>
        <w:t xml:space="preserve"> is adopted in OAIC guidance</w:t>
      </w:r>
      <w:r w:rsidR="0080558A">
        <w:rPr>
          <w:b/>
          <w:bCs/>
        </w:rPr>
        <w:t>, and the Act where appropriate</w:t>
      </w:r>
      <w:r w:rsidR="007A1EBA" w:rsidRPr="007A1EBA">
        <w:rPr>
          <w:b/>
          <w:bCs/>
        </w:rPr>
        <w:t>.</w:t>
      </w:r>
    </w:p>
    <w:p w14:paraId="673E36A9" w14:textId="77777777" w:rsidR="003422A9" w:rsidRDefault="003422A9" w:rsidP="00561BD4">
      <w:pPr>
        <w:pStyle w:val="ListNumber"/>
        <w:numPr>
          <w:ilvl w:val="0"/>
          <w:numId w:val="0"/>
        </w:numPr>
        <w:ind w:left="360"/>
      </w:pPr>
    </w:p>
    <w:p w14:paraId="5D45EF25" w14:textId="5657652F" w:rsidR="00D604DB" w:rsidRDefault="00045D31" w:rsidP="00561BD4">
      <w:pPr>
        <w:pStyle w:val="ListNumber"/>
      </w:pPr>
      <w:r>
        <w:t>The nature of d</w:t>
      </w:r>
      <w:r w:rsidR="00D604DB">
        <w:t xml:space="preserve">isability and </w:t>
      </w:r>
      <w:r w:rsidR="003326E5">
        <w:t>a person’s</w:t>
      </w:r>
      <w:r>
        <w:t xml:space="preserve"> </w:t>
      </w:r>
      <w:r w:rsidR="00D604DB">
        <w:t xml:space="preserve">experience of disability </w:t>
      </w:r>
      <w:r w:rsidR="009705D0">
        <w:t>can be varied</w:t>
      </w:r>
      <w:r w:rsidR="00257E6D">
        <w:t>. S</w:t>
      </w:r>
      <w:r w:rsidR="00D604DB">
        <w:t xml:space="preserve">imply having </w:t>
      </w:r>
      <w:r w:rsidR="00F02100">
        <w:t xml:space="preserve">a </w:t>
      </w:r>
      <w:r w:rsidR="00D604DB">
        <w:t xml:space="preserve">disability does not necessarily equate with </w:t>
      </w:r>
      <w:r w:rsidR="005C6DFA">
        <w:t xml:space="preserve">a person </w:t>
      </w:r>
      <w:r w:rsidR="00D604DB">
        <w:t>experiencing vulnerability. The Commission supports ‘disability’ being included in OAIC guidance along with a list of other factors that can increase the likelihood that someone experienc</w:t>
      </w:r>
      <w:r w:rsidR="00587227">
        <w:t>ing</w:t>
      </w:r>
      <w:r w:rsidR="00D604DB">
        <w:t xml:space="preserve"> vulnerability is captured by the non-exhaustive list</w:t>
      </w:r>
      <w:r w:rsidR="00D604DB">
        <w:rPr>
          <w:rFonts w:cs="Open Sans"/>
        </w:rPr>
        <w:t xml:space="preserve">. </w:t>
      </w:r>
      <w:r w:rsidR="00D604DB">
        <w:t xml:space="preserve">Any such list should be used as an indicative first step in conjunction with a more personalised assessment of an individual’s circumstances and needs.  </w:t>
      </w:r>
    </w:p>
    <w:p w14:paraId="7ABA88F9" w14:textId="77777777" w:rsidR="0012110B" w:rsidRDefault="0012110B" w:rsidP="00561BD4">
      <w:pPr>
        <w:pStyle w:val="ListNumber"/>
      </w:pPr>
      <w:r>
        <w:t>The NDIS Quality and Safeguards Framework provides a further useful differentiation between risks present at the individual level (e.g. due to personal characteristics) and risks based on the types of supports provided to a person (e.g. level of personal contact, in closed environments, etc.).</w:t>
      </w:r>
      <w:r>
        <w:rPr>
          <w:rStyle w:val="EndnoteReference"/>
        </w:rPr>
        <w:endnoteReference w:id="160"/>
      </w:r>
      <w:r>
        <w:t xml:space="preserve">  </w:t>
      </w:r>
      <w:r w:rsidDel="00B24499">
        <w:t xml:space="preserve"> </w:t>
      </w:r>
    </w:p>
    <w:p w14:paraId="377E7F15" w14:textId="77777777" w:rsidR="00D37771" w:rsidRDefault="00D37771" w:rsidP="00561BD4">
      <w:pPr>
        <w:pStyle w:val="ListNumber"/>
      </w:pPr>
      <w:r>
        <w:t>In the context of privacy of information, people with disability may experience vulnerability in multiple ways, including, for example:</w:t>
      </w:r>
    </w:p>
    <w:p w14:paraId="6BAF97B8" w14:textId="17F3940B" w:rsidR="00840D4C" w:rsidRDefault="007472CA" w:rsidP="00561BD4">
      <w:pPr>
        <w:pStyle w:val="ListNumber"/>
        <w:numPr>
          <w:ilvl w:val="0"/>
          <w:numId w:val="32"/>
        </w:numPr>
      </w:pPr>
      <w:r>
        <w:t>In the case of some intellectual and cognitive disabilities, decreased ability to understand or prevent risks associated with how their information may be used.</w:t>
      </w:r>
    </w:p>
    <w:p w14:paraId="1E5F9A37" w14:textId="5808D990" w:rsidR="00B15781" w:rsidRDefault="00164CC5" w:rsidP="00561BD4">
      <w:pPr>
        <w:pStyle w:val="ListNumber"/>
        <w:numPr>
          <w:ilvl w:val="0"/>
          <w:numId w:val="32"/>
        </w:numPr>
      </w:pPr>
      <w:r>
        <w:t>In the case of some physical or psychosocial disabilities, decreased ability (whether on a sustained, temporary, or periodic basis) to communicate their wishes with regard to their information.</w:t>
      </w:r>
    </w:p>
    <w:p w14:paraId="40B2AADC" w14:textId="77777777" w:rsidR="00391325" w:rsidRDefault="00391325" w:rsidP="00561BD4">
      <w:pPr>
        <w:pStyle w:val="ListNumber"/>
        <w:numPr>
          <w:ilvl w:val="0"/>
          <w:numId w:val="32"/>
        </w:numPr>
      </w:pPr>
      <w:r>
        <w:t xml:space="preserve">Depending on the level of assistance they may be being provided by others, people with disability may necessarily be at higher risk of exploitation by people with regards to access to their information.  </w:t>
      </w:r>
    </w:p>
    <w:p w14:paraId="319C0739" w14:textId="0698D63C" w:rsidR="00517C24" w:rsidRDefault="00517C24" w:rsidP="00561BD4">
      <w:pPr>
        <w:pStyle w:val="ListNumber"/>
        <w:numPr>
          <w:ilvl w:val="0"/>
          <w:numId w:val="32"/>
        </w:numPr>
      </w:pPr>
      <w:r>
        <w:t xml:space="preserve">In all cases, people with disability are at risk of disability discrimination if information regarding their disability is revealed or otherwise made available to other parties who then </w:t>
      </w:r>
      <w:r w:rsidR="00A656FC">
        <w:t xml:space="preserve">may </w:t>
      </w:r>
      <w:r>
        <w:t xml:space="preserve">misuse or exploit that information. </w:t>
      </w:r>
    </w:p>
    <w:p w14:paraId="19FF34BE" w14:textId="52E86AF7" w:rsidR="00F50C7D" w:rsidRDefault="00F50C7D" w:rsidP="00561BD4">
      <w:pPr>
        <w:pStyle w:val="ListNumber"/>
      </w:pPr>
      <w:r>
        <w:t xml:space="preserve">Importantly, </w:t>
      </w:r>
      <w:r w:rsidR="004F6AE4">
        <w:t xml:space="preserve">OAIC </w:t>
      </w:r>
      <w:r>
        <w:t xml:space="preserve">guidance should be clear to not discourage </w:t>
      </w:r>
      <w:r w:rsidR="00E434FB">
        <w:t xml:space="preserve">proportionate, </w:t>
      </w:r>
      <w:r>
        <w:t>proactive and preventative safeguarding measures to be activated if there is a perceived risk</w:t>
      </w:r>
      <w:r w:rsidR="00A25EC5">
        <w:t xml:space="preserve"> that a person is experiencing vulnerability</w:t>
      </w:r>
      <w:r>
        <w:t xml:space="preserve">. </w:t>
      </w:r>
      <w:r w:rsidR="00E434FB">
        <w:t xml:space="preserve">OAIC guidance </w:t>
      </w:r>
      <w:r w:rsidR="000C6F68">
        <w:t>must also be developed and co-designed with people with disability</w:t>
      </w:r>
      <w:r w:rsidR="00E73998">
        <w:t xml:space="preserve">. </w:t>
      </w:r>
    </w:p>
    <w:p w14:paraId="47F97625" w14:textId="77777777" w:rsidR="00E83BFF" w:rsidRDefault="00E83BFF" w:rsidP="00561BD4">
      <w:pPr>
        <w:pStyle w:val="ListNumber"/>
        <w:numPr>
          <w:ilvl w:val="0"/>
          <w:numId w:val="0"/>
        </w:numPr>
        <w:ind w:left="360"/>
      </w:pPr>
    </w:p>
    <w:p w14:paraId="7866C778" w14:textId="4DAEA2CE" w:rsidR="00F50C7D" w:rsidRDefault="00E83BFF" w:rsidP="00561BD4">
      <w:pPr>
        <w:pStyle w:val="ListNumber"/>
        <w:numPr>
          <w:ilvl w:val="0"/>
          <w:numId w:val="0"/>
        </w:numPr>
        <w:ind w:left="360"/>
        <w:rPr>
          <w:b/>
          <w:bCs/>
        </w:rPr>
      </w:pPr>
      <w:r w:rsidRPr="00E83BFF">
        <w:rPr>
          <w:b/>
          <w:bCs/>
        </w:rPr>
        <w:t>Recommendation 2</w:t>
      </w:r>
      <w:r w:rsidR="00C56C87">
        <w:rPr>
          <w:b/>
          <w:bCs/>
        </w:rPr>
        <w:t>3</w:t>
      </w:r>
      <w:r w:rsidRPr="00E83BFF">
        <w:rPr>
          <w:b/>
          <w:bCs/>
        </w:rPr>
        <w:t xml:space="preserve">: OAIC guidance should be clear to not discourage proactive and preventative safeguarding measures to be activated if there is a perceived </w:t>
      </w:r>
      <w:r w:rsidRPr="00A25EC5">
        <w:rPr>
          <w:b/>
          <w:bCs/>
        </w:rPr>
        <w:t>risk</w:t>
      </w:r>
      <w:r w:rsidR="00A25EC5" w:rsidRPr="00A25EC5">
        <w:rPr>
          <w:b/>
          <w:bCs/>
        </w:rPr>
        <w:t xml:space="preserve"> that a person is experiencing vulnerability</w:t>
      </w:r>
      <w:r w:rsidRPr="00E83BFF">
        <w:rPr>
          <w:b/>
          <w:bCs/>
        </w:rPr>
        <w:t>.</w:t>
      </w:r>
    </w:p>
    <w:p w14:paraId="52C695FF" w14:textId="77777777" w:rsidR="000C6F68" w:rsidRDefault="000C6F68" w:rsidP="00561BD4">
      <w:pPr>
        <w:pStyle w:val="ListNumber"/>
        <w:numPr>
          <w:ilvl w:val="0"/>
          <w:numId w:val="0"/>
        </w:numPr>
        <w:ind w:left="360"/>
        <w:rPr>
          <w:b/>
          <w:bCs/>
        </w:rPr>
      </w:pPr>
    </w:p>
    <w:p w14:paraId="3A9F133E" w14:textId="2CE39D6A" w:rsidR="000C6F68" w:rsidRDefault="000C6F68" w:rsidP="00561BD4">
      <w:pPr>
        <w:pStyle w:val="ListNumber"/>
        <w:numPr>
          <w:ilvl w:val="0"/>
          <w:numId w:val="0"/>
        </w:numPr>
        <w:ind w:left="360"/>
        <w:rPr>
          <w:b/>
          <w:bCs/>
        </w:rPr>
      </w:pPr>
      <w:r w:rsidRPr="00967DB4">
        <w:rPr>
          <w:b/>
          <w:bCs/>
        </w:rPr>
        <w:t>Recommendation 24</w:t>
      </w:r>
      <w:r>
        <w:rPr>
          <w:b/>
          <w:bCs/>
        </w:rPr>
        <w:t xml:space="preserve">: </w:t>
      </w:r>
      <w:r w:rsidRPr="000C6F68">
        <w:rPr>
          <w:b/>
          <w:bCs/>
        </w:rPr>
        <w:t xml:space="preserve">OAIC guidance concerning disability </w:t>
      </w:r>
      <w:r>
        <w:rPr>
          <w:b/>
          <w:bCs/>
        </w:rPr>
        <w:t xml:space="preserve">should </w:t>
      </w:r>
      <w:r w:rsidRPr="000C6F68">
        <w:rPr>
          <w:b/>
          <w:bCs/>
        </w:rPr>
        <w:t xml:space="preserve">be developed </w:t>
      </w:r>
      <w:r>
        <w:rPr>
          <w:b/>
          <w:bCs/>
        </w:rPr>
        <w:t>and</w:t>
      </w:r>
      <w:r w:rsidRPr="000C6F68">
        <w:rPr>
          <w:b/>
          <w:bCs/>
        </w:rPr>
        <w:t xml:space="preserve"> co-designed with people with disability.</w:t>
      </w:r>
    </w:p>
    <w:p w14:paraId="14555D91" w14:textId="77777777" w:rsidR="000C6F68" w:rsidRPr="00E83BFF" w:rsidRDefault="000C6F68" w:rsidP="00561BD4">
      <w:pPr>
        <w:pStyle w:val="ListNumber"/>
        <w:numPr>
          <w:ilvl w:val="0"/>
          <w:numId w:val="0"/>
        </w:numPr>
        <w:ind w:left="360"/>
        <w:rPr>
          <w:b/>
          <w:bCs/>
        </w:rPr>
      </w:pPr>
    </w:p>
    <w:p w14:paraId="136D3803" w14:textId="4AA3386A" w:rsidR="00E82526" w:rsidRDefault="00E82526" w:rsidP="00561BD4">
      <w:pPr>
        <w:pStyle w:val="Heading1"/>
      </w:pPr>
      <w:bookmarkStart w:id="63" w:name="_Toc131585370"/>
      <w:r>
        <w:t>Proposal 17.2</w:t>
      </w:r>
      <w:bookmarkEnd w:id="63"/>
    </w:p>
    <w:p w14:paraId="01DCEB86" w14:textId="4346ECC7" w:rsidR="00E82526" w:rsidRPr="000B5DCD" w:rsidRDefault="000B5DCD" w:rsidP="00561BD4">
      <w:pPr>
        <w:pStyle w:val="ListNumber"/>
        <w:numPr>
          <w:ilvl w:val="0"/>
          <w:numId w:val="0"/>
        </w:numPr>
        <w:ind w:left="360"/>
        <w:rPr>
          <w:i/>
          <w:iCs/>
        </w:rPr>
      </w:pPr>
      <w:r w:rsidRPr="000B5DCD">
        <w:rPr>
          <w:i/>
          <w:iCs/>
        </w:rPr>
        <w:t>OAIC guidance on capacity and consent should be updated to reflect developments in supported decision making.</w:t>
      </w:r>
    </w:p>
    <w:p w14:paraId="6BD9600E" w14:textId="77777777" w:rsidR="003324B0" w:rsidRDefault="003324B0" w:rsidP="00561BD4">
      <w:pPr>
        <w:pStyle w:val="ListNumber"/>
      </w:pPr>
      <w:r>
        <w:t xml:space="preserve">The Commission supports this proposal. In particular, the Commission agrees that guidance should be </w:t>
      </w:r>
      <w:r w:rsidRPr="000D259E">
        <w:t>consistent with the</w:t>
      </w:r>
      <w:r>
        <w:t xml:space="preserve"> United Nations</w:t>
      </w:r>
      <w:r w:rsidRPr="000D259E">
        <w:t xml:space="preserve"> </w:t>
      </w:r>
      <w:r>
        <w:t>Convention on the Rights of Persons with Disabilities</w:t>
      </w:r>
      <w:r w:rsidRPr="000D259E">
        <w:t xml:space="preserve"> </w:t>
      </w:r>
      <w:r>
        <w:t>(</w:t>
      </w:r>
      <w:r w:rsidRPr="000D259E">
        <w:t>CRPD</w:t>
      </w:r>
      <w:r>
        <w:t>), enable</w:t>
      </w:r>
      <w:r w:rsidRPr="000D259E">
        <w:t xml:space="preserve"> supported decision-making</w:t>
      </w:r>
      <w:r>
        <w:t>, and recognise t</w:t>
      </w:r>
      <w:r w:rsidRPr="00303D42">
        <w:t xml:space="preserve">he autonomy and independence of </w:t>
      </w:r>
      <w:r>
        <w:t xml:space="preserve">all </w:t>
      </w:r>
      <w:r w:rsidRPr="00303D42">
        <w:t>persons with disability</w:t>
      </w:r>
      <w:r>
        <w:t>, including those</w:t>
      </w:r>
      <w:r w:rsidRPr="00303D42">
        <w:t xml:space="preserve"> who may require support in making decisions</w:t>
      </w:r>
      <w:r>
        <w:t xml:space="preserve">. </w:t>
      </w:r>
    </w:p>
    <w:p w14:paraId="669EE08A" w14:textId="25C55D92" w:rsidR="007F1205" w:rsidRPr="00F0184B" w:rsidRDefault="007F1205" w:rsidP="00561BD4">
      <w:pPr>
        <w:pStyle w:val="ListNumber"/>
        <w:rPr>
          <w:i/>
          <w:iCs/>
        </w:rPr>
      </w:pPr>
      <w:r>
        <w:t xml:space="preserve">The guidance should align to the recommendations </w:t>
      </w:r>
      <w:r w:rsidR="00E54D57">
        <w:t xml:space="preserve">in </w:t>
      </w:r>
      <w:r w:rsidRPr="00167D51">
        <w:t>ALRC Report 124</w:t>
      </w:r>
      <w:r>
        <w:t>,</w:t>
      </w:r>
      <w:r>
        <w:rPr>
          <w:rStyle w:val="EndnoteReference"/>
        </w:rPr>
        <w:endnoteReference w:id="161"/>
      </w:r>
      <w:r>
        <w:t xml:space="preserve"> and the more recent supported </w:t>
      </w:r>
      <w:r w:rsidR="00F0184B">
        <w:t>decision-making</w:t>
      </w:r>
      <w:r>
        <w:t xml:space="preserve"> framework proposed by the </w:t>
      </w:r>
      <w:r w:rsidRPr="005004D8">
        <w:t>Royal Commission into Violence, Abuse, Neglect, and Exploitation of People with Disability</w:t>
      </w:r>
      <w:r>
        <w:t xml:space="preserve"> in its 2023 report </w:t>
      </w:r>
      <w:r w:rsidRPr="009D4B72">
        <w:rPr>
          <w:i/>
          <w:iCs/>
        </w:rPr>
        <w:t>Diversity, dignity, equity and best practice: a framework for supported decision-making</w:t>
      </w:r>
      <w:r>
        <w:rPr>
          <w:i/>
          <w:iCs/>
        </w:rPr>
        <w:t>.</w:t>
      </w:r>
      <w:r w:rsidRPr="00E54D57">
        <w:rPr>
          <w:rStyle w:val="EndnoteReference"/>
        </w:rPr>
        <w:endnoteReference w:id="162"/>
      </w:r>
      <w:r>
        <w:rPr>
          <w:i/>
          <w:iCs/>
        </w:rPr>
        <w:t xml:space="preserve"> </w:t>
      </w:r>
    </w:p>
    <w:p w14:paraId="49E4C15D" w14:textId="77777777" w:rsidR="00F0184B" w:rsidRDefault="00F0184B" w:rsidP="00561BD4">
      <w:pPr>
        <w:pStyle w:val="ListNumber"/>
        <w:numPr>
          <w:ilvl w:val="0"/>
          <w:numId w:val="0"/>
        </w:numPr>
        <w:ind w:left="360"/>
        <w:rPr>
          <w:i/>
          <w:iCs/>
        </w:rPr>
      </w:pPr>
    </w:p>
    <w:p w14:paraId="568E9A1C" w14:textId="7D9F2D46" w:rsidR="00F0184B" w:rsidRPr="001B542B" w:rsidRDefault="00F0184B" w:rsidP="00561BD4">
      <w:pPr>
        <w:pStyle w:val="ListNumber"/>
        <w:numPr>
          <w:ilvl w:val="0"/>
          <w:numId w:val="0"/>
        </w:numPr>
        <w:ind w:left="360"/>
        <w:rPr>
          <w:b/>
          <w:bCs/>
        </w:rPr>
      </w:pPr>
      <w:r w:rsidRPr="001B542B">
        <w:rPr>
          <w:b/>
          <w:bCs/>
        </w:rPr>
        <w:t>Recommendation 2</w:t>
      </w:r>
      <w:r w:rsidR="00E4278B">
        <w:rPr>
          <w:b/>
          <w:bCs/>
        </w:rPr>
        <w:t>5</w:t>
      </w:r>
      <w:r w:rsidRPr="001B542B">
        <w:rPr>
          <w:b/>
          <w:bCs/>
        </w:rPr>
        <w:t xml:space="preserve">: OAIC guidance on capacity and consent should be updated to reflect ALRC Report 124 and </w:t>
      </w:r>
      <w:r w:rsidR="001B542B" w:rsidRPr="001B542B">
        <w:rPr>
          <w:b/>
          <w:bCs/>
        </w:rPr>
        <w:t xml:space="preserve">the </w:t>
      </w:r>
      <w:r w:rsidR="001B542B" w:rsidRPr="001B542B">
        <w:rPr>
          <w:b/>
          <w:bCs/>
          <w:i/>
          <w:iCs/>
        </w:rPr>
        <w:t xml:space="preserve">Diversity, dignity, equity and best practice: a framework for supported decision-making </w:t>
      </w:r>
      <w:r w:rsidR="001B542B" w:rsidRPr="001B542B">
        <w:rPr>
          <w:b/>
          <w:bCs/>
        </w:rPr>
        <w:t>report.</w:t>
      </w:r>
    </w:p>
    <w:p w14:paraId="1F897E68" w14:textId="77777777" w:rsidR="00F0184B" w:rsidRDefault="00F0184B" w:rsidP="00561BD4">
      <w:pPr>
        <w:pStyle w:val="ListNumber"/>
        <w:numPr>
          <w:ilvl w:val="0"/>
          <w:numId w:val="0"/>
        </w:numPr>
        <w:ind w:left="360"/>
      </w:pPr>
    </w:p>
    <w:p w14:paraId="72D1FBC4" w14:textId="59F37283" w:rsidR="00E82526" w:rsidRDefault="00F0184B" w:rsidP="00561BD4">
      <w:pPr>
        <w:pStyle w:val="ListNumber"/>
      </w:pPr>
      <w:r w:rsidRPr="00C35A93">
        <w:t>The Commission agrees that guidance on ‘how third parties who give decision-making support should be recognised, and what steps entities should take to ensure that authorities, nominations and consents are valid, should be developed in consultation with affected groups</w:t>
      </w:r>
      <w:r w:rsidR="00524105">
        <w:t>’</w:t>
      </w:r>
      <w:r w:rsidRPr="00C35A93">
        <w:t>.</w:t>
      </w:r>
      <w:r>
        <w:rPr>
          <w:rStyle w:val="EndnoteReference"/>
        </w:rPr>
        <w:endnoteReference w:id="163"/>
      </w:r>
    </w:p>
    <w:p w14:paraId="7A9FBF22" w14:textId="2B124A51" w:rsidR="00DC10BC" w:rsidRDefault="00827349" w:rsidP="00561BD4">
      <w:pPr>
        <w:pStyle w:val="Heading1"/>
      </w:pPr>
      <w:bookmarkStart w:id="64" w:name="_Toc131585371"/>
      <w:r>
        <w:t>Proposal 17.3</w:t>
      </w:r>
      <w:bookmarkEnd w:id="64"/>
    </w:p>
    <w:p w14:paraId="37B0563E" w14:textId="5FB20249" w:rsidR="00827349" w:rsidRPr="002B3A77" w:rsidRDefault="002B3A77" w:rsidP="00561BD4">
      <w:pPr>
        <w:pStyle w:val="ListNumber"/>
        <w:numPr>
          <w:ilvl w:val="0"/>
          <w:numId w:val="0"/>
        </w:numPr>
        <w:ind w:left="360"/>
        <w:rPr>
          <w:i/>
          <w:iCs/>
        </w:rPr>
      </w:pPr>
      <w:r w:rsidRPr="002B3A77">
        <w:rPr>
          <w:i/>
          <w:iCs/>
        </w:rPr>
        <w:t xml:space="preserve">Further consultation should be undertaken to clarify the issues and identify options to ensure that financial institutions can act appropriately in the interests </w:t>
      </w:r>
      <w:r w:rsidRPr="002B3A77">
        <w:rPr>
          <w:i/>
          <w:iCs/>
        </w:rPr>
        <w:lastRenderedPageBreak/>
        <w:t>of customers who may be experiencing financial abuse or may no longer have capacity to consent.</w:t>
      </w:r>
    </w:p>
    <w:p w14:paraId="50AEEF84" w14:textId="7431F4AC" w:rsidR="00301895" w:rsidRDefault="00301895" w:rsidP="00561BD4">
      <w:pPr>
        <w:pStyle w:val="ListNumber"/>
      </w:pPr>
      <w:r>
        <w:t xml:space="preserve">The Commission </w:t>
      </w:r>
      <w:r w:rsidRPr="00027409">
        <w:t xml:space="preserve">supports </w:t>
      </w:r>
      <w:r>
        <w:t xml:space="preserve">the proposal and continues to advocate for the implementation of the recommendations from ALRC Report 131 and the </w:t>
      </w:r>
      <w:r>
        <w:rPr>
          <w:i/>
          <w:iCs/>
        </w:rPr>
        <w:t>National Plan to Respond to the Abuse of Older Australians 2019</w:t>
      </w:r>
      <w:r w:rsidR="00524105">
        <w:rPr>
          <w:i/>
          <w:iCs/>
        </w:rPr>
        <w:t>–</w:t>
      </w:r>
      <w:r>
        <w:rPr>
          <w:i/>
          <w:iCs/>
        </w:rPr>
        <w:t>2023</w:t>
      </w:r>
      <w:r>
        <w:t>, which should be considered in consultations.</w:t>
      </w:r>
    </w:p>
    <w:p w14:paraId="774F3CE6" w14:textId="77777777" w:rsidR="00121D52" w:rsidRDefault="00121D52" w:rsidP="00561BD4">
      <w:pPr>
        <w:pStyle w:val="ListNumber"/>
        <w:numPr>
          <w:ilvl w:val="0"/>
          <w:numId w:val="0"/>
        </w:numPr>
        <w:ind w:left="360"/>
      </w:pPr>
    </w:p>
    <w:p w14:paraId="75E22EAC" w14:textId="27A87F99" w:rsidR="00121D52" w:rsidRPr="00686BD4" w:rsidRDefault="00121D52" w:rsidP="00561BD4">
      <w:pPr>
        <w:pStyle w:val="ListNumber"/>
        <w:numPr>
          <w:ilvl w:val="0"/>
          <w:numId w:val="0"/>
        </w:numPr>
        <w:ind w:left="360"/>
        <w:rPr>
          <w:b/>
          <w:bCs/>
        </w:rPr>
      </w:pPr>
      <w:r w:rsidRPr="00686BD4">
        <w:rPr>
          <w:b/>
          <w:bCs/>
        </w:rPr>
        <w:t>Recommendation 2</w:t>
      </w:r>
      <w:r w:rsidR="00E4278B">
        <w:rPr>
          <w:b/>
          <w:bCs/>
        </w:rPr>
        <w:t>6</w:t>
      </w:r>
      <w:r w:rsidRPr="00686BD4">
        <w:rPr>
          <w:b/>
          <w:bCs/>
        </w:rPr>
        <w:t>:</w:t>
      </w:r>
      <w:r w:rsidR="00686BD4" w:rsidRPr="00686BD4">
        <w:rPr>
          <w:b/>
          <w:bCs/>
        </w:rPr>
        <w:t xml:space="preserve"> Further consultations </w:t>
      </w:r>
      <w:r w:rsidR="00C67D8D">
        <w:rPr>
          <w:b/>
          <w:bCs/>
        </w:rPr>
        <w:t>should</w:t>
      </w:r>
      <w:r w:rsidR="00686BD4" w:rsidRPr="00686BD4">
        <w:rPr>
          <w:b/>
          <w:bCs/>
        </w:rPr>
        <w:t xml:space="preserve"> be undertaken</w:t>
      </w:r>
      <w:r w:rsidR="00C67D8D">
        <w:rPr>
          <w:b/>
          <w:bCs/>
        </w:rPr>
        <w:t xml:space="preserve"> in respect of Proposal 17.3. Such consultations should</w:t>
      </w:r>
      <w:r w:rsidR="00686BD4" w:rsidRPr="00686BD4">
        <w:rPr>
          <w:b/>
          <w:bCs/>
        </w:rPr>
        <w:t xml:space="preserve"> have regard for ALRC Report 131 and the </w:t>
      </w:r>
      <w:r w:rsidR="00686BD4" w:rsidRPr="00686BD4">
        <w:rPr>
          <w:b/>
          <w:bCs/>
          <w:i/>
          <w:iCs/>
        </w:rPr>
        <w:t>National Plan to Respond to the Abuse of Older Australians 2019</w:t>
      </w:r>
      <w:r w:rsidR="00524105">
        <w:rPr>
          <w:b/>
          <w:bCs/>
          <w:i/>
          <w:iCs/>
        </w:rPr>
        <w:t>–</w:t>
      </w:r>
      <w:r w:rsidR="00686BD4" w:rsidRPr="00686BD4">
        <w:rPr>
          <w:b/>
          <w:bCs/>
          <w:i/>
          <w:iCs/>
        </w:rPr>
        <w:t>2023</w:t>
      </w:r>
      <w:r w:rsidR="00686BD4" w:rsidRPr="00686BD4">
        <w:rPr>
          <w:b/>
          <w:bCs/>
        </w:rPr>
        <w:t>.</w:t>
      </w:r>
    </w:p>
    <w:p w14:paraId="1760CFED" w14:textId="77777777" w:rsidR="00121D52" w:rsidRDefault="00121D52" w:rsidP="00561BD4">
      <w:pPr>
        <w:pStyle w:val="ListNumber"/>
        <w:numPr>
          <w:ilvl w:val="0"/>
          <w:numId w:val="0"/>
        </w:numPr>
        <w:ind w:left="360"/>
      </w:pPr>
    </w:p>
    <w:p w14:paraId="230B0637" w14:textId="27585F5A" w:rsidR="00CC6DE2" w:rsidRDefault="0010165C" w:rsidP="00561BD4">
      <w:pPr>
        <w:pStyle w:val="ListNumber"/>
      </w:pPr>
      <w:r>
        <w:t>C</w:t>
      </w:r>
      <w:r w:rsidR="00CC6DE2" w:rsidRPr="004E196C">
        <w:t xml:space="preserve">urrent inconsistencies </w:t>
      </w:r>
      <w:r w:rsidR="00CC6DE2">
        <w:t xml:space="preserve">in regulations and requirements regarding financial decision-making </w:t>
      </w:r>
      <w:r w:rsidR="00CC6DE2" w:rsidRPr="004E196C">
        <w:t xml:space="preserve">across jurisdictions cause confusion in the community, make it difficult for </w:t>
      </w:r>
      <w:r w:rsidR="00D66AA8">
        <w:t xml:space="preserve">individuals and </w:t>
      </w:r>
      <w:r w:rsidR="00CC6DE2" w:rsidRPr="004E196C">
        <w:t>families to understand the rules and for experts to provide advice across jurisdictions.</w:t>
      </w:r>
      <w:r w:rsidR="00CC6DE2">
        <w:t xml:space="preserve"> Consultation should focus on the issues particular to each jurisdiction, as well as the varied solutions necessary, such as greater harmonisation of enduring power of attorney laws, for example. </w:t>
      </w:r>
    </w:p>
    <w:p w14:paraId="1D636104" w14:textId="2087DD28" w:rsidR="00827349" w:rsidRDefault="00121D52" w:rsidP="00561BD4">
      <w:pPr>
        <w:pStyle w:val="ListNumber"/>
      </w:pPr>
      <w:r>
        <w:t>Reform in this area</w:t>
      </w:r>
      <w:r w:rsidRPr="00C56890">
        <w:t xml:space="preserve"> </w:t>
      </w:r>
      <w:r>
        <w:t xml:space="preserve">should </w:t>
      </w:r>
      <w:r w:rsidRPr="00C56890">
        <w:t xml:space="preserve">enable the development of nation-wide education around the rights and responsibilities of principals and their substitute decision makers as well as to facilitate training of financial institutions and other entities required to act on enduring powers of attorney to prevent financial abuse. </w:t>
      </w:r>
    </w:p>
    <w:p w14:paraId="17885D3E" w14:textId="77777777" w:rsidR="00E150E9" w:rsidRDefault="00E150E9" w:rsidP="00561BD4">
      <w:pPr>
        <w:pStyle w:val="ListNumber"/>
        <w:numPr>
          <w:ilvl w:val="0"/>
          <w:numId w:val="0"/>
        </w:numPr>
        <w:ind w:left="360"/>
      </w:pPr>
    </w:p>
    <w:p w14:paraId="3803CD44" w14:textId="0F59328F" w:rsidR="00E150E9" w:rsidRPr="00E150E9" w:rsidRDefault="00E150E9" w:rsidP="00561BD4">
      <w:pPr>
        <w:pStyle w:val="ListNumber"/>
        <w:numPr>
          <w:ilvl w:val="0"/>
          <w:numId w:val="0"/>
        </w:numPr>
        <w:ind w:left="360"/>
        <w:rPr>
          <w:b/>
          <w:bCs/>
        </w:rPr>
      </w:pPr>
      <w:r w:rsidRPr="00E150E9">
        <w:rPr>
          <w:b/>
          <w:bCs/>
        </w:rPr>
        <w:t>Recommendation 2</w:t>
      </w:r>
      <w:r w:rsidR="00E4278B">
        <w:rPr>
          <w:b/>
          <w:bCs/>
        </w:rPr>
        <w:t>7</w:t>
      </w:r>
      <w:r w:rsidRPr="00E150E9">
        <w:rPr>
          <w:b/>
          <w:bCs/>
        </w:rPr>
        <w:t>: A nation-wide education campaign should be enacted by the Federal government around the rights and responsibilities of principals and their substitute decision makers.</w:t>
      </w:r>
    </w:p>
    <w:p w14:paraId="6EC152BA" w14:textId="77777777" w:rsidR="00E150E9" w:rsidRDefault="00E150E9" w:rsidP="00561BD4">
      <w:pPr>
        <w:pStyle w:val="ListNumber"/>
        <w:numPr>
          <w:ilvl w:val="0"/>
          <w:numId w:val="0"/>
        </w:numPr>
        <w:ind w:left="360"/>
      </w:pPr>
    </w:p>
    <w:p w14:paraId="5613D17E" w14:textId="3C47472D" w:rsidR="00E150E9" w:rsidRPr="008A3336" w:rsidRDefault="00E150E9" w:rsidP="00561BD4">
      <w:pPr>
        <w:pStyle w:val="ListNumber"/>
        <w:numPr>
          <w:ilvl w:val="0"/>
          <w:numId w:val="0"/>
        </w:numPr>
        <w:ind w:left="360"/>
        <w:rPr>
          <w:b/>
          <w:bCs/>
        </w:rPr>
      </w:pPr>
      <w:r w:rsidRPr="008A3336">
        <w:rPr>
          <w:b/>
          <w:bCs/>
        </w:rPr>
        <w:t>Recommendation 2</w:t>
      </w:r>
      <w:r w:rsidR="00E4278B">
        <w:rPr>
          <w:b/>
          <w:bCs/>
        </w:rPr>
        <w:t>8</w:t>
      </w:r>
      <w:r w:rsidRPr="008A3336">
        <w:rPr>
          <w:b/>
          <w:bCs/>
        </w:rPr>
        <w:t xml:space="preserve">: </w:t>
      </w:r>
      <w:r w:rsidR="008A3336" w:rsidRPr="008A3336">
        <w:rPr>
          <w:b/>
          <w:bCs/>
        </w:rPr>
        <w:t>The Federal government should facilitate the training of financial institutions and other entities required to act on enduring powers of attorney to prevent financial abuse.</w:t>
      </w:r>
    </w:p>
    <w:p w14:paraId="494BADDA" w14:textId="77777777" w:rsidR="00E150E9" w:rsidRPr="00827349" w:rsidRDefault="00E150E9" w:rsidP="00561BD4">
      <w:pPr>
        <w:pStyle w:val="ListNumber"/>
        <w:numPr>
          <w:ilvl w:val="0"/>
          <w:numId w:val="0"/>
        </w:numPr>
        <w:ind w:left="360"/>
      </w:pPr>
    </w:p>
    <w:p w14:paraId="07EF564F" w14:textId="357F95BA" w:rsidR="009409CB" w:rsidRDefault="00AC7032" w:rsidP="00561BD4">
      <w:pPr>
        <w:pStyle w:val="Heading1"/>
      </w:pPr>
      <w:bookmarkStart w:id="65" w:name="_Toc131585372"/>
      <w:r>
        <w:lastRenderedPageBreak/>
        <w:t>Proposal 19.1</w:t>
      </w:r>
      <w:bookmarkEnd w:id="65"/>
    </w:p>
    <w:p w14:paraId="0D419920" w14:textId="167B1714" w:rsidR="00AC7032" w:rsidRPr="008B4389" w:rsidRDefault="00B8629B" w:rsidP="00561BD4">
      <w:pPr>
        <w:rPr>
          <w:i/>
          <w:iCs/>
        </w:rPr>
      </w:pPr>
      <w:r w:rsidRPr="008B4389">
        <w:rPr>
          <w:i/>
          <w:iCs/>
        </w:rPr>
        <w:t>Privacy policies should set out the types of personal information that will be used in substantially automated decisions which have a legal or similarly significant effect on an individual’s rights</w:t>
      </w:r>
      <w:r w:rsidR="00E60146">
        <w:rPr>
          <w:i/>
          <w:iCs/>
        </w:rPr>
        <w:t>.</w:t>
      </w:r>
    </w:p>
    <w:p w14:paraId="2517E336" w14:textId="5D87E6BB" w:rsidR="0066729A" w:rsidRDefault="007F0370" w:rsidP="00561BD4">
      <w:pPr>
        <w:pStyle w:val="ListNumber"/>
      </w:pPr>
      <w:r>
        <w:t xml:space="preserve">This requirement will promote transparency </w:t>
      </w:r>
      <w:r w:rsidR="00435399">
        <w:t xml:space="preserve">by </w:t>
      </w:r>
      <w:r>
        <w:t>entities utilising AI-informed decision-making</w:t>
      </w:r>
      <w:r w:rsidR="00256BF9">
        <w:t xml:space="preserve"> (ADM)</w:t>
      </w:r>
      <w:r>
        <w:t xml:space="preserve"> systems, as </w:t>
      </w:r>
      <w:r w:rsidR="00435399">
        <w:t xml:space="preserve">noted by </w:t>
      </w:r>
      <w:r>
        <w:t xml:space="preserve">several submitters to the </w:t>
      </w:r>
      <w:r w:rsidR="00F444DC">
        <w:t>Review Report</w:t>
      </w:r>
      <w:r>
        <w:t>.</w:t>
      </w:r>
      <w:r>
        <w:rPr>
          <w:rStyle w:val="EndnoteReference"/>
        </w:rPr>
        <w:endnoteReference w:id="164"/>
      </w:r>
      <w:r>
        <w:t xml:space="preserve"> Transparency about the use and operation of</w:t>
      </w:r>
      <w:r w:rsidR="00F444DC">
        <w:t xml:space="preserve"> ADM is</w:t>
      </w:r>
      <w:r>
        <w:t xml:space="preserve"> central to a human</w:t>
      </w:r>
      <w:r w:rsidR="00F444DC">
        <w:t>-rights-based</w:t>
      </w:r>
      <w:r>
        <w:t xml:space="preserve"> approach to regulation, as this information may assist individuals in</w:t>
      </w:r>
      <w:r w:rsidR="00274A2A">
        <w:t xml:space="preserve"> both</w:t>
      </w:r>
      <w:r>
        <w:t xml:space="preserve"> </w:t>
      </w:r>
      <w:r w:rsidR="00921859">
        <w:t xml:space="preserve">understanding the </w:t>
      </w:r>
      <w:r w:rsidR="00274A2A">
        <w:t xml:space="preserve">way in which relevant decisions are made and subsequently </w:t>
      </w:r>
      <w:r>
        <w:t>enforcing their rights.</w:t>
      </w:r>
      <w:r w:rsidR="009B0F06">
        <w:t xml:space="preserve"> </w:t>
      </w:r>
    </w:p>
    <w:p w14:paraId="06921CB6" w14:textId="28BED5D6" w:rsidR="009B0F06" w:rsidRDefault="0066729A" w:rsidP="00561BD4">
      <w:pPr>
        <w:pStyle w:val="ListNumber"/>
      </w:pPr>
      <w:r>
        <w:t>Transparency will also help to engender trust in ADM processes</w:t>
      </w:r>
      <w:r w:rsidR="004E3781">
        <w:t xml:space="preserve"> – as Australia must strive to reap the benefits of new and emerging technologies (such as AI), while mitigating </w:t>
      </w:r>
      <w:r w:rsidR="00587278">
        <w:t>the risks to individuals</w:t>
      </w:r>
      <w:r w:rsidR="00F444DC">
        <w:t>’ rights</w:t>
      </w:r>
      <w:r w:rsidR="00587278">
        <w:t xml:space="preserve">. </w:t>
      </w:r>
      <w:r w:rsidR="009B0F06">
        <w:t xml:space="preserve">Including what types of personal information will be used in </w:t>
      </w:r>
      <w:r w:rsidR="00B56785">
        <w:t xml:space="preserve">ADM </w:t>
      </w:r>
      <w:r w:rsidR="00717584">
        <w:t>systems</w:t>
      </w:r>
      <w:r w:rsidR="000D0EDD">
        <w:t xml:space="preserve"> (and therefore the fact that ADM systems may be used) </w:t>
      </w:r>
      <w:r w:rsidR="00B56785">
        <w:t xml:space="preserve">is a positive first step forward towards </w:t>
      </w:r>
      <w:r w:rsidR="00F444DC">
        <w:t xml:space="preserve">better </w:t>
      </w:r>
      <w:r w:rsidR="00B56785">
        <w:t>regulating AI.</w:t>
      </w:r>
    </w:p>
    <w:p w14:paraId="782BA6C4" w14:textId="77777777" w:rsidR="00B56785" w:rsidRDefault="00B56785" w:rsidP="00561BD4">
      <w:pPr>
        <w:pStyle w:val="ListNumber"/>
        <w:numPr>
          <w:ilvl w:val="0"/>
          <w:numId w:val="0"/>
        </w:numPr>
        <w:ind w:left="360"/>
      </w:pPr>
    </w:p>
    <w:p w14:paraId="3ECBE4E7" w14:textId="44A88B2E" w:rsidR="00B56785" w:rsidRPr="00B56785" w:rsidRDefault="00B56785" w:rsidP="00561BD4">
      <w:pPr>
        <w:pStyle w:val="ListNumber"/>
        <w:numPr>
          <w:ilvl w:val="0"/>
          <w:numId w:val="0"/>
        </w:numPr>
        <w:ind w:left="360"/>
        <w:rPr>
          <w:b/>
          <w:bCs/>
        </w:rPr>
      </w:pPr>
      <w:r w:rsidRPr="00B56785">
        <w:rPr>
          <w:b/>
          <w:bCs/>
        </w:rPr>
        <w:t xml:space="preserve">Recommendation </w:t>
      </w:r>
      <w:r w:rsidR="005E1320">
        <w:rPr>
          <w:b/>
          <w:bCs/>
        </w:rPr>
        <w:t>2</w:t>
      </w:r>
      <w:r w:rsidR="00E4278B">
        <w:rPr>
          <w:b/>
          <w:bCs/>
        </w:rPr>
        <w:t>9</w:t>
      </w:r>
      <w:r w:rsidRPr="00B56785">
        <w:rPr>
          <w:b/>
          <w:bCs/>
        </w:rPr>
        <w:t>: Privacy policies should set out the types of personal information that will be used in substantially automated decisions which have a legal or similarly significant effect on an individual’s rights</w:t>
      </w:r>
      <w:r w:rsidR="0073189D">
        <w:rPr>
          <w:b/>
          <w:bCs/>
        </w:rPr>
        <w:t>.</w:t>
      </w:r>
    </w:p>
    <w:p w14:paraId="509BE591" w14:textId="77777777" w:rsidR="009B0F06" w:rsidRDefault="009B0F06" w:rsidP="00561BD4">
      <w:pPr>
        <w:pStyle w:val="ListNumber"/>
        <w:numPr>
          <w:ilvl w:val="0"/>
          <w:numId w:val="0"/>
        </w:numPr>
        <w:ind w:left="360"/>
      </w:pPr>
    </w:p>
    <w:p w14:paraId="0F03544B" w14:textId="41A5C5F8" w:rsidR="005723E0" w:rsidRDefault="00414909" w:rsidP="00561BD4">
      <w:pPr>
        <w:pStyle w:val="Heading2"/>
      </w:pPr>
      <w:bookmarkStart w:id="66" w:name="_Toc131585373"/>
      <w:r>
        <w:t>The role of t</w:t>
      </w:r>
      <w:r w:rsidR="005723E0">
        <w:t xml:space="preserve">ransparency </w:t>
      </w:r>
      <w:r>
        <w:t>in privacy policies</w:t>
      </w:r>
      <w:bookmarkEnd w:id="66"/>
      <w:r>
        <w:t xml:space="preserve"> </w:t>
      </w:r>
    </w:p>
    <w:p w14:paraId="772BB352" w14:textId="61220DCE" w:rsidR="004C317A" w:rsidRDefault="005F08D7" w:rsidP="00561BD4">
      <w:pPr>
        <w:pStyle w:val="ListNumber"/>
      </w:pPr>
      <w:r>
        <w:t>A</w:t>
      </w:r>
      <w:r w:rsidR="0073176F">
        <w:t>cknowledging the types of personal information that will be used in substantially automated decisions in an entity’s privacy policy will not</w:t>
      </w:r>
      <w:r>
        <w:t xml:space="preserve">, </w:t>
      </w:r>
      <w:r w:rsidR="00A60DE4">
        <w:t>of</w:t>
      </w:r>
      <w:r>
        <w:t xml:space="preserve"> itself</w:t>
      </w:r>
      <w:r w:rsidR="00A60DE4">
        <w:t>,</w:t>
      </w:r>
      <w:r w:rsidR="0073176F">
        <w:t xml:space="preserve"> prevent algorithmic bias </w:t>
      </w:r>
      <w:r>
        <w:t xml:space="preserve">from </w:t>
      </w:r>
      <w:r w:rsidR="00A60DE4">
        <w:t xml:space="preserve">affecting </w:t>
      </w:r>
      <w:r w:rsidR="0073176F">
        <w:t>individuals or businesses</w:t>
      </w:r>
      <w:r>
        <w:t xml:space="preserve"> (</w:t>
      </w:r>
      <w:r w:rsidR="0073176F">
        <w:t xml:space="preserve">as noted in Calabash Solution’s </w:t>
      </w:r>
      <w:r w:rsidR="000D5606">
        <w:t xml:space="preserve">submission to the </w:t>
      </w:r>
      <w:r w:rsidR="0073176F">
        <w:t>Discussion Paper</w:t>
      </w:r>
      <w:r>
        <w:t>)</w:t>
      </w:r>
      <w:r w:rsidR="0073176F">
        <w:t>.</w:t>
      </w:r>
      <w:r w:rsidR="0073176F">
        <w:rPr>
          <w:rStyle w:val="EndnoteReference"/>
        </w:rPr>
        <w:endnoteReference w:id="165"/>
      </w:r>
      <w:r w:rsidR="0073176F">
        <w:t xml:space="preserve"> </w:t>
      </w:r>
      <w:r w:rsidR="00C0464F">
        <w:t>Further</w:t>
      </w:r>
      <w:r w:rsidR="007F0370">
        <w:t xml:space="preserve">, the extent to which this proposal will aid transparency </w:t>
      </w:r>
      <w:r w:rsidR="00876104">
        <w:t xml:space="preserve">in practice </w:t>
      </w:r>
      <w:r w:rsidR="009E6D6F">
        <w:t xml:space="preserve">may be </w:t>
      </w:r>
      <w:r w:rsidR="00876104">
        <w:t xml:space="preserve">doubtful </w:t>
      </w:r>
      <w:r w:rsidR="009E6D6F">
        <w:t>in the broader context</w:t>
      </w:r>
      <w:r w:rsidR="007F0370">
        <w:t xml:space="preserve">, considering </w:t>
      </w:r>
      <w:r w:rsidR="004C317A">
        <w:t xml:space="preserve">many </w:t>
      </w:r>
      <w:r w:rsidR="00F2026F">
        <w:t>individuals</w:t>
      </w:r>
      <w:r w:rsidR="00581861">
        <w:t xml:space="preserve"> may</w:t>
      </w:r>
      <w:r w:rsidR="00C3552E">
        <w:t>:</w:t>
      </w:r>
    </w:p>
    <w:p w14:paraId="14D87B4B" w14:textId="470FBDD2" w:rsidR="00C3552E" w:rsidRDefault="000D5606" w:rsidP="00561BD4">
      <w:pPr>
        <w:pStyle w:val="ListNumber"/>
        <w:numPr>
          <w:ilvl w:val="0"/>
          <w:numId w:val="26"/>
        </w:numPr>
      </w:pPr>
      <w:r>
        <w:t>n</w:t>
      </w:r>
      <w:r w:rsidR="00C3552E">
        <w:t>ot read privacy policies</w:t>
      </w:r>
      <w:r>
        <w:t xml:space="preserve"> at all</w:t>
      </w:r>
    </w:p>
    <w:p w14:paraId="27457E60" w14:textId="6AC544EA" w:rsidR="00C3552E" w:rsidRDefault="000D5606" w:rsidP="00561BD4">
      <w:pPr>
        <w:pStyle w:val="ListNumber"/>
        <w:numPr>
          <w:ilvl w:val="0"/>
          <w:numId w:val="25"/>
        </w:numPr>
      </w:pPr>
      <w:r>
        <w:t>s</w:t>
      </w:r>
      <w:r w:rsidR="004502D6">
        <w:t>truggle to understand them</w:t>
      </w:r>
      <w:r w:rsidR="000B1665">
        <w:t>,</w:t>
      </w:r>
      <w:r w:rsidR="004502D6">
        <w:t xml:space="preserve"> as organisations often </w:t>
      </w:r>
      <w:r w:rsidR="000B1665" w:rsidRPr="000B1665">
        <w:t>obfuscate</w:t>
      </w:r>
      <w:r w:rsidR="000B1665">
        <w:t xml:space="preserve"> how data will be collected, maintained and utilised through </w:t>
      </w:r>
      <w:r w:rsidR="004C1498">
        <w:t xml:space="preserve">complex </w:t>
      </w:r>
      <w:r>
        <w:t>language</w:t>
      </w:r>
      <w:r w:rsidR="00EB7128">
        <w:rPr>
          <w:rStyle w:val="EndnoteReference"/>
        </w:rPr>
        <w:endnoteReference w:id="166"/>
      </w:r>
      <w:r w:rsidR="004F3CD1">
        <w:t xml:space="preserve"> </w:t>
      </w:r>
    </w:p>
    <w:p w14:paraId="52217CEB" w14:textId="7876E607" w:rsidR="004C1498" w:rsidRDefault="000D5606" w:rsidP="00561BD4">
      <w:pPr>
        <w:pStyle w:val="ListNumber"/>
        <w:numPr>
          <w:ilvl w:val="0"/>
          <w:numId w:val="24"/>
        </w:numPr>
      </w:pPr>
      <w:r>
        <w:t>be</w:t>
      </w:r>
      <w:r w:rsidR="004C1498">
        <w:t xml:space="preserve"> powerless to do anything</w:t>
      </w:r>
      <w:r>
        <w:t>,</w:t>
      </w:r>
      <w:r w:rsidR="004C1498">
        <w:t xml:space="preserve"> even where they understand </w:t>
      </w:r>
      <w:r w:rsidR="00EB7128">
        <w:t xml:space="preserve">the privacy or AI risks </w:t>
      </w:r>
      <w:r>
        <w:t xml:space="preserve">to </w:t>
      </w:r>
      <w:r w:rsidR="00EB7128">
        <w:t>their data</w:t>
      </w:r>
      <w:r w:rsidR="004F3CD1">
        <w:t>.</w:t>
      </w:r>
      <w:r w:rsidR="00EB7128">
        <w:rPr>
          <w:rStyle w:val="EndnoteReference"/>
        </w:rPr>
        <w:endnoteReference w:id="167"/>
      </w:r>
    </w:p>
    <w:p w14:paraId="771E270E" w14:textId="5AE88F3E" w:rsidR="006F3BC0" w:rsidRDefault="007F0370" w:rsidP="00561BD4">
      <w:pPr>
        <w:pStyle w:val="ListNumber"/>
      </w:pPr>
      <w:r>
        <w:lastRenderedPageBreak/>
        <w:t xml:space="preserve">The Commission acknowledges that </w:t>
      </w:r>
      <w:r w:rsidR="00125474">
        <w:t>P</w:t>
      </w:r>
      <w:r>
        <w:t>roposal</w:t>
      </w:r>
      <w:r w:rsidR="00125474">
        <w:t xml:space="preserve"> 19.1</w:t>
      </w:r>
      <w:r>
        <w:t xml:space="preserve"> fails to extend beyond aiding transparency</w:t>
      </w:r>
      <w:r w:rsidR="00C64FA9">
        <w:t>,</w:t>
      </w:r>
      <w:r w:rsidR="006F3BC0">
        <w:t xml:space="preserve"> should individuals </w:t>
      </w:r>
      <w:r w:rsidR="00C64FA9">
        <w:t>genuinely engage in active consideration of an entit</w:t>
      </w:r>
      <w:r w:rsidR="004D7DE3">
        <w:t>y’s</w:t>
      </w:r>
      <w:r w:rsidR="00C64FA9">
        <w:t xml:space="preserve"> privacy policy. </w:t>
      </w:r>
      <w:r w:rsidR="00AD1EC3">
        <w:t xml:space="preserve">The current approach places the onus on </w:t>
      </w:r>
      <w:r w:rsidR="00876104">
        <w:t xml:space="preserve">individuals </w:t>
      </w:r>
      <w:r w:rsidR="00AD1EC3">
        <w:t xml:space="preserve">to read, understand and ‘agree’ to allowing </w:t>
      </w:r>
      <w:r w:rsidR="00875863">
        <w:t>an organisation to collect, maintain and utilise their information for ADM.</w:t>
      </w:r>
      <w:r w:rsidR="00590FBA">
        <w:t xml:space="preserve"> As noted above at </w:t>
      </w:r>
      <w:r w:rsidR="00590FBA">
        <w:fldChar w:fldCharType="begin"/>
      </w:r>
      <w:r w:rsidR="00590FBA">
        <w:instrText xml:space="preserve"> REF _Ref130019067 \r \h </w:instrText>
      </w:r>
      <w:r w:rsidR="00561BD4">
        <w:instrText xml:space="preserve"> \* MERGEFORMAT </w:instrText>
      </w:r>
      <w:r w:rsidR="00590FBA">
        <w:fldChar w:fldCharType="separate"/>
      </w:r>
      <w:r w:rsidR="00A40881">
        <w:t>4.1</w:t>
      </w:r>
      <w:r w:rsidR="00590FBA">
        <w:fldChar w:fldCharType="end"/>
      </w:r>
      <w:r w:rsidR="00590FBA">
        <w:t xml:space="preserve">, there are limitations on models which place the onus on </w:t>
      </w:r>
      <w:r w:rsidR="009F01CB">
        <w:t>individuals</w:t>
      </w:r>
      <w:r w:rsidR="00590FBA">
        <w:t xml:space="preserve"> to protect their own data.</w:t>
      </w:r>
    </w:p>
    <w:p w14:paraId="63B36835" w14:textId="0E221789" w:rsidR="00F27DF0" w:rsidRDefault="009F01CB" w:rsidP="00561BD4">
      <w:pPr>
        <w:pStyle w:val="Heading2"/>
      </w:pPr>
      <w:bookmarkStart w:id="67" w:name="_Toc131585374"/>
      <w:r>
        <w:t>L</w:t>
      </w:r>
      <w:r w:rsidRPr="00F27DF0">
        <w:t xml:space="preserve">egal </w:t>
      </w:r>
      <w:r w:rsidR="00F27DF0" w:rsidRPr="00F27DF0">
        <w:t>or similarly significant effect</w:t>
      </w:r>
      <w:bookmarkEnd w:id="67"/>
    </w:p>
    <w:p w14:paraId="1DEDF83A" w14:textId="7EBDEECD" w:rsidR="00B253A2" w:rsidRDefault="00B253A2" w:rsidP="00561BD4">
      <w:pPr>
        <w:pStyle w:val="ListNumber"/>
      </w:pPr>
      <w:r>
        <w:t>The use of personal information by entities in ADM engages the right to privacy, under the ICCPR, UNDHR and proposed Australian Human Rights Act.</w:t>
      </w:r>
      <w:r>
        <w:rPr>
          <w:rStyle w:val="EndnoteReference"/>
        </w:rPr>
        <w:endnoteReference w:id="168"/>
      </w:r>
      <w:r>
        <w:t xml:space="preserve"> </w:t>
      </w:r>
    </w:p>
    <w:p w14:paraId="401DF8C4" w14:textId="56F197B2" w:rsidR="00F27DF0" w:rsidRDefault="00F27DF0" w:rsidP="00561BD4">
      <w:pPr>
        <w:pStyle w:val="ListNumber"/>
      </w:pPr>
      <w:r>
        <w:t>The Commission supports the use of ‘legal or similarly significant effect’</w:t>
      </w:r>
      <w:r w:rsidR="00BF12BF">
        <w:t xml:space="preserve"> in Proposal</w:t>
      </w:r>
      <w:r w:rsidR="004F18CE">
        <w:t>s</w:t>
      </w:r>
      <w:r w:rsidR="00BF12BF">
        <w:t xml:space="preserve"> 19.1</w:t>
      </w:r>
      <w:r w:rsidR="004F18CE">
        <w:t xml:space="preserve"> and 19.2</w:t>
      </w:r>
      <w:r>
        <w:t xml:space="preserve">. The Commission uses the phrase ‘legal or similarly significant’ to define </w:t>
      </w:r>
      <w:r w:rsidR="0089334D">
        <w:t>ADM</w:t>
      </w:r>
      <w:r>
        <w:t xml:space="preserve"> in its </w:t>
      </w:r>
      <w:r w:rsidR="0089334D">
        <w:t>F</w:t>
      </w:r>
      <w:r>
        <w:t xml:space="preserve">inal </w:t>
      </w:r>
      <w:r w:rsidR="0089334D">
        <w:t>R</w:t>
      </w:r>
      <w:r>
        <w:t>eport.</w:t>
      </w:r>
      <w:r>
        <w:rPr>
          <w:rStyle w:val="EndnoteReference"/>
        </w:rPr>
        <w:endnoteReference w:id="169"/>
      </w:r>
      <w:r w:rsidR="00917267">
        <w:t xml:space="preserve"> The use of </w:t>
      </w:r>
      <w:r w:rsidR="0089334D">
        <w:t>t</w:t>
      </w:r>
      <w:r w:rsidR="00917267">
        <w:t xml:space="preserve">his phrase is consistent with the human rights approach the Commission adopts in analysing the challenges posed by </w:t>
      </w:r>
      <w:r w:rsidR="0089334D">
        <w:t>ADM</w:t>
      </w:r>
      <w:r w:rsidR="00917267">
        <w:t xml:space="preserve"> in its Final Report.</w:t>
      </w:r>
      <w:r w:rsidR="00917267">
        <w:rPr>
          <w:rStyle w:val="EndnoteReference"/>
        </w:rPr>
        <w:endnoteReference w:id="170"/>
      </w:r>
      <w:r w:rsidR="00C41142">
        <w:t xml:space="preserve"> </w:t>
      </w:r>
      <w:r>
        <w:t>It is also utilised in the</w:t>
      </w:r>
      <w:r w:rsidR="008C48AB" w:rsidRPr="008C48AB">
        <w:t xml:space="preserve"> </w:t>
      </w:r>
      <w:r w:rsidR="008C48AB">
        <w:t xml:space="preserve">European Union’s (EU) </w:t>
      </w:r>
      <w:r w:rsidR="008C48AB" w:rsidRPr="008C48AB">
        <w:t>General Data Protection Regulation</w:t>
      </w:r>
      <w:r>
        <w:t xml:space="preserve"> </w:t>
      </w:r>
      <w:r w:rsidR="008C48AB">
        <w:t>(</w:t>
      </w:r>
      <w:r>
        <w:t>GDPR</w:t>
      </w:r>
      <w:r w:rsidR="008C48AB">
        <w:t>)</w:t>
      </w:r>
      <w:r>
        <w:t xml:space="preserve"> to regulate solely automated decisions.</w:t>
      </w:r>
      <w:r>
        <w:rPr>
          <w:rStyle w:val="EndnoteReference"/>
        </w:rPr>
        <w:endnoteReference w:id="171"/>
      </w:r>
      <w:r>
        <w:t xml:space="preserve"> The use of AI to make decisions that have legal or similarly significant effect on individuals is likely to engage human rights in a significant way </w:t>
      </w:r>
      <w:r w:rsidR="004F18CE">
        <w:t>–</w:t>
      </w:r>
      <w:r>
        <w:t xml:space="preserve"> and the use of this phrase may assist in delineating the categories of decision that are likely to engage human rights more broadly.</w:t>
      </w:r>
      <w:r>
        <w:rPr>
          <w:rStyle w:val="EndnoteReference"/>
        </w:rPr>
        <w:endnoteReference w:id="172"/>
      </w:r>
      <w:r>
        <w:t xml:space="preserve"> </w:t>
      </w:r>
    </w:p>
    <w:p w14:paraId="58DD4E91" w14:textId="764AAD68" w:rsidR="00F27DF0" w:rsidRPr="00D763FD" w:rsidRDefault="00F27DF0" w:rsidP="00561BD4">
      <w:pPr>
        <w:pStyle w:val="ListNumber"/>
      </w:pPr>
      <w:r>
        <w:t xml:space="preserve">However, as considered in the Commission’s </w:t>
      </w:r>
      <w:r w:rsidR="00CF3544">
        <w:t>F</w:t>
      </w:r>
      <w:r>
        <w:t xml:space="preserve">inal </w:t>
      </w:r>
      <w:r w:rsidR="00CF3544">
        <w:t>R</w:t>
      </w:r>
      <w:r>
        <w:t xml:space="preserve">eport, the use of AI engages a broader range of </w:t>
      </w:r>
      <w:r w:rsidR="004F18CE">
        <w:t xml:space="preserve">human rights (including both </w:t>
      </w:r>
      <w:r>
        <w:t xml:space="preserve">civil and political rights, and </w:t>
      </w:r>
      <w:r w:rsidR="004F18CE">
        <w:t xml:space="preserve">also </w:t>
      </w:r>
      <w:r>
        <w:t>economic, social and cultural rights</w:t>
      </w:r>
      <w:r w:rsidR="004F18CE">
        <w:t>)</w:t>
      </w:r>
      <w:r>
        <w:t>.</w:t>
      </w:r>
      <w:r>
        <w:rPr>
          <w:rStyle w:val="EndnoteReference"/>
        </w:rPr>
        <w:endnoteReference w:id="173"/>
      </w:r>
      <w:r>
        <w:t xml:space="preserve"> For instance, the Commission provides an example of the risks of using AI in government decision-making in the criminal justice system, whereby governments employ risk assessment tools to predict the likelihood of future criminal behaviour.</w:t>
      </w:r>
      <w:r>
        <w:rPr>
          <w:rStyle w:val="EndnoteReference"/>
        </w:rPr>
        <w:endnoteReference w:id="174"/>
      </w:r>
      <w:r>
        <w:t xml:space="preserve"> The use of such tools in certain decisions, such as those involving sentencing, bail and post</w:t>
      </w:r>
      <w:r w:rsidR="00B007F0">
        <w:t>-</w:t>
      </w:r>
      <w:r>
        <w:t>sentence restrictions, may engage several political and civil rights, such as the right to equality and non-discrimination.</w:t>
      </w:r>
      <w:r>
        <w:rPr>
          <w:rStyle w:val="EndnoteReference"/>
        </w:rPr>
        <w:endnoteReference w:id="175"/>
      </w:r>
    </w:p>
    <w:p w14:paraId="5E25D6F5" w14:textId="714819E3" w:rsidR="00B253A2" w:rsidRDefault="00CF69CF" w:rsidP="00561BD4">
      <w:pPr>
        <w:pStyle w:val="ListNumber"/>
      </w:pPr>
      <w:r>
        <w:t xml:space="preserve">The </w:t>
      </w:r>
      <w:r w:rsidR="00F27DF0">
        <w:t>U</w:t>
      </w:r>
      <w:r w:rsidR="00B253A2">
        <w:t xml:space="preserve">nited </w:t>
      </w:r>
      <w:r w:rsidR="00F27DF0">
        <w:t>K</w:t>
      </w:r>
      <w:r w:rsidR="00B253A2">
        <w:t xml:space="preserve">ingdom’s </w:t>
      </w:r>
      <w:r w:rsidR="00F27DF0">
        <w:t xml:space="preserve"> I</w:t>
      </w:r>
      <w:r w:rsidR="00B253A2">
        <w:t xml:space="preserve">nformation </w:t>
      </w:r>
      <w:r w:rsidR="00F27DF0">
        <w:t>C</w:t>
      </w:r>
      <w:r w:rsidR="00B253A2">
        <w:t xml:space="preserve">ommissioners </w:t>
      </w:r>
      <w:r w:rsidR="00F27DF0">
        <w:t>O</w:t>
      </w:r>
      <w:r w:rsidR="00B253A2">
        <w:t>ffice (</w:t>
      </w:r>
      <w:r w:rsidR="00DC4B3C">
        <w:t xml:space="preserve">UK </w:t>
      </w:r>
      <w:r w:rsidR="00B253A2">
        <w:t>ICO)</w:t>
      </w:r>
      <w:r w:rsidR="00F27DF0">
        <w:t xml:space="preserve"> guidance states that a decision produces ‘legal effects’ if it affects an individual’s legal status or legal rights, such as the ability to access a social security benefit.</w:t>
      </w:r>
      <w:r w:rsidR="00F27DF0">
        <w:rPr>
          <w:rStyle w:val="EndnoteReference"/>
        </w:rPr>
        <w:endnoteReference w:id="176"/>
      </w:r>
      <w:r w:rsidR="00F27DF0">
        <w:t xml:space="preserve"> </w:t>
      </w:r>
    </w:p>
    <w:p w14:paraId="3D1C08F0" w14:textId="433FE62A" w:rsidR="00F27DF0" w:rsidRDefault="00F27DF0" w:rsidP="00561BD4">
      <w:pPr>
        <w:pStyle w:val="ListNumber"/>
      </w:pPr>
      <w:r>
        <w:t xml:space="preserve">The Commission considers that while the meaning of </w:t>
      </w:r>
      <w:r w:rsidR="000B31A8">
        <w:t>‘</w:t>
      </w:r>
      <w:r>
        <w:t>legal right</w:t>
      </w:r>
      <w:r w:rsidR="000B31A8">
        <w:t>’</w:t>
      </w:r>
      <w:r>
        <w:t xml:space="preserve"> is sufficiently clear, further clarification should be provided to entities as to the scope of ‘similarly significant effect’. While UK ICO guidance states that a decision has a ‘similarly significant effect’ to a legal decision if it has an </w:t>
      </w:r>
      <w:r>
        <w:lastRenderedPageBreak/>
        <w:t>equivalent impact on an individual’s circumstances, behaviour or choices,</w:t>
      </w:r>
      <w:r>
        <w:rPr>
          <w:rStyle w:val="EndnoteReference"/>
        </w:rPr>
        <w:endnoteReference w:id="177"/>
      </w:r>
      <w:r>
        <w:t xml:space="preserve"> it is unclear what circumstances would constitute a ‘significant’ effect. Several submitters to the </w:t>
      </w:r>
      <w:r w:rsidR="00B253A2">
        <w:t>Discussion Paper</w:t>
      </w:r>
      <w:r>
        <w:t xml:space="preserve"> support the provision of additional clarification as to the meaning of ‘similarly significant effect’.</w:t>
      </w:r>
      <w:r>
        <w:rPr>
          <w:rStyle w:val="EndnoteReference"/>
        </w:rPr>
        <w:endnoteReference w:id="178"/>
      </w:r>
      <w:r>
        <w:t xml:space="preserve"> The Ai Group and Business Council of Australia acknowledged that without this clarification, there remains a non-compliance risk of regulated entities using AI to support decision-making, particularly in the fields of employment and recruitment.</w:t>
      </w:r>
      <w:r>
        <w:rPr>
          <w:rStyle w:val="EndnoteReference"/>
        </w:rPr>
        <w:endnoteReference w:id="179"/>
      </w:r>
      <w:r>
        <w:t xml:space="preserve"> The Commission therefore also supports the proposal that OAIC guidance should be developed on the types of decisions with a </w:t>
      </w:r>
      <w:r w:rsidR="00CF3544">
        <w:t>‘</w:t>
      </w:r>
      <w:r>
        <w:t>legal or similarly significant effect</w:t>
      </w:r>
      <w:r w:rsidR="00CF3544">
        <w:t>’</w:t>
      </w:r>
      <w:r>
        <w:t>.</w:t>
      </w:r>
    </w:p>
    <w:p w14:paraId="64CDF1DB" w14:textId="77777777" w:rsidR="00917267" w:rsidRDefault="00917267" w:rsidP="00561BD4">
      <w:pPr>
        <w:pStyle w:val="ListNumber"/>
        <w:numPr>
          <w:ilvl w:val="0"/>
          <w:numId w:val="0"/>
        </w:numPr>
        <w:ind w:left="360"/>
      </w:pPr>
    </w:p>
    <w:p w14:paraId="142AD52F" w14:textId="4DCE88DE" w:rsidR="00CF3544" w:rsidRPr="003A2465" w:rsidRDefault="00917267" w:rsidP="00561BD4">
      <w:pPr>
        <w:pStyle w:val="ListNumber"/>
        <w:numPr>
          <w:ilvl w:val="0"/>
          <w:numId w:val="0"/>
        </w:numPr>
        <w:ind w:left="360"/>
        <w:rPr>
          <w:b/>
          <w:bCs/>
        </w:rPr>
      </w:pPr>
      <w:r w:rsidRPr="003A2465">
        <w:rPr>
          <w:b/>
          <w:bCs/>
        </w:rPr>
        <w:t xml:space="preserve">Recommendation </w:t>
      </w:r>
      <w:r w:rsidR="00E4278B">
        <w:rPr>
          <w:b/>
          <w:bCs/>
        </w:rPr>
        <w:t>30</w:t>
      </w:r>
      <w:r w:rsidRPr="003A2465">
        <w:rPr>
          <w:b/>
          <w:bCs/>
        </w:rPr>
        <w:t>: OAIC guidance should be developed on the types of decisions with a legal or similarly significant effect on an individual’s rights.</w:t>
      </w:r>
    </w:p>
    <w:p w14:paraId="1E0EF0D7" w14:textId="77777777" w:rsidR="003A2465" w:rsidRDefault="003A2465" w:rsidP="00561BD4">
      <w:pPr>
        <w:pStyle w:val="ListNumber"/>
        <w:numPr>
          <w:ilvl w:val="0"/>
          <w:numId w:val="0"/>
        </w:numPr>
        <w:ind w:left="360"/>
      </w:pPr>
    </w:p>
    <w:p w14:paraId="2DFB665F" w14:textId="53C1D73B" w:rsidR="00F27DF0" w:rsidRDefault="00F27DF0" w:rsidP="00561BD4">
      <w:pPr>
        <w:pStyle w:val="Heading2"/>
      </w:pPr>
      <w:bookmarkStart w:id="68" w:name="_Toc131585375"/>
      <w:r>
        <w:t>Substantially automated</w:t>
      </w:r>
      <w:r w:rsidR="00A804CF">
        <w:t xml:space="preserve"> decision</w:t>
      </w:r>
      <w:bookmarkEnd w:id="68"/>
      <w:r w:rsidR="00A804CF">
        <w:t xml:space="preserve"> </w:t>
      </w:r>
    </w:p>
    <w:p w14:paraId="03607EDA" w14:textId="1E3FC947" w:rsidR="000335BE" w:rsidRDefault="000335BE" w:rsidP="00561BD4">
      <w:pPr>
        <w:pStyle w:val="ListNumber"/>
      </w:pPr>
      <w:r>
        <w:t>T</w:t>
      </w:r>
      <w:r w:rsidR="007F0370" w:rsidRPr="00962DA8">
        <w:t>h</w:t>
      </w:r>
      <w:r>
        <w:t>e definition of ‘substantially automated’</w:t>
      </w:r>
      <w:r w:rsidR="007F0370" w:rsidRPr="00962DA8">
        <w:t xml:space="preserve"> </w:t>
      </w:r>
      <w:r w:rsidR="00C2293E">
        <w:t>(as used in Proposal</w:t>
      </w:r>
      <w:r w:rsidR="00FE089D">
        <w:t xml:space="preserve"> 19.1) </w:t>
      </w:r>
      <w:r w:rsidR="007F0370" w:rsidRPr="00962DA8">
        <w:t xml:space="preserve">necessarily should not capture </w:t>
      </w:r>
      <w:r w:rsidR="001B35CE">
        <w:t>ADM</w:t>
      </w:r>
      <w:r w:rsidR="007F0370" w:rsidRPr="00962DA8">
        <w:t xml:space="preserve"> where a human decision-maker has genuine oversight of a decision</w:t>
      </w:r>
      <w:r w:rsidR="00626A34">
        <w:t>,</w:t>
      </w:r>
      <w:r w:rsidR="007F0370" w:rsidRPr="00962DA8">
        <w:t xml:space="preserve"> and reviews </w:t>
      </w:r>
      <w:r w:rsidR="00626A34">
        <w:t>that decision</w:t>
      </w:r>
      <w:r w:rsidR="007F0370" w:rsidRPr="00962DA8">
        <w:t xml:space="preserve"> before it is applied</w:t>
      </w:r>
      <w:r>
        <w:t>.</w:t>
      </w:r>
    </w:p>
    <w:p w14:paraId="306330AF" w14:textId="7DE58E31" w:rsidR="003B3128" w:rsidRDefault="000B31A8" w:rsidP="00561BD4">
      <w:pPr>
        <w:pStyle w:val="ListNumber"/>
      </w:pPr>
      <w:r>
        <w:t>However, t</w:t>
      </w:r>
      <w:r w:rsidR="00C3376E">
        <w:t>here is a real risk</w:t>
      </w:r>
      <w:r w:rsidR="003E7AA3">
        <w:t xml:space="preserve"> that individuals</w:t>
      </w:r>
      <w:r w:rsidR="003B3128">
        <w:t xml:space="preserve"> </w:t>
      </w:r>
      <w:r w:rsidR="00C3376E">
        <w:t>may become</w:t>
      </w:r>
      <w:r w:rsidR="003B3128">
        <w:t xml:space="preserve"> </w:t>
      </w:r>
      <w:r w:rsidR="00626A34">
        <w:t>over</w:t>
      </w:r>
      <w:r w:rsidR="00C3376E">
        <w:t>ly</w:t>
      </w:r>
      <w:r w:rsidR="00626A34">
        <w:t xml:space="preserve"> reliant</w:t>
      </w:r>
      <w:r w:rsidR="003B3128">
        <w:t xml:space="preserve"> on the outcomes produced by ADM and AI. </w:t>
      </w:r>
      <w:r w:rsidR="00D10735">
        <w:t xml:space="preserve">This overreliance is </w:t>
      </w:r>
      <w:r w:rsidR="00626A34">
        <w:t>known</w:t>
      </w:r>
      <w:r w:rsidR="00D10735">
        <w:t xml:space="preserve"> as ‘automation bias’</w:t>
      </w:r>
      <w:r w:rsidR="003104F6">
        <w:t>,</w:t>
      </w:r>
      <w:r w:rsidR="00D10735">
        <w:t xml:space="preserve"> which is </w:t>
      </w:r>
      <w:r w:rsidR="00D10735" w:rsidRPr="000A1331">
        <w:rPr>
          <w:lang w:eastAsia="en-US"/>
        </w:rPr>
        <w:t xml:space="preserve">the </w:t>
      </w:r>
      <w:r w:rsidR="00D10735">
        <w:rPr>
          <w:lang w:eastAsia="en-US"/>
        </w:rPr>
        <w:t>‘</w:t>
      </w:r>
      <w:r w:rsidR="00D10735" w:rsidRPr="000A1331">
        <w:rPr>
          <w:lang w:eastAsia="en-US"/>
        </w:rPr>
        <w:t>tendency to use automated cues as a heuristic replacement for vigilant information seeking and processing</w:t>
      </w:r>
      <w:r w:rsidR="00D10735">
        <w:rPr>
          <w:lang w:eastAsia="en-US"/>
        </w:rPr>
        <w:t>’.</w:t>
      </w:r>
      <w:r w:rsidR="00D10735" w:rsidRPr="000A1331">
        <w:rPr>
          <w:vertAlign w:val="superscript"/>
          <w:lang w:eastAsia="en-US"/>
        </w:rPr>
        <w:endnoteReference w:id="180"/>
      </w:r>
    </w:p>
    <w:p w14:paraId="289827B7" w14:textId="4CFDB167" w:rsidR="00460ACE" w:rsidRDefault="003E7AA3" w:rsidP="00561BD4">
      <w:pPr>
        <w:pStyle w:val="ListNumber"/>
      </w:pPr>
      <w:r>
        <w:t xml:space="preserve"> </w:t>
      </w:r>
      <w:r w:rsidR="00F9181B">
        <w:rPr>
          <w:lang w:eastAsia="en-US"/>
        </w:rPr>
        <w:t xml:space="preserve">Automation bias can have severe consequences for individuals. For </w:t>
      </w:r>
      <w:r w:rsidR="00FA49BE">
        <w:rPr>
          <w:lang w:eastAsia="en-US"/>
        </w:rPr>
        <w:t>example,</w:t>
      </w:r>
      <w:r w:rsidR="00F9181B">
        <w:rPr>
          <w:lang w:eastAsia="en-US"/>
        </w:rPr>
        <w:t xml:space="preserve"> it is not uncommon to find articles documenting individuals </w:t>
      </w:r>
      <w:r w:rsidR="004D5140">
        <w:rPr>
          <w:lang w:eastAsia="en-US"/>
        </w:rPr>
        <w:t xml:space="preserve">driving their cars into </w:t>
      </w:r>
      <w:r w:rsidR="00FA49BE">
        <w:rPr>
          <w:lang w:eastAsia="en-US"/>
        </w:rPr>
        <w:t xml:space="preserve">the </w:t>
      </w:r>
      <w:r w:rsidR="004D5140">
        <w:rPr>
          <w:lang w:eastAsia="en-US"/>
        </w:rPr>
        <w:t>ocean while following GPS systems</w:t>
      </w:r>
      <w:r w:rsidR="00626A34">
        <w:rPr>
          <w:lang w:eastAsia="en-US"/>
        </w:rPr>
        <w:t>,</w:t>
      </w:r>
      <w:r w:rsidR="004D5140">
        <w:rPr>
          <w:lang w:eastAsia="en-US"/>
        </w:rPr>
        <w:t xml:space="preserve"> like Google Maps.</w:t>
      </w:r>
      <w:r w:rsidR="004D5140" w:rsidRPr="000A1331">
        <w:rPr>
          <w:vertAlign w:val="superscript"/>
          <w:lang w:eastAsia="en-US"/>
        </w:rPr>
        <w:endnoteReference w:id="181"/>
      </w:r>
      <w:r w:rsidR="00AE7221">
        <w:rPr>
          <w:lang w:eastAsia="en-US"/>
        </w:rPr>
        <w:t xml:space="preserve"> More concerningly is when automation bias is involved in medical settings</w:t>
      </w:r>
      <w:r w:rsidR="001B35CE">
        <w:rPr>
          <w:lang w:eastAsia="en-US"/>
        </w:rPr>
        <w:t xml:space="preserve">, with one </w:t>
      </w:r>
      <w:r w:rsidR="000B31A8">
        <w:rPr>
          <w:lang w:eastAsia="en-US"/>
        </w:rPr>
        <w:t>conference paper</w:t>
      </w:r>
      <w:r w:rsidR="001B35CE">
        <w:rPr>
          <w:lang w:eastAsia="en-US"/>
        </w:rPr>
        <w:t xml:space="preserve"> </w:t>
      </w:r>
      <w:r w:rsidR="003F233E">
        <w:rPr>
          <w:lang w:eastAsia="en-US"/>
        </w:rPr>
        <w:t xml:space="preserve">suggesting </w:t>
      </w:r>
      <w:r w:rsidR="001B35CE">
        <w:rPr>
          <w:lang w:eastAsia="en-US"/>
        </w:rPr>
        <w:t xml:space="preserve">that oncologists interpreting mammograms are incorrectly </w:t>
      </w:r>
      <w:r w:rsidR="00FA49BE">
        <w:rPr>
          <w:lang w:eastAsia="en-US"/>
        </w:rPr>
        <w:t>accepting</w:t>
      </w:r>
      <w:r w:rsidR="001B35CE">
        <w:rPr>
          <w:lang w:eastAsia="en-US"/>
        </w:rPr>
        <w:t xml:space="preserve"> system advice in 33</w:t>
      </w:r>
      <w:r w:rsidR="003104F6">
        <w:rPr>
          <w:lang w:eastAsia="en-US"/>
        </w:rPr>
        <w:t>%–</w:t>
      </w:r>
      <w:r w:rsidR="001B35CE">
        <w:rPr>
          <w:lang w:eastAsia="en-US"/>
        </w:rPr>
        <w:t>40% of cases.</w:t>
      </w:r>
      <w:r w:rsidR="001B35CE" w:rsidRPr="000A1331">
        <w:rPr>
          <w:vertAlign w:val="superscript"/>
          <w:lang w:eastAsia="en-US"/>
        </w:rPr>
        <w:endnoteReference w:id="182"/>
      </w:r>
    </w:p>
    <w:p w14:paraId="52461D39" w14:textId="17ABC23F" w:rsidR="00515992" w:rsidRDefault="00561BE2" w:rsidP="00561BD4">
      <w:pPr>
        <w:pStyle w:val="ListNumber"/>
      </w:pPr>
      <w:r>
        <w:t xml:space="preserve">In determining what ADM decisions are ‘substantially automated’ </w:t>
      </w:r>
      <w:r w:rsidR="00515992">
        <w:t xml:space="preserve">for the purpose of </w:t>
      </w:r>
      <w:r w:rsidR="00D10735">
        <w:t>Proposal 19.1</w:t>
      </w:r>
      <w:r w:rsidR="00626A34">
        <w:t>,</w:t>
      </w:r>
      <w:r w:rsidR="00D10735">
        <w:t xml:space="preserve"> regard must be had for the role that ‘automation </w:t>
      </w:r>
      <w:proofErr w:type="spellStart"/>
      <w:r w:rsidR="00D10735">
        <w:t>bias’</w:t>
      </w:r>
      <w:proofErr w:type="spellEnd"/>
      <w:r w:rsidR="00D10735">
        <w:t xml:space="preserve"> has in how human decision makers regard the outcomes of ADM and AI.</w:t>
      </w:r>
    </w:p>
    <w:p w14:paraId="725ACFFD" w14:textId="77777777" w:rsidR="009E626D" w:rsidRDefault="009E626D" w:rsidP="00561BD4">
      <w:pPr>
        <w:pStyle w:val="ListNumber"/>
        <w:numPr>
          <w:ilvl w:val="0"/>
          <w:numId w:val="0"/>
        </w:numPr>
        <w:ind w:left="360"/>
      </w:pPr>
    </w:p>
    <w:p w14:paraId="5E53247D" w14:textId="5C6F6062" w:rsidR="009E626D" w:rsidRPr="00151E76" w:rsidRDefault="009E626D" w:rsidP="00561BD4">
      <w:pPr>
        <w:pStyle w:val="ListNumber"/>
        <w:numPr>
          <w:ilvl w:val="0"/>
          <w:numId w:val="0"/>
        </w:numPr>
        <w:ind w:left="360"/>
        <w:rPr>
          <w:b/>
          <w:bCs/>
        </w:rPr>
      </w:pPr>
      <w:r w:rsidRPr="00151E76">
        <w:rPr>
          <w:b/>
          <w:bCs/>
        </w:rPr>
        <w:t xml:space="preserve">Recommendation </w:t>
      </w:r>
      <w:r w:rsidR="009500C1">
        <w:rPr>
          <w:b/>
          <w:bCs/>
        </w:rPr>
        <w:t>3</w:t>
      </w:r>
      <w:r w:rsidR="00E4278B">
        <w:rPr>
          <w:b/>
          <w:bCs/>
        </w:rPr>
        <w:t>1</w:t>
      </w:r>
      <w:r w:rsidRPr="00151E76">
        <w:rPr>
          <w:b/>
          <w:bCs/>
        </w:rPr>
        <w:t xml:space="preserve">: Any OAIC guidance which attempts to </w:t>
      </w:r>
      <w:r w:rsidR="0027641C" w:rsidRPr="00151E76">
        <w:rPr>
          <w:b/>
          <w:bCs/>
        </w:rPr>
        <w:t>define ‘</w:t>
      </w:r>
      <w:r w:rsidRPr="00151E76">
        <w:rPr>
          <w:b/>
          <w:bCs/>
        </w:rPr>
        <w:t xml:space="preserve">substantially automated’ decisions must give proper consideration to </w:t>
      </w:r>
      <w:r w:rsidR="00151E76" w:rsidRPr="00151E76">
        <w:rPr>
          <w:b/>
          <w:bCs/>
        </w:rPr>
        <w:lastRenderedPageBreak/>
        <w:t xml:space="preserve">the role automation bias may play in how deeply individuals </w:t>
      </w:r>
      <w:r w:rsidR="00626A34">
        <w:rPr>
          <w:b/>
          <w:bCs/>
        </w:rPr>
        <w:t xml:space="preserve">scrutinise </w:t>
      </w:r>
      <w:r w:rsidR="00151E76" w:rsidRPr="00151E76">
        <w:rPr>
          <w:b/>
          <w:bCs/>
        </w:rPr>
        <w:t>an ADM decision.</w:t>
      </w:r>
    </w:p>
    <w:p w14:paraId="7EE494FC" w14:textId="7677AD1C" w:rsidR="000335BE" w:rsidRDefault="000335BE" w:rsidP="00561BD4">
      <w:pPr>
        <w:pStyle w:val="ListNumber"/>
        <w:numPr>
          <w:ilvl w:val="0"/>
          <w:numId w:val="0"/>
        </w:numPr>
        <w:ind w:left="360"/>
      </w:pPr>
    </w:p>
    <w:p w14:paraId="7FFEAB1D" w14:textId="2563430C" w:rsidR="007F0370" w:rsidRDefault="007F0370" w:rsidP="00561BD4">
      <w:pPr>
        <w:pStyle w:val="ListNumber"/>
      </w:pPr>
      <w:r w:rsidRPr="0073189D">
        <w:t>It is important not</w:t>
      </w:r>
      <w:r>
        <w:t xml:space="preserve"> to limit the scope of what decisions can be considered ‘substantially automated’, due to the potential unfair and discriminatory impacts of </w:t>
      </w:r>
      <w:r w:rsidR="0073189D">
        <w:t>ADM</w:t>
      </w:r>
      <w:r>
        <w:t xml:space="preserve"> systems. UK ICO guidance state</w:t>
      </w:r>
      <w:r w:rsidR="005B0D79">
        <w:t>s</w:t>
      </w:r>
      <w:r>
        <w:t xml:space="preserve"> that the definition of ‘solely automated decisions’ used in the GDPR (which they acknowledge may involve human intervention) does not capture decisions whereby a human reviews the decision before it is applied.</w:t>
      </w:r>
      <w:r>
        <w:rPr>
          <w:rStyle w:val="EndnoteReference"/>
        </w:rPr>
        <w:endnoteReference w:id="183"/>
      </w:r>
    </w:p>
    <w:p w14:paraId="112F7DAA" w14:textId="77777777" w:rsidR="000335BE" w:rsidRDefault="000335BE" w:rsidP="00561BD4">
      <w:pPr>
        <w:pStyle w:val="ListNumber"/>
      </w:pPr>
      <w:r w:rsidRPr="00962DA8">
        <w:t xml:space="preserve">The </w:t>
      </w:r>
      <w:r>
        <w:t>C</w:t>
      </w:r>
      <w:r w:rsidRPr="00962DA8">
        <w:t xml:space="preserve">ommission supports </w:t>
      </w:r>
      <w:r>
        <w:t>the need for</w:t>
      </w:r>
      <w:r w:rsidRPr="00962DA8">
        <w:t xml:space="preserve"> greater guidance </w:t>
      </w:r>
      <w:r>
        <w:t>to</w:t>
      </w:r>
      <w:r w:rsidRPr="00962DA8">
        <w:t xml:space="preserve"> be provided to entities as to the meaning of ‘substantially automated’</w:t>
      </w:r>
      <w:r>
        <w:t xml:space="preserve">, and that consultation will be required to ensure the parameters of ‘substantially automated’ are appropriately calibrated. </w:t>
      </w:r>
      <w:r w:rsidRPr="00962DA8">
        <w:t xml:space="preserve"> </w:t>
      </w:r>
    </w:p>
    <w:p w14:paraId="33F22C88" w14:textId="77777777" w:rsidR="000E7FF4" w:rsidRDefault="000E7FF4" w:rsidP="00561BD4">
      <w:pPr>
        <w:pStyle w:val="ListNumber"/>
        <w:numPr>
          <w:ilvl w:val="0"/>
          <w:numId w:val="0"/>
        </w:numPr>
        <w:ind w:left="360"/>
      </w:pPr>
    </w:p>
    <w:p w14:paraId="4B7CC185" w14:textId="7A08ABBA" w:rsidR="000E7FF4" w:rsidRPr="005723E0" w:rsidRDefault="000E7FF4" w:rsidP="00561BD4">
      <w:pPr>
        <w:pStyle w:val="ListNumber"/>
        <w:numPr>
          <w:ilvl w:val="0"/>
          <w:numId w:val="0"/>
        </w:numPr>
        <w:ind w:left="360"/>
        <w:rPr>
          <w:b/>
          <w:bCs/>
        </w:rPr>
      </w:pPr>
      <w:r w:rsidRPr="005723E0">
        <w:rPr>
          <w:b/>
          <w:bCs/>
        </w:rPr>
        <w:t xml:space="preserve">Recommendation </w:t>
      </w:r>
      <w:r w:rsidR="009500C1">
        <w:rPr>
          <w:b/>
          <w:bCs/>
        </w:rPr>
        <w:t>3</w:t>
      </w:r>
      <w:r w:rsidR="00E4278B">
        <w:rPr>
          <w:b/>
          <w:bCs/>
        </w:rPr>
        <w:t>2</w:t>
      </w:r>
      <w:r w:rsidRPr="005723E0">
        <w:rPr>
          <w:b/>
          <w:bCs/>
        </w:rPr>
        <w:t>: The OAIC should develop guidance</w:t>
      </w:r>
      <w:r w:rsidR="005723E0" w:rsidRPr="005723E0">
        <w:rPr>
          <w:b/>
          <w:bCs/>
        </w:rPr>
        <w:t xml:space="preserve"> which defines ‘substantially automated’ decisions. This guidance must</w:t>
      </w:r>
      <w:r w:rsidR="00653F22" w:rsidRPr="005723E0">
        <w:rPr>
          <w:b/>
          <w:bCs/>
        </w:rPr>
        <w:t xml:space="preserve"> include a non-</w:t>
      </w:r>
      <w:r w:rsidR="005723E0" w:rsidRPr="005723E0">
        <w:rPr>
          <w:b/>
          <w:bCs/>
        </w:rPr>
        <w:t>exhaustive</w:t>
      </w:r>
      <w:r w:rsidR="00653F22" w:rsidRPr="005723E0">
        <w:rPr>
          <w:b/>
          <w:bCs/>
        </w:rPr>
        <w:t xml:space="preserve"> list of </w:t>
      </w:r>
      <w:r w:rsidR="005723E0" w:rsidRPr="005723E0">
        <w:rPr>
          <w:b/>
          <w:bCs/>
        </w:rPr>
        <w:t>decisions considered as ‘substantially automated’.</w:t>
      </w:r>
    </w:p>
    <w:p w14:paraId="6BBCAFC1" w14:textId="77777777" w:rsidR="000E7FF4" w:rsidRDefault="000E7FF4" w:rsidP="00561BD4">
      <w:pPr>
        <w:pStyle w:val="ListNumber"/>
        <w:numPr>
          <w:ilvl w:val="0"/>
          <w:numId w:val="0"/>
        </w:numPr>
        <w:ind w:left="360"/>
      </w:pPr>
    </w:p>
    <w:p w14:paraId="3F4F4270" w14:textId="576A6C68" w:rsidR="00EC6EFC" w:rsidRDefault="00796243" w:rsidP="00561BD4">
      <w:pPr>
        <w:pStyle w:val="Heading1"/>
      </w:pPr>
      <w:bookmarkStart w:id="69" w:name="_Toc131585376"/>
      <w:r>
        <w:t>Proposal 19.3</w:t>
      </w:r>
      <w:bookmarkEnd w:id="69"/>
    </w:p>
    <w:p w14:paraId="1962DAF4" w14:textId="6E21CF73" w:rsidR="00796243" w:rsidRPr="00796243" w:rsidRDefault="00796243" w:rsidP="00561BD4">
      <w:pPr>
        <w:pStyle w:val="ListNumber"/>
        <w:numPr>
          <w:ilvl w:val="0"/>
          <w:numId w:val="0"/>
        </w:numPr>
        <w:ind w:left="360"/>
        <w:rPr>
          <w:i/>
          <w:iCs/>
        </w:rPr>
      </w:pPr>
      <w:r w:rsidRPr="00796243">
        <w:rPr>
          <w:i/>
          <w:iCs/>
        </w:rPr>
        <w:t>Introduce a right for individuals to request meaningful information about how substantially automated decisions with legal or similarly significant effect are made. Entities will be required to include information in privacy policies about the use of personal information to make substantially automated decisions with legal or similarly significant effect.</w:t>
      </w:r>
    </w:p>
    <w:p w14:paraId="76B6537D" w14:textId="64101871" w:rsidR="00796243" w:rsidRPr="00796243" w:rsidRDefault="00796243" w:rsidP="00561BD4">
      <w:pPr>
        <w:pStyle w:val="ListNumber"/>
        <w:numPr>
          <w:ilvl w:val="0"/>
          <w:numId w:val="0"/>
        </w:numPr>
        <w:ind w:left="360"/>
        <w:rPr>
          <w:i/>
          <w:iCs/>
        </w:rPr>
      </w:pPr>
      <w:r w:rsidRPr="00796243">
        <w:rPr>
          <w:i/>
          <w:iCs/>
        </w:rPr>
        <w:t>This proposal should be implemented as part of the broader work to regulate AI and ADM, including the consultation being undertaken by the Department of Industry, Science and Resources.</w:t>
      </w:r>
    </w:p>
    <w:p w14:paraId="37C9FF9E" w14:textId="250681DC" w:rsidR="0066554F" w:rsidRDefault="0066554F" w:rsidP="00561BD4">
      <w:pPr>
        <w:pStyle w:val="Heading2"/>
      </w:pPr>
      <w:bookmarkStart w:id="70" w:name="_Toc131585377"/>
      <w:r>
        <w:t>Right to reasons</w:t>
      </w:r>
      <w:bookmarkEnd w:id="70"/>
    </w:p>
    <w:p w14:paraId="0815BD39" w14:textId="4B41933D" w:rsidR="00A37F85" w:rsidRDefault="006A1801" w:rsidP="00561BD4">
      <w:pPr>
        <w:pStyle w:val="ListNumber"/>
      </w:pPr>
      <w:r>
        <w:t xml:space="preserve">The Commission broadly supports a right for individuals to request </w:t>
      </w:r>
      <w:r w:rsidR="00A37F85">
        <w:t>meaningful information about</w:t>
      </w:r>
      <w:r>
        <w:t xml:space="preserve"> substantially automated decisions.</w:t>
      </w:r>
      <w:r w:rsidR="00A37F85">
        <w:t xml:space="preserve"> </w:t>
      </w:r>
      <w:r w:rsidR="003B369D">
        <w:t xml:space="preserve">The </w:t>
      </w:r>
      <w:r w:rsidR="00A37F85">
        <w:t xml:space="preserve">Commission </w:t>
      </w:r>
      <w:r w:rsidR="003B369D">
        <w:t>also</w:t>
      </w:r>
      <w:r w:rsidR="00A37F85">
        <w:t xml:space="preserve"> </w:t>
      </w:r>
      <w:r w:rsidR="003B369D">
        <w:t xml:space="preserve">considers </w:t>
      </w:r>
      <w:r w:rsidR="000B4455">
        <w:t>the need</w:t>
      </w:r>
      <w:r w:rsidR="00A37F85">
        <w:t xml:space="preserve"> for a broader</w:t>
      </w:r>
      <w:r>
        <w:t xml:space="preserve"> right to request reasons</w:t>
      </w:r>
      <w:r w:rsidR="00A37F85">
        <w:t xml:space="preserve"> in respect of substantially automated decisions. A right to reasons in this context</w:t>
      </w:r>
      <w:r>
        <w:t xml:space="preserve"> will assist in promoting fairness and transparency in the use of AI in decision-making. Furthermore, the provision of reasons enables individuals </w:t>
      </w:r>
      <w:r>
        <w:lastRenderedPageBreak/>
        <w:t xml:space="preserve">who are the subject of automated decisions to exercise other rights, such as the right to object and the right to remedy. </w:t>
      </w:r>
    </w:p>
    <w:p w14:paraId="3A909FDD" w14:textId="6D2A3A91" w:rsidR="006A1801" w:rsidRDefault="006A1801" w:rsidP="00561BD4">
      <w:pPr>
        <w:pStyle w:val="ListNumber"/>
      </w:pPr>
      <w:r>
        <w:t xml:space="preserve">This proposal extends further than that of </w:t>
      </w:r>
      <w:r w:rsidR="00A37F85">
        <w:t xml:space="preserve">Proposal </w:t>
      </w:r>
      <w:r>
        <w:t>19.</w:t>
      </w:r>
      <w:r w:rsidR="00A37F85">
        <w:t>3</w:t>
      </w:r>
      <w:r>
        <w:t xml:space="preserve"> in terms of protecting human rights, as it enables affected individuals to actively challenge decisions and access an effective remedy, as opposed to just improving the transparency of </w:t>
      </w:r>
      <w:r w:rsidR="00310858">
        <w:t>ADM</w:t>
      </w:r>
      <w:r>
        <w:t xml:space="preserve">. The Commission noted in its </w:t>
      </w:r>
      <w:r w:rsidR="001B7FD6">
        <w:t>F</w:t>
      </w:r>
      <w:r>
        <w:t xml:space="preserve">inal </w:t>
      </w:r>
      <w:r w:rsidR="001B7FD6">
        <w:t>R</w:t>
      </w:r>
      <w:r>
        <w:t xml:space="preserve">eport that a human rights approach to the regulation of </w:t>
      </w:r>
      <w:r w:rsidR="00310858">
        <w:t>ADM requires</w:t>
      </w:r>
      <w:r>
        <w:t xml:space="preserve"> access to an effective remedy where an individual’s human rights have been breached.</w:t>
      </w:r>
      <w:r>
        <w:rPr>
          <w:rStyle w:val="EndnoteReference"/>
        </w:rPr>
        <w:endnoteReference w:id="184"/>
      </w:r>
      <w:r>
        <w:t xml:space="preserve"> </w:t>
      </w:r>
    </w:p>
    <w:p w14:paraId="15E7B4AF" w14:textId="5C66CA3D" w:rsidR="00C33D57" w:rsidRPr="00DB4B1C" w:rsidRDefault="00A37F85" w:rsidP="00561BD4">
      <w:pPr>
        <w:pStyle w:val="ListNumber"/>
      </w:pPr>
      <w:r>
        <w:t>Information</w:t>
      </w:r>
      <w:r w:rsidR="00C33D57">
        <w:t xml:space="preserve"> provided</w:t>
      </w:r>
      <w:r w:rsidR="00B11A7F">
        <w:t xml:space="preserve"> about an ADM decision</w:t>
      </w:r>
      <w:r w:rsidR="00C33D57">
        <w:t xml:space="preserve"> must be conveyed in a clear, understandable format </w:t>
      </w:r>
      <w:r w:rsidR="00FC28B3">
        <w:t>in order to allow</w:t>
      </w:r>
      <w:r w:rsidR="00C33D57">
        <w:t xml:space="preserve"> individuals </w:t>
      </w:r>
      <w:r w:rsidR="00FC28B3">
        <w:t xml:space="preserve">to </w:t>
      </w:r>
      <w:r w:rsidR="00C33D57">
        <w:t xml:space="preserve">properly respond. In the Commission’s </w:t>
      </w:r>
      <w:r w:rsidR="00BA2607">
        <w:t>F</w:t>
      </w:r>
      <w:r w:rsidR="00C33D57">
        <w:t xml:space="preserve">inal </w:t>
      </w:r>
      <w:r w:rsidR="00BA2607">
        <w:t>R</w:t>
      </w:r>
      <w:r w:rsidR="00C33D57">
        <w:t xml:space="preserve">eport, stakeholders warned that simply providing the technical basis for AI informed decisions may do little to assist individuals to understand or challenge </w:t>
      </w:r>
      <w:r w:rsidR="00C44FC1">
        <w:t>those decisions</w:t>
      </w:r>
      <w:r w:rsidR="00C33D57">
        <w:t>.</w:t>
      </w:r>
      <w:r w:rsidR="00C33D57">
        <w:rPr>
          <w:rStyle w:val="EndnoteReference"/>
        </w:rPr>
        <w:endnoteReference w:id="185"/>
      </w:r>
      <w:r w:rsidR="00C33D57">
        <w:t xml:space="preserve"> </w:t>
      </w:r>
    </w:p>
    <w:p w14:paraId="0EB16BB2" w14:textId="7B45C062" w:rsidR="00CB7505" w:rsidRPr="006A111E" w:rsidRDefault="00CB7505" w:rsidP="00561BD4">
      <w:pPr>
        <w:pStyle w:val="ListNumber"/>
      </w:pPr>
      <w:r>
        <w:t xml:space="preserve">While the Commission considers that the requirement for a right to reasons is currently more pressing than it was at the time of our </w:t>
      </w:r>
      <w:r w:rsidR="00BA2607">
        <w:t>F</w:t>
      </w:r>
      <w:r>
        <w:t xml:space="preserve">inal </w:t>
      </w:r>
      <w:r w:rsidR="00BA2607">
        <w:t>R</w:t>
      </w:r>
      <w:r>
        <w:t xml:space="preserve">eport, </w:t>
      </w:r>
      <w:r w:rsidR="00A37F85">
        <w:t>the Commission</w:t>
      </w:r>
      <w:r w:rsidR="00C44FC1">
        <w:t xml:space="preserve"> </w:t>
      </w:r>
      <w:r>
        <w:t>also acknowledge</w:t>
      </w:r>
      <w:r w:rsidR="00A37F85">
        <w:t>s</w:t>
      </w:r>
      <w:r>
        <w:t xml:space="preserve"> the difficulties surrounding the introduction of such a requirement. </w:t>
      </w:r>
    </w:p>
    <w:p w14:paraId="54197C45" w14:textId="75361A67" w:rsidR="00BA2607" w:rsidRDefault="007639B6" w:rsidP="00561BD4">
      <w:pPr>
        <w:pStyle w:val="ListNumber"/>
      </w:pPr>
      <w:r>
        <w:t>I</w:t>
      </w:r>
      <w:r w:rsidR="00A22CF3">
        <w:t xml:space="preserve">t is technically difficult for some </w:t>
      </w:r>
      <w:r w:rsidR="005D74E8">
        <w:t>ADM</w:t>
      </w:r>
      <w:r w:rsidR="00A22CF3">
        <w:t xml:space="preserve"> systems to generate reasons. The use of AI may obscure the rationale or reasons for a decision</w:t>
      </w:r>
      <w:r w:rsidR="00BA2607">
        <w:t xml:space="preserve"> </w:t>
      </w:r>
      <w:r w:rsidR="001374D1">
        <w:t>–</w:t>
      </w:r>
      <w:r w:rsidR="00A22CF3">
        <w:t>referred to as the problem of ‘black box’ or ‘opaque’ AI.</w:t>
      </w:r>
      <w:r w:rsidR="00A22CF3">
        <w:rPr>
          <w:rStyle w:val="EndnoteReference"/>
        </w:rPr>
        <w:endnoteReference w:id="186"/>
      </w:r>
      <w:r w:rsidR="00A22CF3">
        <w:t xml:space="preserve"> This, in turn, can make it difficult or even impossible to challenge the merits or lawfulness of a decision.</w:t>
      </w:r>
      <w:r w:rsidR="00A22CF3">
        <w:rPr>
          <w:rStyle w:val="EndnoteReference"/>
        </w:rPr>
        <w:endnoteReference w:id="187"/>
      </w:r>
      <w:r w:rsidR="00A22CF3">
        <w:t xml:space="preserve"> While some leading software companies are exploring building an explanation function into </w:t>
      </w:r>
      <w:r w:rsidR="00573905">
        <w:t>ADM</w:t>
      </w:r>
      <w:r w:rsidR="00A22CF3">
        <w:t xml:space="preserve"> systems, this process can be technically challenging and expensive.</w:t>
      </w:r>
      <w:r w:rsidR="00A22CF3">
        <w:rPr>
          <w:rStyle w:val="EndnoteReference"/>
        </w:rPr>
        <w:endnoteReference w:id="188"/>
      </w:r>
      <w:r w:rsidR="00A22CF3">
        <w:t xml:space="preserve"> </w:t>
      </w:r>
    </w:p>
    <w:p w14:paraId="47888C8C" w14:textId="7E07E2BA" w:rsidR="007639B6" w:rsidRDefault="00A22CF3" w:rsidP="00561BD4">
      <w:pPr>
        <w:pStyle w:val="ListNumber"/>
      </w:pPr>
      <w:r>
        <w:t xml:space="preserve">The ability of small and medium-sized entities to generate meaningful information may be hindered by the financial cost of extracting a useful explanation (particularly in complex </w:t>
      </w:r>
      <w:r w:rsidR="000116B5">
        <w:t>ADM</w:t>
      </w:r>
      <w:r>
        <w:t xml:space="preserve"> systems) and the time it would take for an organisation to generate an explanation.</w:t>
      </w:r>
      <w:r>
        <w:rPr>
          <w:rStyle w:val="EndnoteReference"/>
        </w:rPr>
        <w:endnoteReference w:id="189"/>
      </w:r>
      <w:r>
        <w:t xml:space="preserve"> It may be possible to overcome this difficulty if further research is conducted by centres of expertise on explainable AI and expert guidance is provided by government on how to provide reasons for AI-informed decisions, a</w:t>
      </w:r>
      <w:r w:rsidR="000116B5">
        <w:t>s</w:t>
      </w:r>
      <w:r>
        <w:t xml:space="preserve"> recommendation by the Commission in its </w:t>
      </w:r>
      <w:r w:rsidR="007639B6">
        <w:t>F</w:t>
      </w:r>
      <w:r>
        <w:t xml:space="preserve">inal </w:t>
      </w:r>
      <w:r w:rsidR="007639B6">
        <w:t>R</w:t>
      </w:r>
      <w:r>
        <w:t>eport.</w:t>
      </w:r>
      <w:r>
        <w:rPr>
          <w:rStyle w:val="EndnoteReference"/>
        </w:rPr>
        <w:endnoteReference w:id="190"/>
      </w:r>
      <w:r>
        <w:t xml:space="preserve"> </w:t>
      </w:r>
    </w:p>
    <w:p w14:paraId="0A240A6A" w14:textId="21B9243D" w:rsidR="00A22CF3" w:rsidRDefault="00A22CF3" w:rsidP="00561BD4">
      <w:pPr>
        <w:pStyle w:val="ListNumber"/>
      </w:pPr>
      <w:r>
        <w:t xml:space="preserve">Furthermore, there may not necessarily exist a legal entitlement to the provision of reasons in the current legislative environment. For instance, the Commission noted in in its </w:t>
      </w:r>
      <w:r w:rsidR="007639B6">
        <w:t>F</w:t>
      </w:r>
      <w:r>
        <w:t xml:space="preserve">inal </w:t>
      </w:r>
      <w:r w:rsidR="007639B6">
        <w:t>R</w:t>
      </w:r>
      <w:r>
        <w:t>eport that decisions by non-government bodies do not carry a legal entitlement to reasons.</w:t>
      </w:r>
      <w:r>
        <w:rPr>
          <w:rStyle w:val="EndnoteReference"/>
        </w:rPr>
        <w:endnoteReference w:id="191"/>
      </w:r>
      <w:r>
        <w:t xml:space="preserve"> </w:t>
      </w:r>
    </w:p>
    <w:p w14:paraId="443F2431" w14:textId="60AF84F8" w:rsidR="00AE20BB" w:rsidRDefault="00AE20BB" w:rsidP="00561BD4">
      <w:pPr>
        <w:pStyle w:val="ListNumber"/>
      </w:pPr>
      <w:r>
        <w:t xml:space="preserve">The Commission considers that in light of recent technological developments, a right to request reasons is a pressing requirement. This is particularly so in relation to use of </w:t>
      </w:r>
      <w:r w:rsidR="00424ED8">
        <w:t>ADM</w:t>
      </w:r>
      <w:r>
        <w:t xml:space="preserve"> systems by government, as government should always be able to explain how they arrive at decisions, in </w:t>
      </w:r>
      <w:r>
        <w:lastRenderedPageBreak/>
        <w:t xml:space="preserve">accordance with the principle of open government. As noted in the </w:t>
      </w:r>
      <w:r w:rsidR="0091427B">
        <w:t>F</w:t>
      </w:r>
      <w:r>
        <w:t xml:space="preserve">inal </w:t>
      </w:r>
      <w:r w:rsidR="0091427B">
        <w:t>R</w:t>
      </w:r>
      <w:r>
        <w:t xml:space="preserve">eport, the Commission opposes the use by government of </w:t>
      </w:r>
      <w:r w:rsidR="00862E0D">
        <w:t>A</w:t>
      </w:r>
      <w:r w:rsidR="00A37F85">
        <w:t>DM</w:t>
      </w:r>
      <w:r>
        <w:t xml:space="preserve"> systems that cannot generate reasons, or a technical explanation, for the final decisions.</w:t>
      </w:r>
      <w:r>
        <w:rPr>
          <w:rStyle w:val="EndnoteReference"/>
        </w:rPr>
        <w:endnoteReference w:id="192"/>
      </w:r>
      <w:r>
        <w:t xml:space="preserve"> This is because government decisions will</w:t>
      </w:r>
      <w:r w:rsidR="0091427B">
        <w:t xml:space="preserve"> often</w:t>
      </w:r>
      <w:r>
        <w:t xml:space="preserve"> inherently possess human rights impacts</w:t>
      </w:r>
      <w:r w:rsidR="0051584C">
        <w:t xml:space="preserve">, and </w:t>
      </w:r>
      <w:r w:rsidR="00A01D43">
        <w:t xml:space="preserve">the principles of open government provide an important foundation in </w:t>
      </w:r>
      <w:r w:rsidR="00F33B20">
        <w:t>Australia’s</w:t>
      </w:r>
      <w:r w:rsidR="00A01D43">
        <w:t xml:space="preserve"> democratic system</w:t>
      </w:r>
      <w:r>
        <w:t xml:space="preserve">. The use by government of complex </w:t>
      </w:r>
      <w:r w:rsidR="00862E0D">
        <w:t xml:space="preserve">ADM </w:t>
      </w:r>
      <w:r>
        <w:t>systems</w:t>
      </w:r>
      <w:r w:rsidR="00862E0D">
        <w:t>,</w:t>
      </w:r>
      <w:r>
        <w:t xml:space="preserve"> that cannot generate reasons</w:t>
      </w:r>
      <w:r w:rsidR="00862E0D">
        <w:t>,</w:t>
      </w:r>
      <w:r>
        <w:t xml:space="preserve"> may leave individuals with no right to remedy. </w:t>
      </w:r>
    </w:p>
    <w:p w14:paraId="6843FB30" w14:textId="6040595C" w:rsidR="00822B6D" w:rsidRDefault="00027C09" w:rsidP="00561BD4">
      <w:pPr>
        <w:pStyle w:val="ListNumber"/>
      </w:pPr>
      <w:r>
        <w:t>This is illustrated by the Government’s ‘</w:t>
      </w:r>
      <w:proofErr w:type="spellStart"/>
      <w:r>
        <w:t>Robodebt</w:t>
      </w:r>
      <w:proofErr w:type="spellEnd"/>
      <w:r>
        <w:t>’ scheme in 2015, whereby an automated debt recovery system used an algorithm to identify any discrepancies between an individual’s declared income to the Australian Taxation Office, and the individual’s income reported to Centrelink. A discrepancy was considered undeclared income, and as a result, a debt notice was automatically generated and sent to the individual.</w:t>
      </w:r>
      <w:r>
        <w:rPr>
          <w:rStyle w:val="EndnoteReference"/>
        </w:rPr>
        <w:endnoteReference w:id="193"/>
      </w:r>
      <w:r>
        <w:t xml:space="preserve"> </w:t>
      </w:r>
    </w:p>
    <w:p w14:paraId="7D36A686" w14:textId="618AD41D" w:rsidR="00013275" w:rsidRDefault="00013275" w:rsidP="00561BD4">
      <w:pPr>
        <w:pStyle w:val="ListNumber"/>
      </w:pPr>
      <w:r>
        <w:t xml:space="preserve">The Commission has previously made a submission to the </w:t>
      </w:r>
      <w:r w:rsidR="00D06EE8">
        <w:t>Senate Community Affairs References Committee regarding its inquiry into ‘Centrelink’s compliance program’.</w:t>
      </w:r>
      <w:r w:rsidR="007B6A13">
        <w:rPr>
          <w:rStyle w:val="EndnoteReference"/>
        </w:rPr>
        <w:endnoteReference w:id="194"/>
      </w:r>
      <w:r w:rsidR="00C0218C">
        <w:t xml:space="preserve"> In that submission the Commission noted its concerns and highlighted the </w:t>
      </w:r>
      <w:r w:rsidR="00AC7723">
        <w:t xml:space="preserve">risk posed to the right to social security which is protected by </w:t>
      </w:r>
      <w:r w:rsidR="00226CF7">
        <w:t>art</w:t>
      </w:r>
      <w:r w:rsidR="00AC7723">
        <w:t xml:space="preserve"> 9 of the International Covenant on Economic, Social and Cultural Rights</w:t>
      </w:r>
      <w:r w:rsidR="00DB76F9">
        <w:t xml:space="preserve"> </w:t>
      </w:r>
      <w:r w:rsidR="00A35BC7">
        <w:t>–</w:t>
      </w:r>
      <w:r w:rsidR="00226CF7">
        <w:t xml:space="preserve"> the impediment of</w:t>
      </w:r>
      <w:r w:rsidR="00A35BC7">
        <w:t xml:space="preserve"> which can impede the realisations of </w:t>
      </w:r>
      <w:r w:rsidR="007B6A13">
        <w:t>other human rights</w:t>
      </w:r>
      <w:r w:rsidR="00AC7723">
        <w:t>.</w:t>
      </w:r>
      <w:r w:rsidR="00DB76F9">
        <w:rPr>
          <w:rStyle w:val="EndnoteReference"/>
        </w:rPr>
        <w:endnoteReference w:id="195"/>
      </w:r>
      <w:r w:rsidR="00DB76F9">
        <w:t xml:space="preserve">  </w:t>
      </w:r>
    </w:p>
    <w:p w14:paraId="25451ECA" w14:textId="73510F57" w:rsidR="000D7BD2" w:rsidRDefault="00027C09" w:rsidP="00561BD4">
      <w:pPr>
        <w:pStyle w:val="ListNumber"/>
      </w:pPr>
      <w:r>
        <w:t>A parliamentary inquiry</w:t>
      </w:r>
      <w:r w:rsidR="005B1E28">
        <w:t xml:space="preserve"> has since</w:t>
      </w:r>
      <w:r>
        <w:t xml:space="preserve"> revealed that this process resulted in various inaccurate debt notices. As the scheme involved social security payments, such errors disproportionately affected people with pre-existing socioeconomic disadvantage and vulnerability.</w:t>
      </w:r>
      <w:r>
        <w:rPr>
          <w:rStyle w:val="EndnoteReference"/>
        </w:rPr>
        <w:endnoteReference w:id="196"/>
      </w:r>
      <w:r>
        <w:t xml:space="preserve"> The Commonwealth Ombudsman, in its review of the scheme, urged the Department of Human Services to ‘improve the clarity’ of the letters sent to individuals, and to provide people ‘better information so they understand the information and can properly respond to it’.</w:t>
      </w:r>
      <w:r>
        <w:rPr>
          <w:rStyle w:val="EndnoteReference"/>
        </w:rPr>
        <w:endnoteReference w:id="197"/>
      </w:r>
      <w:r>
        <w:t xml:space="preserve"> </w:t>
      </w:r>
    </w:p>
    <w:p w14:paraId="3CB51374" w14:textId="77777777" w:rsidR="002B0A1A" w:rsidRDefault="000D7BD2" w:rsidP="00561BD4">
      <w:pPr>
        <w:pStyle w:val="ListNumber"/>
      </w:pPr>
      <w:r>
        <w:t xml:space="preserve">As demonstrated in the subsequent </w:t>
      </w:r>
      <w:r w:rsidR="001311D1">
        <w:t>Royal Commission in</w:t>
      </w:r>
      <w:r w:rsidR="00862E0D">
        <w:t>to</w:t>
      </w:r>
      <w:r w:rsidR="001311D1">
        <w:t xml:space="preserve"> the </w:t>
      </w:r>
      <w:proofErr w:type="spellStart"/>
      <w:r w:rsidR="001311D1">
        <w:t>Robodebt</w:t>
      </w:r>
      <w:proofErr w:type="spellEnd"/>
      <w:r w:rsidR="001311D1">
        <w:t xml:space="preserve"> Scheme</w:t>
      </w:r>
      <w:r w:rsidR="00862E0D">
        <w:t xml:space="preserve"> (Royal Commission),</w:t>
      </w:r>
      <w:r w:rsidR="001311D1">
        <w:t xml:space="preserve"> countless individuals suffered </w:t>
      </w:r>
      <w:r w:rsidR="00862E0D">
        <w:t>because of</w:t>
      </w:r>
      <w:r w:rsidR="001311D1">
        <w:t xml:space="preserve"> </w:t>
      </w:r>
      <w:r w:rsidR="00E76C7A">
        <w:t xml:space="preserve">the scheme’s algorithm. </w:t>
      </w:r>
      <w:r w:rsidR="00E9441E">
        <w:t>In just one example of the serious harms caused by the scheme</w:t>
      </w:r>
      <w:r w:rsidR="00862E0D">
        <w:t>,</w:t>
      </w:r>
      <w:r w:rsidR="00E9441E">
        <w:t xml:space="preserve"> </w:t>
      </w:r>
      <w:r w:rsidR="0090479E" w:rsidRPr="0090479E">
        <w:t xml:space="preserve">Kathleen </w:t>
      </w:r>
      <w:proofErr w:type="spellStart"/>
      <w:r w:rsidR="0090479E" w:rsidRPr="0090479E">
        <w:t>Madgwick</w:t>
      </w:r>
      <w:proofErr w:type="spellEnd"/>
      <w:r w:rsidR="0090479E" w:rsidRPr="0090479E">
        <w:t xml:space="preserve"> told the </w:t>
      </w:r>
      <w:r w:rsidR="0090479E">
        <w:t>Royal Commission of her son</w:t>
      </w:r>
      <w:r w:rsidR="005161C4">
        <w:t>,</w:t>
      </w:r>
      <w:r w:rsidR="0090479E">
        <w:t xml:space="preserve"> </w:t>
      </w:r>
      <w:r w:rsidR="005161C4" w:rsidRPr="005161C4">
        <w:t xml:space="preserve">Jarrad </w:t>
      </w:r>
      <w:proofErr w:type="spellStart"/>
      <w:r w:rsidR="005161C4" w:rsidRPr="005161C4">
        <w:t>Madgwick</w:t>
      </w:r>
      <w:proofErr w:type="spellEnd"/>
      <w:r w:rsidR="005161C4">
        <w:t xml:space="preserve">, who had taken his own life just hours after </w:t>
      </w:r>
      <w:r w:rsidR="0016740C">
        <w:t xml:space="preserve">he learned of a $2,000 Centrelink </w:t>
      </w:r>
      <w:proofErr w:type="spellStart"/>
      <w:r w:rsidR="0016740C">
        <w:t>Robodebt</w:t>
      </w:r>
      <w:proofErr w:type="spellEnd"/>
      <w:r w:rsidR="0016740C">
        <w:t>.</w:t>
      </w:r>
      <w:r w:rsidR="0016740C">
        <w:rPr>
          <w:rStyle w:val="EndnoteReference"/>
        </w:rPr>
        <w:endnoteReference w:id="198"/>
      </w:r>
      <w:r w:rsidR="0016740C">
        <w:t xml:space="preserve"> </w:t>
      </w:r>
      <w:r w:rsidR="00027C09">
        <w:t xml:space="preserve">The scheme demonstrates the dangers of the of </w:t>
      </w:r>
      <w:r w:rsidR="00862E0D">
        <w:t>ADM</w:t>
      </w:r>
      <w:r w:rsidR="00027C09">
        <w:t xml:space="preserve"> systems</w:t>
      </w:r>
      <w:r w:rsidR="00862E0D">
        <w:t xml:space="preserve"> which lack human scrutiny and</w:t>
      </w:r>
      <w:r w:rsidR="00027C09">
        <w:t xml:space="preserve"> where clear, understandable reasons cannot be provided for decisions that inherently impact a person’s human rights.</w:t>
      </w:r>
    </w:p>
    <w:p w14:paraId="6922F6A5" w14:textId="4F366FA5" w:rsidR="002A0D0C" w:rsidRPr="002A0D0C" w:rsidRDefault="00027C09" w:rsidP="00561BD4">
      <w:pPr>
        <w:pStyle w:val="ListNumber"/>
      </w:pPr>
      <w:r>
        <w:t>The use of black box AI may infringe upon human rights in whatever sector it arises, whether that be in government, the private or the non-government sector.</w:t>
      </w:r>
      <w:r>
        <w:rPr>
          <w:rStyle w:val="EndnoteReference"/>
        </w:rPr>
        <w:endnoteReference w:id="199"/>
      </w:r>
    </w:p>
    <w:p w14:paraId="2FB837D9" w14:textId="1EE57B4A" w:rsidR="00400103" w:rsidRDefault="00400103" w:rsidP="00561BD4">
      <w:pPr>
        <w:pStyle w:val="Heading2"/>
      </w:pPr>
      <w:bookmarkStart w:id="71" w:name="_Toc131585378"/>
      <w:r>
        <w:lastRenderedPageBreak/>
        <w:t>Further work in regulating AI and ADM</w:t>
      </w:r>
      <w:bookmarkEnd w:id="71"/>
    </w:p>
    <w:p w14:paraId="2CACA6F2" w14:textId="77777777" w:rsidR="00974E72" w:rsidRDefault="005E6AE9" w:rsidP="00561BD4">
      <w:pPr>
        <w:pStyle w:val="ListNumber"/>
      </w:pPr>
      <w:r w:rsidRPr="001802ED">
        <w:t xml:space="preserve">The Commission </w:t>
      </w:r>
      <w:r>
        <w:t xml:space="preserve">strongly </w:t>
      </w:r>
      <w:r w:rsidRPr="001802ED">
        <w:t>supports</w:t>
      </w:r>
      <w:r>
        <w:t xml:space="preserve"> further work in regulating AI and ADM. The regulation of AI in ADM was subject to extensive reporting and work in our </w:t>
      </w:r>
      <w:r w:rsidR="00523449">
        <w:t>F</w:t>
      </w:r>
      <w:r>
        <w:t xml:space="preserve">inal </w:t>
      </w:r>
      <w:r w:rsidR="00523449">
        <w:t>R</w:t>
      </w:r>
      <w:r>
        <w:t>eport. The Commission recommended, for example, the appointment of an AI Safety Commissioner as an independent statutory office. This body would function as a source of expertise on AI, by providing guidance to government and the private sector on how to comply with laws surrounding the development and use of AI.</w:t>
      </w:r>
      <w:r>
        <w:rPr>
          <w:rStyle w:val="EndnoteReference"/>
        </w:rPr>
        <w:endnoteReference w:id="200"/>
      </w:r>
      <w:r>
        <w:t xml:space="preserve"> </w:t>
      </w:r>
    </w:p>
    <w:p w14:paraId="59B334CB" w14:textId="69CECA30" w:rsidR="005E6AE9" w:rsidRDefault="005E6AE9" w:rsidP="00561BD4">
      <w:pPr>
        <w:pStyle w:val="ListNumber"/>
      </w:pPr>
      <w:r>
        <w:t xml:space="preserve">For instance, as recommended in the </w:t>
      </w:r>
      <w:r w:rsidR="001735DF">
        <w:t>F</w:t>
      </w:r>
      <w:r>
        <w:t xml:space="preserve">inal </w:t>
      </w:r>
      <w:r w:rsidR="001735DF">
        <w:t>R</w:t>
      </w:r>
      <w:r>
        <w:t xml:space="preserve">eport, the </w:t>
      </w:r>
      <w:r w:rsidR="005F3CFA">
        <w:t xml:space="preserve">proposed </w:t>
      </w:r>
      <w:r>
        <w:t>AI Safety Commissioner could develop guidance for government and non-government entities on how to generate reasons for AI-informed decisions</w:t>
      </w:r>
      <w:r w:rsidR="008D0E07">
        <w:t>.</w:t>
      </w:r>
      <w:r>
        <w:rPr>
          <w:rStyle w:val="EndnoteReference"/>
        </w:rPr>
        <w:endnoteReference w:id="201"/>
      </w:r>
      <w:r>
        <w:t xml:space="preserve"> This body would further function to provide independent advice to policy makers and parliament by monitoring trends in the use of AI in Australia and internationally to address risks associated with AI.</w:t>
      </w:r>
      <w:r>
        <w:rPr>
          <w:rStyle w:val="EndnoteReference"/>
        </w:rPr>
        <w:endnoteReference w:id="202"/>
      </w:r>
      <w:r>
        <w:t xml:space="preserve"> Lastly, it would also function to build the capacity of other regulators and the broader regulatory scheme surrounding AI and ADM, to adapt and respond to the rise of AI technologies.</w:t>
      </w:r>
      <w:r>
        <w:rPr>
          <w:rStyle w:val="EndnoteReference"/>
        </w:rPr>
        <w:endnoteReference w:id="203"/>
      </w:r>
      <w:r w:rsidR="00523449">
        <w:t xml:space="preserve"> </w:t>
      </w:r>
      <w:r w:rsidR="001735DF">
        <w:t>T</w:t>
      </w:r>
      <w:r w:rsidR="00523449">
        <w:t>he appointment of an AI Safety Commissioner is a fundamental first step in better regulating AI and ADM.</w:t>
      </w:r>
    </w:p>
    <w:p w14:paraId="14F3A3B2" w14:textId="77777777" w:rsidR="00523449" w:rsidRPr="006C51D2" w:rsidRDefault="00523449" w:rsidP="00561BD4">
      <w:pPr>
        <w:pStyle w:val="ListNumber"/>
        <w:numPr>
          <w:ilvl w:val="0"/>
          <w:numId w:val="0"/>
        </w:numPr>
        <w:ind w:left="360"/>
      </w:pPr>
    </w:p>
    <w:p w14:paraId="55E0E4E0" w14:textId="52B28BB6" w:rsidR="002D4D02" w:rsidRPr="00494F77" w:rsidRDefault="002D4D02" w:rsidP="00561BD4">
      <w:pPr>
        <w:pStyle w:val="ListNumber"/>
        <w:numPr>
          <w:ilvl w:val="0"/>
          <w:numId w:val="0"/>
        </w:numPr>
        <w:ind w:left="360"/>
        <w:rPr>
          <w:b/>
          <w:bCs/>
        </w:rPr>
      </w:pPr>
      <w:r w:rsidRPr="00494F77">
        <w:rPr>
          <w:b/>
          <w:bCs/>
        </w:rPr>
        <w:t xml:space="preserve">Recommendation </w:t>
      </w:r>
      <w:r w:rsidR="009500C1">
        <w:rPr>
          <w:b/>
          <w:bCs/>
        </w:rPr>
        <w:t>3</w:t>
      </w:r>
      <w:r w:rsidR="00E4278B">
        <w:rPr>
          <w:b/>
          <w:bCs/>
        </w:rPr>
        <w:t>3</w:t>
      </w:r>
      <w:r w:rsidRPr="00494F77">
        <w:rPr>
          <w:b/>
          <w:bCs/>
        </w:rPr>
        <w:t xml:space="preserve">: </w:t>
      </w:r>
      <w:r w:rsidR="0080227C" w:rsidRPr="00494F77">
        <w:rPr>
          <w:b/>
          <w:bCs/>
        </w:rPr>
        <w:t>The Australian Government should establish an AI Safety Commissioner as an independent statutory office, focused on promoting safety and protecting human rights in the development and use of AI in Australia. The AI Safety Commissioner should:</w:t>
      </w:r>
    </w:p>
    <w:p w14:paraId="722AE219" w14:textId="62BB1EC1" w:rsidR="002D4D02" w:rsidRPr="00494F77" w:rsidRDefault="0080227C" w:rsidP="00561BD4">
      <w:pPr>
        <w:pStyle w:val="ListNumber"/>
        <w:numPr>
          <w:ilvl w:val="0"/>
          <w:numId w:val="24"/>
        </w:numPr>
        <w:rPr>
          <w:b/>
          <w:bCs/>
        </w:rPr>
      </w:pPr>
      <w:r w:rsidRPr="00494F77">
        <w:rPr>
          <w:b/>
          <w:bCs/>
        </w:rPr>
        <w:t>work with regulators to build their technical capacity regarding the development and use of AI in areas for which those regulators have responsibility</w:t>
      </w:r>
    </w:p>
    <w:p w14:paraId="37A8DF73" w14:textId="5E8BE9C3" w:rsidR="0080227C" w:rsidRPr="00494F77" w:rsidRDefault="00494F77" w:rsidP="00561BD4">
      <w:pPr>
        <w:pStyle w:val="ListNumber"/>
        <w:numPr>
          <w:ilvl w:val="0"/>
          <w:numId w:val="24"/>
        </w:numPr>
        <w:rPr>
          <w:b/>
          <w:bCs/>
        </w:rPr>
      </w:pPr>
      <w:r w:rsidRPr="00494F77">
        <w:rPr>
          <w:b/>
          <w:bCs/>
        </w:rPr>
        <w:t>monitor and investigate developments and trends in the use of AI, especially in areas of particular human rights risk</w:t>
      </w:r>
    </w:p>
    <w:p w14:paraId="4508C042" w14:textId="258FA153" w:rsidR="00494F77" w:rsidRPr="00494F77" w:rsidRDefault="00494F77" w:rsidP="00561BD4">
      <w:pPr>
        <w:pStyle w:val="ListNumber"/>
        <w:numPr>
          <w:ilvl w:val="0"/>
          <w:numId w:val="24"/>
        </w:numPr>
        <w:rPr>
          <w:b/>
          <w:bCs/>
        </w:rPr>
      </w:pPr>
      <w:r w:rsidRPr="00494F77">
        <w:rPr>
          <w:b/>
          <w:bCs/>
        </w:rPr>
        <w:t>provide independent expertise relating to AI and human rights for Australian policy makers</w:t>
      </w:r>
    </w:p>
    <w:p w14:paraId="7FDCD417" w14:textId="4242294E" w:rsidR="00494F77" w:rsidRPr="00494F77" w:rsidRDefault="00494F77" w:rsidP="00561BD4">
      <w:pPr>
        <w:pStyle w:val="ListNumber"/>
        <w:numPr>
          <w:ilvl w:val="0"/>
          <w:numId w:val="24"/>
        </w:numPr>
        <w:rPr>
          <w:b/>
          <w:bCs/>
        </w:rPr>
      </w:pPr>
      <w:r w:rsidRPr="00494F77">
        <w:rPr>
          <w:b/>
          <w:bCs/>
        </w:rPr>
        <w:t>issue guidance to government and the private sector on how to comply with laws and ethical requirements in the use of AI.</w:t>
      </w:r>
    </w:p>
    <w:p w14:paraId="4F56BF28" w14:textId="77777777" w:rsidR="00494F77" w:rsidRDefault="00494F77" w:rsidP="00561BD4">
      <w:pPr>
        <w:pStyle w:val="ListNumber"/>
        <w:numPr>
          <w:ilvl w:val="0"/>
          <w:numId w:val="0"/>
        </w:numPr>
        <w:ind w:left="360"/>
      </w:pPr>
    </w:p>
    <w:p w14:paraId="090638D4" w14:textId="4DFAD646" w:rsidR="00E4472B" w:rsidRDefault="00E4472B" w:rsidP="00561BD4">
      <w:pPr>
        <w:pStyle w:val="Heading2"/>
      </w:pPr>
      <w:bookmarkStart w:id="72" w:name="_Toc131585379"/>
      <w:r>
        <w:t>Algorithmic bias</w:t>
      </w:r>
      <w:bookmarkEnd w:id="72"/>
    </w:p>
    <w:p w14:paraId="7D6A9EFA" w14:textId="70193B40" w:rsidR="00A14548" w:rsidRDefault="00A14548" w:rsidP="00561BD4">
      <w:pPr>
        <w:pStyle w:val="ListNumber"/>
      </w:pPr>
      <w:r>
        <w:t xml:space="preserve">While AI allows large amounts of relevant information to be considered in decision-making processes and may encourage efficient, data-driven decision making, its regulation is becoming increasingly important, due </w:t>
      </w:r>
      <w:r>
        <w:lastRenderedPageBreak/>
        <w:t xml:space="preserve">to its potential to produce ‘algorithmic bias’. Algorithmic bias arises where an </w:t>
      </w:r>
      <w:r w:rsidR="00160258">
        <w:t>ADM</w:t>
      </w:r>
      <w:r>
        <w:t xml:space="preserve"> tool produces outputs that result in unfairness.</w:t>
      </w:r>
      <w:r>
        <w:rPr>
          <w:rStyle w:val="EndnoteReference"/>
        </w:rPr>
        <w:endnoteReference w:id="204"/>
      </w:r>
      <w:r>
        <w:t xml:space="preserve"> Algorithmic bias can entrench unfairness</w:t>
      </w:r>
      <w:r w:rsidR="00160258">
        <w:t>,</w:t>
      </w:r>
      <w:r>
        <w:t xml:space="preserve"> or even result in unlawful discrimination.</w:t>
      </w:r>
      <w:r>
        <w:rPr>
          <w:rStyle w:val="EndnoteReference"/>
        </w:rPr>
        <w:endnoteReference w:id="205"/>
      </w:r>
      <w:r>
        <w:t xml:space="preserve"> </w:t>
      </w:r>
    </w:p>
    <w:p w14:paraId="0603E0E1" w14:textId="1759709A" w:rsidR="00823D98" w:rsidRDefault="00823D98" w:rsidP="00561BD4">
      <w:pPr>
        <w:pStyle w:val="ListNumber"/>
      </w:pPr>
      <w:r>
        <w:t xml:space="preserve">For instance, </w:t>
      </w:r>
      <w:r w:rsidR="00B4393A">
        <w:t>ADM</w:t>
      </w:r>
      <w:r>
        <w:t xml:space="preserve"> systems may unintentionally produce discrimination in the employee vetting process. For instance, Amazon used an AI software that was designed to review resumes and determine which applicants Amazon should hire.</w:t>
      </w:r>
      <w:r>
        <w:rPr>
          <w:rStyle w:val="EndnoteReference"/>
        </w:rPr>
        <w:endnoteReference w:id="206"/>
      </w:r>
      <w:r>
        <w:t xml:space="preserve"> The algorithm systemically discriminated against women applying for technical jobs, such as software engineer positions. This is because the existing pool of Amazon software engineers were by majority male, and as such, the new software was fed data about those engineers’ resumes.</w:t>
      </w:r>
      <w:r>
        <w:rPr>
          <w:rStyle w:val="EndnoteReference"/>
        </w:rPr>
        <w:endnoteReference w:id="207"/>
      </w:r>
      <w:r>
        <w:t xml:space="preserve"> The practice of directing software to discover resumes similar to resumes in a training data set will inevitably reproduce the demographics of the existing workforce.</w:t>
      </w:r>
      <w:r>
        <w:rPr>
          <w:rStyle w:val="EndnoteReference"/>
        </w:rPr>
        <w:endnoteReference w:id="208"/>
      </w:r>
      <w:r>
        <w:t xml:space="preserve"> </w:t>
      </w:r>
    </w:p>
    <w:p w14:paraId="404BE9D0" w14:textId="4712B150" w:rsidR="00F512CD" w:rsidRDefault="00EC22ED" w:rsidP="00561BD4">
      <w:pPr>
        <w:pStyle w:val="ListNumber"/>
      </w:pPr>
      <w:r>
        <w:t xml:space="preserve">Another example of algorithmic bias was when, in 2019, a study discovered that a clinical algorithm used by many hospitals in the </w:t>
      </w:r>
      <w:r w:rsidR="00F9078A">
        <w:t>US</w:t>
      </w:r>
      <w:r>
        <w:t xml:space="preserve"> to determine which patients required extra medical care produced racial bias.</w:t>
      </w:r>
      <w:r>
        <w:rPr>
          <w:rStyle w:val="EndnoteReference"/>
        </w:rPr>
        <w:endnoteReference w:id="209"/>
      </w:r>
      <w:r>
        <w:t xml:space="preserve"> The algorithm was trained on past data on healthcare spending, which reflects a trend whereby </w:t>
      </w:r>
      <w:r w:rsidR="00B4393A">
        <w:t>b</w:t>
      </w:r>
      <w:r>
        <w:t>lack patients have less income to spend on their healthcare as compared with white patients</w:t>
      </w:r>
      <w:r w:rsidR="00B4393A">
        <w:t xml:space="preserve"> </w:t>
      </w:r>
      <w:r>
        <w:t>- a result of systemic wealth and income disparities.</w:t>
      </w:r>
      <w:r>
        <w:rPr>
          <w:rStyle w:val="EndnoteReference"/>
        </w:rPr>
        <w:endnoteReference w:id="210"/>
      </w:r>
      <w:r>
        <w:t xml:space="preserve"> As such, the algorithm’s outputs reflected a discriminatory result whereby white patients required more medical care than black patients.</w:t>
      </w:r>
      <w:r>
        <w:rPr>
          <w:rStyle w:val="EndnoteReference"/>
        </w:rPr>
        <w:endnoteReference w:id="211"/>
      </w:r>
      <w:r>
        <w:t xml:space="preserve"> </w:t>
      </w:r>
    </w:p>
    <w:p w14:paraId="196258F9" w14:textId="7232E80A" w:rsidR="00C06054" w:rsidRDefault="00EC22ED" w:rsidP="00561BD4">
      <w:pPr>
        <w:pStyle w:val="ListNumber"/>
      </w:pPr>
      <w:r>
        <w:t xml:space="preserve">Such examples highlight why AI and ADM require </w:t>
      </w:r>
      <w:r w:rsidR="00B4393A">
        <w:t xml:space="preserve">greater </w:t>
      </w:r>
      <w:r>
        <w:t>regulation, in the interests of increasing transparency</w:t>
      </w:r>
      <w:r w:rsidR="00B4393A">
        <w:t>,</w:t>
      </w:r>
      <w:r>
        <w:t xml:space="preserve"> preventing unfairness and unlawful discrimination in algorithmic decision-making. This is especially </w:t>
      </w:r>
      <w:r w:rsidR="0046753A">
        <w:t xml:space="preserve">the case </w:t>
      </w:r>
      <w:r>
        <w:t xml:space="preserve">given the difficulty of applying anti-discrimination law to complex </w:t>
      </w:r>
      <w:r w:rsidR="00B4393A">
        <w:t>ADM</w:t>
      </w:r>
      <w:r>
        <w:t xml:space="preserve"> systems.</w:t>
      </w:r>
      <w:r>
        <w:rPr>
          <w:rStyle w:val="EndnoteReference"/>
        </w:rPr>
        <w:endnoteReference w:id="212"/>
      </w:r>
      <w:r w:rsidR="00100BD9">
        <w:t xml:space="preserve"> T</w:t>
      </w:r>
      <w:r w:rsidR="001217E1">
        <w:t xml:space="preserve">he Commission </w:t>
      </w:r>
      <w:r w:rsidR="0051336A">
        <w:t xml:space="preserve">emphasises </w:t>
      </w:r>
      <w:r w:rsidR="001217E1">
        <w:t xml:space="preserve">its 2020 technical paper </w:t>
      </w:r>
      <w:r w:rsidR="001217E1" w:rsidRPr="0093057E">
        <w:t>‘</w:t>
      </w:r>
      <w:hyperlink r:id="rId26" w:history="1">
        <w:r w:rsidR="001217E1" w:rsidRPr="0093057E">
          <w:rPr>
            <w:rStyle w:val="Hyperlink"/>
          </w:rPr>
          <w:t xml:space="preserve">Using artificial intelligence to make decisions: Addressing the problem of algorithmic </w:t>
        </w:r>
        <w:proofErr w:type="spellStart"/>
        <w:r w:rsidR="001217E1" w:rsidRPr="0093057E">
          <w:rPr>
            <w:rStyle w:val="Hyperlink"/>
          </w:rPr>
          <w:t>bias</w:t>
        </w:r>
      </w:hyperlink>
      <w:r w:rsidR="001217E1">
        <w:t>’</w:t>
      </w:r>
      <w:proofErr w:type="spellEnd"/>
      <w:r w:rsidR="001217E1">
        <w:t xml:space="preserve"> which considers algorithmic bias in great</w:t>
      </w:r>
      <w:r w:rsidR="00F54510">
        <w:t>er</w:t>
      </w:r>
      <w:r w:rsidR="001217E1">
        <w:t xml:space="preserve"> detail.</w:t>
      </w:r>
      <w:r w:rsidR="00C06054">
        <w:t xml:space="preserve"> Australia must do more to regulate the use of AI and ADM</w:t>
      </w:r>
      <w:r w:rsidR="006B26E3">
        <w:t xml:space="preserve"> as a matter of priority</w:t>
      </w:r>
      <w:r w:rsidR="00F54510">
        <w:t>.</w:t>
      </w:r>
      <w:r w:rsidR="006B26E3">
        <w:t xml:space="preserve"> </w:t>
      </w:r>
      <w:r w:rsidR="00F54510">
        <w:t>I</w:t>
      </w:r>
      <w:r w:rsidR="006B26E3">
        <w:t xml:space="preserve">n the two years since the Final Report was released there has been disappointingly little movement in this space. </w:t>
      </w:r>
      <w:r w:rsidR="00F930EF">
        <w:t>However, t</w:t>
      </w:r>
      <w:r w:rsidR="006B26E3">
        <w:t xml:space="preserve">he Commission is pleased that </w:t>
      </w:r>
      <w:r w:rsidR="00A61C9C">
        <w:t>broader work is</w:t>
      </w:r>
      <w:r w:rsidR="004B1512">
        <w:t xml:space="preserve"> now</w:t>
      </w:r>
      <w:r w:rsidR="00A61C9C">
        <w:t xml:space="preserve"> being done to engage with how to regulate AI and ADM.</w:t>
      </w:r>
      <w:r w:rsidR="006B26E3">
        <w:t xml:space="preserve"> </w:t>
      </w:r>
    </w:p>
    <w:p w14:paraId="5E109B98" w14:textId="77777777" w:rsidR="00100BD9" w:rsidRDefault="00100BD9" w:rsidP="00561BD4">
      <w:pPr>
        <w:pStyle w:val="ListNumber"/>
        <w:numPr>
          <w:ilvl w:val="0"/>
          <w:numId w:val="0"/>
        </w:numPr>
        <w:ind w:left="360"/>
      </w:pPr>
    </w:p>
    <w:p w14:paraId="5CEDCE9B" w14:textId="644EEA98" w:rsidR="00224F2D" w:rsidRPr="00100BD9" w:rsidRDefault="00100BD9" w:rsidP="00561BD4">
      <w:pPr>
        <w:pStyle w:val="ListNumber"/>
        <w:numPr>
          <w:ilvl w:val="0"/>
          <w:numId w:val="0"/>
        </w:numPr>
        <w:ind w:left="360"/>
      </w:pPr>
      <w:r>
        <w:rPr>
          <w:b/>
          <w:bCs/>
        </w:rPr>
        <w:t xml:space="preserve">Recommendation </w:t>
      </w:r>
      <w:r w:rsidR="009500C1">
        <w:rPr>
          <w:b/>
          <w:bCs/>
        </w:rPr>
        <w:t>3</w:t>
      </w:r>
      <w:r w:rsidR="00E4278B">
        <w:rPr>
          <w:b/>
          <w:bCs/>
        </w:rPr>
        <w:t>4</w:t>
      </w:r>
      <w:r>
        <w:rPr>
          <w:b/>
          <w:bCs/>
        </w:rPr>
        <w:t xml:space="preserve">: </w:t>
      </w:r>
      <w:r w:rsidR="00224F2D">
        <w:rPr>
          <w:b/>
          <w:bCs/>
        </w:rPr>
        <w:t>Proposal</w:t>
      </w:r>
      <w:r w:rsidR="00C06054">
        <w:rPr>
          <w:b/>
          <w:bCs/>
        </w:rPr>
        <w:t xml:space="preserve"> 19.3 </w:t>
      </w:r>
      <w:r w:rsidR="00224F2D">
        <w:rPr>
          <w:b/>
          <w:bCs/>
        </w:rPr>
        <w:t>should be implemented as part of broader work to regulate AI and ADM</w:t>
      </w:r>
      <w:r w:rsidR="00F80082">
        <w:rPr>
          <w:b/>
          <w:bCs/>
        </w:rPr>
        <w:t xml:space="preserve">. </w:t>
      </w:r>
      <w:r w:rsidR="00F72559">
        <w:rPr>
          <w:b/>
          <w:bCs/>
        </w:rPr>
        <w:t>Such regulatory work should ensure human-rights-centred design and deployment of AI and ADM and would benefit from consultation with human-rights focused bodies</w:t>
      </w:r>
      <w:r w:rsidR="00F5539A">
        <w:rPr>
          <w:b/>
          <w:bCs/>
        </w:rPr>
        <w:t xml:space="preserve">, such as the Commission. </w:t>
      </w:r>
    </w:p>
    <w:p w14:paraId="6041E728" w14:textId="77777777" w:rsidR="00B8629B" w:rsidRPr="00AC7032" w:rsidRDefault="00B8629B" w:rsidP="00561BD4"/>
    <w:p w14:paraId="2CF62EB3" w14:textId="012BC9F4" w:rsidR="00026EF7" w:rsidRDefault="00026EF7" w:rsidP="00561BD4">
      <w:pPr>
        <w:pStyle w:val="Heading1"/>
      </w:pPr>
      <w:bookmarkStart w:id="73" w:name="_Toc131585380"/>
      <w:r>
        <w:lastRenderedPageBreak/>
        <w:t>Proposal 27</w:t>
      </w:r>
      <w:r w:rsidR="009B4349">
        <w:t>.1</w:t>
      </w:r>
      <w:bookmarkEnd w:id="73"/>
    </w:p>
    <w:p w14:paraId="489C20AA" w14:textId="350FBE2A" w:rsidR="00283B20" w:rsidRPr="00283B20" w:rsidRDefault="00FC3902" w:rsidP="00561BD4">
      <w:pPr>
        <w:pStyle w:val="ListNumber"/>
        <w:numPr>
          <w:ilvl w:val="0"/>
          <w:numId w:val="0"/>
        </w:numPr>
        <w:ind w:left="360" w:hanging="360"/>
        <w:rPr>
          <w:i/>
          <w:iCs/>
        </w:rPr>
      </w:pPr>
      <w:r>
        <w:rPr>
          <w:i/>
          <w:iCs/>
        </w:rPr>
        <w:tab/>
      </w:r>
      <w:r w:rsidR="00283B20" w:rsidRPr="00283B20">
        <w:rPr>
          <w:i/>
          <w:iCs/>
        </w:rPr>
        <w:t>Introduce a statutory tort for serious invasions of privacy in the form recommended by the ALRC in Report 123.</w:t>
      </w:r>
    </w:p>
    <w:p w14:paraId="6F9BC8DB" w14:textId="1F430742" w:rsidR="00283B20" w:rsidRDefault="00283B20" w:rsidP="00561BD4">
      <w:pPr>
        <w:pStyle w:val="ListNumber"/>
        <w:numPr>
          <w:ilvl w:val="0"/>
          <w:numId w:val="0"/>
        </w:numPr>
        <w:ind w:left="360"/>
      </w:pPr>
      <w:r w:rsidRPr="00283B20">
        <w:rPr>
          <w:i/>
          <w:iCs/>
        </w:rPr>
        <w:t>Consult with the states and territories on implementation to ensure a consistent national approach</w:t>
      </w:r>
      <w:r>
        <w:t xml:space="preserve">. </w:t>
      </w:r>
    </w:p>
    <w:p w14:paraId="36296FA7" w14:textId="5072E65E" w:rsidR="00253B78" w:rsidRPr="00253B78" w:rsidRDefault="00253B78" w:rsidP="00561BD4">
      <w:pPr>
        <w:pStyle w:val="Heading2"/>
      </w:pPr>
      <w:bookmarkStart w:id="74" w:name="_Toc131585381"/>
      <w:r>
        <w:t>Freedom of expression</w:t>
      </w:r>
      <w:bookmarkEnd w:id="74"/>
    </w:p>
    <w:p w14:paraId="2235ECF3" w14:textId="3B7CC1C8" w:rsidR="00E95086" w:rsidRDefault="15E893BA" w:rsidP="00561BD4">
      <w:pPr>
        <w:pStyle w:val="ListNumber"/>
      </w:pPr>
      <w:r>
        <w:t>The Commission acknowledges the submissions by media organisations about the possible ‘chilling effect’ that</w:t>
      </w:r>
      <w:r w:rsidR="2416BBE7">
        <w:t xml:space="preserve"> the proposed tort for</w:t>
      </w:r>
      <w:r w:rsidR="00F930EF">
        <w:t xml:space="preserve"> the</w:t>
      </w:r>
      <w:r w:rsidR="2416BBE7">
        <w:t xml:space="preserve"> serious invasion of privacy </w:t>
      </w:r>
      <w:r w:rsidR="5BA77F75">
        <w:t xml:space="preserve">in the form recommended by the Australian Law Reform Commission’s </w:t>
      </w:r>
      <w:r w:rsidR="00EF7768">
        <w:t xml:space="preserve">report, </w:t>
      </w:r>
      <w:r w:rsidR="5BA77F75" w:rsidRPr="00AF2F7E">
        <w:rPr>
          <w:i/>
          <w:iCs/>
        </w:rPr>
        <w:t xml:space="preserve">Serious Invasions of Privacy in the Digital Era </w:t>
      </w:r>
      <w:r w:rsidR="5BA77F75">
        <w:t>(Report 123)</w:t>
      </w:r>
      <w:r w:rsidR="00EF7768">
        <w:t>,</w:t>
      </w:r>
      <w:r w:rsidR="5BA77F75">
        <w:t xml:space="preserve"> may have on the freedom of expression.</w:t>
      </w:r>
    </w:p>
    <w:p w14:paraId="22895F6C" w14:textId="4588F411" w:rsidR="00224B34" w:rsidRDefault="30182654" w:rsidP="00561BD4">
      <w:pPr>
        <w:pStyle w:val="ListNumber"/>
      </w:pPr>
      <w:r>
        <w:t>The</w:t>
      </w:r>
      <w:r w:rsidR="00F5539A">
        <w:t xml:space="preserve"> submissions</w:t>
      </w:r>
      <w:r w:rsidR="00640838">
        <w:t xml:space="preserve"> from media organisations raising concerns about </w:t>
      </w:r>
      <w:r w:rsidR="00424088">
        <w:t>the</w:t>
      </w:r>
      <w:r w:rsidR="00640838">
        <w:t xml:space="preserve"> proposed tort do</w:t>
      </w:r>
      <w:r>
        <w:t xml:space="preserve"> raise </w:t>
      </w:r>
      <w:r w:rsidR="00640838">
        <w:t xml:space="preserve">important </w:t>
      </w:r>
      <w:r>
        <w:t>issues about the interaction between competing human rights</w:t>
      </w:r>
      <w:r w:rsidR="00640E8A">
        <w:t xml:space="preserve">, most notably the </w:t>
      </w:r>
      <w:r>
        <w:t xml:space="preserve">tension between the right to privacy and the right to freedom of </w:t>
      </w:r>
      <w:r w:rsidR="00CD2893">
        <w:t>expression</w:t>
      </w:r>
      <w:r>
        <w:t xml:space="preserve">. Most human rights are not absolute, and circumstances may require that different rights be balanced against important public interests, and against </w:t>
      </w:r>
      <w:r w:rsidR="00EF7768">
        <w:t xml:space="preserve">intersecting </w:t>
      </w:r>
      <w:r>
        <w:t>rights. Balancing rights is often a difficult task and is not exclusive to these two rights</w:t>
      </w:r>
      <w:r w:rsidR="00640E8A">
        <w:t xml:space="preserve"> – for example, </w:t>
      </w:r>
      <w:r>
        <w:t xml:space="preserve">the right to access information and the right to national security interests will also </w:t>
      </w:r>
      <w:r w:rsidR="00640E8A">
        <w:t xml:space="preserve">often </w:t>
      </w:r>
      <w:r w:rsidR="00661F4F">
        <w:t xml:space="preserve">need to be balanced </w:t>
      </w:r>
      <w:r w:rsidR="00424088">
        <w:t>against one</w:t>
      </w:r>
      <w:r>
        <w:t xml:space="preserve"> another.</w:t>
      </w:r>
      <w:r w:rsidR="00224B34">
        <w:rPr>
          <w:rStyle w:val="EndnoteReference"/>
        </w:rPr>
        <w:endnoteReference w:id="213"/>
      </w:r>
      <w:r>
        <w:t xml:space="preserve"> Where such tensions exist a necessary </w:t>
      </w:r>
      <w:r w:rsidR="00661F4F">
        <w:t xml:space="preserve">balancing </w:t>
      </w:r>
      <w:r>
        <w:t xml:space="preserve">exercise is required. </w:t>
      </w:r>
    </w:p>
    <w:p w14:paraId="0697BD82" w14:textId="6DD24292" w:rsidR="00D719FE" w:rsidRDefault="15E893BA" w:rsidP="00561BD4">
      <w:pPr>
        <w:pStyle w:val="ListNumber"/>
      </w:pPr>
      <w:r>
        <w:t xml:space="preserve"> </w:t>
      </w:r>
      <w:r w:rsidR="75A866BE">
        <w:t xml:space="preserve">As noted by the </w:t>
      </w:r>
      <w:r w:rsidR="6B11189E">
        <w:t xml:space="preserve">Discussion Paper, </w:t>
      </w:r>
      <w:r w:rsidR="7795E315">
        <w:t xml:space="preserve">a common law tort of privacy has often been used in other jurisdictions by high profile </w:t>
      </w:r>
      <w:r w:rsidR="7E877114">
        <w:t>individuals</w:t>
      </w:r>
      <w:r w:rsidR="2431F754">
        <w:t xml:space="preserve"> to take legal action against media </w:t>
      </w:r>
      <w:r w:rsidR="2431F754" w:rsidRPr="00582A75">
        <w:t>outlets</w:t>
      </w:r>
      <w:r w:rsidR="7E877114" w:rsidRPr="00582A75">
        <w:t>.</w:t>
      </w:r>
      <w:r w:rsidR="0010670A" w:rsidRPr="00582A75">
        <w:rPr>
          <w:rStyle w:val="EndnoteReference"/>
        </w:rPr>
        <w:endnoteReference w:id="214"/>
      </w:r>
      <w:r w:rsidR="7E877114" w:rsidRPr="00582A75">
        <w:t xml:space="preserve"> As</w:t>
      </w:r>
      <w:r w:rsidR="7E877114">
        <w:t xml:space="preserve"> noted by other submitters</w:t>
      </w:r>
      <w:r w:rsidR="3AF93D8B">
        <w:t>,</w:t>
      </w:r>
      <w:r w:rsidR="7E877114">
        <w:t xml:space="preserve"> if the statutory tort were introduced</w:t>
      </w:r>
      <w:r w:rsidR="00536A15">
        <w:t>,</w:t>
      </w:r>
      <w:r w:rsidR="542D590D">
        <w:t xml:space="preserve"> wealthy and well-resourced individuals </w:t>
      </w:r>
      <w:r w:rsidR="00424088">
        <w:t>could</w:t>
      </w:r>
      <w:r w:rsidR="542D590D">
        <w:t xml:space="preserve"> commence proceedings under the proposed tort of privacy.</w:t>
      </w:r>
      <w:r w:rsidR="00BC5945">
        <w:rPr>
          <w:rStyle w:val="EndnoteReference"/>
        </w:rPr>
        <w:endnoteReference w:id="215"/>
      </w:r>
      <w:r w:rsidR="2688339E">
        <w:t xml:space="preserve"> It </w:t>
      </w:r>
      <w:r w:rsidR="004200CF">
        <w:t xml:space="preserve">has </w:t>
      </w:r>
      <w:r w:rsidR="2688339E">
        <w:t xml:space="preserve">further </w:t>
      </w:r>
      <w:r w:rsidR="004200CF">
        <w:t xml:space="preserve">been submitted </w:t>
      </w:r>
      <w:r w:rsidR="4ADCCC36">
        <w:t xml:space="preserve">by </w:t>
      </w:r>
      <w:r w:rsidR="004200CF">
        <w:t xml:space="preserve">some </w:t>
      </w:r>
      <w:r w:rsidR="4ADCCC36">
        <w:t xml:space="preserve">media organisations that a tort of privacy would offer no benefit to the vast majority of Australians </w:t>
      </w:r>
      <w:r w:rsidR="44F3EBCE">
        <w:t>due to the cost of commencing litigation.</w:t>
      </w:r>
      <w:r w:rsidR="00F442B9">
        <w:rPr>
          <w:rStyle w:val="EndnoteReference"/>
        </w:rPr>
        <w:endnoteReference w:id="216"/>
      </w:r>
      <w:r w:rsidR="44F3EBCE">
        <w:t xml:space="preserve"> </w:t>
      </w:r>
    </w:p>
    <w:p w14:paraId="6E6EA708" w14:textId="5CB4A817" w:rsidR="00892648" w:rsidRDefault="00331222" w:rsidP="00561BD4">
      <w:pPr>
        <w:pStyle w:val="ListNumber"/>
      </w:pPr>
      <w:r>
        <w:t>It is relevant to consider</w:t>
      </w:r>
      <w:r w:rsidR="79B6134E">
        <w:t xml:space="preserve"> issues in respect of a lack of access to justice in the Australian jurisdiction – where </w:t>
      </w:r>
      <w:r w:rsidR="26170005">
        <w:t xml:space="preserve">wealthy individuals and organisations </w:t>
      </w:r>
      <w:r w:rsidR="52112170">
        <w:t>can</w:t>
      </w:r>
      <w:r w:rsidR="26170005">
        <w:t xml:space="preserve"> protect their legal rights</w:t>
      </w:r>
      <w:r w:rsidR="52112170">
        <w:t>,</w:t>
      </w:r>
      <w:r w:rsidR="26170005">
        <w:t xml:space="preserve"> while those with less cannot. However, citing a lack of access to justice is by no means </w:t>
      </w:r>
      <w:r w:rsidR="72F7FDC6">
        <w:t xml:space="preserve">a reason to oppose legislative reform. The Commission is aware of numerous areas of the law effected by </w:t>
      </w:r>
      <w:r w:rsidR="182EDE5D">
        <w:t>a lack of access to justice across Australia</w:t>
      </w:r>
      <w:r w:rsidR="00C06057">
        <w:t>. Rather than using this as a reason to avoid necessary law reform, a better response would be to look for ways to improve access to justice for all individuals</w:t>
      </w:r>
      <w:r w:rsidR="008410B4">
        <w:t>.</w:t>
      </w:r>
      <w:r w:rsidR="18E40288">
        <w:t xml:space="preserve"> </w:t>
      </w:r>
    </w:p>
    <w:p w14:paraId="2EA4F242" w14:textId="3A95A527" w:rsidR="00113AF8" w:rsidRDefault="00AF1DE0" w:rsidP="00561BD4">
      <w:pPr>
        <w:pStyle w:val="ListNumber"/>
      </w:pPr>
      <w:r>
        <w:lastRenderedPageBreak/>
        <w:t>Submissions</w:t>
      </w:r>
      <w:r w:rsidR="000F224E">
        <w:t xml:space="preserve"> by media organisations</w:t>
      </w:r>
      <w:r>
        <w:t xml:space="preserve"> note</w:t>
      </w:r>
      <w:r w:rsidR="00536A15">
        <w:t>d</w:t>
      </w:r>
      <w:r>
        <w:t xml:space="preserve"> that wealthy individuals may </w:t>
      </w:r>
      <w:r w:rsidR="000F224E">
        <w:t xml:space="preserve">utilise the proposed statutory tort to avoid accountability </w:t>
      </w:r>
      <w:r w:rsidR="009E31B4">
        <w:t>to the detriment of Australian democracy</w:t>
      </w:r>
      <w:r w:rsidR="66BD87F6">
        <w:t>.</w:t>
      </w:r>
      <w:r w:rsidR="007217F1">
        <w:rPr>
          <w:rStyle w:val="EndnoteReference"/>
        </w:rPr>
        <w:endnoteReference w:id="217"/>
      </w:r>
      <w:r w:rsidR="66BD87F6">
        <w:t xml:space="preserve"> </w:t>
      </w:r>
      <w:r w:rsidR="008077E4">
        <w:t>L</w:t>
      </w:r>
      <w:r w:rsidR="4A4FBD72">
        <w:t xml:space="preserve">aws should </w:t>
      </w:r>
      <w:r w:rsidR="2C3F8E8E">
        <w:t>never</w:t>
      </w:r>
      <w:r w:rsidR="4A4FBD72">
        <w:t xml:space="preserve"> be used to frustrate accountability and transparency where there is no legal standing to do so.</w:t>
      </w:r>
      <w:r w:rsidR="168A5C7F">
        <w:t xml:space="preserve"> </w:t>
      </w:r>
      <w:r w:rsidR="5545557B">
        <w:t xml:space="preserve">However, as noted in the </w:t>
      </w:r>
      <w:r w:rsidR="2C3F8E8E">
        <w:t xml:space="preserve">Review </w:t>
      </w:r>
      <w:r w:rsidR="5545557B">
        <w:t>Report</w:t>
      </w:r>
      <w:r w:rsidR="00A264EB">
        <w:t>,</w:t>
      </w:r>
      <w:r w:rsidR="5545557B">
        <w:t xml:space="preserve"> </w:t>
      </w:r>
      <w:r w:rsidR="30DE9B69">
        <w:t xml:space="preserve">the public interest tests incorporated in Report 123’s model </w:t>
      </w:r>
      <w:r w:rsidR="5F73A288">
        <w:t>does</w:t>
      </w:r>
      <w:r w:rsidR="30DE9B69">
        <w:t xml:space="preserve"> much to mitigate this concern</w:t>
      </w:r>
      <w:r w:rsidR="00CD2893">
        <w:t xml:space="preserve"> –</w:t>
      </w:r>
      <w:r w:rsidR="4547D294">
        <w:t xml:space="preserve"> and functions as a weighing mechanism between the right to privacy and the right to freedom of expression</w:t>
      </w:r>
      <w:r w:rsidR="30DE9B69">
        <w:t>.</w:t>
      </w:r>
      <w:r w:rsidR="000B4C95">
        <w:rPr>
          <w:rStyle w:val="EndnoteReference"/>
        </w:rPr>
        <w:endnoteReference w:id="218"/>
      </w:r>
      <w:r w:rsidR="30DE9B69">
        <w:t xml:space="preserve"> </w:t>
      </w:r>
    </w:p>
    <w:p w14:paraId="6810B09E" w14:textId="0AEEEC8C" w:rsidR="00366D8F" w:rsidRDefault="00C8255F" w:rsidP="00561BD4">
      <w:pPr>
        <w:pStyle w:val="ListNumber"/>
      </w:pPr>
      <w:r>
        <w:t>A</w:t>
      </w:r>
      <w:r w:rsidR="75703D0E">
        <w:t xml:space="preserve">lthough the tort may be used to frustrate </w:t>
      </w:r>
      <w:r w:rsidR="5B577EC3">
        <w:t xml:space="preserve">attempts by media organisations to ensure accountability and transparency – this is not always the case. There are also </w:t>
      </w:r>
      <w:r w:rsidR="1EBE09DF">
        <w:t xml:space="preserve">circumstances where </w:t>
      </w:r>
      <w:r w:rsidR="00A264EB">
        <w:t xml:space="preserve">it could be argued that </w:t>
      </w:r>
      <w:r w:rsidR="1EBE09DF">
        <w:t xml:space="preserve">the media </w:t>
      </w:r>
      <w:r w:rsidR="00A264EB">
        <w:t xml:space="preserve">goes too far in </w:t>
      </w:r>
      <w:r w:rsidR="00177571">
        <w:t xml:space="preserve">exposing the </w:t>
      </w:r>
      <w:r w:rsidR="1EBE09DF">
        <w:t xml:space="preserve">private lives of individuals. </w:t>
      </w:r>
    </w:p>
    <w:p w14:paraId="556DD5B5" w14:textId="5B160D1B" w:rsidR="0055053D" w:rsidRDefault="1EBE09DF" w:rsidP="00561BD4">
      <w:pPr>
        <w:pStyle w:val="ListNumber"/>
      </w:pPr>
      <w:r>
        <w:t>For example, take the scandal surrounding</w:t>
      </w:r>
      <w:r w:rsidR="00177571">
        <w:t xml:space="preserve"> the attempt by</w:t>
      </w:r>
      <w:r>
        <w:t xml:space="preserve"> </w:t>
      </w:r>
      <w:r w:rsidR="533939A7" w:rsidRPr="00CB5866">
        <w:t xml:space="preserve">Andrew </w:t>
      </w:r>
      <w:proofErr w:type="spellStart"/>
      <w:r w:rsidR="533939A7" w:rsidRPr="00CB5866">
        <w:t>Hornery</w:t>
      </w:r>
      <w:proofErr w:type="spellEnd"/>
      <w:r w:rsidR="533939A7">
        <w:t xml:space="preserve"> of the Sydney Morning H</w:t>
      </w:r>
      <w:r w:rsidR="127209C5">
        <w:t>erald to ‘out’ Australian actor Rebel Wilson as being in a same-sex relationship.</w:t>
      </w:r>
      <w:r w:rsidR="002E11E0">
        <w:rPr>
          <w:rStyle w:val="EndnoteReference"/>
        </w:rPr>
        <w:endnoteReference w:id="219"/>
      </w:r>
      <w:r w:rsidR="5F0FAF36">
        <w:t xml:space="preserve"> </w:t>
      </w:r>
      <w:proofErr w:type="spellStart"/>
      <w:r w:rsidR="5FA98F48">
        <w:t>Hornery</w:t>
      </w:r>
      <w:proofErr w:type="spellEnd"/>
      <w:r w:rsidR="5FA98F48">
        <w:t xml:space="preserve"> effectively informed Wilson that he would be publishing </w:t>
      </w:r>
      <w:r w:rsidR="00C8255F">
        <w:t>an</w:t>
      </w:r>
      <w:r w:rsidR="5FA98F48">
        <w:t xml:space="preserve"> article </w:t>
      </w:r>
      <w:r w:rsidR="3FB169F7">
        <w:t>(</w:t>
      </w:r>
      <w:r w:rsidR="5FA98F48">
        <w:t xml:space="preserve">which informed the public of a </w:t>
      </w:r>
      <w:r w:rsidR="3FB169F7">
        <w:t xml:space="preserve">private same-sex relationship) </w:t>
      </w:r>
      <w:r w:rsidR="29C26898">
        <w:t>about her relationship.</w:t>
      </w:r>
      <w:r w:rsidR="009E31B4">
        <w:t xml:space="preserve"> </w:t>
      </w:r>
      <w:r w:rsidR="00CF565B">
        <w:t>In response to this communication, Wilson</w:t>
      </w:r>
      <w:r w:rsidR="00C24C75">
        <w:t xml:space="preserve"> was arguably </w:t>
      </w:r>
      <w:r w:rsidR="00967DB4">
        <w:t>compelled</w:t>
      </w:r>
      <w:r w:rsidR="00C24C75">
        <w:t xml:space="preserve"> to</w:t>
      </w:r>
      <w:r w:rsidR="00CF565B">
        <w:t xml:space="preserve"> announce the relationship before </w:t>
      </w:r>
      <w:proofErr w:type="spellStart"/>
      <w:r w:rsidR="00CF565B">
        <w:t>Hornery</w:t>
      </w:r>
      <w:proofErr w:type="spellEnd"/>
      <w:r w:rsidR="00CF565B">
        <w:t xml:space="preserve"> could ever publish his article. </w:t>
      </w:r>
      <w:r w:rsidR="00331354">
        <w:t xml:space="preserve">This is an illustrative example of when the media may </w:t>
      </w:r>
      <w:r w:rsidR="0019069C">
        <w:t xml:space="preserve">breach the right to privacy purposes </w:t>
      </w:r>
      <w:r w:rsidR="00067A52">
        <w:t xml:space="preserve">other </w:t>
      </w:r>
      <w:r w:rsidR="0019069C">
        <w:t xml:space="preserve">than ensuring transparency and accountability. </w:t>
      </w:r>
      <w:r w:rsidR="67710B92">
        <w:t xml:space="preserve">It also </w:t>
      </w:r>
      <w:r w:rsidR="51B29E87">
        <w:t xml:space="preserve">demonstrates the importance of </w:t>
      </w:r>
      <w:r w:rsidR="586AA9F6">
        <w:t xml:space="preserve">introducing a </w:t>
      </w:r>
      <w:r w:rsidR="089632C7">
        <w:t>statutory</w:t>
      </w:r>
      <w:r w:rsidR="78974ECA">
        <w:t xml:space="preserve"> </w:t>
      </w:r>
      <w:r w:rsidR="586AA9F6">
        <w:t>tort.</w:t>
      </w:r>
    </w:p>
    <w:p w14:paraId="4ACB3278" w14:textId="774B89F3" w:rsidR="00253B78" w:rsidRDefault="00253B78" w:rsidP="00561BD4">
      <w:pPr>
        <w:pStyle w:val="Heading2"/>
      </w:pPr>
      <w:bookmarkStart w:id="75" w:name="_Toc131585382"/>
      <w:r>
        <w:t>Fault element</w:t>
      </w:r>
      <w:bookmarkEnd w:id="75"/>
      <w:r>
        <w:t xml:space="preserve"> </w:t>
      </w:r>
    </w:p>
    <w:p w14:paraId="0C6EAE08" w14:textId="65211D71" w:rsidR="00FD3F5E" w:rsidRDefault="294E1994" w:rsidP="00561BD4">
      <w:pPr>
        <w:pStyle w:val="ListNumber"/>
      </w:pPr>
      <w:r>
        <w:t xml:space="preserve">In its Final Report the Commission </w:t>
      </w:r>
      <w:r w:rsidR="1DBDE38F">
        <w:t>supported the OAIC</w:t>
      </w:r>
      <w:r w:rsidR="5096F6DA">
        <w:t xml:space="preserve"> in its claim</w:t>
      </w:r>
      <w:r w:rsidR="1DBDE38F">
        <w:t xml:space="preserve"> that a statutory cause of action should be </w:t>
      </w:r>
      <w:r w:rsidR="0FB4036E">
        <w:t>comprehensive and non-restrictive, and cover all intentional, reckless and negligent acts of privacy invasion by public and private entities.</w:t>
      </w:r>
      <w:r w:rsidR="00B00C8B">
        <w:rPr>
          <w:rStyle w:val="EndnoteReference"/>
        </w:rPr>
        <w:endnoteReference w:id="220"/>
      </w:r>
    </w:p>
    <w:p w14:paraId="125614CD" w14:textId="47C9944C" w:rsidR="004310CA" w:rsidRDefault="2C748F27" w:rsidP="00561BD4">
      <w:pPr>
        <w:pStyle w:val="ListNumber"/>
      </w:pPr>
      <w:r>
        <w:t xml:space="preserve">The Commission also agrees with the issue raised by the </w:t>
      </w:r>
      <w:proofErr w:type="spellStart"/>
      <w:r>
        <w:t>Castan</w:t>
      </w:r>
      <w:proofErr w:type="spellEnd"/>
      <w:r>
        <w:t xml:space="preserve"> Centre</w:t>
      </w:r>
      <w:r w:rsidR="15C8186A">
        <w:t>,</w:t>
      </w:r>
      <w:r>
        <w:t xml:space="preserve"> </w:t>
      </w:r>
      <w:r w:rsidR="23CD70C0">
        <w:t>that Report 123 sets the bar too high</w:t>
      </w:r>
      <w:r w:rsidR="15C8186A">
        <w:t xml:space="preserve"> by limiting the fault elements to only intentional or reckless</w:t>
      </w:r>
      <w:r w:rsidR="5096F6DA">
        <w:t xml:space="preserve"> acts</w:t>
      </w:r>
      <w:r w:rsidR="15C8186A" w:rsidRPr="00DE2A18">
        <w:t>.</w:t>
      </w:r>
      <w:r w:rsidR="000368B6" w:rsidRPr="00DE2A18">
        <w:rPr>
          <w:rStyle w:val="EndnoteReference"/>
        </w:rPr>
        <w:endnoteReference w:id="221"/>
      </w:r>
    </w:p>
    <w:p w14:paraId="3D68C91F" w14:textId="781AE2BE" w:rsidR="00656F3D" w:rsidRDefault="4283DF62" w:rsidP="00561BD4">
      <w:pPr>
        <w:pStyle w:val="ListNumber"/>
      </w:pPr>
      <w:r>
        <w:t xml:space="preserve">The Commission does not support Report 123’s model being confined to </w:t>
      </w:r>
      <w:r w:rsidR="5096F6DA">
        <w:t xml:space="preserve">only </w:t>
      </w:r>
      <w:r>
        <w:t xml:space="preserve">intentional or reckless invasions of privacy. Negligent </w:t>
      </w:r>
      <w:r w:rsidR="7A5B2671">
        <w:t xml:space="preserve">acts of privacy invasion should also be included in the statutory tort to avoid an unnecessarily limited application </w:t>
      </w:r>
      <w:r w:rsidR="77D72D58">
        <w:t>of the tort in different circumstances. To ensure this is achieved the tort should not specify a fault element.</w:t>
      </w:r>
    </w:p>
    <w:p w14:paraId="215E50FE" w14:textId="77777777" w:rsidR="008E45EF" w:rsidRDefault="008E45EF" w:rsidP="00561BD4">
      <w:pPr>
        <w:pStyle w:val="ListNumber"/>
        <w:numPr>
          <w:ilvl w:val="0"/>
          <w:numId w:val="0"/>
        </w:numPr>
        <w:ind w:left="360"/>
      </w:pPr>
    </w:p>
    <w:p w14:paraId="38F997AA" w14:textId="5BB826F5" w:rsidR="008E45EF" w:rsidRPr="006E475B" w:rsidRDefault="008E45EF" w:rsidP="00561BD4">
      <w:pPr>
        <w:pStyle w:val="ListNumber"/>
        <w:numPr>
          <w:ilvl w:val="0"/>
          <w:numId w:val="0"/>
        </w:numPr>
        <w:ind w:left="360"/>
        <w:rPr>
          <w:b/>
          <w:bCs/>
        </w:rPr>
      </w:pPr>
      <w:r w:rsidRPr="00F25FC9">
        <w:rPr>
          <w:b/>
          <w:bCs/>
        </w:rPr>
        <w:t xml:space="preserve">Recommendation </w:t>
      </w:r>
      <w:r w:rsidR="009500C1" w:rsidRPr="00F25FC9">
        <w:rPr>
          <w:b/>
          <w:bCs/>
        </w:rPr>
        <w:t>3</w:t>
      </w:r>
      <w:r w:rsidR="00E4278B" w:rsidRPr="00F25FC9">
        <w:rPr>
          <w:b/>
          <w:bCs/>
        </w:rPr>
        <w:t>5</w:t>
      </w:r>
      <w:r w:rsidRPr="00F25FC9">
        <w:rPr>
          <w:b/>
          <w:bCs/>
        </w:rPr>
        <w:t>:</w:t>
      </w:r>
      <w:r w:rsidRPr="006E475B">
        <w:rPr>
          <w:b/>
          <w:bCs/>
        </w:rPr>
        <w:t xml:space="preserve"> </w:t>
      </w:r>
      <w:r w:rsidR="004D37FB">
        <w:rPr>
          <w:b/>
          <w:bCs/>
        </w:rPr>
        <w:t>E</w:t>
      </w:r>
      <w:r w:rsidR="006E475B" w:rsidRPr="006E475B">
        <w:rPr>
          <w:b/>
          <w:bCs/>
        </w:rPr>
        <w:t xml:space="preserve">nsure that any statutory tort which is introduced differs from the model </w:t>
      </w:r>
      <w:r w:rsidRPr="006E475B">
        <w:rPr>
          <w:b/>
          <w:bCs/>
        </w:rPr>
        <w:t>proposed in Report 123</w:t>
      </w:r>
      <w:r w:rsidR="006E475B" w:rsidRPr="006E475B">
        <w:rPr>
          <w:b/>
          <w:bCs/>
        </w:rPr>
        <w:t xml:space="preserve">, in </w:t>
      </w:r>
      <w:r w:rsidR="00F07137">
        <w:rPr>
          <w:b/>
          <w:bCs/>
        </w:rPr>
        <w:t>that it should c</w:t>
      </w:r>
      <w:r w:rsidR="006321ED">
        <w:rPr>
          <w:b/>
          <w:bCs/>
        </w:rPr>
        <w:t xml:space="preserve">over </w:t>
      </w:r>
      <w:r w:rsidR="006321ED">
        <w:rPr>
          <w:b/>
          <w:bCs/>
        </w:rPr>
        <w:lastRenderedPageBreak/>
        <w:t xml:space="preserve">intentional, reckless and negligent acts by </w:t>
      </w:r>
      <w:r w:rsidR="006E475B" w:rsidRPr="006E475B">
        <w:rPr>
          <w:b/>
          <w:bCs/>
        </w:rPr>
        <w:t>not</w:t>
      </w:r>
      <w:r w:rsidRPr="006E475B">
        <w:rPr>
          <w:b/>
          <w:bCs/>
        </w:rPr>
        <w:t xml:space="preserve"> specify</w:t>
      </w:r>
      <w:r w:rsidR="006E475B" w:rsidRPr="006E475B">
        <w:rPr>
          <w:b/>
          <w:bCs/>
        </w:rPr>
        <w:t>ing</w:t>
      </w:r>
      <w:r w:rsidRPr="006E475B">
        <w:rPr>
          <w:b/>
          <w:bCs/>
        </w:rPr>
        <w:t xml:space="preserve"> a fault element</w:t>
      </w:r>
      <w:r w:rsidR="006E475B" w:rsidRPr="006E475B">
        <w:rPr>
          <w:b/>
          <w:bCs/>
        </w:rPr>
        <w:t>.</w:t>
      </w:r>
    </w:p>
    <w:p w14:paraId="6D0D34F5" w14:textId="77777777" w:rsidR="0018233E" w:rsidRDefault="0018233E" w:rsidP="00561BD4">
      <w:pPr>
        <w:pStyle w:val="ListNumber"/>
        <w:numPr>
          <w:ilvl w:val="0"/>
          <w:numId w:val="0"/>
        </w:numPr>
        <w:ind w:left="360"/>
      </w:pPr>
    </w:p>
    <w:p w14:paraId="153A0F0A" w14:textId="10D5F223" w:rsidR="00BB4976" w:rsidRDefault="00BB4976" w:rsidP="00561BD4">
      <w:pPr>
        <w:pStyle w:val="Heading2"/>
      </w:pPr>
      <w:bookmarkStart w:id="76" w:name="_Toc131585383"/>
      <w:r>
        <w:t>A non-restrictive tort</w:t>
      </w:r>
      <w:bookmarkEnd w:id="76"/>
    </w:p>
    <w:p w14:paraId="1488D86E" w14:textId="5388DD65" w:rsidR="00842FFC" w:rsidRDefault="10027C72" w:rsidP="00561BD4">
      <w:pPr>
        <w:pStyle w:val="ListNumber"/>
      </w:pPr>
      <w:r>
        <w:t>T</w:t>
      </w:r>
      <w:r w:rsidR="495A9E5D">
        <w:t>he</w:t>
      </w:r>
      <w:r>
        <w:t xml:space="preserve"> Commission </w:t>
      </w:r>
      <w:r w:rsidR="2B58A94C">
        <w:t xml:space="preserve">has previously </w:t>
      </w:r>
      <w:r w:rsidR="5486BC1F">
        <w:t>support</w:t>
      </w:r>
      <w:r w:rsidR="22508D9A">
        <w:t>ed</w:t>
      </w:r>
      <w:r w:rsidR="5486BC1F">
        <w:t xml:space="preserve"> a non-</w:t>
      </w:r>
      <w:r w:rsidR="22508D9A">
        <w:t>restrictive tort</w:t>
      </w:r>
      <w:r w:rsidR="00F8659E">
        <w:t>.</w:t>
      </w:r>
      <w:r w:rsidR="00AC0707">
        <w:rPr>
          <w:rStyle w:val="EndnoteReference"/>
        </w:rPr>
        <w:endnoteReference w:id="222"/>
      </w:r>
      <w:r w:rsidR="22508D9A">
        <w:t xml:space="preserve"> </w:t>
      </w:r>
      <w:r w:rsidR="00F8659E">
        <w:t xml:space="preserve">In contrast, </w:t>
      </w:r>
      <w:r w:rsidR="22508D9A">
        <w:t xml:space="preserve">Report 123’s model confines the application to serious invasions of privacy either by intrusion upon seclusion or by misuse of private information. </w:t>
      </w:r>
      <w:r w:rsidR="4DA8D5AB">
        <w:t xml:space="preserve">The tort should not be limited to only the two proposed categories </w:t>
      </w:r>
      <w:r w:rsidR="44BE54CB">
        <w:t>on the basis that some serious invasions of privacy may fall outside of these categories.</w:t>
      </w:r>
    </w:p>
    <w:p w14:paraId="253FEC2A" w14:textId="3FCC473A" w:rsidR="00746863" w:rsidRDefault="495A9E5D" w:rsidP="00561BD4">
      <w:pPr>
        <w:pStyle w:val="ListNumber"/>
      </w:pPr>
      <w:r>
        <w:t xml:space="preserve"> </w:t>
      </w:r>
      <w:r w:rsidR="44BE54CB">
        <w:t xml:space="preserve">A non-restrictive statutory tort </w:t>
      </w:r>
      <w:r w:rsidR="75B16AF6">
        <w:t xml:space="preserve">could be more </w:t>
      </w:r>
      <w:r w:rsidR="594C10C5">
        <w:t>flexible</w:t>
      </w:r>
      <w:r w:rsidR="75B16AF6">
        <w:t xml:space="preserve"> and respons</w:t>
      </w:r>
      <w:r w:rsidR="3117F68F">
        <w:t>ive</w:t>
      </w:r>
      <w:r w:rsidR="75B16AF6">
        <w:t xml:space="preserve"> to privacy concerns – allowing for </w:t>
      </w:r>
      <w:r w:rsidR="00941572">
        <w:t>art</w:t>
      </w:r>
      <w:r w:rsidR="75B16AF6">
        <w:t xml:space="preserve"> 17 of the ICCPR, </w:t>
      </w:r>
      <w:r w:rsidR="00941572">
        <w:t>art</w:t>
      </w:r>
      <w:r w:rsidR="6F854D72">
        <w:t xml:space="preserve"> 12 UNDHR and </w:t>
      </w:r>
      <w:r w:rsidR="2635E1EF">
        <w:t>the right to privacy and reputation under the proposed Australian Human Rights Act to be</w:t>
      </w:r>
      <w:r w:rsidR="6F854D72">
        <w:t xml:space="preserve"> fully </w:t>
      </w:r>
      <w:r w:rsidR="267CD9A7">
        <w:t>appreciated</w:t>
      </w:r>
      <w:r w:rsidR="6F854D72">
        <w:t xml:space="preserve">. In a world of rapid </w:t>
      </w:r>
      <w:r w:rsidR="13A4F640">
        <w:t xml:space="preserve">technological advancement </w:t>
      </w:r>
      <w:r w:rsidR="73017239">
        <w:t>(</w:t>
      </w:r>
      <w:r w:rsidR="13A4F640">
        <w:t xml:space="preserve">which often adopts Mark Zuckerberg’s </w:t>
      </w:r>
      <w:r w:rsidR="134E6E7E">
        <w:t>ethos</w:t>
      </w:r>
      <w:r w:rsidR="13A4F640">
        <w:t xml:space="preserve"> of ‘move fast and break things’</w:t>
      </w:r>
      <w:r w:rsidR="73017239">
        <w:t>)</w:t>
      </w:r>
      <w:r w:rsidR="00F8659E">
        <w:t>,</w:t>
      </w:r>
      <w:r w:rsidR="00F8659E">
        <w:rPr>
          <w:rStyle w:val="EndnoteReference"/>
        </w:rPr>
        <w:endnoteReference w:id="223"/>
      </w:r>
      <w:r w:rsidR="13A4F640">
        <w:t xml:space="preserve"> such a tort </w:t>
      </w:r>
      <w:r w:rsidR="73017239">
        <w:t>must</w:t>
      </w:r>
      <w:r w:rsidR="13A4F640">
        <w:t xml:space="preserve"> </w:t>
      </w:r>
      <w:r w:rsidR="6E6C75C4">
        <w:t>also be</w:t>
      </w:r>
      <w:r w:rsidR="134E6E7E">
        <w:t xml:space="preserve"> technology neutral to ensure it continues to be relevant as new and emerging technologies are developed and deployed. </w:t>
      </w:r>
    </w:p>
    <w:p w14:paraId="1F9E5A6A" w14:textId="76CE9606" w:rsidR="000F359E" w:rsidRDefault="0EF2F1E8" w:rsidP="00561BD4">
      <w:pPr>
        <w:pStyle w:val="ListNumber"/>
      </w:pPr>
      <w:r>
        <w:t xml:space="preserve">The more restrictive tort proposed by Report 123 is too inflexible </w:t>
      </w:r>
      <w:r w:rsidR="3172F6F5">
        <w:t>and may fail to keep up with technological advancements</w:t>
      </w:r>
      <w:r w:rsidR="6E6C75C4">
        <w:t xml:space="preserve"> </w:t>
      </w:r>
      <w:r w:rsidR="00941572">
        <w:t>– advancements</w:t>
      </w:r>
      <w:r w:rsidR="3172F6F5">
        <w:t xml:space="preserve"> which may threaten the right to privacy in new and invasive ways. Accordingly, a non-restrictive and flexible tort must be introduced</w:t>
      </w:r>
      <w:r w:rsidR="00657680">
        <w:t xml:space="preserve"> which</w:t>
      </w:r>
      <w:r w:rsidR="3172F6F5">
        <w:t xml:space="preserve"> diverge</w:t>
      </w:r>
      <w:r w:rsidR="00657680">
        <w:t>s</w:t>
      </w:r>
      <w:r w:rsidR="3172F6F5">
        <w:t xml:space="preserve"> from the model proposed by Report 123.</w:t>
      </w:r>
    </w:p>
    <w:p w14:paraId="4EE5EF69" w14:textId="2EE747AD" w:rsidR="001E29CC" w:rsidRDefault="499401DC" w:rsidP="00561BD4">
      <w:pPr>
        <w:pStyle w:val="ListNumber"/>
      </w:pPr>
      <w:r>
        <w:t xml:space="preserve">Consistent with Recommendation 21 of the Commission’s Final Report, the introduction of a statutory tort for serious invasions of privacy is supported. However, </w:t>
      </w:r>
      <w:r w:rsidR="004E7584" w:rsidRPr="004E7584">
        <w:t>this should be a non-restrictive and flexible tort that differs from the more restrictive model proposed in Report 123</w:t>
      </w:r>
      <w:r>
        <w:t>.</w:t>
      </w:r>
    </w:p>
    <w:p w14:paraId="7B04A442" w14:textId="77777777" w:rsidR="00304949" w:rsidRDefault="00304949" w:rsidP="00561BD4">
      <w:pPr>
        <w:pStyle w:val="ListNumber"/>
        <w:numPr>
          <w:ilvl w:val="0"/>
          <w:numId w:val="0"/>
        </w:numPr>
        <w:ind w:left="360"/>
      </w:pPr>
    </w:p>
    <w:p w14:paraId="18894C59" w14:textId="2951F4B8" w:rsidR="004D37FB" w:rsidRDefault="00393635" w:rsidP="00561BD4">
      <w:pPr>
        <w:pStyle w:val="ListNumber"/>
        <w:numPr>
          <w:ilvl w:val="0"/>
          <w:numId w:val="0"/>
        </w:numPr>
        <w:ind w:left="360"/>
        <w:rPr>
          <w:b/>
          <w:bCs/>
        </w:rPr>
      </w:pPr>
      <w:r w:rsidRPr="004D37FB">
        <w:rPr>
          <w:b/>
          <w:bCs/>
        </w:rPr>
        <w:t xml:space="preserve">Recommendation </w:t>
      </w:r>
      <w:r w:rsidR="005E1320">
        <w:rPr>
          <w:b/>
          <w:bCs/>
        </w:rPr>
        <w:t>3</w:t>
      </w:r>
      <w:r w:rsidR="00E4278B">
        <w:rPr>
          <w:b/>
          <w:bCs/>
        </w:rPr>
        <w:t>6</w:t>
      </w:r>
      <w:r w:rsidR="004D37FB" w:rsidRPr="004D37FB">
        <w:rPr>
          <w:b/>
          <w:bCs/>
        </w:rPr>
        <w:t>:</w:t>
      </w:r>
      <w:r>
        <w:t xml:space="preserve"> </w:t>
      </w:r>
      <w:r w:rsidR="004D37FB">
        <w:rPr>
          <w:b/>
          <w:bCs/>
        </w:rPr>
        <w:t>E</w:t>
      </w:r>
      <w:r w:rsidR="004D37FB" w:rsidRPr="006E475B">
        <w:rPr>
          <w:b/>
          <w:bCs/>
        </w:rPr>
        <w:t xml:space="preserve">nsure that any statutory tort which is introduced differs from the model proposed in Report 123, </w:t>
      </w:r>
      <w:r w:rsidR="002A7CCE">
        <w:rPr>
          <w:b/>
          <w:bCs/>
        </w:rPr>
        <w:t xml:space="preserve">in that it </w:t>
      </w:r>
      <w:r w:rsidR="000232D7">
        <w:rPr>
          <w:b/>
          <w:bCs/>
        </w:rPr>
        <w:t>should be a non-restrictive and</w:t>
      </w:r>
      <w:r w:rsidR="002A7CCE">
        <w:rPr>
          <w:b/>
          <w:bCs/>
        </w:rPr>
        <w:t xml:space="preserve"> flexible tort which does not confine the tort to </w:t>
      </w:r>
      <w:r w:rsidR="002A7CCE" w:rsidRPr="00A36020">
        <w:rPr>
          <w:b/>
          <w:bCs/>
        </w:rPr>
        <w:t>intrusions upon seclusion and misuse of private information</w:t>
      </w:r>
      <w:r w:rsidR="00A36020" w:rsidRPr="00A36020">
        <w:rPr>
          <w:b/>
          <w:bCs/>
        </w:rPr>
        <w:t>.</w:t>
      </w:r>
    </w:p>
    <w:p w14:paraId="554E669F" w14:textId="77777777" w:rsidR="00304949" w:rsidRDefault="00304949" w:rsidP="00561BD4">
      <w:pPr>
        <w:pStyle w:val="ListNumber"/>
        <w:numPr>
          <w:ilvl w:val="0"/>
          <w:numId w:val="0"/>
        </w:numPr>
        <w:ind w:left="360"/>
      </w:pPr>
    </w:p>
    <w:p w14:paraId="54181215" w14:textId="74DF1359" w:rsidR="00313BFF" w:rsidRDefault="00313BFF" w:rsidP="00561BD4">
      <w:pPr>
        <w:pStyle w:val="Heading1"/>
      </w:pPr>
      <w:bookmarkStart w:id="77" w:name="_Toc131585384"/>
      <w:r>
        <w:t>Recommendations</w:t>
      </w:r>
      <w:bookmarkEnd w:id="77"/>
      <w:r>
        <w:t xml:space="preserve"> </w:t>
      </w:r>
    </w:p>
    <w:p w14:paraId="41D8A26B" w14:textId="0468DAB0" w:rsidR="00A857AC" w:rsidRDefault="00A857AC" w:rsidP="00561BD4">
      <w:pPr>
        <w:pStyle w:val="ListNumber"/>
      </w:pPr>
      <w:r>
        <w:t>The Commission makes the following recommendations.</w:t>
      </w:r>
    </w:p>
    <w:p w14:paraId="07928D0E" w14:textId="532B89E1" w:rsidR="00DA719B" w:rsidRPr="0075703A" w:rsidRDefault="009620C8" w:rsidP="00561BD4">
      <w:pPr>
        <w:pStyle w:val="ListNumber"/>
        <w:numPr>
          <w:ilvl w:val="0"/>
          <w:numId w:val="0"/>
        </w:numPr>
        <w:ind w:left="360"/>
        <w:rPr>
          <w:b/>
          <w:bCs/>
        </w:rPr>
      </w:pPr>
      <w:r>
        <w:lastRenderedPageBreak/>
        <w:tab/>
      </w:r>
      <w:r w:rsidR="00DA719B" w:rsidRPr="0075703A">
        <w:rPr>
          <w:b/>
          <w:bCs/>
        </w:rPr>
        <w:t>Recommendation 1</w:t>
      </w:r>
    </w:p>
    <w:p w14:paraId="7179CFB3" w14:textId="67F1A9CA" w:rsidR="00652A5F" w:rsidRDefault="00781CB7" w:rsidP="00561BD4">
      <w:pPr>
        <w:pStyle w:val="ListNumber"/>
        <w:numPr>
          <w:ilvl w:val="0"/>
          <w:numId w:val="0"/>
        </w:numPr>
        <w:ind w:left="1134"/>
        <w:rPr>
          <w:b/>
          <w:bCs/>
        </w:rPr>
      </w:pPr>
      <w:r w:rsidRPr="00781CB7">
        <w:t>Amend the objects of the Act to clarify that the Act is about the protection of personal information.</w:t>
      </w:r>
      <w:r w:rsidR="00E97FE9">
        <w:rPr>
          <w:b/>
          <w:bCs/>
        </w:rPr>
        <w:tab/>
      </w:r>
    </w:p>
    <w:p w14:paraId="44714FF2" w14:textId="16769100" w:rsidR="00E97FE9" w:rsidRPr="0075703A" w:rsidRDefault="00652A5F" w:rsidP="00561BD4">
      <w:pPr>
        <w:pStyle w:val="ListNumber"/>
        <w:numPr>
          <w:ilvl w:val="0"/>
          <w:numId w:val="0"/>
        </w:numPr>
        <w:ind w:left="1134"/>
        <w:rPr>
          <w:b/>
          <w:bCs/>
        </w:rPr>
      </w:pPr>
      <w:r>
        <w:rPr>
          <w:b/>
          <w:bCs/>
        </w:rPr>
        <w:t>R</w:t>
      </w:r>
      <w:r w:rsidR="00E97FE9" w:rsidRPr="0075703A">
        <w:rPr>
          <w:b/>
          <w:bCs/>
        </w:rPr>
        <w:t xml:space="preserve">ecommendation </w:t>
      </w:r>
      <w:r>
        <w:rPr>
          <w:b/>
          <w:bCs/>
        </w:rPr>
        <w:t>2</w:t>
      </w:r>
    </w:p>
    <w:p w14:paraId="4A14E236" w14:textId="6DCA6C33" w:rsidR="00E97FE9" w:rsidRDefault="006A39EF" w:rsidP="00561BD4">
      <w:pPr>
        <w:pStyle w:val="ListNumber"/>
        <w:numPr>
          <w:ilvl w:val="0"/>
          <w:numId w:val="0"/>
        </w:numPr>
        <w:ind w:left="1134"/>
      </w:pPr>
      <w:r w:rsidRPr="006A39EF">
        <w:t>The human right to privacy must be included as the paramount object in s 2A of the Act.</w:t>
      </w:r>
    </w:p>
    <w:p w14:paraId="74D53F51" w14:textId="6E855E39" w:rsidR="00E97FE9" w:rsidRPr="0075703A" w:rsidRDefault="00DB0F4B" w:rsidP="00561BD4">
      <w:pPr>
        <w:pStyle w:val="ListNumber"/>
        <w:numPr>
          <w:ilvl w:val="0"/>
          <w:numId w:val="0"/>
        </w:numPr>
        <w:ind w:left="360"/>
        <w:rPr>
          <w:b/>
          <w:bCs/>
        </w:rPr>
      </w:pPr>
      <w:r>
        <w:rPr>
          <w:b/>
          <w:bCs/>
        </w:rPr>
        <w:tab/>
      </w:r>
      <w:r w:rsidR="00E97FE9" w:rsidRPr="0075703A">
        <w:rPr>
          <w:b/>
          <w:bCs/>
        </w:rPr>
        <w:t xml:space="preserve">Recommendation </w:t>
      </w:r>
      <w:r>
        <w:rPr>
          <w:b/>
          <w:bCs/>
        </w:rPr>
        <w:t>3</w:t>
      </w:r>
    </w:p>
    <w:p w14:paraId="33EB0CB3" w14:textId="63FE030B" w:rsidR="00E97FE9" w:rsidRDefault="00833600" w:rsidP="00561BD4">
      <w:pPr>
        <w:pStyle w:val="ListNumber"/>
        <w:numPr>
          <w:ilvl w:val="0"/>
          <w:numId w:val="0"/>
        </w:numPr>
        <w:ind w:left="1134"/>
      </w:pPr>
      <w:r w:rsidRPr="00833600">
        <w:t>‘Geolocation tracking data’ should be defined as sensitive information which shows an individual’s precise geolocation which is collected and stored by reference to a particular individual at a particular place and time, and tracked over time.</w:t>
      </w:r>
    </w:p>
    <w:p w14:paraId="6863A407" w14:textId="21FDC858" w:rsidR="00E97FE9" w:rsidRPr="0075703A" w:rsidRDefault="00582465" w:rsidP="00561BD4">
      <w:pPr>
        <w:pStyle w:val="ListNumber"/>
        <w:numPr>
          <w:ilvl w:val="0"/>
          <w:numId w:val="0"/>
        </w:numPr>
        <w:ind w:left="360"/>
        <w:rPr>
          <w:b/>
          <w:bCs/>
        </w:rPr>
      </w:pPr>
      <w:r>
        <w:rPr>
          <w:b/>
          <w:bCs/>
        </w:rPr>
        <w:tab/>
      </w:r>
      <w:r w:rsidR="00E97FE9" w:rsidRPr="0075703A">
        <w:rPr>
          <w:b/>
          <w:bCs/>
        </w:rPr>
        <w:t xml:space="preserve">Recommendation </w:t>
      </w:r>
      <w:r>
        <w:rPr>
          <w:b/>
          <w:bCs/>
        </w:rPr>
        <w:t>4</w:t>
      </w:r>
    </w:p>
    <w:p w14:paraId="51987F7A" w14:textId="2F308D15" w:rsidR="00E97FE9" w:rsidRDefault="00372624" w:rsidP="00561BD4">
      <w:pPr>
        <w:pStyle w:val="ListNumber"/>
        <w:numPr>
          <w:ilvl w:val="0"/>
          <w:numId w:val="0"/>
        </w:numPr>
        <w:ind w:left="1134"/>
      </w:pPr>
      <w:r w:rsidRPr="00372624">
        <w:t>Introduce an express requirement in APP 5 that requires collection notices to be clear, up-to-date, concise and understandable. Appropriate accessibility measures should also be in place.</w:t>
      </w:r>
    </w:p>
    <w:p w14:paraId="0706DBCD" w14:textId="42A41084" w:rsidR="00E97FE9" w:rsidRPr="0075703A" w:rsidRDefault="003838F3" w:rsidP="00561BD4">
      <w:pPr>
        <w:pStyle w:val="ListNumber"/>
        <w:numPr>
          <w:ilvl w:val="0"/>
          <w:numId w:val="0"/>
        </w:numPr>
        <w:ind w:left="360"/>
        <w:rPr>
          <w:b/>
          <w:bCs/>
        </w:rPr>
      </w:pPr>
      <w:r>
        <w:rPr>
          <w:b/>
          <w:bCs/>
        </w:rPr>
        <w:tab/>
      </w:r>
      <w:r w:rsidR="00E97FE9" w:rsidRPr="0075703A">
        <w:rPr>
          <w:b/>
          <w:bCs/>
        </w:rPr>
        <w:t xml:space="preserve">Recommendation </w:t>
      </w:r>
      <w:r>
        <w:rPr>
          <w:b/>
          <w:bCs/>
        </w:rPr>
        <w:t>5</w:t>
      </w:r>
    </w:p>
    <w:p w14:paraId="2D2AFF5F" w14:textId="4127C9B9" w:rsidR="00E97FE9" w:rsidRDefault="008A3EAC" w:rsidP="00561BD4">
      <w:pPr>
        <w:pStyle w:val="ListNumber"/>
        <w:numPr>
          <w:ilvl w:val="0"/>
          <w:numId w:val="0"/>
        </w:numPr>
        <w:ind w:left="1134"/>
      </w:pPr>
      <w:r w:rsidRPr="008A3EAC">
        <w:t>The OAIC provides guidance on the meaning to ‘up-to-date’ in respect of Proposal 10.1.</w:t>
      </w:r>
    </w:p>
    <w:p w14:paraId="725496ED" w14:textId="36070D22" w:rsidR="00E97FE9" w:rsidRPr="0075703A" w:rsidRDefault="00E400BB" w:rsidP="00561BD4">
      <w:pPr>
        <w:pStyle w:val="ListNumber"/>
        <w:numPr>
          <w:ilvl w:val="0"/>
          <w:numId w:val="0"/>
        </w:numPr>
        <w:ind w:left="360"/>
        <w:rPr>
          <w:b/>
          <w:bCs/>
        </w:rPr>
      </w:pPr>
      <w:r>
        <w:rPr>
          <w:b/>
          <w:bCs/>
        </w:rPr>
        <w:tab/>
      </w:r>
      <w:r w:rsidR="00E97FE9" w:rsidRPr="0075703A">
        <w:rPr>
          <w:b/>
          <w:bCs/>
        </w:rPr>
        <w:t xml:space="preserve">Recommendation </w:t>
      </w:r>
      <w:r>
        <w:rPr>
          <w:b/>
          <w:bCs/>
        </w:rPr>
        <w:t>6</w:t>
      </w:r>
    </w:p>
    <w:p w14:paraId="322F0752" w14:textId="0CF0AE9F" w:rsidR="00E97FE9" w:rsidRDefault="00091E7B" w:rsidP="00561BD4">
      <w:pPr>
        <w:pStyle w:val="ListNumber"/>
        <w:numPr>
          <w:ilvl w:val="0"/>
          <w:numId w:val="0"/>
        </w:numPr>
        <w:ind w:left="1134"/>
      </w:pPr>
      <w:r w:rsidRPr="00091E7B">
        <w:t>The definition of consent be amended to provide that it must be voluntary, informed, current, specific, and unambiguous</w:t>
      </w:r>
      <w:r w:rsidR="00E400BB" w:rsidRPr="00E400BB">
        <w:t>.</w:t>
      </w:r>
    </w:p>
    <w:p w14:paraId="6D7328B0" w14:textId="3C4FE93E" w:rsidR="00E97FE9" w:rsidRPr="0075703A" w:rsidRDefault="00E400BB" w:rsidP="00561BD4">
      <w:pPr>
        <w:pStyle w:val="ListNumber"/>
        <w:numPr>
          <w:ilvl w:val="0"/>
          <w:numId w:val="0"/>
        </w:numPr>
        <w:ind w:left="360"/>
        <w:rPr>
          <w:b/>
          <w:bCs/>
        </w:rPr>
      </w:pPr>
      <w:r>
        <w:rPr>
          <w:b/>
          <w:bCs/>
        </w:rPr>
        <w:tab/>
      </w:r>
      <w:r w:rsidR="00E97FE9" w:rsidRPr="0075703A">
        <w:rPr>
          <w:b/>
          <w:bCs/>
        </w:rPr>
        <w:t xml:space="preserve">Recommendation </w:t>
      </w:r>
      <w:r>
        <w:rPr>
          <w:b/>
          <w:bCs/>
        </w:rPr>
        <w:t>7</w:t>
      </w:r>
    </w:p>
    <w:p w14:paraId="75ECD3C2" w14:textId="1DC440A5" w:rsidR="00E97FE9" w:rsidRDefault="002E48F2" w:rsidP="00561BD4">
      <w:pPr>
        <w:pStyle w:val="ListNumber"/>
        <w:numPr>
          <w:ilvl w:val="0"/>
          <w:numId w:val="0"/>
        </w:numPr>
        <w:ind w:left="1134"/>
      </w:pPr>
      <w:r w:rsidRPr="002E48F2">
        <w:t>OAIC guidance should be strengthened to fully incorporate the ALRC Report 124 national decision-making principles.</w:t>
      </w:r>
    </w:p>
    <w:p w14:paraId="155235D1" w14:textId="1C3A4295" w:rsidR="00E97FE9" w:rsidRPr="0075703A" w:rsidRDefault="00EC2CF7" w:rsidP="00561BD4">
      <w:pPr>
        <w:pStyle w:val="ListNumber"/>
        <w:numPr>
          <w:ilvl w:val="0"/>
          <w:numId w:val="0"/>
        </w:numPr>
        <w:ind w:left="360"/>
        <w:rPr>
          <w:b/>
          <w:bCs/>
        </w:rPr>
      </w:pPr>
      <w:r>
        <w:rPr>
          <w:b/>
          <w:bCs/>
        </w:rPr>
        <w:tab/>
      </w:r>
      <w:r w:rsidR="00E97FE9" w:rsidRPr="0075703A">
        <w:rPr>
          <w:b/>
          <w:bCs/>
        </w:rPr>
        <w:t xml:space="preserve">Recommendation </w:t>
      </w:r>
      <w:r>
        <w:rPr>
          <w:b/>
          <w:bCs/>
        </w:rPr>
        <w:t>8</w:t>
      </w:r>
    </w:p>
    <w:p w14:paraId="0DE75F5B" w14:textId="69EBFFE1" w:rsidR="00E97FE9" w:rsidRDefault="008B14C1" w:rsidP="00561BD4">
      <w:pPr>
        <w:pStyle w:val="ListNumber"/>
        <w:numPr>
          <w:ilvl w:val="0"/>
          <w:numId w:val="0"/>
        </w:numPr>
        <w:ind w:left="1134"/>
      </w:pPr>
      <w:r w:rsidRPr="008B14C1">
        <w:t>A parliamentary inquiry into the risks of facial recognition technologies be commenced with terms of reference which, among other things, specifically considers the human rights risks of the technologies.</w:t>
      </w:r>
    </w:p>
    <w:p w14:paraId="4F106E20" w14:textId="559575CC" w:rsidR="00E97FE9" w:rsidRPr="0075703A" w:rsidRDefault="00103A8D" w:rsidP="00561BD4">
      <w:pPr>
        <w:pStyle w:val="ListNumber"/>
        <w:numPr>
          <w:ilvl w:val="0"/>
          <w:numId w:val="0"/>
        </w:numPr>
        <w:ind w:left="360"/>
        <w:rPr>
          <w:b/>
          <w:bCs/>
        </w:rPr>
      </w:pPr>
      <w:r>
        <w:rPr>
          <w:b/>
          <w:bCs/>
        </w:rPr>
        <w:tab/>
      </w:r>
      <w:r w:rsidR="00E97FE9" w:rsidRPr="0075703A">
        <w:rPr>
          <w:b/>
          <w:bCs/>
        </w:rPr>
        <w:t xml:space="preserve">Recommendation </w:t>
      </w:r>
      <w:r>
        <w:rPr>
          <w:b/>
          <w:bCs/>
        </w:rPr>
        <w:t>9</w:t>
      </w:r>
    </w:p>
    <w:p w14:paraId="2764608D" w14:textId="67D93423" w:rsidR="00086A62" w:rsidRPr="00086A62" w:rsidRDefault="00086A62" w:rsidP="00561BD4">
      <w:pPr>
        <w:pStyle w:val="ListNumber"/>
        <w:numPr>
          <w:ilvl w:val="0"/>
          <w:numId w:val="0"/>
        </w:numPr>
        <w:ind w:left="1134"/>
      </w:pPr>
      <w:r w:rsidRPr="00086A62">
        <w:t>Federal, State and Territory governments should introduce legislation which specifically regulates the use of facial recognition and other biometric technologies. Such legislation should:</w:t>
      </w:r>
    </w:p>
    <w:p w14:paraId="50D8D84A" w14:textId="77777777" w:rsidR="00086A62" w:rsidRPr="00C81E66" w:rsidRDefault="00086A62" w:rsidP="00561BD4">
      <w:pPr>
        <w:pStyle w:val="ListNumber"/>
        <w:numPr>
          <w:ilvl w:val="0"/>
          <w:numId w:val="33"/>
        </w:numPr>
      </w:pPr>
      <w:r w:rsidRPr="00C81E66">
        <w:t>expressly protect human rights</w:t>
      </w:r>
    </w:p>
    <w:p w14:paraId="29EE6B45" w14:textId="77777777" w:rsidR="00086A62" w:rsidRPr="00C81E66" w:rsidRDefault="00086A62" w:rsidP="00561BD4">
      <w:pPr>
        <w:pStyle w:val="ListNumber"/>
        <w:numPr>
          <w:ilvl w:val="0"/>
          <w:numId w:val="33"/>
        </w:numPr>
      </w:pPr>
      <w:r w:rsidRPr="00C81E66">
        <w:t xml:space="preserve">apply to the use of this technology in decision making that has a legal, or similarly significant, effect for individuals, or where </w:t>
      </w:r>
      <w:r w:rsidRPr="00C81E66">
        <w:lastRenderedPageBreak/>
        <w:t xml:space="preserve">there is a high risk to human rights, such as in policing and law enforcement </w:t>
      </w:r>
    </w:p>
    <w:p w14:paraId="445D9552" w14:textId="2D282DDC" w:rsidR="00E97FE9" w:rsidRPr="00C81E66" w:rsidRDefault="00086A62" w:rsidP="00561BD4">
      <w:pPr>
        <w:pStyle w:val="ListNumber"/>
        <w:numPr>
          <w:ilvl w:val="0"/>
          <w:numId w:val="33"/>
        </w:numPr>
      </w:pPr>
      <w:r w:rsidRPr="00C81E66">
        <w:t>be developed through in-depth consultation with the community, industry and expert bodies such as the Australian Human Rights Commission and the Office of the Australian Information Commissioner.</w:t>
      </w:r>
    </w:p>
    <w:p w14:paraId="4D281F98" w14:textId="74BFC3FC" w:rsidR="00E97FE9" w:rsidRPr="0075703A" w:rsidRDefault="0022664C" w:rsidP="00561BD4">
      <w:pPr>
        <w:pStyle w:val="ListNumber"/>
        <w:numPr>
          <w:ilvl w:val="0"/>
          <w:numId w:val="0"/>
        </w:numPr>
        <w:ind w:left="360"/>
        <w:rPr>
          <w:b/>
          <w:bCs/>
        </w:rPr>
      </w:pPr>
      <w:r>
        <w:rPr>
          <w:b/>
          <w:bCs/>
        </w:rPr>
        <w:tab/>
      </w:r>
      <w:r w:rsidR="00E97FE9" w:rsidRPr="0075703A">
        <w:rPr>
          <w:b/>
          <w:bCs/>
        </w:rPr>
        <w:t>Recommendation 1</w:t>
      </w:r>
      <w:r>
        <w:rPr>
          <w:b/>
          <w:bCs/>
        </w:rPr>
        <w:t>0</w:t>
      </w:r>
    </w:p>
    <w:p w14:paraId="1750D7EC" w14:textId="626C259E" w:rsidR="00E97FE9" w:rsidRDefault="00020D9C" w:rsidP="00561BD4">
      <w:pPr>
        <w:pStyle w:val="ListNumber"/>
        <w:numPr>
          <w:ilvl w:val="0"/>
          <w:numId w:val="0"/>
        </w:numPr>
        <w:ind w:left="1134"/>
      </w:pPr>
      <w:r w:rsidRPr="00020D9C">
        <w:t>The Model Law be implemented by government, with in-depth consultations with the community, industry and expert bodies such as the Australian Human Rights Commission and the Office of the Australian Information Commissioner being held to assist before any legislation is finalised</w:t>
      </w:r>
      <w:r w:rsidR="00AE0E5D">
        <w:t>.</w:t>
      </w:r>
    </w:p>
    <w:p w14:paraId="74B83E2A" w14:textId="653C51F5" w:rsidR="00E97FE9" w:rsidRPr="0075703A" w:rsidRDefault="003A7567" w:rsidP="00561BD4">
      <w:pPr>
        <w:pStyle w:val="ListNumber"/>
        <w:numPr>
          <w:ilvl w:val="0"/>
          <w:numId w:val="0"/>
        </w:numPr>
        <w:ind w:left="360"/>
        <w:rPr>
          <w:b/>
          <w:bCs/>
        </w:rPr>
      </w:pPr>
      <w:r>
        <w:rPr>
          <w:b/>
          <w:bCs/>
        </w:rPr>
        <w:tab/>
      </w:r>
      <w:r w:rsidR="00E97FE9" w:rsidRPr="0075703A">
        <w:rPr>
          <w:b/>
          <w:bCs/>
        </w:rPr>
        <w:t xml:space="preserve">Recommendation </w:t>
      </w:r>
      <w:r>
        <w:rPr>
          <w:b/>
          <w:bCs/>
        </w:rPr>
        <w:t>1</w:t>
      </w:r>
      <w:r w:rsidR="00E97FE9" w:rsidRPr="0075703A">
        <w:rPr>
          <w:b/>
          <w:bCs/>
        </w:rPr>
        <w:t>1</w:t>
      </w:r>
    </w:p>
    <w:p w14:paraId="5B35C40C" w14:textId="7C51B5AB" w:rsidR="00E97FE9" w:rsidRDefault="00F86B29" w:rsidP="00561BD4">
      <w:pPr>
        <w:pStyle w:val="ListNumber"/>
        <w:numPr>
          <w:ilvl w:val="0"/>
          <w:numId w:val="0"/>
        </w:numPr>
        <w:ind w:left="1134"/>
      </w:pPr>
      <w:r w:rsidRPr="00F86B29">
        <w:t>Until the legislation recommended in Recommendation 9 comes into effect, Australia’s federal, state and territory governments should introduce a moratorium on the use of facial recognition and other biometric technology in decision making that has a legal, or similarly significant, effect for individuals, or where there is a high risk to human rights, such as in policing and law enforcement.</w:t>
      </w:r>
    </w:p>
    <w:p w14:paraId="15D432FD" w14:textId="57A622A3" w:rsidR="00E97FE9" w:rsidRPr="0075703A" w:rsidRDefault="00624DA3" w:rsidP="00561BD4">
      <w:pPr>
        <w:pStyle w:val="ListNumber"/>
        <w:numPr>
          <w:ilvl w:val="0"/>
          <w:numId w:val="0"/>
        </w:numPr>
        <w:ind w:left="360"/>
        <w:rPr>
          <w:b/>
          <w:bCs/>
        </w:rPr>
      </w:pPr>
      <w:r>
        <w:rPr>
          <w:b/>
          <w:bCs/>
        </w:rPr>
        <w:tab/>
      </w:r>
      <w:r w:rsidR="00E97FE9" w:rsidRPr="0075703A">
        <w:rPr>
          <w:b/>
          <w:bCs/>
        </w:rPr>
        <w:t>Recommendation 1</w:t>
      </w:r>
      <w:r>
        <w:rPr>
          <w:b/>
          <w:bCs/>
        </w:rPr>
        <w:t>2</w:t>
      </w:r>
    </w:p>
    <w:p w14:paraId="08B4BEFF" w14:textId="4562D9FE" w:rsidR="00E97FE9" w:rsidRDefault="00053F72" w:rsidP="00561BD4">
      <w:pPr>
        <w:pStyle w:val="ListNumber"/>
        <w:numPr>
          <w:ilvl w:val="0"/>
          <w:numId w:val="0"/>
        </w:numPr>
        <w:ind w:left="1134"/>
      </w:pPr>
      <w:r w:rsidRPr="00053F72">
        <w:t>A child be defined as an individual who has not reached 18 years of age.</w:t>
      </w:r>
    </w:p>
    <w:p w14:paraId="77A5B231" w14:textId="796EAF9D" w:rsidR="00E97FE9" w:rsidRPr="0075703A" w:rsidRDefault="00360A77" w:rsidP="00561BD4">
      <w:pPr>
        <w:pStyle w:val="ListNumber"/>
        <w:numPr>
          <w:ilvl w:val="0"/>
          <w:numId w:val="0"/>
        </w:numPr>
        <w:ind w:left="360"/>
        <w:rPr>
          <w:b/>
          <w:bCs/>
        </w:rPr>
      </w:pPr>
      <w:r>
        <w:rPr>
          <w:b/>
          <w:bCs/>
        </w:rPr>
        <w:tab/>
      </w:r>
      <w:r w:rsidR="00E97FE9" w:rsidRPr="0075703A">
        <w:rPr>
          <w:b/>
          <w:bCs/>
        </w:rPr>
        <w:t>Recommendation 1</w:t>
      </w:r>
      <w:r>
        <w:rPr>
          <w:b/>
          <w:bCs/>
        </w:rPr>
        <w:t>3</w:t>
      </w:r>
    </w:p>
    <w:p w14:paraId="2AB1FA23" w14:textId="33EDD075" w:rsidR="00E97FE9" w:rsidRDefault="004133B2" w:rsidP="00561BD4">
      <w:pPr>
        <w:pStyle w:val="ListNumber"/>
        <w:numPr>
          <w:ilvl w:val="0"/>
          <w:numId w:val="0"/>
        </w:numPr>
        <w:ind w:left="1134"/>
      </w:pPr>
      <w:r w:rsidRPr="004133B2">
        <w:t xml:space="preserve">The Act be amended to require that collection notices and privacy policies are clear and understandable, in particular for any information likely to be accessed by children. This should be done in with children, parents and carers, child development experts, child-welfare advocates, industry, OAIC, the </w:t>
      </w:r>
      <w:proofErr w:type="spellStart"/>
      <w:r w:rsidRPr="004133B2">
        <w:t>eSafety</w:t>
      </w:r>
      <w:proofErr w:type="spellEnd"/>
      <w:r w:rsidRPr="004133B2">
        <w:t xml:space="preserve"> Commissioner and the Australian Human Rights Commission.</w:t>
      </w:r>
    </w:p>
    <w:p w14:paraId="41B6A32D" w14:textId="32BEFE1F" w:rsidR="00E97FE9" w:rsidRPr="0075703A" w:rsidRDefault="00F94E1A" w:rsidP="00561BD4">
      <w:pPr>
        <w:pStyle w:val="ListNumber"/>
        <w:numPr>
          <w:ilvl w:val="0"/>
          <w:numId w:val="0"/>
        </w:numPr>
        <w:ind w:left="360"/>
        <w:rPr>
          <w:b/>
          <w:bCs/>
        </w:rPr>
      </w:pPr>
      <w:r>
        <w:rPr>
          <w:b/>
          <w:bCs/>
        </w:rPr>
        <w:tab/>
      </w:r>
      <w:r w:rsidR="00E97FE9" w:rsidRPr="0075703A">
        <w:rPr>
          <w:b/>
          <w:bCs/>
        </w:rPr>
        <w:t>Recommendation 1</w:t>
      </w:r>
      <w:r>
        <w:rPr>
          <w:b/>
          <w:bCs/>
        </w:rPr>
        <w:t>4</w:t>
      </w:r>
    </w:p>
    <w:p w14:paraId="169EC97F" w14:textId="53AD2192" w:rsidR="00E97FE9" w:rsidRDefault="00196D07" w:rsidP="00561BD4">
      <w:pPr>
        <w:pStyle w:val="ListNumber"/>
        <w:numPr>
          <w:ilvl w:val="0"/>
          <w:numId w:val="0"/>
        </w:numPr>
        <w:ind w:left="1134"/>
      </w:pPr>
      <w:r w:rsidRPr="00196D07">
        <w:t>The amendments referred to in Recommendation 14 should utilise broader language (as determined through consultations) to capture the true range of circumstances in which children may need to understand collection notices or privacy policies</w:t>
      </w:r>
      <w:r w:rsidR="007052B5" w:rsidRPr="007052B5">
        <w:t>.</w:t>
      </w:r>
    </w:p>
    <w:p w14:paraId="0397D4D8" w14:textId="3833FEF6" w:rsidR="00E97FE9" w:rsidRPr="0075703A" w:rsidRDefault="00885757" w:rsidP="00561BD4">
      <w:pPr>
        <w:pStyle w:val="ListNumber"/>
        <w:numPr>
          <w:ilvl w:val="0"/>
          <w:numId w:val="0"/>
        </w:numPr>
        <w:ind w:left="360"/>
        <w:rPr>
          <w:b/>
          <w:bCs/>
        </w:rPr>
      </w:pPr>
      <w:r>
        <w:rPr>
          <w:b/>
          <w:bCs/>
        </w:rPr>
        <w:tab/>
      </w:r>
      <w:r w:rsidR="00E97FE9" w:rsidRPr="0075703A">
        <w:rPr>
          <w:b/>
          <w:bCs/>
        </w:rPr>
        <w:t>Recommendation 1</w:t>
      </w:r>
      <w:r>
        <w:rPr>
          <w:b/>
          <w:bCs/>
        </w:rPr>
        <w:t>5</w:t>
      </w:r>
    </w:p>
    <w:p w14:paraId="72CD278D" w14:textId="42445CE9" w:rsidR="00E97FE9" w:rsidRDefault="0018330F" w:rsidP="00561BD4">
      <w:pPr>
        <w:pStyle w:val="ListNumber"/>
        <w:numPr>
          <w:ilvl w:val="0"/>
          <w:numId w:val="0"/>
        </w:numPr>
        <w:ind w:left="1134"/>
      </w:pPr>
      <w:r w:rsidRPr="0018330F">
        <w:t xml:space="preserve">The requirements contained within Proposal 16.3 should be further specified in a Children’s Online Privacy Code, which should provide </w:t>
      </w:r>
      <w:r w:rsidRPr="0018330F">
        <w:lastRenderedPageBreak/>
        <w:t>guidance on the format, timing and readability of collection notices and privacy policies.</w:t>
      </w:r>
    </w:p>
    <w:p w14:paraId="48C3B4DF" w14:textId="63BD7F61" w:rsidR="00E97FE9" w:rsidRPr="0075703A" w:rsidRDefault="00885757" w:rsidP="00561BD4">
      <w:pPr>
        <w:pStyle w:val="ListNumber"/>
        <w:numPr>
          <w:ilvl w:val="0"/>
          <w:numId w:val="0"/>
        </w:numPr>
        <w:ind w:left="360"/>
        <w:rPr>
          <w:b/>
          <w:bCs/>
        </w:rPr>
      </w:pPr>
      <w:r>
        <w:rPr>
          <w:b/>
          <w:bCs/>
        </w:rPr>
        <w:tab/>
      </w:r>
      <w:r w:rsidR="00E97FE9" w:rsidRPr="0075703A">
        <w:rPr>
          <w:b/>
          <w:bCs/>
        </w:rPr>
        <w:t>Recommendation 1</w:t>
      </w:r>
      <w:r>
        <w:rPr>
          <w:b/>
          <w:bCs/>
        </w:rPr>
        <w:t>6</w:t>
      </w:r>
    </w:p>
    <w:p w14:paraId="16FEB943" w14:textId="205A4637" w:rsidR="00E97FE9" w:rsidRDefault="009A4D60" w:rsidP="00561BD4">
      <w:pPr>
        <w:pStyle w:val="ListNumber"/>
        <w:numPr>
          <w:ilvl w:val="0"/>
          <w:numId w:val="0"/>
        </w:numPr>
        <w:ind w:left="1134"/>
      </w:pPr>
      <w:r w:rsidRPr="009A4D60">
        <w:t>Greater investment be provided to schools enabling them to teach children from the start of their primary education about how privacy and data may affect them online. Children must be taught how to read/understand collection notices and privacy policies in the prescribed format as determined by the Act and/or the Children’s Online Privacy Code.</w:t>
      </w:r>
    </w:p>
    <w:p w14:paraId="00041C90" w14:textId="12293A59" w:rsidR="00E97FE9" w:rsidRPr="0075703A" w:rsidRDefault="001B6311" w:rsidP="00561BD4">
      <w:pPr>
        <w:pStyle w:val="ListNumber"/>
        <w:numPr>
          <w:ilvl w:val="0"/>
          <w:numId w:val="0"/>
        </w:numPr>
        <w:ind w:left="360"/>
        <w:rPr>
          <w:b/>
          <w:bCs/>
        </w:rPr>
      </w:pPr>
      <w:r>
        <w:rPr>
          <w:b/>
          <w:bCs/>
        </w:rPr>
        <w:tab/>
      </w:r>
      <w:r w:rsidR="00E97FE9" w:rsidRPr="0075703A">
        <w:rPr>
          <w:b/>
          <w:bCs/>
        </w:rPr>
        <w:t>Recommendation 1</w:t>
      </w:r>
      <w:r>
        <w:rPr>
          <w:b/>
          <w:bCs/>
        </w:rPr>
        <w:t>7</w:t>
      </w:r>
    </w:p>
    <w:p w14:paraId="38C87B48" w14:textId="436F4FEE" w:rsidR="00E97FE9" w:rsidRDefault="009800FE" w:rsidP="00561BD4">
      <w:pPr>
        <w:pStyle w:val="ListNumber"/>
        <w:numPr>
          <w:ilvl w:val="0"/>
          <w:numId w:val="0"/>
        </w:numPr>
        <w:ind w:left="1134"/>
      </w:pPr>
      <w:r w:rsidRPr="009800FE">
        <w:t>The principle of the ‘best interests of the child’ should be the primary test used across all instruments affecting children online, including the Children’s Online Privacy Code, with a positive duty on relevant actors to demonstrate that the principle is applie</w:t>
      </w:r>
      <w:r w:rsidR="00AE0E5D">
        <w:t>d</w:t>
      </w:r>
      <w:r w:rsidR="00C3722F" w:rsidRPr="00C3722F">
        <w:t>.</w:t>
      </w:r>
    </w:p>
    <w:p w14:paraId="388D8307" w14:textId="0B3D67D8" w:rsidR="00E97FE9" w:rsidRPr="0075703A" w:rsidRDefault="00381146" w:rsidP="00561BD4">
      <w:pPr>
        <w:pStyle w:val="ListNumber"/>
        <w:numPr>
          <w:ilvl w:val="0"/>
          <w:numId w:val="0"/>
        </w:numPr>
        <w:ind w:left="360"/>
        <w:rPr>
          <w:b/>
          <w:bCs/>
        </w:rPr>
      </w:pPr>
      <w:r>
        <w:rPr>
          <w:b/>
          <w:bCs/>
        </w:rPr>
        <w:tab/>
      </w:r>
      <w:r w:rsidR="00E97FE9" w:rsidRPr="0075703A">
        <w:rPr>
          <w:b/>
          <w:bCs/>
        </w:rPr>
        <w:t>Recommendation 1</w:t>
      </w:r>
      <w:r>
        <w:rPr>
          <w:b/>
          <w:bCs/>
        </w:rPr>
        <w:t>8</w:t>
      </w:r>
    </w:p>
    <w:p w14:paraId="27E86AF4" w14:textId="4DCA4D85" w:rsidR="00E97FE9" w:rsidRDefault="0055059F" w:rsidP="00561BD4">
      <w:pPr>
        <w:pStyle w:val="ListNumber"/>
        <w:numPr>
          <w:ilvl w:val="0"/>
          <w:numId w:val="0"/>
        </w:numPr>
        <w:ind w:left="1134"/>
      </w:pPr>
      <w:r w:rsidRPr="0055059F">
        <w:t>A Children’s Online Privacy Code should adopt a broad definition of services that are ‘likely to be accessed by children’.</w:t>
      </w:r>
    </w:p>
    <w:p w14:paraId="6E4624EE" w14:textId="4CF4AA6C" w:rsidR="00E97FE9" w:rsidRPr="0075703A" w:rsidRDefault="008153A5" w:rsidP="00561BD4">
      <w:pPr>
        <w:pStyle w:val="ListNumber"/>
        <w:numPr>
          <w:ilvl w:val="0"/>
          <w:numId w:val="0"/>
        </w:numPr>
        <w:ind w:left="360"/>
        <w:rPr>
          <w:b/>
          <w:bCs/>
        </w:rPr>
      </w:pPr>
      <w:r>
        <w:rPr>
          <w:b/>
          <w:bCs/>
        </w:rPr>
        <w:tab/>
      </w:r>
      <w:r w:rsidR="00E97FE9" w:rsidRPr="0075703A">
        <w:rPr>
          <w:b/>
          <w:bCs/>
        </w:rPr>
        <w:t>Recommendation 1</w:t>
      </w:r>
      <w:r>
        <w:rPr>
          <w:b/>
          <w:bCs/>
        </w:rPr>
        <w:t>9</w:t>
      </w:r>
    </w:p>
    <w:p w14:paraId="1403B5C0" w14:textId="69D0712F" w:rsidR="00E97FE9" w:rsidRDefault="00494D9E" w:rsidP="00561BD4">
      <w:pPr>
        <w:pStyle w:val="ListNumber"/>
        <w:numPr>
          <w:ilvl w:val="0"/>
          <w:numId w:val="0"/>
        </w:numPr>
        <w:ind w:left="1134"/>
      </w:pPr>
      <w:r w:rsidRPr="00494D9E">
        <w:t>A Children’s Online Privacy Code should be developed following consultations with children and young people, parents and carers, schools, child development/welfare experts and</w:t>
      </w:r>
      <w:r w:rsidR="0008429B">
        <w:t xml:space="preserve"> both</w:t>
      </w:r>
      <w:r w:rsidRPr="00494D9E">
        <w:t xml:space="preserve"> the </w:t>
      </w:r>
      <w:proofErr w:type="spellStart"/>
      <w:r w:rsidRPr="00494D9E">
        <w:t>eSafety</w:t>
      </w:r>
      <w:proofErr w:type="spellEnd"/>
      <w:r w:rsidRPr="00494D9E">
        <w:t xml:space="preserve"> Commissioner and the Australian Human Rights Commission.</w:t>
      </w:r>
    </w:p>
    <w:p w14:paraId="7E9B0050" w14:textId="7A6E0DFC" w:rsidR="00E97FE9" w:rsidRPr="0075703A" w:rsidRDefault="00E64ADF" w:rsidP="00561BD4">
      <w:pPr>
        <w:pStyle w:val="ListNumber"/>
        <w:numPr>
          <w:ilvl w:val="0"/>
          <w:numId w:val="0"/>
        </w:numPr>
        <w:ind w:left="360"/>
        <w:rPr>
          <w:b/>
          <w:bCs/>
        </w:rPr>
      </w:pPr>
      <w:r>
        <w:rPr>
          <w:b/>
          <w:bCs/>
        </w:rPr>
        <w:tab/>
      </w:r>
      <w:r w:rsidR="00E97FE9" w:rsidRPr="0075703A">
        <w:rPr>
          <w:b/>
          <w:bCs/>
        </w:rPr>
        <w:t xml:space="preserve">Recommendation </w:t>
      </w:r>
      <w:r>
        <w:rPr>
          <w:b/>
          <w:bCs/>
        </w:rPr>
        <w:t>20</w:t>
      </w:r>
    </w:p>
    <w:p w14:paraId="1B680A4E" w14:textId="012D3907" w:rsidR="00E97FE9" w:rsidRDefault="00872F25" w:rsidP="00561BD4">
      <w:pPr>
        <w:pStyle w:val="ListNumber"/>
        <w:numPr>
          <w:ilvl w:val="0"/>
          <w:numId w:val="0"/>
        </w:numPr>
        <w:ind w:left="1134"/>
      </w:pPr>
      <w:r w:rsidRPr="00872F25">
        <w:t>The definition of ‘at-risk adult’, provided in ALRC Report 131, be included in any OAIC guidance, and the Act where appropriate.</w:t>
      </w:r>
    </w:p>
    <w:p w14:paraId="063F2D17" w14:textId="664CC715" w:rsidR="00E97FE9" w:rsidRPr="0075703A" w:rsidRDefault="00EF76DA" w:rsidP="00561BD4">
      <w:pPr>
        <w:pStyle w:val="ListNumber"/>
        <w:numPr>
          <w:ilvl w:val="0"/>
          <w:numId w:val="0"/>
        </w:numPr>
        <w:ind w:left="360"/>
        <w:rPr>
          <w:b/>
          <w:bCs/>
        </w:rPr>
      </w:pPr>
      <w:r>
        <w:rPr>
          <w:b/>
          <w:bCs/>
        </w:rPr>
        <w:tab/>
      </w:r>
      <w:r w:rsidR="00E97FE9" w:rsidRPr="0075703A">
        <w:rPr>
          <w:b/>
          <w:bCs/>
        </w:rPr>
        <w:t xml:space="preserve">Recommendation </w:t>
      </w:r>
      <w:r>
        <w:rPr>
          <w:b/>
          <w:bCs/>
        </w:rPr>
        <w:t>2</w:t>
      </w:r>
      <w:r w:rsidR="00E97FE9" w:rsidRPr="0075703A">
        <w:rPr>
          <w:b/>
          <w:bCs/>
        </w:rPr>
        <w:t>1</w:t>
      </w:r>
    </w:p>
    <w:p w14:paraId="40B17A43" w14:textId="58138DA1" w:rsidR="00E97FE9" w:rsidRDefault="00A22E30" w:rsidP="00561BD4">
      <w:pPr>
        <w:pStyle w:val="ListNumber"/>
        <w:numPr>
          <w:ilvl w:val="0"/>
          <w:numId w:val="0"/>
        </w:numPr>
        <w:ind w:left="1134"/>
      </w:pPr>
      <w:r w:rsidRPr="00A22E30">
        <w:t>OAIC guidance must set out a non-exhaustive list of factors that indicate when an individual may be experiencing vulnerability and at higher risk of harm from interferences with their personal information.</w:t>
      </w:r>
    </w:p>
    <w:p w14:paraId="04113C16" w14:textId="4552858F" w:rsidR="00E97FE9" w:rsidRPr="0075703A" w:rsidRDefault="007A6DA8" w:rsidP="00561BD4">
      <w:pPr>
        <w:pStyle w:val="ListNumber"/>
        <w:numPr>
          <w:ilvl w:val="0"/>
          <w:numId w:val="0"/>
        </w:numPr>
        <w:ind w:left="360"/>
        <w:rPr>
          <w:b/>
          <w:bCs/>
        </w:rPr>
      </w:pPr>
      <w:r>
        <w:rPr>
          <w:b/>
          <w:bCs/>
        </w:rPr>
        <w:tab/>
      </w:r>
      <w:r w:rsidR="00E97FE9" w:rsidRPr="0075703A">
        <w:rPr>
          <w:b/>
          <w:bCs/>
        </w:rPr>
        <w:t xml:space="preserve">Recommendation </w:t>
      </w:r>
      <w:r>
        <w:rPr>
          <w:b/>
          <w:bCs/>
        </w:rPr>
        <w:t>22</w:t>
      </w:r>
    </w:p>
    <w:p w14:paraId="243ADAE8" w14:textId="1C788F06" w:rsidR="00E97FE9" w:rsidRDefault="00BE29F4" w:rsidP="00561BD4">
      <w:pPr>
        <w:pStyle w:val="ListNumber"/>
        <w:numPr>
          <w:ilvl w:val="0"/>
          <w:numId w:val="0"/>
        </w:numPr>
        <w:ind w:left="1134"/>
      </w:pPr>
      <w:r w:rsidRPr="00BE29F4">
        <w:t>The term ‘people experiencing vulnerability’ is adopted in OAIC guidance, and the Act where appropriate.</w:t>
      </w:r>
    </w:p>
    <w:p w14:paraId="59FF2B70" w14:textId="57829837" w:rsidR="00E97FE9" w:rsidRPr="0075703A" w:rsidRDefault="00641903" w:rsidP="00561BD4">
      <w:pPr>
        <w:pStyle w:val="ListNumber"/>
        <w:numPr>
          <w:ilvl w:val="0"/>
          <w:numId w:val="0"/>
        </w:numPr>
        <w:ind w:left="360"/>
        <w:rPr>
          <w:b/>
          <w:bCs/>
        </w:rPr>
      </w:pPr>
      <w:r>
        <w:rPr>
          <w:b/>
          <w:bCs/>
        </w:rPr>
        <w:tab/>
      </w:r>
      <w:r w:rsidR="00E97FE9" w:rsidRPr="0075703A">
        <w:rPr>
          <w:b/>
          <w:bCs/>
        </w:rPr>
        <w:t xml:space="preserve">Recommendation </w:t>
      </w:r>
      <w:r>
        <w:rPr>
          <w:b/>
          <w:bCs/>
        </w:rPr>
        <w:t>23</w:t>
      </w:r>
    </w:p>
    <w:p w14:paraId="2B2B8BE4" w14:textId="40E7ECE9" w:rsidR="00EB4BD8" w:rsidRDefault="00D65661" w:rsidP="00561BD4">
      <w:pPr>
        <w:pStyle w:val="ListNumber"/>
        <w:numPr>
          <w:ilvl w:val="0"/>
          <w:numId w:val="0"/>
        </w:numPr>
        <w:ind w:left="1134"/>
      </w:pPr>
      <w:r w:rsidRPr="00D65661">
        <w:t>OAIC guidance should be clear to not discourage proactive and preventative safeguarding measures to be activated if there is a perceived risk that a person is experiencing vulnerability.</w:t>
      </w:r>
    </w:p>
    <w:p w14:paraId="70AF4C31" w14:textId="77777777" w:rsidR="00E4278B" w:rsidRDefault="00E4278B" w:rsidP="00561BD4">
      <w:pPr>
        <w:pStyle w:val="ListNumber"/>
        <w:numPr>
          <w:ilvl w:val="0"/>
          <w:numId w:val="0"/>
        </w:numPr>
        <w:ind w:left="1134"/>
        <w:rPr>
          <w:b/>
          <w:bCs/>
        </w:rPr>
      </w:pPr>
      <w:r w:rsidRPr="00E4278B">
        <w:rPr>
          <w:b/>
          <w:bCs/>
        </w:rPr>
        <w:lastRenderedPageBreak/>
        <w:t xml:space="preserve">Recommendation </w:t>
      </w:r>
      <w:r w:rsidRPr="00F25FC9">
        <w:rPr>
          <w:b/>
          <w:bCs/>
        </w:rPr>
        <w:t>24</w:t>
      </w:r>
    </w:p>
    <w:p w14:paraId="29AE4319" w14:textId="100AEC10" w:rsidR="00E4278B" w:rsidRPr="00E4278B" w:rsidRDefault="00E4278B" w:rsidP="00561BD4">
      <w:pPr>
        <w:pStyle w:val="ListNumber"/>
        <w:numPr>
          <w:ilvl w:val="0"/>
          <w:numId w:val="0"/>
        </w:numPr>
        <w:ind w:left="1134"/>
      </w:pPr>
      <w:r w:rsidRPr="00E4278B">
        <w:t>OAIC guidance concerning disability should be developed and co-designed with people with disability.</w:t>
      </w:r>
    </w:p>
    <w:p w14:paraId="30188165" w14:textId="6D2CE61E" w:rsidR="00E97FE9" w:rsidRPr="0075703A" w:rsidRDefault="00E97FE9" w:rsidP="00561BD4">
      <w:pPr>
        <w:pStyle w:val="ListNumber"/>
        <w:numPr>
          <w:ilvl w:val="0"/>
          <w:numId w:val="0"/>
        </w:numPr>
        <w:ind w:left="1134"/>
        <w:rPr>
          <w:b/>
          <w:bCs/>
        </w:rPr>
      </w:pPr>
      <w:r w:rsidRPr="0075703A">
        <w:rPr>
          <w:b/>
          <w:bCs/>
        </w:rPr>
        <w:t xml:space="preserve">Recommendation </w:t>
      </w:r>
      <w:r w:rsidR="00D01438">
        <w:rPr>
          <w:b/>
          <w:bCs/>
        </w:rPr>
        <w:t>2</w:t>
      </w:r>
      <w:r w:rsidR="00E4278B">
        <w:rPr>
          <w:b/>
          <w:bCs/>
        </w:rPr>
        <w:t>5</w:t>
      </w:r>
    </w:p>
    <w:p w14:paraId="3728DB08" w14:textId="6E6C0425" w:rsidR="00E97FE9" w:rsidRDefault="0030479A" w:rsidP="00561BD4">
      <w:pPr>
        <w:pStyle w:val="ListNumber"/>
        <w:numPr>
          <w:ilvl w:val="0"/>
          <w:numId w:val="0"/>
        </w:numPr>
        <w:ind w:left="1134"/>
      </w:pPr>
      <w:r w:rsidRPr="0030479A">
        <w:t>OAIC guidance on capacity and consent should be updated to reflect ALRC Report 124 and the Diversity, dignity, equity and best practice: a framework for supported decision-making report.</w:t>
      </w:r>
    </w:p>
    <w:p w14:paraId="44BDA99A" w14:textId="7EC50DAD" w:rsidR="00165FA9" w:rsidRPr="0075703A" w:rsidRDefault="00810966" w:rsidP="00561BD4">
      <w:pPr>
        <w:pStyle w:val="ListNumber"/>
        <w:numPr>
          <w:ilvl w:val="0"/>
          <w:numId w:val="0"/>
        </w:numPr>
        <w:ind w:left="360"/>
        <w:rPr>
          <w:b/>
          <w:bCs/>
        </w:rPr>
      </w:pPr>
      <w:r>
        <w:rPr>
          <w:b/>
          <w:bCs/>
        </w:rPr>
        <w:tab/>
      </w:r>
      <w:r w:rsidR="00165FA9" w:rsidRPr="0075703A">
        <w:rPr>
          <w:b/>
          <w:bCs/>
        </w:rPr>
        <w:t xml:space="preserve">Recommendation </w:t>
      </w:r>
      <w:r>
        <w:rPr>
          <w:b/>
          <w:bCs/>
        </w:rPr>
        <w:t>2</w:t>
      </w:r>
      <w:r w:rsidR="00E4278B">
        <w:rPr>
          <w:b/>
          <w:bCs/>
        </w:rPr>
        <w:t>6</w:t>
      </w:r>
    </w:p>
    <w:p w14:paraId="3B205A0E" w14:textId="1CBD5815" w:rsidR="00165FA9" w:rsidRDefault="009E021C" w:rsidP="00561BD4">
      <w:pPr>
        <w:pStyle w:val="ListNumber"/>
        <w:numPr>
          <w:ilvl w:val="0"/>
          <w:numId w:val="0"/>
        </w:numPr>
        <w:ind w:left="1134"/>
      </w:pPr>
      <w:r w:rsidRPr="009E021C">
        <w:t>Further consultations should be undertaken in respect of Proposal 17.3. Such consultations should have regard for ALRC Report 131 and the National Plan to Respond to the Abuse of Older Australians 2019-2023.</w:t>
      </w:r>
      <w:r w:rsidR="008066BD" w:rsidRPr="008066BD">
        <w:t>.</w:t>
      </w:r>
    </w:p>
    <w:p w14:paraId="7F985E96" w14:textId="73C2A8B6" w:rsidR="00165FA9" w:rsidRPr="0075703A" w:rsidRDefault="00CE4CC1" w:rsidP="00561BD4">
      <w:pPr>
        <w:pStyle w:val="ListNumber"/>
        <w:numPr>
          <w:ilvl w:val="0"/>
          <w:numId w:val="0"/>
        </w:numPr>
        <w:ind w:left="360"/>
        <w:rPr>
          <w:b/>
          <w:bCs/>
        </w:rPr>
      </w:pPr>
      <w:r>
        <w:rPr>
          <w:b/>
          <w:bCs/>
        </w:rPr>
        <w:tab/>
      </w:r>
      <w:r w:rsidR="00165FA9" w:rsidRPr="0075703A">
        <w:rPr>
          <w:b/>
          <w:bCs/>
        </w:rPr>
        <w:t xml:space="preserve">Recommendation </w:t>
      </w:r>
      <w:r>
        <w:rPr>
          <w:b/>
          <w:bCs/>
        </w:rPr>
        <w:t>2</w:t>
      </w:r>
      <w:r w:rsidR="00E4278B">
        <w:rPr>
          <w:b/>
          <w:bCs/>
        </w:rPr>
        <w:t>7</w:t>
      </w:r>
    </w:p>
    <w:p w14:paraId="13718F04" w14:textId="5FEEFCFB" w:rsidR="00165FA9" w:rsidRDefault="004816FD" w:rsidP="00561BD4">
      <w:pPr>
        <w:pStyle w:val="ListNumber"/>
        <w:numPr>
          <w:ilvl w:val="0"/>
          <w:numId w:val="0"/>
        </w:numPr>
        <w:ind w:left="1134"/>
      </w:pPr>
      <w:r w:rsidRPr="004816FD">
        <w:t>A nation-wide education campaign should be enacted by the Federal government around the rights and responsibilities of principals and their substitute decision makers.</w:t>
      </w:r>
    </w:p>
    <w:p w14:paraId="3E05E323" w14:textId="62F42904" w:rsidR="00165FA9" w:rsidRPr="0075703A" w:rsidRDefault="007A0BD6" w:rsidP="00561BD4">
      <w:pPr>
        <w:pStyle w:val="ListNumber"/>
        <w:numPr>
          <w:ilvl w:val="0"/>
          <w:numId w:val="0"/>
        </w:numPr>
        <w:ind w:left="360"/>
        <w:rPr>
          <w:b/>
          <w:bCs/>
        </w:rPr>
      </w:pPr>
      <w:r>
        <w:rPr>
          <w:b/>
          <w:bCs/>
        </w:rPr>
        <w:tab/>
      </w:r>
      <w:r w:rsidR="00165FA9" w:rsidRPr="0075703A">
        <w:rPr>
          <w:b/>
          <w:bCs/>
        </w:rPr>
        <w:t xml:space="preserve">Recommendation </w:t>
      </w:r>
      <w:r>
        <w:rPr>
          <w:b/>
          <w:bCs/>
        </w:rPr>
        <w:t>2</w:t>
      </w:r>
      <w:r w:rsidR="00E4278B">
        <w:rPr>
          <w:b/>
          <w:bCs/>
        </w:rPr>
        <w:t>8</w:t>
      </w:r>
    </w:p>
    <w:p w14:paraId="66C83DCB" w14:textId="3BB66935" w:rsidR="00EA43E3" w:rsidRDefault="00557BFC" w:rsidP="00561BD4">
      <w:pPr>
        <w:pStyle w:val="ListNumber"/>
        <w:numPr>
          <w:ilvl w:val="0"/>
          <w:numId w:val="0"/>
        </w:numPr>
        <w:ind w:left="1134"/>
      </w:pPr>
      <w:r w:rsidRPr="00557BFC">
        <w:t>The Federal government should facilitate the training of financial institutions and other entities required to act on enduring powers of attorney to prevent financial abuse.</w:t>
      </w:r>
    </w:p>
    <w:p w14:paraId="4057FD83" w14:textId="7D97F247" w:rsidR="00165FA9" w:rsidRPr="0075703A" w:rsidRDefault="00593187" w:rsidP="00561BD4">
      <w:pPr>
        <w:pStyle w:val="ListNumber"/>
        <w:numPr>
          <w:ilvl w:val="0"/>
          <w:numId w:val="0"/>
        </w:numPr>
        <w:ind w:left="360"/>
        <w:rPr>
          <w:b/>
          <w:bCs/>
        </w:rPr>
      </w:pPr>
      <w:r>
        <w:rPr>
          <w:b/>
          <w:bCs/>
        </w:rPr>
        <w:tab/>
      </w:r>
      <w:r w:rsidR="00165FA9" w:rsidRPr="0075703A">
        <w:rPr>
          <w:b/>
          <w:bCs/>
        </w:rPr>
        <w:t xml:space="preserve">Recommendation </w:t>
      </w:r>
      <w:r>
        <w:rPr>
          <w:b/>
          <w:bCs/>
        </w:rPr>
        <w:t>2</w:t>
      </w:r>
      <w:r w:rsidR="00E4278B">
        <w:rPr>
          <w:b/>
          <w:bCs/>
        </w:rPr>
        <w:t>9</w:t>
      </w:r>
    </w:p>
    <w:p w14:paraId="0AA57418" w14:textId="715DEF68" w:rsidR="00165FA9" w:rsidRDefault="004204EF" w:rsidP="00561BD4">
      <w:pPr>
        <w:pStyle w:val="ListNumber"/>
        <w:numPr>
          <w:ilvl w:val="0"/>
          <w:numId w:val="0"/>
        </w:numPr>
        <w:ind w:left="1134"/>
      </w:pPr>
      <w:r w:rsidRPr="004204EF">
        <w:t>Privacy policies should set out the types of personal information that will be used in substantially automated decisions which have a legal or similarly significant effect on an individual’s rights</w:t>
      </w:r>
      <w:r w:rsidR="00A27B52" w:rsidRPr="00A27B52">
        <w:t>.</w:t>
      </w:r>
    </w:p>
    <w:p w14:paraId="5AD3629F" w14:textId="2431255D" w:rsidR="00165FA9" w:rsidRPr="0075703A" w:rsidRDefault="00271258" w:rsidP="00561BD4">
      <w:pPr>
        <w:pStyle w:val="ListNumber"/>
        <w:numPr>
          <w:ilvl w:val="0"/>
          <w:numId w:val="0"/>
        </w:numPr>
        <w:ind w:left="360"/>
        <w:rPr>
          <w:b/>
          <w:bCs/>
        </w:rPr>
      </w:pPr>
      <w:r>
        <w:rPr>
          <w:b/>
          <w:bCs/>
        </w:rPr>
        <w:tab/>
      </w:r>
      <w:r w:rsidR="00165FA9" w:rsidRPr="0075703A">
        <w:rPr>
          <w:b/>
          <w:bCs/>
        </w:rPr>
        <w:t xml:space="preserve">Recommendation </w:t>
      </w:r>
      <w:r w:rsidR="00E4278B">
        <w:rPr>
          <w:b/>
          <w:bCs/>
        </w:rPr>
        <w:t>30</w:t>
      </w:r>
    </w:p>
    <w:p w14:paraId="3AA9BBAC" w14:textId="48E41748" w:rsidR="00511473" w:rsidRDefault="00A466B6" w:rsidP="00561BD4">
      <w:pPr>
        <w:pStyle w:val="ListNumber"/>
        <w:numPr>
          <w:ilvl w:val="0"/>
          <w:numId w:val="0"/>
        </w:numPr>
        <w:ind w:left="1134"/>
      </w:pPr>
      <w:r w:rsidRPr="00A466B6">
        <w:t>OAIC guidance should be developed on the types of decisions with a legal or similarly significant effect on an individual’s rights.</w:t>
      </w:r>
    </w:p>
    <w:p w14:paraId="58BA7187" w14:textId="36307C43" w:rsidR="00165FA9" w:rsidRPr="0075703A" w:rsidRDefault="00165FA9" w:rsidP="00561BD4">
      <w:pPr>
        <w:pStyle w:val="ListNumber"/>
        <w:numPr>
          <w:ilvl w:val="0"/>
          <w:numId w:val="0"/>
        </w:numPr>
        <w:ind w:left="1134"/>
        <w:rPr>
          <w:b/>
          <w:bCs/>
        </w:rPr>
      </w:pPr>
      <w:r w:rsidRPr="0075703A">
        <w:rPr>
          <w:b/>
          <w:bCs/>
        </w:rPr>
        <w:t xml:space="preserve">Recommendation </w:t>
      </w:r>
      <w:r w:rsidR="00511473">
        <w:rPr>
          <w:b/>
          <w:bCs/>
        </w:rPr>
        <w:t>3</w:t>
      </w:r>
      <w:r w:rsidR="00E4278B">
        <w:rPr>
          <w:b/>
          <w:bCs/>
        </w:rPr>
        <w:t>1</w:t>
      </w:r>
    </w:p>
    <w:p w14:paraId="03A230A6" w14:textId="72CD4BDB" w:rsidR="00165FA9" w:rsidRDefault="00924735" w:rsidP="00561BD4">
      <w:pPr>
        <w:pStyle w:val="ListNumber"/>
        <w:numPr>
          <w:ilvl w:val="0"/>
          <w:numId w:val="0"/>
        </w:numPr>
        <w:ind w:left="1134"/>
      </w:pPr>
      <w:r w:rsidRPr="00924735">
        <w:t>Any OAIC guidance which attempts to define ‘substantially automated’ decisions must give proper consideration to the role automation bias may play in how deeply individuals scrutinise an ADM’s decision.</w:t>
      </w:r>
    </w:p>
    <w:p w14:paraId="1950FF35" w14:textId="331F0ECA" w:rsidR="00A466B6" w:rsidRPr="0075703A" w:rsidRDefault="00A466B6" w:rsidP="00561BD4">
      <w:pPr>
        <w:pStyle w:val="ListNumber"/>
        <w:numPr>
          <w:ilvl w:val="0"/>
          <w:numId w:val="0"/>
        </w:numPr>
        <w:ind w:left="1134"/>
        <w:rPr>
          <w:b/>
          <w:bCs/>
        </w:rPr>
      </w:pPr>
      <w:r w:rsidRPr="0075703A">
        <w:rPr>
          <w:b/>
          <w:bCs/>
        </w:rPr>
        <w:t xml:space="preserve">Recommendation </w:t>
      </w:r>
      <w:r>
        <w:rPr>
          <w:b/>
          <w:bCs/>
        </w:rPr>
        <w:t>3</w:t>
      </w:r>
      <w:r w:rsidR="00E4278B">
        <w:rPr>
          <w:b/>
          <w:bCs/>
        </w:rPr>
        <w:t>2</w:t>
      </w:r>
    </w:p>
    <w:p w14:paraId="535B5092" w14:textId="4D87EE49" w:rsidR="00A466B6" w:rsidRDefault="00E90885" w:rsidP="00561BD4">
      <w:pPr>
        <w:pStyle w:val="ListNumber"/>
        <w:numPr>
          <w:ilvl w:val="0"/>
          <w:numId w:val="0"/>
        </w:numPr>
        <w:ind w:left="1134"/>
      </w:pPr>
      <w:r w:rsidRPr="00E90885">
        <w:t>The OAIC should develop guidance which defines ‘substantially automated’ decisions. This guidance must include a non-exhaustive list of decisions considered as ‘substantially automated’.</w:t>
      </w:r>
    </w:p>
    <w:p w14:paraId="52BC40C7" w14:textId="62E95F30" w:rsidR="00A466B6" w:rsidRPr="0075703A" w:rsidRDefault="00A466B6" w:rsidP="00561BD4">
      <w:pPr>
        <w:pStyle w:val="ListNumber"/>
        <w:numPr>
          <w:ilvl w:val="0"/>
          <w:numId w:val="0"/>
        </w:numPr>
        <w:ind w:left="1134"/>
        <w:rPr>
          <w:b/>
          <w:bCs/>
        </w:rPr>
      </w:pPr>
      <w:r w:rsidRPr="0075703A">
        <w:rPr>
          <w:b/>
          <w:bCs/>
        </w:rPr>
        <w:t xml:space="preserve">Recommendation </w:t>
      </w:r>
      <w:r>
        <w:rPr>
          <w:b/>
          <w:bCs/>
        </w:rPr>
        <w:t>3</w:t>
      </w:r>
      <w:r w:rsidR="00E4278B">
        <w:rPr>
          <w:b/>
          <w:bCs/>
        </w:rPr>
        <w:t>3</w:t>
      </w:r>
    </w:p>
    <w:p w14:paraId="6919C994" w14:textId="40941182" w:rsidR="00556B31" w:rsidRPr="00556B31" w:rsidRDefault="00556B31" w:rsidP="00561BD4">
      <w:pPr>
        <w:pStyle w:val="ListNumber"/>
        <w:numPr>
          <w:ilvl w:val="0"/>
          <w:numId w:val="0"/>
        </w:numPr>
        <w:ind w:left="1134"/>
      </w:pPr>
      <w:r w:rsidRPr="00556B31">
        <w:lastRenderedPageBreak/>
        <w:t>The Australian Government should establish an AI Safety Commissioner as an independent statutory office, focused on promoting safety and protecting human rights in the development and use of AI in Australia. The AI Safety Commissioner should:</w:t>
      </w:r>
    </w:p>
    <w:p w14:paraId="1D572E06" w14:textId="77777777" w:rsidR="00556B31" w:rsidRPr="00556B31" w:rsidRDefault="00556B31" w:rsidP="00561BD4">
      <w:pPr>
        <w:pStyle w:val="ListNumber"/>
        <w:numPr>
          <w:ilvl w:val="0"/>
          <w:numId w:val="34"/>
        </w:numPr>
      </w:pPr>
      <w:r w:rsidRPr="00556B31">
        <w:t>work with regulators to build their technical capacity regarding the development and use of AI in areas for which those regulators have responsibility</w:t>
      </w:r>
    </w:p>
    <w:p w14:paraId="348D6E4D" w14:textId="77777777" w:rsidR="00556B31" w:rsidRPr="00556B31" w:rsidRDefault="00556B31" w:rsidP="00561BD4">
      <w:pPr>
        <w:pStyle w:val="ListNumber"/>
        <w:numPr>
          <w:ilvl w:val="0"/>
          <w:numId w:val="34"/>
        </w:numPr>
      </w:pPr>
      <w:r w:rsidRPr="00556B31">
        <w:t>monitor and investigate developments and trends in the use of AI, especially in areas of particular human rights risk</w:t>
      </w:r>
    </w:p>
    <w:p w14:paraId="30CD5CCF" w14:textId="77777777" w:rsidR="00556B31" w:rsidRPr="00556B31" w:rsidRDefault="00556B31" w:rsidP="00561BD4">
      <w:pPr>
        <w:pStyle w:val="ListNumber"/>
        <w:numPr>
          <w:ilvl w:val="0"/>
          <w:numId w:val="34"/>
        </w:numPr>
      </w:pPr>
      <w:r w:rsidRPr="00556B31">
        <w:t>provide independent expertise relating to AI and human rights for Australian policy makers</w:t>
      </w:r>
    </w:p>
    <w:p w14:paraId="516E4D10" w14:textId="77777777" w:rsidR="00556B31" w:rsidRPr="00556B31" w:rsidRDefault="00556B31" w:rsidP="00561BD4">
      <w:pPr>
        <w:pStyle w:val="ListNumber"/>
        <w:numPr>
          <w:ilvl w:val="0"/>
          <w:numId w:val="34"/>
        </w:numPr>
      </w:pPr>
      <w:r w:rsidRPr="00556B31">
        <w:t>issue guidance to government and the private sector on how to comply with laws and ethical requirements in the use of AI.</w:t>
      </w:r>
    </w:p>
    <w:p w14:paraId="1AF56EB4" w14:textId="43346AE0" w:rsidR="00A466B6" w:rsidRPr="0075703A" w:rsidRDefault="00A466B6" w:rsidP="00561BD4">
      <w:pPr>
        <w:pStyle w:val="ListNumber"/>
        <w:numPr>
          <w:ilvl w:val="0"/>
          <w:numId w:val="0"/>
        </w:numPr>
        <w:ind w:left="1134"/>
        <w:rPr>
          <w:b/>
          <w:bCs/>
        </w:rPr>
      </w:pPr>
      <w:r w:rsidRPr="0075703A">
        <w:rPr>
          <w:b/>
          <w:bCs/>
        </w:rPr>
        <w:t xml:space="preserve">Recommendation </w:t>
      </w:r>
      <w:r>
        <w:rPr>
          <w:b/>
          <w:bCs/>
        </w:rPr>
        <w:t>3</w:t>
      </w:r>
      <w:r w:rsidR="00E4278B">
        <w:rPr>
          <w:b/>
          <w:bCs/>
        </w:rPr>
        <w:t>4</w:t>
      </w:r>
    </w:p>
    <w:p w14:paraId="54A4B78C" w14:textId="0D248827" w:rsidR="00A466B6" w:rsidRDefault="00A740E2" w:rsidP="00561BD4">
      <w:pPr>
        <w:pStyle w:val="ListNumber"/>
        <w:numPr>
          <w:ilvl w:val="0"/>
          <w:numId w:val="0"/>
        </w:numPr>
        <w:ind w:left="1134"/>
      </w:pPr>
      <w:r w:rsidRPr="00A740E2">
        <w:t>Proposal 19.3 should be implemented as part of broader work to regulate AI and ADM.  Such regulatory work should ensure human-rights-centred design and deployment of AI and ADM and would benefit from consultation with human-rights focused bodies, such as the Commission.</w:t>
      </w:r>
    </w:p>
    <w:p w14:paraId="386CC9C9" w14:textId="6AC46E15" w:rsidR="00A466B6" w:rsidRPr="0075703A" w:rsidRDefault="00A466B6" w:rsidP="00561BD4">
      <w:pPr>
        <w:pStyle w:val="ListNumber"/>
        <w:numPr>
          <w:ilvl w:val="0"/>
          <w:numId w:val="0"/>
        </w:numPr>
        <w:ind w:left="1134"/>
        <w:rPr>
          <w:b/>
          <w:bCs/>
        </w:rPr>
      </w:pPr>
      <w:r w:rsidRPr="0075703A">
        <w:rPr>
          <w:b/>
          <w:bCs/>
        </w:rPr>
        <w:t xml:space="preserve">Recommendation </w:t>
      </w:r>
      <w:r>
        <w:rPr>
          <w:b/>
          <w:bCs/>
        </w:rPr>
        <w:t>3</w:t>
      </w:r>
      <w:r w:rsidR="00E4278B">
        <w:rPr>
          <w:b/>
          <w:bCs/>
        </w:rPr>
        <w:t>5</w:t>
      </w:r>
    </w:p>
    <w:p w14:paraId="4085E6B5" w14:textId="39B20FB7" w:rsidR="00A466B6" w:rsidRDefault="00F25FC9" w:rsidP="00561BD4">
      <w:pPr>
        <w:pStyle w:val="ListNumber"/>
        <w:numPr>
          <w:ilvl w:val="0"/>
          <w:numId w:val="0"/>
        </w:numPr>
        <w:ind w:left="1134"/>
      </w:pPr>
      <w:r w:rsidRPr="00F25FC9">
        <w:t>Ensure that any statutory tort which is introduced differs from the model proposed in Report 123, in that it should cover intentional, reckless and negligent acts by not specifying a fault element</w:t>
      </w:r>
      <w:r w:rsidR="00500CE4" w:rsidRPr="00500CE4">
        <w:t>.</w:t>
      </w:r>
    </w:p>
    <w:p w14:paraId="00381E4B" w14:textId="3E18AD3C" w:rsidR="00A466B6" w:rsidRPr="0075703A" w:rsidRDefault="00A466B6" w:rsidP="00561BD4">
      <w:pPr>
        <w:pStyle w:val="ListNumber"/>
        <w:numPr>
          <w:ilvl w:val="0"/>
          <w:numId w:val="0"/>
        </w:numPr>
        <w:ind w:left="1134"/>
        <w:rPr>
          <w:b/>
          <w:bCs/>
        </w:rPr>
      </w:pPr>
      <w:r w:rsidRPr="0075703A">
        <w:rPr>
          <w:b/>
          <w:bCs/>
        </w:rPr>
        <w:t xml:space="preserve">Recommendation </w:t>
      </w:r>
      <w:r>
        <w:rPr>
          <w:b/>
          <w:bCs/>
        </w:rPr>
        <w:t>3</w:t>
      </w:r>
      <w:r w:rsidR="00E4278B">
        <w:rPr>
          <w:b/>
          <w:bCs/>
        </w:rPr>
        <w:t>6</w:t>
      </w:r>
    </w:p>
    <w:p w14:paraId="03EEC797" w14:textId="4BFB3F1B" w:rsidR="00A466B6" w:rsidRDefault="00AE0E5D" w:rsidP="00561BD4">
      <w:pPr>
        <w:pStyle w:val="ListNumber"/>
        <w:numPr>
          <w:ilvl w:val="0"/>
          <w:numId w:val="0"/>
        </w:numPr>
        <w:ind w:left="1134"/>
      </w:pPr>
      <w:r w:rsidRPr="00AE0E5D">
        <w:t>Ensure that any statutory tort which is introduced differs from the model proposed in Report 123, in that it should be a non-restrictive and flexible tort which does not confine the tort to intrusions upon seclusion and misuse of private information</w:t>
      </w:r>
      <w:r w:rsidR="00A466B6" w:rsidRPr="005F3F2A">
        <w:t>.</w:t>
      </w:r>
    </w:p>
    <w:p w14:paraId="07591210" w14:textId="77777777" w:rsidR="005F3F2A" w:rsidRDefault="005F3F2A" w:rsidP="00561BD4">
      <w:pPr>
        <w:pStyle w:val="ListNumber"/>
        <w:numPr>
          <w:ilvl w:val="0"/>
          <w:numId w:val="0"/>
        </w:numPr>
      </w:pPr>
    </w:p>
    <w:p w14:paraId="5F83B1D5" w14:textId="7F2FDE52" w:rsidR="00997005" w:rsidRPr="00997005" w:rsidRDefault="00997005" w:rsidP="00561BD4">
      <w:pPr>
        <w:pStyle w:val="ListNumber"/>
        <w:numPr>
          <w:ilvl w:val="0"/>
          <w:numId w:val="0"/>
        </w:numPr>
        <w:ind w:left="360" w:hanging="360"/>
        <w:rPr>
          <w:b/>
          <w:bCs/>
        </w:rPr>
      </w:pPr>
      <w:r w:rsidRPr="00997005">
        <w:rPr>
          <w:b/>
          <w:bCs/>
        </w:rPr>
        <w:t>Endnote</w:t>
      </w:r>
      <w:r w:rsidR="00936059">
        <w:rPr>
          <w:b/>
          <w:bCs/>
        </w:rPr>
        <w:t>s</w:t>
      </w:r>
    </w:p>
    <w:sectPr w:rsidR="00997005" w:rsidRPr="00997005" w:rsidSect="00460EE0">
      <w:headerReference w:type="even" r:id="rId27"/>
      <w:headerReference w:type="default" r:id="rId28"/>
      <w:footerReference w:type="even" r:id="rId29"/>
      <w:footerReference w:type="default" r:id="rId30"/>
      <w:headerReference w:type="first" r:id="rId31"/>
      <w:footerReference w:type="first" r:id="rId32"/>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6A0A" w14:textId="77777777" w:rsidR="003B23F2" w:rsidRDefault="003B23F2" w:rsidP="00F14C6D">
      <w:r>
        <w:separator/>
      </w:r>
    </w:p>
  </w:endnote>
  <w:endnote w:type="continuationSeparator" w:id="0">
    <w:p w14:paraId="0D2DFDFA" w14:textId="77777777" w:rsidR="003B23F2" w:rsidRDefault="003B23F2" w:rsidP="00F14C6D">
      <w:r>
        <w:continuationSeparator/>
      </w:r>
    </w:p>
  </w:endnote>
  <w:endnote w:type="continuationNotice" w:id="1">
    <w:p w14:paraId="7F245442" w14:textId="77777777" w:rsidR="003B23F2" w:rsidRDefault="003B23F2">
      <w:pPr>
        <w:spacing w:before="0" w:after="0"/>
      </w:pPr>
    </w:p>
  </w:endnote>
  <w:endnote w:id="2">
    <w:p w14:paraId="3345F581" w14:textId="17267D25" w:rsidR="009A7369" w:rsidRDefault="009A7369">
      <w:pPr>
        <w:pStyle w:val="EndnoteText"/>
      </w:pPr>
      <w:r>
        <w:rPr>
          <w:rStyle w:val="EndnoteReference"/>
        </w:rPr>
        <w:endnoteRef/>
      </w:r>
      <w:r>
        <w:t xml:space="preserve"> </w:t>
      </w:r>
      <w:r w:rsidR="00FA1080">
        <w:t>Attorney-General’s Department, ‘</w:t>
      </w:r>
      <w:r w:rsidR="00FA1080" w:rsidRPr="007F15D9">
        <w:rPr>
          <w:i/>
          <w:iCs/>
        </w:rPr>
        <w:t>Privacy Act Review</w:t>
      </w:r>
      <w:r w:rsidR="007F15D9">
        <w:t>’ (‘Discussion Paper’) (</w:t>
      </w:r>
      <w:r w:rsidR="00997497">
        <w:t xml:space="preserve">Commonwealth of Australia, </w:t>
      </w:r>
      <w:r w:rsidR="007F15D9">
        <w:t>Discussion Paper, October 2021)</w:t>
      </w:r>
      <w:r w:rsidR="004E2998">
        <w:t xml:space="preserve"> 18-19</w:t>
      </w:r>
      <w:r w:rsidR="007F15D9">
        <w:t>.</w:t>
      </w:r>
    </w:p>
  </w:endnote>
  <w:endnote w:id="3">
    <w:p w14:paraId="6A22CFEC" w14:textId="7CB813AC" w:rsidR="009A7369" w:rsidRDefault="009A7369" w:rsidP="007F15D9">
      <w:pPr>
        <w:pStyle w:val="EndnoteText"/>
      </w:pPr>
      <w:r>
        <w:rPr>
          <w:rStyle w:val="EndnoteReference"/>
        </w:rPr>
        <w:endnoteRef/>
      </w:r>
      <w:r w:rsidR="427D76A9">
        <w:t xml:space="preserve"> </w:t>
      </w:r>
      <w:r w:rsidR="007F15D9">
        <w:t>Attorney-General’s Department</w:t>
      </w:r>
      <w:r w:rsidR="427D76A9">
        <w:t xml:space="preserve">, </w:t>
      </w:r>
      <w:r w:rsidR="007F15D9">
        <w:t>‘</w:t>
      </w:r>
      <w:r w:rsidR="427D76A9" w:rsidRPr="427D76A9">
        <w:rPr>
          <w:i/>
          <w:iCs/>
        </w:rPr>
        <w:t>Privacy Act Review</w:t>
      </w:r>
      <w:r w:rsidR="00686DCE">
        <w:rPr>
          <w:i/>
          <w:iCs/>
        </w:rPr>
        <w:t xml:space="preserve"> Report 2022</w:t>
      </w:r>
      <w:r w:rsidR="00686DCE">
        <w:t>’ (‘Review Report’) (</w:t>
      </w:r>
      <w:r w:rsidR="00997497">
        <w:t xml:space="preserve">Commonwealth of Australia, </w:t>
      </w:r>
      <w:r w:rsidR="00686DCE">
        <w:t xml:space="preserve">Report, </w:t>
      </w:r>
      <w:r w:rsidR="00EC6978">
        <w:t>February 2023)</w:t>
      </w:r>
      <w:r w:rsidR="00105A16">
        <w:t xml:space="preserve"> 21-22 [3.4].</w:t>
      </w:r>
    </w:p>
  </w:endnote>
  <w:endnote w:id="4">
    <w:p w14:paraId="2AE20EAE" w14:textId="1BEF84BE" w:rsidR="000C198D" w:rsidRDefault="000C198D" w:rsidP="000C198D">
      <w:pPr>
        <w:pStyle w:val="EndnoteText"/>
      </w:pPr>
      <w:r>
        <w:rPr>
          <w:rStyle w:val="EndnoteReference"/>
        </w:rPr>
        <w:endnoteRef/>
      </w:r>
      <w:r w:rsidR="427D76A9">
        <w:t xml:space="preserve"> </w:t>
      </w:r>
      <w:r w:rsidR="00AF2F7E">
        <w:t>Attorney-General’s Department, Review Report (Commonwealth of Australia, Report, February 2023) 21-22 [3.4]</w:t>
      </w:r>
      <w:r w:rsidR="00105A16">
        <w:t>.</w:t>
      </w:r>
    </w:p>
  </w:endnote>
  <w:endnote w:id="5">
    <w:p w14:paraId="5D2D6D6D" w14:textId="5E8179B5" w:rsidR="00DF3154" w:rsidRDefault="00DF3154">
      <w:pPr>
        <w:pStyle w:val="EndnoteText"/>
      </w:pPr>
      <w:r>
        <w:rPr>
          <w:rStyle w:val="EndnoteReference"/>
        </w:rPr>
        <w:endnoteRef/>
      </w:r>
      <w:r>
        <w:t xml:space="preserve"> </w:t>
      </w:r>
      <w:r w:rsidR="00AF2F7E">
        <w:t>Attorney-General’s Department, Review Report (Commonwealth of Australia, Report, February 2023) 21-22 [3.4]</w:t>
      </w:r>
      <w:r w:rsidR="00105A16">
        <w:t xml:space="preserve">. </w:t>
      </w:r>
    </w:p>
  </w:endnote>
  <w:endnote w:id="6">
    <w:p w14:paraId="6B47BA91" w14:textId="08C98339" w:rsidR="00F91D5E" w:rsidRDefault="00F91D5E">
      <w:pPr>
        <w:pStyle w:val="EndnoteText"/>
      </w:pPr>
      <w:r>
        <w:rPr>
          <w:rStyle w:val="EndnoteReference"/>
        </w:rPr>
        <w:endnoteRef/>
      </w:r>
      <w:r>
        <w:t xml:space="preserve"> </w:t>
      </w:r>
      <w:r w:rsidR="00E35EFD" w:rsidRPr="00E35EFD">
        <w:t xml:space="preserve">Attorney-General’s Department, </w:t>
      </w:r>
      <w:r w:rsidR="00E35EFD">
        <w:t xml:space="preserve">Discussion Paper </w:t>
      </w:r>
      <w:r w:rsidR="00E35EFD" w:rsidRPr="00E35EFD">
        <w:t>(Commonwealth of Australia, Discussion Paper, October</w:t>
      </w:r>
      <w:r w:rsidR="00E35EFD">
        <w:t>)</w:t>
      </w:r>
      <w:r>
        <w:t xml:space="preserve"> 20</w:t>
      </w:r>
      <w:r w:rsidR="00105A16">
        <w:t>.</w:t>
      </w:r>
    </w:p>
  </w:endnote>
  <w:endnote w:id="7">
    <w:p w14:paraId="3DCC64D7" w14:textId="27BC12D9" w:rsidR="00181687" w:rsidRDefault="00181687" w:rsidP="00181687">
      <w:pPr>
        <w:pStyle w:val="EndnoteText"/>
      </w:pPr>
      <w:r>
        <w:rPr>
          <w:rStyle w:val="EndnoteReference"/>
        </w:rPr>
        <w:endnoteRef/>
      </w:r>
      <w:r>
        <w:t xml:space="preserve"> </w:t>
      </w:r>
      <w:r w:rsidR="00AF2F7E" w:rsidRPr="00AF2F7E">
        <w:t xml:space="preserve">Attorney-General’s Department, Review Report (Commonwealth of Australia, Report, February 2023) </w:t>
      </w:r>
      <w:r w:rsidR="00105A16">
        <w:t>21-22 [3.4].</w:t>
      </w:r>
    </w:p>
  </w:endnote>
  <w:endnote w:id="8">
    <w:p w14:paraId="584A03BD" w14:textId="3D255BC3" w:rsidR="00A27130" w:rsidRDefault="00A27130" w:rsidP="0031623D">
      <w:pPr>
        <w:pStyle w:val="EndnoteText"/>
      </w:pPr>
      <w:r>
        <w:rPr>
          <w:rStyle w:val="EndnoteReference"/>
        </w:rPr>
        <w:endnoteRef/>
      </w:r>
      <w:r>
        <w:t xml:space="preserve"> See e.g. </w:t>
      </w:r>
      <w:r w:rsidR="0031623D">
        <w:t>Submission to the Discussion Paper: Digital Rights Watch 2</w:t>
      </w:r>
      <w:r w:rsidR="00442340">
        <w:t xml:space="preserve"> &amp; </w:t>
      </w:r>
      <w:r w:rsidR="0031623D">
        <w:t>5; Australian Privacy Foundation 2-3; Lived Experience Australia 3; NSW Council for Civil Liberties 4</w:t>
      </w:r>
      <w:r w:rsidR="00442340">
        <w:t>.</w:t>
      </w:r>
    </w:p>
  </w:endnote>
  <w:endnote w:id="9">
    <w:p w14:paraId="436A719C" w14:textId="1D269D9C" w:rsidR="0091186C" w:rsidRPr="003426B1" w:rsidRDefault="0091186C">
      <w:pPr>
        <w:pStyle w:val="EndnoteText"/>
        <w:rPr>
          <w:iCs/>
          <w:lang w:val="en-US"/>
        </w:rPr>
      </w:pPr>
      <w:r>
        <w:rPr>
          <w:rStyle w:val="EndnoteReference"/>
        </w:rPr>
        <w:endnoteRef/>
      </w:r>
      <w:r>
        <w:t xml:space="preserve"> </w:t>
      </w:r>
      <w:r>
        <w:rPr>
          <w:lang w:val="en-US"/>
        </w:rPr>
        <w:t xml:space="preserve">See </w:t>
      </w:r>
      <w:r>
        <w:rPr>
          <w:i/>
          <w:iCs/>
          <w:lang w:val="en-US"/>
        </w:rPr>
        <w:t xml:space="preserve">Universal Declaration of Human Rights, </w:t>
      </w:r>
      <w:r>
        <w:rPr>
          <w:lang w:val="en-US"/>
        </w:rPr>
        <w:t xml:space="preserve">article 12; </w:t>
      </w:r>
      <w:r>
        <w:rPr>
          <w:i/>
          <w:iCs/>
          <w:lang w:val="en-US"/>
        </w:rPr>
        <w:t xml:space="preserve">Convention on the Rights of the Child, </w:t>
      </w:r>
      <w:r>
        <w:rPr>
          <w:lang w:val="en-US"/>
        </w:rPr>
        <w:t>article 16</w:t>
      </w:r>
      <w:r>
        <w:rPr>
          <w:iCs/>
          <w:lang w:val="en-US"/>
        </w:rPr>
        <w:t>.</w:t>
      </w:r>
    </w:p>
  </w:endnote>
  <w:endnote w:id="10">
    <w:p w14:paraId="14C8DAA2" w14:textId="5A6AC712" w:rsidR="005374CD" w:rsidRPr="00B80751" w:rsidRDefault="005374CD" w:rsidP="00B80751">
      <w:pPr>
        <w:pStyle w:val="EndnoteText"/>
      </w:pPr>
      <w:r>
        <w:rPr>
          <w:rStyle w:val="EndnoteReference"/>
        </w:rPr>
        <w:endnoteRef/>
      </w:r>
      <w:r w:rsidR="427D76A9">
        <w:t xml:space="preserve"> </w:t>
      </w:r>
      <w:r w:rsidR="008F2299">
        <w:t>‘</w:t>
      </w:r>
      <w:r w:rsidR="008F2299" w:rsidRPr="008F2299">
        <w:t>Derogations during a state emergency</w:t>
      </w:r>
      <w:r w:rsidR="008F2299">
        <w:t xml:space="preserve">’ Article 4(2) in </w:t>
      </w:r>
      <w:r w:rsidR="00442340" w:rsidRPr="00B80751">
        <w:rPr>
          <w:i/>
          <w:iCs/>
        </w:rPr>
        <w:t>International Covenant on Civil and Political Rights</w:t>
      </w:r>
      <w:r w:rsidR="008F2299">
        <w:t xml:space="preserve"> (United Nations, </w:t>
      </w:r>
      <w:r w:rsidR="00B80751">
        <w:t>Treaty Series vol. 999, 16 December 1966).</w:t>
      </w:r>
      <w:r w:rsidR="009430DE">
        <w:t xml:space="preserve"> </w:t>
      </w:r>
      <w:r w:rsidR="00442340">
        <w:rPr>
          <w:sz w:val="18"/>
          <w:szCs w:val="18"/>
        </w:rPr>
        <w:t xml:space="preserve"> </w:t>
      </w:r>
    </w:p>
  </w:endnote>
  <w:endnote w:id="11">
    <w:p w14:paraId="1A43C277" w14:textId="5520EE84" w:rsidR="00B519BD" w:rsidRDefault="00B519BD" w:rsidP="00B519BD">
      <w:pPr>
        <w:pStyle w:val="EndnoteText"/>
      </w:pPr>
      <w:r>
        <w:rPr>
          <w:rStyle w:val="EndnoteReference"/>
        </w:rPr>
        <w:endnoteRef/>
      </w:r>
      <w:r>
        <w:t xml:space="preserve"> </w:t>
      </w:r>
      <w:r w:rsidR="009F0AB2">
        <w:t>Australian Human Rights Commission</w:t>
      </w:r>
      <w:r w:rsidR="00E61149">
        <w:t xml:space="preserve"> (‘AHRC’)</w:t>
      </w:r>
      <w:r w:rsidR="009F0AB2">
        <w:t>, ‘</w:t>
      </w:r>
      <w:r w:rsidR="009F0AB2" w:rsidRPr="00B7252C">
        <w:rPr>
          <w:i/>
          <w:iCs/>
        </w:rPr>
        <w:t>Free &amp; Equal</w:t>
      </w:r>
      <w:r w:rsidR="00B7252C" w:rsidRPr="00B7252C">
        <w:rPr>
          <w:i/>
          <w:iCs/>
        </w:rPr>
        <w:t xml:space="preserve"> </w:t>
      </w:r>
      <w:r w:rsidRPr="00B7252C">
        <w:rPr>
          <w:i/>
          <w:iCs/>
        </w:rPr>
        <w:t>Position Paper: A Human Rights Act for Australia</w:t>
      </w:r>
      <w:r w:rsidR="00B7252C">
        <w:t xml:space="preserve">’ (‘Position Paper’) (Position Paper, March 2023) </w:t>
      </w:r>
      <w:r>
        <w:t>46</w:t>
      </w:r>
      <w:r w:rsidR="00B7252C">
        <w:t>.</w:t>
      </w:r>
    </w:p>
  </w:endnote>
  <w:endnote w:id="12">
    <w:p w14:paraId="0A863506" w14:textId="194B7767" w:rsidR="00B814F5" w:rsidRDefault="00B814F5" w:rsidP="00B814F5">
      <w:pPr>
        <w:pStyle w:val="EndnoteText"/>
      </w:pPr>
      <w:r>
        <w:rPr>
          <w:rStyle w:val="EndnoteReference"/>
        </w:rPr>
        <w:endnoteRef/>
      </w:r>
      <w:r>
        <w:t xml:space="preserve"> Office of the Australian Information Commissioner</w:t>
      </w:r>
      <w:r w:rsidR="00560118">
        <w:t xml:space="preserve"> (‘OAIC’)</w:t>
      </w:r>
      <w:r>
        <w:t>, ’</w:t>
      </w:r>
      <w:r w:rsidRPr="427D76A9">
        <w:rPr>
          <w:i/>
          <w:iCs/>
        </w:rPr>
        <w:t>What is Privacy?‘</w:t>
      </w:r>
      <w:r w:rsidR="00F03D09">
        <w:rPr>
          <w:i/>
          <w:iCs/>
        </w:rPr>
        <w:t xml:space="preserve"> </w:t>
      </w:r>
      <w:hyperlink r:id="rId1" w:history="1">
        <w:r w:rsidR="004F3775" w:rsidRPr="00686642">
          <w:rPr>
            <w:rStyle w:val="Hyperlink"/>
            <w:i/>
            <w:iCs/>
          </w:rPr>
          <w:t>https://www.oaic.gov.au/privacy/your-privacy-rights/what-is-privacy</w:t>
        </w:r>
      </w:hyperlink>
      <w:r w:rsidR="00F03D09">
        <w:rPr>
          <w:i/>
          <w:iCs/>
        </w:rPr>
        <w:t>.</w:t>
      </w:r>
      <w:r w:rsidRPr="427D76A9">
        <w:rPr>
          <w:i/>
          <w:iCs/>
        </w:rPr>
        <w:t xml:space="preserve"> </w:t>
      </w:r>
      <w:r w:rsidRPr="427D76A9">
        <w:t xml:space="preserve"> </w:t>
      </w:r>
    </w:p>
  </w:endnote>
  <w:endnote w:id="13">
    <w:p w14:paraId="280A3603" w14:textId="2ECA9339" w:rsidR="00B814F5" w:rsidRPr="00E5581A" w:rsidRDefault="00B814F5" w:rsidP="00B814F5">
      <w:pPr>
        <w:pStyle w:val="EndnoteText"/>
        <w:rPr>
          <w:color w:val="181818"/>
          <w:sz w:val="18"/>
          <w:szCs w:val="18"/>
        </w:rPr>
      </w:pPr>
      <w:r>
        <w:rPr>
          <w:rStyle w:val="EndnoteReference"/>
        </w:rPr>
        <w:endnoteRef/>
      </w:r>
      <w:r>
        <w:t xml:space="preserve"> </w:t>
      </w:r>
      <w:r w:rsidR="00F03D09">
        <w:t xml:space="preserve">See generally </w:t>
      </w:r>
      <w:r w:rsidRPr="00F03D09">
        <w:rPr>
          <w:color w:val="181818"/>
        </w:rPr>
        <w:t xml:space="preserve">Zuboff, Shoshana, </w:t>
      </w:r>
      <w:r w:rsidR="00F03D09">
        <w:rPr>
          <w:color w:val="181818"/>
        </w:rPr>
        <w:t>‘</w:t>
      </w:r>
      <w:r w:rsidRPr="00F03D09">
        <w:rPr>
          <w:i/>
          <w:iCs/>
          <w:color w:val="181818"/>
        </w:rPr>
        <w:t>The Age of Surveillance Capitalism: The Fight for a Human Future at the New Frontier</w:t>
      </w:r>
      <w:r w:rsidR="00F03D09">
        <w:rPr>
          <w:color w:val="181818"/>
        </w:rPr>
        <w:t>’</w:t>
      </w:r>
      <w:r w:rsidRPr="00F03D09">
        <w:rPr>
          <w:color w:val="181818"/>
        </w:rPr>
        <w:t xml:space="preserve"> </w:t>
      </w:r>
      <w:r w:rsidR="00F03D09">
        <w:rPr>
          <w:color w:val="181818"/>
        </w:rPr>
        <w:t>(</w:t>
      </w:r>
      <w:r w:rsidRPr="00F03D09">
        <w:rPr>
          <w:color w:val="181818"/>
        </w:rPr>
        <w:t>New York: Public</w:t>
      </w:r>
      <w:r w:rsidR="00F03D09">
        <w:rPr>
          <w:color w:val="181818"/>
        </w:rPr>
        <w:t xml:space="preserve"> </w:t>
      </w:r>
      <w:r w:rsidRPr="00F03D09">
        <w:rPr>
          <w:color w:val="181818"/>
        </w:rPr>
        <w:t>Affairs, 2019</w:t>
      </w:r>
      <w:r w:rsidR="00F03D09">
        <w:rPr>
          <w:color w:val="181818"/>
        </w:rPr>
        <w:t>)</w:t>
      </w:r>
      <w:r w:rsidRPr="00F03D09">
        <w:rPr>
          <w:color w:val="181818"/>
        </w:rPr>
        <w:t>;</w:t>
      </w:r>
      <w:r w:rsidR="00F03D09">
        <w:rPr>
          <w:color w:val="181818"/>
        </w:rPr>
        <w:t xml:space="preserve"> see also Toby</w:t>
      </w:r>
      <w:r w:rsidRPr="00F03D09">
        <w:rPr>
          <w:color w:val="181818"/>
        </w:rPr>
        <w:t xml:space="preserve"> Walsh, </w:t>
      </w:r>
      <w:r w:rsidR="00F03D09">
        <w:rPr>
          <w:color w:val="181818"/>
        </w:rPr>
        <w:t>‘</w:t>
      </w:r>
      <w:r w:rsidR="00F03D09" w:rsidRPr="00F03D09">
        <w:rPr>
          <w:i/>
          <w:iCs/>
          <w:color w:val="181818"/>
        </w:rPr>
        <w:t>Ma</w:t>
      </w:r>
      <w:r w:rsidRPr="00F03D09">
        <w:rPr>
          <w:i/>
          <w:iCs/>
          <w:color w:val="181818"/>
        </w:rPr>
        <w:t>chines Behaving Badly: The Morality of AI</w:t>
      </w:r>
      <w:r w:rsidR="00F03D09">
        <w:rPr>
          <w:color w:val="181818"/>
        </w:rPr>
        <w:t>’</w:t>
      </w:r>
      <w:r w:rsidRPr="00F03D09">
        <w:rPr>
          <w:color w:val="181818"/>
        </w:rPr>
        <w:t xml:space="preserve"> </w:t>
      </w:r>
      <w:r w:rsidR="00F03D09">
        <w:rPr>
          <w:color w:val="181818"/>
        </w:rPr>
        <w:t>(</w:t>
      </w:r>
      <w:r w:rsidRPr="00F03D09">
        <w:rPr>
          <w:color w:val="181818"/>
        </w:rPr>
        <w:t>Black Inc, Melbourne, 2022</w:t>
      </w:r>
      <w:r w:rsidR="00F03D09">
        <w:rPr>
          <w:color w:val="181818"/>
        </w:rPr>
        <w:t>)</w:t>
      </w:r>
      <w:r w:rsidRPr="00F03D09">
        <w:rPr>
          <w:color w:val="181818"/>
        </w:rPr>
        <w:t>.</w:t>
      </w:r>
    </w:p>
  </w:endnote>
  <w:endnote w:id="14">
    <w:p w14:paraId="59D25277" w14:textId="06844C8D" w:rsidR="007C5257" w:rsidRDefault="007C5257" w:rsidP="007C5257">
      <w:pPr>
        <w:pStyle w:val="EndnoteText"/>
        <w:rPr>
          <w:highlight w:val="green"/>
        </w:rPr>
      </w:pPr>
      <w:r w:rsidRPr="008748E3">
        <w:rPr>
          <w:rStyle w:val="EndnoteReference"/>
        </w:rPr>
        <w:endnoteRef/>
      </w:r>
      <w:r w:rsidRPr="008748E3">
        <w:t xml:space="preserve"> </w:t>
      </w:r>
      <w:r w:rsidR="008748E3" w:rsidRPr="008748E3">
        <w:t xml:space="preserve">Jacob Kastrenakes, ‘Google's chief internet evangelist says 'privacy may actually be an anomaly'’ The Verge (online, 21 November 2013) </w:t>
      </w:r>
      <w:hyperlink r:id="rId2" w:history="1">
        <w:r w:rsidR="004F3775" w:rsidRPr="00686642">
          <w:rPr>
            <w:rStyle w:val="Hyperlink"/>
          </w:rPr>
          <w:t>https://www.theverge.com/2013/11/20/5125922/vint-cerf-google-internet-evangelist-says-privacy-may-be-anomaly</w:t>
        </w:r>
      </w:hyperlink>
      <w:r w:rsidR="008748E3" w:rsidRPr="008748E3">
        <w:t>.</w:t>
      </w:r>
    </w:p>
  </w:endnote>
  <w:endnote w:id="15">
    <w:p w14:paraId="73410F8A" w14:textId="59F46F2D" w:rsidR="001E6F7A" w:rsidRDefault="001E6F7A">
      <w:pPr>
        <w:pStyle w:val="EndnoteText"/>
      </w:pPr>
      <w:r>
        <w:rPr>
          <w:rStyle w:val="EndnoteReference"/>
        </w:rPr>
        <w:endnoteRef/>
      </w:r>
      <w:r>
        <w:t xml:space="preserve"> </w:t>
      </w:r>
      <w:r w:rsidR="00AF2F7E" w:rsidRPr="00AF2F7E">
        <w:t xml:space="preserve">Attorney-General’s Department, Review Report (Commonwealth of Australia, Report, February 2023) </w:t>
      </w:r>
      <w:r>
        <w:t>22</w:t>
      </w:r>
      <w:r w:rsidR="00CF4821">
        <w:t>.</w:t>
      </w:r>
    </w:p>
  </w:endnote>
  <w:endnote w:id="16">
    <w:p w14:paraId="41F6FEB0" w14:textId="7DF41BB4" w:rsidR="0022672B" w:rsidRDefault="0022672B">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 </w:t>
      </w:r>
      <w:r>
        <w:t>111 &amp; 347</w:t>
      </w:r>
      <w:r w:rsidR="004D5601">
        <w:t>.</w:t>
      </w:r>
    </w:p>
  </w:endnote>
  <w:endnote w:id="17">
    <w:p w14:paraId="6356D5B6" w14:textId="3E88DC15" w:rsidR="00734BB4" w:rsidRDefault="00734BB4" w:rsidP="00734BB4">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 </w:t>
      </w:r>
      <w:r>
        <w:t>139</w:t>
      </w:r>
      <w:r w:rsidR="004D5601">
        <w:t>.</w:t>
      </w:r>
    </w:p>
  </w:endnote>
  <w:endnote w:id="18">
    <w:p w14:paraId="4443C35B" w14:textId="15A9834A" w:rsidR="006A7BB9" w:rsidRDefault="006A7BB9" w:rsidP="006A7BB9">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w:t>
      </w:r>
      <w:r w:rsidR="004D5601">
        <w:t>.</w:t>
      </w:r>
    </w:p>
  </w:endnote>
  <w:endnote w:id="19">
    <w:p w14:paraId="75912E69" w14:textId="602AD0DA" w:rsidR="00183447" w:rsidRDefault="00183447" w:rsidP="00183447">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 </w:t>
      </w:r>
      <w:r>
        <w:t>20</w:t>
      </w:r>
      <w:r w:rsidR="004D5601">
        <w:t>.</w:t>
      </w:r>
    </w:p>
  </w:endnote>
  <w:endnote w:id="20">
    <w:p w14:paraId="7A63089B" w14:textId="095A8DC1" w:rsidR="00205DFB" w:rsidRDefault="00205DFB" w:rsidP="00205DFB">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 </w:t>
      </w:r>
      <w:r>
        <w:t>23</w:t>
      </w:r>
      <w:r w:rsidR="004D5601">
        <w:t>.</w:t>
      </w:r>
    </w:p>
  </w:endnote>
  <w:endnote w:id="21">
    <w:p w14:paraId="10A1234E" w14:textId="397CC078" w:rsidR="008E715C" w:rsidRPr="003426B1" w:rsidRDefault="008E715C">
      <w:pPr>
        <w:pStyle w:val="EndnoteText"/>
        <w:rPr>
          <w:lang w:val="en-US"/>
        </w:rPr>
      </w:pPr>
      <w:r>
        <w:rPr>
          <w:rStyle w:val="EndnoteReference"/>
        </w:rPr>
        <w:endnoteRef/>
      </w:r>
      <w:r>
        <w:t xml:space="preserve"> </w:t>
      </w:r>
      <w:r w:rsidR="005A7B9C">
        <w:rPr>
          <w:i/>
          <w:iCs/>
        </w:rPr>
        <w:t xml:space="preserve">Momcilovic v The Queen </w:t>
      </w:r>
      <w:r w:rsidR="005A7B9C">
        <w:t xml:space="preserve">(2011) 245 CLR 1, </w:t>
      </w:r>
      <w:r w:rsidR="00B73B1B">
        <w:t>[43] (French CJ).</w:t>
      </w:r>
    </w:p>
  </w:endnote>
  <w:endnote w:id="22">
    <w:p w14:paraId="1BC43A25" w14:textId="0EE249F1" w:rsidR="00694AD3" w:rsidRDefault="00694AD3">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 </w:t>
      </w:r>
      <w:r>
        <w:t>111 &amp; 347</w:t>
      </w:r>
      <w:r w:rsidR="004D5601">
        <w:t>.</w:t>
      </w:r>
    </w:p>
  </w:endnote>
  <w:endnote w:id="23">
    <w:p w14:paraId="078535F3" w14:textId="70ED2163" w:rsidR="00DA06B5" w:rsidRDefault="00DA06B5">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 </w:t>
      </w:r>
      <w:r>
        <w:t>347</w:t>
      </w:r>
      <w:r w:rsidR="004D5601">
        <w:t>.</w:t>
      </w:r>
    </w:p>
  </w:endnote>
  <w:endnote w:id="24">
    <w:p w14:paraId="7D568599" w14:textId="6C63D9B3" w:rsidR="001422F3" w:rsidRDefault="001422F3">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w:t>
      </w:r>
      <w:r w:rsidR="004D5601">
        <w:t>.</w:t>
      </w:r>
    </w:p>
  </w:endnote>
  <w:endnote w:id="25">
    <w:p w14:paraId="4B09FA67" w14:textId="1785B31F" w:rsidR="00ED40CF" w:rsidRDefault="00ED40CF" w:rsidP="00ED40CF">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 </w:t>
      </w:r>
      <w:r>
        <w:t>308</w:t>
      </w:r>
      <w:r w:rsidR="004D5601">
        <w:t>;</w:t>
      </w:r>
      <w:r>
        <w:t xml:space="preserve"> </w:t>
      </w:r>
      <w:r w:rsidR="007706CE">
        <w:t>Parliament Joint Committee on Human Rights, ‘</w:t>
      </w:r>
      <w:r w:rsidR="007706CE" w:rsidRPr="00997497">
        <w:rPr>
          <w:i/>
          <w:iCs/>
        </w:rPr>
        <w:t>Annual Report 2020</w:t>
      </w:r>
      <w:r w:rsidR="007706CE">
        <w:t>’ (</w:t>
      </w:r>
      <w:r w:rsidR="00072596">
        <w:t>Commonwealth of Australia</w:t>
      </w:r>
      <w:r w:rsidR="007706CE">
        <w:t xml:space="preserve">, Report, 13 May 2021) </w:t>
      </w:r>
      <w:r w:rsidR="00044732">
        <w:t xml:space="preserve">16 </w:t>
      </w:r>
      <w:r>
        <w:t>Figure 3.1</w:t>
      </w:r>
      <w:r w:rsidR="00044732">
        <w:t>.</w:t>
      </w:r>
    </w:p>
  </w:endnote>
  <w:endnote w:id="26">
    <w:p w14:paraId="711A7560" w14:textId="273B003F" w:rsidR="00680666" w:rsidRDefault="00680666">
      <w:pPr>
        <w:pStyle w:val="EndnoteText"/>
      </w:pPr>
      <w:r>
        <w:rPr>
          <w:rStyle w:val="EndnoteReference"/>
        </w:rPr>
        <w:endnoteRef/>
      </w:r>
      <w:r>
        <w:t xml:space="preserve"> </w:t>
      </w:r>
      <w:r w:rsidR="00072596">
        <w:t>Parliament Joint Committee on Human Rights, ‘</w:t>
      </w:r>
      <w:r w:rsidR="00072596" w:rsidRPr="00997497">
        <w:rPr>
          <w:i/>
          <w:iCs/>
        </w:rPr>
        <w:t>Annual Report 202</w:t>
      </w:r>
      <w:r w:rsidR="00072596">
        <w:rPr>
          <w:i/>
          <w:iCs/>
        </w:rPr>
        <w:t>1</w:t>
      </w:r>
      <w:r w:rsidR="00072596">
        <w:t xml:space="preserve">’ (Commonwealth of Australia, Report, </w:t>
      </w:r>
      <w:r w:rsidR="00A04888">
        <w:t>28 September 2022</w:t>
      </w:r>
      <w:r w:rsidR="00072596">
        <w:t xml:space="preserve">) </w:t>
      </w:r>
      <w:r w:rsidR="0043309D">
        <w:t>15</w:t>
      </w:r>
      <w:r w:rsidR="00A04888">
        <w:t>.</w:t>
      </w:r>
    </w:p>
  </w:endnote>
  <w:endnote w:id="27">
    <w:p w14:paraId="6A163042" w14:textId="3F08376D" w:rsidR="00D305A8" w:rsidRDefault="00D305A8" w:rsidP="00D305A8">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 </w:t>
      </w:r>
      <w:r>
        <w:t>309</w:t>
      </w:r>
      <w:r w:rsidR="00AC3A7B">
        <w:t>.</w:t>
      </w:r>
    </w:p>
  </w:endnote>
  <w:endnote w:id="28">
    <w:p w14:paraId="2A09EC55" w14:textId="5F782B1A" w:rsidR="002541FC" w:rsidRDefault="002541FC">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 </w:t>
      </w:r>
      <w:r w:rsidR="006E3A48">
        <w:t xml:space="preserve">56 citing </w:t>
      </w:r>
      <w:r w:rsidR="00483830">
        <w:t xml:space="preserve">Elise Scott, ‘Senate passes controversial metadata laws’ </w:t>
      </w:r>
      <w:r w:rsidR="00483830" w:rsidRPr="00AC3A7B">
        <w:rPr>
          <w:i/>
          <w:iCs/>
        </w:rPr>
        <w:t>Sydney Morning Herald</w:t>
      </w:r>
      <w:r w:rsidR="00483830">
        <w:t xml:space="preserve"> (Online</w:t>
      </w:r>
      <w:r w:rsidR="00AC3A7B">
        <w:t>,</w:t>
      </w:r>
      <w:r w:rsidR="00483830">
        <w:t xml:space="preserve"> 27 March 2015</w:t>
      </w:r>
      <w:r w:rsidR="00AC3A7B">
        <w:t>)</w:t>
      </w:r>
      <w:r w:rsidR="00483830">
        <w:t xml:space="preserve"> </w:t>
      </w:r>
      <w:hyperlink r:id="rId3" w:history="1">
        <w:r w:rsidR="004F3775" w:rsidRPr="00686642">
          <w:rPr>
            <w:rStyle w:val="Hyperlink"/>
          </w:rPr>
          <w:t>https://www.smh.com.au/politics/federal/senate-passes-controversial-metadata-laws-20150326-1m8q3v.html</w:t>
        </w:r>
      </w:hyperlink>
      <w:r w:rsidR="00483830">
        <w:t>.</w:t>
      </w:r>
      <w:r w:rsidR="00E531EF">
        <w:t xml:space="preserve">; see also </w:t>
      </w:r>
      <w:r w:rsidR="00C46F5E">
        <w:t>See e</w:t>
      </w:r>
      <w:r w:rsidR="00AC3A7B">
        <w:t>.</w:t>
      </w:r>
      <w:r w:rsidR="00C46F5E">
        <w:t>g</w:t>
      </w:r>
      <w:r w:rsidR="00AC3A7B">
        <w:t>.</w:t>
      </w:r>
      <w:r w:rsidR="00C46F5E">
        <w:t xml:space="preserve"> discussion in Parliamentary Joint Committee on Human Rights, </w:t>
      </w:r>
      <w:r w:rsidR="00C46F5E" w:rsidRPr="00AC3A7B">
        <w:rPr>
          <w:i/>
          <w:iCs/>
        </w:rPr>
        <w:t>Human Rights Scrutiny Report: Twentieth report of the 44th Parliament</w:t>
      </w:r>
      <w:r w:rsidR="00C46F5E">
        <w:t xml:space="preserve"> (March 2015) 39–75</w:t>
      </w:r>
      <w:r w:rsidR="00AC3A7B">
        <w:t>;</w:t>
      </w:r>
      <w:r w:rsidR="00C46F5E">
        <w:t xml:space="preserve"> Australian Human Rights Commission submission to the Parliamentary Joint Committee on Human Rights, </w:t>
      </w:r>
      <w:r w:rsidR="00C46F5E" w:rsidRPr="00AC3A7B">
        <w:rPr>
          <w:i/>
          <w:iCs/>
        </w:rPr>
        <w:t>Review of the mandatory data retention regime</w:t>
      </w:r>
      <w:r w:rsidR="00C46F5E">
        <w:t xml:space="preserve"> (July 2019) </w:t>
      </w:r>
      <w:hyperlink r:id="rId4" w:history="1">
        <w:r w:rsidR="004F3775" w:rsidRPr="00686642">
          <w:rPr>
            <w:rStyle w:val="Hyperlink"/>
          </w:rPr>
          <w:t>https://humanrights.gov.au/our-work/legal/submission/review-mandatory-data-retention-regime-2019</w:t>
        </w:r>
      </w:hyperlink>
      <w:r w:rsidR="00C46F5E">
        <w:t>.</w:t>
      </w:r>
    </w:p>
  </w:endnote>
  <w:endnote w:id="29">
    <w:p w14:paraId="0900C34A" w14:textId="52CF9B93" w:rsidR="00BA3766" w:rsidRDefault="00BA3766">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 </w:t>
      </w:r>
      <w:r w:rsidR="00E61149">
        <w:t xml:space="preserve">56 </w:t>
      </w:r>
      <w:r w:rsidR="00C21CB0">
        <w:t xml:space="preserve">citing </w:t>
      </w:r>
      <w:r w:rsidR="001D5231">
        <w:t>see e.g.</w:t>
      </w:r>
      <w:r w:rsidR="008D06C2">
        <w:t xml:space="preserve"> </w:t>
      </w:r>
      <w:r w:rsidR="008D06C2" w:rsidRPr="001D5231">
        <w:rPr>
          <w:i/>
          <w:iCs/>
        </w:rPr>
        <w:t>Surveillance Legislation Amendment (Identify and Disrupt) Act 2021</w:t>
      </w:r>
      <w:r w:rsidR="008D06C2">
        <w:t xml:space="preserve"> (Cth);</w:t>
      </w:r>
      <w:r w:rsidR="00C21CB0">
        <w:t xml:space="preserve"> </w:t>
      </w:r>
      <w:r w:rsidR="008D06C2" w:rsidRPr="001D5231">
        <w:rPr>
          <w:i/>
          <w:iCs/>
        </w:rPr>
        <w:t>Telecommunications Legislation Amendment (International Production Orders) Act 2020</w:t>
      </w:r>
      <w:r w:rsidR="008D06C2">
        <w:t xml:space="preserve"> (Cth); </w:t>
      </w:r>
      <w:r w:rsidR="008D06C2" w:rsidRPr="001D5231">
        <w:rPr>
          <w:i/>
          <w:iCs/>
        </w:rPr>
        <w:t>Telecommunications and Other Legislation Amendment (Assistance and Access) Act 2018</w:t>
      </w:r>
      <w:r w:rsidR="008D06C2">
        <w:t xml:space="preserve"> (Cth).</w:t>
      </w:r>
    </w:p>
  </w:endnote>
  <w:endnote w:id="30">
    <w:p w14:paraId="6C16DC86" w14:textId="589DCB84" w:rsidR="00E93B98" w:rsidRDefault="00E93B98">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 </w:t>
      </w:r>
      <w:r w:rsidR="00E61149">
        <w:t xml:space="preserve">56 </w:t>
      </w:r>
      <w:r w:rsidR="00C21CB0">
        <w:t>citing</w:t>
      </w:r>
      <w:r w:rsidR="009B6832">
        <w:t xml:space="preserve"> see e</w:t>
      </w:r>
      <w:r w:rsidR="00C21CB0">
        <w:t>.</w:t>
      </w:r>
      <w:r w:rsidR="009B6832">
        <w:t>g</w:t>
      </w:r>
      <w:r w:rsidR="00C21CB0">
        <w:t>.</w:t>
      </w:r>
      <w:r w:rsidR="009B6832">
        <w:t xml:space="preserve"> </w:t>
      </w:r>
      <w:r w:rsidR="00107B69">
        <w:t xml:space="preserve">Parliamentary Joint Committee on Intelligence and Security, </w:t>
      </w:r>
      <w:r w:rsidR="00C21CB0">
        <w:t>‘</w:t>
      </w:r>
      <w:r w:rsidR="00107B69" w:rsidRPr="00C21CB0">
        <w:rPr>
          <w:i/>
          <w:iCs/>
        </w:rPr>
        <w:t>Review of the mandatory data retention regime</w:t>
      </w:r>
      <w:r w:rsidR="00C21CB0">
        <w:t>’</w:t>
      </w:r>
      <w:r w:rsidR="00107B69">
        <w:t xml:space="preserve"> (October 2020) xi; see </w:t>
      </w:r>
      <w:r w:rsidR="00FC398C">
        <w:t>e</w:t>
      </w:r>
      <w:r w:rsidR="00C21CB0">
        <w:t>.</w:t>
      </w:r>
      <w:r w:rsidR="00FC398C">
        <w:t>g</w:t>
      </w:r>
      <w:r w:rsidR="00C21CB0">
        <w:t>.</w:t>
      </w:r>
      <w:r w:rsidR="00FC398C">
        <w:t xml:space="preserve"> Independent National Security Legislation Monitor, </w:t>
      </w:r>
      <w:r w:rsidR="00C21CB0">
        <w:t>‘</w:t>
      </w:r>
      <w:r w:rsidR="00FC398C" w:rsidRPr="00C21CB0">
        <w:rPr>
          <w:i/>
          <w:iCs/>
        </w:rPr>
        <w:t>Trust but verify: A report concerning the Telecommunications and Other Legislation Amendment (Assistance and Access) Act 2018 and related matters</w:t>
      </w:r>
      <w:r w:rsidR="00C21CB0">
        <w:t>’</w:t>
      </w:r>
      <w:r w:rsidR="00FC398C">
        <w:t xml:space="preserve"> (9th Report, June 2020) 42 (Recommendation 3).</w:t>
      </w:r>
    </w:p>
  </w:endnote>
  <w:endnote w:id="31">
    <w:p w14:paraId="6648EDDD" w14:textId="10C8E20E" w:rsidR="00FC1FB4" w:rsidRDefault="00FC1FB4" w:rsidP="00FC1FB4">
      <w:pPr>
        <w:pStyle w:val="EndnoteText"/>
      </w:pPr>
      <w:r>
        <w:rPr>
          <w:rStyle w:val="EndnoteReference"/>
        </w:rPr>
        <w:endnoteRef/>
      </w:r>
      <w:r>
        <w:t xml:space="preserve"> Deloitte, </w:t>
      </w:r>
      <w:r w:rsidR="00C21CB0">
        <w:t>‘</w:t>
      </w:r>
      <w:r w:rsidRPr="00280CDD">
        <w:rPr>
          <w:i/>
          <w:iCs/>
        </w:rPr>
        <w:t>Smart everything, everywhere</w:t>
      </w:r>
      <w:r>
        <w:rPr>
          <w:i/>
          <w:iCs/>
        </w:rPr>
        <w:t xml:space="preserve"> Mobile Consumer Survey</w:t>
      </w:r>
      <w:r w:rsidR="00C21CB0">
        <w:t>’</w:t>
      </w:r>
      <w:r>
        <w:t xml:space="preserve"> (</w:t>
      </w:r>
      <w:r w:rsidR="00C21CB0">
        <w:t xml:space="preserve">Survey, </w:t>
      </w:r>
      <w:r>
        <w:t>2017) 6</w:t>
      </w:r>
      <w:r w:rsidR="009B1C85">
        <w:t>.</w:t>
      </w:r>
    </w:p>
  </w:endnote>
  <w:endnote w:id="32">
    <w:p w14:paraId="16DA194B" w14:textId="508556D5" w:rsidR="00FC1FB4" w:rsidRDefault="00FC1FB4" w:rsidP="00FC1FB4">
      <w:pPr>
        <w:pStyle w:val="EndnoteText"/>
      </w:pPr>
      <w:r>
        <w:rPr>
          <w:rStyle w:val="EndnoteReference"/>
        </w:rPr>
        <w:endnoteRef/>
      </w:r>
      <w:r>
        <w:t xml:space="preserve"> Australian Competition and Consumer Commission</w:t>
      </w:r>
      <w:r w:rsidR="00606674">
        <w:t xml:space="preserve"> (‘ACCC’)</w:t>
      </w:r>
      <w:r>
        <w:t xml:space="preserve">, </w:t>
      </w:r>
      <w:r>
        <w:rPr>
          <w:i/>
          <w:iCs/>
        </w:rPr>
        <w:t>Consumer Views and Behaviours on Digital Platforms</w:t>
      </w:r>
      <w:r>
        <w:t xml:space="preserve"> (November 2018) </w:t>
      </w:r>
      <w:r w:rsidR="009B1C85">
        <w:t>21.</w:t>
      </w:r>
    </w:p>
  </w:endnote>
  <w:endnote w:id="33">
    <w:p w14:paraId="208BB515" w14:textId="77777777" w:rsidR="00FC1FB4" w:rsidRDefault="00FC1FB4" w:rsidP="00FC1FB4">
      <w:pPr>
        <w:pStyle w:val="EndnoteText"/>
      </w:pPr>
      <w:r>
        <w:rPr>
          <w:rStyle w:val="EndnoteReference"/>
        </w:rPr>
        <w:endnoteRef/>
      </w:r>
      <w:r>
        <w:t xml:space="preserve"> </w:t>
      </w:r>
      <w:r w:rsidRPr="000927F1">
        <w:rPr>
          <w:i/>
          <w:iCs/>
        </w:rPr>
        <w:t>Privacy Act</w:t>
      </w:r>
      <w:r>
        <w:t xml:space="preserve"> </w:t>
      </w:r>
      <w:r>
        <w:rPr>
          <w:i/>
          <w:iCs/>
        </w:rPr>
        <w:t xml:space="preserve">1988 </w:t>
      </w:r>
      <w:r>
        <w:t>(Cth) sch 1.</w:t>
      </w:r>
    </w:p>
  </w:endnote>
  <w:endnote w:id="34">
    <w:p w14:paraId="2AAEB754" w14:textId="08183D88" w:rsidR="00FC1FB4" w:rsidRDefault="00FC1FB4" w:rsidP="00FC1FB4">
      <w:pPr>
        <w:pStyle w:val="EndnoteText"/>
      </w:pPr>
      <w:r>
        <w:rPr>
          <w:rStyle w:val="EndnoteReference"/>
        </w:rPr>
        <w:endnoteRef/>
      </w:r>
      <w:r>
        <w:t xml:space="preserve"> </w:t>
      </w:r>
      <w:r w:rsidR="00E61149" w:rsidRPr="000927F1">
        <w:rPr>
          <w:i/>
          <w:iCs/>
        </w:rPr>
        <w:t>Privacy Act</w:t>
      </w:r>
      <w:r w:rsidR="00E61149">
        <w:t xml:space="preserve"> </w:t>
      </w:r>
      <w:r w:rsidR="00E61149">
        <w:rPr>
          <w:i/>
          <w:iCs/>
        </w:rPr>
        <w:t xml:space="preserve">1988 </w:t>
      </w:r>
      <w:r w:rsidR="00E61149">
        <w:t xml:space="preserve">(Cth) </w:t>
      </w:r>
      <w:r>
        <w:t>s 6 ‘sensitive information’.</w:t>
      </w:r>
    </w:p>
  </w:endnote>
  <w:endnote w:id="35">
    <w:p w14:paraId="0BBBDD0C" w14:textId="366695CF" w:rsidR="00FC1FB4" w:rsidRDefault="00FC1FB4" w:rsidP="00FC1FB4">
      <w:pPr>
        <w:pStyle w:val="EndnoteText"/>
      </w:pPr>
      <w:r>
        <w:rPr>
          <w:rStyle w:val="EndnoteReference"/>
        </w:rPr>
        <w:endnoteRef/>
      </w:r>
      <w:r>
        <w:t xml:space="preserve"> Zak Doffman, ‘Black Lives Matter: US Protesters Tracked by Secretive Phone Location Technology’, </w:t>
      </w:r>
      <w:r>
        <w:rPr>
          <w:i/>
          <w:iCs/>
        </w:rPr>
        <w:t>Forbes</w:t>
      </w:r>
      <w:r>
        <w:t xml:space="preserve"> (online, 26 June 2020) </w:t>
      </w:r>
      <w:hyperlink r:id="rId5" w:history="1">
        <w:r w:rsidR="004F3775" w:rsidRPr="00686642">
          <w:rPr>
            <w:rStyle w:val="Hyperlink"/>
          </w:rPr>
          <w:t>https://www.forbes.com/sites/zakdoffman/2020/06/26/secretive-phone-tracking-company-publishes-location-data-on-black-lives-matter-protesters/?sh=6eeb5fa84a1e</w:t>
        </w:r>
      </w:hyperlink>
      <w:r>
        <w:t>.</w:t>
      </w:r>
    </w:p>
  </w:endnote>
  <w:endnote w:id="36">
    <w:p w14:paraId="411BCC6F" w14:textId="23964B88" w:rsidR="00FC1FB4" w:rsidRDefault="00FC1FB4" w:rsidP="00E61149">
      <w:pPr>
        <w:pStyle w:val="EndnoteText"/>
      </w:pPr>
      <w:r>
        <w:rPr>
          <w:rStyle w:val="EndnoteReference"/>
        </w:rPr>
        <w:endnoteRef/>
      </w:r>
      <w:r>
        <w:t xml:space="preserve"> </w:t>
      </w:r>
      <w:r w:rsidR="00E61149">
        <w:t xml:space="preserve">Zak Doffman, ‘Black Lives Matter: US Protesters Tracked by Secretive Phone Location Technology’, </w:t>
      </w:r>
      <w:r w:rsidR="00E61149">
        <w:rPr>
          <w:i/>
          <w:iCs/>
        </w:rPr>
        <w:t>Forbes</w:t>
      </w:r>
      <w:r w:rsidR="00E61149">
        <w:t xml:space="preserve"> (online, 26 June 2020) </w:t>
      </w:r>
      <w:hyperlink r:id="rId6" w:history="1">
        <w:r w:rsidR="00E61149" w:rsidRPr="00686642">
          <w:rPr>
            <w:rStyle w:val="Hyperlink"/>
          </w:rPr>
          <w:t>https://www.forbes.com/sites/zakdoffman/2020/06/26/secretive-phone-tracking-company-publishes-location-data-on-black-lives-matter-protesters/?sh=6eeb5fa84a1e</w:t>
        </w:r>
      </w:hyperlink>
      <w:r w:rsidR="00E61149">
        <w:t>.</w:t>
      </w:r>
    </w:p>
  </w:endnote>
  <w:endnote w:id="37">
    <w:p w14:paraId="627E8534" w14:textId="10708EFD" w:rsidR="00FC1FB4" w:rsidRDefault="00FC1FB4" w:rsidP="00FC1FB4">
      <w:pPr>
        <w:pStyle w:val="EndnoteText"/>
      </w:pPr>
      <w:r>
        <w:rPr>
          <w:rStyle w:val="EndnoteReference"/>
        </w:rPr>
        <w:endnoteRef/>
      </w:r>
      <w:r>
        <w:t xml:space="preserve"> Lorenzo Franceschi-Bicchierai, ‘Firm That Tracked Protesters Targeted Evangelicals During 2016 Election’, </w:t>
      </w:r>
      <w:r>
        <w:rPr>
          <w:i/>
          <w:iCs/>
        </w:rPr>
        <w:t>Vice</w:t>
      </w:r>
      <w:r>
        <w:t xml:space="preserve"> (online, 27 June 2020) </w:t>
      </w:r>
      <w:hyperlink r:id="rId7" w:history="1">
        <w:r w:rsidR="004F3775" w:rsidRPr="00686642">
          <w:rPr>
            <w:rStyle w:val="Hyperlink"/>
          </w:rPr>
          <w:t>https://www.vice.com/en/article/9353qv/mobilewalla-tracked-protesters-targeted-evangelicals-during-2016-election</w:t>
        </w:r>
      </w:hyperlink>
      <w:r>
        <w:t>.</w:t>
      </w:r>
    </w:p>
  </w:endnote>
  <w:endnote w:id="38">
    <w:p w14:paraId="2AC915A7" w14:textId="70978BC0" w:rsidR="00FC1FB4" w:rsidRDefault="00FC1FB4" w:rsidP="00FC1FB4">
      <w:pPr>
        <w:pStyle w:val="EndnoteText"/>
      </w:pPr>
      <w:r>
        <w:rPr>
          <w:rStyle w:val="EndnoteReference"/>
        </w:rPr>
        <w:endnoteRef/>
      </w:r>
      <w:r>
        <w:t xml:space="preserve"> </w:t>
      </w:r>
      <w:r w:rsidR="00E61149">
        <w:t xml:space="preserve">Lorenzo Franceschi-Bicchierai, ‘Firm That Tracked Protesters Targeted Evangelicals During 2016 Election’, </w:t>
      </w:r>
      <w:r w:rsidR="00E61149">
        <w:rPr>
          <w:i/>
          <w:iCs/>
        </w:rPr>
        <w:t>Vice</w:t>
      </w:r>
      <w:r w:rsidR="00E61149">
        <w:t xml:space="preserve"> (online, 27 June 2020) </w:t>
      </w:r>
      <w:hyperlink r:id="rId8" w:history="1">
        <w:r w:rsidR="00E61149" w:rsidRPr="00686642">
          <w:rPr>
            <w:rStyle w:val="Hyperlink"/>
          </w:rPr>
          <w:t>https://www.vice.com/en/article/9353qv/mobilewalla-tracked-protesters-targeted-evangelicals-during-2016-election</w:t>
        </w:r>
      </w:hyperlink>
      <w:r w:rsidR="00E61149">
        <w:t>.</w:t>
      </w:r>
    </w:p>
  </w:endnote>
  <w:endnote w:id="39">
    <w:p w14:paraId="7F506182" w14:textId="77777777" w:rsidR="00FC1FB4" w:rsidRDefault="00FC1FB4" w:rsidP="00FC1FB4">
      <w:pPr>
        <w:pStyle w:val="EndnoteText"/>
      </w:pPr>
      <w:r>
        <w:rPr>
          <w:rStyle w:val="EndnoteReference"/>
        </w:rPr>
        <w:endnoteRef/>
      </w:r>
      <w:r>
        <w:t xml:space="preserve"> </w:t>
      </w:r>
      <w:r w:rsidRPr="000927F1">
        <w:rPr>
          <w:i/>
          <w:iCs/>
        </w:rPr>
        <w:t>Privacy Act</w:t>
      </w:r>
      <w:r>
        <w:t xml:space="preserve"> </w:t>
      </w:r>
      <w:r>
        <w:rPr>
          <w:i/>
          <w:iCs/>
        </w:rPr>
        <w:t xml:space="preserve">1988 </w:t>
      </w:r>
      <w:r>
        <w:t>(Cth) s 6 ‘sensitive information’.</w:t>
      </w:r>
    </w:p>
  </w:endnote>
  <w:endnote w:id="40">
    <w:p w14:paraId="2FA8373D" w14:textId="6ABC0F71" w:rsidR="00084D27" w:rsidRDefault="00084D27">
      <w:pPr>
        <w:pStyle w:val="EndnoteText"/>
      </w:pPr>
      <w:r>
        <w:rPr>
          <w:rStyle w:val="EndnoteReference"/>
        </w:rPr>
        <w:endnoteRef/>
      </w:r>
      <w:r w:rsidR="427D76A9">
        <w:t xml:space="preserve"> </w:t>
      </w:r>
      <w:r w:rsidR="427D76A9" w:rsidRPr="00084D27">
        <w:t>A</w:t>
      </w:r>
      <w:r w:rsidR="00606674">
        <w:t>CCC,</w:t>
      </w:r>
      <w:r w:rsidR="427D76A9" w:rsidRPr="00084D27">
        <w:t xml:space="preserve"> </w:t>
      </w:r>
      <w:r w:rsidR="00AC6BEC">
        <w:t>‘</w:t>
      </w:r>
      <w:r w:rsidR="427D76A9" w:rsidRPr="427D76A9">
        <w:rPr>
          <w:i/>
          <w:iCs/>
        </w:rPr>
        <w:t>Digital Platforms Inquiry – Final Report</w:t>
      </w:r>
      <w:r w:rsidR="00AC6BEC">
        <w:t>’ (</w:t>
      </w:r>
      <w:r w:rsidR="00CA35CC">
        <w:t>Commonwealth of Australia</w:t>
      </w:r>
      <w:r w:rsidR="427D76A9" w:rsidRPr="00084D27">
        <w:t xml:space="preserve">, </w:t>
      </w:r>
      <w:r w:rsidR="00AC6BEC">
        <w:t xml:space="preserve">Final Report, </w:t>
      </w:r>
      <w:r w:rsidR="427D76A9" w:rsidRPr="00084D27">
        <w:t>July 2019</w:t>
      </w:r>
      <w:r w:rsidR="00AC6BEC">
        <w:t>)</w:t>
      </w:r>
      <w:r w:rsidR="004A2B19">
        <w:t xml:space="preserve"> </w:t>
      </w:r>
      <w:r w:rsidR="427D76A9" w:rsidRPr="00084D27">
        <w:t>401–428</w:t>
      </w:r>
      <w:r w:rsidR="004A2B19">
        <w:t>.</w:t>
      </w:r>
    </w:p>
  </w:endnote>
  <w:endnote w:id="41">
    <w:p w14:paraId="54B44EB2" w14:textId="4DB8D9F7" w:rsidR="00A9126E" w:rsidRDefault="00656CF3" w:rsidP="00A9126E">
      <w:pPr>
        <w:pStyle w:val="EndnoteText"/>
      </w:pPr>
      <w:r>
        <w:rPr>
          <w:rStyle w:val="EndnoteReference"/>
        </w:rPr>
        <w:endnoteRef/>
      </w:r>
      <w:r w:rsidR="427D76A9">
        <w:t xml:space="preserve"> </w:t>
      </w:r>
      <w:r w:rsidR="004A2B19">
        <w:t xml:space="preserve">Deloitte, </w:t>
      </w:r>
      <w:r w:rsidR="427D76A9">
        <w:t>’</w:t>
      </w:r>
      <w:r w:rsidR="427D76A9" w:rsidRPr="427D76A9">
        <w:t>The Symbiotic Relationship: Getting the Balance Right‘</w:t>
      </w:r>
      <w:r w:rsidR="427D76A9" w:rsidRPr="427D76A9">
        <w:rPr>
          <w:i/>
          <w:iCs/>
        </w:rPr>
        <w:t xml:space="preserve">, </w:t>
      </w:r>
      <w:r w:rsidR="427D76A9" w:rsidRPr="427D76A9">
        <w:t>in</w:t>
      </w:r>
      <w:r w:rsidR="427D76A9" w:rsidRPr="427D76A9">
        <w:rPr>
          <w:i/>
          <w:iCs/>
        </w:rPr>
        <w:t xml:space="preserve"> Australia Privacy Index 2018</w:t>
      </w:r>
      <w:r w:rsidR="009279FC">
        <w:t xml:space="preserve"> (Deloitte, Report) </w:t>
      </w:r>
      <w:r w:rsidR="427D76A9">
        <w:t>8</w:t>
      </w:r>
      <w:r w:rsidR="009279FC">
        <w:t>.</w:t>
      </w:r>
    </w:p>
  </w:endnote>
  <w:endnote w:id="42">
    <w:p w14:paraId="06D04D76" w14:textId="52454A2A" w:rsidR="00B50CE8" w:rsidRDefault="00B50CE8" w:rsidP="00B50CE8">
      <w:pPr>
        <w:pStyle w:val="EndnoteText"/>
      </w:pPr>
      <w:r>
        <w:rPr>
          <w:rStyle w:val="EndnoteReference"/>
        </w:rPr>
        <w:endnoteRef/>
      </w:r>
      <w:r w:rsidR="427D76A9">
        <w:t xml:space="preserve"> </w:t>
      </w:r>
      <w:r w:rsidR="00E61149">
        <w:t>Deloitte, ’</w:t>
      </w:r>
      <w:r w:rsidR="00E61149" w:rsidRPr="427D76A9">
        <w:t>The Symbiotic Relationship: Getting the Balance Right‘</w:t>
      </w:r>
      <w:r w:rsidR="00E61149" w:rsidRPr="427D76A9">
        <w:rPr>
          <w:i/>
          <w:iCs/>
        </w:rPr>
        <w:t xml:space="preserve">, </w:t>
      </w:r>
      <w:r w:rsidR="00E61149" w:rsidRPr="427D76A9">
        <w:t>in</w:t>
      </w:r>
      <w:r w:rsidR="00E61149" w:rsidRPr="427D76A9">
        <w:rPr>
          <w:i/>
          <w:iCs/>
        </w:rPr>
        <w:t xml:space="preserve"> Australia Privacy Index 2018</w:t>
      </w:r>
      <w:r w:rsidR="00E61149">
        <w:t xml:space="preserve"> (Deloitte, Report) </w:t>
      </w:r>
      <w:r w:rsidR="427D76A9">
        <w:t>16</w:t>
      </w:r>
      <w:r w:rsidR="009279FC">
        <w:t>.</w:t>
      </w:r>
    </w:p>
  </w:endnote>
  <w:endnote w:id="43">
    <w:p w14:paraId="51414386" w14:textId="43AB6097" w:rsidR="0006522A" w:rsidRDefault="0006522A" w:rsidP="0006522A">
      <w:pPr>
        <w:pStyle w:val="EndnoteText"/>
      </w:pPr>
      <w:r>
        <w:rPr>
          <w:rStyle w:val="EndnoteReference"/>
        </w:rPr>
        <w:endnoteRef/>
      </w:r>
      <w:r>
        <w:t xml:space="preserve"> </w:t>
      </w:r>
      <w:r w:rsidRPr="00560F6A">
        <w:t>Consumer Policy Research Centre</w:t>
      </w:r>
      <w:r>
        <w:t>, ‘</w:t>
      </w:r>
      <w:r w:rsidRPr="000F38B2">
        <w:rPr>
          <w:i/>
          <w:iCs/>
        </w:rPr>
        <w:t>Duped by Design – Manipulative online design: Dark patterns in Australia</w:t>
      </w:r>
      <w:r>
        <w:t>’ (</w:t>
      </w:r>
      <w:r w:rsidR="00260F2F">
        <w:t xml:space="preserve">Paper, </w:t>
      </w:r>
      <w:r>
        <w:t>June 2022) 6.</w:t>
      </w:r>
    </w:p>
  </w:endnote>
  <w:endnote w:id="44">
    <w:p w14:paraId="4FC8545B" w14:textId="5F8324B9" w:rsidR="0006522A" w:rsidRDefault="0006522A" w:rsidP="0006522A">
      <w:pPr>
        <w:pStyle w:val="EndnoteText"/>
      </w:pPr>
      <w:r>
        <w:rPr>
          <w:rStyle w:val="EndnoteReference"/>
        </w:rPr>
        <w:endnoteRef/>
      </w:r>
      <w:r>
        <w:t xml:space="preserve"> </w:t>
      </w:r>
      <w:r w:rsidR="0007021F">
        <w:t>Consumer Policy Research Centre, ‘</w:t>
      </w:r>
      <w:r w:rsidR="0007021F" w:rsidRPr="006E68D0">
        <w:rPr>
          <w:i/>
          <w:iCs/>
        </w:rPr>
        <w:t>In whose interest? Why businesses need to keep consumers safe and treat their data with care</w:t>
      </w:r>
      <w:r w:rsidR="0007021F">
        <w:t>’ (Working Paper, March 2023)</w:t>
      </w:r>
      <w:r w:rsidR="006E68D0">
        <w:t xml:space="preserve"> 4</w:t>
      </w:r>
      <w:r>
        <w:t>.</w:t>
      </w:r>
    </w:p>
  </w:endnote>
  <w:endnote w:id="45">
    <w:p w14:paraId="66E19BFB" w14:textId="77777777" w:rsidR="006C0B88" w:rsidRDefault="006C0B88" w:rsidP="006C0B88">
      <w:pPr>
        <w:pStyle w:val="EndnoteText"/>
      </w:pPr>
      <w:r>
        <w:rPr>
          <w:rStyle w:val="EndnoteReference"/>
        </w:rPr>
        <w:endnoteRef/>
      </w:r>
      <w:r>
        <w:t xml:space="preserve"> Li Li, et al., ‘</w:t>
      </w:r>
      <w:r w:rsidRPr="00645214">
        <w:t>I will only know after using it: The repeat purchasers of smart home appliances and the privacy paradox problem</w:t>
      </w:r>
      <w:r>
        <w:t xml:space="preserve">’ 128 </w:t>
      </w:r>
      <w:r w:rsidRPr="00895DA6">
        <w:rPr>
          <w:i/>
          <w:iCs/>
        </w:rPr>
        <w:t>Computers &amp; Security</w:t>
      </w:r>
      <w:r>
        <w:t xml:space="preserve"> (2023) 1.</w:t>
      </w:r>
    </w:p>
  </w:endnote>
  <w:endnote w:id="46">
    <w:p w14:paraId="15080CF5" w14:textId="33B73E4A" w:rsidR="00F35486" w:rsidRDefault="00F35486" w:rsidP="00F35486">
      <w:pPr>
        <w:pStyle w:val="EndnoteText"/>
      </w:pPr>
      <w:r>
        <w:rPr>
          <w:rStyle w:val="EndnoteReference"/>
        </w:rPr>
        <w:endnoteRef/>
      </w:r>
      <w:r>
        <w:t xml:space="preserve"> Consumer Policy Research Centre, ‘</w:t>
      </w:r>
      <w:r w:rsidRPr="006A4393">
        <w:rPr>
          <w:i/>
          <w:iCs/>
        </w:rPr>
        <w:t>2020 Data and Technology Consumer Survey</w:t>
      </w:r>
      <w:r>
        <w:t>’ (Survey, December 2020) 33.</w:t>
      </w:r>
    </w:p>
  </w:endnote>
  <w:endnote w:id="47">
    <w:p w14:paraId="70E5CC06" w14:textId="55A1D6DE" w:rsidR="00F35486" w:rsidRDefault="00F35486" w:rsidP="00F35486">
      <w:pPr>
        <w:pStyle w:val="EndnoteText"/>
      </w:pPr>
      <w:r>
        <w:rPr>
          <w:rStyle w:val="EndnoteReference"/>
        </w:rPr>
        <w:endnoteRef/>
      </w:r>
      <w:r>
        <w:t xml:space="preserve"> </w:t>
      </w:r>
      <w:r w:rsidR="00E61149">
        <w:t>Consumer Policy Research Centre, ‘</w:t>
      </w:r>
      <w:r w:rsidR="00E61149" w:rsidRPr="006A4393">
        <w:rPr>
          <w:i/>
          <w:iCs/>
        </w:rPr>
        <w:t>2020 Data and Technology Consumer Survey</w:t>
      </w:r>
      <w:r w:rsidR="00E61149">
        <w:t xml:space="preserve">’ (Survey, December 2020) </w:t>
      </w:r>
      <w:r>
        <w:t>26.</w:t>
      </w:r>
    </w:p>
  </w:endnote>
  <w:endnote w:id="48">
    <w:p w14:paraId="5B034570" w14:textId="77777777" w:rsidR="000F0853" w:rsidRDefault="000F0853" w:rsidP="000F0853">
      <w:pPr>
        <w:pStyle w:val="EndnoteText"/>
      </w:pPr>
      <w:r>
        <w:rPr>
          <w:rStyle w:val="EndnoteReference"/>
        </w:rPr>
        <w:endnoteRef/>
      </w:r>
      <w:r>
        <w:t xml:space="preserve"> </w:t>
      </w:r>
      <w:r w:rsidRPr="00607887">
        <w:t xml:space="preserve">Lik-Hang Lee, et al., ‘All one needs to know about metaverse: A complete survey on technological singularity, virtual ecosystem, and research agenda’ 2021 </w:t>
      </w:r>
      <w:r w:rsidRPr="00A804F4">
        <w:rPr>
          <w:i/>
          <w:iCs/>
        </w:rPr>
        <w:t>arXIV</w:t>
      </w:r>
      <w:r w:rsidRPr="00607887">
        <w:t xml:space="preserve"> </w:t>
      </w:r>
      <w:r>
        <w:t>37.</w:t>
      </w:r>
    </w:p>
  </w:endnote>
  <w:endnote w:id="49">
    <w:p w14:paraId="5613E7A5" w14:textId="01926F9D" w:rsidR="0006522A" w:rsidRDefault="0006522A" w:rsidP="0006522A">
      <w:pPr>
        <w:pStyle w:val="EndnoteText"/>
      </w:pPr>
      <w:r>
        <w:rPr>
          <w:rStyle w:val="EndnoteReference"/>
        </w:rPr>
        <w:endnoteRef/>
      </w:r>
      <w:r>
        <w:t xml:space="preserve"> </w:t>
      </w:r>
      <w:r w:rsidR="00E61149" w:rsidRPr="00607887">
        <w:t xml:space="preserve">Lik-Hang Lee, et al., ‘All one needs to know about metaverse: A complete survey on technological singularity, virtual ecosystem, and research agenda’ 2021 </w:t>
      </w:r>
      <w:r w:rsidR="00E61149" w:rsidRPr="00A804F4">
        <w:rPr>
          <w:i/>
          <w:iCs/>
        </w:rPr>
        <w:t>arXIV</w:t>
      </w:r>
      <w:r w:rsidR="00E61149" w:rsidRPr="00607887">
        <w:t xml:space="preserve"> </w:t>
      </w:r>
      <w:r w:rsidR="00E61149">
        <w:t>37</w:t>
      </w:r>
      <w:r>
        <w:t>.</w:t>
      </w:r>
    </w:p>
  </w:endnote>
  <w:endnote w:id="50">
    <w:p w14:paraId="22217EAB" w14:textId="7F4ABDD9" w:rsidR="0006522A" w:rsidRDefault="0006522A" w:rsidP="00515B84">
      <w:pPr>
        <w:pStyle w:val="EndnoteText"/>
      </w:pPr>
      <w:r>
        <w:rPr>
          <w:rStyle w:val="EndnoteReference"/>
        </w:rPr>
        <w:endnoteRef/>
      </w:r>
      <w:r>
        <w:t xml:space="preserve"> </w:t>
      </w:r>
      <w:r w:rsidR="00E61149" w:rsidRPr="00607887">
        <w:t xml:space="preserve">Lik-Hang Lee, et al., ‘All one needs to know about metaverse: A complete survey on technological singularity, virtual ecosystem, and research agenda’ 2021 </w:t>
      </w:r>
      <w:r w:rsidR="00E61149" w:rsidRPr="00A804F4">
        <w:rPr>
          <w:i/>
          <w:iCs/>
        </w:rPr>
        <w:t>arXIV</w:t>
      </w:r>
      <w:r w:rsidR="00E61149" w:rsidRPr="00607887">
        <w:t xml:space="preserve"> </w:t>
      </w:r>
      <w:r w:rsidR="00E61149">
        <w:t>37</w:t>
      </w:r>
      <w:r>
        <w:t>.</w:t>
      </w:r>
    </w:p>
  </w:endnote>
  <w:endnote w:id="51">
    <w:p w14:paraId="3AD0E4C9" w14:textId="7834ECBB" w:rsidR="00F35486" w:rsidRDefault="00F35486" w:rsidP="000B0A38">
      <w:pPr>
        <w:pStyle w:val="EndnoteText"/>
      </w:pPr>
      <w:r>
        <w:rPr>
          <w:rStyle w:val="EndnoteReference"/>
        </w:rPr>
        <w:endnoteRef/>
      </w:r>
      <w:r>
        <w:t xml:space="preserve"> </w:t>
      </w:r>
      <w:r w:rsidR="000B0A38">
        <w:t xml:space="preserve">Li Li, et al., ‘I will only know after using it: The repeat purchasers of smart home appliances and the privacy paradox problem’ 128 Computers &amp; Security (2023) </w:t>
      </w:r>
      <w:r w:rsidRPr="00D765D9">
        <w:t>1.</w:t>
      </w:r>
    </w:p>
  </w:endnote>
  <w:endnote w:id="52">
    <w:p w14:paraId="41368C02" w14:textId="4FD9B985" w:rsidR="001D447F" w:rsidRDefault="001D447F" w:rsidP="001D447F">
      <w:pPr>
        <w:pStyle w:val="EndnoteText"/>
      </w:pPr>
      <w:r>
        <w:rPr>
          <w:rStyle w:val="EndnoteReference"/>
        </w:rPr>
        <w:endnoteRef/>
      </w:r>
      <w:r>
        <w:t xml:space="preserve"> </w:t>
      </w:r>
      <w:r w:rsidR="00B64F34">
        <w:t>A</w:t>
      </w:r>
      <w:r w:rsidR="009B1D74">
        <w:t>CCC</w:t>
      </w:r>
      <w:r w:rsidR="00B64F34">
        <w:t>, ‘</w:t>
      </w:r>
      <w:r w:rsidR="00B64F34" w:rsidRPr="00A237E9">
        <w:rPr>
          <w:i/>
          <w:iCs/>
        </w:rPr>
        <w:t>Digital Platform Services Inquiry – September 2023 Report on the expanding ecosystems of digital platform service providers</w:t>
      </w:r>
      <w:r w:rsidR="00B64F34">
        <w:t>’ (</w:t>
      </w:r>
      <w:r w:rsidR="00CA35CC">
        <w:t xml:space="preserve">Commonwealth of Australia, </w:t>
      </w:r>
      <w:r w:rsidR="00B64F34">
        <w:t xml:space="preserve">Issues Paper, March 2023) </w:t>
      </w:r>
      <w:r>
        <w:t>7 citing</w:t>
      </w:r>
      <w:r w:rsidRPr="00817923">
        <w:t xml:space="preserve"> </w:t>
      </w:r>
      <w:r>
        <w:t xml:space="preserve">ACCC, </w:t>
      </w:r>
      <w:r w:rsidRPr="00883139">
        <w:rPr>
          <w:i/>
          <w:iCs/>
        </w:rPr>
        <w:t>Digital Platform Services Inquiry Fifth Interim Report</w:t>
      </w:r>
      <w:r>
        <w:t xml:space="preserve"> (</w:t>
      </w:r>
      <w:r w:rsidR="00CA35CC">
        <w:t xml:space="preserve">Commonwealth of Australia, </w:t>
      </w:r>
      <w:r>
        <w:t>Firth Interim Report, 11 November 2022) 44.</w:t>
      </w:r>
    </w:p>
  </w:endnote>
  <w:endnote w:id="53">
    <w:p w14:paraId="16223621" w14:textId="4C3D42AE" w:rsidR="00933114" w:rsidRDefault="00933114" w:rsidP="00933114">
      <w:pPr>
        <w:pStyle w:val="EndnoteText"/>
      </w:pPr>
      <w:r>
        <w:rPr>
          <w:rStyle w:val="EndnoteReference"/>
        </w:rPr>
        <w:endnoteRef/>
      </w:r>
      <w:r>
        <w:t xml:space="preserve"> </w:t>
      </w:r>
      <w:r w:rsidR="00E61149">
        <w:t>ACCC, ‘</w:t>
      </w:r>
      <w:r w:rsidR="00E61149" w:rsidRPr="00A237E9">
        <w:rPr>
          <w:i/>
          <w:iCs/>
        </w:rPr>
        <w:t>Digital Platform Services Inquiry – September 2023 Report on the expanding ecosystems of digital platform service providers</w:t>
      </w:r>
      <w:r w:rsidR="00E61149">
        <w:t xml:space="preserve">’ (Commonwealth of Australia, Issues Paper, March 2023) </w:t>
      </w:r>
      <w:r>
        <w:t>7-8.</w:t>
      </w:r>
    </w:p>
  </w:endnote>
  <w:endnote w:id="54">
    <w:p w14:paraId="1F566F44" w14:textId="66A508A7" w:rsidR="003D276F" w:rsidRDefault="003D276F" w:rsidP="003D276F">
      <w:pPr>
        <w:pStyle w:val="EndnoteText"/>
      </w:pPr>
      <w:r>
        <w:rPr>
          <w:rStyle w:val="EndnoteReference"/>
        </w:rPr>
        <w:endnoteRef/>
      </w:r>
      <w:r>
        <w:t xml:space="preserve"> </w:t>
      </w:r>
      <w:r w:rsidR="00286780">
        <w:t>Consumer Policy Research Centre, ‘</w:t>
      </w:r>
      <w:r w:rsidR="00286780" w:rsidRPr="006E68D0">
        <w:rPr>
          <w:i/>
          <w:iCs/>
        </w:rPr>
        <w:t>In whose interest? Why businesses need to keep consumers safe and treat their data with care</w:t>
      </w:r>
      <w:r w:rsidR="00286780">
        <w:t xml:space="preserve">’ (Working Paper, March 2023) </w:t>
      </w:r>
      <w:r>
        <w:t xml:space="preserve">4 citing Anthony Nadler &amp; Lee McGuigan, ‘An impulse to exploit: the behavioral turn in data-driven marketing’ 35(2) </w:t>
      </w:r>
      <w:r w:rsidRPr="00516A06">
        <w:rPr>
          <w:i/>
          <w:iCs/>
        </w:rPr>
        <w:t>Critical Studies in Media Communication</w:t>
      </w:r>
      <w:r>
        <w:t xml:space="preserve"> (2018) 151-165.</w:t>
      </w:r>
    </w:p>
  </w:endnote>
  <w:endnote w:id="55">
    <w:p w14:paraId="51F73BD3" w14:textId="7C16F8AE" w:rsidR="003D276F" w:rsidRDefault="003D276F" w:rsidP="003D276F">
      <w:pPr>
        <w:pStyle w:val="EndnoteText"/>
      </w:pPr>
      <w:r>
        <w:rPr>
          <w:rStyle w:val="EndnoteReference"/>
        </w:rPr>
        <w:endnoteRef/>
      </w:r>
      <w:r>
        <w:t xml:space="preserve"> </w:t>
      </w:r>
      <w:r w:rsidR="00286780">
        <w:t>Consumer Policy Research Centre, ‘</w:t>
      </w:r>
      <w:r w:rsidR="00286780" w:rsidRPr="006E68D0">
        <w:rPr>
          <w:i/>
          <w:iCs/>
        </w:rPr>
        <w:t>In whose interest? Why businesses need to keep consumers safe and treat their data with care</w:t>
      </w:r>
      <w:r w:rsidR="00286780">
        <w:t>’ (Working Paper, March 2023) 4</w:t>
      </w:r>
      <w:r>
        <w:t>.</w:t>
      </w:r>
    </w:p>
  </w:endnote>
  <w:endnote w:id="56">
    <w:p w14:paraId="14BEE95E" w14:textId="3174E57E" w:rsidR="003D276F" w:rsidRDefault="003D276F" w:rsidP="003D276F">
      <w:pPr>
        <w:pStyle w:val="EndnoteText"/>
      </w:pPr>
      <w:r>
        <w:rPr>
          <w:rStyle w:val="EndnoteReference"/>
        </w:rPr>
        <w:endnoteRef/>
      </w:r>
      <w:r>
        <w:t xml:space="preserve"> </w:t>
      </w:r>
      <w:r w:rsidR="00286780">
        <w:t>Consumer Policy Research Centre, ‘</w:t>
      </w:r>
      <w:r w:rsidR="00286780" w:rsidRPr="006E68D0">
        <w:rPr>
          <w:i/>
          <w:iCs/>
        </w:rPr>
        <w:t>In whose interest? Why businesses need to keep consumers safe and treat their data with care</w:t>
      </w:r>
      <w:r w:rsidR="00286780">
        <w:t xml:space="preserve">’ (Working Paper, March 2023) </w:t>
      </w:r>
      <w:r>
        <w:t xml:space="preserve">10 citing Jack Balkin, ‘The fiduciary model of privacy’ 134(11) </w:t>
      </w:r>
      <w:r w:rsidRPr="00B0357E">
        <w:rPr>
          <w:i/>
          <w:iCs/>
        </w:rPr>
        <w:t>Harvard Law Review Forum</w:t>
      </w:r>
      <w:r>
        <w:t xml:space="preserve"> (2020) 12.</w:t>
      </w:r>
    </w:p>
  </w:endnote>
  <w:endnote w:id="57">
    <w:p w14:paraId="44668393" w14:textId="1892BA77" w:rsidR="00AB1820" w:rsidRDefault="00AB1820">
      <w:pPr>
        <w:pStyle w:val="EndnoteText"/>
      </w:pPr>
      <w:r>
        <w:rPr>
          <w:rStyle w:val="EndnoteReference"/>
        </w:rPr>
        <w:endnoteRef/>
      </w:r>
      <w:r>
        <w:t xml:space="preserve"> OAIC, ‘</w:t>
      </w:r>
      <w:r w:rsidRPr="00FC2BBD">
        <w:rPr>
          <w:i/>
          <w:iCs/>
        </w:rPr>
        <w:t>APP Guidelines</w:t>
      </w:r>
      <w:r>
        <w:t xml:space="preserve">’ </w:t>
      </w:r>
      <w:r w:rsidR="00FC2BBD">
        <w:t xml:space="preserve">(website, </w:t>
      </w:r>
      <w:r w:rsidR="00303238">
        <w:t>July 2019) [B.37]-[B.58].</w:t>
      </w:r>
    </w:p>
  </w:endnote>
  <w:endnote w:id="58">
    <w:p w14:paraId="44D35F7B" w14:textId="77777777" w:rsidR="00AF6E6B" w:rsidRPr="00A53966" w:rsidRDefault="00AF6E6B" w:rsidP="00AF6E6B">
      <w:pPr>
        <w:pStyle w:val="EndnoteText"/>
        <w:rPr>
          <w:lang w:val="en-GB"/>
        </w:rPr>
      </w:pPr>
      <w:r>
        <w:rPr>
          <w:rStyle w:val="EndnoteReference"/>
        </w:rPr>
        <w:endnoteRef/>
      </w:r>
      <w:r>
        <w:t xml:space="preserve"> </w:t>
      </w:r>
      <w:r w:rsidRPr="00590E18">
        <w:t>Australian Law Reform Commission (2014) ‘</w:t>
      </w:r>
      <w:r w:rsidRPr="00606674">
        <w:rPr>
          <w:i/>
          <w:iCs/>
        </w:rPr>
        <w:t>Equality, Capacity and Disability in Commonwealth Laws</w:t>
      </w:r>
      <w:r>
        <w:t>’</w:t>
      </w:r>
      <w:r w:rsidRPr="00590E18">
        <w:t xml:space="preserve"> (ALRC Report 124)</w:t>
      </w:r>
      <w:r>
        <w:t>, p.24</w:t>
      </w:r>
    </w:p>
  </w:endnote>
  <w:endnote w:id="59">
    <w:p w14:paraId="6EECCC37" w14:textId="5580A3C3" w:rsidR="00C273FE" w:rsidRDefault="00C273FE">
      <w:pPr>
        <w:pStyle w:val="EndnoteText"/>
      </w:pPr>
      <w:r>
        <w:rPr>
          <w:rStyle w:val="EndnoteReference"/>
        </w:rPr>
        <w:endnoteRef/>
      </w:r>
      <w:r w:rsidR="427D76A9">
        <w:t xml:space="preserve"> </w:t>
      </w:r>
      <w:r w:rsidR="00BC08E3">
        <w:t>AHRC, ‘</w:t>
      </w:r>
      <w:r w:rsidR="00BC08E3" w:rsidRPr="427D76A9">
        <w:rPr>
          <w:i/>
          <w:iCs/>
        </w:rPr>
        <w:t>Human Rights and Technology Final Report 2021</w:t>
      </w:r>
      <w:r w:rsidR="00BC08E3">
        <w:t>’</w:t>
      </w:r>
      <w:r w:rsidR="00517454">
        <w:t xml:space="preserve"> (‘Final Report’)</w:t>
      </w:r>
      <w:r w:rsidR="00BC08E3">
        <w:t xml:space="preserve"> (</w:t>
      </w:r>
      <w:r w:rsidR="00CA35CC">
        <w:t xml:space="preserve">Commonwealth of Australia, </w:t>
      </w:r>
      <w:r w:rsidR="00BC08E3">
        <w:t>Final Report, 2021)</w:t>
      </w:r>
      <w:r w:rsidR="00517454">
        <w:t xml:space="preserve"> see e.g. recommendations 2, 9 &amp; 15.</w:t>
      </w:r>
    </w:p>
  </w:endnote>
  <w:endnote w:id="60">
    <w:p w14:paraId="623E2251" w14:textId="1C4EBBA9" w:rsidR="00E51811" w:rsidRDefault="00E51811" w:rsidP="00E51811">
      <w:pPr>
        <w:pStyle w:val="EndnoteText"/>
      </w:pPr>
      <w:r>
        <w:rPr>
          <w:rStyle w:val="EndnoteReference"/>
        </w:rPr>
        <w:endnoteRef/>
      </w:r>
      <w:r w:rsidR="427D76A9">
        <w:t xml:space="preserve"> </w:t>
      </w:r>
      <w:r w:rsidR="00286780">
        <w:t>AHRC, Final Report (Final Report, 2021)</w:t>
      </w:r>
      <w:r w:rsidR="009C1EC2">
        <w:t xml:space="preserve"> </w:t>
      </w:r>
      <w:r w:rsidR="427D76A9">
        <w:t>111</w:t>
      </w:r>
      <w:r w:rsidR="009C1EC2">
        <w:t>;</w:t>
      </w:r>
      <w:r w:rsidR="427D76A9">
        <w:t xml:space="preserve"> </w:t>
      </w:r>
      <w:r w:rsidR="009C1EC2">
        <w:t>see e.g.</w:t>
      </w:r>
      <w:r w:rsidR="427D76A9">
        <w:t xml:space="preserve"> </w:t>
      </w:r>
      <w:r w:rsidR="427D76A9" w:rsidRPr="00200D6B">
        <w:rPr>
          <w:i/>
          <w:iCs/>
        </w:rPr>
        <w:t>Report of the Special Rapporteur on the Promotion and Protection of the Right to Freedom of Opinion and Expression</w:t>
      </w:r>
      <w:r w:rsidR="427D76A9">
        <w:t xml:space="preserve">, UN doc A/HRC/41/35 (28 May 2019); Office of the Australian Information Commissioner, </w:t>
      </w:r>
      <w:r w:rsidR="00200D6B">
        <w:t>‘</w:t>
      </w:r>
      <w:r w:rsidR="427D76A9" w:rsidRPr="00200D6B">
        <w:rPr>
          <w:i/>
          <w:iCs/>
        </w:rPr>
        <w:t>Australian Community Attitudes to Privacy Survey 2020</w:t>
      </w:r>
      <w:r w:rsidR="00200D6B">
        <w:t>’</w:t>
      </w:r>
      <w:r w:rsidR="427D76A9">
        <w:t xml:space="preserve"> (</w:t>
      </w:r>
      <w:r w:rsidR="00200D6B">
        <w:t xml:space="preserve">Commonwealth of Australia, Survey, </w:t>
      </w:r>
      <w:r w:rsidR="427D76A9">
        <w:t>2020) 81</w:t>
      </w:r>
      <w:r w:rsidR="00200D6B">
        <w:t>.</w:t>
      </w:r>
    </w:p>
  </w:endnote>
  <w:endnote w:id="61">
    <w:p w14:paraId="27F2DFCC" w14:textId="75198EEF" w:rsidR="00344C82" w:rsidRDefault="00344C82" w:rsidP="00344C82">
      <w:pPr>
        <w:pStyle w:val="EndnoteText"/>
      </w:pPr>
      <w:r>
        <w:rPr>
          <w:rStyle w:val="EndnoteReference"/>
        </w:rPr>
        <w:endnoteRef/>
      </w:r>
      <w:r w:rsidR="427D76A9">
        <w:t xml:space="preserve"> </w:t>
      </w:r>
      <w:r w:rsidR="427D76A9" w:rsidRPr="00503F92">
        <w:t xml:space="preserve">Roundtree, </w:t>
      </w:r>
      <w:r w:rsidR="00503F92">
        <w:t>‘</w:t>
      </w:r>
      <w:r w:rsidR="427D76A9" w:rsidRPr="00503F92">
        <w:rPr>
          <w:i/>
          <w:iCs/>
        </w:rPr>
        <w:t>Facial Recognition Technology Codes of Ethics: Content Analysis and Review</w:t>
      </w:r>
      <w:r w:rsidR="00503F92">
        <w:t>’</w:t>
      </w:r>
      <w:r w:rsidR="427D76A9" w:rsidRPr="00503F92">
        <w:t xml:space="preserve"> 211-220.</w:t>
      </w:r>
    </w:p>
  </w:endnote>
  <w:endnote w:id="62">
    <w:p w14:paraId="37CDF203" w14:textId="138207A2" w:rsidR="005A3EFF" w:rsidRDefault="005A3EFF" w:rsidP="005A3EFF">
      <w:pPr>
        <w:pStyle w:val="EndnoteText"/>
      </w:pPr>
      <w:r>
        <w:rPr>
          <w:rStyle w:val="EndnoteReference"/>
        </w:rPr>
        <w:endnoteRef/>
      </w:r>
      <w:r w:rsidR="427D76A9">
        <w:t xml:space="preserve"> </w:t>
      </w:r>
      <w:r w:rsidR="00286780">
        <w:t xml:space="preserve">AHRC, Final Report (Final Report, 2021) </w:t>
      </w:r>
      <w:r w:rsidR="427D76A9">
        <w:t>113</w:t>
      </w:r>
      <w:r w:rsidR="00503F92">
        <w:t xml:space="preserve"> citing</w:t>
      </w:r>
      <w:r w:rsidR="427D76A9">
        <w:t xml:space="preserve"> Josh Bavas, ‘Facial Recognition Quietly Switched on at Queensland Stadiums, Sparking Privacy Concerns,’ </w:t>
      </w:r>
      <w:r w:rsidR="427D76A9" w:rsidRPr="00503F92">
        <w:rPr>
          <w:i/>
          <w:iCs/>
        </w:rPr>
        <w:t>ABC News</w:t>
      </w:r>
      <w:r w:rsidR="427D76A9">
        <w:t xml:space="preserve"> (online, 6 June 2019); Josh Bavas, ‘The Facial Recognition Security Issue Police Tried to Keep Secret’, </w:t>
      </w:r>
      <w:r w:rsidR="427D76A9" w:rsidRPr="00503F92">
        <w:rPr>
          <w:i/>
          <w:iCs/>
        </w:rPr>
        <w:t>ABC News</w:t>
      </w:r>
      <w:r w:rsidR="427D76A9">
        <w:t xml:space="preserve"> (online, 6 May 2019); Lisa Neville MP, ‘New Police Eye in the Sky to Keep Victorians Safe’ (Media Release, 10 July 2019); see, for example, Samantha Dick, ‘Perth’s Facial Recognition Cameras Prompt Scowls - And a Campaign to Stop ‘Invasive’ Surveillance’, </w:t>
      </w:r>
      <w:r w:rsidR="427D76A9" w:rsidRPr="00503F92">
        <w:rPr>
          <w:i/>
          <w:iCs/>
        </w:rPr>
        <w:t>The New Daily</w:t>
      </w:r>
      <w:r w:rsidR="427D76A9">
        <w:t xml:space="preserve"> (online, 1 February 2020); Sarah Basford, ‘Australian Schools Have Been Trialling Facial Recognition Technology Despite Serious Concerns About Children’s Data’, </w:t>
      </w:r>
      <w:r w:rsidR="427D76A9" w:rsidRPr="00503F92">
        <w:rPr>
          <w:i/>
          <w:iCs/>
        </w:rPr>
        <w:t>Gizmodo</w:t>
      </w:r>
      <w:r w:rsidR="427D76A9">
        <w:t xml:space="preserve"> (online, 10 March 2020).</w:t>
      </w:r>
    </w:p>
  </w:endnote>
  <w:endnote w:id="63">
    <w:p w14:paraId="3F1DF0C6" w14:textId="60175F35" w:rsidR="004F3239" w:rsidRDefault="004F3239" w:rsidP="004F3239">
      <w:pPr>
        <w:pStyle w:val="EndnoteText"/>
      </w:pPr>
      <w:r>
        <w:rPr>
          <w:rStyle w:val="EndnoteReference"/>
        </w:rPr>
        <w:endnoteRef/>
      </w:r>
      <w:r>
        <w:t xml:space="preserve"> </w:t>
      </w:r>
      <w:r w:rsidR="00471D87">
        <w:t xml:space="preserve">See e.g. </w:t>
      </w:r>
      <w:r w:rsidR="00816F14">
        <w:t>Jarni Blakkarly, ‘</w:t>
      </w:r>
      <w:r w:rsidR="00816F14" w:rsidRPr="00816F14">
        <w:t>Kmart, Bunnings and The Good Guys using facial recognition technology in stores</w:t>
      </w:r>
      <w:r w:rsidR="00816F14">
        <w:t xml:space="preserve">’ </w:t>
      </w:r>
      <w:r w:rsidR="00816F14" w:rsidRPr="00816F14">
        <w:rPr>
          <w:i/>
          <w:iCs/>
        </w:rPr>
        <w:t>CHOICE</w:t>
      </w:r>
      <w:r w:rsidR="00816F14">
        <w:t xml:space="preserve"> (online, </w:t>
      </w:r>
      <w:r w:rsidR="00030B90">
        <w:t>last updated 12 July 2022)</w:t>
      </w:r>
      <w:r w:rsidR="00816F14">
        <w:t>;</w:t>
      </w:r>
      <w:r w:rsidR="00030B90">
        <w:t xml:space="preserve"> </w:t>
      </w:r>
      <w:r>
        <w:t>There is a growing amount of literature on the use of facial recognition in a range of settings including sports stadiums, schools and retail outlets in Australia. See Brett Hutchins and Mark Andrejevcic, ‘Olympian Surveillance: Sports Stadiums and the Normalization of Biometric Monitoring’ (2021) 15 </w:t>
      </w:r>
      <w:r w:rsidRPr="00030B90">
        <w:rPr>
          <w:i/>
          <w:iCs/>
        </w:rPr>
        <w:t>International Journal of Communication</w:t>
      </w:r>
      <w:r>
        <w:t xml:space="preserve">, 363; See Josh Bavas, ‘Facial Recognition Quietly Switched on at Queensland Stadiums, Sparking Privacy Concerns,’ </w:t>
      </w:r>
      <w:r w:rsidRPr="00030B90">
        <w:rPr>
          <w:i/>
          <w:iCs/>
        </w:rPr>
        <w:t>ABC News</w:t>
      </w:r>
      <w:r>
        <w:t xml:space="preserve"> (online, 6 June 2019); Mark Andrejevic and Neil Selwyn, ‘Facial Recognition Technology in Schools: Critical Questions and Concerns’ (2020) 45(2) </w:t>
      </w:r>
      <w:r w:rsidRPr="00030B90">
        <w:rPr>
          <w:i/>
          <w:iCs/>
        </w:rPr>
        <w:t>Learning, Media and Technology</w:t>
      </w:r>
      <w:r>
        <w:t xml:space="preserve">, 115; Sarah Basford, ‘Australian Schools Have Been Trialling Facial Recognition Technology Despite Serious Concerns About Children’s Data’, </w:t>
      </w:r>
      <w:r w:rsidRPr="00030B90">
        <w:rPr>
          <w:i/>
          <w:iCs/>
        </w:rPr>
        <w:t>Gizmodo</w:t>
      </w:r>
      <w:r>
        <w:t xml:space="preserve"> (online, 10 March 2020); Rick Sarre, ‘Facial Recognition Technology is Expanding Rapidly Across Australia. Are Our Laws Keeping Pace?’ The Conversation (online, 10 July 2020) ; Eden Gillespie, ‘Are You Being Scanned? How Facial Recognition Technology Follows You, Even as You Shop’, </w:t>
      </w:r>
      <w:r w:rsidRPr="00030B90">
        <w:rPr>
          <w:i/>
          <w:iCs/>
        </w:rPr>
        <w:t>The Guardian</w:t>
      </w:r>
      <w:r>
        <w:t xml:space="preserve"> (online, 24 February 2019). </w:t>
      </w:r>
    </w:p>
  </w:endnote>
  <w:endnote w:id="64">
    <w:p w14:paraId="5FA42B65" w14:textId="07C5E33C" w:rsidR="00F05C8F" w:rsidRPr="00030B90" w:rsidRDefault="00F05C8F" w:rsidP="00F05C8F">
      <w:pPr>
        <w:pStyle w:val="EndnoteText"/>
      </w:pPr>
      <w:r>
        <w:rPr>
          <w:rStyle w:val="EndnoteReference"/>
        </w:rPr>
        <w:endnoteRef/>
      </w:r>
      <w:r w:rsidR="427D76A9">
        <w:t xml:space="preserve"> </w:t>
      </w:r>
      <w:r w:rsidR="00CD1838">
        <w:t>K.W Miller, ‘Facial Recognition Technology: Navigating the Ethical Challenges</w:t>
      </w:r>
      <w:r w:rsidR="008A5342">
        <w:t xml:space="preserve">’ (2023) 56(1) </w:t>
      </w:r>
      <w:r w:rsidR="008A5342" w:rsidRPr="008A5342">
        <w:rPr>
          <w:i/>
          <w:iCs/>
        </w:rPr>
        <w:t>Computer</w:t>
      </w:r>
      <w:r w:rsidR="008A5342">
        <w:t xml:space="preserve"> 76.</w:t>
      </w:r>
    </w:p>
  </w:endnote>
  <w:endnote w:id="65">
    <w:p w14:paraId="7A89B040" w14:textId="33A24CCF" w:rsidR="00DA4A90" w:rsidRDefault="00DA4A90" w:rsidP="00DA4A90">
      <w:pPr>
        <w:pStyle w:val="EndnoteText"/>
      </w:pPr>
      <w:r w:rsidRPr="00030B90">
        <w:rPr>
          <w:rStyle w:val="EndnoteReference"/>
        </w:rPr>
        <w:endnoteRef/>
      </w:r>
      <w:r w:rsidR="427D76A9" w:rsidRPr="00030B90">
        <w:t xml:space="preserve"> Roundtree, </w:t>
      </w:r>
      <w:r w:rsidR="008A5342">
        <w:t>‘</w:t>
      </w:r>
      <w:r w:rsidR="427D76A9" w:rsidRPr="008A5342">
        <w:rPr>
          <w:i/>
          <w:iCs/>
        </w:rPr>
        <w:t>Facial Recognition Technology Codes of Ethics: Content Analysis and Review</w:t>
      </w:r>
      <w:r w:rsidR="008A5342">
        <w:t>’</w:t>
      </w:r>
      <w:r w:rsidR="427D76A9" w:rsidRPr="00030B90">
        <w:t xml:space="preserve"> 211-220.</w:t>
      </w:r>
    </w:p>
  </w:endnote>
  <w:endnote w:id="66">
    <w:p w14:paraId="78606134" w14:textId="0CD0970B" w:rsidR="00410013" w:rsidRDefault="00410013" w:rsidP="00410013">
      <w:pPr>
        <w:pStyle w:val="EndnoteText"/>
      </w:pPr>
      <w:r>
        <w:rPr>
          <w:rStyle w:val="EndnoteReference"/>
        </w:rPr>
        <w:endnoteRef/>
      </w:r>
      <w:r w:rsidR="002C2833">
        <w:t xml:space="preserve"> </w:t>
      </w:r>
      <w:r w:rsidR="00286780" w:rsidRPr="00030B90">
        <w:t xml:space="preserve">Roundtree, </w:t>
      </w:r>
      <w:r w:rsidR="00286780">
        <w:t>‘</w:t>
      </w:r>
      <w:r w:rsidR="00286780" w:rsidRPr="008A5342">
        <w:rPr>
          <w:i/>
          <w:iCs/>
        </w:rPr>
        <w:t>Facial Recognition Technology Codes of Ethics: Content Analysis and Review</w:t>
      </w:r>
      <w:r w:rsidR="00286780">
        <w:t>’</w:t>
      </w:r>
      <w:r w:rsidR="002C2833">
        <w:t>218.</w:t>
      </w:r>
    </w:p>
  </w:endnote>
  <w:endnote w:id="67">
    <w:p w14:paraId="086138EB" w14:textId="3E184404" w:rsidR="007C758B" w:rsidRDefault="007C758B" w:rsidP="007C758B">
      <w:pPr>
        <w:pStyle w:val="EndnoteText"/>
      </w:pPr>
      <w:r>
        <w:rPr>
          <w:rStyle w:val="EndnoteReference"/>
        </w:rPr>
        <w:endnoteRef/>
      </w:r>
      <w:r w:rsidR="427D76A9">
        <w:t xml:space="preserve"> </w:t>
      </w:r>
      <w:r w:rsidR="00BE496B">
        <w:t xml:space="preserve">See generally </w:t>
      </w:r>
      <w:r w:rsidR="0034061E">
        <w:t>Genia Kostka</w:t>
      </w:r>
      <w:r w:rsidR="00DF2E88">
        <w:t>, Lea Steubacker &amp; Miriam Meckel ‘Under big brothers watchful eye: Cross-country attitudes towards facial recognition technology</w:t>
      </w:r>
      <w:r w:rsidR="00BE496B">
        <w:t xml:space="preserve">’ (2023) 40(1) </w:t>
      </w:r>
      <w:r w:rsidR="00BE496B">
        <w:rPr>
          <w:i/>
          <w:iCs/>
        </w:rPr>
        <w:t>Government Information Quarterly</w:t>
      </w:r>
      <w:r w:rsidR="00BE496B">
        <w:t>.</w:t>
      </w:r>
    </w:p>
  </w:endnote>
  <w:endnote w:id="68">
    <w:p w14:paraId="1CEAF8F5" w14:textId="3D774B21" w:rsidR="002D2FFF" w:rsidRDefault="002D2FFF" w:rsidP="00BE496B">
      <w:pPr>
        <w:pStyle w:val="EndnoteText"/>
      </w:pPr>
      <w:r w:rsidRPr="00455323">
        <w:rPr>
          <w:vertAlign w:val="superscript"/>
        </w:rPr>
        <w:endnoteRef/>
      </w:r>
      <w:r w:rsidR="427D76A9" w:rsidRPr="00455323">
        <w:rPr>
          <w:vertAlign w:val="superscript"/>
        </w:rPr>
        <w:t xml:space="preserve"> </w:t>
      </w:r>
      <w:r w:rsidR="00286780">
        <w:t xml:space="preserve">Genia Kostka, Lea Steubacker &amp; Miriam Meckel ‘Under big brothers watchful eye: Cross-country attitudes towards facial recognition technology’ (2023) 40(1) </w:t>
      </w:r>
      <w:r w:rsidR="00286780">
        <w:rPr>
          <w:i/>
          <w:iCs/>
        </w:rPr>
        <w:t>Government Information Quarterly</w:t>
      </w:r>
      <w:r w:rsidR="00286780">
        <w:t xml:space="preserve"> </w:t>
      </w:r>
      <w:r w:rsidR="00455323">
        <w:t xml:space="preserve">1 citing </w:t>
      </w:r>
      <w:r w:rsidR="427D76A9" w:rsidRPr="00BE496B">
        <w:t xml:space="preserve">Feldstien, S, </w:t>
      </w:r>
      <w:r w:rsidR="00455323">
        <w:t>‘</w:t>
      </w:r>
      <w:r w:rsidR="427D76A9" w:rsidRPr="00BE496B">
        <w:t>The Global Expansion of AI Surveillance</w:t>
      </w:r>
      <w:r w:rsidR="00455323">
        <w:t>’</w:t>
      </w:r>
      <w:r w:rsidR="427D76A9" w:rsidRPr="00BE496B">
        <w:t xml:space="preserve"> </w:t>
      </w:r>
      <w:r w:rsidR="427D76A9" w:rsidRPr="00455323">
        <w:rPr>
          <w:i/>
          <w:iCs/>
        </w:rPr>
        <w:t>Carnegie Endowment for International Peace</w:t>
      </w:r>
      <w:r w:rsidR="427D76A9" w:rsidRPr="00BE496B">
        <w:t xml:space="preserve"> (September 2019)</w:t>
      </w:r>
      <w:r w:rsidR="00455323">
        <w:t>.</w:t>
      </w:r>
    </w:p>
  </w:endnote>
  <w:endnote w:id="69">
    <w:p w14:paraId="05BD0ACA" w14:textId="23472BF7" w:rsidR="00B35737" w:rsidRDefault="00B35737" w:rsidP="00B35737">
      <w:pPr>
        <w:pStyle w:val="EndnoteText"/>
      </w:pPr>
      <w:r>
        <w:rPr>
          <w:rStyle w:val="EndnoteReference"/>
        </w:rPr>
        <w:endnoteRef/>
      </w:r>
      <w:r w:rsidR="427D76A9">
        <w:t xml:space="preserve"> </w:t>
      </w:r>
      <w:r w:rsidR="0010677F">
        <w:t xml:space="preserve">K.W Miller, ‘Facial Recognition Technology: Navigating the Ethical Challenges’ (2023) 56(1) </w:t>
      </w:r>
      <w:r w:rsidR="0010677F" w:rsidRPr="008A5342">
        <w:rPr>
          <w:i/>
          <w:iCs/>
        </w:rPr>
        <w:t>Computer</w:t>
      </w:r>
      <w:r w:rsidR="0010677F">
        <w:t xml:space="preserve"> 76</w:t>
      </w:r>
      <w:r w:rsidR="00FE78AF">
        <w:rPr>
          <w:rFonts w:ascii="Noto Sans" w:hAnsi="Noto Sans" w:cs="Noto Sans"/>
          <w:color w:val="000000" w:themeColor="text1"/>
        </w:rPr>
        <w:t>.</w:t>
      </w:r>
    </w:p>
  </w:endnote>
  <w:endnote w:id="70">
    <w:p w14:paraId="29D9385E" w14:textId="1C42470B" w:rsidR="00A02A80" w:rsidRDefault="00A02A80" w:rsidP="00B270D2">
      <w:pPr>
        <w:pStyle w:val="EndnoteText"/>
      </w:pPr>
      <w:r>
        <w:rPr>
          <w:rStyle w:val="EndnoteReference"/>
        </w:rPr>
        <w:endnoteRef/>
      </w:r>
      <w:r w:rsidR="427D76A9">
        <w:t xml:space="preserve"> Sanjeev Kumar, ‘Delhi: Facial recognition system helps trace 3,000 missing children in 4 days’ </w:t>
      </w:r>
      <w:r w:rsidR="427D76A9" w:rsidRPr="00FE78AF">
        <w:rPr>
          <w:i/>
          <w:iCs/>
        </w:rPr>
        <w:t>The New India Express</w:t>
      </w:r>
      <w:r w:rsidR="427D76A9">
        <w:t xml:space="preserve">, </w:t>
      </w:r>
      <w:r w:rsidR="00FE78AF">
        <w:t xml:space="preserve">(online, </w:t>
      </w:r>
      <w:r w:rsidR="427D76A9">
        <w:t>22 April 2018</w:t>
      </w:r>
      <w:r w:rsidR="00FE78AF">
        <w:t>)</w:t>
      </w:r>
      <w:r w:rsidR="427D76A9">
        <w:t xml:space="preserve"> </w:t>
      </w:r>
      <w:hyperlink r:id="rId9" w:history="1">
        <w:r w:rsidR="004F3775" w:rsidRPr="00686642">
          <w:rPr>
            <w:rStyle w:val="Hyperlink"/>
          </w:rPr>
          <w:t>https://www.newindianexpress.com/nation/2018/apr/22/3000-missing-children-traced-in-four-days-by-delhi-police-with-facial-recognition-system-software-1804955.html</w:t>
        </w:r>
      </w:hyperlink>
      <w:r w:rsidR="00FE78AF">
        <w:t>.</w:t>
      </w:r>
    </w:p>
  </w:endnote>
  <w:endnote w:id="71">
    <w:p w14:paraId="36C6601E" w14:textId="4EF45DEF" w:rsidR="002F3159" w:rsidRDefault="002F3159">
      <w:pPr>
        <w:pStyle w:val="EndnoteText"/>
      </w:pPr>
      <w:r>
        <w:rPr>
          <w:rStyle w:val="EndnoteReference"/>
        </w:rPr>
        <w:endnoteRef/>
      </w:r>
      <w:r w:rsidR="427D76A9">
        <w:t xml:space="preserve"> </w:t>
      </w:r>
      <w:r w:rsidR="427D76A9" w:rsidRPr="00096210">
        <w:t>Julie Zaugg,</w:t>
      </w:r>
      <w:r w:rsidR="427D76A9">
        <w:t xml:space="preserve"> </w:t>
      </w:r>
      <w:r w:rsidR="427D76A9" w:rsidRPr="427D76A9">
        <w:rPr>
          <w:i/>
          <w:iCs/>
        </w:rPr>
        <w:t>‘</w:t>
      </w:r>
      <w:r w:rsidR="427D76A9" w:rsidRPr="00B32801">
        <w:t>India is trying to build the world’s biggest facial recognition system</w:t>
      </w:r>
      <w:r w:rsidR="427D76A9">
        <w:t>’</w:t>
      </w:r>
      <w:r w:rsidR="00B32801">
        <w:t xml:space="preserve"> </w:t>
      </w:r>
      <w:r w:rsidR="427D76A9" w:rsidRPr="00B32801">
        <w:rPr>
          <w:i/>
          <w:iCs/>
        </w:rPr>
        <w:t>CNN Business</w:t>
      </w:r>
      <w:r w:rsidR="00B32801">
        <w:t xml:space="preserve"> (online, </w:t>
      </w:r>
      <w:r w:rsidR="427D76A9">
        <w:t>18 Oct 2019</w:t>
      </w:r>
      <w:r w:rsidR="00B32801">
        <w:t>)</w:t>
      </w:r>
      <w:r w:rsidR="427D76A9">
        <w:t xml:space="preserve"> </w:t>
      </w:r>
      <w:hyperlink r:id="rId10" w:history="1">
        <w:r w:rsidR="004F3775" w:rsidRPr="00686642">
          <w:rPr>
            <w:rStyle w:val="Hyperlink"/>
          </w:rPr>
          <w:t>https://edition.cnn.com/2019/10/17/tech/india-facial-recognition-intl-hnk/index.html</w:t>
        </w:r>
      </w:hyperlink>
      <w:r w:rsidR="00B32801">
        <w:t>.</w:t>
      </w:r>
    </w:p>
  </w:endnote>
  <w:endnote w:id="72">
    <w:p w14:paraId="590EB44D" w14:textId="4267DD46" w:rsidR="008D2CE3" w:rsidRDefault="008D2CE3">
      <w:pPr>
        <w:pStyle w:val="EndnoteText"/>
      </w:pPr>
      <w:r>
        <w:rPr>
          <w:rStyle w:val="EndnoteReference"/>
        </w:rPr>
        <w:endnoteRef/>
      </w:r>
      <w:r>
        <w:t xml:space="preserve"> See e.g. the right to respect for the family </w:t>
      </w:r>
      <w:r w:rsidR="008E1857">
        <w:t>as provided for under art 23.1 ICCPR; see also</w:t>
      </w:r>
      <w:r w:rsidR="003E2468">
        <w:t xml:space="preserve"> art 10 </w:t>
      </w:r>
      <w:r w:rsidR="003E2468" w:rsidRPr="003E2468">
        <w:t>International Covenant on Economic, Social and Cultural Rights</w:t>
      </w:r>
      <w:r w:rsidR="003E2468">
        <w:t>.</w:t>
      </w:r>
    </w:p>
  </w:endnote>
  <w:endnote w:id="73">
    <w:p w14:paraId="5115B01B" w14:textId="6E01FDC7" w:rsidR="0067038A" w:rsidRDefault="0067038A">
      <w:pPr>
        <w:pStyle w:val="EndnoteText"/>
      </w:pPr>
      <w:r>
        <w:rPr>
          <w:rStyle w:val="EndnoteReference"/>
        </w:rPr>
        <w:endnoteRef/>
      </w:r>
      <w:r w:rsidR="427D76A9">
        <w:t xml:space="preserve"> </w:t>
      </w:r>
      <w:r w:rsidR="427D76A9" w:rsidRPr="00693752">
        <w:t>Alexandra Ulmer</w:t>
      </w:r>
      <w:r w:rsidR="00981B48">
        <w:t xml:space="preserve"> &amp; </w:t>
      </w:r>
      <w:r w:rsidR="427D76A9" w:rsidRPr="00693752">
        <w:t>Zeba Siddiqui</w:t>
      </w:r>
      <w:r w:rsidR="427D76A9">
        <w:t>, ‘</w:t>
      </w:r>
      <w:r w:rsidR="427D76A9" w:rsidRPr="00693752">
        <w:t>India's use of facial recognition tech during protests causes stir</w:t>
      </w:r>
      <w:r w:rsidR="427D76A9">
        <w:t xml:space="preserve">’ </w:t>
      </w:r>
      <w:r w:rsidR="427D76A9" w:rsidRPr="00981B48">
        <w:rPr>
          <w:i/>
          <w:iCs/>
        </w:rPr>
        <w:t>Reuters</w:t>
      </w:r>
      <w:r w:rsidR="00981B48">
        <w:t xml:space="preserve"> (online, </w:t>
      </w:r>
      <w:r w:rsidR="427D76A9">
        <w:t>17 February 2020</w:t>
      </w:r>
      <w:r w:rsidR="00981B48">
        <w:t>)</w:t>
      </w:r>
      <w:r w:rsidR="427D76A9">
        <w:t xml:space="preserve"> </w:t>
      </w:r>
      <w:hyperlink r:id="rId11" w:history="1">
        <w:r w:rsidR="004F3775" w:rsidRPr="00686642">
          <w:rPr>
            <w:rStyle w:val="Hyperlink"/>
          </w:rPr>
          <w:t>https://www.reuters.com/article/us-india-citizenship-protests-technology-idUSKBN20B0ZQ</w:t>
        </w:r>
      </w:hyperlink>
      <w:r w:rsidR="00981B48">
        <w:t>.</w:t>
      </w:r>
    </w:p>
  </w:endnote>
  <w:endnote w:id="74">
    <w:p w14:paraId="0FAC1810" w14:textId="08E5B146" w:rsidR="008E025E" w:rsidRDefault="008E025E" w:rsidP="008E025E">
      <w:pPr>
        <w:pStyle w:val="EndnoteText"/>
        <w:rPr>
          <w:rFonts w:asciiTheme="minorHAnsi" w:eastAsiaTheme="minorEastAsia" w:hAnsiTheme="minorHAnsi" w:cstheme="minorBidi"/>
          <w:color w:val="737373"/>
          <w:sz w:val="18"/>
          <w:szCs w:val="18"/>
        </w:rPr>
      </w:pPr>
      <w:r>
        <w:rPr>
          <w:rStyle w:val="EndnoteReference"/>
        </w:rPr>
        <w:endnoteRef/>
      </w:r>
      <w:r>
        <w:t xml:space="preserve"> </w:t>
      </w:r>
      <w:r w:rsidR="0010677F">
        <w:t xml:space="preserve">Genia Kostka, Lea Steubacker &amp; Miriam Meckel ‘Under big brothers watchful eye: Cross-country attitudes towards facial recognition technology’ (2023) 40(1) </w:t>
      </w:r>
      <w:r w:rsidR="0010677F">
        <w:rPr>
          <w:i/>
          <w:iCs/>
        </w:rPr>
        <w:t>Government Information Quarterly</w:t>
      </w:r>
      <w:r w:rsidR="0010677F">
        <w:t xml:space="preserve"> 1 </w:t>
      </w:r>
      <w:r w:rsidR="00BA0DA7">
        <w:t xml:space="preserve">citing </w:t>
      </w:r>
      <w:r w:rsidR="00BA0DA7" w:rsidRPr="00BE496B">
        <w:t xml:space="preserve">Feldstien, S, </w:t>
      </w:r>
      <w:r w:rsidR="00BA0DA7">
        <w:t>‘</w:t>
      </w:r>
      <w:r w:rsidR="00BA0DA7" w:rsidRPr="00BE496B">
        <w:t>The Global Expansion of AI Surveillance</w:t>
      </w:r>
      <w:r w:rsidR="00BA0DA7">
        <w:t>’</w:t>
      </w:r>
      <w:r w:rsidR="00BA0DA7" w:rsidRPr="00BE496B">
        <w:t xml:space="preserve"> </w:t>
      </w:r>
      <w:r w:rsidR="00BA0DA7" w:rsidRPr="00455323">
        <w:rPr>
          <w:i/>
          <w:iCs/>
        </w:rPr>
        <w:t>Carnegie Endowment for International Peace</w:t>
      </w:r>
      <w:r w:rsidR="00BA0DA7" w:rsidRPr="00BE496B">
        <w:t xml:space="preserve"> (September 2019)</w:t>
      </w:r>
      <w:r w:rsidR="00BA0DA7">
        <w:t>.</w:t>
      </w:r>
    </w:p>
  </w:endnote>
  <w:endnote w:id="75">
    <w:p w14:paraId="71F58BFB" w14:textId="6FE3E5DE" w:rsidR="008E025E" w:rsidRPr="00FA5FAB" w:rsidRDefault="008E025E" w:rsidP="00FA5FAB">
      <w:pPr>
        <w:pStyle w:val="EndnoteText"/>
        <w:rPr>
          <w:rFonts w:eastAsiaTheme="minorEastAsia" w:cs="Open Sans"/>
          <w:color w:val="737373"/>
        </w:rPr>
      </w:pPr>
      <w:r>
        <w:rPr>
          <w:rStyle w:val="EndnoteReference"/>
        </w:rPr>
        <w:endnoteRef/>
      </w:r>
      <w:r>
        <w:t xml:space="preserve"> </w:t>
      </w:r>
      <w:r w:rsidR="00786E7E" w:rsidRPr="00786E7E">
        <w:rPr>
          <w:rFonts w:cs="Open Sans"/>
        </w:rPr>
        <w:t xml:space="preserve">James </w:t>
      </w:r>
      <w:r w:rsidRPr="00786E7E">
        <w:rPr>
          <w:rFonts w:eastAsiaTheme="minorEastAsia" w:cs="Open Sans"/>
        </w:rPr>
        <w:t xml:space="preserve">Leibold, ‘Surveillance in China’s Xinjiang region: Ethnic sorting, coercion, and inducement’ </w:t>
      </w:r>
      <w:r w:rsidRPr="00786E7E">
        <w:rPr>
          <w:rFonts w:eastAsiaTheme="minorEastAsia" w:cs="Open Sans"/>
          <w:i/>
          <w:iCs/>
        </w:rPr>
        <w:t>Journal of Contemporary China</w:t>
      </w:r>
      <w:r w:rsidR="00786E7E">
        <w:rPr>
          <w:rFonts w:eastAsiaTheme="minorEastAsia" w:cs="Open Sans"/>
        </w:rPr>
        <w:t xml:space="preserve"> (2020) </w:t>
      </w:r>
      <w:r w:rsidRPr="00786E7E">
        <w:rPr>
          <w:rFonts w:eastAsiaTheme="minorEastAsia" w:cs="Open Sans"/>
        </w:rPr>
        <w:t>29(121) 46-60</w:t>
      </w:r>
      <w:r w:rsidR="00FA5FAB">
        <w:rPr>
          <w:rFonts w:eastAsiaTheme="minorEastAsia" w:cs="Open Sans"/>
        </w:rPr>
        <w:t>.</w:t>
      </w:r>
    </w:p>
  </w:endnote>
  <w:endnote w:id="76">
    <w:p w14:paraId="29E80A78" w14:textId="4FB963AE" w:rsidR="00153098" w:rsidRPr="003426B1" w:rsidRDefault="00153098">
      <w:pPr>
        <w:pStyle w:val="EndnoteText"/>
        <w:rPr>
          <w:lang w:val="en-US"/>
        </w:rPr>
      </w:pPr>
      <w:r>
        <w:rPr>
          <w:rStyle w:val="EndnoteReference"/>
        </w:rPr>
        <w:endnoteRef/>
      </w:r>
      <w:r>
        <w:t xml:space="preserve"> </w:t>
      </w:r>
      <w:r>
        <w:rPr>
          <w:lang w:val="en-US"/>
        </w:rPr>
        <w:t xml:space="preserve">Office of the United Nations High Commissioner for Human Rights, </w:t>
      </w:r>
      <w:r>
        <w:rPr>
          <w:i/>
          <w:iCs/>
          <w:lang w:val="en-US"/>
        </w:rPr>
        <w:t xml:space="preserve">OHCHR Assessment of human rights concerns in the Xinjiang Uyghur Autonomous Region, People’s Republic of China </w:t>
      </w:r>
      <w:r>
        <w:rPr>
          <w:lang w:val="en-US"/>
        </w:rPr>
        <w:t>(</w:t>
      </w:r>
      <w:r w:rsidR="00BF57B6">
        <w:rPr>
          <w:lang w:val="en-US"/>
        </w:rPr>
        <w:t>31 August 2022)</w:t>
      </w:r>
      <w:r w:rsidR="00AB4783">
        <w:rPr>
          <w:lang w:val="en-US"/>
        </w:rPr>
        <w:t>, [96]</w:t>
      </w:r>
      <w:r w:rsidR="00BF57B6">
        <w:rPr>
          <w:lang w:val="en-US"/>
        </w:rPr>
        <w:t>. &lt;</w:t>
      </w:r>
      <w:r w:rsidR="00BF57B6" w:rsidRPr="00BF57B6">
        <w:rPr>
          <w:lang w:val="en-US"/>
        </w:rPr>
        <w:t>https://www.ohchr.org/en/documents/country-reports/ohchr-assessment-human-rights-concerns-xinjiang-uyghur-autonomous-region</w:t>
      </w:r>
      <w:r w:rsidR="00BF57B6">
        <w:rPr>
          <w:lang w:val="en-US"/>
        </w:rPr>
        <w:t>&gt;.</w:t>
      </w:r>
    </w:p>
  </w:endnote>
  <w:endnote w:id="77">
    <w:p w14:paraId="114B8D9A" w14:textId="4BA9DB3B" w:rsidR="0094479E" w:rsidRDefault="0094479E" w:rsidP="0094479E">
      <w:pPr>
        <w:pStyle w:val="EndnoteText"/>
      </w:pPr>
      <w:r>
        <w:rPr>
          <w:rStyle w:val="EndnoteReference"/>
        </w:rPr>
        <w:endnoteRef/>
      </w:r>
      <w:r>
        <w:t xml:space="preserve"> </w:t>
      </w:r>
      <w:r w:rsidR="005F5046">
        <w:t xml:space="preserve">Genia Kostka, Lea Steubacker &amp; Miriam Meckel ‘Under big brothers watchful eye: Cross-country attitudes towards facial recognition technology’ (2023) 40(1) </w:t>
      </w:r>
      <w:r w:rsidR="005F5046">
        <w:rPr>
          <w:i/>
          <w:iCs/>
        </w:rPr>
        <w:t xml:space="preserve">Government Information Quarterly </w:t>
      </w:r>
      <w:r>
        <w:t>13.</w:t>
      </w:r>
    </w:p>
  </w:endnote>
  <w:endnote w:id="78">
    <w:p w14:paraId="4FB4185C" w14:textId="1BE8A408" w:rsidR="007B3630" w:rsidRDefault="007B3630" w:rsidP="007B3630">
      <w:pPr>
        <w:pStyle w:val="EndnoteText"/>
      </w:pPr>
      <w:r>
        <w:rPr>
          <w:rStyle w:val="EndnoteReference"/>
        </w:rPr>
        <w:endnoteRef/>
      </w:r>
      <w:r>
        <w:t xml:space="preserve"> </w:t>
      </w:r>
      <w:r w:rsidR="005F5046">
        <w:t xml:space="preserve">Genia Kostka, Lea Steubacker &amp; Miriam Meckel ‘Under big brothers watchful eye: Cross-country attitudes towards facial recognition technology’ (2023) 40(1) </w:t>
      </w:r>
      <w:r w:rsidR="005F5046">
        <w:rPr>
          <w:i/>
          <w:iCs/>
        </w:rPr>
        <w:t xml:space="preserve">Government Information Quarterly </w:t>
      </w:r>
      <w:r w:rsidR="005F5046">
        <w:t>13</w:t>
      </w:r>
      <w:r>
        <w:t>.</w:t>
      </w:r>
    </w:p>
  </w:endnote>
  <w:endnote w:id="79">
    <w:p w14:paraId="03585FEF" w14:textId="059B9831" w:rsidR="00356C8A" w:rsidRDefault="00356C8A" w:rsidP="00356C8A">
      <w:pPr>
        <w:pStyle w:val="EndnoteText"/>
      </w:pPr>
      <w:r>
        <w:rPr>
          <w:rStyle w:val="EndnoteReference"/>
        </w:rPr>
        <w:endnoteRef/>
      </w:r>
      <w:r>
        <w:t xml:space="preserve"> </w:t>
      </w:r>
      <w:r w:rsidR="005F5046">
        <w:t xml:space="preserve">Genia Kostka, Lea Steubacker &amp; Miriam Meckel ‘Under big brothers watchful eye: Cross-country attitudes towards facial recognition technology’ (2023) 40(1) </w:t>
      </w:r>
      <w:r w:rsidR="005F5046">
        <w:rPr>
          <w:i/>
          <w:iCs/>
        </w:rPr>
        <w:t xml:space="preserve">Government Information Quarterly </w:t>
      </w:r>
      <w:r w:rsidR="005F5046">
        <w:t>13</w:t>
      </w:r>
      <w:r w:rsidR="003E5F69">
        <w:t>.</w:t>
      </w:r>
    </w:p>
  </w:endnote>
  <w:endnote w:id="80">
    <w:p w14:paraId="0B9EADB8" w14:textId="794B04C8" w:rsidR="00A13C2A" w:rsidRDefault="00A13C2A">
      <w:pPr>
        <w:pStyle w:val="EndnoteText"/>
      </w:pPr>
      <w:r>
        <w:rPr>
          <w:rStyle w:val="EndnoteReference"/>
        </w:rPr>
        <w:endnoteRef/>
      </w:r>
      <w:r>
        <w:t xml:space="preserve"> </w:t>
      </w:r>
      <w:r w:rsidR="003E5F69" w:rsidRPr="003E5F69">
        <w:t xml:space="preserve">Jarni Blakkarly, ‘Kmart, Bunnings and The Good Guys using facial recognition technology in stores’ </w:t>
      </w:r>
      <w:r w:rsidR="003E5F69" w:rsidRPr="003E5F69">
        <w:rPr>
          <w:i/>
          <w:iCs/>
        </w:rPr>
        <w:t>CHOICE</w:t>
      </w:r>
      <w:r w:rsidR="003E5F69" w:rsidRPr="003E5F69">
        <w:t xml:space="preserve"> (online, last updated 12 July 2022)</w:t>
      </w:r>
      <w:r w:rsidR="003E5F69">
        <w:t>.</w:t>
      </w:r>
    </w:p>
  </w:endnote>
  <w:endnote w:id="81">
    <w:p w14:paraId="2A00530B" w14:textId="07F17C8C" w:rsidR="004D4921" w:rsidRDefault="004D4921">
      <w:pPr>
        <w:pStyle w:val="EndnoteText"/>
      </w:pPr>
      <w:r>
        <w:rPr>
          <w:rStyle w:val="EndnoteReference"/>
        </w:rPr>
        <w:endnoteRef/>
      </w:r>
      <w:r w:rsidR="427D76A9">
        <w:t xml:space="preserve"> Office of the Australian Information Commissioner, </w:t>
      </w:r>
      <w:r w:rsidR="427D76A9" w:rsidRPr="001B5E83">
        <w:rPr>
          <w:i/>
          <w:iCs/>
        </w:rPr>
        <w:t>’OAIC Opens Investigations into Bunnings and Kmart</w:t>
      </w:r>
      <w:r w:rsidR="001B5E83">
        <w:t xml:space="preserve">’ </w:t>
      </w:r>
      <w:r w:rsidR="427D76A9">
        <w:t>(</w:t>
      </w:r>
      <w:r w:rsidR="001B5E83">
        <w:t xml:space="preserve">Media Statement, </w:t>
      </w:r>
      <w:r w:rsidR="427D76A9">
        <w:t>12 July 2022)</w:t>
      </w:r>
      <w:r w:rsidR="001B5E83">
        <w:t>.</w:t>
      </w:r>
    </w:p>
  </w:endnote>
  <w:endnote w:id="82">
    <w:p w14:paraId="0E6E6902" w14:textId="31B5DC52" w:rsidR="00536B0F" w:rsidRDefault="00536B0F">
      <w:pPr>
        <w:pStyle w:val="EndnoteText"/>
      </w:pPr>
      <w:r>
        <w:rPr>
          <w:rStyle w:val="EndnoteReference"/>
        </w:rPr>
        <w:endnoteRef/>
      </w:r>
      <w:r w:rsidR="427D76A9">
        <w:t xml:space="preserve"> </w:t>
      </w:r>
      <w:r w:rsidR="005236CC" w:rsidRPr="003E5F69">
        <w:t xml:space="preserve">Jarni Blakkarly, ‘Kmart, Bunnings and The Good Guys using facial recognition technology in stores’ </w:t>
      </w:r>
      <w:r w:rsidR="005236CC" w:rsidRPr="003E5F69">
        <w:rPr>
          <w:i/>
          <w:iCs/>
        </w:rPr>
        <w:t>CHOICE</w:t>
      </w:r>
      <w:r w:rsidR="005236CC" w:rsidRPr="003E5F69">
        <w:t xml:space="preserve"> (online, last updated 12 July 2022)</w:t>
      </w:r>
      <w:r w:rsidR="005236CC">
        <w:t xml:space="preserve">; see also </w:t>
      </w:r>
      <w:r w:rsidR="427D76A9">
        <w:t xml:space="preserve">Amy Periera, </w:t>
      </w:r>
      <w:r w:rsidR="427D76A9" w:rsidRPr="00890755">
        <w:t>’</w:t>
      </w:r>
      <w:r w:rsidR="427D76A9" w:rsidRPr="00890755">
        <w:rPr>
          <w:i/>
          <w:iCs/>
        </w:rPr>
        <w:t>Complaint OAIC on Use of Facial Recognition</w:t>
      </w:r>
      <w:r w:rsidR="427D76A9" w:rsidRPr="00890755">
        <w:t>’</w:t>
      </w:r>
      <w:r w:rsidR="427D76A9">
        <w:t xml:space="preserve"> (</w:t>
      </w:r>
      <w:r w:rsidR="001B5E83">
        <w:t xml:space="preserve">CHOICE, Submission, </w:t>
      </w:r>
      <w:r w:rsidR="427D76A9">
        <w:t>June 2022)</w:t>
      </w:r>
      <w:r w:rsidR="00890755">
        <w:t xml:space="preserve">. </w:t>
      </w:r>
    </w:p>
  </w:endnote>
  <w:endnote w:id="83">
    <w:p w14:paraId="58BD4E75" w14:textId="279D2E54" w:rsidR="0023799C" w:rsidRDefault="0023799C">
      <w:pPr>
        <w:pStyle w:val="EndnoteText"/>
      </w:pPr>
      <w:r>
        <w:rPr>
          <w:rStyle w:val="EndnoteReference"/>
        </w:rPr>
        <w:endnoteRef/>
      </w:r>
      <w:r>
        <w:t xml:space="preserve"> See generally Human Technology Institute, ‘</w:t>
      </w:r>
      <w:r w:rsidRPr="0023799C">
        <w:rPr>
          <w:i/>
          <w:iCs/>
        </w:rPr>
        <w:t>Facial Recognition Technology Towards a Model Law</w:t>
      </w:r>
      <w:r>
        <w:t xml:space="preserve">’ </w:t>
      </w:r>
      <w:r w:rsidR="00606674">
        <w:t xml:space="preserve">(‘Model Law’) </w:t>
      </w:r>
      <w:r>
        <w:t>(University of Technology Sydney, Report, September 2022)</w:t>
      </w:r>
      <w:r w:rsidR="001C6F99">
        <w:t xml:space="preserve"> </w:t>
      </w:r>
      <w:hyperlink r:id="rId12" w:history="1">
        <w:r w:rsidR="001C6F99" w:rsidRPr="00B85971">
          <w:rPr>
            <w:rStyle w:val="Hyperlink"/>
          </w:rPr>
          <w:t>https://www.uts.edu.au/human-technology-institute/projects/facial-recognition-technology-towards-model-law</w:t>
        </w:r>
      </w:hyperlink>
      <w:r w:rsidR="001C6F99">
        <w:t xml:space="preserve">.  </w:t>
      </w:r>
    </w:p>
  </w:endnote>
  <w:endnote w:id="84">
    <w:p w14:paraId="22F3E723" w14:textId="7E6B7F08" w:rsidR="00AA548F" w:rsidRPr="003426B1" w:rsidRDefault="00AA548F">
      <w:pPr>
        <w:pStyle w:val="EndnoteText"/>
        <w:rPr>
          <w:lang w:val="en-US"/>
        </w:rPr>
      </w:pPr>
      <w:r>
        <w:rPr>
          <w:rStyle w:val="EndnoteReference"/>
        </w:rPr>
        <w:endnoteRef/>
      </w:r>
      <w:r>
        <w:t xml:space="preserve"> </w:t>
      </w:r>
      <w:r w:rsidR="00286780">
        <w:t xml:space="preserve">AHRC, Final Report (Final Report, 2021) </w:t>
      </w:r>
      <w:r w:rsidR="002F7B80">
        <w:t>119.</w:t>
      </w:r>
    </w:p>
  </w:endnote>
  <w:endnote w:id="85">
    <w:p w14:paraId="31993503" w14:textId="34ED371B" w:rsidR="009C21BB" w:rsidRDefault="009C21BB">
      <w:pPr>
        <w:pStyle w:val="EndnoteText"/>
      </w:pPr>
      <w:r>
        <w:rPr>
          <w:rStyle w:val="EndnoteReference"/>
        </w:rPr>
        <w:endnoteRef/>
      </w:r>
      <w:r>
        <w:t xml:space="preserve"> </w:t>
      </w:r>
      <w:r w:rsidR="000B0A38">
        <w:t xml:space="preserve">Human Technology Institute, </w:t>
      </w:r>
      <w:r w:rsidR="00606674">
        <w:t>Model Law</w:t>
      </w:r>
      <w:r w:rsidR="000B0A38">
        <w:t xml:space="preserve"> (University of Technology Sydney, Report, September 2022) </w:t>
      </w:r>
      <w:hyperlink r:id="rId13" w:history="1">
        <w:r w:rsidR="000B0A38" w:rsidRPr="00B85971">
          <w:rPr>
            <w:rStyle w:val="Hyperlink"/>
          </w:rPr>
          <w:t>https://www.uts.edu.au/human-technology-institute/projects/facial-recognition-technology-towards-model-law</w:t>
        </w:r>
      </w:hyperlink>
      <w:r w:rsidR="001C6F99">
        <w:t xml:space="preserve">.  </w:t>
      </w:r>
    </w:p>
  </w:endnote>
  <w:endnote w:id="86">
    <w:p w14:paraId="589AD4F4" w14:textId="3B5FF3F8" w:rsidR="00966C22" w:rsidRPr="006B30EA" w:rsidRDefault="00966C22">
      <w:pPr>
        <w:pStyle w:val="EndnoteText"/>
      </w:pPr>
      <w:r>
        <w:rPr>
          <w:rStyle w:val="EndnoteReference"/>
        </w:rPr>
        <w:endnoteRef/>
      </w:r>
      <w:r w:rsidR="427D76A9">
        <w:t xml:space="preserve"> See</w:t>
      </w:r>
      <w:r w:rsidR="00D62BA3">
        <w:t xml:space="preserve"> generally</w:t>
      </w:r>
      <w:r w:rsidR="427D76A9">
        <w:t xml:space="preserve"> Yilun Wang &amp; Michal Kosinski, ‘Deep Neural Networks are more Accurate than Humans at Detecting Sexual Oreintation from Facial Images’ (2018) 114(2) </w:t>
      </w:r>
      <w:r w:rsidR="427D76A9" w:rsidRPr="427D76A9">
        <w:rPr>
          <w:i/>
          <w:iCs/>
        </w:rPr>
        <w:t xml:space="preserve">Journal of Personality and Social Psychology </w:t>
      </w:r>
      <w:r w:rsidR="427D76A9">
        <w:t>246-257</w:t>
      </w:r>
      <w:r w:rsidR="00D62BA3">
        <w:t>.</w:t>
      </w:r>
    </w:p>
  </w:endnote>
  <w:endnote w:id="87">
    <w:p w14:paraId="36245A62" w14:textId="22BA91E2" w:rsidR="00130A39" w:rsidRPr="00D62BA3" w:rsidRDefault="00130A39" w:rsidP="427D76A9">
      <w:pPr>
        <w:pStyle w:val="EndnoteText"/>
        <w:spacing w:line="259" w:lineRule="auto"/>
      </w:pPr>
      <w:r>
        <w:rPr>
          <w:rStyle w:val="EndnoteReference"/>
        </w:rPr>
        <w:endnoteRef/>
      </w:r>
      <w:r w:rsidR="427D76A9">
        <w:t xml:space="preserve"> </w:t>
      </w:r>
      <w:r w:rsidR="00D62BA3">
        <w:t xml:space="preserve">See generally </w:t>
      </w:r>
      <w:r w:rsidR="427D76A9">
        <w:t xml:space="preserve">Michal Kosinski, ‘ Facial Recognition Technology can Expose Political Oreintation from Naturalistic Facial Images’ (2021) 11(100) </w:t>
      </w:r>
      <w:r w:rsidR="427D76A9" w:rsidRPr="427D76A9">
        <w:rPr>
          <w:i/>
          <w:iCs/>
        </w:rPr>
        <w:t>Nature Scientific Reports</w:t>
      </w:r>
      <w:r w:rsidR="00D62BA3">
        <w:t>.</w:t>
      </w:r>
    </w:p>
  </w:endnote>
  <w:endnote w:id="88">
    <w:p w14:paraId="3665C4D5" w14:textId="3A56D1C6" w:rsidR="006E1DB2" w:rsidRPr="003426B1" w:rsidRDefault="006E1DB2">
      <w:pPr>
        <w:pStyle w:val="EndnoteText"/>
        <w:rPr>
          <w:lang w:val="en-US"/>
        </w:rPr>
      </w:pPr>
      <w:r>
        <w:rPr>
          <w:rStyle w:val="EndnoteReference"/>
        </w:rPr>
        <w:endnoteRef/>
      </w:r>
      <w:r>
        <w:t xml:space="preserve"> </w:t>
      </w:r>
      <w:r w:rsidR="00AF69FC">
        <w:t>ILGA World: Lucas Ramon Mendos, Kellyn Botha, Rafael Carrano Lelis, Enrique L</w:t>
      </w:r>
      <w:r w:rsidR="00C92775">
        <w:rPr>
          <w:rFonts w:cs="Open Sans"/>
        </w:rPr>
        <w:t>ópez de la Pe</w:t>
      </w:r>
      <w:r w:rsidR="007E28F6">
        <w:rPr>
          <w:rFonts w:cs="Open Sans"/>
        </w:rPr>
        <w:t xml:space="preserve">ña, Ilia Savelev and Daron Tan, </w:t>
      </w:r>
      <w:r w:rsidR="00B02CA2">
        <w:rPr>
          <w:rFonts w:cs="Open Sans"/>
        </w:rPr>
        <w:t>‘</w:t>
      </w:r>
      <w:r w:rsidR="007E28F6">
        <w:rPr>
          <w:rFonts w:cs="Open Sans"/>
          <w:i/>
          <w:iCs/>
        </w:rPr>
        <w:t>State-Sponsored Homophobia 2020: Global Legislation Overview Update</w:t>
      </w:r>
      <w:r w:rsidR="00B02CA2">
        <w:rPr>
          <w:rFonts w:cs="Open Sans"/>
        </w:rPr>
        <w:t>’</w:t>
      </w:r>
      <w:r w:rsidR="007E28F6">
        <w:rPr>
          <w:rFonts w:cs="Open Sans"/>
          <w:i/>
          <w:iCs/>
        </w:rPr>
        <w:t xml:space="preserve"> </w:t>
      </w:r>
      <w:r w:rsidR="007E28F6">
        <w:rPr>
          <w:rFonts w:cs="Open Sans"/>
        </w:rPr>
        <w:t>(Geneva: ILGA, December 2020)</w:t>
      </w:r>
      <w:r>
        <w:rPr>
          <w:lang w:val="en-US"/>
        </w:rPr>
        <w:t xml:space="preserve"> 25.</w:t>
      </w:r>
      <w:r w:rsidR="00AF69FC" w:rsidRPr="00AF69FC">
        <w:rPr>
          <w:lang w:val="en-US"/>
        </w:rPr>
        <w:t xml:space="preserve"> </w:t>
      </w:r>
    </w:p>
  </w:endnote>
  <w:endnote w:id="89">
    <w:p w14:paraId="1DC97F1D" w14:textId="267317B1" w:rsidR="000D0B91" w:rsidRDefault="000D0B91" w:rsidP="000D0B91">
      <w:pPr>
        <w:pStyle w:val="EndnoteText"/>
      </w:pPr>
      <w:r>
        <w:rPr>
          <w:rStyle w:val="EndnoteReference"/>
        </w:rPr>
        <w:endnoteRef/>
      </w:r>
      <w:r>
        <w:t xml:space="preserve"> </w:t>
      </w:r>
      <w:r w:rsidR="000B0A38">
        <w:t xml:space="preserve">Yilun Wang &amp; Michal Kosinski, ‘Deep Neural Networks are more Accurate than Humans at Detecting Sexual Oreintation from Facial Images’ (2018) 114(2) </w:t>
      </w:r>
      <w:r w:rsidR="000B0A38" w:rsidRPr="427D76A9">
        <w:rPr>
          <w:i/>
          <w:iCs/>
        </w:rPr>
        <w:t xml:space="preserve">Journal of Personality and Social Psychology </w:t>
      </w:r>
      <w:r>
        <w:t>246.</w:t>
      </w:r>
    </w:p>
  </w:endnote>
  <w:endnote w:id="90">
    <w:p w14:paraId="7BB1178F" w14:textId="77777777" w:rsidR="008C248B" w:rsidRDefault="008C248B" w:rsidP="008C248B">
      <w:pPr>
        <w:pStyle w:val="EndnoteText"/>
        <w:rPr>
          <w:highlight w:val="yellow"/>
        </w:rPr>
      </w:pPr>
      <w:r>
        <w:rPr>
          <w:rStyle w:val="EndnoteReference"/>
        </w:rPr>
        <w:endnoteRef/>
      </w:r>
      <w:r w:rsidRPr="427D76A9">
        <w:t xml:space="preserve"> </w:t>
      </w:r>
      <w:r w:rsidRPr="00CA0433">
        <w:t>Toby Walsh, ‘</w:t>
      </w:r>
      <w:r w:rsidRPr="00CA0433">
        <w:rPr>
          <w:i/>
          <w:iCs/>
        </w:rPr>
        <w:t>Machines Behaving Badly: The Morality of AI</w:t>
      </w:r>
      <w:r w:rsidRPr="00CA0433">
        <w:t>’ (Black Inc, Melbourne, 2022)</w:t>
      </w:r>
      <w:r>
        <w:t xml:space="preserve"> 200-201.</w:t>
      </w:r>
    </w:p>
  </w:endnote>
  <w:endnote w:id="91">
    <w:p w14:paraId="064772C6" w14:textId="1FADC022" w:rsidR="00AE4E4C" w:rsidRDefault="00AE4E4C" w:rsidP="00AE4E4C">
      <w:pPr>
        <w:pStyle w:val="EndnoteText"/>
      </w:pPr>
      <w:r>
        <w:rPr>
          <w:rStyle w:val="EndnoteReference"/>
        </w:rPr>
        <w:endnoteRef/>
      </w:r>
      <w:r>
        <w:t xml:space="preserve"> </w:t>
      </w:r>
      <w:r w:rsidR="000B0A38">
        <w:t xml:space="preserve">Yilun Wang &amp; Michal Kosinski, ‘Deep Neural Networks are more Accurate than Humans at Detecting Sexual Oreintation from Facial Images’ (2018) 114(2) </w:t>
      </w:r>
      <w:r w:rsidR="000B0A38" w:rsidRPr="427D76A9">
        <w:rPr>
          <w:i/>
          <w:iCs/>
        </w:rPr>
        <w:t xml:space="preserve">Journal of Personality and Social Psychology </w:t>
      </w:r>
      <w:r w:rsidR="00652F86">
        <w:t>1.</w:t>
      </w:r>
    </w:p>
  </w:endnote>
  <w:endnote w:id="92">
    <w:p w14:paraId="2B7B9393" w14:textId="7CF5440C" w:rsidR="00325D43" w:rsidRDefault="00325D43" w:rsidP="00325D43">
      <w:pPr>
        <w:pStyle w:val="EndnoteText"/>
      </w:pPr>
      <w:r>
        <w:rPr>
          <w:rStyle w:val="EndnoteReference"/>
        </w:rPr>
        <w:endnoteRef/>
      </w:r>
      <w:r>
        <w:t xml:space="preserve"> </w:t>
      </w:r>
      <w:r w:rsidR="00286780">
        <w:t xml:space="preserve">AHRC, Final Report (Final Report, 2021) </w:t>
      </w:r>
      <w:r>
        <w:t>114.</w:t>
      </w:r>
    </w:p>
  </w:endnote>
  <w:endnote w:id="93">
    <w:p w14:paraId="239126D4" w14:textId="68408129" w:rsidR="00E24B90" w:rsidRDefault="00E24B90" w:rsidP="00E24B90">
      <w:pPr>
        <w:pStyle w:val="EndnoteText"/>
      </w:pPr>
      <w:r>
        <w:rPr>
          <w:rStyle w:val="EndnoteReference"/>
        </w:rPr>
        <w:endnoteRef/>
      </w:r>
      <w:r w:rsidR="427D76A9">
        <w:t xml:space="preserve"> </w:t>
      </w:r>
      <w:r w:rsidR="00286780">
        <w:t>AHRC, Final Report (Final Report, 2021) 114</w:t>
      </w:r>
      <w:r w:rsidR="00DD6F17">
        <w:t>.</w:t>
      </w:r>
    </w:p>
  </w:endnote>
  <w:endnote w:id="94">
    <w:p w14:paraId="7FBBAF3E" w14:textId="0DA7E507" w:rsidR="00866041" w:rsidRDefault="00866041" w:rsidP="00866041">
      <w:pPr>
        <w:pStyle w:val="EndnoteText"/>
      </w:pPr>
      <w:r>
        <w:rPr>
          <w:rStyle w:val="EndnoteReference"/>
        </w:rPr>
        <w:endnoteRef/>
      </w:r>
      <w:r w:rsidR="427D76A9">
        <w:t xml:space="preserve"> </w:t>
      </w:r>
      <w:r w:rsidR="00286780">
        <w:t>AHRC, Final Report (Final Report, 2021) 114</w:t>
      </w:r>
      <w:r w:rsidR="427D76A9" w:rsidRPr="427D76A9">
        <w:t>;</w:t>
      </w:r>
      <w:r w:rsidR="427D76A9">
        <w:t xml:space="preserve"> Pete Fussey and Daragh Murray, </w:t>
      </w:r>
      <w:r w:rsidR="00DD6F17">
        <w:t>‘</w:t>
      </w:r>
      <w:r w:rsidR="427D76A9" w:rsidRPr="00DD6F17">
        <w:rPr>
          <w:i/>
          <w:iCs/>
        </w:rPr>
        <w:t>Independent Report on the London Metropolitan Police Service’s Trial of Live Facial Recognition Technology</w:t>
      </w:r>
      <w:r w:rsidR="00DD6F17">
        <w:t>’</w:t>
      </w:r>
      <w:r w:rsidR="427D76A9">
        <w:t xml:space="preserve"> (Human Rights, Big Data and Technology Project, July 2019) 36</w:t>
      </w:r>
      <w:r w:rsidR="00DD6F17">
        <w:t>.</w:t>
      </w:r>
    </w:p>
  </w:endnote>
  <w:endnote w:id="95">
    <w:p w14:paraId="227FD50D" w14:textId="7D09FCEE" w:rsidR="00B002CD" w:rsidRDefault="00B002CD" w:rsidP="00B002CD">
      <w:pPr>
        <w:pStyle w:val="EndnoteText"/>
      </w:pPr>
      <w:r>
        <w:rPr>
          <w:rStyle w:val="EndnoteReference"/>
        </w:rPr>
        <w:endnoteRef/>
      </w:r>
      <w:r>
        <w:t xml:space="preserve"> </w:t>
      </w:r>
      <w:r w:rsidR="00286780">
        <w:t>AHRC, Final Report (Final Report, 2021) 114</w:t>
      </w:r>
      <w:r>
        <w:t>.</w:t>
      </w:r>
    </w:p>
  </w:endnote>
  <w:endnote w:id="96">
    <w:p w14:paraId="2A4B2C30" w14:textId="033929EE" w:rsidR="009B088C" w:rsidRDefault="009B088C" w:rsidP="009B088C">
      <w:pPr>
        <w:pStyle w:val="EndnoteText"/>
      </w:pPr>
      <w:r>
        <w:rPr>
          <w:rStyle w:val="EndnoteReference"/>
        </w:rPr>
        <w:endnoteRef/>
      </w:r>
      <w:r w:rsidR="427D76A9">
        <w:t xml:space="preserve"> </w:t>
      </w:r>
      <w:r w:rsidR="00286780">
        <w:t xml:space="preserve">AHRC, Final Report (Final Report, 2021) </w:t>
      </w:r>
      <w:r w:rsidR="427D76A9">
        <w:t>115</w:t>
      </w:r>
      <w:r w:rsidR="00DD6F17">
        <w:t xml:space="preserve">; </w:t>
      </w:r>
      <w:r w:rsidR="427D76A9">
        <w:t xml:space="preserve">See David Pozen, ‘The Mosaic Theory, National Security, and the Freedom of Information Act’ (2005) 115 </w:t>
      </w:r>
      <w:r w:rsidR="427D76A9" w:rsidRPr="00DD6F17">
        <w:rPr>
          <w:i/>
          <w:iCs/>
        </w:rPr>
        <w:t>Yale Law Journal</w:t>
      </w:r>
      <w:r w:rsidR="427D76A9">
        <w:t xml:space="preserve"> 628</w:t>
      </w:r>
      <w:r w:rsidR="00DD6F17">
        <w:t>.</w:t>
      </w:r>
    </w:p>
  </w:endnote>
  <w:endnote w:id="97">
    <w:p w14:paraId="17B499C9" w14:textId="430A3F7D" w:rsidR="00343178" w:rsidRDefault="00343178" w:rsidP="00343178">
      <w:pPr>
        <w:pStyle w:val="EndnoteText"/>
      </w:pPr>
      <w:r>
        <w:rPr>
          <w:rStyle w:val="EndnoteReference"/>
        </w:rPr>
        <w:endnoteRef/>
      </w:r>
      <w:r w:rsidR="427D76A9">
        <w:t xml:space="preserve"> </w:t>
      </w:r>
      <w:r w:rsidR="00286780">
        <w:t>AHRC, Final Report (Final Report, 2021) 115</w:t>
      </w:r>
      <w:r w:rsidR="427D76A9">
        <w:t xml:space="preserve">; </w:t>
      </w:r>
      <w:r w:rsidR="427D76A9" w:rsidRPr="00DD6F17">
        <w:rPr>
          <w:i/>
          <w:iCs/>
        </w:rPr>
        <w:t>Report of the Special Rapporteur on the Right to Privacy</w:t>
      </w:r>
      <w:r w:rsidR="427D76A9">
        <w:t>, UN Doc A/HRC/40/63 (27 February 2019) 3.</w:t>
      </w:r>
    </w:p>
  </w:endnote>
  <w:endnote w:id="98">
    <w:p w14:paraId="0C2A3CCB" w14:textId="7B3288CF" w:rsidR="00343178" w:rsidRDefault="00343178" w:rsidP="00343178">
      <w:pPr>
        <w:pStyle w:val="EndnoteText"/>
      </w:pPr>
      <w:r>
        <w:rPr>
          <w:rStyle w:val="EndnoteReference"/>
        </w:rPr>
        <w:endnoteRef/>
      </w:r>
      <w:r w:rsidR="427D76A9">
        <w:t xml:space="preserve"> </w:t>
      </w:r>
      <w:r w:rsidR="00286780">
        <w:t>AHRC, Final Report (Final Report, 2021) 115</w:t>
      </w:r>
      <w:r w:rsidR="00DD6F17">
        <w:t>;</w:t>
      </w:r>
      <w:r w:rsidR="427D76A9">
        <w:t xml:space="preserve"> See</w:t>
      </w:r>
      <w:r w:rsidR="00DD6F17">
        <w:t xml:space="preserve"> e.g.</w:t>
      </w:r>
      <w:r w:rsidR="427D76A9">
        <w:t xml:space="preserve"> Human Rights Watch, </w:t>
      </w:r>
      <w:r w:rsidR="00DD6F17">
        <w:t>‘</w:t>
      </w:r>
      <w:r w:rsidR="427D76A9" w:rsidRPr="00DD6F17">
        <w:rPr>
          <w:i/>
          <w:iCs/>
        </w:rPr>
        <w:t>China’s Algorithms of Repression: Reverse Engineering a Xinjiang Police Mass Surveillance App</w:t>
      </w:r>
      <w:r w:rsidR="00DD6F17">
        <w:t>’</w:t>
      </w:r>
      <w:r w:rsidR="427D76A9">
        <w:t xml:space="preserve"> (</w:t>
      </w:r>
      <w:r w:rsidR="00DD6F17">
        <w:t xml:space="preserve">Report, </w:t>
      </w:r>
      <w:r w:rsidR="427D76A9">
        <w:t>1 May 2019)</w:t>
      </w:r>
      <w:r w:rsidR="00DD6F17">
        <w:t>.</w:t>
      </w:r>
    </w:p>
  </w:endnote>
  <w:endnote w:id="99">
    <w:p w14:paraId="3C996EE4" w14:textId="45A32D36" w:rsidR="00260100" w:rsidRDefault="00260100" w:rsidP="00260100">
      <w:pPr>
        <w:pStyle w:val="EndnoteText"/>
      </w:pPr>
      <w:r>
        <w:rPr>
          <w:rStyle w:val="EndnoteReference"/>
        </w:rPr>
        <w:endnoteRef/>
      </w:r>
      <w:r>
        <w:t xml:space="preserve"> Bobby Allyn, ‘</w:t>
      </w:r>
      <w:r w:rsidRPr="00987BA3">
        <w:t>The Computer Got It Wrong': How Facial Recognition Led To False Arrest Of Black Man</w:t>
      </w:r>
      <w:r>
        <w:t xml:space="preserve">’ </w:t>
      </w:r>
      <w:r w:rsidR="00E0342E" w:rsidRPr="00E0342E">
        <w:rPr>
          <w:i/>
          <w:iCs/>
        </w:rPr>
        <w:t>NPR</w:t>
      </w:r>
      <w:r w:rsidR="00E0342E">
        <w:t xml:space="preserve"> (online, </w:t>
      </w:r>
      <w:r>
        <w:t>24 June 2020</w:t>
      </w:r>
      <w:r w:rsidR="00E0342E">
        <w:t>)</w:t>
      </w:r>
      <w:r w:rsidR="00720499">
        <w:t xml:space="preserve"> </w:t>
      </w:r>
      <w:hyperlink r:id="rId14" w:anchor=":~:text=Bobby%20Allyn-,'The%20Computer%20Got%20It%20Wrong'%3A%20How%20Facial%20Recognition%20Led,False%20Arrest%20Of%20Black%20Man&amp;text=Police%20in%20Detroit%20were%20trying,estimated%20%243%2C800%20worth%20of%20merchandise" w:history="1">
        <w:r w:rsidR="00720499" w:rsidRPr="00686642">
          <w:rPr>
            <w:rStyle w:val="Hyperlink"/>
          </w:rPr>
          <w:t>https://www.npr.org/2020/06/24/882683463/the-computer-got-it-wrong-how-facial-recognition-led-to-a-false-arrest-in-michig#:~:text=Bobby%20Allyn-,'The%20Computer%20Got%20It%20Wrong'%3A%20How%20Facial%20Recognition%20Led,False%20Arrest%20Of%20Black%20Man&amp;text=Police%20in%20Detroit%20were%20trying,estimated%20%243%2C800%20worth%20of%20merchandise</w:t>
        </w:r>
      </w:hyperlink>
      <w:r w:rsidR="00411B0F">
        <w:t>.</w:t>
      </w:r>
      <w:r w:rsidR="00720499">
        <w:t xml:space="preserve"> </w:t>
      </w:r>
    </w:p>
  </w:endnote>
  <w:endnote w:id="100">
    <w:p w14:paraId="6E1A315C" w14:textId="3EAC2976" w:rsidR="00FF43C9" w:rsidRDefault="00FF43C9" w:rsidP="00FF43C9">
      <w:pPr>
        <w:pStyle w:val="EndnoteText"/>
      </w:pPr>
      <w:r w:rsidRPr="004877DD">
        <w:rPr>
          <w:rStyle w:val="EndnoteReference"/>
        </w:rPr>
        <w:endnoteRef/>
      </w:r>
      <w:r>
        <w:t xml:space="preserve"> See</w:t>
      </w:r>
      <w:r w:rsidR="004877DD">
        <w:t xml:space="preserve"> e.g.</w:t>
      </w:r>
      <w:r>
        <w:t xml:space="preserve"> Joy Buolamwini and Timinit Guru, ‘Gender Shades: Intersectional Accuracy Disparities in Commercial Gender Classification’ (2018) 81 </w:t>
      </w:r>
      <w:r w:rsidRPr="004877DD">
        <w:rPr>
          <w:i/>
          <w:iCs/>
        </w:rPr>
        <w:t>Proceedings of Machine Learning Research</w:t>
      </w:r>
      <w:r>
        <w:t xml:space="preserve"> 1; KS Krishnapriya, Kushal Vangara, Michael C King, Vitor Albiero and Kevin Bowyer, ‘Characterizing the Variability in Face Recognition Accuracy Relative to Race’ (Conference Paper, IEEE/CVF Conference on Computer Vision and Pattern Recognition Workshops, 2019); Inioluwa Deborah Raji and Joy Buolamwini, ‘Actionable Auditing: Investigating the Impact of Publicly Naming Biased Performance Results of Commercial AI Products’ (Conference on Artificial Intelligence, Ethics, and Society, 2019).</w:t>
      </w:r>
    </w:p>
  </w:endnote>
  <w:endnote w:id="101">
    <w:p w14:paraId="653FED2E" w14:textId="72DAA50B" w:rsidR="00260100" w:rsidRPr="00EF34CE" w:rsidRDefault="00260100" w:rsidP="00260100">
      <w:pPr>
        <w:pStyle w:val="EndnoteText"/>
        <w:rPr>
          <w:highlight w:val="yellow"/>
        </w:rPr>
      </w:pPr>
      <w:r>
        <w:rPr>
          <w:rStyle w:val="EndnoteReference"/>
        </w:rPr>
        <w:endnoteRef/>
      </w:r>
      <w:r>
        <w:t xml:space="preserve"> </w:t>
      </w:r>
      <w:r w:rsidR="00CD7C11">
        <w:t>Larry Magid, ‘</w:t>
      </w:r>
      <w:r w:rsidR="00CD7C11" w:rsidRPr="00CD7C11">
        <w:t>IBM, Microsoft And Amazon Not Letting Police Use Their Facial Recognition Technology</w:t>
      </w:r>
      <w:r w:rsidR="00CD7C11">
        <w:t xml:space="preserve">’ </w:t>
      </w:r>
      <w:r w:rsidR="00CD7C11" w:rsidRPr="00E72FBB">
        <w:rPr>
          <w:i/>
          <w:iCs/>
        </w:rPr>
        <w:t>Forbes</w:t>
      </w:r>
      <w:r w:rsidR="00CD7C11">
        <w:t xml:space="preserve"> (online, </w:t>
      </w:r>
      <w:r w:rsidR="00E72FBB">
        <w:t xml:space="preserve">12 June 2020) </w:t>
      </w:r>
      <w:hyperlink r:id="rId15" w:history="1">
        <w:r w:rsidR="00E72FBB" w:rsidRPr="00686642">
          <w:rPr>
            <w:rStyle w:val="Hyperlink"/>
          </w:rPr>
          <w:t>https://www.forbes.com/sites/larrymagid/2020/06/12/ibm-microsoft-and-amazon-not-letting-police-use-their-facial-recognition-technology/?sh=15a148191887</w:t>
        </w:r>
      </w:hyperlink>
      <w:r w:rsidR="00E72FBB">
        <w:t xml:space="preserve">.  </w:t>
      </w:r>
      <w:r w:rsidRPr="427D76A9">
        <w:t xml:space="preserve"> </w:t>
      </w:r>
    </w:p>
  </w:endnote>
  <w:endnote w:id="102">
    <w:p w14:paraId="5DF873B5" w14:textId="290DAD75" w:rsidR="0038377D" w:rsidRDefault="0038377D" w:rsidP="427D76A9">
      <w:pPr>
        <w:pStyle w:val="EndnoteText"/>
        <w:rPr>
          <w:highlight w:val="yellow"/>
        </w:rPr>
      </w:pPr>
      <w:r w:rsidRPr="00F00D01">
        <w:rPr>
          <w:rStyle w:val="EndnoteReference"/>
        </w:rPr>
        <w:endnoteRef/>
      </w:r>
      <w:r w:rsidR="427D76A9" w:rsidRPr="00F00D01">
        <w:t xml:space="preserve"> </w:t>
      </w:r>
      <w:r w:rsidR="006C5040" w:rsidRPr="00F00D01">
        <w:rPr>
          <w:color w:val="181818"/>
        </w:rPr>
        <w:t>Toby Walsh, ‘</w:t>
      </w:r>
      <w:r w:rsidR="006C5040" w:rsidRPr="00F00D01">
        <w:rPr>
          <w:i/>
          <w:iCs/>
          <w:color w:val="181818"/>
        </w:rPr>
        <w:t>Machines Behaving Badly: The Morality of AI</w:t>
      </w:r>
      <w:r w:rsidR="006C5040" w:rsidRPr="00F00D01">
        <w:rPr>
          <w:color w:val="181818"/>
        </w:rPr>
        <w:t xml:space="preserve">’ (Black Inc, Melbourne, 2022) </w:t>
      </w:r>
      <w:r w:rsidR="427D76A9" w:rsidRPr="00F00D01">
        <w:t>195</w:t>
      </w:r>
      <w:r w:rsidR="006C5040" w:rsidRPr="00F00D01">
        <w:t>.</w:t>
      </w:r>
      <w:r w:rsidR="427D76A9" w:rsidRPr="00F00D01">
        <w:t xml:space="preserve"> </w:t>
      </w:r>
    </w:p>
  </w:endnote>
  <w:endnote w:id="103">
    <w:p w14:paraId="76E5645A" w14:textId="050F4D4A" w:rsidR="00544AC3" w:rsidRDefault="00544AC3">
      <w:pPr>
        <w:pStyle w:val="EndnoteText"/>
      </w:pPr>
      <w:r>
        <w:rPr>
          <w:rStyle w:val="EndnoteReference"/>
        </w:rPr>
        <w:endnoteRef/>
      </w:r>
      <w:r w:rsidR="427D76A9">
        <w:t xml:space="preserve"> </w:t>
      </w:r>
      <w:r w:rsidR="002F06A3">
        <w:t xml:space="preserve">Ryan </w:t>
      </w:r>
      <w:r w:rsidR="427D76A9">
        <w:t>Mac, et al</w:t>
      </w:r>
      <w:r w:rsidR="002F06A3">
        <w:t>.</w:t>
      </w:r>
      <w:r w:rsidR="427D76A9">
        <w:t>,</w:t>
      </w:r>
      <w:r w:rsidR="002F06A3">
        <w:t xml:space="preserve"> </w:t>
      </w:r>
      <w:r w:rsidR="427D76A9">
        <w:t xml:space="preserve">’Surveillance Nation’ </w:t>
      </w:r>
      <w:r w:rsidR="427D76A9" w:rsidRPr="002F06A3">
        <w:rPr>
          <w:i/>
          <w:iCs/>
        </w:rPr>
        <w:t>Buzzfeed</w:t>
      </w:r>
      <w:r w:rsidR="002F06A3" w:rsidRPr="002F06A3">
        <w:rPr>
          <w:i/>
          <w:iCs/>
        </w:rPr>
        <w:t xml:space="preserve"> News</w:t>
      </w:r>
      <w:r w:rsidR="427D76A9">
        <w:t xml:space="preserve"> (</w:t>
      </w:r>
      <w:r w:rsidR="00F00D01">
        <w:t xml:space="preserve">online, </w:t>
      </w:r>
      <w:r w:rsidR="427D76A9">
        <w:t xml:space="preserve">April 6 2021) </w:t>
      </w:r>
      <w:hyperlink r:id="rId16" w:history="1">
        <w:r w:rsidR="00F00D01" w:rsidRPr="00686642">
          <w:rPr>
            <w:rStyle w:val="Hyperlink"/>
          </w:rPr>
          <w:t>https://www.buzzfeednews.com/article/ryanmac/clearview-ai-local-police-facial-recognition</w:t>
        </w:r>
      </w:hyperlink>
      <w:r w:rsidR="00F00D01">
        <w:t>.</w:t>
      </w:r>
    </w:p>
  </w:endnote>
  <w:endnote w:id="104">
    <w:p w14:paraId="5330983F" w14:textId="1B15D213" w:rsidR="004D69B8" w:rsidRDefault="004D69B8">
      <w:pPr>
        <w:pStyle w:val="EndnoteText"/>
      </w:pPr>
      <w:r>
        <w:rPr>
          <w:rStyle w:val="EndnoteReference"/>
        </w:rPr>
        <w:endnoteRef/>
      </w:r>
      <w:r>
        <w:t xml:space="preserve"> OAIC, ‘</w:t>
      </w:r>
      <w:r w:rsidRPr="004D69B8">
        <w:rPr>
          <w:i/>
          <w:iCs/>
        </w:rPr>
        <w:t>Clearview AI breached Australians’ privacy</w:t>
      </w:r>
      <w:r>
        <w:t>’ (Media Release, 03 November 2021).</w:t>
      </w:r>
    </w:p>
  </w:endnote>
  <w:endnote w:id="105">
    <w:p w14:paraId="76547ED9" w14:textId="416B969D" w:rsidR="00060C6D" w:rsidRDefault="00060C6D">
      <w:pPr>
        <w:pStyle w:val="EndnoteText"/>
      </w:pPr>
      <w:r>
        <w:rPr>
          <w:rStyle w:val="EndnoteReference"/>
        </w:rPr>
        <w:endnoteRef/>
      </w:r>
      <w:r>
        <w:t xml:space="preserve"> OAIC, ‘</w:t>
      </w:r>
      <w:r w:rsidRPr="00060C6D">
        <w:rPr>
          <w:i/>
          <w:iCs/>
        </w:rPr>
        <w:t>OAIC and ICO conclude joint investigation into Clearview AI</w:t>
      </w:r>
      <w:r>
        <w:t>’ (Media Release, 03 November 2021).</w:t>
      </w:r>
    </w:p>
  </w:endnote>
  <w:endnote w:id="106">
    <w:p w14:paraId="47061913" w14:textId="6D52546B" w:rsidR="00820F2D" w:rsidRPr="003426B1" w:rsidRDefault="00820F2D">
      <w:pPr>
        <w:pStyle w:val="EndnoteText"/>
        <w:rPr>
          <w:lang w:val="en-US"/>
        </w:rPr>
      </w:pPr>
      <w:r>
        <w:rPr>
          <w:rStyle w:val="EndnoteReference"/>
        </w:rPr>
        <w:endnoteRef/>
      </w:r>
      <w:r>
        <w:t xml:space="preserve"> </w:t>
      </w:r>
      <w:r w:rsidR="000B0A38">
        <w:t>OAIC, ‘</w:t>
      </w:r>
      <w:r w:rsidR="000B0A38" w:rsidRPr="004D69B8">
        <w:rPr>
          <w:i/>
          <w:iCs/>
        </w:rPr>
        <w:t>Clearview AI breached Australians’ privacy</w:t>
      </w:r>
      <w:r w:rsidR="000B0A38">
        <w:t>’ (Media Release, 03 November 2021)</w:t>
      </w:r>
      <w:r w:rsidR="00472F10">
        <w:rPr>
          <w:lang w:val="en-US"/>
        </w:rPr>
        <w:t xml:space="preserve">. </w:t>
      </w:r>
    </w:p>
  </w:endnote>
  <w:endnote w:id="107">
    <w:p w14:paraId="5F5E25F9" w14:textId="1ED6D1A0" w:rsidR="008B7F50" w:rsidRDefault="008B7F50" w:rsidP="008B7F50">
      <w:pPr>
        <w:pStyle w:val="EndnoteText"/>
      </w:pPr>
      <w:r>
        <w:rPr>
          <w:rStyle w:val="EndnoteReference"/>
        </w:rPr>
        <w:endnoteRef/>
      </w:r>
      <w:r>
        <w:t xml:space="preserve"> </w:t>
      </w:r>
      <w:r w:rsidR="000B0A38">
        <w:t xml:space="preserve">Ryan Mac, et al., ’Surveillance Nation’ </w:t>
      </w:r>
      <w:r w:rsidR="000B0A38" w:rsidRPr="002F06A3">
        <w:rPr>
          <w:i/>
          <w:iCs/>
        </w:rPr>
        <w:t>Buzzfeed News</w:t>
      </w:r>
      <w:r w:rsidR="000B0A38">
        <w:t xml:space="preserve"> (online, April 6 2021) </w:t>
      </w:r>
      <w:hyperlink r:id="rId17" w:history="1">
        <w:r w:rsidR="000B0A38" w:rsidRPr="00686642">
          <w:rPr>
            <w:rStyle w:val="Hyperlink"/>
          </w:rPr>
          <w:t>https://www.buzzfeednews.com/article/ryanmac/clearview-ai-local-police-facial-recognition</w:t>
        </w:r>
      </w:hyperlink>
      <w:r>
        <w:t>; Ed Markey, ‘</w:t>
      </w:r>
      <w:r w:rsidRPr="004847AA">
        <w:rPr>
          <w:i/>
          <w:iCs/>
        </w:rPr>
        <w:t>Senators Markey, Merkley lead colleagues on legislation to ban government use of facial recognition, other biometric technology</w:t>
      </w:r>
      <w:r>
        <w:t xml:space="preserve">’ (Press Release, 15 June 2021). </w:t>
      </w:r>
    </w:p>
  </w:endnote>
  <w:endnote w:id="108">
    <w:p w14:paraId="2915B6D7" w14:textId="77777777" w:rsidR="006D2AB1" w:rsidRPr="007520DB" w:rsidRDefault="006D2AB1" w:rsidP="006D2AB1">
      <w:pPr>
        <w:pStyle w:val="EndnoteText"/>
        <w:rPr>
          <w:rFonts w:cs="Open Sans"/>
        </w:rPr>
      </w:pPr>
      <w:r w:rsidRPr="007520DB">
        <w:rPr>
          <w:rStyle w:val="EndnoteReference"/>
          <w:rFonts w:cs="Open Sans"/>
        </w:rPr>
        <w:endnoteRef/>
      </w:r>
      <w:r w:rsidRPr="007520DB">
        <w:rPr>
          <w:rFonts w:cs="Open Sans"/>
        </w:rPr>
        <w:t xml:space="preserve"> John </w:t>
      </w:r>
      <w:r w:rsidRPr="007520DB">
        <w:rPr>
          <w:rFonts w:cs="Open Sans"/>
          <w:lang w:val="en-GB"/>
        </w:rPr>
        <w:t xml:space="preserve">Tobin (ed), </w:t>
      </w:r>
      <w:r w:rsidRPr="007520DB">
        <w:rPr>
          <w:rFonts w:cs="Open Sans"/>
          <w:i/>
          <w:iCs/>
          <w:lang w:val="en-GB"/>
        </w:rPr>
        <w:t xml:space="preserve">The UN Convention on the Rights of the Child </w:t>
      </w:r>
      <w:r w:rsidRPr="007520DB">
        <w:rPr>
          <w:rFonts w:cs="Open Sans"/>
          <w:lang w:val="en-GB"/>
        </w:rPr>
        <w:t xml:space="preserve">(OUP, 2019), </w:t>
      </w:r>
      <w:r w:rsidRPr="007520DB">
        <w:rPr>
          <w:rFonts w:cs="Open Sans"/>
        </w:rPr>
        <w:t>570.</w:t>
      </w:r>
    </w:p>
  </w:endnote>
  <w:endnote w:id="109">
    <w:p w14:paraId="411418DE" w14:textId="7C63B679" w:rsidR="006D2AB1" w:rsidRPr="007520DB" w:rsidRDefault="006D2AB1" w:rsidP="006D2AB1">
      <w:pPr>
        <w:pStyle w:val="EndnoteText"/>
        <w:rPr>
          <w:rFonts w:cs="Open Sans"/>
          <w:lang w:val="en-GB"/>
        </w:rPr>
      </w:pPr>
      <w:r w:rsidRPr="007520DB">
        <w:rPr>
          <w:rStyle w:val="EndnoteReference"/>
          <w:rFonts w:cs="Open Sans"/>
        </w:rPr>
        <w:endnoteRef/>
      </w:r>
      <w:r w:rsidRPr="007520DB">
        <w:rPr>
          <w:rFonts w:cs="Open Sans"/>
        </w:rPr>
        <w:t xml:space="preserve"> Committee on the Rights of the Child, General Comment No. 25 (2021) UN Doc CRC/C/GC/25 </w:t>
      </w:r>
      <w:r w:rsidR="002F06A3">
        <w:rPr>
          <w:rFonts w:cs="Open Sans"/>
        </w:rPr>
        <w:t>(‘</w:t>
      </w:r>
      <w:r w:rsidR="00780394">
        <w:rPr>
          <w:rFonts w:cs="Open Sans"/>
        </w:rPr>
        <w:t xml:space="preserve">CRC General Comment 25’) </w:t>
      </w:r>
      <w:r w:rsidRPr="007520DB">
        <w:rPr>
          <w:rFonts w:cs="Open Sans"/>
        </w:rPr>
        <w:t>68.</w:t>
      </w:r>
    </w:p>
  </w:endnote>
  <w:endnote w:id="110">
    <w:p w14:paraId="3B0AD06B" w14:textId="15426FD3" w:rsidR="006D2AB1" w:rsidRPr="007520DB" w:rsidRDefault="006D2AB1" w:rsidP="006D2AB1">
      <w:pPr>
        <w:pStyle w:val="EndnoteText"/>
        <w:rPr>
          <w:rFonts w:cs="Open Sans"/>
        </w:rPr>
      </w:pPr>
      <w:r w:rsidRPr="007520DB">
        <w:rPr>
          <w:rStyle w:val="EndnoteReference"/>
          <w:rFonts w:cs="Open Sans"/>
        </w:rPr>
        <w:endnoteRef/>
      </w:r>
      <w:r w:rsidRPr="007520DB">
        <w:rPr>
          <w:rFonts w:cs="Open Sans"/>
        </w:rPr>
        <w:t xml:space="preserve"> </w:t>
      </w:r>
      <w:r w:rsidR="005F5046">
        <w:rPr>
          <w:rFonts w:cs="Open Sans"/>
        </w:rPr>
        <w:t>CRC General Comment 25 68</w:t>
      </w:r>
      <w:r w:rsidRPr="007520DB">
        <w:rPr>
          <w:rFonts w:cs="Open Sans"/>
        </w:rPr>
        <w:t>.</w:t>
      </w:r>
    </w:p>
  </w:endnote>
  <w:endnote w:id="111">
    <w:p w14:paraId="28EA758F" w14:textId="503625B6" w:rsidR="006D2AB1" w:rsidRPr="007520DB" w:rsidRDefault="006D2AB1" w:rsidP="006D2AB1">
      <w:pPr>
        <w:pStyle w:val="EndnoteText"/>
        <w:rPr>
          <w:rFonts w:cs="Open Sans"/>
        </w:rPr>
      </w:pPr>
      <w:r w:rsidRPr="007520DB">
        <w:rPr>
          <w:rStyle w:val="EndnoteReference"/>
          <w:rFonts w:cs="Open Sans"/>
        </w:rPr>
        <w:endnoteRef/>
      </w:r>
      <w:r w:rsidRPr="007520DB">
        <w:rPr>
          <w:rFonts w:cs="Open Sans"/>
        </w:rPr>
        <w:t xml:space="preserve"> Committee on the Rights of the Child, General Comment No. 16 (2013)</w:t>
      </w:r>
      <w:r w:rsidRPr="007520DB">
        <w:rPr>
          <w:rFonts w:ascii="Helvetica" w:hAnsi="Helvetica" w:cs="Helvetica"/>
          <w:color w:val="3F3F3F"/>
          <w:sz w:val="19"/>
          <w:szCs w:val="19"/>
          <w:shd w:val="clear" w:color="auto" w:fill="F9F9F9"/>
        </w:rPr>
        <w:t xml:space="preserve"> </w:t>
      </w:r>
      <w:r w:rsidRPr="007520DB">
        <w:rPr>
          <w:rFonts w:cs="Open Sans"/>
        </w:rPr>
        <w:t>CRC/C/GC/16</w:t>
      </w:r>
      <w:r w:rsidR="00780394">
        <w:rPr>
          <w:rFonts w:cs="Open Sans"/>
        </w:rPr>
        <w:t xml:space="preserve"> </w:t>
      </w:r>
      <w:r w:rsidRPr="007520DB">
        <w:rPr>
          <w:rFonts w:cs="Open Sans"/>
        </w:rPr>
        <w:t xml:space="preserve">12. </w:t>
      </w:r>
    </w:p>
  </w:endnote>
  <w:endnote w:id="112">
    <w:p w14:paraId="45ACBCE0" w14:textId="77777777" w:rsidR="006D2AB1" w:rsidRPr="007520DB" w:rsidRDefault="006D2AB1" w:rsidP="006D2AB1">
      <w:pPr>
        <w:pStyle w:val="EndnoteText"/>
        <w:rPr>
          <w:rFonts w:cs="Open Sans"/>
        </w:rPr>
      </w:pPr>
      <w:r w:rsidRPr="007520DB">
        <w:rPr>
          <w:rStyle w:val="EndnoteReference"/>
          <w:rFonts w:cs="Open Sans"/>
        </w:rPr>
        <w:endnoteRef/>
      </w:r>
      <w:r w:rsidRPr="007520DB">
        <w:rPr>
          <w:rFonts w:cs="Open Sans"/>
        </w:rPr>
        <w:t xml:space="preserve"> Human Rights Council,</w:t>
      </w:r>
      <w:r w:rsidRPr="427D76A9">
        <w:rPr>
          <w:rFonts w:cs="Open Sans"/>
          <w:i/>
          <w:iCs/>
        </w:rPr>
        <w:t xml:space="preserve"> Report of the Special Rapporteur on the Right to Privacy</w:t>
      </w:r>
      <w:r w:rsidRPr="007520DB">
        <w:rPr>
          <w:rFonts w:cs="Open Sans"/>
        </w:rPr>
        <w:t>, Joseph Cannataci, on Artificial Intelligence and Privacy, and Children’s Privacy (2021) UN Doc A/HRC/46/37 [72].</w:t>
      </w:r>
    </w:p>
  </w:endnote>
  <w:endnote w:id="113">
    <w:p w14:paraId="3B596945" w14:textId="228D345D" w:rsidR="005B2879" w:rsidRDefault="005B2879">
      <w:pPr>
        <w:pStyle w:val="EndnoteText"/>
      </w:pPr>
      <w:r>
        <w:rPr>
          <w:rStyle w:val="EndnoteReference"/>
        </w:rPr>
        <w:endnoteRef/>
      </w:r>
      <w:r>
        <w:t xml:space="preserve"> </w:t>
      </w:r>
      <w:r w:rsidR="00DD730E">
        <w:t xml:space="preserve">ACCC, </w:t>
      </w:r>
      <w:r w:rsidR="00316422">
        <w:t>‘</w:t>
      </w:r>
      <w:r w:rsidR="00DD730E" w:rsidRPr="00316422">
        <w:rPr>
          <w:i/>
          <w:iCs/>
        </w:rPr>
        <w:t>Digital Platforms Inquiry – Final Report</w:t>
      </w:r>
      <w:r w:rsidR="00316422">
        <w:t xml:space="preserve">’ (Commonwealth of Australia, Report, 2019) </w:t>
      </w:r>
      <w:r w:rsidR="00DD730E">
        <w:t>447-448</w:t>
      </w:r>
      <w:r w:rsidR="00316422">
        <w:t>.</w:t>
      </w:r>
    </w:p>
  </w:endnote>
  <w:endnote w:id="114">
    <w:p w14:paraId="767B3CA6" w14:textId="3A7AEE48" w:rsidR="002B1FA2" w:rsidRDefault="002B1FA2">
      <w:pPr>
        <w:pStyle w:val="EndnoteText"/>
      </w:pPr>
      <w:r>
        <w:rPr>
          <w:rStyle w:val="EndnoteReference"/>
        </w:rPr>
        <w:endnoteRef/>
      </w:r>
      <w:r w:rsidR="427D76A9">
        <w:t xml:space="preserve"> </w:t>
      </w:r>
      <w:r w:rsidR="427D76A9" w:rsidRPr="002B1FA2">
        <w:t xml:space="preserve">OAIC, </w:t>
      </w:r>
      <w:r w:rsidR="00BC671F">
        <w:t>‘</w:t>
      </w:r>
      <w:r w:rsidR="427D76A9" w:rsidRPr="00BC671F">
        <w:rPr>
          <w:i/>
          <w:iCs/>
        </w:rPr>
        <w:t>Privacy Tips for Parents and Carers</w:t>
      </w:r>
      <w:r w:rsidR="00BC671F">
        <w:t>’</w:t>
      </w:r>
      <w:r w:rsidR="427D76A9" w:rsidRPr="002B1FA2">
        <w:t xml:space="preserve"> OAIC website.</w:t>
      </w:r>
    </w:p>
  </w:endnote>
  <w:endnote w:id="115">
    <w:p w14:paraId="013E868F" w14:textId="7AB52671" w:rsidR="007F291C" w:rsidRPr="007520DB" w:rsidRDefault="007F291C" w:rsidP="007F291C">
      <w:pPr>
        <w:pStyle w:val="EndnoteText"/>
        <w:rPr>
          <w:rFonts w:cs="Open Sans"/>
        </w:rPr>
      </w:pPr>
      <w:r w:rsidRPr="007520DB">
        <w:rPr>
          <w:rStyle w:val="EndnoteReference"/>
          <w:rFonts w:cs="Open Sans"/>
        </w:rPr>
        <w:endnoteRef/>
      </w:r>
      <w:r w:rsidRPr="007520DB">
        <w:rPr>
          <w:rFonts w:cs="Open Sans"/>
        </w:rPr>
        <w:t xml:space="preserve"> </w:t>
      </w:r>
      <w:r w:rsidR="00780394">
        <w:rPr>
          <w:rFonts w:cs="Open Sans"/>
        </w:rPr>
        <w:t>CRC General Comment 25</w:t>
      </w:r>
      <w:r w:rsidRPr="007520DB">
        <w:rPr>
          <w:rFonts w:cs="Open Sans"/>
        </w:rPr>
        <w:t xml:space="preserve"> 14-15.</w:t>
      </w:r>
    </w:p>
  </w:endnote>
  <w:endnote w:id="116">
    <w:p w14:paraId="56BCD93D" w14:textId="77777777" w:rsidR="007F291C" w:rsidRDefault="007F291C" w:rsidP="007F291C">
      <w:pPr>
        <w:pStyle w:val="EndnoteText"/>
      </w:pPr>
      <w:r>
        <w:rPr>
          <w:rStyle w:val="EndnoteReference"/>
        </w:rPr>
        <w:endnoteRef/>
      </w:r>
      <w:r>
        <w:t xml:space="preserve"> </w:t>
      </w:r>
      <w:bookmarkStart w:id="53" w:name="_Hlk88563861"/>
      <w:r w:rsidRPr="00DD2061">
        <w:t>Antonia Quadara</w:t>
      </w:r>
      <w:r w:rsidRPr="009309F4">
        <w:t>, Alissar El-Murr and Joe Latham</w:t>
      </w:r>
      <w:r>
        <w:t xml:space="preserve">, </w:t>
      </w:r>
      <w:r w:rsidRPr="00312379">
        <w:t>‘</w:t>
      </w:r>
      <w:r w:rsidRPr="00DD2061">
        <w:rPr>
          <w:i/>
          <w:iCs/>
        </w:rPr>
        <w:t>The effects of pornography on children and young people</w:t>
      </w:r>
      <w:r>
        <w:t>’</w:t>
      </w:r>
      <w:r>
        <w:rPr>
          <w:i/>
          <w:iCs/>
        </w:rPr>
        <w:t xml:space="preserve"> </w:t>
      </w:r>
      <w:r>
        <w:t>(Australian Institute of Family Studies, December 2017).</w:t>
      </w:r>
      <w:bookmarkEnd w:id="53"/>
    </w:p>
  </w:endnote>
  <w:endnote w:id="117">
    <w:p w14:paraId="25E6E955" w14:textId="77777777" w:rsidR="007F291C" w:rsidRDefault="007F291C" w:rsidP="007F291C">
      <w:pPr>
        <w:pStyle w:val="EndnoteText"/>
      </w:pPr>
      <w:r>
        <w:rPr>
          <w:rStyle w:val="EndnoteReference"/>
        </w:rPr>
        <w:endnoteRef/>
      </w:r>
      <w:r>
        <w:t xml:space="preserve"> Our Watch, ‘</w:t>
      </w:r>
      <w:r>
        <w:rPr>
          <w:i/>
          <w:iCs/>
        </w:rPr>
        <w:t>Pornography, young people and preventing violence against women</w:t>
      </w:r>
      <w:r>
        <w:t>’</w:t>
      </w:r>
      <w:r>
        <w:rPr>
          <w:i/>
          <w:iCs/>
        </w:rPr>
        <w:t xml:space="preserve"> </w:t>
      </w:r>
      <w:r>
        <w:t xml:space="preserve">(Background Paper, 2020) </w:t>
      </w:r>
      <w:r w:rsidRPr="00B618FE">
        <w:t>14</w:t>
      </w:r>
      <w:r>
        <w:t>.</w:t>
      </w:r>
    </w:p>
  </w:endnote>
  <w:endnote w:id="118">
    <w:p w14:paraId="26921D99" w14:textId="4EE81D3C" w:rsidR="007F291C" w:rsidRDefault="007F291C" w:rsidP="007F291C">
      <w:pPr>
        <w:pStyle w:val="EndnoteText"/>
      </w:pPr>
      <w:r>
        <w:rPr>
          <w:rStyle w:val="EndnoteReference"/>
        </w:rPr>
        <w:endnoteRef/>
      </w:r>
      <w:r>
        <w:t xml:space="preserve"> </w:t>
      </w:r>
      <w:r w:rsidR="005F5046">
        <w:t>Our Watch, ‘</w:t>
      </w:r>
      <w:r w:rsidR="005F5046">
        <w:rPr>
          <w:i/>
          <w:iCs/>
        </w:rPr>
        <w:t>Pornography, young people and preventing violence against women</w:t>
      </w:r>
      <w:r w:rsidR="005F5046">
        <w:t>’</w:t>
      </w:r>
      <w:r w:rsidR="005F5046">
        <w:rPr>
          <w:i/>
          <w:iCs/>
        </w:rPr>
        <w:t xml:space="preserve"> </w:t>
      </w:r>
      <w:r w:rsidR="005F5046">
        <w:t xml:space="preserve">(Background Paper, 2020) </w:t>
      </w:r>
      <w:r w:rsidR="005F5046" w:rsidRPr="00B618FE">
        <w:t>14</w:t>
      </w:r>
      <w:r w:rsidRPr="004A6B85">
        <w:t>.</w:t>
      </w:r>
    </w:p>
  </w:endnote>
  <w:endnote w:id="119">
    <w:p w14:paraId="4E864781" w14:textId="31E81F95" w:rsidR="007F291C" w:rsidRPr="007520DB" w:rsidRDefault="007F291C" w:rsidP="007F291C">
      <w:pPr>
        <w:pStyle w:val="EndnoteText"/>
        <w:rPr>
          <w:rFonts w:cs="Open Sans"/>
        </w:rPr>
      </w:pPr>
      <w:r w:rsidRPr="007520DB">
        <w:rPr>
          <w:rStyle w:val="EndnoteReference"/>
          <w:rFonts w:cs="Open Sans"/>
        </w:rPr>
        <w:endnoteRef/>
      </w:r>
      <w:r w:rsidRPr="007520DB">
        <w:rPr>
          <w:rFonts w:cs="Open Sans"/>
        </w:rPr>
        <w:t xml:space="preserve"> </w:t>
      </w:r>
      <w:r w:rsidR="00D9004F">
        <w:rPr>
          <w:rFonts w:cs="Open Sans"/>
        </w:rPr>
        <w:t xml:space="preserve">CRC General Comment 25 </w:t>
      </w:r>
      <w:r w:rsidRPr="007520DB">
        <w:rPr>
          <w:rFonts w:cs="Open Sans"/>
        </w:rPr>
        <w:t>9-11.</w:t>
      </w:r>
    </w:p>
  </w:endnote>
  <w:endnote w:id="120">
    <w:p w14:paraId="1072004D" w14:textId="0032C17C" w:rsidR="007F291C" w:rsidRPr="007520DB" w:rsidRDefault="007F291C" w:rsidP="007F291C">
      <w:pPr>
        <w:pStyle w:val="EndnoteText"/>
        <w:rPr>
          <w:rFonts w:cs="Open Sans"/>
        </w:rPr>
      </w:pPr>
      <w:r w:rsidRPr="007520DB">
        <w:rPr>
          <w:rStyle w:val="EndnoteReference"/>
          <w:rFonts w:cs="Open Sans"/>
        </w:rPr>
        <w:endnoteRef/>
      </w:r>
      <w:r w:rsidRPr="007520DB">
        <w:rPr>
          <w:rFonts w:cs="Open Sans"/>
        </w:rPr>
        <w:t xml:space="preserve"> </w:t>
      </w:r>
      <w:r w:rsidR="005F5046">
        <w:rPr>
          <w:rFonts w:cs="Open Sans"/>
        </w:rPr>
        <w:t>CRC General Comment 25 9-11</w:t>
      </w:r>
      <w:r w:rsidRPr="007520DB">
        <w:rPr>
          <w:rFonts w:cs="Open Sans"/>
        </w:rPr>
        <w:t>.</w:t>
      </w:r>
    </w:p>
  </w:endnote>
  <w:endnote w:id="121">
    <w:p w14:paraId="008234B0" w14:textId="066F3CE3" w:rsidR="007F291C" w:rsidRPr="007520DB" w:rsidRDefault="007F291C" w:rsidP="007F291C">
      <w:pPr>
        <w:pStyle w:val="EndnoteText"/>
        <w:rPr>
          <w:rFonts w:cs="Open Sans"/>
        </w:rPr>
      </w:pPr>
      <w:r w:rsidRPr="007520DB">
        <w:rPr>
          <w:rStyle w:val="EndnoteReference"/>
          <w:rFonts w:cs="Open Sans"/>
        </w:rPr>
        <w:endnoteRef/>
      </w:r>
      <w:r w:rsidRPr="007520DB">
        <w:rPr>
          <w:rFonts w:cs="Open Sans"/>
        </w:rPr>
        <w:t xml:space="preserve"> </w:t>
      </w:r>
      <w:r w:rsidR="000B0A38" w:rsidRPr="007520DB">
        <w:rPr>
          <w:rFonts w:cs="Open Sans"/>
        </w:rPr>
        <w:t>Human Rights Council,</w:t>
      </w:r>
      <w:r w:rsidR="000B0A38" w:rsidRPr="427D76A9">
        <w:rPr>
          <w:rFonts w:cs="Open Sans"/>
          <w:i/>
          <w:iCs/>
        </w:rPr>
        <w:t xml:space="preserve"> Report of the Special Rapporteur on the Right to Privacy</w:t>
      </w:r>
      <w:r w:rsidR="000B0A38" w:rsidRPr="007520DB">
        <w:rPr>
          <w:rFonts w:cs="Open Sans"/>
        </w:rPr>
        <w:t xml:space="preserve">, Joseph Cannataci, on Artificial Intelligence and Privacy, and Children’s Privacy (2021) UN Doc A/HRC/46/37 </w:t>
      </w:r>
      <w:r w:rsidRPr="007520DB">
        <w:rPr>
          <w:rFonts w:cs="Open Sans"/>
        </w:rPr>
        <w:t>91.</w:t>
      </w:r>
    </w:p>
  </w:endnote>
  <w:endnote w:id="122">
    <w:p w14:paraId="07F4B04A" w14:textId="77777777" w:rsidR="00486F0D" w:rsidRDefault="00486F0D" w:rsidP="00486F0D">
      <w:pPr>
        <w:pStyle w:val="EndnoteText"/>
      </w:pPr>
      <w:r>
        <w:rPr>
          <w:rStyle w:val="EndnoteReference"/>
        </w:rPr>
        <w:endnoteRef/>
      </w:r>
      <w:r>
        <w:t xml:space="preserve"> OAIC </w:t>
      </w:r>
      <w:r w:rsidRPr="002B7F0D">
        <w:t xml:space="preserve">Submission to the </w:t>
      </w:r>
      <w:r>
        <w:t>Discussion Paper 120.</w:t>
      </w:r>
    </w:p>
  </w:endnote>
  <w:endnote w:id="123">
    <w:p w14:paraId="511BACCC" w14:textId="1A903622" w:rsidR="00486F0D" w:rsidRDefault="00486F0D" w:rsidP="00486F0D">
      <w:pPr>
        <w:pStyle w:val="EndnoteText"/>
      </w:pPr>
      <w:r>
        <w:rPr>
          <w:rStyle w:val="EndnoteReference"/>
        </w:rPr>
        <w:endnoteRef/>
      </w:r>
      <w:r>
        <w:t xml:space="preserve"> </w:t>
      </w:r>
      <w:r w:rsidR="005F5046">
        <w:t xml:space="preserve">OAIC </w:t>
      </w:r>
      <w:r w:rsidR="005F5046" w:rsidRPr="002B7F0D">
        <w:t xml:space="preserve">Submission to the </w:t>
      </w:r>
      <w:r w:rsidR="005F5046">
        <w:t>Discussion Paper 120</w:t>
      </w:r>
      <w:r>
        <w:t>.</w:t>
      </w:r>
    </w:p>
  </w:endnote>
  <w:endnote w:id="124">
    <w:p w14:paraId="2DC0E481" w14:textId="31F4BAA7" w:rsidR="00486F0D" w:rsidRDefault="00486F0D" w:rsidP="00486F0D">
      <w:pPr>
        <w:pStyle w:val="EndnoteText"/>
      </w:pPr>
      <w:r>
        <w:rPr>
          <w:rStyle w:val="EndnoteReference"/>
        </w:rPr>
        <w:endnoteRef/>
      </w:r>
      <w:r>
        <w:t xml:space="preserve"> </w:t>
      </w:r>
      <w:r w:rsidR="005F5046">
        <w:t xml:space="preserve">OAIC </w:t>
      </w:r>
      <w:r w:rsidR="005F5046" w:rsidRPr="002B7F0D">
        <w:t xml:space="preserve">Submission to the </w:t>
      </w:r>
      <w:r w:rsidR="005F5046">
        <w:t>Discussion Paper 120</w:t>
      </w:r>
      <w:r>
        <w:t>.</w:t>
      </w:r>
    </w:p>
  </w:endnote>
  <w:endnote w:id="125">
    <w:p w14:paraId="4099CBCE" w14:textId="435069BC" w:rsidR="00D81F8A" w:rsidRPr="00406B2C" w:rsidRDefault="00D81F8A" w:rsidP="00D81F8A">
      <w:pPr>
        <w:pStyle w:val="EndnoteText"/>
      </w:pPr>
      <w:r>
        <w:rPr>
          <w:rStyle w:val="EndnoteReference"/>
        </w:rPr>
        <w:endnoteRef/>
      </w:r>
      <w:r w:rsidR="427D76A9">
        <w:t xml:space="preserve"> Human Rights Watch, </w:t>
      </w:r>
      <w:r w:rsidR="00D01A54">
        <w:rPr>
          <w:i/>
          <w:iCs/>
        </w:rPr>
        <w:t>‘</w:t>
      </w:r>
      <w:r w:rsidR="427D76A9" w:rsidRPr="427D76A9">
        <w:rPr>
          <w:i/>
          <w:iCs/>
        </w:rPr>
        <w:t>How Dare They Peep into My Private Life? Children’s Rights Violations by Governments that Endorsed Online Learning During the Covid-19 Pandemic</w:t>
      </w:r>
      <w:r w:rsidR="00D01A54">
        <w:t xml:space="preserve">’ </w:t>
      </w:r>
      <w:r w:rsidR="427D76A9">
        <w:t>(</w:t>
      </w:r>
      <w:r w:rsidR="00D01A54">
        <w:t xml:space="preserve">Report, 25 May </w:t>
      </w:r>
      <w:r w:rsidR="427D76A9">
        <w:t>2022)</w:t>
      </w:r>
      <w:r w:rsidR="00D01A54">
        <w:t>.</w:t>
      </w:r>
      <w:r w:rsidR="427D76A9">
        <w:t xml:space="preserve"> </w:t>
      </w:r>
    </w:p>
  </w:endnote>
  <w:endnote w:id="126">
    <w:p w14:paraId="6F7813F6" w14:textId="71C4B585" w:rsidR="003651A9" w:rsidRPr="003651A9" w:rsidRDefault="003651A9">
      <w:pPr>
        <w:pStyle w:val="EndnoteText"/>
        <w:rPr>
          <w:lang w:val="en-US"/>
        </w:rPr>
      </w:pPr>
      <w:r>
        <w:rPr>
          <w:rStyle w:val="EndnoteReference"/>
        </w:rPr>
        <w:endnoteRef/>
      </w:r>
      <w:r w:rsidR="00D01A54">
        <w:t xml:space="preserve"> </w:t>
      </w:r>
      <w:r w:rsidR="005F5046">
        <w:t xml:space="preserve">Human Rights Watch, </w:t>
      </w:r>
      <w:r w:rsidR="005F5046">
        <w:rPr>
          <w:i/>
          <w:iCs/>
        </w:rPr>
        <w:t>‘</w:t>
      </w:r>
      <w:r w:rsidR="005F5046" w:rsidRPr="427D76A9">
        <w:rPr>
          <w:i/>
          <w:iCs/>
        </w:rPr>
        <w:t>How Dare They Peep into My Private Life? Children’s Rights Violations by Governments that Endorsed Online Learning During the Covid-19 Pandemic</w:t>
      </w:r>
      <w:r w:rsidR="005F5046">
        <w:t>’ (Report, 25 May 2022)</w:t>
      </w:r>
      <w:r w:rsidR="00D01A54">
        <w:t>.</w:t>
      </w:r>
      <w:r w:rsidR="427D76A9">
        <w:t xml:space="preserve"> </w:t>
      </w:r>
    </w:p>
  </w:endnote>
  <w:endnote w:id="127">
    <w:p w14:paraId="26498724" w14:textId="6F0BAF41" w:rsidR="001532E6" w:rsidRDefault="001532E6" w:rsidP="001532E6">
      <w:pPr>
        <w:pStyle w:val="EndnoteText"/>
      </w:pPr>
      <w:r>
        <w:rPr>
          <w:rStyle w:val="EndnoteReference"/>
        </w:rPr>
        <w:endnoteRef/>
      </w:r>
      <w:r w:rsidR="427D76A9">
        <w:t xml:space="preserve"> </w:t>
      </w:r>
      <w:r w:rsidR="005F5046">
        <w:t xml:space="preserve">Human Rights Watch, </w:t>
      </w:r>
      <w:r w:rsidR="005F5046">
        <w:rPr>
          <w:i/>
          <w:iCs/>
        </w:rPr>
        <w:t>‘</w:t>
      </w:r>
      <w:r w:rsidR="005F5046" w:rsidRPr="427D76A9">
        <w:rPr>
          <w:i/>
          <w:iCs/>
        </w:rPr>
        <w:t>How Dare They Peep into My Private Life? Children’s Rights Violations by Governments that Endorsed Online Learning During the Covid-19 Pandemic</w:t>
      </w:r>
      <w:r w:rsidR="005F5046">
        <w:t>’ (Report, 25 May 2022)</w:t>
      </w:r>
      <w:r w:rsidR="00D01A54">
        <w:t>.</w:t>
      </w:r>
      <w:r w:rsidR="427D76A9">
        <w:t xml:space="preserve"> </w:t>
      </w:r>
    </w:p>
  </w:endnote>
  <w:endnote w:id="128">
    <w:p w14:paraId="6DD2456B" w14:textId="317DAEE3" w:rsidR="001532E6" w:rsidRDefault="001532E6" w:rsidP="001532E6">
      <w:pPr>
        <w:pStyle w:val="EndnoteText"/>
      </w:pPr>
      <w:r>
        <w:rPr>
          <w:rStyle w:val="EndnoteReference"/>
        </w:rPr>
        <w:endnoteRef/>
      </w:r>
      <w:r w:rsidR="427D76A9">
        <w:t xml:space="preserve"> </w:t>
      </w:r>
      <w:r w:rsidR="005F5046">
        <w:t xml:space="preserve">Human Rights Watch, </w:t>
      </w:r>
      <w:r w:rsidR="005F5046">
        <w:rPr>
          <w:i/>
          <w:iCs/>
        </w:rPr>
        <w:t>‘</w:t>
      </w:r>
      <w:r w:rsidR="005F5046" w:rsidRPr="427D76A9">
        <w:rPr>
          <w:i/>
          <w:iCs/>
        </w:rPr>
        <w:t>How Dare They Peep into My Private Life? Children’s Rights Violations by Governments that Endorsed Online Learning During the Covid-19 Pandemic</w:t>
      </w:r>
      <w:r w:rsidR="005F5046">
        <w:t>’ (Report, 25 May 2022)</w:t>
      </w:r>
      <w:r w:rsidR="00D01A54">
        <w:t>.</w:t>
      </w:r>
      <w:r w:rsidR="427D76A9">
        <w:t xml:space="preserve"> </w:t>
      </w:r>
    </w:p>
  </w:endnote>
  <w:endnote w:id="129">
    <w:p w14:paraId="5C6E4C8A" w14:textId="7B81BD94" w:rsidR="001532E6" w:rsidRPr="00857D79" w:rsidRDefault="001532E6" w:rsidP="001532E6">
      <w:pPr>
        <w:pStyle w:val="EndnoteText"/>
      </w:pPr>
      <w:r>
        <w:rPr>
          <w:rStyle w:val="EndnoteReference"/>
        </w:rPr>
        <w:endnoteRef/>
      </w:r>
      <w:r>
        <w:t xml:space="preserve"> See </w:t>
      </w:r>
      <w:r w:rsidR="00D01A54">
        <w:t xml:space="preserve">e.g. </w:t>
      </w:r>
      <w:r>
        <w:t>B</w:t>
      </w:r>
      <w:r w:rsidR="00457F7F">
        <w:t>en</w:t>
      </w:r>
      <w:r>
        <w:t xml:space="preserve"> Williamson, </w:t>
      </w:r>
      <w:r w:rsidR="00457F7F">
        <w:t>‘</w:t>
      </w:r>
      <w:r>
        <w:t>Decoding Class Dojo: psycho-policy, social-emotional learning and persuasive educational technologies</w:t>
      </w:r>
      <w:r w:rsidR="00457F7F">
        <w:t>’</w:t>
      </w:r>
      <w:r>
        <w:t xml:space="preserve"> (2017) 42(4) </w:t>
      </w:r>
      <w:r>
        <w:rPr>
          <w:i/>
          <w:iCs/>
        </w:rPr>
        <w:t>Learning, Media and Technology</w:t>
      </w:r>
      <w:r>
        <w:t xml:space="preserve"> 440-453; </w:t>
      </w:r>
      <w:r w:rsidR="008B087A">
        <w:t xml:space="preserve">see generally </w:t>
      </w:r>
      <w:r>
        <w:t>J</w:t>
      </w:r>
      <w:r w:rsidR="008B087A">
        <w:t>amie</w:t>
      </w:r>
      <w:r>
        <w:t xml:space="preserve"> Manolev, A</w:t>
      </w:r>
      <w:r w:rsidR="008B087A">
        <w:t>nna</w:t>
      </w:r>
      <w:r>
        <w:t xml:space="preserve"> Sullivan</w:t>
      </w:r>
      <w:r w:rsidR="008B087A">
        <w:t xml:space="preserve"> &amp;</w:t>
      </w:r>
      <w:r>
        <w:t xml:space="preserve"> Roger Slee ‘The datafication of discipline: ClassDojo, surveillance and a performative classroom culture’ (2019) 44(1) </w:t>
      </w:r>
      <w:r>
        <w:rPr>
          <w:i/>
          <w:iCs/>
        </w:rPr>
        <w:t>Learning, Media and Technology</w:t>
      </w:r>
      <w:r>
        <w:t>; B</w:t>
      </w:r>
      <w:r w:rsidR="008B087A">
        <w:t>en</w:t>
      </w:r>
      <w:r>
        <w:t xml:space="preserve"> Robinson, ‘The ClassDojo app: training in the art of dividuation’ (2021) 34(7) </w:t>
      </w:r>
      <w:r>
        <w:rPr>
          <w:i/>
          <w:iCs/>
        </w:rPr>
        <w:t xml:space="preserve">International Journal of Qualitative Studies in Education; </w:t>
      </w:r>
      <w:r w:rsidRPr="00906183">
        <w:t>A</w:t>
      </w:r>
      <w:r w:rsidR="00884BC8">
        <w:t>gata</w:t>
      </w:r>
      <w:r w:rsidRPr="00906183">
        <w:t xml:space="preserve"> Soroko,</w:t>
      </w:r>
      <w:r>
        <w:rPr>
          <w:i/>
          <w:iCs/>
        </w:rPr>
        <w:t xml:space="preserve"> </w:t>
      </w:r>
      <w:r>
        <w:t xml:space="preserve">‘No child left alone’ (2016) 25(3) </w:t>
      </w:r>
      <w:r>
        <w:rPr>
          <w:i/>
          <w:iCs/>
        </w:rPr>
        <w:t>Our Schools/Our Selves</w:t>
      </w:r>
      <w:r>
        <w:t>; D</w:t>
      </w:r>
      <w:r w:rsidR="00913EC8">
        <w:t>aniela</w:t>
      </w:r>
      <w:r>
        <w:t xml:space="preserve"> K</w:t>
      </w:r>
      <w:r w:rsidR="00913EC8">
        <w:t>ruel</w:t>
      </w:r>
      <w:r>
        <w:t xml:space="preserve"> DiGiacomo, S</w:t>
      </w:r>
      <w:r w:rsidR="00913EC8">
        <w:t>pencer</w:t>
      </w:r>
      <w:r>
        <w:t xml:space="preserve"> Greenhalgh</w:t>
      </w:r>
      <w:r w:rsidR="00913EC8">
        <w:t xml:space="preserve"> &amp;</w:t>
      </w:r>
      <w:r>
        <w:t xml:space="preserve"> S</w:t>
      </w:r>
      <w:r w:rsidR="00913EC8">
        <w:t>arah</w:t>
      </w:r>
      <w:r>
        <w:t xml:space="preserve"> Barriage, ‘How Students and Principals Understand ClassDojo: Emerging Insights’ (2022) 66(2) </w:t>
      </w:r>
      <w:r>
        <w:rPr>
          <w:i/>
          <w:iCs/>
        </w:rPr>
        <w:t xml:space="preserve">TechTrends </w:t>
      </w:r>
      <w:r>
        <w:t>172-184</w:t>
      </w:r>
      <w:r w:rsidR="00913EC8">
        <w:t>.</w:t>
      </w:r>
      <w:r>
        <w:rPr>
          <w:i/>
          <w:iCs/>
        </w:rPr>
        <w:t xml:space="preserve"> </w:t>
      </w:r>
    </w:p>
  </w:endnote>
  <w:endnote w:id="130">
    <w:p w14:paraId="258A3459" w14:textId="5FEAA6F9" w:rsidR="001532E6" w:rsidRDefault="001532E6" w:rsidP="001532E6">
      <w:pPr>
        <w:pStyle w:val="EndnoteText"/>
      </w:pPr>
      <w:r>
        <w:rPr>
          <w:rStyle w:val="EndnoteReference"/>
        </w:rPr>
        <w:endnoteRef/>
      </w:r>
      <w:r w:rsidR="427D76A9">
        <w:t xml:space="preserve"> H</w:t>
      </w:r>
      <w:r w:rsidR="009462CB">
        <w:t>.</w:t>
      </w:r>
      <w:r w:rsidR="427D76A9">
        <w:t xml:space="preserve"> Cook, ‘It’s all about controlling students’: researchers slam popular app’ </w:t>
      </w:r>
      <w:r w:rsidR="427D76A9" w:rsidRPr="00E75F2B">
        <w:rPr>
          <w:i/>
          <w:iCs/>
        </w:rPr>
        <w:t>The Sydney Morning Herald</w:t>
      </w:r>
      <w:r w:rsidR="427D76A9">
        <w:t xml:space="preserve"> </w:t>
      </w:r>
      <w:r w:rsidR="00E75F2B">
        <w:t>(</w:t>
      </w:r>
      <w:r w:rsidR="427D76A9">
        <w:t>online</w:t>
      </w:r>
      <w:r w:rsidR="00E75F2B">
        <w:t xml:space="preserve">, </w:t>
      </w:r>
      <w:r w:rsidR="427D76A9">
        <w:t xml:space="preserve">18 January 2019) </w:t>
      </w:r>
      <w:hyperlink r:id="rId18" w:history="1">
        <w:r w:rsidR="00E75F2B">
          <w:rPr>
            <w:rStyle w:val="Hyperlink"/>
          </w:rPr>
          <w:t>https://www.smh.com.au/education/it-s-all-about-controlling-students-researchers-slam-popular-app-20190118-p50s8l.html</w:t>
        </w:r>
      </w:hyperlink>
    </w:p>
  </w:endnote>
  <w:endnote w:id="131">
    <w:p w14:paraId="754E8C7D" w14:textId="0C6D8167" w:rsidR="003651A9" w:rsidRDefault="003651A9" w:rsidP="003651A9">
      <w:pPr>
        <w:pStyle w:val="EndnoteText"/>
      </w:pPr>
      <w:r>
        <w:rPr>
          <w:rStyle w:val="EndnoteReference"/>
        </w:rPr>
        <w:endnoteRef/>
      </w:r>
      <w:r w:rsidR="427D76A9">
        <w:t xml:space="preserve"> </w:t>
      </w:r>
      <w:r w:rsidR="00EA032A">
        <w:t xml:space="preserve">Human Rights Watch, </w:t>
      </w:r>
      <w:r w:rsidR="00EA032A">
        <w:rPr>
          <w:i/>
          <w:iCs/>
        </w:rPr>
        <w:t>‘</w:t>
      </w:r>
      <w:r w:rsidR="00EA032A" w:rsidRPr="427D76A9">
        <w:rPr>
          <w:i/>
          <w:iCs/>
        </w:rPr>
        <w:t>How Dare They Peep into My Private Life? Children’s Rights Violations by Governments that Endorsed Online Learning During the Covid-19 Pandemic</w:t>
      </w:r>
      <w:r w:rsidR="00EA032A">
        <w:t>’ (Report, 25 May 2022)</w:t>
      </w:r>
      <w:r w:rsidR="003E0104">
        <w:t xml:space="preserve">. </w:t>
      </w:r>
    </w:p>
  </w:endnote>
  <w:endnote w:id="132">
    <w:p w14:paraId="3F42D520" w14:textId="11936D0A" w:rsidR="0031121F" w:rsidRDefault="0031121F" w:rsidP="0031121F">
      <w:pPr>
        <w:pStyle w:val="EndnoteText"/>
      </w:pPr>
      <w:r>
        <w:rPr>
          <w:rStyle w:val="EndnoteReference"/>
        </w:rPr>
        <w:endnoteRef/>
      </w:r>
      <w:r w:rsidR="427D76A9">
        <w:t xml:space="preserve"> </w:t>
      </w:r>
      <w:r w:rsidR="00CA0F72">
        <w:t>S</w:t>
      </w:r>
      <w:r w:rsidR="427D76A9">
        <w:t>ee e</w:t>
      </w:r>
      <w:r w:rsidR="003E0104">
        <w:t>.</w:t>
      </w:r>
      <w:r w:rsidR="427D76A9">
        <w:t>g</w:t>
      </w:r>
      <w:r w:rsidR="003E0104">
        <w:t>.</w:t>
      </w:r>
      <w:r w:rsidR="427D76A9">
        <w:t xml:space="preserve"> Digital Futures Commission, </w:t>
      </w:r>
      <w:r w:rsidR="003E0104">
        <w:t>‘</w:t>
      </w:r>
      <w:r w:rsidR="427D76A9" w:rsidRPr="427D76A9">
        <w:rPr>
          <w:i/>
          <w:iCs/>
        </w:rPr>
        <w:t>Problems with data governance in UK schools – the cases of Google Classroom and ClassDojo</w:t>
      </w:r>
      <w:r w:rsidR="003E0104">
        <w:t xml:space="preserve">’ </w:t>
      </w:r>
      <w:r w:rsidR="427D76A9">
        <w:t>(</w:t>
      </w:r>
      <w:r w:rsidR="00F82681">
        <w:t xml:space="preserve">Report, </w:t>
      </w:r>
      <w:r w:rsidR="427D76A9">
        <w:t>2022) 8</w:t>
      </w:r>
      <w:r w:rsidR="00F82681">
        <w:t>.</w:t>
      </w:r>
    </w:p>
  </w:endnote>
  <w:endnote w:id="133">
    <w:p w14:paraId="4E28A023" w14:textId="3F484EA2" w:rsidR="0007476D" w:rsidRDefault="0007476D" w:rsidP="0007476D">
      <w:pPr>
        <w:pStyle w:val="EndnoteText"/>
      </w:pPr>
      <w:r>
        <w:rPr>
          <w:rStyle w:val="EndnoteReference"/>
        </w:rPr>
        <w:endnoteRef/>
      </w:r>
      <w:r>
        <w:t xml:space="preserve"> </w:t>
      </w:r>
      <w:r w:rsidR="005F5046">
        <w:t xml:space="preserve">Human Rights Watch, </w:t>
      </w:r>
      <w:r w:rsidR="005F5046">
        <w:rPr>
          <w:i/>
          <w:iCs/>
        </w:rPr>
        <w:t>‘</w:t>
      </w:r>
      <w:r w:rsidR="005F5046" w:rsidRPr="427D76A9">
        <w:rPr>
          <w:i/>
          <w:iCs/>
        </w:rPr>
        <w:t>How Dare They Peep into My Private Life? Children’s Rights Violations by Governments that Endorsed Online Learning During the Covid-19 Pandemic</w:t>
      </w:r>
      <w:r w:rsidR="005F5046">
        <w:t xml:space="preserve">’ (Report, 25 May 2022) </w:t>
      </w:r>
      <w:r w:rsidRPr="00463254">
        <w:t>observed 145 EdTech products directly sending or granting access to children’s personal data to 196 third-party companies, overwhelmingly AdTech</w:t>
      </w:r>
      <w:r>
        <w:t xml:space="preserve">. </w:t>
      </w:r>
    </w:p>
  </w:endnote>
  <w:endnote w:id="134">
    <w:p w14:paraId="0A0144F7" w14:textId="3CFBBEC4" w:rsidR="002B37BC" w:rsidRDefault="002B37BC" w:rsidP="002B37BC">
      <w:pPr>
        <w:pStyle w:val="EndnoteText"/>
      </w:pPr>
      <w:r>
        <w:rPr>
          <w:rStyle w:val="EndnoteReference"/>
        </w:rPr>
        <w:endnoteRef/>
      </w:r>
      <w:r>
        <w:t xml:space="preserve"> </w:t>
      </w:r>
      <w:r w:rsidR="005F5046">
        <w:t xml:space="preserve">Human Rights Watch, </w:t>
      </w:r>
      <w:r w:rsidR="005F5046">
        <w:rPr>
          <w:i/>
          <w:iCs/>
        </w:rPr>
        <w:t>‘</w:t>
      </w:r>
      <w:r w:rsidR="005F5046" w:rsidRPr="427D76A9">
        <w:rPr>
          <w:i/>
          <w:iCs/>
        </w:rPr>
        <w:t>How Dare They Peep into My Private Life? Children’s Rights Violations by Governments that Endorsed Online Learning During the Covid-19 Pandemic</w:t>
      </w:r>
      <w:r w:rsidR="005F5046">
        <w:t>’ (Report, 25 May 2022)</w:t>
      </w:r>
      <w:r w:rsidR="0032374D">
        <w:t>.</w:t>
      </w:r>
    </w:p>
  </w:endnote>
  <w:endnote w:id="135">
    <w:p w14:paraId="7719773C" w14:textId="3E788745" w:rsidR="002C402F" w:rsidRPr="002C402F" w:rsidRDefault="002C402F">
      <w:pPr>
        <w:pStyle w:val="EndnoteText"/>
        <w:rPr>
          <w:lang w:val="en-US"/>
        </w:rPr>
      </w:pPr>
      <w:r>
        <w:rPr>
          <w:rStyle w:val="EndnoteReference"/>
        </w:rPr>
        <w:endnoteRef/>
      </w:r>
      <w:r w:rsidR="427D76A9">
        <w:t xml:space="preserve"> </w:t>
      </w:r>
      <w:r w:rsidR="427D76A9">
        <w:rPr>
          <w:lang w:val="en-US"/>
        </w:rPr>
        <w:t>See generally</w:t>
      </w:r>
      <w:r w:rsidR="0032374D">
        <w:rPr>
          <w:lang w:val="en-US"/>
        </w:rPr>
        <w:t xml:space="preserve"> </w:t>
      </w:r>
      <w:r w:rsidR="005F5046">
        <w:t xml:space="preserve">Human Rights Watch, </w:t>
      </w:r>
      <w:r w:rsidR="005F5046">
        <w:rPr>
          <w:i/>
          <w:iCs/>
        </w:rPr>
        <w:t>‘</w:t>
      </w:r>
      <w:r w:rsidR="005F5046" w:rsidRPr="427D76A9">
        <w:rPr>
          <w:i/>
          <w:iCs/>
        </w:rPr>
        <w:t>How Dare They Peep into My Private Life? Children’s Rights Violations by Governments that Endorsed Online Learning During the Covid-19 Pandemic</w:t>
      </w:r>
      <w:r w:rsidR="005F5046">
        <w:t>’ (Report, 25 May 2022)</w:t>
      </w:r>
      <w:r w:rsidR="0032374D">
        <w:rPr>
          <w:lang w:val="en-US"/>
        </w:rPr>
        <w:t>.</w:t>
      </w:r>
    </w:p>
  </w:endnote>
  <w:endnote w:id="136">
    <w:p w14:paraId="77867C04" w14:textId="20B88A23" w:rsidR="009B33D9" w:rsidRDefault="009B33D9" w:rsidP="009B33D9">
      <w:pPr>
        <w:pStyle w:val="EndnoteText"/>
      </w:pPr>
      <w:r>
        <w:rPr>
          <w:rStyle w:val="EndnoteReference"/>
        </w:rPr>
        <w:endnoteRef/>
      </w:r>
      <w:r>
        <w:t xml:space="preserve"> </w:t>
      </w:r>
      <w:r w:rsidR="00EA032A">
        <w:t>Digital Futures Commission, ‘</w:t>
      </w:r>
      <w:r w:rsidR="00EA032A" w:rsidRPr="427D76A9">
        <w:rPr>
          <w:i/>
          <w:iCs/>
        </w:rPr>
        <w:t>Problems with data governance in UK schools – the cases of Google Classroom and ClassDojo</w:t>
      </w:r>
      <w:r w:rsidR="00EA032A">
        <w:t>’ (Report, 2022) 8</w:t>
      </w:r>
      <w:r w:rsidR="00312379">
        <w:t>.</w:t>
      </w:r>
    </w:p>
  </w:endnote>
  <w:endnote w:id="137">
    <w:p w14:paraId="70A8F8B2" w14:textId="1E3FC5E6" w:rsidR="2849F4EA" w:rsidRDefault="2849F4EA" w:rsidP="00976626">
      <w:pPr>
        <w:pStyle w:val="EndnoteText"/>
      </w:pPr>
      <w:r w:rsidRPr="2849F4EA">
        <w:rPr>
          <w:rStyle w:val="EndnoteReference"/>
        </w:rPr>
        <w:endnoteRef/>
      </w:r>
      <w:r>
        <w:t xml:space="preserve"> </w:t>
      </w:r>
      <w:r w:rsidRPr="00976626">
        <w:t>UK</w:t>
      </w:r>
      <w:r w:rsidRPr="2849F4EA">
        <w:rPr>
          <w:rFonts w:eastAsia="Open Sans" w:cs="Open Sans"/>
          <w:color w:val="000000" w:themeColor="text1"/>
        </w:rPr>
        <w:t xml:space="preserve"> Information Commission Office, </w:t>
      </w:r>
      <w:r w:rsidR="00976626">
        <w:rPr>
          <w:rFonts w:eastAsia="Open Sans" w:cs="Open Sans"/>
          <w:color w:val="000000" w:themeColor="text1"/>
        </w:rPr>
        <w:t>‘</w:t>
      </w:r>
      <w:r w:rsidRPr="2849F4EA">
        <w:rPr>
          <w:rFonts w:eastAsia="Open Sans" w:cs="Open Sans"/>
          <w:i/>
          <w:iCs/>
          <w:color w:val="000000" w:themeColor="text1"/>
        </w:rPr>
        <w:t>Age appropriate design: a code of practice for online services</w:t>
      </w:r>
      <w:r w:rsidR="00976626">
        <w:rPr>
          <w:rFonts w:eastAsia="Open Sans" w:cs="Open Sans"/>
          <w:color w:val="000000" w:themeColor="text1"/>
        </w:rPr>
        <w:t>’</w:t>
      </w:r>
      <w:r w:rsidRPr="2849F4EA">
        <w:rPr>
          <w:rFonts w:eastAsia="Open Sans" w:cs="Open Sans"/>
          <w:i/>
          <w:iCs/>
          <w:color w:val="000000" w:themeColor="text1"/>
        </w:rPr>
        <w:t xml:space="preserve"> </w:t>
      </w:r>
      <w:r w:rsidRPr="2849F4EA">
        <w:rPr>
          <w:rFonts w:eastAsia="Open Sans" w:cs="Open Sans"/>
          <w:color w:val="000000" w:themeColor="text1"/>
        </w:rPr>
        <w:t xml:space="preserve">(September 2020) 39-41, 61-62, 74-75, 81-82, 96-100. </w:t>
      </w:r>
      <w:r w:rsidRPr="2849F4EA">
        <w:t xml:space="preserve"> </w:t>
      </w:r>
    </w:p>
  </w:endnote>
  <w:endnote w:id="138">
    <w:p w14:paraId="4408F6AC" w14:textId="5D70C9A4" w:rsidR="2849F4EA" w:rsidRDefault="2849F4EA" w:rsidP="2849F4EA">
      <w:pPr>
        <w:pStyle w:val="EndnoteText"/>
      </w:pPr>
      <w:r w:rsidRPr="2849F4EA">
        <w:rPr>
          <w:rStyle w:val="EndnoteReference"/>
        </w:rPr>
        <w:endnoteRef/>
      </w:r>
      <w:r>
        <w:t xml:space="preserve"> </w:t>
      </w:r>
      <w:r w:rsidR="000B0A38" w:rsidRPr="007520DB">
        <w:rPr>
          <w:rFonts w:cs="Open Sans"/>
        </w:rPr>
        <w:t>Human Rights Council,</w:t>
      </w:r>
      <w:r w:rsidR="000B0A38" w:rsidRPr="427D76A9">
        <w:rPr>
          <w:rFonts w:cs="Open Sans"/>
          <w:i/>
          <w:iCs/>
        </w:rPr>
        <w:t xml:space="preserve"> Report of the Special Rapporteur on the Right to Privacy</w:t>
      </w:r>
      <w:r w:rsidR="000B0A38" w:rsidRPr="007520DB">
        <w:rPr>
          <w:rFonts w:cs="Open Sans"/>
        </w:rPr>
        <w:t xml:space="preserve">, Joseph Cannataci, on Artificial Intelligence and Privacy, and Children’s Privacy (2021) UN Doc A/HRC/46/37 </w:t>
      </w:r>
      <w:r w:rsidRPr="2849F4EA">
        <w:rPr>
          <w:color w:val="000000" w:themeColor="text1"/>
          <w:sz w:val="19"/>
          <w:szCs w:val="19"/>
        </w:rPr>
        <w:t>127.</w:t>
      </w:r>
    </w:p>
  </w:endnote>
  <w:endnote w:id="139">
    <w:p w14:paraId="0967E470" w14:textId="719EE2FF" w:rsidR="00166262" w:rsidRPr="007520DB" w:rsidRDefault="00166262" w:rsidP="00166262">
      <w:pPr>
        <w:pStyle w:val="EndnoteText"/>
        <w:rPr>
          <w:rFonts w:cs="Open Sans"/>
        </w:rPr>
      </w:pPr>
      <w:r w:rsidRPr="007520DB">
        <w:rPr>
          <w:rStyle w:val="EndnoteReference"/>
          <w:rFonts w:cs="Open Sans"/>
        </w:rPr>
        <w:endnoteRef/>
      </w:r>
      <w:r w:rsidRPr="007520DB">
        <w:rPr>
          <w:rFonts w:cs="Open Sans"/>
        </w:rPr>
        <w:t xml:space="preserve"> John </w:t>
      </w:r>
      <w:r w:rsidRPr="007520DB">
        <w:rPr>
          <w:rFonts w:cs="Open Sans"/>
          <w:lang w:val="en-GB"/>
        </w:rPr>
        <w:t xml:space="preserve">Tobin (ed), </w:t>
      </w:r>
      <w:r w:rsidR="00675918">
        <w:rPr>
          <w:rFonts w:cs="Open Sans"/>
          <w:lang w:val="en-GB"/>
        </w:rPr>
        <w:t>‘</w:t>
      </w:r>
      <w:r w:rsidRPr="007520DB">
        <w:rPr>
          <w:rFonts w:cs="Open Sans"/>
          <w:i/>
          <w:iCs/>
          <w:lang w:val="en-GB"/>
        </w:rPr>
        <w:t>The UN Convention on the Rights of the Child</w:t>
      </w:r>
      <w:r w:rsidR="00675918">
        <w:rPr>
          <w:rFonts w:cs="Open Sans"/>
          <w:lang w:val="en-GB"/>
        </w:rPr>
        <w:t>’</w:t>
      </w:r>
      <w:r w:rsidRPr="007520DB">
        <w:rPr>
          <w:rFonts w:cs="Open Sans"/>
          <w:i/>
          <w:iCs/>
          <w:lang w:val="en-GB"/>
        </w:rPr>
        <w:t xml:space="preserve"> </w:t>
      </w:r>
      <w:r w:rsidRPr="007520DB">
        <w:rPr>
          <w:rFonts w:cs="Open Sans"/>
          <w:lang w:val="en-GB"/>
        </w:rPr>
        <w:t xml:space="preserve">(OUP, 2019), </w:t>
      </w:r>
      <w:r w:rsidRPr="007520DB">
        <w:rPr>
          <w:rFonts w:cs="Open Sans"/>
        </w:rPr>
        <w:t>55</w:t>
      </w:r>
      <w:r w:rsidR="00E75F61">
        <w:rPr>
          <w:rFonts w:cs="Open Sans"/>
        </w:rPr>
        <w:t>;</w:t>
      </w:r>
      <w:r w:rsidRPr="007520DB">
        <w:rPr>
          <w:rFonts w:cs="Open Sans"/>
        </w:rPr>
        <w:t xml:space="preserve"> </w:t>
      </w:r>
      <w:r w:rsidR="00E75F61">
        <w:rPr>
          <w:rFonts w:cs="Open Sans"/>
        </w:rPr>
        <w:t>s</w:t>
      </w:r>
      <w:r w:rsidRPr="007520DB">
        <w:rPr>
          <w:rFonts w:cs="Open Sans"/>
        </w:rPr>
        <w:t xml:space="preserve">ee also </w:t>
      </w:r>
      <w:r w:rsidR="00D9004F">
        <w:rPr>
          <w:rFonts w:cs="Open Sans"/>
        </w:rPr>
        <w:t xml:space="preserve">CRC General Comment 25 </w:t>
      </w:r>
      <w:r w:rsidRPr="007520DB">
        <w:rPr>
          <w:rFonts w:cs="Open Sans"/>
        </w:rPr>
        <w:t>17-18.</w:t>
      </w:r>
    </w:p>
  </w:endnote>
  <w:endnote w:id="140">
    <w:p w14:paraId="71B344FF" w14:textId="637E4D52" w:rsidR="00166262" w:rsidRPr="007520DB" w:rsidRDefault="00166262" w:rsidP="00166262">
      <w:pPr>
        <w:pStyle w:val="EndnoteText"/>
        <w:rPr>
          <w:rFonts w:cs="Open Sans"/>
        </w:rPr>
      </w:pPr>
      <w:r w:rsidRPr="007520DB">
        <w:rPr>
          <w:rStyle w:val="EndnoteReference"/>
          <w:rFonts w:cs="Open Sans"/>
        </w:rPr>
        <w:endnoteRef/>
      </w:r>
      <w:r w:rsidRPr="007520DB">
        <w:rPr>
          <w:rFonts w:cs="Open Sans"/>
        </w:rPr>
        <w:t xml:space="preserve"> </w:t>
      </w:r>
      <w:r w:rsidR="00D9004F">
        <w:rPr>
          <w:rFonts w:cs="Open Sans"/>
        </w:rPr>
        <w:t xml:space="preserve">CRC General Comment 25 </w:t>
      </w:r>
      <w:r w:rsidRPr="007520DB">
        <w:rPr>
          <w:rFonts w:cs="Open Sans"/>
        </w:rPr>
        <w:t>17.</w:t>
      </w:r>
    </w:p>
  </w:endnote>
  <w:endnote w:id="141">
    <w:p w14:paraId="1BD77A0A" w14:textId="5673B77D" w:rsidR="008A6100" w:rsidRPr="007520DB" w:rsidRDefault="008A6100" w:rsidP="008A6100">
      <w:pPr>
        <w:pStyle w:val="EndnoteText"/>
        <w:rPr>
          <w:rFonts w:cs="Open Sans"/>
        </w:rPr>
      </w:pPr>
      <w:r w:rsidRPr="007520DB">
        <w:rPr>
          <w:rStyle w:val="EndnoteReference"/>
          <w:rFonts w:cs="Open Sans"/>
        </w:rPr>
        <w:endnoteRef/>
      </w:r>
      <w:r w:rsidRPr="007520DB">
        <w:rPr>
          <w:rFonts w:cs="Open Sans"/>
        </w:rPr>
        <w:t xml:space="preserve"> </w:t>
      </w:r>
      <w:r w:rsidR="005F5046">
        <w:rPr>
          <w:rFonts w:cs="Open Sans"/>
        </w:rPr>
        <w:t xml:space="preserve">CRC General Comment 25 </w:t>
      </w:r>
      <w:r w:rsidRPr="007520DB">
        <w:rPr>
          <w:rFonts w:cs="Open Sans"/>
        </w:rPr>
        <w:t>12-13.</w:t>
      </w:r>
    </w:p>
  </w:endnote>
  <w:endnote w:id="142">
    <w:p w14:paraId="34718D0D" w14:textId="33B64446" w:rsidR="008A6100" w:rsidRPr="007520DB" w:rsidRDefault="008A6100" w:rsidP="008A6100">
      <w:pPr>
        <w:pStyle w:val="EndnoteText"/>
        <w:rPr>
          <w:rFonts w:cs="Open Sans"/>
        </w:rPr>
      </w:pPr>
      <w:r w:rsidRPr="007520DB">
        <w:rPr>
          <w:rStyle w:val="EndnoteReference"/>
          <w:rFonts w:cs="Open Sans"/>
        </w:rPr>
        <w:endnoteRef/>
      </w:r>
      <w:r w:rsidRPr="007520DB">
        <w:rPr>
          <w:rFonts w:cs="Open Sans"/>
        </w:rPr>
        <w:t xml:space="preserve"> </w:t>
      </w:r>
      <w:r w:rsidR="005F5046">
        <w:rPr>
          <w:rFonts w:cs="Open Sans"/>
        </w:rPr>
        <w:t>CRC General Comment 25</w:t>
      </w:r>
      <w:r w:rsidRPr="007520DB">
        <w:rPr>
          <w:rFonts w:cs="Open Sans"/>
        </w:rPr>
        <w:t>13.</w:t>
      </w:r>
    </w:p>
  </w:endnote>
  <w:endnote w:id="143">
    <w:p w14:paraId="033D0724" w14:textId="204633FE" w:rsidR="008A6100" w:rsidRPr="007520DB" w:rsidRDefault="008A6100" w:rsidP="008A6100">
      <w:pPr>
        <w:pStyle w:val="EndnoteText"/>
        <w:rPr>
          <w:rFonts w:cs="Open Sans"/>
        </w:rPr>
      </w:pPr>
      <w:r w:rsidRPr="007520DB">
        <w:rPr>
          <w:rStyle w:val="EndnoteReference"/>
          <w:rFonts w:cs="Open Sans"/>
        </w:rPr>
        <w:endnoteRef/>
      </w:r>
      <w:r w:rsidRPr="007520DB">
        <w:rPr>
          <w:rFonts w:cs="Open Sans"/>
        </w:rPr>
        <w:t xml:space="preserve"> </w:t>
      </w:r>
      <w:r w:rsidR="000B0A38" w:rsidRPr="007520DB">
        <w:rPr>
          <w:rFonts w:cs="Open Sans"/>
        </w:rPr>
        <w:t>Human Rights Council,</w:t>
      </w:r>
      <w:r w:rsidR="000B0A38" w:rsidRPr="427D76A9">
        <w:rPr>
          <w:rFonts w:cs="Open Sans"/>
          <w:i/>
          <w:iCs/>
        </w:rPr>
        <w:t xml:space="preserve"> Report of the Special Rapporteur on the Right to Privacy</w:t>
      </w:r>
      <w:r w:rsidR="000B0A38" w:rsidRPr="007520DB">
        <w:rPr>
          <w:rFonts w:cs="Open Sans"/>
        </w:rPr>
        <w:t xml:space="preserve">, Joseph Cannataci, on Artificial Intelligence and Privacy, and Children’s Privacy (2021) UN Doc A/HRC/46/37 </w:t>
      </w:r>
      <w:r w:rsidRPr="007520DB">
        <w:rPr>
          <w:rFonts w:cs="Open Sans"/>
        </w:rPr>
        <w:t>116.</w:t>
      </w:r>
    </w:p>
  </w:endnote>
  <w:endnote w:id="144">
    <w:p w14:paraId="57479444" w14:textId="57789254" w:rsidR="008A6100" w:rsidRPr="007520DB" w:rsidRDefault="008A6100" w:rsidP="008A6100">
      <w:pPr>
        <w:pStyle w:val="EndnoteText"/>
        <w:rPr>
          <w:rFonts w:cs="Open Sans"/>
        </w:rPr>
      </w:pPr>
      <w:r w:rsidRPr="007520DB">
        <w:rPr>
          <w:rStyle w:val="EndnoteReference"/>
          <w:rFonts w:cs="Open Sans"/>
        </w:rPr>
        <w:endnoteRef/>
      </w:r>
      <w:r w:rsidRPr="007520DB">
        <w:rPr>
          <w:rFonts w:cs="Open Sans"/>
        </w:rPr>
        <w:t xml:space="preserve"> </w:t>
      </w:r>
      <w:r w:rsidR="00675918">
        <w:rPr>
          <w:rFonts w:cs="Open Sans"/>
        </w:rPr>
        <w:t xml:space="preserve">CRC General Comment 25 </w:t>
      </w:r>
      <w:r w:rsidRPr="007520DB">
        <w:rPr>
          <w:rFonts w:cs="Open Sans"/>
        </w:rPr>
        <w:t>75.</w:t>
      </w:r>
    </w:p>
  </w:endnote>
  <w:endnote w:id="145">
    <w:p w14:paraId="700FEAA4" w14:textId="3EB029A5" w:rsidR="008A6100" w:rsidRPr="007520DB" w:rsidRDefault="008A6100" w:rsidP="008A6100">
      <w:pPr>
        <w:pStyle w:val="EndnoteText"/>
        <w:rPr>
          <w:rFonts w:cs="Open Sans"/>
        </w:rPr>
      </w:pPr>
      <w:r w:rsidRPr="007520DB">
        <w:rPr>
          <w:rStyle w:val="EndnoteReference"/>
          <w:rFonts w:cs="Open Sans"/>
        </w:rPr>
        <w:endnoteRef/>
      </w:r>
      <w:r w:rsidRPr="007520DB">
        <w:rPr>
          <w:rFonts w:cs="Open Sans"/>
        </w:rPr>
        <w:t xml:space="preserve"> </w:t>
      </w:r>
      <w:r w:rsidR="000B0A38" w:rsidRPr="007520DB">
        <w:rPr>
          <w:rFonts w:cs="Open Sans"/>
        </w:rPr>
        <w:t>Human Rights Council,</w:t>
      </w:r>
      <w:r w:rsidR="000B0A38" w:rsidRPr="427D76A9">
        <w:rPr>
          <w:rFonts w:cs="Open Sans"/>
          <w:i/>
          <w:iCs/>
        </w:rPr>
        <w:t xml:space="preserve"> Report of the Special Rapporteur on the Right to Privacy</w:t>
      </w:r>
      <w:r w:rsidR="000B0A38" w:rsidRPr="007520DB">
        <w:rPr>
          <w:rFonts w:cs="Open Sans"/>
        </w:rPr>
        <w:t xml:space="preserve">, Joseph Cannataci, on Artificial Intelligence and Privacy, and Children’s Privacy (2021) UN Doc A/HRC/46/37 </w:t>
      </w:r>
      <w:r w:rsidRPr="007520DB">
        <w:rPr>
          <w:rFonts w:cs="Open Sans"/>
        </w:rPr>
        <w:t>127.</w:t>
      </w:r>
    </w:p>
  </w:endnote>
  <w:endnote w:id="146">
    <w:p w14:paraId="2DA982AD" w14:textId="6728F7C6" w:rsidR="008A6100" w:rsidRPr="007520DB" w:rsidRDefault="008A6100" w:rsidP="008A6100">
      <w:pPr>
        <w:pStyle w:val="EndnoteText"/>
        <w:rPr>
          <w:rFonts w:cs="Open Sans"/>
        </w:rPr>
      </w:pPr>
      <w:r w:rsidRPr="007520DB">
        <w:rPr>
          <w:rStyle w:val="EndnoteReference"/>
          <w:rFonts w:cs="Open Sans"/>
        </w:rPr>
        <w:endnoteRef/>
      </w:r>
      <w:r w:rsidRPr="007520DB">
        <w:rPr>
          <w:rFonts w:cs="Open Sans"/>
        </w:rPr>
        <w:t xml:space="preserve"> </w:t>
      </w:r>
      <w:r w:rsidR="000B0A38" w:rsidRPr="007520DB">
        <w:rPr>
          <w:rFonts w:cs="Open Sans"/>
        </w:rPr>
        <w:t>Human Rights Council,</w:t>
      </w:r>
      <w:r w:rsidR="000B0A38" w:rsidRPr="427D76A9">
        <w:rPr>
          <w:rFonts w:cs="Open Sans"/>
          <w:i/>
          <w:iCs/>
        </w:rPr>
        <w:t xml:space="preserve"> Report of the Special Rapporteur on the Right to Privacy</w:t>
      </w:r>
      <w:r w:rsidR="000B0A38" w:rsidRPr="007520DB">
        <w:rPr>
          <w:rFonts w:cs="Open Sans"/>
        </w:rPr>
        <w:t>, Joseph Cannataci, on Artificial Intelligence and Privacy, and Children’s Privacy (2021) UN Doc A/HRC/46/37</w:t>
      </w:r>
      <w:r w:rsidR="000B0A38">
        <w:rPr>
          <w:rFonts w:cs="Open Sans"/>
        </w:rPr>
        <w:t xml:space="preserve"> 127</w:t>
      </w:r>
      <w:r w:rsidRPr="007520DB">
        <w:rPr>
          <w:rFonts w:cs="Open Sans"/>
        </w:rPr>
        <w:t>.</w:t>
      </w:r>
    </w:p>
  </w:endnote>
  <w:endnote w:id="147">
    <w:p w14:paraId="5B06EC4E" w14:textId="77563D1B" w:rsidR="008A6100" w:rsidRPr="007520DB" w:rsidRDefault="008A6100" w:rsidP="008A6100">
      <w:pPr>
        <w:pStyle w:val="EndnoteText"/>
        <w:rPr>
          <w:rFonts w:cs="Open Sans"/>
        </w:rPr>
      </w:pPr>
      <w:r w:rsidRPr="007520DB">
        <w:rPr>
          <w:rStyle w:val="EndnoteReference"/>
          <w:rFonts w:cs="Open Sans"/>
        </w:rPr>
        <w:endnoteRef/>
      </w:r>
      <w:r w:rsidRPr="007520DB">
        <w:rPr>
          <w:rFonts w:cs="Open Sans"/>
        </w:rPr>
        <w:t xml:space="preserve"> </w:t>
      </w:r>
      <w:r w:rsidR="00675918">
        <w:rPr>
          <w:rFonts w:cs="Open Sans"/>
        </w:rPr>
        <w:t xml:space="preserve">CRC General Comment 25 </w:t>
      </w:r>
      <w:r w:rsidRPr="007520DB">
        <w:rPr>
          <w:rFonts w:cs="Open Sans"/>
        </w:rPr>
        <w:t>42.</w:t>
      </w:r>
    </w:p>
  </w:endnote>
  <w:endnote w:id="148">
    <w:p w14:paraId="33A454C9" w14:textId="5155466D" w:rsidR="008A6100" w:rsidRPr="007520DB" w:rsidRDefault="008A6100" w:rsidP="008A6100">
      <w:pPr>
        <w:pStyle w:val="EndnoteText"/>
        <w:rPr>
          <w:rFonts w:cs="Open Sans"/>
        </w:rPr>
      </w:pPr>
      <w:r w:rsidRPr="007520DB">
        <w:rPr>
          <w:rStyle w:val="EndnoteReference"/>
          <w:rFonts w:cs="Open Sans"/>
        </w:rPr>
        <w:endnoteRef/>
      </w:r>
      <w:r w:rsidRPr="007520DB">
        <w:rPr>
          <w:rFonts w:cs="Open Sans"/>
        </w:rPr>
        <w:t xml:space="preserve"> </w:t>
      </w:r>
      <w:r w:rsidR="000B0A38" w:rsidRPr="007520DB">
        <w:rPr>
          <w:rFonts w:cs="Open Sans"/>
        </w:rPr>
        <w:t>Human Rights Council,</w:t>
      </w:r>
      <w:r w:rsidR="000B0A38" w:rsidRPr="427D76A9">
        <w:rPr>
          <w:rFonts w:cs="Open Sans"/>
          <w:i/>
          <w:iCs/>
        </w:rPr>
        <w:t xml:space="preserve"> Report of the Special Rapporteur on the Right to Privacy</w:t>
      </w:r>
      <w:r w:rsidR="000B0A38" w:rsidRPr="007520DB">
        <w:rPr>
          <w:rFonts w:cs="Open Sans"/>
        </w:rPr>
        <w:t xml:space="preserve">, Joseph Cannataci, on Artificial Intelligence and Privacy, and Children’s Privacy (2021) UN Doc A/HRC/46/37 </w:t>
      </w:r>
      <w:r w:rsidRPr="007520DB">
        <w:rPr>
          <w:rFonts w:cs="Open Sans"/>
        </w:rPr>
        <w:t>90.</w:t>
      </w:r>
    </w:p>
  </w:endnote>
  <w:endnote w:id="149">
    <w:p w14:paraId="425584CD" w14:textId="2159650A" w:rsidR="008A6100" w:rsidRPr="007520DB" w:rsidRDefault="008A6100" w:rsidP="008A6100">
      <w:pPr>
        <w:pStyle w:val="EndnoteText"/>
      </w:pPr>
      <w:r w:rsidRPr="007520DB">
        <w:rPr>
          <w:rStyle w:val="EndnoteReference"/>
        </w:rPr>
        <w:endnoteRef/>
      </w:r>
      <w:r w:rsidRPr="007520DB">
        <w:t xml:space="preserve"> </w:t>
      </w:r>
      <w:r w:rsidR="00675918">
        <w:rPr>
          <w:rFonts w:cs="Open Sans"/>
        </w:rPr>
        <w:t xml:space="preserve">CRC General Comment 25 </w:t>
      </w:r>
      <w:r w:rsidR="00675918">
        <w:t>1</w:t>
      </w:r>
      <w:r w:rsidRPr="007520DB">
        <w:t>6-18.</w:t>
      </w:r>
    </w:p>
  </w:endnote>
  <w:endnote w:id="150">
    <w:p w14:paraId="65D487E2" w14:textId="547621CE" w:rsidR="008A6100" w:rsidRPr="007520DB" w:rsidRDefault="008A6100" w:rsidP="008A6100">
      <w:pPr>
        <w:pStyle w:val="EndnoteText"/>
        <w:rPr>
          <w:rFonts w:cs="Open Sans"/>
        </w:rPr>
      </w:pPr>
      <w:r w:rsidRPr="007520DB">
        <w:rPr>
          <w:rStyle w:val="EndnoteReference"/>
          <w:rFonts w:cs="Open Sans"/>
        </w:rPr>
        <w:endnoteRef/>
      </w:r>
      <w:r w:rsidRPr="007520DB">
        <w:rPr>
          <w:rFonts w:cs="Open Sans"/>
        </w:rPr>
        <w:t xml:space="preserve"> </w:t>
      </w:r>
      <w:r w:rsidR="000B0A38" w:rsidRPr="007520DB">
        <w:rPr>
          <w:rFonts w:cs="Open Sans"/>
        </w:rPr>
        <w:t>Human Rights Council,</w:t>
      </w:r>
      <w:r w:rsidR="000B0A38" w:rsidRPr="427D76A9">
        <w:rPr>
          <w:rFonts w:cs="Open Sans"/>
          <w:i/>
          <w:iCs/>
        </w:rPr>
        <w:t xml:space="preserve"> Report of the Special Rapporteur on the Right to Privacy</w:t>
      </w:r>
      <w:r w:rsidR="000B0A38" w:rsidRPr="007520DB">
        <w:rPr>
          <w:rFonts w:cs="Open Sans"/>
        </w:rPr>
        <w:t xml:space="preserve">, Joseph Cannataci, on Artificial Intelligence and Privacy, and Children’s Privacy (2021) UN Doc A/HRC/46/37 </w:t>
      </w:r>
      <w:r w:rsidRPr="007520DB">
        <w:rPr>
          <w:rFonts w:cs="Open Sans"/>
        </w:rPr>
        <w:t>80.</w:t>
      </w:r>
    </w:p>
  </w:endnote>
  <w:endnote w:id="151">
    <w:p w14:paraId="256DDA05" w14:textId="7621FF8F" w:rsidR="008A6100" w:rsidRPr="007520DB" w:rsidRDefault="008A6100" w:rsidP="008A6100">
      <w:pPr>
        <w:pStyle w:val="EndnoteText"/>
      </w:pPr>
      <w:r w:rsidRPr="007520DB">
        <w:rPr>
          <w:rStyle w:val="EndnoteReference"/>
        </w:rPr>
        <w:endnoteRef/>
      </w:r>
      <w:r w:rsidRPr="007520DB">
        <w:t xml:space="preserve"> </w:t>
      </w:r>
      <w:r w:rsidR="000B0A38" w:rsidRPr="007520DB">
        <w:rPr>
          <w:rFonts w:cs="Open Sans"/>
        </w:rPr>
        <w:t>Human Rights Council,</w:t>
      </w:r>
      <w:r w:rsidR="000B0A38" w:rsidRPr="427D76A9">
        <w:rPr>
          <w:rFonts w:cs="Open Sans"/>
          <w:i/>
          <w:iCs/>
        </w:rPr>
        <w:t xml:space="preserve"> Report of the Special Rapporteur on the Right to Privacy</w:t>
      </w:r>
      <w:r w:rsidR="000B0A38" w:rsidRPr="007520DB">
        <w:rPr>
          <w:rFonts w:cs="Open Sans"/>
        </w:rPr>
        <w:t xml:space="preserve">, Joseph Cannataci, on Artificial Intelligence and Privacy, and Children’s Privacy (2021) UN Doc A/HRC/46/37 </w:t>
      </w:r>
      <w:r w:rsidRPr="007520DB">
        <w:t>118.</w:t>
      </w:r>
    </w:p>
  </w:endnote>
  <w:endnote w:id="152">
    <w:p w14:paraId="48993D9C" w14:textId="105C9F22" w:rsidR="00EE471E" w:rsidRDefault="00EE471E">
      <w:pPr>
        <w:pStyle w:val="EndnoteText"/>
      </w:pPr>
      <w:r>
        <w:rPr>
          <w:rStyle w:val="EndnoteReference"/>
        </w:rPr>
        <w:endnoteRef/>
      </w:r>
      <w:r>
        <w:t xml:space="preserve"> Position Paper 195-205</w:t>
      </w:r>
    </w:p>
  </w:endnote>
  <w:endnote w:id="153">
    <w:p w14:paraId="58D71716" w14:textId="5D40F9E6" w:rsidR="00C96D26" w:rsidRDefault="00C96D26">
      <w:pPr>
        <w:pStyle w:val="EndnoteText"/>
      </w:pPr>
      <w:r>
        <w:rPr>
          <w:rStyle w:val="EndnoteReference"/>
        </w:rPr>
        <w:endnoteRef/>
      </w:r>
      <w:r w:rsidR="427D76A9">
        <w:t xml:space="preserve"> Elena Martellozzo et al</w:t>
      </w:r>
      <w:r w:rsidR="00157DA0">
        <w:t>.</w:t>
      </w:r>
      <w:r w:rsidR="427D76A9">
        <w:t xml:space="preserve">, </w:t>
      </w:r>
      <w:r w:rsidR="00157DA0">
        <w:t>‘</w:t>
      </w:r>
      <w:r w:rsidR="427D76A9" w:rsidRPr="00A76B22">
        <w:rPr>
          <w:i/>
          <w:iCs/>
        </w:rPr>
        <w:t>I Wasn’t Sure it Was Normal to Watch it: the Impact of Online Pornography on the Values, Attitudes, Beliefs and Behaviours of Children</w:t>
      </w:r>
      <w:r w:rsidR="427D76A9">
        <w:t>‘</w:t>
      </w:r>
      <w:r w:rsidR="00157DA0">
        <w:t xml:space="preserve"> (NSPCC, Report,</w:t>
      </w:r>
      <w:r w:rsidR="427D76A9">
        <w:t xml:space="preserve"> May 2017</w:t>
      </w:r>
      <w:r w:rsidR="00157DA0">
        <w:t xml:space="preserve">). </w:t>
      </w:r>
    </w:p>
  </w:endnote>
  <w:endnote w:id="154">
    <w:p w14:paraId="7D8C81D9" w14:textId="15EE7C33" w:rsidR="00E20CF5" w:rsidRDefault="00E20CF5" w:rsidP="00E20CF5">
      <w:pPr>
        <w:pStyle w:val="EndnoteText"/>
      </w:pPr>
      <w:r>
        <w:rPr>
          <w:rStyle w:val="EndnoteReference"/>
        </w:rPr>
        <w:endnoteRef/>
      </w:r>
      <w:r>
        <w:t xml:space="preserve"> </w:t>
      </w:r>
      <w:bookmarkStart w:id="62" w:name="_Hlk129873633"/>
      <w:r>
        <w:t>Australian Law Reform Commission</w:t>
      </w:r>
      <w:r w:rsidR="00813E8D">
        <w:t>,</w:t>
      </w:r>
      <w:r>
        <w:t xml:space="preserve"> </w:t>
      </w:r>
      <w:r w:rsidR="00813E8D">
        <w:t>‘</w:t>
      </w:r>
      <w:r w:rsidRPr="00813E8D">
        <w:rPr>
          <w:i/>
          <w:iCs/>
        </w:rPr>
        <w:t>Elder Abuse—A National Legal Response</w:t>
      </w:r>
      <w:r w:rsidR="00813E8D">
        <w:t>’</w:t>
      </w:r>
      <w:r>
        <w:t xml:space="preserve"> (ALRC Report 131</w:t>
      </w:r>
      <w:r w:rsidR="00813E8D">
        <w:t>, 2017</w:t>
      </w:r>
      <w:r>
        <w:t>) 15</w:t>
      </w:r>
      <w:r w:rsidR="00813E8D">
        <w:t>.</w:t>
      </w:r>
      <w:r>
        <w:t xml:space="preserve"> </w:t>
      </w:r>
      <w:bookmarkEnd w:id="62"/>
    </w:p>
  </w:endnote>
  <w:endnote w:id="155">
    <w:p w14:paraId="59113E56" w14:textId="408B4441" w:rsidR="00D871F5" w:rsidRDefault="00D871F5" w:rsidP="00D871F5">
      <w:pPr>
        <w:pStyle w:val="EndnoteText"/>
      </w:pPr>
      <w:r>
        <w:rPr>
          <w:rStyle w:val="EndnoteReference"/>
        </w:rPr>
        <w:endnoteRef/>
      </w:r>
      <w:r>
        <w:t xml:space="preserve"> Office of the Public Advocate</w:t>
      </w:r>
      <w:r w:rsidR="00813E8D">
        <w:t>,</w:t>
      </w:r>
      <w:r>
        <w:t xml:space="preserve"> </w:t>
      </w:r>
      <w:r w:rsidR="00813E8D">
        <w:t>‘</w:t>
      </w:r>
      <w:r w:rsidRPr="00813E8D">
        <w:rPr>
          <w:i/>
          <w:iCs/>
        </w:rPr>
        <w:t>Line of sight: Refocussing Victoria’s adult safeguarding laws and practices</w:t>
      </w:r>
      <w:r w:rsidR="00813E8D">
        <w:t>’</w:t>
      </w:r>
      <w:r w:rsidR="00813E8D" w:rsidRPr="00813E8D">
        <w:t xml:space="preserve"> </w:t>
      </w:r>
      <w:r w:rsidR="00813E8D">
        <w:t xml:space="preserve">(State of Victoria, 2022) </w:t>
      </w:r>
      <w:r>
        <w:t>7</w:t>
      </w:r>
      <w:r w:rsidR="00813E8D">
        <w:t>.</w:t>
      </w:r>
      <w:r>
        <w:t xml:space="preserve">  </w:t>
      </w:r>
    </w:p>
  </w:endnote>
  <w:endnote w:id="156">
    <w:p w14:paraId="05913D3E" w14:textId="3471AA1B" w:rsidR="00D871F5" w:rsidRDefault="00D871F5" w:rsidP="00D871F5">
      <w:pPr>
        <w:pStyle w:val="EndnoteText"/>
      </w:pPr>
      <w:r>
        <w:rPr>
          <w:rStyle w:val="EndnoteReference"/>
        </w:rPr>
        <w:endnoteRef/>
      </w:r>
      <w:r>
        <w:t xml:space="preserve"> The Public Advocate</w:t>
      </w:r>
      <w:r w:rsidR="00813E8D">
        <w:t>,</w:t>
      </w:r>
      <w:r>
        <w:t xml:space="preserve"> </w:t>
      </w:r>
      <w:r w:rsidR="00813E8D">
        <w:t>‘</w:t>
      </w:r>
      <w:r w:rsidRPr="00813E8D">
        <w:rPr>
          <w:i/>
          <w:iCs/>
        </w:rPr>
        <w:t>Adult Safeguarding in Queensland: Volume 2</w:t>
      </w:r>
      <w:r w:rsidR="00813E8D">
        <w:t>’</w:t>
      </w:r>
      <w:r>
        <w:t xml:space="preserve"> Reform Recommendations </w:t>
      </w:r>
      <w:r w:rsidR="00813E8D">
        <w:t xml:space="preserve">(Queensland, 2022) </w:t>
      </w:r>
      <w:r>
        <w:t>8</w:t>
      </w:r>
      <w:r w:rsidR="00813E8D">
        <w:t>.</w:t>
      </w:r>
      <w:r>
        <w:t xml:space="preserve"> </w:t>
      </w:r>
    </w:p>
  </w:endnote>
  <w:endnote w:id="157">
    <w:p w14:paraId="395984CA" w14:textId="76A159AA" w:rsidR="00B01739" w:rsidRPr="003C6670" w:rsidRDefault="00B01739" w:rsidP="00B01739">
      <w:pPr>
        <w:pStyle w:val="EndnoteText"/>
        <w:rPr>
          <w:rFonts w:cstheme="minorHAnsi"/>
        </w:rPr>
      </w:pPr>
      <w:r w:rsidRPr="003C6670">
        <w:rPr>
          <w:rStyle w:val="EndnoteReference"/>
          <w:rFonts w:cstheme="minorHAnsi"/>
        </w:rPr>
        <w:endnoteRef/>
      </w:r>
      <w:r w:rsidRPr="003C6670">
        <w:rPr>
          <w:rFonts w:cstheme="minorHAnsi"/>
        </w:rPr>
        <w:t xml:space="preserve"> Submission to the </w:t>
      </w:r>
      <w:r w:rsidR="00770236" w:rsidRPr="00770236">
        <w:rPr>
          <w:rFonts w:cstheme="minorHAnsi"/>
        </w:rPr>
        <w:t>Attorney-General’s Department, Discussion Paper (Commonwealth of Australia, Discussion Paper, October)</w:t>
      </w:r>
      <w:r w:rsidRPr="003C6670">
        <w:rPr>
          <w:rFonts w:cstheme="minorHAnsi"/>
        </w:rPr>
        <w:t xml:space="preserve">: </w:t>
      </w:r>
      <w:r w:rsidRPr="00E70A97">
        <w:rPr>
          <w:rFonts w:cstheme="minorHAnsi"/>
        </w:rPr>
        <w:t>Energy and Water Ombudsman NSW</w:t>
      </w:r>
      <w:r w:rsidRPr="003C6670">
        <w:rPr>
          <w:rFonts w:cstheme="minorHAnsi"/>
        </w:rPr>
        <w:t xml:space="preserve"> 2 which submitted that it was critical that the significant vulnerability experienced due to family violence be included.</w:t>
      </w:r>
    </w:p>
  </w:endnote>
  <w:endnote w:id="158">
    <w:p w14:paraId="3A47F986" w14:textId="6688728E" w:rsidR="00B01739" w:rsidRPr="003C6670" w:rsidRDefault="00B01739" w:rsidP="00B01739">
      <w:pPr>
        <w:pStyle w:val="EndnoteText"/>
        <w:rPr>
          <w:rFonts w:cstheme="minorHAnsi"/>
        </w:rPr>
      </w:pPr>
      <w:r w:rsidRPr="003C6670">
        <w:rPr>
          <w:rStyle w:val="EndnoteReference"/>
          <w:rFonts w:cstheme="minorHAnsi"/>
        </w:rPr>
        <w:endnoteRef/>
      </w:r>
      <w:r w:rsidRPr="003C6670">
        <w:rPr>
          <w:rFonts w:cstheme="minorHAnsi"/>
        </w:rPr>
        <w:t xml:space="preserve"> Submission to the </w:t>
      </w:r>
      <w:r w:rsidR="00770236" w:rsidRPr="00770236">
        <w:rPr>
          <w:rFonts w:cstheme="minorHAnsi"/>
        </w:rPr>
        <w:t>Attorney-General’s Department, Discussion Paper (Commonwealth of Australia, Discussion Paper, October)</w:t>
      </w:r>
      <w:r w:rsidRPr="003C6670">
        <w:rPr>
          <w:rFonts w:cstheme="minorHAnsi"/>
        </w:rPr>
        <w:t xml:space="preserve">: </w:t>
      </w:r>
      <w:r w:rsidRPr="00E70A97">
        <w:rPr>
          <w:rFonts w:cstheme="minorHAnsi"/>
        </w:rPr>
        <w:t>Social Services Portfolio</w:t>
      </w:r>
      <w:r w:rsidRPr="003C6670">
        <w:rPr>
          <w:rFonts w:cstheme="minorHAnsi"/>
        </w:rPr>
        <w:t xml:space="preserve"> 26; </w:t>
      </w:r>
      <w:r w:rsidRPr="00E70A97">
        <w:rPr>
          <w:rFonts w:cstheme="minorHAnsi"/>
        </w:rPr>
        <w:t>OAIC</w:t>
      </w:r>
      <w:r w:rsidRPr="003C6670">
        <w:rPr>
          <w:rFonts w:cstheme="minorHAnsi"/>
        </w:rPr>
        <w:t xml:space="preserve"> 126 and </w:t>
      </w:r>
      <w:r w:rsidRPr="00E70A97">
        <w:rPr>
          <w:rFonts w:cstheme="minorHAnsi"/>
        </w:rPr>
        <w:t>Castan Centre</w:t>
      </w:r>
      <w:r w:rsidRPr="003C6670">
        <w:rPr>
          <w:rFonts w:cstheme="minorHAnsi"/>
        </w:rPr>
        <w:t xml:space="preserve"> 24 - both citing Normann Witzleb et al, </w:t>
      </w:r>
      <w:r w:rsidR="00E70A97">
        <w:rPr>
          <w:rFonts w:cstheme="minorHAnsi"/>
        </w:rPr>
        <w:t>‘</w:t>
      </w:r>
      <w:r w:rsidRPr="00E70A97">
        <w:rPr>
          <w:rFonts w:cstheme="minorHAnsi"/>
          <w:i/>
        </w:rPr>
        <w:t>Privacy risks and harms for children and other vulnerable groups in the online environment</w:t>
      </w:r>
      <w:r w:rsidR="00E70A97">
        <w:rPr>
          <w:rFonts w:cstheme="minorHAnsi"/>
          <w:i/>
        </w:rPr>
        <w:t>’</w:t>
      </w:r>
      <w:r w:rsidRPr="003C6670">
        <w:rPr>
          <w:rFonts w:cstheme="minorHAnsi"/>
        </w:rPr>
        <w:t xml:space="preserve"> (Research Paper commissioned by the OAIC, Monash University and elevenM Consulting, 18 December 2020). </w:t>
      </w:r>
    </w:p>
  </w:endnote>
  <w:endnote w:id="159">
    <w:p w14:paraId="7520EC27" w14:textId="2FDDB3B0" w:rsidR="000319C0" w:rsidRDefault="000319C0" w:rsidP="000319C0">
      <w:pPr>
        <w:pStyle w:val="EndnoteText"/>
      </w:pPr>
      <w:r>
        <w:rPr>
          <w:rStyle w:val="EndnoteReference"/>
        </w:rPr>
        <w:endnoteRef/>
      </w:r>
      <w:r>
        <w:t xml:space="preserve"> </w:t>
      </w:r>
      <w:r w:rsidR="00AF2F7E" w:rsidRPr="00AF2F7E">
        <w:t xml:space="preserve">Attorney-General’s Department, Review Report (Commonwealth of Australia, Report, February 2023) </w:t>
      </w:r>
      <w:r>
        <w:t>16</w:t>
      </w:r>
      <w:r w:rsidR="000D00FF">
        <w:t>0</w:t>
      </w:r>
      <w:r w:rsidR="00583BE8">
        <w:t>.</w:t>
      </w:r>
      <w:r>
        <w:t xml:space="preserve"> </w:t>
      </w:r>
    </w:p>
  </w:endnote>
  <w:endnote w:id="160">
    <w:p w14:paraId="7C07B549" w14:textId="557A89A9" w:rsidR="0012110B" w:rsidRPr="001C73EF" w:rsidRDefault="0012110B" w:rsidP="0012110B">
      <w:pPr>
        <w:pStyle w:val="EndnoteText"/>
        <w:rPr>
          <w:lang w:val="en-GB"/>
        </w:rPr>
      </w:pPr>
      <w:r>
        <w:rPr>
          <w:rStyle w:val="EndnoteReference"/>
        </w:rPr>
        <w:endnoteRef/>
      </w:r>
      <w:r>
        <w:t xml:space="preserve"> </w:t>
      </w:r>
      <w:r>
        <w:rPr>
          <w:lang w:val="en-GB"/>
        </w:rPr>
        <w:t>Department of Social Services</w:t>
      </w:r>
      <w:r w:rsidR="00583BE8">
        <w:rPr>
          <w:lang w:val="en-GB"/>
        </w:rPr>
        <w:t>,</w:t>
      </w:r>
      <w:r>
        <w:rPr>
          <w:lang w:val="en-GB"/>
        </w:rPr>
        <w:t xml:space="preserve"> </w:t>
      </w:r>
      <w:r w:rsidR="00583BE8">
        <w:rPr>
          <w:lang w:val="en-GB"/>
        </w:rPr>
        <w:t>‘</w:t>
      </w:r>
      <w:r w:rsidRPr="00583BE8">
        <w:rPr>
          <w:i/>
          <w:iCs/>
          <w:lang w:val="en-GB"/>
        </w:rPr>
        <w:t>NDIS Quality and Safeguarding Framework</w:t>
      </w:r>
      <w:r w:rsidR="00583BE8">
        <w:rPr>
          <w:lang w:val="en-GB"/>
        </w:rPr>
        <w:t>’</w:t>
      </w:r>
      <w:r>
        <w:rPr>
          <w:lang w:val="en-GB"/>
        </w:rPr>
        <w:t xml:space="preserve"> </w:t>
      </w:r>
      <w:r w:rsidR="00583BE8">
        <w:rPr>
          <w:lang w:val="en-GB"/>
        </w:rPr>
        <w:t xml:space="preserve">(2016) </w:t>
      </w:r>
      <w:r>
        <w:rPr>
          <w:lang w:val="en-GB"/>
        </w:rPr>
        <w:t>31</w:t>
      </w:r>
      <w:r w:rsidR="00583BE8">
        <w:rPr>
          <w:lang w:val="en-GB"/>
        </w:rPr>
        <w:t>.</w:t>
      </w:r>
      <w:r>
        <w:rPr>
          <w:lang w:val="en-GB"/>
        </w:rPr>
        <w:t xml:space="preserve"> </w:t>
      </w:r>
    </w:p>
  </w:endnote>
  <w:endnote w:id="161">
    <w:p w14:paraId="7818EA37" w14:textId="408B76DB" w:rsidR="007F1205" w:rsidRPr="004434D3" w:rsidRDefault="007F1205" w:rsidP="007F1205">
      <w:pPr>
        <w:pStyle w:val="EndnoteText"/>
        <w:rPr>
          <w:lang w:val="en-GB"/>
        </w:rPr>
      </w:pPr>
      <w:r w:rsidRPr="004434D3">
        <w:rPr>
          <w:rStyle w:val="EndnoteReference"/>
        </w:rPr>
        <w:endnoteRef/>
      </w:r>
      <w:r w:rsidRPr="004434D3">
        <w:t xml:space="preserve"> </w:t>
      </w:r>
      <w:r w:rsidRPr="004434D3">
        <w:rPr>
          <w:lang w:val="en-GB"/>
        </w:rPr>
        <w:t>Australian Law Reform Commission</w:t>
      </w:r>
      <w:r w:rsidR="00583BE8">
        <w:rPr>
          <w:lang w:val="en-GB"/>
        </w:rPr>
        <w:t xml:space="preserve">, </w:t>
      </w:r>
      <w:r w:rsidRPr="004434D3">
        <w:rPr>
          <w:lang w:val="en-GB"/>
        </w:rPr>
        <w:t>‘</w:t>
      </w:r>
      <w:r w:rsidRPr="00583BE8">
        <w:rPr>
          <w:i/>
          <w:iCs/>
          <w:lang w:val="en-GB"/>
        </w:rPr>
        <w:t>Equality, Capacity and Disability in Commonwealth Laws</w:t>
      </w:r>
      <w:r w:rsidR="00583BE8">
        <w:rPr>
          <w:lang w:val="en-GB"/>
        </w:rPr>
        <w:t>’</w:t>
      </w:r>
      <w:r w:rsidRPr="004434D3">
        <w:rPr>
          <w:lang w:val="en-GB"/>
        </w:rPr>
        <w:t xml:space="preserve"> (</w:t>
      </w:r>
      <w:r w:rsidR="00583BE8" w:rsidRPr="004434D3">
        <w:rPr>
          <w:lang w:val="en-GB"/>
        </w:rPr>
        <w:t>2014</w:t>
      </w:r>
      <w:r w:rsidR="00583BE8">
        <w:rPr>
          <w:lang w:val="en-GB"/>
        </w:rPr>
        <w:t>,</w:t>
      </w:r>
      <w:r w:rsidR="00583BE8" w:rsidRPr="004434D3">
        <w:rPr>
          <w:lang w:val="en-GB"/>
        </w:rPr>
        <w:t xml:space="preserve"> </w:t>
      </w:r>
      <w:r w:rsidRPr="004434D3">
        <w:rPr>
          <w:lang w:val="en-GB"/>
        </w:rPr>
        <w:t>ALRC Report 124)</w:t>
      </w:r>
      <w:r w:rsidR="00583BE8">
        <w:rPr>
          <w:lang w:val="en-GB"/>
        </w:rPr>
        <w:t>.</w:t>
      </w:r>
    </w:p>
  </w:endnote>
  <w:endnote w:id="162">
    <w:p w14:paraId="6EDE493F" w14:textId="26320623" w:rsidR="007F1205" w:rsidRPr="004434D3" w:rsidRDefault="007F1205" w:rsidP="007F1205">
      <w:pPr>
        <w:pStyle w:val="EndnoteText"/>
        <w:rPr>
          <w:lang w:val="en-GB"/>
        </w:rPr>
      </w:pPr>
      <w:r w:rsidRPr="004434D3">
        <w:rPr>
          <w:rStyle w:val="EndnoteReference"/>
        </w:rPr>
        <w:endnoteRef/>
      </w:r>
      <w:r w:rsidRPr="004434D3">
        <w:t xml:space="preserve"> Royal Commission into Violence Abuse Neglect and Exploitation of People with Disability ‘</w:t>
      </w:r>
      <w:r w:rsidRPr="00583BE8">
        <w:rPr>
          <w:i/>
          <w:iCs/>
        </w:rPr>
        <w:t>Diversity, dignity, equity and best practice: a framework for supported decision-making</w:t>
      </w:r>
      <w:r w:rsidRPr="004434D3">
        <w:t>’</w:t>
      </w:r>
      <w:r w:rsidR="00583BE8">
        <w:t xml:space="preserve"> </w:t>
      </w:r>
      <w:r w:rsidR="00583BE8" w:rsidRPr="004434D3">
        <w:t>(2023)</w:t>
      </w:r>
      <w:r w:rsidR="00583BE8">
        <w:t>.</w:t>
      </w:r>
    </w:p>
  </w:endnote>
  <w:endnote w:id="163">
    <w:p w14:paraId="21A4945A" w14:textId="758B6529" w:rsidR="00F0184B" w:rsidRDefault="00F0184B" w:rsidP="00F0184B">
      <w:pPr>
        <w:pStyle w:val="EndnoteText"/>
      </w:pPr>
      <w:r>
        <w:rPr>
          <w:rStyle w:val="EndnoteReference"/>
        </w:rPr>
        <w:endnoteRef/>
      </w:r>
      <w:r>
        <w:t xml:space="preserve"> </w:t>
      </w:r>
      <w:r w:rsidR="00AF2F7E" w:rsidRPr="00AF2F7E">
        <w:t xml:space="preserve">Attorney-General’s Department, Review Report (Commonwealth of Australia, Report, February 2023) </w:t>
      </w:r>
      <w:r>
        <w:t>200</w:t>
      </w:r>
      <w:r w:rsidR="00583BE8">
        <w:t>.</w:t>
      </w:r>
      <w:r>
        <w:t xml:space="preserve"> </w:t>
      </w:r>
    </w:p>
  </w:endnote>
  <w:endnote w:id="164">
    <w:p w14:paraId="67F777BC" w14:textId="322C7B87" w:rsidR="007F0370" w:rsidRDefault="007F0370" w:rsidP="007F0370">
      <w:pPr>
        <w:pStyle w:val="EndnoteText"/>
      </w:pPr>
      <w:r>
        <w:rPr>
          <w:rStyle w:val="EndnoteReference"/>
        </w:rPr>
        <w:endnoteRef/>
      </w:r>
      <w:r>
        <w:t xml:space="preserve"> </w:t>
      </w:r>
      <w:r w:rsidR="003E56AA">
        <w:t xml:space="preserve">See e.g. submissions to the </w:t>
      </w:r>
      <w:r w:rsidR="00770236" w:rsidRPr="00770236">
        <w:t>Attorney-General’s Department, Discussion Paper (Commonwealth of Australia, Discussion Paper, October)</w:t>
      </w:r>
      <w:r>
        <w:t xml:space="preserve">: Calabash Solutions 19; Office of the Victorian Information Commissioner 8.  </w:t>
      </w:r>
    </w:p>
  </w:endnote>
  <w:endnote w:id="165">
    <w:p w14:paraId="5EBCE4F9" w14:textId="5B33A995" w:rsidR="0073176F" w:rsidRDefault="0073176F" w:rsidP="0073176F">
      <w:pPr>
        <w:pStyle w:val="EndnoteText"/>
      </w:pPr>
      <w:r>
        <w:rPr>
          <w:rStyle w:val="EndnoteReference"/>
        </w:rPr>
        <w:endnoteRef/>
      </w:r>
      <w:r>
        <w:t xml:space="preserve"> </w:t>
      </w:r>
      <w:r w:rsidR="005F5046">
        <w:t xml:space="preserve">See e.g. submissions to the </w:t>
      </w:r>
      <w:r w:rsidR="005F5046" w:rsidRPr="00770236">
        <w:t>Attorney-General’s Department, Discussion Paper (Commonwealth of Australia, Discussion Paper, October)</w:t>
      </w:r>
      <w:r w:rsidR="005F5046">
        <w:t xml:space="preserve">: </w:t>
      </w:r>
      <w:r w:rsidR="00BD0449">
        <w:t>Calabash Solutions 19</w:t>
      </w:r>
      <w:r>
        <w:t xml:space="preserve">. </w:t>
      </w:r>
    </w:p>
  </w:endnote>
  <w:endnote w:id="166">
    <w:p w14:paraId="380B4218" w14:textId="7716586D" w:rsidR="00EB7128" w:rsidRDefault="00EB7128">
      <w:pPr>
        <w:pStyle w:val="EndnoteText"/>
      </w:pPr>
      <w:r>
        <w:rPr>
          <w:rStyle w:val="EndnoteReference"/>
        </w:rPr>
        <w:endnoteRef/>
      </w:r>
      <w:r>
        <w:t xml:space="preserve"> </w:t>
      </w:r>
      <w:r w:rsidR="00EA032A">
        <w:t>Consumer Policy Research Centre, ‘</w:t>
      </w:r>
      <w:r w:rsidR="00EA032A" w:rsidRPr="006E68D0">
        <w:rPr>
          <w:i/>
          <w:iCs/>
        </w:rPr>
        <w:t>In whose interest? Why businesses need to keep consumers safe and treat their data with care</w:t>
      </w:r>
      <w:r w:rsidR="00EA032A">
        <w:t xml:space="preserve">’ (Working Paper, March 2023) </w:t>
      </w:r>
      <w:r w:rsidR="00C53EEC">
        <w:t xml:space="preserve">4 </w:t>
      </w:r>
      <w:r w:rsidR="008D4764">
        <w:t xml:space="preserve">citing </w:t>
      </w:r>
      <w:r w:rsidR="00EA032A" w:rsidRPr="00560F6A">
        <w:t>Consumer Policy Research Centre</w:t>
      </w:r>
      <w:r w:rsidR="00EA032A">
        <w:t>, ‘</w:t>
      </w:r>
      <w:r w:rsidR="00EA032A" w:rsidRPr="000F38B2">
        <w:rPr>
          <w:i/>
          <w:iCs/>
        </w:rPr>
        <w:t>Duped by Design – Manipulative online design: Dark patterns in Australia</w:t>
      </w:r>
      <w:r w:rsidR="00EA032A">
        <w:t xml:space="preserve">’ (Paper, June 2022) </w:t>
      </w:r>
      <w:r w:rsidR="008D4764">
        <w:t>6.</w:t>
      </w:r>
    </w:p>
  </w:endnote>
  <w:endnote w:id="167">
    <w:p w14:paraId="68DFCB2B" w14:textId="6D7CEA51" w:rsidR="00EB7128" w:rsidRDefault="00EB7128">
      <w:pPr>
        <w:pStyle w:val="EndnoteText"/>
      </w:pPr>
      <w:r>
        <w:rPr>
          <w:rStyle w:val="EndnoteReference"/>
        </w:rPr>
        <w:endnoteRef/>
      </w:r>
      <w:r>
        <w:t xml:space="preserve"> </w:t>
      </w:r>
      <w:r w:rsidR="00EA032A">
        <w:t>Consumer Policy Research Centre, ‘</w:t>
      </w:r>
      <w:r w:rsidR="00EA032A" w:rsidRPr="006E68D0">
        <w:rPr>
          <w:i/>
          <w:iCs/>
        </w:rPr>
        <w:t>In whose interest? Why businesses need to keep consumers safe and treat their data with care</w:t>
      </w:r>
      <w:r w:rsidR="00EA032A">
        <w:t xml:space="preserve">’ (Working Paper, March 2023) </w:t>
      </w:r>
      <w:r w:rsidR="00BF3051">
        <w:t xml:space="preserve">10 citing Jack Balkin, ‘The fiduciary model of privacy’ 134(11) </w:t>
      </w:r>
      <w:r w:rsidR="00BF3051" w:rsidRPr="00920991">
        <w:rPr>
          <w:i/>
          <w:iCs/>
        </w:rPr>
        <w:t>Harvard Law Review Forum</w:t>
      </w:r>
      <w:r w:rsidR="00BF3051">
        <w:t xml:space="preserve"> (2020) 12.</w:t>
      </w:r>
    </w:p>
  </w:endnote>
  <w:endnote w:id="168">
    <w:p w14:paraId="4D588E88" w14:textId="59441429" w:rsidR="00B253A2" w:rsidRDefault="00B253A2" w:rsidP="00B253A2">
      <w:pPr>
        <w:pStyle w:val="EndnoteText"/>
      </w:pPr>
      <w:r>
        <w:rPr>
          <w:rStyle w:val="EndnoteReference"/>
        </w:rPr>
        <w:endnoteRef/>
      </w:r>
      <w:r>
        <w:t xml:space="preserve"> </w:t>
      </w:r>
      <w:r w:rsidRPr="00D33A56">
        <w:rPr>
          <w:i/>
          <w:iCs/>
        </w:rPr>
        <w:t>I</w:t>
      </w:r>
      <w:r>
        <w:rPr>
          <w:i/>
          <w:iCs/>
        </w:rPr>
        <w:t xml:space="preserve">nternational </w:t>
      </w:r>
      <w:r w:rsidRPr="00D33A56">
        <w:rPr>
          <w:i/>
          <w:iCs/>
        </w:rPr>
        <w:t>C</w:t>
      </w:r>
      <w:r>
        <w:rPr>
          <w:i/>
          <w:iCs/>
        </w:rPr>
        <w:t xml:space="preserve">ovenant on </w:t>
      </w:r>
      <w:r w:rsidRPr="00D33A56">
        <w:rPr>
          <w:i/>
          <w:iCs/>
        </w:rPr>
        <w:t>C</w:t>
      </w:r>
      <w:r>
        <w:rPr>
          <w:i/>
          <w:iCs/>
        </w:rPr>
        <w:t xml:space="preserve">ivil and </w:t>
      </w:r>
      <w:r w:rsidRPr="00D33A56">
        <w:rPr>
          <w:i/>
          <w:iCs/>
        </w:rPr>
        <w:t>P</w:t>
      </w:r>
      <w:r>
        <w:rPr>
          <w:i/>
          <w:iCs/>
        </w:rPr>
        <w:t xml:space="preserve">olitical </w:t>
      </w:r>
      <w:r w:rsidRPr="00D33A56">
        <w:rPr>
          <w:i/>
          <w:iCs/>
        </w:rPr>
        <w:t>R</w:t>
      </w:r>
      <w:r>
        <w:rPr>
          <w:i/>
          <w:iCs/>
        </w:rPr>
        <w:t>ights</w:t>
      </w:r>
      <w:r>
        <w:t xml:space="preserve"> art 17 requires states to protect, in law, against the interference or attack on the ‘arbitrary or unlawful interference’ with an individual’s ‘privacy, family, home or correspondence’; </w:t>
      </w:r>
      <w:r w:rsidRPr="00D33A56">
        <w:rPr>
          <w:i/>
          <w:iCs/>
        </w:rPr>
        <w:t>U</w:t>
      </w:r>
      <w:r>
        <w:rPr>
          <w:i/>
          <w:iCs/>
        </w:rPr>
        <w:t xml:space="preserve">niversal Declaration of Human </w:t>
      </w:r>
      <w:r w:rsidRPr="00D33A56">
        <w:rPr>
          <w:i/>
          <w:iCs/>
        </w:rPr>
        <w:t>R</w:t>
      </w:r>
      <w:r>
        <w:rPr>
          <w:i/>
          <w:iCs/>
        </w:rPr>
        <w:t>ights</w:t>
      </w:r>
      <w:r>
        <w:t xml:space="preserve"> art 12 states that ‘no one shall be subjected to arbitrary interference with his privacy, family, home or correspondence, nor to attacks upon his honour and reputation’; </w:t>
      </w:r>
      <w:r w:rsidR="00E61149">
        <w:t>AHRC</w:t>
      </w:r>
      <w:r w:rsidR="00E61149" w:rsidRPr="00E61149">
        <w:t>,</w:t>
      </w:r>
      <w:r w:rsidR="00E61149">
        <w:t xml:space="preserve"> Position Paper</w:t>
      </w:r>
      <w:r w:rsidR="00E61149" w:rsidRPr="00E61149">
        <w:t xml:space="preserve"> (Position Paper, March 2023) </w:t>
      </w:r>
      <w:r>
        <w:t>sets out a right to privacy and reputation.</w:t>
      </w:r>
    </w:p>
  </w:endnote>
  <w:endnote w:id="169">
    <w:p w14:paraId="778FA71E" w14:textId="5CB75B58" w:rsidR="00F27DF0" w:rsidRDefault="00F27DF0" w:rsidP="00F27DF0">
      <w:pPr>
        <w:pStyle w:val="EndnoteText"/>
      </w:pPr>
      <w:r>
        <w:rPr>
          <w:rStyle w:val="EndnoteReference"/>
        </w:rPr>
        <w:endnoteRef/>
      </w:r>
      <w:r>
        <w:t xml:space="preserve"> </w:t>
      </w:r>
      <w:r w:rsidR="00286780">
        <w:t xml:space="preserve">AHRC, Final Report (Final Report, 2021) </w:t>
      </w:r>
      <w:r>
        <w:t>120.</w:t>
      </w:r>
      <w:r w:rsidR="003A2217">
        <w:t xml:space="preserve"> </w:t>
      </w:r>
    </w:p>
  </w:endnote>
  <w:endnote w:id="170">
    <w:p w14:paraId="234C0072" w14:textId="01381969" w:rsidR="00917267" w:rsidRDefault="00917267" w:rsidP="00917267">
      <w:pPr>
        <w:pStyle w:val="EndnoteText"/>
      </w:pPr>
      <w:r>
        <w:rPr>
          <w:rStyle w:val="EndnoteReference"/>
        </w:rPr>
        <w:endnoteRef/>
      </w:r>
      <w:r>
        <w:t xml:space="preserve"> </w:t>
      </w:r>
      <w:r w:rsidR="00286780">
        <w:t xml:space="preserve">AHRC, Final Report (Final Report, 2021) </w:t>
      </w:r>
      <w:r>
        <w:t xml:space="preserve">47. </w:t>
      </w:r>
    </w:p>
  </w:endnote>
  <w:endnote w:id="171">
    <w:p w14:paraId="5D0B121F" w14:textId="408A70B2" w:rsidR="00F27DF0" w:rsidRPr="0096571C" w:rsidRDefault="00F27DF0" w:rsidP="00F27DF0">
      <w:pPr>
        <w:pStyle w:val="EndnoteText"/>
        <w:rPr>
          <w:b/>
          <w:bCs/>
        </w:rPr>
      </w:pPr>
      <w:r w:rsidRPr="006A39D1">
        <w:rPr>
          <w:rStyle w:val="EndnoteReference"/>
        </w:rPr>
        <w:endnoteRef/>
      </w:r>
      <w:r w:rsidRPr="00D33A56">
        <w:rPr>
          <w:b/>
          <w:bCs/>
        </w:rPr>
        <w:t xml:space="preserve"> </w:t>
      </w:r>
      <w:r>
        <w:rPr>
          <w:i/>
          <w:iCs/>
        </w:rPr>
        <w:t xml:space="preserve">General Data Protection Regulation </w:t>
      </w:r>
      <w:r w:rsidR="006A14FB">
        <w:t xml:space="preserve">(EU) </w:t>
      </w:r>
      <w:r>
        <w:t xml:space="preserve">art 22 provides for a right for a data subject not to be subject to a decision based solely on automated processing, including profiling, which produces legal effects concerning him or her or similarly significantly affects him or her. </w:t>
      </w:r>
    </w:p>
  </w:endnote>
  <w:endnote w:id="172">
    <w:p w14:paraId="0CC32294" w14:textId="60338DD6" w:rsidR="00F27DF0" w:rsidRDefault="00F27DF0" w:rsidP="00F27DF0">
      <w:pPr>
        <w:pStyle w:val="EndnoteText"/>
      </w:pPr>
      <w:r>
        <w:rPr>
          <w:rStyle w:val="EndnoteReference"/>
        </w:rPr>
        <w:endnoteRef/>
      </w:r>
      <w:r>
        <w:t xml:space="preserve"> </w:t>
      </w:r>
      <w:r w:rsidR="00286780">
        <w:t xml:space="preserve">AHRC, Final Report (Final Report, 2021) </w:t>
      </w:r>
      <w:r>
        <w:t>12</w:t>
      </w:r>
      <w:r w:rsidR="00920991">
        <w:t xml:space="preserve"> &amp;</w:t>
      </w:r>
      <w:r>
        <w:t xml:space="preserve"> 39. </w:t>
      </w:r>
    </w:p>
  </w:endnote>
  <w:endnote w:id="173">
    <w:p w14:paraId="0EE13E0D" w14:textId="34D52987" w:rsidR="00F27DF0" w:rsidRDefault="00F27DF0" w:rsidP="00F27DF0">
      <w:pPr>
        <w:pStyle w:val="EndnoteText"/>
      </w:pPr>
      <w:r>
        <w:rPr>
          <w:rStyle w:val="EndnoteReference"/>
        </w:rPr>
        <w:endnoteRef/>
      </w:r>
      <w:r>
        <w:t xml:space="preserve"> </w:t>
      </w:r>
      <w:r w:rsidR="00286780">
        <w:t xml:space="preserve">AHRC, Final Report (Final Report, 2021) </w:t>
      </w:r>
      <w:r>
        <w:t xml:space="preserve">41. </w:t>
      </w:r>
    </w:p>
  </w:endnote>
  <w:endnote w:id="174">
    <w:p w14:paraId="72163C61" w14:textId="70A6FCBA" w:rsidR="00F27DF0" w:rsidRDefault="00F27DF0" w:rsidP="00F27DF0">
      <w:pPr>
        <w:pStyle w:val="EndnoteText"/>
      </w:pPr>
      <w:r>
        <w:rPr>
          <w:rStyle w:val="EndnoteReference"/>
        </w:rPr>
        <w:endnoteRef/>
      </w:r>
      <w:r>
        <w:t xml:space="preserve"> </w:t>
      </w:r>
      <w:r w:rsidR="00286780">
        <w:t xml:space="preserve">AHRC, Final Report (Final Report, 2021) </w:t>
      </w:r>
      <w:r>
        <w:t xml:space="preserve">43. </w:t>
      </w:r>
    </w:p>
  </w:endnote>
  <w:endnote w:id="175">
    <w:p w14:paraId="5A175643" w14:textId="513A5FDC" w:rsidR="00F27DF0" w:rsidRDefault="00F27DF0" w:rsidP="00F27DF0">
      <w:pPr>
        <w:pStyle w:val="EndnoteText"/>
      </w:pPr>
      <w:r>
        <w:rPr>
          <w:rStyle w:val="EndnoteReference"/>
        </w:rPr>
        <w:endnoteRef/>
      </w:r>
      <w:r>
        <w:t xml:space="preserve"> </w:t>
      </w:r>
      <w:r w:rsidR="00286780">
        <w:t>AHRC, Final Report (Final Report, 2021) 43</w:t>
      </w:r>
      <w:r>
        <w:t>.</w:t>
      </w:r>
    </w:p>
  </w:endnote>
  <w:endnote w:id="176">
    <w:p w14:paraId="4C554073" w14:textId="7600ADAD" w:rsidR="00F27DF0" w:rsidRDefault="00F27DF0" w:rsidP="00F27DF0">
      <w:pPr>
        <w:pStyle w:val="EndnoteText"/>
      </w:pPr>
      <w:r>
        <w:rPr>
          <w:rStyle w:val="EndnoteReference"/>
        </w:rPr>
        <w:endnoteRef/>
      </w:r>
      <w:r>
        <w:t xml:space="preserve"> </w:t>
      </w:r>
      <w:r w:rsidR="00874FEB" w:rsidRPr="003B3B55">
        <w:t xml:space="preserve">UK Information Commissioner’s Office, </w:t>
      </w:r>
      <w:r w:rsidR="00874FEB" w:rsidRPr="003B3B55">
        <w:rPr>
          <w:i/>
          <w:iCs/>
        </w:rPr>
        <w:t>What</w:t>
      </w:r>
      <w:r w:rsidR="00874FEB" w:rsidRPr="003B3B55">
        <w:t xml:space="preserve"> </w:t>
      </w:r>
      <w:r w:rsidR="00874FEB" w:rsidRPr="003B3B55">
        <w:rPr>
          <w:i/>
          <w:iCs/>
        </w:rPr>
        <w:t>Does</w:t>
      </w:r>
      <w:r w:rsidR="00874FEB" w:rsidRPr="003B3B55">
        <w:t xml:space="preserve"> </w:t>
      </w:r>
      <w:r w:rsidR="00874FEB" w:rsidRPr="003B3B55">
        <w:rPr>
          <w:i/>
          <w:iCs/>
        </w:rPr>
        <w:t>the</w:t>
      </w:r>
      <w:r w:rsidR="00874FEB" w:rsidRPr="003B3B55">
        <w:t xml:space="preserve"> </w:t>
      </w:r>
      <w:r w:rsidR="00874FEB" w:rsidRPr="003B3B55">
        <w:rPr>
          <w:i/>
          <w:iCs/>
        </w:rPr>
        <w:t>UK</w:t>
      </w:r>
      <w:r w:rsidR="00874FEB" w:rsidRPr="003B3B55">
        <w:t xml:space="preserve"> </w:t>
      </w:r>
      <w:r w:rsidR="00874FEB" w:rsidRPr="003B3B55">
        <w:rPr>
          <w:i/>
          <w:iCs/>
        </w:rPr>
        <w:t>GDPR</w:t>
      </w:r>
      <w:r w:rsidR="00874FEB" w:rsidRPr="003B3B55">
        <w:t xml:space="preserve"> </w:t>
      </w:r>
      <w:r w:rsidR="00874FEB" w:rsidRPr="003B3B55">
        <w:rPr>
          <w:i/>
          <w:iCs/>
        </w:rPr>
        <w:t>Say</w:t>
      </w:r>
      <w:r w:rsidR="00874FEB" w:rsidRPr="003B3B55">
        <w:t xml:space="preserve"> </w:t>
      </w:r>
      <w:r w:rsidR="00874FEB" w:rsidRPr="003B3B55">
        <w:rPr>
          <w:i/>
          <w:iCs/>
        </w:rPr>
        <w:t>About</w:t>
      </w:r>
      <w:r w:rsidR="00874FEB" w:rsidRPr="003B3B55">
        <w:t xml:space="preserve"> </w:t>
      </w:r>
      <w:r w:rsidR="00874FEB" w:rsidRPr="003B3B55">
        <w:rPr>
          <w:i/>
          <w:iCs/>
        </w:rPr>
        <w:t>Automated</w:t>
      </w:r>
      <w:r w:rsidR="00874FEB" w:rsidRPr="003B3B55">
        <w:t xml:space="preserve"> </w:t>
      </w:r>
      <w:r w:rsidR="00874FEB" w:rsidRPr="003B3B55">
        <w:rPr>
          <w:i/>
          <w:iCs/>
        </w:rPr>
        <w:t>Decision-making</w:t>
      </w:r>
      <w:r w:rsidR="00874FEB" w:rsidRPr="003B3B55">
        <w:t xml:space="preserve"> </w:t>
      </w:r>
      <w:r w:rsidR="00874FEB" w:rsidRPr="003B3B55">
        <w:rPr>
          <w:i/>
          <w:iCs/>
        </w:rPr>
        <w:t>and</w:t>
      </w:r>
      <w:r w:rsidR="00874FEB" w:rsidRPr="003B3B55">
        <w:t xml:space="preserve"> </w:t>
      </w:r>
      <w:r w:rsidR="00874FEB" w:rsidRPr="003B3B55">
        <w:rPr>
          <w:i/>
          <w:iCs/>
        </w:rPr>
        <w:t>Profiling</w:t>
      </w:r>
      <w:r w:rsidR="00874FEB" w:rsidRPr="003B3B55">
        <w:t xml:space="preserve"> </w:t>
      </w:r>
      <w:r w:rsidR="00FD61A9">
        <w:t>(website)</w:t>
      </w:r>
      <w:r>
        <w:t xml:space="preserve">. </w:t>
      </w:r>
    </w:p>
  </w:endnote>
  <w:endnote w:id="177">
    <w:p w14:paraId="7D965C22" w14:textId="654443D8" w:rsidR="00F27DF0" w:rsidRDefault="00F27DF0" w:rsidP="00F27DF0">
      <w:pPr>
        <w:pStyle w:val="EndnoteText"/>
      </w:pPr>
      <w:r>
        <w:rPr>
          <w:rStyle w:val="EndnoteReference"/>
        </w:rPr>
        <w:endnoteRef/>
      </w:r>
      <w:r>
        <w:t xml:space="preserve"> </w:t>
      </w:r>
      <w:r w:rsidR="005F5046" w:rsidRPr="003B3B55">
        <w:t xml:space="preserve">UK Information Commissioner’s Office, </w:t>
      </w:r>
      <w:r w:rsidR="005F5046" w:rsidRPr="003B3B55">
        <w:rPr>
          <w:i/>
          <w:iCs/>
        </w:rPr>
        <w:t>What</w:t>
      </w:r>
      <w:r w:rsidR="005F5046" w:rsidRPr="003B3B55">
        <w:t xml:space="preserve"> </w:t>
      </w:r>
      <w:r w:rsidR="005F5046" w:rsidRPr="003B3B55">
        <w:rPr>
          <w:i/>
          <w:iCs/>
        </w:rPr>
        <w:t>Does</w:t>
      </w:r>
      <w:r w:rsidR="005F5046" w:rsidRPr="003B3B55">
        <w:t xml:space="preserve"> </w:t>
      </w:r>
      <w:r w:rsidR="005F5046" w:rsidRPr="003B3B55">
        <w:rPr>
          <w:i/>
          <w:iCs/>
        </w:rPr>
        <w:t>the</w:t>
      </w:r>
      <w:r w:rsidR="005F5046" w:rsidRPr="003B3B55">
        <w:t xml:space="preserve"> </w:t>
      </w:r>
      <w:r w:rsidR="005F5046" w:rsidRPr="003B3B55">
        <w:rPr>
          <w:i/>
          <w:iCs/>
        </w:rPr>
        <w:t>UK</w:t>
      </w:r>
      <w:r w:rsidR="005F5046" w:rsidRPr="003B3B55">
        <w:t xml:space="preserve"> </w:t>
      </w:r>
      <w:r w:rsidR="005F5046" w:rsidRPr="003B3B55">
        <w:rPr>
          <w:i/>
          <w:iCs/>
        </w:rPr>
        <w:t>GDPR</w:t>
      </w:r>
      <w:r w:rsidR="005F5046" w:rsidRPr="003B3B55">
        <w:t xml:space="preserve"> </w:t>
      </w:r>
      <w:r w:rsidR="005F5046" w:rsidRPr="003B3B55">
        <w:rPr>
          <w:i/>
          <w:iCs/>
        </w:rPr>
        <w:t>Say</w:t>
      </w:r>
      <w:r w:rsidR="005F5046" w:rsidRPr="003B3B55">
        <w:t xml:space="preserve"> </w:t>
      </w:r>
      <w:r w:rsidR="005F5046" w:rsidRPr="003B3B55">
        <w:rPr>
          <w:i/>
          <w:iCs/>
        </w:rPr>
        <w:t>About</w:t>
      </w:r>
      <w:r w:rsidR="005F5046" w:rsidRPr="003B3B55">
        <w:t xml:space="preserve"> </w:t>
      </w:r>
      <w:r w:rsidR="005F5046" w:rsidRPr="003B3B55">
        <w:rPr>
          <w:i/>
          <w:iCs/>
        </w:rPr>
        <w:t>Automated</w:t>
      </w:r>
      <w:r w:rsidR="005F5046" w:rsidRPr="003B3B55">
        <w:t xml:space="preserve"> </w:t>
      </w:r>
      <w:r w:rsidR="005F5046" w:rsidRPr="003B3B55">
        <w:rPr>
          <w:i/>
          <w:iCs/>
        </w:rPr>
        <w:t>Decision-making</w:t>
      </w:r>
      <w:r w:rsidR="005F5046" w:rsidRPr="003B3B55">
        <w:t xml:space="preserve"> </w:t>
      </w:r>
      <w:r w:rsidR="005F5046" w:rsidRPr="003B3B55">
        <w:rPr>
          <w:i/>
          <w:iCs/>
        </w:rPr>
        <w:t>and</w:t>
      </w:r>
      <w:r w:rsidR="005F5046" w:rsidRPr="003B3B55">
        <w:t xml:space="preserve"> </w:t>
      </w:r>
      <w:r w:rsidR="005F5046" w:rsidRPr="003B3B55">
        <w:rPr>
          <w:i/>
          <w:iCs/>
        </w:rPr>
        <w:t>Profiling</w:t>
      </w:r>
      <w:r w:rsidR="005F5046" w:rsidRPr="003B3B55">
        <w:t xml:space="preserve"> </w:t>
      </w:r>
      <w:r w:rsidR="005F5046">
        <w:t>(website)</w:t>
      </w:r>
      <w:r>
        <w:t xml:space="preserve">. </w:t>
      </w:r>
    </w:p>
  </w:endnote>
  <w:endnote w:id="178">
    <w:p w14:paraId="0C5974D3" w14:textId="5D67D9FA" w:rsidR="00F27DF0" w:rsidRDefault="00F27DF0" w:rsidP="00F27DF0">
      <w:pPr>
        <w:pStyle w:val="FootnoteText"/>
      </w:pPr>
      <w:r>
        <w:rPr>
          <w:rStyle w:val="EndnoteReference"/>
        </w:rPr>
        <w:endnoteRef/>
      </w:r>
      <w:r>
        <w:t xml:space="preserve"> </w:t>
      </w:r>
      <w:r w:rsidR="00E70A97">
        <w:t>S</w:t>
      </w:r>
      <w:r w:rsidR="00A15790">
        <w:t xml:space="preserve">ubmissions to </w:t>
      </w:r>
      <w:r w:rsidR="00770236" w:rsidRPr="00770236">
        <w:t>Attorney-General’s Department, Discussion Paper (Commonwealth of Australia, Discussion Paper, October)</w:t>
      </w:r>
      <w:r w:rsidR="00A15790">
        <w:t xml:space="preserve">: </w:t>
      </w:r>
      <w:r>
        <w:t xml:space="preserve">Experian Australia 21; Woolworths Group 13; Ai Group 11; Business Council of Australia 11; The Australian Communications and Media Authority 4. </w:t>
      </w:r>
    </w:p>
  </w:endnote>
  <w:endnote w:id="179">
    <w:p w14:paraId="5EE3687D" w14:textId="0A9EC7AB" w:rsidR="00F27DF0" w:rsidRDefault="00F27DF0" w:rsidP="00F27DF0">
      <w:pPr>
        <w:pStyle w:val="FootnoteText"/>
      </w:pPr>
      <w:r>
        <w:rPr>
          <w:rStyle w:val="EndnoteReference"/>
        </w:rPr>
        <w:endnoteRef/>
      </w:r>
      <w:r>
        <w:t xml:space="preserve"> </w:t>
      </w:r>
      <w:r w:rsidR="005F5046">
        <w:t>S</w:t>
      </w:r>
      <w:r w:rsidR="008C3489">
        <w:t xml:space="preserve">ubmissions to </w:t>
      </w:r>
      <w:r w:rsidR="00770236" w:rsidRPr="00770236">
        <w:t>Attorney-General’s Department, Discussion Paper (Commonwealth of Australia, Discussion Paper, October)</w:t>
      </w:r>
      <w:r w:rsidR="008C3489">
        <w:t>:</w:t>
      </w:r>
      <w:r>
        <w:t xml:space="preserve"> Ai Group 11; Business Council of Australia 11.</w:t>
      </w:r>
    </w:p>
  </w:endnote>
  <w:endnote w:id="180">
    <w:p w14:paraId="7E3C1F26" w14:textId="77777777" w:rsidR="00D10735" w:rsidRDefault="00D10735" w:rsidP="00D10735">
      <w:pPr>
        <w:pStyle w:val="EndnoteText"/>
      </w:pPr>
      <w:r>
        <w:rPr>
          <w:rStyle w:val="EndnoteReference"/>
          <w:rFonts w:cs="Arial"/>
        </w:rPr>
        <w:endnoteRef/>
      </w:r>
      <w:r>
        <w:t xml:space="preserve"> Max Schemmer, et al., ‘</w:t>
      </w:r>
      <w:r w:rsidRPr="006506B1">
        <w:rPr>
          <w:i/>
          <w:iCs/>
        </w:rPr>
        <w:t>On the Influence of Explainable AI on Automation Bias</w:t>
      </w:r>
      <w:r>
        <w:t xml:space="preserve">’ (Working Paper, 2022) 1 quoting Kathleen Mosier &amp; Linda Skitka, ‘Automation Use and Automation Bias’ in Proceedings of the Human Factors and Ergonomics Society Annual Meeting 43(3) </w:t>
      </w:r>
      <w:r w:rsidRPr="00D71FD8">
        <w:rPr>
          <w:i/>
          <w:iCs/>
        </w:rPr>
        <w:t xml:space="preserve">SAGE Publications </w:t>
      </w:r>
      <w:r>
        <w:t>(1999) 344–348.</w:t>
      </w:r>
    </w:p>
  </w:endnote>
  <w:endnote w:id="181">
    <w:p w14:paraId="2FB7B24B" w14:textId="7C2483D6" w:rsidR="004D5140" w:rsidRDefault="004D5140" w:rsidP="004D5140">
      <w:pPr>
        <w:pStyle w:val="EndnoteText"/>
      </w:pPr>
      <w:r>
        <w:rPr>
          <w:rStyle w:val="EndnoteReference"/>
          <w:rFonts w:cs="Arial"/>
        </w:rPr>
        <w:endnoteRef/>
      </w:r>
      <w:r>
        <w:t xml:space="preserve"> See e.g. </w:t>
      </w:r>
      <w:r w:rsidRPr="0066788B">
        <w:t>Hilary Hanson</w:t>
      </w:r>
      <w:r>
        <w:t>, ‘</w:t>
      </w:r>
      <w:r w:rsidRPr="0066788B">
        <w:t>GPS Leads Japanese Tourists To Drive Into Australian Bay</w:t>
      </w:r>
      <w:r>
        <w:t xml:space="preserve">’ Huffpost (Online, 19 March 2012) </w:t>
      </w:r>
      <w:hyperlink r:id="rId19" w:history="1">
        <w:r w:rsidR="001B391F" w:rsidRPr="00686642">
          <w:rPr>
            <w:rStyle w:val="Hyperlink"/>
          </w:rPr>
          <w:t>https://www.huffingtonpost.co.uk/entry/gps-tourists-australia_n_1363823</w:t>
        </w:r>
      </w:hyperlink>
      <w:r>
        <w:t>.</w:t>
      </w:r>
    </w:p>
  </w:endnote>
  <w:endnote w:id="182">
    <w:p w14:paraId="5245316F" w14:textId="77777777" w:rsidR="001B35CE" w:rsidRDefault="001B35CE" w:rsidP="001B35CE">
      <w:pPr>
        <w:pStyle w:val="EndnoteText"/>
      </w:pPr>
      <w:r>
        <w:rPr>
          <w:rStyle w:val="EndnoteReference"/>
          <w:rFonts w:cs="Arial"/>
        </w:rPr>
        <w:endnoteRef/>
      </w:r>
      <w:r>
        <w:t xml:space="preserve"> Schemmer 1 citing Eugenio Alberdi, et al., ‘Effects of Incorrect Computer-Aided Detection (CAD) Output on Human Decision-Making in Mammography’ 11(8) </w:t>
      </w:r>
      <w:r w:rsidRPr="00A66CBD">
        <w:rPr>
          <w:i/>
          <w:iCs/>
        </w:rPr>
        <w:t>Academic Radiology</w:t>
      </w:r>
      <w:r>
        <w:t xml:space="preserve"> (2004) 909–918.</w:t>
      </w:r>
    </w:p>
  </w:endnote>
  <w:endnote w:id="183">
    <w:p w14:paraId="2E9BA42F" w14:textId="0DF7DE8C" w:rsidR="007F0370" w:rsidRPr="003B3B55" w:rsidRDefault="007F0370" w:rsidP="007F0370">
      <w:pPr>
        <w:pStyle w:val="EndnoteText"/>
      </w:pPr>
      <w:r w:rsidRPr="003B3B55">
        <w:rPr>
          <w:rStyle w:val="EndnoteReference"/>
        </w:rPr>
        <w:endnoteRef/>
      </w:r>
      <w:r w:rsidRPr="003B3B55">
        <w:t xml:space="preserve"> </w:t>
      </w:r>
      <w:r w:rsidR="00A55BD7" w:rsidRPr="003B3B55">
        <w:t xml:space="preserve">UK Information Commissioner’s Office, </w:t>
      </w:r>
      <w:r w:rsidR="00A55BD7" w:rsidRPr="003B3B55">
        <w:rPr>
          <w:i/>
          <w:iCs/>
        </w:rPr>
        <w:t>What</w:t>
      </w:r>
      <w:r w:rsidR="00A55BD7" w:rsidRPr="003B3B55">
        <w:t xml:space="preserve"> </w:t>
      </w:r>
      <w:r w:rsidR="00A55BD7" w:rsidRPr="003B3B55">
        <w:rPr>
          <w:i/>
          <w:iCs/>
        </w:rPr>
        <w:t>Does</w:t>
      </w:r>
      <w:r w:rsidR="00A55BD7" w:rsidRPr="003B3B55">
        <w:t xml:space="preserve"> </w:t>
      </w:r>
      <w:r w:rsidR="00A55BD7" w:rsidRPr="003B3B55">
        <w:rPr>
          <w:i/>
          <w:iCs/>
        </w:rPr>
        <w:t>the</w:t>
      </w:r>
      <w:r w:rsidR="00A55BD7" w:rsidRPr="003B3B55">
        <w:t xml:space="preserve"> </w:t>
      </w:r>
      <w:r w:rsidR="00A55BD7" w:rsidRPr="003B3B55">
        <w:rPr>
          <w:i/>
          <w:iCs/>
        </w:rPr>
        <w:t>UK</w:t>
      </w:r>
      <w:r w:rsidR="00A55BD7" w:rsidRPr="003B3B55">
        <w:t xml:space="preserve"> </w:t>
      </w:r>
      <w:r w:rsidR="00A55BD7" w:rsidRPr="003B3B55">
        <w:rPr>
          <w:i/>
          <w:iCs/>
        </w:rPr>
        <w:t>GDPR</w:t>
      </w:r>
      <w:r w:rsidR="00A55BD7" w:rsidRPr="003B3B55">
        <w:t xml:space="preserve"> </w:t>
      </w:r>
      <w:r w:rsidR="00A55BD7" w:rsidRPr="003B3B55">
        <w:rPr>
          <w:i/>
          <w:iCs/>
        </w:rPr>
        <w:t>Say</w:t>
      </w:r>
      <w:r w:rsidR="00A55BD7" w:rsidRPr="003B3B55">
        <w:t xml:space="preserve"> </w:t>
      </w:r>
      <w:r w:rsidR="00A55BD7" w:rsidRPr="003B3B55">
        <w:rPr>
          <w:i/>
          <w:iCs/>
        </w:rPr>
        <w:t>About</w:t>
      </w:r>
      <w:r w:rsidR="00A55BD7" w:rsidRPr="003B3B55">
        <w:t xml:space="preserve"> </w:t>
      </w:r>
      <w:r w:rsidR="00A55BD7" w:rsidRPr="003B3B55">
        <w:rPr>
          <w:i/>
          <w:iCs/>
        </w:rPr>
        <w:t>Automated</w:t>
      </w:r>
      <w:r w:rsidR="00A55BD7" w:rsidRPr="003B3B55">
        <w:t xml:space="preserve"> </w:t>
      </w:r>
      <w:r w:rsidR="00A55BD7" w:rsidRPr="003B3B55">
        <w:rPr>
          <w:i/>
          <w:iCs/>
        </w:rPr>
        <w:t>Decision-making</w:t>
      </w:r>
      <w:r w:rsidR="00A55BD7" w:rsidRPr="003B3B55">
        <w:t xml:space="preserve"> </w:t>
      </w:r>
      <w:r w:rsidR="00A55BD7" w:rsidRPr="003B3B55">
        <w:rPr>
          <w:i/>
          <w:iCs/>
        </w:rPr>
        <w:t>and</w:t>
      </w:r>
      <w:r w:rsidR="00A55BD7" w:rsidRPr="003B3B55">
        <w:t xml:space="preserve"> </w:t>
      </w:r>
      <w:r w:rsidR="00A55BD7" w:rsidRPr="003B3B55">
        <w:rPr>
          <w:i/>
          <w:iCs/>
        </w:rPr>
        <w:t>Profiling</w:t>
      </w:r>
      <w:r w:rsidR="00A55BD7" w:rsidRPr="003B3B55">
        <w:t xml:space="preserve"> </w:t>
      </w:r>
      <w:r w:rsidR="00A55BD7">
        <w:t>(website)</w:t>
      </w:r>
      <w:r w:rsidR="001E1A08">
        <w:t>.</w:t>
      </w:r>
    </w:p>
  </w:endnote>
  <w:endnote w:id="184">
    <w:p w14:paraId="5951A2FF" w14:textId="477C512A" w:rsidR="006A1801" w:rsidRDefault="006A1801" w:rsidP="006A1801">
      <w:pPr>
        <w:pStyle w:val="EndnoteText"/>
      </w:pPr>
      <w:r>
        <w:rPr>
          <w:rStyle w:val="EndnoteReference"/>
        </w:rPr>
        <w:endnoteRef/>
      </w:r>
      <w:r>
        <w:t xml:space="preserve"> </w:t>
      </w:r>
      <w:r w:rsidR="00286780">
        <w:t xml:space="preserve">AHRC, Final Report (Final Report, 2021) </w:t>
      </w:r>
      <w:r>
        <w:t xml:space="preserve">82. </w:t>
      </w:r>
    </w:p>
  </w:endnote>
  <w:endnote w:id="185">
    <w:p w14:paraId="500B7C0E" w14:textId="074294B9" w:rsidR="00C33D57" w:rsidRDefault="00C33D57" w:rsidP="00C33D57">
      <w:pPr>
        <w:pStyle w:val="EndnoteText"/>
      </w:pPr>
      <w:r>
        <w:rPr>
          <w:rStyle w:val="EndnoteReference"/>
        </w:rPr>
        <w:endnoteRef/>
      </w:r>
      <w:r>
        <w:t xml:space="preserve"> </w:t>
      </w:r>
      <w:r w:rsidR="00286780">
        <w:t xml:space="preserve">AHRC, Final Report (Final Report, 2021) </w:t>
      </w:r>
      <w:r>
        <w:t xml:space="preserve">65. </w:t>
      </w:r>
    </w:p>
  </w:endnote>
  <w:endnote w:id="186">
    <w:p w14:paraId="23B04C11" w14:textId="2050363B" w:rsidR="00A22CF3" w:rsidRDefault="00A22CF3" w:rsidP="00A22CF3">
      <w:pPr>
        <w:pStyle w:val="EndnoteText"/>
      </w:pPr>
      <w:r>
        <w:rPr>
          <w:rStyle w:val="EndnoteReference"/>
        </w:rPr>
        <w:endnoteRef/>
      </w:r>
      <w:r>
        <w:t xml:space="preserve"> </w:t>
      </w:r>
      <w:r w:rsidR="00286780">
        <w:t xml:space="preserve">AHRC, Final Report (Final Report, 2021) </w:t>
      </w:r>
      <w:r>
        <w:t>80.</w:t>
      </w:r>
    </w:p>
  </w:endnote>
  <w:endnote w:id="187">
    <w:p w14:paraId="3D62ED8F" w14:textId="403D31AD" w:rsidR="00A22CF3" w:rsidRDefault="00A22CF3" w:rsidP="00A22CF3">
      <w:pPr>
        <w:pStyle w:val="EndnoteText"/>
      </w:pPr>
      <w:r>
        <w:rPr>
          <w:rStyle w:val="EndnoteReference"/>
        </w:rPr>
        <w:endnoteRef/>
      </w:r>
      <w:r>
        <w:t xml:space="preserve"> </w:t>
      </w:r>
      <w:r w:rsidR="00286780">
        <w:t>AHRC, Final Report (Final Report, 2021) 80</w:t>
      </w:r>
      <w:r>
        <w:t xml:space="preserve">. </w:t>
      </w:r>
    </w:p>
  </w:endnote>
  <w:endnote w:id="188">
    <w:p w14:paraId="1740686F" w14:textId="06A79530" w:rsidR="00A22CF3" w:rsidRDefault="00A22CF3" w:rsidP="00A22CF3">
      <w:pPr>
        <w:pStyle w:val="EndnoteText"/>
      </w:pPr>
      <w:r>
        <w:rPr>
          <w:rStyle w:val="EndnoteReference"/>
        </w:rPr>
        <w:endnoteRef/>
      </w:r>
      <w:r>
        <w:t xml:space="preserve"> </w:t>
      </w:r>
      <w:r w:rsidR="00286780">
        <w:t xml:space="preserve">AHRC, Final Report (Final Report, 2021) </w:t>
      </w:r>
      <w:r>
        <w:t xml:space="preserve">83. </w:t>
      </w:r>
    </w:p>
  </w:endnote>
  <w:endnote w:id="189">
    <w:p w14:paraId="1CF329DE" w14:textId="66131605" w:rsidR="00A22CF3" w:rsidRDefault="00A22CF3" w:rsidP="00A22CF3">
      <w:pPr>
        <w:pStyle w:val="EndnoteText"/>
      </w:pPr>
      <w:r>
        <w:rPr>
          <w:rStyle w:val="EndnoteReference"/>
        </w:rPr>
        <w:endnoteRef/>
      </w:r>
      <w:r>
        <w:t xml:space="preserve"> </w:t>
      </w:r>
      <w:r w:rsidR="00286780">
        <w:t xml:space="preserve">AHRC, Final Report (Final Report, 2021) </w:t>
      </w:r>
      <w:r>
        <w:t>81.</w:t>
      </w:r>
    </w:p>
  </w:endnote>
  <w:endnote w:id="190">
    <w:p w14:paraId="3799DE53" w14:textId="0540B7E1" w:rsidR="00A22CF3" w:rsidRDefault="00A22CF3" w:rsidP="00A22CF3">
      <w:pPr>
        <w:pStyle w:val="EndnoteText"/>
      </w:pPr>
      <w:r>
        <w:rPr>
          <w:rStyle w:val="EndnoteReference"/>
        </w:rPr>
        <w:endnoteRef/>
      </w:r>
      <w:r>
        <w:t xml:space="preserve"> </w:t>
      </w:r>
      <w:r w:rsidR="00286780">
        <w:t>AHRC, Final Report (Final Report, 2021) 81</w:t>
      </w:r>
      <w:r>
        <w:t xml:space="preserve">. </w:t>
      </w:r>
    </w:p>
  </w:endnote>
  <w:endnote w:id="191">
    <w:p w14:paraId="24F2E43B" w14:textId="1EDAE218" w:rsidR="00A22CF3" w:rsidRDefault="00A22CF3" w:rsidP="00A22CF3">
      <w:pPr>
        <w:pStyle w:val="EndnoteText"/>
      </w:pPr>
      <w:r>
        <w:rPr>
          <w:rStyle w:val="EndnoteReference"/>
        </w:rPr>
        <w:endnoteRef/>
      </w:r>
      <w:r>
        <w:t xml:space="preserve"> </w:t>
      </w:r>
      <w:r w:rsidR="00286780">
        <w:t>AHRC, Final Report (Final Report, 2021) 81</w:t>
      </w:r>
      <w:r>
        <w:t>.</w:t>
      </w:r>
    </w:p>
  </w:endnote>
  <w:endnote w:id="192">
    <w:p w14:paraId="455C4B09" w14:textId="4E2084C4" w:rsidR="00AE20BB" w:rsidRDefault="00AE20BB" w:rsidP="00AE20BB">
      <w:pPr>
        <w:pStyle w:val="EndnoteText"/>
      </w:pPr>
      <w:r>
        <w:rPr>
          <w:rStyle w:val="EndnoteReference"/>
        </w:rPr>
        <w:endnoteRef/>
      </w:r>
      <w:r>
        <w:t xml:space="preserve"> </w:t>
      </w:r>
      <w:r w:rsidR="00286780">
        <w:t xml:space="preserve">AHRC, Final Report (Final Report, 2021) </w:t>
      </w:r>
      <w:r>
        <w:t>66.</w:t>
      </w:r>
    </w:p>
  </w:endnote>
  <w:endnote w:id="193">
    <w:p w14:paraId="68ABA93B" w14:textId="77777777" w:rsidR="00027C09" w:rsidRPr="00AC49CD" w:rsidRDefault="00027C09" w:rsidP="00027C09">
      <w:pPr>
        <w:pStyle w:val="EndnoteText"/>
      </w:pPr>
      <w:r w:rsidRPr="00AC49CD">
        <w:rPr>
          <w:rStyle w:val="EndnoteReference"/>
        </w:rPr>
        <w:endnoteRef/>
      </w:r>
      <w:r w:rsidRPr="00AC49CD">
        <w:t xml:space="preserve"> Commonwealth Ombudsman, </w:t>
      </w:r>
      <w:r w:rsidRPr="00AC49CD">
        <w:rPr>
          <w:i/>
          <w:iCs/>
        </w:rPr>
        <w:t xml:space="preserve">Centrelink’s Automated Debt Raising and Recovery System: A report About the Department of Human Services’ Online Compliance Intervention System for Debt Raising and Recovery </w:t>
      </w:r>
      <w:r w:rsidRPr="00AC49CD">
        <w:t xml:space="preserve">(April 2017). </w:t>
      </w:r>
    </w:p>
  </w:endnote>
  <w:endnote w:id="194">
    <w:p w14:paraId="0ABD727C" w14:textId="55BAE080" w:rsidR="007B6A13" w:rsidRDefault="007B6A13" w:rsidP="00DB76F9">
      <w:pPr>
        <w:pStyle w:val="EndnoteText"/>
      </w:pPr>
      <w:r>
        <w:rPr>
          <w:rStyle w:val="EndnoteReference"/>
        </w:rPr>
        <w:endnoteRef/>
      </w:r>
      <w:r>
        <w:t xml:space="preserve"> AHRC, </w:t>
      </w:r>
      <w:r w:rsidR="00DB76F9">
        <w:t>‘</w:t>
      </w:r>
      <w:r w:rsidR="00DB76F9" w:rsidRPr="00DB76F9">
        <w:rPr>
          <w:i/>
          <w:iCs/>
        </w:rPr>
        <w:t>Centrelink’s compliance program</w:t>
      </w:r>
      <w:r w:rsidR="00DB76F9">
        <w:t>’ submission to Senate Community Affairs References Committee regarding its inquiry into ‘Centrelink’s compliance program’.</w:t>
      </w:r>
    </w:p>
  </w:endnote>
  <w:endnote w:id="195">
    <w:p w14:paraId="6E33437D" w14:textId="0FF443ED" w:rsidR="00DB76F9" w:rsidRDefault="00DB76F9" w:rsidP="00DB76F9">
      <w:pPr>
        <w:pStyle w:val="EndnoteText"/>
      </w:pPr>
      <w:r>
        <w:rPr>
          <w:rStyle w:val="EndnoteReference"/>
        </w:rPr>
        <w:endnoteRef/>
      </w:r>
      <w:r>
        <w:t xml:space="preserve"> </w:t>
      </w:r>
      <w:r w:rsidR="005F5046">
        <w:t>AHRC, ‘</w:t>
      </w:r>
      <w:r w:rsidR="005F5046" w:rsidRPr="00DB76F9">
        <w:rPr>
          <w:i/>
          <w:iCs/>
        </w:rPr>
        <w:t>Centrelink’s compliance program</w:t>
      </w:r>
      <w:r w:rsidR="005F5046">
        <w:t xml:space="preserve">’ submission to Senate Community Affairs References Committee regarding its inquiry into ‘Centrelink’s compliance program’ </w:t>
      </w:r>
      <w:r>
        <w:t>5.</w:t>
      </w:r>
    </w:p>
  </w:endnote>
  <w:endnote w:id="196">
    <w:p w14:paraId="1C8837EB" w14:textId="50922912" w:rsidR="00027C09" w:rsidRDefault="00027C09" w:rsidP="00027C09">
      <w:pPr>
        <w:pStyle w:val="EndnoteText"/>
      </w:pPr>
      <w:r>
        <w:rPr>
          <w:rStyle w:val="EndnoteReference"/>
        </w:rPr>
        <w:endnoteRef/>
      </w:r>
      <w:r>
        <w:t xml:space="preserve"> </w:t>
      </w:r>
      <w:r w:rsidR="00286780">
        <w:t xml:space="preserve">AHRC, Final Report (Final Report, 2021) </w:t>
      </w:r>
      <w:r>
        <w:t xml:space="preserve">42. </w:t>
      </w:r>
    </w:p>
  </w:endnote>
  <w:endnote w:id="197">
    <w:p w14:paraId="30D5F309" w14:textId="398A089E" w:rsidR="00027C09" w:rsidRPr="00AC49CD" w:rsidRDefault="00027C09" w:rsidP="00027C09">
      <w:pPr>
        <w:pStyle w:val="EndnoteText"/>
      </w:pPr>
      <w:r w:rsidRPr="00AC49CD">
        <w:rPr>
          <w:rStyle w:val="EndnoteReference"/>
        </w:rPr>
        <w:endnoteRef/>
      </w:r>
      <w:r w:rsidRPr="00AC49CD">
        <w:t xml:space="preserve"> </w:t>
      </w:r>
      <w:r w:rsidR="00A55BD7" w:rsidRPr="00AC49CD">
        <w:t xml:space="preserve">Commonwealth Ombudsman, </w:t>
      </w:r>
      <w:r w:rsidR="00A55BD7" w:rsidRPr="00AC49CD">
        <w:rPr>
          <w:i/>
          <w:iCs/>
        </w:rPr>
        <w:t xml:space="preserve">Centrelink’s Automated Debt Raising and Recovery System: A report About the Department of Human Services’ Online Compliance Intervention System for Debt Raising and Recovery </w:t>
      </w:r>
      <w:r w:rsidR="00A55BD7" w:rsidRPr="00AC49CD">
        <w:t>(April 2017)</w:t>
      </w:r>
      <w:r>
        <w:t xml:space="preserve">. </w:t>
      </w:r>
    </w:p>
  </w:endnote>
  <w:endnote w:id="198">
    <w:p w14:paraId="5B19A70A" w14:textId="37D2B1D6" w:rsidR="0016740C" w:rsidRDefault="0016740C">
      <w:pPr>
        <w:pStyle w:val="EndnoteText"/>
      </w:pPr>
      <w:r>
        <w:rPr>
          <w:rStyle w:val="EndnoteReference"/>
        </w:rPr>
        <w:endnoteRef/>
      </w:r>
      <w:r>
        <w:t xml:space="preserve"> </w:t>
      </w:r>
      <w:r w:rsidRPr="0016740C">
        <w:t>Alexandria Utting</w:t>
      </w:r>
      <w:r>
        <w:t>, ‘</w:t>
      </w:r>
      <w:r w:rsidR="00DF1ED6" w:rsidRPr="00DF1ED6">
        <w:t>Kathleen Madgwick tells Robodebt royal commission about her son Jarrad and the damage the scheme caused</w:t>
      </w:r>
      <w:r w:rsidR="00DF1ED6">
        <w:t xml:space="preserve">’ ABC News (online, 10 March 2023) </w:t>
      </w:r>
      <w:hyperlink r:id="rId20" w:history="1">
        <w:r w:rsidR="00DF1ED6" w:rsidRPr="00686642">
          <w:rPr>
            <w:rStyle w:val="Hyperlink"/>
          </w:rPr>
          <w:t>https://www.abc.net.au/news/2023-03-10/qld-robodebt-scheme-government-royal-commission-fraud/102027838</w:t>
        </w:r>
      </w:hyperlink>
      <w:r w:rsidR="00DF1ED6">
        <w:t xml:space="preserve">. </w:t>
      </w:r>
    </w:p>
  </w:endnote>
  <w:endnote w:id="199">
    <w:p w14:paraId="1AD970BF" w14:textId="123E7786" w:rsidR="00027C09" w:rsidRDefault="00027C09" w:rsidP="00027C09">
      <w:pPr>
        <w:pStyle w:val="EndnoteText"/>
      </w:pPr>
      <w:r>
        <w:rPr>
          <w:rStyle w:val="EndnoteReference"/>
        </w:rPr>
        <w:endnoteRef/>
      </w:r>
      <w:r>
        <w:t xml:space="preserve"> </w:t>
      </w:r>
      <w:r w:rsidR="00286780">
        <w:t xml:space="preserve">AHRC, Final Report (Final Report, 2021) </w:t>
      </w:r>
      <w:r>
        <w:t xml:space="preserve">80. </w:t>
      </w:r>
    </w:p>
  </w:endnote>
  <w:endnote w:id="200">
    <w:p w14:paraId="4AFD3DAA" w14:textId="017C1D4F" w:rsidR="005E6AE9" w:rsidRDefault="005E6AE9" w:rsidP="005E6AE9">
      <w:pPr>
        <w:pStyle w:val="EndnoteText"/>
      </w:pPr>
      <w:r>
        <w:rPr>
          <w:rStyle w:val="EndnoteReference"/>
        </w:rPr>
        <w:endnoteRef/>
      </w:r>
      <w:r>
        <w:t xml:space="preserve"> </w:t>
      </w:r>
      <w:r w:rsidR="00286780">
        <w:t xml:space="preserve">AHRC, Final Report (Final Report, 2021) </w:t>
      </w:r>
      <w:r>
        <w:t xml:space="preserve">13. </w:t>
      </w:r>
    </w:p>
  </w:endnote>
  <w:endnote w:id="201">
    <w:p w14:paraId="70338E81" w14:textId="117D1A12" w:rsidR="005E6AE9" w:rsidRDefault="005E6AE9" w:rsidP="005E6AE9">
      <w:pPr>
        <w:pStyle w:val="EndnoteText"/>
      </w:pPr>
      <w:r>
        <w:rPr>
          <w:rStyle w:val="EndnoteReference"/>
        </w:rPr>
        <w:endnoteRef/>
      </w:r>
      <w:r>
        <w:t xml:space="preserve"> </w:t>
      </w:r>
      <w:r w:rsidR="00286780">
        <w:t xml:space="preserve">AHRC, Final Report (Final Report, 2021) </w:t>
      </w:r>
      <w:r>
        <w:t>62.</w:t>
      </w:r>
    </w:p>
  </w:endnote>
  <w:endnote w:id="202">
    <w:p w14:paraId="04EECC59" w14:textId="075DEB20" w:rsidR="005E6AE9" w:rsidRDefault="005E6AE9" w:rsidP="005E6AE9">
      <w:pPr>
        <w:pStyle w:val="EndnoteText"/>
      </w:pPr>
      <w:r>
        <w:rPr>
          <w:rStyle w:val="EndnoteReference"/>
        </w:rPr>
        <w:endnoteRef/>
      </w:r>
      <w:r>
        <w:t xml:space="preserve"> </w:t>
      </w:r>
      <w:r w:rsidR="00286780">
        <w:t xml:space="preserve">AHRC, Final Report (Final Report, 2021) </w:t>
      </w:r>
      <w:r>
        <w:t>13.</w:t>
      </w:r>
    </w:p>
  </w:endnote>
  <w:endnote w:id="203">
    <w:p w14:paraId="582231F2" w14:textId="3911EDA6" w:rsidR="005E6AE9" w:rsidRDefault="005E6AE9" w:rsidP="005E6AE9">
      <w:pPr>
        <w:pStyle w:val="EndnoteText"/>
      </w:pPr>
      <w:r>
        <w:rPr>
          <w:rStyle w:val="EndnoteReference"/>
        </w:rPr>
        <w:endnoteRef/>
      </w:r>
      <w:r>
        <w:t xml:space="preserve"> </w:t>
      </w:r>
      <w:r w:rsidR="00286780">
        <w:t>AHRC, Final Report (Final Report, 2021) 13</w:t>
      </w:r>
      <w:r>
        <w:t xml:space="preserve">. </w:t>
      </w:r>
    </w:p>
  </w:endnote>
  <w:endnote w:id="204">
    <w:p w14:paraId="7E61C5DE" w14:textId="7FD6D247" w:rsidR="00A14548" w:rsidRDefault="00A14548" w:rsidP="00A14548">
      <w:pPr>
        <w:pStyle w:val="EndnoteText"/>
      </w:pPr>
      <w:r>
        <w:rPr>
          <w:rStyle w:val="EndnoteReference"/>
        </w:rPr>
        <w:endnoteRef/>
      </w:r>
      <w:r>
        <w:t xml:space="preserve"> </w:t>
      </w:r>
      <w:r w:rsidR="00286780">
        <w:t>AHRC, Final Report (Final Report, 2021) 13</w:t>
      </w:r>
      <w:r>
        <w:t xml:space="preserve">. </w:t>
      </w:r>
    </w:p>
  </w:endnote>
  <w:endnote w:id="205">
    <w:p w14:paraId="07F0C8F8" w14:textId="6F4DF58F" w:rsidR="00A14548" w:rsidRDefault="00A14548" w:rsidP="00A14548">
      <w:pPr>
        <w:pStyle w:val="EndnoteText"/>
      </w:pPr>
      <w:r>
        <w:rPr>
          <w:rStyle w:val="EndnoteReference"/>
        </w:rPr>
        <w:endnoteRef/>
      </w:r>
      <w:r>
        <w:t xml:space="preserve"> </w:t>
      </w:r>
      <w:r w:rsidR="00286780">
        <w:t>AHRC, Final Report (Final Report, 2021) 13</w:t>
      </w:r>
      <w:r>
        <w:t xml:space="preserve">. </w:t>
      </w:r>
    </w:p>
  </w:endnote>
  <w:endnote w:id="206">
    <w:p w14:paraId="5DD6D7F3" w14:textId="382824AA" w:rsidR="00823D98" w:rsidRPr="00AC49CD" w:rsidRDefault="00823D98" w:rsidP="00823D98">
      <w:pPr>
        <w:pStyle w:val="EndnoteText"/>
      </w:pPr>
      <w:r>
        <w:rPr>
          <w:rStyle w:val="EndnoteReference"/>
        </w:rPr>
        <w:endnoteRef/>
      </w:r>
      <w:r>
        <w:t xml:space="preserve"> Rachel Goodman, ‘Why Amazon’s Automated Hiring Tool Discriminated Against Women’, </w:t>
      </w:r>
      <w:r>
        <w:rPr>
          <w:i/>
          <w:iCs/>
        </w:rPr>
        <w:t xml:space="preserve">American Civil Liberties Union </w:t>
      </w:r>
      <w:r>
        <w:t>(online</w:t>
      </w:r>
      <w:r w:rsidR="00646A32">
        <w:t>,</w:t>
      </w:r>
      <w:r>
        <w:t xml:space="preserve"> 12 October 2018) </w:t>
      </w:r>
      <w:hyperlink r:id="rId21" w:history="1">
        <w:r w:rsidR="00646A32" w:rsidRPr="00686642">
          <w:rPr>
            <w:rStyle w:val="Hyperlink"/>
          </w:rPr>
          <w:t>https://www.aclu.org/news/womens-rights/why-amazons-automated-hiring-tool-discriminated-against</w:t>
        </w:r>
      </w:hyperlink>
      <w:r>
        <w:t>.</w:t>
      </w:r>
    </w:p>
  </w:endnote>
  <w:endnote w:id="207">
    <w:p w14:paraId="162778AB" w14:textId="3F7239CD" w:rsidR="00823D98" w:rsidRDefault="00823D98" w:rsidP="00823D98">
      <w:pPr>
        <w:pStyle w:val="EndnoteText"/>
      </w:pPr>
      <w:r>
        <w:rPr>
          <w:rStyle w:val="EndnoteReference"/>
        </w:rPr>
        <w:endnoteRef/>
      </w:r>
      <w:r>
        <w:t xml:space="preserve"> </w:t>
      </w:r>
      <w:r w:rsidR="005F5046">
        <w:t xml:space="preserve">Rachel Goodman, ‘Why Amazon’s Automated Hiring Tool Discriminated Against Women’, </w:t>
      </w:r>
      <w:r w:rsidR="005F5046">
        <w:rPr>
          <w:i/>
          <w:iCs/>
        </w:rPr>
        <w:t xml:space="preserve">American Civil Liberties Union </w:t>
      </w:r>
      <w:r w:rsidR="005F5046">
        <w:t xml:space="preserve">(online, 12 October 2018) </w:t>
      </w:r>
      <w:hyperlink r:id="rId22" w:history="1">
        <w:r w:rsidR="005F5046" w:rsidRPr="00686642">
          <w:rPr>
            <w:rStyle w:val="Hyperlink"/>
          </w:rPr>
          <w:t>https://www.aclu.org/news/womens-rights/why-amazons-automated-hiring-tool-discriminated-against</w:t>
        </w:r>
      </w:hyperlink>
      <w:r>
        <w:t xml:space="preserve">. </w:t>
      </w:r>
    </w:p>
  </w:endnote>
  <w:endnote w:id="208">
    <w:p w14:paraId="034D0779" w14:textId="68E938EF" w:rsidR="00823D98" w:rsidRDefault="00823D98" w:rsidP="00823D98">
      <w:pPr>
        <w:pStyle w:val="EndnoteText"/>
      </w:pPr>
      <w:r>
        <w:rPr>
          <w:rStyle w:val="EndnoteReference"/>
        </w:rPr>
        <w:endnoteRef/>
      </w:r>
      <w:r>
        <w:t xml:space="preserve"> </w:t>
      </w:r>
      <w:r w:rsidR="005F5046">
        <w:t xml:space="preserve">Rachel Goodman, ‘Why Amazon’s Automated Hiring Tool Discriminated Against Women’, </w:t>
      </w:r>
      <w:r w:rsidR="005F5046">
        <w:rPr>
          <w:i/>
          <w:iCs/>
        </w:rPr>
        <w:t xml:space="preserve">American Civil Liberties Union </w:t>
      </w:r>
      <w:r w:rsidR="005F5046">
        <w:t xml:space="preserve">(online, 12 October 2018) </w:t>
      </w:r>
      <w:hyperlink r:id="rId23" w:history="1">
        <w:r w:rsidR="005F5046" w:rsidRPr="00686642">
          <w:rPr>
            <w:rStyle w:val="Hyperlink"/>
          </w:rPr>
          <w:t>https://www.aclu.org/news/womens-rights/why-amazons-automated-hiring-tool-discriminated-against</w:t>
        </w:r>
      </w:hyperlink>
      <w:r>
        <w:t xml:space="preserve">. </w:t>
      </w:r>
    </w:p>
  </w:endnote>
  <w:endnote w:id="209">
    <w:p w14:paraId="3FA74AB7" w14:textId="03FDE3AB" w:rsidR="00EC22ED" w:rsidRPr="003B3B55" w:rsidRDefault="00EC22ED" w:rsidP="00EC22ED">
      <w:pPr>
        <w:pStyle w:val="EndnoteText"/>
      </w:pPr>
      <w:r w:rsidRPr="003B3B55">
        <w:rPr>
          <w:rStyle w:val="EndnoteReference"/>
        </w:rPr>
        <w:endnoteRef/>
      </w:r>
      <w:r w:rsidRPr="003B3B55">
        <w:t xml:space="preserve"> Crystal Grant, ‘Algorithms are Making Decisions About Health Care, Which May Only Worsen Medical Racism’ </w:t>
      </w:r>
      <w:r w:rsidRPr="003B3B55">
        <w:rPr>
          <w:i/>
          <w:iCs/>
        </w:rPr>
        <w:t xml:space="preserve">American Civil Liberties Union </w:t>
      </w:r>
      <w:r w:rsidRPr="003B3B55">
        <w:t>(online</w:t>
      </w:r>
      <w:r w:rsidR="001A1E3C">
        <w:t>,</w:t>
      </w:r>
      <w:r w:rsidRPr="003B3B55">
        <w:t xml:space="preserve"> 3 October 2022) </w:t>
      </w:r>
      <w:hyperlink r:id="rId24" w:history="1">
        <w:r w:rsidR="001A1E3C" w:rsidRPr="00686642">
          <w:rPr>
            <w:rStyle w:val="Hyperlink"/>
          </w:rPr>
          <w:t>https://www.aclu.org/news/privacy-technology/algorithms-in-health-care-may-worsen-medical-racism</w:t>
        </w:r>
      </w:hyperlink>
      <w:r>
        <w:rPr>
          <w:rStyle w:val="Hyperlink"/>
          <w:color w:val="auto"/>
          <w:u w:val="none"/>
        </w:rPr>
        <w:t xml:space="preserve">. </w:t>
      </w:r>
    </w:p>
  </w:endnote>
  <w:endnote w:id="210">
    <w:p w14:paraId="0FEA203B" w14:textId="479285BD" w:rsidR="00EC22ED" w:rsidRPr="005E1555" w:rsidRDefault="00EC22ED" w:rsidP="00EC22ED">
      <w:pPr>
        <w:pStyle w:val="EndnoteText"/>
      </w:pPr>
      <w:r>
        <w:rPr>
          <w:rStyle w:val="EndnoteReference"/>
        </w:rPr>
        <w:endnoteRef/>
      </w:r>
      <w:r>
        <w:t xml:space="preserve"> </w:t>
      </w:r>
      <w:r w:rsidR="005F5046" w:rsidRPr="003B3B55">
        <w:t xml:space="preserve">Crystal Grant, ‘Algorithms are Making Decisions About Health Care, Which May Only Worsen Medical Racism’ </w:t>
      </w:r>
      <w:r w:rsidR="005F5046" w:rsidRPr="003B3B55">
        <w:rPr>
          <w:i/>
          <w:iCs/>
        </w:rPr>
        <w:t xml:space="preserve">American Civil Liberties Union </w:t>
      </w:r>
      <w:r w:rsidR="005F5046" w:rsidRPr="003B3B55">
        <w:t>(online</w:t>
      </w:r>
      <w:r w:rsidR="005F5046">
        <w:t>,</w:t>
      </w:r>
      <w:r w:rsidR="005F5046" w:rsidRPr="003B3B55">
        <w:t xml:space="preserve"> 3 October 2022) </w:t>
      </w:r>
      <w:hyperlink r:id="rId25" w:history="1">
        <w:r w:rsidR="005F5046" w:rsidRPr="00686642">
          <w:rPr>
            <w:rStyle w:val="Hyperlink"/>
          </w:rPr>
          <w:t>https://www.aclu.org/news/privacy-technology/algorithms-in-health-care-may-worsen-medical-racism</w:t>
        </w:r>
      </w:hyperlink>
      <w:r>
        <w:t xml:space="preserve">. </w:t>
      </w:r>
    </w:p>
  </w:endnote>
  <w:endnote w:id="211">
    <w:p w14:paraId="23E3316E" w14:textId="04470AC0" w:rsidR="00EC22ED" w:rsidRDefault="00EC22ED" w:rsidP="00EC22ED">
      <w:pPr>
        <w:pStyle w:val="EndnoteText"/>
      </w:pPr>
      <w:r>
        <w:rPr>
          <w:rStyle w:val="EndnoteReference"/>
        </w:rPr>
        <w:endnoteRef/>
      </w:r>
      <w:r>
        <w:t xml:space="preserve"> </w:t>
      </w:r>
      <w:r w:rsidR="005F5046" w:rsidRPr="003B3B55">
        <w:t xml:space="preserve">Crystal Grant, ‘Algorithms are Making Decisions About Health Care, Which May Only Worsen Medical Racism’ </w:t>
      </w:r>
      <w:r w:rsidR="005F5046" w:rsidRPr="003B3B55">
        <w:rPr>
          <w:i/>
          <w:iCs/>
        </w:rPr>
        <w:t xml:space="preserve">American Civil Liberties Union </w:t>
      </w:r>
      <w:r w:rsidR="005F5046" w:rsidRPr="003B3B55">
        <w:t>(online</w:t>
      </w:r>
      <w:r w:rsidR="005F5046">
        <w:t>,</w:t>
      </w:r>
      <w:r w:rsidR="005F5046" w:rsidRPr="003B3B55">
        <w:t xml:space="preserve"> 3 October 2022) </w:t>
      </w:r>
      <w:hyperlink r:id="rId26" w:history="1">
        <w:r w:rsidR="005F5046" w:rsidRPr="00686642">
          <w:rPr>
            <w:rStyle w:val="Hyperlink"/>
          </w:rPr>
          <w:t>https://www.aclu.org/news/privacy-technology/algorithms-in-health-care-may-worsen-medical-racism</w:t>
        </w:r>
      </w:hyperlink>
      <w:r>
        <w:t xml:space="preserve">. </w:t>
      </w:r>
    </w:p>
  </w:endnote>
  <w:endnote w:id="212">
    <w:p w14:paraId="5DEC1310" w14:textId="581F7836" w:rsidR="00EC22ED" w:rsidRDefault="00EC22ED" w:rsidP="00EC22ED">
      <w:pPr>
        <w:pStyle w:val="EndnoteText"/>
      </w:pPr>
      <w:r>
        <w:rPr>
          <w:rStyle w:val="EndnoteReference"/>
        </w:rPr>
        <w:endnoteRef/>
      </w:r>
      <w:r>
        <w:t xml:space="preserve"> </w:t>
      </w:r>
      <w:r w:rsidR="00286780">
        <w:t xml:space="preserve">AHRC, Final Report (Final Report, 2021) </w:t>
      </w:r>
      <w:r>
        <w:t xml:space="preserve">108. </w:t>
      </w:r>
    </w:p>
  </w:endnote>
  <w:endnote w:id="213">
    <w:p w14:paraId="0B1E7CB7" w14:textId="0C1FA840" w:rsidR="00224B34" w:rsidRDefault="00224B34" w:rsidP="00224B34">
      <w:pPr>
        <w:pStyle w:val="EndnoteText"/>
      </w:pPr>
      <w:r>
        <w:rPr>
          <w:rStyle w:val="EndnoteReference"/>
        </w:rPr>
        <w:endnoteRef/>
      </w:r>
      <w:r>
        <w:t xml:space="preserve"> </w:t>
      </w:r>
      <w:r w:rsidR="00E61149">
        <w:t>AHRC</w:t>
      </w:r>
      <w:r w:rsidR="00E61149" w:rsidRPr="00E61149">
        <w:t>,</w:t>
      </w:r>
      <w:r w:rsidR="00E61149">
        <w:t xml:space="preserve"> Position Paper</w:t>
      </w:r>
      <w:r w:rsidR="00E61149" w:rsidRPr="00E61149">
        <w:t xml:space="preserve"> (Position Paper, March 2023) </w:t>
      </w:r>
      <w:r>
        <w:t>24</w:t>
      </w:r>
      <w:r w:rsidR="00816886">
        <w:t>.</w:t>
      </w:r>
    </w:p>
  </w:endnote>
  <w:endnote w:id="214">
    <w:p w14:paraId="0D188FAA" w14:textId="1B9A000D" w:rsidR="0010670A" w:rsidRDefault="0010670A">
      <w:pPr>
        <w:pStyle w:val="EndnoteText"/>
      </w:pPr>
      <w:r>
        <w:rPr>
          <w:rStyle w:val="EndnoteReference"/>
        </w:rPr>
        <w:endnoteRef/>
      </w:r>
      <w:r>
        <w:t xml:space="preserve"> </w:t>
      </w:r>
      <w:r w:rsidR="00816886">
        <w:t xml:space="preserve">See e.g. </w:t>
      </w:r>
      <w:r w:rsidR="00770236" w:rsidRPr="00770236">
        <w:t xml:space="preserve">Attorney-General’s Department, Discussion Paper (Commonwealth of Australia, Discussion Paper, October) </w:t>
      </w:r>
      <w:r>
        <w:t>193</w:t>
      </w:r>
      <w:r w:rsidR="00816886">
        <w:t>.</w:t>
      </w:r>
    </w:p>
  </w:endnote>
  <w:endnote w:id="215">
    <w:p w14:paraId="57B11C0C" w14:textId="06380965" w:rsidR="00BC5945" w:rsidRDefault="00BC5945">
      <w:pPr>
        <w:pStyle w:val="EndnoteText"/>
      </w:pPr>
      <w:r>
        <w:rPr>
          <w:rStyle w:val="EndnoteReference"/>
        </w:rPr>
        <w:endnoteRef/>
      </w:r>
      <w:r>
        <w:t xml:space="preserve"> </w:t>
      </w:r>
      <w:r w:rsidR="005C6CBF">
        <w:t xml:space="preserve">Submissions to the </w:t>
      </w:r>
      <w:r w:rsidR="00770236" w:rsidRPr="00770236">
        <w:t>Attorney-General’s Department, Discussion Paper (Commonwealth of Australia, Discussion Paper, October)</w:t>
      </w:r>
      <w:r w:rsidR="005C6CBF">
        <w:t>: Australia’s Right to Know 1; Guardian Australia 21; SBS 12-13; Commercial Radio Australia 3</w:t>
      </w:r>
      <w:r w:rsidR="00816886">
        <w:t>.</w:t>
      </w:r>
    </w:p>
  </w:endnote>
  <w:endnote w:id="216">
    <w:p w14:paraId="524ECD4B" w14:textId="52FACA03" w:rsidR="00F442B9" w:rsidRDefault="00F442B9">
      <w:pPr>
        <w:pStyle w:val="EndnoteText"/>
      </w:pPr>
      <w:r>
        <w:rPr>
          <w:rStyle w:val="EndnoteReference"/>
        </w:rPr>
        <w:endnoteRef/>
      </w:r>
      <w:r>
        <w:t xml:space="preserve"> </w:t>
      </w:r>
      <w:r w:rsidR="005F5046">
        <w:t xml:space="preserve">Submission to the </w:t>
      </w:r>
      <w:r w:rsidR="005F5046" w:rsidRPr="00770236">
        <w:t>Attorney-General’s Department, Discussion Paper (Commonwealth of Australia, Discussion Paper, October)</w:t>
      </w:r>
      <w:r w:rsidR="005F5046">
        <w:t xml:space="preserve">: </w:t>
      </w:r>
      <w:r>
        <w:t>Guardian Australia 21</w:t>
      </w:r>
      <w:r w:rsidR="00816886">
        <w:t>.</w:t>
      </w:r>
    </w:p>
  </w:endnote>
  <w:endnote w:id="217">
    <w:p w14:paraId="08F794CF" w14:textId="39C75695" w:rsidR="007217F1" w:rsidRDefault="007217F1">
      <w:pPr>
        <w:pStyle w:val="EndnoteText"/>
      </w:pPr>
      <w:r>
        <w:rPr>
          <w:rStyle w:val="EndnoteReference"/>
        </w:rPr>
        <w:endnoteRef/>
      </w:r>
      <w:r>
        <w:t xml:space="preserve"> See e</w:t>
      </w:r>
      <w:r w:rsidR="00816886">
        <w:t>.</w:t>
      </w:r>
      <w:r>
        <w:t>g</w:t>
      </w:r>
      <w:r w:rsidR="00816886">
        <w:t xml:space="preserve">. </w:t>
      </w:r>
      <w:r w:rsidR="005F5046">
        <w:t xml:space="preserve">Submission to the </w:t>
      </w:r>
      <w:r w:rsidR="005F5046" w:rsidRPr="00770236">
        <w:t>Attorney-General’s Department, Discussion Paper (Commonwealth of Australia, Discussion Paper, October)</w:t>
      </w:r>
      <w:r w:rsidR="005F5046">
        <w:t>: Guardian Australia 21</w:t>
      </w:r>
      <w:r w:rsidR="003C5A56">
        <w:t>.</w:t>
      </w:r>
    </w:p>
  </w:endnote>
  <w:endnote w:id="218">
    <w:p w14:paraId="099269FB" w14:textId="49E0811F" w:rsidR="000B4C95" w:rsidRDefault="000B4C95">
      <w:pPr>
        <w:pStyle w:val="EndnoteText"/>
      </w:pPr>
      <w:r>
        <w:rPr>
          <w:rStyle w:val="EndnoteReference"/>
        </w:rPr>
        <w:endnoteRef/>
      </w:r>
      <w:r w:rsidR="427D76A9">
        <w:t xml:space="preserve"> </w:t>
      </w:r>
      <w:r w:rsidR="00AF2F7E" w:rsidRPr="00AF2F7E">
        <w:t xml:space="preserve">Attorney-General’s Department, Review Report (Commonwealth of Australia, Report, February 2023) </w:t>
      </w:r>
      <w:r w:rsidR="427D76A9">
        <w:t>286</w:t>
      </w:r>
      <w:r w:rsidR="003C5A56">
        <w:t>.</w:t>
      </w:r>
    </w:p>
  </w:endnote>
  <w:endnote w:id="219">
    <w:p w14:paraId="6B677C89" w14:textId="16F144A9" w:rsidR="002E11E0" w:rsidRDefault="002E11E0">
      <w:pPr>
        <w:pStyle w:val="EndnoteText"/>
      </w:pPr>
      <w:r>
        <w:rPr>
          <w:rStyle w:val="EndnoteReference"/>
        </w:rPr>
        <w:endnoteRef/>
      </w:r>
      <w:r w:rsidR="427D76A9">
        <w:t xml:space="preserve"> </w:t>
      </w:r>
      <w:r w:rsidR="00E876C5">
        <w:t xml:space="preserve">Sammy </w:t>
      </w:r>
      <w:r w:rsidR="427D76A9">
        <w:t>Gecsoyer, ‘Rebel Wilson speaks about threat to be outed: “It was grubby behaviour“‘</w:t>
      </w:r>
      <w:r w:rsidR="427D76A9" w:rsidRPr="427D76A9">
        <w:rPr>
          <w:i/>
          <w:iCs/>
        </w:rPr>
        <w:t xml:space="preserve"> The Guardian</w:t>
      </w:r>
      <w:r w:rsidR="427D76A9">
        <w:t xml:space="preserve"> (</w:t>
      </w:r>
      <w:r w:rsidR="00E876C5">
        <w:t xml:space="preserve">online, </w:t>
      </w:r>
      <w:r w:rsidR="427D76A9">
        <w:t xml:space="preserve">21 October 2022) </w:t>
      </w:r>
      <w:hyperlink r:id="rId27" w:history="1">
        <w:r w:rsidR="00E876C5">
          <w:rPr>
            <w:rStyle w:val="Hyperlink"/>
          </w:rPr>
          <w:t>https://www.theguardian.com/film/2022/oct/20/rebel-wilson-speaks-out-about-being-outed</w:t>
        </w:r>
      </w:hyperlink>
      <w:r w:rsidR="00E876C5">
        <w:t>.</w:t>
      </w:r>
    </w:p>
  </w:endnote>
  <w:endnote w:id="220">
    <w:p w14:paraId="592F3B4A" w14:textId="0F1D1BD1" w:rsidR="00B00C8B" w:rsidRDefault="00B00C8B">
      <w:pPr>
        <w:pStyle w:val="EndnoteText"/>
      </w:pPr>
      <w:r>
        <w:rPr>
          <w:rStyle w:val="EndnoteReference"/>
        </w:rPr>
        <w:endnoteRef/>
      </w:r>
      <w:r w:rsidR="427D76A9">
        <w:t xml:space="preserve"> </w:t>
      </w:r>
      <w:r w:rsidR="00286780">
        <w:t xml:space="preserve">AHRC, Final Report (Final Report, 2021) </w:t>
      </w:r>
      <w:r w:rsidR="00425737">
        <w:t>123.</w:t>
      </w:r>
    </w:p>
  </w:endnote>
  <w:endnote w:id="221">
    <w:p w14:paraId="6E033C68" w14:textId="3C922D8F" w:rsidR="000368B6" w:rsidRDefault="000368B6">
      <w:pPr>
        <w:pStyle w:val="EndnoteText"/>
      </w:pPr>
      <w:r>
        <w:rPr>
          <w:rStyle w:val="EndnoteReference"/>
        </w:rPr>
        <w:endnoteRef/>
      </w:r>
      <w:r>
        <w:t xml:space="preserve"> </w:t>
      </w:r>
      <w:r w:rsidR="002A1720">
        <w:t xml:space="preserve">Submission to the </w:t>
      </w:r>
      <w:r w:rsidR="00770236" w:rsidRPr="00770236">
        <w:t>Attorney-General’s Department, Discussion Paper (Commonwealth of Australia, Discussion Paper, October)</w:t>
      </w:r>
      <w:r w:rsidR="002A1720">
        <w:t>: Castan Centre 56-57</w:t>
      </w:r>
      <w:r w:rsidR="00425737">
        <w:t>.</w:t>
      </w:r>
    </w:p>
  </w:endnote>
  <w:endnote w:id="222">
    <w:p w14:paraId="40E1F2A5" w14:textId="565F2D03" w:rsidR="00AC0707" w:rsidRDefault="00AC0707" w:rsidP="00AC0707">
      <w:pPr>
        <w:pStyle w:val="EndnoteText"/>
      </w:pPr>
      <w:r>
        <w:rPr>
          <w:rStyle w:val="EndnoteReference"/>
        </w:rPr>
        <w:endnoteRef/>
      </w:r>
      <w:r>
        <w:t xml:space="preserve"> </w:t>
      </w:r>
      <w:r w:rsidR="00286780">
        <w:t xml:space="preserve">AHRC, Final Report (Final Report, 2021) </w:t>
      </w:r>
      <w:r>
        <w:t>123</w:t>
      </w:r>
      <w:r w:rsidR="00425737">
        <w:t>.</w:t>
      </w:r>
    </w:p>
  </w:endnote>
  <w:endnote w:id="223">
    <w:p w14:paraId="0406AE0A" w14:textId="77777777" w:rsidR="00F8659E" w:rsidRPr="0032044E" w:rsidRDefault="00F8659E" w:rsidP="00F8659E">
      <w:pPr>
        <w:pStyle w:val="EndnoteText"/>
      </w:pPr>
      <w:r>
        <w:rPr>
          <w:rStyle w:val="EndnoteReference"/>
        </w:rPr>
        <w:endnoteRef/>
      </w:r>
      <w:r>
        <w:t xml:space="preserve"> </w:t>
      </w:r>
      <w:r w:rsidRPr="0032044E">
        <w:t>Hemant Taneja</w:t>
      </w:r>
      <w:r>
        <w:t>, ‘</w:t>
      </w:r>
      <w:r w:rsidRPr="0032044E">
        <w:t>The Era of “Move Fast and Break Things” Is Over</w:t>
      </w:r>
      <w:r>
        <w:t xml:space="preserve">’ </w:t>
      </w:r>
      <w:r>
        <w:rPr>
          <w:i/>
          <w:iCs/>
        </w:rPr>
        <w:t>Harvard Business Review</w:t>
      </w:r>
      <w:r>
        <w:t xml:space="preserve"> (online, 22 January 2019) </w:t>
      </w:r>
      <w:hyperlink r:id="rId28" w:history="1">
        <w:r w:rsidRPr="001B36FA">
          <w:rPr>
            <w:rStyle w:val="Hyperlink"/>
          </w:rPr>
          <w:t>https://hbr.org/2019/01/the-era-of-move-fast-and-break-things-is-over</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oto Sans">
    <w:charset w:val="00"/>
    <w:family w:val="swiss"/>
    <w:pitch w:val="variable"/>
    <w:sig w:usb0="E00082FF" w:usb1="400078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427D76A9" w14:paraId="3334607D" w14:textId="77777777" w:rsidTr="427D76A9">
      <w:trPr>
        <w:trHeight w:val="300"/>
      </w:trPr>
      <w:tc>
        <w:tcPr>
          <w:tcW w:w="2925" w:type="dxa"/>
        </w:tcPr>
        <w:p w14:paraId="5A94E313" w14:textId="53041A75" w:rsidR="427D76A9" w:rsidRDefault="427D76A9" w:rsidP="427D76A9">
          <w:pPr>
            <w:pStyle w:val="Header"/>
            <w:ind w:left="-115"/>
            <w:jc w:val="left"/>
          </w:pPr>
        </w:p>
      </w:tc>
      <w:tc>
        <w:tcPr>
          <w:tcW w:w="2925" w:type="dxa"/>
        </w:tcPr>
        <w:p w14:paraId="38B377AC" w14:textId="2A853859" w:rsidR="427D76A9" w:rsidRDefault="427D76A9" w:rsidP="427D76A9">
          <w:pPr>
            <w:pStyle w:val="Header"/>
            <w:jc w:val="center"/>
          </w:pPr>
        </w:p>
      </w:tc>
      <w:tc>
        <w:tcPr>
          <w:tcW w:w="2925" w:type="dxa"/>
        </w:tcPr>
        <w:p w14:paraId="6B535D64" w14:textId="5D384303" w:rsidR="427D76A9" w:rsidRDefault="427D76A9" w:rsidP="427D76A9">
          <w:pPr>
            <w:pStyle w:val="Header"/>
            <w:ind w:right="-115"/>
          </w:pPr>
        </w:p>
      </w:tc>
    </w:tr>
  </w:tbl>
  <w:p w14:paraId="7CC98027" w14:textId="15A59FB7" w:rsidR="427D76A9" w:rsidRDefault="427D76A9" w:rsidP="427D7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427D76A9" w14:paraId="32212788" w14:textId="77777777" w:rsidTr="427D76A9">
      <w:trPr>
        <w:trHeight w:val="300"/>
      </w:trPr>
      <w:tc>
        <w:tcPr>
          <w:tcW w:w="2925" w:type="dxa"/>
        </w:tcPr>
        <w:p w14:paraId="1CB55296" w14:textId="359D0136" w:rsidR="427D76A9" w:rsidRDefault="427D76A9" w:rsidP="427D76A9">
          <w:pPr>
            <w:pStyle w:val="Header"/>
            <w:ind w:left="-115"/>
            <w:jc w:val="left"/>
          </w:pPr>
        </w:p>
      </w:tc>
      <w:tc>
        <w:tcPr>
          <w:tcW w:w="2925" w:type="dxa"/>
        </w:tcPr>
        <w:p w14:paraId="30CE4CA6" w14:textId="1817C0FD" w:rsidR="427D76A9" w:rsidRDefault="427D76A9" w:rsidP="427D76A9">
          <w:pPr>
            <w:pStyle w:val="Header"/>
            <w:jc w:val="center"/>
          </w:pPr>
        </w:p>
      </w:tc>
      <w:tc>
        <w:tcPr>
          <w:tcW w:w="2925" w:type="dxa"/>
        </w:tcPr>
        <w:p w14:paraId="304C5223" w14:textId="7E76BDEF" w:rsidR="427D76A9" w:rsidRDefault="427D76A9" w:rsidP="427D76A9">
          <w:pPr>
            <w:pStyle w:val="Header"/>
            <w:ind w:right="-115"/>
          </w:pPr>
        </w:p>
      </w:tc>
    </w:tr>
  </w:tbl>
  <w:p w14:paraId="44310C29" w14:textId="53EFF274" w:rsidR="427D76A9" w:rsidRDefault="427D76A9" w:rsidP="427D7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465C" w14:textId="77777777" w:rsidR="00AC636D" w:rsidRPr="000465F1" w:rsidRDefault="00AC636D" w:rsidP="000465F1">
    <w:pPr>
      <w:pStyle w:val="Footer"/>
    </w:pPr>
    <w:r w:rsidRPr="000465F1">
      <w:t>ABN 47 996 232 602</w:t>
    </w:r>
  </w:p>
  <w:p w14:paraId="349F2B56" w14:textId="77777777" w:rsidR="00AC636D" w:rsidRPr="000465F1" w:rsidRDefault="00AC636D" w:rsidP="000465F1">
    <w:pPr>
      <w:pStyle w:val="Footer"/>
    </w:pPr>
    <w:r w:rsidRPr="000465F1">
      <w:t>Level 3, 175 Pitt Street, Sydney NSW 2000</w:t>
    </w:r>
  </w:p>
  <w:p w14:paraId="594E5C14" w14:textId="77777777" w:rsidR="00AC636D" w:rsidRPr="000465F1" w:rsidRDefault="00AC636D" w:rsidP="000465F1">
    <w:pPr>
      <w:pStyle w:val="Footer"/>
    </w:pPr>
    <w:r w:rsidRPr="000465F1">
      <w:t>GPO Box 5218, Sydney NSW 2001</w:t>
    </w:r>
  </w:p>
  <w:p w14:paraId="2E2F634D" w14:textId="77777777" w:rsidR="00AC636D" w:rsidRPr="000465F1" w:rsidRDefault="00AC636D" w:rsidP="000465F1">
    <w:pPr>
      <w:pStyle w:val="Footer"/>
    </w:pPr>
    <w:r w:rsidRPr="000465F1">
      <w:t>General enquiries 1300 369 711</w:t>
    </w:r>
  </w:p>
  <w:p w14:paraId="6B015A5C" w14:textId="77777777" w:rsidR="00AC636D" w:rsidRPr="000465F1" w:rsidRDefault="00AC636D" w:rsidP="000465F1">
    <w:pPr>
      <w:pStyle w:val="Footer"/>
    </w:pPr>
    <w:r w:rsidRPr="000465F1">
      <w:t>Complaints info line 1300 656 419</w:t>
    </w:r>
  </w:p>
  <w:p w14:paraId="2DF47003" w14:textId="77777777" w:rsidR="00B34946" w:rsidRPr="000465F1" w:rsidRDefault="000465F1"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FA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37C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367"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5407" w14:textId="77777777" w:rsidR="003B23F2" w:rsidRDefault="003B23F2" w:rsidP="00F14C6D">
      <w:r>
        <w:separator/>
      </w:r>
    </w:p>
  </w:footnote>
  <w:footnote w:type="continuationSeparator" w:id="0">
    <w:p w14:paraId="3FB40EA8" w14:textId="77777777" w:rsidR="003B23F2" w:rsidRDefault="003B23F2" w:rsidP="00F14C6D">
      <w:r>
        <w:continuationSeparator/>
      </w:r>
    </w:p>
  </w:footnote>
  <w:footnote w:type="continuationNotice" w:id="1">
    <w:p w14:paraId="7E614DAB" w14:textId="77777777" w:rsidR="003B23F2" w:rsidRDefault="003B23F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8DE" w14:textId="77777777" w:rsidR="00BF6406" w:rsidRPr="000465F1" w:rsidRDefault="00000000" w:rsidP="000465F1">
    <w:pPr>
      <w:pStyle w:val="Header"/>
    </w:pPr>
    <w:r>
      <w:pict w14:anchorId="406E5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5C1F967"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EF0" w14:textId="77777777" w:rsidR="00B34946" w:rsidRPr="000465F1" w:rsidRDefault="00000000" w:rsidP="000465F1">
    <w:r>
      <w:pict w14:anchorId="6529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6BF7C6C"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D45F" w14:textId="77777777" w:rsidR="00CC2AA0" w:rsidRDefault="00000000" w:rsidP="002012F7">
    <w:pPr>
      <w:pStyle w:val="Header"/>
    </w:pPr>
    <w:r>
      <w:pict w14:anchorId="01F56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F116ECF">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4769FF60" w14:textId="77777777" w:rsidR="008B3899" w:rsidRDefault="008B3899" w:rsidP="002012F7">
    <w:pPr>
      <w:pStyle w:val="Header"/>
    </w:pPr>
  </w:p>
  <w:p w14:paraId="4876EEE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D9A0" w14:textId="77777777" w:rsidR="00314DD5" w:rsidRPr="000465F1" w:rsidRDefault="00314DD5" w:rsidP="00314DD5">
    <w:pPr>
      <w:pStyle w:val="Header"/>
    </w:pPr>
    <w:r w:rsidRPr="000465F1">
      <w:t>Australian Human Rights Commission</w:t>
    </w:r>
  </w:p>
  <w:p w14:paraId="2234164C" w14:textId="114649FA" w:rsidR="00C00733" w:rsidRPr="00314DD5" w:rsidRDefault="008422DB" w:rsidP="008422DB">
    <w:pPr>
      <w:pStyle w:val="HeaderDocumentDate"/>
      <w:ind w:left="0"/>
    </w:pPr>
    <w:r w:rsidRPr="008422DB">
      <w:rPr>
        <w:rStyle w:val="HeaderDocumentTitle"/>
      </w:rPr>
      <w:t>Safeguarding the right to privacy in Australia</w:t>
    </w:r>
    <w:r w:rsidRPr="001F62CC">
      <w:rPr>
        <w:rStyle w:val="HeaderDocumentTitle"/>
      </w:rPr>
      <w:t>,</w:t>
    </w:r>
    <w:r>
      <w:t xml:space="preserve"> </w:t>
    </w:r>
    <w:r w:rsidR="00A47A2A">
      <w:t>April</w:t>
    </w:r>
    <w:r w:rsidRPr="00320008">
      <w:t xml:space="preserve">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5AF1" w14:textId="77777777" w:rsidR="00314DD5" w:rsidRPr="000465F1" w:rsidRDefault="00314DD5" w:rsidP="00314DD5">
    <w:pPr>
      <w:pStyle w:val="Header"/>
    </w:pPr>
    <w:r w:rsidRPr="000465F1">
      <w:t>Australian Human Rights Commission</w:t>
    </w:r>
  </w:p>
  <w:p w14:paraId="05273B3B" w14:textId="5090A375" w:rsidR="00C00733" w:rsidRPr="00314DD5" w:rsidRDefault="00BF10FF" w:rsidP="008422DB">
    <w:pPr>
      <w:pStyle w:val="HeaderDocumentDate"/>
      <w:ind w:left="0"/>
    </w:pPr>
    <w:r>
      <w:rPr>
        <w:rStyle w:val="HeaderDocumentTitle"/>
      </w:rPr>
      <w:t xml:space="preserve">   </w:t>
    </w:r>
    <w:r w:rsidR="008422DB" w:rsidRPr="008422DB">
      <w:rPr>
        <w:rStyle w:val="HeaderDocumentTitle"/>
      </w:rPr>
      <w:t>Safeguarding the right to privacy in Australia</w:t>
    </w:r>
    <w:r w:rsidR="008422DB" w:rsidRPr="001F62CC">
      <w:rPr>
        <w:rStyle w:val="HeaderDocumentTitle"/>
      </w:rPr>
      <w:t>,</w:t>
    </w:r>
    <w:r w:rsidR="008422DB">
      <w:t xml:space="preserve"> </w:t>
    </w:r>
    <w:r w:rsidR="00A47A2A">
      <w:t>April</w:t>
    </w:r>
    <w:r w:rsidR="008422DB" w:rsidRPr="00320008">
      <w:t xml:space="preserve">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D380" w14:textId="77777777" w:rsidR="0063009F" w:rsidRPr="000465F1" w:rsidRDefault="0063009F" w:rsidP="0063009F">
    <w:pPr>
      <w:pStyle w:val="Header"/>
    </w:pPr>
    <w:r w:rsidRPr="000465F1">
      <w:t>Australian Human Rights Commission</w:t>
    </w:r>
  </w:p>
  <w:p w14:paraId="70528201" w14:textId="13A08CCD" w:rsidR="0063009F" w:rsidRPr="000465F1" w:rsidRDefault="008422DB" w:rsidP="00BF10FF">
    <w:pPr>
      <w:pStyle w:val="HeaderDocumentDate"/>
      <w:ind w:left="0"/>
    </w:pPr>
    <w:r w:rsidRPr="008422DB">
      <w:rPr>
        <w:rStyle w:val="HeaderDocumentTitle"/>
      </w:rPr>
      <w:t>Safeguarding the right to privacy in Australia</w:t>
    </w:r>
    <w:r w:rsidR="0063009F" w:rsidRPr="001F62CC">
      <w:rPr>
        <w:rStyle w:val="HeaderDocumentTitle"/>
      </w:rPr>
      <w:t>,</w:t>
    </w:r>
    <w:r w:rsidR="0063009F">
      <w:t xml:space="preserve"> </w:t>
    </w:r>
    <w:r w:rsidR="00A47A2A">
      <w:t>April</w:t>
    </w:r>
    <w:r w:rsidR="00C26B53" w:rsidRPr="00320008">
      <w:t xml:space="preserve"> 202</w:t>
    </w:r>
    <w:r w:rsidR="00314DD5" w:rsidRPr="0032000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84F3C8"/>
    <w:lvl w:ilvl="0">
      <w:start w:val="1"/>
      <w:numFmt w:val="decimal"/>
      <w:pStyle w:val="ListNumber"/>
      <w:lvlText w:val="%1."/>
      <w:lvlJc w:val="left"/>
      <w:pPr>
        <w:tabs>
          <w:tab w:val="num" w:pos="502"/>
        </w:tabs>
        <w:ind w:left="502"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18D2AC8"/>
    <w:multiLevelType w:val="hybridMultilevel"/>
    <w:tmpl w:val="12DCC1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52057DD"/>
    <w:multiLevelType w:val="hybridMultilevel"/>
    <w:tmpl w:val="ED2C59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3AF5036"/>
    <w:multiLevelType w:val="hybridMultilevel"/>
    <w:tmpl w:val="024440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4E5462E"/>
    <w:multiLevelType w:val="hybridMultilevel"/>
    <w:tmpl w:val="B1C098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9F1565A"/>
    <w:multiLevelType w:val="hybridMultilevel"/>
    <w:tmpl w:val="15E201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C74A6E"/>
    <w:multiLevelType w:val="hybridMultilevel"/>
    <w:tmpl w:val="25B87C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872652B"/>
    <w:multiLevelType w:val="hybridMultilevel"/>
    <w:tmpl w:val="F9D26E5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2B7D10EF"/>
    <w:multiLevelType w:val="hybridMultilevel"/>
    <w:tmpl w:val="BBFAE1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A022916"/>
    <w:multiLevelType w:val="hybridMultilevel"/>
    <w:tmpl w:val="ED7AFA32"/>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A7712C"/>
    <w:multiLevelType w:val="multilevel"/>
    <w:tmpl w:val="A6488998"/>
    <w:lvl w:ilvl="0">
      <w:start w:val="1"/>
      <w:numFmt w:val="decimal"/>
      <w:lvlText w:val="%1"/>
      <w:lvlJc w:val="left"/>
      <w:pPr>
        <w:tabs>
          <w:tab w:val="num" w:pos="851"/>
        </w:tabs>
        <w:ind w:left="851" w:hanging="851"/>
      </w:pPr>
      <w:rPr>
        <w:rFonts w:hint="default"/>
      </w:rPr>
    </w:lvl>
    <w:lvl w:ilvl="1">
      <w:start w:val="4"/>
      <w:numFmt w:val="decimal"/>
      <w:lvlText w:val="%2.1.1"/>
      <w:lvlJc w:val="left"/>
      <w:pPr>
        <w:ind w:left="360" w:hanging="360"/>
      </w:pPr>
      <w:rPr>
        <w:rFonts w:hint="default"/>
      </w:rPr>
    </w:lvl>
    <w:lvl w:ilvl="2">
      <w:start w:val="1"/>
      <w:numFmt w:val="lowerLetter"/>
      <w:lvlText w:val="(%3)"/>
      <w:lvlJc w:val="left"/>
      <w:pPr>
        <w:tabs>
          <w:tab w:val="num" w:pos="2552"/>
        </w:tabs>
        <w:ind w:left="2552"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2552"/>
        </w:tabs>
        <w:ind w:left="2552"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15:restartNumberingAfterBreak="0">
    <w:nsid w:val="4C6C094B"/>
    <w:multiLevelType w:val="multilevel"/>
    <w:tmpl w:val="418AA34C"/>
    <w:lvl w:ilvl="0">
      <w:start w:val="1"/>
      <w:numFmt w:val="decimal"/>
      <w:lvlText w:val="%1"/>
      <w:lvlJc w:val="left"/>
      <w:pPr>
        <w:tabs>
          <w:tab w:val="num" w:pos="851"/>
        </w:tabs>
        <w:ind w:left="851" w:hanging="851"/>
      </w:pPr>
      <w:rPr>
        <w:rFonts w:hint="default"/>
      </w:rPr>
    </w:lvl>
    <w:lvl w:ilvl="1">
      <w:start w:val="4"/>
      <w:numFmt w:val="decimal"/>
      <w:lvlText w:val="%2.1.2"/>
      <w:lvlJc w:val="left"/>
      <w:pPr>
        <w:ind w:left="360" w:hanging="360"/>
      </w:pPr>
      <w:rPr>
        <w:rFonts w:hint="default"/>
      </w:rPr>
    </w:lvl>
    <w:lvl w:ilvl="2">
      <w:start w:val="1"/>
      <w:numFmt w:val="lowerLetter"/>
      <w:lvlText w:val="(%3)"/>
      <w:lvlJc w:val="left"/>
      <w:pPr>
        <w:tabs>
          <w:tab w:val="num" w:pos="2552"/>
        </w:tabs>
        <w:ind w:left="2552"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4FB6EA0"/>
    <w:multiLevelType w:val="hybridMultilevel"/>
    <w:tmpl w:val="8EC83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CB67760"/>
    <w:multiLevelType w:val="hybridMultilevel"/>
    <w:tmpl w:val="EC8C3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C2D447D"/>
    <w:multiLevelType w:val="hybridMultilevel"/>
    <w:tmpl w:val="BDEEEC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33211EF"/>
    <w:multiLevelType w:val="hybridMultilevel"/>
    <w:tmpl w:val="B03218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3B65898"/>
    <w:multiLevelType w:val="hybridMultilevel"/>
    <w:tmpl w:val="02DE697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1" w15:restartNumberingAfterBreak="0">
    <w:nsid w:val="77AF4F40"/>
    <w:multiLevelType w:val="hybridMultilevel"/>
    <w:tmpl w:val="1A080F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A2E08CF"/>
    <w:multiLevelType w:val="hybridMultilevel"/>
    <w:tmpl w:val="AE884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CFB6C64"/>
    <w:multiLevelType w:val="hybridMultilevel"/>
    <w:tmpl w:val="077463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05010289">
    <w:abstractNumId w:val="23"/>
  </w:num>
  <w:num w:numId="2" w16cid:durableId="525099821">
    <w:abstractNumId w:val="9"/>
  </w:num>
  <w:num w:numId="3" w16cid:durableId="743839812">
    <w:abstractNumId w:val="7"/>
  </w:num>
  <w:num w:numId="4" w16cid:durableId="514733628">
    <w:abstractNumId w:val="6"/>
  </w:num>
  <w:num w:numId="5" w16cid:durableId="147289155">
    <w:abstractNumId w:val="5"/>
  </w:num>
  <w:num w:numId="6" w16cid:durableId="1496994107">
    <w:abstractNumId w:val="4"/>
  </w:num>
  <w:num w:numId="7" w16cid:durableId="1068386476">
    <w:abstractNumId w:val="8"/>
  </w:num>
  <w:num w:numId="8" w16cid:durableId="1947496464">
    <w:abstractNumId w:val="1"/>
  </w:num>
  <w:num w:numId="9" w16cid:durableId="777716823">
    <w:abstractNumId w:val="0"/>
  </w:num>
  <w:num w:numId="10" w16cid:durableId="832183710">
    <w:abstractNumId w:val="3"/>
  </w:num>
  <w:num w:numId="11" w16cid:durableId="911744539">
    <w:abstractNumId w:val="2"/>
  </w:num>
  <w:num w:numId="12" w16cid:durableId="577404032">
    <w:abstractNumId w:val="25"/>
  </w:num>
  <w:num w:numId="13" w16cid:durableId="523905181">
    <w:abstractNumId w:val="21"/>
  </w:num>
  <w:num w:numId="14" w16cid:durableId="895287567">
    <w:abstractNumId w:val="16"/>
  </w:num>
  <w:num w:numId="15" w16cid:durableId="1271008918">
    <w:abstractNumId w:val="15"/>
  </w:num>
  <w:num w:numId="16" w16cid:durableId="1577544907">
    <w:abstractNumId w:val="30"/>
  </w:num>
  <w:num w:numId="17" w16cid:durableId="1859657141">
    <w:abstractNumId w:val="22"/>
  </w:num>
  <w:num w:numId="18" w16cid:durableId="899831682">
    <w:abstractNumId w:val="24"/>
  </w:num>
  <w:num w:numId="19" w16cid:durableId="1896621511">
    <w:abstractNumId w:val="29"/>
  </w:num>
  <w:num w:numId="20" w16cid:durableId="2089619232">
    <w:abstractNumId w:val="33"/>
  </w:num>
  <w:num w:numId="21" w16cid:durableId="297028252">
    <w:abstractNumId w:val="31"/>
  </w:num>
  <w:num w:numId="22" w16cid:durableId="1002971722">
    <w:abstractNumId w:val="17"/>
  </w:num>
  <w:num w:numId="23" w16cid:durableId="561330088">
    <w:abstractNumId w:val="28"/>
  </w:num>
  <w:num w:numId="24" w16cid:durableId="1733189575">
    <w:abstractNumId w:val="13"/>
  </w:num>
  <w:num w:numId="25" w16cid:durableId="1759709922">
    <w:abstractNumId w:val="19"/>
  </w:num>
  <w:num w:numId="26" w16cid:durableId="658075300">
    <w:abstractNumId w:val="27"/>
  </w:num>
  <w:num w:numId="27" w16cid:durableId="1188563861">
    <w:abstractNumId w:val="12"/>
  </w:num>
  <w:num w:numId="28" w16cid:durableId="1028063278">
    <w:abstractNumId w:val="10"/>
  </w:num>
  <w:num w:numId="29" w16cid:durableId="1150025914">
    <w:abstractNumId w:val="26"/>
  </w:num>
  <w:num w:numId="30" w16cid:durableId="1456875448">
    <w:abstractNumId w:val="14"/>
  </w:num>
  <w:num w:numId="31" w16cid:durableId="1942956748">
    <w:abstractNumId w:val="11"/>
  </w:num>
  <w:num w:numId="32" w16cid:durableId="371925240">
    <w:abstractNumId w:val="32"/>
  </w:num>
  <w:num w:numId="33" w16cid:durableId="1277979289">
    <w:abstractNumId w:val="20"/>
  </w:num>
  <w:num w:numId="34" w16cid:durableId="80614631">
    <w:abstractNumId w:val="18"/>
  </w:num>
  <w:num w:numId="35" w16cid:durableId="1492335772">
    <w:abstractNumId w:val="8"/>
  </w:num>
  <w:num w:numId="36" w16cid:durableId="247811210">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NDQzMTMyMjEzN7BU0lEKTi0uzszPAykwqgUA/Cjy4CwAAAA="/>
  </w:docVars>
  <w:rsids>
    <w:rsidRoot w:val="00A4799A"/>
    <w:rsid w:val="00000ADA"/>
    <w:rsid w:val="000012A1"/>
    <w:rsid w:val="000014C6"/>
    <w:rsid w:val="000015EC"/>
    <w:rsid w:val="0000192D"/>
    <w:rsid w:val="00001EC1"/>
    <w:rsid w:val="000024F5"/>
    <w:rsid w:val="0000293C"/>
    <w:rsid w:val="00002A91"/>
    <w:rsid w:val="00003DD7"/>
    <w:rsid w:val="00003EA5"/>
    <w:rsid w:val="000048D3"/>
    <w:rsid w:val="00004CFB"/>
    <w:rsid w:val="00005250"/>
    <w:rsid w:val="000062FF"/>
    <w:rsid w:val="000067A7"/>
    <w:rsid w:val="00006F95"/>
    <w:rsid w:val="00007503"/>
    <w:rsid w:val="00011099"/>
    <w:rsid w:val="00011196"/>
    <w:rsid w:val="000111D7"/>
    <w:rsid w:val="000116B5"/>
    <w:rsid w:val="00011D0E"/>
    <w:rsid w:val="00012321"/>
    <w:rsid w:val="00012646"/>
    <w:rsid w:val="0001284B"/>
    <w:rsid w:val="00013094"/>
    <w:rsid w:val="00013275"/>
    <w:rsid w:val="000134B6"/>
    <w:rsid w:val="00013CEF"/>
    <w:rsid w:val="0001499A"/>
    <w:rsid w:val="0001513E"/>
    <w:rsid w:val="000161C2"/>
    <w:rsid w:val="0001650C"/>
    <w:rsid w:val="00016768"/>
    <w:rsid w:val="000173B0"/>
    <w:rsid w:val="000179CD"/>
    <w:rsid w:val="000200E7"/>
    <w:rsid w:val="00020D9C"/>
    <w:rsid w:val="00020EF2"/>
    <w:rsid w:val="000215A6"/>
    <w:rsid w:val="00021B8E"/>
    <w:rsid w:val="0002269D"/>
    <w:rsid w:val="00022982"/>
    <w:rsid w:val="00022BCA"/>
    <w:rsid w:val="000232D7"/>
    <w:rsid w:val="0002370A"/>
    <w:rsid w:val="00023745"/>
    <w:rsid w:val="000239F4"/>
    <w:rsid w:val="0002476A"/>
    <w:rsid w:val="000247CE"/>
    <w:rsid w:val="00024C65"/>
    <w:rsid w:val="00025554"/>
    <w:rsid w:val="00025570"/>
    <w:rsid w:val="0002621D"/>
    <w:rsid w:val="000263A2"/>
    <w:rsid w:val="000267DD"/>
    <w:rsid w:val="00026A18"/>
    <w:rsid w:val="00026EF7"/>
    <w:rsid w:val="000273B2"/>
    <w:rsid w:val="000274BA"/>
    <w:rsid w:val="0002773E"/>
    <w:rsid w:val="00027992"/>
    <w:rsid w:val="00027C09"/>
    <w:rsid w:val="0003009A"/>
    <w:rsid w:val="00030B90"/>
    <w:rsid w:val="00031183"/>
    <w:rsid w:val="0003136D"/>
    <w:rsid w:val="000319C0"/>
    <w:rsid w:val="00031E5B"/>
    <w:rsid w:val="0003233A"/>
    <w:rsid w:val="000323B2"/>
    <w:rsid w:val="000335BE"/>
    <w:rsid w:val="00034DC4"/>
    <w:rsid w:val="00035086"/>
    <w:rsid w:val="000366BF"/>
    <w:rsid w:val="000368B6"/>
    <w:rsid w:val="00036BE4"/>
    <w:rsid w:val="000371B1"/>
    <w:rsid w:val="00037222"/>
    <w:rsid w:val="000375E0"/>
    <w:rsid w:val="0004025D"/>
    <w:rsid w:val="00040954"/>
    <w:rsid w:val="00041605"/>
    <w:rsid w:val="0004196D"/>
    <w:rsid w:val="00042047"/>
    <w:rsid w:val="000428F7"/>
    <w:rsid w:val="00042CD8"/>
    <w:rsid w:val="00042D5F"/>
    <w:rsid w:val="000430B8"/>
    <w:rsid w:val="00043396"/>
    <w:rsid w:val="00044670"/>
    <w:rsid w:val="00044732"/>
    <w:rsid w:val="000449E1"/>
    <w:rsid w:val="000450A0"/>
    <w:rsid w:val="00045712"/>
    <w:rsid w:val="00045725"/>
    <w:rsid w:val="00045C4B"/>
    <w:rsid w:val="00045CD9"/>
    <w:rsid w:val="00045CFC"/>
    <w:rsid w:val="00045D31"/>
    <w:rsid w:val="000460A6"/>
    <w:rsid w:val="000462C6"/>
    <w:rsid w:val="000465F1"/>
    <w:rsid w:val="000471BF"/>
    <w:rsid w:val="00047298"/>
    <w:rsid w:val="000505AA"/>
    <w:rsid w:val="00051900"/>
    <w:rsid w:val="00052136"/>
    <w:rsid w:val="00052895"/>
    <w:rsid w:val="000538DB"/>
    <w:rsid w:val="00053B06"/>
    <w:rsid w:val="00053B83"/>
    <w:rsid w:val="00053E37"/>
    <w:rsid w:val="00053F72"/>
    <w:rsid w:val="0005439C"/>
    <w:rsid w:val="00054454"/>
    <w:rsid w:val="00054606"/>
    <w:rsid w:val="00054A51"/>
    <w:rsid w:val="000559A1"/>
    <w:rsid w:val="00055B74"/>
    <w:rsid w:val="00055D59"/>
    <w:rsid w:val="00056119"/>
    <w:rsid w:val="000568A8"/>
    <w:rsid w:val="00056C8F"/>
    <w:rsid w:val="00057551"/>
    <w:rsid w:val="00057641"/>
    <w:rsid w:val="000579B1"/>
    <w:rsid w:val="00057D07"/>
    <w:rsid w:val="000604FF"/>
    <w:rsid w:val="00060C6D"/>
    <w:rsid w:val="00060FB3"/>
    <w:rsid w:val="0006182E"/>
    <w:rsid w:val="00061C6C"/>
    <w:rsid w:val="00062781"/>
    <w:rsid w:val="00062B68"/>
    <w:rsid w:val="00062FA3"/>
    <w:rsid w:val="00063B27"/>
    <w:rsid w:val="00063EEF"/>
    <w:rsid w:val="0006522A"/>
    <w:rsid w:val="00067449"/>
    <w:rsid w:val="0006784E"/>
    <w:rsid w:val="00067A52"/>
    <w:rsid w:val="00067C69"/>
    <w:rsid w:val="0007021F"/>
    <w:rsid w:val="0007082D"/>
    <w:rsid w:val="0007153A"/>
    <w:rsid w:val="00071AF3"/>
    <w:rsid w:val="00072596"/>
    <w:rsid w:val="000729B7"/>
    <w:rsid w:val="00072EDA"/>
    <w:rsid w:val="0007377D"/>
    <w:rsid w:val="0007476D"/>
    <w:rsid w:val="00074916"/>
    <w:rsid w:val="00075226"/>
    <w:rsid w:val="0007546A"/>
    <w:rsid w:val="0007551E"/>
    <w:rsid w:val="00075DBA"/>
    <w:rsid w:val="0007694B"/>
    <w:rsid w:val="000769CF"/>
    <w:rsid w:val="00076D62"/>
    <w:rsid w:val="00077780"/>
    <w:rsid w:val="00077C9B"/>
    <w:rsid w:val="00080379"/>
    <w:rsid w:val="000805A6"/>
    <w:rsid w:val="00080D4E"/>
    <w:rsid w:val="00080F3E"/>
    <w:rsid w:val="00082F6E"/>
    <w:rsid w:val="00082F95"/>
    <w:rsid w:val="00083CD5"/>
    <w:rsid w:val="00083DE4"/>
    <w:rsid w:val="0008429B"/>
    <w:rsid w:val="0008436A"/>
    <w:rsid w:val="00084D27"/>
    <w:rsid w:val="0008557E"/>
    <w:rsid w:val="000858A1"/>
    <w:rsid w:val="0008603C"/>
    <w:rsid w:val="00086141"/>
    <w:rsid w:val="00086A62"/>
    <w:rsid w:val="00086F00"/>
    <w:rsid w:val="00087825"/>
    <w:rsid w:val="000878A0"/>
    <w:rsid w:val="00087D73"/>
    <w:rsid w:val="00090475"/>
    <w:rsid w:val="00090D57"/>
    <w:rsid w:val="00090E2B"/>
    <w:rsid w:val="00091E7B"/>
    <w:rsid w:val="00092195"/>
    <w:rsid w:val="00092383"/>
    <w:rsid w:val="00092531"/>
    <w:rsid w:val="000927F6"/>
    <w:rsid w:val="0009516C"/>
    <w:rsid w:val="000952FC"/>
    <w:rsid w:val="00095F76"/>
    <w:rsid w:val="00095F87"/>
    <w:rsid w:val="00096210"/>
    <w:rsid w:val="00096326"/>
    <w:rsid w:val="00096A74"/>
    <w:rsid w:val="00097D4D"/>
    <w:rsid w:val="00097E64"/>
    <w:rsid w:val="000A082F"/>
    <w:rsid w:val="000A0C53"/>
    <w:rsid w:val="000A1331"/>
    <w:rsid w:val="000A1DB8"/>
    <w:rsid w:val="000A3074"/>
    <w:rsid w:val="000A3087"/>
    <w:rsid w:val="000A48AC"/>
    <w:rsid w:val="000A4DA4"/>
    <w:rsid w:val="000A4F2A"/>
    <w:rsid w:val="000A520E"/>
    <w:rsid w:val="000A54C9"/>
    <w:rsid w:val="000A5A02"/>
    <w:rsid w:val="000A5C55"/>
    <w:rsid w:val="000A5EAC"/>
    <w:rsid w:val="000A62AB"/>
    <w:rsid w:val="000A6452"/>
    <w:rsid w:val="000A689B"/>
    <w:rsid w:val="000A7110"/>
    <w:rsid w:val="000A7489"/>
    <w:rsid w:val="000A7BC7"/>
    <w:rsid w:val="000B04C2"/>
    <w:rsid w:val="000B0603"/>
    <w:rsid w:val="000B0A38"/>
    <w:rsid w:val="000B0A5D"/>
    <w:rsid w:val="000B1665"/>
    <w:rsid w:val="000B196F"/>
    <w:rsid w:val="000B1DB9"/>
    <w:rsid w:val="000B1E82"/>
    <w:rsid w:val="000B1F2F"/>
    <w:rsid w:val="000B2E00"/>
    <w:rsid w:val="000B31A8"/>
    <w:rsid w:val="000B4130"/>
    <w:rsid w:val="000B41AA"/>
    <w:rsid w:val="000B42A0"/>
    <w:rsid w:val="000B4455"/>
    <w:rsid w:val="000B4731"/>
    <w:rsid w:val="000B4C95"/>
    <w:rsid w:val="000B57E1"/>
    <w:rsid w:val="000B5AB5"/>
    <w:rsid w:val="000B5B68"/>
    <w:rsid w:val="000B5DCD"/>
    <w:rsid w:val="000B6058"/>
    <w:rsid w:val="000B66FC"/>
    <w:rsid w:val="000B70FA"/>
    <w:rsid w:val="000B763B"/>
    <w:rsid w:val="000C0342"/>
    <w:rsid w:val="000C0497"/>
    <w:rsid w:val="000C096B"/>
    <w:rsid w:val="000C13C1"/>
    <w:rsid w:val="000C1670"/>
    <w:rsid w:val="000C198D"/>
    <w:rsid w:val="000C1AA5"/>
    <w:rsid w:val="000C1DA6"/>
    <w:rsid w:val="000C1E18"/>
    <w:rsid w:val="000C1F2B"/>
    <w:rsid w:val="000C2A63"/>
    <w:rsid w:val="000C2B3D"/>
    <w:rsid w:val="000C2E20"/>
    <w:rsid w:val="000C2FDF"/>
    <w:rsid w:val="000C40A6"/>
    <w:rsid w:val="000C4223"/>
    <w:rsid w:val="000C4935"/>
    <w:rsid w:val="000C49FC"/>
    <w:rsid w:val="000C4FD9"/>
    <w:rsid w:val="000C50B8"/>
    <w:rsid w:val="000C529A"/>
    <w:rsid w:val="000C5311"/>
    <w:rsid w:val="000C5608"/>
    <w:rsid w:val="000C5DA6"/>
    <w:rsid w:val="000C6BF1"/>
    <w:rsid w:val="000C6E03"/>
    <w:rsid w:val="000C6F68"/>
    <w:rsid w:val="000C71C3"/>
    <w:rsid w:val="000C7DA1"/>
    <w:rsid w:val="000D00FF"/>
    <w:rsid w:val="000D020F"/>
    <w:rsid w:val="000D0615"/>
    <w:rsid w:val="000D0B91"/>
    <w:rsid w:val="000D0EDD"/>
    <w:rsid w:val="000D2751"/>
    <w:rsid w:val="000D2D51"/>
    <w:rsid w:val="000D38BB"/>
    <w:rsid w:val="000D391B"/>
    <w:rsid w:val="000D406E"/>
    <w:rsid w:val="000D40BF"/>
    <w:rsid w:val="000D4465"/>
    <w:rsid w:val="000D5606"/>
    <w:rsid w:val="000D575A"/>
    <w:rsid w:val="000D5831"/>
    <w:rsid w:val="000D599B"/>
    <w:rsid w:val="000D5A28"/>
    <w:rsid w:val="000D797E"/>
    <w:rsid w:val="000D7BD2"/>
    <w:rsid w:val="000E024F"/>
    <w:rsid w:val="000E0BE5"/>
    <w:rsid w:val="000E0DB7"/>
    <w:rsid w:val="000E130A"/>
    <w:rsid w:val="000E19A5"/>
    <w:rsid w:val="000E1A08"/>
    <w:rsid w:val="000E1F65"/>
    <w:rsid w:val="000E1F86"/>
    <w:rsid w:val="000E2353"/>
    <w:rsid w:val="000E2434"/>
    <w:rsid w:val="000E2A25"/>
    <w:rsid w:val="000E366F"/>
    <w:rsid w:val="000E4A6A"/>
    <w:rsid w:val="000E4E7A"/>
    <w:rsid w:val="000E62AD"/>
    <w:rsid w:val="000E6EED"/>
    <w:rsid w:val="000E76CA"/>
    <w:rsid w:val="000E7A86"/>
    <w:rsid w:val="000E7FA9"/>
    <w:rsid w:val="000E7FF4"/>
    <w:rsid w:val="000F02E6"/>
    <w:rsid w:val="000F0853"/>
    <w:rsid w:val="000F0AA7"/>
    <w:rsid w:val="000F18A7"/>
    <w:rsid w:val="000F193F"/>
    <w:rsid w:val="000F224E"/>
    <w:rsid w:val="000F22D1"/>
    <w:rsid w:val="000F250F"/>
    <w:rsid w:val="000F359E"/>
    <w:rsid w:val="000F38B2"/>
    <w:rsid w:val="000F3B1A"/>
    <w:rsid w:val="000F3D00"/>
    <w:rsid w:val="000F453A"/>
    <w:rsid w:val="000F52BE"/>
    <w:rsid w:val="000F64EA"/>
    <w:rsid w:val="000F6A0C"/>
    <w:rsid w:val="000F70C5"/>
    <w:rsid w:val="000F7F9E"/>
    <w:rsid w:val="00100894"/>
    <w:rsid w:val="00100B86"/>
    <w:rsid w:val="00100BD9"/>
    <w:rsid w:val="00101117"/>
    <w:rsid w:val="0010165C"/>
    <w:rsid w:val="00101970"/>
    <w:rsid w:val="00102E99"/>
    <w:rsid w:val="0010376A"/>
    <w:rsid w:val="001038EF"/>
    <w:rsid w:val="00103A8D"/>
    <w:rsid w:val="00103A8E"/>
    <w:rsid w:val="00104D1A"/>
    <w:rsid w:val="0010568B"/>
    <w:rsid w:val="00105A16"/>
    <w:rsid w:val="00105B10"/>
    <w:rsid w:val="0010670A"/>
    <w:rsid w:val="0010677F"/>
    <w:rsid w:val="0010681E"/>
    <w:rsid w:val="00106BAA"/>
    <w:rsid w:val="001070E2"/>
    <w:rsid w:val="00107803"/>
    <w:rsid w:val="00107B69"/>
    <w:rsid w:val="00110E41"/>
    <w:rsid w:val="00111E3F"/>
    <w:rsid w:val="001129CF"/>
    <w:rsid w:val="001129D7"/>
    <w:rsid w:val="00112B93"/>
    <w:rsid w:val="00112D40"/>
    <w:rsid w:val="00112F9F"/>
    <w:rsid w:val="001134E4"/>
    <w:rsid w:val="00113AF8"/>
    <w:rsid w:val="00114486"/>
    <w:rsid w:val="001148B7"/>
    <w:rsid w:val="00114938"/>
    <w:rsid w:val="001151B8"/>
    <w:rsid w:val="001159A0"/>
    <w:rsid w:val="00115A14"/>
    <w:rsid w:val="00116025"/>
    <w:rsid w:val="001162CE"/>
    <w:rsid w:val="00116A63"/>
    <w:rsid w:val="00116E59"/>
    <w:rsid w:val="0011781B"/>
    <w:rsid w:val="001209BC"/>
    <w:rsid w:val="0012110B"/>
    <w:rsid w:val="001217E1"/>
    <w:rsid w:val="00121B6F"/>
    <w:rsid w:val="00121D52"/>
    <w:rsid w:val="001227F7"/>
    <w:rsid w:val="001228B0"/>
    <w:rsid w:val="001229FB"/>
    <w:rsid w:val="00123678"/>
    <w:rsid w:val="00123A63"/>
    <w:rsid w:val="00125474"/>
    <w:rsid w:val="001254A3"/>
    <w:rsid w:val="00125AC5"/>
    <w:rsid w:val="00127A1B"/>
    <w:rsid w:val="00127A1C"/>
    <w:rsid w:val="001305F5"/>
    <w:rsid w:val="001307F7"/>
    <w:rsid w:val="00130A39"/>
    <w:rsid w:val="00130CD2"/>
    <w:rsid w:val="0013100D"/>
    <w:rsid w:val="001311D1"/>
    <w:rsid w:val="00131DE6"/>
    <w:rsid w:val="00132AEB"/>
    <w:rsid w:val="0013330A"/>
    <w:rsid w:val="00134774"/>
    <w:rsid w:val="00134FC7"/>
    <w:rsid w:val="00135078"/>
    <w:rsid w:val="001352E6"/>
    <w:rsid w:val="001355E8"/>
    <w:rsid w:val="0013597B"/>
    <w:rsid w:val="0013643D"/>
    <w:rsid w:val="001372FD"/>
    <w:rsid w:val="001374D1"/>
    <w:rsid w:val="00137F7E"/>
    <w:rsid w:val="00140274"/>
    <w:rsid w:val="00140C63"/>
    <w:rsid w:val="001419A7"/>
    <w:rsid w:val="001422F3"/>
    <w:rsid w:val="00142530"/>
    <w:rsid w:val="00142C2C"/>
    <w:rsid w:val="00142C8B"/>
    <w:rsid w:val="0014317C"/>
    <w:rsid w:val="001437C2"/>
    <w:rsid w:val="0014385C"/>
    <w:rsid w:val="0014409E"/>
    <w:rsid w:val="001444B8"/>
    <w:rsid w:val="001451FA"/>
    <w:rsid w:val="0014568B"/>
    <w:rsid w:val="00146A99"/>
    <w:rsid w:val="00146CB4"/>
    <w:rsid w:val="00146D8B"/>
    <w:rsid w:val="0014732E"/>
    <w:rsid w:val="001478BD"/>
    <w:rsid w:val="00147A49"/>
    <w:rsid w:val="00150D98"/>
    <w:rsid w:val="00150F90"/>
    <w:rsid w:val="00151263"/>
    <w:rsid w:val="0015133C"/>
    <w:rsid w:val="001515B5"/>
    <w:rsid w:val="00151E76"/>
    <w:rsid w:val="0015239E"/>
    <w:rsid w:val="00152728"/>
    <w:rsid w:val="00153098"/>
    <w:rsid w:val="001532E6"/>
    <w:rsid w:val="00153E19"/>
    <w:rsid w:val="00154112"/>
    <w:rsid w:val="00154343"/>
    <w:rsid w:val="00154CE0"/>
    <w:rsid w:val="00154E2E"/>
    <w:rsid w:val="001551A7"/>
    <w:rsid w:val="001558DF"/>
    <w:rsid w:val="001559E4"/>
    <w:rsid w:val="00155F0A"/>
    <w:rsid w:val="00156879"/>
    <w:rsid w:val="0015773C"/>
    <w:rsid w:val="00157A32"/>
    <w:rsid w:val="00157DA0"/>
    <w:rsid w:val="00157DEF"/>
    <w:rsid w:val="00160258"/>
    <w:rsid w:val="00160AB2"/>
    <w:rsid w:val="001615DD"/>
    <w:rsid w:val="0016266F"/>
    <w:rsid w:val="00162A8D"/>
    <w:rsid w:val="0016323F"/>
    <w:rsid w:val="00163C49"/>
    <w:rsid w:val="00164A8D"/>
    <w:rsid w:val="00164CC5"/>
    <w:rsid w:val="001650CE"/>
    <w:rsid w:val="00165423"/>
    <w:rsid w:val="0016567F"/>
    <w:rsid w:val="00165C04"/>
    <w:rsid w:val="00165E2B"/>
    <w:rsid w:val="00165E3C"/>
    <w:rsid w:val="00165FA9"/>
    <w:rsid w:val="00166262"/>
    <w:rsid w:val="00166539"/>
    <w:rsid w:val="0016667B"/>
    <w:rsid w:val="00166A16"/>
    <w:rsid w:val="0016740C"/>
    <w:rsid w:val="00167C41"/>
    <w:rsid w:val="00167D65"/>
    <w:rsid w:val="0017031C"/>
    <w:rsid w:val="00171F19"/>
    <w:rsid w:val="0017222B"/>
    <w:rsid w:val="00172561"/>
    <w:rsid w:val="00172DBF"/>
    <w:rsid w:val="00172F17"/>
    <w:rsid w:val="00172F3A"/>
    <w:rsid w:val="001735DF"/>
    <w:rsid w:val="001736C7"/>
    <w:rsid w:val="00173A95"/>
    <w:rsid w:val="00173FB5"/>
    <w:rsid w:val="00174D9A"/>
    <w:rsid w:val="00174ED0"/>
    <w:rsid w:val="001759EC"/>
    <w:rsid w:val="00175DED"/>
    <w:rsid w:val="0017661B"/>
    <w:rsid w:val="00176DA9"/>
    <w:rsid w:val="00177215"/>
    <w:rsid w:val="00177571"/>
    <w:rsid w:val="00177EE8"/>
    <w:rsid w:val="00180335"/>
    <w:rsid w:val="00180F53"/>
    <w:rsid w:val="00180FAB"/>
    <w:rsid w:val="00181687"/>
    <w:rsid w:val="00181B5B"/>
    <w:rsid w:val="00181E19"/>
    <w:rsid w:val="0018233E"/>
    <w:rsid w:val="00182482"/>
    <w:rsid w:val="001825C4"/>
    <w:rsid w:val="00182E45"/>
    <w:rsid w:val="0018330F"/>
    <w:rsid w:val="00183447"/>
    <w:rsid w:val="00183BDE"/>
    <w:rsid w:val="0018448D"/>
    <w:rsid w:val="0018587E"/>
    <w:rsid w:val="00185C7A"/>
    <w:rsid w:val="00186314"/>
    <w:rsid w:val="00186C52"/>
    <w:rsid w:val="001905C1"/>
    <w:rsid w:val="0019068D"/>
    <w:rsid w:val="0019069C"/>
    <w:rsid w:val="001911B1"/>
    <w:rsid w:val="00191E73"/>
    <w:rsid w:val="00193080"/>
    <w:rsid w:val="00193D81"/>
    <w:rsid w:val="00194533"/>
    <w:rsid w:val="00194628"/>
    <w:rsid w:val="00194982"/>
    <w:rsid w:val="00194ABD"/>
    <w:rsid w:val="00194C3E"/>
    <w:rsid w:val="001951B5"/>
    <w:rsid w:val="00195B4D"/>
    <w:rsid w:val="00195B73"/>
    <w:rsid w:val="00195EDE"/>
    <w:rsid w:val="00196D07"/>
    <w:rsid w:val="0019745B"/>
    <w:rsid w:val="00197E3B"/>
    <w:rsid w:val="001A01F9"/>
    <w:rsid w:val="001A020B"/>
    <w:rsid w:val="001A0F23"/>
    <w:rsid w:val="001A1986"/>
    <w:rsid w:val="001A1E3C"/>
    <w:rsid w:val="001A2951"/>
    <w:rsid w:val="001A2DF5"/>
    <w:rsid w:val="001A3188"/>
    <w:rsid w:val="001A39F0"/>
    <w:rsid w:val="001A3DBC"/>
    <w:rsid w:val="001A4513"/>
    <w:rsid w:val="001A47A1"/>
    <w:rsid w:val="001A4C80"/>
    <w:rsid w:val="001A584E"/>
    <w:rsid w:val="001A6E52"/>
    <w:rsid w:val="001A74FD"/>
    <w:rsid w:val="001A7708"/>
    <w:rsid w:val="001A7ED1"/>
    <w:rsid w:val="001B0353"/>
    <w:rsid w:val="001B109F"/>
    <w:rsid w:val="001B16CD"/>
    <w:rsid w:val="001B19A5"/>
    <w:rsid w:val="001B1C8B"/>
    <w:rsid w:val="001B2D2A"/>
    <w:rsid w:val="001B309C"/>
    <w:rsid w:val="001B35CE"/>
    <w:rsid w:val="001B391F"/>
    <w:rsid w:val="001B3B22"/>
    <w:rsid w:val="001B46AA"/>
    <w:rsid w:val="001B4845"/>
    <w:rsid w:val="001B4B91"/>
    <w:rsid w:val="001B4E63"/>
    <w:rsid w:val="001B4FEE"/>
    <w:rsid w:val="001B542B"/>
    <w:rsid w:val="001B55A8"/>
    <w:rsid w:val="001B56CD"/>
    <w:rsid w:val="001B5E83"/>
    <w:rsid w:val="001B6311"/>
    <w:rsid w:val="001B6EDF"/>
    <w:rsid w:val="001B7FD6"/>
    <w:rsid w:val="001C1006"/>
    <w:rsid w:val="001C1F8B"/>
    <w:rsid w:val="001C203A"/>
    <w:rsid w:val="001C301A"/>
    <w:rsid w:val="001C38FC"/>
    <w:rsid w:val="001C3D52"/>
    <w:rsid w:val="001C3EAA"/>
    <w:rsid w:val="001C40D0"/>
    <w:rsid w:val="001C41EA"/>
    <w:rsid w:val="001C4D74"/>
    <w:rsid w:val="001C5364"/>
    <w:rsid w:val="001C5541"/>
    <w:rsid w:val="001C68C5"/>
    <w:rsid w:val="001C6F99"/>
    <w:rsid w:val="001C7205"/>
    <w:rsid w:val="001C79E4"/>
    <w:rsid w:val="001C7C77"/>
    <w:rsid w:val="001D0403"/>
    <w:rsid w:val="001D151A"/>
    <w:rsid w:val="001D181B"/>
    <w:rsid w:val="001D19CC"/>
    <w:rsid w:val="001D293C"/>
    <w:rsid w:val="001D3651"/>
    <w:rsid w:val="001D3E26"/>
    <w:rsid w:val="001D4235"/>
    <w:rsid w:val="001D433F"/>
    <w:rsid w:val="001D447F"/>
    <w:rsid w:val="001D45C8"/>
    <w:rsid w:val="001D4635"/>
    <w:rsid w:val="001D5231"/>
    <w:rsid w:val="001D5D2C"/>
    <w:rsid w:val="001D606C"/>
    <w:rsid w:val="001D607E"/>
    <w:rsid w:val="001D6519"/>
    <w:rsid w:val="001D72B5"/>
    <w:rsid w:val="001D73F2"/>
    <w:rsid w:val="001D747F"/>
    <w:rsid w:val="001D7557"/>
    <w:rsid w:val="001D7ED9"/>
    <w:rsid w:val="001D7F71"/>
    <w:rsid w:val="001E1177"/>
    <w:rsid w:val="001E1180"/>
    <w:rsid w:val="001E1257"/>
    <w:rsid w:val="001E12A0"/>
    <w:rsid w:val="001E1A08"/>
    <w:rsid w:val="001E2267"/>
    <w:rsid w:val="001E2335"/>
    <w:rsid w:val="001E24FD"/>
    <w:rsid w:val="001E2832"/>
    <w:rsid w:val="001E29CC"/>
    <w:rsid w:val="001E2FAF"/>
    <w:rsid w:val="001E30D0"/>
    <w:rsid w:val="001E3B73"/>
    <w:rsid w:val="001E48C7"/>
    <w:rsid w:val="001E49DF"/>
    <w:rsid w:val="001E5676"/>
    <w:rsid w:val="001E5C42"/>
    <w:rsid w:val="001E6654"/>
    <w:rsid w:val="001E6662"/>
    <w:rsid w:val="001E675A"/>
    <w:rsid w:val="001E6970"/>
    <w:rsid w:val="001E6DC4"/>
    <w:rsid w:val="001E6E6F"/>
    <w:rsid w:val="001E6F7A"/>
    <w:rsid w:val="001E70BD"/>
    <w:rsid w:val="001F0306"/>
    <w:rsid w:val="001F03A6"/>
    <w:rsid w:val="001F0839"/>
    <w:rsid w:val="001F0D50"/>
    <w:rsid w:val="001F104B"/>
    <w:rsid w:val="001F1C71"/>
    <w:rsid w:val="001F20AD"/>
    <w:rsid w:val="001F2BBB"/>
    <w:rsid w:val="001F2FA7"/>
    <w:rsid w:val="001F35FB"/>
    <w:rsid w:val="001F3612"/>
    <w:rsid w:val="001F3FDA"/>
    <w:rsid w:val="001F4448"/>
    <w:rsid w:val="001F52FD"/>
    <w:rsid w:val="001F563B"/>
    <w:rsid w:val="001F6047"/>
    <w:rsid w:val="001F6164"/>
    <w:rsid w:val="001F62CC"/>
    <w:rsid w:val="001F7813"/>
    <w:rsid w:val="001F7B11"/>
    <w:rsid w:val="001F7F71"/>
    <w:rsid w:val="0020005F"/>
    <w:rsid w:val="00200653"/>
    <w:rsid w:val="00200677"/>
    <w:rsid w:val="00200D6B"/>
    <w:rsid w:val="00200E90"/>
    <w:rsid w:val="002012F7"/>
    <w:rsid w:val="00201EB2"/>
    <w:rsid w:val="00201EF2"/>
    <w:rsid w:val="002027F6"/>
    <w:rsid w:val="00203A74"/>
    <w:rsid w:val="00203B65"/>
    <w:rsid w:val="00203E6F"/>
    <w:rsid w:val="00204153"/>
    <w:rsid w:val="00204244"/>
    <w:rsid w:val="00204855"/>
    <w:rsid w:val="00205353"/>
    <w:rsid w:val="00205DFB"/>
    <w:rsid w:val="00205FF8"/>
    <w:rsid w:val="002068EB"/>
    <w:rsid w:val="00207125"/>
    <w:rsid w:val="0020775A"/>
    <w:rsid w:val="00207989"/>
    <w:rsid w:val="002079DD"/>
    <w:rsid w:val="002101BD"/>
    <w:rsid w:val="00210968"/>
    <w:rsid w:val="00210BDD"/>
    <w:rsid w:val="00210F04"/>
    <w:rsid w:val="002113C1"/>
    <w:rsid w:val="0021179A"/>
    <w:rsid w:val="00211CA3"/>
    <w:rsid w:val="0021284E"/>
    <w:rsid w:val="00213B54"/>
    <w:rsid w:val="002141A2"/>
    <w:rsid w:val="00214D50"/>
    <w:rsid w:val="002151B4"/>
    <w:rsid w:val="002159FB"/>
    <w:rsid w:val="00215B1C"/>
    <w:rsid w:val="00216C87"/>
    <w:rsid w:val="002205F1"/>
    <w:rsid w:val="0022126D"/>
    <w:rsid w:val="00221916"/>
    <w:rsid w:val="00221BC7"/>
    <w:rsid w:val="00222B17"/>
    <w:rsid w:val="00222F6A"/>
    <w:rsid w:val="00223F4C"/>
    <w:rsid w:val="00224502"/>
    <w:rsid w:val="00224B34"/>
    <w:rsid w:val="00224C4E"/>
    <w:rsid w:val="00224F2D"/>
    <w:rsid w:val="0022664C"/>
    <w:rsid w:val="0022672B"/>
    <w:rsid w:val="00226CF7"/>
    <w:rsid w:val="00227002"/>
    <w:rsid w:val="00227195"/>
    <w:rsid w:val="00230511"/>
    <w:rsid w:val="00230B67"/>
    <w:rsid w:val="0023120D"/>
    <w:rsid w:val="0023142E"/>
    <w:rsid w:val="00231ED1"/>
    <w:rsid w:val="002323A0"/>
    <w:rsid w:val="002324F8"/>
    <w:rsid w:val="0023327C"/>
    <w:rsid w:val="002339AB"/>
    <w:rsid w:val="002344D6"/>
    <w:rsid w:val="00234563"/>
    <w:rsid w:val="00234576"/>
    <w:rsid w:val="002350E2"/>
    <w:rsid w:val="00236C3F"/>
    <w:rsid w:val="002377D3"/>
    <w:rsid w:val="0023799C"/>
    <w:rsid w:val="00241523"/>
    <w:rsid w:val="00241A0F"/>
    <w:rsid w:val="00241AF9"/>
    <w:rsid w:val="002422DD"/>
    <w:rsid w:val="00242428"/>
    <w:rsid w:val="00242624"/>
    <w:rsid w:val="002428D2"/>
    <w:rsid w:val="00243A12"/>
    <w:rsid w:val="00244168"/>
    <w:rsid w:val="002444C6"/>
    <w:rsid w:val="00244EF2"/>
    <w:rsid w:val="0024537D"/>
    <w:rsid w:val="0024557E"/>
    <w:rsid w:val="00245733"/>
    <w:rsid w:val="00245ADE"/>
    <w:rsid w:val="00245AE0"/>
    <w:rsid w:val="00245BE7"/>
    <w:rsid w:val="0024681F"/>
    <w:rsid w:val="00246820"/>
    <w:rsid w:val="00246A8D"/>
    <w:rsid w:val="00246E08"/>
    <w:rsid w:val="002471FD"/>
    <w:rsid w:val="00247CCD"/>
    <w:rsid w:val="00250277"/>
    <w:rsid w:val="002513A8"/>
    <w:rsid w:val="00251C8A"/>
    <w:rsid w:val="00251CF1"/>
    <w:rsid w:val="00251F41"/>
    <w:rsid w:val="002532FC"/>
    <w:rsid w:val="00253964"/>
    <w:rsid w:val="00253B78"/>
    <w:rsid w:val="00253BEC"/>
    <w:rsid w:val="00253BFF"/>
    <w:rsid w:val="00253F76"/>
    <w:rsid w:val="002540D3"/>
    <w:rsid w:val="002541FC"/>
    <w:rsid w:val="0025517D"/>
    <w:rsid w:val="0025554F"/>
    <w:rsid w:val="00255C2D"/>
    <w:rsid w:val="00256237"/>
    <w:rsid w:val="0025668A"/>
    <w:rsid w:val="002566EE"/>
    <w:rsid w:val="00256AD9"/>
    <w:rsid w:val="00256B80"/>
    <w:rsid w:val="00256BF9"/>
    <w:rsid w:val="00256D24"/>
    <w:rsid w:val="002570C1"/>
    <w:rsid w:val="00257899"/>
    <w:rsid w:val="00257E6D"/>
    <w:rsid w:val="00260100"/>
    <w:rsid w:val="00260F2F"/>
    <w:rsid w:val="00261A04"/>
    <w:rsid w:val="0026275C"/>
    <w:rsid w:val="00262A91"/>
    <w:rsid w:val="002632EA"/>
    <w:rsid w:val="00263362"/>
    <w:rsid w:val="00263B77"/>
    <w:rsid w:val="00263C75"/>
    <w:rsid w:val="00264598"/>
    <w:rsid w:val="002646E6"/>
    <w:rsid w:val="00264A9E"/>
    <w:rsid w:val="00264DD9"/>
    <w:rsid w:val="00265A60"/>
    <w:rsid w:val="0026667E"/>
    <w:rsid w:val="00266A42"/>
    <w:rsid w:val="00266AEE"/>
    <w:rsid w:val="002675A3"/>
    <w:rsid w:val="0026765A"/>
    <w:rsid w:val="00267B6C"/>
    <w:rsid w:val="002703C2"/>
    <w:rsid w:val="0027061E"/>
    <w:rsid w:val="00270AE7"/>
    <w:rsid w:val="00271258"/>
    <w:rsid w:val="00271834"/>
    <w:rsid w:val="00271E55"/>
    <w:rsid w:val="0027225E"/>
    <w:rsid w:val="00274A2A"/>
    <w:rsid w:val="0027613E"/>
    <w:rsid w:val="002761A1"/>
    <w:rsid w:val="0027641C"/>
    <w:rsid w:val="00276ADB"/>
    <w:rsid w:val="00276D19"/>
    <w:rsid w:val="00276EA6"/>
    <w:rsid w:val="002772BC"/>
    <w:rsid w:val="002774C6"/>
    <w:rsid w:val="002777FF"/>
    <w:rsid w:val="00280D62"/>
    <w:rsid w:val="002817E2"/>
    <w:rsid w:val="002818C6"/>
    <w:rsid w:val="002823BD"/>
    <w:rsid w:val="0028331F"/>
    <w:rsid w:val="0028393F"/>
    <w:rsid w:val="00283B20"/>
    <w:rsid w:val="0028506A"/>
    <w:rsid w:val="002850B0"/>
    <w:rsid w:val="002863D7"/>
    <w:rsid w:val="00286780"/>
    <w:rsid w:val="002873B4"/>
    <w:rsid w:val="002875DB"/>
    <w:rsid w:val="0029034C"/>
    <w:rsid w:val="002917D9"/>
    <w:rsid w:val="00291972"/>
    <w:rsid w:val="00291C67"/>
    <w:rsid w:val="002925ED"/>
    <w:rsid w:val="00292AB5"/>
    <w:rsid w:val="0029341D"/>
    <w:rsid w:val="00293BC8"/>
    <w:rsid w:val="00293C0D"/>
    <w:rsid w:val="00294A21"/>
    <w:rsid w:val="00294B3F"/>
    <w:rsid w:val="00296543"/>
    <w:rsid w:val="00296646"/>
    <w:rsid w:val="00297332"/>
    <w:rsid w:val="002A0D0C"/>
    <w:rsid w:val="002A1720"/>
    <w:rsid w:val="002A1CFE"/>
    <w:rsid w:val="002A1D90"/>
    <w:rsid w:val="002A2D57"/>
    <w:rsid w:val="002A3728"/>
    <w:rsid w:val="002A38CD"/>
    <w:rsid w:val="002A3E1B"/>
    <w:rsid w:val="002A4185"/>
    <w:rsid w:val="002A43C2"/>
    <w:rsid w:val="002A481B"/>
    <w:rsid w:val="002A541F"/>
    <w:rsid w:val="002A6687"/>
    <w:rsid w:val="002A69F1"/>
    <w:rsid w:val="002A6D5F"/>
    <w:rsid w:val="002A740D"/>
    <w:rsid w:val="002A74FB"/>
    <w:rsid w:val="002A7690"/>
    <w:rsid w:val="002A79B0"/>
    <w:rsid w:val="002A79CD"/>
    <w:rsid w:val="002A7CCE"/>
    <w:rsid w:val="002B0093"/>
    <w:rsid w:val="002B06AC"/>
    <w:rsid w:val="002B0A1A"/>
    <w:rsid w:val="002B0ADD"/>
    <w:rsid w:val="002B1151"/>
    <w:rsid w:val="002B19B4"/>
    <w:rsid w:val="002B1B65"/>
    <w:rsid w:val="002B1FA2"/>
    <w:rsid w:val="002B2106"/>
    <w:rsid w:val="002B272C"/>
    <w:rsid w:val="002B2DFC"/>
    <w:rsid w:val="002B37BC"/>
    <w:rsid w:val="002B3A77"/>
    <w:rsid w:val="002B3C43"/>
    <w:rsid w:val="002B424D"/>
    <w:rsid w:val="002B4AFF"/>
    <w:rsid w:val="002B5E47"/>
    <w:rsid w:val="002B6374"/>
    <w:rsid w:val="002B7AC3"/>
    <w:rsid w:val="002B7F0D"/>
    <w:rsid w:val="002C02DB"/>
    <w:rsid w:val="002C0504"/>
    <w:rsid w:val="002C05C8"/>
    <w:rsid w:val="002C080A"/>
    <w:rsid w:val="002C0B33"/>
    <w:rsid w:val="002C0E76"/>
    <w:rsid w:val="002C10F0"/>
    <w:rsid w:val="002C15DC"/>
    <w:rsid w:val="002C1866"/>
    <w:rsid w:val="002C2833"/>
    <w:rsid w:val="002C2FA0"/>
    <w:rsid w:val="002C3735"/>
    <w:rsid w:val="002C3837"/>
    <w:rsid w:val="002C402F"/>
    <w:rsid w:val="002C446F"/>
    <w:rsid w:val="002C447D"/>
    <w:rsid w:val="002C4B9A"/>
    <w:rsid w:val="002C4F35"/>
    <w:rsid w:val="002C53A4"/>
    <w:rsid w:val="002C58C3"/>
    <w:rsid w:val="002C5F54"/>
    <w:rsid w:val="002C637C"/>
    <w:rsid w:val="002C63C9"/>
    <w:rsid w:val="002C6B0B"/>
    <w:rsid w:val="002C6C6A"/>
    <w:rsid w:val="002C6E92"/>
    <w:rsid w:val="002C79C4"/>
    <w:rsid w:val="002D0528"/>
    <w:rsid w:val="002D15E4"/>
    <w:rsid w:val="002D1658"/>
    <w:rsid w:val="002D21ED"/>
    <w:rsid w:val="002D2397"/>
    <w:rsid w:val="002D279F"/>
    <w:rsid w:val="002D281D"/>
    <w:rsid w:val="002D2C4E"/>
    <w:rsid w:val="002D2FFF"/>
    <w:rsid w:val="002D466D"/>
    <w:rsid w:val="002D4727"/>
    <w:rsid w:val="002D4D02"/>
    <w:rsid w:val="002D56B1"/>
    <w:rsid w:val="002D570F"/>
    <w:rsid w:val="002D59A1"/>
    <w:rsid w:val="002D5AD6"/>
    <w:rsid w:val="002D5EA0"/>
    <w:rsid w:val="002D7141"/>
    <w:rsid w:val="002D71D9"/>
    <w:rsid w:val="002D73B7"/>
    <w:rsid w:val="002D778B"/>
    <w:rsid w:val="002D7863"/>
    <w:rsid w:val="002D790D"/>
    <w:rsid w:val="002D7B60"/>
    <w:rsid w:val="002E099F"/>
    <w:rsid w:val="002E0E0E"/>
    <w:rsid w:val="002E0E7D"/>
    <w:rsid w:val="002E11E0"/>
    <w:rsid w:val="002E1439"/>
    <w:rsid w:val="002E14DE"/>
    <w:rsid w:val="002E48F2"/>
    <w:rsid w:val="002E4C5D"/>
    <w:rsid w:val="002E5A1B"/>
    <w:rsid w:val="002E5C35"/>
    <w:rsid w:val="002E6213"/>
    <w:rsid w:val="002E646B"/>
    <w:rsid w:val="002E7120"/>
    <w:rsid w:val="002E7290"/>
    <w:rsid w:val="002F06A3"/>
    <w:rsid w:val="002F0B86"/>
    <w:rsid w:val="002F2CCD"/>
    <w:rsid w:val="002F3159"/>
    <w:rsid w:val="002F3C82"/>
    <w:rsid w:val="002F4610"/>
    <w:rsid w:val="002F4774"/>
    <w:rsid w:val="002F4AF3"/>
    <w:rsid w:val="002F4CDE"/>
    <w:rsid w:val="002F4CE1"/>
    <w:rsid w:val="002F58FB"/>
    <w:rsid w:val="002F5E96"/>
    <w:rsid w:val="002F60BA"/>
    <w:rsid w:val="002F6B10"/>
    <w:rsid w:val="002F7B80"/>
    <w:rsid w:val="003003E4"/>
    <w:rsid w:val="0030053D"/>
    <w:rsid w:val="00300F22"/>
    <w:rsid w:val="00301895"/>
    <w:rsid w:val="003022AA"/>
    <w:rsid w:val="003024C0"/>
    <w:rsid w:val="0030261C"/>
    <w:rsid w:val="00302744"/>
    <w:rsid w:val="003030F8"/>
    <w:rsid w:val="00303238"/>
    <w:rsid w:val="003032F4"/>
    <w:rsid w:val="003036FB"/>
    <w:rsid w:val="003039C2"/>
    <w:rsid w:val="0030479A"/>
    <w:rsid w:val="00304949"/>
    <w:rsid w:val="00304A37"/>
    <w:rsid w:val="00304AC3"/>
    <w:rsid w:val="00304E28"/>
    <w:rsid w:val="00305CBA"/>
    <w:rsid w:val="00307597"/>
    <w:rsid w:val="00307BDE"/>
    <w:rsid w:val="00307C5D"/>
    <w:rsid w:val="00310079"/>
    <w:rsid w:val="00310367"/>
    <w:rsid w:val="0031040E"/>
    <w:rsid w:val="003104F6"/>
    <w:rsid w:val="00310798"/>
    <w:rsid w:val="00310858"/>
    <w:rsid w:val="00310ED4"/>
    <w:rsid w:val="00310FFD"/>
    <w:rsid w:val="0031121F"/>
    <w:rsid w:val="00311975"/>
    <w:rsid w:val="003119C8"/>
    <w:rsid w:val="00311B6A"/>
    <w:rsid w:val="00312301"/>
    <w:rsid w:val="00312379"/>
    <w:rsid w:val="00313521"/>
    <w:rsid w:val="0031388E"/>
    <w:rsid w:val="00313BFF"/>
    <w:rsid w:val="0031492A"/>
    <w:rsid w:val="00314DD5"/>
    <w:rsid w:val="00314E19"/>
    <w:rsid w:val="00314EFB"/>
    <w:rsid w:val="0031565F"/>
    <w:rsid w:val="0031571B"/>
    <w:rsid w:val="003158BA"/>
    <w:rsid w:val="00315B21"/>
    <w:rsid w:val="0031623D"/>
    <w:rsid w:val="00316422"/>
    <w:rsid w:val="00316B2D"/>
    <w:rsid w:val="00316B73"/>
    <w:rsid w:val="00316C1A"/>
    <w:rsid w:val="00317B41"/>
    <w:rsid w:val="00317F79"/>
    <w:rsid w:val="00320008"/>
    <w:rsid w:val="0032044E"/>
    <w:rsid w:val="00320D4B"/>
    <w:rsid w:val="0032160C"/>
    <w:rsid w:val="00321B72"/>
    <w:rsid w:val="003230E0"/>
    <w:rsid w:val="00323269"/>
    <w:rsid w:val="003236B1"/>
    <w:rsid w:val="0032374D"/>
    <w:rsid w:val="00323A6C"/>
    <w:rsid w:val="00323C6B"/>
    <w:rsid w:val="00323C73"/>
    <w:rsid w:val="00323F4C"/>
    <w:rsid w:val="00324D11"/>
    <w:rsid w:val="00325806"/>
    <w:rsid w:val="003259B7"/>
    <w:rsid w:val="00325D43"/>
    <w:rsid w:val="00326322"/>
    <w:rsid w:val="0032679A"/>
    <w:rsid w:val="00326B1C"/>
    <w:rsid w:val="00326C08"/>
    <w:rsid w:val="00326FB0"/>
    <w:rsid w:val="00327348"/>
    <w:rsid w:val="00330961"/>
    <w:rsid w:val="00331141"/>
    <w:rsid w:val="00331222"/>
    <w:rsid w:val="00331354"/>
    <w:rsid w:val="003319B8"/>
    <w:rsid w:val="00332144"/>
    <w:rsid w:val="00332162"/>
    <w:rsid w:val="003324B0"/>
    <w:rsid w:val="003325EC"/>
    <w:rsid w:val="0033260D"/>
    <w:rsid w:val="003326E5"/>
    <w:rsid w:val="003339C7"/>
    <w:rsid w:val="00333A72"/>
    <w:rsid w:val="00334D97"/>
    <w:rsid w:val="00334DE7"/>
    <w:rsid w:val="00335068"/>
    <w:rsid w:val="003354EE"/>
    <w:rsid w:val="00335E7C"/>
    <w:rsid w:val="003361F9"/>
    <w:rsid w:val="00337109"/>
    <w:rsid w:val="0033728E"/>
    <w:rsid w:val="003374B2"/>
    <w:rsid w:val="00337BC6"/>
    <w:rsid w:val="0034061E"/>
    <w:rsid w:val="00340CFF"/>
    <w:rsid w:val="003422A9"/>
    <w:rsid w:val="003423F4"/>
    <w:rsid w:val="003426B1"/>
    <w:rsid w:val="00342AB8"/>
    <w:rsid w:val="00342B17"/>
    <w:rsid w:val="00342FEC"/>
    <w:rsid w:val="0034302C"/>
    <w:rsid w:val="00343178"/>
    <w:rsid w:val="00343226"/>
    <w:rsid w:val="003434A0"/>
    <w:rsid w:val="00344758"/>
    <w:rsid w:val="00344C82"/>
    <w:rsid w:val="00345EBE"/>
    <w:rsid w:val="00347142"/>
    <w:rsid w:val="00347312"/>
    <w:rsid w:val="003478CA"/>
    <w:rsid w:val="00347E55"/>
    <w:rsid w:val="00350362"/>
    <w:rsid w:val="00350772"/>
    <w:rsid w:val="00350D1B"/>
    <w:rsid w:val="00350E64"/>
    <w:rsid w:val="00352139"/>
    <w:rsid w:val="003523D8"/>
    <w:rsid w:val="00352A2E"/>
    <w:rsid w:val="00352C75"/>
    <w:rsid w:val="003530AF"/>
    <w:rsid w:val="003532D8"/>
    <w:rsid w:val="00353B0A"/>
    <w:rsid w:val="00354169"/>
    <w:rsid w:val="00354ADF"/>
    <w:rsid w:val="00354EBB"/>
    <w:rsid w:val="00355E7A"/>
    <w:rsid w:val="003560A8"/>
    <w:rsid w:val="00356583"/>
    <w:rsid w:val="003565A5"/>
    <w:rsid w:val="003565A8"/>
    <w:rsid w:val="003566EA"/>
    <w:rsid w:val="00356C8A"/>
    <w:rsid w:val="00356D86"/>
    <w:rsid w:val="00356EE9"/>
    <w:rsid w:val="00360A77"/>
    <w:rsid w:val="00360FB3"/>
    <w:rsid w:val="00361614"/>
    <w:rsid w:val="003616F8"/>
    <w:rsid w:val="0036183A"/>
    <w:rsid w:val="00361982"/>
    <w:rsid w:val="003622EC"/>
    <w:rsid w:val="0036263B"/>
    <w:rsid w:val="0036268F"/>
    <w:rsid w:val="00362D17"/>
    <w:rsid w:val="0036394A"/>
    <w:rsid w:val="00363995"/>
    <w:rsid w:val="00364099"/>
    <w:rsid w:val="003640D8"/>
    <w:rsid w:val="00364E93"/>
    <w:rsid w:val="003651A9"/>
    <w:rsid w:val="00365295"/>
    <w:rsid w:val="003653AD"/>
    <w:rsid w:val="00366055"/>
    <w:rsid w:val="003669AD"/>
    <w:rsid w:val="00366CF4"/>
    <w:rsid w:val="00366D8F"/>
    <w:rsid w:val="00367363"/>
    <w:rsid w:val="00367729"/>
    <w:rsid w:val="00371BC6"/>
    <w:rsid w:val="00372624"/>
    <w:rsid w:val="00372633"/>
    <w:rsid w:val="00372C79"/>
    <w:rsid w:val="00372D60"/>
    <w:rsid w:val="003737FF"/>
    <w:rsid w:val="00373AA6"/>
    <w:rsid w:val="00373AB9"/>
    <w:rsid w:val="00373C2D"/>
    <w:rsid w:val="00374FC2"/>
    <w:rsid w:val="00375643"/>
    <w:rsid w:val="00376096"/>
    <w:rsid w:val="00376AA1"/>
    <w:rsid w:val="00376F0E"/>
    <w:rsid w:val="00377475"/>
    <w:rsid w:val="00377B4E"/>
    <w:rsid w:val="00377FE3"/>
    <w:rsid w:val="00380102"/>
    <w:rsid w:val="00380599"/>
    <w:rsid w:val="00381146"/>
    <w:rsid w:val="00381400"/>
    <w:rsid w:val="00381503"/>
    <w:rsid w:val="00381763"/>
    <w:rsid w:val="00382325"/>
    <w:rsid w:val="0038377D"/>
    <w:rsid w:val="003838F3"/>
    <w:rsid w:val="00383BED"/>
    <w:rsid w:val="0038492D"/>
    <w:rsid w:val="003859EF"/>
    <w:rsid w:val="00386A49"/>
    <w:rsid w:val="00386C1C"/>
    <w:rsid w:val="0038783D"/>
    <w:rsid w:val="00387DE7"/>
    <w:rsid w:val="00391283"/>
    <w:rsid w:val="00391325"/>
    <w:rsid w:val="00391F51"/>
    <w:rsid w:val="00392344"/>
    <w:rsid w:val="00392429"/>
    <w:rsid w:val="00392702"/>
    <w:rsid w:val="003928AF"/>
    <w:rsid w:val="003935F6"/>
    <w:rsid w:val="00393635"/>
    <w:rsid w:val="00393CD7"/>
    <w:rsid w:val="00393D2C"/>
    <w:rsid w:val="00394495"/>
    <w:rsid w:val="00394B03"/>
    <w:rsid w:val="00395534"/>
    <w:rsid w:val="00395581"/>
    <w:rsid w:val="00395B41"/>
    <w:rsid w:val="00395FD6"/>
    <w:rsid w:val="00395FDB"/>
    <w:rsid w:val="00396BC3"/>
    <w:rsid w:val="003971DE"/>
    <w:rsid w:val="003A033B"/>
    <w:rsid w:val="003A168E"/>
    <w:rsid w:val="003A16FA"/>
    <w:rsid w:val="003A2217"/>
    <w:rsid w:val="003A2465"/>
    <w:rsid w:val="003A24DB"/>
    <w:rsid w:val="003A2741"/>
    <w:rsid w:val="003A30B4"/>
    <w:rsid w:val="003A34A9"/>
    <w:rsid w:val="003A3615"/>
    <w:rsid w:val="003A3E0D"/>
    <w:rsid w:val="003A459F"/>
    <w:rsid w:val="003A466A"/>
    <w:rsid w:val="003A4895"/>
    <w:rsid w:val="003A48B7"/>
    <w:rsid w:val="003A4AAC"/>
    <w:rsid w:val="003A57A4"/>
    <w:rsid w:val="003A5CE5"/>
    <w:rsid w:val="003A6582"/>
    <w:rsid w:val="003A69BD"/>
    <w:rsid w:val="003A6B0B"/>
    <w:rsid w:val="003A7525"/>
    <w:rsid w:val="003A7567"/>
    <w:rsid w:val="003A7874"/>
    <w:rsid w:val="003B07AA"/>
    <w:rsid w:val="003B1410"/>
    <w:rsid w:val="003B14B5"/>
    <w:rsid w:val="003B158B"/>
    <w:rsid w:val="003B17C6"/>
    <w:rsid w:val="003B1C64"/>
    <w:rsid w:val="003B1F95"/>
    <w:rsid w:val="003B21C6"/>
    <w:rsid w:val="003B23F2"/>
    <w:rsid w:val="003B25ED"/>
    <w:rsid w:val="003B3128"/>
    <w:rsid w:val="003B369D"/>
    <w:rsid w:val="003B3C73"/>
    <w:rsid w:val="003B3F48"/>
    <w:rsid w:val="003B494D"/>
    <w:rsid w:val="003B4D55"/>
    <w:rsid w:val="003B571E"/>
    <w:rsid w:val="003B58F9"/>
    <w:rsid w:val="003B5A2A"/>
    <w:rsid w:val="003B6672"/>
    <w:rsid w:val="003B7066"/>
    <w:rsid w:val="003C01A5"/>
    <w:rsid w:val="003C0CFB"/>
    <w:rsid w:val="003C1A89"/>
    <w:rsid w:val="003C21FF"/>
    <w:rsid w:val="003C2481"/>
    <w:rsid w:val="003C2D95"/>
    <w:rsid w:val="003C38E5"/>
    <w:rsid w:val="003C3D81"/>
    <w:rsid w:val="003C4F84"/>
    <w:rsid w:val="003C50FD"/>
    <w:rsid w:val="003C5237"/>
    <w:rsid w:val="003C53C5"/>
    <w:rsid w:val="003C5465"/>
    <w:rsid w:val="003C54B5"/>
    <w:rsid w:val="003C57AD"/>
    <w:rsid w:val="003C5A56"/>
    <w:rsid w:val="003C5ABB"/>
    <w:rsid w:val="003C63D0"/>
    <w:rsid w:val="003C6C5C"/>
    <w:rsid w:val="003C6F14"/>
    <w:rsid w:val="003C7555"/>
    <w:rsid w:val="003C79AA"/>
    <w:rsid w:val="003C7B6B"/>
    <w:rsid w:val="003D08DD"/>
    <w:rsid w:val="003D276F"/>
    <w:rsid w:val="003D31C3"/>
    <w:rsid w:val="003D353B"/>
    <w:rsid w:val="003D3867"/>
    <w:rsid w:val="003D4726"/>
    <w:rsid w:val="003D4B2C"/>
    <w:rsid w:val="003D4B44"/>
    <w:rsid w:val="003D4EDC"/>
    <w:rsid w:val="003D52AC"/>
    <w:rsid w:val="003D53D7"/>
    <w:rsid w:val="003D5FF1"/>
    <w:rsid w:val="003D6245"/>
    <w:rsid w:val="003D638D"/>
    <w:rsid w:val="003D67D1"/>
    <w:rsid w:val="003E0104"/>
    <w:rsid w:val="003E0BE5"/>
    <w:rsid w:val="003E0F80"/>
    <w:rsid w:val="003E149F"/>
    <w:rsid w:val="003E1907"/>
    <w:rsid w:val="003E1A52"/>
    <w:rsid w:val="003E1F47"/>
    <w:rsid w:val="003E2113"/>
    <w:rsid w:val="003E2381"/>
    <w:rsid w:val="003E2468"/>
    <w:rsid w:val="003E2847"/>
    <w:rsid w:val="003E3440"/>
    <w:rsid w:val="003E461B"/>
    <w:rsid w:val="003E46D7"/>
    <w:rsid w:val="003E4FDC"/>
    <w:rsid w:val="003E528E"/>
    <w:rsid w:val="003E5432"/>
    <w:rsid w:val="003E56AA"/>
    <w:rsid w:val="003E5C77"/>
    <w:rsid w:val="003E5DEF"/>
    <w:rsid w:val="003E5F69"/>
    <w:rsid w:val="003E6778"/>
    <w:rsid w:val="003E680D"/>
    <w:rsid w:val="003E6938"/>
    <w:rsid w:val="003E7AA3"/>
    <w:rsid w:val="003EBB84"/>
    <w:rsid w:val="003F0AAE"/>
    <w:rsid w:val="003F1623"/>
    <w:rsid w:val="003F233E"/>
    <w:rsid w:val="003F26B3"/>
    <w:rsid w:val="003F320A"/>
    <w:rsid w:val="003F3D2B"/>
    <w:rsid w:val="003F4108"/>
    <w:rsid w:val="003F4265"/>
    <w:rsid w:val="003F486F"/>
    <w:rsid w:val="003F48D0"/>
    <w:rsid w:val="003F517F"/>
    <w:rsid w:val="003F5995"/>
    <w:rsid w:val="003F5A18"/>
    <w:rsid w:val="003F5A49"/>
    <w:rsid w:val="003F5BF6"/>
    <w:rsid w:val="003F5D82"/>
    <w:rsid w:val="003F5EEF"/>
    <w:rsid w:val="003F74A6"/>
    <w:rsid w:val="00400103"/>
    <w:rsid w:val="004001E4"/>
    <w:rsid w:val="00401D1B"/>
    <w:rsid w:val="00401DB6"/>
    <w:rsid w:val="00401EF2"/>
    <w:rsid w:val="004023FC"/>
    <w:rsid w:val="004032E5"/>
    <w:rsid w:val="00403B3D"/>
    <w:rsid w:val="004047CA"/>
    <w:rsid w:val="0040497E"/>
    <w:rsid w:val="00404E7B"/>
    <w:rsid w:val="00405F85"/>
    <w:rsid w:val="00406805"/>
    <w:rsid w:val="004069D2"/>
    <w:rsid w:val="00406C23"/>
    <w:rsid w:val="004077F4"/>
    <w:rsid w:val="00407C45"/>
    <w:rsid w:val="00407C9F"/>
    <w:rsid w:val="00410013"/>
    <w:rsid w:val="0041060B"/>
    <w:rsid w:val="00410838"/>
    <w:rsid w:val="0041172E"/>
    <w:rsid w:val="00411B0F"/>
    <w:rsid w:val="004127D0"/>
    <w:rsid w:val="00412AD2"/>
    <w:rsid w:val="004133B2"/>
    <w:rsid w:val="00414909"/>
    <w:rsid w:val="00414C3A"/>
    <w:rsid w:val="004150D9"/>
    <w:rsid w:val="004154CA"/>
    <w:rsid w:val="00415F25"/>
    <w:rsid w:val="00416CD1"/>
    <w:rsid w:val="00416E64"/>
    <w:rsid w:val="00417344"/>
    <w:rsid w:val="0041780F"/>
    <w:rsid w:val="00417A2C"/>
    <w:rsid w:val="004200CF"/>
    <w:rsid w:val="004204EF"/>
    <w:rsid w:val="00420642"/>
    <w:rsid w:val="00420E73"/>
    <w:rsid w:val="00421928"/>
    <w:rsid w:val="00421E45"/>
    <w:rsid w:val="00422328"/>
    <w:rsid w:val="00422417"/>
    <w:rsid w:val="00422E1F"/>
    <w:rsid w:val="00422E31"/>
    <w:rsid w:val="00423446"/>
    <w:rsid w:val="00424088"/>
    <w:rsid w:val="00424233"/>
    <w:rsid w:val="00424412"/>
    <w:rsid w:val="00424489"/>
    <w:rsid w:val="00424ED8"/>
    <w:rsid w:val="00425395"/>
    <w:rsid w:val="00425737"/>
    <w:rsid w:val="00426FA4"/>
    <w:rsid w:val="0042708C"/>
    <w:rsid w:val="00427621"/>
    <w:rsid w:val="0042763C"/>
    <w:rsid w:val="00427A94"/>
    <w:rsid w:val="00427B86"/>
    <w:rsid w:val="00427FC5"/>
    <w:rsid w:val="00430E3A"/>
    <w:rsid w:val="00430EDD"/>
    <w:rsid w:val="004310CA"/>
    <w:rsid w:val="00432B08"/>
    <w:rsid w:val="00432B61"/>
    <w:rsid w:val="00432DDE"/>
    <w:rsid w:val="0043309D"/>
    <w:rsid w:val="00433154"/>
    <w:rsid w:val="004337CF"/>
    <w:rsid w:val="004342AB"/>
    <w:rsid w:val="004346FC"/>
    <w:rsid w:val="00434DB9"/>
    <w:rsid w:val="00434FDF"/>
    <w:rsid w:val="00435181"/>
    <w:rsid w:val="00435399"/>
    <w:rsid w:val="0043649B"/>
    <w:rsid w:val="00436FE6"/>
    <w:rsid w:val="0043729B"/>
    <w:rsid w:val="00437AF2"/>
    <w:rsid w:val="00437CFB"/>
    <w:rsid w:val="004406F8"/>
    <w:rsid w:val="00440D28"/>
    <w:rsid w:val="00441FF8"/>
    <w:rsid w:val="00442340"/>
    <w:rsid w:val="00442FD7"/>
    <w:rsid w:val="0044318F"/>
    <w:rsid w:val="00443922"/>
    <w:rsid w:val="004442CC"/>
    <w:rsid w:val="00444875"/>
    <w:rsid w:val="00445AF7"/>
    <w:rsid w:val="00445CB5"/>
    <w:rsid w:val="00446202"/>
    <w:rsid w:val="0044620A"/>
    <w:rsid w:val="004463D4"/>
    <w:rsid w:val="0044735C"/>
    <w:rsid w:val="004502D6"/>
    <w:rsid w:val="00450D2E"/>
    <w:rsid w:val="00451E42"/>
    <w:rsid w:val="00452F4D"/>
    <w:rsid w:val="00453060"/>
    <w:rsid w:val="004534E5"/>
    <w:rsid w:val="004547CB"/>
    <w:rsid w:val="00454916"/>
    <w:rsid w:val="00454C12"/>
    <w:rsid w:val="00454C9F"/>
    <w:rsid w:val="00454FED"/>
    <w:rsid w:val="004552E3"/>
    <w:rsid w:val="00455323"/>
    <w:rsid w:val="00455765"/>
    <w:rsid w:val="00455918"/>
    <w:rsid w:val="00456CBF"/>
    <w:rsid w:val="00457158"/>
    <w:rsid w:val="00457516"/>
    <w:rsid w:val="0045781B"/>
    <w:rsid w:val="00457A68"/>
    <w:rsid w:val="00457C06"/>
    <w:rsid w:val="00457EC7"/>
    <w:rsid w:val="00457F7F"/>
    <w:rsid w:val="00460526"/>
    <w:rsid w:val="004605F0"/>
    <w:rsid w:val="0046066D"/>
    <w:rsid w:val="00460ACE"/>
    <w:rsid w:val="00460B5B"/>
    <w:rsid w:val="00460EE0"/>
    <w:rsid w:val="0046108E"/>
    <w:rsid w:val="00461524"/>
    <w:rsid w:val="00461577"/>
    <w:rsid w:val="00461AE9"/>
    <w:rsid w:val="00461B86"/>
    <w:rsid w:val="00461F57"/>
    <w:rsid w:val="00462DB5"/>
    <w:rsid w:val="00463252"/>
    <w:rsid w:val="00463B68"/>
    <w:rsid w:val="004649BA"/>
    <w:rsid w:val="00464AB7"/>
    <w:rsid w:val="00466208"/>
    <w:rsid w:val="00466EAD"/>
    <w:rsid w:val="004674D1"/>
    <w:rsid w:val="0046753A"/>
    <w:rsid w:val="00467D25"/>
    <w:rsid w:val="004700A3"/>
    <w:rsid w:val="00470DC0"/>
    <w:rsid w:val="00470DD1"/>
    <w:rsid w:val="004712FB"/>
    <w:rsid w:val="00471896"/>
    <w:rsid w:val="00471997"/>
    <w:rsid w:val="00471A15"/>
    <w:rsid w:val="00471BB7"/>
    <w:rsid w:val="00471D87"/>
    <w:rsid w:val="004723BE"/>
    <w:rsid w:val="004729EF"/>
    <w:rsid w:val="00472EFF"/>
    <w:rsid w:val="00472F10"/>
    <w:rsid w:val="004731FA"/>
    <w:rsid w:val="00474063"/>
    <w:rsid w:val="00474CD9"/>
    <w:rsid w:val="00475A01"/>
    <w:rsid w:val="00475ECF"/>
    <w:rsid w:val="004764AF"/>
    <w:rsid w:val="00476793"/>
    <w:rsid w:val="004767A3"/>
    <w:rsid w:val="00476849"/>
    <w:rsid w:val="00476B85"/>
    <w:rsid w:val="004772A2"/>
    <w:rsid w:val="00477AC1"/>
    <w:rsid w:val="00480495"/>
    <w:rsid w:val="00480799"/>
    <w:rsid w:val="00481183"/>
    <w:rsid w:val="00481424"/>
    <w:rsid w:val="00481479"/>
    <w:rsid w:val="004816FD"/>
    <w:rsid w:val="0048179A"/>
    <w:rsid w:val="0048179D"/>
    <w:rsid w:val="00481B2A"/>
    <w:rsid w:val="00482091"/>
    <w:rsid w:val="004829C6"/>
    <w:rsid w:val="00482B4F"/>
    <w:rsid w:val="00482CF8"/>
    <w:rsid w:val="0048313B"/>
    <w:rsid w:val="0048316C"/>
    <w:rsid w:val="004835F0"/>
    <w:rsid w:val="00483611"/>
    <w:rsid w:val="00483830"/>
    <w:rsid w:val="00483915"/>
    <w:rsid w:val="00483EE9"/>
    <w:rsid w:val="004847AA"/>
    <w:rsid w:val="00484C14"/>
    <w:rsid w:val="00484C7A"/>
    <w:rsid w:val="00484FBF"/>
    <w:rsid w:val="00486234"/>
    <w:rsid w:val="004862E6"/>
    <w:rsid w:val="00486926"/>
    <w:rsid w:val="00486F0D"/>
    <w:rsid w:val="004871AA"/>
    <w:rsid w:val="004877DD"/>
    <w:rsid w:val="00491165"/>
    <w:rsid w:val="00491454"/>
    <w:rsid w:val="00491B31"/>
    <w:rsid w:val="00492196"/>
    <w:rsid w:val="004927DA"/>
    <w:rsid w:val="0049282E"/>
    <w:rsid w:val="00492B10"/>
    <w:rsid w:val="00493823"/>
    <w:rsid w:val="00494294"/>
    <w:rsid w:val="00494C83"/>
    <w:rsid w:val="00494D9E"/>
    <w:rsid w:val="00494DCC"/>
    <w:rsid w:val="00494F77"/>
    <w:rsid w:val="00496DF8"/>
    <w:rsid w:val="00496F77"/>
    <w:rsid w:val="004974F6"/>
    <w:rsid w:val="00497624"/>
    <w:rsid w:val="00497BB1"/>
    <w:rsid w:val="004A0982"/>
    <w:rsid w:val="004A10FA"/>
    <w:rsid w:val="004A11F2"/>
    <w:rsid w:val="004A1411"/>
    <w:rsid w:val="004A187B"/>
    <w:rsid w:val="004A1E27"/>
    <w:rsid w:val="004A2B19"/>
    <w:rsid w:val="004A2D3C"/>
    <w:rsid w:val="004A3875"/>
    <w:rsid w:val="004A3933"/>
    <w:rsid w:val="004A43D0"/>
    <w:rsid w:val="004A4E18"/>
    <w:rsid w:val="004A5607"/>
    <w:rsid w:val="004A5CD3"/>
    <w:rsid w:val="004A6668"/>
    <w:rsid w:val="004A6BE2"/>
    <w:rsid w:val="004A72BC"/>
    <w:rsid w:val="004A7336"/>
    <w:rsid w:val="004A7722"/>
    <w:rsid w:val="004A7B20"/>
    <w:rsid w:val="004A7CA1"/>
    <w:rsid w:val="004B0307"/>
    <w:rsid w:val="004B0F9B"/>
    <w:rsid w:val="004B1512"/>
    <w:rsid w:val="004B1BE1"/>
    <w:rsid w:val="004B21EE"/>
    <w:rsid w:val="004B33D8"/>
    <w:rsid w:val="004B3858"/>
    <w:rsid w:val="004B3CF7"/>
    <w:rsid w:val="004B3F7F"/>
    <w:rsid w:val="004B4F35"/>
    <w:rsid w:val="004B72EB"/>
    <w:rsid w:val="004B7FD8"/>
    <w:rsid w:val="004C0D70"/>
    <w:rsid w:val="004C0E2D"/>
    <w:rsid w:val="004C1498"/>
    <w:rsid w:val="004C14D5"/>
    <w:rsid w:val="004C194B"/>
    <w:rsid w:val="004C1BE5"/>
    <w:rsid w:val="004C1EFA"/>
    <w:rsid w:val="004C316E"/>
    <w:rsid w:val="004C317A"/>
    <w:rsid w:val="004C392F"/>
    <w:rsid w:val="004C4222"/>
    <w:rsid w:val="004C49A6"/>
    <w:rsid w:val="004C53F0"/>
    <w:rsid w:val="004C57CC"/>
    <w:rsid w:val="004C57F4"/>
    <w:rsid w:val="004C6682"/>
    <w:rsid w:val="004C7319"/>
    <w:rsid w:val="004C7412"/>
    <w:rsid w:val="004C76C3"/>
    <w:rsid w:val="004D0252"/>
    <w:rsid w:val="004D0362"/>
    <w:rsid w:val="004D0498"/>
    <w:rsid w:val="004D04BF"/>
    <w:rsid w:val="004D0D00"/>
    <w:rsid w:val="004D1667"/>
    <w:rsid w:val="004D27F7"/>
    <w:rsid w:val="004D2B27"/>
    <w:rsid w:val="004D37FB"/>
    <w:rsid w:val="004D3A6B"/>
    <w:rsid w:val="004D4921"/>
    <w:rsid w:val="004D5140"/>
    <w:rsid w:val="004D5236"/>
    <w:rsid w:val="004D538F"/>
    <w:rsid w:val="004D5601"/>
    <w:rsid w:val="004D59E6"/>
    <w:rsid w:val="004D5C74"/>
    <w:rsid w:val="004D6082"/>
    <w:rsid w:val="004D6494"/>
    <w:rsid w:val="004D69B8"/>
    <w:rsid w:val="004D6DF3"/>
    <w:rsid w:val="004D6F68"/>
    <w:rsid w:val="004D6FFE"/>
    <w:rsid w:val="004D72A3"/>
    <w:rsid w:val="004D783B"/>
    <w:rsid w:val="004D7CB6"/>
    <w:rsid w:val="004D7DE3"/>
    <w:rsid w:val="004E0083"/>
    <w:rsid w:val="004E0D58"/>
    <w:rsid w:val="004E0D8E"/>
    <w:rsid w:val="004E0DFF"/>
    <w:rsid w:val="004E1E98"/>
    <w:rsid w:val="004E2530"/>
    <w:rsid w:val="004E2998"/>
    <w:rsid w:val="004E3781"/>
    <w:rsid w:val="004E5ADE"/>
    <w:rsid w:val="004E6085"/>
    <w:rsid w:val="004E6E27"/>
    <w:rsid w:val="004E6F5B"/>
    <w:rsid w:val="004E707D"/>
    <w:rsid w:val="004E718E"/>
    <w:rsid w:val="004E7584"/>
    <w:rsid w:val="004E7D8E"/>
    <w:rsid w:val="004E7E1E"/>
    <w:rsid w:val="004F0A07"/>
    <w:rsid w:val="004F0E91"/>
    <w:rsid w:val="004F12EF"/>
    <w:rsid w:val="004F18CE"/>
    <w:rsid w:val="004F1BAC"/>
    <w:rsid w:val="004F1C7C"/>
    <w:rsid w:val="004F26F1"/>
    <w:rsid w:val="004F2903"/>
    <w:rsid w:val="004F2FED"/>
    <w:rsid w:val="004F3059"/>
    <w:rsid w:val="004F3239"/>
    <w:rsid w:val="004F3376"/>
    <w:rsid w:val="004F370F"/>
    <w:rsid w:val="004F3775"/>
    <w:rsid w:val="004F3CD1"/>
    <w:rsid w:val="004F3D63"/>
    <w:rsid w:val="004F400E"/>
    <w:rsid w:val="004F4867"/>
    <w:rsid w:val="004F48DC"/>
    <w:rsid w:val="004F525F"/>
    <w:rsid w:val="004F5E9F"/>
    <w:rsid w:val="004F6AE4"/>
    <w:rsid w:val="004F6CF3"/>
    <w:rsid w:val="004F6F8A"/>
    <w:rsid w:val="004F74A8"/>
    <w:rsid w:val="004F7996"/>
    <w:rsid w:val="004F7AF9"/>
    <w:rsid w:val="0050057C"/>
    <w:rsid w:val="005009C6"/>
    <w:rsid w:val="00500CE4"/>
    <w:rsid w:val="005013C7"/>
    <w:rsid w:val="00501DC4"/>
    <w:rsid w:val="005024A4"/>
    <w:rsid w:val="00502624"/>
    <w:rsid w:val="005030B5"/>
    <w:rsid w:val="005035AF"/>
    <w:rsid w:val="00503BB3"/>
    <w:rsid w:val="00503F92"/>
    <w:rsid w:val="005041F9"/>
    <w:rsid w:val="00504A20"/>
    <w:rsid w:val="00505E22"/>
    <w:rsid w:val="005060AF"/>
    <w:rsid w:val="005062C1"/>
    <w:rsid w:val="005066FE"/>
    <w:rsid w:val="00506E23"/>
    <w:rsid w:val="005070A7"/>
    <w:rsid w:val="00510352"/>
    <w:rsid w:val="00510390"/>
    <w:rsid w:val="00511473"/>
    <w:rsid w:val="00511BBA"/>
    <w:rsid w:val="00511D2A"/>
    <w:rsid w:val="00511FF4"/>
    <w:rsid w:val="005123F0"/>
    <w:rsid w:val="00512735"/>
    <w:rsid w:val="00512A05"/>
    <w:rsid w:val="0051336A"/>
    <w:rsid w:val="00513540"/>
    <w:rsid w:val="00513941"/>
    <w:rsid w:val="00513D4B"/>
    <w:rsid w:val="00513FFE"/>
    <w:rsid w:val="0051484E"/>
    <w:rsid w:val="0051584C"/>
    <w:rsid w:val="00515992"/>
    <w:rsid w:val="00515B84"/>
    <w:rsid w:val="005161C4"/>
    <w:rsid w:val="005163AD"/>
    <w:rsid w:val="0051702B"/>
    <w:rsid w:val="00517454"/>
    <w:rsid w:val="00517910"/>
    <w:rsid w:val="00517C24"/>
    <w:rsid w:val="005202D1"/>
    <w:rsid w:val="005207D9"/>
    <w:rsid w:val="00520B52"/>
    <w:rsid w:val="00520BBB"/>
    <w:rsid w:val="005213EC"/>
    <w:rsid w:val="00521D3C"/>
    <w:rsid w:val="00521F1A"/>
    <w:rsid w:val="00522088"/>
    <w:rsid w:val="00522758"/>
    <w:rsid w:val="00523449"/>
    <w:rsid w:val="005235A5"/>
    <w:rsid w:val="005236CC"/>
    <w:rsid w:val="00524105"/>
    <w:rsid w:val="0052466A"/>
    <w:rsid w:val="00525271"/>
    <w:rsid w:val="00525A85"/>
    <w:rsid w:val="00525BC8"/>
    <w:rsid w:val="00525E4D"/>
    <w:rsid w:val="00526023"/>
    <w:rsid w:val="005266B0"/>
    <w:rsid w:val="00526D78"/>
    <w:rsid w:val="00526ECA"/>
    <w:rsid w:val="00527615"/>
    <w:rsid w:val="00527905"/>
    <w:rsid w:val="005279DB"/>
    <w:rsid w:val="00527B1B"/>
    <w:rsid w:val="0053042F"/>
    <w:rsid w:val="0053051D"/>
    <w:rsid w:val="00531DD6"/>
    <w:rsid w:val="005327A9"/>
    <w:rsid w:val="00532CDD"/>
    <w:rsid w:val="00532DFC"/>
    <w:rsid w:val="00532EC3"/>
    <w:rsid w:val="00532FDD"/>
    <w:rsid w:val="00533126"/>
    <w:rsid w:val="0053320A"/>
    <w:rsid w:val="00533705"/>
    <w:rsid w:val="00533A61"/>
    <w:rsid w:val="005355AA"/>
    <w:rsid w:val="00536A15"/>
    <w:rsid w:val="00536B0F"/>
    <w:rsid w:val="00536F65"/>
    <w:rsid w:val="005374CD"/>
    <w:rsid w:val="0053750D"/>
    <w:rsid w:val="00540119"/>
    <w:rsid w:val="005405BD"/>
    <w:rsid w:val="005409BA"/>
    <w:rsid w:val="00540FFC"/>
    <w:rsid w:val="00542294"/>
    <w:rsid w:val="00543F1D"/>
    <w:rsid w:val="00544256"/>
    <w:rsid w:val="00544AC3"/>
    <w:rsid w:val="00545B4C"/>
    <w:rsid w:val="00545DDF"/>
    <w:rsid w:val="00545E8E"/>
    <w:rsid w:val="00545E93"/>
    <w:rsid w:val="00545F4D"/>
    <w:rsid w:val="005464F9"/>
    <w:rsid w:val="00547B8B"/>
    <w:rsid w:val="00547C42"/>
    <w:rsid w:val="00547F80"/>
    <w:rsid w:val="0055053D"/>
    <w:rsid w:val="0055059F"/>
    <w:rsid w:val="00550971"/>
    <w:rsid w:val="00550CC1"/>
    <w:rsid w:val="00551BCC"/>
    <w:rsid w:val="00551E0A"/>
    <w:rsid w:val="00552044"/>
    <w:rsid w:val="00552190"/>
    <w:rsid w:val="005521C3"/>
    <w:rsid w:val="0055243C"/>
    <w:rsid w:val="0055253C"/>
    <w:rsid w:val="005535FF"/>
    <w:rsid w:val="00554294"/>
    <w:rsid w:val="005549F8"/>
    <w:rsid w:val="00555633"/>
    <w:rsid w:val="00556B31"/>
    <w:rsid w:val="00556EAD"/>
    <w:rsid w:val="00557BFC"/>
    <w:rsid w:val="005600EA"/>
    <w:rsid w:val="00560118"/>
    <w:rsid w:val="00560C10"/>
    <w:rsid w:val="00560FD2"/>
    <w:rsid w:val="0056106C"/>
    <w:rsid w:val="0056112C"/>
    <w:rsid w:val="0056194F"/>
    <w:rsid w:val="00561AEE"/>
    <w:rsid w:val="00561BD4"/>
    <w:rsid w:val="00561BE2"/>
    <w:rsid w:val="00561D84"/>
    <w:rsid w:val="00562AC8"/>
    <w:rsid w:val="00562F4D"/>
    <w:rsid w:val="005631F9"/>
    <w:rsid w:val="00563B93"/>
    <w:rsid w:val="00564208"/>
    <w:rsid w:val="005655D5"/>
    <w:rsid w:val="00566BCC"/>
    <w:rsid w:val="00566F62"/>
    <w:rsid w:val="005706B3"/>
    <w:rsid w:val="005708C3"/>
    <w:rsid w:val="00571832"/>
    <w:rsid w:val="00571CEB"/>
    <w:rsid w:val="005723E0"/>
    <w:rsid w:val="005728A2"/>
    <w:rsid w:val="005738EF"/>
    <w:rsid w:val="00573905"/>
    <w:rsid w:val="00573FC6"/>
    <w:rsid w:val="0057404E"/>
    <w:rsid w:val="0057422B"/>
    <w:rsid w:val="00574536"/>
    <w:rsid w:val="00574A03"/>
    <w:rsid w:val="00574C51"/>
    <w:rsid w:val="00575120"/>
    <w:rsid w:val="005757B1"/>
    <w:rsid w:val="00575CDC"/>
    <w:rsid w:val="00576527"/>
    <w:rsid w:val="00576FBE"/>
    <w:rsid w:val="00577925"/>
    <w:rsid w:val="00577C21"/>
    <w:rsid w:val="00580BE3"/>
    <w:rsid w:val="00580D2D"/>
    <w:rsid w:val="00581394"/>
    <w:rsid w:val="005814FF"/>
    <w:rsid w:val="00581586"/>
    <w:rsid w:val="00581796"/>
    <w:rsid w:val="00581861"/>
    <w:rsid w:val="00581C59"/>
    <w:rsid w:val="00581FCC"/>
    <w:rsid w:val="00582465"/>
    <w:rsid w:val="005827E0"/>
    <w:rsid w:val="005828B4"/>
    <w:rsid w:val="00582A75"/>
    <w:rsid w:val="00582B74"/>
    <w:rsid w:val="005835B4"/>
    <w:rsid w:val="00583BE8"/>
    <w:rsid w:val="00584231"/>
    <w:rsid w:val="0058499F"/>
    <w:rsid w:val="00584A6A"/>
    <w:rsid w:val="00585A04"/>
    <w:rsid w:val="00585D0C"/>
    <w:rsid w:val="00585DB5"/>
    <w:rsid w:val="00586123"/>
    <w:rsid w:val="005862CE"/>
    <w:rsid w:val="005864B3"/>
    <w:rsid w:val="00586688"/>
    <w:rsid w:val="0058687E"/>
    <w:rsid w:val="00586885"/>
    <w:rsid w:val="005869EC"/>
    <w:rsid w:val="00586ADD"/>
    <w:rsid w:val="00587227"/>
    <w:rsid w:val="00587278"/>
    <w:rsid w:val="00587B39"/>
    <w:rsid w:val="00590156"/>
    <w:rsid w:val="00590CA8"/>
    <w:rsid w:val="00590E48"/>
    <w:rsid w:val="00590FBA"/>
    <w:rsid w:val="00591479"/>
    <w:rsid w:val="00591951"/>
    <w:rsid w:val="00591F04"/>
    <w:rsid w:val="00591F71"/>
    <w:rsid w:val="005923BA"/>
    <w:rsid w:val="00592AD1"/>
    <w:rsid w:val="00592F71"/>
    <w:rsid w:val="00593187"/>
    <w:rsid w:val="00593BEA"/>
    <w:rsid w:val="005941BC"/>
    <w:rsid w:val="00594A95"/>
    <w:rsid w:val="00594C88"/>
    <w:rsid w:val="00595F05"/>
    <w:rsid w:val="00596B6B"/>
    <w:rsid w:val="005972A2"/>
    <w:rsid w:val="005976C8"/>
    <w:rsid w:val="0059782E"/>
    <w:rsid w:val="005979F9"/>
    <w:rsid w:val="005A090B"/>
    <w:rsid w:val="005A0964"/>
    <w:rsid w:val="005A0D68"/>
    <w:rsid w:val="005A14D2"/>
    <w:rsid w:val="005A2293"/>
    <w:rsid w:val="005A2535"/>
    <w:rsid w:val="005A3EFF"/>
    <w:rsid w:val="005A4274"/>
    <w:rsid w:val="005A54B1"/>
    <w:rsid w:val="005A5A2A"/>
    <w:rsid w:val="005A705F"/>
    <w:rsid w:val="005A7B9C"/>
    <w:rsid w:val="005A7E67"/>
    <w:rsid w:val="005B0264"/>
    <w:rsid w:val="005B0D79"/>
    <w:rsid w:val="005B0FAD"/>
    <w:rsid w:val="005B13B6"/>
    <w:rsid w:val="005B1E28"/>
    <w:rsid w:val="005B2879"/>
    <w:rsid w:val="005B2BB4"/>
    <w:rsid w:val="005B36F6"/>
    <w:rsid w:val="005B3C6E"/>
    <w:rsid w:val="005B48BE"/>
    <w:rsid w:val="005B4F00"/>
    <w:rsid w:val="005B62AD"/>
    <w:rsid w:val="005B6757"/>
    <w:rsid w:val="005B7348"/>
    <w:rsid w:val="005C0009"/>
    <w:rsid w:val="005C01B6"/>
    <w:rsid w:val="005C1735"/>
    <w:rsid w:val="005C2136"/>
    <w:rsid w:val="005C2279"/>
    <w:rsid w:val="005C237E"/>
    <w:rsid w:val="005C2ECF"/>
    <w:rsid w:val="005C345D"/>
    <w:rsid w:val="005C526C"/>
    <w:rsid w:val="005C5370"/>
    <w:rsid w:val="005C5C7B"/>
    <w:rsid w:val="005C5D41"/>
    <w:rsid w:val="005C5F93"/>
    <w:rsid w:val="005C6908"/>
    <w:rsid w:val="005C6A99"/>
    <w:rsid w:val="005C6CBF"/>
    <w:rsid w:val="005C6D70"/>
    <w:rsid w:val="005C6DFA"/>
    <w:rsid w:val="005C70EF"/>
    <w:rsid w:val="005C73F6"/>
    <w:rsid w:val="005C756E"/>
    <w:rsid w:val="005D15DD"/>
    <w:rsid w:val="005D1A6C"/>
    <w:rsid w:val="005D1F34"/>
    <w:rsid w:val="005D25D6"/>
    <w:rsid w:val="005D2F54"/>
    <w:rsid w:val="005D383D"/>
    <w:rsid w:val="005D39CF"/>
    <w:rsid w:val="005D3BD5"/>
    <w:rsid w:val="005D4493"/>
    <w:rsid w:val="005D4CBC"/>
    <w:rsid w:val="005D4DF7"/>
    <w:rsid w:val="005D50A1"/>
    <w:rsid w:val="005D5C7D"/>
    <w:rsid w:val="005D6523"/>
    <w:rsid w:val="005D65B3"/>
    <w:rsid w:val="005D74E8"/>
    <w:rsid w:val="005E0167"/>
    <w:rsid w:val="005E0833"/>
    <w:rsid w:val="005E1320"/>
    <w:rsid w:val="005E18D2"/>
    <w:rsid w:val="005E1E00"/>
    <w:rsid w:val="005E3946"/>
    <w:rsid w:val="005E3A5B"/>
    <w:rsid w:val="005E40BC"/>
    <w:rsid w:val="005E4398"/>
    <w:rsid w:val="005E4C21"/>
    <w:rsid w:val="005E4E4B"/>
    <w:rsid w:val="005E503F"/>
    <w:rsid w:val="005E5A9E"/>
    <w:rsid w:val="005E6AE9"/>
    <w:rsid w:val="005E6C7E"/>
    <w:rsid w:val="005E7262"/>
    <w:rsid w:val="005E726A"/>
    <w:rsid w:val="005E7452"/>
    <w:rsid w:val="005F0001"/>
    <w:rsid w:val="005F01A2"/>
    <w:rsid w:val="005F06B1"/>
    <w:rsid w:val="005F07BF"/>
    <w:rsid w:val="005F08B5"/>
    <w:rsid w:val="005F08D7"/>
    <w:rsid w:val="005F0C18"/>
    <w:rsid w:val="005F1C13"/>
    <w:rsid w:val="005F3CFA"/>
    <w:rsid w:val="005F3EB9"/>
    <w:rsid w:val="005F3F2A"/>
    <w:rsid w:val="005F4D3B"/>
    <w:rsid w:val="005F5046"/>
    <w:rsid w:val="005F5FA6"/>
    <w:rsid w:val="005F60F4"/>
    <w:rsid w:val="005F6FD2"/>
    <w:rsid w:val="006000A8"/>
    <w:rsid w:val="006005A1"/>
    <w:rsid w:val="00600CAF"/>
    <w:rsid w:val="006010B9"/>
    <w:rsid w:val="006014F4"/>
    <w:rsid w:val="00601739"/>
    <w:rsid w:val="00601922"/>
    <w:rsid w:val="00601960"/>
    <w:rsid w:val="00601DC6"/>
    <w:rsid w:val="00602156"/>
    <w:rsid w:val="0060304C"/>
    <w:rsid w:val="00604E87"/>
    <w:rsid w:val="006056F7"/>
    <w:rsid w:val="00605EDF"/>
    <w:rsid w:val="006063DC"/>
    <w:rsid w:val="006064AF"/>
    <w:rsid w:val="00606674"/>
    <w:rsid w:val="006066E8"/>
    <w:rsid w:val="006100F9"/>
    <w:rsid w:val="006104D8"/>
    <w:rsid w:val="00610AE3"/>
    <w:rsid w:val="00611031"/>
    <w:rsid w:val="00611E15"/>
    <w:rsid w:val="0061201E"/>
    <w:rsid w:val="00612460"/>
    <w:rsid w:val="006127DE"/>
    <w:rsid w:val="00615823"/>
    <w:rsid w:val="0061589A"/>
    <w:rsid w:val="006158E4"/>
    <w:rsid w:val="00616B80"/>
    <w:rsid w:val="00616F37"/>
    <w:rsid w:val="00616F88"/>
    <w:rsid w:val="006170DD"/>
    <w:rsid w:val="00617798"/>
    <w:rsid w:val="00617B31"/>
    <w:rsid w:val="006207C2"/>
    <w:rsid w:val="00620A49"/>
    <w:rsid w:val="00620C80"/>
    <w:rsid w:val="00621711"/>
    <w:rsid w:val="00621EF8"/>
    <w:rsid w:val="00622508"/>
    <w:rsid w:val="00623225"/>
    <w:rsid w:val="006243C7"/>
    <w:rsid w:val="00624482"/>
    <w:rsid w:val="0062498C"/>
    <w:rsid w:val="00624DA3"/>
    <w:rsid w:val="0062505F"/>
    <w:rsid w:val="00625228"/>
    <w:rsid w:val="006252BE"/>
    <w:rsid w:val="00625619"/>
    <w:rsid w:val="006260CA"/>
    <w:rsid w:val="00626A34"/>
    <w:rsid w:val="006276CF"/>
    <w:rsid w:val="006278CD"/>
    <w:rsid w:val="00627B5C"/>
    <w:rsid w:val="0063009F"/>
    <w:rsid w:val="0063038F"/>
    <w:rsid w:val="00630A22"/>
    <w:rsid w:val="00630A55"/>
    <w:rsid w:val="00630EF8"/>
    <w:rsid w:val="0063156D"/>
    <w:rsid w:val="00631649"/>
    <w:rsid w:val="006321ED"/>
    <w:rsid w:val="00632307"/>
    <w:rsid w:val="006356C5"/>
    <w:rsid w:val="0063598C"/>
    <w:rsid w:val="00635EBF"/>
    <w:rsid w:val="006365E5"/>
    <w:rsid w:val="0064016F"/>
    <w:rsid w:val="00640523"/>
    <w:rsid w:val="00640634"/>
    <w:rsid w:val="00640838"/>
    <w:rsid w:val="00640983"/>
    <w:rsid w:val="00640E8A"/>
    <w:rsid w:val="00641903"/>
    <w:rsid w:val="00642029"/>
    <w:rsid w:val="006428DF"/>
    <w:rsid w:val="00642D63"/>
    <w:rsid w:val="00643A4C"/>
    <w:rsid w:val="0064484B"/>
    <w:rsid w:val="00646652"/>
    <w:rsid w:val="00646759"/>
    <w:rsid w:val="006469A6"/>
    <w:rsid w:val="00646A32"/>
    <w:rsid w:val="00646C05"/>
    <w:rsid w:val="006474D7"/>
    <w:rsid w:val="00647A33"/>
    <w:rsid w:val="00647DBE"/>
    <w:rsid w:val="00647E01"/>
    <w:rsid w:val="0065020B"/>
    <w:rsid w:val="0065082E"/>
    <w:rsid w:val="00650988"/>
    <w:rsid w:val="00650E26"/>
    <w:rsid w:val="00650EC3"/>
    <w:rsid w:val="00651689"/>
    <w:rsid w:val="00652A5F"/>
    <w:rsid w:val="00652E24"/>
    <w:rsid w:val="00652F86"/>
    <w:rsid w:val="00653F22"/>
    <w:rsid w:val="00654793"/>
    <w:rsid w:val="0065479D"/>
    <w:rsid w:val="00655476"/>
    <w:rsid w:val="00655A6F"/>
    <w:rsid w:val="00656636"/>
    <w:rsid w:val="00656CF3"/>
    <w:rsid w:val="00656F3D"/>
    <w:rsid w:val="006574DD"/>
    <w:rsid w:val="00657680"/>
    <w:rsid w:val="00657AEC"/>
    <w:rsid w:val="00657F64"/>
    <w:rsid w:val="0066075A"/>
    <w:rsid w:val="00660920"/>
    <w:rsid w:val="00660E16"/>
    <w:rsid w:val="00661C77"/>
    <w:rsid w:val="00661F4F"/>
    <w:rsid w:val="006626F3"/>
    <w:rsid w:val="00662947"/>
    <w:rsid w:val="00662B38"/>
    <w:rsid w:val="00662E4B"/>
    <w:rsid w:val="006630B1"/>
    <w:rsid w:val="006638A7"/>
    <w:rsid w:val="00663AF8"/>
    <w:rsid w:val="00663B89"/>
    <w:rsid w:val="00663E08"/>
    <w:rsid w:val="00664264"/>
    <w:rsid w:val="006647A9"/>
    <w:rsid w:val="0066554F"/>
    <w:rsid w:val="0066562E"/>
    <w:rsid w:val="00666147"/>
    <w:rsid w:val="00666399"/>
    <w:rsid w:val="0066713B"/>
    <w:rsid w:val="0066729A"/>
    <w:rsid w:val="00667C04"/>
    <w:rsid w:val="00667D3D"/>
    <w:rsid w:val="0067038A"/>
    <w:rsid w:val="006706D6"/>
    <w:rsid w:val="00670F17"/>
    <w:rsid w:val="00671AFE"/>
    <w:rsid w:val="00672335"/>
    <w:rsid w:val="00672751"/>
    <w:rsid w:val="00672EA9"/>
    <w:rsid w:val="006737C5"/>
    <w:rsid w:val="006758D3"/>
    <w:rsid w:val="00675918"/>
    <w:rsid w:val="006759CD"/>
    <w:rsid w:val="00675E30"/>
    <w:rsid w:val="00676626"/>
    <w:rsid w:val="00676B7C"/>
    <w:rsid w:val="00676BA4"/>
    <w:rsid w:val="00676D3A"/>
    <w:rsid w:val="006777D8"/>
    <w:rsid w:val="00677C85"/>
    <w:rsid w:val="00680094"/>
    <w:rsid w:val="00680278"/>
    <w:rsid w:val="00680666"/>
    <w:rsid w:val="00682673"/>
    <w:rsid w:val="006826E3"/>
    <w:rsid w:val="0068341C"/>
    <w:rsid w:val="006837DA"/>
    <w:rsid w:val="006839CC"/>
    <w:rsid w:val="0068492E"/>
    <w:rsid w:val="00684A77"/>
    <w:rsid w:val="00686584"/>
    <w:rsid w:val="00686BD4"/>
    <w:rsid w:val="00686D54"/>
    <w:rsid w:val="00686DCE"/>
    <w:rsid w:val="0068724B"/>
    <w:rsid w:val="006878B4"/>
    <w:rsid w:val="00687C14"/>
    <w:rsid w:val="006902B4"/>
    <w:rsid w:val="00690389"/>
    <w:rsid w:val="006903BB"/>
    <w:rsid w:val="00691683"/>
    <w:rsid w:val="00691B63"/>
    <w:rsid w:val="00691D5E"/>
    <w:rsid w:val="00691D60"/>
    <w:rsid w:val="0069312B"/>
    <w:rsid w:val="00693641"/>
    <w:rsid w:val="00693752"/>
    <w:rsid w:val="006948A0"/>
    <w:rsid w:val="00694AD3"/>
    <w:rsid w:val="00694B3D"/>
    <w:rsid w:val="00695104"/>
    <w:rsid w:val="00695636"/>
    <w:rsid w:val="00695666"/>
    <w:rsid w:val="0069567B"/>
    <w:rsid w:val="006956E3"/>
    <w:rsid w:val="00695B80"/>
    <w:rsid w:val="00696065"/>
    <w:rsid w:val="0069622C"/>
    <w:rsid w:val="0069679B"/>
    <w:rsid w:val="006972B0"/>
    <w:rsid w:val="00697B1F"/>
    <w:rsid w:val="006A14FB"/>
    <w:rsid w:val="006A1801"/>
    <w:rsid w:val="006A18C7"/>
    <w:rsid w:val="006A1AF2"/>
    <w:rsid w:val="006A1E6F"/>
    <w:rsid w:val="006A39EF"/>
    <w:rsid w:val="006A3D8C"/>
    <w:rsid w:val="006A480F"/>
    <w:rsid w:val="006A4CA9"/>
    <w:rsid w:val="006A68CE"/>
    <w:rsid w:val="006A6BB3"/>
    <w:rsid w:val="006A7BB9"/>
    <w:rsid w:val="006A7F53"/>
    <w:rsid w:val="006B0170"/>
    <w:rsid w:val="006B0396"/>
    <w:rsid w:val="006B045D"/>
    <w:rsid w:val="006B0533"/>
    <w:rsid w:val="006B0B89"/>
    <w:rsid w:val="006B1434"/>
    <w:rsid w:val="006B1B12"/>
    <w:rsid w:val="006B2410"/>
    <w:rsid w:val="006B26E3"/>
    <w:rsid w:val="006B2C56"/>
    <w:rsid w:val="006B30EA"/>
    <w:rsid w:val="006B32EB"/>
    <w:rsid w:val="006B3CD9"/>
    <w:rsid w:val="006B3DE1"/>
    <w:rsid w:val="006B4177"/>
    <w:rsid w:val="006B45F7"/>
    <w:rsid w:val="006B5097"/>
    <w:rsid w:val="006B5BA4"/>
    <w:rsid w:val="006B6258"/>
    <w:rsid w:val="006B6DB7"/>
    <w:rsid w:val="006C0642"/>
    <w:rsid w:val="006C0B88"/>
    <w:rsid w:val="006C0F3E"/>
    <w:rsid w:val="006C1815"/>
    <w:rsid w:val="006C2AC1"/>
    <w:rsid w:val="006C2E5D"/>
    <w:rsid w:val="006C36F5"/>
    <w:rsid w:val="006C3DB2"/>
    <w:rsid w:val="006C426C"/>
    <w:rsid w:val="006C4550"/>
    <w:rsid w:val="006C5040"/>
    <w:rsid w:val="006C50B0"/>
    <w:rsid w:val="006C51A8"/>
    <w:rsid w:val="006C524E"/>
    <w:rsid w:val="006C58A2"/>
    <w:rsid w:val="006C5A01"/>
    <w:rsid w:val="006C65F3"/>
    <w:rsid w:val="006C6824"/>
    <w:rsid w:val="006C6B42"/>
    <w:rsid w:val="006C722B"/>
    <w:rsid w:val="006C72D6"/>
    <w:rsid w:val="006C77D1"/>
    <w:rsid w:val="006D0144"/>
    <w:rsid w:val="006D0407"/>
    <w:rsid w:val="006D20FD"/>
    <w:rsid w:val="006D2A6B"/>
    <w:rsid w:val="006D2AB1"/>
    <w:rsid w:val="006D4BAB"/>
    <w:rsid w:val="006D4F33"/>
    <w:rsid w:val="006D51E9"/>
    <w:rsid w:val="006D53F8"/>
    <w:rsid w:val="006D5533"/>
    <w:rsid w:val="006D5556"/>
    <w:rsid w:val="006D57F9"/>
    <w:rsid w:val="006D5C9C"/>
    <w:rsid w:val="006D5D56"/>
    <w:rsid w:val="006D5EE5"/>
    <w:rsid w:val="006D5F84"/>
    <w:rsid w:val="006D684D"/>
    <w:rsid w:val="006D6997"/>
    <w:rsid w:val="006E0545"/>
    <w:rsid w:val="006E0C8C"/>
    <w:rsid w:val="006E16DC"/>
    <w:rsid w:val="006E1B96"/>
    <w:rsid w:val="006E1DB2"/>
    <w:rsid w:val="006E1F48"/>
    <w:rsid w:val="006E26E1"/>
    <w:rsid w:val="006E376D"/>
    <w:rsid w:val="006E376F"/>
    <w:rsid w:val="006E39AA"/>
    <w:rsid w:val="006E3A48"/>
    <w:rsid w:val="006E3CD8"/>
    <w:rsid w:val="006E4144"/>
    <w:rsid w:val="006E475B"/>
    <w:rsid w:val="006E51ED"/>
    <w:rsid w:val="006E60AF"/>
    <w:rsid w:val="006E6502"/>
    <w:rsid w:val="006E65A7"/>
    <w:rsid w:val="006E68D0"/>
    <w:rsid w:val="006E6D3B"/>
    <w:rsid w:val="006E7E16"/>
    <w:rsid w:val="006F1C92"/>
    <w:rsid w:val="006F2912"/>
    <w:rsid w:val="006F2C1C"/>
    <w:rsid w:val="006F36BE"/>
    <w:rsid w:val="006F3831"/>
    <w:rsid w:val="006F3BC0"/>
    <w:rsid w:val="006F4093"/>
    <w:rsid w:val="006F41D1"/>
    <w:rsid w:val="006F4F33"/>
    <w:rsid w:val="006F5094"/>
    <w:rsid w:val="006F63DD"/>
    <w:rsid w:val="006F671C"/>
    <w:rsid w:val="006F6C81"/>
    <w:rsid w:val="006F77EE"/>
    <w:rsid w:val="006F7DE2"/>
    <w:rsid w:val="0070109D"/>
    <w:rsid w:val="0070119E"/>
    <w:rsid w:val="00701D84"/>
    <w:rsid w:val="007021FD"/>
    <w:rsid w:val="007027AC"/>
    <w:rsid w:val="00703BB4"/>
    <w:rsid w:val="00704DBE"/>
    <w:rsid w:val="007052B5"/>
    <w:rsid w:val="007058AA"/>
    <w:rsid w:val="00705EC1"/>
    <w:rsid w:val="0070666C"/>
    <w:rsid w:val="00706C63"/>
    <w:rsid w:val="00706F1C"/>
    <w:rsid w:val="00707407"/>
    <w:rsid w:val="00707A21"/>
    <w:rsid w:val="00707D0E"/>
    <w:rsid w:val="0071091C"/>
    <w:rsid w:val="00710C8C"/>
    <w:rsid w:val="00711077"/>
    <w:rsid w:val="00711735"/>
    <w:rsid w:val="007117CE"/>
    <w:rsid w:val="00711BD4"/>
    <w:rsid w:val="00712481"/>
    <w:rsid w:val="007127E5"/>
    <w:rsid w:val="00712AD3"/>
    <w:rsid w:val="00713096"/>
    <w:rsid w:val="00713686"/>
    <w:rsid w:val="007136A5"/>
    <w:rsid w:val="0071408F"/>
    <w:rsid w:val="007140BC"/>
    <w:rsid w:val="00714602"/>
    <w:rsid w:val="00714EFD"/>
    <w:rsid w:val="00714FF5"/>
    <w:rsid w:val="00715920"/>
    <w:rsid w:val="007159E8"/>
    <w:rsid w:val="00715CEC"/>
    <w:rsid w:val="00715CF7"/>
    <w:rsid w:val="00715FCB"/>
    <w:rsid w:val="007162B5"/>
    <w:rsid w:val="00716673"/>
    <w:rsid w:val="007166AA"/>
    <w:rsid w:val="00716871"/>
    <w:rsid w:val="00717584"/>
    <w:rsid w:val="00720499"/>
    <w:rsid w:val="00720CBD"/>
    <w:rsid w:val="00721064"/>
    <w:rsid w:val="0072122C"/>
    <w:rsid w:val="007217F1"/>
    <w:rsid w:val="00721C4A"/>
    <w:rsid w:val="0072268C"/>
    <w:rsid w:val="00722FD8"/>
    <w:rsid w:val="00723195"/>
    <w:rsid w:val="00724C32"/>
    <w:rsid w:val="00724FF9"/>
    <w:rsid w:val="00725B1C"/>
    <w:rsid w:val="007262F7"/>
    <w:rsid w:val="00726ACB"/>
    <w:rsid w:val="007270ED"/>
    <w:rsid w:val="00727BC7"/>
    <w:rsid w:val="00730BD2"/>
    <w:rsid w:val="0073176F"/>
    <w:rsid w:val="0073189D"/>
    <w:rsid w:val="00731A1F"/>
    <w:rsid w:val="00731FDD"/>
    <w:rsid w:val="007322A0"/>
    <w:rsid w:val="00732873"/>
    <w:rsid w:val="00732B12"/>
    <w:rsid w:val="00732F83"/>
    <w:rsid w:val="00733B11"/>
    <w:rsid w:val="00734523"/>
    <w:rsid w:val="0073460A"/>
    <w:rsid w:val="00734886"/>
    <w:rsid w:val="00734BB4"/>
    <w:rsid w:val="00734FD8"/>
    <w:rsid w:val="00735270"/>
    <w:rsid w:val="007364B1"/>
    <w:rsid w:val="00736F2E"/>
    <w:rsid w:val="0073707F"/>
    <w:rsid w:val="00737CD2"/>
    <w:rsid w:val="00740F88"/>
    <w:rsid w:val="00741687"/>
    <w:rsid w:val="00741A75"/>
    <w:rsid w:val="00741C4A"/>
    <w:rsid w:val="007438FA"/>
    <w:rsid w:val="00743E42"/>
    <w:rsid w:val="0074406D"/>
    <w:rsid w:val="007449D1"/>
    <w:rsid w:val="00744A17"/>
    <w:rsid w:val="00746468"/>
    <w:rsid w:val="00746843"/>
    <w:rsid w:val="00746863"/>
    <w:rsid w:val="00746889"/>
    <w:rsid w:val="00746E2D"/>
    <w:rsid w:val="007472CA"/>
    <w:rsid w:val="00747417"/>
    <w:rsid w:val="00750D42"/>
    <w:rsid w:val="00751262"/>
    <w:rsid w:val="007516CD"/>
    <w:rsid w:val="00751B88"/>
    <w:rsid w:val="00751D60"/>
    <w:rsid w:val="00751FF5"/>
    <w:rsid w:val="007525F8"/>
    <w:rsid w:val="00752FC1"/>
    <w:rsid w:val="007536E4"/>
    <w:rsid w:val="00753EC7"/>
    <w:rsid w:val="007540BF"/>
    <w:rsid w:val="0075440D"/>
    <w:rsid w:val="0075448A"/>
    <w:rsid w:val="0075475A"/>
    <w:rsid w:val="00754B4C"/>
    <w:rsid w:val="00754B59"/>
    <w:rsid w:val="00754EC3"/>
    <w:rsid w:val="00756107"/>
    <w:rsid w:val="0075618F"/>
    <w:rsid w:val="00756238"/>
    <w:rsid w:val="00756BC3"/>
    <w:rsid w:val="00756E56"/>
    <w:rsid w:val="0075703A"/>
    <w:rsid w:val="00757B3F"/>
    <w:rsid w:val="00760016"/>
    <w:rsid w:val="007604B7"/>
    <w:rsid w:val="00760CE8"/>
    <w:rsid w:val="00761107"/>
    <w:rsid w:val="007614EF"/>
    <w:rsid w:val="0076265F"/>
    <w:rsid w:val="007637A8"/>
    <w:rsid w:val="007639B6"/>
    <w:rsid w:val="00764A17"/>
    <w:rsid w:val="00764AD4"/>
    <w:rsid w:val="00765B58"/>
    <w:rsid w:val="00765CCC"/>
    <w:rsid w:val="00765D80"/>
    <w:rsid w:val="007673E4"/>
    <w:rsid w:val="00770236"/>
    <w:rsid w:val="007706CE"/>
    <w:rsid w:val="00770B2A"/>
    <w:rsid w:val="00770C5A"/>
    <w:rsid w:val="00770DCB"/>
    <w:rsid w:val="00770E7E"/>
    <w:rsid w:val="0077182D"/>
    <w:rsid w:val="00771E39"/>
    <w:rsid w:val="00772ADF"/>
    <w:rsid w:val="00772FCA"/>
    <w:rsid w:val="00773733"/>
    <w:rsid w:val="00773794"/>
    <w:rsid w:val="007737C6"/>
    <w:rsid w:val="00773FEA"/>
    <w:rsid w:val="0077419E"/>
    <w:rsid w:val="0077507A"/>
    <w:rsid w:val="00775485"/>
    <w:rsid w:val="007759D8"/>
    <w:rsid w:val="00776C43"/>
    <w:rsid w:val="007778FA"/>
    <w:rsid w:val="00777995"/>
    <w:rsid w:val="00780394"/>
    <w:rsid w:val="007803A9"/>
    <w:rsid w:val="007807CF"/>
    <w:rsid w:val="00780E29"/>
    <w:rsid w:val="00781965"/>
    <w:rsid w:val="00781AFE"/>
    <w:rsid w:val="00781CB7"/>
    <w:rsid w:val="00782DD8"/>
    <w:rsid w:val="00783303"/>
    <w:rsid w:val="00783532"/>
    <w:rsid w:val="00783BEB"/>
    <w:rsid w:val="00783D36"/>
    <w:rsid w:val="0078414D"/>
    <w:rsid w:val="007846B5"/>
    <w:rsid w:val="00784B39"/>
    <w:rsid w:val="00784FA0"/>
    <w:rsid w:val="00785FA3"/>
    <w:rsid w:val="0078667D"/>
    <w:rsid w:val="00786CE4"/>
    <w:rsid w:val="00786E7E"/>
    <w:rsid w:val="00787494"/>
    <w:rsid w:val="0078768D"/>
    <w:rsid w:val="007878FD"/>
    <w:rsid w:val="007919F7"/>
    <w:rsid w:val="00791CB3"/>
    <w:rsid w:val="007924B9"/>
    <w:rsid w:val="00792594"/>
    <w:rsid w:val="00792609"/>
    <w:rsid w:val="0079265B"/>
    <w:rsid w:val="00792A10"/>
    <w:rsid w:val="00792BC7"/>
    <w:rsid w:val="007930BB"/>
    <w:rsid w:val="0079326F"/>
    <w:rsid w:val="007939C9"/>
    <w:rsid w:val="00793CA9"/>
    <w:rsid w:val="007942E6"/>
    <w:rsid w:val="00794AB0"/>
    <w:rsid w:val="007955B2"/>
    <w:rsid w:val="00795D37"/>
    <w:rsid w:val="00795E46"/>
    <w:rsid w:val="00796243"/>
    <w:rsid w:val="007964C8"/>
    <w:rsid w:val="007968C1"/>
    <w:rsid w:val="00796A74"/>
    <w:rsid w:val="007A0069"/>
    <w:rsid w:val="007A07B8"/>
    <w:rsid w:val="007A09DD"/>
    <w:rsid w:val="007A0BD6"/>
    <w:rsid w:val="007A0C62"/>
    <w:rsid w:val="007A1A6F"/>
    <w:rsid w:val="007A1EBA"/>
    <w:rsid w:val="007A2120"/>
    <w:rsid w:val="007A243D"/>
    <w:rsid w:val="007A3594"/>
    <w:rsid w:val="007A4A13"/>
    <w:rsid w:val="007A5435"/>
    <w:rsid w:val="007A5505"/>
    <w:rsid w:val="007A5AF2"/>
    <w:rsid w:val="007A61EF"/>
    <w:rsid w:val="007A66CB"/>
    <w:rsid w:val="007A6B4A"/>
    <w:rsid w:val="007A6D98"/>
    <w:rsid w:val="007A6DA8"/>
    <w:rsid w:val="007A6DDD"/>
    <w:rsid w:val="007A7070"/>
    <w:rsid w:val="007A72D6"/>
    <w:rsid w:val="007A73C8"/>
    <w:rsid w:val="007A74F6"/>
    <w:rsid w:val="007A7633"/>
    <w:rsid w:val="007B06EA"/>
    <w:rsid w:val="007B080A"/>
    <w:rsid w:val="007B0C7C"/>
    <w:rsid w:val="007B18A6"/>
    <w:rsid w:val="007B2451"/>
    <w:rsid w:val="007B2F87"/>
    <w:rsid w:val="007B3444"/>
    <w:rsid w:val="007B3630"/>
    <w:rsid w:val="007B3EB6"/>
    <w:rsid w:val="007B4760"/>
    <w:rsid w:val="007B49A3"/>
    <w:rsid w:val="007B52AB"/>
    <w:rsid w:val="007B5CE5"/>
    <w:rsid w:val="007B6A13"/>
    <w:rsid w:val="007B71E7"/>
    <w:rsid w:val="007B7B6E"/>
    <w:rsid w:val="007B7B70"/>
    <w:rsid w:val="007B7F49"/>
    <w:rsid w:val="007C023B"/>
    <w:rsid w:val="007C133B"/>
    <w:rsid w:val="007C1B8D"/>
    <w:rsid w:val="007C1FBC"/>
    <w:rsid w:val="007C2B1F"/>
    <w:rsid w:val="007C40D4"/>
    <w:rsid w:val="007C41C1"/>
    <w:rsid w:val="007C4FF8"/>
    <w:rsid w:val="007C5257"/>
    <w:rsid w:val="007C5AAC"/>
    <w:rsid w:val="007C65EF"/>
    <w:rsid w:val="007C6CC0"/>
    <w:rsid w:val="007C758B"/>
    <w:rsid w:val="007D1DD1"/>
    <w:rsid w:val="007D2152"/>
    <w:rsid w:val="007D2F00"/>
    <w:rsid w:val="007D342D"/>
    <w:rsid w:val="007D3656"/>
    <w:rsid w:val="007D3DED"/>
    <w:rsid w:val="007D5348"/>
    <w:rsid w:val="007D56A5"/>
    <w:rsid w:val="007D60BF"/>
    <w:rsid w:val="007D7B71"/>
    <w:rsid w:val="007E029A"/>
    <w:rsid w:val="007E0546"/>
    <w:rsid w:val="007E0ABD"/>
    <w:rsid w:val="007E1780"/>
    <w:rsid w:val="007E20D3"/>
    <w:rsid w:val="007E21EF"/>
    <w:rsid w:val="007E28F6"/>
    <w:rsid w:val="007E2C71"/>
    <w:rsid w:val="007E328C"/>
    <w:rsid w:val="007E33FB"/>
    <w:rsid w:val="007E34C8"/>
    <w:rsid w:val="007E52CD"/>
    <w:rsid w:val="007E5538"/>
    <w:rsid w:val="007E5764"/>
    <w:rsid w:val="007E57E1"/>
    <w:rsid w:val="007E5B88"/>
    <w:rsid w:val="007E5D93"/>
    <w:rsid w:val="007E5FF5"/>
    <w:rsid w:val="007E68C2"/>
    <w:rsid w:val="007E6B37"/>
    <w:rsid w:val="007E6EE3"/>
    <w:rsid w:val="007E7130"/>
    <w:rsid w:val="007E7C6D"/>
    <w:rsid w:val="007E7CFE"/>
    <w:rsid w:val="007E7DA1"/>
    <w:rsid w:val="007F0370"/>
    <w:rsid w:val="007F0764"/>
    <w:rsid w:val="007F0D0B"/>
    <w:rsid w:val="007F1205"/>
    <w:rsid w:val="007F128A"/>
    <w:rsid w:val="007F15D9"/>
    <w:rsid w:val="007F17A7"/>
    <w:rsid w:val="007F18CE"/>
    <w:rsid w:val="007F21D5"/>
    <w:rsid w:val="007F2315"/>
    <w:rsid w:val="007F291C"/>
    <w:rsid w:val="007F29F5"/>
    <w:rsid w:val="007F2EE5"/>
    <w:rsid w:val="007F301C"/>
    <w:rsid w:val="007F32F5"/>
    <w:rsid w:val="007F3749"/>
    <w:rsid w:val="007F3774"/>
    <w:rsid w:val="007F405C"/>
    <w:rsid w:val="007F480A"/>
    <w:rsid w:val="007F54B2"/>
    <w:rsid w:val="007F6311"/>
    <w:rsid w:val="007F6C2D"/>
    <w:rsid w:val="007F7ACF"/>
    <w:rsid w:val="00800139"/>
    <w:rsid w:val="0080047E"/>
    <w:rsid w:val="008007A8"/>
    <w:rsid w:val="008008B1"/>
    <w:rsid w:val="00800F39"/>
    <w:rsid w:val="0080161E"/>
    <w:rsid w:val="0080227C"/>
    <w:rsid w:val="0080305E"/>
    <w:rsid w:val="00803425"/>
    <w:rsid w:val="00803735"/>
    <w:rsid w:val="00803D0C"/>
    <w:rsid w:val="00803F28"/>
    <w:rsid w:val="008042D9"/>
    <w:rsid w:val="00804D95"/>
    <w:rsid w:val="0080558A"/>
    <w:rsid w:val="0080595B"/>
    <w:rsid w:val="0080640F"/>
    <w:rsid w:val="008066BD"/>
    <w:rsid w:val="00806934"/>
    <w:rsid w:val="008077E4"/>
    <w:rsid w:val="00810966"/>
    <w:rsid w:val="00811207"/>
    <w:rsid w:val="008113BA"/>
    <w:rsid w:val="008115CB"/>
    <w:rsid w:val="00811E66"/>
    <w:rsid w:val="00812AE3"/>
    <w:rsid w:val="008130AB"/>
    <w:rsid w:val="0081334F"/>
    <w:rsid w:val="00813E8D"/>
    <w:rsid w:val="008140D8"/>
    <w:rsid w:val="00814F9E"/>
    <w:rsid w:val="00814FC0"/>
    <w:rsid w:val="008153A5"/>
    <w:rsid w:val="00816091"/>
    <w:rsid w:val="0081623A"/>
    <w:rsid w:val="00816886"/>
    <w:rsid w:val="00816F14"/>
    <w:rsid w:val="00817135"/>
    <w:rsid w:val="00817C73"/>
    <w:rsid w:val="008208C6"/>
    <w:rsid w:val="00820DF3"/>
    <w:rsid w:val="00820F2D"/>
    <w:rsid w:val="0082113B"/>
    <w:rsid w:val="00822002"/>
    <w:rsid w:val="00822B6D"/>
    <w:rsid w:val="00823005"/>
    <w:rsid w:val="0082342C"/>
    <w:rsid w:val="00823A5D"/>
    <w:rsid w:val="00823D98"/>
    <w:rsid w:val="008241FA"/>
    <w:rsid w:val="00824599"/>
    <w:rsid w:val="00825B17"/>
    <w:rsid w:val="00825CC8"/>
    <w:rsid w:val="00825CED"/>
    <w:rsid w:val="00825D02"/>
    <w:rsid w:val="008260B1"/>
    <w:rsid w:val="008262CB"/>
    <w:rsid w:val="00827349"/>
    <w:rsid w:val="00827445"/>
    <w:rsid w:val="008275CD"/>
    <w:rsid w:val="00827DFD"/>
    <w:rsid w:val="00830627"/>
    <w:rsid w:val="00830903"/>
    <w:rsid w:val="00832034"/>
    <w:rsid w:val="008320D4"/>
    <w:rsid w:val="00833600"/>
    <w:rsid w:val="008338EF"/>
    <w:rsid w:val="00833930"/>
    <w:rsid w:val="008343AC"/>
    <w:rsid w:val="00834E29"/>
    <w:rsid w:val="00834E2B"/>
    <w:rsid w:val="0083536E"/>
    <w:rsid w:val="00835648"/>
    <w:rsid w:val="008358D6"/>
    <w:rsid w:val="00836904"/>
    <w:rsid w:val="00836ABB"/>
    <w:rsid w:val="00837064"/>
    <w:rsid w:val="008378AE"/>
    <w:rsid w:val="00840D4C"/>
    <w:rsid w:val="008410B4"/>
    <w:rsid w:val="00841582"/>
    <w:rsid w:val="00841FA9"/>
    <w:rsid w:val="008422DB"/>
    <w:rsid w:val="00842F1D"/>
    <w:rsid w:val="00842FFC"/>
    <w:rsid w:val="00843F60"/>
    <w:rsid w:val="00844469"/>
    <w:rsid w:val="008448E3"/>
    <w:rsid w:val="00844901"/>
    <w:rsid w:val="00844965"/>
    <w:rsid w:val="008449B9"/>
    <w:rsid w:val="00844C4B"/>
    <w:rsid w:val="00844D02"/>
    <w:rsid w:val="00844F99"/>
    <w:rsid w:val="00844FFB"/>
    <w:rsid w:val="0084519D"/>
    <w:rsid w:val="00845385"/>
    <w:rsid w:val="00845737"/>
    <w:rsid w:val="00845A9C"/>
    <w:rsid w:val="00846A84"/>
    <w:rsid w:val="00846C8D"/>
    <w:rsid w:val="00847066"/>
    <w:rsid w:val="00847191"/>
    <w:rsid w:val="00847363"/>
    <w:rsid w:val="0084761B"/>
    <w:rsid w:val="00847A81"/>
    <w:rsid w:val="0085053B"/>
    <w:rsid w:val="00850E70"/>
    <w:rsid w:val="00851A5C"/>
    <w:rsid w:val="00853A28"/>
    <w:rsid w:val="00853BEF"/>
    <w:rsid w:val="00854197"/>
    <w:rsid w:val="00854383"/>
    <w:rsid w:val="008544F3"/>
    <w:rsid w:val="00855951"/>
    <w:rsid w:val="00857A16"/>
    <w:rsid w:val="00857EBF"/>
    <w:rsid w:val="00860A1D"/>
    <w:rsid w:val="00861C5A"/>
    <w:rsid w:val="0086254F"/>
    <w:rsid w:val="0086288E"/>
    <w:rsid w:val="008629BD"/>
    <w:rsid w:val="00862BCC"/>
    <w:rsid w:val="00862CD1"/>
    <w:rsid w:val="00862E0D"/>
    <w:rsid w:val="008636B8"/>
    <w:rsid w:val="00863815"/>
    <w:rsid w:val="00863DAC"/>
    <w:rsid w:val="008640D9"/>
    <w:rsid w:val="008647B9"/>
    <w:rsid w:val="008653CB"/>
    <w:rsid w:val="0086564C"/>
    <w:rsid w:val="00866041"/>
    <w:rsid w:val="008662E2"/>
    <w:rsid w:val="00867181"/>
    <w:rsid w:val="008675F8"/>
    <w:rsid w:val="00867DB5"/>
    <w:rsid w:val="008701A8"/>
    <w:rsid w:val="00870393"/>
    <w:rsid w:val="008705B6"/>
    <w:rsid w:val="008706E6"/>
    <w:rsid w:val="00870ADF"/>
    <w:rsid w:val="00870D68"/>
    <w:rsid w:val="008717DC"/>
    <w:rsid w:val="008718DD"/>
    <w:rsid w:val="008724DE"/>
    <w:rsid w:val="00872670"/>
    <w:rsid w:val="00872F25"/>
    <w:rsid w:val="00872FF2"/>
    <w:rsid w:val="00873E1F"/>
    <w:rsid w:val="008746B7"/>
    <w:rsid w:val="008748E3"/>
    <w:rsid w:val="00874FEB"/>
    <w:rsid w:val="00875413"/>
    <w:rsid w:val="00875863"/>
    <w:rsid w:val="008758D9"/>
    <w:rsid w:val="00875C17"/>
    <w:rsid w:val="00876104"/>
    <w:rsid w:val="008770BE"/>
    <w:rsid w:val="008776A3"/>
    <w:rsid w:val="00880B7A"/>
    <w:rsid w:val="00880C64"/>
    <w:rsid w:val="00880CA2"/>
    <w:rsid w:val="008811BA"/>
    <w:rsid w:val="008817DE"/>
    <w:rsid w:val="00882564"/>
    <w:rsid w:val="00882639"/>
    <w:rsid w:val="00882737"/>
    <w:rsid w:val="00882B0A"/>
    <w:rsid w:val="00882C5F"/>
    <w:rsid w:val="00882F0D"/>
    <w:rsid w:val="00883024"/>
    <w:rsid w:val="00883757"/>
    <w:rsid w:val="00883BC7"/>
    <w:rsid w:val="0088402B"/>
    <w:rsid w:val="00884544"/>
    <w:rsid w:val="0088463F"/>
    <w:rsid w:val="00884BC8"/>
    <w:rsid w:val="00884EED"/>
    <w:rsid w:val="00885425"/>
    <w:rsid w:val="008854D4"/>
    <w:rsid w:val="00885757"/>
    <w:rsid w:val="00886B5C"/>
    <w:rsid w:val="00886BFF"/>
    <w:rsid w:val="00886FE9"/>
    <w:rsid w:val="008874A7"/>
    <w:rsid w:val="008876D0"/>
    <w:rsid w:val="00887B84"/>
    <w:rsid w:val="00887E92"/>
    <w:rsid w:val="008903CB"/>
    <w:rsid w:val="00890465"/>
    <w:rsid w:val="008904F8"/>
    <w:rsid w:val="00890629"/>
    <w:rsid w:val="00890755"/>
    <w:rsid w:val="00890BD3"/>
    <w:rsid w:val="00890F62"/>
    <w:rsid w:val="008918FB"/>
    <w:rsid w:val="00891EBB"/>
    <w:rsid w:val="00891F55"/>
    <w:rsid w:val="00892648"/>
    <w:rsid w:val="008929B7"/>
    <w:rsid w:val="00892A97"/>
    <w:rsid w:val="0089334D"/>
    <w:rsid w:val="008934DF"/>
    <w:rsid w:val="0089483B"/>
    <w:rsid w:val="00894B91"/>
    <w:rsid w:val="008957CE"/>
    <w:rsid w:val="00895AE2"/>
    <w:rsid w:val="00895C16"/>
    <w:rsid w:val="0089603E"/>
    <w:rsid w:val="00897280"/>
    <w:rsid w:val="00897C1F"/>
    <w:rsid w:val="008A12BB"/>
    <w:rsid w:val="008A150F"/>
    <w:rsid w:val="008A1597"/>
    <w:rsid w:val="008A1B7F"/>
    <w:rsid w:val="008A2333"/>
    <w:rsid w:val="008A2658"/>
    <w:rsid w:val="008A2786"/>
    <w:rsid w:val="008A2BB8"/>
    <w:rsid w:val="008A2FC4"/>
    <w:rsid w:val="008A30EA"/>
    <w:rsid w:val="008A3336"/>
    <w:rsid w:val="008A37E9"/>
    <w:rsid w:val="008A3D57"/>
    <w:rsid w:val="008A3D8D"/>
    <w:rsid w:val="008A3EAC"/>
    <w:rsid w:val="008A4F70"/>
    <w:rsid w:val="008A5139"/>
    <w:rsid w:val="008A5342"/>
    <w:rsid w:val="008A6100"/>
    <w:rsid w:val="008A62F7"/>
    <w:rsid w:val="008A63D6"/>
    <w:rsid w:val="008A6D91"/>
    <w:rsid w:val="008A7157"/>
    <w:rsid w:val="008A76E8"/>
    <w:rsid w:val="008A7867"/>
    <w:rsid w:val="008B058F"/>
    <w:rsid w:val="008B07BF"/>
    <w:rsid w:val="008B087A"/>
    <w:rsid w:val="008B0D92"/>
    <w:rsid w:val="008B113F"/>
    <w:rsid w:val="008B14C1"/>
    <w:rsid w:val="008B1937"/>
    <w:rsid w:val="008B1C4E"/>
    <w:rsid w:val="008B1E7A"/>
    <w:rsid w:val="008B211D"/>
    <w:rsid w:val="008B23BC"/>
    <w:rsid w:val="008B248E"/>
    <w:rsid w:val="008B2832"/>
    <w:rsid w:val="008B2A1E"/>
    <w:rsid w:val="008B2BB7"/>
    <w:rsid w:val="008B2D9E"/>
    <w:rsid w:val="008B3899"/>
    <w:rsid w:val="008B3A78"/>
    <w:rsid w:val="008B3F41"/>
    <w:rsid w:val="008B4389"/>
    <w:rsid w:val="008B46EC"/>
    <w:rsid w:val="008B4F59"/>
    <w:rsid w:val="008B6531"/>
    <w:rsid w:val="008B7643"/>
    <w:rsid w:val="008B7F50"/>
    <w:rsid w:val="008C0115"/>
    <w:rsid w:val="008C01BA"/>
    <w:rsid w:val="008C048E"/>
    <w:rsid w:val="008C078C"/>
    <w:rsid w:val="008C1A2A"/>
    <w:rsid w:val="008C248B"/>
    <w:rsid w:val="008C2D9D"/>
    <w:rsid w:val="008C30EF"/>
    <w:rsid w:val="008C3489"/>
    <w:rsid w:val="008C389D"/>
    <w:rsid w:val="008C3DD4"/>
    <w:rsid w:val="008C40B0"/>
    <w:rsid w:val="008C48AB"/>
    <w:rsid w:val="008C49AC"/>
    <w:rsid w:val="008C501E"/>
    <w:rsid w:val="008C523E"/>
    <w:rsid w:val="008C53EA"/>
    <w:rsid w:val="008C552F"/>
    <w:rsid w:val="008C5EFF"/>
    <w:rsid w:val="008C6CDF"/>
    <w:rsid w:val="008C7B0E"/>
    <w:rsid w:val="008C7E00"/>
    <w:rsid w:val="008D00FF"/>
    <w:rsid w:val="008D06C2"/>
    <w:rsid w:val="008D0E07"/>
    <w:rsid w:val="008D0F8A"/>
    <w:rsid w:val="008D1023"/>
    <w:rsid w:val="008D28ED"/>
    <w:rsid w:val="008D2CE3"/>
    <w:rsid w:val="008D2E7A"/>
    <w:rsid w:val="008D3BBF"/>
    <w:rsid w:val="008D4171"/>
    <w:rsid w:val="008D4764"/>
    <w:rsid w:val="008D4CA1"/>
    <w:rsid w:val="008D5ABA"/>
    <w:rsid w:val="008D5E3D"/>
    <w:rsid w:val="008D5EA7"/>
    <w:rsid w:val="008D69A5"/>
    <w:rsid w:val="008E025E"/>
    <w:rsid w:val="008E05E9"/>
    <w:rsid w:val="008E0FD2"/>
    <w:rsid w:val="008E1857"/>
    <w:rsid w:val="008E2607"/>
    <w:rsid w:val="008E2A73"/>
    <w:rsid w:val="008E2C86"/>
    <w:rsid w:val="008E2E67"/>
    <w:rsid w:val="008E328C"/>
    <w:rsid w:val="008E351D"/>
    <w:rsid w:val="008E3A63"/>
    <w:rsid w:val="008E3AE2"/>
    <w:rsid w:val="008E3BDB"/>
    <w:rsid w:val="008E3D60"/>
    <w:rsid w:val="008E3F4C"/>
    <w:rsid w:val="008E45EF"/>
    <w:rsid w:val="008E4F3A"/>
    <w:rsid w:val="008E4F58"/>
    <w:rsid w:val="008E54ED"/>
    <w:rsid w:val="008E5E12"/>
    <w:rsid w:val="008E612F"/>
    <w:rsid w:val="008E62E0"/>
    <w:rsid w:val="008E6450"/>
    <w:rsid w:val="008E66F0"/>
    <w:rsid w:val="008E715C"/>
    <w:rsid w:val="008E7D58"/>
    <w:rsid w:val="008F062E"/>
    <w:rsid w:val="008F1386"/>
    <w:rsid w:val="008F1898"/>
    <w:rsid w:val="008F190B"/>
    <w:rsid w:val="008F1C77"/>
    <w:rsid w:val="008F1EB6"/>
    <w:rsid w:val="008F1F06"/>
    <w:rsid w:val="008F20A5"/>
    <w:rsid w:val="008F2299"/>
    <w:rsid w:val="008F320F"/>
    <w:rsid w:val="008F3289"/>
    <w:rsid w:val="008F35F3"/>
    <w:rsid w:val="008F3795"/>
    <w:rsid w:val="008F4102"/>
    <w:rsid w:val="008F5856"/>
    <w:rsid w:val="008F59A8"/>
    <w:rsid w:val="008F6EA9"/>
    <w:rsid w:val="008F7EF8"/>
    <w:rsid w:val="0090000C"/>
    <w:rsid w:val="0090040E"/>
    <w:rsid w:val="00900755"/>
    <w:rsid w:val="009008AF"/>
    <w:rsid w:val="009008EE"/>
    <w:rsid w:val="00900AF6"/>
    <w:rsid w:val="00900CB6"/>
    <w:rsid w:val="00901626"/>
    <w:rsid w:val="0090165F"/>
    <w:rsid w:val="00901B82"/>
    <w:rsid w:val="00901DCD"/>
    <w:rsid w:val="00903266"/>
    <w:rsid w:val="00903276"/>
    <w:rsid w:val="00903AB4"/>
    <w:rsid w:val="00903F56"/>
    <w:rsid w:val="0090479E"/>
    <w:rsid w:val="009054A9"/>
    <w:rsid w:val="00905AC6"/>
    <w:rsid w:val="00906402"/>
    <w:rsid w:val="00907024"/>
    <w:rsid w:val="00907836"/>
    <w:rsid w:val="009078F8"/>
    <w:rsid w:val="00907B19"/>
    <w:rsid w:val="00910859"/>
    <w:rsid w:val="00910D61"/>
    <w:rsid w:val="009110FA"/>
    <w:rsid w:val="0091186C"/>
    <w:rsid w:val="0091244F"/>
    <w:rsid w:val="00912595"/>
    <w:rsid w:val="00912B09"/>
    <w:rsid w:val="009136C4"/>
    <w:rsid w:val="00913E00"/>
    <w:rsid w:val="00913EC8"/>
    <w:rsid w:val="0091427B"/>
    <w:rsid w:val="00914670"/>
    <w:rsid w:val="0091537B"/>
    <w:rsid w:val="00917176"/>
    <w:rsid w:val="00917267"/>
    <w:rsid w:val="009204EC"/>
    <w:rsid w:val="00920870"/>
    <w:rsid w:val="00920991"/>
    <w:rsid w:val="00920C55"/>
    <w:rsid w:val="00921638"/>
    <w:rsid w:val="00921859"/>
    <w:rsid w:val="00922010"/>
    <w:rsid w:val="0092213E"/>
    <w:rsid w:val="00922467"/>
    <w:rsid w:val="00922936"/>
    <w:rsid w:val="00922DF7"/>
    <w:rsid w:val="00923ECA"/>
    <w:rsid w:val="00923F4C"/>
    <w:rsid w:val="00924735"/>
    <w:rsid w:val="00924AD1"/>
    <w:rsid w:val="00925EB8"/>
    <w:rsid w:val="00926A77"/>
    <w:rsid w:val="00926ED9"/>
    <w:rsid w:val="0092743C"/>
    <w:rsid w:val="00927571"/>
    <w:rsid w:val="009276E4"/>
    <w:rsid w:val="009277FB"/>
    <w:rsid w:val="009279FC"/>
    <w:rsid w:val="00930253"/>
    <w:rsid w:val="0093057E"/>
    <w:rsid w:val="009309C7"/>
    <w:rsid w:val="00930A74"/>
    <w:rsid w:val="0093161A"/>
    <w:rsid w:val="00931B1A"/>
    <w:rsid w:val="00931CAC"/>
    <w:rsid w:val="00931D0D"/>
    <w:rsid w:val="009324C0"/>
    <w:rsid w:val="00932937"/>
    <w:rsid w:val="00933114"/>
    <w:rsid w:val="0093339C"/>
    <w:rsid w:val="00933993"/>
    <w:rsid w:val="00933D32"/>
    <w:rsid w:val="00934CF1"/>
    <w:rsid w:val="00935061"/>
    <w:rsid w:val="009351D5"/>
    <w:rsid w:val="009352F5"/>
    <w:rsid w:val="00935F9C"/>
    <w:rsid w:val="00936059"/>
    <w:rsid w:val="00936063"/>
    <w:rsid w:val="00936F04"/>
    <w:rsid w:val="00937430"/>
    <w:rsid w:val="00937922"/>
    <w:rsid w:val="00940117"/>
    <w:rsid w:val="009409CB"/>
    <w:rsid w:val="00941572"/>
    <w:rsid w:val="009417BC"/>
    <w:rsid w:val="0094219A"/>
    <w:rsid w:val="009425A9"/>
    <w:rsid w:val="009430DE"/>
    <w:rsid w:val="009432CF"/>
    <w:rsid w:val="009437AF"/>
    <w:rsid w:val="0094479E"/>
    <w:rsid w:val="009449B4"/>
    <w:rsid w:val="00945169"/>
    <w:rsid w:val="009452FE"/>
    <w:rsid w:val="0094559A"/>
    <w:rsid w:val="00945927"/>
    <w:rsid w:val="009462CB"/>
    <w:rsid w:val="0094690C"/>
    <w:rsid w:val="009475EF"/>
    <w:rsid w:val="00947BED"/>
    <w:rsid w:val="009500C1"/>
    <w:rsid w:val="009505A8"/>
    <w:rsid w:val="0095066B"/>
    <w:rsid w:val="00950B11"/>
    <w:rsid w:val="00950E08"/>
    <w:rsid w:val="00950FB5"/>
    <w:rsid w:val="0095101B"/>
    <w:rsid w:val="00951460"/>
    <w:rsid w:val="00951A78"/>
    <w:rsid w:val="00951C72"/>
    <w:rsid w:val="009522AF"/>
    <w:rsid w:val="00952824"/>
    <w:rsid w:val="00952BD4"/>
    <w:rsid w:val="00952DE2"/>
    <w:rsid w:val="00953667"/>
    <w:rsid w:val="00954330"/>
    <w:rsid w:val="0095444D"/>
    <w:rsid w:val="00954EF3"/>
    <w:rsid w:val="00955388"/>
    <w:rsid w:val="00955FE7"/>
    <w:rsid w:val="00956033"/>
    <w:rsid w:val="00956233"/>
    <w:rsid w:val="009563F8"/>
    <w:rsid w:val="009565E7"/>
    <w:rsid w:val="00957C47"/>
    <w:rsid w:val="00957C9B"/>
    <w:rsid w:val="00957EF8"/>
    <w:rsid w:val="00960748"/>
    <w:rsid w:val="009608DA"/>
    <w:rsid w:val="009609BA"/>
    <w:rsid w:val="00960F1D"/>
    <w:rsid w:val="00961062"/>
    <w:rsid w:val="009620C8"/>
    <w:rsid w:val="00962C6A"/>
    <w:rsid w:val="00963A12"/>
    <w:rsid w:val="00963ED7"/>
    <w:rsid w:val="0096535A"/>
    <w:rsid w:val="0096582D"/>
    <w:rsid w:val="00965C17"/>
    <w:rsid w:val="00965C9F"/>
    <w:rsid w:val="00965FB5"/>
    <w:rsid w:val="00966A56"/>
    <w:rsid w:val="00966B52"/>
    <w:rsid w:val="00966C22"/>
    <w:rsid w:val="00966C2F"/>
    <w:rsid w:val="00967181"/>
    <w:rsid w:val="009671C2"/>
    <w:rsid w:val="0096742A"/>
    <w:rsid w:val="00967DB4"/>
    <w:rsid w:val="009705D0"/>
    <w:rsid w:val="009708A2"/>
    <w:rsid w:val="009708B8"/>
    <w:rsid w:val="00970914"/>
    <w:rsid w:val="00970FF1"/>
    <w:rsid w:val="00971292"/>
    <w:rsid w:val="00971EC4"/>
    <w:rsid w:val="00971FE5"/>
    <w:rsid w:val="009721D6"/>
    <w:rsid w:val="00972C32"/>
    <w:rsid w:val="00972CDE"/>
    <w:rsid w:val="00972EF4"/>
    <w:rsid w:val="00972EFC"/>
    <w:rsid w:val="009736C1"/>
    <w:rsid w:val="009739A9"/>
    <w:rsid w:val="00973BBB"/>
    <w:rsid w:val="0097436A"/>
    <w:rsid w:val="00974902"/>
    <w:rsid w:val="00974B84"/>
    <w:rsid w:val="00974CF6"/>
    <w:rsid w:val="00974E72"/>
    <w:rsid w:val="0097512B"/>
    <w:rsid w:val="009760B2"/>
    <w:rsid w:val="00976626"/>
    <w:rsid w:val="00976C14"/>
    <w:rsid w:val="00977189"/>
    <w:rsid w:val="0097767A"/>
    <w:rsid w:val="00977791"/>
    <w:rsid w:val="009777EE"/>
    <w:rsid w:val="00977C9F"/>
    <w:rsid w:val="009800FE"/>
    <w:rsid w:val="0098042C"/>
    <w:rsid w:val="009808B9"/>
    <w:rsid w:val="00981B48"/>
    <w:rsid w:val="00982404"/>
    <w:rsid w:val="0098279E"/>
    <w:rsid w:val="009831F7"/>
    <w:rsid w:val="009837C9"/>
    <w:rsid w:val="00983D81"/>
    <w:rsid w:val="00984564"/>
    <w:rsid w:val="009861B6"/>
    <w:rsid w:val="00986695"/>
    <w:rsid w:val="009869B8"/>
    <w:rsid w:val="00986FBB"/>
    <w:rsid w:val="009873C1"/>
    <w:rsid w:val="00987BA3"/>
    <w:rsid w:val="00990400"/>
    <w:rsid w:val="0099113F"/>
    <w:rsid w:val="009912A0"/>
    <w:rsid w:val="009913DE"/>
    <w:rsid w:val="00991B65"/>
    <w:rsid w:val="00991CCD"/>
    <w:rsid w:val="00992563"/>
    <w:rsid w:val="00992BAD"/>
    <w:rsid w:val="00992F39"/>
    <w:rsid w:val="009931E0"/>
    <w:rsid w:val="009943E7"/>
    <w:rsid w:val="00994858"/>
    <w:rsid w:val="00994BC3"/>
    <w:rsid w:val="00994C31"/>
    <w:rsid w:val="00997005"/>
    <w:rsid w:val="00997054"/>
    <w:rsid w:val="00997497"/>
    <w:rsid w:val="00997982"/>
    <w:rsid w:val="00997B37"/>
    <w:rsid w:val="00997D6A"/>
    <w:rsid w:val="009A0388"/>
    <w:rsid w:val="009A03BF"/>
    <w:rsid w:val="009A056A"/>
    <w:rsid w:val="009A1259"/>
    <w:rsid w:val="009A1327"/>
    <w:rsid w:val="009A1445"/>
    <w:rsid w:val="009A14E3"/>
    <w:rsid w:val="009A20E4"/>
    <w:rsid w:val="009A22EC"/>
    <w:rsid w:val="009A24FB"/>
    <w:rsid w:val="009A253E"/>
    <w:rsid w:val="009A2841"/>
    <w:rsid w:val="009A29D4"/>
    <w:rsid w:val="009A2C1C"/>
    <w:rsid w:val="009A3964"/>
    <w:rsid w:val="009A4413"/>
    <w:rsid w:val="009A4D60"/>
    <w:rsid w:val="009A4DB0"/>
    <w:rsid w:val="009A504A"/>
    <w:rsid w:val="009A52D1"/>
    <w:rsid w:val="009A5D7F"/>
    <w:rsid w:val="009A629F"/>
    <w:rsid w:val="009A66CD"/>
    <w:rsid w:val="009A70DA"/>
    <w:rsid w:val="009A7199"/>
    <w:rsid w:val="009A7293"/>
    <w:rsid w:val="009A72FE"/>
    <w:rsid w:val="009A7369"/>
    <w:rsid w:val="009A7469"/>
    <w:rsid w:val="009A7904"/>
    <w:rsid w:val="009A7EB3"/>
    <w:rsid w:val="009A7FA5"/>
    <w:rsid w:val="009B088C"/>
    <w:rsid w:val="009B0F06"/>
    <w:rsid w:val="009B11C9"/>
    <w:rsid w:val="009B1C85"/>
    <w:rsid w:val="009B1D74"/>
    <w:rsid w:val="009B222F"/>
    <w:rsid w:val="009B25DE"/>
    <w:rsid w:val="009B2780"/>
    <w:rsid w:val="009B3307"/>
    <w:rsid w:val="009B33D9"/>
    <w:rsid w:val="009B3AC1"/>
    <w:rsid w:val="009B4349"/>
    <w:rsid w:val="009B4CBA"/>
    <w:rsid w:val="009B5199"/>
    <w:rsid w:val="009B5A73"/>
    <w:rsid w:val="009B6383"/>
    <w:rsid w:val="009B6470"/>
    <w:rsid w:val="009B6832"/>
    <w:rsid w:val="009B7AFD"/>
    <w:rsid w:val="009B7B8E"/>
    <w:rsid w:val="009C02AC"/>
    <w:rsid w:val="009C05F0"/>
    <w:rsid w:val="009C0DA8"/>
    <w:rsid w:val="009C10DE"/>
    <w:rsid w:val="009C19B4"/>
    <w:rsid w:val="009C1EC2"/>
    <w:rsid w:val="009C21BB"/>
    <w:rsid w:val="009C240B"/>
    <w:rsid w:val="009C3E02"/>
    <w:rsid w:val="009C5399"/>
    <w:rsid w:val="009C54F8"/>
    <w:rsid w:val="009C57E4"/>
    <w:rsid w:val="009C5CF8"/>
    <w:rsid w:val="009C61BD"/>
    <w:rsid w:val="009C629C"/>
    <w:rsid w:val="009C6616"/>
    <w:rsid w:val="009C71D0"/>
    <w:rsid w:val="009C7AD2"/>
    <w:rsid w:val="009D07F4"/>
    <w:rsid w:val="009D0990"/>
    <w:rsid w:val="009D1235"/>
    <w:rsid w:val="009D12E8"/>
    <w:rsid w:val="009D164A"/>
    <w:rsid w:val="009D1927"/>
    <w:rsid w:val="009D1AE2"/>
    <w:rsid w:val="009D1F1E"/>
    <w:rsid w:val="009D20C8"/>
    <w:rsid w:val="009D2204"/>
    <w:rsid w:val="009D25A3"/>
    <w:rsid w:val="009D3CCA"/>
    <w:rsid w:val="009D3E80"/>
    <w:rsid w:val="009D3F78"/>
    <w:rsid w:val="009D4506"/>
    <w:rsid w:val="009D4D28"/>
    <w:rsid w:val="009D4DB5"/>
    <w:rsid w:val="009D516F"/>
    <w:rsid w:val="009D6149"/>
    <w:rsid w:val="009D67F6"/>
    <w:rsid w:val="009D77CD"/>
    <w:rsid w:val="009D7926"/>
    <w:rsid w:val="009E0199"/>
    <w:rsid w:val="009E021C"/>
    <w:rsid w:val="009E0758"/>
    <w:rsid w:val="009E08D1"/>
    <w:rsid w:val="009E0FE1"/>
    <w:rsid w:val="009E1527"/>
    <w:rsid w:val="009E1EE3"/>
    <w:rsid w:val="009E265F"/>
    <w:rsid w:val="009E297C"/>
    <w:rsid w:val="009E31B4"/>
    <w:rsid w:val="009E3761"/>
    <w:rsid w:val="009E3CF0"/>
    <w:rsid w:val="009E3CF7"/>
    <w:rsid w:val="009E3D50"/>
    <w:rsid w:val="009E443A"/>
    <w:rsid w:val="009E4676"/>
    <w:rsid w:val="009E4BD0"/>
    <w:rsid w:val="009E626D"/>
    <w:rsid w:val="009E628A"/>
    <w:rsid w:val="009E6D6F"/>
    <w:rsid w:val="009E713E"/>
    <w:rsid w:val="009E71A8"/>
    <w:rsid w:val="009E7852"/>
    <w:rsid w:val="009E7E9F"/>
    <w:rsid w:val="009F01CB"/>
    <w:rsid w:val="009F0AB2"/>
    <w:rsid w:val="009F0BBF"/>
    <w:rsid w:val="009F1A80"/>
    <w:rsid w:val="009F24AC"/>
    <w:rsid w:val="009F2764"/>
    <w:rsid w:val="009F2C16"/>
    <w:rsid w:val="009F4288"/>
    <w:rsid w:val="009F49B4"/>
    <w:rsid w:val="009F4BE8"/>
    <w:rsid w:val="009F50FB"/>
    <w:rsid w:val="009F59C2"/>
    <w:rsid w:val="009F615D"/>
    <w:rsid w:val="009F6CF8"/>
    <w:rsid w:val="009F6E36"/>
    <w:rsid w:val="009F6EEE"/>
    <w:rsid w:val="009F7263"/>
    <w:rsid w:val="009F7425"/>
    <w:rsid w:val="009F74A9"/>
    <w:rsid w:val="009F7A32"/>
    <w:rsid w:val="009F7A99"/>
    <w:rsid w:val="00A00BD3"/>
    <w:rsid w:val="00A01C91"/>
    <w:rsid w:val="00A01D43"/>
    <w:rsid w:val="00A01E3C"/>
    <w:rsid w:val="00A0238B"/>
    <w:rsid w:val="00A02A80"/>
    <w:rsid w:val="00A03C9A"/>
    <w:rsid w:val="00A0406E"/>
    <w:rsid w:val="00A0443D"/>
    <w:rsid w:val="00A04888"/>
    <w:rsid w:val="00A048A6"/>
    <w:rsid w:val="00A05065"/>
    <w:rsid w:val="00A05139"/>
    <w:rsid w:val="00A0656E"/>
    <w:rsid w:val="00A0695D"/>
    <w:rsid w:val="00A06F85"/>
    <w:rsid w:val="00A0716C"/>
    <w:rsid w:val="00A1027B"/>
    <w:rsid w:val="00A105C4"/>
    <w:rsid w:val="00A1073F"/>
    <w:rsid w:val="00A11003"/>
    <w:rsid w:val="00A11075"/>
    <w:rsid w:val="00A11307"/>
    <w:rsid w:val="00A11C6E"/>
    <w:rsid w:val="00A12025"/>
    <w:rsid w:val="00A13602"/>
    <w:rsid w:val="00A13AF3"/>
    <w:rsid w:val="00A13C2A"/>
    <w:rsid w:val="00A13E5B"/>
    <w:rsid w:val="00A14548"/>
    <w:rsid w:val="00A14733"/>
    <w:rsid w:val="00A15790"/>
    <w:rsid w:val="00A159AA"/>
    <w:rsid w:val="00A16775"/>
    <w:rsid w:val="00A17771"/>
    <w:rsid w:val="00A179B0"/>
    <w:rsid w:val="00A17E1E"/>
    <w:rsid w:val="00A17E50"/>
    <w:rsid w:val="00A20747"/>
    <w:rsid w:val="00A20C71"/>
    <w:rsid w:val="00A210C5"/>
    <w:rsid w:val="00A21262"/>
    <w:rsid w:val="00A21388"/>
    <w:rsid w:val="00A2225E"/>
    <w:rsid w:val="00A223AC"/>
    <w:rsid w:val="00A224D1"/>
    <w:rsid w:val="00A22929"/>
    <w:rsid w:val="00A22CF3"/>
    <w:rsid w:val="00A22E30"/>
    <w:rsid w:val="00A22EA9"/>
    <w:rsid w:val="00A23D3A"/>
    <w:rsid w:val="00A240C2"/>
    <w:rsid w:val="00A248B5"/>
    <w:rsid w:val="00A248FE"/>
    <w:rsid w:val="00A2595E"/>
    <w:rsid w:val="00A25B8A"/>
    <w:rsid w:val="00A25EC5"/>
    <w:rsid w:val="00A2620E"/>
    <w:rsid w:val="00A264EB"/>
    <w:rsid w:val="00A26D5A"/>
    <w:rsid w:val="00A27130"/>
    <w:rsid w:val="00A27791"/>
    <w:rsid w:val="00A27ABE"/>
    <w:rsid w:val="00A27B52"/>
    <w:rsid w:val="00A3090F"/>
    <w:rsid w:val="00A31B9E"/>
    <w:rsid w:val="00A327FF"/>
    <w:rsid w:val="00A33A97"/>
    <w:rsid w:val="00A34392"/>
    <w:rsid w:val="00A355F9"/>
    <w:rsid w:val="00A35BC7"/>
    <w:rsid w:val="00A35E26"/>
    <w:rsid w:val="00A36020"/>
    <w:rsid w:val="00A3617F"/>
    <w:rsid w:val="00A37F85"/>
    <w:rsid w:val="00A40163"/>
    <w:rsid w:val="00A40881"/>
    <w:rsid w:val="00A41355"/>
    <w:rsid w:val="00A41420"/>
    <w:rsid w:val="00A41786"/>
    <w:rsid w:val="00A41A4D"/>
    <w:rsid w:val="00A41B1F"/>
    <w:rsid w:val="00A41E3A"/>
    <w:rsid w:val="00A41EAC"/>
    <w:rsid w:val="00A437B6"/>
    <w:rsid w:val="00A43B92"/>
    <w:rsid w:val="00A4431C"/>
    <w:rsid w:val="00A44353"/>
    <w:rsid w:val="00A44909"/>
    <w:rsid w:val="00A45081"/>
    <w:rsid w:val="00A466B6"/>
    <w:rsid w:val="00A467BD"/>
    <w:rsid w:val="00A46EFE"/>
    <w:rsid w:val="00A472B5"/>
    <w:rsid w:val="00A473A6"/>
    <w:rsid w:val="00A4799A"/>
    <w:rsid w:val="00A47A2A"/>
    <w:rsid w:val="00A503E8"/>
    <w:rsid w:val="00A50C39"/>
    <w:rsid w:val="00A5181C"/>
    <w:rsid w:val="00A51916"/>
    <w:rsid w:val="00A524D8"/>
    <w:rsid w:val="00A52C1B"/>
    <w:rsid w:val="00A52D28"/>
    <w:rsid w:val="00A5351F"/>
    <w:rsid w:val="00A53F27"/>
    <w:rsid w:val="00A54251"/>
    <w:rsid w:val="00A545B5"/>
    <w:rsid w:val="00A54DA6"/>
    <w:rsid w:val="00A554BC"/>
    <w:rsid w:val="00A555F2"/>
    <w:rsid w:val="00A5585E"/>
    <w:rsid w:val="00A55BD7"/>
    <w:rsid w:val="00A55D4C"/>
    <w:rsid w:val="00A562D9"/>
    <w:rsid w:val="00A5689F"/>
    <w:rsid w:val="00A57851"/>
    <w:rsid w:val="00A57C77"/>
    <w:rsid w:val="00A57C7A"/>
    <w:rsid w:val="00A60DE4"/>
    <w:rsid w:val="00A6179E"/>
    <w:rsid w:val="00A61C04"/>
    <w:rsid w:val="00A61C4D"/>
    <w:rsid w:val="00A61C9C"/>
    <w:rsid w:val="00A62A56"/>
    <w:rsid w:val="00A62E58"/>
    <w:rsid w:val="00A64316"/>
    <w:rsid w:val="00A64841"/>
    <w:rsid w:val="00A64DFA"/>
    <w:rsid w:val="00A65559"/>
    <w:rsid w:val="00A656FC"/>
    <w:rsid w:val="00A65740"/>
    <w:rsid w:val="00A65F7D"/>
    <w:rsid w:val="00A66FC8"/>
    <w:rsid w:val="00A673AE"/>
    <w:rsid w:val="00A67AF4"/>
    <w:rsid w:val="00A67E6E"/>
    <w:rsid w:val="00A71256"/>
    <w:rsid w:val="00A713CC"/>
    <w:rsid w:val="00A71669"/>
    <w:rsid w:val="00A720C4"/>
    <w:rsid w:val="00A7219E"/>
    <w:rsid w:val="00A72223"/>
    <w:rsid w:val="00A72266"/>
    <w:rsid w:val="00A7273E"/>
    <w:rsid w:val="00A72E86"/>
    <w:rsid w:val="00A7379B"/>
    <w:rsid w:val="00A738F1"/>
    <w:rsid w:val="00A73F2F"/>
    <w:rsid w:val="00A73FC8"/>
    <w:rsid w:val="00A740E2"/>
    <w:rsid w:val="00A748B0"/>
    <w:rsid w:val="00A74F22"/>
    <w:rsid w:val="00A7507D"/>
    <w:rsid w:val="00A757DE"/>
    <w:rsid w:val="00A76B22"/>
    <w:rsid w:val="00A77800"/>
    <w:rsid w:val="00A77A9B"/>
    <w:rsid w:val="00A804CF"/>
    <w:rsid w:val="00A804D9"/>
    <w:rsid w:val="00A80F09"/>
    <w:rsid w:val="00A8113A"/>
    <w:rsid w:val="00A820A0"/>
    <w:rsid w:val="00A83543"/>
    <w:rsid w:val="00A84A08"/>
    <w:rsid w:val="00A8573B"/>
    <w:rsid w:val="00A857AC"/>
    <w:rsid w:val="00A85D18"/>
    <w:rsid w:val="00A85D5C"/>
    <w:rsid w:val="00A85E24"/>
    <w:rsid w:val="00A87A3E"/>
    <w:rsid w:val="00A87A65"/>
    <w:rsid w:val="00A87FDB"/>
    <w:rsid w:val="00A9069D"/>
    <w:rsid w:val="00A907B3"/>
    <w:rsid w:val="00A90967"/>
    <w:rsid w:val="00A90C7A"/>
    <w:rsid w:val="00A9126E"/>
    <w:rsid w:val="00A91357"/>
    <w:rsid w:val="00A91539"/>
    <w:rsid w:val="00A9164F"/>
    <w:rsid w:val="00A92310"/>
    <w:rsid w:val="00A92915"/>
    <w:rsid w:val="00A92F92"/>
    <w:rsid w:val="00A92FF0"/>
    <w:rsid w:val="00A9340E"/>
    <w:rsid w:val="00A935F4"/>
    <w:rsid w:val="00A93E6B"/>
    <w:rsid w:val="00A9681D"/>
    <w:rsid w:val="00A96892"/>
    <w:rsid w:val="00A96B91"/>
    <w:rsid w:val="00A97994"/>
    <w:rsid w:val="00A97D01"/>
    <w:rsid w:val="00AA0251"/>
    <w:rsid w:val="00AA03D9"/>
    <w:rsid w:val="00AA0F70"/>
    <w:rsid w:val="00AA15AC"/>
    <w:rsid w:val="00AA1CBB"/>
    <w:rsid w:val="00AA1CE6"/>
    <w:rsid w:val="00AA1E65"/>
    <w:rsid w:val="00AA1E97"/>
    <w:rsid w:val="00AA2051"/>
    <w:rsid w:val="00AA23E1"/>
    <w:rsid w:val="00AA30A9"/>
    <w:rsid w:val="00AA324A"/>
    <w:rsid w:val="00AA32DA"/>
    <w:rsid w:val="00AA392C"/>
    <w:rsid w:val="00AA3F1B"/>
    <w:rsid w:val="00AA4770"/>
    <w:rsid w:val="00AA4CAA"/>
    <w:rsid w:val="00AA51F1"/>
    <w:rsid w:val="00AA53E9"/>
    <w:rsid w:val="00AA548F"/>
    <w:rsid w:val="00AA5EB1"/>
    <w:rsid w:val="00AA6606"/>
    <w:rsid w:val="00AA70C4"/>
    <w:rsid w:val="00AB061A"/>
    <w:rsid w:val="00AB08A9"/>
    <w:rsid w:val="00AB0E07"/>
    <w:rsid w:val="00AB0F63"/>
    <w:rsid w:val="00AB1820"/>
    <w:rsid w:val="00AB1F9A"/>
    <w:rsid w:val="00AB264C"/>
    <w:rsid w:val="00AB38F2"/>
    <w:rsid w:val="00AB3E82"/>
    <w:rsid w:val="00AB4783"/>
    <w:rsid w:val="00AB527C"/>
    <w:rsid w:val="00AB73F1"/>
    <w:rsid w:val="00AB7C8F"/>
    <w:rsid w:val="00AB7CB3"/>
    <w:rsid w:val="00AC0375"/>
    <w:rsid w:val="00AC0707"/>
    <w:rsid w:val="00AC084E"/>
    <w:rsid w:val="00AC1817"/>
    <w:rsid w:val="00AC1A37"/>
    <w:rsid w:val="00AC1DD8"/>
    <w:rsid w:val="00AC2192"/>
    <w:rsid w:val="00AC33E7"/>
    <w:rsid w:val="00AC3A7B"/>
    <w:rsid w:val="00AC3D09"/>
    <w:rsid w:val="00AC3F77"/>
    <w:rsid w:val="00AC5410"/>
    <w:rsid w:val="00AC6096"/>
    <w:rsid w:val="00AC614F"/>
    <w:rsid w:val="00AC636D"/>
    <w:rsid w:val="00AC685B"/>
    <w:rsid w:val="00AC6BEC"/>
    <w:rsid w:val="00AC6FF7"/>
    <w:rsid w:val="00AC7032"/>
    <w:rsid w:val="00AC7539"/>
    <w:rsid w:val="00AC76E8"/>
    <w:rsid w:val="00AC7723"/>
    <w:rsid w:val="00AD0773"/>
    <w:rsid w:val="00AD0F97"/>
    <w:rsid w:val="00AD151E"/>
    <w:rsid w:val="00AD18D6"/>
    <w:rsid w:val="00AD1C2A"/>
    <w:rsid w:val="00AD1EC3"/>
    <w:rsid w:val="00AD2D30"/>
    <w:rsid w:val="00AD31E9"/>
    <w:rsid w:val="00AD35BF"/>
    <w:rsid w:val="00AD3B58"/>
    <w:rsid w:val="00AD3C27"/>
    <w:rsid w:val="00AD4583"/>
    <w:rsid w:val="00AD52A9"/>
    <w:rsid w:val="00AD53AA"/>
    <w:rsid w:val="00AD5472"/>
    <w:rsid w:val="00AD5C6E"/>
    <w:rsid w:val="00AD6630"/>
    <w:rsid w:val="00AD726B"/>
    <w:rsid w:val="00AD7CA4"/>
    <w:rsid w:val="00AD7E80"/>
    <w:rsid w:val="00AE03A5"/>
    <w:rsid w:val="00AE0E5D"/>
    <w:rsid w:val="00AE124A"/>
    <w:rsid w:val="00AE149A"/>
    <w:rsid w:val="00AE189E"/>
    <w:rsid w:val="00AE1FE7"/>
    <w:rsid w:val="00AE20BB"/>
    <w:rsid w:val="00AE2DF3"/>
    <w:rsid w:val="00AE2DF4"/>
    <w:rsid w:val="00AE3197"/>
    <w:rsid w:val="00AE3D3C"/>
    <w:rsid w:val="00AE3DD1"/>
    <w:rsid w:val="00AE3E14"/>
    <w:rsid w:val="00AE4705"/>
    <w:rsid w:val="00AE4B1A"/>
    <w:rsid w:val="00AE4E4C"/>
    <w:rsid w:val="00AE5303"/>
    <w:rsid w:val="00AE5B2F"/>
    <w:rsid w:val="00AE62CE"/>
    <w:rsid w:val="00AE7221"/>
    <w:rsid w:val="00AF01C3"/>
    <w:rsid w:val="00AF0A8E"/>
    <w:rsid w:val="00AF0DEA"/>
    <w:rsid w:val="00AF1DE0"/>
    <w:rsid w:val="00AF2B5C"/>
    <w:rsid w:val="00AF2D97"/>
    <w:rsid w:val="00AF2F7E"/>
    <w:rsid w:val="00AF32E9"/>
    <w:rsid w:val="00AF3459"/>
    <w:rsid w:val="00AF3DED"/>
    <w:rsid w:val="00AF3F80"/>
    <w:rsid w:val="00AF42C0"/>
    <w:rsid w:val="00AF46C7"/>
    <w:rsid w:val="00AF4BFC"/>
    <w:rsid w:val="00AF527D"/>
    <w:rsid w:val="00AF57F5"/>
    <w:rsid w:val="00AF64FB"/>
    <w:rsid w:val="00AF69FC"/>
    <w:rsid w:val="00AF6E51"/>
    <w:rsid w:val="00AF6E6B"/>
    <w:rsid w:val="00AF75E7"/>
    <w:rsid w:val="00B002CD"/>
    <w:rsid w:val="00B007F0"/>
    <w:rsid w:val="00B00C8B"/>
    <w:rsid w:val="00B00F61"/>
    <w:rsid w:val="00B01407"/>
    <w:rsid w:val="00B01739"/>
    <w:rsid w:val="00B018E6"/>
    <w:rsid w:val="00B01A6E"/>
    <w:rsid w:val="00B02CA2"/>
    <w:rsid w:val="00B0357E"/>
    <w:rsid w:val="00B03B52"/>
    <w:rsid w:val="00B03FA3"/>
    <w:rsid w:val="00B04E9C"/>
    <w:rsid w:val="00B052D1"/>
    <w:rsid w:val="00B05330"/>
    <w:rsid w:val="00B06018"/>
    <w:rsid w:val="00B067C9"/>
    <w:rsid w:val="00B06848"/>
    <w:rsid w:val="00B06876"/>
    <w:rsid w:val="00B1075E"/>
    <w:rsid w:val="00B10F25"/>
    <w:rsid w:val="00B10FFB"/>
    <w:rsid w:val="00B11143"/>
    <w:rsid w:val="00B111C2"/>
    <w:rsid w:val="00B116F1"/>
    <w:rsid w:val="00B11839"/>
    <w:rsid w:val="00B11A7F"/>
    <w:rsid w:val="00B12DC1"/>
    <w:rsid w:val="00B12EEB"/>
    <w:rsid w:val="00B14371"/>
    <w:rsid w:val="00B14403"/>
    <w:rsid w:val="00B144B2"/>
    <w:rsid w:val="00B14A53"/>
    <w:rsid w:val="00B14E74"/>
    <w:rsid w:val="00B15781"/>
    <w:rsid w:val="00B15E94"/>
    <w:rsid w:val="00B15EFC"/>
    <w:rsid w:val="00B167BE"/>
    <w:rsid w:val="00B16881"/>
    <w:rsid w:val="00B16A09"/>
    <w:rsid w:val="00B17068"/>
    <w:rsid w:val="00B20291"/>
    <w:rsid w:val="00B202ED"/>
    <w:rsid w:val="00B20706"/>
    <w:rsid w:val="00B20D58"/>
    <w:rsid w:val="00B20D8A"/>
    <w:rsid w:val="00B20ED4"/>
    <w:rsid w:val="00B21EF1"/>
    <w:rsid w:val="00B22309"/>
    <w:rsid w:val="00B2263E"/>
    <w:rsid w:val="00B237FB"/>
    <w:rsid w:val="00B23A12"/>
    <w:rsid w:val="00B23BDF"/>
    <w:rsid w:val="00B23CF5"/>
    <w:rsid w:val="00B24B1D"/>
    <w:rsid w:val="00B253A2"/>
    <w:rsid w:val="00B2587B"/>
    <w:rsid w:val="00B25D20"/>
    <w:rsid w:val="00B25D4E"/>
    <w:rsid w:val="00B26C33"/>
    <w:rsid w:val="00B27035"/>
    <w:rsid w:val="00B270D2"/>
    <w:rsid w:val="00B277E0"/>
    <w:rsid w:val="00B27832"/>
    <w:rsid w:val="00B27F24"/>
    <w:rsid w:val="00B305BE"/>
    <w:rsid w:val="00B307E0"/>
    <w:rsid w:val="00B30835"/>
    <w:rsid w:val="00B311E6"/>
    <w:rsid w:val="00B31287"/>
    <w:rsid w:val="00B32801"/>
    <w:rsid w:val="00B3293D"/>
    <w:rsid w:val="00B33982"/>
    <w:rsid w:val="00B33E9A"/>
    <w:rsid w:val="00B33E9E"/>
    <w:rsid w:val="00B344BE"/>
    <w:rsid w:val="00B34946"/>
    <w:rsid w:val="00B351E1"/>
    <w:rsid w:val="00B3543B"/>
    <w:rsid w:val="00B3567D"/>
    <w:rsid w:val="00B35737"/>
    <w:rsid w:val="00B35D16"/>
    <w:rsid w:val="00B35EAE"/>
    <w:rsid w:val="00B3651F"/>
    <w:rsid w:val="00B36B26"/>
    <w:rsid w:val="00B371B9"/>
    <w:rsid w:val="00B378D7"/>
    <w:rsid w:val="00B37A7A"/>
    <w:rsid w:val="00B37DBE"/>
    <w:rsid w:val="00B40511"/>
    <w:rsid w:val="00B409F9"/>
    <w:rsid w:val="00B40AC7"/>
    <w:rsid w:val="00B411C5"/>
    <w:rsid w:val="00B41463"/>
    <w:rsid w:val="00B418A5"/>
    <w:rsid w:val="00B421C8"/>
    <w:rsid w:val="00B422E6"/>
    <w:rsid w:val="00B42885"/>
    <w:rsid w:val="00B42967"/>
    <w:rsid w:val="00B42F6B"/>
    <w:rsid w:val="00B4393A"/>
    <w:rsid w:val="00B45051"/>
    <w:rsid w:val="00B4576B"/>
    <w:rsid w:val="00B4580D"/>
    <w:rsid w:val="00B4598E"/>
    <w:rsid w:val="00B45CE0"/>
    <w:rsid w:val="00B470C0"/>
    <w:rsid w:val="00B471C2"/>
    <w:rsid w:val="00B500E5"/>
    <w:rsid w:val="00B50249"/>
    <w:rsid w:val="00B508AB"/>
    <w:rsid w:val="00B50CE8"/>
    <w:rsid w:val="00B50FC5"/>
    <w:rsid w:val="00B51654"/>
    <w:rsid w:val="00B519BD"/>
    <w:rsid w:val="00B519FD"/>
    <w:rsid w:val="00B520BC"/>
    <w:rsid w:val="00B526FD"/>
    <w:rsid w:val="00B532DF"/>
    <w:rsid w:val="00B53714"/>
    <w:rsid w:val="00B539CC"/>
    <w:rsid w:val="00B54AE9"/>
    <w:rsid w:val="00B55987"/>
    <w:rsid w:val="00B55CAB"/>
    <w:rsid w:val="00B566CB"/>
    <w:rsid w:val="00B5673E"/>
    <w:rsid w:val="00B56785"/>
    <w:rsid w:val="00B57328"/>
    <w:rsid w:val="00B577A6"/>
    <w:rsid w:val="00B57FF9"/>
    <w:rsid w:val="00B60A9B"/>
    <w:rsid w:val="00B62063"/>
    <w:rsid w:val="00B6220F"/>
    <w:rsid w:val="00B62220"/>
    <w:rsid w:val="00B630D3"/>
    <w:rsid w:val="00B63105"/>
    <w:rsid w:val="00B63833"/>
    <w:rsid w:val="00B63D24"/>
    <w:rsid w:val="00B64F34"/>
    <w:rsid w:val="00B654FE"/>
    <w:rsid w:val="00B657E2"/>
    <w:rsid w:val="00B66035"/>
    <w:rsid w:val="00B664A1"/>
    <w:rsid w:val="00B666E1"/>
    <w:rsid w:val="00B66D42"/>
    <w:rsid w:val="00B67CBD"/>
    <w:rsid w:val="00B70556"/>
    <w:rsid w:val="00B71CC7"/>
    <w:rsid w:val="00B71D01"/>
    <w:rsid w:val="00B71E70"/>
    <w:rsid w:val="00B7252C"/>
    <w:rsid w:val="00B73045"/>
    <w:rsid w:val="00B73731"/>
    <w:rsid w:val="00B73B1B"/>
    <w:rsid w:val="00B73EED"/>
    <w:rsid w:val="00B74140"/>
    <w:rsid w:val="00B74225"/>
    <w:rsid w:val="00B742C8"/>
    <w:rsid w:val="00B75880"/>
    <w:rsid w:val="00B762A8"/>
    <w:rsid w:val="00B767BA"/>
    <w:rsid w:val="00B775A9"/>
    <w:rsid w:val="00B80147"/>
    <w:rsid w:val="00B803C9"/>
    <w:rsid w:val="00B80751"/>
    <w:rsid w:val="00B80790"/>
    <w:rsid w:val="00B80F5C"/>
    <w:rsid w:val="00B8106E"/>
    <w:rsid w:val="00B814F5"/>
    <w:rsid w:val="00B8190A"/>
    <w:rsid w:val="00B82448"/>
    <w:rsid w:val="00B82A01"/>
    <w:rsid w:val="00B82CAF"/>
    <w:rsid w:val="00B832E9"/>
    <w:rsid w:val="00B83A35"/>
    <w:rsid w:val="00B83AFB"/>
    <w:rsid w:val="00B83C11"/>
    <w:rsid w:val="00B84633"/>
    <w:rsid w:val="00B846CD"/>
    <w:rsid w:val="00B84D9E"/>
    <w:rsid w:val="00B84EDA"/>
    <w:rsid w:val="00B8611C"/>
    <w:rsid w:val="00B8629B"/>
    <w:rsid w:val="00B8632E"/>
    <w:rsid w:val="00B865A2"/>
    <w:rsid w:val="00B865C0"/>
    <w:rsid w:val="00B87366"/>
    <w:rsid w:val="00B87AAA"/>
    <w:rsid w:val="00B90500"/>
    <w:rsid w:val="00B909CA"/>
    <w:rsid w:val="00B90EC3"/>
    <w:rsid w:val="00B923F2"/>
    <w:rsid w:val="00B924E6"/>
    <w:rsid w:val="00B927D0"/>
    <w:rsid w:val="00B92833"/>
    <w:rsid w:val="00B92CC8"/>
    <w:rsid w:val="00B92E7D"/>
    <w:rsid w:val="00B92FF1"/>
    <w:rsid w:val="00B937C7"/>
    <w:rsid w:val="00B9448A"/>
    <w:rsid w:val="00B95283"/>
    <w:rsid w:val="00B9605D"/>
    <w:rsid w:val="00B9662D"/>
    <w:rsid w:val="00B96A13"/>
    <w:rsid w:val="00B96BD0"/>
    <w:rsid w:val="00B97B30"/>
    <w:rsid w:val="00B97F4F"/>
    <w:rsid w:val="00BA05A2"/>
    <w:rsid w:val="00BA0DA7"/>
    <w:rsid w:val="00BA1CF4"/>
    <w:rsid w:val="00BA21BD"/>
    <w:rsid w:val="00BA2607"/>
    <w:rsid w:val="00BA262D"/>
    <w:rsid w:val="00BA3341"/>
    <w:rsid w:val="00BA373C"/>
    <w:rsid w:val="00BA3766"/>
    <w:rsid w:val="00BA3AFF"/>
    <w:rsid w:val="00BA404B"/>
    <w:rsid w:val="00BA4CB5"/>
    <w:rsid w:val="00BA4F5E"/>
    <w:rsid w:val="00BA5698"/>
    <w:rsid w:val="00BA575A"/>
    <w:rsid w:val="00BA580A"/>
    <w:rsid w:val="00BA684A"/>
    <w:rsid w:val="00BA7074"/>
    <w:rsid w:val="00BA748E"/>
    <w:rsid w:val="00BA7496"/>
    <w:rsid w:val="00BA7D05"/>
    <w:rsid w:val="00BB0695"/>
    <w:rsid w:val="00BB0BD5"/>
    <w:rsid w:val="00BB1539"/>
    <w:rsid w:val="00BB1771"/>
    <w:rsid w:val="00BB2424"/>
    <w:rsid w:val="00BB350F"/>
    <w:rsid w:val="00BB3724"/>
    <w:rsid w:val="00BB3A8E"/>
    <w:rsid w:val="00BB3B43"/>
    <w:rsid w:val="00BB425C"/>
    <w:rsid w:val="00BB4976"/>
    <w:rsid w:val="00BB5971"/>
    <w:rsid w:val="00BB7300"/>
    <w:rsid w:val="00BB7A69"/>
    <w:rsid w:val="00BC0502"/>
    <w:rsid w:val="00BC08E3"/>
    <w:rsid w:val="00BC1052"/>
    <w:rsid w:val="00BC130A"/>
    <w:rsid w:val="00BC35FE"/>
    <w:rsid w:val="00BC3F3A"/>
    <w:rsid w:val="00BC4805"/>
    <w:rsid w:val="00BC4BC3"/>
    <w:rsid w:val="00BC4D02"/>
    <w:rsid w:val="00BC54E6"/>
    <w:rsid w:val="00BC5851"/>
    <w:rsid w:val="00BC5945"/>
    <w:rsid w:val="00BC608E"/>
    <w:rsid w:val="00BC671F"/>
    <w:rsid w:val="00BC686E"/>
    <w:rsid w:val="00BC6C20"/>
    <w:rsid w:val="00BC71A0"/>
    <w:rsid w:val="00BC79EB"/>
    <w:rsid w:val="00BD0449"/>
    <w:rsid w:val="00BD1F22"/>
    <w:rsid w:val="00BD233A"/>
    <w:rsid w:val="00BD2A35"/>
    <w:rsid w:val="00BD31E2"/>
    <w:rsid w:val="00BD3C80"/>
    <w:rsid w:val="00BD53E8"/>
    <w:rsid w:val="00BD5825"/>
    <w:rsid w:val="00BD5A34"/>
    <w:rsid w:val="00BD5E16"/>
    <w:rsid w:val="00BD601C"/>
    <w:rsid w:val="00BD6470"/>
    <w:rsid w:val="00BD692F"/>
    <w:rsid w:val="00BD6C75"/>
    <w:rsid w:val="00BD735E"/>
    <w:rsid w:val="00BD7FCF"/>
    <w:rsid w:val="00BE0A4F"/>
    <w:rsid w:val="00BE0CD4"/>
    <w:rsid w:val="00BE14F1"/>
    <w:rsid w:val="00BE18D3"/>
    <w:rsid w:val="00BE1E07"/>
    <w:rsid w:val="00BE29F4"/>
    <w:rsid w:val="00BE2C72"/>
    <w:rsid w:val="00BE2EB9"/>
    <w:rsid w:val="00BE3088"/>
    <w:rsid w:val="00BE311F"/>
    <w:rsid w:val="00BE3652"/>
    <w:rsid w:val="00BE3F89"/>
    <w:rsid w:val="00BE4043"/>
    <w:rsid w:val="00BE42AA"/>
    <w:rsid w:val="00BE4316"/>
    <w:rsid w:val="00BE4520"/>
    <w:rsid w:val="00BE455E"/>
    <w:rsid w:val="00BE45D3"/>
    <w:rsid w:val="00BE496B"/>
    <w:rsid w:val="00BE4BFA"/>
    <w:rsid w:val="00BE5093"/>
    <w:rsid w:val="00BE5BBD"/>
    <w:rsid w:val="00BE5E6E"/>
    <w:rsid w:val="00BE60D7"/>
    <w:rsid w:val="00BE646A"/>
    <w:rsid w:val="00BE660F"/>
    <w:rsid w:val="00BE7815"/>
    <w:rsid w:val="00BF0C26"/>
    <w:rsid w:val="00BF10FF"/>
    <w:rsid w:val="00BF12BF"/>
    <w:rsid w:val="00BF1F1A"/>
    <w:rsid w:val="00BF1FFE"/>
    <w:rsid w:val="00BF2763"/>
    <w:rsid w:val="00BF27E1"/>
    <w:rsid w:val="00BF2A15"/>
    <w:rsid w:val="00BF3001"/>
    <w:rsid w:val="00BF3051"/>
    <w:rsid w:val="00BF3564"/>
    <w:rsid w:val="00BF3DFE"/>
    <w:rsid w:val="00BF534E"/>
    <w:rsid w:val="00BF57B6"/>
    <w:rsid w:val="00BF59A8"/>
    <w:rsid w:val="00BF5A1E"/>
    <w:rsid w:val="00BF5D08"/>
    <w:rsid w:val="00BF6406"/>
    <w:rsid w:val="00BF68C6"/>
    <w:rsid w:val="00BF6F32"/>
    <w:rsid w:val="00BF72AF"/>
    <w:rsid w:val="00BF7615"/>
    <w:rsid w:val="00C00378"/>
    <w:rsid w:val="00C00733"/>
    <w:rsid w:val="00C00C7E"/>
    <w:rsid w:val="00C01704"/>
    <w:rsid w:val="00C02014"/>
    <w:rsid w:val="00C0218C"/>
    <w:rsid w:val="00C028EE"/>
    <w:rsid w:val="00C038B3"/>
    <w:rsid w:val="00C0464F"/>
    <w:rsid w:val="00C052E2"/>
    <w:rsid w:val="00C05A01"/>
    <w:rsid w:val="00C05E1E"/>
    <w:rsid w:val="00C06054"/>
    <w:rsid w:val="00C06057"/>
    <w:rsid w:val="00C064DC"/>
    <w:rsid w:val="00C06F2A"/>
    <w:rsid w:val="00C07F91"/>
    <w:rsid w:val="00C11162"/>
    <w:rsid w:val="00C119B8"/>
    <w:rsid w:val="00C11A3D"/>
    <w:rsid w:val="00C13236"/>
    <w:rsid w:val="00C14843"/>
    <w:rsid w:val="00C149BD"/>
    <w:rsid w:val="00C14A93"/>
    <w:rsid w:val="00C155AE"/>
    <w:rsid w:val="00C16019"/>
    <w:rsid w:val="00C17278"/>
    <w:rsid w:val="00C17B9F"/>
    <w:rsid w:val="00C200D8"/>
    <w:rsid w:val="00C204F1"/>
    <w:rsid w:val="00C20860"/>
    <w:rsid w:val="00C20B08"/>
    <w:rsid w:val="00C21CB0"/>
    <w:rsid w:val="00C220A8"/>
    <w:rsid w:val="00C2293E"/>
    <w:rsid w:val="00C2296C"/>
    <w:rsid w:val="00C22DAC"/>
    <w:rsid w:val="00C23010"/>
    <w:rsid w:val="00C230B3"/>
    <w:rsid w:val="00C2351B"/>
    <w:rsid w:val="00C2390C"/>
    <w:rsid w:val="00C24C75"/>
    <w:rsid w:val="00C24D1B"/>
    <w:rsid w:val="00C2511F"/>
    <w:rsid w:val="00C258DA"/>
    <w:rsid w:val="00C25BDA"/>
    <w:rsid w:val="00C25FE4"/>
    <w:rsid w:val="00C26035"/>
    <w:rsid w:val="00C26B3C"/>
    <w:rsid w:val="00C26B53"/>
    <w:rsid w:val="00C2717E"/>
    <w:rsid w:val="00C273FE"/>
    <w:rsid w:val="00C30141"/>
    <w:rsid w:val="00C3059B"/>
    <w:rsid w:val="00C305E3"/>
    <w:rsid w:val="00C30A45"/>
    <w:rsid w:val="00C30E52"/>
    <w:rsid w:val="00C3278D"/>
    <w:rsid w:val="00C32B53"/>
    <w:rsid w:val="00C32BFD"/>
    <w:rsid w:val="00C32C46"/>
    <w:rsid w:val="00C32D57"/>
    <w:rsid w:val="00C32FCC"/>
    <w:rsid w:val="00C33104"/>
    <w:rsid w:val="00C332D4"/>
    <w:rsid w:val="00C335FE"/>
    <w:rsid w:val="00C3376E"/>
    <w:rsid w:val="00C33A74"/>
    <w:rsid w:val="00C33D57"/>
    <w:rsid w:val="00C3552E"/>
    <w:rsid w:val="00C355F1"/>
    <w:rsid w:val="00C36D33"/>
    <w:rsid w:val="00C36F44"/>
    <w:rsid w:val="00C3722F"/>
    <w:rsid w:val="00C37D2A"/>
    <w:rsid w:val="00C40B75"/>
    <w:rsid w:val="00C40EE6"/>
    <w:rsid w:val="00C41142"/>
    <w:rsid w:val="00C41423"/>
    <w:rsid w:val="00C419AA"/>
    <w:rsid w:val="00C41FE7"/>
    <w:rsid w:val="00C42209"/>
    <w:rsid w:val="00C42EE1"/>
    <w:rsid w:val="00C435A0"/>
    <w:rsid w:val="00C438FE"/>
    <w:rsid w:val="00C43A2E"/>
    <w:rsid w:val="00C43C8E"/>
    <w:rsid w:val="00C443BB"/>
    <w:rsid w:val="00C4447D"/>
    <w:rsid w:val="00C44A19"/>
    <w:rsid w:val="00C44D24"/>
    <w:rsid w:val="00C44EB0"/>
    <w:rsid w:val="00C44FC1"/>
    <w:rsid w:val="00C4519E"/>
    <w:rsid w:val="00C4630D"/>
    <w:rsid w:val="00C4652F"/>
    <w:rsid w:val="00C466D1"/>
    <w:rsid w:val="00C46F5E"/>
    <w:rsid w:val="00C50B46"/>
    <w:rsid w:val="00C50EDB"/>
    <w:rsid w:val="00C51011"/>
    <w:rsid w:val="00C51AB3"/>
    <w:rsid w:val="00C51F20"/>
    <w:rsid w:val="00C520B5"/>
    <w:rsid w:val="00C52506"/>
    <w:rsid w:val="00C53724"/>
    <w:rsid w:val="00C53EEC"/>
    <w:rsid w:val="00C544EF"/>
    <w:rsid w:val="00C55520"/>
    <w:rsid w:val="00C560AC"/>
    <w:rsid w:val="00C562F5"/>
    <w:rsid w:val="00C569AB"/>
    <w:rsid w:val="00C56C87"/>
    <w:rsid w:val="00C5781C"/>
    <w:rsid w:val="00C60147"/>
    <w:rsid w:val="00C60343"/>
    <w:rsid w:val="00C603B0"/>
    <w:rsid w:val="00C60671"/>
    <w:rsid w:val="00C60C87"/>
    <w:rsid w:val="00C6161A"/>
    <w:rsid w:val="00C61727"/>
    <w:rsid w:val="00C62BDE"/>
    <w:rsid w:val="00C633CD"/>
    <w:rsid w:val="00C64292"/>
    <w:rsid w:val="00C6466E"/>
    <w:rsid w:val="00C64FA9"/>
    <w:rsid w:val="00C67077"/>
    <w:rsid w:val="00C671EC"/>
    <w:rsid w:val="00C6721C"/>
    <w:rsid w:val="00C672CE"/>
    <w:rsid w:val="00C67990"/>
    <w:rsid w:val="00C67A4D"/>
    <w:rsid w:val="00C67C8C"/>
    <w:rsid w:val="00C67CE7"/>
    <w:rsid w:val="00C67D8D"/>
    <w:rsid w:val="00C704A1"/>
    <w:rsid w:val="00C70B8D"/>
    <w:rsid w:val="00C70D95"/>
    <w:rsid w:val="00C70F76"/>
    <w:rsid w:val="00C7149E"/>
    <w:rsid w:val="00C71B7A"/>
    <w:rsid w:val="00C7263C"/>
    <w:rsid w:val="00C7295F"/>
    <w:rsid w:val="00C72D55"/>
    <w:rsid w:val="00C72E07"/>
    <w:rsid w:val="00C738EC"/>
    <w:rsid w:val="00C73C02"/>
    <w:rsid w:val="00C74B13"/>
    <w:rsid w:val="00C75152"/>
    <w:rsid w:val="00C7595D"/>
    <w:rsid w:val="00C75D01"/>
    <w:rsid w:val="00C76484"/>
    <w:rsid w:val="00C766B1"/>
    <w:rsid w:val="00C8058C"/>
    <w:rsid w:val="00C817DB"/>
    <w:rsid w:val="00C81AAC"/>
    <w:rsid w:val="00C81E66"/>
    <w:rsid w:val="00C8255F"/>
    <w:rsid w:val="00C82769"/>
    <w:rsid w:val="00C82CC6"/>
    <w:rsid w:val="00C82E17"/>
    <w:rsid w:val="00C83D51"/>
    <w:rsid w:val="00C8440B"/>
    <w:rsid w:val="00C84927"/>
    <w:rsid w:val="00C84E13"/>
    <w:rsid w:val="00C85148"/>
    <w:rsid w:val="00C854D4"/>
    <w:rsid w:val="00C8551C"/>
    <w:rsid w:val="00C859C1"/>
    <w:rsid w:val="00C8601A"/>
    <w:rsid w:val="00C86D8A"/>
    <w:rsid w:val="00C87276"/>
    <w:rsid w:val="00C90556"/>
    <w:rsid w:val="00C9057B"/>
    <w:rsid w:val="00C909BF"/>
    <w:rsid w:val="00C90B81"/>
    <w:rsid w:val="00C90D10"/>
    <w:rsid w:val="00C910F5"/>
    <w:rsid w:val="00C92775"/>
    <w:rsid w:val="00C9341B"/>
    <w:rsid w:val="00C93ABE"/>
    <w:rsid w:val="00C93B88"/>
    <w:rsid w:val="00C950FD"/>
    <w:rsid w:val="00C9575E"/>
    <w:rsid w:val="00C96518"/>
    <w:rsid w:val="00C9652A"/>
    <w:rsid w:val="00C96D26"/>
    <w:rsid w:val="00C97C39"/>
    <w:rsid w:val="00CA0433"/>
    <w:rsid w:val="00CA0BA4"/>
    <w:rsid w:val="00CA0D78"/>
    <w:rsid w:val="00CA0E2B"/>
    <w:rsid w:val="00CA0F72"/>
    <w:rsid w:val="00CA14F8"/>
    <w:rsid w:val="00CA2587"/>
    <w:rsid w:val="00CA35CC"/>
    <w:rsid w:val="00CA45CB"/>
    <w:rsid w:val="00CA4855"/>
    <w:rsid w:val="00CA5400"/>
    <w:rsid w:val="00CA5D90"/>
    <w:rsid w:val="00CA6ABC"/>
    <w:rsid w:val="00CA7058"/>
    <w:rsid w:val="00CB0E26"/>
    <w:rsid w:val="00CB22EC"/>
    <w:rsid w:val="00CB232A"/>
    <w:rsid w:val="00CB24FE"/>
    <w:rsid w:val="00CB2D2E"/>
    <w:rsid w:val="00CB3028"/>
    <w:rsid w:val="00CB313A"/>
    <w:rsid w:val="00CB3890"/>
    <w:rsid w:val="00CB3E44"/>
    <w:rsid w:val="00CB51FA"/>
    <w:rsid w:val="00CB55D2"/>
    <w:rsid w:val="00CB585B"/>
    <w:rsid w:val="00CB5866"/>
    <w:rsid w:val="00CB6881"/>
    <w:rsid w:val="00CB69CF"/>
    <w:rsid w:val="00CB6AB2"/>
    <w:rsid w:val="00CB6EC9"/>
    <w:rsid w:val="00CB7505"/>
    <w:rsid w:val="00CB754E"/>
    <w:rsid w:val="00CB781D"/>
    <w:rsid w:val="00CB7BEF"/>
    <w:rsid w:val="00CC02E1"/>
    <w:rsid w:val="00CC0748"/>
    <w:rsid w:val="00CC0E34"/>
    <w:rsid w:val="00CC19A0"/>
    <w:rsid w:val="00CC26FC"/>
    <w:rsid w:val="00CC2AA0"/>
    <w:rsid w:val="00CC313B"/>
    <w:rsid w:val="00CC45E5"/>
    <w:rsid w:val="00CC4C21"/>
    <w:rsid w:val="00CC566E"/>
    <w:rsid w:val="00CC584B"/>
    <w:rsid w:val="00CC5B3F"/>
    <w:rsid w:val="00CC6460"/>
    <w:rsid w:val="00CC64C6"/>
    <w:rsid w:val="00CC6DE2"/>
    <w:rsid w:val="00CC7007"/>
    <w:rsid w:val="00CC7DD6"/>
    <w:rsid w:val="00CC7F22"/>
    <w:rsid w:val="00CD0BF4"/>
    <w:rsid w:val="00CD101B"/>
    <w:rsid w:val="00CD1838"/>
    <w:rsid w:val="00CD2285"/>
    <w:rsid w:val="00CD2893"/>
    <w:rsid w:val="00CD2A0E"/>
    <w:rsid w:val="00CD2CC1"/>
    <w:rsid w:val="00CD3139"/>
    <w:rsid w:val="00CD3D28"/>
    <w:rsid w:val="00CD41CF"/>
    <w:rsid w:val="00CD4E6A"/>
    <w:rsid w:val="00CD4F82"/>
    <w:rsid w:val="00CD5555"/>
    <w:rsid w:val="00CD5598"/>
    <w:rsid w:val="00CD58FD"/>
    <w:rsid w:val="00CD5C09"/>
    <w:rsid w:val="00CD5F5B"/>
    <w:rsid w:val="00CD66A9"/>
    <w:rsid w:val="00CD7C11"/>
    <w:rsid w:val="00CE00F1"/>
    <w:rsid w:val="00CE0A36"/>
    <w:rsid w:val="00CE18A8"/>
    <w:rsid w:val="00CE2047"/>
    <w:rsid w:val="00CE24A4"/>
    <w:rsid w:val="00CE3428"/>
    <w:rsid w:val="00CE35A9"/>
    <w:rsid w:val="00CE3600"/>
    <w:rsid w:val="00CE4312"/>
    <w:rsid w:val="00CE4456"/>
    <w:rsid w:val="00CE4CC1"/>
    <w:rsid w:val="00CE5549"/>
    <w:rsid w:val="00CE593C"/>
    <w:rsid w:val="00CE5FCC"/>
    <w:rsid w:val="00CE7577"/>
    <w:rsid w:val="00CE75B6"/>
    <w:rsid w:val="00CE7DE7"/>
    <w:rsid w:val="00CE7E98"/>
    <w:rsid w:val="00CF0EF7"/>
    <w:rsid w:val="00CF0F9F"/>
    <w:rsid w:val="00CF1055"/>
    <w:rsid w:val="00CF1DF6"/>
    <w:rsid w:val="00CF22B7"/>
    <w:rsid w:val="00CF23BB"/>
    <w:rsid w:val="00CF2D36"/>
    <w:rsid w:val="00CF305C"/>
    <w:rsid w:val="00CF3544"/>
    <w:rsid w:val="00CF39AA"/>
    <w:rsid w:val="00CF4141"/>
    <w:rsid w:val="00CF42F4"/>
    <w:rsid w:val="00CF4821"/>
    <w:rsid w:val="00CF4F9D"/>
    <w:rsid w:val="00CF51C0"/>
    <w:rsid w:val="00CF554D"/>
    <w:rsid w:val="00CF565B"/>
    <w:rsid w:val="00CF6077"/>
    <w:rsid w:val="00CF62C6"/>
    <w:rsid w:val="00CF69CF"/>
    <w:rsid w:val="00CF6A60"/>
    <w:rsid w:val="00CF75C0"/>
    <w:rsid w:val="00CF76CF"/>
    <w:rsid w:val="00CF7C4C"/>
    <w:rsid w:val="00D004FF"/>
    <w:rsid w:val="00D006FC"/>
    <w:rsid w:val="00D01169"/>
    <w:rsid w:val="00D01438"/>
    <w:rsid w:val="00D01A54"/>
    <w:rsid w:val="00D01B4B"/>
    <w:rsid w:val="00D02348"/>
    <w:rsid w:val="00D02501"/>
    <w:rsid w:val="00D02C48"/>
    <w:rsid w:val="00D02CA8"/>
    <w:rsid w:val="00D02D73"/>
    <w:rsid w:val="00D02EE5"/>
    <w:rsid w:val="00D032E7"/>
    <w:rsid w:val="00D03307"/>
    <w:rsid w:val="00D034A1"/>
    <w:rsid w:val="00D049F8"/>
    <w:rsid w:val="00D053A9"/>
    <w:rsid w:val="00D05A70"/>
    <w:rsid w:val="00D05E7D"/>
    <w:rsid w:val="00D06476"/>
    <w:rsid w:val="00D0661B"/>
    <w:rsid w:val="00D06EE8"/>
    <w:rsid w:val="00D079B2"/>
    <w:rsid w:val="00D10034"/>
    <w:rsid w:val="00D10735"/>
    <w:rsid w:val="00D10808"/>
    <w:rsid w:val="00D10CD2"/>
    <w:rsid w:val="00D11337"/>
    <w:rsid w:val="00D11815"/>
    <w:rsid w:val="00D136B7"/>
    <w:rsid w:val="00D13BF9"/>
    <w:rsid w:val="00D1592D"/>
    <w:rsid w:val="00D15F53"/>
    <w:rsid w:val="00D1704C"/>
    <w:rsid w:val="00D170E6"/>
    <w:rsid w:val="00D178E6"/>
    <w:rsid w:val="00D17ABC"/>
    <w:rsid w:val="00D204B3"/>
    <w:rsid w:val="00D207B3"/>
    <w:rsid w:val="00D208CF"/>
    <w:rsid w:val="00D20FFF"/>
    <w:rsid w:val="00D21BCE"/>
    <w:rsid w:val="00D21C41"/>
    <w:rsid w:val="00D21D1A"/>
    <w:rsid w:val="00D21F15"/>
    <w:rsid w:val="00D23070"/>
    <w:rsid w:val="00D23137"/>
    <w:rsid w:val="00D2438A"/>
    <w:rsid w:val="00D24B11"/>
    <w:rsid w:val="00D24BAC"/>
    <w:rsid w:val="00D255A4"/>
    <w:rsid w:val="00D268DD"/>
    <w:rsid w:val="00D26D79"/>
    <w:rsid w:val="00D26E3B"/>
    <w:rsid w:val="00D26E50"/>
    <w:rsid w:val="00D27164"/>
    <w:rsid w:val="00D2735F"/>
    <w:rsid w:val="00D2737F"/>
    <w:rsid w:val="00D27553"/>
    <w:rsid w:val="00D275D6"/>
    <w:rsid w:val="00D278AB"/>
    <w:rsid w:val="00D305A8"/>
    <w:rsid w:val="00D31654"/>
    <w:rsid w:val="00D327DD"/>
    <w:rsid w:val="00D32839"/>
    <w:rsid w:val="00D329DC"/>
    <w:rsid w:val="00D32D5B"/>
    <w:rsid w:val="00D32DCE"/>
    <w:rsid w:val="00D343FA"/>
    <w:rsid w:val="00D3469A"/>
    <w:rsid w:val="00D346F0"/>
    <w:rsid w:val="00D35180"/>
    <w:rsid w:val="00D36027"/>
    <w:rsid w:val="00D36CE3"/>
    <w:rsid w:val="00D36E3F"/>
    <w:rsid w:val="00D37709"/>
    <w:rsid w:val="00D37737"/>
    <w:rsid w:val="00D37771"/>
    <w:rsid w:val="00D4039B"/>
    <w:rsid w:val="00D404EF"/>
    <w:rsid w:val="00D418FF"/>
    <w:rsid w:val="00D41EC4"/>
    <w:rsid w:val="00D4270D"/>
    <w:rsid w:val="00D43128"/>
    <w:rsid w:val="00D4394C"/>
    <w:rsid w:val="00D43ABE"/>
    <w:rsid w:val="00D455C0"/>
    <w:rsid w:val="00D4574C"/>
    <w:rsid w:val="00D4594E"/>
    <w:rsid w:val="00D46147"/>
    <w:rsid w:val="00D4653B"/>
    <w:rsid w:val="00D4660C"/>
    <w:rsid w:val="00D466C0"/>
    <w:rsid w:val="00D46DBF"/>
    <w:rsid w:val="00D47C5A"/>
    <w:rsid w:val="00D506C6"/>
    <w:rsid w:val="00D50879"/>
    <w:rsid w:val="00D50A90"/>
    <w:rsid w:val="00D50D7D"/>
    <w:rsid w:val="00D51339"/>
    <w:rsid w:val="00D51505"/>
    <w:rsid w:val="00D51997"/>
    <w:rsid w:val="00D51BF4"/>
    <w:rsid w:val="00D52160"/>
    <w:rsid w:val="00D52590"/>
    <w:rsid w:val="00D533CA"/>
    <w:rsid w:val="00D548BD"/>
    <w:rsid w:val="00D548D6"/>
    <w:rsid w:val="00D54ECD"/>
    <w:rsid w:val="00D55635"/>
    <w:rsid w:val="00D562E1"/>
    <w:rsid w:val="00D56A89"/>
    <w:rsid w:val="00D5754E"/>
    <w:rsid w:val="00D604DB"/>
    <w:rsid w:val="00D60DD4"/>
    <w:rsid w:val="00D61335"/>
    <w:rsid w:val="00D61650"/>
    <w:rsid w:val="00D6176D"/>
    <w:rsid w:val="00D6292D"/>
    <w:rsid w:val="00D62BA3"/>
    <w:rsid w:val="00D62EF1"/>
    <w:rsid w:val="00D631A8"/>
    <w:rsid w:val="00D65661"/>
    <w:rsid w:val="00D65C76"/>
    <w:rsid w:val="00D65DBF"/>
    <w:rsid w:val="00D65F2C"/>
    <w:rsid w:val="00D65F46"/>
    <w:rsid w:val="00D66330"/>
    <w:rsid w:val="00D6692B"/>
    <w:rsid w:val="00D66AA8"/>
    <w:rsid w:val="00D66D44"/>
    <w:rsid w:val="00D670E9"/>
    <w:rsid w:val="00D671BD"/>
    <w:rsid w:val="00D70737"/>
    <w:rsid w:val="00D70763"/>
    <w:rsid w:val="00D70A83"/>
    <w:rsid w:val="00D71599"/>
    <w:rsid w:val="00D719FE"/>
    <w:rsid w:val="00D71F90"/>
    <w:rsid w:val="00D71FFE"/>
    <w:rsid w:val="00D727A7"/>
    <w:rsid w:val="00D72D79"/>
    <w:rsid w:val="00D73264"/>
    <w:rsid w:val="00D734C7"/>
    <w:rsid w:val="00D7365C"/>
    <w:rsid w:val="00D73B8D"/>
    <w:rsid w:val="00D74D3E"/>
    <w:rsid w:val="00D7542B"/>
    <w:rsid w:val="00D7614B"/>
    <w:rsid w:val="00D765D7"/>
    <w:rsid w:val="00D77B25"/>
    <w:rsid w:val="00D8050F"/>
    <w:rsid w:val="00D80688"/>
    <w:rsid w:val="00D81496"/>
    <w:rsid w:val="00D81AC5"/>
    <w:rsid w:val="00D81CB3"/>
    <w:rsid w:val="00D81F8A"/>
    <w:rsid w:val="00D827B1"/>
    <w:rsid w:val="00D828BE"/>
    <w:rsid w:val="00D830C6"/>
    <w:rsid w:val="00D8351F"/>
    <w:rsid w:val="00D83792"/>
    <w:rsid w:val="00D841AE"/>
    <w:rsid w:val="00D846F6"/>
    <w:rsid w:val="00D84BE3"/>
    <w:rsid w:val="00D86156"/>
    <w:rsid w:val="00D86282"/>
    <w:rsid w:val="00D86A08"/>
    <w:rsid w:val="00D871F5"/>
    <w:rsid w:val="00D9004F"/>
    <w:rsid w:val="00D90EF9"/>
    <w:rsid w:val="00D90FB6"/>
    <w:rsid w:val="00D9188B"/>
    <w:rsid w:val="00D93A1C"/>
    <w:rsid w:val="00D947F6"/>
    <w:rsid w:val="00D965EF"/>
    <w:rsid w:val="00D966C1"/>
    <w:rsid w:val="00D97263"/>
    <w:rsid w:val="00D97F62"/>
    <w:rsid w:val="00DA0024"/>
    <w:rsid w:val="00DA0120"/>
    <w:rsid w:val="00DA06B5"/>
    <w:rsid w:val="00DA076B"/>
    <w:rsid w:val="00DA0D0B"/>
    <w:rsid w:val="00DA1A5A"/>
    <w:rsid w:val="00DA1D32"/>
    <w:rsid w:val="00DA1D4A"/>
    <w:rsid w:val="00DA1D76"/>
    <w:rsid w:val="00DA28A8"/>
    <w:rsid w:val="00DA2CFE"/>
    <w:rsid w:val="00DA2F42"/>
    <w:rsid w:val="00DA2F73"/>
    <w:rsid w:val="00DA3231"/>
    <w:rsid w:val="00DA3D9F"/>
    <w:rsid w:val="00DA4155"/>
    <w:rsid w:val="00DA4A90"/>
    <w:rsid w:val="00DA4B60"/>
    <w:rsid w:val="00DA56EC"/>
    <w:rsid w:val="00DA5F17"/>
    <w:rsid w:val="00DA67EE"/>
    <w:rsid w:val="00DA719B"/>
    <w:rsid w:val="00DA7A55"/>
    <w:rsid w:val="00DB0F4B"/>
    <w:rsid w:val="00DB1000"/>
    <w:rsid w:val="00DB18F3"/>
    <w:rsid w:val="00DB205B"/>
    <w:rsid w:val="00DB47F6"/>
    <w:rsid w:val="00DB4B30"/>
    <w:rsid w:val="00DB4CED"/>
    <w:rsid w:val="00DB4E5C"/>
    <w:rsid w:val="00DB4FF6"/>
    <w:rsid w:val="00DB504B"/>
    <w:rsid w:val="00DB50CA"/>
    <w:rsid w:val="00DB6BFA"/>
    <w:rsid w:val="00DB6F89"/>
    <w:rsid w:val="00DB76F9"/>
    <w:rsid w:val="00DB7A22"/>
    <w:rsid w:val="00DB7B4F"/>
    <w:rsid w:val="00DC0F99"/>
    <w:rsid w:val="00DC10BC"/>
    <w:rsid w:val="00DC12A9"/>
    <w:rsid w:val="00DC14FF"/>
    <w:rsid w:val="00DC1D22"/>
    <w:rsid w:val="00DC1EBD"/>
    <w:rsid w:val="00DC288C"/>
    <w:rsid w:val="00DC28CB"/>
    <w:rsid w:val="00DC2D59"/>
    <w:rsid w:val="00DC307B"/>
    <w:rsid w:val="00DC32BC"/>
    <w:rsid w:val="00DC343B"/>
    <w:rsid w:val="00DC4321"/>
    <w:rsid w:val="00DC462F"/>
    <w:rsid w:val="00DC472E"/>
    <w:rsid w:val="00DC499A"/>
    <w:rsid w:val="00DC4B3C"/>
    <w:rsid w:val="00DC4BA0"/>
    <w:rsid w:val="00DC5A03"/>
    <w:rsid w:val="00DC5F0F"/>
    <w:rsid w:val="00DC673E"/>
    <w:rsid w:val="00DC681A"/>
    <w:rsid w:val="00DC74B8"/>
    <w:rsid w:val="00DC7D78"/>
    <w:rsid w:val="00DD0D62"/>
    <w:rsid w:val="00DD1ED0"/>
    <w:rsid w:val="00DD24DD"/>
    <w:rsid w:val="00DD37C3"/>
    <w:rsid w:val="00DD3B0C"/>
    <w:rsid w:val="00DD3E9E"/>
    <w:rsid w:val="00DD43CB"/>
    <w:rsid w:val="00DD47F8"/>
    <w:rsid w:val="00DD49AB"/>
    <w:rsid w:val="00DD49DF"/>
    <w:rsid w:val="00DD5113"/>
    <w:rsid w:val="00DD5755"/>
    <w:rsid w:val="00DD6A21"/>
    <w:rsid w:val="00DD6EC8"/>
    <w:rsid w:val="00DD6EF0"/>
    <w:rsid w:val="00DD6F17"/>
    <w:rsid w:val="00DD730E"/>
    <w:rsid w:val="00DD7336"/>
    <w:rsid w:val="00DD786B"/>
    <w:rsid w:val="00DE0186"/>
    <w:rsid w:val="00DE1145"/>
    <w:rsid w:val="00DE1445"/>
    <w:rsid w:val="00DE17FB"/>
    <w:rsid w:val="00DE18A7"/>
    <w:rsid w:val="00DE26B1"/>
    <w:rsid w:val="00DE2927"/>
    <w:rsid w:val="00DE2A18"/>
    <w:rsid w:val="00DE2EFB"/>
    <w:rsid w:val="00DE3023"/>
    <w:rsid w:val="00DE3B8D"/>
    <w:rsid w:val="00DE4099"/>
    <w:rsid w:val="00DE518B"/>
    <w:rsid w:val="00DE60CA"/>
    <w:rsid w:val="00DE65CD"/>
    <w:rsid w:val="00DE7250"/>
    <w:rsid w:val="00DE776C"/>
    <w:rsid w:val="00DE7FCB"/>
    <w:rsid w:val="00DF0888"/>
    <w:rsid w:val="00DF12AE"/>
    <w:rsid w:val="00DF14AC"/>
    <w:rsid w:val="00DF1ED6"/>
    <w:rsid w:val="00DF2E88"/>
    <w:rsid w:val="00DF3138"/>
    <w:rsid w:val="00DF3154"/>
    <w:rsid w:val="00DF3955"/>
    <w:rsid w:val="00DF3BEE"/>
    <w:rsid w:val="00DF3E0E"/>
    <w:rsid w:val="00DF481E"/>
    <w:rsid w:val="00DF4A35"/>
    <w:rsid w:val="00DF4AAC"/>
    <w:rsid w:val="00DF4CA1"/>
    <w:rsid w:val="00DF5913"/>
    <w:rsid w:val="00DF5DDD"/>
    <w:rsid w:val="00DF74D9"/>
    <w:rsid w:val="00DF794B"/>
    <w:rsid w:val="00E0021F"/>
    <w:rsid w:val="00E0038B"/>
    <w:rsid w:val="00E0056D"/>
    <w:rsid w:val="00E00AFE"/>
    <w:rsid w:val="00E021CB"/>
    <w:rsid w:val="00E02517"/>
    <w:rsid w:val="00E02A08"/>
    <w:rsid w:val="00E0342E"/>
    <w:rsid w:val="00E034C6"/>
    <w:rsid w:val="00E03BAD"/>
    <w:rsid w:val="00E04332"/>
    <w:rsid w:val="00E059FA"/>
    <w:rsid w:val="00E06587"/>
    <w:rsid w:val="00E069D0"/>
    <w:rsid w:val="00E07024"/>
    <w:rsid w:val="00E10F0D"/>
    <w:rsid w:val="00E11369"/>
    <w:rsid w:val="00E13083"/>
    <w:rsid w:val="00E13218"/>
    <w:rsid w:val="00E13E40"/>
    <w:rsid w:val="00E140BC"/>
    <w:rsid w:val="00E143D7"/>
    <w:rsid w:val="00E147D4"/>
    <w:rsid w:val="00E14833"/>
    <w:rsid w:val="00E150E9"/>
    <w:rsid w:val="00E15C64"/>
    <w:rsid w:val="00E1675F"/>
    <w:rsid w:val="00E16D54"/>
    <w:rsid w:val="00E16DF7"/>
    <w:rsid w:val="00E17117"/>
    <w:rsid w:val="00E176B0"/>
    <w:rsid w:val="00E17C83"/>
    <w:rsid w:val="00E20CF5"/>
    <w:rsid w:val="00E20F04"/>
    <w:rsid w:val="00E22FDD"/>
    <w:rsid w:val="00E23C5E"/>
    <w:rsid w:val="00E2409C"/>
    <w:rsid w:val="00E24B90"/>
    <w:rsid w:val="00E24C7D"/>
    <w:rsid w:val="00E24FA3"/>
    <w:rsid w:val="00E25876"/>
    <w:rsid w:val="00E26106"/>
    <w:rsid w:val="00E266EA"/>
    <w:rsid w:val="00E26A8E"/>
    <w:rsid w:val="00E26B11"/>
    <w:rsid w:val="00E26B28"/>
    <w:rsid w:val="00E2735A"/>
    <w:rsid w:val="00E3018F"/>
    <w:rsid w:val="00E306D9"/>
    <w:rsid w:val="00E31465"/>
    <w:rsid w:val="00E320C6"/>
    <w:rsid w:val="00E324BA"/>
    <w:rsid w:val="00E328CD"/>
    <w:rsid w:val="00E32F21"/>
    <w:rsid w:val="00E33E33"/>
    <w:rsid w:val="00E3489E"/>
    <w:rsid w:val="00E35094"/>
    <w:rsid w:val="00E3562E"/>
    <w:rsid w:val="00E35EFD"/>
    <w:rsid w:val="00E362F0"/>
    <w:rsid w:val="00E36B95"/>
    <w:rsid w:val="00E372AF"/>
    <w:rsid w:val="00E37A67"/>
    <w:rsid w:val="00E37E1D"/>
    <w:rsid w:val="00E4003F"/>
    <w:rsid w:val="00E400BB"/>
    <w:rsid w:val="00E41146"/>
    <w:rsid w:val="00E4138A"/>
    <w:rsid w:val="00E4149A"/>
    <w:rsid w:val="00E41D55"/>
    <w:rsid w:val="00E41FA4"/>
    <w:rsid w:val="00E4278B"/>
    <w:rsid w:val="00E42938"/>
    <w:rsid w:val="00E43224"/>
    <w:rsid w:val="00E434FB"/>
    <w:rsid w:val="00E438CE"/>
    <w:rsid w:val="00E43CF2"/>
    <w:rsid w:val="00E444AF"/>
    <w:rsid w:val="00E4472B"/>
    <w:rsid w:val="00E44743"/>
    <w:rsid w:val="00E450BE"/>
    <w:rsid w:val="00E458F6"/>
    <w:rsid w:val="00E45954"/>
    <w:rsid w:val="00E45E0C"/>
    <w:rsid w:val="00E463E1"/>
    <w:rsid w:val="00E46654"/>
    <w:rsid w:val="00E46704"/>
    <w:rsid w:val="00E504AB"/>
    <w:rsid w:val="00E507BB"/>
    <w:rsid w:val="00E508BA"/>
    <w:rsid w:val="00E50989"/>
    <w:rsid w:val="00E50C9B"/>
    <w:rsid w:val="00E50E79"/>
    <w:rsid w:val="00E51227"/>
    <w:rsid w:val="00E51360"/>
    <w:rsid w:val="00E51811"/>
    <w:rsid w:val="00E53030"/>
    <w:rsid w:val="00E531EF"/>
    <w:rsid w:val="00E53546"/>
    <w:rsid w:val="00E53643"/>
    <w:rsid w:val="00E539BF"/>
    <w:rsid w:val="00E53DB4"/>
    <w:rsid w:val="00E54168"/>
    <w:rsid w:val="00E545C2"/>
    <w:rsid w:val="00E54D57"/>
    <w:rsid w:val="00E552D9"/>
    <w:rsid w:val="00E5581A"/>
    <w:rsid w:val="00E55ADC"/>
    <w:rsid w:val="00E55C15"/>
    <w:rsid w:val="00E55F24"/>
    <w:rsid w:val="00E56448"/>
    <w:rsid w:val="00E56701"/>
    <w:rsid w:val="00E56919"/>
    <w:rsid w:val="00E56DE2"/>
    <w:rsid w:val="00E57B69"/>
    <w:rsid w:val="00E60146"/>
    <w:rsid w:val="00E60726"/>
    <w:rsid w:val="00E60742"/>
    <w:rsid w:val="00E607C1"/>
    <w:rsid w:val="00E60F97"/>
    <w:rsid w:val="00E61048"/>
    <w:rsid w:val="00E61149"/>
    <w:rsid w:val="00E61164"/>
    <w:rsid w:val="00E61487"/>
    <w:rsid w:val="00E61A66"/>
    <w:rsid w:val="00E623B0"/>
    <w:rsid w:val="00E62846"/>
    <w:rsid w:val="00E62BAC"/>
    <w:rsid w:val="00E63C63"/>
    <w:rsid w:val="00E63D89"/>
    <w:rsid w:val="00E64ADF"/>
    <w:rsid w:val="00E658B5"/>
    <w:rsid w:val="00E65DCC"/>
    <w:rsid w:val="00E660D3"/>
    <w:rsid w:val="00E66430"/>
    <w:rsid w:val="00E666FE"/>
    <w:rsid w:val="00E6712D"/>
    <w:rsid w:val="00E673F5"/>
    <w:rsid w:val="00E6742C"/>
    <w:rsid w:val="00E70A97"/>
    <w:rsid w:val="00E71E77"/>
    <w:rsid w:val="00E7264D"/>
    <w:rsid w:val="00E72A2A"/>
    <w:rsid w:val="00E72FBB"/>
    <w:rsid w:val="00E73998"/>
    <w:rsid w:val="00E73A5B"/>
    <w:rsid w:val="00E73EFA"/>
    <w:rsid w:val="00E7439F"/>
    <w:rsid w:val="00E749AF"/>
    <w:rsid w:val="00E74A31"/>
    <w:rsid w:val="00E74C29"/>
    <w:rsid w:val="00E752A2"/>
    <w:rsid w:val="00E7530D"/>
    <w:rsid w:val="00E75F2B"/>
    <w:rsid w:val="00E75F61"/>
    <w:rsid w:val="00E760EE"/>
    <w:rsid w:val="00E764C2"/>
    <w:rsid w:val="00E76504"/>
    <w:rsid w:val="00E76C7A"/>
    <w:rsid w:val="00E77519"/>
    <w:rsid w:val="00E7770D"/>
    <w:rsid w:val="00E77862"/>
    <w:rsid w:val="00E800AE"/>
    <w:rsid w:val="00E81B2C"/>
    <w:rsid w:val="00E81CA6"/>
    <w:rsid w:val="00E81E5B"/>
    <w:rsid w:val="00E82526"/>
    <w:rsid w:val="00E82B99"/>
    <w:rsid w:val="00E83BFF"/>
    <w:rsid w:val="00E83DFC"/>
    <w:rsid w:val="00E843D3"/>
    <w:rsid w:val="00E85343"/>
    <w:rsid w:val="00E86C84"/>
    <w:rsid w:val="00E876C5"/>
    <w:rsid w:val="00E87AC7"/>
    <w:rsid w:val="00E90885"/>
    <w:rsid w:val="00E90A12"/>
    <w:rsid w:val="00E90CE0"/>
    <w:rsid w:val="00E929D1"/>
    <w:rsid w:val="00E93B98"/>
    <w:rsid w:val="00E94337"/>
    <w:rsid w:val="00E9441E"/>
    <w:rsid w:val="00E949A2"/>
    <w:rsid w:val="00E94B90"/>
    <w:rsid w:val="00E94F22"/>
    <w:rsid w:val="00E95086"/>
    <w:rsid w:val="00E951CD"/>
    <w:rsid w:val="00E95434"/>
    <w:rsid w:val="00E977CF"/>
    <w:rsid w:val="00E97BDE"/>
    <w:rsid w:val="00E97ED2"/>
    <w:rsid w:val="00E97FE9"/>
    <w:rsid w:val="00EA002B"/>
    <w:rsid w:val="00EA032A"/>
    <w:rsid w:val="00EA06B8"/>
    <w:rsid w:val="00EA110C"/>
    <w:rsid w:val="00EA1409"/>
    <w:rsid w:val="00EA28B0"/>
    <w:rsid w:val="00EA2BAD"/>
    <w:rsid w:val="00EA2E1D"/>
    <w:rsid w:val="00EA306C"/>
    <w:rsid w:val="00EA32A7"/>
    <w:rsid w:val="00EA3A6A"/>
    <w:rsid w:val="00EA3D43"/>
    <w:rsid w:val="00EA3F1A"/>
    <w:rsid w:val="00EA43E3"/>
    <w:rsid w:val="00EA44D9"/>
    <w:rsid w:val="00EA51A1"/>
    <w:rsid w:val="00EA5B38"/>
    <w:rsid w:val="00EA62EA"/>
    <w:rsid w:val="00EA6BFE"/>
    <w:rsid w:val="00EA7362"/>
    <w:rsid w:val="00EA754E"/>
    <w:rsid w:val="00EB01B3"/>
    <w:rsid w:val="00EB13C0"/>
    <w:rsid w:val="00EB1556"/>
    <w:rsid w:val="00EB2830"/>
    <w:rsid w:val="00EB4BD8"/>
    <w:rsid w:val="00EB4E98"/>
    <w:rsid w:val="00EB4EB9"/>
    <w:rsid w:val="00EB5EC2"/>
    <w:rsid w:val="00EB6113"/>
    <w:rsid w:val="00EB64FB"/>
    <w:rsid w:val="00EB6757"/>
    <w:rsid w:val="00EB6A76"/>
    <w:rsid w:val="00EB7128"/>
    <w:rsid w:val="00EB7A48"/>
    <w:rsid w:val="00EC1F25"/>
    <w:rsid w:val="00EC213A"/>
    <w:rsid w:val="00EC217B"/>
    <w:rsid w:val="00EC22ED"/>
    <w:rsid w:val="00EC235B"/>
    <w:rsid w:val="00EC2CF7"/>
    <w:rsid w:val="00EC2D14"/>
    <w:rsid w:val="00EC2D15"/>
    <w:rsid w:val="00EC2DB5"/>
    <w:rsid w:val="00EC4717"/>
    <w:rsid w:val="00EC4E33"/>
    <w:rsid w:val="00EC5461"/>
    <w:rsid w:val="00EC549E"/>
    <w:rsid w:val="00EC54E3"/>
    <w:rsid w:val="00EC585E"/>
    <w:rsid w:val="00EC6689"/>
    <w:rsid w:val="00EC6978"/>
    <w:rsid w:val="00EC69BA"/>
    <w:rsid w:val="00EC6DF7"/>
    <w:rsid w:val="00EC6EFC"/>
    <w:rsid w:val="00EC7091"/>
    <w:rsid w:val="00EC7401"/>
    <w:rsid w:val="00EC7C68"/>
    <w:rsid w:val="00ED0528"/>
    <w:rsid w:val="00ED0AE4"/>
    <w:rsid w:val="00ED0F8A"/>
    <w:rsid w:val="00ED1639"/>
    <w:rsid w:val="00ED40CF"/>
    <w:rsid w:val="00ED43E6"/>
    <w:rsid w:val="00ED4414"/>
    <w:rsid w:val="00ED482E"/>
    <w:rsid w:val="00ED4D74"/>
    <w:rsid w:val="00ED4E2C"/>
    <w:rsid w:val="00ED504D"/>
    <w:rsid w:val="00ED552C"/>
    <w:rsid w:val="00ED56B3"/>
    <w:rsid w:val="00ED5FEB"/>
    <w:rsid w:val="00ED6E84"/>
    <w:rsid w:val="00ED7AC2"/>
    <w:rsid w:val="00EE002C"/>
    <w:rsid w:val="00EE03C4"/>
    <w:rsid w:val="00EE046D"/>
    <w:rsid w:val="00EE0CD0"/>
    <w:rsid w:val="00EE0F26"/>
    <w:rsid w:val="00EE1264"/>
    <w:rsid w:val="00EE1DA3"/>
    <w:rsid w:val="00EE29FA"/>
    <w:rsid w:val="00EE2A8A"/>
    <w:rsid w:val="00EE2B31"/>
    <w:rsid w:val="00EE39CF"/>
    <w:rsid w:val="00EE4288"/>
    <w:rsid w:val="00EE42F7"/>
    <w:rsid w:val="00EE471E"/>
    <w:rsid w:val="00EE48AC"/>
    <w:rsid w:val="00EE541E"/>
    <w:rsid w:val="00EE546A"/>
    <w:rsid w:val="00EE5FEC"/>
    <w:rsid w:val="00EE6B32"/>
    <w:rsid w:val="00EF1EED"/>
    <w:rsid w:val="00EF20F1"/>
    <w:rsid w:val="00EF2361"/>
    <w:rsid w:val="00EF2819"/>
    <w:rsid w:val="00EF2CFB"/>
    <w:rsid w:val="00EF2E11"/>
    <w:rsid w:val="00EF34CE"/>
    <w:rsid w:val="00EF485D"/>
    <w:rsid w:val="00EF48E4"/>
    <w:rsid w:val="00EF556E"/>
    <w:rsid w:val="00EF6224"/>
    <w:rsid w:val="00EF63AF"/>
    <w:rsid w:val="00EF6F2C"/>
    <w:rsid w:val="00EF725A"/>
    <w:rsid w:val="00EF76DA"/>
    <w:rsid w:val="00EF7768"/>
    <w:rsid w:val="00EF7A61"/>
    <w:rsid w:val="00F00191"/>
    <w:rsid w:val="00F00D01"/>
    <w:rsid w:val="00F010B6"/>
    <w:rsid w:val="00F013EB"/>
    <w:rsid w:val="00F01654"/>
    <w:rsid w:val="00F0184B"/>
    <w:rsid w:val="00F02086"/>
    <w:rsid w:val="00F02100"/>
    <w:rsid w:val="00F03BBD"/>
    <w:rsid w:val="00F03D09"/>
    <w:rsid w:val="00F03F96"/>
    <w:rsid w:val="00F04522"/>
    <w:rsid w:val="00F055F9"/>
    <w:rsid w:val="00F057A7"/>
    <w:rsid w:val="00F0586F"/>
    <w:rsid w:val="00F05C8F"/>
    <w:rsid w:val="00F06981"/>
    <w:rsid w:val="00F06D22"/>
    <w:rsid w:val="00F07137"/>
    <w:rsid w:val="00F0799D"/>
    <w:rsid w:val="00F0D2B6"/>
    <w:rsid w:val="00F10112"/>
    <w:rsid w:val="00F101E0"/>
    <w:rsid w:val="00F107A0"/>
    <w:rsid w:val="00F10D3D"/>
    <w:rsid w:val="00F10D7E"/>
    <w:rsid w:val="00F1151A"/>
    <w:rsid w:val="00F11B90"/>
    <w:rsid w:val="00F11E89"/>
    <w:rsid w:val="00F127A8"/>
    <w:rsid w:val="00F12828"/>
    <w:rsid w:val="00F12967"/>
    <w:rsid w:val="00F13737"/>
    <w:rsid w:val="00F1494A"/>
    <w:rsid w:val="00F14AC5"/>
    <w:rsid w:val="00F14C6D"/>
    <w:rsid w:val="00F14EC1"/>
    <w:rsid w:val="00F15333"/>
    <w:rsid w:val="00F159EE"/>
    <w:rsid w:val="00F15B74"/>
    <w:rsid w:val="00F15ECC"/>
    <w:rsid w:val="00F16D27"/>
    <w:rsid w:val="00F176CA"/>
    <w:rsid w:val="00F17EF7"/>
    <w:rsid w:val="00F2026F"/>
    <w:rsid w:val="00F20581"/>
    <w:rsid w:val="00F20C77"/>
    <w:rsid w:val="00F21406"/>
    <w:rsid w:val="00F220A5"/>
    <w:rsid w:val="00F22512"/>
    <w:rsid w:val="00F22693"/>
    <w:rsid w:val="00F237D6"/>
    <w:rsid w:val="00F2383F"/>
    <w:rsid w:val="00F2387D"/>
    <w:rsid w:val="00F241D0"/>
    <w:rsid w:val="00F24411"/>
    <w:rsid w:val="00F25619"/>
    <w:rsid w:val="00F25843"/>
    <w:rsid w:val="00F258C6"/>
    <w:rsid w:val="00F25D19"/>
    <w:rsid w:val="00F25D9F"/>
    <w:rsid w:val="00F25FB3"/>
    <w:rsid w:val="00F25FC9"/>
    <w:rsid w:val="00F2679B"/>
    <w:rsid w:val="00F27C51"/>
    <w:rsid w:val="00F27DF0"/>
    <w:rsid w:val="00F3034F"/>
    <w:rsid w:val="00F3054B"/>
    <w:rsid w:val="00F30C45"/>
    <w:rsid w:val="00F31460"/>
    <w:rsid w:val="00F32ABC"/>
    <w:rsid w:val="00F33B20"/>
    <w:rsid w:val="00F3417F"/>
    <w:rsid w:val="00F34362"/>
    <w:rsid w:val="00F34BC9"/>
    <w:rsid w:val="00F3509D"/>
    <w:rsid w:val="00F35178"/>
    <w:rsid w:val="00F35486"/>
    <w:rsid w:val="00F3569F"/>
    <w:rsid w:val="00F35C91"/>
    <w:rsid w:val="00F36270"/>
    <w:rsid w:val="00F3679A"/>
    <w:rsid w:val="00F37C1D"/>
    <w:rsid w:val="00F40364"/>
    <w:rsid w:val="00F4062A"/>
    <w:rsid w:val="00F4077F"/>
    <w:rsid w:val="00F409C5"/>
    <w:rsid w:val="00F42CE3"/>
    <w:rsid w:val="00F43434"/>
    <w:rsid w:val="00F43D23"/>
    <w:rsid w:val="00F442B9"/>
    <w:rsid w:val="00F444DC"/>
    <w:rsid w:val="00F45794"/>
    <w:rsid w:val="00F462DB"/>
    <w:rsid w:val="00F46F6D"/>
    <w:rsid w:val="00F4707E"/>
    <w:rsid w:val="00F47547"/>
    <w:rsid w:val="00F477CB"/>
    <w:rsid w:val="00F50B80"/>
    <w:rsid w:val="00F50C7D"/>
    <w:rsid w:val="00F50CBB"/>
    <w:rsid w:val="00F50FBD"/>
    <w:rsid w:val="00F512CD"/>
    <w:rsid w:val="00F513AE"/>
    <w:rsid w:val="00F519E0"/>
    <w:rsid w:val="00F5200C"/>
    <w:rsid w:val="00F53D07"/>
    <w:rsid w:val="00F54510"/>
    <w:rsid w:val="00F5539A"/>
    <w:rsid w:val="00F55A38"/>
    <w:rsid w:val="00F55B19"/>
    <w:rsid w:val="00F562B5"/>
    <w:rsid w:val="00F569EC"/>
    <w:rsid w:val="00F56BA6"/>
    <w:rsid w:val="00F57D55"/>
    <w:rsid w:val="00F57E64"/>
    <w:rsid w:val="00F607FE"/>
    <w:rsid w:val="00F60922"/>
    <w:rsid w:val="00F60B23"/>
    <w:rsid w:val="00F60C08"/>
    <w:rsid w:val="00F61509"/>
    <w:rsid w:val="00F62151"/>
    <w:rsid w:val="00F62806"/>
    <w:rsid w:val="00F6284A"/>
    <w:rsid w:val="00F63587"/>
    <w:rsid w:val="00F63F1B"/>
    <w:rsid w:val="00F647BA"/>
    <w:rsid w:val="00F65371"/>
    <w:rsid w:val="00F65D40"/>
    <w:rsid w:val="00F66D59"/>
    <w:rsid w:val="00F67640"/>
    <w:rsid w:val="00F67A89"/>
    <w:rsid w:val="00F70427"/>
    <w:rsid w:val="00F710B8"/>
    <w:rsid w:val="00F71A98"/>
    <w:rsid w:val="00F71DC7"/>
    <w:rsid w:val="00F72093"/>
    <w:rsid w:val="00F720BE"/>
    <w:rsid w:val="00F72559"/>
    <w:rsid w:val="00F725C3"/>
    <w:rsid w:val="00F7297C"/>
    <w:rsid w:val="00F73480"/>
    <w:rsid w:val="00F73869"/>
    <w:rsid w:val="00F738D4"/>
    <w:rsid w:val="00F739F3"/>
    <w:rsid w:val="00F73CD6"/>
    <w:rsid w:val="00F74BEE"/>
    <w:rsid w:val="00F74C49"/>
    <w:rsid w:val="00F74D1D"/>
    <w:rsid w:val="00F752AA"/>
    <w:rsid w:val="00F75393"/>
    <w:rsid w:val="00F75E4B"/>
    <w:rsid w:val="00F76D50"/>
    <w:rsid w:val="00F76E0F"/>
    <w:rsid w:val="00F77157"/>
    <w:rsid w:val="00F77975"/>
    <w:rsid w:val="00F80082"/>
    <w:rsid w:val="00F80311"/>
    <w:rsid w:val="00F80757"/>
    <w:rsid w:val="00F81573"/>
    <w:rsid w:val="00F8243E"/>
    <w:rsid w:val="00F82681"/>
    <w:rsid w:val="00F828EC"/>
    <w:rsid w:val="00F829BB"/>
    <w:rsid w:val="00F82E72"/>
    <w:rsid w:val="00F82E7A"/>
    <w:rsid w:val="00F8302E"/>
    <w:rsid w:val="00F83718"/>
    <w:rsid w:val="00F83B72"/>
    <w:rsid w:val="00F8401A"/>
    <w:rsid w:val="00F84986"/>
    <w:rsid w:val="00F84A0E"/>
    <w:rsid w:val="00F84A37"/>
    <w:rsid w:val="00F84FF5"/>
    <w:rsid w:val="00F85774"/>
    <w:rsid w:val="00F86368"/>
    <w:rsid w:val="00F8659E"/>
    <w:rsid w:val="00F86B29"/>
    <w:rsid w:val="00F86DAB"/>
    <w:rsid w:val="00F870DD"/>
    <w:rsid w:val="00F87485"/>
    <w:rsid w:val="00F87CA4"/>
    <w:rsid w:val="00F9078A"/>
    <w:rsid w:val="00F9180A"/>
    <w:rsid w:val="00F9181B"/>
    <w:rsid w:val="00F91B19"/>
    <w:rsid w:val="00F91D5E"/>
    <w:rsid w:val="00F922C4"/>
    <w:rsid w:val="00F92546"/>
    <w:rsid w:val="00F92820"/>
    <w:rsid w:val="00F92957"/>
    <w:rsid w:val="00F92F32"/>
    <w:rsid w:val="00F930EF"/>
    <w:rsid w:val="00F93AB4"/>
    <w:rsid w:val="00F93C34"/>
    <w:rsid w:val="00F94544"/>
    <w:rsid w:val="00F94597"/>
    <w:rsid w:val="00F94C09"/>
    <w:rsid w:val="00F94E1A"/>
    <w:rsid w:val="00F94E2C"/>
    <w:rsid w:val="00F9559D"/>
    <w:rsid w:val="00F955FE"/>
    <w:rsid w:val="00F959EE"/>
    <w:rsid w:val="00F96069"/>
    <w:rsid w:val="00F960B8"/>
    <w:rsid w:val="00F96D9E"/>
    <w:rsid w:val="00FA00D3"/>
    <w:rsid w:val="00FA01F8"/>
    <w:rsid w:val="00FA098E"/>
    <w:rsid w:val="00FA1080"/>
    <w:rsid w:val="00FA18CF"/>
    <w:rsid w:val="00FA22AF"/>
    <w:rsid w:val="00FA2E83"/>
    <w:rsid w:val="00FA3042"/>
    <w:rsid w:val="00FA39B3"/>
    <w:rsid w:val="00FA3F33"/>
    <w:rsid w:val="00FA4203"/>
    <w:rsid w:val="00FA4916"/>
    <w:rsid w:val="00FA49BE"/>
    <w:rsid w:val="00FA4FC2"/>
    <w:rsid w:val="00FA532D"/>
    <w:rsid w:val="00FA598B"/>
    <w:rsid w:val="00FA5E4D"/>
    <w:rsid w:val="00FA5FAB"/>
    <w:rsid w:val="00FA60D5"/>
    <w:rsid w:val="00FA6594"/>
    <w:rsid w:val="00FA761E"/>
    <w:rsid w:val="00FA7CE1"/>
    <w:rsid w:val="00FA7DAC"/>
    <w:rsid w:val="00FA7E5C"/>
    <w:rsid w:val="00FB0689"/>
    <w:rsid w:val="00FB0AC1"/>
    <w:rsid w:val="00FB193D"/>
    <w:rsid w:val="00FB1C9B"/>
    <w:rsid w:val="00FB1F08"/>
    <w:rsid w:val="00FB29F6"/>
    <w:rsid w:val="00FB2AA3"/>
    <w:rsid w:val="00FB3422"/>
    <w:rsid w:val="00FB3932"/>
    <w:rsid w:val="00FB3D2C"/>
    <w:rsid w:val="00FB5E16"/>
    <w:rsid w:val="00FB5FFF"/>
    <w:rsid w:val="00FB6CC5"/>
    <w:rsid w:val="00FB709E"/>
    <w:rsid w:val="00FC006B"/>
    <w:rsid w:val="00FC06A6"/>
    <w:rsid w:val="00FC14A9"/>
    <w:rsid w:val="00FC15E8"/>
    <w:rsid w:val="00FC1FB4"/>
    <w:rsid w:val="00FC25F1"/>
    <w:rsid w:val="00FC28B3"/>
    <w:rsid w:val="00FC2BBD"/>
    <w:rsid w:val="00FC2C05"/>
    <w:rsid w:val="00FC2CA4"/>
    <w:rsid w:val="00FC2D9D"/>
    <w:rsid w:val="00FC3425"/>
    <w:rsid w:val="00FC3902"/>
    <w:rsid w:val="00FC398C"/>
    <w:rsid w:val="00FC3B53"/>
    <w:rsid w:val="00FC4FD4"/>
    <w:rsid w:val="00FC5393"/>
    <w:rsid w:val="00FC558E"/>
    <w:rsid w:val="00FC5765"/>
    <w:rsid w:val="00FC5867"/>
    <w:rsid w:val="00FC58DD"/>
    <w:rsid w:val="00FC5E60"/>
    <w:rsid w:val="00FC6536"/>
    <w:rsid w:val="00FC731D"/>
    <w:rsid w:val="00FD01AD"/>
    <w:rsid w:val="00FD01B5"/>
    <w:rsid w:val="00FD04AD"/>
    <w:rsid w:val="00FD0BE7"/>
    <w:rsid w:val="00FD12E8"/>
    <w:rsid w:val="00FD13BC"/>
    <w:rsid w:val="00FD1C16"/>
    <w:rsid w:val="00FD2BF8"/>
    <w:rsid w:val="00FD3689"/>
    <w:rsid w:val="00FD3C6E"/>
    <w:rsid w:val="00FD3F5E"/>
    <w:rsid w:val="00FD4131"/>
    <w:rsid w:val="00FD4571"/>
    <w:rsid w:val="00FD466B"/>
    <w:rsid w:val="00FD4814"/>
    <w:rsid w:val="00FD4BB3"/>
    <w:rsid w:val="00FD4ED4"/>
    <w:rsid w:val="00FD5BF0"/>
    <w:rsid w:val="00FD61A9"/>
    <w:rsid w:val="00FD6202"/>
    <w:rsid w:val="00FD69D2"/>
    <w:rsid w:val="00FE02A8"/>
    <w:rsid w:val="00FE0329"/>
    <w:rsid w:val="00FE089D"/>
    <w:rsid w:val="00FE09F9"/>
    <w:rsid w:val="00FE1F55"/>
    <w:rsid w:val="00FE20EB"/>
    <w:rsid w:val="00FE23E6"/>
    <w:rsid w:val="00FE2AA5"/>
    <w:rsid w:val="00FE2F61"/>
    <w:rsid w:val="00FE309F"/>
    <w:rsid w:val="00FE4D02"/>
    <w:rsid w:val="00FE5AF4"/>
    <w:rsid w:val="00FE642C"/>
    <w:rsid w:val="00FE78AF"/>
    <w:rsid w:val="00FE7E23"/>
    <w:rsid w:val="00FF02C2"/>
    <w:rsid w:val="00FF0DF5"/>
    <w:rsid w:val="00FF2A6A"/>
    <w:rsid w:val="00FF2DF3"/>
    <w:rsid w:val="00FF3AA6"/>
    <w:rsid w:val="00FF43C9"/>
    <w:rsid w:val="00FF46C0"/>
    <w:rsid w:val="00FF48F4"/>
    <w:rsid w:val="00FF5B66"/>
    <w:rsid w:val="00FF5E63"/>
    <w:rsid w:val="00FF623C"/>
    <w:rsid w:val="00FF767F"/>
    <w:rsid w:val="0119841C"/>
    <w:rsid w:val="01669199"/>
    <w:rsid w:val="017AE045"/>
    <w:rsid w:val="019C2CE5"/>
    <w:rsid w:val="01B3557C"/>
    <w:rsid w:val="0282E277"/>
    <w:rsid w:val="02BDAFA8"/>
    <w:rsid w:val="02E96913"/>
    <w:rsid w:val="03043760"/>
    <w:rsid w:val="03068E7B"/>
    <w:rsid w:val="030C5875"/>
    <w:rsid w:val="0311A001"/>
    <w:rsid w:val="036C3F33"/>
    <w:rsid w:val="037F3A8D"/>
    <w:rsid w:val="03A410AD"/>
    <w:rsid w:val="03A93147"/>
    <w:rsid w:val="03EE9B5E"/>
    <w:rsid w:val="03F9AC56"/>
    <w:rsid w:val="0401B2F0"/>
    <w:rsid w:val="0431054C"/>
    <w:rsid w:val="04400355"/>
    <w:rsid w:val="04B0FBB8"/>
    <w:rsid w:val="04BB0C43"/>
    <w:rsid w:val="04CC61E2"/>
    <w:rsid w:val="04FA9FB9"/>
    <w:rsid w:val="051DA955"/>
    <w:rsid w:val="05250390"/>
    <w:rsid w:val="0525F52A"/>
    <w:rsid w:val="053848CF"/>
    <w:rsid w:val="05394243"/>
    <w:rsid w:val="053AC66E"/>
    <w:rsid w:val="0597A36D"/>
    <w:rsid w:val="05EBA8ED"/>
    <w:rsid w:val="05F264CA"/>
    <w:rsid w:val="05F939B2"/>
    <w:rsid w:val="05FC72F6"/>
    <w:rsid w:val="06044BA3"/>
    <w:rsid w:val="061F69E5"/>
    <w:rsid w:val="064391D1"/>
    <w:rsid w:val="06C77223"/>
    <w:rsid w:val="06C7949E"/>
    <w:rsid w:val="0704254E"/>
    <w:rsid w:val="07941009"/>
    <w:rsid w:val="079A1E21"/>
    <w:rsid w:val="07ABD750"/>
    <w:rsid w:val="07C8E0CD"/>
    <w:rsid w:val="07E16ADD"/>
    <w:rsid w:val="07E9766C"/>
    <w:rsid w:val="07F570B8"/>
    <w:rsid w:val="07FA01A7"/>
    <w:rsid w:val="08172A0F"/>
    <w:rsid w:val="083A085E"/>
    <w:rsid w:val="0879FFBC"/>
    <w:rsid w:val="089632C7"/>
    <w:rsid w:val="08D85AB0"/>
    <w:rsid w:val="08D907FA"/>
    <w:rsid w:val="08E3B7D7"/>
    <w:rsid w:val="092F8B2C"/>
    <w:rsid w:val="097D7D66"/>
    <w:rsid w:val="0991E207"/>
    <w:rsid w:val="09CB8126"/>
    <w:rsid w:val="09FBE56B"/>
    <w:rsid w:val="0A3B6F43"/>
    <w:rsid w:val="0A536151"/>
    <w:rsid w:val="0A591C52"/>
    <w:rsid w:val="0A7F7A82"/>
    <w:rsid w:val="0AB4E965"/>
    <w:rsid w:val="0AC109C8"/>
    <w:rsid w:val="0AD7C9AD"/>
    <w:rsid w:val="0ADB88C7"/>
    <w:rsid w:val="0ADE8020"/>
    <w:rsid w:val="0B147FB0"/>
    <w:rsid w:val="0B14BFAE"/>
    <w:rsid w:val="0B6C459A"/>
    <w:rsid w:val="0B81AFA9"/>
    <w:rsid w:val="0B8364F6"/>
    <w:rsid w:val="0B969E8E"/>
    <w:rsid w:val="0BAE6FC2"/>
    <w:rsid w:val="0BD40C9E"/>
    <w:rsid w:val="0C034311"/>
    <w:rsid w:val="0C059C08"/>
    <w:rsid w:val="0C0C8006"/>
    <w:rsid w:val="0C1FB842"/>
    <w:rsid w:val="0C87EF91"/>
    <w:rsid w:val="0CABDC13"/>
    <w:rsid w:val="0CB811F6"/>
    <w:rsid w:val="0CD03C6F"/>
    <w:rsid w:val="0CD0D31C"/>
    <w:rsid w:val="0D249CB5"/>
    <w:rsid w:val="0D6B8717"/>
    <w:rsid w:val="0D82F13F"/>
    <w:rsid w:val="0D8A188C"/>
    <w:rsid w:val="0DC3D874"/>
    <w:rsid w:val="0DD1CC40"/>
    <w:rsid w:val="0E078B23"/>
    <w:rsid w:val="0E5E9AF0"/>
    <w:rsid w:val="0E6A3D4D"/>
    <w:rsid w:val="0E9F7CFA"/>
    <w:rsid w:val="0EF2F1E8"/>
    <w:rsid w:val="0F213398"/>
    <w:rsid w:val="0F27D58B"/>
    <w:rsid w:val="0F8EFA9D"/>
    <w:rsid w:val="0F9AEB60"/>
    <w:rsid w:val="0FB4036E"/>
    <w:rsid w:val="0FBBA854"/>
    <w:rsid w:val="0FE9BFC5"/>
    <w:rsid w:val="10027C72"/>
    <w:rsid w:val="101449C7"/>
    <w:rsid w:val="1017D2E0"/>
    <w:rsid w:val="10335F3C"/>
    <w:rsid w:val="103BCB12"/>
    <w:rsid w:val="106D4170"/>
    <w:rsid w:val="107A5AA9"/>
    <w:rsid w:val="10A4076B"/>
    <w:rsid w:val="10B4BA65"/>
    <w:rsid w:val="10DF619F"/>
    <w:rsid w:val="1101C463"/>
    <w:rsid w:val="1103C1C9"/>
    <w:rsid w:val="112536C9"/>
    <w:rsid w:val="113977B1"/>
    <w:rsid w:val="118148EA"/>
    <w:rsid w:val="119DD4E3"/>
    <w:rsid w:val="11B8D008"/>
    <w:rsid w:val="11BB4C81"/>
    <w:rsid w:val="12194879"/>
    <w:rsid w:val="121ABD21"/>
    <w:rsid w:val="126E4D47"/>
    <w:rsid w:val="127209C5"/>
    <w:rsid w:val="12B6D5BB"/>
    <w:rsid w:val="12BA623A"/>
    <w:rsid w:val="12DE0BFE"/>
    <w:rsid w:val="1314292B"/>
    <w:rsid w:val="132A5455"/>
    <w:rsid w:val="134E6E7E"/>
    <w:rsid w:val="1379A405"/>
    <w:rsid w:val="13828716"/>
    <w:rsid w:val="13A4F640"/>
    <w:rsid w:val="13B7192F"/>
    <w:rsid w:val="13D65958"/>
    <w:rsid w:val="13FE31CC"/>
    <w:rsid w:val="1417EC7D"/>
    <w:rsid w:val="14218C9C"/>
    <w:rsid w:val="142C9550"/>
    <w:rsid w:val="14308940"/>
    <w:rsid w:val="14589040"/>
    <w:rsid w:val="14697C9B"/>
    <w:rsid w:val="147CDD05"/>
    <w:rsid w:val="14A661B7"/>
    <w:rsid w:val="14A80098"/>
    <w:rsid w:val="14B6D1D7"/>
    <w:rsid w:val="14D38137"/>
    <w:rsid w:val="14D3CBCF"/>
    <w:rsid w:val="1504CC8E"/>
    <w:rsid w:val="154BE125"/>
    <w:rsid w:val="15713ADE"/>
    <w:rsid w:val="1595A160"/>
    <w:rsid w:val="15AB148F"/>
    <w:rsid w:val="15AC1FF7"/>
    <w:rsid w:val="15C8186A"/>
    <w:rsid w:val="15DBEE5C"/>
    <w:rsid w:val="15E63D32"/>
    <w:rsid w:val="15E893BA"/>
    <w:rsid w:val="16776E01"/>
    <w:rsid w:val="168A5C7F"/>
    <w:rsid w:val="16A5AA98"/>
    <w:rsid w:val="16B131E8"/>
    <w:rsid w:val="16C6AE7E"/>
    <w:rsid w:val="16CDAC38"/>
    <w:rsid w:val="16FC3A30"/>
    <w:rsid w:val="1706A8C6"/>
    <w:rsid w:val="1717D75F"/>
    <w:rsid w:val="1773F6DE"/>
    <w:rsid w:val="17872E7A"/>
    <w:rsid w:val="17E48414"/>
    <w:rsid w:val="17F6E7C4"/>
    <w:rsid w:val="18139EDC"/>
    <w:rsid w:val="182CAC32"/>
    <w:rsid w:val="182EDE5D"/>
    <w:rsid w:val="1836DEE8"/>
    <w:rsid w:val="183E9E16"/>
    <w:rsid w:val="1840F6A0"/>
    <w:rsid w:val="185D2C96"/>
    <w:rsid w:val="18AB108B"/>
    <w:rsid w:val="18E40288"/>
    <w:rsid w:val="18EFF4B1"/>
    <w:rsid w:val="18F8F6B1"/>
    <w:rsid w:val="19102DA5"/>
    <w:rsid w:val="19163909"/>
    <w:rsid w:val="1919F908"/>
    <w:rsid w:val="192ABBE0"/>
    <w:rsid w:val="19803E57"/>
    <w:rsid w:val="19825AAB"/>
    <w:rsid w:val="198B0497"/>
    <w:rsid w:val="19DA2FD0"/>
    <w:rsid w:val="19E751F2"/>
    <w:rsid w:val="19EDDFB0"/>
    <w:rsid w:val="1A183DCC"/>
    <w:rsid w:val="1A3E4988"/>
    <w:rsid w:val="1A7AE859"/>
    <w:rsid w:val="1A8838A5"/>
    <w:rsid w:val="1AC3AE30"/>
    <w:rsid w:val="1B19F7DA"/>
    <w:rsid w:val="1B1ABAD4"/>
    <w:rsid w:val="1B3270C6"/>
    <w:rsid w:val="1B38C9E7"/>
    <w:rsid w:val="1B3F0340"/>
    <w:rsid w:val="1B677422"/>
    <w:rsid w:val="1B8D6D48"/>
    <w:rsid w:val="1B967C7D"/>
    <w:rsid w:val="1B992287"/>
    <w:rsid w:val="1B9A8DD9"/>
    <w:rsid w:val="1BDA64BF"/>
    <w:rsid w:val="1BEBF6D0"/>
    <w:rsid w:val="1BFB7A6F"/>
    <w:rsid w:val="1BFD8602"/>
    <w:rsid w:val="1C191503"/>
    <w:rsid w:val="1C402DFD"/>
    <w:rsid w:val="1C4394EF"/>
    <w:rsid w:val="1C65847F"/>
    <w:rsid w:val="1C7FA31F"/>
    <w:rsid w:val="1C8AC2CF"/>
    <w:rsid w:val="1CA11D7C"/>
    <w:rsid w:val="1CD6A859"/>
    <w:rsid w:val="1D0F5E95"/>
    <w:rsid w:val="1D33D2A6"/>
    <w:rsid w:val="1D408D86"/>
    <w:rsid w:val="1D8C9107"/>
    <w:rsid w:val="1D8D5AD6"/>
    <w:rsid w:val="1D912393"/>
    <w:rsid w:val="1DBDE38F"/>
    <w:rsid w:val="1DBFD967"/>
    <w:rsid w:val="1E0432BF"/>
    <w:rsid w:val="1E197B1D"/>
    <w:rsid w:val="1E27B9BC"/>
    <w:rsid w:val="1E4D63D5"/>
    <w:rsid w:val="1E6304AF"/>
    <w:rsid w:val="1EA314E2"/>
    <w:rsid w:val="1EB00827"/>
    <w:rsid w:val="1EBE09DF"/>
    <w:rsid w:val="1EF2EEE0"/>
    <w:rsid w:val="1F0421D4"/>
    <w:rsid w:val="1F109653"/>
    <w:rsid w:val="1F2B8EB5"/>
    <w:rsid w:val="1F5BA9C8"/>
    <w:rsid w:val="1F62D168"/>
    <w:rsid w:val="1F6C8CEE"/>
    <w:rsid w:val="1F6D2049"/>
    <w:rsid w:val="1F8EE811"/>
    <w:rsid w:val="1FA8B895"/>
    <w:rsid w:val="1FAD9D0E"/>
    <w:rsid w:val="203930E5"/>
    <w:rsid w:val="20B0C14B"/>
    <w:rsid w:val="20B660D4"/>
    <w:rsid w:val="20C83067"/>
    <w:rsid w:val="20C9923E"/>
    <w:rsid w:val="20EFB9BA"/>
    <w:rsid w:val="21320936"/>
    <w:rsid w:val="2191B4F9"/>
    <w:rsid w:val="219E601D"/>
    <w:rsid w:val="222E3AD2"/>
    <w:rsid w:val="22483715"/>
    <w:rsid w:val="22508D9A"/>
    <w:rsid w:val="22F708F9"/>
    <w:rsid w:val="22FBE03F"/>
    <w:rsid w:val="23087EA8"/>
    <w:rsid w:val="23644A72"/>
    <w:rsid w:val="23B102A0"/>
    <w:rsid w:val="23CD70C0"/>
    <w:rsid w:val="23D5CE9D"/>
    <w:rsid w:val="23E40776"/>
    <w:rsid w:val="23EA3CEF"/>
    <w:rsid w:val="23F1D84A"/>
    <w:rsid w:val="23F39D04"/>
    <w:rsid w:val="2416BBE7"/>
    <w:rsid w:val="2426321A"/>
    <w:rsid w:val="2431F754"/>
    <w:rsid w:val="246321CC"/>
    <w:rsid w:val="2466C065"/>
    <w:rsid w:val="246CCDBA"/>
    <w:rsid w:val="24837E19"/>
    <w:rsid w:val="2484BBD5"/>
    <w:rsid w:val="2497EA69"/>
    <w:rsid w:val="24C83184"/>
    <w:rsid w:val="2509F442"/>
    <w:rsid w:val="2523406A"/>
    <w:rsid w:val="2553F559"/>
    <w:rsid w:val="256E77DA"/>
    <w:rsid w:val="25736358"/>
    <w:rsid w:val="257FD7D7"/>
    <w:rsid w:val="25ECA571"/>
    <w:rsid w:val="2600179F"/>
    <w:rsid w:val="2602ED73"/>
    <w:rsid w:val="2614035E"/>
    <w:rsid w:val="26170005"/>
    <w:rsid w:val="261AD135"/>
    <w:rsid w:val="26283E34"/>
    <w:rsid w:val="2635E1EF"/>
    <w:rsid w:val="267CD9A7"/>
    <w:rsid w:val="2688339E"/>
    <w:rsid w:val="26965F11"/>
    <w:rsid w:val="26A02863"/>
    <w:rsid w:val="26C3A8CE"/>
    <w:rsid w:val="270118F6"/>
    <w:rsid w:val="271BA838"/>
    <w:rsid w:val="275A21BD"/>
    <w:rsid w:val="27661893"/>
    <w:rsid w:val="2778E729"/>
    <w:rsid w:val="27816F0F"/>
    <w:rsid w:val="278C9249"/>
    <w:rsid w:val="27A163C2"/>
    <w:rsid w:val="27AD2A66"/>
    <w:rsid w:val="27B24C2E"/>
    <w:rsid w:val="27CF8B2B"/>
    <w:rsid w:val="27D30DD4"/>
    <w:rsid w:val="27FE2024"/>
    <w:rsid w:val="2813CCC3"/>
    <w:rsid w:val="2849F4EA"/>
    <w:rsid w:val="287B74B1"/>
    <w:rsid w:val="28A7301A"/>
    <w:rsid w:val="28A929A2"/>
    <w:rsid w:val="28D83F0F"/>
    <w:rsid w:val="28F85EDF"/>
    <w:rsid w:val="2941102B"/>
    <w:rsid w:val="294E1994"/>
    <w:rsid w:val="296F150C"/>
    <w:rsid w:val="2977D2BA"/>
    <w:rsid w:val="2996A472"/>
    <w:rsid w:val="299D9B21"/>
    <w:rsid w:val="29C26898"/>
    <w:rsid w:val="29CA27A8"/>
    <w:rsid w:val="2A05889C"/>
    <w:rsid w:val="2A2246AC"/>
    <w:rsid w:val="2A3BF298"/>
    <w:rsid w:val="2A50A794"/>
    <w:rsid w:val="2A5348FA"/>
    <w:rsid w:val="2A590B71"/>
    <w:rsid w:val="2A6CB67A"/>
    <w:rsid w:val="2A91C27F"/>
    <w:rsid w:val="2AE286FA"/>
    <w:rsid w:val="2AF3D236"/>
    <w:rsid w:val="2B41040B"/>
    <w:rsid w:val="2B439776"/>
    <w:rsid w:val="2B58A94C"/>
    <w:rsid w:val="2B6900EF"/>
    <w:rsid w:val="2B6E2EC9"/>
    <w:rsid w:val="2BE1919B"/>
    <w:rsid w:val="2C3405B2"/>
    <w:rsid w:val="2C3F8E8E"/>
    <w:rsid w:val="2C43AE03"/>
    <w:rsid w:val="2C597921"/>
    <w:rsid w:val="2C748F27"/>
    <w:rsid w:val="2C7D5682"/>
    <w:rsid w:val="2C89D3F1"/>
    <w:rsid w:val="2C980304"/>
    <w:rsid w:val="2CB9AB6B"/>
    <w:rsid w:val="2CDCCDD6"/>
    <w:rsid w:val="2D025F94"/>
    <w:rsid w:val="2D24629D"/>
    <w:rsid w:val="2D35167E"/>
    <w:rsid w:val="2D9050C8"/>
    <w:rsid w:val="2DEABE0D"/>
    <w:rsid w:val="2DF6F6C7"/>
    <w:rsid w:val="2E035289"/>
    <w:rsid w:val="2E14814E"/>
    <w:rsid w:val="2E36C389"/>
    <w:rsid w:val="2E3C7D7B"/>
    <w:rsid w:val="2E3EBE70"/>
    <w:rsid w:val="2E462420"/>
    <w:rsid w:val="2E49A3E5"/>
    <w:rsid w:val="2E5A403F"/>
    <w:rsid w:val="2EB0FA53"/>
    <w:rsid w:val="2EFBEDE0"/>
    <w:rsid w:val="2F1E6665"/>
    <w:rsid w:val="2F1EB814"/>
    <w:rsid w:val="2F209778"/>
    <w:rsid w:val="2F469A42"/>
    <w:rsid w:val="2F70E731"/>
    <w:rsid w:val="2F9C037E"/>
    <w:rsid w:val="2FA7A945"/>
    <w:rsid w:val="2FC6A201"/>
    <w:rsid w:val="2FF26B09"/>
    <w:rsid w:val="30182654"/>
    <w:rsid w:val="3027C7A4"/>
    <w:rsid w:val="303ADD3A"/>
    <w:rsid w:val="3047BD10"/>
    <w:rsid w:val="304F8A09"/>
    <w:rsid w:val="30680DA0"/>
    <w:rsid w:val="306D5C82"/>
    <w:rsid w:val="309CBAD1"/>
    <w:rsid w:val="30DE9B69"/>
    <w:rsid w:val="3117F68F"/>
    <w:rsid w:val="312C447F"/>
    <w:rsid w:val="313F654B"/>
    <w:rsid w:val="315D4514"/>
    <w:rsid w:val="3171BAEB"/>
    <w:rsid w:val="3172F6F5"/>
    <w:rsid w:val="31AF20DB"/>
    <w:rsid w:val="31B9D744"/>
    <w:rsid w:val="31C09C79"/>
    <w:rsid w:val="31F7BAFB"/>
    <w:rsid w:val="322AC162"/>
    <w:rsid w:val="32388B32"/>
    <w:rsid w:val="32458B71"/>
    <w:rsid w:val="3254B5B3"/>
    <w:rsid w:val="325A04DC"/>
    <w:rsid w:val="32754B97"/>
    <w:rsid w:val="327E19DF"/>
    <w:rsid w:val="32BA5DA1"/>
    <w:rsid w:val="32C49444"/>
    <w:rsid w:val="32C7E95B"/>
    <w:rsid w:val="32E52CC3"/>
    <w:rsid w:val="3306C13C"/>
    <w:rsid w:val="33A5A1A7"/>
    <w:rsid w:val="33BD74CC"/>
    <w:rsid w:val="33C6BA3F"/>
    <w:rsid w:val="33C83375"/>
    <w:rsid w:val="33E15BD2"/>
    <w:rsid w:val="34251218"/>
    <w:rsid w:val="34566F48"/>
    <w:rsid w:val="348548EC"/>
    <w:rsid w:val="34970DDF"/>
    <w:rsid w:val="349E61AB"/>
    <w:rsid w:val="34A69D99"/>
    <w:rsid w:val="34AB0942"/>
    <w:rsid w:val="34E4BC5D"/>
    <w:rsid w:val="35346933"/>
    <w:rsid w:val="3565A51B"/>
    <w:rsid w:val="3570F43B"/>
    <w:rsid w:val="35753EAD"/>
    <w:rsid w:val="35846950"/>
    <w:rsid w:val="3591D235"/>
    <w:rsid w:val="35B2F4A1"/>
    <w:rsid w:val="36B26CEE"/>
    <w:rsid w:val="36B2C73E"/>
    <w:rsid w:val="36BF60AE"/>
    <w:rsid w:val="36C46F1B"/>
    <w:rsid w:val="3709C5CD"/>
    <w:rsid w:val="37474D0D"/>
    <w:rsid w:val="37B95DE8"/>
    <w:rsid w:val="37C10A02"/>
    <w:rsid w:val="37C7C301"/>
    <w:rsid w:val="37D143BB"/>
    <w:rsid w:val="37F0E251"/>
    <w:rsid w:val="37F4DC3C"/>
    <w:rsid w:val="37F75B39"/>
    <w:rsid w:val="380E5793"/>
    <w:rsid w:val="3841BEB7"/>
    <w:rsid w:val="38758110"/>
    <w:rsid w:val="388EC673"/>
    <w:rsid w:val="38EB6AA1"/>
    <w:rsid w:val="38EE8407"/>
    <w:rsid w:val="3913F891"/>
    <w:rsid w:val="3940E377"/>
    <w:rsid w:val="39CF5079"/>
    <w:rsid w:val="39DE6D1E"/>
    <w:rsid w:val="39FD6109"/>
    <w:rsid w:val="3A09D058"/>
    <w:rsid w:val="3A439D17"/>
    <w:rsid w:val="3A5F7B0D"/>
    <w:rsid w:val="3A6084A2"/>
    <w:rsid w:val="3A64C9C0"/>
    <w:rsid w:val="3A9BF54B"/>
    <w:rsid w:val="3AAD7ECF"/>
    <w:rsid w:val="3AADDE8C"/>
    <w:rsid w:val="3AAE0D90"/>
    <w:rsid w:val="3AD520BF"/>
    <w:rsid w:val="3AE78822"/>
    <w:rsid w:val="3AEDCF75"/>
    <w:rsid w:val="3AEDF377"/>
    <w:rsid w:val="3AF93D8B"/>
    <w:rsid w:val="3B36AC1F"/>
    <w:rsid w:val="3B6B03E8"/>
    <w:rsid w:val="3B87365A"/>
    <w:rsid w:val="3B94ED02"/>
    <w:rsid w:val="3C0F87A6"/>
    <w:rsid w:val="3C230C73"/>
    <w:rsid w:val="3C337DF0"/>
    <w:rsid w:val="3C4A1820"/>
    <w:rsid w:val="3C8A83F0"/>
    <w:rsid w:val="3CAD55FF"/>
    <w:rsid w:val="3CBC986D"/>
    <w:rsid w:val="3CC7D3B6"/>
    <w:rsid w:val="3D080FE0"/>
    <w:rsid w:val="3D1C4AA7"/>
    <w:rsid w:val="3D1ED7C2"/>
    <w:rsid w:val="3D7E5EE8"/>
    <w:rsid w:val="3D88A3B2"/>
    <w:rsid w:val="3DA10496"/>
    <w:rsid w:val="3E0C8669"/>
    <w:rsid w:val="3E486D9F"/>
    <w:rsid w:val="3E710FB1"/>
    <w:rsid w:val="3E93C58C"/>
    <w:rsid w:val="3EB0F635"/>
    <w:rsid w:val="3EB7E9B6"/>
    <w:rsid w:val="3EE7A840"/>
    <w:rsid w:val="3F2599B4"/>
    <w:rsid w:val="3F26B37F"/>
    <w:rsid w:val="3F37EE5F"/>
    <w:rsid w:val="3F74DEFA"/>
    <w:rsid w:val="3F934C10"/>
    <w:rsid w:val="3FA3F101"/>
    <w:rsid w:val="3FB169F7"/>
    <w:rsid w:val="3FBAE110"/>
    <w:rsid w:val="3FD2978B"/>
    <w:rsid w:val="3FFF7478"/>
    <w:rsid w:val="40285BD3"/>
    <w:rsid w:val="40726531"/>
    <w:rsid w:val="408241D7"/>
    <w:rsid w:val="40A4D7F8"/>
    <w:rsid w:val="40AA1297"/>
    <w:rsid w:val="4138C767"/>
    <w:rsid w:val="4143C7B3"/>
    <w:rsid w:val="417E9C3A"/>
    <w:rsid w:val="418CE57C"/>
    <w:rsid w:val="419CDA8B"/>
    <w:rsid w:val="41F1C263"/>
    <w:rsid w:val="41FE0EB8"/>
    <w:rsid w:val="4213C50F"/>
    <w:rsid w:val="4222E345"/>
    <w:rsid w:val="42451EA1"/>
    <w:rsid w:val="427A3735"/>
    <w:rsid w:val="427D76A9"/>
    <w:rsid w:val="4283DF62"/>
    <w:rsid w:val="4285684C"/>
    <w:rsid w:val="429F2153"/>
    <w:rsid w:val="42A4BF77"/>
    <w:rsid w:val="42FE1BDA"/>
    <w:rsid w:val="43368AD8"/>
    <w:rsid w:val="4337153A"/>
    <w:rsid w:val="43741B01"/>
    <w:rsid w:val="4394AB8A"/>
    <w:rsid w:val="43CCE114"/>
    <w:rsid w:val="4402A851"/>
    <w:rsid w:val="441F03F4"/>
    <w:rsid w:val="4420F6E2"/>
    <w:rsid w:val="447DC343"/>
    <w:rsid w:val="44BE54CB"/>
    <w:rsid w:val="44F3EBCE"/>
    <w:rsid w:val="44F763CC"/>
    <w:rsid w:val="451047E6"/>
    <w:rsid w:val="4547D294"/>
    <w:rsid w:val="4572B67C"/>
    <w:rsid w:val="459C67B0"/>
    <w:rsid w:val="45F414B0"/>
    <w:rsid w:val="45F677A8"/>
    <w:rsid w:val="4612DBAD"/>
    <w:rsid w:val="4648529A"/>
    <w:rsid w:val="46B8A519"/>
    <w:rsid w:val="46D54A6B"/>
    <w:rsid w:val="46E8F41D"/>
    <w:rsid w:val="46F8B665"/>
    <w:rsid w:val="4715F801"/>
    <w:rsid w:val="4758002C"/>
    <w:rsid w:val="477658D5"/>
    <w:rsid w:val="4778CB2D"/>
    <w:rsid w:val="47924809"/>
    <w:rsid w:val="47A4E0DA"/>
    <w:rsid w:val="47BD00BA"/>
    <w:rsid w:val="47BF891C"/>
    <w:rsid w:val="481F563B"/>
    <w:rsid w:val="48422170"/>
    <w:rsid w:val="4849F3CE"/>
    <w:rsid w:val="486B119F"/>
    <w:rsid w:val="48785A5E"/>
    <w:rsid w:val="4880FB5E"/>
    <w:rsid w:val="48830693"/>
    <w:rsid w:val="48A43B6A"/>
    <w:rsid w:val="48AB7B2C"/>
    <w:rsid w:val="48B8F496"/>
    <w:rsid w:val="493E857A"/>
    <w:rsid w:val="495A9E5D"/>
    <w:rsid w:val="499401DC"/>
    <w:rsid w:val="49E3EDDB"/>
    <w:rsid w:val="49E99991"/>
    <w:rsid w:val="49EE6EBC"/>
    <w:rsid w:val="4A0EC538"/>
    <w:rsid w:val="4A24EED5"/>
    <w:rsid w:val="4A44964A"/>
    <w:rsid w:val="4A4FBD72"/>
    <w:rsid w:val="4A536263"/>
    <w:rsid w:val="4A636F73"/>
    <w:rsid w:val="4A6F6C5B"/>
    <w:rsid w:val="4A76F8A7"/>
    <w:rsid w:val="4ADCCC36"/>
    <w:rsid w:val="4AE3C21C"/>
    <w:rsid w:val="4AEBC7FC"/>
    <w:rsid w:val="4B1143F1"/>
    <w:rsid w:val="4B635CB3"/>
    <w:rsid w:val="4B92ED18"/>
    <w:rsid w:val="4B96C187"/>
    <w:rsid w:val="4BA50303"/>
    <w:rsid w:val="4BD7F54D"/>
    <w:rsid w:val="4BEE9453"/>
    <w:rsid w:val="4BFD7EC8"/>
    <w:rsid w:val="4C0763F3"/>
    <w:rsid w:val="4C0B3092"/>
    <w:rsid w:val="4C1352A1"/>
    <w:rsid w:val="4C50D981"/>
    <w:rsid w:val="4CD0F41F"/>
    <w:rsid w:val="4CFF9FAA"/>
    <w:rsid w:val="4D42CC0F"/>
    <w:rsid w:val="4D7B2A48"/>
    <w:rsid w:val="4DA8D5AB"/>
    <w:rsid w:val="4DDAC954"/>
    <w:rsid w:val="4E016A89"/>
    <w:rsid w:val="4E17A686"/>
    <w:rsid w:val="4E2F898C"/>
    <w:rsid w:val="4E59D96C"/>
    <w:rsid w:val="4E6CF239"/>
    <w:rsid w:val="4EA45BDF"/>
    <w:rsid w:val="4EC7E360"/>
    <w:rsid w:val="4EC92DAA"/>
    <w:rsid w:val="4ED832F1"/>
    <w:rsid w:val="4EE3B7AD"/>
    <w:rsid w:val="4F3F8E42"/>
    <w:rsid w:val="4F5D0909"/>
    <w:rsid w:val="4F8B9F9C"/>
    <w:rsid w:val="4F9FE9A4"/>
    <w:rsid w:val="4FC12E99"/>
    <w:rsid w:val="4FE4AECB"/>
    <w:rsid w:val="4FE7ADB2"/>
    <w:rsid w:val="4FFE8461"/>
    <w:rsid w:val="500633CD"/>
    <w:rsid w:val="5064A9CB"/>
    <w:rsid w:val="506A20B1"/>
    <w:rsid w:val="507E4C59"/>
    <w:rsid w:val="508B3A46"/>
    <w:rsid w:val="5096F6DA"/>
    <w:rsid w:val="50A234BD"/>
    <w:rsid w:val="50DC5DC7"/>
    <w:rsid w:val="50EA0C9C"/>
    <w:rsid w:val="50EA4FC7"/>
    <w:rsid w:val="513ABDE6"/>
    <w:rsid w:val="51747300"/>
    <w:rsid w:val="51B29E87"/>
    <w:rsid w:val="51DB6E75"/>
    <w:rsid w:val="51F96B6B"/>
    <w:rsid w:val="52112170"/>
    <w:rsid w:val="5258AAA8"/>
    <w:rsid w:val="5271580E"/>
    <w:rsid w:val="5272AD7F"/>
    <w:rsid w:val="5278AD45"/>
    <w:rsid w:val="52C97347"/>
    <w:rsid w:val="52EF1AB3"/>
    <w:rsid w:val="53357B0A"/>
    <w:rsid w:val="533939A7"/>
    <w:rsid w:val="534D061E"/>
    <w:rsid w:val="5370B462"/>
    <w:rsid w:val="53736008"/>
    <w:rsid w:val="53A8CF97"/>
    <w:rsid w:val="53B3BE23"/>
    <w:rsid w:val="53DE2FC6"/>
    <w:rsid w:val="53E36F15"/>
    <w:rsid w:val="53E4857D"/>
    <w:rsid w:val="53F47B09"/>
    <w:rsid w:val="5404184C"/>
    <w:rsid w:val="542D590D"/>
    <w:rsid w:val="54521C17"/>
    <w:rsid w:val="5460D117"/>
    <w:rsid w:val="547A479C"/>
    <w:rsid w:val="5486BC1F"/>
    <w:rsid w:val="54D4A574"/>
    <w:rsid w:val="54FAABF9"/>
    <w:rsid w:val="54FDD680"/>
    <w:rsid w:val="551BEA3B"/>
    <w:rsid w:val="5545557B"/>
    <w:rsid w:val="554CA2E5"/>
    <w:rsid w:val="5551F607"/>
    <w:rsid w:val="55646933"/>
    <w:rsid w:val="559838F0"/>
    <w:rsid w:val="55B5D89B"/>
    <w:rsid w:val="5620D5C7"/>
    <w:rsid w:val="56268B62"/>
    <w:rsid w:val="56615D29"/>
    <w:rsid w:val="5668F2A3"/>
    <w:rsid w:val="56708A50"/>
    <w:rsid w:val="567F2E75"/>
    <w:rsid w:val="56A0BC60"/>
    <w:rsid w:val="56E6451F"/>
    <w:rsid w:val="56F0D3FF"/>
    <w:rsid w:val="573133AF"/>
    <w:rsid w:val="575347DE"/>
    <w:rsid w:val="5754AD6F"/>
    <w:rsid w:val="5758AE44"/>
    <w:rsid w:val="57669FC4"/>
    <w:rsid w:val="577DFA24"/>
    <w:rsid w:val="57838DAD"/>
    <w:rsid w:val="57976AF5"/>
    <w:rsid w:val="57B71B9F"/>
    <w:rsid w:val="57D9AE09"/>
    <w:rsid w:val="57DA282E"/>
    <w:rsid w:val="57F6C4F9"/>
    <w:rsid w:val="580A0B61"/>
    <w:rsid w:val="58513B48"/>
    <w:rsid w:val="585E3AD7"/>
    <w:rsid w:val="586AA9F6"/>
    <w:rsid w:val="58BE353A"/>
    <w:rsid w:val="58C1FA45"/>
    <w:rsid w:val="58EA2FF9"/>
    <w:rsid w:val="593D047B"/>
    <w:rsid w:val="593DB06F"/>
    <w:rsid w:val="5947E8E8"/>
    <w:rsid w:val="5949578C"/>
    <w:rsid w:val="594C10C5"/>
    <w:rsid w:val="5978090E"/>
    <w:rsid w:val="59A15A0E"/>
    <w:rsid w:val="59C4680E"/>
    <w:rsid w:val="59DDED58"/>
    <w:rsid w:val="5A1AE598"/>
    <w:rsid w:val="5A44611A"/>
    <w:rsid w:val="5A4F4A50"/>
    <w:rsid w:val="5A6FABBB"/>
    <w:rsid w:val="5A71AB13"/>
    <w:rsid w:val="5AB82B01"/>
    <w:rsid w:val="5AC46BCF"/>
    <w:rsid w:val="5AF9565B"/>
    <w:rsid w:val="5B51D912"/>
    <w:rsid w:val="5B577EC3"/>
    <w:rsid w:val="5B5BC7C6"/>
    <w:rsid w:val="5B60386F"/>
    <w:rsid w:val="5B67E1EA"/>
    <w:rsid w:val="5B6B9524"/>
    <w:rsid w:val="5B6C8A09"/>
    <w:rsid w:val="5B96217B"/>
    <w:rsid w:val="5BA77F75"/>
    <w:rsid w:val="5BAFEF9C"/>
    <w:rsid w:val="5C12F70A"/>
    <w:rsid w:val="5C1AF186"/>
    <w:rsid w:val="5C241BDD"/>
    <w:rsid w:val="5C260E18"/>
    <w:rsid w:val="5C48015B"/>
    <w:rsid w:val="5C64BBAA"/>
    <w:rsid w:val="5C656599"/>
    <w:rsid w:val="5C6BFF67"/>
    <w:rsid w:val="5C84A03B"/>
    <w:rsid w:val="5C92ECF3"/>
    <w:rsid w:val="5CAA58DF"/>
    <w:rsid w:val="5CAB0587"/>
    <w:rsid w:val="5CB3206A"/>
    <w:rsid w:val="5CC1AFE0"/>
    <w:rsid w:val="5CD0E113"/>
    <w:rsid w:val="5CFC08D0"/>
    <w:rsid w:val="5D022688"/>
    <w:rsid w:val="5D1D726C"/>
    <w:rsid w:val="5D207F6A"/>
    <w:rsid w:val="5D31CA37"/>
    <w:rsid w:val="5D5B2FBB"/>
    <w:rsid w:val="5D7B0B9F"/>
    <w:rsid w:val="5DC7EFC8"/>
    <w:rsid w:val="5E08B625"/>
    <w:rsid w:val="5E147B91"/>
    <w:rsid w:val="5E22DC4A"/>
    <w:rsid w:val="5E775AB5"/>
    <w:rsid w:val="5E99F07E"/>
    <w:rsid w:val="5F0FAF36"/>
    <w:rsid w:val="5F18F65D"/>
    <w:rsid w:val="5F271109"/>
    <w:rsid w:val="5F45C4C2"/>
    <w:rsid w:val="5F504A82"/>
    <w:rsid w:val="5F5A0E99"/>
    <w:rsid w:val="5F73A288"/>
    <w:rsid w:val="5FA98F48"/>
    <w:rsid w:val="5FD8921D"/>
    <w:rsid w:val="5FFFFC8B"/>
    <w:rsid w:val="600D3331"/>
    <w:rsid w:val="601C1A2D"/>
    <w:rsid w:val="603D233E"/>
    <w:rsid w:val="605A41DD"/>
    <w:rsid w:val="60666013"/>
    <w:rsid w:val="60705A3C"/>
    <w:rsid w:val="6098C789"/>
    <w:rsid w:val="60A7F19F"/>
    <w:rsid w:val="60D52F04"/>
    <w:rsid w:val="60E4B61C"/>
    <w:rsid w:val="60F45DB6"/>
    <w:rsid w:val="612D191A"/>
    <w:rsid w:val="6138F6FB"/>
    <w:rsid w:val="615038DF"/>
    <w:rsid w:val="615C6DA9"/>
    <w:rsid w:val="61C1AE4B"/>
    <w:rsid w:val="61C524DE"/>
    <w:rsid w:val="61DBA983"/>
    <w:rsid w:val="62014B58"/>
    <w:rsid w:val="62225F86"/>
    <w:rsid w:val="623796A6"/>
    <w:rsid w:val="6265F613"/>
    <w:rsid w:val="62CDD168"/>
    <w:rsid w:val="63022F37"/>
    <w:rsid w:val="6343B1B9"/>
    <w:rsid w:val="63577ABF"/>
    <w:rsid w:val="63F3A615"/>
    <w:rsid w:val="64128C59"/>
    <w:rsid w:val="642F2630"/>
    <w:rsid w:val="644F2F6F"/>
    <w:rsid w:val="644F5B40"/>
    <w:rsid w:val="64862114"/>
    <w:rsid w:val="64B45F82"/>
    <w:rsid w:val="64CE4ABC"/>
    <w:rsid w:val="64E1753D"/>
    <w:rsid w:val="64FAAB04"/>
    <w:rsid w:val="650D0FBE"/>
    <w:rsid w:val="6541591A"/>
    <w:rsid w:val="65575F9B"/>
    <w:rsid w:val="656ABEBB"/>
    <w:rsid w:val="6580C6D8"/>
    <w:rsid w:val="6595FF9C"/>
    <w:rsid w:val="659AFD38"/>
    <w:rsid w:val="65E3272F"/>
    <w:rsid w:val="65ED24BB"/>
    <w:rsid w:val="65F87CA7"/>
    <w:rsid w:val="65F95D3F"/>
    <w:rsid w:val="6626B110"/>
    <w:rsid w:val="66317663"/>
    <w:rsid w:val="6641E2E7"/>
    <w:rsid w:val="664F69C9"/>
    <w:rsid w:val="6652022A"/>
    <w:rsid w:val="66594867"/>
    <w:rsid w:val="667C3E20"/>
    <w:rsid w:val="66900DAA"/>
    <w:rsid w:val="66BD87F6"/>
    <w:rsid w:val="66E5B3C6"/>
    <w:rsid w:val="672112B0"/>
    <w:rsid w:val="674F5DB3"/>
    <w:rsid w:val="67710B92"/>
    <w:rsid w:val="677D85AC"/>
    <w:rsid w:val="6797E4DD"/>
    <w:rsid w:val="67B680BC"/>
    <w:rsid w:val="67C5341F"/>
    <w:rsid w:val="67D43E79"/>
    <w:rsid w:val="67DC8ECA"/>
    <w:rsid w:val="67E209AE"/>
    <w:rsid w:val="67E54957"/>
    <w:rsid w:val="681733BD"/>
    <w:rsid w:val="6817FA43"/>
    <w:rsid w:val="6825CD98"/>
    <w:rsid w:val="682A9E1B"/>
    <w:rsid w:val="6837763F"/>
    <w:rsid w:val="685614A3"/>
    <w:rsid w:val="6861FD98"/>
    <w:rsid w:val="6894E10A"/>
    <w:rsid w:val="69046526"/>
    <w:rsid w:val="6931DB2A"/>
    <w:rsid w:val="6934E3E5"/>
    <w:rsid w:val="694E4E26"/>
    <w:rsid w:val="6974152C"/>
    <w:rsid w:val="6982FCCA"/>
    <w:rsid w:val="69ABC7E4"/>
    <w:rsid w:val="69C5AD77"/>
    <w:rsid w:val="6A1B2854"/>
    <w:rsid w:val="6A1D7986"/>
    <w:rsid w:val="6A62974C"/>
    <w:rsid w:val="6A6CA6D0"/>
    <w:rsid w:val="6A83243A"/>
    <w:rsid w:val="6A9B393C"/>
    <w:rsid w:val="6AB10E95"/>
    <w:rsid w:val="6AB117B4"/>
    <w:rsid w:val="6AD6F59F"/>
    <w:rsid w:val="6ADF2AAA"/>
    <w:rsid w:val="6AEBD7D2"/>
    <w:rsid w:val="6B079A70"/>
    <w:rsid w:val="6B108229"/>
    <w:rsid w:val="6B10F33B"/>
    <w:rsid w:val="6B11189E"/>
    <w:rsid w:val="6B1EA174"/>
    <w:rsid w:val="6B49D51D"/>
    <w:rsid w:val="6B5217FC"/>
    <w:rsid w:val="6B701712"/>
    <w:rsid w:val="6B8BA06E"/>
    <w:rsid w:val="6B8D74F7"/>
    <w:rsid w:val="6BA9CD9B"/>
    <w:rsid w:val="6BAF750D"/>
    <w:rsid w:val="6BFB14AA"/>
    <w:rsid w:val="6C01653E"/>
    <w:rsid w:val="6C1BD945"/>
    <w:rsid w:val="6CA77459"/>
    <w:rsid w:val="6CB94C59"/>
    <w:rsid w:val="6CC328A6"/>
    <w:rsid w:val="6CF084B3"/>
    <w:rsid w:val="6D05706E"/>
    <w:rsid w:val="6D0C1F5A"/>
    <w:rsid w:val="6D1D8235"/>
    <w:rsid w:val="6D4854A8"/>
    <w:rsid w:val="6D51203B"/>
    <w:rsid w:val="6D988E4D"/>
    <w:rsid w:val="6DB96E9F"/>
    <w:rsid w:val="6DD4FA73"/>
    <w:rsid w:val="6E0A6B67"/>
    <w:rsid w:val="6E19893A"/>
    <w:rsid w:val="6E420562"/>
    <w:rsid w:val="6E4A0800"/>
    <w:rsid w:val="6E602CC3"/>
    <w:rsid w:val="6E654766"/>
    <w:rsid w:val="6E6C75C4"/>
    <w:rsid w:val="6E8E62C7"/>
    <w:rsid w:val="6E91BE81"/>
    <w:rsid w:val="6E989FB5"/>
    <w:rsid w:val="6EC97139"/>
    <w:rsid w:val="6F16F9AD"/>
    <w:rsid w:val="6F854D72"/>
    <w:rsid w:val="6FBEAE24"/>
    <w:rsid w:val="6FD4766F"/>
    <w:rsid w:val="6FDD7A80"/>
    <w:rsid w:val="6FEC8704"/>
    <w:rsid w:val="6FF0A303"/>
    <w:rsid w:val="6FF54349"/>
    <w:rsid w:val="70481DD3"/>
    <w:rsid w:val="707E8422"/>
    <w:rsid w:val="70AA9B64"/>
    <w:rsid w:val="70AC299E"/>
    <w:rsid w:val="70ADA862"/>
    <w:rsid w:val="70BF8BE0"/>
    <w:rsid w:val="70DFD48A"/>
    <w:rsid w:val="710608DD"/>
    <w:rsid w:val="710D01E3"/>
    <w:rsid w:val="710F94BE"/>
    <w:rsid w:val="712D8F00"/>
    <w:rsid w:val="719CE828"/>
    <w:rsid w:val="71C573C8"/>
    <w:rsid w:val="71D00E7C"/>
    <w:rsid w:val="71D9C434"/>
    <w:rsid w:val="71F39818"/>
    <w:rsid w:val="71FE86A4"/>
    <w:rsid w:val="720BC729"/>
    <w:rsid w:val="7224AF70"/>
    <w:rsid w:val="723205FD"/>
    <w:rsid w:val="726470C8"/>
    <w:rsid w:val="7271CC9F"/>
    <w:rsid w:val="727DE2FA"/>
    <w:rsid w:val="7295A9B2"/>
    <w:rsid w:val="72E5C7F5"/>
    <w:rsid w:val="72F7FDC6"/>
    <w:rsid w:val="73017239"/>
    <w:rsid w:val="7337B550"/>
    <w:rsid w:val="7338B889"/>
    <w:rsid w:val="734E51FB"/>
    <w:rsid w:val="73607393"/>
    <w:rsid w:val="736111C8"/>
    <w:rsid w:val="7367CBFD"/>
    <w:rsid w:val="737C89E0"/>
    <w:rsid w:val="73A77CEE"/>
    <w:rsid w:val="73E5628E"/>
    <w:rsid w:val="73F4AB12"/>
    <w:rsid w:val="743BB73E"/>
    <w:rsid w:val="7440551A"/>
    <w:rsid w:val="74BA6A38"/>
    <w:rsid w:val="74BDEE25"/>
    <w:rsid w:val="74D1CADC"/>
    <w:rsid w:val="74D488EA"/>
    <w:rsid w:val="751296E7"/>
    <w:rsid w:val="754A5E1C"/>
    <w:rsid w:val="75703D0E"/>
    <w:rsid w:val="75A20339"/>
    <w:rsid w:val="75A866BE"/>
    <w:rsid w:val="75B16AF6"/>
    <w:rsid w:val="75C4A10B"/>
    <w:rsid w:val="75D953E3"/>
    <w:rsid w:val="7616278F"/>
    <w:rsid w:val="762B62BF"/>
    <w:rsid w:val="763E15A6"/>
    <w:rsid w:val="766EB004"/>
    <w:rsid w:val="767D1096"/>
    <w:rsid w:val="76A8E890"/>
    <w:rsid w:val="76ADF6DF"/>
    <w:rsid w:val="76C73C95"/>
    <w:rsid w:val="77161E31"/>
    <w:rsid w:val="774C8A1F"/>
    <w:rsid w:val="774FF58E"/>
    <w:rsid w:val="7758DD30"/>
    <w:rsid w:val="7795E315"/>
    <w:rsid w:val="77A2DB3C"/>
    <w:rsid w:val="77D72D58"/>
    <w:rsid w:val="78141809"/>
    <w:rsid w:val="782F92BB"/>
    <w:rsid w:val="783D0607"/>
    <w:rsid w:val="784F2158"/>
    <w:rsid w:val="78535F69"/>
    <w:rsid w:val="785D758C"/>
    <w:rsid w:val="78974ECA"/>
    <w:rsid w:val="78B4D2AF"/>
    <w:rsid w:val="78B5B717"/>
    <w:rsid w:val="79103BF5"/>
    <w:rsid w:val="794F6B62"/>
    <w:rsid w:val="7953A432"/>
    <w:rsid w:val="796396B4"/>
    <w:rsid w:val="79851C93"/>
    <w:rsid w:val="799A8967"/>
    <w:rsid w:val="79AB4239"/>
    <w:rsid w:val="79B6134E"/>
    <w:rsid w:val="79D6BBDC"/>
    <w:rsid w:val="79E45267"/>
    <w:rsid w:val="7A1DBFBE"/>
    <w:rsid w:val="7A5B2671"/>
    <w:rsid w:val="7AA42E9C"/>
    <w:rsid w:val="7ACFE857"/>
    <w:rsid w:val="7AD5A3B4"/>
    <w:rsid w:val="7AE14847"/>
    <w:rsid w:val="7B055C9A"/>
    <w:rsid w:val="7B23FB24"/>
    <w:rsid w:val="7B511847"/>
    <w:rsid w:val="7B5963E0"/>
    <w:rsid w:val="7B728C3D"/>
    <w:rsid w:val="7B95E97C"/>
    <w:rsid w:val="7BADB7FA"/>
    <w:rsid w:val="7BC81F45"/>
    <w:rsid w:val="7BF1D543"/>
    <w:rsid w:val="7C079662"/>
    <w:rsid w:val="7C3F92DF"/>
    <w:rsid w:val="7C5C9B32"/>
    <w:rsid w:val="7C939AEF"/>
    <w:rsid w:val="7CED59D1"/>
    <w:rsid w:val="7CEE3E7F"/>
    <w:rsid w:val="7CEF8DD3"/>
    <w:rsid w:val="7D05981C"/>
    <w:rsid w:val="7D0857C6"/>
    <w:rsid w:val="7D19D934"/>
    <w:rsid w:val="7D1F5D09"/>
    <w:rsid w:val="7D3ADCEF"/>
    <w:rsid w:val="7D5ADD8C"/>
    <w:rsid w:val="7D705AB3"/>
    <w:rsid w:val="7D74D9CF"/>
    <w:rsid w:val="7D8B5D9A"/>
    <w:rsid w:val="7DAF30CC"/>
    <w:rsid w:val="7DD5DBB0"/>
    <w:rsid w:val="7DDABAA7"/>
    <w:rsid w:val="7E17E8F0"/>
    <w:rsid w:val="7E49D408"/>
    <w:rsid w:val="7E51DD2A"/>
    <w:rsid w:val="7E6662E5"/>
    <w:rsid w:val="7E877114"/>
    <w:rsid w:val="7E92B329"/>
    <w:rsid w:val="7EB04813"/>
    <w:rsid w:val="7EDC7F2F"/>
    <w:rsid w:val="7EDCEE3E"/>
    <w:rsid w:val="7F1BDCE0"/>
    <w:rsid w:val="7F421E71"/>
    <w:rsid w:val="7F4C7D0D"/>
    <w:rsid w:val="7F522B81"/>
    <w:rsid w:val="7F6D078D"/>
    <w:rsid w:val="7F765E05"/>
    <w:rsid w:val="7FA5B076"/>
    <w:rsid w:val="7FE7947B"/>
    <w:rsid w:val="7FF51173"/>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EB182"/>
  <w15:chartTrackingRefBased/>
  <w15:docId w15:val="{7E75DCED-878D-4EC6-BB71-E1523969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uiPriority="22" w:qFormat="1"/>
    <w:lsdException w:name="HTML Top of Form" w:locked="0"/>
    <w:lsdException w:name="HTML Bottom of Form" w:locked="0"/>
    <w:lsdException w:name="Normal (Web)" w:uiPriority="99"/>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502"/>
        <w:tab w:val="num" w:pos="360"/>
        <w:tab w:val="left" w:pos="1134"/>
      </w:tabs>
      <w:spacing w:before="120" w:after="120"/>
      <w:ind w:left="36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qFormat/>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A4799A"/>
    <w:rPr>
      <w:rFonts w:ascii="Open Sans" w:eastAsia="MS Mincho" w:hAnsi="Open Sans"/>
      <w:sz w:val="24"/>
      <w:szCs w:val="24"/>
    </w:rPr>
  </w:style>
  <w:style w:type="paragraph" w:styleId="FootnoteText">
    <w:name w:val="footnote text"/>
    <w:basedOn w:val="Normal"/>
    <w:link w:val="FootnoteTextChar"/>
    <w:uiPriority w:val="99"/>
    <w:locked/>
    <w:rsid w:val="00562AC8"/>
    <w:pPr>
      <w:spacing w:before="0" w:after="0"/>
    </w:pPr>
    <w:rPr>
      <w:sz w:val="20"/>
      <w:szCs w:val="20"/>
    </w:rPr>
  </w:style>
  <w:style w:type="character" w:customStyle="1" w:styleId="FootnoteTextChar">
    <w:name w:val="Footnote Text Char"/>
    <w:basedOn w:val="DefaultParagraphFont"/>
    <w:link w:val="FootnoteText"/>
    <w:uiPriority w:val="99"/>
    <w:rsid w:val="00562AC8"/>
    <w:rPr>
      <w:rFonts w:ascii="Open Sans" w:eastAsia="MS Mincho" w:hAnsi="Open Sans"/>
    </w:rPr>
  </w:style>
  <w:style w:type="character" w:styleId="FootnoteReference">
    <w:name w:val="footnote reference"/>
    <w:basedOn w:val="DefaultParagraphFont"/>
    <w:uiPriority w:val="99"/>
    <w:locked/>
    <w:rsid w:val="00562AC8"/>
    <w:rPr>
      <w:vertAlign w:val="superscript"/>
    </w:rPr>
  </w:style>
  <w:style w:type="character" w:styleId="UnresolvedMention">
    <w:name w:val="Unresolved Mention"/>
    <w:basedOn w:val="DefaultParagraphFont"/>
    <w:uiPriority w:val="99"/>
    <w:semiHidden/>
    <w:unhideWhenUsed/>
    <w:rsid w:val="00562AC8"/>
    <w:rPr>
      <w:color w:val="605E5C"/>
      <w:shd w:val="clear" w:color="auto" w:fill="E1DFDD"/>
    </w:rPr>
  </w:style>
  <w:style w:type="character" w:customStyle="1" w:styleId="cf01">
    <w:name w:val="cf01"/>
    <w:basedOn w:val="DefaultParagraphFont"/>
    <w:rsid w:val="00CC02E1"/>
    <w:rPr>
      <w:rFonts w:ascii="Segoe UI" w:hAnsi="Segoe UI" w:cs="Segoe UI" w:hint="default"/>
      <w:sz w:val="18"/>
      <w:szCs w:val="18"/>
    </w:rPr>
  </w:style>
  <w:style w:type="character" w:customStyle="1" w:styleId="normaltextrun">
    <w:name w:val="normaltextrun"/>
    <w:basedOn w:val="DefaultParagraphFont"/>
    <w:uiPriority w:val="1"/>
    <w:rsid w:val="2849F4EA"/>
  </w:style>
  <w:style w:type="character" w:customStyle="1" w:styleId="eop">
    <w:name w:val="eop"/>
    <w:basedOn w:val="DefaultParagraphFont"/>
    <w:uiPriority w:val="1"/>
    <w:rsid w:val="2849F4EA"/>
  </w:style>
  <w:style w:type="paragraph" w:customStyle="1" w:styleId="paragraph">
    <w:name w:val="paragraph"/>
    <w:basedOn w:val="Normal"/>
    <w:uiPriority w:val="1"/>
    <w:rsid w:val="2849F4EA"/>
    <w:pPr>
      <w:spacing w:beforeAutospacing="1" w:afterAutospacing="1"/>
    </w:pPr>
    <w:rPr>
      <w:rFonts w:ascii="Times New Roman" w:eastAsia="Times New Roman" w:hAnsi="Times New Roman"/>
    </w:rPr>
  </w:style>
  <w:style w:type="character" w:customStyle="1" w:styleId="ListParagraphChar">
    <w:name w:val="List Paragraph Char"/>
    <w:basedOn w:val="DefaultParagraphFont"/>
    <w:link w:val="ListParagraph"/>
    <w:uiPriority w:val="34"/>
    <w:rsid w:val="00AF6E6B"/>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54969">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34635926">
      <w:bodyDiv w:val="1"/>
      <w:marLeft w:val="0"/>
      <w:marRight w:val="0"/>
      <w:marTop w:val="0"/>
      <w:marBottom w:val="0"/>
      <w:divBdr>
        <w:top w:val="none" w:sz="0" w:space="0" w:color="auto"/>
        <w:left w:val="none" w:sz="0" w:space="0" w:color="auto"/>
        <w:bottom w:val="none" w:sz="0" w:space="0" w:color="auto"/>
        <w:right w:val="none" w:sz="0" w:space="0" w:color="auto"/>
      </w:divBdr>
      <w:divsChild>
        <w:div w:id="236131551">
          <w:marLeft w:val="0"/>
          <w:marRight w:val="0"/>
          <w:marTop w:val="0"/>
          <w:marBottom w:val="0"/>
          <w:divBdr>
            <w:top w:val="none" w:sz="0" w:space="0" w:color="auto"/>
            <w:left w:val="none" w:sz="0" w:space="0" w:color="auto"/>
            <w:bottom w:val="none" w:sz="0" w:space="0" w:color="auto"/>
            <w:right w:val="none" w:sz="0" w:space="0" w:color="auto"/>
          </w:divBdr>
        </w:div>
        <w:div w:id="444350693">
          <w:marLeft w:val="0"/>
          <w:marRight w:val="0"/>
          <w:marTop w:val="0"/>
          <w:marBottom w:val="0"/>
          <w:divBdr>
            <w:top w:val="none" w:sz="0" w:space="0" w:color="auto"/>
            <w:left w:val="none" w:sz="0" w:space="0" w:color="auto"/>
            <w:bottom w:val="none" w:sz="0" w:space="0" w:color="auto"/>
            <w:right w:val="none" w:sz="0" w:space="0" w:color="auto"/>
          </w:divBdr>
        </w:div>
        <w:div w:id="574819122">
          <w:marLeft w:val="0"/>
          <w:marRight w:val="0"/>
          <w:marTop w:val="0"/>
          <w:marBottom w:val="0"/>
          <w:divBdr>
            <w:top w:val="none" w:sz="0" w:space="0" w:color="auto"/>
            <w:left w:val="none" w:sz="0" w:space="0" w:color="auto"/>
            <w:bottom w:val="none" w:sz="0" w:space="0" w:color="auto"/>
            <w:right w:val="none" w:sz="0" w:space="0" w:color="auto"/>
          </w:divBdr>
        </w:div>
        <w:div w:id="976646531">
          <w:marLeft w:val="0"/>
          <w:marRight w:val="0"/>
          <w:marTop w:val="0"/>
          <w:marBottom w:val="0"/>
          <w:divBdr>
            <w:top w:val="none" w:sz="0" w:space="0" w:color="auto"/>
            <w:left w:val="none" w:sz="0" w:space="0" w:color="auto"/>
            <w:bottom w:val="none" w:sz="0" w:space="0" w:color="auto"/>
            <w:right w:val="none" w:sz="0" w:space="0" w:color="auto"/>
          </w:divBdr>
        </w:div>
        <w:div w:id="1434476638">
          <w:marLeft w:val="0"/>
          <w:marRight w:val="0"/>
          <w:marTop w:val="0"/>
          <w:marBottom w:val="0"/>
          <w:divBdr>
            <w:top w:val="none" w:sz="0" w:space="0" w:color="auto"/>
            <w:left w:val="none" w:sz="0" w:space="0" w:color="auto"/>
            <w:bottom w:val="none" w:sz="0" w:space="0" w:color="auto"/>
            <w:right w:val="none" w:sz="0" w:space="0" w:color="auto"/>
          </w:divBdr>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448967962">
      <w:bodyDiv w:val="1"/>
      <w:marLeft w:val="0"/>
      <w:marRight w:val="0"/>
      <w:marTop w:val="0"/>
      <w:marBottom w:val="0"/>
      <w:divBdr>
        <w:top w:val="none" w:sz="0" w:space="0" w:color="auto"/>
        <w:left w:val="none" w:sz="0" w:space="0" w:color="auto"/>
        <w:bottom w:val="none" w:sz="0" w:space="0" w:color="auto"/>
        <w:right w:val="none" w:sz="0" w:space="0" w:color="auto"/>
      </w:divBdr>
    </w:div>
    <w:div w:id="1924144072">
      <w:bodyDiv w:val="1"/>
      <w:marLeft w:val="0"/>
      <w:marRight w:val="0"/>
      <w:marTop w:val="0"/>
      <w:marBottom w:val="0"/>
      <w:divBdr>
        <w:top w:val="none" w:sz="0" w:space="0" w:color="auto"/>
        <w:left w:val="none" w:sz="0" w:space="0" w:color="auto"/>
        <w:bottom w:val="none" w:sz="0" w:space="0" w:color="auto"/>
        <w:right w:val="none" w:sz="0" w:space="0" w:color="auto"/>
      </w:divBdr>
      <w:divsChild>
        <w:div w:id="181482642">
          <w:marLeft w:val="0"/>
          <w:marRight w:val="0"/>
          <w:marTop w:val="0"/>
          <w:marBottom w:val="0"/>
          <w:divBdr>
            <w:top w:val="none" w:sz="0" w:space="0" w:color="auto"/>
            <w:left w:val="none" w:sz="0" w:space="0" w:color="auto"/>
            <w:bottom w:val="none" w:sz="0" w:space="0" w:color="auto"/>
            <w:right w:val="none" w:sz="0" w:space="0" w:color="auto"/>
          </w:divBdr>
        </w:div>
        <w:div w:id="528840425">
          <w:marLeft w:val="0"/>
          <w:marRight w:val="0"/>
          <w:marTop w:val="0"/>
          <w:marBottom w:val="0"/>
          <w:divBdr>
            <w:top w:val="none" w:sz="0" w:space="0" w:color="auto"/>
            <w:left w:val="none" w:sz="0" w:space="0" w:color="auto"/>
            <w:bottom w:val="none" w:sz="0" w:space="0" w:color="auto"/>
            <w:right w:val="none" w:sz="0" w:space="0" w:color="auto"/>
          </w:divBdr>
        </w:div>
        <w:div w:id="816990580">
          <w:marLeft w:val="0"/>
          <w:marRight w:val="0"/>
          <w:marTop w:val="0"/>
          <w:marBottom w:val="0"/>
          <w:divBdr>
            <w:top w:val="none" w:sz="0" w:space="0" w:color="auto"/>
            <w:left w:val="none" w:sz="0" w:space="0" w:color="auto"/>
            <w:bottom w:val="none" w:sz="0" w:space="0" w:color="auto"/>
            <w:right w:val="none" w:sz="0" w:space="0" w:color="auto"/>
          </w:divBdr>
        </w:div>
        <w:div w:id="1212769093">
          <w:marLeft w:val="0"/>
          <w:marRight w:val="0"/>
          <w:marTop w:val="0"/>
          <w:marBottom w:val="0"/>
          <w:divBdr>
            <w:top w:val="none" w:sz="0" w:space="0" w:color="auto"/>
            <w:left w:val="none" w:sz="0" w:space="0" w:color="auto"/>
            <w:bottom w:val="none" w:sz="0" w:space="0" w:color="auto"/>
            <w:right w:val="none" w:sz="0" w:space="0" w:color="auto"/>
          </w:divBdr>
        </w:div>
      </w:divsChild>
    </w:div>
    <w:div w:id="19900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humanrights.gov.au/our-work/rights-and-freedoms/publications/using-artificial-intelligence-make-decisions-addressing" TargetMode="External"/><Relationship Id="rId3" Type="http://schemas.openxmlformats.org/officeDocument/2006/relationships/customXml" Target="../customXml/item3.xml"/><Relationship Id="rId21" Type="http://schemas.openxmlformats.org/officeDocument/2006/relationships/hyperlink" Target="https://humanrights.gov.au/our-work/legal/submission/inquiry-risk-posed-australias-democracy-foreign-interference-through"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humanrights.gov.au/human-rights-act-for-australi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humanrights.gov.au/our-work/rights-and-freedoms/publications/human-rights-and-technology-final-report-2021"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humanrights.gov.au/human-rights-act-for-australia"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humanrights.gov.au/free-and-equal" TargetMode="Externa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humanrights.gov.au/our-work/legal/submission/submission-targeted-review-divisions-270-and-271-criminal-code" TargetMode="Externa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numbering" Target="numbering.xml"/></Relationships>
</file>

<file path=word/_rels/endnotes.xml.rels><?xml version="1.0" encoding="UTF-8" standalone="yes"?>
<Relationships xmlns="http://schemas.openxmlformats.org/package/2006/relationships"><Relationship Id="rId8" Type="http://schemas.openxmlformats.org/officeDocument/2006/relationships/hyperlink" Target="https://www.vice.com/en/article/9353qv/mobilewalla-tracked-protesters-targeted-evangelicals-during-2016-election" TargetMode="External"/><Relationship Id="rId13" Type="http://schemas.openxmlformats.org/officeDocument/2006/relationships/hyperlink" Target="https://www.uts.edu.au/human-technology-institute/projects/facial-recognition-technology-towards-model-law" TargetMode="External"/><Relationship Id="rId18" Type="http://schemas.openxmlformats.org/officeDocument/2006/relationships/hyperlink" Target="https://www.smh.com.au/education/it-s-all-about-controlling-students-researchers-slam-popular-app-20190118-p50s8l.html%3e" TargetMode="External"/><Relationship Id="rId26" Type="http://schemas.openxmlformats.org/officeDocument/2006/relationships/hyperlink" Target="https://www.aclu.org/news/privacy-technology/algorithms-in-health-care-may-worsen-medical-racism" TargetMode="External"/><Relationship Id="rId3" Type="http://schemas.openxmlformats.org/officeDocument/2006/relationships/hyperlink" Target="https://www.smh.com.au/politics/federal/senate-passes-controversial-metadata-laws-20150326-1m8q3v.html" TargetMode="External"/><Relationship Id="rId21" Type="http://schemas.openxmlformats.org/officeDocument/2006/relationships/hyperlink" Target="https://www.aclu.org/news/womens-rights/why-amazons-automated-hiring-tool-discriminated-against" TargetMode="External"/><Relationship Id="rId7" Type="http://schemas.openxmlformats.org/officeDocument/2006/relationships/hyperlink" Target="https://www.vice.com/en/article/9353qv/mobilewalla-tracked-protesters-targeted-evangelicals-during-2016-election" TargetMode="External"/><Relationship Id="rId12" Type="http://schemas.openxmlformats.org/officeDocument/2006/relationships/hyperlink" Target="https://www.uts.edu.au/human-technology-institute/projects/facial-recognition-technology-towards-model-law" TargetMode="External"/><Relationship Id="rId17" Type="http://schemas.openxmlformats.org/officeDocument/2006/relationships/hyperlink" Target="https://www.buzzfeednews.com/article/ryanmac/clearview-ai-local-police-facial-recognition" TargetMode="External"/><Relationship Id="rId25" Type="http://schemas.openxmlformats.org/officeDocument/2006/relationships/hyperlink" Target="https://www.aclu.org/news/privacy-technology/algorithms-in-health-care-may-worsen-medical-racism" TargetMode="External"/><Relationship Id="rId2" Type="http://schemas.openxmlformats.org/officeDocument/2006/relationships/hyperlink" Target="https://www.theverge.com/2013/11/20/5125922/vint-cerf-google-internet-evangelist-says-privacy-may-be-anomaly" TargetMode="External"/><Relationship Id="rId16" Type="http://schemas.openxmlformats.org/officeDocument/2006/relationships/hyperlink" Target="https://www.buzzfeednews.com/article/ryanmac/clearview-ai-local-police-facial-recognition" TargetMode="External"/><Relationship Id="rId20" Type="http://schemas.openxmlformats.org/officeDocument/2006/relationships/hyperlink" Target="https://www.abc.net.au/news/2023-03-10/qld-robodebt-scheme-government-royal-commission-fraud/102027838" TargetMode="External"/><Relationship Id="rId1" Type="http://schemas.openxmlformats.org/officeDocument/2006/relationships/hyperlink" Target="https://www.oaic.gov.au/privacy/your-privacy-rights/what-is-privacy" TargetMode="External"/><Relationship Id="rId6" Type="http://schemas.openxmlformats.org/officeDocument/2006/relationships/hyperlink" Target="https://www.forbes.com/sites/zakdoffman/2020/06/26/secretive-phone-tracking-company-publishes-location-data-on-black-lives-matter-protesters/?sh=6eeb5fa84a1e" TargetMode="External"/><Relationship Id="rId11" Type="http://schemas.openxmlformats.org/officeDocument/2006/relationships/hyperlink" Target="https://www.reuters.com/article/us-india-citizenship-protests-technology-idUSKBN20B0ZQ" TargetMode="External"/><Relationship Id="rId24" Type="http://schemas.openxmlformats.org/officeDocument/2006/relationships/hyperlink" Target="https://www.aclu.org/news/privacy-technology/algorithms-in-health-care-may-worsen-medical-racism" TargetMode="External"/><Relationship Id="rId5" Type="http://schemas.openxmlformats.org/officeDocument/2006/relationships/hyperlink" Target="https://www.forbes.com/sites/zakdoffman/2020/06/26/secretive-phone-tracking-company-publishes-location-data-on-black-lives-matter-protesters/?sh=6eeb5fa84a1e" TargetMode="External"/><Relationship Id="rId15" Type="http://schemas.openxmlformats.org/officeDocument/2006/relationships/hyperlink" Target="https://www.forbes.com/sites/larrymagid/2020/06/12/ibm-microsoft-and-amazon-not-letting-police-use-their-facial-recognition-technology/?sh=15a148191887" TargetMode="External"/><Relationship Id="rId23" Type="http://schemas.openxmlformats.org/officeDocument/2006/relationships/hyperlink" Target="https://www.aclu.org/news/womens-rights/why-amazons-automated-hiring-tool-discriminated-against" TargetMode="External"/><Relationship Id="rId28" Type="http://schemas.openxmlformats.org/officeDocument/2006/relationships/hyperlink" Target="https://hbr.org/2019/01/the-era-of-move-fast-and-break-things-is-over" TargetMode="External"/><Relationship Id="rId10" Type="http://schemas.openxmlformats.org/officeDocument/2006/relationships/hyperlink" Target="https://edition.cnn.com/2019/10/17/tech/india-facial-recognition-intl-hnk/index.html" TargetMode="External"/><Relationship Id="rId19" Type="http://schemas.openxmlformats.org/officeDocument/2006/relationships/hyperlink" Target="https://www.huffingtonpost.co.uk/entry/gps-tourists-australia_n_1363823" TargetMode="External"/><Relationship Id="rId4" Type="http://schemas.openxmlformats.org/officeDocument/2006/relationships/hyperlink" Target="https://humanrights.gov.au/our-work/legal/submission/review-mandatory-data-retention-regime-2019" TargetMode="External"/><Relationship Id="rId9" Type="http://schemas.openxmlformats.org/officeDocument/2006/relationships/hyperlink" Target="https://www.newindianexpress.com/nation/2018/apr/22/3000-missing-children-traced-in-four-days-by-delhi-police-with-facial-recognition-system-software-1804955.html" TargetMode="External"/><Relationship Id="rId14" Type="http://schemas.openxmlformats.org/officeDocument/2006/relationships/hyperlink" Target="https://www.npr.org/2020/06/24/882683463/the-computer-got-it-wrong-how-facial-recognition-led-to-a-false-arrest-in-michig" TargetMode="External"/><Relationship Id="rId22" Type="http://schemas.openxmlformats.org/officeDocument/2006/relationships/hyperlink" Target="https://www.aclu.org/news/womens-rights/why-amazons-automated-hiring-tool-discriminated-against" TargetMode="External"/><Relationship Id="rId27" Type="http://schemas.openxmlformats.org/officeDocument/2006/relationships/hyperlink" Target="https://www.theguardian.com/film/2022/oct/20/rebel-wilson-speaks-out-about-being-outed%3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finlay\Downloads\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CA645C0BB8F9B4F8BAC9BDB2428F6EA" ma:contentTypeVersion="8" ma:contentTypeDescription="Create a new document." ma:contentTypeScope="" ma:versionID="994830597f462adefc1f596272a9f3e4">
  <xsd:schema xmlns:xsd="http://www.w3.org/2001/XMLSchema" xmlns:xs="http://www.w3.org/2001/XMLSchema" xmlns:p="http://schemas.microsoft.com/office/2006/metadata/properties" xmlns:ns2="6500fe01-343b-4fb9-a1b0-68ac19d62e01" xmlns:ns3="dcf9cf1c-9180-40ad-b26b-60fa0a0503fc" targetNamespace="http://schemas.microsoft.com/office/2006/metadata/properties" ma:root="true" ma:fieldsID="4361226c1304f6d7d65b8bca658952ac" ns2:_="" ns3:_="">
    <xsd:import namespace="6500fe01-343b-4fb9-a1b0-68ac19d62e01"/>
    <xsd:import namespace="dcf9cf1c-9180-40ad-b26b-60fa0a0503fc"/>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f9cf1c-9180-40ad-b26b-60fa0a0503f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75c5ac6-a0cc-43ed-b850-4a2ae59237b6" ContentTypeId="0x0101" PreviousValue="false" LastSyncTimeStamp="2019-01-22T02:06:15.047Z"/>
</file>

<file path=customXml/item7.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WCE3WTZKT7T4-154947539-59</_dlc_DocId>
    <_dlc_DocIdUrl xmlns="6500fe01-343b-4fb9-a1b0-68ac19d62e01">
      <Url>https://australianhrc.sharepoint.com/sites/HumanRightsScrutiny/_layouts/15/DocIdRedir.aspx?ID=WCE3WTZKT7T4-154947539-59</Url>
      <Description>WCE3WTZKT7T4-154947539-59</Description>
    </_dlc_DocIdUrl>
    <Divider xmlns="6500fe01-343b-4fb9-a1b0-68ac19d62e01" xsi:nil="true"/>
  </documentManagement>
</p:properties>
</file>

<file path=customXml/itemProps1.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2.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3.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4.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5.xml><?xml version="1.0" encoding="utf-8"?>
<ds:datastoreItem xmlns:ds="http://schemas.openxmlformats.org/officeDocument/2006/customXml" ds:itemID="{0770325E-099C-4C0C-9ECC-0991735B7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cf9cf1c-9180-40ad-b26b-60fa0a050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6C24D1-D5D0-4442-BEAF-57B59C551ABF}">
  <ds:schemaRefs>
    <ds:schemaRef ds:uri="Microsoft.SharePoint.Taxonomy.ContentTypeSync"/>
  </ds:schemaRefs>
</ds:datastoreItem>
</file>

<file path=customXml/itemProps7.xml><?xml version="1.0" encoding="utf-8"?>
<ds:datastoreItem xmlns:ds="http://schemas.openxmlformats.org/officeDocument/2006/customXml" ds:itemID="{9D234E28-B345-4108-8EB3-981E9AB2F75F}">
  <ds:schemaRefs>
    <ds:schemaRef ds:uri="http://schemas.microsoft.com/office/2006/metadata/properties"/>
    <ds:schemaRef ds:uri="http://schemas.microsoft.com/office/infopath/2007/PartnerControls"/>
    <ds:schemaRef ds:uri="6500fe01-343b-4fb9-a1b0-68ac19d62e01"/>
  </ds:schemaRefs>
</ds:datastoreItem>
</file>

<file path=docProps/app.xml><?xml version="1.0" encoding="utf-8"?>
<Properties xmlns="http://schemas.openxmlformats.org/officeDocument/2006/extended-properties" xmlns:vt="http://schemas.openxmlformats.org/officeDocument/2006/docPropsVTypes">
  <Template>Submission.dotx</Template>
  <TotalTime>3381</TotalTime>
  <Pages>55</Pages>
  <Words>17637</Words>
  <Characters>100534</Characters>
  <Application>Microsoft Office Word</Application>
  <DocSecurity>0</DocSecurity>
  <Lines>837</Lines>
  <Paragraphs>235</Paragraphs>
  <ScaleCrop>false</ScaleCrop>
  <Company>Human Rights and Equal Opportunity Commission</Company>
  <LinksUpToDate>false</LinksUpToDate>
  <CharactersWithSpaces>117936</CharactersWithSpaces>
  <SharedDoc>false</SharedDoc>
  <HLinks>
    <vt:vector size="426" baseType="variant">
      <vt:variant>
        <vt:i4>4390921</vt:i4>
      </vt:variant>
      <vt:variant>
        <vt:i4>246</vt:i4>
      </vt:variant>
      <vt:variant>
        <vt:i4>0</vt:i4>
      </vt:variant>
      <vt:variant>
        <vt:i4>5</vt:i4>
      </vt:variant>
      <vt:variant>
        <vt:lpwstr>https://humanrights.gov.au/our-work/rights-and-freedoms/publications/using-artificial-intelligence-make-decisions-addressing</vt:lpwstr>
      </vt:variant>
      <vt:variant>
        <vt:lpwstr/>
      </vt:variant>
      <vt:variant>
        <vt:i4>6029376</vt:i4>
      </vt:variant>
      <vt:variant>
        <vt:i4>234</vt:i4>
      </vt:variant>
      <vt:variant>
        <vt:i4>0</vt:i4>
      </vt:variant>
      <vt:variant>
        <vt:i4>5</vt:i4>
      </vt:variant>
      <vt:variant>
        <vt:lpwstr>https://humanrights.gov.au/human-rights-act-for-australia</vt:lpwstr>
      </vt:variant>
      <vt:variant>
        <vt:lpwstr/>
      </vt:variant>
      <vt:variant>
        <vt:i4>6029376</vt:i4>
      </vt:variant>
      <vt:variant>
        <vt:i4>231</vt:i4>
      </vt:variant>
      <vt:variant>
        <vt:i4>0</vt:i4>
      </vt:variant>
      <vt:variant>
        <vt:i4>5</vt:i4>
      </vt:variant>
      <vt:variant>
        <vt:lpwstr>https://humanrights.gov.au/human-rights-act-for-australia</vt:lpwstr>
      </vt:variant>
      <vt:variant>
        <vt:lpwstr/>
      </vt:variant>
      <vt:variant>
        <vt:i4>196612</vt:i4>
      </vt:variant>
      <vt:variant>
        <vt:i4>228</vt:i4>
      </vt:variant>
      <vt:variant>
        <vt:i4>0</vt:i4>
      </vt:variant>
      <vt:variant>
        <vt:i4>5</vt:i4>
      </vt:variant>
      <vt:variant>
        <vt:lpwstr>https://humanrights.gov.au/free-and-equal</vt:lpwstr>
      </vt:variant>
      <vt:variant>
        <vt:lpwstr/>
      </vt:variant>
      <vt:variant>
        <vt:i4>7209075</vt:i4>
      </vt:variant>
      <vt:variant>
        <vt:i4>225</vt:i4>
      </vt:variant>
      <vt:variant>
        <vt:i4>0</vt:i4>
      </vt:variant>
      <vt:variant>
        <vt:i4>5</vt:i4>
      </vt:variant>
      <vt:variant>
        <vt:lpwstr>https://humanrights.gov.au/our-work/legal/submission/submission-targeted-review-divisions-270-and-271-criminal-code</vt:lpwstr>
      </vt:variant>
      <vt:variant>
        <vt:lpwstr/>
      </vt:variant>
      <vt:variant>
        <vt:i4>5701638</vt:i4>
      </vt:variant>
      <vt:variant>
        <vt:i4>222</vt:i4>
      </vt:variant>
      <vt:variant>
        <vt:i4>0</vt:i4>
      </vt:variant>
      <vt:variant>
        <vt:i4>5</vt:i4>
      </vt:variant>
      <vt:variant>
        <vt:lpwstr>https://humanrights.gov.au/our-work/legal/submission/inquiry-risk-posed-australias-democracy-foreign-interference-through</vt:lpwstr>
      </vt:variant>
      <vt:variant>
        <vt:lpwstr/>
      </vt:variant>
      <vt:variant>
        <vt:i4>6029322</vt:i4>
      </vt:variant>
      <vt:variant>
        <vt:i4>219</vt:i4>
      </vt:variant>
      <vt:variant>
        <vt:i4>0</vt:i4>
      </vt:variant>
      <vt:variant>
        <vt:i4>5</vt:i4>
      </vt:variant>
      <vt:variant>
        <vt:lpwstr>https://humanrights.gov.au/our-work/rights-and-freedoms/publications/human-rights-and-technology-final-report-2021</vt:lpwstr>
      </vt:variant>
      <vt:variant>
        <vt:lpwstr>:~:text=The%20Report%20sets%20out%20a,with%20robust%20human%20rights%20safeguards.</vt:lpwstr>
      </vt:variant>
      <vt:variant>
        <vt:i4>1835067</vt:i4>
      </vt:variant>
      <vt:variant>
        <vt:i4>212</vt:i4>
      </vt:variant>
      <vt:variant>
        <vt:i4>0</vt:i4>
      </vt:variant>
      <vt:variant>
        <vt:i4>5</vt:i4>
      </vt:variant>
      <vt:variant>
        <vt:lpwstr/>
      </vt:variant>
      <vt:variant>
        <vt:lpwstr>_Toc131585384</vt:lpwstr>
      </vt:variant>
      <vt:variant>
        <vt:i4>1835067</vt:i4>
      </vt:variant>
      <vt:variant>
        <vt:i4>206</vt:i4>
      </vt:variant>
      <vt:variant>
        <vt:i4>0</vt:i4>
      </vt:variant>
      <vt:variant>
        <vt:i4>5</vt:i4>
      </vt:variant>
      <vt:variant>
        <vt:lpwstr/>
      </vt:variant>
      <vt:variant>
        <vt:lpwstr>_Toc131585383</vt:lpwstr>
      </vt:variant>
      <vt:variant>
        <vt:i4>1835067</vt:i4>
      </vt:variant>
      <vt:variant>
        <vt:i4>200</vt:i4>
      </vt:variant>
      <vt:variant>
        <vt:i4>0</vt:i4>
      </vt:variant>
      <vt:variant>
        <vt:i4>5</vt:i4>
      </vt:variant>
      <vt:variant>
        <vt:lpwstr/>
      </vt:variant>
      <vt:variant>
        <vt:lpwstr>_Toc131585382</vt:lpwstr>
      </vt:variant>
      <vt:variant>
        <vt:i4>1835067</vt:i4>
      </vt:variant>
      <vt:variant>
        <vt:i4>194</vt:i4>
      </vt:variant>
      <vt:variant>
        <vt:i4>0</vt:i4>
      </vt:variant>
      <vt:variant>
        <vt:i4>5</vt:i4>
      </vt:variant>
      <vt:variant>
        <vt:lpwstr/>
      </vt:variant>
      <vt:variant>
        <vt:lpwstr>_Toc131585381</vt:lpwstr>
      </vt:variant>
      <vt:variant>
        <vt:i4>1835067</vt:i4>
      </vt:variant>
      <vt:variant>
        <vt:i4>188</vt:i4>
      </vt:variant>
      <vt:variant>
        <vt:i4>0</vt:i4>
      </vt:variant>
      <vt:variant>
        <vt:i4>5</vt:i4>
      </vt:variant>
      <vt:variant>
        <vt:lpwstr/>
      </vt:variant>
      <vt:variant>
        <vt:lpwstr>_Toc131585380</vt:lpwstr>
      </vt:variant>
      <vt:variant>
        <vt:i4>1245243</vt:i4>
      </vt:variant>
      <vt:variant>
        <vt:i4>182</vt:i4>
      </vt:variant>
      <vt:variant>
        <vt:i4>0</vt:i4>
      </vt:variant>
      <vt:variant>
        <vt:i4>5</vt:i4>
      </vt:variant>
      <vt:variant>
        <vt:lpwstr/>
      </vt:variant>
      <vt:variant>
        <vt:lpwstr>_Toc131585379</vt:lpwstr>
      </vt:variant>
      <vt:variant>
        <vt:i4>1245243</vt:i4>
      </vt:variant>
      <vt:variant>
        <vt:i4>176</vt:i4>
      </vt:variant>
      <vt:variant>
        <vt:i4>0</vt:i4>
      </vt:variant>
      <vt:variant>
        <vt:i4>5</vt:i4>
      </vt:variant>
      <vt:variant>
        <vt:lpwstr/>
      </vt:variant>
      <vt:variant>
        <vt:lpwstr>_Toc131585378</vt:lpwstr>
      </vt:variant>
      <vt:variant>
        <vt:i4>1245243</vt:i4>
      </vt:variant>
      <vt:variant>
        <vt:i4>170</vt:i4>
      </vt:variant>
      <vt:variant>
        <vt:i4>0</vt:i4>
      </vt:variant>
      <vt:variant>
        <vt:i4>5</vt:i4>
      </vt:variant>
      <vt:variant>
        <vt:lpwstr/>
      </vt:variant>
      <vt:variant>
        <vt:lpwstr>_Toc131585377</vt:lpwstr>
      </vt:variant>
      <vt:variant>
        <vt:i4>1245243</vt:i4>
      </vt:variant>
      <vt:variant>
        <vt:i4>164</vt:i4>
      </vt:variant>
      <vt:variant>
        <vt:i4>0</vt:i4>
      </vt:variant>
      <vt:variant>
        <vt:i4>5</vt:i4>
      </vt:variant>
      <vt:variant>
        <vt:lpwstr/>
      </vt:variant>
      <vt:variant>
        <vt:lpwstr>_Toc131585376</vt:lpwstr>
      </vt:variant>
      <vt:variant>
        <vt:i4>1245243</vt:i4>
      </vt:variant>
      <vt:variant>
        <vt:i4>158</vt:i4>
      </vt:variant>
      <vt:variant>
        <vt:i4>0</vt:i4>
      </vt:variant>
      <vt:variant>
        <vt:i4>5</vt:i4>
      </vt:variant>
      <vt:variant>
        <vt:lpwstr/>
      </vt:variant>
      <vt:variant>
        <vt:lpwstr>_Toc131585375</vt:lpwstr>
      </vt:variant>
      <vt:variant>
        <vt:i4>1245243</vt:i4>
      </vt:variant>
      <vt:variant>
        <vt:i4>152</vt:i4>
      </vt:variant>
      <vt:variant>
        <vt:i4>0</vt:i4>
      </vt:variant>
      <vt:variant>
        <vt:i4>5</vt:i4>
      </vt:variant>
      <vt:variant>
        <vt:lpwstr/>
      </vt:variant>
      <vt:variant>
        <vt:lpwstr>_Toc131585374</vt:lpwstr>
      </vt:variant>
      <vt:variant>
        <vt:i4>1245243</vt:i4>
      </vt:variant>
      <vt:variant>
        <vt:i4>146</vt:i4>
      </vt:variant>
      <vt:variant>
        <vt:i4>0</vt:i4>
      </vt:variant>
      <vt:variant>
        <vt:i4>5</vt:i4>
      </vt:variant>
      <vt:variant>
        <vt:lpwstr/>
      </vt:variant>
      <vt:variant>
        <vt:lpwstr>_Toc131585373</vt:lpwstr>
      </vt:variant>
      <vt:variant>
        <vt:i4>1245243</vt:i4>
      </vt:variant>
      <vt:variant>
        <vt:i4>140</vt:i4>
      </vt:variant>
      <vt:variant>
        <vt:i4>0</vt:i4>
      </vt:variant>
      <vt:variant>
        <vt:i4>5</vt:i4>
      </vt:variant>
      <vt:variant>
        <vt:lpwstr/>
      </vt:variant>
      <vt:variant>
        <vt:lpwstr>_Toc131585372</vt:lpwstr>
      </vt:variant>
      <vt:variant>
        <vt:i4>1245243</vt:i4>
      </vt:variant>
      <vt:variant>
        <vt:i4>134</vt:i4>
      </vt:variant>
      <vt:variant>
        <vt:i4>0</vt:i4>
      </vt:variant>
      <vt:variant>
        <vt:i4>5</vt:i4>
      </vt:variant>
      <vt:variant>
        <vt:lpwstr/>
      </vt:variant>
      <vt:variant>
        <vt:lpwstr>_Toc131585371</vt:lpwstr>
      </vt:variant>
      <vt:variant>
        <vt:i4>1245243</vt:i4>
      </vt:variant>
      <vt:variant>
        <vt:i4>128</vt:i4>
      </vt:variant>
      <vt:variant>
        <vt:i4>0</vt:i4>
      </vt:variant>
      <vt:variant>
        <vt:i4>5</vt:i4>
      </vt:variant>
      <vt:variant>
        <vt:lpwstr/>
      </vt:variant>
      <vt:variant>
        <vt:lpwstr>_Toc131585370</vt:lpwstr>
      </vt:variant>
      <vt:variant>
        <vt:i4>1179707</vt:i4>
      </vt:variant>
      <vt:variant>
        <vt:i4>122</vt:i4>
      </vt:variant>
      <vt:variant>
        <vt:i4>0</vt:i4>
      </vt:variant>
      <vt:variant>
        <vt:i4>5</vt:i4>
      </vt:variant>
      <vt:variant>
        <vt:lpwstr/>
      </vt:variant>
      <vt:variant>
        <vt:lpwstr>_Toc131585369</vt:lpwstr>
      </vt:variant>
      <vt:variant>
        <vt:i4>1179707</vt:i4>
      </vt:variant>
      <vt:variant>
        <vt:i4>116</vt:i4>
      </vt:variant>
      <vt:variant>
        <vt:i4>0</vt:i4>
      </vt:variant>
      <vt:variant>
        <vt:i4>5</vt:i4>
      </vt:variant>
      <vt:variant>
        <vt:lpwstr/>
      </vt:variant>
      <vt:variant>
        <vt:lpwstr>_Toc131585368</vt:lpwstr>
      </vt:variant>
      <vt:variant>
        <vt:i4>1179707</vt:i4>
      </vt:variant>
      <vt:variant>
        <vt:i4>110</vt:i4>
      </vt:variant>
      <vt:variant>
        <vt:i4>0</vt:i4>
      </vt:variant>
      <vt:variant>
        <vt:i4>5</vt:i4>
      </vt:variant>
      <vt:variant>
        <vt:lpwstr/>
      </vt:variant>
      <vt:variant>
        <vt:lpwstr>_Toc131585367</vt:lpwstr>
      </vt:variant>
      <vt:variant>
        <vt:i4>1179707</vt:i4>
      </vt:variant>
      <vt:variant>
        <vt:i4>104</vt:i4>
      </vt:variant>
      <vt:variant>
        <vt:i4>0</vt:i4>
      </vt:variant>
      <vt:variant>
        <vt:i4>5</vt:i4>
      </vt:variant>
      <vt:variant>
        <vt:lpwstr/>
      </vt:variant>
      <vt:variant>
        <vt:lpwstr>_Toc131585366</vt:lpwstr>
      </vt:variant>
      <vt:variant>
        <vt:i4>1179707</vt:i4>
      </vt:variant>
      <vt:variant>
        <vt:i4>98</vt:i4>
      </vt:variant>
      <vt:variant>
        <vt:i4>0</vt:i4>
      </vt:variant>
      <vt:variant>
        <vt:i4>5</vt:i4>
      </vt:variant>
      <vt:variant>
        <vt:lpwstr/>
      </vt:variant>
      <vt:variant>
        <vt:lpwstr>_Toc131585365</vt:lpwstr>
      </vt:variant>
      <vt:variant>
        <vt:i4>1179707</vt:i4>
      </vt:variant>
      <vt:variant>
        <vt:i4>92</vt:i4>
      </vt:variant>
      <vt:variant>
        <vt:i4>0</vt:i4>
      </vt:variant>
      <vt:variant>
        <vt:i4>5</vt:i4>
      </vt:variant>
      <vt:variant>
        <vt:lpwstr/>
      </vt:variant>
      <vt:variant>
        <vt:lpwstr>_Toc131585364</vt:lpwstr>
      </vt:variant>
      <vt:variant>
        <vt:i4>1179707</vt:i4>
      </vt:variant>
      <vt:variant>
        <vt:i4>86</vt:i4>
      </vt:variant>
      <vt:variant>
        <vt:i4>0</vt:i4>
      </vt:variant>
      <vt:variant>
        <vt:i4>5</vt:i4>
      </vt:variant>
      <vt:variant>
        <vt:lpwstr/>
      </vt:variant>
      <vt:variant>
        <vt:lpwstr>_Toc131585363</vt:lpwstr>
      </vt:variant>
      <vt:variant>
        <vt:i4>1179707</vt:i4>
      </vt:variant>
      <vt:variant>
        <vt:i4>80</vt:i4>
      </vt:variant>
      <vt:variant>
        <vt:i4>0</vt:i4>
      </vt:variant>
      <vt:variant>
        <vt:i4>5</vt:i4>
      </vt:variant>
      <vt:variant>
        <vt:lpwstr/>
      </vt:variant>
      <vt:variant>
        <vt:lpwstr>_Toc131585362</vt:lpwstr>
      </vt:variant>
      <vt:variant>
        <vt:i4>1179707</vt:i4>
      </vt:variant>
      <vt:variant>
        <vt:i4>74</vt:i4>
      </vt:variant>
      <vt:variant>
        <vt:i4>0</vt:i4>
      </vt:variant>
      <vt:variant>
        <vt:i4>5</vt:i4>
      </vt:variant>
      <vt:variant>
        <vt:lpwstr/>
      </vt:variant>
      <vt:variant>
        <vt:lpwstr>_Toc131585361</vt:lpwstr>
      </vt:variant>
      <vt:variant>
        <vt:i4>1179707</vt:i4>
      </vt:variant>
      <vt:variant>
        <vt:i4>68</vt:i4>
      </vt:variant>
      <vt:variant>
        <vt:i4>0</vt:i4>
      </vt:variant>
      <vt:variant>
        <vt:i4>5</vt:i4>
      </vt:variant>
      <vt:variant>
        <vt:lpwstr/>
      </vt:variant>
      <vt:variant>
        <vt:lpwstr>_Toc131585360</vt:lpwstr>
      </vt:variant>
      <vt:variant>
        <vt:i4>1114171</vt:i4>
      </vt:variant>
      <vt:variant>
        <vt:i4>62</vt:i4>
      </vt:variant>
      <vt:variant>
        <vt:i4>0</vt:i4>
      </vt:variant>
      <vt:variant>
        <vt:i4>5</vt:i4>
      </vt:variant>
      <vt:variant>
        <vt:lpwstr/>
      </vt:variant>
      <vt:variant>
        <vt:lpwstr>_Toc131585359</vt:lpwstr>
      </vt:variant>
      <vt:variant>
        <vt:i4>1114171</vt:i4>
      </vt:variant>
      <vt:variant>
        <vt:i4>56</vt:i4>
      </vt:variant>
      <vt:variant>
        <vt:i4>0</vt:i4>
      </vt:variant>
      <vt:variant>
        <vt:i4>5</vt:i4>
      </vt:variant>
      <vt:variant>
        <vt:lpwstr/>
      </vt:variant>
      <vt:variant>
        <vt:lpwstr>_Toc131585358</vt:lpwstr>
      </vt:variant>
      <vt:variant>
        <vt:i4>1114171</vt:i4>
      </vt:variant>
      <vt:variant>
        <vt:i4>50</vt:i4>
      </vt:variant>
      <vt:variant>
        <vt:i4>0</vt:i4>
      </vt:variant>
      <vt:variant>
        <vt:i4>5</vt:i4>
      </vt:variant>
      <vt:variant>
        <vt:lpwstr/>
      </vt:variant>
      <vt:variant>
        <vt:lpwstr>_Toc131585357</vt:lpwstr>
      </vt:variant>
      <vt:variant>
        <vt:i4>1114171</vt:i4>
      </vt:variant>
      <vt:variant>
        <vt:i4>44</vt:i4>
      </vt:variant>
      <vt:variant>
        <vt:i4>0</vt:i4>
      </vt:variant>
      <vt:variant>
        <vt:i4>5</vt:i4>
      </vt:variant>
      <vt:variant>
        <vt:lpwstr/>
      </vt:variant>
      <vt:variant>
        <vt:lpwstr>_Toc131585356</vt:lpwstr>
      </vt:variant>
      <vt:variant>
        <vt:i4>1114171</vt:i4>
      </vt:variant>
      <vt:variant>
        <vt:i4>38</vt:i4>
      </vt:variant>
      <vt:variant>
        <vt:i4>0</vt:i4>
      </vt:variant>
      <vt:variant>
        <vt:i4>5</vt:i4>
      </vt:variant>
      <vt:variant>
        <vt:lpwstr/>
      </vt:variant>
      <vt:variant>
        <vt:lpwstr>_Toc131585355</vt:lpwstr>
      </vt:variant>
      <vt:variant>
        <vt:i4>1114171</vt:i4>
      </vt:variant>
      <vt:variant>
        <vt:i4>32</vt:i4>
      </vt:variant>
      <vt:variant>
        <vt:i4>0</vt:i4>
      </vt:variant>
      <vt:variant>
        <vt:i4>5</vt:i4>
      </vt:variant>
      <vt:variant>
        <vt:lpwstr/>
      </vt:variant>
      <vt:variant>
        <vt:lpwstr>_Toc131585354</vt:lpwstr>
      </vt:variant>
      <vt:variant>
        <vt:i4>1114171</vt:i4>
      </vt:variant>
      <vt:variant>
        <vt:i4>26</vt:i4>
      </vt:variant>
      <vt:variant>
        <vt:i4>0</vt:i4>
      </vt:variant>
      <vt:variant>
        <vt:i4>5</vt:i4>
      </vt:variant>
      <vt:variant>
        <vt:lpwstr/>
      </vt:variant>
      <vt:variant>
        <vt:lpwstr>_Toc131585353</vt:lpwstr>
      </vt:variant>
      <vt:variant>
        <vt:i4>1114171</vt:i4>
      </vt:variant>
      <vt:variant>
        <vt:i4>20</vt:i4>
      </vt:variant>
      <vt:variant>
        <vt:i4>0</vt:i4>
      </vt:variant>
      <vt:variant>
        <vt:i4>5</vt:i4>
      </vt:variant>
      <vt:variant>
        <vt:lpwstr/>
      </vt:variant>
      <vt:variant>
        <vt:lpwstr>_Toc131585352</vt:lpwstr>
      </vt:variant>
      <vt:variant>
        <vt:i4>1114171</vt:i4>
      </vt:variant>
      <vt:variant>
        <vt:i4>14</vt:i4>
      </vt:variant>
      <vt:variant>
        <vt:i4>0</vt:i4>
      </vt:variant>
      <vt:variant>
        <vt:i4>5</vt:i4>
      </vt:variant>
      <vt:variant>
        <vt:lpwstr/>
      </vt:variant>
      <vt:variant>
        <vt:lpwstr>_Toc131585351</vt:lpwstr>
      </vt:variant>
      <vt:variant>
        <vt:i4>1114171</vt:i4>
      </vt:variant>
      <vt:variant>
        <vt:i4>8</vt:i4>
      </vt:variant>
      <vt:variant>
        <vt:i4>0</vt:i4>
      </vt:variant>
      <vt:variant>
        <vt:i4>5</vt:i4>
      </vt:variant>
      <vt:variant>
        <vt:lpwstr/>
      </vt:variant>
      <vt:variant>
        <vt:lpwstr>_Toc131585350</vt:lpwstr>
      </vt:variant>
      <vt:variant>
        <vt:i4>1048635</vt:i4>
      </vt:variant>
      <vt:variant>
        <vt:i4>2</vt:i4>
      </vt:variant>
      <vt:variant>
        <vt:i4>0</vt:i4>
      </vt:variant>
      <vt:variant>
        <vt:i4>5</vt:i4>
      </vt:variant>
      <vt:variant>
        <vt:lpwstr/>
      </vt:variant>
      <vt:variant>
        <vt:lpwstr>_Toc131585349</vt:lpwstr>
      </vt:variant>
      <vt:variant>
        <vt:i4>917520</vt:i4>
      </vt:variant>
      <vt:variant>
        <vt:i4>81</vt:i4>
      </vt:variant>
      <vt:variant>
        <vt:i4>0</vt:i4>
      </vt:variant>
      <vt:variant>
        <vt:i4>5</vt:i4>
      </vt:variant>
      <vt:variant>
        <vt:lpwstr>https://hbr.org/2019/01/the-era-of-move-fast-and-break-things-is-over</vt:lpwstr>
      </vt:variant>
      <vt:variant>
        <vt:lpwstr/>
      </vt:variant>
      <vt:variant>
        <vt:i4>1835014</vt:i4>
      </vt:variant>
      <vt:variant>
        <vt:i4>78</vt:i4>
      </vt:variant>
      <vt:variant>
        <vt:i4>0</vt:i4>
      </vt:variant>
      <vt:variant>
        <vt:i4>5</vt:i4>
      </vt:variant>
      <vt:variant>
        <vt:lpwstr>https://www.theguardian.com/film/2022/oct/20/rebel-wilson-speaks-out-about-being-outed%3e</vt:lpwstr>
      </vt:variant>
      <vt:variant>
        <vt:lpwstr/>
      </vt:variant>
      <vt:variant>
        <vt:i4>5767238</vt:i4>
      </vt:variant>
      <vt:variant>
        <vt:i4>75</vt:i4>
      </vt:variant>
      <vt:variant>
        <vt:i4>0</vt:i4>
      </vt:variant>
      <vt:variant>
        <vt:i4>5</vt:i4>
      </vt:variant>
      <vt:variant>
        <vt:lpwstr>https://www.aclu.org/news/privacy-technology/algorithms-in-health-care-may-worsen-medical-racism</vt:lpwstr>
      </vt:variant>
      <vt:variant>
        <vt:lpwstr/>
      </vt:variant>
      <vt:variant>
        <vt:i4>5767238</vt:i4>
      </vt:variant>
      <vt:variant>
        <vt:i4>72</vt:i4>
      </vt:variant>
      <vt:variant>
        <vt:i4>0</vt:i4>
      </vt:variant>
      <vt:variant>
        <vt:i4>5</vt:i4>
      </vt:variant>
      <vt:variant>
        <vt:lpwstr>https://www.aclu.org/news/privacy-technology/algorithms-in-health-care-may-worsen-medical-racism</vt:lpwstr>
      </vt:variant>
      <vt:variant>
        <vt:lpwstr/>
      </vt:variant>
      <vt:variant>
        <vt:i4>5767238</vt:i4>
      </vt:variant>
      <vt:variant>
        <vt:i4>69</vt:i4>
      </vt:variant>
      <vt:variant>
        <vt:i4>0</vt:i4>
      </vt:variant>
      <vt:variant>
        <vt:i4>5</vt:i4>
      </vt:variant>
      <vt:variant>
        <vt:lpwstr>https://www.aclu.org/news/privacy-technology/algorithms-in-health-care-may-worsen-medical-racism</vt:lpwstr>
      </vt:variant>
      <vt:variant>
        <vt:lpwstr/>
      </vt:variant>
      <vt:variant>
        <vt:i4>7995451</vt:i4>
      </vt:variant>
      <vt:variant>
        <vt:i4>66</vt:i4>
      </vt:variant>
      <vt:variant>
        <vt:i4>0</vt:i4>
      </vt:variant>
      <vt:variant>
        <vt:i4>5</vt:i4>
      </vt:variant>
      <vt:variant>
        <vt:lpwstr>https://www.aclu.org/news/womens-rights/why-amazons-automated-hiring-tool-discriminated-against</vt:lpwstr>
      </vt:variant>
      <vt:variant>
        <vt:lpwstr/>
      </vt:variant>
      <vt:variant>
        <vt:i4>7995451</vt:i4>
      </vt:variant>
      <vt:variant>
        <vt:i4>63</vt:i4>
      </vt:variant>
      <vt:variant>
        <vt:i4>0</vt:i4>
      </vt:variant>
      <vt:variant>
        <vt:i4>5</vt:i4>
      </vt:variant>
      <vt:variant>
        <vt:lpwstr>https://www.aclu.org/news/womens-rights/why-amazons-automated-hiring-tool-discriminated-against</vt:lpwstr>
      </vt:variant>
      <vt:variant>
        <vt:lpwstr/>
      </vt:variant>
      <vt:variant>
        <vt:i4>7995451</vt:i4>
      </vt:variant>
      <vt:variant>
        <vt:i4>60</vt:i4>
      </vt:variant>
      <vt:variant>
        <vt:i4>0</vt:i4>
      </vt:variant>
      <vt:variant>
        <vt:i4>5</vt:i4>
      </vt:variant>
      <vt:variant>
        <vt:lpwstr>https://www.aclu.org/news/womens-rights/why-amazons-automated-hiring-tool-discriminated-against</vt:lpwstr>
      </vt:variant>
      <vt:variant>
        <vt:lpwstr/>
      </vt:variant>
      <vt:variant>
        <vt:i4>2424931</vt:i4>
      </vt:variant>
      <vt:variant>
        <vt:i4>57</vt:i4>
      </vt:variant>
      <vt:variant>
        <vt:i4>0</vt:i4>
      </vt:variant>
      <vt:variant>
        <vt:i4>5</vt:i4>
      </vt:variant>
      <vt:variant>
        <vt:lpwstr>https://www.abc.net.au/news/2023-03-10/qld-robodebt-scheme-government-royal-commission-fraud/102027838</vt:lpwstr>
      </vt:variant>
      <vt:variant>
        <vt:lpwstr/>
      </vt:variant>
      <vt:variant>
        <vt:i4>6553720</vt:i4>
      </vt:variant>
      <vt:variant>
        <vt:i4>54</vt:i4>
      </vt:variant>
      <vt:variant>
        <vt:i4>0</vt:i4>
      </vt:variant>
      <vt:variant>
        <vt:i4>5</vt:i4>
      </vt:variant>
      <vt:variant>
        <vt:lpwstr>https://www.huffingtonpost.co.uk/entry/gps-tourists-australia_n_1363823</vt:lpwstr>
      </vt:variant>
      <vt:variant>
        <vt:lpwstr/>
      </vt:variant>
      <vt:variant>
        <vt:i4>5308433</vt:i4>
      </vt:variant>
      <vt:variant>
        <vt:i4>51</vt:i4>
      </vt:variant>
      <vt:variant>
        <vt:i4>0</vt:i4>
      </vt:variant>
      <vt:variant>
        <vt:i4>5</vt:i4>
      </vt:variant>
      <vt:variant>
        <vt:lpwstr>https://www.smh.com.au/education/it-s-all-about-controlling-students-researchers-slam-popular-app-20190118-p50s8l.html%3e</vt:lpwstr>
      </vt:variant>
      <vt:variant>
        <vt:lpwstr/>
      </vt:variant>
      <vt:variant>
        <vt:i4>84</vt:i4>
      </vt:variant>
      <vt:variant>
        <vt:i4>48</vt:i4>
      </vt:variant>
      <vt:variant>
        <vt:i4>0</vt:i4>
      </vt:variant>
      <vt:variant>
        <vt:i4>5</vt:i4>
      </vt:variant>
      <vt:variant>
        <vt:lpwstr>https://www.buzzfeednews.com/article/ryanmac/clearview-ai-local-police-facial-recognition</vt:lpwstr>
      </vt:variant>
      <vt:variant>
        <vt:lpwstr/>
      </vt:variant>
      <vt:variant>
        <vt:i4>84</vt:i4>
      </vt:variant>
      <vt:variant>
        <vt:i4>45</vt:i4>
      </vt:variant>
      <vt:variant>
        <vt:i4>0</vt:i4>
      </vt:variant>
      <vt:variant>
        <vt:i4>5</vt:i4>
      </vt:variant>
      <vt:variant>
        <vt:lpwstr>https://www.buzzfeednews.com/article/ryanmac/clearview-ai-local-police-facial-recognition</vt:lpwstr>
      </vt:variant>
      <vt:variant>
        <vt:lpwstr/>
      </vt:variant>
      <vt:variant>
        <vt:i4>8126510</vt:i4>
      </vt:variant>
      <vt:variant>
        <vt:i4>42</vt:i4>
      </vt:variant>
      <vt:variant>
        <vt:i4>0</vt:i4>
      </vt:variant>
      <vt:variant>
        <vt:i4>5</vt:i4>
      </vt:variant>
      <vt:variant>
        <vt:lpwstr>https://www.forbes.com/sites/larrymagid/2020/06/12/ibm-microsoft-and-amazon-not-letting-police-use-their-facial-recognition-technology/?sh=15a148191887</vt:lpwstr>
      </vt:variant>
      <vt:variant>
        <vt:lpwstr/>
      </vt:variant>
      <vt:variant>
        <vt:i4>8323175</vt:i4>
      </vt:variant>
      <vt:variant>
        <vt:i4>39</vt:i4>
      </vt:variant>
      <vt:variant>
        <vt:i4>0</vt:i4>
      </vt:variant>
      <vt:variant>
        <vt:i4>5</vt:i4>
      </vt:variant>
      <vt:variant>
        <vt:lpwstr>https://www.npr.org/2020/06/24/882683463/the-computer-got-it-wrong-how-facial-recognition-led-to-a-false-arrest-in-michig</vt:lpwstr>
      </vt:variant>
      <vt:variant>
        <vt:lpwstr>:~:text=Bobby%20Allyn-,'The%20Computer%20Got%20It%20Wrong'%3A%20How%20Facial%20Recognition%20Led,False%20Arrest%20Of%20Black%20Man&amp;text=Police%20in%20Detroit%20were%20trying,estimated%20%243%2C800%20worth%20of%20merchandise</vt:lpwstr>
      </vt:variant>
      <vt:variant>
        <vt:i4>3604533</vt:i4>
      </vt:variant>
      <vt:variant>
        <vt:i4>36</vt:i4>
      </vt:variant>
      <vt:variant>
        <vt:i4>0</vt:i4>
      </vt:variant>
      <vt:variant>
        <vt:i4>5</vt:i4>
      </vt:variant>
      <vt:variant>
        <vt:lpwstr>https://www.uts.edu.au/human-technology-institute/projects/facial-recognition-technology-towards-model-law</vt:lpwstr>
      </vt:variant>
      <vt:variant>
        <vt:lpwstr/>
      </vt:variant>
      <vt:variant>
        <vt:i4>3604533</vt:i4>
      </vt:variant>
      <vt:variant>
        <vt:i4>33</vt:i4>
      </vt:variant>
      <vt:variant>
        <vt:i4>0</vt:i4>
      </vt:variant>
      <vt:variant>
        <vt:i4>5</vt:i4>
      </vt:variant>
      <vt:variant>
        <vt:lpwstr>https://www.uts.edu.au/human-technology-institute/projects/facial-recognition-technology-towards-model-law</vt:lpwstr>
      </vt:variant>
      <vt:variant>
        <vt:lpwstr/>
      </vt:variant>
      <vt:variant>
        <vt:i4>2490474</vt:i4>
      </vt:variant>
      <vt:variant>
        <vt:i4>30</vt:i4>
      </vt:variant>
      <vt:variant>
        <vt:i4>0</vt:i4>
      </vt:variant>
      <vt:variant>
        <vt:i4>5</vt:i4>
      </vt:variant>
      <vt:variant>
        <vt:lpwstr>https://www.reuters.com/article/us-india-citizenship-protests-technology-idUSKBN20B0ZQ</vt:lpwstr>
      </vt:variant>
      <vt:variant>
        <vt:lpwstr/>
      </vt:variant>
      <vt:variant>
        <vt:i4>4325441</vt:i4>
      </vt:variant>
      <vt:variant>
        <vt:i4>27</vt:i4>
      </vt:variant>
      <vt:variant>
        <vt:i4>0</vt:i4>
      </vt:variant>
      <vt:variant>
        <vt:i4>5</vt:i4>
      </vt:variant>
      <vt:variant>
        <vt:lpwstr>https://edition.cnn.com/2019/10/17/tech/india-facial-recognition-intl-hnk/index.html</vt:lpwstr>
      </vt:variant>
      <vt:variant>
        <vt:lpwstr/>
      </vt:variant>
      <vt:variant>
        <vt:i4>3670129</vt:i4>
      </vt:variant>
      <vt:variant>
        <vt:i4>24</vt:i4>
      </vt:variant>
      <vt:variant>
        <vt:i4>0</vt:i4>
      </vt:variant>
      <vt:variant>
        <vt:i4>5</vt:i4>
      </vt:variant>
      <vt:variant>
        <vt:lpwstr>https://www.newindianexpress.com/nation/2018/apr/22/3000-missing-children-traced-in-four-days-by-delhi-police-with-facial-recognition-system-software-1804955.html</vt:lpwstr>
      </vt:variant>
      <vt:variant>
        <vt:lpwstr/>
      </vt:variant>
      <vt:variant>
        <vt:i4>1703944</vt:i4>
      </vt:variant>
      <vt:variant>
        <vt:i4>21</vt:i4>
      </vt:variant>
      <vt:variant>
        <vt:i4>0</vt:i4>
      </vt:variant>
      <vt:variant>
        <vt:i4>5</vt:i4>
      </vt:variant>
      <vt:variant>
        <vt:lpwstr>https://www.vice.com/en/article/9353qv/mobilewalla-tracked-protesters-targeted-evangelicals-during-2016-election</vt:lpwstr>
      </vt:variant>
      <vt:variant>
        <vt:lpwstr/>
      </vt:variant>
      <vt:variant>
        <vt:i4>1703944</vt:i4>
      </vt:variant>
      <vt:variant>
        <vt:i4>18</vt:i4>
      </vt:variant>
      <vt:variant>
        <vt:i4>0</vt:i4>
      </vt:variant>
      <vt:variant>
        <vt:i4>5</vt:i4>
      </vt:variant>
      <vt:variant>
        <vt:lpwstr>https://www.vice.com/en/article/9353qv/mobilewalla-tracked-protesters-targeted-evangelicals-during-2016-election</vt:lpwstr>
      </vt:variant>
      <vt:variant>
        <vt:lpwstr/>
      </vt:variant>
      <vt:variant>
        <vt:i4>5177432</vt:i4>
      </vt:variant>
      <vt:variant>
        <vt:i4>15</vt:i4>
      </vt:variant>
      <vt:variant>
        <vt:i4>0</vt:i4>
      </vt:variant>
      <vt:variant>
        <vt:i4>5</vt:i4>
      </vt:variant>
      <vt:variant>
        <vt:lpwstr>https://www.forbes.com/sites/zakdoffman/2020/06/26/secretive-phone-tracking-company-publishes-location-data-on-black-lives-matter-protesters/?sh=6eeb5fa84a1e</vt:lpwstr>
      </vt:variant>
      <vt:variant>
        <vt:lpwstr/>
      </vt:variant>
      <vt:variant>
        <vt:i4>5177432</vt:i4>
      </vt:variant>
      <vt:variant>
        <vt:i4>12</vt:i4>
      </vt:variant>
      <vt:variant>
        <vt:i4>0</vt:i4>
      </vt:variant>
      <vt:variant>
        <vt:i4>5</vt:i4>
      </vt:variant>
      <vt:variant>
        <vt:lpwstr>https://www.forbes.com/sites/zakdoffman/2020/06/26/secretive-phone-tracking-company-publishes-location-data-on-black-lives-matter-protesters/?sh=6eeb5fa84a1e</vt:lpwstr>
      </vt:variant>
      <vt:variant>
        <vt:lpwstr/>
      </vt:variant>
      <vt:variant>
        <vt:i4>6225944</vt:i4>
      </vt:variant>
      <vt:variant>
        <vt:i4>9</vt:i4>
      </vt:variant>
      <vt:variant>
        <vt:i4>0</vt:i4>
      </vt:variant>
      <vt:variant>
        <vt:i4>5</vt:i4>
      </vt:variant>
      <vt:variant>
        <vt:lpwstr>https://humanrights.gov.au/our-work/legal/submission/review-mandatory-data-retention-regime-2019</vt:lpwstr>
      </vt:variant>
      <vt:variant>
        <vt:lpwstr/>
      </vt:variant>
      <vt:variant>
        <vt:i4>7274549</vt:i4>
      </vt:variant>
      <vt:variant>
        <vt:i4>6</vt:i4>
      </vt:variant>
      <vt:variant>
        <vt:i4>0</vt:i4>
      </vt:variant>
      <vt:variant>
        <vt:i4>5</vt:i4>
      </vt:variant>
      <vt:variant>
        <vt:lpwstr>https://www.smh.com.au/politics/federal/senate-passes-controversial-metadata-laws-20150326-1m8q3v.html</vt:lpwstr>
      </vt:variant>
      <vt:variant>
        <vt:lpwstr/>
      </vt:variant>
      <vt:variant>
        <vt:i4>983044</vt:i4>
      </vt:variant>
      <vt:variant>
        <vt:i4>3</vt:i4>
      </vt:variant>
      <vt:variant>
        <vt:i4>0</vt:i4>
      </vt:variant>
      <vt:variant>
        <vt:i4>5</vt:i4>
      </vt:variant>
      <vt:variant>
        <vt:lpwstr>https://www.theverge.com/2013/11/20/5125922/vint-cerf-google-internet-evangelist-says-privacy-may-be-anomaly</vt:lpwstr>
      </vt:variant>
      <vt:variant>
        <vt:lpwstr/>
      </vt:variant>
      <vt:variant>
        <vt:i4>3145844</vt:i4>
      </vt:variant>
      <vt:variant>
        <vt:i4>0</vt:i4>
      </vt:variant>
      <vt:variant>
        <vt:i4>0</vt:i4>
      </vt:variant>
      <vt:variant>
        <vt:i4>5</vt:i4>
      </vt:variant>
      <vt:variant>
        <vt:lpwstr>https://www.oaic.gov.au/privacy/your-privacy-rights/what-is-privacy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Patrick Hooton</dc:creator>
  <cp:keywords/>
  <cp:lastModifiedBy>Patrick Hooton</cp:lastModifiedBy>
  <cp:revision>2925</cp:revision>
  <cp:lastPrinted>2023-04-05T18:54:00Z</cp:lastPrinted>
  <dcterms:created xsi:type="dcterms:W3CDTF">2023-02-04T05:15:00Z</dcterms:created>
  <dcterms:modified xsi:type="dcterms:W3CDTF">2023-04-06T00:21:00Z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0x010100ECA645C0BB8F9B4F8BAC9BDB2428F6EA</vt:lpwstr>
  </property>
  <property fmtid="{D5CDD505-2E9C-101B-9397-08002B2CF9AE}" pid="3" name="_dlc_DocIdItemGuid">
    <vt:lpwstr>281d8e7f-0797-4270-9372-bcc93a4b15a7</vt:lpwstr>
  </property>
  <property fmtid="{D5CDD505-2E9C-101B-9397-08002B2CF9AE}" pid="4" name="TaxKeyword">
    <vt:lpwstr/>
  </property>
</Properties>
</file>