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ACE51" w14:textId="77777777" w:rsidR="00713597" w:rsidRPr="00BC281B" w:rsidRDefault="00713597" w:rsidP="00A355F9">
      <w:pPr>
        <w:pStyle w:val="MainTitle"/>
        <w:rPr>
          <w:sz w:val="48"/>
          <w:szCs w:val="48"/>
        </w:rPr>
      </w:pPr>
      <w:r w:rsidRPr="00BC281B">
        <w:rPr>
          <w:sz w:val="48"/>
          <w:szCs w:val="48"/>
        </w:rPr>
        <w:t xml:space="preserve">Climate Change Amendment </w:t>
      </w:r>
    </w:p>
    <w:p w14:paraId="102CAAF2" w14:textId="2ED586A2" w:rsidR="00A355F9" w:rsidRPr="00BC281B" w:rsidRDefault="00713597" w:rsidP="00A355F9">
      <w:pPr>
        <w:pStyle w:val="MainTitle"/>
        <w:rPr>
          <w:sz w:val="48"/>
          <w:szCs w:val="48"/>
        </w:rPr>
      </w:pPr>
      <w:r w:rsidRPr="00BC281B">
        <w:rPr>
          <w:sz w:val="48"/>
          <w:szCs w:val="48"/>
        </w:rPr>
        <w:t xml:space="preserve">(Duty of Care and Intergenerational Climate Equity) Bill 2023 </w:t>
      </w:r>
    </w:p>
    <w:p w14:paraId="1CA6C142" w14:textId="77777777" w:rsidR="00817C73" w:rsidRDefault="00817C73" w:rsidP="00817C73">
      <w:pPr>
        <w:pStyle w:val="Subtitle"/>
      </w:pPr>
      <w:bookmarkStart w:id="0" w:name="_Toc515873204"/>
      <w:bookmarkStart w:id="1" w:name="_Toc149568170"/>
      <w:bookmarkStart w:id="2" w:name="_Toc149767384"/>
      <w:bookmarkStart w:id="3" w:name="_Toc150017376"/>
      <w:bookmarkStart w:id="4" w:name="_Toc150783759"/>
      <w:bookmarkStart w:id="5" w:name="_Toc150932165"/>
      <w:bookmarkStart w:id="6" w:name="_Toc150973982"/>
      <w:bookmarkStart w:id="7" w:name="_Toc151652056"/>
      <w:r>
        <w:t>Australian Human Rights Commission</w:t>
      </w:r>
      <w:bookmarkEnd w:id="0"/>
      <w:bookmarkEnd w:id="1"/>
      <w:bookmarkEnd w:id="2"/>
      <w:bookmarkEnd w:id="3"/>
      <w:bookmarkEnd w:id="4"/>
      <w:bookmarkEnd w:id="5"/>
      <w:bookmarkEnd w:id="6"/>
      <w:bookmarkEnd w:id="7"/>
    </w:p>
    <w:p w14:paraId="25E9AA18" w14:textId="77777777" w:rsidR="004403B0" w:rsidRDefault="00817C73" w:rsidP="004403B0">
      <w:pPr>
        <w:pStyle w:val="Subtitle"/>
        <w:spacing w:after="0"/>
      </w:pPr>
      <w:bookmarkStart w:id="8" w:name="_Toc515873205"/>
      <w:bookmarkStart w:id="9" w:name="_Toc149568171"/>
      <w:bookmarkStart w:id="10" w:name="_Toc149767385"/>
      <w:bookmarkStart w:id="11" w:name="_Toc150017377"/>
      <w:bookmarkStart w:id="12" w:name="_Toc150783760"/>
      <w:bookmarkStart w:id="13" w:name="_Toc150932166"/>
      <w:bookmarkStart w:id="14" w:name="_Toc150973983"/>
      <w:bookmarkStart w:id="15" w:name="_Toc151652057"/>
      <w:r>
        <w:t xml:space="preserve">Submission to the </w:t>
      </w:r>
      <w:bookmarkEnd w:id="8"/>
      <w:r w:rsidR="004403B0">
        <w:t>Environment and Communications</w:t>
      </w:r>
      <w:bookmarkEnd w:id="9"/>
      <w:bookmarkEnd w:id="10"/>
      <w:bookmarkEnd w:id="11"/>
      <w:bookmarkEnd w:id="12"/>
      <w:bookmarkEnd w:id="13"/>
      <w:bookmarkEnd w:id="14"/>
      <w:bookmarkEnd w:id="15"/>
      <w:r w:rsidR="004403B0">
        <w:t xml:space="preserve"> </w:t>
      </w:r>
    </w:p>
    <w:p w14:paraId="4450D56C" w14:textId="43DE5FC3" w:rsidR="00817C73" w:rsidRDefault="004403B0" w:rsidP="004403B0">
      <w:pPr>
        <w:pStyle w:val="Subtitle"/>
        <w:spacing w:before="0"/>
      </w:pPr>
      <w:bookmarkStart w:id="16" w:name="_Toc149568172"/>
      <w:bookmarkStart w:id="17" w:name="_Toc149767386"/>
      <w:bookmarkStart w:id="18" w:name="_Toc150017378"/>
      <w:bookmarkStart w:id="19" w:name="_Toc150783761"/>
      <w:bookmarkStart w:id="20" w:name="_Toc150932167"/>
      <w:bookmarkStart w:id="21" w:name="_Toc150973984"/>
      <w:bookmarkStart w:id="22" w:name="_Toc151652058"/>
      <w:r>
        <w:t>Legislat</w:t>
      </w:r>
      <w:r w:rsidR="008D6FB7">
        <w:t>ion</w:t>
      </w:r>
      <w:r>
        <w:t xml:space="preserve"> Committee</w:t>
      </w:r>
      <w:bookmarkEnd w:id="16"/>
      <w:bookmarkEnd w:id="17"/>
      <w:bookmarkEnd w:id="18"/>
      <w:bookmarkEnd w:id="19"/>
      <w:bookmarkEnd w:id="20"/>
      <w:bookmarkEnd w:id="21"/>
      <w:bookmarkEnd w:id="22"/>
    </w:p>
    <w:p w14:paraId="6C185EE8" w14:textId="0B1042A1" w:rsidR="00F220A5" w:rsidRPr="00817C73" w:rsidRDefault="0054559F" w:rsidP="00F220A5">
      <w:pPr>
        <w:pStyle w:val="Date"/>
      </w:pPr>
      <w:r>
        <w:t xml:space="preserve">23 </w:t>
      </w:r>
      <w:r w:rsidR="00190A98">
        <w:t>November 2023</w:t>
      </w:r>
    </w:p>
    <w:p w14:paraId="7DFDDFD7" w14:textId="77777777" w:rsidR="00AC636D" w:rsidRDefault="00AC636D" w:rsidP="00AC636D"/>
    <w:p w14:paraId="0F813B29" w14:textId="77777777" w:rsidR="009E4BD0" w:rsidRPr="00AC636D" w:rsidRDefault="009E4BD0" w:rsidP="00AC636D">
      <w:pPr>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p w14:paraId="2C33AFEB" w14:textId="77777777" w:rsidR="00947123" w:rsidRDefault="000B5B68" w:rsidP="00161035">
      <w:pPr>
        <w:pStyle w:val="TOC1"/>
      </w:pPr>
      <w:r>
        <w:lastRenderedPageBreak/>
        <w:t>Contents</w:t>
      </w:r>
      <w:r w:rsidR="00161035">
        <w:fldChar w:fldCharType="begin"/>
      </w:r>
      <w:r w:rsidR="00161035">
        <w:instrText xml:space="preserve"> TOC \o "1-2" \h \z \u </w:instrText>
      </w:r>
      <w:r w:rsidR="00161035">
        <w:fldChar w:fldCharType="separate"/>
      </w:r>
    </w:p>
    <w:p w14:paraId="0CE09B00" w14:textId="4C55793E" w:rsidR="00947123" w:rsidRDefault="00D075C4">
      <w:pPr>
        <w:pStyle w:val="TOC1"/>
        <w:rPr>
          <w:rFonts w:asciiTheme="minorHAnsi" w:eastAsiaTheme="minorEastAsia" w:hAnsiTheme="minorHAnsi" w:cstheme="minorBidi"/>
          <w:b w:val="0"/>
          <w:kern w:val="2"/>
          <w:sz w:val="22"/>
          <w:szCs w:val="22"/>
          <w14:ligatures w14:val="standardContextual"/>
        </w:rPr>
      </w:pPr>
      <w:hyperlink w:anchor="_Toc151652059" w:history="1">
        <w:r w:rsidR="00947123" w:rsidRPr="0013132D">
          <w:rPr>
            <w:rStyle w:val="Hyperlink"/>
          </w:rPr>
          <w:t>1</w:t>
        </w:r>
        <w:r w:rsidR="00947123">
          <w:rPr>
            <w:rFonts w:asciiTheme="minorHAnsi" w:eastAsiaTheme="minorEastAsia" w:hAnsiTheme="minorHAnsi" w:cstheme="minorBidi"/>
            <w:b w:val="0"/>
            <w:kern w:val="2"/>
            <w:sz w:val="22"/>
            <w:szCs w:val="22"/>
            <w14:ligatures w14:val="standardContextual"/>
          </w:rPr>
          <w:tab/>
        </w:r>
        <w:r w:rsidR="00947123" w:rsidRPr="0013132D">
          <w:rPr>
            <w:rStyle w:val="Hyperlink"/>
          </w:rPr>
          <w:t>Introduction</w:t>
        </w:r>
        <w:r w:rsidR="00947123">
          <w:rPr>
            <w:webHidden/>
          </w:rPr>
          <w:tab/>
        </w:r>
        <w:r w:rsidR="00947123">
          <w:rPr>
            <w:webHidden/>
          </w:rPr>
          <w:fldChar w:fldCharType="begin"/>
        </w:r>
        <w:r w:rsidR="00947123">
          <w:rPr>
            <w:webHidden/>
          </w:rPr>
          <w:instrText xml:space="preserve"> PAGEREF _Toc151652059 \h </w:instrText>
        </w:r>
        <w:r w:rsidR="00947123">
          <w:rPr>
            <w:webHidden/>
          </w:rPr>
        </w:r>
        <w:r w:rsidR="00947123">
          <w:rPr>
            <w:webHidden/>
          </w:rPr>
          <w:fldChar w:fldCharType="separate"/>
        </w:r>
        <w:r w:rsidR="00567CEC">
          <w:rPr>
            <w:webHidden/>
          </w:rPr>
          <w:t>3</w:t>
        </w:r>
        <w:r w:rsidR="00947123">
          <w:rPr>
            <w:webHidden/>
          </w:rPr>
          <w:fldChar w:fldCharType="end"/>
        </w:r>
      </w:hyperlink>
    </w:p>
    <w:p w14:paraId="1FA7009B" w14:textId="1983B8A6" w:rsidR="00947123" w:rsidRDefault="00D075C4">
      <w:pPr>
        <w:pStyle w:val="TOC1"/>
        <w:rPr>
          <w:rFonts w:asciiTheme="minorHAnsi" w:eastAsiaTheme="minorEastAsia" w:hAnsiTheme="minorHAnsi" w:cstheme="minorBidi"/>
          <w:b w:val="0"/>
          <w:kern w:val="2"/>
          <w:sz w:val="22"/>
          <w:szCs w:val="22"/>
          <w14:ligatures w14:val="standardContextual"/>
        </w:rPr>
      </w:pPr>
      <w:hyperlink w:anchor="_Toc151652060" w:history="1">
        <w:r w:rsidR="00947123" w:rsidRPr="0013132D">
          <w:rPr>
            <w:rStyle w:val="Hyperlink"/>
          </w:rPr>
          <w:t>2</w:t>
        </w:r>
        <w:r w:rsidR="00947123">
          <w:rPr>
            <w:rFonts w:asciiTheme="minorHAnsi" w:eastAsiaTheme="minorEastAsia" w:hAnsiTheme="minorHAnsi" w:cstheme="minorBidi"/>
            <w:b w:val="0"/>
            <w:kern w:val="2"/>
            <w:sz w:val="22"/>
            <w:szCs w:val="22"/>
            <w14:ligatures w14:val="standardContextual"/>
          </w:rPr>
          <w:tab/>
        </w:r>
        <w:r w:rsidR="00947123" w:rsidRPr="0013132D">
          <w:rPr>
            <w:rStyle w:val="Hyperlink"/>
          </w:rPr>
          <w:t>Summary</w:t>
        </w:r>
        <w:r w:rsidR="00947123">
          <w:rPr>
            <w:webHidden/>
          </w:rPr>
          <w:tab/>
        </w:r>
        <w:r w:rsidR="00947123">
          <w:rPr>
            <w:webHidden/>
          </w:rPr>
          <w:fldChar w:fldCharType="begin"/>
        </w:r>
        <w:r w:rsidR="00947123">
          <w:rPr>
            <w:webHidden/>
          </w:rPr>
          <w:instrText xml:space="preserve"> PAGEREF _Toc151652060 \h </w:instrText>
        </w:r>
        <w:r w:rsidR="00947123">
          <w:rPr>
            <w:webHidden/>
          </w:rPr>
        </w:r>
        <w:r w:rsidR="00947123">
          <w:rPr>
            <w:webHidden/>
          </w:rPr>
          <w:fldChar w:fldCharType="separate"/>
        </w:r>
        <w:r w:rsidR="00567CEC">
          <w:rPr>
            <w:webHidden/>
          </w:rPr>
          <w:t>3</w:t>
        </w:r>
        <w:r w:rsidR="00947123">
          <w:rPr>
            <w:webHidden/>
          </w:rPr>
          <w:fldChar w:fldCharType="end"/>
        </w:r>
      </w:hyperlink>
    </w:p>
    <w:p w14:paraId="64CF0E38" w14:textId="1F6FF515" w:rsidR="00947123" w:rsidRDefault="00D075C4">
      <w:pPr>
        <w:pStyle w:val="TOC1"/>
        <w:rPr>
          <w:rFonts w:asciiTheme="minorHAnsi" w:eastAsiaTheme="minorEastAsia" w:hAnsiTheme="minorHAnsi" w:cstheme="minorBidi"/>
          <w:b w:val="0"/>
          <w:kern w:val="2"/>
          <w:sz w:val="22"/>
          <w:szCs w:val="22"/>
          <w14:ligatures w14:val="standardContextual"/>
        </w:rPr>
      </w:pPr>
      <w:hyperlink w:anchor="_Toc151652061" w:history="1">
        <w:r w:rsidR="00947123" w:rsidRPr="0013132D">
          <w:rPr>
            <w:rStyle w:val="Hyperlink"/>
          </w:rPr>
          <w:t>3</w:t>
        </w:r>
        <w:r w:rsidR="00947123">
          <w:rPr>
            <w:rFonts w:asciiTheme="minorHAnsi" w:eastAsiaTheme="minorEastAsia" w:hAnsiTheme="minorHAnsi" w:cstheme="minorBidi"/>
            <w:b w:val="0"/>
            <w:kern w:val="2"/>
            <w:sz w:val="22"/>
            <w:szCs w:val="22"/>
            <w14:ligatures w14:val="standardContextual"/>
          </w:rPr>
          <w:tab/>
        </w:r>
        <w:r w:rsidR="00947123" w:rsidRPr="0013132D">
          <w:rPr>
            <w:rStyle w:val="Hyperlink"/>
          </w:rPr>
          <w:t>Recommendations</w:t>
        </w:r>
        <w:r w:rsidR="00947123">
          <w:rPr>
            <w:webHidden/>
          </w:rPr>
          <w:tab/>
        </w:r>
        <w:r w:rsidR="00947123">
          <w:rPr>
            <w:webHidden/>
          </w:rPr>
          <w:fldChar w:fldCharType="begin"/>
        </w:r>
        <w:r w:rsidR="00947123">
          <w:rPr>
            <w:webHidden/>
          </w:rPr>
          <w:instrText xml:space="preserve"> PAGEREF _Toc151652061 \h </w:instrText>
        </w:r>
        <w:r w:rsidR="00947123">
          <w:rPr>
            <w:webHidden/>
          </w:rPr>
        </w:r>
        <w:r w:rsidR="00947123">
          <w:rPr>
            <w:webHidden/>
          </w:rPr>
          <w:fldChar w:fldCharType="separate"/>
        </w:r>
        <w:r w:rsidR="00567CEC">
          <w:rPr>
            <w:webHidden/>
          </w:rPr>
          <w:t>5</w:t>
        </w:r>
        <w:r w:rsidR="00947123">
          <w:rPr>
            <w:webHidden/>
          </w:rPr>
          <w:fldChar w:fldCharType="end"/>
        </w:r>
      </w:hyperlink>
    </w:p>
    <w:p w14:paraId="766155B7" w14:textId="6F3AE82A" w:rsidR="00947123" w:rsidRDefault="00D075C4">
      <w:pPr>
        <w:pStyle w:val="TOC1"/>
        <w:rPr>
          <w:rFonts w:asciiTheme="minorHAnsi" w:eastAsiaTheme="minorEastAsia" w:hAnsiTheme="minorHAnsi" w:cstheme="minorBidi"/>
          <w:b w:val="0"/>
          <w:kern w:val="2"/>
          <w:sz w:val="22"/>
          <w:szCs w:val="22"/>
          <w14:ligatures w14:val="standardContextual"/>
        </w:rPr>
      </w:pPr>
      <w:hyperlink w:anchor="_Toc151652062" w:history="1">
        <w:r w:rsidR="00947123" w:rsidRPr="0013132D">
          <w:rPr>
            <w:rStyle w:val="Hyperlink"/>
          </w:rPr>
          <w:t>4</w:t>
        </w:r>
        <w:r w:rsidR="00947123">
          <w:rPr>
            <w:rFonts w:asciiTheme="minorHAnsi" w:eastAsiaTheme="minorEastAsia" w:hAnsiTheme="minorHAnsi" w:cstheme="minorBidi"/>
            <w:b w:val="0"/>
            <w:kern w:val="2"/>
            <w:sz w:val="22"/>
            <w:szCs w:val="22"/>
            <w14:ligatures w14:val="standardContextual"/>
          </w:rPr>
          <w:tab/>
        </w:r>
        <w:r w:rsidR="00947123" w:rsidRPr="0013132D">
          <w:rPr>
            <w:rStyle w:val="Hyperlink"/>
          </w:rPr>
          <w:t>Background</w:t>
        </w:r>
        <w:r w:rsidR="00947123">
          <w:rPr>
            <w:webHidden/>
          </w:rPr>
          <w:tab/>
        </w:r>
        <w:r w:rsidR="00947123">
          <w:rPr>
            <w:webHidden/>
          </w:rPr>
          <w:fldChar w:fldCharType="begin"/>
        </w:r>
        <w:r w:rsidR="00947123">
          <w:rPr>
            <w:webHidden/>
          </w:rPr>
          <w:instrText xml:space="preserve"> PAGEREF _Toc151652062 \h </w:instrText>
        </w:r>
        <w:r w:rsidR="00947123">
          <w:rPr>
            <w:webHidden/>
          </w:rPr>
        </w:r>
        <w:r w:rsidR="00947123">
          <w:rPr>
            <w:webHidden/>
          </w:rPr>
          <w:fldChar w:fldCharType="separate"/>
        </w:r>
        <w:r w:rsidR="00567CEC">
          <w:rPr>
            <w:webHidden/>
          </w:rPr>
          <w:t>6</w:t>
        </w:r>
        <w:r w:rsidR="00947123">
          <w:rPr>
            <w:webHidden/>
          </w:rPr>
          <w:fldChar w:fldCharType="end"/>
        </w:r>
      </w:hyperlink>
    </w:p>
    <w:p w14:paraId="0F224E10" w14:textId="34F3D3D8" w:rsidR="00947123" w:rsidRDefault="00D075C4">
      <w:pPr>
        <w:pStyle w:val="TOC1"/>
        <w:rPr>
          <w:rFonts w:asciiTheme="minorHAnsi" w:eastAsiaTheme="minorEastAsia" w:hAnsiTheme="minorHAnsi" w:cstheme="minorBidi"/>
          <w:b w:val="0"/>
          <w:kern w:val="2"/>
          <w:sz w:val="22"/>
          <w:szCs w:val="22"/>
          <w14:ligatures w14:val="standardContextual"/>
        </w:rPr>
      </w:pPr>
      <w:hyperlink w:anchor="_Toc151652063" w:history="1">
        <w:r w:rsidR="00947123" w:rsidRPr="0013132D">
          <w:rPr>
            <w:rStyle w:val="Hyperlink"/>
          </w:rPr>
          <w:t>5</w:t>
        </w:r>
        <w:r w:rsidR="00947123">
          <w:rPr>
            <w:rFonts w:asciiTheme="minorHAnsi" w:eastAsiaTheme="minorEastAsia" w:hAnsiTheme="minorHAnsi" w:cstheme="minorBidi"/>
            <w:b w:val="0"/>
            <w:kern w:val="2"/>
            <w:sz w:val="22"/>
            <w:szCs w:val="22"/>
            <w14:ligatures w14:val="standardContextual"/>
          </w:rPr>
          <w:tab/>
        </w:r>
        <w:r w:rsidR="00947123" w:rsidRPr="0013132D">
          <w:rPr>
            <w:rStyle w:val="Hyperlink"/>
          </w:rPr>
          <w:t>Support for what the Bill seeks to achieve</w:t>
        </w:r>
        <w:r w:rsidR="00947123">
          <w:rPr>
            <w:webHidden/>
          </w:rPr>
          <w:tab/>
        </w:r>
        <w:r w:rsidR="00947123">
          <w:rPr>
            <w:webHidden/>
          </w:rPr>
          <w:fldChar w:fldCharType="begin"/>
        </w:r>
        <w:r w:rsidR="00947123">
          <w:rPr>
            <w:webHidden/>
          </w:rPr>
          <w:instrText xml:space="preserve"> PAGEREF _Toc151652063 \h </w:instrText>
        </w:r>
        <w:r w:rsidR="00947123">
          <w:rPr>
            <w:webHidden/>
          </w:rPr>
        </w:r>
        <w:r w:rsidR="00947123">
          <w:rPr>
            <w:webHidden/>
          </w:rPr>
          <w:fldChar w:fldCharType="separate"/>
        </w:r>
        <w:r w:rsidR="00567CEC">
          <w:rPr>
            <w:webHidden/>
          </w:rPr>
          <w:t>10</w:t>
        </w:r>
        <w:r w:rsidR="00947123">
          <w:rPr>
            <w:webHidden/>
          </w:rPr>
          <w:fldChar w:fldCharType="end"/>
        </w:r>
      </w:hyperlink>
    </w:p>
    <w:p w14:paraId="3219639A" w14:textId="33869173" w:rsidR="00947123" w:rsidRDefault="00D075C4">
      <w:pPr>
        <w:pStyle w:val="TOC1"/>
        <w:rPr>
          <w:rFonts w:asciiTheme="minorHAnsi" w:eastAsiaTheme="minorEastAsia" w:hAnsiTheme="minorHAnsi" w:cstheme="minorBidi"/>
          <w:b w:val="0"/>
          <w:kern w:val="2"/>
          <w:sz w:val="22"/>
          <w:szCs w:val="22"/>
          <w14:ligatures w14:val="standardContextual"/>
        </w:rPr>
      </w:pPr>
      <w:hyperlink w:anchor="_Toc151652064" w:history="1">
        <w:r w:rsidR="00947123" w:rsidRPr="0013132D">
          <w:rPr>
            <w:rStyle w:val="Hyperlink"/>
          </w:rPr>
          <w:t>6</w:t>
        </w:r>
        <w:r w:rsidR="00947123">
          <w:rPr>
            <w:rFonts w:asciiTheme="minorHAnsi" w:eastAsiaTheme="minorEastAsia" w:hAnsiTheme="minorHAnsi" w:cstheme="minorBidi"/>
            <w:b w:val="0"/>
            <w:kern w:val="2"/>
            <w:sz w:val="22"/>
            <w:szCs w:val="22"/>
            <w14:ligatures w14:val="standardContextual"/>
          </w:rPr>
          <w:tab/>
        </w:r>
        <w:r w:rsidR="00947123" w:rsidRPr="0013132D">
          <w:rPr>
            <w:rStyle w:val="Hyperlink"/>
          </w:rPr>
          <w:t>Concerns arising from the Bill’s approach</w:t>
        </w:r>
        <w:r w:rsidR="00947123">
          <w:rPr>
            <w:webHidden/>
          </w:rPr>
          <w:tab/>
        </w:r>
        <w:r w:rsidR="00947123">
          <w:rPr>
            <w:webHidden/>
          </w:rPr>
          <w:fldChar w:fldCharType="begin"/>
        </w:r>
        <w:r w:rsidR="00947123">
          <w:rPr>
            <w:webHidden/>
          </w:rPr>
          <w:instrText xml:space="preserve"> PAGEREF _Toc151652064 \h </w:instrText>
        </w:r>
        <w:r w:rsidR="00947123">
          <w:rPr>
            <w:webHidden/>
          </w:rPr>
        </w:r>
        <w:r w:rsidR="00947123">
          <w:rPr>
            <w:webHidden/>
          </w:rPr>
          <w:fldChar w:fldCharType="separate"/>
        </w:r>
        <w:r w:rsidR="00567CEC">
          <w:rPr>
            <w:webHidden/>
          </w:rPr>
          <w:t>12</w:t>
        </w:r>
        <w:r w:rsidR="00947123">
          <w:rPr>
            <w:webHidden/>
          </w:rPr>
          <w:fldChar w:fldCharType="end"/>
        </w:r>
      </w:hyperlink>
    </w:p>
    <w:p w14:paraId="130ECFBC" w14:textId="691B969C" w:rsidR="00947123" w:rsidRDefault="00D075C4">
      <w:pPr>
        <w:pStyle w:val="TOC1"/>
        <w:rPr>
          <w:rFonts w:asciiTheme="minorHAnsi" w:eastAsiaTheme="minorEastAsia" w:hAnsiTheme="minorHAnsi" w:cstheme="minorBidi"/>
          <w:b w:val="0"/>
          <w:kern w:val="2"/>
          <w:sz w:val="22"/>
          <w:szCs w:val="22"/>
          <w14:ligatures w14:val="standardContextual"/>
        </w:rPr>
      </w:pPr>
      <w:hyperlink w:anchor="_Toc151652065" w:history="1">
        <w:r w:rsidR="00947123" w:rsidRPr="0013132D">
          <w:rPr>
            <w:rStyle w:val="Hyperlink"/>
          </w:rPr>
          <w:t>7</w:t>
        </w:r>
        <w:r w:rsidR="00947123">
          <w:rPr>
            <w:rFonts w:asciiTheme="minorHAnsi" w:eastAsiaTheme="minorEastAsia" w:hAnsiTheme="minorHAnsi" w:cstheme="minorBidi"/>
            <w:b w:val="0"/>
            <w:kern w:val="2"/>
            <w:sz w:val="22"/>
            <w:szCs w:val="22"/>
            <w14:ligatures w14:val="standardContextual"/>
          </w:rPr>
          <w:tab/>
        </w:r>
        <w:r w:rsidR="00947123" w:rsidRPr="0013132D">
          <w:rPr>
            <w:rStyle w:val="Hyperlink"/>
          </w:rPr>
          <w:t>Preferred way to achieve the Bill’s objects</w:t>
        </w:r>
        <w:r w:rsidR="00947123">
          <w:rPr>
            <w:webHidden/>
          </w:rPr>
          <w:tab/>
        </w:r>
        <w:r w:rsidR="00947123">
          <w:rPr>
            <w:webHidden/>
          </w:rPr>
          <w:fldChar w:fldCharType="begin"/>
        </w:r>
        <w:r w:rsidR="00947123">
          <w:rPr>
            <w:webHidden/>
          </w:rPr>
          <w:instrText xml:space="preserve"> PAGEREF _Toc151652065 \h </w:instrText>
        </w:r>
        <w:r w:rsidR="00947123">
          <w:rPr>
            <w:webHidden/>
          </w:rPr>
        </w:r>
        <w:r w:rsidR="00947123">
          <w:rPr>
            <w:webHidden/>
          </w:rPr>
          <w:fldChar w:fldCharType="separate"/>
        </w:r>
        <w:r w:rsidR="00567CEC">
          <w:rPr>
            <w:webHidden/>
          </w:rPr>
          <w:t>16</w:t>
        </w:r>
        <w:r w:rsidR="00947123">
          <w:rPr>
            <w:webHidden/>
          </w:rPr>
          <w:fldChar w:fldCharType="end"/>
        </w:r>
      </w:hyperlink>
    </w:p>
    <w:p w14:paraId="3A440908" w14:textId="2BBE6C8A" w:rsidR="00947123" w:rsidRDefault="00D075C4">
      <w:pPr>
        <w:pStyle w:val="TOC1"/>
        <w:rPr>
          <w:rFonts w:asciiTheme="minorHAnsi" w:eastAsiaTheme="minorEastAsia" w:hAnsiTheme="minorHAnsi" w:cstheme="minorBidi"/>
          <w:b w:val="0"/>
          <w:kern w:val="2"/>
          <w:sz w:val="22"/>
          <w:szCs w:val="22"/>
          <w14:ligatures w14:val="standardContextual"/>
        </w:rPr>
      </w:pPr>
      <w:hyperlink w:anchor="_Toc151652066" w:history="1">
        <w:r w:rsidR="00947123" w:rsidRPr="0013132D">
          <w:rPr>
            <w:rStyle w:val="Hyperlink"/>
          </w:rPr>
          <w:t>8</w:t>
        </w:r>
        <w:r w:rsidR="00947123">
          <w:rPr>
            <w:rFonts w:asciiTheme="minorHAnsi" w:eastAsiaTheme="minorEastAsia" w:hAnsiTheme="minorHAnsi" w:cstheme="minorBidi"/>
            <w:b w:val="0"/>
            <w:kern w:val="2"/>
            <w:sz w:val="22"/>
            <w:szCs w:val="22"/>
            <w14:ligatures w14:val="standardContextual"/>
          </w:rPr>
          <w:tab/>
        </w:r>
        <w:r w:rsidR="00947123" w:rsidRPr="0013132D">
          <w:rPr>
            <w:rStyle w:val="Hyperlink"/>
          </w:rPr>
          <w:t>Safeguarding Children – A CRIA model for Australia</w:t>
        </w:r>
        <w:r w:rsidR="00947123">
          <w:rPr>
            <w:webHidden/>
          </w:rPr>
          <w:tab/>
        </w:r>
        <w:r w:rsidR="00947123">
          <w:rPr>
            <w:webHidden/>
          </w:rPr>
          <w:fldChar w:fldCharType="begin"/>
        </w:r>
        <w:r w:rsidR="00947123">
          <w:rPr>
            <w:webHidden/>
          </w:rPr>
          <w:instrText xml:space="preserve"> PAGEREF _Toc151652066 \h </w:instrText>
        </w:r>
        <w:r w:rsidR="00947123">
          <w:rPr>
            <w:webHidden/>
          </w:rPr>
        </w:r>
        <w:r w:rsidR="00947123">
          <w:rPr>
            <w:webHidden/>
          </w:rPr>
          <w:fldChar w:fldCharType="separate"/>
        </w:r>
        <w:r w:rsidR="00567CEC">
          <w:rPr>
            <w:webHidden/>
          </w:rPr>
          <w:t>19</w:t>
        </w:r>
        <w:r w:rsidR="00947123">
          <w:rPr>
            <w:webHidden/>
          </w:rPr>
          <w:fldChar w:fldCharType="end"/>
        </w:r>
      </w:hyperlink>
    </w:p>
    <w:p w14:paraId="5F1B586A" w14:textId="7205207F" w:rsidR="00947123" w:rsidRDefault="00D075C4">
      <w:pPr>
        <w:pStyle w:val="TOC1"/>
        <w:rPr>
          <w:rFonts w:asciiTheme="minorHAnsi" w:eastAsiaTheme="minorEastAsia" w:hAnsiTheme="minorHAnsi" w:cstheme="minorBidi"/>
          <w:b w:val="0"/>
          <w:kern w:val="2"/>
          <w:sz w:val="22"/>
          <w:szCs w:val="22"/>
          <w14:ligatures w14:val="standardContextual"/>
        </w:rPr>
      </w:pPr>
      <w:hyperlink w:anchor="_Toc151652067" w:history="1">
        <w:r w:rsidR="00947123" w:rsidRPr="0013132D">
          <w:rPr>
            <w:rStyle w:val="Hyperlink"/>
          </w:rPr>
          <w:t>Appendix A</w:t>
        </w:r>
        <w:r w:rsidR="00947123">
          <w:rPr>
            <w:webHidden/>
          </w:rPr>
          <w:tab/>
        </w:r>
        <w:r w:rsidR="00947123">
          <w:rPr>
            <w:webHidden/>
          </w:rPr>
          <w:fldChar w:fldCharType="begin"/>
        </w:r>
        <w:r w:rsidR="00947123">
          <w:rPr>
            <w:webHidden/>
          </w:rPr>
          <w:instrText xml:space="preserve"> PAGEREF _Toc151652067 \h </w:instrText>
        </w:r>
        <w:r w:rsidR="00947123">
          <w:rPr>
            <w:webHidden/>
          </w:rPr>
        </w:r>
        <w:r w:rsidR="00947123">
          <w:rPr>
            <w:webHidden/>
          </w:rPr>
          <w:fldChar w:fldCharType="separate"/>
        </w:r>
        <w:r w:rsidR="00567CEC">
          <w:rPr>
            <w:webHidden/>
          </w:rPr>
          <w:t>21</w:t>
        </w:r>
        <w:r w:rsidR="00947123">
          <w:rPr>
            <w:webHidden/>
          </w:rPr>
          <w:fldChar w:fldCharType="end"/>
        </w:r>
      </w:hyperlink>
    </w:p>
    <w:p w14:paraId="371BB28D" w14:textId="6636BBE7" w:rsidR="00947123" w:rsidRDefault="00D075C4">
      <w:pPr>
        <w:pStyle w:val="TOC1"/>
        <w:rPr>
          <w:rFonts w:asciiTheme="minorHAnsi" w:eastAsiaTheme="minorEastAsia" w:hAnsiTheme="minorHAnsi" w:cstheme="minorBidi"/>
          <w:b w:val="0"/>
          <w:kern w:val="2"/>
          <w:sz w:val="22"/>
          <w:szCs w:val="22"/>
          <w14:ligatures w14:val="standardContextual"/>
        </w:rPr>
      </w:pPr>
      <w:hyperlink w:anchor="_Toc151652068" w:history="1">
        <w:r w:rsidR="00947123" w:rsidRPr="0013132D">
          <w:rPr>
            <w:rStyle w:val="Hyperlink"/>
          </w:rPr>
          <w:t>Endnotes</w:t>
        </w:r>
        <w:r w:rsidR="00947123">
          <w:rPr>
            <w:webHidden/>
          </w:rPr>
          <w:tab/>
        </w:r>
        <w:r w:rsidR="00947123">
          <w:rPr>
            <w:webHidden/>
          </w:rPr>
          <w:fldChar w:fldCharType="begin"/>
        </w:r>
        <w:r w:rsidR="00947123">
          <w:rPr>
            <w:webHidden/>
          </w:rPr>
          <w:instrText xml:space="preserve"> PAGEREF _Toc151652068 \h </w:instrText>
        </w:r>
        <w:r w:rsidR="00947123">
          <w:rPr>
            <w:webHidden/>
          </w:rPr>
        </w:r>
        <w:r w:rsidR="00947123">
          <w:rPr>
            <w:webHidden/>
          </w:rPr>
          <w:fldChar w:fldCharType="separate"/>
        </w:r>
        <w:r w:rsidR="00567CEC">
          <w:rPr>
            <w:webHidden/>
          </w:rPr>
          <w:t>22</w:t>
        </w:r>
        <w:r w:rsidR="00947123">
          <w:rPr>
            <w:webHidden/>
          </w:rPr>
          <w:fldChar w:fldCharType="end"/>
        </w:r>
      </w:hyperlink>
    </w:p>
    <w:p w14:paraId="626966BF" w14:textId="30A0BD44" w:rsidR="00190A98" w:rsidRDefault="00161035" w:rsidP="008C6FCE">
      <w:pPr>
        <w:pStyle w:val="TOC1"/>
        <w:ind w:left="0" w:firstLine="0"/>
        <w:rPr>
          <w:b w:val="0"/>
          <w:bCs/>
          <w:sz w:val="36"/>
          <w:szCs w:val="28"/>
        </w:rPr>
      </w:pPr>
      <w:r>
        <w:fldChar w:fldCharType="end"/>
      </w:r>
      <w:bookmarkStart w:id="23" w:name="_Toc207761830"/>
      <w:bookmarkStart w:id="24" w:name="_Toc209578266"/>
      <w:bookmarkStart w:id="25" w:name="_Toc209941766"/>
      <w:r w:rsidR="00190A98">
        <w:br w:type="page"/>
      </w:r>
    </w:p>
    <w:p w14:paraId="344CD232" w14:textId="37D94558" w:rsidR="00510390" w:rsidRDefault="009F2764" w:rsidP="00A27ABE">
      <w:pPr>
        <w:pStyle w:val="Heading1"/>
      </w:pPr>
      <w:bookmarkStart w:id="26" w:name="_Toc151652059"/>
      <w:r w:rsidRPr="009E08D1">
        <w:lastRenderedPageBreak/>
        <w:t>Introduction</w:t>
      </w:r>
      <w:bookmarkEnd w:id="23"/>
      <w:bookmarkEnd w:id="24"/>
      <w:bookmarkEnd w:id="25"/>
      <w:bookmarkEnd w:id="26"/>
    </w:p>
    <w:p w14:paraId="28935579" w14:textId="376EBD40" w:rsidR="00D76BFD" w:rsidRDefault="00907625" w:rsidP="00CE2DF4">
      <w:pPr>
        <w:pStyle w:val="ListNumber"/>
        <w:ind w:left="851" w:hanging="567"/>
      </w:pPr>
      <w:r>
        <w:t>The Australian Human Rights Commission (Commission)</w:t>
      </w:r>
      <w:r w:rsidR="00E22561">
        <w:t xml:space="preserve"> </w:t>
      </w:r>
      <w:r>
        <w:t>makes this submission to the Senate Environment and Communications Legislatio</w:t>
      </w:r>
      <w:r w:rsidR="008D6FB7">
        <w:t>n Committee</w:t>
      </w:r>
      <w:r w:rsidR="00BD0E87">
        <w:t>’s</w:t>
      </w:r>
      <w:r w:rsidR="008D6FB7">
        <w:t xml:space="preserve"> inquiry into the </w:t>
      </w:r>
      <w:r w:rsidR="008D6FB7" w:rsidRPr="00346359">
        <w:t>Climate Chang</w:t>
      </w:r>
      <w:r w:rsidR="00BC281B" w:rsidRPr="00346359">
        <w:t>e Amendment (Duty of Care and Intergenerational Climate Equity) Bill 2023</w:t>
      </w:r>
      <w:r w:rsidR="00C7548B">
        <w:t xml:space="preserve"> (Bill)</w:t>
      </w:r>
      <w:r w:rsidR="00BC281B">
        <w:t>.</w:t>
      </w:r>
    </w:p>
    <w:p w14:paraId="57B936F0" w14:textId="4662017C" w:rsidR="00AB5608" w:rsidRDefault="009225C0" w:rsidP="00CE2DF4">
      <w:pPr>
        <w:pStyle w:val="ListNumber"/>
        <w:ind w:left="851" w:hanging="567"/>
      </w:pPr>
      <w:r>
        <w:t>The Commission</w:t>
      </w:r>
      <w:r w:rsidR="00E22561">
        <w:t xml:space="preserve"> is Australia’s National Human Rights Institution (NHRI)</w:t>
      </w:r>
      <w:r w:rsidR="00FA2336">
        <w:t>.</w:t>
      </w:r>
      <w:r w:rsidR="00AB5608">
        <w:rPr>
          <w:rStyle w:val="EndnoteReference"/>
        </w:rPr>
        <w:endnoteReference w:id="2"/>
      </w:r>
    </w:p>
    <w:p w14:paraId="0D915D97" w14:textId="0A0A9A26" w:rsidR="00AB5608" w:rsidRDefault="00AB5608" w:rsidP="00CE2DF4">
      <w:pPr>
        <w:pStyle w:val="ListNumber"/>
        <w:ind w:left="851" w:hanging="567"/>
      </w:pPr>
      <w:bookmarkStart w:id="27" w:name="_Ref149722449"/>
      <w:r>
        <w:t>As identified in an Australian-led resolution to the United Nations Human Rights Council</w:t>
      </w:r>
      <w:r w:rsidR="00607A3D">
        <w:t>,</w:t>
      </w:r>
      <w:r>
        <w:t xml:space="preserve"> adopted in October 2022,</w:t>
      </w:r>
      <w:r>
        <w:rPr>
          <w:rStyle w:val="EndnoteReference"/>
        </w:rPr>
        <w:endnoteReference w:id="3"/>
      </w:r>
      <w:r>
        <w:t xml:space="preserve"> it is important for the Commission to assist the Australian government to develop appropriate laws and policy to protect the human rights of people in Australia from the impacts of climate change.</w:t>
      </w:r>
      <w:bookmarkEnd w:id="27"/>
      <w:r>
        <w:t xml:space="preserve"> </w:t>
      </w:r>
    </w:p>
    <w:p w14:paraId="02289A70" w14:textId="5FA1778C" w:rsidR="00AB5608" w:rsidRDefault="00AB5608" w:rsidP="009E08D1">
      <w:pPr>
        <w:pStyle w:val="Heading1"/>
      </w:pPr>
      <w:bookmarkStart w:id="28" w:name="_Toc151652060"/>
      <w:r>
        <w:t>Summary</w:t>
      </w:r>
      <w:bookmarkEnd w:id="28"/>
    </w:p>
    <w:p w14:paraId="45A7D760" w14:textId="12256B64" w:rsidR="00AB5608" w:rsidRDefault="00AB5608" w:rsidP="00CE2DF4">
      <w:pPr>
        <w:pStyle w:val="ListNumber"/>
        <w:tabs>
          <w:tab w:val="num" w:pos="1560"/>
        </w:tabs>
        <w:ind w:left="851" w:hanging="567"/>
      </w:pPr>
      <w:r>
        <w:t>Consistent with Australia’s support of relevant resolutions of the United Nations Human Rights Council,</w:t>
      </w:r>
      <w:r>
        <w:rPr>
          <w:rStyle w:val="EndnoteReference"/>
        </w:rPr>
        <w:endnoteReference w:id="4"/>
      </w:r>
      <w:r>
        <w:t xml:space="preserve"> and its obligations under the Paris Agreement,</w:t>
      </w:r>
      <w:r>
        <w:rPr>
          <w:rStyle w:val="EndnoteReference"/>
        </w:rPr>
        <w:endnoteReference w:id="5"/>
      </w:r>
      <w:r>
        <w:t xml:space="preserve"> the </w:t>
      </w:r>
      <w:r>
        <w:rPr>
          <w:i/>
          <w:iCs/>
        </w:rPr>
        <w:t xml:space="preserve">Climate Change Act 2022 </w:t>
      </w:r>
      <w:r w:rsidRPr="00346359">
        <w:t>(Cth)</w:t>
      </w:r>
      <w:r>
        <w:t xml:space="preserve"> (CCA) sets out Australia’s greenhouse gas emissions reduction targets in accordance with its Nationally Determined Contributions and requires the relevant Minister to report annually on </w:t>
      </w:r>
      <w:proofErr w:type="gramStart"/>
      <w:r>
        <w:t>a number of</w:t>
      </w:r>
      <w:proofErr w:type="gramEnd"/>
      <w:r>
        <w:t xml:space="preserve"> matters</w:t>
      </w:r>
      <w:r w:rsidR="00444DAD">
        <w:t>,</w:t>
      </w:r>
      <w:r>
        <w:t xml:space="preserve"> including progress made during the year towards achieving those targets.</w:t>
      </w:r>
      <w:r>
        <w:rPr>
          <w:rStyle w:val="EndnoteReference"/>
        </w:rPr>
        <w:endnoteReference w:id="6"/>
      </w:r>
      <w:r>
        <w:t xml:space="preserve"> </w:t>
      </w:r>
    </w:p>
    <w:p w14:paraId="7F450130" w14:textId="7609BADB" w:rsidR="00AB5608" w:rsidRPr="007B0ADB" w:rsidRDefault="00AB5608" w:rsidP="00CE2DF4">
      <w:pPr>
        <w:pStyle w:val="ListNumber"/>
        <w:tabs>
          <w:tab w:val="num" w:pos="1560"/>
        </w:tabs>
        <w:ind w:left="851" w:hanging="567"/>
        <w:rPr>
          <w:i/>
          <w:iCs/>
        </w:rPr>
      </w:pPr>
      <w:r>
        <w:t>This Bill seeks to amend the CCA to include among its objects:</w:t>
      </w:r>
    </w:p>
    <w:p w14:paraId="536FEF32" w14:textId="77777777" w:rsidR="00AB5608" w:rsidRPr="00190A98" w:rsidRDefault="00AB5608" w:rsidP="00CD154C">
      <w:pPr>
        <w:pStyle w:val="ListNumber"/>
        <w:numPr>
          <w:ilvl w:val="0"/>
          <w:numId w:val="0"/>
        </w:numPr>
        <w:ind w:left="1418" w:hanging="466"/>
        <w:rPr>
          <w:sz w:val="20"/>
          <w:szCs w:val="20"/>
        </w:rPr>
      </w:pPr>
      <w:r>
        <w:tab/>
      </w:r>
      <w:r w:rsidRPr="00190A98">
        <w:rPr>
          <w:sz w:val="20"/>
          <w:szCs w:val="20"/>
        </w:rPr>
        <w:tab/>
        <w:t>[the promotion of] intergenerational equity by requiring the health and wellbeing of current and future children in Australia to be considered by persons making certain administrative decisions that are likely to contribute to climate change.</w:t>
      </w:r>
      <w:r w:rsidRPr="00190A98">
        <w:rPr>
          <w:rStyle w:val="EndnoteReference"/>
          <w:szCs w:val="20"/>
        </w:rPr>
        <w:endnoteReference w:id="7"/>
      </w:r>
      <w:r w:rsidRPr="00190A98">
        <w:rPr>
          <w:sz w:val="20"/>
          <w:szCs w:val="20"/>
        </w:rPr>
        <w:t xml:space="preserve"> </w:t>
      </w:r>
    </w:p>
    <w:p w14:paraId="64B04215" w14:textId="77777777" w:rsidR="00AB5608" w:rsidRDefault="00AB5608" w:rsidP="00CE2DF4">
      <w:pPr>
        <w:pStyle w:val="ListNumber"/>
        <w:tabs>
          <w:tab w:val="num" w:pos="993"/>
        </w:tabs>
        <w:ind w:left="851" w:hanging="567"/>
      </w:pPr>
      <w:r>
        <w:t xml:space="preserve">To achieve this object, the Bill proposes that the CCA: </w:t>
      </w:r>
    </w:p>
    <w:p w14:paraId="423D6A42" w14:textId="1F45F83C" w:rsidR="00AB5608" w:rsidRDefault="00AB5608" w:rsidP="003924E1">
      <w:pPr>
        <w:pStyle w:val="ListNumber"/>
        <w:numPr>
          <w:ilvl w:val="0"/>
          <w:numId w:val="16"/>
        </w:numPr>
        <w:tabs>
          <w:tab w:val="clear" w:pos="1134"/>
        </w:tabs>
        <w:ind w:left="1418" w:hanging="425"/>
      </w:pPr>
      <w:r>
        <w:t xml:space="preserve">impose a statutory duty on decision makers to consider the health and wellbeing of current and future children in Australia as the paramount consideration when making ‘significant decisions’ (as defined </w:t>
      </w:r>
      <w:r w:rsidR="00182AA5">
        <w:t>in</w:t>
      </w:r>
      <w:r>
        <w:t xml:space="preserve"> the Bill),</w:t>
      </w:r>
      <w:r>
        <w:rPr>
          <w:rStyle w:val="EndnoteReference"/>
        </w:rPr>
        <w:endnoteReference w:id="8"/>
      </w:r>
      <w:r>
        <w:t xml:space="preserve"> and</w:t>
      </w:r>
    </w:p>
    <w:p w14:paraId="551D0AEB" w14:textId="5A50E1EC" w:rsidR="00AB5608" w:rsidRDefault="00AB5608" w:rsidP="003924E1">
      <w:pPr>
        <w:pStyle w:val="ListNumber"/>
        <w:numPr>
          <w:ilvl w:val="0"/>
          <w:numId w:val="16"/>
        </w:numPr>
        <w:tabs>
          <w:tab w:val="clear" w:pos="1134"/>
        </w:tabs>
        <w:ind w:left="1418" w:hanging="425"/>
      </w:pPr>
      <w:r>
        <w:t xml:space="preserve">impose a statutory duty requiring decision makers to not make ‘significant decisions’ concerning the exploration and extraction of fossil fuels if the likely emission of greenhouse gases </w:t>
      </w:r>
      <w:proofErr w:type="gramStart"/>
      <w:r>
        <w:t>as a result of</w:t>
      </w:r>
      <w:proofErr w:type="gramEnd"/>
      <w:r>
        <w:t xml:space="preserve"> the decision poses a material risk of harm to the health and wellbeing of current and future children in Australia.</w:t>
      </w:r>
      <w:r>
        <w:rPr>
          <w:rStyle w:val="EndnoteReference"/>
        </w:rPr>
        <w:endnoteReference w:id="9"/>
      </w:r>
    </w:p>
    <w:p w14:paraId="0447D3AE" w14:textId="6BF8098D" w:rsidR="00AB5608" w:rsidRDefault="00AB5608" w:rsidP="00CE2DF4">
      <w:pPr>
        <w:pStyle w:val="ListNumber"/>
        <w:tabs>
          <w:tab w:val="num" w:pos="1134"/>
        </w:tabs>
        <w:ind w:left="851" w:hanging="567"/>
      </w:pPr>
      <w:r>
        <w:t xml:space="preserve">The Bill also proposes to modify the application of certain definitions in the </w:t>
      </w:r>
      <w:r>
        <w:rPr>
          <w:i/>
          <w:iCs/>
        </w:rPr>
        <w:t xml:space="preserve">Administrative Decisions (Judicial Review) Act 1977 </w:t>
      </w:r>
      <w:r w:rsidRPr="00346359">
        <w:t>(Cth)</w:t>
      </w:r>
      <w:r>
        <w:t xml:space="preserve"> (ADJR Act), </w:t>
      </w:r>
      <w:r>
        <w:lastRenderedPageBreak/>
        <w:t>including to give children residing in Australia standing to commence judicial review proceedings regarding decisions subject to those statutory duties.</w:t>
      </w:r>
      <w:r>
        <w:rPr>
          <w:rStyle w:val="EndnoteReference"/>
        </w:rPr>
        <w:endnoteReference w:id="10"/>
      </w:r>
    </w:p>
    <w:p w14:paraId="4BA2B2B4" w14:textId="2BCBF501" w:rsidR="00AB5608" w:rsidRDefault="00AB5608" w:rsidP="00CE2DF4">
      <w:pPr>
        <w:pStyle w:val="ListNumber"/>
        <w:tabs>
          <w:tab w:val="num" w:pos="2127"/>
        </w:tabs>
        <w:ind w:left="851" w:hanging="567"/>
      </w:pPr>
      <w:r>
        <w:t xml:space="preserve">The Commission recognises that the Bill responds to the decision of the Full Court of the Federal Court of Australia (Full Federal Court) in </w:t>
      </w:r>
      <w:r>
        <w:rPr>
          <w:i/>
          <w:iCs/>
        </w:rPr>
        <w:t>Minister for the Environment v Sharma &amp; Ors</w:t>
      </w:r>
      <w:r w:rsidRPr="005D2A23">
        <w:t>.</w:t>
      </w:r>
      <w:r w:rsidRPr="00D12BD7">
        <w:rPr>
          <w:rStyle w:val="EndnoteReference"/>
        </w:rPr>
        <w:endnoteReference w:id="11"/>
      </w:r>
    </w:p>
    <w:p w14:paraId="7197C260" w14:textId="56DFA39E" w:rsidR="00AB5608" w:rsidRDefault="00AB5608" w:rsidP="001A79DB">
      <w:pPr>
        <w:pStyle w:val="ListNumber"/>
        <w:tabs>
          <w:tab w:val="num" w:pos="993"/>
          <w:tab w:val="num" w:pos="2127"/>
        </w:tabs>
        <w:ind w:left="851" w:hanging="567"/>
      </w:pPr>
      <w:r>
        <w:t xml:space="preserve">The Commission supports legislative change to promote intergenerational equity </w:t>
      </w:r>
      <w:r w:rsidR="00855CFE">
        <w:t>as a means of</w:t>
      </w:r>
      <w:r w:rsidR="00D50A5C">
        <w:t xml:space="preserve"> protect</w:t>
      </w:r>
      <w:r w:rsidR="005A5FF8">
        <w:t>ing</w:t>
      </w:r>
      <w:r>
        <w:t xml:space="preserve"> the human rights of current and future generations of people in Australia from the impacts of climate change. This includes support for imposing a statutory duty on decision makers to consider the rights of current and future children in Australia when making significant decisions that would result in greenhouse gas emissions.</w:t>
      </w:r>
    </w:p>
    <w:p w14:paraId="192E050F" w14:textId="73ABE0D5" w:rsidR="009655AD" w:rsidRDefault="00AB5608" w:rsidP="009655AD">
      <w:pPr>
        <w:pStyle w:val="ListNumber"/>
        <w:tabs>
          <w:tab w:val="num" w:pos="993"/>
        </w:tabs>
        <w:ind w:left="851" w:hanging="567"/>
      </w:pPr>
      <w:r>
        <w:t xml:space="preserve">The </w:t>
      </w:r>
      <w:r w:rsidR="007E2D40">
        <w:t xml:space="preserve">Commission </w:t>
      </w:r>
      <w:r>
        <w:t xml:space="preserve">also supports amending the objects of the CCA to promote intergenerational equity by requiring children’s rights to be </w:t>
      </w:r>
      <w:proofErr w:type="gramStart"/>
      <w:r>
        <w:t>taken into account</w:t>
      </w:r>
      <w:proofErr w:type="gramEnd"/>
      <w:r>
        <w:t xml:space="preserve"> when making such decisions. </w:t>
      </w:r>
      <w:r w:rsidR="007C447B">
        <w:t xml:space="preserve"> </w:t>
      </w:r>
    </w:p>
    <w:p w14:paraId="106C52C6" w14:textId="26FD321D" w:rsidR="00AB5608" w:rsidRDefault="009655AD" w:rsidP="00CE2DF4">
      <w:pPr>
        <w:pStyle w:val="ListNumber"/>
        <w:tabs>
          <w:tab w:val="num" w:pos="993"/>
        </w:tabs>
        <w:ind w:left="851" w:hanging="567"/>
      </w:pPr>
      <w:r>
        <w:t xml:space="preserve">The Commission considers that incorporating a statutory </w:t>
      </w:r>
      <w:r w:rsidR="00FD1DDF">
        <w:t xml:space="preserve">requirement for a </w:t>
      </w:r>
      <w:r>
        <w:t xml:space="preserve">Child Rights Impact </w:t>
      </w:r>
      <w:r w:rsidRPr="00417CA7">
        <w:t>Assessment (CRIA) to inform</w:t>
      </w:r>
      <w:r w:rsidR="00A81A58" w:rsidRPr="00417CA7">
        <w:t xml:space="preserve"> certain</w:t>
      </w:r>
      <w:r w:rsidRPr="00417CA7">
        <w:t xml:space="preserve"> decision making would be the most effective way to address the</w:t>
      </w:r>
      <w:r w:rsidR="00A81A58" w:rsidRPr="00417CA7">
        <w:t xml:space="preserve"> Bill’s</w:t>
      </w:r>
      <w:r w:rsidRPr="00417CA7">
        <w:t xml:space="preserve"> objects</w:t>
      </w:r>
      <w:r w:rsidR="00A81A58" w:rsidRPr="00417CA7">
        <w:t>.</w:t>
      </w:r>
      <w:r w:rsidRPr="00417CA7">
        <w:t xml:space="preserve"> </w:t>
      </w:r>
      <w:r w:rsidR="00FB0C1C" w:rsidRPr="00417CA7">
        <w:t>This will</w:t>
      </w:r>
      <w:r w:rsidR="00FB0C1C">
        <w:t xml:space="preserve"> ensure that the best interests of the child are assessed in a consistent manner in line with international best </w:t>
      </w:r>
      <w:r w:rsidR="001B7A6F">
        <w:t>practice</w:t>
      </w:r>
      <w:r w:rsidR="00FB0C1C">
        <w:t xml:space="preserve">, which is vital for consistency, </w:t>
      </w:r>
      <w:proofErr w:type="gramStart"/>
      <w:r w:rsidR="00FB0C1C">
        <w:t>transparency</w:t>
      </w:r>
      <w:proofErr w:type="gramEnd"/>
      <w:r w:rsidR="00FB0C1C">
        <w:t xml:space="preserve"> and accountability in decision-making</w:t>
      </w:r>
      <w:r w:rsidR="002930AC">
        <w:t>.</w:t>
      </w:r>
      <w:r w:rsidR="006C5526">
        <w:t xml:space="preserve"> </w:t>
      </w:r>
      <w:r w:rsidR="00A66F81" w:rsidDel="00A81A58">
        <w:t xml:space="preserve"> </w:t>
      </w:r>
    </w:p>
    <w:p w14:paraId="311BF387" w14:textId="7AA2E736" w:rsidR="00AB5608" w:rsidRDefault="00AB5608" w:rsidP="00CE2DF4">
      <w:pPr>
        <w:pStyle w:val="ListNumber"/>
        <w:tabs>
          <w:tab w:val="num" w:pos="993"/>
        </w:tabs>
        <w:ind w:left="851" w:hanging="567"/>
      </w:pPr>
      <w:r>
        <w:t xml:space="preserve">The Commission considers that the impacts of climate change are intrinsically linked to all aspects of human rights, not only to health and wellbeing outcomes. </w:t>
      </w:r>
      <w:r w:rsidR="005520F4">
        <w:t>A</w:t>
      </w:r>
      <w:r>
        <w:t xml:space="preserve">ny statutory duty seeking to promote intergenerational equity should </w:t>
      </w:r>
      <w:r w:rsidR="005520F4">
        <w:t xml:space="preserve">therefore </w:t>
      </w:r>
      <w:r>
        <w:t>have regard to the full range of rights that are impacted by decisions that result in increased greenhouse gas emissions.</w:t>
      </w:r>
      <w:r>
        <w:rPr>
          <w:rStyle w:val="EndnoteReference"/>
        </w:rPr>
        <w:endnoteReference w:id="12"/>
      </w:r>
      <w:r>
        <w:t xml:space="preserve"> </w:t>
      </w:r>
      <w:r w:rsidR="00037CAA">
        <w:t xml:space="preserve">This is achieved through the CRIA </w:t>
      </w:r>
      <w:r w:rsidR="00B84323">
        <w:t>approach.</w:t>
      </w:r>
      <w:r>
        <w:t xml:space="preserve"> </w:t>
      </w:r>
    </w:p>
    <w:p w14:paraId="0AA50067" w14:textId="568CECF0" w:rsidR="00AB5608" w:rsidRDefault="00AB5608" w:rsidP="00CE2DF4">
      <w:pPr>
        <w:pStyle w:val="ListNumber"/>
        <w:tabs>
          <w:tab w:val="num" w:pos="993"/>
        </w:tabs>
        <w:ind w:left="851" w:hanging="567"/>
      </w:pPr>
      <w:r>
        <w:t>Addressing environmental degradation caused by climate change by having regard to children’s rights aligns with the global response to these issues and Australia’s international commitments and obligations.</w:t>
      </w:r>
      <w:r>
        <w:rPr>
          <w:rStyle w:val="EndnoteReference"/>
        </w:rPr>
        <w:endnoteReference w:id="13"/>
      </w:r>
      <w:r>
        <w:t xml:space="preserve"> </w:t>
      </w:r>
      <w:r w:rsidR="008E4ABD">
        <w:t>B</w:t>
      </w:r>
      <w:r>
        <w:t>y taking this approach all people in Australia will benefit and enjoy the full realisation of their human rights.</w:t>
      </w:r>
    </w:p>
    <w:p w14:paraId="21D8D505" w14:textId="26503DBE" w:rsidR="00AB5608" w:rsidRDefault="00AB5608" w:rsidP="00CE2DF4">
      <w:pPr>
        <w:pStyle w:val="ListNumber"/>
        <w:tabs>
          <w:tab w:val="num" w:pos="993"/>
        </w:tabs>
        <w:ind w:left="851" w:hanging="567"/>
      </w:pPr>
      <w:r>
        <w:t>The Commission makes recommendations for amendments to this Bill, that would bring the Bill into closer alignment with Australia’s international obligations and commitments on children’s rights and intergenerational equity in environmental decision making.</w:t>
      </w:r>
    </w:p>
    <w:p w14:paraId="6AB97F18" w14:textId="77777777" w:rsidR="00AB5608" w:rsidRDefault="00AB5608" w:rsidP="0015239E">
      <w:pPr>
        <w:pStyle w:val="Heading1"/>
      </w:pPr>
      <w:bookmarkStart w:id="35" w:name="_Toc151652061"/>
      <w:r>
        <w:lastRenderedPageBreak/>
        <w:t>Recommendations</w:t>
      </w:r>
      <w:bookmarkEnd w:id="35"/>
    </w:p>
    <w:p w14:paraId="45FC38FD" w14:textId="6840A7F6" w:rsidR="00AB5608" w:rsidRDefault="00AB5608" w:rsidP="00346359">
      <w:pPr>
        <w:pStyle w:val="ListNumber"/>
        <w:keepNext/>
        <w:ind w:left="851" w:hanging="567"/>
      </w:pPr>
      <w:r>
        <w:t>The Commission makes the following recommendations:</w:t>
      </w:r>
    </w:p>
    <w:p w14:paraId="694DB5B4" w14:textId="4F7E23A0" w:rsidR="00AB5608" w:rsidRDefault="00AB5608" w:rsidP="00346359">
      <w:pPr>
        <w:pStyle w:val="ListNumber"/>
        <w:keepNext/>
        <w:numPr>
          <w:ilvl w:val="0"/>
          <w:numId w:val="0"/>
        </w:numPr>
        <w:tabs>
          <w:tab w:val="clear" w:pos="1134"/>
          <w:tab w:val="left" w:pos="851"/>
        </w:tabs>
        <w:ind w:left="851"/>
        <w:rPr>
          <w:b/>
        </w:rPr>
      </w:pPr>
      <w:r w:rsidRPr="00EB27D8">
        <w:rPr>
          <w:b/>
        </w:rPr>
        <w:t>Recommendation 1</w:t>
      </w:r>
    </w:p>
    <w:p w14:paraId="3F96671E" w14:textId="1DE2AF1D" w:rsidR="00AB5608" w:rsidRDefault="00AB5608" w:rsidP="00677923">
      <w:pPr>
        <w:pStyle w:val="ListNumber"/>
        <w:numPr>
          <w:ilvl w:val="0"/>
          <w:numId w:val="0"/>
        </w:numPr>
        <w:tabs>
          <w:tab w:val="clear" w:pos="1134"/>
          <w:tab w:val="left" w:pos="851"/>
        </w:tabs>
        <w:ind w:left="851"/>
      </w:pPr>
      <w:r>
        <w:t xml:space="preserve">The Commission recommends that the CCA be amended so that its objects include the promotion and protection of intergenerational equity by requiring the full range of children’s </w:t>
      </w:r>
      <w:r w:rsidR="00CF3A67">
        <w:t xml:space="preserve">human </w:t>
      </w:r>
      <w:r>
        <w:t>rights to be considered by persons making</w:t>
      </w:r>
      <w:r w:rsidDel="003F53F5">
        <w:t xml:space="preserve"> </w:t>
      </w:r>
      <w:r>
        <w:t xml:space="preserve">decisions under </w:t>
      </w:r>
      <w:r w:rsidR="00452280">
        <w:t>certain</w:t>
      </w:r>
      <w:r>
        <w:t xml:space="preserve"> relevant Act</w:t>
      </w:r>
      <w:r w:rsidR="002049EA">
        <w:t>s</w:t>
      </w:r>
      <w:r>
        <w:t xml:space="preserve"> that would result in the significant emission of greenhouse gases. </w:t>
      </w:r>
    </w:p>
    <w:p w14:paraId="7A172A64" w14:textId="3E200A08" w:rsidR="00AB5608" w:rsidRDefault="00AB5608" w:rsidP="00D203B9">
      <w:pPr>
        <w:pStyle w:val="ListNumber"/>
        <w:keepNext/>
        <w:numPr>
          <w:ilvl w:val="0"/>
          <w:numId w:val="0"/>
        </w:numPr>
        <w:tabs>
          <w:tab w:val="clear" w:pos="1134"/>
          <w:tab w:val="left" w:pos="851"/>
        </w:tabs>
        <w:ind w:left="851"/>
        <w:rPr>
          <w:b/>
          <w:bCs/>
        </w:rPr>
      </w:pPr>
      <w:r w:rsidRPr="00EB27D8">
        <w:rPr>
          <w:b/>
          <w:bCs/>
        </w:rPr>
        <w:t xml:space="preserve">Recommendation </w:t>
      </w:r>
      <w:r>
        <w:rPr>
          <w:b/>
          <w:bCs/>
        </w:rPr>
        <w:t>2</w:t>
      </w:r>
    </w:p>
    <w:p w14:paraId="1A4945DD" w14:textId="6322B611" w:rsidR="00AB5608" w:rsidRDefault="00AB5608" w:rsidP="00346359">
      <w:pPr>
        <w:pStyle w:val="ListNumber"/>
        <w:numPr>
          <w:ilvl w:val="0"/>
          <w:numId w:val="0"/>
        </w:numPr>
        <w:tabs>
          <w:tab w:val="clear" w:pos="1134"/>
          <w:tab w:val="left" w:pos="851"/>
        </w:tabs>
        <w:ind w:left="851"/>
      </w:pPr>
      <w:r>
        <w:t xml:space="preserve">The Commission recommends that Recommendation 1 is given effect in a manner consistent with Australia’s international obligations and commitments and recognised best practice. To achieve this, the Commission recommends that the statutory duty in Recommendation 1 require </w:t>
      </w:r>
      <w:r w:rsidDel="00946539">
        <w:t xml:space="preserve">relevant </w:t>
      </w:r>
      <w:r>
        <w:t>decision makers to consider the best interests of the child as a primary consideration when making relevant decisions</w:t>
      </w:r>
      <w:r w:rsidR="0084301E" w:rsidRPr="00346359">
        <w:t xml:space="preserve"> under a relevant Act</w:t>
      </w:r>
      <w:r>
        <w:t xml:space="preserve">. </w:t>
      </w:r>
    </w:p>
    <w:p w14:paraId="5932A7FC" w14:textId="7F92C973" w:rsidR="00CA23F9" w:rsidRDefault="00AB5608" w:rsidP="00CA23F9">
      <w:pPr>
        <w:pStyle w:val="ListNumber"/>
        <w:keepNext/>
        <w:numPr>
          <w:ilvl w:val="0"/>
          <w:numId w:val="0"/>
        </w:numPr>
        <w:tabs>
          <w:tab w:val="clear" w:pos="1134"/>
          <w:tab w:val="left" w:pos="851"/>
        </w:tabs>
        <w:ind w:left="851"/>
        <w:rPr>
          <w:b/>
          <w:bCs/>
        </w:rPr>
      </w:pPr>
      <w:r w:rsidRPr="00EB27D8">
        <w:rPr>
          <w:b/>
          <w:bCs/>
        </w:rPr>
        <w:t xml:space="preserve">Recommendation </w:t>
      </w:r>
      <w:r>
        <w:rPr>
          <w:b/>
          <w:bCs/>
        </w:rPr>
        <w:t>3</w:t>
      </w:r>
    </w:p>
    <w:p w14:paraId="076342E2" w14:textId="4AA7C18F" w:rsidR="00CA23F9" w:rsidRDefault="00CA23F9" w:rsidP="00CA23F9">
      <w:pPr>
        <w:pStyle w:val="ListNumber"/>
        <w:numPr>
          <w:ilvl w:val="0"/>
          <w:numId w:val="0"/>
        </w:numPr>
        <w:tabs>
          <w:tab w:val="clear" w:pos="1134"/>
          <w:tab w:val="left" w:pos="851"/>
        </w:tabs>
        <w:ind w:left="851"/>
      </w:pPr>
      <w:r>
        <w:t>The Commission recommends that statutes that empower persons to make relevant decisions that could result in the significant emission of greenhouse gases be amended to</w:t>
      </w:r>
      <w:r w:rsidR="0046028F">
        <w:t xml:space="preserve"> </w:t>
      </w:r>
      <w:r>
        <w:t>note the obligation</w:t>
      </w:r>
      <w:r w:rsidR="00947F21">
        <w:t xml:space="preserve"> on those decision</w:t>
      </w:r>
      <w:r w:rsidR="007269B7">
        <w:t xml:space="preserve"> </w:t>
      </w:r>
      <w:r w:rsidR="00947F21">
        <w:t xml:space="preserve">makers </w:t>
      </w:r>
      <w:r w:rsidR="00A37F07">
        <w:t>set out</w:t>
      </w:r>
      <w:r>
        <w:t xml:space="preserve"> in the CCA (as set out at Recommendations 1 and 2), to treat the best interests of the child as a primary consideration when making the relevant decision.  </w:t>
      </w:r>
    </w:p>
    <w:p w14:paraId="459D44DC" w14:textId="0613723C" w:rsidR="00AB5608" w:rsidRPr="00EB27D8" w:rsidRDefault="00C93FD6" w:rsidP="00346359">
      <w:pPr>
        <w:pStyle w:val="ListNumber"/>
        <w:keepNext/>
        <w:numPr>
          <w:ilvl w:val="0"/>
          <w:numId w:val="0"/>
        </w:numPr>
        <w:tabs>
          <w:tab w:val="clear" w:pos="1134"/>
          <w:tab w:val="left" w:pos="851"/>
        </w:tabs>
        <w:ind w:left="851"/>
        <w:rPr>
          <w:b/>
          <w:bCs/>
        </w:rPr>
      </w:pPr>
      <w:r w:rsidRPr="00EB27D8">
        <w:rPr>
          <w:b/>
          <w:bCs/>
        </w:rPr>
        <w:t xml:space="preserve">Recommendation </w:t>
      </w:r>
      <w:r w:rsidR="007714BF">
        <w:rPr>
          <w:b/>
          <w:bCs/>
        </w:rPr>
        <w:t>4</w:t>
      </w:r>
    </w:p>
    <w:p w14:paraId="62FB09D4" w14:textId="7F9B62D7" w:rsidR="00AB5608" w:rsidRPr="00417CA7" w:rsidRDefault="00AB5608" w:rsidP="00B73B00">
      <w:pPr>
        <w:pStyle w:val="ListNumber"/>
        <w:numPr>
          <w:ilvl w:val="0"/>
          <w:numId w:val="0"/>
        </w:numPr>
        <w:tabs>
          <w:tab w:val="clear" w:pos="1134"/>
          <w:tab w:val="left" w:pos="851"/>
        </w:tabs>
        <w:ind w:left="851"/>
        <w:rPr>
          <w:i/>
          <w:iCs/>
        </w:rPr>
      </w:pPr>
      <w:r w:rsidRPr="00055744">
        <w:t xml:space="preserve">The Commission recommends that the CCA </w:t>
      </w:r>
      <w:r w:rsidR="006E4A4A" w:rsidRPr="00417CA7">
        <w:t xml:space="preserve">(or a related instrument) </w:t>
      </w:r>
      <w:r w:rsidRPr="00055744">
        <w:t xml:space="preserve">be amended so that the best interests of the child be </w:t>
      </w:r>
      <w:r w:rsidR="007714BF" w:rsidRPr="00055744">
        <w:t xml:space="preserve">required to be </w:t>
      </w:r>
      <w:r w:rsidRPr="00055744">
        <w:t xml:space="preserve">determined through a </w:t>
      </w:r>
      <w:r w:rsidR="00B73B00" w:rsidRPr="00055744">
        <w:t>Child</w:t>
      </w:r>
      <w:r w:rsidRPr="00055744">
        <w:t xml:space="preserve"> Rights Impact Assessment (CRIA</w:t>
      </w:r>
      <w:r w:rsidR="00B73B00" w:rsidRPr="00055744">
        <w:t>).</w:t>
      </w:r>
      <w:r>
        <w:t xml:space="preserve"> </w:t>
      </w:r>
    </w:p>
    <w:p w14:paraId="7F498DCC" w14:textId="374DCA0F" w:rsidR="00AB5608" w:rsidRDefault="00AB5608" w:rsidP="002E609D">
      <w:pPr>
        <w:pStyle w:val="ListNumber"/>
        <w:keepNext/>
        <w:numPr>
          <w:ilvl w:val="0"/>
          <w:numId w:val="0"/>
        </w:numPr>
        <w:tabs>
          <w:tab w:val="clear" w:pos="1134"/>
          <w:tab w:val="left" w:pos="851"/>
        </w:tabs>
        <w:ind w:left="851"/>
        <w:rPr>
          <w:b/>
          <w:bCs/>
        </w:rPr>
      </w:pPr>
      <w:r w:rsidRPr="00EB27D8">
        <w:rPr>
          <w:b/>
          <w:bCs/>
        </w:rPr>
        <w:t>Recommendation</w:t>
      </w:r>
      <w:r>
        <w:rPr>
          <w:b/>
          <w:bCs/>
        </w:rPr>
        <w:t xml:space="preserve"> </w:t>
      </w:r>
      <w:r w:rsidR="002C06BF">
        <w:rPr>
          <w:b/>
        </w:rPr>
        <w:t>5</w:t>
      </w:r>
    </w:p>
    <w:p w14:paraId="43D1BA3A" w14:textId="5025D349" w:rsidR="00AB5608" w:rsidRDefault="00AB5608" w:rsidP="00A37187">
      <w:pPr>
        <w:pStyle w:val="ListNumber"/>
        <w:numPr>
          <w:ilvl w:val="0"/>
          <w:numId w:val="0"/>
        </w:numPr>
        <w:ind w:left="851"/>
      </w:pPr>
      <w:r>
        <w:t xml:space="preserve">The Commission recommends that the CCA be amended to require decision makers to publish their </w:t>
      </w:r>
      <w:r w:rsidR="00B73AD8" w:rsidRPr="002E609D">
        <w:t xml:space="preserve">reasons </w:t>
      </w:r>
      <w:r w:rsidR="00FF7E6F" w:rsidRPr="002E609D">
        <w:t>for</w:t>
      </w:r>
      <w:r>
        <w:t xml:space="preserve"> decision, including </w:t>
      </w:r>
      <w:r w:rsidR="00FF7E6F" w:rsidRPr="002E609D">
        <w:t xml:space="preserve">their </w:t>
      </w:r>
      <w:r w:rsidR="00A37187" w:rsidRPr="002E609D">
        <w:t xml:space="preserve">CRIA outcomes, </w:t>
      </w:r>
      <w:r w:rsidR="00296E1A" w:rsidRPr="002E609D">
        <w:t xml:space="preserve">and </w:t>
      </w:r>
      <w:r w:rsidR="00D842DF">
        <w:t>publish</w:t>
      </w:r>
      <w:r w:rsidR="00296E1A" w:rsidRPr="002E609D">
        <w:t xml:space="preserve"> a version of tho</w:t>
      </w:r>
      <w:r w:rsidR="002E609D" w:rsidRPr="002E609D">
        <w:t>se reasons and outcomes in a</w:t>
      </w:r>
      <w:r>
        <w:t xml:space="preserve"> child-friendly language, and in languages other than English that may be in widespread use by the children likely to be impacted by the decision. </w:t>
      </w:r>
      <w:r w:rsidR="007C447B" w:rsidRPr="005D4A7B">
        <w:t xml:space="preserve"> </w:t>
      </w:r>
    </w:p>
    <w:p w14:paraId="645AC3FB" w14:textId="4FB4EF31" w:rsidR="00AB5608" w:rsidRDefault="006058F3" w:rsidP="00086E12">
      <w:pPr>
        <w:pStyle w:val="ListNumber"/>
        <w:keepNext/>
        <w:numPr>
          <w:ilvl w:val="0"/>
          <w:numId w:val="0"/>
        </w:numPr>
        <w:tabs>
          <w:tab w:val="clear" w:pos="1134"/>
          <w:tab w:val="left" w:pos="851"/>
        </w:tabs>
        <w:ind w:left="851"/>
        <w:rPr>
          <w:b/>
          <w:bCs/>
        </w:rPr>
      </w:pPr>
      <w:r w:rsidRPr="00EB27D8">
        <w:rPr>
          <w:b/>
          <w:bCs/>
        </w:rPr>
        <w:lastRenderedPageBreak/>
        <w:t xml:space="preserve">Recommendation </w:t>
      </w:r>
      <w:r w:rsidR="002C06BF">
        <w:rPr>
          <w:b/>
          <w:bCs/>
        </w:rPr>
        <w:t>6</w:t>
      </w:r>
    </w:p>
    <w:p w14:paraId="3E63F0C7" w14:textId="0AD6F2F9" w:rsidR="00AB5608" w:rsidRDefault="00AB5608" w:rsidP="007D4834">
      <w:pPr>
        <w:pStyle w:val="ListNumber"/>
        <w:numPr>
          <w:ilvl w:val="0"/>
          <w:numId w:val="0"/>
        </w:numPr>
        <w:tabs>
          <w:tab w:val="clear" w:pos="1134"/>
          <w:tab w:val="left" w:pos="851"/>
        </w:tabs>
        <w:ind w:left="851"/>
      </w:pPr>
      <w:r>
        <w:t xml:space="preserve">The Commission recommends that matters set out in these submissions, and these recommendations, be used by government and other policy makers to guide future legislation and policy that is concerned with the impacts of climate change, greenhouse gas emissions, </w:t>
      </w:r>
      <w:r w:rsidDel="00FB0B66">
        <w:t>or</w:t>
      </w:r>
      <w:r>
        <w:t xml:space="preserve"> intergenerational equity, as a means of aligning intended outcomes with Australia’s human rights obligations and commitments.</w:t>
      </w:r>
    </w:p>
    <w:p w14:paraId="185CBE65" w14:textId="0C58BD57" w:rsidR="00AB5608" w:rsidRDefault="00AB5608" w:rsidP="00857CB7">
      <w:pPr>
        <w:pStyle w:val="Heading1"/>
        <w:spacing w:after="0"/>
      </w:pPr>
      <w:bookmarkStart w:id="36" w:name="_Toc151652062"/>
      <w:r>
        <w:t>Background</w:t>
      </w:r>
      <w:bookmarkEnd w:id="36"/>
    </w:p>
    <w:p w14:paraId="0DE96013" w14:textId="52626A31" w:rsidR="00AB5608" w:rsidRDefault="00AB5608" w:rsidP="0069338F">
      <w:pPr>
        <w:pStyle w:val="ListNumber"/>
        <w:tabs>
          <w:tab w:val="num" w:pos="993"/>
        </w:tabs>
        <w:ind w:left="851" w:hanging="567"/>
      </w:pPr>
      <w:r>
        <w:t xml:space="preserve">In December 1992, Australia signed the Rio </w:t>
      </w:r>
      <w:r w:rsidRPr="00EF0962">
        <w:t>Declaration</w:t>
      </w:r>
      <w:r>
        <w:t xml:space="preserve"> on Environment and Development, which was made at the June 1992 United Nations Conference on Environment and Development held in Rio de Janeiro, Brazil. </w:t>
      </w:r>
    </w:p>
    <w:p w14:paraId="253A2AB6" w14:textId="554D27E6" w:rsidR="00AB5608" w:rsidRDefault="00AB5608" w:rsidP="0069338F">
      <w:pPr>
        <w:pStyle w:val="ListNumber"/>
        <w:tabs>
          <w:tab w:val="num" w:pos="993"/>
        </w:tabs>
        <w:ind w:left="851" w:hanging="567"/>
      </w:pPr>
      <w:r>
        <w:t>The Rio Declaration expounded the 26 principles set out in the 1972 Stockholm Declaration,</w:t>
      </w:r>
      <w:r w:rsidRPr="00E12BBC">
        <w:rPr>
          <w:rStyle w:val="EndnoteReference"/>
        </w:rPr>
        <w:endnoteReference w:id="14"/>
      </w:r>
      <w:r>
        <w:t xml:space="preserve"> responsible for </w:t>
      </w:r>
      <w:r w:rsidR="00946E36">
        <w:t>initiating</w:t>
      </w:r>
      <w:r>
        <w:t xml:space="preserve"> global cooperation concerning environmental issues.  </w:t>
      </w:r>
    </w:p>
    <w:p w14:paraId="3C2E8C19" w14:textId="68EB5710" w:rsidR="00AB5608" w:rsidRDefault="00AB5608" w:rsidP="0069338F">
      <w:pPr>
        <w:pStyle w:val="ListNumber"/>
        <w:tabs>
          <w:tab w:val="num" w:pos="993"/>
        </w:tabs>
        <w:ind w:left="851" w:hanging="567"/>
      </w:pPr>
      <w:r>
        <w:t xml:space="preserve">While recognising that nations have common but differentiated responsibilities within the international community, the Rio Declaration comprises a preamble and 27 principles that support a human right to a clean, </w:t>
      </w:r>
      <w:proofErr w:type="gramStart"/>
      <w:r>
        <w:t>healthy</w:t>
      </w:r>
      <w:proofErr w:type="gramEnd"/>
      <w:r>
        <w:t xml:space="preserve"> and sustainable environment, including </w:t>
      </w:r>
      <w:r w:rsidR="00CD720B">
        <w:t>p</w:t>
      </w:r>
      <w:r w:rsidR="00701705">
        <w:t>rinciple</w:t>
      </w:r>
      <w:r>
        <w:t xml:space="preserve"> 3:</w:t>
      </w:r>
    </w:p>
    <w:p w14:paraId="60C179F1" w14:textId="72613A64" w:rsidR="00AB5608" w:rsidRPr="00190A98" w:rsidRDefault="00AB5608" w:rsidP="00701705">
      <w:pPr>
        <w:pStyle w:val="ListNumber"/>
        <w:numPr>
          <w:ilvl w:val="0"/>
          <w:numId w:val="0"/>
        </w:numPr>
        <w:tabs>
          <w:tab w:val="clear" w:pos="1134"/>
        </w:tabs>
        <w:ind w:left="1560"/>
        <w:rPr>
          <w:color w:val="000000" w:themeColor="text1"/>
          <w:sz w:val="20"/>
          <w:szCs w:val="20"/>
        </w:rPr>
      </w:pPr>
      <w:r w:rsidRPr="00190A98">
        <w:rPr>
          <w:sz w:val="20"/>
          <w:szCs w:val="20"/>
        </w:rPr>
        <w:t xml:space="preserve">The right to development must be fulfilled </w:t>
      </w:r>
      <w:proofErr w:type="gramStart"/>
      <w:r w:rsidRPr="00190A98">
        <w:rPr>
          <w:sz w:val="20"/>
          <w:szCs w:val="20"/>
        </w:rPr>
        <w:t>so as to</w:t>
      </w:r>
      <w:proofErr w:type="gramEnd"/>
      <w:r w:rsidRPr="00190A98">
        <w:rPr>
          <w:sz w:val="20"/>
          <w:szCs w:val="20"/>
        </w:rPr>
        <w:t xml:space="preserve"> equitably meet developmental and environmental needs of present and future </w:t>
      </w:r>
      <w:r w:rsidRPr="00190A98">
        <w:rPr>
          <w:color w:val="000000" w:themeColor="text1"/>
          <w:sz w:val="20"/>
          <w:szCs w:val="20"/>
        </w:rPr>
        <w:t>generations.</w:t>
      </w:r>
      <w:r>
        <w:rPr>
          <w:rStyle w:val="EndnoteReference"/>
          <w:color w:val="000000" w:themeColor="text1"/>
          <w:szCs w:val="20"/>
        </w:rPr>
        <w:endnoteReference w:id="15"/>
      </w:r>
      <w:r w:rsidRPr="00190A98">
        <w:rPr>
          <w:color w:val="000000" w:themeColor="text1"/>
          <w:sz w:val="20"/>
          <w:szCs w:val="20"/>
        </w:rPr>
        <w:t xml:space="preserve"> </w:t>
      </w:r>
    </w:p>
    <w:p w14:paraId="10F4D44E" w14:textId="07E94A4B" w:rsidR="00AB5608" w:rsidRDefault="00AB5608" w:rsidP="0069338F">
      <w:pPr>
        <w:pStyle w:val="ListNumber"/>
        <w:tabs>
          <w:tab w:val="num" w:pos="1418"/>
        </w:tabs>
        <w:ind w:left="851" w:hanging="567"/>
        <w:rPr>
          <w:color w:val="000000" w:themeColor="text1"/>
          <w:lang w:val="en-US"/>
        </w:rPr>
      </w:pPr>
      <w:r>
        <w:t>The</w:t>
      </w:r>
      <w:r w:rsidRPr="00FF6847">
        <w:t xml:space="preserve"> </w:t>
      </w:r>
      <w:r>
        <w:t xml:space="preserve">United </w:t>
      </w:r>
      <w:r w:rsidRPr="005D2A23">
        <w:t>Nations Framework Convention on Climate Change (UNFCCC</w:t>
      </w:r>
      <w:r w:rsidR="00FF6847" w:rsidRPr="005D2A23">
        <w:t>)</w:t>
      </w:r>
      <w:r>
        <w:t xml:space="preserve"> </w:t>
      </w:r>
      <w:r w:rsidRPr="005D2A23">
        <w:t>entered</w:t>
      </w:r>
      <w:r w:rsidRPr="005C3C9A">
        <w:rPr>
          <w:color w:val="000000" w:themeColor="text1"/>
          <w:lang w:val="en-US"/>
        </w:rPr>
        <w:t xml:space="preserve"> </w:t>
      </w:r>
      <w:r>
        <w:rPr>
          <w:color w:val="000000" w:themeColor="text1"/>
          <w:lang w:val="en-US"/>
        </w:rPr>
        <w:t xml:space="preserve">into </w:t>
      </w:r>
      <w:r w:rsidRPr="005C3C9A">
        <w:rPr>
          <w:color w:val="000000" w:themeColor="text1"/>
          <w:lang w:val="en-US"/>
        </w:rPr>
        <w:t>force on 21 March 1994 with</w:t>
      </w:r>
      <w:r>
        <w:rPr>
          <w:color w:val="000000" w:themeColor="text1"/>
          <w:lang w:val="en-US"/>
        </w:rPr>
        <w:t xml:space="preserve"> sustainable development and protection from the adverse impacts of climate change at its core. Australia ratified the UNFCCC at the same time as it signed the Rio Declaration. Article 3 of the UNFCCC sets out the following guiding principles:</w:t>
      </w:r>
    </w:p>
    <w:p w14:paraId="1FC098C7" w14:textId="1D4EBD06" w:rsidR="00AB5608" w:rsidRDefault="00AB5608" w:rsidP="007346E3">
      <w:pPr>
        <w:pStyle w:val="ListNumber"/>
        <w:numPr>
          <w:ilvl w:val="0"/>
          <w:numId w:val="0"/>
        </w:numPr>
        <w:tabs>
          <w:tab w:val="clear" w:pos="1134"/>
        </w:tabs>
        <w:ind w:left="1560"/>
        <w:rPr>
          <w:color w:val="000000" w:themeColor="text1"/>
          <w:sz w:val="20"/>
          <w:szCs w:val="20"/>
          <w:lang w:val="en-US"/>
        </w:rPr>
      </w:pPr>
      <w:r>
        <w:rPr>
          <w:color w:val="000000" w:themeColor="text1"/>
          <w:sz w:val="20"/>
          <w:szCs w:val="20"/>
          <w:lang w:val="en-US"/>
        </w:rPr>
        <w:t xml:space="preserve">The </w:t>
      </w:r>
      <w:r w:rsidRPr="00190A98">
        <w:rPr>
          <w:color w:val="000000" w:themeColor="text1"/>
          <w:sz w:val="20"/>
          <w:szCs w:val="20"/>
          <w:lang w:val="en-US"/>
        </w:rPr>
        <w:t>Parties should protect the climate system for the benefit of present and future generations of humankind</w:t>
      </w:r>
      <w:r>
        <w:rPr>
          <w:color w:val="000000" w:themeColor="text1"/>
          <w:sz w:val="20"/>
          <w:szCs w:val="20"/>
          <w:lang w:val="en-US"/>
        </w:rPr>
        <w:t xml:space="preserve">, </w:t>
      </w:r>
      <w:proofErr w:type="gramStart"/>
      <w:r>
        <w:rPr>
          <w:color w:val="000000" w:themeColor="text1"/>
          <w:sz w:val="20"/>
          <w:szCs w:val="20"/>
          <w:lang w:val="en-US"/>
        </w:rPr>
        <w:t>on the basis of</w:t>
      </w:r>
      <w:proofErr w:type="gramEnd"/>
      <w:r>
        <w:rPr>
          <w:color w:val="000000" w:themeColor="text1"/>
          <w:sz w:val="20"/>
          <w:szCs w:val="20"/>
          <w:lang w:val="en-US"/>
        </w:rPr>
        <w:t xml:space="preserve"> equity and in accordance with their common but differentiated responsibilities and respective capabilities.</w:t>
      </w:r>
      <w:r w:rsidRPr="00190A98">
        <w:rPr>
          <w:color w:val="000000" w:themeColor="text1"/>
          <w:sz w:val="20"/>
          <w:szCs w:val="20"/>
          <w:lang w:val="en-US"/>
        </w:rPr>
        <w:t xml:space="preserve"> </w:t>
      </w:r>
      <w:r>
        <w:rPr>
          <w:color w:val="000000" w:themeColor="text1"/>
          <w:sz w:val="20"/>
          <w:szCs w:val="20"/>
          <w:lang w:val="en-US"/>
        </w:rPr>
        <w:t xml:space="preserve">Accordingly, </w:t>
      </w:r>
      <w:r w:rsidRPr="00190A98">
        <w:rPr>
          <w:color w:val="000000" w:themeColor="text1"/>
          <w:sz w:val="20"/>
          <w:szCs w:val="20"/>
          <w:lang w:val="en-US"/>
        </w:rPr>
        <w:t>developed country Parties should take the lead in combating climate change and the adverse effects thereof</w:t>
      </w:r>
      <w:r>
        <w:rPr>
          <w:color w:val="000000" w:themeColor="text1"/>
          <w:sz w:val="20"/>
          <w:szCs w:val="20"/>
          <w:lang w:val="en-US"/>
        </w:rPr>
        <w:t xml:space="preserve">. </w:t>
      </w:r>
      <w:r w:rsidRPr="00190A98">
        <w:rPr>
          <w:color w:val="000000" w:themeColor="text1"/>
          <w:sz w:val="20"/>
          <w:szCs w:val="20"/>
          <w:lang w:val="en-US"/>
        </w:rPr>
        <w:t xml:space="preserve">… </w:t>
      </w:r>
    </w:p>
    <w:p w14:paraId="341BED2B" w14:textId="70B643B4" w:rsidR="00AB5608" w:rsidRPr="00190A98" w:rsidRDefault="00AB5608" w:rsidP="007346E3">
      <w:pPr>
        <w:pStyle w:val="ListNumber"/>
        <w:numPr>
          <w:ilvl w:val="0"/>
          <w:numId w:val="0"/>
        </w:numPr>
        <w:tabs>
          <w:tab w:val="clear" w:pos="1134"/>
        </w:tabs>
        <w:ind w:left="1560"/>
        <w:rPr>
          <w:color w:val="000000" w:themeColor="text1"/>
          <w:sz w:val="20"/>
          <w:szCs w:val="20"/>
          <w:lang w:val="en-US"/>
        </w:rPr>
      </w:pPr>
      <w:r>
        <w:rPr>
          <w:color w:val="000000" w:themeColor="text1"/>
          <w:sz w:val="20"/>
          <w:szCs w:val="20"/>
          <w:lang w:val="en-US"/>
        </w:rPr>
        <w:t>The Parties</w:t>
      </w:r>
      <w:r w:rsidRPr="00190A98" w:rsidDel="00E93B15">
        <w:rPr>
          <w:color w:val="000000" w:themeColor="text1"/>
          <w:sz w:val="20"/>
          <w:szCs w:val="20"/>
          <w:lang w:val="en-US"/>
        </w:rPr>
        <w:t xml:space="preserve"> </w:t>
      </w:r>
      <w:r w:rsidRPr="00190A98">
        <w:rPr>
          <w:color w:val="000000" w:themeColor="text1"/>
          <w:sz w:val="20"/>
          <w:szCs w:val="20"/>
          <w:lang w:val="en-US"/>
        </w:rPr>
        <w:t>should take precautionary measures to anticipate, prevent or minimize the causes of climate change and mitigate its adverse effects.</w:t>
      </w:r>
      <w:r>
        <w:rPr>
          <w:rStyle w:val="EndnoteReference"/>
          <w:color w:val="000000" w:themeColor="text1"/>
          <w:szCs w:val="20"/>
          <w:lang w:val="en-US"/>
        </w:rPr>
        <w:endnoteReference w:id="16"/>
      </w:r>
    </w:p>
    <w:p w14:paraId="115143D7" w14:textId="6B491712" w:rsidR="00AB5608" w:rsidRDefault="00AB5608" w:rsidP="0069338F">
      <w:pPr>
        <w:pStyle w:val="ListNumber"/>
        <w:tabs>
          <w:tab w:val="num" w:pos="851"/>
        </w:tabs>
        <w:ind w:left="851" w:hanging="567"/>
      </w:pPr>
      <w:r w:rsidRPr="002A2D88">
        <w:t xml:space="preserve">Australia had already </w:t>
      </w:r>
      <w:r w:rsidR="0053689E" w:rsidRPr="002A2D88">
        <w:t xml:space="preserve">committed to respect </w:t>
      </w:r>
      <w:r w:rsidR="006E4A4A" w:rsidRPr="002A2D88">
        <w:t xml:space="preserve">children </w:t>
      </w:r>
      <w:r w:rsidR="0053689E" w:rsidRPr="002A2D88">
        <w:t>and ensure the</w:t>
      </w:r>
      <w:r w:rsidR="006E4A4A" w:rsidRPr="002A2D88">
        <w:t>ir</w:t>
      </w:r>
      <w:r w:rsidR="0053689E" w:rsidRPr="002A2D88">
        <w:t xml:space="preserve"> rights </w:t>
      </w:r>
      <w:r w:rsidR="006E4A4A" w:rsidRPr="002A2D88">
        <w:t>as</w:t>
      </w:r>
      <w:r w:rsidR="0053689E" w:rsidRPr="002A2D88">
        <w:t xml:space="preserve"> set out in the </w:t>
      </w:r>
      <w:r w:rsidRPr="002A2D88">
        <w:t>CRC</w:t>
      </w:r>
      <w:r w:rsidR="000D174C">
        <w:t>, which it ratified</w:t>
      </w:r>
      <w:r>
        <w:t xml:space="preserve"> in December 1990. The CRC affords every child the inherent right to life.</w:t>
      </w:r>
      <w:r w:rsidRPr="003D7AAA">
        <w:rPr>
          <w:rStyle w:val="EndnoteReference"/>
        </w:rPr>
        <w:endnoteReference w:id="17"/>
      </w:r>
      <w:r>
        <w:t xml:space="preserve"> It also provides for the right </w:t>
      </w:r>
      <w:r>
        <w:lastRenderedPageBreak/>
        <w:t>of every child to the enjoyment of the highest attainable standard of health, including by considering the dangers and risks of environmental pollution.</w:t>
      </w:r>
      <w:r w:rsidRPr="00AB1407">
        <w:rPr>
          <w:rStyle w:val="EndnoteReference"/>
        </w:rPr>
        <w:endnoteReference w:id="18"/>
      </w:r>
      <w:r w:rsidRPr="00AB1407">
        <w:rPr>
          <w:rStyle w:val="EndnoteReference"/>
        </w:rPr>
        <w:t xml:space="preserve"> </w:t>
      </w:r>
    </w:p>
    <w:p w14:paraId="164C5C3D" w14:textId="7B216DF9" w:rsidR="00AB5608" w:rsidRDefault="000D174C" w:rsidP="0069338F">
      <w:pPr>
        <w:pStyle w:val="ListNumber"/>
        <w:tabs>
          <w:tab w:val="num" w:pos="993"/>
        </w:tabs>
        <w:ind w:left="851" w:hanging="567"/>
      </w:pPr>
      <w:r>
        <w:t>‘</w:t>
      </w:r>
      <w:r w:rsidR="00AB5608">
        <w:t>Intergenerational equity</w:t>
      </w:r>
      <w:r>
        <w:t>’</w:t>
      </w:r>
      <w:r w:rsidR="00AB5608">
        <w:t xml:space="preserve"> emerged as a factor in international discourse on children’s rights in the mid-1980s. The concept brought together principles of child participation in decision</w:t>
      </w:r>
      <w:r w:rsidR="007269B7">
        <w:t xml:space="preserve"> </w:t>
      </w:r>
      <w:r w:rsidR="00AB5608">
        <w:t xml:space="preserve">making and the universality (both in terms of location and time) of human rights. Importantly, the concept of intergenerational equity is not limited to today’s children, </w:t>
      </w:r>
      <w:r w:rsidR="003C242D">
        <w:t xml:space="preserve">who are </w:t>
      </w:r>
      <w:r w:rsidR="00AB5608">
        <w:t>the next generation</w:t>
      </w:r>
      <w:r w:rsidR="00E60D59">
        <w:t xml:space="preserve">, but also includes </w:t>
      </w:r>
      <w:r w:rsidR="00AB5608">
        <w:t>persons yet to be born.</w:t>
      </w:r>
      <w:r w:rsidR="00AB5608">
        <w:rPr>
          <w:rStyle w:val="EndnoteReference"/>
        </w:rPr>
        <w:endnoteReference w:id="19"/>
      </w:r>
    </w:p>
    <w:p w14:paraId="23252CE1" w14:textId="2847BCD4" w:rsidR="00AC7023" w:rsidRDefault="0055548B" w:rsidP="0069338F">
      <w:pPr>
        <w:pStyle w:val="ListNumber"/>
        <w:tabs>
          <w:tab w:val="num" w:pos="851"/>
        </w:tabs>
        <w:ind w:left="851" w:hanging="567"/>
      </w:pPr>
      <w:r>
        <w:t>The Australian government has produced six ‘Intergenerational Reports’ since 2002, with issues of environmental sustainability considered since 2007.</w:t>
      </w:r>
      <w:r>
        <w:rPr>
          <w:rStyle w:val="EndnoteReference"/>
        </w:rPr>
        <w:endnoteReference w:id="20"/>
      </w:r>
      <w:r>
        <w:t xml:space="preserve"> </w:t>
      </w:r>
      <w:r w:rsidR="007B1AEF">
        <w:t xml:space="preserve">However, </w:t>
      </w:r>
      <w:r w:rsidR="001F753F">
        <w:t>this is</w:t>
      </w:r>
      <w:r w:rsidR="00C152E1">
        <w:t xml:space="preserve"> potentially</w:t>
      </w:r>
      <w:r w:rsidR="001F753F">
        <w:t xml:space="preserve"> the first time that </w:t>
      </w:r>
      <w:r w:rsidR="00AB5608" w:rsidDel="003F4C05">
        <w:t xml:space="preserve">the </w:t>
      </w:r>
      <w:r w:rsidR="00EC4CB9">
        <w:t>concept</w:t>
      </w:r>
      <w:r w:rsidR="00D95446">
        <w:t xml:space="preserve"> of </w:t>
      </w:r>
      <w:r w:rsidR="00AB5608" w:rsidDel="003F4C05">
        <w:t xml:space="preserve">intergenerational equity </w:t>
      </w:r>
      <w:r w:rsidR="00EC4CB9">
        <w:t xml:space="preserve">has </w:t>
      </w:r>
      <w:r w:rsidR="00330EEA">
        <w:t xml:space="preserve">been incorporated into </w:t>
      </w:r>
      <w:r w:rsidR="00126546">
        <w:t xml:space="preserve">proposed legislation </w:t>
      </w:r>
      <w:r w:rsidR="00476C4D">
        <w:t>concerning</w:t>
      </w:r>
      <w:r w:rsidR="00AB5608" w:rsidDel="003F4C05">
        <w:t xml:space="preserve"> environmental decision</w:t>
      </w:r>
      <w:r w:rsidR="007269B7">
        <w:t xml:space="preserve"> </w:t>
      </w:r>
      <w:r w:rsidR="00AB5608">
        <w:t>making</w:t>
      </w:r>
      <w:r w:rsidR="003160B3">
        <w:t>.</w:t>
      </w:r>
      <w:r w:rsidR="00476C4D">
        <w:rPr>
          <w:rStyle w:val="EndnoteReference"/>
        </w:rPr>
        <w:endnoteReference w:id="21"/>
      </w:r>
    </w:p>
    <w:p w14:paraId="54348E5B" w14:textId="589EF878" w:rsidR="00AB5608" w:rsidRDefault="00AB5608" w:rsidP="0069338F">
      <w:pPr>
        <w:pStyle w:val="ListNumber"/>
        <w:tabs>
          <w:tab w:val="num" w:pos="851"/>
        </w:tabs>
        <w:ind w:left="851" w:hanging="567"/>
      </w:pPr>
      <w:r>
        <w:t xml:space="preserve">In September 2020, eight Australian children commenced proceedings against the federal </w:t>
      </w:r>
      <w:r w:rsidR="001F753F">
        <w:t xml:space="preserve">Minister for the Environment </w:t>
      </w:r>
      <w:r>
        <w:t xml:space="preserve">in </w:t>
      </w:r>
      <w:r>
        <w:rPr>
          <w:i/>
          <w:iCs/>
        </w:rPr>
        <w:t>Sharma &amp; Ors v Minister for the Environment</w:t>
      </w:r>
      <w:r>
        <w:t>.</w:t>
      </w:r>
      <w:r>
        <w:rPr>
          <w:rStyle w:val="EndnoteReference"/>
        </w:rPr>
        <w:endnoteReference w:id="22"/>
      </w:r>
      <w:r>
        <w:rPr>
          <w:i/>
          <w:iCs/>
        </w:rPr>
        <w:t xml:space="preserve"> </w:t>
      </w:r>
      <w:r>
        <w:t xml:space="preserve">In that proceeding, the children submitted that the </w:t>
      </w:r>
      <w:r w:rsidR="001F753F">
        <w:t xml:space="preserve">Minister </w:t>
      </w:r>
      <w:r>
        <w:t xml:space="preserve">had a duty of care to protect Australian children from the impacts of climate change when exercising particular decision-making powers. </w:t>
      </w:r>
    </w:p>
    <w:p w14:paraId="2123D7A4" w14:textId="0652A4E9" w:rsidR="00AB5608" w:rsidRDefault="00AB5608" w:rsidP="0069338F">
      <w:pPr>
        <w:pStyle w:val="ListNumber"/>
        <w:tabs>
          <w:tab w:val="num" w:pos="1418"/>
        </w:tabs>
        <w:ind w:left="851" w:hanging="567"/>
      </w:pPr>
      <w:r>
        <w:t xml:space="preserve">At first instance, the children were successful. On 27 May 2021, the Federal Court </w:t>
      </w:r>
      <w:r w:rsidDel="00C926DF">
        <w:t xml:space="preserve">of Australia </w:t>
      </w:r>
      <w:r>
        <w:t xml:space="preserve">determined that Australia’s federal </w:t>
      </w:r>
      <w:r w:rsidR="001F753F">
        <w:t xml:space="preserve">Minister </w:t>
      </w:r>
      <w:r w:rsidR="00750E18">
        <w:t xml:space="preserve">for the Environment </w:t>
      </w:r>
      <w:r>
        <w:t xml:space="preserve">had a duty to take reasonable care to avoid causing personal injury to children in Australia when exercising decision-making powers under ss 130 and 133 of the </w:t>
      </w:r>
      <w:r w:rsidRPr="00BF5BFD">
        <w:rPr>
          <w:i/>
          <w:iCs/>
        </w:rPr>
        <w:t xml:space="preserve">Environment Protection and Biodiversity Conservation Act 1999 </w:t>
      </w:r>
      <w:r w:rsidRPr="00346359">
        <w:t>(Cth)</w:t>
      </w:r>
      <w:r>
        <w:t xml:space="preserve"> (EPBC Act).</w:t>
      </w:r>
      <w:r>
        <w:rPr>
          <w:rStyle w:val="EndnoteReference"/>
        </w:rPr>
        <w:endnoteReference w:id="23"/>
      </w:r>
      <w:r>
        <w:t xml:space="preserve"> Those powers related to the approval of ‘controlled </w:t>
      </w:r>
      <w:proofErr w:type="gramStart"/>
      <w:r>
        <w:t>actions’</w:t>
      </w:r>
      <w:proofErr w:type="gramEnd"/>
      <w:r>
        <w:t>. The relevant action in that case was the extension of a coal mine.</w:t>
      </w:r>
      <w:r w:rsidR="002751DD">
        <w:t xml:space="preserve"> </w:t>
      </w:r>
    </w:p>
    <w:p w14:paraId="2FF4C008" w14:textId="0A9F7116" w:rsidR="00AB5608" w:rsidRDefault="00AB5608" w:rsidP="0069338F">
      <w:pPr>
        <w:pStyle w:val="ListNumber"/>
        <w:tabs>
          <w:tab w:val="num" w:pos="1418"/>
        </w:tabs>
        <w:ind w:left="851" w:hanging="567"/>
      </w:pPr>
      <w:r>
        <w:t>Six weeks later</w:t>
      </w:r>
      <w:r w:rsidR="00750E18">
        <w:t>,</w:t>
      </w:r>
      <w:r>
        <w:t xml:space="preserve"> on 8 July 2021, that Court made a declaration reflecting its findings – that Australia’s federal </w:t>
      </w:r>
      <w:r w:rsidR="00750E18">
        <w:t xml:space="preserve">Minister for the Environment </w:t>
      </w:r>
      <w:r>
        <w:t>had a duty to avoid causing personal injury or death arising from carbon dioxide emissions when exercising powers under ss 130 and 133 of the EPBC Act. That duty was</w:t>
      </w:r>
      <w:r w:rsidR="00D30302">
        <w:t xml:space="preserve"> </w:t>
      </w:r>
      <w:r w:rsidR="00BD01A8">
        <w:t>owed</w:t>
      </w:r>
      <w:r>
        <w:t xml:space="preserve"> to all persons who were under 18 years of age and ordinarily resident in Australia at the time the proceeding commenced.</w:t>
      </w:r>
      <w:r>
        <w:rPr>
          <w:rStyle w:val="EndnoteReference"/>
        </w:rPr>
        <w:endnoteReference w:id="24"/>
      </w:r>
    </w:p>
    <w:p w14:paraId="18B5A03E" w14:textId="4717B5C2" w:rsidR="009B6B75" w:rsidRDefault="003152EE" w:rsidP="0069338F">
      <w:pPr>
        <w:pStyle w:val="ListNumber"/>
        <w:tabs>
          <w:tab w:val="num" w:pos="1418"/>
        </w:tabs>
        <w:ind w:left="851" w:hanging="567"/>
      </w:pPr>
      <w:bookmarkStart w:id="43" w:name="_Ref149733872"/>
      <w:r>
        <w:t xml:space="preserve">On 15 March 2022, the Full </w:t>
      </w:r>
      <w:r w:rsidR="007329AE">
        <w:t>Federal Court</w:t>
      </w:r>
      <w:r w:rsidR="00204944">
        <w:t xml:space="preserve"> </w:t>
      </w:r>
      <w:r>
        <w:t xml:space="preserve">overturned the </w:t>
      </w:r>
      <w:r w:rsidR="00AB5608">
        <w:t>first instance decision</w:t>
      </w:r>
      <w:r w:rsidR="000C4A66">
        <w:t xml:space="preserve">, unanimously </w:t>
      </w:r>
      <w:r w:rsidR="009B6B75">
        <w:t>allowing the appeal against the declaration made by the primary judge about the existence of a common law duty of care</w:t>
      </w:r>
      <w:r w:rsidR="00AB5608">
        <w:t>.</w:t>
      </w:r>
      <w:r w:rsidR="00AB5608">
        <w:rPr>
          <w:rStyle w:val="EndnoteReference"/>
        </w:rPr>
        <w:endnoteReference w:id="25"/>
      </w:r>
      <w:r w:rsidR="00AB5608">
        <w:t xml:space="preserve"> </w:t>
      </w:r>
    </w:p>
    <w:p w14:paraId="1EB2B490" w14:textId="0C87F3BA" w:rsidR="00E2751A" w:rsidRDefault="00AB5608" w:rsidP="0069338F">
      <w:pPr>
        <w:pStyle w:val="ListNumber"/>
        <w:tabs>
          <w:tab w:val="num" w:pos="1418"/>
        </w:tabs>
        <w:ind w:left="851" w:hanging="567"/>
      </w:pPr>
      <w:r>
        <w:lastRenderedPageBreak/>
        <w:t xml:space="preserve">In doing so, the </w:t>
      </w:r>
      <w:r w:rsidR="00204944">
        <w:t>Full</w:t>
      </w:r>
      <w:r>
        <w:t xml:space="preserve"> </w:t>
      </w:r>
      <w:r w:rsidR="007A286A">
        <w:t xml:space="preserve">Federal </w:t>
      </w:r>
      <w:r>
        <w:t xml:space="preserve">Court </w:t>
      </w:r>
      <w:r w:rsidDel="000377D5">
        <w:t>accepted</w:t>
      </w:r>
      <w:r>
        <w:t xml:space="preserve"> that the threat of climate change and the nature of the risks and dangers from global warming, including possible global catastrophe</w:t>
      </w:r>
      <w:r w:rsidR="00204944">
        <w:t>,</w:t>
      </w:r>
      <w:r>
        <w:t xml:space="preserve"> were not in dispute between the parties. This was of some significance, including because the </w:t>
      </w:r>
      <w:r w:rsidR="00204944">
        <w:t>fed</w:t>
      </w:r>
      <w:r w:rsidR="00437980">
        <w:t xml:space="preserve">eral </w:t>
      </w:r>
      <w:r w:rsidR="00FC2C20">
        <w:t xml:space="preserve">Minister for the Environment </w:t>
      </w:r>
      <w:r>
        <w:t>was a party</w:t>
      </w:r>
      <w:r w:rsidR="00823719">
        <w:t xml:space="preserve"> and did not challenge the </w:t>
      </w:r>
      <w:r w:rsidR="000C4A66">
        <w:t>issue in the appeal</w:t>
      </w:r>
      <w:r>
        <w:t xml:space="preserve">. </w:t>
      </w:r>
    </w:p>
    <w:p w14:paraId="5B77B2BE" w14:textId="58F93EF1" w:rsidR="00AB5608" w:rsidRDefault="00AB5608" w:rsidP="0069338F">
      <w:pPr>
        <w:pStyle w:val="ListNumber"/>
        <w:tabs>
          <w:tab w:val="num" w:pos="1418"/>
        </w:tabs>
        <w:ind w:left="851" w:hanging="567"/>
      </w:pPr>
      <w:r>
        <w:t xml:space="preserve">Each member of the Full </w:t>
      </w:r>
      <w:r w:rsidR="00E2751A">
        <w:t xml:space="preserve">Federal </w:t>
      </w:r>
      <w:r>
        <w:t>Court gave different reasons</w:t>
      </w:r>
      <w:r w:rsidR="009B6B75">
        <w:t xml:space="preserve"> for allowing the appeal</w:t>
      </w:r>
      <w:r>
        <w:t xml:space="preserve">. Some of these reasons included </w:t>
      </w:r>
      <w:bookmarkEnd w:id="43"/>
      <w:r w:rsidR="003152EE">
        <w:t>that:</w:t>
      </w:r>
    </w:p>
    <w:p w14:paraId="1A1119F0" w14:textId="5BEB4D77" w:rsidR="00AB5608" w:rsidRDefault="00AB5608" w:rsidP="00394222">
      <w:pPr>
        <w:pStyle w:val="Heading3"/>
        <w:keepNext w:val="0"/>
        <w:keepLines w:val="0"/>
        <w:tabs>
          <w:tab w:val="clear" w:pos="851"/>
        </w:tabs>
        <w:ind w:left="1701" w:hanging="567"/>
      </w:pPr>
      <w:bookmarkStart w:id="44" w:name="_Toc149568177"/>
      <w:bookmarkStart w:id="45" w:name="_Toc149722016"/>
      <w:r>
        <w:t xml:space="preserve">decisions about the appropriate response to climate change should be made by the executive or </w:t>
      </w:r>
      <w:r w:rsidR="00A16FD8">
        <w:t>P</w:t>
      </w:r>
      <w:r w:rsidR="003152EE">
        <w:t>arliament</w:t>
      </w:r>
      <w:r>
        <w:t>, and should not be determined by the judiciary</w:t>
      </w:r>
      <w:bookmarkEnd w:id="44"/>
      <w:bookmarkEnd w:id="45"/>
      <w:r>
        <w:t xml:space="preserve"> on the basis of an implied common law duty in private </w:t>
      </w:r>
      <w:proofErr w:type="gramStart"/>
      <w:r>
        <w:t>litigation</w:t>
      </w:r>
      <w:proofErr w:type="gramEnd"/>
    </w:p>
    <w:p w14:paraId="05C627B4" w14:textId="2A255B13" w:rsidR="00AB5608" w:rsidRDefault="00AB5608" w:rsidP="00394222">
      <w:pPr>
        <w:pStyle w:val="Heading3"/>
        <w:keepNext w:val="0"/>
        <w:keepLines w:val="0"/>
        <w:tabs>
          <w:tab w:val="clear" w:pos="851"/>
        </w:tabs>
        <w:ind w:left="1701" w:hanging="567"/>
      </w:pPr>
      <w:r>
        <w:t>the duty imposed by the primary judge was inconsistent and incoherent with the particular decision</w:t>
      </w:r>
      <w:r w:rsidR="003B6F83">
        <w:t xml:space="preserve"> </w:t>
      </w:r>
      <w:r>
        <w:t>making in question under the EPBC Act</w:t>
      </w:r>
      <w:r w:rsidR="003F10DB">
        <w:t>,</w:t>
      </w:r>
      <w:r>
        <w:t xml:space="preserve"> which was focused on </w:t>
      </w:r>
      <w:r w:rsidRPr="004B5C25">
        <w:t xml:space="preserve">the protection of identified species and communities of fauna and water </w:t>
      </w:r>
      <w:proofErr w:type="gramStart"/>
      <w:r w:rsidRPr="004B5C25">
        <w:t>resources</w:t>
      </w:r>
      <w:proofErr w:type="gramEnd"/>
      <w:r>
        <w:t xml:space="preserve"> </w:t>
      </w:r>
    </w:p>
    <w:p w14:paraId="0A78AC3E" w14:textId="77777777" w:rsidR="00B25BC7" w:rsidRDefault="00B25BC7" w:rsidP="0075746E">
      <w:pPr>
        <w:pStyle w:val="Heading3"/>
        <w:keepNext w:val="0"/>
        <w:keepLines w:val="0"/>
        <w:tabs>
          <w:tab w:val="clear" w:pos="851"/>
        </w:tabs>
        <w:ind w:left="1701" w:hanging="567"/>
      </w:pPr>
      <w:r>
        <w:t>control of carbon dioxide emissions and the protection of the public from personal injury caused by the effects of climate change were not roles that the Parliament conferred on the Minister under the EPBC Act</w:t>
      </w:r>
    </w:p>
    <w:p w14:paraId="148AE002" w14:textId="53D9D7A2" w:rsidR="00AB5608" w:rsidRDefault="00AB5608" w:rsidP="0075746E">
      <w:pPr>
        <w:pStyle w:val="Heading3"/>
        <w:keepNext w:val="0"/>
        <w:keepLines w:val="0"/>
        <w:tabs>
          <w:tab w:val="clear" w:pos="851"/>
        </w:tabs>
        <w:ind w:left="1701" w:hanging="567"/>
      </w:pPr>
      <w:r>
        <w:t>imposing a duty in tort was inappropriate because there was a lack of proportionality between what the Minister was able to control (approval of a particular project</w:t>
      </w:r>
      <w:proofErr w:type="gramStart"/>
      <w:r>
        <w:t>)</w:t>
      </w:r>
      <w:proofErr w:type="gramEnd"/>
      <w:r>
        <w:t xml:space="preserve"> and the ultimate harm caused by climate change</w:t>
      </w:r>
      <w:bookmarkStart w:id="46" w:name="_Toc149568179"/>
      <w:bookmarkStart w:id="47" w:name="_Toc149722018"/>
      <w:bookmarkStart w:id="48" w:name="_Ref149733863"/>
      <w:bookmarkStart w:id="49" w:name="_Ref149850926"/>
      <w:bookmarkStart w:id="50" w:name="_Ref149850929"/>
    </w:p>
    <w:p w14:paraId="3D12A905" w14:textId="7505DE60" w:rsidR="00AB5608" w:rsidRPr="0075746E" w:rsidRDefault="00AB5608" w:rsidP="0075746E">
      <w:pPr>
        <w:pStyle w:val="Heading3"/>
        <w:keepNext w:val="0"/>
        <w:keepLines w:val="0"/>
        <w:tabs>
          <w:tab w:val="clear" w:pos="851"/>
        </w:tabs>
        <w:ind w:left="1701" w:hanging="567"/>
      </w:pPr>
      <w:r>
        <w:t xml:space="preserve">imposing the duty was inappropriate because there was insufficient closeness in </w:t>
      </w:r>
      <w:r w:rsidR="003152EE">
        <w:t>the</w:t>
      </w:r>
      <w:r>
        <w:t xml:space="preserve"> relationship between the Minister’s exercise of the power and the risk of harm to Australian </w:t>
      </w:r>
      <w:r w:rsidR="003152EE">
        <w:t>children</w:t>
      </w:r>
      <w:r w:rsidR="00354963">
        <w:t>; and</w:t>
      </w:r>
      <w:r w:rsidR="005C410E">
        <w:t xml:space="preserve">  </w:t>
      </w:r>
    </w:p>
    <w:p w14:paraId="7475BCF8" w14:textId="2A4FE894" w:rsidR="00AB5608" w:rsidRPr="00F129F1" w:rsidRDefault="00AB5608" w:rsidP="003152EE">
      <w:pPr>
        <w:pStyle w:val="Heading3"/>
        <w:keepNext w:val="0"/>
        <w:keepLines w:val="0"/>
        <w:tabs>
          <w:tab w:val="clear" w:pos="851"/>
        </w:tabs>
        <w:ind w:left="1701" w:hanging="567"/>
      </w:pPr>
      <w:r>
        <w:t>recognising a duty in tort would result in indeterminate liability for damages if harm eventuated at some point in the future.</w:t>
      </w:r>
      <w:bookmarkEnd w:id="46"/>
      <w:bookmarkEnd w:id="47"/>
      <w:bookmarkEnd w:id="48"/>
      <w:bookmarkEnd w:id="49"/>
      <w:bookmarkEnd w:id="50"/>
    </w:p>
    <w:p w14:paraId="4F524DEF" w14:textId="1D6B4652" w:rsidR="00AB5608" w:rsidRDefault="00AB5608" w:rsidP="0069338F">
      <w:pPr>
        <w:pStyle w:val="ListNumber"/>
        <w:tabs>
          <w:tab w:val="num" w:pos="1418"/>
        </w:tabs>
        <w:ind w:left="851" w:hanging="567"/>
      </w:pPr>
      <w:r>
        <w:t xml:space="preserve">The EPBC Act provides a legal framework to protect and manage Australia’s unique flora, fauna, ecological communities, and heritage places with the aim of conserving Australia’s biodiversity and cultural </w:t>
      </w:r>
      <w:r>
        <w:lastRenderedPageBreak/>
        <w:t>heritage.</w:t>
      </w:r>
      <w:r w:rsidDel="00B02BA6">
        <w:t xml:space="preserve"> </w:t>
      </w:r>
      <w:r>
        <w:t xml:space="preserve">It requires approvals to be obtained from the federal </w:t>
      </w:r>
      <w:r w:rsidR="003369D7">
        <w:t>M</w:t>
      </w:r>
      <w:r>
        <w:t xml:space="preserve">inister </w:t>
      </w:r>
      <w:r w:rsidR="003369D7">
        <w:t xml:space="preserve">for the Environment </w:t>
      </w:r>
      <w:r>
        <w:t>for activities that may have a significant impact on these interests</w:t>
      </w:r>
      <w:r w:rsidR="00CF6D3D">
        <w:t>.</w:t>
      </w:r>
      <w:r>
        <w:t xml:space="preserve"> However, despite being enacted five years after the Rio Declaration and three years after the UNFCCC coming into effect, the EPBC Act is silent on both climate change and greenhouse gas emissions.</w:t>
      </w:r>
    </w:p>
    <w:p w14:paraId="3D2DA7F7" w14:textId="7A6AB467" w:rsidR="00AB5608" w:rsidRDefault="00AB5608" w:rsidP="0069338F">
      <w:pPr>
        <w:pStyle w:val="ListNumber"/>
        <w:tabs>
          <w:tab w:val="num" w:pos="1418"/>
        </w:tabs>
        <w:ind w:left="851" w:hanging="567"/>
      </w:pPr>
      <w:r>
        <w:t xml:space="preserve">International law and commentary </w:t>
      </w:r>
      <w:proofErr w:type="gramStart"/>
      <w:r>
        <w:t>has</w:t>
      </w:r>
      <w:proofErr w:type="gramEnd"/>
      <w:r>
        <w:t xml:space="preserve"> recognised the interconnectedness of climate change impacts on every aspect of development, energy, and environmental policy since the Stockholm Declaration. As discussed in more detail below, it is appropriate that the EPBC Act, and other Acts permitting decisions to be made with significant environmental consequences, directly </w:t>
      </w:r>
      <w:r w:rsidR="005A71EA">
        <w:t>consider</w:t>
      </w:r>
      <w:r>
        <w:t xml:space="preserve"> the intergenerational impacts of climate change as part of the</w:t>
      </w:r>
      <w:r w:rsidR="005A71EA">
        <w:t>ir</w:t>
      </w:r>
      <w:r>
        <w:t xml:space="preserve"> decision-making processes.</w:t>
      </w:r>
      <w:r w:rsidR="00424F48">
        <w:t xml:space="preserve"> </w:t>
      </w:r>
    </w:p>
    <w:p w14:paraId="59B2C6B0" w14:textId="4E920453" w:rsidR="008F08DD" w:rsidRDefault="00AB5608" w:rsidP="0069338F">
      <w:pPr>
        <w:pStyle w:val="ListNumber"/>
        <w:tabs>
          <w:tab w:val="num" w:pos="1418"/>
        </w:tabs>
        <w:ind w:left="851" w:hanging="567"/>
      </w:pPr>
      <w:r>
        <w:t xml:space="preserve">The </w:t>
      </w:r>
      <w:r w:rsidR="00187E1E">
        <w:t>CCA</w:t>
      </w:r>
      <w:r w:rsidR="00D7447B">
        <w:t xml:space="preserve"> came into effect in September 202</w:t>
      </w:r>
      <w:r w:rsidR="00D6774A">
        <w:t>2</w:t>
      </w:r>
      <w:r>
        <w:t>. As noted above, the CCA sets out Australia’s greenhouse gas emissions reduction targets</w:t>
      </w:r>
      <w:r w:rsidR="00023EA8">
        <w:t xml:space="preserve">, </w:t>
      </w:r>
      <w:r w:rsidR="008F08DD">
        <w:t>consistent with Australia’s obligation</w:t>
      </w:r>
      <w:r w:rsidR="00E51BC1">
        <w:t>s</w:t>
      </w:r>
      <w:r w:rsidR="008F08DD">
        <w:t xml:space="preserve"> under the Paris Agreement,</w:t>
      </w:r>
      <w:r>
        <w:t xml:space="preserve"> and requires annual reporting by the Minister. </w:t>
      </w:r>
    </w:p>
    <w:p w14:paraId="4597E655" w14:textId="6138B790" w:rsidR="00AB5608" w:rsidRDefault="008F08DD" w:rsidP="006410E1">
      <w:pPr>
        <w:pStyle w:val="ListNumber"/>
        <w:tabs>
          <w:tab w:val="num" w:pos="1418"/>
        </w:tabs>
        <w:ind w:left="851" w:hanging="567"/>
      </w:pPr>
      <w:r>
        <w:t xml:space="preserve">The CCA </w:t>
      </w:r>
      <w:r w:rsidR="00AB5608">
        <w:t xml:space="preserve">does not contain any enforceable duties in relation to </w:t>
      </w:r>
      <w:proofErr w:type="gramStart"/>
      <w:r w:rsidR="00AB5608">
        <w:t>particular decision-making</w:t>
      </w:r>
      <w:proofErr w:type="gramEnd"/>
      <w:r w:rsidR="00AB5608">
        <w:t xml:space="preserve"> which could impact on whether Australia meets these targets</w:t>
      </w:r>
      <w:r>
        <w:t>, nor does it</w:t>
      </w:r>
      <w:r w:rsidR="00305FAB">
        <w:t xml:space="preserve"> require </w:t>
      </w:r>
      <w:r w:rsidR="00AB5608">
        <w:t>decision</w:t>
      </w:r>
      <w:r w:rsidR="003B6F83">
        <w:t xml:space="preserve"> </w:t>
      </w:r>
      <w:r w:rsidR="00AB5608">
        <w:t xml:space="preserve">makers to </w:t>
      </w:r>
      <w:r w:rsidR="005B351A">
        <w:t>consider</w:t>
      </w:r>
      <w:r w:rsidR="00305FAB">
        <w:t xml:space="preserve"> </w:t>
      </w:r>
      <w:r w:rsidR="00930238">
        <w:t>intergenerational equity</w:t>
      </w:r>
      <w:r w:rsidR="00D7447B">
        <w:t xml:space="preserve"> </w:t>
      </w:r>
      <w:r w:rsidR="00AB5608">
        <w:t xml:space="preserve">when making decisions </w:t>
      </w:r>
      <w:r w:rsidR="005A5A92">
        <w:t>concerning climate change</w:t>
      </w:r>
      <w:r w:rsidR="00305FAB">
        <w:t xml:space="preserve">, emissions, or </w:t>
      </w:r>
      <w:r w:rsidR="005A5A92">
        <w:t>the environment.</w:t>
      </w:r>
    </w:p>
    <w:p w14:paraId="682B38B3" w14:textId="77777777" w:rsidR="00AB5608" w:rsidRDefault="00AB5608" w:rsidP="0069338F">
      <w:pPr>
        <w:pStyle w:val="ListNumber"/>
        <w:tabs>
          <w:tab w:val="num" w:pos="1418"/>
        </w:tabs>
        <w:ind w:left="851" w:hanging="567"/>
      </w:pPr>
      <w:r>
        <w:t>In August 2023, the UN Committee on the Rights of the Child published General Comment No. 26 on children’s rights and the environment with a special focus on climate change. General Comment No. 26 elucidated how the CRC should be interpreted by duty bearers to ensure government obligations and responsibilities to children can be met.</w:t>
      </w:r>
    </w:p>
    <w:p w14:paraId="237801C7" w14:textId="0A4D8B17" w:rsidR="00AB5608" w:rsidRDefault="00AB5608" w:rsidP="0069338F">
      <w:pPr>
        <w:pStyle w:val="ListNumber"/>
        <w:tabs>
          <w:tab w:val="num" w:pos="1276"/>
        </w:tabs>
        <w:ind w:left="851" w:hanging="567"/>
      </w:pPr>
      <w:r>
        <w:t xml:space="preserve">General Comment No. 26 explains that </w:t>
      </w:r>
      <w:r w:rsidR="00575692">
        <w:t>regarding</w:t>
      </w:r>
      <w:r>
        <w:t xml:space="preserve"> article 3 of the CRC, concern</w:t>
      </w:r>
      <w:r w:rsidR="00F12F9F">
        <w:t>ing</w:t>
      </w:r>
      <w:r>
        <w:t xml:space="preserve"> the best interests of the child:</w:t>
      </w:r>
    </w:p>
    <w:p w14:paraId="1E85D01C" w14:textId="77777777" w:rsidR="00AB5608" w:rsidRPr="00007098" w:rsidRDefault="00AB5608" w:rsidP="00081C40">
      <w:pPr>
        <w:pStyle w:val="ListNumber"/>
        <w:numPr>
          <w:ilvl w:val="0"/>
          <w:numId w:val="0"/>
        </w:numPr>
        <w:tabs>
          <w:tab w:val="clear" w:pos="1134"/>
        </w:tabs>
        <w:ind w:left="1701"/>
        <w:rPr>
          <w:sz w:val="20"/>
          <w:szCs w:val="20"/>
        </w:rPr>
      </w:pPr>
      <w:r w:rsidRPr="00190A98">
        <w:rPr>
          <w:color w:val="000000" w:themeColor="text1"/>
          <w:sz w:val="20"/>
          <w:szCs w:val="20"/>
        </w:rPr>
        <w:t xml:space="preserve">Environmental decisions generally concern children, and the best interests of the child shall be a primary consideration in the adoption and implementation of environmental decisions, including laws, regulations, policies, standards, guidelines, plans, strategies, budgets, international </w:t>
      </w:r>
      <w:proofErr w:type="gramStart"/>
      <w:r w:rsidRPr="00190A98">
        <w:rPr>
          <w:color w:val="000000" w:themeColor="text1"/>
          <w:sz w:val="20"/>
          <w:szCs w:val="20"/>
        </w:rPr>
        <w:t>agreements</w:t>
      </w:r>
      <w:proofErr w:type="gramEnd"/>
      <w:r w:rsidRPr="00190A98">
        <w:rPr>
          <w:color w:val="000000" w:themeColor="text1"/>
          <w:sz w:val="20"/>
          <w:szCs w:val="20"/>
        </w:rPr>
        <w:t xml:space="preserve"> and the provision of development assistance. Where an environmental decision may have a significant impact on children, conducting a more detailed procedure to assess and determine children’s best interests that provides opportunities for their effective and meaningful participation, is appropriate.</w:t>
      </w:r>
      <w:r w:rsidRPr="00190A98">
        <w:rPr>
          <w:rStyle w:val="EndnoteReference"/>
          <w:color w:val="000000" w:themeColor="text1"/>
          <w:szCs w:val="20"/>
        </w:rPr>
        <w:endnoteReference w:id="26"/>
      </w:r>
    </w:p>
    <w:p w14:paraId="457776D2" w14:textId="77777777" w:rsidR="00AB5608" w:rsidRDefault="00AB5608" w:rsidP="0069338F">
      <w:pPr>
        <w:pStyle w:val="ListNumber"/>
        <w:tabs>
          <w:tab w:val="num" w:pos="1134"/>
        </w:tabs>
        <w:ind w:left="851" w:hanging="567"/>
      </w:pPr>
      <w:r>
        <w:t>Similarly, General Comment No. 26 explains that:</w:t>
      </w:r>
    </w:p>
    <w:p w14:paraId="68045E9C" w14:textId="1472FC36" w:rsidR="00AB5608" w:rsidRPr="00190A98" w:rsidRDefault="00AB5608" w:rsidP="00AA6A54">
      <w:pPr>
        <w:pStyle w:val="ListNumber"/>
        <w:numPr>
          <w:ilvl w:val="0"/>
          <w:numId w:val="0"/>
        </w:numPr>
        <w:tabs>
          <w:tab w:val="clear" w:pos="1134"/>
          <w:tab w:val="num" w:pos="1701"/>
        </w:tabs>
        <w:ind w:left="1701"/>
        <w:rPr>
          <w:color w:val="000000" w:themeColor="text1"/>
          <w:sz w:val="20"/>
          <w:szCs w:val="20"/>
        </w:rPr>
      </w:pPr>
      <w:r w:rsidRPr="00190A98">
        <w:rPr>
          <w:color w:val="000000" w:themeColor="text1"/>
          <w:sz w:val="20"/>
          <w:szCs w:val="20"/>
        </w:rPr>
        <w:t>… the children constantly arriving are also entitled to the realization of their human rights to the maximum extent. …</w:t>
      </w:r>
      <w:r>
        <w:rPr>
          <w:color w:val="000000" w:themeColor="text1"/>
          <w:sz w:val="20"/>
          <w:szCs w:val="20"/>
        </w:rPr>
        <w:t xml:space="preserve"> </w:t>
      </w:r>
      <w:r w:rsidRPr="00190A98">
        <w:rPr>
          <w:color w:val="000000" w:themeColor="text1"/>
          <w:sz w:val="20"/>
          <w:szCs w:val="20"/>
        </w:rPr>
        <w:t xml:space="preserve">States bear the responsibility for foreseeable environment-related threats arising </w:t>
      </w:r>
      <w:proofErr w:type="gramStart"/>
      <w:r w:rsidRPr="00190A98">
        <w:rPr>
          <w:color w:val="000000" w:themeColor="text1"/>
          <w:sz w:val="20"/>
          <w:szCs w:val="20"/>
        </w:rPr>
        <w:t>as a result of</w:t>
      </w:r>
      <w:proofErr w:type="gramEnd"/>
      <w:r w:rsidRPr="00190A98">
        <w:rPr>
          <w:color w:val="000000" w:themeColor="text1"/>
          <w:sz w:val="20"/>
          <w:szCs w:val="20"/>
        </w:rPr>
        <w:t xml:space="preserve"> their acts or </w:t>
      </w:r>
      <w:r>
        <w:rPr>
          <w:color w:val="000000" w:themeColor="text1"/>
          <w:sz w:val="20"/>
          <w:szCs w:val="20"/>
        </w:rPr>
        <w:lastRenderedPageBreak/>
        <w:t>o</w:t>
      </w:r>
      <w:r w:rsidRPr="00190A98">
        <w:rPr>
          <w:color w:val="000000" w:themeColor="text1"/>
          <w:sz w:val="20"/>
          <w:szCs w:val="20"/>
        </w:rPr>
        <w:t>missions now, the full implications of which may not manifest for years or even decades.</w:t>
      </w:r>
      <w:r w:rsidRPr="00190A98">
        <w:rPr>
          <w:rStyle w:val="EndnoteReference"/>
          <w:color w:val="000000" w:themeColor="text1"/>
          <w:szCs w:val="20"/>
        </w:rPr>
        <w:endnoteReference w:id="27"/>
      </w:r>
    </w:p>
    <w:p w14:paraId="77B5A881" w14:textId="53E36B3C" w:rsidR="00AB5608" w:rsidRDefault="00464978" w:rsidP="0069338F">
      <w:pPr>
        <w:pStyle w:val="ListNumber"/>
        <w:tabs>
          <w:tab w:val="num" w:pos="851"/>
        </w:tabs>
        <w:ind w:left="851" w:hanging="567"/>
      </w:pPr>
      <w:r>
        <w:t xml:space="preserve">Finally, General Comment </w:t>
      </w:r>
      <w:r w:rsidR="004A6DED">
        <w:t xml:space="preserve">No. </w:t>
      </w:r>
      <w:r w:rsidR="00AB5608">
        <w:t>26 notes that children are</w:t>
      </w:r>
      <w:r w:rsidR="00AB5608" w:rsidDel="00941830">
        <w:t xml:space="preserve"> </w:t>
      </w:r>
      <w:r w:rsidR="00AB5608">
        <w:t xml:space="preserve">particularly impacted by environmental hazards, including climate change, beyond that of the general population because of their ‘unique activity patterns, behaviours and physiology’ and ‘the importance of each stage [of childhood] for subsequent stages of maturation and </w:t>
      </w:r>
      <w:r w:rsidR="00016008">
        <w:t>development</w:t>
      </w:r>
      <w:r w:rsidR="000F343B">
        <w:t>’</w:t>
      </w:r>
      <w:r w:rsidR="00AB5608">
        <w:t>.</w:t>
      </w:r>
      <w:r w:rsidR="00AB5608">
        <w:rPr>
          <w:rStyle w:val="EndnoteReference"/>
        </w:rPr>
        <w:endnoteReference w:id="28"/>
      </w:r>
      <w:r w:rsidR="00424F48">
        <w:t xml:space="preserve"> </w:t>
      </w:r>
    </w:p>
    <w:p w14:paraId="3C0455D1" w14:textId="1D30D14F" w:rsidR="00AB5608" w:rsidRPr="00346359" w:rsidRDefault="00AB5608" w:rsidP="0069338F">
      <w:pPr>
        <w:pStyle w:val="ListNumber"/>
        <w:tabs>
          <w:tab w:val="num" w:pos="993"/>
        </w:tabs>
        <w:ind w:left="851" w:hanging="567"/>
      </w:pPr>
      <w:r w:rsidRPr="00346359">
        <w:t>The Commission also recognises that,</w:t>
      </w:r>
      <w:r w:rsidRPr="00346359" w:rsidDel="00BC6C59">
        <w:t xml:space="preserve"> </w:t>
      </w:r>
      <w:r w:rsidRPr="00346359">
        <w:t>in general, children face heightened barriers to the enjoyment of their rights.</w:t>
      </w:r>
      <w:r w:rsidRPr="00346359">
        <w:rPr>
          <w:rStyle w:val="EndnoteReference"/>
        </w:rPr>
        <w:endnoteReference w:id="29"/>
      </w:r>
      <w:r w:rsidRPr="00346359">
        <w:t xml:space="preserve"> The Commission supports a focus on children’s rights and intergenerational equity as part of environmental decision</w:t>
      </w:r>
      <w:r w:rsidR="003B6F83">
        <w:t xml:space="preserve"> </w:t>
      </w:r>
      <w:r w:rsidRPr="00346359">
        <w:t xml:space="preserve">making which, by generating less adverse environmental impacts, will assist all people in Australia to achieve the full realisation of their human rights. </w:t>
      </w:r>
    </w:p>
    <w:p w14:paraId="500FEB26" w14:textId="16D61A19" w:rsidR="00AB5608" w:rsidRDefault="00AB5608" w:rsidP="00857CB7">
      <w:pPr>
        <w:pStyle w:val="Heading1"/>
        <w:keepNext w:val="0"/>
        <w:keepLines w:val="0"/>
      </w:pPr>
      <w:bookmarkStart w:id="51" w:name="_Toc151652063"/>
      <w:r>
        <w:t xml:space="preserve">Support for what the Bill seeks to </w:t>
      </w:r>
      <w:proofErr w:type="gramStart"/>
      <w:r>
        <w:t>achieve</w:t>
      </w:r>
      <w:bookmarkEnd w:id="51"/>
      <w:proofErr w:type="gramEnd"/>
    </w:p>
    <w:p w14:paraId="42BDD912" w14:textId="5E5F72F1" w:rsidR="00AB5608" w:rsidRDefault="00AB5608" w:rsidP="0069338F">
      <w:pPr>
        <w:pStyle w:val="ListNumber"/>
        <w:tabs>
          <w:tab w:val="num" w:pos="851"/>
        </w:tabs>
        <w:ind w:left="851" w:hanging="567"/>
      </w:pPr>
      <w:r>
        <w:t xml:space="preserve">The Commission supports what the Bill seeks to achieve. </w:t>
      </w:r>
    </w:p>
    <w:p w14:paraId="34C32BA4" w14:textId="1F837C88" w:rsidR="00AB5608" w:rsidRDefault="00AB5608" w:rsidP="0069338F">
      <w:pPr>
        <w:pStyle w:val="ListNumber"/>
        <w:tabs>
          <w:tab w:val="num" w:pos="851"/>
        </w:tabs>
        <w:ind w:left="851" w:hanging="567"/>
      </w:pPr>
      <w:r>
        <w:t>At its core, the Bill proposes a statutory duty to promote intergenerational equity in decision</w:t>
      </w:r>
      <w:r w:rsidR="009B6258">
        <w:t xml:space="preserve"> </w:t>
      </w:r>
      <w:r>
        <w:t xml:space="preserve">making impacting the environment – a fundamental principle of international environmental law that present generations have a duty to protect the environment for the benefit of future generations. This aligns with Australia’s long standing international obligations and commitments concerning both environmental protection from the impacts of climate change, and the protection of children’s rights. </w:t>
      </w:r>
    </w:p>
    <w:p w14:paraId="1ABE609E" w14:textId="6E06F96F" w:rsidR="00AB5608" w:rsidRDefault="00AB5608" w:rsidP="0069338F">
      <w:pPr>
        <w:pStyle w:val="ListNumber"/>
        <w:tabs>
          <w:tab w:val="num" w:pos="851"/>
        </w:tabs>
        <w:ind w:left="851" w:hanging="567"/>
      </w:pPr>
      <w:r>
        <w:t xml:space="preserve">The Bill does this by incorporating the health and wellbeing of children as a mandatory consideration when making decisions that would result in significant greenhouse gas emissions. This approach is commendable both for recognising the importance of considering children as a unique group with their own vulnerabilities, and simultaneously </w:t>
      </w:r>
      <w:r w:rsidR="005B6E1D">
        <w:t>for linking</w:t>
      </w:r>
      <w:r>
        <w:t xml:space="preserve"> climate considerations </w:t>
      </w:r>
      <w:r w:rsidR="005B6E1D">
        <w:t xml:space="preserve">and </w:t>
      </w:r>
      <w:r>
        <w:t xml:space="preserve">environmental law – </w:t>
      </w:r>
      <w:r w:rsidR="000E32F7">
        <w:t>as established by</w:t>
      </w:r>
      <w:r w:rsidR="003235DD">
        <w:t xml:space="preserve"> international principles </w:t>
      </w:r>
      <w:r w:rsidR="000E32F7" w:rsidRPr="00A96852">
        <w:t>but</w:t>
      </w:r>
      <w:r w:rsidRPr="00A96852">
        <w:t xml:space="preserve"> </w:t>
      </w:r>
      <w:r w:rsidR="00CC2585" w:rsidRPr="00A96852">
        <w:t xml:space="preserve">so far </w:t>
      </w:r>
      <w:r w:rsidRPr="00A96852">
        <w:t xml:space="preserve">lacking in </w:t>
      </w:r>
      <w:r w:rsidR="00675194" w:rsidRPr="00A96852">
        <w:t>Au</w:t>
      </w:r>
      <w:r w:rsidR="00CC2585" w:rsidRPr="00A96852">
        <w:t xml:space="preserve">stralia’s legislated </w:t>
      </w:r>
      <w:r w:rsidR="00EE0ADF" w:rsidRPr="00A96852">
        <w:t>framework</w:t>
      </w:r>
      <w:r w:rsidRPr="00A96852">
        <w:t>.</w:t>
      </w:r>
    </w:p>
    <w:p w14:paraId="11C541ED" w14:textId="25DA516D" w:rsidR="00AB5608" w:rsidRDefault="00AB5608" w:rsidP="0069338F">
      <w:pPr>
        <w:pStyle w:val="ListNumber"/>
        <w:tabs>
          <w:tab w:val="num" w:pos="851"/>
        </w:tabs>
        <w:ind w:left="851" w:hanging="567"/>
      </w:pPr>
      <w:r>
        <w:t xml:space="preserve">Unlike the Federal Court’s declaration in the </w:t>
      </w:r>
      <w:r w:rsidRPr="006C3462">
        <w:rPr>
          <w:i/>
          <w:iCs/>
        </w:rPr>
        <w:t xml:space="preserve">Sharma </w:t>
      </w:r>
      <w:r>
        <w:t>proceedings,</w:t>
      </w:r>
      <w:r w:rsidRPr="005D2A23">
        <w:t xml:space="preserve"> </w:t>
      </w:r>
      <w:r>
        <w:t>which limited the federal environment minister’s duty of care to persons who were under 18 years of age and ordinarily residing in Australia at the commencement of that proceeding,</w:t>
      </w:r>
      <w:r>
        <w:rPr>
          <w:rStyle w:val="EndnoteReference"/>
        </w:rPr>
        <w:endnoteReference w:id="30"/>
      </w:r>
      <w:r w:rsidRPr="005D2A23">
        <w:t xml:space="preserve"> </w:t>
      </w:r>
      <w:r>
        <w:t xml:space="preserve">the duties proposed by the Bill would require future children to be considered by decision makers, properly recognising that the impact of greenhouse gas emissions are </w:t>
      </w:r>
      <w:r>
        <w:lastRenderedPageBreak/>
        <w:t xml:space="preserve">not limited to here and now, but have long lasting impacts that will affect future generations. </w:t>
      </w:r>
    </w:p>
    <w:p w14:paraId="7B42B285" w14:textId="290B23FB" w:rsidR="00AB5608" w:rsidRDefault="00AB5608" w:rsidP="0069338F">
      <w:pPr>
        <w:pStyle w:val="ListNumber"/>
        <w:tabs>
          <w:tab w:val="num" w:pos="851"/>
        </w:tabs>
        <w:ind w:left="851" w:hanging="567"/>
      </w:pPr>
      <w:r>
        <w:t>This approach embodies the promotion of intergenerational equity, an approach Australia has committed to on the international stage, both with respect to seeking to limit the adverse effects of climate change and concerning the protection of child rights.</w:t>
      </w:r>
    </w:p>
    <w:p w14:paraId="0E5F5AFE" w14:textId="5DC6C420" w:rsidR="00AB5608" w:rsidRDefault="00E410FF" w:rsidP="0069338F">
      <w:pPr>
        <w:pStyle w:val="ListNumber"/>
        <w:tabs>
          <w:tab w:val="num" w:pos="851"/>
        </w:tabs>
        <w:ind w:left="851" w:hanging="567"/>
      </w:pPr>
      <w:r>
        <w:t xml:space="preserve">The Commission recognises that the </w:t>
      </w:r>
      <w:r w:rsidR="00C01F7B">
        <w:t>Bill propose</w:t>
      </w:r>
      <w:r w:rsidR="00CE431D">
        <w:t>s</w:t>
      </w:r>
      <w:r w:rsidR="00C01F7B">
        <w:t xml:space="preserve"> modif</w:t>
      </w:r>
      <w:r w:rsidR="00CE431D">
        <w:t xml:space="preserve">ying the operation </w:t>
      </w:r>
      <w:r w:rsidR="005F6956">
        <w:t>of</w:t>
      </w:r>
      <w:r w:rsidR="00744984">
        <w:t xml:space="preserve"> the ADJR Act </w:t>
      </w:r>
      <w:r w:rsidR="00F967D0">
        <w:t xml:space="preserve">to ensure </w:t>
      </w:r>
      <w:r w:rsidR="00AB5608">
        <w:t>children ha</w:t>
      </w:r>
      <w:r w:rsidR="00891631">
        <w:t>ve</w:t>
      </w:r>
      <w:r w:rsidR="00AB5608">
        <w:t xml:space="preserve"> standing to commence judicial review proceedings in relation to decisions </w:t>
      </w:r>
      <w:r w:rsidR="00891631">
        <w:t xml:space="preserve">impacted </w:t>
      </w:r>
      <w:r w:rsidR="00AB5608">
        <w:t xml:space="preserve">by the Bill </w:t>
      </w:r>
      <w:r w:rsidR="00EB3B50">
        <w:t>a</w:t>
      </w:r>
      <w:r w:rsidR="00187BC2">
        <w:t xml:space="preserve">s an attempt to </w:t>
      </w:r>
      <w:r w:rsidR="00257FCC">
        <w:t>enhance</w:t>
      </w:r>
      <w:r w:rsidR="00AB5608">
        <w:t xml:space="preserve"> accountability and transparency around government decision making, while simultaneously </w:t>
      </w:r>
      <w:r w:rsidR="00856B11">
        <w:t xml:space="preserve">working to </w:t>
      </w:r>
      <w:r w:rsidR="00AB5608">
        <w:t>improv</w:t>
      </w:r>
      <w:r w:rsidR="00856B11">
        <w:t>e</w:t>
      </w:r>
      <w:r w:rsidR="00AB5608">
        <w:t xml:space="preserve"> access to justice and a remedy for children. </w:t>
      </w:r>
      <w:r w:rsidR="00F2679B">
        <w:t xml:space="preserve">These </w:t>
      </w:r>
      <w:r w:rsidR="00730F7A">
        <w:t xml:space="preserve">principles </w:t>
      </w:r>
      <w:r w:rsidR="00F2679B">
        <w:t xml:space="preserve">are </w:t>
      </w:r>
      <w:r w:rsidR="00AB5608">
        <w:t>endorsed</w:t>
      </w:r>
      <w:r w:rsidR="00F2679B">
        <w:t xml:space="preserve"> by the Commission</w:t>
      </w:r>
      <w:r w:rsidR="001F6E3D">
        <w:t>.</w:t>
      </w:r>
    </w:p>
    <w:p w14:paraId="16374817" w14:textId="2D5EDFAF" w:rsidR="00790951" w:rsidRDefault="00AB5608" w:rsidP="00DF3338">
      <w:pPr>
        <w:pStyle w:val="ListNumber"/>
        <w:tabs>
          <w:tab w:val="num" w:pos="1843"/>
        </w:tabs>
        <w:ind w:left="851" w:hanging="567"/>
      </w:pPr>
      <w:r>
        <w:t xml:space="preserve">Accountability and transparency in government decision making </w:t>
      </w:r>
      <w:r w:rsidR="00F47F1A">
        <w:t>are</w:t>
      </w:r>
      <w:r>
        <w:t xml:space="preserve"> vital </w:t>
      </w:r>
      <w:r w:rsidR="005815B2">
        <w:t xml:space="preserve">for </w:t>
      </w:r>
      <w:r>
        <w:t xml:space="preserve">good and responsible governance, and </w:t>
      </w:r>
      <w:r w:rsidR="001E2F20">
        <w:t>fuel</w:t>
      </w:r>
      <w:r>
        <w:t xml:space="preserve"> society’s confidence and trust in government processes and decisions. </w:t>
      </w:r>
      <w:r w:rsidR="004A43F5">
        <w:t xml:space="preserve">They are </w:t>
      </w:r>
      <w:r>
        <w:t xml:space="preserve">fundamental in Australia’s democratic governance, and it follows that individuals to whom </w:t>
      </w:r>
      <w:r w:rsidR="00912690">
        <w:t xml:space="preserve">statutory </w:t>
      </w:r>
      <w:r>
        <w:t xml:space="preserve">duties are owed </w:t>
      </w:r>
      <w:r w:rsidR="00987EC6">
        <w:t xml:space="preserve">should be </w:t>
      </w:r>
      <w:r>
        <w:t xml:space="preserve">afforded the opportunity to participate in processes designed to ensure </w:t>
      </w:r>
      <w:r w:rsidR="004E2DDB">
        <w:t xml:space="preserve">that these </w:t>
      </w:r>
      <w:r>
        <w:t>principle</w:t>
      </w:r>
      <w:r w:rsidR="004E2DDB">
        <w:t>s</w:t>
      </w:r>
      <w:r>
        <w:t xml:space="preserve"> </w:t>
      </w:r>
      <w:r w:rsidR="004E2DDB">
        <w:t>are</w:t>
      </w:r>
      <w:r>
        <w:t xml:space="preserve"> upheld. </w:t>
      </w:r>
    </w:p>
    <w:p w14:paraId="46BB1428" w14:textId="0B4373E7" w:rsidR="00AB5608" w:rsidRDefault="00AB5608" w:rsidP="0069338F">
      <w:pPr>
        <w:pStyle w:val="ListNumber"/>
        <w:tabs>
          <w:tab w:val="num" w:pos="1418"/>
        </w:tabs>
        <w:ind w:left="851" w:hanging="567"/>
      </w:pPr>
      <w:r>
        <w:t xml:space="preserve">In relation </w:t>
      </w:r>
      <w:r w:rsidR="00B06FD2">
        <w:t xml:space="preserve">to </w:t>
      </w:r>
      <w:r>
        <w:t xml:space="preserve">the environment, General Comment No. 26 explains that </w:t>
      </w:r>
      <w:r w:rsidR="00A121DB">
        <w:t xml:space="preserve">children have a </w:t>
      </w:r>
      <w:r>
        <w:t xml:space="preserve">right to be heard </w:t>
      </w:r>
      <w:r w:rsidR="002D697A">
        <w:t>in matters that affect them:</w:t>
      </w:r>
    </w:p>
    <w:p w14:paraId="72C0920C" w14:textId="77777777" w:rsidR="00AB5608" w:rsidRPr="00190A98" w:rsidRDefault="00AB5608" w:rsidP="00190A98">
      <w:pPr>
        <w:pStyle w:val="ListNumber"/>
        <w:numPr>
          <w:ilvl w:val="0"/>
          <w:numId w:val="0"/>
        </w:numPr>
        <w:tabs>
          <w:tab w:val="clear" w:pos="1134"/>
          <w:tab w:val="left" w:pos="1701"/>
        </w:tabs>
        <w:ind w:left="1701"/>
        <w:rPr>
          <w:sz w:val="20"/>
          <w:szCs w:val="20"/>
        </w:rPr>
      </w:pPr>
      <w:r w:rsidRPr="00190A98">
        <w:rPr>
          <w:sz w:val="20"/>
          <w:szCs w:val="20"/>
        </w:rPr>
        <w:t xml:space="preserve">States must ensure that age-appropriate, </w:t>
      </w:r>
      <w:proofErr w:type="gramStart"/>
      <w:r w:rsidRPr="00190A98">
        <w:rPr>
          <w:sz w:val="20"/>
          <w:szCs w:val="20"/>
        </w:rPr>
        <w:t>safe</w:t>
      </w:r>
      <w:proofErr w:type="gramEnd"/>
      <w:r w:rsidRPr="00190A98">
        <w:rPr>
          <w:sz w:val="20"/>
          <w:szCs w:val="20"/>
        </w:rPr>
        <w:t xml:space="preserve"> and accessible mechanisms are in place for children’s views to be heard regularly and at all stages of environmental decision-making processes for legislation, policies, regulations, projects and activities that may affect them, at the local, national and international levels.</w:t>
      </w:r>
      <w:r w:rsidRPr="00190A98">
        <w:rPr>
          <w:rStyle w:val="EndnoteReference"/>
          <w:szCs w:val="20"/>
        </w:rPr>
        <w:endnoteReference w:id="31"/>
      </w:r>
    </w:p>
    <w:p w14:paraId="2E7B54BE" w14:textId="6A421ECF" w:rsidR="00D50B04" w:rsidRDefault="00D50B04" w:rsidP="0069338F">
      <w:pPr>
        <w:pStyle w:val="ListNumber"/>
        <w:tabs>
          <w:tab w:val="num" w:pos="1134"/>
        </w:tabs>
        <w:ind w:left="851" w:hanging="567"/>
      </w:pPr>
      <w:r>
        <w:t>It does not automatically follow that</w:t>
      </w:r>
      <w:r w:rsidR="008D3645">
        <w:t xml:space="preserve"> children </w:t>
      </w:r>
      <w:r w:rsidR="00A0540A">
        <w:t>require</w:t>
      </w:r>
      <w:r>
        <w:t xml:space="preserve"> </w:t>
      </w:r>
      <w:r w:rsidR="008340A3">
        <w:t xml:space="preserve">standing </w:t>
      </w:r>
      <w:r w:rsidR="008D3645">
        <w:t>for judicial review</w:t>
      </w:r>
      <w:r w:rsidR="00A0540A">
        <w:t xml:space="preserve"> of decisions </w:t>
      </w:r>
      <w:r w:rsidR="001B3F14">
        <w:t xml:space="preserve">impacted by </w:t>
      </w:r>
      <w:r w:rsidR="0059059D">
        <w:t xml:space="preserve">the Bill </w:t>
      </w:r>
      <w:r w:rsidR="004763B6">
        <w:t xml:space="preserve">for the state to fulfill its obligations </w:t>
      </w:r>
      <w:r w:rsidR="009E25D0">
        <w:t xml:space="preserve">under the </w:t>
      </w:r>
      <w:r w:rsidR="00352104">
        <w:t xml:space="preserve">CRC </w:t>
      </w:r>
      <w:r w:rsidR="009D29F6">
        <w:t xml:space="preserve">in accordance with </w:t>
      </w:r>
      <w:r w:rsidR="00192769">
        <w:t>international</w:t>
      </w:r>
      <w:r w:rsidR="009D29F6">
        <w:t xml:space="preserve"> guidance </w:t>
      </w:r>
      <w:r w:rsidR="008D3645">
        <w:t>including</w:t>
      </w:r>
      <w:r w:rsidR="00192769">
        <w:t xml:space="preserve"> as provided</w:t>
      </w:r>
      <w:r w:rsidR="008D3645">
        <w:t xml:space="preserve"> in</w:t>
      </w:r>
      <w:r w:rsidR="00352104">
        <w:t xml:space="preserve"> </w:t>
      </w:r>
      <w:r w:rsidR="004A4145">
        <w:t>General Comment No. 26</w:t>
      </w:r>
      <w:r w:rsidR="00E34E21">
        <w:t>.</w:t>
      </w:r>
      <w:r w:rsidR="003D7352">
        <w:t xml:space="preserve"> </w:t>
      </w:r>
      <w:r w:rsidR="00E34E21">
        <w:t xml:space="preserve">However, </w:t>
      </w:r>
      <w:r w:rsidR="000C7085">
        <w:t xml:space="preserve">if standing is not </w:t>
      </w:r>
      <w:r w:rsidR="0083293B">
        <w:t>extended</w:t>
      </w:r>
      <w:r w:rsidR="00192769">
        <w:t xml:space="preserve"> to children</w:t>
      </w:r>
      <w:r w:rsidR="00BE7B13">
        <w:t>,</w:t>
      </w:r>
      <w:r w:rsidR="0083293B">
        <w:t xml:space="preserve"> </w:t>
      </w:r>
      <w:r w:rsidR="00110FB6">
        <w:t xml:space="preserve">consideration </w:t>
      </w:r>
      <w:r w:rsidR="00501413">
        <w:t xml:space="preserve">should be given to how children </w:t>
      </w:r>
      <w:r w:rsidR="0068047B">
        <w:t xml:space="preserve">affected by decisions related to the Bill </w:t>
      </w:r>
      <w:r w:rsidR="003943E7">
        <w:t>can readily a</w:t>
      </w:r>
      <w:r w:rsidR="00F27F43">
        <w:t>ccess</w:t>
      </w:r>
      <w:r w:rsidR="001C4735">
        <w:t xml:space="preserve"> </w:t>
      </w:r>
      <w:r w:rsidR="00C24C4C">
        <w:t xml:space="preserve">their right to </w:t>
      </w:r>
      <w:r w:rsidR="00557EB4">
        <w:t>be heard and their right to justice.</w:t>
      </w:r>
    </w:p>
    <w:p w14:paraId="0B452DA5" w14:textId="57BDFC0D" w:rsidR="00AB5608" w:rsidRDefault="00AB5608" w:rsidP="0069338F">
      <w:pPr>
        <w:pStyle w:val="ListNumber"/>
        <w:tabs>
          <w:tab w:val="num" w:pos="1134"/>
        </w:tabs>
        <w:ind w:left="851" w:hanging="567"/>
      </w:pPr>
      <w:r>
        <w:t xml:space="preserve">Ultimately, Australia has international environmental and human rights obligations to restrict the approval of significant emissions that negatively impact the earth’s climate. The CCA is the first step </w:t>
      </w:r>
      <w:r w:rsidR="00564312">
        <w:t>domestically</w:t>
      </w:r>
      <w:r>
        <w:t xml:space="preserve"> in Australia meeting these commitments. </w:t>
      </w:r>
    </w:p>
    <w:p w14:paraId="54694390" w14:textId="17F99717" w:rsidR="00AB5608" w:rsidRDefault="00AB5608" w:rsidP="0069338F">
      <w:pPr>
        <w:pStyle w:val="ListNumber"/>
        <w:tabs>
          <w:tab w:val="num" w:pos="993"/>
        </w:tabs>
        <w:ind w:left="851" w:hanging="567"/>
      </w:pPr>
      <w:r>
        <w:lastRenderedPageBreak/>
        <w:t xml:space="preserve">That climate change effects will dramatically and negatively impact the human experience, and the human rights of all people, is not in dispute. Globally accepted climate science calls for fossil fuel extraction and use to be </w:t>
      </w:r>
      <w:r w:rsidR="001D539A">
        <w:t xml:space="preserve">rapidly </w:t>
      </w:r>
      <w:r>
        <w:t xml:space="preserve">phased out, and greenhouse gas emissions to be significantly reduced. </w:t>
      </w:r>
    </w:p>
    <w:p w14:paraId="4A61BD0C" w14:textId="1190915F" w:rsidR="00AB5608" w:rsidRDefault="00AB5608" w:rsidP="0069338F">
      <w:pPr>
        <w:pStyle w:val="ListNumber"/>
        <w:tabs>
          <w:tab w:val="num" w:pos="993"/>
        </w:tabs>
        <w:ind w:left="851" w:hanging="567"/>
      </w:pPr>
      <w:r>
        <w:t>The duty proposed by the Bill to require issues of intergenerational equity to be considered in the approval of significant greenhouse gas emission projects</w:t>
      </w:r>
      <w:r w:rsidRPr="00B10436">
        <w:rPr>
          <w:rStyle w:val="EndnoteReference"/>
          <w:szCs w:val="20"/>
        </w:rPr>
        <w:endnoteReference w:id="32"/>
      </w:r>
      <w:r>
        <w:t xml:space="preserve"> </w:t>
      </w:r>
      <w:r w:rsidR="005C690B">
        <w:t>enhances the</w:t>
      </w:r>
      <w:r>
        <w:t xml:space="preserve"> national framework to assist in achieving a significant reduction of greenhouse gas emissions, as quickly as possible, and to </w:t>
      </w:r>
      <w:r w:rsidR="00534776">
        <w:t xml:space="preserve">help </w:t>
      </w:r>
      <w:r>
        <w:t xml:space="preserve">avoid the most severe impacts of climate change. The Commission supports initiatives that work to achieve this goal. </w:t>
      </w:r>
    </w:p>
    <w:p w14:paraId="2F13B96B" w14:textId="19052DED" w:rsidR="00AB5608" w:rsidRPr="00DC128B" w:rsidRDefault="00AB5608" w:rsidP="00DF2918">
      <w:pPr>
        <w:pStyle w:val="Heading1"/>
      </w:pPr>
      <w:bookmarkStart w:id="52" w:name="_Toc151652064"/>
      <w:r w:rsidRPr="00DC128B">
        <w:t xml:space="preserve">Concerns arising from the Bill’s </w:t>
      </w:r>
      <w:proofErr w:type="gramStart"/>
      <w:r w:rsidRPr="00DC128B">
        <w:t>approach</w:t>
      </w:r>
      <w:bookmarkEnd w:id="52"/>
      <w:proofErr w:type="gramEnd"/>
      <w:r w:rsidRPr="00DC128B">
        <w:t xml:space="preserve"> </w:t>
      </w:r>
    </w:p>
    <w:p w14:paraId="456BF625" w14:textId="676E3C5F" w:rsidR="00AB5608" w:rsidRPr="00DC128B" w:rsidRDefault="00AB5608" w:rsidP="0069338F">
      <w:pPr>
        <w:pStyle w:val="ListNumber"/>
        <w:tabs>
          <w:tab w:val="num" w:pos="1134"/>
        </w:tabs>
        <w:ind w:left="851" w:hanging="567"/>
      </w:pPr>
      <w:r w:rsidRPr="00DC128B">
        <w:t>The Commission supports the</w:t>
      </w:r>
      <w:r>
        <w:t xml:space="preserve"> </w:t>
      </w:r>
      <w:r w:rsidR="00346359" w:rsidRPr="00B017C4">
        <w:t xml:space="preserve">Bill’s </w:t>
      </w:r>
      <w:r w:rsidRPr="00B017C4">
        <w:t>object</w:t>
      </w:r>
      <w:r w:rsidRPr="00DC128B" w:rsidDel="00665BA3">
        <w:t xml:space="preserve"> </w:t>
      </w:r>
      <w:r w:rsidRPr="00DC128B">
        <w:t>and welcomes its contribution to Australian discourse regarding climate change and human rights, children’s rights, and intergenerational equity in environmental decision</w:t>
      </w:r>
      <w:r w:rsidR="00EB4A8C">
        <w:t xml:space="preserve"> </w:t>
      </w:r>
      <w:r w:rsidRPr="00DC128B">
        <w:t xml:space="preserve">making. </w:t>
      </w:r>
      <w:r w:rsidR="004F6D0A">
        <w:t>T</w:t>
      </w:r>
      <w:r w:rsidRPr="00DC128B">
        <w:t xml:space="preserve">hese matters should be integrated </w:t>
      </w:r>
      <w:r w:rsidR="00A80100">
        <w:t>as considerations for</w:t>
      </w:r>
      <w:r w:rsidRPr="00DC128B">
        <w:t xml:space="preserve"> all environmental decision</w:t>
      </w:r>
      <w:r w:rsidR="00EB4A8C">
        <w:t xml:space="preserve"> </w:t>
      </w:r>
      <w:r w:rsidRPr="00DC128B">
        <w:t>making.</w:t>
      </w:r>
    </w:p>
    <w:p w14:paraId="4D424CE1" w14:textId="348186C3" w:rsidR="00AB5608" w:rsidRDefault="00AB5608" w:rsidP="0069338F">
      <w:pPr>
        <w:pStyle w:val="ListNumber"/>
        <w:tabs>
          <w:tab w:val="num" w:pos="1134"/>
        </w:tabs>
        <w:ind w:left="851" w:hanging="567"/>
      </w:pPr>
      <w:r>
        <w:t>However, the Commission considers that the current proposal is not consistent with Australia’s international obligations and commitments. This is of particular concern, as General Comment No. 26 emphasises the need for a consistent global response to address the adverse effects of environmental degradation on the enjoyment of children’s rights.</w:t>
      </w:r>
      <w:r w:rsidRPr="0048309F">
        <w:rPr>
          <w:rStyle w:val="EndnoteReference"/>
        </w:rPr>
        <w:endnoteReference w:id="33"/>
      </w:r>
    </w:p>
    <w:p w14:paraId="2040356D" w14:textId="4E2B87EF" w:rsidR="00AB5608" w:rsidRDefault="00AB5608" w:rsidP="0069338F">
      <w:pPr>
        <w:pStyle w:val="ListNumber"/>
        <w:tabs>
          <w:tab w:val="num" w:pos="1134"/>
        </w:tabs>
        <w:ind w:left="851" w:hanging="567"/>
      </w:pPr>
      <w:r>
        <w:t xml:space="preserve">This section sets out five concerns raised by the Bill’s approach to achieving its object. Section </w:t>
      </w:r>
      <w:r w:rsidR="009B6B75">
        <w:rPr>
          <w:highlight w:val="yellow"/>
        </w:rPr>
        <w:fldChar w:fldCharType="begin"/>
      </w:r>
      <w:r w:rsidR="009B6B75">
        <w:instrText xml:space="preserve"> REF _Ref149850611 \r \h </w:instrText>
      </w:r>
      <w:r w:rsidR="009B6B75">
        <w:rPr>
          <w:highlight w:val="yellow"/>
        </w:rPr>
      </w:r>
      <w:r w:rsidR="009B6B75">
        <w:rPr>
          <w:highlight w:val="yellow"/>
        </w:rPr>
        <w:fldChar w:fldCharType="separate"/>
      </w:r>
      <w:r w:rsidR="00567CEC">
        <w:t>7</w:t>
      </w:r>
      <w:r w:rsidR="009B6B75">
        <w:rPr>
          <w:highlight w:val="yellow"/>
        </w:rPr>
        <w:fldChar w:fldCharType="end"/>
      </w:r>
      <w:r>
        <w:t xml:space="preserve"> below </w:t>
      </w:r>
      <w:r w:rsidR="00345079">
        <w:t>outline</w:t>
      </w:r>
      <w:r w:rsidR="00271067">
        <w:t>s an</w:t>
      </w:r>
      <w:r>
        <w:t xml:space="preserve"> alternative </w:t>
      </w:r>
      <w:r w:rsidR="00345079">
        <w:t>mechanism</w:t>
      </w:r>
      <w:r>
        <w:t xml:space="preserve"> </w:t>
      </w:r>
      <w:r w:rsidRPr="00E1299C">
        <w:t xml:space="preserve">that the Commission considers would be </w:t>
      </w:r>
      <w:r w:rsidR="00271067" w:rsidRPr="00E1299C">
        <w:t xml:space="preserve">a </w:t>
      </w:r>
      <w:r w:rsidRPr="00E1299C">
        <w:t xml:space="preserve">more appropriate </w:t>
      </w:r>
      <w:r w:rsidR="00600753" w:rsidRPr="00E1299C">
        <w:t>pathway</w:t>
      </w:r>
      <w:r w:rsidRPr="00E1299C">
        <w:t xml:space="preserve"> to</w:t>
      </w:r>
      <w:r>
        <w:t xml:space="preserve"> promote intergenerational equity in decisions that contribute to climate change and negatively impact rights realisation in Australia.</w:t>
      </w:r>
    </w:p>
    <w:p w14:paraId="29FB0D20" w14:textId="56154653" w:rsidR="00AB5608" w:rsidRDefault="00AB5608" w:rsidP="0069338F">
      <w:pPr>
        <w:pStyle w:val="ListNumber"/>
        <w:tabs>
          <w:tab w:val="num" w:pos="1134"/>
        </w:tabs>
        <w:ind w:left="851" w:hanging="567"/>
      </w:pPr>
      <w:r>
        <w:t>First, the Bill requires decision makers impacted by the proposed statutory duties to consider the health and wellbeing of the child. The Bill defines ‘health and wellbeing’ as including emotional, cultural, and spiritual health and wellbeing, but it does not provide any additional information to assist in the interpretation of what may be considered as part of each of these concepts.</w:t>
      </w:r>
    </w:p>
    <w:p w14:paraId="12ABF51D" w14:textId="1EE84E22" w:rsidR="00AB5608" w:rsidRDefault="00AB5608" w:rsidP="0069338F">
      <w:pPr>
        <w:pStyle w:val="ListNumber"/>
        <w:tabs>
          <w:tab w:val="num" w:pos="993"/>
        </w:tabs>
        <w:ind w:left="851" w:hanging="567"/>
      </w:pPr>
      <w:r>
        <w:t xml:space="preserve">It is also unclear whether health and wellbeing are intended as a singular concept, or two separate requirements, each of which must be impacted by risk. Looking to international commentary, it may be inferred from General Comment No. 26 that health and wellbeing are two separate </w:t>
      </w:r>
      <w:r>
        <w:lastRenderedPageBreak/>
        <w:t xml:space="preserve">concepts. Wellbeing appears to be linked to physical environment, as well as social, </w:t>
      </w:r>
      <w:proofErr w:type="gramStart"/>
      <w:r>
        <w:t>spiritual</w:t>
      </w:r>
      <w:proofErr w:type="gramEnd"/>
      <w:r>
        <w:t xml:space="preserve"> and moral conditions that surround the child and support a child’s development.</w:t>
      </w:r>
      <w:r>
        <w:rPr>
          <w:rStyle w:val="EndnoteReference"/>
        </w:rPr>
        <w:endnoteReference w:id="34"/>
      </w:r>
      <w:r>
        <w:t xml:space="preserve"> Meanwhile, the personal health of the child – both physical and mental – is referenced separately to wellbeing</w:t>
      </w:r>
      <w:r w:rsidR="001A5DE4">
        <w:t>,</w:t>
      </w:r>
      <w:r>
        <w:t xml:space="preserve"> and with regard to separate and additional obligations on </w:t>
      </w:r>
      <w:r w:rsidR="00896A01">
        <w:t>S</w:t>
      </w:r>
      <w:r>
        <w:t>tate</w:t>
      </w:r>
      <w:r w:rsidR="00896A01">
        <w:t>s</w:t>
      </w:r>
      <w:r>
        <w:t>.</w:t>
      </w:r>
      <w:r>
        <w:rPr>
          <w:rStyle w:val="EndnoteReference"/>
        </w:rPr>
        <w:endnoteReference w:id="35"/>
      </w:r>
      <w:r>
        <w:rPr>
          <w:rStyle w:val="CommentReference"/>
        </w:rPr>
        <w:t xml:space="preserve"> </w:t>
      </w:r>
      <w:r w:rsidRPr="00273AAF">
        <w:t xml:space="preserve"> </w:t>
      </w:r>
    </w:p>
    <w:p w14:paraId="429F8EF5" w14:textId="13F053AF" w:rsidR="00AB5608" w:rsidRDefault="00AB5608" w:rsidP="0069338F">
      <w:pPr>
        <w:pStyle w:val="ListNumber"/>
        <w:tabs>
          <w:tab w:val="num" w:pos="993"/>
        </w:tabs>
        <w:ind w:left="851" w:hanging="567"/>
      </w:pPr>
      <w:r>
        <w:t xml:space="preserve">Even taken as separate concepts, neither the Bill nor the supporting materials provide guidance about the differences between each of health and wellbeing, or how they may each be impacted. </w:t>
      </w:r>
      <w:r w:rsidR="00DA0E22">
        <w:t xml:space="preserve">This makes it difficult to undertake </w:t>
      </w:r>
      <w:r w:rsidR="00496625">
        <w:t xml:space="preserve">appropriate </w:t>
      </w:r>
      <w:proofErr w:type="gramStart"/>
      <w:r w:rsidR="00496625">
        <w:t xml:space="preserve">assessments, </w:t>
      </w:r>
      <w:r w:rsidR="00935AA5">
        <w:t>and</w:t>
      </w:r>
      <w:proofErr w:type="gramEnd"/>
      <w:r w:rsidR="00935AA5">
        <w:t xml:space="preserve"> may lead to inconsistenc</w:t>
      </w:r>
      <w:r w:rsidR="00D872DC">
        <w:t xml:space="preserve">y in how </w:t>
      </w:r>
      <w:r w:rsidR="00414876">
        <w:t>impacts are assessed.</w:t>
      </w:r>
    </w:p>
    <w:p w14:paraId="77980903" w14:textId="6A3BA6D1" w:rsidR="00AB5608" w:rsidRDefault="008C21DE" w:rsidP="008C21DE">
      <w:pPr>
        <w:pStyle w:val="ListNumber"/>
        <w:tabs>
          <w:tab w:val="clear" w:pos="360"/>
          <w:tab w:val="clear" w:pos="1134"/>
          <w:tab w:val="clear" w:pos="1637"/>
          <w:tab w:val="num" w:pos="993"/>
          <w:tab w:val="num" w:pos="1277"/>
          <w:tab w:val="num" w:pos="3621"/>
        </w:tabs>
        <w:ind w:left="851" w:hanging="567"/>
      </w:pPr>
      <w:r>
        <w:t>Secondly</w:t>
      </w:r>
      <w:r w:rsidR="00AB5608">
        <w:t xml:space="preserve">, and arguably most importantly, the Bill limits decision </w:t>
      </w:r>
      <w:r>
        <w:t>makers</w:t>
      </w:r>
      <w:r w:rsidR="00302C9E">
        <w:t>’</w:t>
      </w:r>
      <w:r w:rsidR="00AB5608">
        <w:t xml:space="preserve"> considerations to children’s health and wellbeing, rather than requiring all children’s rights to be considered. Neither the Explanatory Memorandum, nor the Second Reading Speech, have regard to broader human rights impacts.</w:t>
      </w:r>
    </w:p>
    <w:p w14:paraId="1E9EB30D" w14:textId="30846188" w:rsidR="00AB5608" w:rsidRDefault="00AB5608" w:rsidP="008C21DE">
      <w:pPr>
        <w:pStyle w:val="ListNumber"/>
        <w:tabs>
          <w:tab w:val="clear" w:pos="360"/>
          <w:tab w:val="clear" w:pos="1134"/>
          <w:tab w:val="clear" w:pos="1637"/>
          <w:tab w:val="num" w:pos="993"/>
          <w:tab w:val="num" w:pos="1277"/>
          <w:tab w:val="num" w:pos="3621"/>
        </w:tabs>
        <w:ind w:left="851" w:hanging="567"/>
      </w:pPr>
      <w:r>
        <w:t>The Commission considers this approach to be limited in scope and is of the view that it does not adequately apply a rights-based approach to environmental decision making, as required</w:t>
      </w:r>
      <w:r w:rsidR="004155A9">
        <w:t xml:space="preserve"> by Australia’s international commitments and best practice</w:t>
      </w:r>
      <w:r w:rsidR="008C21DE">
        <w:t>.</w:t>
      </w:r>
      <w:r>
        <w:t xml:space="preserve"> </w:t>
      </w:r>
    </w:p>
    <w:p w14:paraId="4947B00C" w14:textId="77777777" w:rsidR="00AB5608" w:rsidRDefault="00AB5608" w:rsidP="008C21DE">
      <w:pPr>
        <w:pStyle w:val="ListNumber"/>
        <w:tabs>
          <w:tab w:val="clear" w:pos="360"/>
          <w:tab w:val="clear" w:pos="1134"/>
          <w:tab w:val="clear" w:pos="1637"/>
          <w:tab w:val="num" w:pos="993"/>
          <w:tab w:val="num" w:pos="1277"/>
          <w:tab w:val="num" w:pos="3621"/>
        </w:tabs>
        <w:ind w:left="851" w:hanging="567"/>
      </w:pPr>
      <w:r>
        <w:t>A clean, healthy, and sustainable environment is a human right itself, and necessary for the full enjoyment of a broad range of children’s rights.</w:t>
      </w:r>
      <w:r>
        <w:rPr>
          <w:rStyle w:val="EndnoteReference"/>
        </w:rPr>
        <w:endnoteReference w:id="36"/>
      </w:r>
      <w:r>
        <w:t xml:space="preserve"> This intersectionality of environmental impacts on the realisation of other children’s rights requires the full range of children’s rights to be considered as part of the decision-making process for intergenerational equity to be effectively promoted and protected.</w:t>
      </w:r>
      <w:r>
        <w:rPr>
          <w:rStyle w:val="EndnoteReference"/>
        </w:rPr>
        <w:endnoteReference w:id="37"/>
      </w:r>
    </w:p>
    <w:p w14:paraId="5E398A49" w14:textId="7D282660" w:rsidR="00AB5608" w:rsidRDefault="00AB5608" w:rsidP="008C21DE">
      <w:pPr>
        <w:pStyle w:val="ListNumber"/>
        <w:tabs>
          <w:tab w:val="clear" w:pos="360"/>
          <w:tab w:val="clear" w:pos="1134"/>
          <w:tab w:val="clear" w:pos="1637"/>
          <w:tab w:val="num" w:pos="993"/>
          <w:tab w:val="num" w:pos="1277"/>
          <w:tab w:val="num" w:pos="3621"/>
        </w:tabs>
        <w:ind w:left="851" w:hanging="567"/>
      </w:pPr>
      <w:r>
        <w:t>Significantly, the approach taken in the Bill does not align with the CRC</w:t>
      </w:r>
      <w:r w:rsidR="00E613E3">
        <w:t>, which by a</w:t>
      </w:r>
      <w:r w:rsidR="008C21DE">
        <w:t>rticle</w:t>
      </w:r>
      <w:r>
        <w:t xml:space="preserve"> 3(1) mandates that </w:t>
      </w:r>
      <w:r w:rsidRPr="00AC69E7">
        <w:t xml:space="preserve">the </w:t>
      </w:r>
      <w:r w:rsidR="00E613E3">
        <w:t>‘</w:t>
      </w:r>
      <w:r w:rsidRPr="00AC69E7">
        <w:t xml:space="preserve">best interests of the </w:t>
      </w:r>
      <w:r w:rsidR="008C21DE" w:rsidRPr="00AC69E7">
        <w:t>child</w:t>
      </w:r>
      <w:r w:rsidR="00E613E3">
        <w:t>’</w:t>
      </w:r>
      <w:r w:rsidRPr="00B2407C">
        <w:rPr>
          <w:i/>
          <w:iCs/>
        </w:rPr>
        <w:t xml:space="preserve"> </w:t>
      </w:r>
      <w:r>
        <w:t xml:space="preserve">be considered in </w:t>
      </w:r>
      <w:r w:rsidR="00E613E3">
        <w:t>‘</w:t>
      </w:r>
      <w:r w:rsidRPr="00AC69E7">
        <w:t xml:space="preserve">all actions concerning </w:t>
      </w:r>
      <w:r w:rsidR="008C21DE" w:rsidRPr="00AC69E7">
        <w:t>children</w:t>
      </w:r>
      <w:r w:rsidR="00E613E3">
        <w:t>’</w:t>
      </w:r>
      <w:r w:rsidRPr="00B2407C">
        <w:rPr>
          <w:i/>
          <w:iCs/>
        </w:rPr>
        <w:t xml:space="preserve">, </w:t>
      </w:r>
      <w:r w:rsidRPr="00E85654">
        <w:t xml:space="preserve">including </w:t>
      </w:r>
      <w:r w:rsidR="00E613E3">
        <w:t>‘</w:t>
      </w:r>
      <w:r w:rsidRPr="00E85654">
        <w:t>legisl</w:t>
      </w:r>
      <w:r>
        <w:t xml:space="preserve">ative and administrative action taken by governments and government </w:t>
      </w:r>
      <w:proofErr w:type="gramStart"/>
      <w:r w:rsidR="008C21DE">
        <w:t>entities</w:t>
      </w:r>
      <w:r w:rsidR="00E613E3">
        <w:t>’</w:t>
      </w:r>
      <w:proofErr w:type="gramEnd"/>
      <w:r w:rsidR="008C21DE">
        <w:t>.</w:t>
      </w:r>
      <w:r>
        <w:t xml:space="preserve"> This includes the</w:t>
      </w:r>
      <w:r w:rsidRPr="00CD2C90">
        <w:t xml:space="preserve"> adoption and implementation of environmental decisions, </w:t>
      </w:r>
      <w:r>
        <w:t>including laws concerning such decision making.</w:t>
      </w:r>
      <w:r>
        <w:rPr>
          <w:rStyle w:val="EndnoteReference"/>
        </w:rPr>
        <w:endnoteReference w:id="38"/>
      </w:r>
    </w:p>
    <w:p w14:paraId="607AE8C3" w14:textId="57CE81B9" w:rsidR="00AB5608" w:rsidRDefault="00AB5608" w:rsidP="008C21DE">
      <w:pPr>
        <w:pStyle w:val="ListNumber"/>
        <w:tabs>
          <w:tab w:val="clear" w:pos="360"/>
          <w:tab w:val="num" w:pos="993"/>
          <w:tab w:val="num" w:pos="3621"/>
        </w:tabs>
        <w:ind w:left="851" w:hanging="567"/>
      </w:pPr>
      <w:r>
        <w:t xml:space="preserve">Considering the best interests of the child when making decisions, rather than limiting considerations to the child’s health and wellbeing (however defined), enables a </w:t>
      </w:r>
      <w:r w:rsidR="008C21DE">
        <w:t>holistic assessment of all relevant factors impacted by a proposed decision. It permits all children’s rights to be considered, which in turn may assist to achieve the full and effective enjoyment of all rights. The Commission considers it appropriate for a statutory duty seeking to promote intergenerational equity in environmental decision</w:t>
      </w:r>
      <w:r w:rsidR="00EB4A8C">
        <w:t xml:space="preserve"> </w:t>
      </w:r>
      <w:r>
        <w:lastRenderedPageBreak/>
        <w:t xml:space="preserve">making to apply this test, consistent with Australia’s commitments under the CRC.  </w:t>
      </w:r>
    </w:p>
    <w:p w14:paraId="22D09840" w14:textId="77777777" w:rsidR="00E613E3" w:rsidRDefault="00AB5608" w:rsidP="0069338F">
      <w:pPr>
        <w:pStyle w:val="ListNumber"/>
        <w:tabs>
          <w:tab w:val="num" w:pos="993"/>
        </w:tabs>
        <w:ind w:left="851" w:hanging="567"/>
      </w:pPr>
      <w:r>
        <w:t xml:space="preserve">Thirdly, in requiring that certain decisions not be made if they could pose a ‘material risk’ of harm to children’s health and wellbeing, the Bill does not clearly identify what may constitute harm, nor does it establish </w:t>
      </w:r>
      <w:r w:rsidR="00E1453F">
        <w:t>a</w:t>
      </w:r>
      <w:r>
        <w:t xml:space="preserve"> clear threshold for an unacceptable level of harm. </w:t>
      </w:r>
    </w:p>
    <w:p w14:paraId="71F969B4" w14:textId="4D8C2416" w:rsidR="00AB5608" w:rsidRDefault="00C6138F" w:rsidP="0069338F">
      <w:pPr>
        <w:pStyle w:val="ListNumber"/>
        <w:tabs>
          <w:tab w:val="num" w:pos="993"/>
        </w:tabs>
        <w:ind w:left="851" w:hanging="567"/>
      </w:pPr>
      <w:r>
        <w:t xml:space="preserve">Further, the </w:t>
      </w:r>
      <w:r w:rsidR="00062A6B">
        <w:t xml:space="preserve">risk of harm </w:t>
      </w:r>
      <w:r w:rsidR="000F20EE">
        <w:t xml:space="preserve">(to this uncertain threshold) </w:t>
      </w:r>
      <w:r w:rsidR="00DD653C">
        <w:t xml:space="preserve">is the sole </w:t>
      </w:r>
      <w:r w:rsidR="00D90E68">
        <w:t xml:space="preserve">determining </w:t>
      </w:r>
      <w:r w:rsidR="00DD653C">
        <w:t>factor</w:t>
      </w:r>
      <w:r w:rsidR="00A4244D">
        <w:t xml:space="preserve">, regardless of </w:t>
      </w:r>
      <w:r w:rsidR="001A48AF">
        <w:t xml:space="preserve">the other relevant factors that </w:t>
      </w:r>
      <w:r w:rsidR="00D90E68">
        <w:t>a decision</w:t>
      </w:r>
      <w:r w:rsidR="00E43DA7">
        <w:t xml:space="preserve"> </w:t>
      </w:r>
      <w:r w:rsidR="00D90E68">
        <w:t xml:space="preserve">maker may be required to </w:t>
      </w:r>
      <w:proofErr w:type="gramStart"/>
      <w:r w:rsidR="00D90E68">
        <w:t>take into account</w:t>
      </w:r>
      <w:proofErr w:type="gramEnd"/>
      <w:r w:rsidR="00D90E68">
        <w:t xml:space="preserve"> in making the relevant decision</w:t>
      </w:r>
      <w:r w:rsidR="00ED1284">
        <w:t>.</w:t>
      </w:r>
    </w:p>
    <w:p w14:paraId="795788EB" w14:textId="692D56D3" w:rsidR="00AB5608" w:rsidRDefault="00AB5608" w:rsidP="0069338F">
      <w:pPr>
        <w:pStyle w:val="ListNumber"/>
        <w:tabs>
          <w:tab w:val="num" w:pos="993"/>
        </w:tabs>
        <w:ind w:left="851" w:hanging="567"/>
      </w:pPr>
      <w:r>
        <w:t>Two broad matters</w:t>
      </w:r>
      <w:r w:rsidR="00807A3E">
        <w:t xml:space="preserve"> </w:t>
      </w:r>
      <w:r>
        <w:t>that may inform the risk of harm are included</w:t>
      </w:r>
      <w:r w:rsidR="00DB62CB">
        <w:t xml:space="preserve"> in the Bill</w:t>
      </w:r>
      <w:r>
        <w:t>,</w:t>
      </w:r>
      <w:r>
        <w:rPr>
          <w:rStyle w:val="EndnoteReference"/>
        </w:rPr>
        <w:endnoteReference w:id="39"/>
      </w:r>
      <w:r>
        <w:t xml:space="preserve"> namely, the extent to which emissions may prejudice Australia meeting its greenhouse gas emissions reduction targets, and scientific research on the likely impacts of climate change on the health and wellbeing of Australian children. However, expressed in this very general way, they provide little guidance to decision</w:t>
      </w:r>
      <w:r w:rsidR="00E43DA7">
        <w:t xml:space="preserve"> </w:t>
      </w:r>
      <w:r>
        <w:t xml:space="preserve">makers about how to assess the impact of </w:t>
      </w:r>
      <w:r w:rsidR="007E2B59">
        <w:t>a</w:t>
      </w:r>
      <w:r>
        <w:t xml:space="preserve"> proposed decision on the lived experiences of children in Australia. The inclusion of these matters thus do</w:t>
      </w:r>
      <w:r w:rsidR="006C594A">
        <w:t>es</w:t>
      </w:r>
      <w:r>
        <w:t xml:space="preserve"> not effectively aid in assessing potential harm, but rather suggest that </w:t>
      </w:r>
      <w:r w:rsidRPr="006C561F">
        <w:rPr>
          <w:i/>
          <w:iCs/>
        </w:rPr>
        <w:t xml:space="preserve">any </w:t>
      </w:r>
      <w:r>
        <w:t>breach of Australia’s emissions goals, set out in the CC</w:t>
      </w:r>
      <w:r w:rsidDel="0093146C">
        <w:t>A</w:t>
      </w:r>
      <w:r>
        <w:t xml:space="preserve">, may or would be harmful to the health and wellbeing of children in Australia. </w:t>
      </w:r>
    </w:p>
    <w:p w14:paraId="65F77E59" w14:textId="48333567" w:rsidR="00AB5608" w:rsidRDefault="00AB5608" w:rsidP="0069338F">
      <w:pPr>
        <w:pStyle w:val="ListNumber"/>
        <w:tabs>
          <w:tab w:val="num" w:pos="1134"/>
        </w:tabs>
        <w:ind w:left="851" w:hanging="567"/>
      </w:pPr>
      <w:r>
        <w:t>Fourthly</w:t>
      </w:r>
      <w:r w:rsidRPr="00AA6CFE">
        <w:t>, the Bill</w:t>
      </w:r>
      <w:r>
        <w:t xml:space="preserve"> approaches all current and future children as a single group, failing to acknowledge that the health and wellbeing of </w:t>
      </w:r>
      <w:proofErr w:type="gramStart"/>
      <w:r>
        <w:t>particular groups</w:t>
      </w:r>
      <w:proofErr w:type="gramEnd"/>
      <w:r>
        <w:t xml:space="preserve"> of children may be impacted differently </w:t>
      </w:r>
      <w:r w:rsidR="006C594A">
        <w:t xml:space="preserve">from </w:t>
      </w:r>
      <w:r>
        <w:t xml:space="preserve">other groups of children, or that what may constitute a material risk of harm may not align for all children. </w:t>
      </w:r>
    </w:p>
    <w:p w14:paraId="3EB88C7C" w14:textId="77777777" w:rsidR="00AB5608" w:rsidRDefault="00AB5608" w:rsidP="0069338F">
      <w:pPr>
        <w:pStyle w:val="ListNumber"/>
        <w:tabs>
          <w:tab w:val="num" w:pos="1134"/>
        </w:tabs>
        <w:ind w:left="851" w:hanging="567"/>
      </w:pPr>
      <w:r>
        <w:t>At a global level, it is recognised that certain groups of children face heightened barriers to the enjoyment of their human rights, with the risk of harm to some groups of children higher than for other children.</w:t>
      </w:r>
      <w:r>
        <w:rPr>
          <w:rStyle w:val="EndnoteReference"/>
        </w:rPr>
        <w:endnoteReference w:id="40"/>
      </w:r>
      <w:r>
        <w:t xml:space="preserve"> </w:t>
      </w:r>
    </w:p>
    <w:p w14:paraId="4A81595F" w14:textId="28F38621" w:rsidR="00AB5608" w:rsidRDefault="00AB5608" w:rsidP="0069338F">
      <w:pPr>
        <w:pStyle w:val="ListNumber"/>
        <w:tabs>
          <w:tab w:val="num" w:pos="1134"/>
        </w:tabs>
        <w:ind w:left="851" w:hanging="567"/>
      </w:pPr>
      <w:r>
        <w:t>For example,</w:t>
      </w:r>
      <w:r w:rsidDel="006C594A">
        <w:t xml:space="preserve"> </w:t>
      </w:r>
      <w:r w:rsidR="006C594A">
        <w:t xml:space="preserve">Indigenous </w:t>
      </w:r>
      <w:r>
        <w:t xml:space="preserve">children are disproportionately affected by biodiversity loss, pollution, and climate change, and may face unique risks compared to the rest of the children in Australia. To comply with its international obligations and commitments, Australia must meaningfully engage with </w:t>
      </w:r>
      <w:r w:rsidR="00B305D9">
        <w:t xml:space="preserve">Indigenous </w:t>
      </w:r>
      <w:r>
        <w:t xml:space="preserve">children and their families when responding to environmental harm, including by acknowledging and integrating </w:t>
      </w:r>
      <w:r w:rsidR="00B305D9">
        <w:t xml:space="preserve">Indigenous </w:t>
      </w:r>
      <w:r>
        <w:t>culture, knowledge and concepts about mitigation and adaptation.</w:t>
      </w:r>
      <w:r>
        <w:rPr>
          <w:rStyle w:val="EndnoteReference"/>
        </w:rPr>
        <w:endnoteReference w:id="41"/>
      </w:r>
      <w:r>
        <w:t xml:space="preserve"> </w:t>
      </w:r>
    </w:p>
    <w:p w14:paraId="665F5D70" w14:textId="216D5CD5" w:rsidR="00AB5608" w:rsidRDefault="00AB5608" w:rsidP="0069338F">
      <w:pPr>
        <w:pStyle w:val="ListNumber"/>
        <w:tabs>
          <w:tab w:val="num" w:pos="1134"/>
        </w:tabs>
        <w:ind w:left="851" w:hanging="567"/>
      </w:pPr>
      <w:r>
        <w:lastRenderedPageBreak/>
        <w:t xml:space="preserve">Similarly, children with disabilities may have different needs </w:t>
      </w:r>
      <w:r w:rsidR="00B305D9">
        <w:t xml:space="preserve">from </w:t>
      </w:r>
      <w:r>
        <w:t xml:space="preserve">other children. This may inform a different criterion for assessing what constitutes a material risk of harm to the health and wellbeing of children with a disability, compared to that relevant for children without disability. </w:t>
      </w:r>
    </w:p>
    <w:p w14:paraId="555FC0A1" w14:textId="53EEC1D5" w:rsidR="00AB5608" w:rsidRDefault="00AB5608" w:rsidP="0069338F">
      <w:pPr>
        <w:pStyle w:val="ListNumber"/>
        <w:tabs>
          <w:tab w:val="num" w:pos="1134"/>
        </w:tabs>
        <w:ind w:left="851" w:hanging="567"/>
      </w:pPr>
      <w:r>
        <w:t>To ensure that children’s health and wellbeing is considered in a non-discriminatory manner, consistent with Australia’s international commitments under the CRC,</w:t>
      </w:r>
      <w:r>
        <w:rPr>
          <w:rStyle w:val="EndnoteReference"/>
        </w:rPr>
        <w:endnoteReference w:id="42"/>
      </w:r>
      <w:r>
        <w:t xml:space="preserve"> the Bill should actively address how the risks and harm impacts on </w:t>
      </w:r>
      <w:proofErr w:type="gramStart"/>
      <w:r>
        <w:t>particular groups</w:t>
      </w:r>
      <w:proofErr w:type="gramEnd"/>
      <w:r>
        <w:t xml:space="preserve"> of children are to be considered and measured, particularly children who may have specific vulnerabilities or be more susceptible to the negative effects of climate change. </w:t>
      </w:r>
    </w:p>
    <w:p w14:paraId="74A7B553" w14:textId="6457C926" w:rsidR="00AB5608" w:rsidRDefault="00F04FE1" w:rsidP="0069338F">
      <w:pPr>
        <w:pStyle w:val="ListNumber"/>
        <w:tabs>
          <w:tab w:val="num" w:pos="993"/>
        </w:tabs>
        <w:ind w:left="851" w:hanging="567"/>
      </w:pPr>
      <w:r>
        <w:t>Assessing the risk of harm</w:t>
      </w:r>
      <w:r w:rsidR="00AB5608">
        <w:t xml:space="preserve"> should be informed by international expectations, which require Australia to analyse data available to it to understand the differential effects of environment-related harm on children, including by paying special attention to groups of children most at risk, and implementing measures to address barriers that may, intentionally or unintentionally, discriminate in the way a policy, decision, or environmental action may impact on certain groups of children.</w:t>
      </w:r>
      <w:r w:rsidR="00AB5608">
        <w:rPr>
          <w:rStyle w:val="EndnoteReference"/>
        </w:rPr>
        <w:endnoteReference w:id="43"/>
      </w:r>
      <w:r w:rsidR="00AB5608">
        <w:t xml:space="preserve"> </w:t>
      </w:r>
    </w:p>
    <w:p w14:paraId="326DD981" w14:textId="3E5B5AB6" w:rsidR="00AB5608" w:rsidRDefault="00AB5608" w:rsidP="00CE2D84">
      <w:pPr>
        <w:pStyle w:val="ListNumber"/>
        <w:tabs>
          <w:tab w:val="num" w:pos="993"/>
        </w:tabs>
        <w:ind w:left="851" w:hanging="567"/>
      </w:pPr>
      <w:r>
        <w:t xml:space="preserve">Fifthly, the Bill requires the health and wellbeing of the child to be the </w:t>
      </w:r>
      <w:r w:rsidRPr="00460513">
        <w:rPr>
          <w:i/>
          <w:iCs/>
        </w:rPr>
        <w:t>paramount</w:t>
      </w:r>
      <w:r>
        <w:t xml:space="preserve"> consideration when making ‘significant </w:t>
      </w:r>
      <w:proofErr w:type="gramStart"/>
      <w:r>
        <w:t>decisions’</w:t>
      </w:r>
      <w:proofErr w:type="gramEnd"/>
      <w:r>
        <w:t>.</w:t>
      </w:r>
      <w:r>
        <w:rPr>
          <w:rStyle w:val="EndnoteReference"/>
        </w:rPr>
        <w:endnoteReference w:id="44"/>
      </w:r>
      <w:r>
        <w:t xml:space="preserve"> By comparison, article 3(1) of the CRC, </w:t>
      </w:r>
      <w:r w:rsidRPr="00CD2C90">
        <w:t>requires</w:t>
      </w:r>
      <w:r w:rsidRPr="00B625B1">
        <w:t xml:space="preserve"> the best interests of the child to be </w:t>
      </w:r>
      <w:r w:rsidRPr="00460513">
        <w:rPr>
          <w:i/>
          <w:iCs/>
        </w:rPr>
        <w:t>a primary</w:t>
      </w:r>
      <w:r w:rsidRPr="00B625B1">
        <w:t xml:space="preserve"> consideration</w:t>
      </w:r>
      <w:r>
        <w:t xml:space="preserve"> in actions concerning children</w:t>
      </w:r>
      <w:r w:rsidRPr="00B625B1">
        <w:t xml:space="preserve">. </w:t>
      </w:r>
      <w:r>
        <w:t xml:space="preserve">Neither the Explanatory Memorandum nor the Second Reading Speech explain why the Bill has differed from this approach. </w:t>
      </w:r>
    </w:p>
    <w:p w14:paraId="3F9B0921" w14:textId="79A48005" w:rsidR="00AB5608" w:rsidRPr="00AE2E16" w:rsidRDefault="00AB5608" w:rsidP="00CE2D84">
      <w:pPr>
        <w:pStyle w:val="ListNumber"/>
        <w:tabs>
          <w:tab w:val="num" w:pos="993"/>
        </w:tabs>
        <w:ind w:left="851" w:hanging="567"/>
        <w:rPr>
          <w:rFonts w:cs="Open Sans"/>
        </w:rPr>
      </w:pPr>
      <w:r w:rsidRPr="00AE2E16">
        <w:t>The</w:t>
      </w:r>
      <w:r>
        <w:t xml:space="preserve"> UNICEF Implementation Handbook for the Convention on the Rights of the Child provides the following guidance on article 3: </w:t>
      </w:r>
    </w:p>
    <w:p w14:paraId="03AC5CA8" w14:textId="77777777" w:rsidR="00AB5608" w:rsidRPr="00906539" w:rsidRDefault="00AB5608" w:rsidP="00AE2E16">
      <w:pPr>
        <w:pStyle w:val="Quote"/>
        <w:rPr>
          <w:sz w:val="20"/>
          <w:szCs w:val="20"/>
        </w:rPr>
      </w:pPr>
      <w:r w:rsidRPr="00906539">
        <w:rPr>
          <w:sz w:val="20"/>
          <w:szCs w:val="20"/>
        </w:rPr>
        <w:t xml:space="preserve">The wording [of article 3] indicates that the best interests of the child will not always be the single, overriding factor to be considered; there may be competing or conflicting human rights interests, for example, between individual children, between different groups of children and between children and adults. The child’s interests, however, must be the subject of active consideration; it needs to be demonstrated that children’s interests have been explored and </w:t>
      </w:r>
      <w:proofErr w:type="gramStart"/>
      <w:r w:rsidRPr="00906539">
        <w:rPr>
          <w:sz w:val="20"/>
          <w:szCs w:val="20"/>
        </w:rPr>
        <w:t>taken into account</w:t>
      </w:r>
      <w:proofErr w:type="gramEnd"/>
      <w:r w:rsidRPr="00906539">
        <w:rPr>
          <w:sz w:val="20"/>
          <w:szCs w:val="20"/>
        </w:rPr>
        <w:t xml:space="preserve"> as a primary consideration.</w:t>
      </w:r>
      <w:r w:rsidRPr="00906539">
        <w:rPr>
          <w:rStyle w:val="EndnoteReference"/>
          <w:szCs w:val="20"/>
        </w:rPr>
        <w:endnoteReference w:id="45"/>
      </w:r>
    </w:p>
    <w:p w14:paraId="00B5B357" w14:textId="6BCDAD3D" w:rsidR="00AB5608" w:rsidRPr="00755FF6" w:rsidRDefault="00AB5608" w:rsidP="00CE2D84">
      <w:pPr>
        <w:pStyle w:val="ListNumber"/>
        <w:tabs>
          <w:tab w:val="clear" w:pos="1637"/>
          <w:tab w:val="num" w:pos="993"/>
          <w:tab w:val="num" w:pos="1277"/>
        </w:tabs>
        <w:ind w:left="851" w:hanging="567"/>
        <w:rPr>
          <w:rFonts w:cs="Open Sans"/>
          <w:sz w:val="22"/>
        </w:rPr>
      </w:pPr>
      <w:r>
        <w:rPr>
          <w:lang w:val="en-US"/>
        </w:rPr>
        <w:t>In Australia, th</w:t>
      </w:r>
      <w:r w:rsidRPr="00F0351E">
        <w:rPr>
          <w:lang w:val="en-US"/>
        </w:rPr>
        <w:t xml:space="preserve">e </w:t>
      </w:r>
      <w:r w:rsidRPr="00F0351E">
        <w:rPr>
          <w:rFonts w:eastAsia="Times New Roman"/>
          <w:lang w:val="en-US"/>
        </w:rPr>
        <w:t xml:space="preserve">Full Federal Court </w:t>
      </w:r>
      <w:r>
        <w:rPr>
          <w:rFonts w:eastAsia="Times New Roman"/>
          <w:lang w:val="en-US"/>
        </w:rPr>
        <w:t xml:space="preserve">has considered how article 3 of the CRC should be applied by a decision maker when making </w:t>
      </w:r>
      <w:r w:rsidRPr="00F0351E">
        <w:rPr>
          <w:lang w:val="en-US"/>
        </w:rPr>
        <w:t>a decision that would lead to a child</w:t>
      </w:r>
      <w:r>
        <w:t>’</w:t>
      </w:r>
      <w:r w:rsidRPr="00F0351E">
        <w:rPr>
          <w:lang w:val="en-US"/>
        </w:rPr>
        <w:t>s parents being removed from Australia.</w:t>
      </w:r>
      <w:r>
        <w:rPr>
          <w:rStyle w:val="EndnoteReference"/>
          <w:lang w:val="en-US"/>
        </w:rPr>
        <w:endnoteReference w:id="46"/>
      </w:r>
      <w:r>
        <w:t xml:space="preserve"> In that case, t</w:t>
      </w:r>
      <w:r w:rsidRPr="00F0351E">
        <w:rPr>
          <w:lang w:val="en-US"/>
        </w:rPr>
        <w:t>he</w:t>
      </w:r>
      <w:r w:rsidDel="004F6002">
        <w:rPr>
          <w:lang w:val="en-US"/>
        </w:rPr>
        <w:t xml:space="preserve"> </w:t>
      </w:r>
      <w:r w:rsidRPr="00F0351E">
        <w:rPr>
          <w:lang w:val="en-US"/>
        </w:rPr>
        <w:t>Court said that the starting point is to identify what the best interests of the child indicate that the decision maker should decide.</w:t>
      </w:r>
      <w:r>
        <w:rPr>
          <w:rStyle w:val="EndnoteReference"/>
          <w:lang w:val="en-US"/>
        </w:rPr>
        <w:endnoteReference w:id="47"/>
      </w:r>
      <w:r w:rsidRPr="00F0351E">
        <w:rPr>
          <w:lang w:val="en-US"/>
        </w:rPr>
        <w:t xml:space="preserve"> </w:t>
      </w:r>
      <w:r w:rsidRPr="00F0351E">
        <w:rPr>
          <w:rFonts w:cs="Open Sans"/>
        </w:rPr>
        <w:lastRenderedPageBreak/>
        <w:t>This requires an examination of each child’s best interests, bearing in mind their individual circumstances.</w:t>
      </w:r>
      <w:r>
        <w:rPr>
          <w:rStyle w:val="EndnoteReference"/>
          <w:rFonts w:cs="Open Sans"/>
        </w:rPr>
        <w:endnoteReference w:id="48"/>
      </w:r>
      <w:r w:rsidRPr="00F0351E">
        <w:rPr>
          <w:rFonts w:cs="Open Sans"/>
        </w:rPr>
        <w:t xml:space="preserve"> </w:t>
      </w:r>
    </w:p>
    <w:p w14:paraId="5F2BF456" w14:textId="77777777" w:rsidR="00AB5608" w:rsidRPr="00755FF6" w:rsidRDefault="00AB5608" w:rsidP="00CE2D84">
      <w:pPr>
        <w:pStyle w:val="ListNumber"/>
        <w:tabs>
          <w:tab w:val="num" w:pos="993"/>
        </w:tabs>
        <w:ind w:left="851" w:hanging="567"/>
        <w:rPr>
          <w:rFonts w:eastAsia="Times New Roman"/>
          <w:lang w:val="en-US"/>
        </w:rPr>
      </w:pPr>
      <w:r>
        <w:rPr>
          <w:rFonts w:cs="Open Sans"/>
        </w:rPr>
        <w:t xml:space="preserve">As </w:t>
      </w:r>
      <w:r w:rsidRPr="00331DC6">
        <w:rPr>
          <w:rFonts w:cs="Open Sans"/>
          <w:i/>
          <w:iCs/>
        </w:rPr>
        <w:t>a primary consideration</w:t>
      </w:r>
      <w:r>
        <w:rPr>
          <w:rFonts w:cs="Open Sans"/>
        </w:rPr>
        <w:t>, t</w:t>
      </w:r>
      <w:r w:rsidRPr="00755FF6">
        <w:rPr>
          <w:rFonts w:cs="Open Sans"/>
        </w:rPr>
        <w:t>hese interests</w:t>
      </w:r>
      <w:r>
        <w:rPr>
          <w:rFonts w:cs="Open Sans"/>
        </w:rPr>
        <w:t xml:space="preserve"> </w:t>
      </w:r>
      <w:r w:rsidRPr="00755FF6">
        <w:rPr>
          <w:rFonts w:cs="Open Sans"/>
        </w:rPr>
        <w:t>must</w:t>
      </w:r>
      <w:r>
        <w:rPr>
          <w:rFonts w:cs="Open Sans"/>
        </w:rPr>
        <w:t xml:space="preserve"> then</w:t>
      </w:r>
      <w:r w:rsidRPr="00755FF6">
        <w:rPr>
          <w:rFonts w:cs="Open Sans"/>
        </w:rPr>
        <w:t xml:space="preserve"> be balanced against relevant competing interests.</w:t>
      </w:r>
      <w:r>
        <w:rPr>
          <w:rStyle w:val="EndnoteReference"/>
          <w:rFonts w:cs="Open Sans"/>
        </w:rPr>
        <w:endnoteReference w:id="49"/>
      </w:r>
      <w:r w:rsidRPr="00755FF6">
        <w:rPr>
          <w:rFonts w:cs="Open Sans"/>
        </w:rPr>
        <w:t xml:space="preserve"> </w:t>
      </w:r>
      <w:r w:rsidRPr="00F0351E">
        <w:t xml:space="preserve">It is </w:t>
      </w:r>
      <w:r w:rsidRPr="00755FF6">
        <w:rPr>
          <w:lang w:val="en-US"/>
        </w:rPr>
        <w:t>legally open to a decision maker to make a decision that does not accord with the best interests of the child</w:t>
      </w:r>
      <w:r>
        <w:rPr>
          <w:lang w:val="en-US"/>
        </w:rPr>
        <w:t>, h</w:t>
      </w:r>
      <w:r w:rsidRPr="00755FF6">
        <w:rPr>
          <w:lang w:val="en-US"/>
        </w:rPr>
        <w:t>owever, to do so:</w:t>
      </w:r>
    </w:p>
    <w:p w14:paraId="71709C2C" w14:textId="77777777" w:rsidR="00AB5608" w:rsidRDefault="00AB5608" w:rsidP="000654CD">
      <w:pPr>
        <w:pStyle w:val="Heading3"/>
        <w:keepNext w:val="0"/>
        <w:keepLines w:val="0"/>
        <w:numPr>
          <w:ilvl w:val="2"/>
          <w:numId w:val="17"/>
        </w:numPr>
        <w:tabs>
          <w:tab w:val="clear" w:pos="851"/>
          <w:tab w:val="num" w:pos="0"/>
        </w:tabs>
        <w:ind w:left="1843"/>
        <w:rPr>
          <w:lang w:val="en-US"/>
        </w:rPr>
      </w:pPr>
      <w:r w:rsidRPr="002C04D0">
        <w:rPr>
          <w:lang w:val="en-US"/>
        </w:rPr>
        <w:t>the decision maker must not treat any other factor as inherently more significant than the best interests of the child; and</w:t>
      </w:r>
    </w:p>
    <w:p w14:paraId="4DC0C55F" w14:textId="77777777" w:rsidR="00AB5608" w:rsidRDefault="00AB5608" w:rsidP="00331DC6">
      <w:pPr>
        <w:pStyle w:val="Heading3"/>
        <w:keepNext w:val="0"/>
        <w:keepLines w:val="0"/>
        <w:tabs>
          <w:tab w:val="clear" w:pos="851"/>
          <w:tab w:val="num" w:pos="0"/>
        </w:tabs>
        <w:ind w:left="1843"/>
        <w:rPr>
          <w:lang w:val="en-US"/>
        </w:rPr>
      </w:pPr>
      <w:r>
        <w:rPr>
          <w:lang w:val="en-US"/>
        </w:rPr>
        <w:t>the strength of other relevant considerations must outweigh the consideration of the best interests of the child, understood as a primary consideration.</w:t>
      </w:r>
      <w:r>
        <w:rPr>
          <w:rStyle w:val="EndnoteReference"/>
          <w:lang w:val="en-US"/>
        </w:rPr>
        <w:endnoteReference w:id="50"/>
      </w:r>
    </w:p>
    <w:p w14:paraId="5D106FDA" w14:textId="77777777" w:rsidR="00AB5608" w:rsidRDefault="00AB5608" w:rsidP="00CE2D84">
      <w:pPr>
        <w:pStyle w:val="ListNumber"/>
        <w:tabs>
          <w:tab w:val="clear" w:pos="1637"/>
          <w:tab w:val="num" w:pos="993"/>
          <w:tab w:val="num" w:pos="1277"/>
        </w:tabs>
        <w:ind w:left="851" w:hanging="567"/>
      </w:pPr>
      <w:r>
        <w:t xml:space="preserve">This approach differs from that proposed by the Bill, which elevates the child’s health and wellbeing to be </w:t>
      </w:r>
      <w:r w:rsidRPr="00331DC6">
        <w:rPr>
          <w:i/>
          <w:iCs/>
        </w:rPr>
        <w:t>the paramount consideration</w:t>
      </w:r>
      <w:r>
        <w:t xml:space="preserve">. </w:t>
      </w:r>
    </w:p>
    <w:p w14:paraId="6E8DE76D" w14:textId="2409926F" w:rsidR="00AB5608" w:rsidRDefault="00AB5608" w:rsidP="00CE2D84">
      <w:pPr>
        <w:pStyle w:val="ListNumber"/>
        <w:tabs>
          <w:tab w:val="clear" w:pos="1637"/>
          <w:tab w:val="num" w:pos="993"/>
          <w:tab w:val="num" w:pos="1277"/>
        </w:tabs>
        <w:ind w:left="851" w:hanging="567"/>
      </w:pPr>
      <w:r>
        <w:t>A requirement to treat the child’s best interest as the paramount consideration exists in Australian family law with respect to determining parenting orders.</w:t>
      </w:r>
      <w:r>
        <w:rPr>
          <w:rStyle w:val="EndnoteReference"/>
        </w:rPr>
        <w:endnoteReference w:id="51"/>
      </w:r>
      <w:r>
        <w:t xml:space="preserve"> This involves making decisions about a child’s care, in the private relationship between the child and their carer. Australia’s family law aligns with articles 9 and 21 of the CRC, which concern the separation of a child from their parents, and adoption, respectively. Article 9 requires that any separation of a child from their parents must be necessary for the best interests of the child</w:t>
      </w:r>
      <w:r w:rsidR="003246D5">
        <w:t>, while</w:t>
      </w:r>
      <w:r>
        <w:t xml:space="preserve"> </w:t>
      </w:r>
      <w:r w:rsidR="003246D5">
        <w:t>a</w:t>
      </w:r>
      <w:r>
        <w:t>rticle 21</w:t>
      </w:r>
      <w:r w:rsidR="00736A72">
        <w:t xml:space="preserve"> </w:t>
      </w:r>
      <w:r>
        <w:t xml:space="preserve">requires the child’s best interests to be the paramount consideration in </w:t>
      </w:r>
      <w:r w:rsidR="00AB2969">
        <w:t>th</w:t>
      </w:r>
      <w:r w:rsidR="00736A72">
        <w:t>e</w:t>
      </w:r>
      <w:r w:rsidR="00AB2969">
        <w:t xml:space="preserve"> </w:t>
      </w:r>
      <w:r w:rsidR="00403261">
        <w:t>context</w:t>
      </w:r>
      <w:r>
        <w:t xml:space="preserve"> of adoption.</w:t>
      </w:r>
    </w:p>
    <w:p w14:paraId="7A0E89F7" w14:textId="3214B5E2" w:rsidR="00AB5608" w:rsidRDefault="00AB5608" w:rsidP="00CE2D84">
      <w:pPr>
        <w:pStyle w:val="ListNumber"/>
        <w:tabs>
          <w:tab w:val="clear" w:pos="1637"/>
          <w:tab w:val="num" w:pos="993"/>
          <w:tab w:val="num" w:pos="1277"/>
        </w:tabs>
        <w:ind w:left="851" w:hanging="567"/>
      </w:pPr>
      <w:r>
        <w:t>In contrast, article 3 requires an examination of all factors relevant to a situation to inform a child’s best interest</w:t>
      </w:r>
      <w:r w:rsidR="00A840AE">
        <w:t>s</w:t>
      </w:r>
      <w:r>
        <w:t>, and then balancing the child’s best interest</w:t>
      </w:r>
      <w:r w:rsidR="00A840AE">
        <w:t>s</w:t>
      </w:r>
      <w:r>
        <w:t xml:space="preserve"> with any other relevant interests</w:t>
      </w:r>
      <w:r w:rsidR="00626B1C">
        <w:t>,</w:t>
      </w:r>
      <w:r>
        <w:t xml:space="preserve"> including the rights of others. Under international law, this is the correct approach to be applied in environmental decision making to protect intergenerational equity, and it is the approach that should be applied to </w:t>
      </w:r>
      <w:r w:rsidR="004C1B5D">
        <w:t>decision</w:t>
      </w:r>
      <w:r w:rsidR="00E43DA7">
        <w:t xml:space="preserve"> </w:t>
      </w:r>
      <w:r w:rsidR="00626B1C">
        <w:t>making</w:t>
      </w:r>
      <w:r w:rsidR="00E536A7">
        <w:t xml:space="preserve"> in Australia</w:t>
      </w:r>
      <w:r>
        <w:t xml:space="preserve"> which may result in greenhouse gas emissions. </w:t>
      </w:r>
    </w:p>
    <w:p w14:paraId="164BA55B" w14:textId="4B84328E" w:rsidR="00AB5608" w:rsidRDefault="00AB5608" w:rsidP="00211603">
      <w:pPr>
        <w:pStyle w:val="Heading1"/>
      </w:pPr>
      <w:bookmarkStart w:id="53" w:name="_Ref149850611"/>
      <w:bookmarkStart w:id="54" w:name="_Toc151652065"/>
      <w:r>
        <w:t xml:space="preserve">Preferred </w:t>
      </w:r>
      <w:r w:rsidR="00460513">
        <w:t xml:space="preserve">way </w:t>
      </w:r>
      <w:r>
        <w:t xml:space="preserve">to achieve the Bill’s </w:t>
      </w:r>
      <w:proofErr w:type="gramStart"/>
      <w:r>
        <w:t>objects</w:t>
      </w:r>
      <w:bookmarkEnd w:id="53"/>
      <w:bookmarkEnd w:id="54"/>
      <w:proofErr w:type="gramEnd"/>
      <w:r>
        <w:t xml:space="preserve"> </w:t>
      </w:r>
    </w:p>
    <w:p w14:paraId="7F24426C" w14:textId="233E5A7D" w:rsidR="00AB5608" w:rsidRDefault="00AB5608" w:rsidP="00CE2D84">
      <w:pPr>
        <w:pStyle w:val="ListNumber"/>
        <w:tabs>
          <w:tab w:val="clear" w:pos="1637"/>
          <w:tab w:val="num" w:pos="1276"/>
        </w:tabs>
        <w:ind w:left="851" w:hanging="567"/>
      </w:pPr>
      <w:r>
        <w:t xml:space="preserve">Under the CRC, Australia is obliged to protect children against environmental damage and degradation, including by private enterprise and third parties, and must ensure that children have a clean, </w:t>
      </w:r>
      <w:proofErr w:type="gramStart"/>
      <w:r>
        <w:t>healthy</w:t>
      </w:r>
      <w:proofErr w:type="gramEnd"/>
      <w:r>
        <w:t xml:space="preserve"> </w:t>
      </w:r>
      <w:r>
        <w:lastRenderedPageBreak/>
        <w:t>and sustainable environment.</w:t>
      </w:r>
      <w:r>
        <w:rPr>
          <w:rStyle w:val="EndnoteReference"/>
        </w:rPr>
        <w:endnoteReference w:id="52"/>
      </w:r>
      <w:r>
        <w:t xml:space="preserve"> To meet this obligation, Australia must take deliberate and specific action, including through legislation.</w:t>
      </w:r>
      <w:r>
        <w:rPr>
          <w:rStyle w:val="EndnoteReference"/>
        </w:rPr>
        <w:endnoteReference w:id="53"/>
      </w:r>
      <w:r>
        <w:t xml:space="preserve"> </w:t>
      </w:r>
    </w:p>
    <w:p w14:paraId="0478C910" w14:textId="3B5F5600" w:rsidR="004753FE" w:rsidRDefault="00AB5608" w:rsidP="00CE2D84">
      <w:pPr>
        <w:pStyle w:val="ListNumber"/>
        <w:tabs>
          <w:tab w:val="clear" w:pos="1637"/>
          <w:tab w:val="num" w:pos="1276"/>
        </w:tabs>
        <w:ind w:left="851" w:hanging="567"/>
      </w:pPr>
      <w:r>
        <w:t xml:space="preserve">The Commission substantially agrees with proposed s 15D of the Bill, with some modifications. </w:t>
      </w:r>
      <w:r w:rsidR="003B3A64">
        <w:t>T</w:t>
      </w:r>
      <w:r w:rsidR="00B222A3">
        <w:t>he Commission considers that</w:t>
      </w:r>
      <w:r w:rsidR="001D29A4">
        <w:t>, consistent with international obligations and global best practice</w:t>
      </w:r>
      <w:r w:rsidR="004753FE">
        <w:t>:</w:t>
      </w:r>
    </w:p>
    <w:p w14:paraId="7D48DEDB" w14:textId="7867DB04" w:rsidR="00490F53" w:rsidRDefault="00AB5608" w:rsidP="00E04D26">
      <w:pPr>
        <w:pStyle w:val="Heading3"/>
        <w:keepNext w:val="0"/>
        <w:keepLines w:val="0"/>
        <w:tabs>
          <w:tab w:val="clear" w:pos="851"/>
        </w:tabs>
        <w:ind w:left="1843"/>
      </w:pPr>
      <w:r>
        <w:t xml:space="preserve">there should be a duty on a person who makes a ‘significant decision’ to </w:t>
      </w:r>
      <w:proofErr w:type="gramStart"/>
      <w:r>
        <w:t>take into account</w:t>
      </w:r>
      <w:proofErr w:type="gramEnd"/>
      <w:r>
        <w:t xml:space="preserve"> the likely impact of the emission of greenhouse gases on children’s rights</w:t>
      </w:r>
      <w:r w:rsidR="00D25203">
        <w:t xml:space="preserve"> (and not just their health and wellbeing</w:t>
      </w:r>
      <w:r w:rsidR="004753FE">
        <w:t>)</w:t>
      </w:r>
      <w:r>
        <w:t xml:space="preserve"> </w:t>
      </w:r>
      <w:r w:rsidR="007E17FC">
        <w:t>(Recommendation 1)</w:t>
      </w:r>
    </w:p>
    <w:p w14:paraId="0CA6821B" w14:textId="1CF3F9DB" w:rsidR="001D29A4" w:rsidRDefault="007E17FC" w:rsidP="00E04D26">
      <w:pPr>
        <w:pStyle w:val="Heading3"/>
        <w:keepNext w:val="0"/>
        <w:keepLines w:val="0"/>
        <w:tabs>
          <w:tab w:val="clear" w:pos="851"/>
        </w:tabs>
        <w:ind w:left="1843"/>
      </w:pPr>
      <w:r>
        <w:t>the</w:t>
      </w:r>
      <w:r w:rsidR="00AB5608">
        <w:t xml:space="preserve"> decision-making process must consider</w:t>
      </w:r>
      <w:r w:rsidR="003B3A64">
        <w:t xml:space="preserve"> the best interests of the child, and the full realisation of their rights, in a </w:t>
      </w:r>
      <w:r w:rsidR="00BF49D7">
        <w:t xml:space="preserve">manner that promotes intergenerational </w:t>
      </w:r>
      <w:proofErr w:type="gramStart"/>
      <w:r w:rsidR="00BF49D7">
        <w:t>equity</w:t>
      </w:r>
      <w:proofErr w:type="gramEnd"/>
    </w:p>
    <w:p w14:paraId="6CCFB0F5" w14:textId="326579A8" w:rsidR="00750A17" w:rsidRDefault="007E17FC" w:rsidP="004753FE">
      <w:pPr>
        <w:pStyle w:val="Heading3"/>
        <w:tabs>
          <w:tab w:val="clear" w:pos="851"/>
        </w:tabs>
        <w:ind w:left="1843"/>
      </w:pPr>
      <w:r>
        <w:t>the</w:t>
      </w:r>
      <w:r w:rsidR="00AB5608">
        <w:t xml:space="preserve"> best interests of the child must be </w:t>
      </w:r>
      <w:proofErr w:type="gramStart"/>
      <w:r w:rsidR="00AB5608">
        <w:t>taken into account</w:t>
      </w:r>
      <w:proofErr w:type="gramEnd"/>
      <w:r w:rsidR="00AB5608">
        <w:t xml:space="preserve"> as a primary consideration, along with the other relevant considerations required in the making of the decision</w:t>
      </w:r>
      <w:r>
        <w:t xml:space="preserve"> (Recommendation 2)</w:t>
      </w:r>
      <w:r w:rsidR="00750A17">
        <w:t xml:space="preserve">; and </w:t>
      </w:r>
    </w:p>
    <w:p w14:paraId="34D04FFA" w14:textId="510A2AAB" w:rsidR="00AB5608" w:rsidRDefault="00AB5608" w:rsidP="0083673D">
      <w:pPr>
        <w:pStyle w:val="Heading3"/>
        <w:tabs>
          <w:tab w:val="clear" w:pos="851"/>
        </w:tabs>
        <w:ind w:left="1843"/>
      </w:pPr>
      <w:r>
        <w:t xml:space="preserve">children’s </w:t>
      </w:r>
      <w:r w:rsidR="001D29A4">
        <w:t>best</w:t>
      </w:r>
      <w:r w:rsidDel="00847EB7">
        <w:t xml:space="preserve"> </w:t>
      </w:r>
      <w:r>
        <w:t xml:space="preserve">interests are required to be balanced against other relevant </w:t>
      </w:r>
      <w:proofErr w:type="gramStart"/>
      <w:r>
        <w:t>interests,</w:t>
      </w:r>
      <w:proofErr w:type="gramEnd"/>
      <w:r>
        <w:t xml:space="preserve"> however, no other factor is to be treated as being inherently more significant than the best interests of the child. </w:t>
      </w:r>
    </w:p>
    <w:p w14:paraId="01DE6E9E" w14:textId="36782536" w:rsidR="00EF51C6" w:rsidRDefault="00A1590A" w:rsidP="00CE2D84">
      <w:pPr>
        <w:pStyle w:val="ListNumber"/>
        <w:tabs>
          <w:tab w:val="clear" w:pos="1637"/>
          <w:tab w:val="num" w:pos="1276"/>
        </w:tabs>
        <w:ind w:left="851" w:hanging="567"/>
      </w:pPr>
      <w:r>
        <w:t>T</w:t>
      </w:r>
      <w:r w:rsidR="00AB5608">
        <w:t>he Commission</w:t>
      </w:r>
      <w:r>
        <w:t xml:space="preserve"> </w:t>
      </w:r>
      <w:r w:rsidR="00EF51C6">
        <w:t xml:space="preserve">considers it </w:t>
      </w:r>
      <w:r w:rsidR="00AB5608">
        <w:t>necessary</w:t>
      </w:r>
      <w:r w:rsidR="00EF51C6">
        <w:t xml:space="preserve"> for the legislation</w:t>
      </w:r>
      <w:r w:rsidR="00AB5608">
        <w:t xml:space="preserve"> to identify the </w:t>
      </w:r>
      <w:proofErr w:type="gramStart"/>
      <w:r w:rsidR="00AB5608">
        <w:t>particular kinds</w:t>
      </w:r>
      <w:proofErr w:type="gramEnd"/>
      <w:r w:rsidR="00AB5608">
        <w:t xml:space="preserve"> of decisions that are ‘significant decisions’</w:t>
      </w:r>
      <w:r w:rsidR="00EF51C6">
        <w:t xml:space="preserve"> to which the </w:t>
      </w:r>
      <w:r w:rsidR="00523305">
        <w:t>duty would apply</w:t>
      </w:r>
      <w:r w:rsidR="00AB5608">
        <w:t>.</w:t>
      </w:r>
      <w:r w:rsidR="00523305">
        <w:t xml:space="preserve"> This is the approach taken within the Bill. </w:t>
      </w:r>
      <w:r w:rsidR="00AB5608">
        <w:t xml:space="preserve"> </w:t>
      </w:r>
    </w:p>
    <w:p w14:paraId="55306947" w14:textId="1DF3FB40" w:rsidR="00FA2705" w:rsidRDefault="00786CF7" w:rsidP="00F0388D">
      <w:pPr>
        <w:pStyle w:val="ListNumber"/>
        <w:tabs>
          <w:tab w:val="clear" w:pos="1637"/>
          <w:tab w:val="num" w:pos="1276"/>
        </w:tabs>
        <w:ind w:left="851" w:hanging="567"/>
      </w:pPr>
      <w:r>
        <w:t xml:space="preserve">Recognising that the </w:t>
      </w:r>
      <w:r w:rsidR="00EA3124">
        <w:t xml:space="preserve">relevant decision-making powers and functions </w:t>
      </w:r>
      <w:r w:rsidR="009B6B75">
        <w:t xml:space="preserve">that would be impacted by the duty </w:t>
      </w:r>
      <w:r w:rsidR="00EA3124">
        <w:t>arise in instruments other than the CCA</w:t>
      </w:r>
      <w:r w:rsidR="00AB5608" w:rsidDel="009968F4">
        <w:t>,</w:t>
      </w:r>
      <w:r w:rsidR="00AB5608">
        <w:t xml:space="preserve"> </w:t>
      </w:r>
      <w:r w:rsidR="003F5589">
        <w:t xml:space="preserve">the Commission considers it necessary </w:t>
      </w:r>
      <w:r w:rsidR="00F0388D">
        <w:t xml:space="preserve">for </w:t>
      </w:r>
      <w:r w:rsidR="00AB5608">
        <w:t xml:space="preserve">each </w:t>
      </w:r>
      <w:r w:rsidR="007B04F5">
        <w:t>instrument</w:t>
      </w:r>
      <w:r w:rsidR="00AB5608">
        <w:t xml:space="preserve"> that empowers a person to make a ‘significant decision’ </w:t>
      </w:r>
      <w:r w:rsidR="00003145">
        <w:t xml:space="preserve">to be amended to </w:t>
      </w:r>
      <w:r w:rsidR="00AB5608">
        <w:t>refer decision</w:t>
      </w:r>
      <w:r w:rsidR="00E13293">
        <w:t xml:space="preserve"> </w:t>
      </w:r>
      <w:r w:rsidR="00AB5608">
        <w:t>makers to their additional obligations under the CCA</w:t>
      </w:r>
      <w:r w:rsidR="007E17FC">
        <w:t xml:space="preserve"> (Recommendation 3)</w:t>
      </w:r>
      <w:r w:rsidR="00AB5608">
        <w:t xml:space="preserve">. </w:t>
      </w:r>
      <w:r w:rsidR="009B6B75">
        <w:t>This is so that decision</w:t>
      </w:r>
      <w:r w:rsidR="00E13293">
        <w:t xml:space="preserve"> </w:t>
      </w:r>
      <w:r w:rsidR="009B6B75">
        <w:t xml:space="preserve">makers </w:t>
      </w:r>
      <w:r w:rsidR="00CF3389">
        <w:t>bound by the duty in the CCA are immediately aware that</w:t>
      </w:r>
      <w:r w:rsidR="009B6B75">
        <w:t xml:space="preserve"> they are required to comply with th</w:t>
      </w:r>
      <w:r w:rsidR="00CF3389">
        <w:t>at</w:t>
      </w:r>
      <w:r w:rsidR="009B6B75">
        <w:t xml:space="preserve"> duty</w:t>
      </w:r>
      <w:r w:rsidR="00CF3389">
        <w:t>.</w:t>
      </w:r>
    </w:p>
    <w:p w14:paraId="197C611C" w14:textId="2CB67CAB" w:rsidR="00AB5608" w:rsidRDefault="00AB5608" w:rsidP="00CE2D84">
      <w:pPr>
        <w:pStyle w:val="ListNumber"/>
        <w:tabs>
          <w:tab w:val="clear" w:pos="1637"/>
          <w:tab w:val="num" w:pos="993"/>
          <w:tab w:val="num" w:pos="1277"/>
        </w:tabs>
        <w:ind w:left="851" w:hanging="567"/>
      </w:pPr>
      <w:r>
        <w:t xml:space="preserve">The Commission considers that the </w:t>
      </w:r>
      <w:r w:rsidR="00266CBD">
        <w:t xml:space="preserve">proposed </w:t>
      </w:r>
      <w:r>
        <w:t>duty in the CCA</w:t>
      </w:r>
      <w:r w:rsidR="00A046E1">
        <w:t>, for the best interests of the child to be a primary consideration,</w:t>
      </w:r>
      <w:r>
        <w:t xml:space="preserve"> should be fulfilled through the completion of a </w:t>
      </w:r>
      <w:r w:rsidR="008054F1">
        <w:t xml:space="preserve">Child </w:t>
      </w:r>
      <w:r>
        <w:t>Rights Impact A</w:t>
      </w:r>
      <w:r w:rsidR="008054F1">
        <w:t>ssessment</w:t>
      </w:r>
      <w:r w:rsidR="00A26F32">
        <w:t xml:space="preserve"> </w:t>
      </w:r>
      <w:r w:rsidR="00400968">
        <w:t>(CRIA</w:t>
      </w:r>
      <w:r>
        <w:t xml:space="preserve">). CRIAs are internationally recognised as an effective tool that </w:t>
      </w:r>
      <w:r>
        <w:lastRenderedPageBreak/>
        <w:t>achieves th</w:t>
      </w:r>
      <w:r w:rsidR="00A046E1">
        <w:t>is</w:t>
      </w:r>
      <w:r>
        <w:t xml:space="preserve"> outcome.</w:t>
      </w:r>
      <w:r>
        <w:rPr>
          <w:rStyle w:val="EndnoteReference"/>
        </w:rPr>
        <w:endnoteReference w:id="54"/>
      </w:r>
      <w:r>
        <w:t xml:space="preserve"> They work to determine the best interests of the child through consideration of the full range of rights, and how they intersect and impact on </w:t>
      </w:r>
      <w:r w:rsidRPr="00E1299C">
        <w:t>each other</w:t>
      </w:r>
      <w:r w:rsidR="00DA6FDF">
        <w:t xml:space="preserve"> </w:t>
      </w:r>
      <w:r>
        <w:t xml:space="preserve">thorough assessment of the specific circumstances that give rise to risk relevant to a particular situation. </w:t>
      </w:r>
    </w:p>
    <w:p w14:paraId="453547E6" w14:textId="04B624C4" w:rsidR="00AB5608" w:rsidRDefault="00AB5608" w:rsidP="00CE2D84">
      <w:pPr>
        <w:pStyle w:val="ListNumber"/>
        <w:tabs>
          <w:tab w:val="clear" w:pos="1637"/>
          <w:tab w:val="num" w:pos="993"/>
          <w:tab w:val="num" w:pos="1277"/>
        </w:tabs>
        <w:ind w:left="851" w:hanging="567"/>
      </w:pPr>
      <w:r>
        <w:t>Significantly, CRIAs enable special regard to be given to the differential impact of environmental decisions on specific groups of children who may be subject to different risks.</w:t>
      </w:r>
      <w:r>
        <w:rPr>
          <w:rStyle w:val="EndnoteReference"/>
        </w:rPr>
        <w:endnoteReference w:id="55"/>
      </w:r>
      <w:r>
        <w:t xml:space="preserve"> They also provide a platform that enables meaningful participation from children in ascertaining what is in their best interests. </w:t>
      </w:r>
    </w:p>
    <w:p w14:paraId="13E22E57" w14:textId="2F1078B9" w:rsidR="00AB5608" w:rsidRDefault="00AB5608" w:rsidP="00CE2D84">
      <w:pPr>
        <w:pStyle w:val="ListNumber"/>
        <w:tabs>
          <w:tab w:val="clear" w:pos="1637"/>
          <w:tab w:val="num" w:pos="993"/>
          <w:tab w:val="num" w:pos="1277"/>
        </w:tabs>
        <w:ind w:left="851" w:hanging="567"/>
      </w:pPr>
      <w:r>
        <w:t>Children should proactively be encouraged to participate in child rights impact assessments undertaken in connection with environmental decision making, consistent with their right to be heard.</w:t>
      </w:r>
      <w:r>
        <w:rPr>
          <w:rStyle w:val="EndnoteReference"/>
        </w:rPr>
        <w:endnoteReference w:id="56"/>
      </w:r>
      <w:r>
        <w:t xml:space="preserve"> Due weight must be given to children’s voices both when assessing risk and impacts, and in the design and implementation of measures aimed at addressing the significant and long-term environmental challenges that shape their lives.</w:t>
      </w:r>
      <w:r>
        <w:rPr>
          <w:rStyle w:val="EndnoteReference"/>
        </w:rPr>
        <w:endnoteReference w:id="57"/>
      </w:r>
    </w:p>
    <w:p w14:paraId="0A9BA40F" w14:textId="1E67339C" w:rsidR="000B2A24" w:rsidRDefault="00A046E1" w:rsidP="00347CF0">
      <w:pPr>
        <w:pStyle w:val="ListNumber"/>
        <w:tabs>
          <w:tab w:val="clear" w:pos="1637"/>
          <w:tab w:val="num" w:pos="1277"/>
        </w:tabs>
        <w:ind w:left="851" w:hanging="567"/>
      </w:pPr>
      <w:r w:rsidRPr="00A046E1">
        <w:t>T</w:t>
      </w:r>
      <w:r>
        <w:t>he Commission recommends that</w:t>
      </w:r>
      <w:r w:rsidR="00AB5608">
        <w:t xml:space="preserve"> the CCA provide that the statutory duty to take children’s rights </w:t>
      </w:r>
      <w:r w:rsidR="00003863">
        <w:t xml:space="preserve">into </w:t>
      </w:r>
      <w:r w:rsidR="006A0961">
        <w:t>account</w:t>
      </w:r>
      <w:r w:rsidR="00003863">
        <w:t>,</w:t>
      </w:r>
      <w:r w:rsidR="006A0961">
        <w:t xml:space="preserve"> with the best interests </w:t>
      </w:r>
      <w:r w:rsidR="009F3939">
        <w:t xml:space="preserve">of the child as </w:t>
      </w:r>
      <w:r w:rsidR="006A0961">
        <w:t>a primary consideration</w:t>
      </w:r>
      <w:r w:rsidR="00003863">
        <w:t>,</w:t>
      </w:r>
      <w:r w:rsidR="006A0961">
        <w:t xml:space="preserve"> </w:t>
      </w:r>
      <w:r w:rsidR="00AB5608">
        <w:t xml:space="preserve">be </w:t>
      </w:r>
      <w:r w:rsidR="009F3939">
        <w:t xml:space="preserve">implemented </w:t>
      </w:r>
      <w:r w:rsidR="003D03BD">
        <w:t>by requiring decision</w:t>
      </w:r>
      <w:r w:rsidR="00E13293">
        <w:t xml:space="preserve"> </w:t>
      </w:r>
      <w:r w:rsidR="003D03BD">
        <w:t>makers to undertake</w:t>
      </w:r>
      <w:r w:rsidR="00AB5608">
        <w:t xml:space="preserve"> a CRIA</w:t>
      </w:r>
      <w:r w:rsidR="007E17FC">
        <w:t xml:space="preserve"> </w:t>
      </w:r>
      <w:r w:rsidR="003D03BD">
        <w:t>as part of their decision-making process</w:t>
      </w:r>
      <w:r w:rsidR="007E17FC">
        <w:t xml:space="preserve"> (Recommendation 4)</w:t>
      </w:r>
      <w:r w:rsidR="00AB5608">
        <w:t xml:space="preserve">. </w:t>
      </w:r>
    </w:p>
    <w:p w14:paraId="3AE92AE7" w14:textId="6FD97E51" w:rsidR="00C15630" w:rsidRDefault="00AB5608" w:rsidP="00213331">
      <w:pPr>
        <w:pStyle w:val="ListNumber"/>
        <w:tabs>
          <w:tab w:val="clear" w:pos="1637"/>
          <w:tab w:val="num" w:pos="1277"/>
        </w:tabs>
        <w:ind w:left="851" w:hanging="567"/>
      </w:pPr>
      <w:r>
        <w:t>The Commission considers it appropriate for decision</w:t>
      </w:r>
      <w:r w:rsidR="00E13293">
        <w:t xml:space="preserve"> </w:t>
      </w:r>
      <w:r>
        <w:t>makers to be required to publish their CRIA outcomes, including in child-friendly language, and in languages other than English in widespread use by the children likely to be impacted by the decision.</w:t>
      </w:r>
      <w:r>
        <w:rPr>
          <w:rStyle w:val="EndnoteReference"/>
        </w:rPr>
        <w:endnoteReference w:id="58"/>
      </w:r>
      <w:r>
        <w:t xml:space="preserve"> </w:t>
      </w:r>
    </w:p>
    <w:p w14:paraId="0717051F" w14:textId="05CFCD3C" w:rsidR="00976280" w:rsidRPr="00D27A11" w:rsidRDefault="00C15630" w:rsidP="00213331">
      <w:pPr>
        <w:pStyle w:val="ListNumber"/>
        <w:tabs>
          <w:tab w:val="clear" w:pos="1637"/>
          <w:tab w:val="num" w:pos="1277"/>
        </w:tabs>
        <w:ind w:left="851" w:hanging="567"/>
      </w:pPr>
      <w:r>
        <w:t xml:space="preserve">The CRIA </w:t>
      </w:r>
      <w:r w:rsidR="004D2F9C" w:rsidRPr="00D27A11">
        <w:t>outcomes</w:t>
      </w:r>
      <w:r w:rsidR="00976280" w:rsidRPr="00D27A11">
        <w:t xml:space="preserve"> </w:t>
      </w:r>
      <w:r w:rsidR="00B10E1D">
        <w:t>should</w:t>
      </w:r>
      <w:r w:rsidR="004D2F9C" w:rsidRPr="00D27A11">
        <w:t xml:space="preserve"> be published together with a</w:t>
      </w:r>
      <w:r w:rsidR="00F126EA" w:rsidRPr="00D27A11">
        <w:t xml:space="preserve"> decision</w:t>
      </w:r>
      <w:r w:rsidR="00E13293">
        <w:t xml:space="preserve"> </w:t>
      </w:r>
      <w:r w:rsidR="00F126EA" w:rsidRPr="00D27A11">
        <w:t>maker</w:t>
      </w:r>
      <w:r w:rsidR="00E17DDB">
        <w:t>’</w:t>
      </w:r>
      <w:r w:rsidR="00F126EA" w:rsidRPr="00D27A11">
        <w:t xml:space="preserve">s reasons for a decision, which should identify all relevant factors </w:t>
      </w:r>
      <w:proofErr w:type="gramStart"/>
      <w:r w:rsidR="00F126EA" w:rsidRPr="00D27A11">
        <w:t>taken into account</w:t>
      </w:r>
      <w:proofErr w:type="gramEnd"/>
      <w:r w:rsidR="00F126EA" w:rsidRPr="00D27A11">
        <w:t xml:space="preserve"> in making the decision</w:t>
      </w:r>
      <w:r w:rsidR="00C060BC" w:rsidRPr="00D27A11">
        <w:t xml:space="preserve"> (Recommendation </w:t>
      </w:r>
      <w:r w:rsidR="005D5137">
        <w:t>5</w:t>
      </w:r>
      <w:r w:rsidR="00C060BC" w:rsidRPr="00D27A11">
        <w:t>)</w:t>
      </w:r>
      <w:r w:rsidR="00F126EA" w:rsidRPr="00D27A11">
        <w:t xml:space="preserve">. </w:t>
      </w:r>
    </w:p>
    <w:p w14:paraId="18AEF05F" w14:textId="41416AFF" w:rsidR="004D2F9C" w:rsidRPr="00D27A11" w:rsidRDefault="002167DA" w:rsidP="00213331">
      <w:pPr>
        <w:pStyle w:val="ListNumber"/>
        <w:tabs>
          <w:tab w:val="clear" w:pos="1637"/>
          <w:tab w:val="num" w:pos="1277"/>
        </w:tabs>
        <w:ind w:left="851" w:hanging="567"/>
      </w:pPr>
      <w:r>
        <w:t>T</w:t>
      </w:r>
      <w:r w:rsidR="004D2F9C" w:rsidRPr="00D27A11">
        <w:t>his</w:t>
      </w:r>
      <w:r w:rsidR="00976280" w:rsidRPr="00D27A11">
        <w:t xml:space="preserve"> recommendation</w:t>
      </w:r>
      <w:r w:rsidR="004D2F9C" w:rsidRPr="00D27A11">
        <w:t xml:space="preserve"> goes beyond the rights </w:t>
      </w:r>
      <w:r w:rsidR="004737F3">
        <w:t xml:space="preserve">currently </w:t>
      </w:r>
      <w:r w:rsidR="004D2F9C" w:rsidRPr="00D27A11">
        <w:t>afforded to pe</w:t>
      </w:r>
      <w:r w:rsidR="00D27A11">
        <w:t xml:space="preserve">rsons who have </w:t>
      </w:r>
      <w:r w:rsidR="004D2F9C" w:rsidRPr="00D27A11">
        <w:t>standing to seek judicial review of a decision to obtain reasons for that decision upon request</w:t>
      </w:r>
      <w:r>
        <w:t>.</w:t>
      </w:r>
      <w:r w:rsidR="004D2F9C" w:rsidRPr="00D27A11">
        <w:rPr>
          <w:rStyle w:val="EndnoteReference"/>
        </w:rPr>
        <w:endnoteReference w:id="59"/>
      </w:r>
      <w:r w:rsidR="004E1F09" w:rsidRPr="00D27A11">
        <w:t xml:space="preserve"> </w:t>
      </w:r>
      <w:r>
        <w:t>I</w:t>
      </w:r>
      <w:r w:rsidR="004E1F09" w:rsidRPr="00D27A11">
        <w:t>nstead</w:t>
      </w:r>
      <w:r w:rsidR="00236341">
        <w:t>,</w:t>
      </w:r>
      <w:r w:rsidR="004E1F09" w:rsidRPr="00D27A11">
        <w:t xml:space="preserve"> </w:t>
      </w:r>
      <w:r w:rsidR="000447C2">
        <w:t xml:space="preserve">it </w:t>
      </w:r>
      <w:r w:rsidR="004E1F09" w:rsidRPr="00D27A11">
        <w:t>imposes a positive obligation on decision</w:t>
      </w:r>
      <w:r w:rsidR="00E13293">
        <w:t xml:space="preserve"> </w:t>
      </w:r>
      <w:r w:rsidR="004E1F09" w:rsidRPr="00D27A11">
        <w:t>makers to publish their reasons for decision</w:t>
      </w:r>
      <w:r w:rsidR="00477F68">
        <w:t>. The</w:t>
      </w:r>
      <w:r w:rsidR="004D2F9C" w:rsidRPr="00D27A11">
        <w:t xml:space="preserve"> </w:t>
      </w:r>
      <w:r w:rsidR="006C6D9A" w:rsidRPr="00D27A11">
        <w:t>Commission considers</w:t>
      </w:r>
      <w:r w:rsidR="00BD671A" w:rsidRPr="00D27A11">
        <w:t xml:space="preserve"> this approach to be appropriate</w:t>
      </w:r>
      <w:r w:rsidR="005B3094">
        <w:t xml:space="preserve"> in relation to these kinds of decisions</w:t>
      </w:r>
      <w:r w:rsidR="006C6D9A" w:rsidRPr="00D27A11">
        <w:t>:</w:t>
      </w:r>
    </w:p>
    <w:p w14:paraId="6FFA3E4D" w14:textId="2DE6ACCA" w:rsidR="00000D46" w:rsidRDefault="009010BC" w:rsidP="00841FAC">
      <w:pPr>
        <w:pStyle w:val="Heading3"/>
        <w:keepNext w:val="0"/>
        <w:keepLines w:val="0"/>
        <w:numPr>
          <w:ilvl w:val="2"/>
          <w:numId w:val="17"/>
        </w:numPr>
        <w:tabs>
          <w:tab w:val="clear" w:pos="851"/>
          <w:tab w:val="num" w:pos="1134"/>
        </w:tabs>
        <w:ind w:left="1843" w:hanging="850"/>
      </w:pPr>
      <w:r w:rsidRPr="00D27A11">
        <w:t>to en</w:t>
      </w:r>
      <w:r w:rsidR="00A53781">
        <w:t>hance</w:t>
      </w:r>
      <w:r w:rsidRPr="00D27A11">
        <w:t xml:space="preserve"> transparency in decision</w:t>
      </w:r>
      <w:r w:rsidR="00E13293">
        <w:t xml:space="preserve"> </w:t>
      </w:r>
      <w:r w:rsidRPr="00D27A11">
        <w:t>making by</w:t>
      </w:r>
      <w:r w:rsidR="00307F84">
        <w:t xml:space="preserve"> ensuring that all factors that </w:t>
      </w:r>
      <w:r w:rsidR="00394EC6">
        <w:t xml:space="preserve">contributed to </w:t>
      </w:r>
      <w:r w:rsidR="00B452C7">
        <w:t>det</w:t>
      </w:r>
      <w:r w:rsidR="00C17717">
        <w:t xml:space="preserve">ermining </w:t>
      </w:r>
      <w:r w:rsidR="00394EC6">
        <w:t>the decision are readily accessible in a single location</w:t>
      </w:r>
      <w:r w:rsidR="00C17717">
        <w:t>,</w:t>
      </w:r>
      <w:r w:rsidR="00394EC6">
        <w:t xml:space="preserve"> without the need to navigate an </w:t>
      </w:r>
      <w:r w:rsidR="00394EC6">
        <w:lastRenderedPageBreak/>
        <w:t xml:space="preserve">administrative process </w:t>
      </w:r>
      <w:r w:rsidR="00C17717">
        <w:t xml:space="preserve">to access that information </w:t>
      </w:r>
      <w:r w:rsidR="00394EC6">
        <w:t xml:space="preserve">which creates an unnecessary </w:t>
      </w:r>
      <w:proofErr w:type="gramStart"/>
      <w:r w:rsidR="00394EC6">
        <w:t>barrier</w:t>
      </w:r>
      <w:proofErr w:type="gramEnd"/>
    </w:p>
    <w:p w14:paraId="32C945EF" w14:textId="15016251" w:rsidR="003471B0" w:rsidRPr="003471B0" w:rsidRDefault="003471B0" w:rsidP="00E04D26">
      <w:pPr>
        <w:pStyle w:val="Heading3"/>
        <w:keepNext w:val="0"/>
        <w:keepLines w:val="0"/>
        <w:tabs>
          <w:tab w:val="clear" w:pos="851"/>
          <w:tab w:val="left" w:pos="0"/>
          <w:tab w:val="num" w:pos="567"/>
        </w:tabs>
        <w:ind w:left="1843"/>
      </w:pPr>
      <w:r>
        <w:t xml:space="preserve">to enhance accountability </w:t>
      </w:r>
      <w:r w:rsidR="00476EF0">
        <w:t>in decision</w:t>
      </w:r>
      <w:r w:rsidR="00E13293">
        <w:t xml:space="preserve"> </w:t>
      </w:r>
      <w:r w:rsidR="00476EF0">
        <w:t>making</w:t>
      </w:r>
      <w:r w:rsidR="009875A7">
        <w:t xml:space="preserve"> by requiring decision</w:t>
      </w:r>
      <w:r w:rsidR="00E13293">
        <w:t xml:space="preserve"> </w:t>
      </w:r>
      <w:r w:rsidR="009875A7">
        <w:t xml:space="preserve">makers to demonstrate how </w:t>
      </w:r>
      <w:r w:rsidR="00A53781">
        <w:t>the best interests of the child</w:t>
      </w:r>
      <w:r w:rsidR="008A1605">
        <w:t>, including the unique vulnerabilities of special groups of children,</w:t>
      </w:r>
      <w:r w:rsidR="00A53781">
        <w:t xml:space="preserve"> were balanced against all other relevant factors</w:t>
      </w:r>
      <w:r w:rsidR="00C17717">
        <w:t xml:space="preserve"> in the decision-making </w:t>
      </w:r>
      <w:proofErr w:type="gramStart"/>
      <w:r w:rsidR="00C17717">
        <w:t>process</w:t>
      </w:r>
      <w:proofErr w:type="gramEnd"/>
    </w:p>
    <w:p w14:paraId="249C0262" w14:textId="775F74A1" w:rsidR="006818D8" w:rsidRDefault="00C060BC" w:rsidP="00841FAC">
      <w:pPr>
        <w:pStyle w:val="Heading3"/>
        <w:keepNext w:val="0"/>
        <w:keepLines w:val="0"/>
        <w:numPr>
          <w:ilvl w:val="2"/>
          <w:numId w:val="17"/>
        </w:numPr>
        <w:tabs>
          <w:tab w:val="clear" w:pos="851"/>
        </w:tabs>
        <w:ind w:left="1843"/>
      </w:pPr>
      <w:r w:rsidRPr="00D27A11">
        <w:t xml:space="preserve">to </w:t>
      </w:r>
      <w:r w:rsidR="00C17717">
        <w:t>facilitate</w:t>
      </w:r>
      <w:r w:rsidR="00AB5608">
        <w:t xml:space="preserve"> a consistent approach to environmental decisions required to consider the child’s best interests as a primary </w:t>
      </w:r>
      <w:proofErr w:type="gramStart"/>
      <w:r w:rsidR="00AB5608">
        <w:t>consideration</w:t>
      </w:r>
      <w:proofErr w:type="gramEnd"/>
      <w:r w:rsidR="00A124F1">
        <w:t xml:space="preserve"> </w:t>
      </w:r>
    </w:p>
    <w:p w14:paraId="44B8F8FD" w14:textId="0B10411D" w:rsidR="00C060BC" w:rsidRPr="00D27A11" w:rsidRDefault="006818D8" w:rsidP="00841FAC">
      <w:pPr>
        <w:pStyle w:val="Heading3"/>
        <w:numPr>
          <w:ilvl w:val="2"/>
          <w:numId w:val="17"/>
        </w:numPr>
        <w:tabs>
          <w:tab w:val="clear" w:pos="851"/>
        </w:tabs>
        <w:ind w:left="1843"/>
      </w:pPr>
      <w:r>
        <w:t xml:space="preserve">to ensure information is </w:t>
      </w:r>
      <w:r w:rsidR="00041497">
        <w:t>available in a child-friendly form</w:t>
      </w:r>
      <w:r w:rsidR="00E04D26">
        <w:t xml:space="preserve"> to assist children</w:t>
      </w:r>
      <w:r w:rsidR="00E21E97">
        <w:t xml:space="preserve"> in accessing and understanding the information that informed a decision, and that might be relevant should they wish to exercise their right to judicial review</w:t>
      </w:r>
      <w:r w:rsidR="00A124F1">
        <w:t>; and</w:t>
      </w:r>
      <w:r w:rsidR="00C060BC" w:rsidRPr="00D27A11">
        <w:t xml:space="preserve">  </w:t>
      </w:r>
    </w:p>
    <w:p w14:paraId="0160AF4C" w14:textId="7E243CE3" w:rsidR="009840D4" w:rsidRPr="00D27A11" w:rsidRDefault="00C060BC" w:rsidP="00841FAC">
      <w:pPr>
        <w:pStyle w:val="Heading3"/>
        <w:numPr>
          <w:ilvl w:val="2"/>
          <w:numId w:val="17"/>
        </w:numPr>
        <w:tabs>
          <w:tab w:val="clear" w:pos="851"/>
        </w:tabs>
        <w:ind w:left="1843"/>
      </w:pPr>
      <w:r w:rsidRPr="00D27A11">
        <w:t>to</w:t>
      </w:r>
      <w:r w:rsidR="009840D4" w:rsidRPr="00D27A11" w:rsidDel="00C060BC">
        <w:t xml:space="preserve"> </w:t>
      </w:r>
      <w:r w:rsidR="009840D4" w:rsidRPr="00D27A11">
        <w:t>assist applicants and the Court in judicial review proceedings</w:t>
      </w:r>
      <w:r w:rsidRPr="00D27A11">
        <w:t>.</w:t>
      </w:r>
      <w:r w:rsidR="009840D4" w:rsidRPr="00D27A11">
        <w:t xml:space="preserve"> </w:t>
      </w:r>
    </w:p>
    <w:p w14:paraId="7D521B9B" w14:textId="370C4397" w:rsidR="00AB5608" w:rsidRPr="0047576A" w:rsidRDefault="002D2591" w:rsidP="00BA41E6">
      <w:pPr>
        <w:pStyle w:val="Heading1"/>
      </w:pPr>
      <w:bookmarkStart w:id="59" w:name="_Toc151652066"/>
      <w:r w:rsidRPr="00E21E97">
        <w:t>Safeguarding Children</w:t>
      </w:r>
      <w:r>
        <w:t xml:space="preserve"> </w:t>
      </w:r>
      <w:r w:rsidR="00E21E97">
        <w:t>– A CRIA model for Australia</w:t>
      </w:r>
      <w:bookmarkEnd w:id="59"/>
      <w:r w:rsidRPr="00E21E97">
        <w:t xml:space="preserve"> </w:t>
      </w:r>
    </w:p>
    <w:p w14:paraId="21DF1064" w14:textId="77777777" w:rsidR="00E1299C" w:rsidRDefault="00AB5608" w:rsidP="003852BD">
      <w:pPr>
        <w:pStyle w:val="ListNumber"/>
        <w:tabs>
          <w:tab w:val="clear" w:pos="1637"/>
          <w:tab w:val="num" w:pos="1134"/>
          <w:tab w:val="num" w:pos="1277"/>
        </w:tabs>
        <w:ind w:left="851" w:hanging="567"/>
      </w:pPr>
      <w:r>
        <w:t>On 25 October 2023</w:t>
      </w:r>
      <w:r w:rsidDel="007B6C5C">
        <w:t xml:space="preserve">, </w:t>
      </w:r>
      <w:r>
        <w:t xml:space="preserve">the Commission launched </w:t>
      </w:r>
      <w:r w:rsidR="007B6C5C">
        <w:t>Australia’s first national</w:t>
      </w:r>
      <w:r>
        <w:t xml:space="preserve"> C</w:t>
      </w:r>
      <w:r w:rsidR="007B6C5C">
        <w:t xml:space="preserve">hild </w:t>
      </w:r>
      <w:r>
        <w:t>R</w:t>
      </w:r>
      <w:r w:rsidR="007B6C5C">
        <w:t xml:space="preserve">ights </w:t>
      </w:r>
      <w:r>
        <w:t>I</w:t>
      </w:r>
      <w:r w:rsidR="007B6C5C">
        <w:t xml:space="preserve">mpact </w:t>
      </w:r>
      <w:r>
        <w:t>A</w:t>
      </w:r>
      <w:r w:rsidR="007B6C5C">
        <w:t>ssessment</w:t>
      </w:r>
      <w:r>
        <w:t xml:space="preserve"> tool, </w:t>
      </w:r>
      <w:r w:rsidRPr="001665D1">
        <w:rPr>
          <w:i/>
          <w:iCs/>
        </w:rPr>
        <w:t>Safeguarding Children</w:t>
      </w:r>
      <w:r>
        <w:t xml:space="preserve">. </w:t>
      </w:r>
    </w:p>
    <w:p w14:paraId="2AC7CDC6" w14:textId="686C2112" w:rsidR="00AB5608" w:rsidRDefault="00F47328" w:rsidP="003852BD">
      <w:pPr>
        <w:pStyle w:val="ListNumber"/>
        <w:tabs>
          <w:tab w:val="clear" w:pos="1637"/>
          <w:tab w:val="num" w:pos="1134"/>
          <w:tab w:val="num" w:pos="1277"/>
        </w:tabs>
        <w:ind w:left="851" w:hanging="567"/>
      </w:pPr>
      <w:r>
        <w:t>D</w:t>
      </w:r>
      <w:r w:rsidRPr="00600E71">
        <w:t xml:space="preserve">eveloped by the Commission with support from UNICEF, </w:t>
      </w:r>
      <w:r>
        <w:t xml:space="preserve">the tool aims to </w:t>
      </w:r>
      <w:r w:rsidRPr="00600E71">
        <w:t>help governments and service providers assess how children's rights will be affected by new laws and policies.</w:t>
      </w:r>
    </w:p>
    <w:p w14:paraId="52C5F0C5" w14:textId="192A9901" w:rsidR="00AB5608" w:rsidRDefault="00E21E97" w:rsidP="003852BD">
      <w:pPr>
        <w:pStyle w:val="ListNumber"/>
        <w:tabs>
          <w:tab w:val="clear" w:pos="1637"/>
          <w:tab w:val="num" w:pos="1134"/>
          <w:tab w:val="num" w:pos="1277"/>
        </w:tabs>
        <w:ind w:left="851" w:hanging="567"/>
      </w:pPr>
      <w:r>
        <w:fldChar w:fldCharType="begin"/>
      </w:r>
      <w:r>
        <w:instrText xml:space="preserve"> REF _Ref150932214 \h </w:instrText>
      </w:r>
      <w:r>
        <w:fldChar w:fldCharType="separate"/>
      </w:r>
      <w:r w:rsidR="00567CEC">
        <w:t>Appendix A</w:t>
      </w:r>
      <w:r>
        <w:fldChar w:fldCharType="end"/>
      </w:r>
      <w:r w:rsidR="00AB5608" w:rsidDel="00983A53">
        <w:t xml:space="preserve"> </w:t>
      </w:r>
      <w:r w:rsidR="00AB5608">
        <w:t xml:space="preserve">provides links to the tool and to further information about Australia’s international obligations which inform why the use of CRIAs </w:t>
      </w:r>
      <w:r w:rsidR="00C0416C">
        <w:t>is</w:t>
      </w:r>
      <w:r w:rsidR="00AB5608">
        <w:t xml:space="preserve"> an optimal approach to ensure children’s rights are considered in decision making. </w:t>
      </w:r>
    </w:p>
    <w:p w14:paraId="15BDEDF6" w14:textId="77777777" w:rsidR="00AB5608" w:rsidRDefault="00AB5608" w:rsidP="003852BD">
      <w:pPr>
        <w:pStyle w:val="ListNumber"/>
        <w:tabs>
          <w:tab w:val="clear" w:pos="1637"/>
          <w:tab w:val="num" w:pos="1134"/>
          <w:tab w:val="num" w:pos="1277"/>
        </w:tabs>
        <w:ind w:left="851" w:hanging="567"/>
      </w:pPr>
      <w:r w:rsidRPr="00242A9F">
        <w:rPr>
          <w:i/>
          <w:iCs/>
        </w:rPr>
        <w:t>Safeguarding Children</w:t>
      </w:r>
      <w:r>
        <w:t xml:space="preserve"> has been developed in accordance with international standards concerning the protection and realisation of children’s rights, including their right to be heard. It aligns with the UN’s General Comment No. 26 which recommends that:</w:t>
      </w:r>
    </w:p>
    <w:p w14:paraId="2D492DB3" w14:textId="77777777" w:rsidR="00AB5608" w:rsidRPr="00B13E63" w:rsidRDefault="00AB5608" w:rsidP="00A50BBD">
      <w:pPr>
        <w:pStyle w:val="ListNumber"/>
        <w:numPr>
          <w:ilvl w:val="0"/>
          <w:numId w:val="0"/>
        </w:numPr>
        <w:tabs>
          <w:tab w:val="clear" w:pos="1134"/>
        </w:tabs>
        <w:ind w:left="1418"/>
        <w:rPr>
          <w:sz w:val="20"/>
          <w:szCs w:val="20"/>
        </w:rPr>
      </w:pPr>
      <w:r w:rsidRPr="00B13E63">
        <w:rPr>
          <w:sz w:val="20"/>
          <w:szCs w:val="20"/>
        </w:rPr>
        <w:t xml:space="preserve">All proposed environment-related legislation, policies, projects, regulations, </w:t>
      </w:r>
      <w:proofErr w:type="gramStart"/>
      <w:r w:rsidRPr="00B13E63">
        <w:rPr>
          <w:sz w:val="20"/>
          <w:szCs w:val="20"/>
        </w:rPr>
        <w:t>budgets</w:t>
      </w:r>
      <w:proofErr w:type="gramEnd"/>
      <w:r w:rsidRPr="00B13E63">
        <w:rPr>
          <w:sz w:val="20"/>
          <w:szCs w:val="20"/>
        </w:rPr>
        <w:t xml:space="preserve"> and decisions, and those already in force, require vigorous </w:t>
      </w:r>
      <w:r>
        <w:rPr>
          <w:sz w:val="20"/>
          <w:szCs w:val="20"/>
        </w:rPr>
        <w:t>child</w:t>
      </w:r>
      <w:r w:rsidRPr="00B13E63">
        <w:rPr>
          <w:sz w:val="20"/>
          <w:szCs w:val="20"/>
        </w:rPr>
        <w:t xml:space="preserve"> rights impact assessments, in accordance with article 3 (1) of the Convention. States </w:t>
      </w:r>
      <w:r w:rsidRPr="00B13E63">
        <w:rPr>
          <w:sz w:val="20"/>
          <w:szCs w:val="20"/>
        </w:rPr>
        <w:lastRenderedPageBreak/>
        <w:t>should require the assessment, both before and after implementation, of the possible direct and indirect impact on the environment and climate, including the transboundary, cumulative, and both production and consumption effects, on the enjoyment of children’s rights.</w:t>
      </w:r>
      <w:r w:rsidRPr="00B13E63">
        <w:rPr>
          <w:rStyle w:val="EndnoteReference"/>
          <w:szCs w:val="20"/>
        </w:rPr>
        <w:endnoteReference w:id="60"/>
      </w:r>
    </w:p>
    <w:p w14:paraId="117550DB" w14:textId="77777777" w:rsidR="00AB5608" w:rsidRDefault="00AB5608" w:rsidP="00C0378B">
      <w:pPr>
        <w:pStyle w:val="ListNumber"/>
        <w:tabs>
          <w:tab w:val="clear" w:pos="1637"/>
          <w:tab w:val="num" w:pos="1276"/>
        </w:tabs>
        <w:ind w:left="851" w:hanging="567"/>
      </w:pPr>
      <w:r>
        <w:rPr>
          <w:i/>
          <w:iCs/>
        </w:rPr>
        <w:t xml:space="preserve">Safeguarding Children </w:t>
      </w:r>
      <w:r>
        <w:t xml:space="preserve">relies on a series of assessments that seek to ascertain the best interests of children, including </w:t>
      </w:r>
      <w:proofErr w:type="gramStart"/>
      <w:r>
        <w:t>with regard to</w:t>
      </w:r>
      <w:proofErr w:type="gramEnd"/>
      <w:r>
        <w:t xml:space="preserve"> the special needs of differentiated groups of children, as considered necessary by the UN:  </w:t>
      </w:r>
    </w:p>
    <w:p w14:paraId="5C4DC936" w14:textId="77777777" w:rsidR="00AB5608" w:rsidRPr="00A50BBD" w:rsidRDefault="00AB5608" w:rsidP="00DE2A05">
      <w:pPr>
        <w:pStyle w:val="ListNumber"/>
        <w:numPr>
          <w:ilvl w:val="0"/>
          <w:numId w:val="0"/>
        </w:numPr>
        <w:ind w:left="1418"/>
      </w:pPr>
      <w:r w:rsidRPr="00DE2A05">
        <w:rPr>
          <w:sz w:val="20"/>
          <w:szCs w:val="20"/>
        </w:rPr>
        <w:t xml:space="preserve">[CRIAs] should incorporate a special regard for the differential impact of environmental decisions on children, in particular young </w:t>
      </w:r>
      <w:proofErr w:type="gramStart"/>
      <w:r w:rsidRPr="00DE2A05">
        <w:rPr>
          <w:sz w:val="20"/>
          <w:szCs w:val="20"/>
        </w:rPr>
        <w:t>children</w:t>
      </w:r>
      <w:proofErr w:type="gramEnd"/>
      <w:r w:rsidRPr="00DE2A05">
        <w:rPr>
          <w:sz w:val="20"/>
          <w:szCs w:val="20"/>
        </w:rPr>
        <w:t xml:space="preserve"> and other groups of children most at risk, as measured against all relevant rights under the Convention, including short-, medium- and long-term, combined and irreversible impacts, interactive and cumulative impacts and impacts in the different stages of childhood. For example, States that have substantial fossil fuel industries should assess the social and economic impact on children of their related decisions</w:t>
      </w:r>
      <w:r w:rsidRPr="00A50BBD">
        <w:t>.</w:t>
      </w:r>
      <w:r w:rsidRPr="00A50BBD">
        <w:rPr>
          <w:rStyle w:val="EndnoteReference"/>
          <w:szCs w:val="20"/>
        </w:rPr>
        <w:endnoteReference w:id="61"/>
      </w:r>
    </w:p>
    <w:p w14:paraId="5B9AFC02" w14:textId="3BDFE41D" w:rsidR="00394222" w:rsidRPr="00ED38CB" w:rsidRDefault="00AB5608" w:rsidP="00ED38CB">
      <w:pPr>
        <w:pStyle w:val="ListNumber"/>
        <w:tabs>
          <w:tab w:val="clear" w:pos="1637"/>
          <w:tab w:val="num" w:pos="993"/>
          <w:tab w:val="num" w:pos="1277"/>
        </w:tabs>
        <w:ind w:left="851" w:hanging="567"/>
      </w:pPr>
      <w:r>
        <w:t xml:space="preserve">Ultimately, </w:t>
      </w:r>
      <w:r>
        <w:rPr>
          <w:i/>
          <w:iCs/>
        </w:rPr>
        <w:t xml:space="preserve">Safeguarding Children </w:t>
      </w:r>
      <w:r>
        <w:t xml:space="preserve">is a tool to assess the impact of a potential decision on the realisation of children’s rights. Through this assessment, as well as through children’s participation, it enables harm and impact to be measured to inform outcomes in the best interests of children. </w:t>
      </w:r>
    </w:p>
    <w:p w14:paraId="4C501DD2" w14:textId="77777777" w:rsidR="00E21E97" w:rsidRDefault="00E21E97">
      <w:pPr>
        <w:spacing w:before="0" w:after="0"/>
        <w:rPr>
          <w:b/>
          <w:bCs/>
          <w:sz w:val="36"/>
          <w:szCs w:val="28"/>
        </w:rPr>
      </w:pPr>
      <w:r>
        <w:br w:type="page"/>
      </w:r>
    </w:p>
    <w:p w14:paraId="481F5C75" w14:textId="53826456" w:rsidR="00706AD4" w:rsidRDefault="003423F4" w:rsidP="00FC1061">
      <w:pPr>
        <w:pStyle w:val="Heading1"/>
        <w:numPr>
          <w:ilvl w:val="0"/>
          <w:numId w:val="0"/>
        </w:numPr>
        <w:ind w:left="851" w:hanging="851"/>
      </w:pPr>
      <w:bookmarkStart w:id="62" w:name="_Ref150932214"/>
      <w:bookmarkStart w:id="63" w:name="_Toc151652067"/>
      <w:r>
        <w:lastRenderedPageBreak/>
        <w:t>Appendix</w:t>
      </w:r>
      <w:r w:rsidR="00986840">
        <w:t xml:space="preserve"> </w:t>
      </w:r>
      <w:r w:rsidR="000A620B">
        <w:t>A</w:t>
      </w:r>
      <w:bookmarkEnd w:id="62"/>
      <w:bookmarkEnd w:id="63"/>
    </w:p>
    <w:p w14:paraId="23313392" w14:textId="77777777" w:rsidR="00A51616" w:rsidRPr="00E21E97" w:rsidRDefault="00A51616" w:rsidP="00FC1061">
      <w:pPr>
        <w:keepNext/>
        <w:spacing w:before="0" w:after="0"/>
        <w:rPr>
          <w:rFonts w:cs="Open Sans"/>
          <w:b/>
        </w:rPr>
      </w:pPr>
      <w:r w:rsidRPr="00E21E97">
        <w:rPr>
          <w:rFonts w:cs="Open Sans"/>
          <w:b/>
        </w:rPr>
        <w:t>Website:</w:t>
      </w:r>
    </w:p>
    <w:p w14:paraId="6EB75064" w14:textId="77777777" w:rsidR="00C81A44" w:rsidRPr="00E21E97" w:rsidRDefault="00AD78B0" w:rsidP="00AD78B0">
      <w:pPr>
        <w:spacing w:before="0" w:after="0"/>
        <w:rPr>
          <w:rStyle w:val="Hyperlink"/>
          <w:rFonts w:cs="Open Sans"/>
          <w:color w:val="auto"/>
          <w:u w:val="none"/>
        </w:rPr>
      </w:pPr>
      <w:r w:rsidRPr="00E21E97">
        <w:rPr>
          <w:rStyle w:val="Hyperlink"/>
          <w:rFonts w:cs="Open Sans"/>
          <w:shd w:val="clear" w:color="auto" w:fill="F2F2F2"/>
        </w:rPr>
        <w:fldChar w:fldCharType="begin"/>
      </w:r>
      <w:r w:rsidRPr="00E21E97">
        <w:rPr>
          <w:rFonts w:cs="Open Sans"/>
        </w:rPr>
        <w:instrText>HYPERLINK "https://humanrights.gov.au/our-work/childrens-rights/publications/safeguarding-children"</w:instrText>
      </w:r>
      <w:r w:rsidRPr="00E21E97">
        <w:rPr>
          <w:rStyle w:val="Hyperlink"/>
          <w:rFonts w:cs="Open Sans"/>
          <w:shd w:val="clear" w:color="auto" w:fill="F2F2F2"/>
        </w:rPr>
      </w:r>
      <w:r w:rsidRPr="00E21E97">
        <w:rPr>
          <w:rStyle w:val="Hyperlink"/>
          <w:rFonts w:cs="Open Sans"/>
          <w:shd w:val="clear" w:color="auto" w:fill="F2F2F2"/>
        </w:rPr>
        <w:fldChar w:fldCharType="separate"/>
      </w:r>
      <w:r w:rsidR="00AE64F5" w:rsidRPr="00E21E97">
        <w:rPr>
          <w:rStyle w:val="Hyperlink"/>
          <w:rFonts w:cs="Open Sans"/>
        </w:rPr>
        <w:t xml:space="preserve">Safeguarding Children: Using a child rights impact assessment to improve our laws and </w:t>
      </w:r>
      <w:proofErr w:type="gramStart"/>
      <w:r w:rsidR="00AE64F5" w:rsidRPr="00E21E97">
        <w:rPr>
          <w:rStyle w:val="Hyperlink"/>
          <w:rFonts w:cs="Open Sans"/>
        </w:rPr>
        <w:t>policies</w:t>
      </w:r>
      <w:proofErr w:type="gramEnd"/>
    </w:p>
    <w:p w14:paraId="67058D4A" w14:textId="77777777" w:rsidR="00AD78B0" w:rsidRPr="00E21E97" w:rsidRDefault="00AD78B0" w:rsidP="00AD78B0">
      <w:pPr>
        <w:spacing w:before="0" w:after="0"/>
        <w:rPr>
          <w:rStyle w:val="Hyperlink"/>
          <w:rFonts w:cs="Open Sans"/>
          <w:shd w:val="clear" w:color="auto" w:fill="F2F2F2"/>
        </w:rPr>
      </w:pPr>
      <w:r w:rsidRPr="00E21E97">
        <w:rPr>
          <w:rStyle w:val="Hyperlink"/>
          <w:rFonts w:cs="Open Sans"/>
          <w:shd w:val="clear" w:color="auto" w:fill="F2F2F2"/>
        </w:rPr>
        <w:fldChar w:fldCharType="end"/>
      </w:r>
    </w:p>
    <w:p w14:paraId="61DA9A27" w14:textId="65ED98A3" w:rsidR="00C81A44" w:rsidRPr="00E21E97" w:rsidRDefault="00A51616" w:rsidP="00AD78B0">
      <w:pPr>
        <w:spacing w:before="0" w:after="0"/>
        <w:rPr>
          <w:rFonts w:cs="Open Sans"/>
          <w:b/>
        </w:rPr>
      </w:pPr>
      <w:r w:rsidRPr="00E21E97">
        <w:rPr>
          <w:rFonts w:cs="Open Sans"/>
          <w:b/>
        </w:rPr>
        <w:t>Report:</w:t>
      </w:r>
    </w:p>
    <w:p w14:paraId="151CA22F" w14:textId="68DF8412" w:rsidR="00A51616" w:rsidRPr="00E21E97" w:rsidRDefault="00D075C4" w:rsidP="00AD78B0">
      <w:pPr>
        <w:spacing w:before="0" w:after="0"/>
        <w:rPr>
          <w:rStyle w:val="Hyperlink"/>
          <w:rFonts w:cs="Open Sans"/>
        </w:rPr>
      </w:pPr>
      <w:hyperlink r:id="rId18" w:history="1">
        <w:r w:rsidR="008C684F" w:rsidRPr="00E21E97">
          <w:rPr>
            <w:rStyle w:val="Hyperlink"/>
            <w:rFonts w:cs="Open Sans"/>
          </w:rPr>
          <w:t>Safeguarding Children: Using a child rights impact assessment to improve our laws and policies</w:t>
        </w:r>
      </w:hyperlink>
    </w:p>
    <w:p w14:paraId="31A73C18" w14:textId="77777777" w:rsidR="00AD78B0" w:rsidRPr="00E21E97" w:rsidRDefault="00AD78B0" w:rsidP="00AD78B0">
      <w:pPr>
        <w:spacing w:before="0" w:after="0"/>
        <w:rPr>
          <w:rFonts w:cs="Open Sans"/>
        </w:rPr>
      </w:pPr>
    </w:p>
    <w:p w14:paraId="1743F2A0" w14:textId="5B0A352F" w:rsidR="00C81A44" w:rsidRPr="00E21E97" w:rsidRDefault="00A51616" w:rsidP="00AD78B0">
      <w:pPr>
        <w:spacing w:before="0" w:after="0"/>
        <w:rPr>
          <w:rFonts w:cs="Open Sans"/>
          <w:b/>
        </w:rPr>
      </w:pPr>
      <w:r w:rsidRPr="00E21E97">
        <w:rPr>
          <w:rFonts w:cs="Open Sans"/>
          <w:b/>
        </w:rPr>
        <w:t>Tool:</w:t>
      </w:r>
    </w:p>
    <w:p w14:paraId="74EF30B4" w14:textId="2A1F8BD3" w:rsidR="00C81A44" w:rsidRDefault="00D075C4" w:rsidP="00AD78B0">
      <w:pPr>
        <w:spacing w:before="0" w:after="0"/>
        <w:rPr>
          <w:rStyle w:val="Hyperlink"/>
          <w:rFonts w:eastAsiaTheme="minorHAnsi" w:cs="Open Sans"/>
          <w:lang w:eastAsia="en-US"/>
        </w:rPr>
      </w:pPr>
      <w:hyperlink r:id="rId19" w:history="1">
        <w:r w:rsidR="00706AD4">
          <w:rPr>
            <w:rStyle w:val="Hyperlink"/>
            <w:rFonts w:eastAsiaTheme="minorHAnsi" w:cs="Open Sans"/>
            <w:lang w:eastAsia="en-US"/>
          </w:rPr>
          <w:t>Child Rights Impact Assessment (CRIA) tool</w:t>
        </w:r>
      </w:hyperlink>
    </w:p>
    <w:p w14:paraId="160F833D" w14:textId="77777777" w:rsidR="00AD78B0" w:rsidRDefault="00AD78B0" w:rsidP="00706AD4">
      <w:pPr>
        <w:rPr>
          <w:b/>
          <w:bCs/>
          <w:i/>
          <w:iCs/>
        </w:rPr>
      </w:pPr>
    </w:p>
    <w:p w14:paraId="0A50C3FB" w14:textId="77777777" w:rsidR="00394222" w:rsidRDefault="00394222">
      <w:pPr>
        <w:spacing w:before="0" w:after="0"/>
        <w:rPr>
          <w:b/>
          <w:bCs/>
          <w:sz w:val="36"/>
          <w:szCs w:val="28"/>
        </w:rPr>
      </w:pPr>
      <w:r>
        <w:br w:type="page"/>
      </w:r>
    </w:p>
    <w:p w14:paraId="6580F31F" w14:textId="7258ACEB" w:rsidR="00DF3A8E" w:rsidRDefault="00394222" w:rsidP="00394222">
      <w:pPr>
        <w:pStyle w:val="Heading1"/>
        <w:numPr>
          <w:ilvl w:val="0"/>
          <w:numId w:val="0"/>
        </w:numPr>
        <w:ind w:left="851" w:hanging="851"/>
        <w:rPr>
          <w:rFonts w:eastAsiaTheme="minorHAnsi" w:cs="Open Sans"/>
          <w:lang w:eastAsia="en-US"/>
        </w:rPr>
      </w:pPr>
      <w:bookmarkStart w:id="64" w:name="_Toc151652068"/>
      <w:r>
        <w:lastRenderedPageBreak/>
        <w:t>Endnotes</w:t>
      </w:r>
      <w:bookmarkEnd w:id="64"/>
    </w:p>
    <w:sectPr w:rsidR="00DF3A8E" w:rsidSect="00460EE0">
      <w:headerReference w:type="even" r:id="rId20"/>
      <w:headerReference w:type="default" r:id="rId21"/>
      <w:footerReference w:type="even" r:id="rId22"/>
      <w:footerReference w:type="default" r:id="rId23"/>
      <w:headerReference w:type="first" r:id="rId24"/>
      <w:footerReference w:type="first" r:id="rId25"/>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03E0C" w14:textId="77777777" w:rsidR="003B615C" w:rsidRDefault="003B615C" w:rsidP="00F14C6D">
      <w:r>
        <w:separator/>
      </w:r>
    </w:p>
  </w:endnote>
  <w:endnote w:type="continuationSeparator" w:id="0">
    <w:p w14:paraId="3290B582" w14:textId="77777777" w:rsidR="003B615C" w:rsidRDefault="003B615C" w:rsidP="00F14C6D">
      <w:r>
        <w:continuationSeparator/>
      </w:r>
    </w:p>
  </w:endnote>
  <w:endnote w:type="continuationNotice" w:id="1">
    <w:p w14:paraId="52BA693D" w14:textId="77777777" w:rsidR="003B615C" w:rsidRDefault="003B615C">
      <w:pPr>
        <w:spacing w:before="0" w:after="0"/>
      </w:pPr>
    </w:p>
  </w:endnote>
  <w:endnote w:id="2">
    <w:p w14:paraId="5D23416E" w14:textId="79F084DD" w:rsidR="00AB5608" w:rsidRPr="008712DE" w:rsidRDefault="00AB5608">
      <w:pPr>
        <w:pStyle w:val="EndnoteText"/>
        <w:rPr>
          <w:lang w:val="en-US"/>
        </w:rPr>
      </w:pPr>
      <w:r w:rsidRPr="008712DE">
        <w:rPr>
          <w:rStyle w:val="EndnoteReference"/>
        </w:rPr>
        <w:endnoteRef/>
      </w:r>
      <w:r w:rsidRPr="008712DE">
        <w:t xml:space="preserve"> NHRIs are statutory bodies, independent of government, that have a broad legal mandate to protect and promote human rights at the national level. They must adhere to international standards endorsed by the United Nations General Assembly, which are assessed through an accreditation process.</w:t>
      </w:r>
    </w:p>
  </w:endnote>
  <w:endnote w:id="3">
    <w:p w14:paraId="42C2BFF4" w14:textId="1B26042E" w:rsidR="00AB5608" w:rsidRPr="008712DE" w:rsidRDefault="00AB5608">
      <w:pPr>
        <w:pStyle w:val="EndnoteText"/>
        <w:rPr>
          <w:lang w:val="en-US"/>
        </w:rPr>
      </w:pPr>
      <w:r w:rsidRPr="008712DE">
        <w:rPr>
          <w:rStyle w:val="EndnoteReference"/>
        </w:rPr>
        <w:endnoteRef/>
      </w:r>
      <w:r w:rsidRPr="008712DE">
        <w:t xml:space="preserve"> </w:t>
      </w:r>
      <w:hyperlink r:id="rId1" w:history="1">
        <w:r w:rsidRPr="008712DE">
          <w:rPr>
            <w:rStyle w:val="Hyperlink"/>
          </w:rPr>
          <w:t>A/HRC/RES/51/31</w:t>
        </w:r>
      </w:hyperlink>
      <w:r w:rsidRPr="008712DE">
        <w:t>. This Australian led resolution emphasised the role of NHRIs in assisting States to adopt effective frameworks to protect all human rights impacted by climate change.</w:t>
      </w:r>
    </w:p>
  </w:endnote>
  <w:endnote w:id="4">
    <w:p w14:paraId="2B266A8E" w14:textId="198C9DF5" w:rsidR="00AB5608" w:rsidRPr="008712DE" w:rsidRDefault="00AB5608">
      <w:pPr>
        <w:pStyle w:val="EndnoteText"/>
        <w:rPr>
          <w:lang w:val="en-US"/>
        </w:rPr>
      </w:pPr>
      <w:r w:rsidRPr="008712DE">
        <w:rPr>
          <w:rStyle w:val="EndnoteReference"/>
        </w:rPr>
        <w:endnoteRef/>
      </w:r>
      <w:r w:rsidRPr="008712DE">
        <w:t xml:space="preserve"> </w:t>
      </w:r>
      <w:r w:rsidRPr="008712DE">
        <w:rPr>
          <w:lang w:val="en-US"/>
        </w:rPr>
        <w:t>In July 2023, Australia supported a UN Human Rights Council resolution that seeks to achieve net zero greenhouse gas emissions by 2050 (</w:t>
      </w:r>
      <w:hyperlink r:id="rId2" w:history="1">
        <w:r w:rsidRPr="008712DE">
          <w:rPr>
            <w:rStyle w:val="Hyperlink"/>
            <w:lang w:val="en-US"/>
          </w:rPr>
          <w:t>A/HRC/RES/53/6</w:t>
        </w:r>
      </w:hyperlink>
      <w:r w:rsidRPr="008712DE">
        <w:rPr>
          <w:lang w:val="en-US"/>
        </w:rPr>
        <w:t>).</w:t>
      </w:r>
    </w:p>
  </w:endnote>
  <w:endnote w:id="5">
    <w:p w14:paraId="3A724B10" w14:textId="207EB0D8" w:rsidR="00AB5608" w:rsidRPr="008712DE" w:rsidRDefault="00AB5608">
      <w:pPr>
        <w:pStyle w:val="EndnoteText"/>
        <w:rPr>
          <w:lang w:val="en-US"/>
        </w:rPr>
      </w:pPr>
      <w:r w:rsidRPr="008712DE">
        <w:rPr>
          <w:rStyle w:val="EndnoteReference"/>
        </w:rPr>
        <w:endnoteRef/>
      </w:r>
      <w:r w:rsidRPr="008712DE">
        <w:t xml:space="preserve"> The </w:t>
      </w:r>
      <w:hyperlink r:id="rId3" w:history="1">
        <w:r w:rsidRPr="008712DE">
          <w:rPr>
            <w:rStyle w:val="Hyperlink"/>
          </w:rPr>
          <w:t>Paris Agre</w:t>
        </w:r>
        <w:bookmarkStart w:id="29" w:name="_Hlt150955935"/>
        <w:bookmarkStart w:id="30" w:name="_Hlt150955936"/>
        <w:r w:rsidRPr="008712DE">
          <w:rPr>
            <w:rStyle w:val="Hyperlink"/>
          </w:rPr>
          <w:t>e</w:t>
        </w:r>
        <w:bookmarkEnd w:id="29"/>
        <w:bookmarkEnd w:id="30"/>
        <w:r w:rsidRPr="008712DE">
          <w:rPr>
            <w:rStyle w:val="Hyperlink"/>
          </w:rPr>
          <w:t>ment</w:t>
        </w:r>
      </w:hyperlink>
      <w:r w:rsidRPr="008712DE">
        <w:t xml:space="preserve"> to the United Nations Framework Convention on Climate Change</w:t>
      </w:r>
      <w:r w:rsidR="00947890">
        <w:t xml:space="preserve"> (UNFCCC)</w:t>
      </w:r>
      <w:r w:rsidRPr="008712DE">
        <w:t>, 12</w:t>
      </w:r>
      <w:r w:rsidR="001B4086">
        <w:t xml:space="preserve"> </w:t>
      </w:r>
      <w:r w:rsidRPr="008712DE">
        <w:t>Dec</w:t>
      </w:r>
      <w:r w:rsidR="009A2A5C">
        <w:t>ember</w:t>
      </w:r>
      <w:r w:rsidRPr="008712DE">
        <w:t xml:space="preserve"> 2015, is an international treaty on climate change, which pursues limiting global warming. It was adopted by 196 parties including Australia at the 21</w:t>
      </w:r>
      <w:r w:rsidRPr="008712DE">
        <w:rPr>
          <w:vertAlign w:val="superscript"/>
        </w:rPr>
        <w:t>st</w:t>
      </w:r>
      <w:r w:rsidRPr="008712DE">
        <w:t xml:space="preserve"> session of the Conference of Parties (COP21) in Paris in December 2015. See UN </w:t>
      </w:r>
      <w:r w:rsidR="002A0E74">
        <w:t>D</w:t>
      </w:r>
      <w:r w:rsidRPr="008712DE">
        <w:t xml:space="preserve">oc </w:t>
      </w:r>
      <w:hyperlink r:id="rId4" w:history="1">
        <w:r w:rsidRPr="008712DE">
          <w:rPr>
            <w:rStyle w:val="Hyperlink"/>
          </w:rPr>
          <w:t>FCCC/CP/2015/L.9/Rev.1</w:t>
        </w:r>
      </w:hyperlink>
      <w:r w:rsidRPr="008712DE">
        <w:rPr>
          <w:rStyle w:val="Hyperlink"/>
          <w:color w:val="auto"/>
          <w:u w:val="none"/>
        </w:rPr>
        <w:t>.</w:t>
      </w:r>
    </w:p>
  </w:endnote>
  <w:endnote w:id="6">
    <w:p w14:paraId="54DD8D4E" w14:textId="3ED8F399" w:rsidR="00AB5608" w:rsidRPr="008712DE" w:rsidRDefault="00AB5608">
      <w:pPr>
        <w:pStyle w:val="EndnoteText"/>
        <w:rPr>
          <w:lang w:val="en-US"/>
        </w:rPr>
      </w:pPr>
      <w:r w:rsidRPr="008712DE">
        <w:rPr>
          <w:rStyle w:val="EndnoteReference"/>
        </w:rPr>
        <w:endnoteRef/>
      </w:r>
      <w:r w:rsidRPr="008712DE">
        <w:t xml:space="preserve"> Under </w:t>
      </w:r>
      <w:r w:rsidR="006A489F">
        <w:t>the</w:t>
      </w:r>
      <w:r w:rsidRPr="008712DE">
        <w:t xml:space="preserve"> </w:t>
      </w:r>
      <w:hyperlink r:id="rId5" w:history="1">
        <w:r w:rsidRPr="008712DE">
          <w:rPr>
            <w:rStyle w:val="Hyperlink"/>
          </w:rPr>
          <w:t>Paris Agreement</w:t>
        </w:r>
      </w:hyperlink>
      <w:r w:rsidRPr="008712DE">
        <w:t xml:space="preserve">, each country is expected to submit a national climate action plan, known as Nationally Determined Contributions, or NDCs. Each country’s NDCs communicate the actions the country will take to reduce their greenhouse gas emissions to reach the Paris Agreement goals. Australia has legislated its NDCs through the </w:t>
      </w:r>
      <w:hyperlink r:id="rId6" w:history="1">
        <w:r w:rsidRPr="002B585E">
          <w:rPr>
            <w:rStyle w:val="Hyperlink"/>
            <w:i/>
          </w:rPr>
          <w:t>C</w:t>
        </w:r>
        <w:r w:rsidR="000817AB" w:rsidRPr="002B585E">
          <w:rPr>
            <w:rStyle w:val="Hyperlink"/>
            <w:i/>
          </w:rPr>
          <w:t xml:space="preserve">limate </w:t>
        </w:r>
        <w:r w:rsidRPr="002B585E">
          <w:rPr>
            <w:rStyle w:val="Hyperlink"/>
            <w:i/>
          </w:rPr>
          <w:t>C</w:t>
        </w:r>
        <w:r w:rsidR="000817AB" w:rsidRPr="002B585E">
          <w:rPr>
            <w:rStyle w:val="Hyperlink"/>
            <w:i/>
          </w:rPr>
          <w:t xml:space="preserve">hange </w:t>
        </w:r>
        <w:r w:rsidRPr="002B585E">
          <w:rPr>
            <w:rStyle w:val="Hyperlink"/>
            <w:i/>
          </w:rPr>
          <w:t>A</w:t>
        </w:r>
      </w:hyperlink>
      <w:r w:rsidR="000817AB" w:rsidRPr="002B585E">
        <w:rPr>
          <w:rStyle w:val="Hyperlink"/>
          <w:i/>
        </w:rPr>
        <w:t>ct</w:t>
      </w:r>
      <w:r w:rsidR="000817AB">
        <w:rPr>
          <w:rStyle w:val="Hyperlink"/>
          <w:i/>
        </w:rPr>
        <w:t xml:space="preserve"> </w:t>
      </w:r>
      <w:r w:rsidR="00600199">
        <w:rPr>
          <w:rStyle w:val="Hyperlink"/>
          <w:i/>
          <w:iCs/>
        </w:rPr>
        <w:t>202</w:t>
      </w:r>
      <w:r w:rsidR="007A1A1E">
        <w:rPr>
          <w:rStyle w:val="Hyperlink"/>
          <w:i/>
          <w:iCs/>
        </w:rPr>
        <w:t>2</w:t>
      </w:r>
      <w:r w:rsidR="00600199">
        <w:t xml:space="preserve"> (Cth)</w:t>
      </w:r>
      <w:r w:rsidR="000817AB">
        <w:t xml:space="preserve"> (CCA).</w:t>
      </w:r>
      <w:r w:rsidRPr="008712DE">
        <w:t xml:space="preserve"> </w:t>
      </w:r>
    </w:p>
  </w:endnote>
  <w:endnote w:id="7">
    <w:p w14:paraId="7258AD1C" w14:textId="5DEB535C" w:rsidR="00AB5608" w:rsidRPr="008712DE" w:rsidRDefault="00AB5608">
      <w:pPr>
        <w:pStyle w:val="EndnoteText"/>
        <w:rPr>
          <w:lang w:val="en-US"/>
        </w:rPr>
      </w:pPr>
      <w:r w:rsidRPr="008712DE">
        <w:rPr>
          <w:rStyle w:val="EndnoteReference"/>
        </w:rPr>
        <w:endnoteRef/>
      </w:r>
      <w:r w:rsidRPr="008712DE">
        <w:t xml:space="preserve"> </w:t>
      </w:r>
      <w:r w:rsidRPr="008712DE">
        <w:rPr>
          <w:lang w:val="en-US"/>
        </w:rPr>
        <w:t xml:space="preserve">Schedule 1, clause 1 of the </w:t>
      </w:r>
      <w:r w:rsidRPr="008712DE" w:rsidDel="00C35BE9">
        <w:fldChar w:fldCharType="begin"/>
      </w:r>
      <w:r w:rsidRPr="008712DE" w:rsidDel="00C35BE9">
        <w:fldChar w:fldCharType="separate"/>
      </w:r>
      <w:r w:rsidRPr="008238CA">
        <w:rPr>
          <w:rStyle w:val="Hyperlink"/>
          <w:lang w:val="en-US"/>
        </w:rPr>
        <w:t>Bill</w:t>
      </w:r>
      <w:r w:rsidRPr="008712DE" w:rsidDel="00C35BE9">
        <w:rPr>
          <w:rStyle w:val="Hyperlink"/>
          <w:lang w:val="en-US"/>
        </w:rPr>
        <w:fldChar w:fldCharType="end"/>
      </w:r>
      <w:r w:rsidRPr="008712DE" w:rsidDel="00C35BE9">
        <w:fldChar w:fldCharType="begin"/>
      </w:r>
      <w:r w:rsidRPr="008712DE" w:rsidDel="00C35BE9">
        <w:fldChar w:fldCharType="separate"/>
      </w:r>
      <w:r w:rsidRPr="008238CA">
        <w:rPr>
          <w:rStyle w:val="Hyperlink"/>
          <w:lang w:val="en-US"/>
        </w:rPr>
        <w:t>Bill</w:t>
      </w:r>
      <w:r w:rsidRPr="008712DE" w:rsidDel="00C35BE9">
        <w:rPr>
          <w:rStyle w:val="Hyperlink"/>
          <w:lang w:val="en-US"/>
        </w:rPr>
        <w:fldChar w:fldCharType="end"/>
      </w:r>
      <w:r w:rsidR="008238CA">
        <w:rPr>
          <w:lang w:val="en-US"/>
        </w:rPr>
        <w:t>,</w:t>
      </w:r>
      <w:r w:rsidRPr="008712DE">
        <w:rPr>
          <w:lang w:val="en-US"/>
        </w:rPr>
        <w:t xml:space="preserve"> which seeks to amend section 3 of the </w:t>
      </w:r>
      <w:hyperlink r:id="rId7" w:history="1">
        <w:r w:rsidRPr="008712DE">
          <w:rPr>
            <w:rStyle w:val="Hyperlink"/>
          </w:rPr>
          <w:t>CCA</w:t>
        </w:r>
      </w:hyperlink>
      <w:r w:rsidRPr="008712DE">
        <w:rPr>
          <w:lang w:val="en-US"/>
        </w:rPr>
        <w:t xml:space="preserve">. </w:t>
      </w:r>
    </w:p>
  </w:endnote>
  <w:endnote w:id="8">
    <w:p w14:paraId="0E2AE2D3" w14:textId="58A9A281" w:rsidR="00AB5608" w:rsidRPr="008712DE" w:rsidRDefault="00AB5608">
      <w:pPr>
        <w:pStyle w:val="EndnoteText"/>
        <w:rPr>
          <w:lang w:val="en-US"/>
        </w:rPr>
      </w:pPr>
      <w:r w:rsidRPr="008712DE">
        <w:rPr>
          <w:rStyle w:val="EndnoteReference"/>
        </w:rPr>
        <w:endnoteRef/>
      </w:r>
      <w:r w:rsidRPr="008712DE">
        <w:rPr>
          <w:lang w:val="en-US"/>
        </w:rPr>
        <w:t xml:space="preserve"> </w:t>
      </w:r>
      <w:r w:rsidRPr="008712DE">
        <w:t xml:space="preserve">Schedule 1, clause 6 of the </w:t>
      </w:r>
      <w:hyperlink r:id="rId8" w:history="1">
        <w:r w:rsidRPr="008712DE">
          <w:rPr>
            <w:rStyle w:val="Hyperlink"/>
          </w:rPr>
          <w:t>Bill,</w:t>
        </w:r>
      </w:hyperlink>
      <w:r w:rsidRPr="008712DE">
        <w:t xml:space="preserve"> which seeks to insert Part 4A, including section 15D, into the </w:t>
      </w:r>
      <w:hyperlink r:id="rId9" w:history="1">
        <w:r w:rsidRPr="008712DE">
          <w:rPr>
            <w:rStyle w:val="Hyperlink"/>
          </w:rPr>
          <w:t>CCA</w:t>
        </w:r>
      </w:hyperlink>
      <w:r w:rsidRPr="008712DE">
        <w:t xml:space="preserve">. </w:t>
      </w:r>
    </w:p>
  </w:endnote>
  <w:endnote w:id="9">
    <w:p w14:paraId="313BA472" w14:textId="755F8896" w:rsidR="00AB5608" w:rsidRPr="008712DE" w:rsidRDefault="00AB5608">
      <w:pPr>
        <w:pStyle w:val="EndnoteText"/>
        <w:rPr>
          <w:lang w:val="en-US"/>
        </w:rPr>
      </w:pPr>
      <w:r w:rsidRPr="008712DE">
        <w:rPr>
          <w:rStyle w:val="EndnoteReference"/>
        </w:rPr>
        <w:endnoteRef/>
      </w:r>
      <w:r w:rsidRPr="008712DE">
        <w:t xml:space="preserve"> Schedule 1, clause 6 of the </w:t>
      </w:r>
      <w:hyperlink r:id="rId10" w:history="1">
        <w:r w:rsidRPr="008712DE">
          <w:rPr>
            <w:rStyle w:val="Hyperlink"/>
          </w:rPr>
          <w:t>Bill</w:t>
        </w:r>
      </w:hyperlink>
      <w:r w:rsidRPr="008712DE">
        <w:t xml:space="preserve">, which seeks to insert Part 4A, including section 15E, into the </w:t>
      </w:r>
      <w:hyperlink r:id="rId11" w:history="1">
        <w:r w:rsidRPr="008712DE">
          <w:rPr>
            <w:rStyle w:val="Hyperlink"/>
          </w:rPr>
          <w:t>CCA</w:t>
        </w:r>
      </w:hyperlink>
      <w:r w:rsidRPr="008712DE">
        <w:t>.</w:t>
      </w:r>
    </w:p>
  </w:endnote>
  <w:endnote w:id="10">
    <w:p w14:paraId="17439670" w14:textId="0EECF909" w:rsidR="00AB5608" w:rsidRPr="008712DE" w:rsidRDefault="00AB5608">
      <w:pPr>
        <w:pStyle w:val="EndnoteText"/>
        <w:rPr>
          <w:lang w:val="en-US"/>
        </w:rPr>
      </w:pPr>
      <w:r w:rsidRPr="008712DE">
        <w:rPr>
          <w:rStyle w:val="EndnoteReference"/>
        </w:rPr>
        <w:endnoteRef/>
      </w:r>
      <w:r w:rsidRPr="008712DE">
        <w:t xml:space="preserve"> Schedule 1, clause 6 of the </w:t>
      </w:r>
      <w:hyperlink r:id="rId12" w:history="1">
        <w:r w:rsidRPr="008712DE">
          <w:rPr>
            <w:rStyle w:val="Hyperlink"/>
          </w:rPr>
          <w:t>Bill</w:t>
        </w:r>
      </w:hyperlink>
      <w:r w:rsidRPr="008712DE">
        <w:t xml:space="preserve">, which seeks to insert Part 4A including sections 15F, 15G and 15H into the </w:t>
      </w:r>
      <w:hyperlink r:id="rId13" w:history="1">
        <w:r w:rsidRPr="008712DE">
          <w:rPr>
            <w:rStyle w:val="Hyperlink"/>
          </w:rPr>
          <w:t>CCA</w:t>
        </w:r>
      </w:hyperlink>
      <w:r w:rsidRPr="008712DE">
        <w:t>.</w:t>
      </w:r>
    </w:p>
  </w:endnote>
  <w:endnote w:id="11">
    <w:p w14:paraId="6DAC7F90" w14:textId="2306E3EA" w:rsidR="00AB5608" w:rsidRPr="008712DE" w:rsidRDefault="00AB5608">
      <w:pPr>
        <w:pStyle w:val="EndnoteText"/>
        <w:rPr>
          <w:lang w:val="en-US"/>
        </w:rPr>
      </w:pPr>
      <w:r w:rsidRPr="008712DE">
        <w:rPr>
          <w:rStyle w:val="EndnoteReference"/>
        </w:rPr>
        <w:endnoteRef/>
      </w:r>
      <w:r w:rsidRPr="008712DE">
        <w:t xml:space="preserve"> </w:t>
      </w:r>
      <w:hyperlink r:id="rId14" w:history="1">
        <w:r w:rsidRPr="008712DE">
          <w:rPr>
            <w:rStyle w:val="Hyperlink"/>
            <w:lang w:val="en-US"/>
          </w:rPr>
          <w:t>[2022] FCAFC 35</w:t>
        </w:r>
      </w:hyperlink>
      <w:r w:rsidRPr="008712DE">
        <w:rPr>
          <w:lang w:val="en-US"/>
        </w:rPr>
        <w:t xml:space="preserve"> and </w:t>
      </w:r>
      <w:hyperlink r:id="rId15" w:history="1">
        <w:r w:rsidRPr="008712DE">
          <w:rPr>
            <w:rStyle w:val="Hyperlink"/>
            <w:lang w:val="en-US"/>
          </w:rPr>
          <w:t>[2022] FCAFC 65</w:t>
        </w:r>
      </w:hyperlink>
      <w:r w:rsidRPr="008712DE">
        <w:rPr>
          <w:lang w:val="en-US"/>
        </w:rPr>
        <w:t xml:space="preserve"> which overturned the decision of the Federal Court of Australia in </w:t>
      </w:r>
      <w:r w:rsidRPr="008712DE">
        <w:rPr>
          <w:i/>
          <w:iCs/>
          <w:lang w:val="en-US"/>
        </w:rPr>
        <w:t xml:space="preserve">Sharma v Minister for the Environment </w:t>
      </w:r>
      <w:hyperlink r:id="rId16" w:history="1">
        <w:r w:rsidRPr="008712DE">
          <w:rPr>
            <w:rStyle w:val="Hyperlink"/>
            <w:lang w:val="en-US"/>
          </w:rPr>
          <w:t>[2021] FCA 560</w:t>
        </w:r>
      </w:hyperlink>
      <w:r w:rsidRPr="008712DE">
        <w:rPr>
          <w:lang w:val="en-US"/>
        </w:rPr>
        <w:t xml:space="preserve"> and </w:t>
      </w:r>
      <w:hyperlink r:id="rId17" w:history="1">
        <w:r w:rsidRPr="008712DE">
          <w:rPr>
            <w:rStyle w:val="Hyperlink"/>
            <w:lang w:val="en-US"/>
          </w:rPr>
          <w:t>[2021] FCA 774</w:t>
        </w:r>
      </w:hyperlink>
      <w:r w:rsidRPr="008712DE">
        <w:rPr>
          <w:rStyle w:val="Hyperlink"/>
          <w:lang w:val="en-US"/>
        </w:rPr>
        <w:t>.</w:t>
      </w:r>
    </w:p>
  </w:endnote>
  <w:endnote w:id="12">
    <w:p w14:paraId="7D4CB4AF" w14:textId="4EED9146" w:rsidR="00AB5608" w:rsidRPr="008712DE" w:rsidRDefault="00AB5608" w:rsidP="000129B1">
      <w:pPr>
        <w:pStyle w:val="EndnoteText"/>
        <w:rPr>
          <w:highlight w:val="yellow"/>
          <w:lang w:val="en-US"/>
        </w:rPr>
      </w:pPr>
      <w:r w:rsidRPr="008C072B">
        <w:rPr>
          <w:rStyle w:val="EndnoteReference"/>
        </w:rPr>
        <w:endnoteRef/>
      </w:r>
      <w:r w:rsidRPr="00E00D5A">
        <w:t xml:space="preserve"> This approach aligns with </w:t>
      </w:r>
      <w:r w:rsidR="00402A71" w:rsidRPr="008712DE">
        <w:rPr>
          <w:rFonts w:cs="Open Sans"/>
        </w:rPr>
        <w:t xml:space="preserve">Committee on the Rights of the Child </w:t>
      </w:r>
      <w:hyperlink r:id="rId18" w:history="1">
        <w:r w:rsidR="00402A71" w:rsidRPr="001709B7">
          <w:rPr>
            <w:rStyle w:val="Hyperlink"/>
            <w:rFonts w:cs="Open Sans"/>
          </w:rPr>
          <w:t>Gene</w:t>
        </w:r>
        <w:bookmarkStart w:id="31" w:name="_Hlt150954494"/>
        <w:bookmarkStart w:id="32" w:name="_Hlt150954495"/>
        <w:r w:rsidR="00402A71" w:rsidRPr="001709B7">
          <w:rPr>
            <w:rStyle w:val="Hyperlink"/>
            <w:rFonts w:cs="Open Sans"/>
          </w:rPr>
          <w:t>r</w:t>
        </w:r>
        <w:bookmarkEnd w:id="31"/>
        <w:bookmarkEnd w:id="32"/>
        <w:r w:rsidR="00402A71" w:rsidRPr="001709B7">
          <w:rPr>
            <w:rStyle w:val="Hyperlink"/>
            <w:rFonts w:cs="Open Sans"/>
          </w:rPr>
          <w:t>al Comment No. 26</w:t>
        </w:r>
      </w:hyperlink>
      <w:r w:rsidR="00402A71" w:rsidRPr="008712DE">
        <w:rPr>
          <w:rFonts w:cs="Open Sans"/>
        </w:rPr>
        <w:t xml:space="preserve"> (2023) </w:t>
      </w:r>
      <w:r w:rsidR="00402A71" w:rsidRPr="008712DE">
        <w:rPr>
          <w:rFonts w:cs="Open Sans"/>
          <w:iCs/>
        </w:rPr>
        <w:t>on children’s rights and the environment, with a special focus on climate change</w:t>
      </w:r>
      <w:r w:rsidR="002C2EA4">
        <w:t>.</w:t>
      </w:r>
      <w:r w:rsidR="0035024A">
        <w:t xml:space="preserve"> </w:t>
      </w:r>
      <w:r w:rsidR="0035024A" w:rsidRPr="008712DE">
        <w:rPr>
          <w:rFonts w:cs="Open Sans"/>
        </w:rPr>
        <w:t>93</w:t>
      </w:r>
      <w:r w:rsidR="0035024A" w:rsidRPr="008712DE">
        <w:rPr>
          <w:rFonts w:cs="Open Sans"/>
          <w:vertAlign w:val="superscript"/>
        </w:rPr>
        <w:t>rd</w:t>
      </w:r>
      <w:r w:rsidR="0035024A" w:rsidRPr="008712DE">
        <w:rPr>
          <w:rFonts w:cs="Open Sans"/>
        </w:rPr>
        <w:t xml:space="preserve"> session, UN Doc </w:t>
      </w:r>
      <w:hyperlink r:id="rId19" w:history="1">
        <w:r w:rsidR="0035024A" w:rsidRPr="008712DE">
          <w:rPr>
            <w:rStyle w:val="Hyperlink"/>
            <w:rFonts w:cs="Open Sans"/>
          </w:rPr>
          <w:t>CRC</w:t>
        </w:r>
        <w:bookmarkStart w:id="33" w:name="_Hlt150954525"/>
        <w:bookmarkStart w:id="34" w:name="_Hlt150954526"/>
        <w:r w:rsidR="0035024A" w:rsidRPr="008712DE">
          <w:rPr>
            <w:rStyle w:val="Hyperlink"/>
            <w:rFonts w:cs="Open Sans"/>
          </w:rPr>
          <w:t>/</w:t>
        </w:r>
        <w:bookmarkEnd w:id="33"/>
        <w:bookmarkEnd w:id="34"/>
        <w:r w:rsidR="0035024A" w:rsidRPr="008712DE">
          <w:rPr>
            <w:rStyle w:val="Hyperlink"/>
            <w:rFonts w:cs="Open Sans"/>
          </w:rPr>
          <w:t>C/GC/26</w:t>
        </w:r>
      </w:hyperlink>
      <w:r w:rsidR="0035024A" w:rsidRPr="008712DE">
        <w:rPr>
          <w:rFonts w:cs="Open Sans"/>
        </w:rPr>
        <w:t xml:space="preserve"> </w:t>
      </w:r>
      <w:r w:rsidR="00FC181E">
        <w:rPr>
          <w:rFonts w:cs="Open Sans"/>
        </w:rPr>
        <w:t>(</w:t>
      </w:r>
      <w:r w:rsidR="0035024A" w:rsidRPr="008712DE">
        <w:rPr>
          <w:rFonts w:cs="Open Sans"/>
        </w:rPr>
        <w:t>22 August 2023</w:t>
      </w:r>
      <w:r w:rsidR="00FC181E">
        <w:rPr>
          <w:rFonts w:cs="Open Sans"/>
        </w:rPr>
        <w:t>) at [6]</w:t>
      </w:r>
      <w:r w:rsidR="0035024A" w:rsidRPr="008712DE">
        <w:rPr>
          <w:rFonts w:cs="Open Sans"/>
        </w:rPr>
        <w:t xml:space="preserve"> (CRC General Comment No. 26).</w:t>
      </w:r>
    </w:p>
  </w:endnote>
  <w:endnote w:id="13">
    <w:p w14:paraId="27EDEE35" w14:textId="6BAFC5CD" w:rsidR="00AB5608" w:rsidRPr="008712DE" w:rsidRDefault="00AB5608">
      <w:pPr>
        <w:pStyle w:val="EndnoteText"/>
        <w:rPr>
          <w:lang w:val="en-US"/>
        </w:rPr>
      </w:pPr>
      <w:r w:rsidRPr="00E00D5A">
        <w:rPr>
          <w:rStyle w:val="EndnoteReference"/>
        </w:rPr>
        <w:endnoteRef/>
      </w:r>
      <w:r w:rsidRPr="008712DE">
        <w:t xml:space="preserve"> UNICEF, “UN Committee on the Rights of the Child calls on states to take action in first guidance on children’s rights and the environment, with a focus on climate change”, </w:t>
      </w:r>
      <w:r w:rsidRPr="008712DE">
        <w:rPr>
          <w:i/>
          <w:iCs/>
        </w:rPr>
        <w:t>UNICEF Press Release</w:t>
      </w:r>
      <w:r w:rsidRPr="008712DE">
        <w:t xml:space="preserve">, 28 August 2023, available at: </w:t>
      </w:r>
      <w:hyperlink r:id="rId20" w:history="1">
        <w:r w:rsidRPr="008712DE">
          <w:rPr>
            <w:rStyle w:val="Hyperlink"/>
          </w:rPr>
          <w:t>https://www.unicef.org/lac/en/press-releases/un-committee-rights-child-calls-states-take-action-general-comment-26-childrens-rights-environment-cimate-change</w:t>
        </w:r>
      </w:hyperlink>
      <w:r w:rsidRPr="008712DE">
        <w:t xml:space="preserve">. </w:t>
      </w:r>
    </w:p>
  </w:endnote>
  <w:endnote w:id="14">
    <w:p w14:paraId="7CF8DE4C" w14:textId="04FCCE0D" w:rsidR="00AB5608" w:rsidRPr="008712DE" w:rsidRDefault="00AB5608" w:rsidP="000F7F35">
      <w:pPr>
        <w:pStyle w:val="EndnoteText"/>
        <w:rPr>
          <w:lang w:val="en-US"/>
        </w:rPr>
      </w:pPr>
      <w:r w:rsidRPr="008712DE">
        <w:rPr>
          <w:rStyle w:val="EndnoteReference"/>
        </w:rPr>
        <w:endnoteRef/>
      </w:r>
      <w:r w:rsidRPr="008712DE">
        <w:t xml:space="preserve"> Principle 1 of the </w:t>
      </w:r>
      <w:hyperlink r:id="rId21" w:history="1">
        <w:r w:rsidRPr="008712DE">
          <w:rPr>
            <w:rStyle w:val="Hyperlink"/>
          </w:rPr>
          <w:t>Stockholm Declaration</w:t>
        </w:r>
      </w:hyperlink>
      <w:r w:rsidRPr="008712DE">
        <w:t xml:space="preserve"> acknowledges the responsibility to future generations: “[humans bear] a solemn responsibility to protect and improve the environment for present and future generations.” Set out in the Report of the United Nations Conference on the Human Environment (1973) following the 48</w:t>
      </w:r>
      <w:r w:rsidRPr="008712DE">
        <w:rPr>
          <w:vertAlign w:val="superscript"/>
        </w:rPr>
        <w:t>th</w:t>
      </w:r>
      <w:r w:rsidRPr="008712DE">
        <w:t xml:space="preserve"> conference in Stockholm in June 1972. See UN Doc </w:t>
      </w:r>
      <w:hyperlink r:id="rId22" w:history="1">
        <w:r w:rsidRPr="008712DE">
          <w:rPr>
            <w:rStyle w:val="Hyperlink"/>
          </w:rPr>
          <w:t>A/CONF.48/14/Rev.1</w:t>
        </w:r>
      </w:hyperlink>
      <w:r w:rsidRPr="008712DE">
        <w:rPr>
          <w:rStyle w:val="Hyperlink"/>
          <w:color w:val="auto"/>
          <w:u w:val="none"/>
        </w:rPr>
        <w:t>.</w:t>
      </w:r>
    </w:p>
  </w:endnote>
  <w:endnote w:id="15">
    <w:p w14:paraId="170A023F" w14:textId="7DBAFDFE" w:rsidR="00AB5608" w:rsidRPr="008712DE" w:rsidRDefault="00AB5608">
      <w:pPr>
        <w:pStyle w:val="EndnoteText"/>
      </w:pPr>
      <w:r w:rsidRPr="008712DE">
        <w:rPr>
          <w:rStyle w:val="EndnoteReference"/>
        </w:rPr>
        <w:endnoteRef/>
      </w:r>
      <w:r w:rsidRPr="008712DE">
        <w:t xml:space="preserve"> </w:t>
      </w:r>
      <w:hyperlink r:id="rId23" w:history="1">
        <w:r w:rsidRPr="008712DE">
          <w:rPr>
            <w:rStyle w:val="Hyperlink"/>
          </w:rPr>
          <w:t>Rio Declaration on Environment and Development</w:t>
        </w:r>
      </w:hyperlink>
      <w:r w:rsidRPr="008712DE">
        <w:t xml:space="preserve"> at principle 3.</w:t>
      </w:r>
    </w:p>
  </w:endnote>
  <w:endnote w:id="16">
    <w:p w14:paraId="37CAECB0" w14:textId="4C08D7D6" w:rsidR="00AB5608" w:rsidRPr="008712DE" w:rsidRDefault="00AB5608">
      <w:pPr>
        <w:pStyle w:val="EndnoteText"/>
      </w:pPr>
      <w:r w:rsidRPr="008712DE">
        <w:rPr>
          <w:rStyle w:val="EndnoteReference"/>
        </w:rPr>
        <w:endnoteRef/>
      </w:r>
      <w:r w:rsidRPr="008712DE">
        <w:t xml:space="preserve"> </w:t>
      </w:r>
      <w:hyperlink r:id="rId24" w:history="1">
        <w:r w:rsidR="00947890">
          <w:rPr>
            <w:rStyle w:val="Hyperlink"/>
          </w:rPr>
          <w:t>UNFC</w:t>
        </w:r>
        <w:bookmarkStart w:id="37" w:name="_Hlt150954627"/>
        <w:bookmarkStart w:id="38" w:name="_Hlt150954628"/>
        <w:bookmarkStart w:id="39" w:name="_Hlt150956880"/>
        <w:bookmarkStart w:id="40" w:name="_Hlt150956881"/>
        <w:r w:rsidR="00947890">
          <w:rPr>
            <w:rStyle w:val="Hyperlink"/>
          </w:rPr>
          <w:t>C</w:t>
        </w:r>
        <w:bookmarkEnd w:id="37"/>
        <w:bookmarkEnd w:id="38"/>
        <w:bookmarkEnd w:id="39"/>
        <w:bookmarkEnd w:id="40"/>
        <w:r w:rsidR="00947890">
          <w:rPr>
            <w:rStyle w:val="Hyperlink"/>
          </w:rPr>
          <w:t>C</w:t>
        </w:r>
      </w:hyperlink>
      <w:r w:rsidRPr="008712DE">
        <w:t xml:space="preserve"> at art 3(1) and 3(3).</w:t>
      </w:r>
    </w:p>
  </w:endnote>
  <w:endnote w:id="17">
    <w:p w14:paraId="6140C180" w14:textId="25ADD9D9" w:rsidR="00AB5608" w:rsidRPr="008712DE" w:rsidRDefault="00AB5608">
      <w:pPr>
        <w:pStyle w:val="EndnoteText"/>
      </w:pPr>
      <w:r w:rsidRPr="008712DE">
        <w:rPr>
          <w:rStyle w:val="EndnoteReference"/>
        </w:rPr>
        <w:endnoteRef/>
      </w:r>
      <w:r w:rsidRPr="008712DE">
        <w:t xml:space="preserve"> </w:t>
      </w:r>
      <w:hyperlink r:id="rId25" w:history="1">
        <w:r w:rsidRPr="008712DE">
          <w:rPr>
            <w:rStyle w:val="Hyperlink"/>
          </w:rPr>
          <w:t>Convention on the Rights of the Child</w:t>
        </w:r>
      </w:hyperlink>
      <w:r w:rsidRPr="008712DE">
        <w:t xml:space="preserve"> (CRC) at art 6(1).</w:t>
      </w:r>
    </w:p>
  </w:endnote>
  <w:endnote w:id="18">
    <w:p w14:paraId="65173E7D" w14:textId="755217EC" w:rsidR="00AB5608" w:rsidRPr="008712DE" w:rsidRDefault="00AB5608">
      <w:pPr>
        <w:pStyle w:val="EndnoteText"/>
        <w:rPr>
          <w:lang w:val="en-US"/>
        </w:rPr>
      </w:pPr>
      <w:r w:rsidRPr="008712DE">
        <w:rPr>
          <w:rStyle w:val="EndnoteReference"/>
        </w:rPr>
        <w:endnoteRef/>
      </w:r>
      <w:r w:rsidRPr="008712DE">
        <w:t xml:space="preserve"> </w:t>
      </w:r>
      <w:hyperlink r:id="rId26" w:history="1">
        <w:r w:rsidRPr="008712DE">
          <w:rPr>
            <w:rStyle w:val="Hyperlink"/>
            <w:lang w:val="en-US"/>
          </w:rPr>
          <w:t>CRC</w:t>
        </w:r>
      </w:hyperlink>
      <w:r w:rsidRPr="008712DE">
        <w:rPr>
          <w:lang w:val="en-US"/>
        </w:rPr>
        <w:t xml:space="preserve"> at art 24(2)(c).</w:t>
      </w:r>
    </w:p>
  </w:endnote>
  <w:endnote w:id="19">
    <w:p w14:paraId="125F2417" w14:textId="463595E8" w:rsidR="00AB5608" w:rsidRPr="008712DE" w:rsidRDefault="00AB5608">
      <w:pPr>
        <w:pStyle w:val="EndnoteText"/>
        <w:rPr>
          <w:lang w:val="en-US"/>
        </w:rPr>
      </w:pPr>
      <w:r w:rsidRPr="008712DE">
        <w:rPr>
          <w:rStyle w:val="EndnoteReference"/>
        </w:rPr>
        <w:endnoteRef/>
      </w:r>
      <w:r w:rsidRPr="008712DE">
        <w:t xml:space="preserve"> Daly, A. “The Right of Children to a Healthy Environment: Intergenerational rights are children’s rights”, </w:t>
      </w:r>
      <w:r w:rsidRPr="008712DE">
        <w:rPr>
          <w:i/>
          <w:iCs/>
        </w:rPr>
        <w:t>GC Human Rights Preparedness</w:t>
      </w:r>
      <w:r w:rsidRPr="008712DE">
        <w:t xml:space="preserve">, 2 June 2022, available at: </w:t>
      </w:r>
      <w:hyperlink r:id="rId27" w:history="1">
        <w:r w:rsidRPr="008712DE">
          <w:rPr>
            <w:rStyle w:val="Hyperlink"/>
          </w:rPr>
          <w:t>https://gchumanrights.org/preparedness-children/article-detail/the-right-of-children-to-a-healthy-environment-intergenerational-rights-are-childrens-rights.html</w:t>
        </w:r>
      </w:hyperlink>
      <w:r w:rsidR="008E0F80">
        <w:rPr>
          <w:rStyle w:val="Hyperlink"/>
        </w:rPr>
        <w:t>.</w:t>
      </w:r>
      <w:r w:rsidRPr="008712DE">
        <w:t xml:space="preserve">  </w:t>
      </w:r>
    </w:p>
  </w:endnote>
  <w:endnote w:id="20">
    <w:p w14:paraId="54105828" w14:textId="6E0650E6" w:rsidR="0055548B" w:rsidRDefault="0055548B">
      <w:pPr>
        <w:pStyle w:val="EndnoteText"/>
      </w:pPr>
      <w:r>
        <w:rPr>
          <w:rStyle w:val="EndnoteReference"/>
        </w:rPr>
        <w:endnoteRef/>
      </w:r>
      <w:r>
        <w:t xml:space="preserve"> </w:t>
      </w:r>
      <w:r w:rsidR="00BA7EFB">
        <w:t xml:space="preserve">Treasury, </w:t>
      </w:r>
      <w:r w:rsidR="00FD31E1">
        <w:t xml:space="preserve">“Intergenerational </w:t>
      </w:r>
      <w:r w:rsidR="00BA7EFB">
        <w:t>r</w:t>
      </w:r>
      <w:r w:rsidR="00FD31E1">
        <w:t>eports</w:t>
      </w:r>
      <w:r w:rsidR="00BA7EFB">
        <w:t xml:space="preserve">”, </w:t>
      </w:r>
      <w:r w:rsidR="00BA7EFB" w:rsidRPr="0000453D">
        <w:t>Australian Government</w:t>
      </w:r>
      <w:r w:rsidR="0000453D">
        <w:t xml:space="preserve">, available at: </w:t>
      </w:r>
      <w:hyperlink r:id="rId28" w:history="1">
        <w:r w:rsidR="0000453D" w:rsidRPr="00B46FAB">
          <w:rPr>
            <w:rStyle w:val="Hyperlink"/>
          </w:rPr>
          <w:t>https://treasury.gov.au/intergenerational-report</w:t>
        </w:r>
      </w:hyperlink>
      <w:r w:rsidR="0000453D">
        <w:t xml:space="preserve">. </w:t>
      </w:r>
    </w:p>
  </w:endnote>
  <w:endnote w:id="21">
    <w:p w14:paraId="34B19CC3" w14:textId="7E89C565" w:rsidR="00476C4D" w:rsidRPr="00E378DB" w:rsidRDefault="00476C4D">
      <w:pPr>
        <w:pStyle w:val="EndnoteText"/>
        <w:rPr>
          <w:lang w:val="en-US"/>
        </w:rPr>
      </w:pPr>
      <w:r>
        <w:rPr>
          <w:rStyle w:val="EndnoteReference"/>
        </w:rPr>
        <w:endnoteRef/>
      </w:r>
      <w:r>
        <w:t xml:space="preserve"> </w:t>
      </w:r>
      <w:hyperlink r:id="rId29" w:history="1">
        <w:r w:rsidRPr="00B95B55">
          <w:rPr>
            <w:rStyle w:val="Hyperlink"/>
            <w:lang w:val="en-US"/>
          </w:rPr>
          <w:t>Explanatory Memorandum</w:t>
        </w:r>
      </w:hyperlink>
      <w:r w:rsidR="00853F11">
        <w:rPr>
          <w:lang w:val="en-US"/>
        </w:rPr>
        <w:t xml:space="preserve"> circulated by Senator David Poco</w:t>
      </w:r>
      <w:r w:rsidR="00E378DB">
        <w:rPr>
          <w:lang w:val="en-US"/>
        </w:rPr>
        <w:t>c</w:t>
      </w:r>
      <w:r w:rsidR="00853F11">
        <w:rPr>
          <w:lang w:val="en-US"/>
        </w:rPr>
        <w:t xml:space="preserve">k regarding </w:t>
      </w:r>
      <w:r w:rsidR="00853F11">
        <w:t xml:space="preserve">the </w:t>
      </w:r>
      <w:hyperlink r:id="rId30" w:history="1">
        <w:r w:rsidR="00853F11" w:rsidRPr="008712DE">
          <w:rPr>
            <w:rStyle w:val="Hyperlink"/>
          </w:rPr>
          <w:t>Bill</w:t>
        </w:r>
      </w:hyperlink>
      <w:r w:rsidR="00E378DB">
        <w:rPr>
          <w:rStyle w:val="Hyperlink"/>
        </w:rPr>
        <w:t>.</w:t>
      </w:r>
    </w:p>
  </w:endnote>
  <w:endnote w:id="22">
    <w:p w14:paraId="7F46137F" w14:textId="6C8D1AD6" w:rsidR="00AB5608" w:rsidRPr="008712DE" w:rsidRDefault="00AB5608" w:rsidP="004517D7">
      <w:pPr>
        <w:pStyle w:val="EndnoteText"/>
        <w:rPr>
          <w:lang w:val="en-US"/>
        </w:rPr>
      </w:pPr>
      <w:r w:rsidRPr="008712DE">
        <w:rPr>
          <w:rStyle w:val="EndnoteReference"/>
        </w:rPr>
        <w:endnoteRef/>
      </w:r>
      <w:r w:rsidRPr="008712DE">
        <w:t xml:space="preserve"> </w:t>
      </w:r>
      <w:r w:rsidRPr="008712DE">
        <w:rPr>
          <w:i/>
          <w:iCs/>
        </w:rPr>
        <w:t xml:space="preserve">Sharma &amp; Ors v Minister for the Environment </w:t>
      </w:r>
      <w:hyperlink r:id="rId31" w:history="1">
        <w:r w:rsidRPr="008712DE">
          <w:rPr>
            <w:rStyle w:val="Hyperlink"/>
            <w:lang w:val="en-US"/>
          </w:rPr>
          <w:t>[2021] FCA 560</w:t>
        </w:r>
      </w:hyperlink>
      <w:r w:rsidRPr="008712DE">
        <w:t>.</w:t>
      </w:r>
    </w:p>
  </w:endnote>
  <w:endnote w:id="23">
    <w:p w14:paraId="63DF6297" w14:textId="53845EB8" w:rsidR="00AB5608" w:rsidRPr="008712DE" w:rsidRDefault="00AB5608" w:rsidP="003152EE">
      <w:pPr>
        <w:pStyle w:val="EndnoteText"/>
        <w:rPr>
          <w:lang w:val="en-US"/>
        </w:rPr>
      </w:pPr>
      <w:r w:rsidRPr="008712DE">
        <w:rPr>
          <w:rStyle w:val="EndnoteReference"/>
        </w:rPr>
        <w:endnoteRef/>
      </w:r>
      <w:r w:rsidRPr="008712DE">
        <w:t xml:space="preserve"> </w:t>
      </w:r>
      <w:r w:rsidRPr="008712DE">
        <w:rPr>
          <w:i/>
          <w:iCs/>
        </w:rPr>
        <w:t xml:space="preserve">Sharma &amp; Ors v Minister for the Environment </w:t>
      </w:r>
      <w:hyperlink r:id="rId32" w:history="1">
        <w:r w:rsidRPr="008712DE">
          <w:rPr>
            <w:rStyle w:val="Hyperlink"/>
            <w:lang w:val="en-US"/>
          </w:rPr>
          <w:t>[2021] FCA 560</w:t>
        </w:r>
      </w:hyperlink>
      <w:r w:rsidRPr="008712DE">
        <w:t xml:space="preserve"> at [513]. </w:t>
      </w:r>
      <w:r w:rsidRPr="008712DE">
        <w:rPr>
          <w:lang w:val="en-US"/>
        </w:rPr>
        <w:t xml:space="preserve">The duty applied to decisions by the federal minister for the environment made under s 130 or s 133 of the </w:t>
      </w:r>
      <w:hyperlink r:id="rId33" w:history="1">
        <w:r w:rsidRPr="008712DE">
          <w:rPr>
            <w:rStyle w:val="Hyperlink"/>
            <w:i/>
            <w:iCs/>
            <w:lang w:val="en-US"/>
          </w:rPr>
          <w:t xml:space="preserve">Environmental Protection and Biodiversity Conservation Act 1999 </w:t>
        </w:r>
        <w:bookmarkStart w:id="41" w:name="_Hlt150954759"/>
        <w:bookmarkStart w:id="42" w:name="_Hlt150954760"/>
        <w:r w:rsidRPr="008712DE">
          <w:rPr>
            <w:rStyle w:val="Hyperlink"/>
            <w:lang w:val="en-US"/>
          </w:rPr>
          <w:t>(</w:t>
        </w:r>
        <w:bookmarkEnd w:id="41"/>
        <w:bookmarkEnd w:id="42"/>
        <w:r w:rsidRPr="008712DE">
          <w:rPr>
            <w:rStyle w:val="Hyperlink"/>
            <w:lang w:val="en-US"/>
          </w:rPr>
          <w:t>Cth)</w:t>
        </w:r>
      </w:hyperlink>
      <w:r w:rsidRPr="008712DE">
        <w:rPr>
          <w:lang w:val="en-US"/>
        </w:rPr>
        <w:t xml:space="preserve"> (EPBC Act). </w:t>
      </w:r>
    </w:p>
  </w:endnote>
  <w:endnote w:id="24">
    <w:p w14:paraId="0BD6154C" w14:textId="47A40C4E" w:rsidR="00AB5608" w:rsidRPr="008712DE" w:rsidRDefault="00AB5608" w:rsidP="003152EE">
      <w:pPr>
        <w:pStyle w:val="EndnoteText"/>
        <w:rPr>
          <w:lang w:val="en-US"/>
        </w:rPr>
      </w:pPr>
      <w:r w:rsidRPr="008712DE">
        <w:rPr>
          <w:rStyle w:val="EndnoteReference"/>
        </w:rPr>
        <w:endnoteRef/>
      </w:r>
      <w:r w:rsidRPr="008712DE">
        <w:t xml:space="preserve"> </w:t>
      </w:r>
      <w:r w:rsidRPr="008712DE">
        <w:rPr>
          <w:i/>
          <w:iCs/>
        </w:rPr>
        <w:t xml:space="preserve">Sharma &amp; Ors v Minister for the Environment </w:t>
      </w:r>
      <w:r w:rsidR="00F36694">
        <w:rPr>
          <w:i/>
          <w:iCs/>
        </w:rPr>
        <w:t xml:space="preserve">(No 2) </w:t>
      </w:r>
      <w:hyperlink r:id="rId34" w:history="1">
        <w:r w:rsidRPr="008712DE">
          <w:rPr>
            <w:rStyle w:val="Hyperlink"/>
            <w:lang w:val="en-US"/>
          </w:rPr>
          <w:t>[2021] FCA 774</w:t>
        </w:r>
      </w:hyperlink>
      <w:r w:rsidRPr="008712DE">
        <w:rPr>
          <w:lang w:val="en-US"/>
        </w:rPr>
        <w:t xml:space="preserve"> </w:t>
      </w:r>
      <w:r w:rsidRPr="008712DE">
        <w:t>at [58].</w:t>
      </w:r>
    </w:p>
  </w:endnote>
  <w:endnote w:id="25">
    <w:p w14:paraId="32F73D22" w14:textId="77777777" w:rsidR="00AB5608" w:rsidRPr="008712DE" w:rsidRDefault="00AB5608" w:rsidP="003152EE">
      <w:pPr>
        <w:pStyle w:val="EndnoteText"/>
        <w:rPr>
          <w:i/>
          <w:lang w:val="en-US"/>
        </w:rPr>
      </w:pPr>
      <w:r w:rsidRPr="008712DE">
        <w:rPr>
          <w:rStyle w:val="EndnoteReference"/>
        </w:rPr>
        <w:endnoteRef/>
      </w:r>
      <w:r w:rsidRPr="008712DE">
        <w:t xml:space="preserve"> </w:t>
      </w:r>
      <w:r w:rsidRPr="008712DE">
        <w:rPr>
          <w:i/>
          <w:iCs/>
        </w:rPr>
        <w:t>Minister for the Environment v Sharma &amp; Ors</w:t>
      </w:r>
      <w:r w:rsidRPr="008712DE">
        <w:t xml:space="preserve"> </w:t>
      </w:r>
      <w:hyperlink r:id="rId35" w:history="1">
        <w:r w:rsidRPr="008712DE">
          <w:rPr>
            <w:rStyle w:val="Hyperlink"/>
            <w:lang w:val="en-US"/>
          </w:rPr>
          <w:t>[2022] FCAFC 35</w:t>
        </w:r>
      </w:hyperlink>
      <w:r w:rsidRPr="008712DE">
        <w:rPr>
          <w:lang w:val="en-US"/>
        </w:rPr>
        <w:t>.</w:t>
      </w:r>
    </w:p>
  </w:endnote>
  <w:endnote w:id="26">
    <w:p w14:paraId="5A318897" w14:textId="71DD429F" w:rsidR="00AB5608" w:rsidRPr="008712DE" w:rsidRDefault="00AB5608" w:rsidP="00BE0F5F">
      <w:pPr>
        <w:pStyle w:val="EndnoteText"/>
        <w:rPr>
          <w:lang w:val="en-US"/>
        </w:rPr>
      </w:pPr>
      <w:r w:rsidRPr="008712DE">
        <w:rPr>
          <w:rStyle w:val="EndnoteReference"/>
        </w:rPr>
        <w:endnoteRef/>
      </w:r>
      <w:r w:rsidRPr="008712DE">
        <w:t xml:space="preserve"> </w:t>
      </w:r>
      <w:hyperlink r:id="rId36" w:history="1">
        <w:r w:rsidR="00E0188E" w:rsidRPr="00792802">
          <w:rPr>
            <w:rStyle w:val="Hyperlink"/>
            <w:rFonts w:cs="Open Sans"/>
          </w:rPr>
          <w:t>CRC General Comment No. 26</w:t>
        </w:r>
      </w:hyperlink>
      <w:r w:rsidRPr="008712DE">
        <w:rPr>
          <w:rFonts w:cs="Open Sans"/>
          <w:iCs/>
        </w:rPr>
        <w:t xml:space="preserve"> at [16</w:t>
      </w:r>
      <w:r w:rsidR="00E36DE0">
        <w:rPr>
          <w:rFonts w:cs="Open Sans"/>
          <w:iCs/>
        </w:rPr>
        <w:t>]</w:t>
      </w:r>
      <w:r w:rsidR="00792802">
        <w:rPr>
          <w:rFonts w:cs="Open Sans"/>
          <w:iCs/>
        </w:rPr>
        <w:t>.</w:t>
      </w:r>
    </w:p>
  </w:endnote>
  <w:endnote w:id="27">
    <w:p w14:paraId="13628425" w14:textId="7BAC3F19" w:rsidR="00AB5608" w:rsidRPr="008712DE" w:rsidRDefault="00AB5608">
      <w:pPr>
        <w:pStyle w:val="EndnoteText"/>
      </w:pPr>
      <w:r w:rsidRPr="008712DE">
        <w:rPr>
          <w:rStyle w:val="EndnoteReference"/>
        </w:rPr>
        <w:endnoteRef/>
      </w:r>
      <w:r w:rsidRPr="008712DE">
        <w:t xml:space="preserve"> </w:t>
      </w:r>
      <w:hyperlink r:id="rId37" w:history="1">
        <w:r w:rsidRPr="008712DE">
          <w:rPr>
            <w:rStyle w:val="Hyperlink"/>
            <w:lang w:val="en-US"/>
          </w:rPr>
          <w:t>CRC General Comment No. 26</w:t>
        </w:r>
      </w:hyperlink>
      <w:r w:rsidRPr="008712DE">
        <w:rPr>
          <w:lang w:val="en-US"/>
        </w:rPr>
        <w:t xml:space="preserve"> </w:t>
      </w:r>
      <w:r w:rsidRPr="008712DE">
        <w:t>at [11].</w:t>
      </w:r>
    </w:p>
  </w:endnote>
  <w:endnote w:id="28">
    <w:p w14:paraId="19524499" w14:textId="40D5C414" w:rsidR="00AB5608" w:rsidRPr="008712DE" w:rsidRDefault="00AB5608">
      <w:pPr>
        <w:pStyle w:val="EndnoteText"/>
      </w:pPr>
      <w:r w:rsidRPr="008712DE">
        <w:rPr>
          <w:rStyle w:val="EndnoteReference"/>
        </w:rPr>
        <w:endnoteRef/>
      </w:r>
      <w:r w:rsidRPr="008712DE">
        <w:t xml:space="preserve"> </w:t>
      </w:r>
      <w:hyperlink r:id="rId38" w:history="1">
        <w:r w:rsidRPr="008712DE">
          <w:rPr>
            <w:rStyle w:val="Hyperlink"/>
            <w:lang w:val="en-US"/>
          </w:rPr>
          <w:t>CRC General Comment No. 26</w:t>
        </w:r>
      </w:hyperlink>
      <w:r w:rsidRPr="008712DE">
        <w:rPr>
          <w:lang w:val="en-US"/>
        </w:rPr>
        <w:t xml:space="preserve"> </w:t>
      </w:r>
      <w:r w:rsidRPr="008712DE">
        <w:t>at [24] and [25].</w:t>
      </w:r>
    </w:p>
  </w:endnote>
  <w:endnote w:id="29">
    <w:p w14:paraId="3D785895" w14:textId="77777777" w:rsidR="00AB5608" w:rsidRPr="008712DE" w:rsidRDefault="00AB5608" w:rsidP="00FA6838">
      <w:pPr>
        <w:pStyle w:val="EndnoteText"/>
        <w:rPr>
          <w:lang w:val="en-US"/>
        </w:rPr>
      </w:pPr>
      <w:r w:rsidRPr="008712DE">
        <w:rPr>
          <w:rStyle w:val="EndnoteReference"/>
        </w:rPr>
        <w:endnoteRef/>
      </w:r>
      <w:r w:rsidRPr="008712DE">
        <w:t xml:space="preserve"> </w:t>
      </w:r>
      <w:hyperlink r:id="rId39" w:history="1">
        <w:r w:rsidRPr="008712DE">
          <w:rPr>
            <w:rStyle w:val="Hyperlink"/>
            <w:lang w:val="en-US"/>
          </w:rPr>
          <w:t>CRC General Comment No. 26</w:t>
        </w:r>
      </w:hyperlink>
      <w:r w:rsidRPr="008712DE">
        <w:rPr>
          <w:lang w:val="en-US"/>
        </w:rPr>
        <w:t xml:space="preserve"> </w:t>
      </w:r>
      <w:r w:rsidRPr="008712DE">
        <w:t xml:space="preserve">at </w:t>
      </w:r>
      <w:r w:rsidRPr="008712DE">
        <w:rPr>
          <w:lang w:val="en-US"/>
        </w:rPr>
        <w:t>[14]</w:t>
      </w:r>
    </w:p>
  </w:endnote>
  <w:endnote w:id="30">
    <w:p w14:paraId="28FB4061" w14:textId="107E0EA4" w:rsidR="00AB5608" w:rsidRPr="008712DE" w:rsidRDefault="00AB5608" w:rsidP="006C3462">
      <w:pPr>
        <w:pStyle w:val="EndnoteText"/>
        <w:rPr>
          <w:lang w:val="en-US"/>
        </w:rPr>
      </w:pPr>
      <w:r w:rsidRPr="008712DE">
        <w:rPr>
          <w:rStyle w:val="EndnoteReference"/>
        </w:rPr>
        <w:endnoteRef/>
      </w:r>
      <w:r w:rsidRPr="008712DE">
        <w:t xml:space="preserve"> </w:t>
      </w:r>
      <w:r w:rsidRPr="008712DE">
        <w:rPr>
          <w:i/>
          <w:iCs/>
        </w:rPr>
        <w:t xml:space="preserve">Sharma &amp; Ors v Minister for the Environment </w:t>
      </w:r>
      <w:r w:rsidR="009A6411">
        <w:rPr>
          <w:i/>
          <w:iCs/>
        </w:rPr>
        <w:t>(No 2)</w:t>
      </w:r>
      <w:r w:rsidRPr="008712DE">
        <w:rPr>
          <w:i/>
          <w:iCs/>
        </w:rPr>
        <w:t xml:space="preserve"> </w:t>
      </w:r>
      <w:hyperlink r:id="rId40" w:history="1">
        <w:r w:rsidRPr="008712DE">
          <w:rPr>
            <w:rStyle w:val="Hyperlink"/>
            <w:lang w:val="en-US"/>
          </w:rPr>
          <w:t>[2021] FCA 774</w:t>
        </w:r>
      </w:hyperlink>
      <w:r w:rsidRPr="008712DE">
        <w:rPr>
          <w:lang w:val="en-US"/>
        </w:rPr>
        <w:t xml:space="preserve"> </w:t>
      </w:r>
      <w:r w:rsidRPr="008712DE">
        <w:t>at [58].</w:t>
      </w:r>
    </w:p>
  </w:endnote>
  <w:endnote w:id="31">
    <w:p w14:paraId="581B5C04" w14:textId="56751D2A" w:rsidR="00AB5608" w:rsidRPr="008712DE" w:rsidRDefault="00AB5608" w:rsidP="009C5D3A">
      <w:pPr>
        <w:pStyle w:val="EndnoteText"/>
      </w:pPr>
      <w:r w:rsidRPr="008712DE">
        <w:rPr>
          <w:rStyle w:val="EndnoteReference"/>
        </w:rPr>
        <w:endnoteRef/>
      </w:r>
      <w:r w:rsidRPr="008712DE">
        <w:t xml:space="preserve"> </w:t>
      </w:r>
      <w:hyperlink r:id="rId41" w:history="1">
        <w:r w:rsidRPr="008712DE">
          <w:rPr>
            <w:rStyle w:val="Hyperlink"/>
            <w:lang w:val="en-US"/>
          </w:rPr>
          <w:t>CRC General Comment No. 26</w:t>
        </w:r>
      </w:hyperlink>
      <w:r w:rsidRPr="008712DE">
        <w:rPr>
          <w:lang w:val="en-US"/>
        </w:rPr>
        <w:t xml:space="preserve"> </w:t>
      </w:r>
      <w:r w:rsidRPr="008712DE">
        <w:t>at [27].</w:t>
      </w:r>
    </w:p>
  </w:endnote>
  <w:endnote w:id="32">
    <w:p w14:paraId="0F66E769" w14:textId="37E42EA0" w:rsidR="00AB5608" w:rsidRPr="008712DE" w:rsidRDefault="00AB5608">
      <w:pPr>
        <w:pStyle w:val="EndnoteText"/>
        <w:rPr>
          <w:lang w:val="en-US"/>
        </w:rPr>
      </w:pPr>
      <w:r w:rsidRPr="008712DE">
        <w:rPr>
          <w:rStyle w:val="EndnoteReference"/>
        </w:rPr>
        <w:endnoteRef/>
      </w:r>
      <w:r w:rsidRPr="008712DE">
        <w:t xml:space="preserve"> Schedule 1, clause 6 of the </w:t>
      </w:r>
      <w:hyperlink r:id="rId42" w:history="1">
        <w:r w:rsidRPr="008712DE">
          <w:rPr>
            <w:rStyle w:val="Hyperlink"/>
          </w:rPr>
          <w:t>Bill,</w:t>
        </w:r>
      </w:hyperlink>
      <w:r w:rsidRPr="008712DE">
        <w:t xml:space="preserve"> which seeks to insert Part 4A, including section 15D, into the </w:t>
      </w:r>
      <w:hyperlink r:id="rId43" w:history="1">
        <w:r w:rsidRPr="008712DE">
          <w:rPr>
            <w:rStyle w:val="Hyperlink"/>
          </w:rPr>
          <w:t>CCA</w:t>
        </w:r>
      </w:hyperlink>
      <w:r w:rsidRPr="008712DE">
        <w:t>.</w:t>
      </w:r>
    </w:p>
  </w:endnote>
  <w:endnote w:id="33">
    <w:p w14:paraId="4F4B8048" w14:textId="39321CCF" w:rsidR="00AB5608" w:rsidRPr="008712DE" w:rsidRDefault="00AB5608" w:rsidP="0048309F">
      <w:pPr>
        <w:pStyle w:val="EndnoteText"/>
        <w:rPr>
          <w:lang w:val="en-US"/>
        </w:rPr>
      </w:pPr>
      <w:r w:rsidRPr="008712DE">
        <w:rPr>
          <w:rStyle w:val="EndnoteReference"/>
        </w:rPr>
        <w:endnoteRef/>
      </w:r>
      <w:r w:rsidRPr="008712DE">
        <w:t xml:space="preserve"> </w:t>
      </w:r>
      <w:hyperlink r:id="rId44" w:history="1">
        <w:r w:rsidRPr="008712DE">
          <w:rPr>
            <w:rStyle w:val="Hyperlink"/>
            <w:lang w:val="en-US"/>
          </w:rPr>
          <w:t>CRC General Comment No. 26</w:t>
        </w:r>
      </w:hyperlink>
      <w:r w:rsidRPr="008712DE">
        <w:rPr>
          <w:lang w:val="en-US"/>
        </w:rPr>
        <w:t xml:space="preserve"> </w:t>
      </w:r>
      <w:r w:rsidRPr="008712DE">
        <w:t xml:space="preserve">at </w:t>
      </w:r>
      <w:r w:rsidRPr="008712DE">
        <w:rPr>
          <w:lang w:val="en-US"/>
        </w:rPr>
        <w:t>[12]</w:t>
      </w:r>
    </w:p>
  </w:endnote>
  <w:endnote w:id="34">
    <w:p w14:paraId="04B93470" w14:textId="194EB74D" w:rsidR="00AB5608" w:rsidRPr="008712DE" w:rsidRDefault="00AB5608">
      <w:pPr>
        <w:pStyle w:val="EndnoteText"/>
        <w:rPr>
          <w:lang w:val="en-US"/>
        </w:rPr>
      </w:pPr>
      <w:r w:rsidRPr="008712DE">
        <w:rPr>
          <w:rStyle w:val="EndnoteReference"/>
        </w:rPr>
        <w:endnoteRef/>
      </w:r>
      <w:r w:rsidRPr="008712DE">
        <w:t xml:space="preserve"> </w:t>
      </w:r>
      <w:hyperlink r:id="rId45" w:history="1">
        <w:r w:rsidRPr="008712DE">
          <w:rPr>
            <w:rStyle w:val="Hyperlink"/>
            <w:lang w:val="en-US"/>
          </w:rPr>
          <w:t>CRC General Comment No. 26</w:t>
        </w:r>
      </w:hyperlink>
      <w:r w:rsidRPr="008712DE">
        <w:rPr>
          <w:lang w:val="en-US"/>
        </w:rPr>
        <w:t xml:space="preserve"> at [17] and [61].</w:t>
      </w:r>
    </w:p>
  </w:endnote>
  <w:endnote w:id="35">
    <w:p w14:paraId="358C4854" w14:textId="4AEA4B11" w:rsidR="00AB5608" w:rsidRPr="008712DE" w:rsidRDefault="00AB5608">
      <w:pPr>
        <w:pStyle w:val="EndnoteText"/>
        <w:rPr>
          <w:lang w:val="en-US"/>
        </w:rPr>
      </w:pPr>
      <w:r w:rsidRPr="008712DE">
        <w:rPr>
          <w:rStyle w:val="EndnoteReference"/>
        </w:rPr>
        <w:endnoteRef/>
      </w:r>
      <w:r w:rsidRPr="008712DE">
        <w:t xml:space="preserve"> </w:t>
      </w:r>
      <w:hyperlink r:id="rId46" w:history="1">
        <w:r w:rsidRPr="008712DE">
          <w:rPr>
            <w:rStyle w:val="Hyperlink"/>
            <w:lang w:val="en-US"/>
          </w:rPr>
          <w:t>CRC General Comment No. 26</w:t>
        </w:r>
      </w:hyperlink>
      <w:r w:rsidRPr="008712DE">
        <w:rPr>
          <w:lang w:val="en-US"/>
        </w:rPr>
        <w:t xml:space="preserve"> at [H] from [37].</w:t>
      </w:r>
    </w:p>
  </w:endnote>
  <w:endnote w:id="36">
    <w:p w14:paraId="6417CAAA" w14:textId="77777777" w:rsidR="00AB5608" w:rsidRPr="008712DE" w:rsidRDefault="00AB5608" w:rsidP="0008556F">
      <w:pPr>
        <w:pStyle w:val="EndnoteText"/>
        <w:rPr>
          <w:lang w:val="en-US"/>
        </w:rPr>
      </w:pPr>
      <w:r w:rsidRPr="008712DE">
        <w:rPr>
          <w:rStyle w:val="EndnoteReference"/>
        </w:rPr>
        <w:endnoteRef/>
      </w:r>
      <w:r w:rsidRPr="008712DE">
        <w:t xml:space="preserve"> </w:t>
      </w:r>
      <w:hyperlink r:id="rId47" w:history="1">
        <w:r w:rsidRPr="008712DE">
          <w:rPr>
            <w:rStyle w:val="Hyperlink"/>
            <w:lang w:val="en-US"/>
          </w:rPr>
          <w:t>CRC General Comment No. 26</w:t>
        </w:r>
      </w:hyperlink>
      <w:r w:rsidRPr="008712DE">
        <w:rPr>
          <w:lang w:val="en-US"/>
        </w:rPr>
        <w:t xml:space="preserve"> at [8].</w:t>
      </w:r>
    </w:p>
  </w:endnote>
  <w:endnote w:id="37">
    <w:p w14:paraId="7FC6D5F6" w14:textId="77777777" w:rsidR="00AB5608" w:rsidRPr="008712DE" w:rsidRDefault="00AB5608" w:rsidP="0008556F">
      <w:pPr>
        <w:pStyle w:val="EndnoteText"/>
        <w:rPr>
          <w:lang w:val="en-US"/>
        </w:rPr>
      </w:pPr>
      <w:r w:rsidRPr="008712DE">
        <w:rPr>
          <w:rStyle w:val="EndnoteReference"/>
        </w:rPr>
        <w:endnoteRef/>
      </w:r>
      <w:r w:rsidRPr="008712DE">
        <w:t xml:space="preserve"> </w:t>
      </w:r>
      <w:hyperlink r:id="rId48" w:history="1">
        <w:r w:rsidRPr="008712DE">
          <w:rPr>
            <w:rStyle w:val="Hyperlink"/>
            <w:lang w:val="en-US"/>
          </w:rPr>
          <w:t>CRC General Comment No. 26</w:t>
        </w:r>
      </w:hyperlink>
      <w:r w:rsidRPr="008712DE">
        <w:rPr>
          <w:lang w:val="en-US"/>
        </w:rPr>
        <w:t xml:space="preserve"> at [17].</w:t>
      </w:r>
    </w:p>
  </w:endnote>
  <w:endnote w:id="38">
    <w:p w14:paraId="0A0B4864" w14:textId="77777777" w:rsidR="00AB5608" w:rsidRPr="008712DE" w:rsidRDefault="00AB5608" w:rsidP="0008556F">
      <w:pPr>
        <w:pStyle w:val="EndnoteText"/>
        <w:rPr>
          <w:lang w:val="en-US"/>
        </w:rPr>
      </w:pPr>
      <w:r w:rsidRPr="008712DE">
        <w:rPr>
          <w:rStyle w:val="EndnoteReference"/>
        </w:rPr>
        <w:endnoteRef/>
      </w:r>
      <w:r w:rsidRPr="008712DE">
        <w:t xml:space="preserve"> </w:t>
      </w:r>
      <w:hyperlink r:id="rId49" w:history="1">
        <w:r w:rsidRPr="008712DE">
          <w:rPr>
            <w:rStyle w:val="Hyperlink"/>
            <w:lang w:val="en-US"/>
          </w:rPr>
          <w:t>CRC General Comment No. 26</w:t>
        </w:r>
      </w:hyperlink>
      <w:r w:rsidRPr="008712DE">
        <w:rPr>
          <w:lang w:val="en-US"/>
        </w:rPr>
        <w:t xml:space="preserve"> at [16].</w:t>
      </w:r>
    </w:p>
  </w:endnote>
  <w:endnote w:id="39">
    <w:p w14:paraId="42D85F6C" w14:textId="1A3EFE8B" w:rsidR="00AB5608" w:rsidRPr="008712DE" w:rsidRDefault="00AB5608">
      <w:pPr>
        <w:pStyle w:val="EndnoteText"/>
        <w:rPr>
          <w:lang w:val="en-US"/>
        </w:rPr>
      </w:pPr>
      <w:r w:rsidRPr="005841D0">
        <w:rPr>
          <w:rStyle w:val="EndnoteReference"/>
        </w:rPr>
        <w:endnoteRef/>
      </w:r>
      <w:r w:rsidRPr="005841D0">
        <w:t xml:space="preserve"> </w:t>
      </w:r>
      <w:r w:rsidR="00662045" w:rsidRPr="005841D0">
        <w:t xml:space="preserve">Schedule 1, </w:t>
      </w:r>
      <w:r w:rsidR="00DA0BF7" w:rsidRPr="00DA0BF7">
        <w:t xml:space="preserve">clause 6 of the </w:t>
      </w:r>
      <w:hyperlink r:id="rId50" w:history="1">
        <w:r w:rsidR="00DA0BF7" w:rsidRPr="00DA0BF7">
          <w:rPr>
            <w:rStyle w:val="Hyperlink"/>
          </w:rPr>
          <w:t>Bill</w:t>
        </w:r>
      </w:hyperlink>
      <w:r w:rsidR="00DA0BF7" w:rsidRPr="00DA0BF7">
        <w:t xml:space="preserve">, which seeks to insert Part 4A, including section 15E(2), into the </w:t>
      </w:r>
      <w:hyperlink r:id="rId51" w:history="1">
        <w:r w:rsidR="00DA0BF7" w:rsidRPr="00DA0BF7">
          <w:rPr>
            <w:rStyle w:val="Hyperlink"/>
          </w:rPr>
          <w:t>CCA</w:t>
        </w:r>
      </w:hyperlink>
      <w:r w:rsidR="00DA0BF7" w:rsidRPr="00DA0BF7">
        <w:t>.</w:t>
      </w:r>
      <w:r w:rsidR="00DA0BF7" w:rsidRPr="00DA0BF7">
        <w:rPr>
          <w:lang w:val="en-US"/>
        </w:rPr>
        <w:t xml:space="preserve"> </w:t>
      </w:r>
    </w:p>
  </w:endnote>
  <w:endnote w:id="40">
    <w:p w14:paraId="6C7089DD" w14:textId="6674F34B" w:rsidR="00AB5608" w:rsidRPr="008712DE" w:rsidRDefault="00AB5608" w:rsidP="004D5C2A">
      <w:pPr>
        <w:pStyle w:val="EndnoteText"/>
        <w:rPr>
          <w:lang w:val="en-US"/>
        </w:rPr>
      </w:pPr>
      <w:r w:rsidRPr="008712DE">
        <w:rPr>
          <w:rStyle w:val="EndnoteReference"/>
        </w:rPr>
        <w:endnoteRef/>
      </w:r>
      <w:r w:rsidRPr="008712DE">
        <w:t xml:space="preserve"> </w:t>
      </w:r>
      <w:hyperlink r:id="rId52" w:history="1">
        <w:r w:rsidRPr="008712DE">
          <w:rPr>
            <w:rStyle w:val="Hyperlink"/>
          </w:rPr>
          <w:t>CRC</w:t>
        </w:r>
      </w:hyperlink>
      <w:r w:rsidRPr="008712DE">
        <w:t xml:space="preserve"> </w:t>
      </w:r>
      <w:r w:rsidRPr="008712DE" w:rsidDel="00030FDD">
        <w:t xml:space="preserve">at </w:t>
      </w:r>
      <w:r w:rsidRPr="008712DE">
        <w:t xml:space="preserve">art 2 and </w:t>
      </w:r>
      <w:hyperlink r:id="rId53" w:history="1">
        <w:r w:rsidRPr="008712DE">
          <w:rPr>
            <w:rStyle w:val="Hyperlink"/>
            <w:lang w:val="en-US"/>
          </w:rPr>
          <w:t>CRC General Comment No. 26</w:t>
        </w:r>
      </w:hyperlink>
      <w:r w:rsidRPr="008712DE">
        <w:rPr>
          <w:lang w:val="en-US"/>
        </w:rPr>
        <w:t xml:space="preserve"> </w:t>
      </w:r>
      <w:r w:rsidRPr="008712DE">
        <w:t>at [14]</w:t>
      </w:r>
      <w:r w:rsidR="00127773">
        <w:t xml:space="preserve"> and </w:t>
      </w:r>
      <w:r w:rsidRPr="008712DE">
        <w:t>[15].</w:t>
      </w:r>
    </w:p>
  </w:endnote>
  <w:endnote w:id="41">
    <w:p w14:paraId="4C9CE2CD" w14:textId="487BA809" w:rsidR="00AB5608" w:rsidRPr="008712DE" w:rsidRDefault="00AB5608" w:rsidP="00C54CA6">
      <w:pPr>
        <w:pStyle w:val="EndnoteText"/>
      </w:pPr>
      <w:r w:rsidRPr="008712DE">
        <w:rPr>
          <w:rStyle w:val="EndnoteReference"/>
        </w:rPr>
        <w:endnoteRef/>
      </w:r>
      <w:r w:rsidRPr="008712DE">
        <w:t xml:space="preserve"> </w:t>
      </w:r>
      <w:hyperlink r:id="rId54" w:history="1">
        <w:r w:rsidRPr="008712DE">
          <w:rPr>
            <w:rStyle w:val="Hyperlink"/>
            <w:lang w:val="en-US"/>
          </w:rPr>
          <w:t>CRC General Comment No. 26</w:t>
        </w:r>
      </w:hyperlink>
      <w:r w:rsidRPr="008712DE">
        <w:rPr>
          <w:lang w:val="en-US"/>
        </w:rPr>
        <w:t xml:space="preserve"> </w:t>
      </w:r>
      <w:r w:rsidRPr="008712DE">
        <w:t>at [58].</w:t>
      </w:r>
    </w:p>
  </w:endnote>
  <w:endnote w:id="42">
    <w:p w14:paraId="73B70442" w14:textId="6838BD02" w:rsidR="00AB5608" w:rsidRPr="008712DE" w:rsidRDefault="00AB5608" w:rsidP="00A50314">
      <w:pPr>
        <w:pStyle w:val="EndnoteText"/>
        <w:rPr>
          <w:lang w:val="en-US"/>
        </w:rPr>
      </w:pPr>
      <w:r w:rsidRPr="008712DE">
        <w:rPr>
          <w:rStyle w:val="EndnoteReference"/>
        </w:rPr>
        <w:endnoteRef/>
      </w:r>
      <w:r w:rsidRPr="008712DE">
        <w:t xml:space="preserve"> </w:t>
      </w:r>
      <w:hyperlink r:id="rId55" w:history="1">
        <w:r w:rsidRPr="008712DE">
          <w:rPr>
            <w:rStyle w:val="Hyperlink"/>
            <w:lang w:val="en-US"/>
          </w:rPr>
          <w:t>CRC</w:t>
        </w:r>
      </w:hyperlink>
      <w:r w:rsidRPr="008712DE">
        <w:rPr>
          <w:lang w:val="en-US"/>
        </w:rPr>
        <w:t xml:space="preserve"> </w:t>
      </w:r>
      <w:r w:rsidRPr="008712DE" w:rsidDel="00030FDD">
        <w:rPr>
          <w:lang w:val="en-US"/>
        </w:rPr>
        <w:t xml:space="preserve">at </w:t>
      </w:r>
      <w:r w:rsidRPr="008712DE">
        <w:rPr>
          <w:lang w:val="en-US"/>
        </w:rPr>
        <w:t>art 2.</w:t>
      </w:r>
    </w:p>
  </w:endnote>
  <w:endnote w:id="43">
    <w:p w14:paraId="2CC22818" w14:textId="42FF0DC1" w:rsidR="00AB5608" w:rsidRPr="008712DE" w:rsidRDefault="00AB5608" w:rsidP="0010089B">
      <w:pPr>
        <w:pStyle w:val="EndnoteText"/>
        <w:rPr>
          <w:lang w:val="en-US"/>
        </w:rPr>
      </w:pPr>
      <w:r w:rsidRPr="008712DE">
        <w:rPr>
          <w:rStyle w:val="EndnoteReference"/>
        </w:rPr>
        <w:endnoteRef/>
      </w:r>
      <w:r w:rsidRPr="008712DE">
        <w:t xml:space="preserve"> </w:t>
      </w:r>
      <w:hyperlink r:id="rId56" w:history="1">
        <w:r w:rsidRPr="008712DE">
          <w:rPr>
            <w:rStyle w:val="Hyperlink"/>
            <w:lang w:val="en-US"/>
          </w:rPr>
          <w:t>CRC General Comment No. 26</w:t>
        </w:r>
      </w:hyperlink>
      <w:r w:rsidRPr="008712DE">
        <w:rPr>
          <w:lang w:val="en-US"/>
        </w:rPr>
        <w:t xml:space="preserve"> at [15].</w:t>
      </w:r>
    </w:p>
  </w:endnote>
  <w:endnote w:id="44">
    <w:p w14:paraId="3B3E020E" w14:textId="47BF545F" w:rsidR="00AB5608" w:rsidRPr="008712DE" w:rsidRDefault="00AB5608" w:rsidP="0036542F">
      <w:pPr>
        <w:pStyle w:val="EndnoteText"/>
        <w:rPr>
          <w:lang w:val="en-US"/>
        </w:rPr>
      </w:pPr>
      <w:r w:rsidRPr="008712DE">
        <w:rPr>
          <w:rStyle w:val="EndnoteReference"/>
        </w:rPr>
        <w:endnoteRef/>
      </w:r>
      <w:r w:rsidRPr="008712DE">
        <w:t xml:space="preserve"> Schedule 1, clause 6</w:t>
      </w:r>
      <w:r w:rsidR="009F28BB">
        <w:t xml:space="preserve"> or the </w:t>
      </w:r>
      <w:hyperlink r:id="rId57" w:history="1">
        <w:r w:rsidR="009F28BB" w:rsidRPr="008712DE">
          <w:rPr>
            <w:rStyle w:val="Hyperlink"/>
          </w:rPr>
          <w:t>Bill</w:t>
        </w:r>
      </w:hyperlink>
      <w:r w:rsidR="00384E0E">
        <w:rPr>
          <w:rStyle w:val="Hyperlink"/>
        </w:rPr>
        <w:t>,</w:t>
      </w:r>
      <w:r w:rsidRPr="008712DE">
        <w:t xml:space="preserve"> which seeks to insert Part 4A and s</w:t>
      </w:r>
      <w:r w:rsidR="008F5598">
        <w:t> </w:t>
      </w:r>
      <w:r w:rsidRPr="008712DE">
        <w:t xml:space="preserve">15D(1)(a) into the </w:t>
      </w:r>
      <w:hyperlink r:id="rId58" w:history="1">
        <w:r w:rsidRPr="008712DE">
          <w:rPr>
            <w:rStyle w:val="Hyperlink"/>
          </w:rPr>
          <w:t>CCA</w:t>
        </w:r>
      </w:hyperlink>
      <w:r w:rsidRPr="008712DE">
        <w:rPr>
          <w:rStyle w:val="Hyperlink"/>
        </w:rPr>
        <w:t>.</w:t>
      </w:r>
    </w:p>
  </w:endnote>
  <w:endnote w:id="45">
    <w:p w14:paraId="324CA4E1" w14:textId="42DF770E" w:rsidR="00AB5608" w:rsidRPr="008712DE" w:rsidRDefault="00AB5608" w:rsidP="00AE2E16">
      <w:pPr>
        <w:pStyle w:val="EndnoteText"/>
      </w:pPr>
      <w:r w:rsidRPr="008712DE">
        <w:rPr>
          <w:rStyle w:val="EndnoteReference"/>
        </w:rPr>
        <w:endnoteRef/>
      </w:r>
      <w:r w:rsidRPr="008712DE">
        <w:t xml:space="preserve"> UNICEF,</w:t>
      </w:r>
      <w:r w:rsidRPr="008712DE">
        <w:rPr>
          <w:i/>
          <w:iCs/>
        </w:rPr>
        <w:t xml:space="preserve"> Implementation Handbook for the Convention on the Rights of the Child</w:t>
      </w:r>
      <w:r w:rsidRPr="008712DE">
        <w:t>, revised 3</w:t>
      </w:r>
      <w:r w:rsidRPr="008712DE">
        <w:rPr>
          <w:vertAlign w:val="superscript"/>
        </w:rPr>
        <w:t>rd</w:t>
      </w:r>
      <w:r w:rsidRPr="008712DE">
        <w:t xml:space="preserve"> ed, p</w:t>
      </w:r>
      <w:r w:rsidR="008F5598">
        <w:t> </w:t>
      </w:r>
      <w:r w:rsidRPr="008712DE">
        <w:t>38</w:t>
      </w:r>
      <w:r w:rsidR="00C669D8">
        <w:t>,</w:t>
      </w:r>
      <w:r w:rsidRPr="008712DE">
        <w:t xml:space="preserve"> available at: </w:t>
      </w:r>
      <w:hyperlink r:id="rId59" w:history="1">
        <w:r w:rsidRPr="008712DE">
          <w:rPr>
            <w:rStyle w:val="Hyperlink"/>
          </w:rPr>
          <w:t>www.unicef.org/lac/media/22071/file/Implementation%20Handbook%20for%20the%20CRC.pdf</w:t>
        </w:r>
      </w:hyperlink>
    </w:p>
  </w:endnote>
  <w:endnote w:id="46">
    <w:p w14:paraId="6886462A" w14:textId="43DBC488" w:rsidR="00AB5608" w:rsidRPr="008712DE" w:rsidRDefault="00AB5608" w:rsidP="0047186D">
      <w:pPr>
        <w:pStyle w:val="EndnoteText"/>
        <w:rPr>
          <w:i/>
          <w:iCs/>
          <w:lang w:val="en-US"/>
        </w:rPr>
      </w:pPr>
      <w:r w:rsidRPr="008712DE">
        <w:rPr>
          <w:rStyle w:val="EndnoteReference"/>
        </w:rPr>
        <w:endnoteRef/>
      </w:r>
      <w:r w:rsidRPr="008712DE">
        <w:rPr>
          <w:rFonts w:cs="Open Sans"/>
        </w:rPr>
        <w:t xml:space="preserve"> </w:t>
      </w:r>
      <w:r w:rsidRPr="008712DE">
        <w:rPr>
          <w:i/>
          <w:iCs/>
        </w:rPr>
        <w:t xml:space="preserve">Wan v Minister for Immigration &amp; Multicultural Affairs </w:t>
      </w:r>
      <w:hyperlink r:id="rId60" w:history="1">
        <w:r w:rsidRPr="008712DE">
          <w:rPr>
            <w:rStyle w:val="Hyperlink"/>
          </w:rPr>
          <w:t>[2001] FCA 568</w:t>
        </w:r>
      </w:hyperlink>
      <w:r w:rsidRPr="008712DE">
        <w:t>.</w:t>
      </w:r>
    </w:p>
  </w:endnote>
  <w:endnote w:id="47">
    <w:p w14:paraId="2B79A732" w14:textId="33754569" w:rsidR="00AB5608" w:rsidRPr="008712DE" w:rsidRDefault="00AB5608">
      <w:pPr>
        <w:pStyle w:val="EndnoteText"/>
        <w:rPr>
          <w:lang w:val="en-US"/>
        </w:rPr>
      </w:pPr>
      <w:r w:rsidRPr="008712DE">
        <w:rPr>
          <w:rStyle w:val="EndnoteReference"/>
        </w:rPr>
        <w:endnoteRef/>
      </w:r>
      <w:r w:rsidRPr="008712DE">
        <w:t xml:space="preserve"> </w:t>
      </w:r>
      <w:r w:rsidRPr="008712DE">
        <w:rPr>
          <w:i/>
          <w:iCs/>
        </w:rPr>
        <w:t xml:space="preserve">Wan v Minister for Immigration &amp; Multicultural Affairs </w:t>
      </w:r>
      <w:hyperlink r:id="rId61" w:history="1">
        <w:r w:rsidRPr="008712DE">
          <w:rPr>
            <w:rStyle w:val="Hyperlink"/>
          </w:rPr>
          <w:t>[2001] FCA 568</w:t>
        </w:r>
      </w:hyperlink>
      <w:r w:rsidRPr="008712DE">
        <w:t xml:space="preserve"> at [26].</w:t>
      </w:r>
    </w:p>
  </w:endnote>
  <w:endnote w:id="48">
    <w:p w14:paraId="19C473E1" w14:textId="187F2F5F" w:rsidR="00AB5608" w:rsidRPr="008712DE" w:rsidRDefault="00AB5608" w:rsidP="00B30320">
      <w:pPr>
        <w:pStyle w:val="EndnoteText"/>
        <w:rPr>
          <w:lang w:val="en-US"/>
        </w:rPr>
      </w:pPr>
      <w:r w:rsidRPr="008712DE">
        <w:rPr>
          <w:rStyle w:val="EndnoteReference"/>
        </w:rPr>
        <w:endnoteRef/>
      </w:r>
      <w:r w:rsidRPr="008712DE">
        <w:t xml:space="preserve"> </w:t>
      </w:r>
      <w:r w:rsidRPr="008712DE">
        <w:rPr>
          <w:rFonts w:cs="Open Sans"/>
        </w:rPr>
        <w:t xml:space="preserve">Committee on the Rights of the Child </w:t>
      </w:r>
      <w:hyperlink r:id="rId62" w:history="1">
        <w:r w:rsidRPr="00E532A2">
          <w:rPr>
            <w:rStyle w:val="Hyperlink"/>
            <w:rFonts w:cs="Open Sans"/>
          </w:rPr>
          <w:t>General Comment No. 14</w:t>
        </w:r>
      </w:hyperlink>
      <w:r w:rsidRPr="008712DE">
        <w:rPr>
          <w:rFonts w:cs="Open Sans"/>
        </w:rPr>
        <w:t xml:space="preserve"> (2013) </w:t>
      </w:r>
      <w:r w:rsidRPr="008712DE">
        <w:rPr>
          <w:rFonts w:cs="Open Sans"/>
          <w:iCs/>
        </w:rPr>
        <w:t>on the right of the child to have his or her best interests taken as a primary consideration (art. 3, para. 1),</w:t>
      </w:r>
      <w:r w:rsidRPr="008712DE">
        <w:rPr>
          <w:rFonts w:cs="Open Sans"/>
        </w:rPr>
        <w:t xml:space="preserve"> 62</w:t>
      </w:r>
      <w:r w:rsidRPr="008712DE">
        <w:rPr>
          <w:rFonts w:cs="Open Sans"/>
          <w:vertAlign w:val="superscript"/>
        </w:rPr>
        <w:t>nd</w:t>
      </w:r>
      <w:r w:rsidRPr="008712DE">
        <w:rPr>
          <w:rFonts w:cs="Open Sans"/>
        </w:rPr>
        <w:t xml:space="preserve"> session, UN Doc </w:t>
      </w:r>
      <w:hyperlink r:id="rId63" w:history="1">
        <w:r w:rsidRPr="008712DE">
          <w:rPr>
            <w:rStyle w:val="Hyperlink"/>
            <w:rFonts w:cs="Open Sans"/>
          </w:rPr>
          <w:t>CRC/C/GC/14</w:t>
        </w:r>
      </w:hyperlink>
      <w:r w:rsidRPr="008712DE">
        <w:rPr>
          <w:rFonts w:cs="Open Sans"/>
        </w:rPr>
        <w:t xml:space="preserve"> (29 May 2013) at [32]</w:t>
      </w:r>
      <w:r w:rsidR="00891ED9">
        <w:rPr>
          <w:rFonts w:cs="Open Sans"/>
        </w:rPr>
        <w:t xml:space="preserve"> (CRC General Comment No. 14)</w:t>
      </w:r>
      <w:r w:rsidRPr="008712DE">
        <w:rPr>
          <w:rFonts w:cs="Open Sans"/>
        </w:rPr>
        <w:t>.</w:t>
      </w:r>
    </w:p>
  </w:endnote>
  <w:endnote w:id="49">
    <w:p w14:paraId="209E4F23" w14:textId="00DDCC47" w:rsidR="00AB5608" w:rsidRPr="008712DE" w:rsidRDefault="00AB5608" w:rsidP="00B30320">
      <w:pPr>
        <w:pStyle w:val="EndnoteText"/>
        <w:ind w:left="284" w:hanging="284"/>
        <w:rPr>
          <w:rFonts w:cs="Open Sans"/>
        </w:rPr>
      </w:pPr>
      <w:r w:rsidRPr="008712DE">
        <w:rPr>
          <w:rStyle w:val="EndnoteReference"/>
        </w:rPr>
        <w:endnoteRef/>
      </w:r>
      <w:r w:rsidRPr="008712DE">
        <w:t xml:space="preserve"> </w:t>
      </w:r>
      <w:r w:rsidRPr="008712DE">
        <w:rPr>
          <w:rFonts w:cs="Open Sans"/>
          <w:i/>
        </w:rPr>
        <w:t>Wan v Minister for Immigration &amp; Multicultural Affairs</w:t>
      </w:r>
      <w:r w:rsidRPr="008712DE">
        <w:rPr>
          <w:i/>
          <w:iCs/>
        </w:rPr>
        <w:t xml:space="preserve"> </w:t>
      </w:r>
      <w:hyperlink r:id="rId64" w:history="1">
        <w:r w:rsidRPr="008712DE">
          <w:rPr>
            <w:rStyle w:val="Hyperlink"/>
          </w:rPr>
          <w:t>[2001] FCA 568</w:t>
        </w:r>
      </w:hyperlink>
      <w:r w:rsidRPr="008712DE">
        <w:rPr>
          <w:rFonts w:cs="Open Sans"/>
        </w:rPr>
        <w:t xml:space="preserve"> at [33].</w:t>
      </w:r>
    </w:p>
  </w:endnote>
  <w:endnote w:id="50">
    <w:p w14:paraId="05DE7339" w14:textId="14AA93CA" w:rsidR="00AB5608" w:rsidRPr="008712DE" w:rsidRDefault="00AB5608" w:rsidP="001F19B8">
      <w:pPr>
        <w:pStyle w:val="EndnoteText"/>
        <w:ind w:left="720" w:hanging="720"/>
        <w:rPr>
          <w:i/>
          <w:lang w:val="en-US"/>
        </w:rPr>
      </w:pPr>
      <w:r w:rsidRPr="008712DE">
        <w:rPr>
          <w:rStyle w:val="EndnoteReference"/>
        </w:rPr>
        <w:endnoteRef/>
      </w:r>
      <w:r w:rsidRPr="008712DE">
        <w:t xml:space="preserve"> </w:t>
      </w:r>
      <w:r w:rsidRPr="008712DE">
        <w:rPr>
          <w:i/>
          <w:iCs/>
        </w:rPr>
        <w:t xml:space="preserve">Wan v Minister for Immigration &amp; Multicultural Affairs </w:t>
      </w:r>
      <w:hyperlink r:id="rId65" w:history="1">
        <w:r w:rsidRPr="008712DE">
          <w:rPr>
            <w:rStyle w:val="Hyperlink"/>
          </w:rPr>
          <w:t>[2001] FCA 568</w:t>
        </w:r>
      </w:hyperlink>
      <w:r w:rsidRPr="008712DE">
        <w:t xml:space="preserve"> </w:t>
      </w:r>
      <w:r w:rsidRPr="008712DE">
        <w:rPr>
          <w:lang w:val="en-US"/>
        </w:rPr>
        <w:t>at [32].</w:t>
      </w:r>
    </w:p>
  </w:endnote>
  <w:endnote w:id="51">
    <w:p w14:paraId="48B4FC7A" w14:textId="1839BB7A" w:rsidR="00AB5608" w:rsidRPr="008712DE" w:rsidRDefault="00AB5608" w:rsidP="000654CD">
      <w:pPr>
        <w:pStyle w:val="EndnoteText"/>
        <w:ind w:left="720" w:hanging="720"/>
        <w:rPr>
          <w:lang w:val="en-US"/>
        </w:rPr>
      </w:pPr>
      <w:r w:rsidRPr="008712DE">
        <w:rPr>
          <w:rStyle w:val="EndnoteReference"/>
        </w:rPr>
        <w:endnoteRef/>
      </w:r>
      <w:r w:rsidRPr="008712DE">
        <w:t xml:space="preserve"> </w:t>
      </w:r>
      <w:hyperlink r:id="rId66" w:history="1">
        <w:r w:rsidRPr="008712DE">
          <w:rPr>
            <w:rStyle w:val="Hyperlink"/>
            <w:i/>
            <w:iCs/>
            <w:lang w:val="en-US"/>
          </w:rPr>
          <w:t xml:space="preserve">Family Law Act 1975 </w:t>
        </w:r>
        <w:r w:rsidRPr="008712DE">
          <w:rPr>
            <w:rStyle w:val="Hyperlink"/>
            <w:lang w:val="en-US"/>
          </w:rPr>
          <w:t>(Cth)</w:t>
        </w:r>
      </w:hyperlink>
      <w:r w:rsidR="00047D40">
        <w:rPr>
          <w:rStyle w:val="Hyperlink"/>
          <w:lang w:val="en-US"/>
        </w:rPr>
        <w:t>,</w:t>
      </w:r>
      <w:r w:rsidRPr="008712DE">
        <w:rPr>
          <w:lang w:val="en-US"/>
        </w:rPr>
        <w:t xml:space="preserve"> ss 60CA and 60CC.</w:t>
      </w:r>
    </w:p>
  </w:endnote>
  <w:endnote w:id="52">
    <w:p w14:paraId="1E9EB984" w14:textId="34AA1B7E" w:rsidR="00AB5608" w:rsidRPr="008712DE" w:rsidRDefault="00AB5608">
      <w:pPr>
        <w:pStyle w:val="EndnoteText"/>
        <w:rPr>
          <w:lang w:val="en-US"/>
        </w:rPr>
      </w:pPr>
      <w:r w:rsidRPr="008712DE">
        <w:rPr>
          <w:rStyle w:val="EndnoteReference"/>
        </w:rPr>
        <w:endnoteRef/>
      </w:r>
      <w:r w:rsidRPr="008712DE">
        <w:t xml:space="preserve"> </w:t>
      </w:r>
      <w:hyperlink r:id="rId67" w:history="1">
        <w:r w:rsidRPr="008712DE">
          <w:rPr>
            <w:rStyle w:val="Hyperlink"/>
            <w:lang w:val="en-US"/>
          </w:rPr>
          <w:t>CRC General Comment No. 26</w:t>
        </w:r>
      </w:hyperlink>
      <w:r w:rsidRPr="008712DE">
        <w:rPr>
          <w:lang w:val="en-US"/>
        </w:rPr>
        <w:t xml:space="preserve"> </w:t>
      </w:r>
      <w:r w:rsidRPr="008712DE">
        <w:t>at [68].</w:t>
      </w:r>
    </w:p>
  </w:endnote>
  <w:endnote w:id="53">
    <w:p w14:paraId="3B82748D" w14:textId="7CED7FAB" w:rsidR="00AB5608" w:rsidRPr="008712DE" w:rsidRDefault="00AB5608">
      <w:pPr>
        <w:pStyle w:val="EndnoteText"/>
        <w:rPr>
          <w:lang w:val="en-US"/>
        </w:rPr>
      </w:pPr>
      <w:r w:rsidRPr="008712DE">
        <w:rPr>
          <w:rStyle w:val="EndnoteReference"/>
        </w:rPr>
        <w:endnoteRef/>
      </w:r>
      <w:r w:rsidRPr="008712DE">
        <w:t xml:space="preserve"> </w:t>
      </w:r>
      <w:hyperlink r:id="rId68" w:history="1">
        <w:r w:rsidRPr="008712DE">
          <w:rPr>
            <w:rStyle w:val="Hyperlink"/>
            <w:lang w:val="en-US"/>
          </w:rPr>
          <w:t>CRC General Comment No. 26</w:t>
        </w:r>
      </w:hyperlink>
      <w:r w:rsidRPr="008712DE">
        <w:rPr>
          <w:lang w:val="en-US"/>
        </w:rPr>
        <w:t xml:space="preserve"> </w:t>
      </w:r>
      <w:r w:rsidRPr="008712DE">
        <w:t>at [71].</w:t>
      </w:r>
    </w:p>
  </w:endnote>
  <w:endnote w:id="54">
    <w:p w14:paraId="7D00975B" w14:textId="668FB7F5" w:rsidR="00AB5608" w:rsidRPr="008712DE" w:rsidRDefault="00AB5608">
      <w:pPr>
        <w:pStyle w:val="EndnoteText"/>
        <w:rPr>
          <w:lang w:val="en-US"/>
        </w:rPr>
      </w:pPr>
      <w:r w:rsidRPr="008712DE">
        <w:rPr>
          <w:rStyle w:val="EndnoteReference"/>
        </w:rPr>
        <w:endnoteRef/>
      </w:r>
      <w:r w:rsidRPr="008712DE">
        <w:t xml:space="preserve"> </w:t>
      </w:r>
      <w:r w:rsidR="00295BB7">
        <w:t xml:space="preserve">CRIAs as a tool to inform </w:t>
      </w:r>
      <w:r w:rsidR="004D01D1">
        <w:t xml:space="preserve">assessments around </w:t>
      </w:r>
      <w:r w:rsidR="00295BB7">
        <w:t xml:space="preserve">the </w:t>
      </w:r>
      <w:r w:rsidR="000F2824">
        <w:t xml:space="preserve">best interests of the </w:t>
      </w:r>
      <w:r w:rsidR="004D01D1">
        <w:t>child are support</w:t>
      </w:r>
      <w:r w:rsidR="004E7CC0">
        <w:t>ed</w:t>
      </w:r>
      <w:r w:rsidR="004D01D1">
        <w:t xml:space="preserve"> internationally including by</w:t>
      </w:r>
      <w:r w:rsidR="00B22667">
        <w:t xml:space="preserve">: </w:t>
      </w:r>
      <w:r w:rsidR="00891ED9">
        <w:t xml:space="preserve">CRC </w:t>
      </w:r>
      <w:hyperlink r:id="rId69" w:history="1">
        <w:r w:rsidR="00891ED9" w:rsidRPr="000648A9">
          <w:rPr>
            <w:rStyle w:val="Hyperlink"/>
          </w:rPr>
          <w:t>General Comment No. 14</w:t>
        </w:r>
      </w:hyperlink>
      <w:r w:rsidR="00B85839">
        <w:t xml:space="preserve"> at </w:t>
      </w:r>
      <w:r w:rsidR="00641E6A">
        <w:t>[35]</w:t>
      </w:r>
      <w:r w:rsidR="00116973">
        <w:t xml:space="preserve">; </w:t>
      </w:r>
      <w:r w:rsidR="00B87F76">
        <w:t xml:space="preserve">Committee on the Rights of the Child General Comment No. 5 </w:t>
      </w:r>
      <w:r w:rsidR="00927DA2">
        <w:t xml:space="preserve">(2003) </w:t>
      </w:r>
      <w:r w:rsidR="00B87F76">
        <w:t>on the General Measures of Implementation</w:t>
      </w:r>
      <w:r w:rsidR="001E66E2">
        <w:t xml:space="preserve"> (arts 4, 42 and</w:t>
      </w:r>
      <w:r w:rsidR="006B733B">
        <w:t xml:space="preserve"> 44, para 6), </w:t>
      </w:r>
      <w:r w:rsidR="00EE781A">
        <w:t>34</w:t>
      </w:r>
      <w:r w:rsidR="00EE781A" w:rsidRPr="00A1067E">
        <w:rPr>
          <w:vertAlign w:val="superscript"/>
        </w:rPr>
        <w:t>th</w:t>
      </w:r>
      <w:r w:rsidR="00EE781A">
        <w:t xml:space="preserve"> session, UN Doc </w:t>
      </w:r>
      <w:hyperlink r:id="rId70" w:history="1">
        <w:r w:rsidR="004127D3" w:rsidRPr="004E7CC0">
          <w:rPr>
            <w:rStyle w:val="Hyperlink"/>
          </w:rPr>
          <w:t>CRC/GC/2003/5</w:t>
        </w:r>
      </w:hyperlink>
      <w:r w:rsidR="00DB6492">
        <w:t xml:space="preserve"> (27 November 2003) at </w:t>
      </w:r>
      <w:r w:rsidR="003F58DF">
        <w:t xml:space="preserve">section E; </w:t>
      </w:r>
      <w:r w:rsidR="00116973">
        <w:t xml:space="preserve">The Canadian Bar Association, </w:t>
      </w:r>
      <w:r w:rsidR="0019252B">
        <w:t>“Child Rights Impact Assessments”</w:t>
      </w:r>
      <w:r w:rsidR="00E81A81">
        <w:t xml:space="preserve">, </w:t>
      </w:r>
      <w:r w:rsidR="00E81A81" w:rsidRPr="00A1067E">
        <w:rPr>
          <w:i/>
          <w:iCs/>
        </w:rPr>
        <w:t>The CBA Child Rights Toolkit</w:t>
      </w:r>
      <w:r w:rsidR="009F227F">
        <w:t xml:space="preserve">, available at: </w:t>
      </w:r>
      <w:hyperlink r:id="rId71" w:history="1">
        <w:r w:rsidR="009F227F" w:rsidRPr="00B46FAB">
          <w:rPr>
            <w:rStyle w:val="Hyperlink"/>
          </w:rPr>
          <w:t>https://www.cba.org/Publications-Resources/Practice-Tools/Child-Rights-Toolkit/theSystem/Child-Rights-Impact-Assessments</w:t>
        </w:r>
      </w:hyperlink>
      <w:r w:rsidR="009F227F">
        <w:t xml:space="preserve">; </w:t>
      </w:r>
      <w:r w:rsidR="00AC67B6">
        <w:t>European Network of Ombuds</w:t>
      </w:r>
      <w:r w:rsidR="00AF5EEB">
        <w:t>persons for Children, “</w:t>
      </w:r>
      <w:r w:rsidR="002921C3">
        <w:t>A guide on how to carry our CRIA”</w:t>
      </w:r>
      <w:r w:rsidR="000D6BC9">
        <w:t xml:space="preserve">, </w:t>
      </w:r>
      <w:r w:rsidR="00AF5EEB" w:rsidRPr="00A1067E">
        <w:rPr>
          <w:i/>
          <w:iCs/>
        </w:rPr>
        <w:t>Common Framework of Reference on Child Rights Impact Assessment</w:t>
      </w:r>
      <w:r w:rsidR="00B760D1">
        <w:t xml:space="preserve">, November 2020, </w:t>
      </w:r>
      <w:r w:rsidR="002921C3">
        <w:t xml:space="preserve">pages 6 and 7, </w:t>
      </w:r>
      <w:r w:rsidR="00B760D1">
        <w:t xml:space="preserve">available at: </w:t>
      </w:r>
      <w:hyperlink r:id="rId72" w:history="1">
        <w:r w:rsidR="00B760D1" w:rsidRPr="00B46FAB">
          <w:rPr>
            <w:rStyle w:val="Hyperlink"/>
          </w:rPr>
          <w:t>https://enoc.eu/wp-content/uploads/2020/12/ENOC-Common-Framework-of-Referenc</w:t>
        </w:r>
        <w:bookmarkStart w:id="55" w:name="_Hlt150956943"/>
        <w:bookmarkStart w:id="56" w:name="_Hlt150956944"/>
        <w:r w:rsidR="00B760D1" w:rsidRPr="00B46FAB">
          <w:rPr>
            <w:rStyle w:val="Hyperlink"/>
          </w:rPr>
          <w:t>e</w:t>
        </w:r>
        <w:bookmarkEnd w:id="55"/>
        <w:bookmarkEnd w:id="56"/>
        <w:r w:rsidR="00B760D1" w:rsidRPr="00B46FAB">
          <w:rPr>
            <w:rStyle w:val="Hyperlink"/>
          </w:rPr>
          <w:t>-FV.pdf</w:t>
        </w:r>
      </w:hyperlink>
      <w:r w:rsidR="002921C3">
        <w:t xml:space="preserve">; and </w:t>
      </w:r>
      <w:r w:rsidR="00F81FDF">
        <w:t>Scottish Alliance for Children’s Rights, “Support the use of Child Rights Impact Assessments (CRIA’s)</w:t>
      </w:r>
      <w:r w:rsidR="0052500F">
        <w:t>”</w:t>
      </w:r>
      <w:r w:rsidR="00EE5D98">
        <w:t xml:space="preserve">, </w:t>
      </w:r>
      <w:r w:rsidR="00EE5D98" w:rsidRPr="00A1067E">
        <w:rPr>
          <w:i/>
          <w:iCs/>
        </w:rPr>
        <w:t>Briefings and Resources</w:t>
      </w:r>
      <w:r w:rsidR="00EE5D98">
        <w:t xml:space="preserve">, available at: </w:t>
      </w:r>
      <w:hyperlink r:id="rId73" w:history="1">
        <w:r w:rsidR="00EE5D98" w:rsidRPr="00B46FAB">
          <w:rPr>
            <w:rStyle w:val="Hyperlink"/>
          </w:rPr>
          <w:t>https://www.togethers</w:t>
        </w:r>
        <w:bookmarkStart w:id="57" w:name="_Hlt150955397"/>
        <w:bookmarkStart w:id="58" w:name="_Hlt150955398"/>
        <w:r w:rsidR="00EE5D98" w:rsidRPr="00B46FAB">
          <w:rPr>
            <w:rStyle w:val="Hyperlink"/>
          </w:rPr>
          <w:t>c</w:t>
        </w:r>
        <w:bookmarkEnd w:id="57"/>
        <w:bookmarkEnd w:id="58"/>
        <w:r w:rsidR="00EE5D98" w:rsidRPr="00B46FAB">
          <w:rPr>
            <w:rStyle w:val="Hyperlink"/>
          </w:rPr>
          <w:t>otland.org.uk/resources-and-networks/support-the-use-of-child-rights-impact-assessments-crias/</w:t>
        </w:r>
      </w:hyperlink>
      <w:r w:rsidR="00EE5D98">
        <w:t xml:space="preserve">. </w:t>
      </w:r>
    </w:p>
  </w:endnote>
  <w:endnote w:id="55">
    <w:p w14:paraId="054E6D14" w14:textId="2AB161EE" w:rsidR="00AB5608" w:rsidRPr="008712DE" w:rsidRDefault="00AB5608" w:rsidP="001C0DD2">
      <w:pPr>
        <w:pStyle w:val="EndnoteText"/>
        <w:rPr>
          <w:lang w:val="en-US"/>
        </w:rPr>
      </w:pPr>
      <w:r w:rsidRPr="008712DE">
        <w:rPr>
          <w:rStyle w:val="EndnoteReference"/>
        </w:rPr>
        <w:endnoteRef/>
      </w:r>
      <w:r w:rsidRPr="008712DE">
        <w:t xml:space="preserve"> </w:t>
      </w:r>
      <w:hyperlink r:id="rId74" w:history="1">
        <w:r w:rsidRPr="008712DE">
          <w:rPr>
            <w:rStyle w:val="Hyperlink"/>
            <w:lang w:val="en-US"/>
          </w:rPr>
          <w:t>CRC General Comment No. 26</w:t>
        </w:r>
      </w:hyperlink>
      <w:r w:rsidRPr="008712DE">
        <w:rPr>
          <w:lang w:val="en-US"/>
        </w:rPr>
        <w:t xml:space="preserve"> </w:t>
      </w:r>
      <w:r w:rsidRPr="008712DE">
        <w:t>at [76].</w:t>
      </w:r>
    </w:p>
  </w:endnote>
  <w:endnote w:id="56">
    <w:p w14:paraId="322D1568" w14:textId="692A9C80" w:rsidR="00AB5608" w:rsidRPr="008712DE" w:rsidRDefault="00AB5608" w:rsidP="001275A1">
      <w:pPr>
        <w:pStyle w:val="EndnoteText"/>
        <w:rPr>
          <w:lang w:val="en-US"/>
        </w:rPr>
      </w:pPr>
      <w:r w:rsidRPr="008712DE">
        <w:rPr>
          <w:rStyle w:val="EndnoteReference"/>
        </w:rPr>
        <w:endnoteRef/>
      </w:r>
      <w:r w:rsidRPr="008712DE">
        <w:t xml:space="preserve"> </w:t>
      </w:r>
      <w:hyperlink r:id="rId75" w:history="1">
        <w:r w:rsidRPr="008712DE">
          <w:rPr>
            <w:rStyle w:val="Hyperlink"/>
            <w:lang w:val="en-US"/>
          </w:rPr>
          <w:t>CRC</w:t>
        </w:r>
      </w:hyperlink>
      <w:r w:rsidRPr="008712DE">
        <w:rPr>
          <w:lang w:val="en-US"/>
        </w:rPr>
        <w:t xml:space="preserve"> </w:t>
      </w:r>
      <w:r w:rsidRPr="008712DE" w:rsidDel="006B5789">
        <w:rPr>
          <w:lang w:val="en-US"/>
        </w:rPr>
        <w:t xml:space="preserve">at </w:t>
      </w:r>
      <w:r w:rsidRPr="008712DE">
        <w:rPr>
          <w:lang w:val="en-US"/>
        </w:rPr>
        <w:t>art 12.</w:t>
      </w:r>
    </w:p>
  </w:endnote>
  <w:endnote w:id="57">
    <w:p w14:paraId="069B095B" w14:textId="0369EFBE" w:rsidR="00AB5608" w:rsidRPr="008712DE" w:rsidRDefault="00AB5608" w:rsidP="001275A1">
      <w:pPr>
        <w:pStyle w:val="EndnoteText"/>
        <w:rPr>
          <w:lang w:val="en-US"/>
        </w:rPr>
      </w:pPr>
      <w:r w:rsidRPr="008712DE">
        <w:rPr>
          <w:rStyle w:val="EndnoteReference"/>
        </w:rPr>
        <w:endnoteRef/>
      </w:r>
      <w:r w:rsidRPr="008712DE">
        <w:t xml:space="preserve"> </w:t>
      </w:r>
      <w:hyperlink r:id="rId76" w:history="1">
        <w:r w:rsidRPr="008712DE">
          <w:rPr>
            <w:rStyle w:val="Hyperlink"/>
            <w:lang w:val="en-US"/>
          </w:rPr>
          <w:t>CRC General Comment No. 26</w:t>
        </w:r>
      </w:hyperlink>
      <w:r w:rsidRPr="008712DE">
        <w:rPr>
          <w:lang w:val="en-US"/>
        </w:rPr>
        <w:t xml:space="preserve"> at [26].</w:t>
      </w:r>
    </w:p>
  </w:endnote>
  <w:endnote w:id="58">
    <w:p w14:paraId="01786CE8" w14:textId="77777777" w:rsidR="00AB5608" w:rsidRPr="008712DE" w:rsidRDefault="00AB5608" w:rsidP="00347CF0">
      <w:pPr>
        <w:pStyle w:val="EndnoteText"/>
      </w:pPr>
      <w:r w:rsidRPr="008712DE">
        <w:rPr>
          <w:rStyle w:val="EndnoteReference"/>
        </w:rPr>
        <w:endnoteRef/>
      </w:r>
      <w:r w:rsidRPr="008712DE">
        <w:t xml:space="preserve"> This aligns with international best practice as recommended by </w:t>
      </w:r>
      <w:hyperlink r:id="rId77" w:history="1">
        <w:r w:rsidRPr="008712DE">
          <w:rPr>
            <w:rStyle w:val="Hyperlink"/>
            <w:lang w:val="en-US"/>
          </w:rPr>
          <w:t>CRC General Comment No. 26</w:t>
        </w:r>
      </w:hyperlink>
      <w:r w:rsidRPr="008712DE">
        <w:rPr>
          <w:lang w:val="en-US"/>
        </w:rPr>
        <w:t xml:space="preserve"> at [77].</w:t>
      </w:r>
    </w:p>
  </w:endnote>
  <w:endnote w:id="59">
    <w:p w14:paraId="0A483CEA" w14:textId="1B618844" w:rsidR="004D2F9C" w:rsidRDefault="004D2F9C" w:rsidP="004D2F9C">
      <w:pPr>
        <w:pStyle w:val="EndnoteText"/>
      </w:pPr>
      <w:r>
        <w:rPr>
          <w:rStyle w:val="EndnoteReference"/>
        </w:rPr>
        <w:endnoteRef/>
      </w:r>
      <w:r>
        <w:t xml:space="preserve"> </w:t>
      </w:r>
      <w:r w:rsidR="00660C4E">
        <w:t>For example,</w:t>
      </w:r>
      <w:r>
        <w:t xml:space="preserve"> </w:t>
      </w:r>
      <w:hyperlink r:id="rId78" w:history="1">
        <w:r w:rsidRPr="005841D0">
          <w:rPr>
            <w:rStyle w:val="Hyperlink"/>
            <w:i/>
          </w:rPr>
          <w:t>A</w:t>
        </w:r>
        <w:r w:rsidR="00715125" w:rsidRPr="005841D0">
          <w:rPr>
            <w:rStyle w:val="Hyperlink"/>
            <w:i/>
          </w:rPr>
          <w:t xml:space="preserve">dministrative </w:t>
        </w:r>
        <w:r w:rsidRPr="005841D0">
          <w:rPr>
            <w:rStyle w:val="Hyperlink"/>
            <w:i/>
          </w:rPr>
          <w:t>D</w:t>
        </w:r>
        <w:r w:rsidR="00715125" w:rsidRPr="005841D0">
          <w:rPr>
            <w:rStyle w:val="Hyperlink"/>
            <w:i/>
          </w:rPr>
          <w:t>ecisions (</w:t>
        </w:r>
        <w:r w:rsidRPr="005841D0">
          <w:rPr>
            <w:rStyle w:val="Hyperlink"/>
            <w:i/>
          </w:rPr>
          <w:t>J</w:t>
        </w:r>
        <w:r w:rsidR="00715125" w:rsidRPr="005841D0">
          <w:rPr>
            <w:rStyle w:val="Hyperlink"/>
            <w:i/>
          </w:rPr>
          <w:t xml:space="preserve">udicial </w:t>
        </w:r>
        <w:r w:rsidR="009E75A7" w:rsidRPr="005841D0">
          <w:rPr>
            <w:rStyle w:val="Hyperlink"/>
            <w:i/>
          </w:rPr>
          <w:t>Review)</w:t>
        </w:r>
        <w:r w:rsidRPr="005841D0">
          <w:rPr>
            <w:rStyle w:val="Hyperlink"/>
            <w:i/>
          </w:rPr>
          <w:t xml:space="preserve"> Act</w:t>
        </w:r>
      </w:hyperlink>
      <w:r w:rsidR="009E75A7" w:rsidRPr="005841D0">
        <w:rPr>
          <w:rStyle w:val="Hyperlink"/>
          <w:i/>
        </w:rPr>
        <w:t xml:space="preserve"> 1977</w:t>
      </w:r>
      <w:r w:rsidR="009E75A7">
        <w:t xml:space="preserve"> </w:t>
      </w:r>
      <w:r w:rsidR="00D0340F">
        <w:t>(Cth),</w:t>
      </w:r>
      <w:r w:rsidR="009E75A7" w:rsidDel="00D0340F">
        <w:t xml:space="preserve"> </w:t>
      </w:r>
      <w:r>
        <w:t>s 13</w:t>
      </w:r>
      <w:r w:rsidR="00CC266B">
        <w:t>.</w:t>
      </w:r>
    </w:p>
  </w:endnote>
  <w:endnote w:id="60">
    <w:p w14:paraId="625A2052" w14:textId="103D6329" w:rsidR="00AB5608" w:rsidRPr="008712DE" w:rsidRDefault="00AB5608">
      <w:pPr>
        <w:pStyle w:val="EndnoteText"/>
      </w:pPr>
      <w:r w:rsidRPr="008712DE">
        <w:rPr>
          <w:rStyle w:val="EndnoteReference"/>
        </w:rPr>
        <w:endnoteRef/>
      </w:r>
      <w:r w:rsidRPr="008712DE">
        <w:t xml:space="preserve"> </w:t>
      </w:r>
      <w:hyperlink r:id="rId79" w:history="1">
        <w:r w:rsidRPr="008712DE">
          <w:rPr>
            <w:rStyle w:val="Hyperlink"/>
            <w:lang w:val="en-US"/>
          </w:rPr>
          <w:t>CRC General Comme</w:t>
        </w:r>
        <w:bookmarkStart w:id="60" w:name="_Hlt150956647"/>
        <w:bookmarkStart w:id="61" w:name="_Hlt150956648"/>
        <w:r w:rsidRPr="008712DE">
          <w:rPr>
            <w:rStyle w:val="Hyperlink"/>
            <w:lang w:val="en-US"/>
          </w:rPr>
          <w:t>n</w:t>
        </w:r>
        <w:bookmarkEnd w:id="60"/>
        <w:bookmarkEnd w:id="61"/>
        <w:r w:rsidRPr="008712DE">
          <w:rPr>
            <w:rStyle w:val="Hyperlink"/>
            <w:lang w:val="en-US"/>
          </w:rPr>
          <w:t>t No. 26</w:t>
        </w:r>
      </w:hyperlink>
      <w:r w:rsidRPr="008712DE">
        <w:rPr>
          <w:lang w:val="en-US"/>
        </w:rPr>
        <w:t xml:space="preserve"> at</w:t>
      </w:r>
      <w:r w:rsidRPr="008712DE">
        <w:t xml:space="preserve"> [75].</w:t>
      </w:r>
    </w:p>
  </w:endnote>
  <w:endnote w:id="61">
    <w:p w14:paraId="6CC0A260" w14:textId="3F996960" w:rsidR="00AB5608" w:rsidRPr="008712DE" w:rsidRDefault="00AB5608" w:rsidP="00DE2A05">
      <w:pPr>
        <w:pStyle w:val="EndnoteText"/>
      </w:pPr>
      <w:r w:rsidRPr="008712DE">
        <w:rPr>
          <w:rStyle w:val="EndnoteReference"/>
        </w:rPr>
        <w:endnoteRef/>
      </w:r>
      <w:r w:rsidRPr="008712DE">
        <w:t xml:space="preserve"> </w:t>
      </w:r>
      <w:hyperlink r:id="rId80" w:history="1">
        <w:r w:rsidRPr="008712DE">
          <w:rPr>
            <w:rStyle w:val="Hyperlink"/>
            <w:lang w:val="en-US"/>
          </w:rPr>
          <w:t>CRC General Comment No. 26</w:t>
        </w:r>
      </w:hyperlink>
      <w:r w:rsidRPr="008712DE">
        <w:rPr>
          <w:lang w:val="en-US"/>
        </w:rPr>
        <w:t xml:space="preserve"> at </w:t>
      </w:r>
      <w:r w:rsidRPr="008712DE">
        <w:t>[76].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C2B24" w14:textId="77777777" w:rsidR="00AC636D" w:rsidRPr="000465F1" w:rsidRDefault="00AC636D" w:rsidP="000465F1">
    <w:pPr>
      <w:pStyle w:val="Footer"/>
    </w:pPr>
    <w:r w:rsidRPr="000465F1">
      <w:t>ABN 47 996 232 602</w:t>
    </w:r>
  </w:p>
  <w:p w14:paraId="6BCFC557" w14:textId="77777777" w:rsidR="00AC636D" w:rsidRPr="000465F1" w:rsidRDefault="00AC636D" w:rsidP="000465F1">
    <w:pPr>
      <w:pStyle w:val="Footer"/>
    </w:pPr>
    <w:r w:rsidRPr="000465F1">
      <w:t>Level 3, 175 Pitt Street, Sydney NSW 2000</w:t>
    </w:r>
  </w:p>
  <w:p w14:paraId="1CD27C77" w14:textId="77777777" w:rsidR="00AC636D" w:rsidRPr="000465F1" w:rsidRDefault="00AC636D" w:rsidP="000465F1">
    <w:pPr>
      <w:pStyle w:val="Footer"/>
    </w:pPr>
    <w:r w:rsidRPr="000465F1">
      <w:t>GPO Box 5218, Sydney NSW 2001</w:t>
    </w:r>
  </w:p>
  <w:p w14:paraId="51FD9D66" w14:textId="77777777" w:rsidR="00AC636D" w:rsidRPr="000465F1" w:rsidRDefault="00AC636D" w:rsidP="000465F1">
    <w:pPr>
      <w:pStyle w:val="Footer"/>
    </w:pPr>
    <w:r w:rsidRPr="000465F1">
      <w:t>General enquiries 1300 369 711</w:t>
    </w:r>
  </w:p>
  <w:p w14:paraId="098C266D" w14:textId="77777777" w:rsidR="00AC636D" w:rsidRPr="000465F1" w:rsidRDefault="00AC636D" w:rsidP="000465F1">
    <w:pPr>
      <w:pStyle w:val="Footer"/>
    </w:pPr>
    <w:r w:rsidRPr="000465F1">
      <w:t>Complaints info line 1300 656 419</w:t>
    </w:r>
  </w:p>
  <w:p w14:paraId="60AAEB4D"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BC5B4" w14:textId="77777777" w:rsidR="00DC343B" w:rsidRDefault="00BF6406">
    <w:pPr>
      <w:pStyle w:val="Footer"/>
    </w:pPr>
    <w:r w:rsidRPr="00622508">
      <w:fldChar w:fldCharType="begin"/>
    </w:r>
    <w:r>
      <w:instrText xml:space="preserve"> PAGE   \* MERGEFORMAT </w:instrText>
    </w:r>
    <w:r w:rsidRPr="00622508">
      <w:fldChar w:fldCharType="separate"/>
    </w:r>
    <w:r w:rsidR="00A27ABE"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B3E58"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460EE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ADA4F" w14:textId="77777777" w:rsidR="0063009F" w:rsidRDefault="0063009F" w:rsidP="00E53546">
    <w:pPr>
      <w:pStyle w:val="FooterEvenPageNumber"/>
    </w:pPr>
    <w:r w:rsidRPr="00F127A8">
      <w:fldChar w:fldCharType="begin"/>
    </w:r>
    <w:r>
      <w:instrText xml:space="preserve"> PAGE   \* MERGEFORMAT </w:instrText>
    </w:r>
    <w:r w:rsidRPr="00F127A8">
      <w:fldChar w:fldCharType="separate"/>
    </w:r>
    <w:r w:rsidR="00460EE0">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8447E" w14:textId="77777777" w:rsidR="003B615C" w:rsidRDefault="003B615C" w:rsidP="00F14C6D">
      <w:r>
        <w:separator/>
      </w:r>
    </w:p>
  </w:footnote>
  <w:footnote w:type="continuationSeparator" w:id="0">
    <w:p w14:paraId="1E06E9E6" w14:textId="77777777" w:rsidR="003B615C" w:rsidRDefault="003B615C" w:rsidP="00F14C6D">
      <w:r>
        <w:continuationSeparator/>
      </w:r>
    </w:p>
  </w:footnote>
  <w:footnote w:type="continuationNotice" w:id="1">
    <w:p w14:paraId="02CD7482" w14:textId="77777777" w:rsidR="003B615C" w:rsidRDefault="003B615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A5028" w14:textId="77777777" w:rsidR="00BF6406" w:rsidRPr="000465F1" w:rsidRDefault="00D075C4" w:rsidP="000465F1">
    <w:pPr>
      <w:pStyle w:val="Header"/>
    </w:pPr>
    <w:r>
      <w:pict w14:anchorId="78B2B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51" type="#_x0000_t75" style="position:absolute;left:0;text-align:left;margin-left:0;margin-top:0;width:930.9pt;height:1359.95pt;z-index:-251658239;mso-wrap-edited:f;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73B1DB7B" w14:textId="77777777" w:rsidR="00B34946" w:rsidRPr="00622508" w:rsidRDefault="00BF6406" w:rsidP="00622508">
    <w:pPr>
      <w:pStyle w:val="Footer"/>
    </w:pPr>
    <w:r w:rsidRPr="001F62CC">
      <w:rPr>
        <w:rStyle w:val="HeaderDocumentTitle"/>
      </w:rPr>
      <w:t>Short title</w:t>
    </w:r>
    <w:r w:rsidRPr="00622508">
      <w:rPr>
        <w:rStyle w:val="HeaderDocumentTitle"/>
      </w:rPr>
      <w:t>, report name</w:t>
    </w:r>
    <w:r w:rsidR="001F62CC" w:rsidRPr="00622508">
      <w:rPr>
        <w:rStyle w:val="HeaderDocumentTitle"/>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3FD6C" w14:textId="77777777" w:rsidR="00B34946" w:rsidRPr="000465F1" w:rsidRDefault="00D075C4" w:rsidP="000465F1">
    <w:r>
      <w:pict w14:anchorId="01DD3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50" type="#_x0000_t75" style="position:absolute;margin-left:0;margin-top:0;width:930.9pt;height:1359.95pt;z-index:-251658238;mso-wrap-edited:f;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593DDA52" w14:textId="77777777" w:rsidR="00B34946" w:rsidRPr="000465F1" w:rsidRDefault="00B34946"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8574" w14:textId="77777777" w:rsidR="00CC2AA0" w:rsidRDefault="00D075C4" w:rsidP="002012F7">
    <w:pPr>
      <w:pStyle w:val="Header"/>
    </w:pPr>
    <w:r>
      <w:pict w14:anchorId="4245A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9" type="#_x0000_t75" style="position:absolute;left:0;text-align:left;margin-left:-71.05pt;margin-top:-108.5pt;width:595.65pt;height:870.15pt;z-index:-251658237;mso-wrap-edited:f;mso-position-horizontal-relative:margin;mso-position-vertical-relative:margin" o:allowincell="f">
          <v:imagedata r:id="rId1" o:title="MS word cover1"/>
          <w10:wrap anchorx="margin" anchory="margin"/>
        </v:shape>
      </w:pict>
    </w:r>
    <w:r>
      <w:pict w14:anchorId="0934457C">
        <v:shape id="WordPictureWatermark1034832" o:spid="_x0000_s1048" type="#_x0000_t75" style="position:absolute;left:0;text-align:left;margin-left:-70.9pt;margin-top:-109.05pt;width:595.1pt;height:869.4pt;z-index:-251658240;mso-wrap-edited:f;mso-position-horizontal-relative:margin;mso-position-vertical-relative:margin" o:allowincell="f">
          <v:imagedata r:id="rId2" o:title="report watermark"/>
          <w10:wrap anchorx="margin" anchory="margin"/>
        </v:shape>
      </w:pict>
    </w:r>
  </w:p>
  <w:p w14:paraId="4DAB7DB2" w14:textId="77777777" w:rsidR="008B3899" w:rsidRDefault="008B3899" w:rsidP="002012F7">
    <w:pPr>
      <w:pStyle w:val="Header"/>
    </w:pPr>
  </w:p>
  <w:p w14:paraId="4701E53D"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2046" w14:textId="77777777" w:rsidR="0015239E" w:rsidRPr="000465F1" w:rsidRDefault="0015239E" w:rsidP="00190A98">
    <w:pPr>
      <w:pStyle w:val="Header"/>
      <w:spacing w:before="0"/>
    </w:pPr>
    <w:r w:rsidRPr="000465F1">
      <w:t>Australian Human Rights Commission</w:t>
    </w:r>
  </w:p>
  <w:p w14:paraId="12893AC3" w14:textId="77777777" w:rsidR="00190A98" w:rsidRPr="00190A98" w:rsidRDefault="00190A98" w:rsidP="00190A98">
    <w:pPr>
      <w:pStyle w:val="Subtitle"/>
      <w:spacing w:before="0" w:after="0"/>
      <w:rPr>
        <w:rStyle w:val="HeaderDocumentTitle"/>
        <w:rFonts w:cs="Times New Roman"/>
        <w:color w:val="auto"/>
      </w:rPr>
    </w:pPr>
    <w:r w:rsidRPr="00190A98">
      <w:rPr>
        <w:rStyle w:val="HeaderDocumentTitle"/>
        <w:rFonts w:cs="Times New Roman"/>
        <w:color w:val="auto"/>
      </w:rPr>
      <w:t>Submission to the Environment and Communications Legislation Committee</w:t>
    </w:r>
  </w:p>
  <w:p w14:paraId="359FF301" w14:textId="77777777" w:rsidR="00190A98" w:rsidRDefault="00190A98" w:rsidP="00190A98">
    <w:pPr>
      <w:pStyle w:val="Subtitle"/>
      <w:spacing w:before="0" w:after="0"/>
      <w:rPr>
        <w:rStyle w:val="HeaderDocumentTitle"/>
        <w:bCs/>
        <w:color w:val="auto"/>
      </w:rPr>
    </w:pPr>
    <w:r w:rsidRPr="00190A98">
      <w:rPr>
        <w:rStyle w:val="HeaderDocumentTitle"/>
        <w:bCs/>
        <w:color w:val="auto"/>
      </w:rPr>
      <w:t>Climate Change Amendment (Duty of Care and Intergenerational Climate Equity) Bill 2023</w:t>
    </w:r>
  </w:p>
  <w:p w14:paraId="543A2EA0" w14:textId="6E8670FE" w:rsidR="00190A98" w:rsidRPr="00190A98" w:rsidRDefault="00FC7FCD" w:rsidP="00190A98">
    <w:pPr>
      <w:pStyle w:val="Subtitle"/>
      <w:spacing w:before="0" w:after="0"/>
      <w:rPr>
        <w:rStyle w:val="HeaderDocumentTitle"/>
        <w:bCs/>
        <w:color w:val="auto"/>
      </w:rPr>
    </w:pPr>
    <w:r>
      <w:rPr>
        <w:rStyle w:val="HeaderDocumentTitle"/>
        <w:b w:val="0"/>
        <w:color w:val="auto"/>
      </w:rPr>
      <w:t xml:space="preserve">23 </w:t>
    </w:r>
    <w:r w:rsidR="00190A98" w:rsidRPr="00190A98">
      <w:rPr>
        <w:rStyle w:val="HeaderDocumentTitle"/>
        <w:b w:val="0"/>
        <w:color w:val="auto"/>
      </w:rPr>
      <w:t>November 2023</w:t>
    </w:r>
    <w:r w:rsidR="00190A98" w:rsidRPr="00190A98">
      <w:rPr>
        <w:rStyle w:val="HeaderDocumentTitle"/>
        <w:bCs/>
        <w:color w:val="auto"/>
      </w:rPr>
      <w:t xml:space="preserve"> </w:t>
    </w:r>
  </w:p>
  <w:p w14:paraId="219B08A1" w14:textId="77777777" w:rsidR="00D66EAB" w:rsidRPr="000465F1" w:rsidRDefault="00D66EAB" w:rsidP="00C00733">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BA1CD" w14:textId="77777777" w:rsidR="00BF6406" w:rsidRPr="000465F1" w:rsidRDefault="00BF6406" w:rsidP="00190A98">
    <w:pPr>
      <w:pStyle w:val="Header"/>
      <w:spacing w:before="0"/>
    </w:pPr>
    <w:bookmarkStart w:id="65" w:name="_Hlk514672172"/>
    <w:bookmarkStart w:id="66" w:name="_Hlk514672173"/>
    <w:r w:rsidRPr="000465F1">
      <w:t>Australian Human Rights Commission</w:t>
    </w:r>
  </w:p>
  <w:bookmarkEnd w:id="65"/>
  <w:bookmarkEnd w:id="66"/>
  <w:p w14:paraId="194543E4" w14:textId="77777777" w:rsidR="00190A98" w:rsidRPr="00190A98" w:rsidRDefault="00190A98" w:rsidP="00190A98">
    <w:pPr>
      <w:pStyle w:val="Subtitle"/>
      <w:spacing w:before="0" w:after="0"/>
      <w:rPr>
        <w:rStyle w:val="HeaderDocumentTitle"/>
        <w:rFonts w:cs="Times New Roman"/>
        <w:color w:val="auto"/>
      </w:rPr>
    </w:pPr>
    <w:r w:rsidRPr="00190A98">
      <w:rPr>
        <w:rStyle w:val="HeaderDocumentTitle"/>
        <w:rFonts w:cs="Times New Roman"/>
        <w:color w:val="auto"/>
      </w:rPr>
      <w:t>Submission to the Environment and Communications Legislation Committee</w:t>
    </w:r>
  </w:p>
  <w:p w14:paraId="114A39BA" w14:textId="77777777" w:rsidR="00190A98" w:rsidRDefault="00190A98" w:rsidP="00190A98">
    <w:pPr>
      <w:pStyle w:val="Subtitle"/>
      <w:spacing w:before="0" w:after="0"/>
      <w:rPr>
        <w:rStyle w:val="HeaderDocumentTitle"/>
        <w:bCs/>
        <w:color w:val="auto"/>
      </w:rPr>
    </w:pPr>
    <w:r w:rsidRPr="00190A98">
      <w:rPr>
        <w:rStyle w:val="HeaderDocumentTitle"/>
        <w:bCs/>
        <w:color w:val="auto"/>
      </w:rPr>
      <w:t>Climate Change Amendment (Duty of Care and Intergenerational Climate Equity) Bill 2023</w:t>
    </w:r>
  </w:p>
  <w:p w14:paraId="67955B60" w14:textId="24DAE758" w:rsidR="00190A98" w:rsidRPr="00190A98" w:rsidRDefault="00685563" w:rsidP="00190A98">
    <w:pPr>
      <w:pStyle w:val="Subtitle"/>
      <w:spacing w:before="0" w:after="0"/>
      <w:rPr>
        <w:rStyle w:val="HeaderDocumentTitle"/>
        <w:bCs/>
        <w:color w:val="auto"/>
      </w:rPr>
    </w:pPr>
    <w:r>
      <w:rPr>
        <w:rStyle w:val="HeaderDocumentTitle"/>
        <w:b w:val="0"/>
        <w:color w:val="auto"/>
      </w:rPr>
      <w:t xml:space="preserve">23 </w:t>
    </w:r>
    <w:r w:rsidR="00190A98" w:rsidRPr="00190A98">
      <w:rPr>
        <w:rStyle w:val="HeaderDocumentTitle"/>
        <w:b w:val="0"/>
        <w:color w:val="auto"/>
      </w:rPr>
      <w:t>November 2023</w:t>
    </w:r>
    <w:r w:rsidR="00190A98" w:rsidRPr="00190A98">
      <w:rPr>
        <w:rStyle w:val="HeaderDocumentTitle"/>
        <w:bCs/>
        <w:color w:val="auto"/>
      </w:rPr>
      <w:t xml:space="preserve"> </w:t>
    </w:r>
  </w:p>
  <w:p w14:paraId="0B0BE3BB" w14:textId="77777777" w:rsidR="00856186" w:rsidRPr="000465F1" w:rsidRDefault="00856186" w:rsidP="00C00733">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DC4A5" w14:textId="77777777" w:rsidR="0063009F" w:rsidRPr="00190A98" w:rsidRDefault="0063009F" w:rsidP="00190A98">
    <w:pPr>
      <w:pStyle w:val="Header"/>
      <w:spacing w:before="0"/>
    </w:pPr>
    <w:r w:rsidRPr="00190A98">
      <w:t>Australian Human Rights Commission</w:t>
    </w:r>
  </w:p>
  <w:p w14:paraId="24CBC70B" w14:textId="0E3FFC5D" w:rsidR="00190A98" w:rsidRPr="00190A98" w:rsidRDefault="00F2373B" w:rsidP="00190A98">
    <w:pPr>
      <w:pStyle w:val="Subtitle"/>
      <w:spacing w:before="0" w:after="0"/>
      <w:rPr>
        <w:rStyle w:val="HeaderDocumentTitle"/>
        <w:rFonts w:cs="Times New Roman"/>
        <w:color w:val="auto"/>
      </w:rPr>
    </w:pPr>
    <w:r w:rsidRPr="00190A98">
      <w:rPr>
        <w:rStyle w:val="HeaderDocumentTitle"/>
        <w:rFonts w:cs="Times New Roman"/>
        <w:color w:val="auto"/>
      </w:rPr>
      <w:t>Submission to the Environment and Communications Legislation Committee</w:t>
    </w:r>
  </w:p>
  <w:p w14:paraId="576BBF86" w14:textId="77777777" w:rsidR="00190A98" w:rsidRDefault="00F2373B" w:rsidP="00190A98">
    <w:pPr>
      <w:pStyle w:val="Subtitle"/>
      <w:spacing w:before="0" w:after="0"/>
      <w:rPr>
        <w:rStyle w:val="HeaderDocumentTitle"/>
        <w:bCs/>
        <w:color w:val="auto"/>
      </w:rPr>
    </w:pPr>
    <w:r w:rsidRPr="00190A98">
      <w:rPr>
        <w:rStyle w:val="HeaderDocumentTitle"/>
        <w:bCs/>
        <w:color w:val="auto"/>
      </w:rPr>
      <w:t>Climate Change Amendment (Duty of Care and Intergenerational Climate Equity) Bill 2023</w:t>
    </w:r>
  </w:p>
  <w:p w14:paraId="66497F82" w14:textId="01DB4927" w:rsidR="00F2373B" w:rsidRPr="00190A98" w:rsidRDefault="0054559F" w:rsidP="00190A98">
    <w:pPr>
      <w:pStyle w:val="Subtitle"/>
      <w:spacing w:before="0" w:after="0"/>
      <w:rPr>
        <w:rStyle w:val="HeaderDocumentTitle"/>
        <w:bCs/>
        <w:color w:val="auto"/>
      </w:rPr>
    </w:pPr>
    <w:r>
      <w:rPr>
        <w:rStyle w:val="HeaderDocumentTitle"/>
        <w:b w:val="0"/>
        <w:color w:val="auto"/>
      </w:rPr>
      <w:t xml:space="preserve"> 23</w:t>
    </w:r>
    <w:r w:rsidR="00685563">
      <w:rPr>
        <w:rStyle w:val="HeaderDocumentTitle"/>
        <w:b w:val="0"/>
        <w:color w:val="auto"/>
      </w:rPr>
      <w:t xml:space="preserve"> </w:t>
    </w:r>
    <w:r w:rsidR="00190A98" w:rsidRPr="00190A98">
      <w:rPr>
        <w:rStyle w:val="HeaderDocumentTitle"/>
        <w:b w:val="0"/>
        <w:color w:val="auto"/>
      </w:rPr>
      <w:t>November 2023</w:t>
    </w:r>
    <w:r w:rsidR="00F2373B" w:rsidRPr="00190A98">
      <w:rPr>
        <w:rStyle w:val="HeaderDocumentTitle"/>
        <w:bCs/>
        <w:color w:val="auto"/>
      </w:rPr>
      <w:t xml:space="preserve"> </w:t>
    </w:r>
  </w:p>
  <w:p w14:paraId="2B67B301" w14:textId="6204C38E" w:rsidR="0063009F" w:rsidRPr="000465F1" w:rsidRDefault="0063009F" w:rsidP="0063009F">
    <w:pPr>
      <w:pStyle w:val="HeaderDocument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8433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AB66444"/>
    <w:multiLevelType w:val="hybridMultilevel"/>
    <w:tmpl w:val="4E2C478E"/>
    <w:lvl w:ilvl="0" w:tplc="5F52443E">
      <w:start w:val="1"/>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DCA5A97"/>
    <w:multiLevelType w:val="hybridMultilevel"/>
    <w:tmpl w:val="5B00887C"/>
    <w:lvl w:ilvl="0" w:tplc="9E08FEDC">
      <w:start w:val="1"/>
      <w:numFmt w:val="decimal"/>
      <w:lvlText w:val="%1."/>
      <w:lvlJc w:val="left"/>
      <w:pPr>
        <w:ind w:left="1560" w:hanging="360"/>
      </w:pPr>
    </w:lvl>
    <w:lvl w:ilvl="1" w:tplc="E2D476D8">
      <w:start w:val="1"/>
      <w:numFmt w:val="decimal"/>
      <w:lvlText w:val="%2."/>
      <w:lvlJc w:val="left"/>
      <w:pPr>
        <w:ind w:left="1560" w:hanging="360"/>
      </w:pPr>
    </w:lvl>
    <w:lvl w:ilvl="2" w:tplc="A25E9E1C">
      <w:start w:val="1"/>
      <w:numFmt w:val="decimal"/>
      <w:lvlText w:val="%3."/>
      <w:lvlJc w:val="left"/>
      <w:pPr>
        <w:ind w:left="1560" w:hanging="360"/>
      </w:pPr>
    </w:lvl>
    <w:lvl w:ilvl="3" w:tplc="30407BC4">
      <w:start w:val="1"/>
      <w:numFmt w:val="decimal"/>
      <w:lvlText w:val="%4."/>
      <w:lvlJc w:val="left"/>
      <w:pPr>
        <w:ind w:left="1560" w:hanging="360"/>
      </w:pPr>
    </w:lvl>
    <w:lvl w:ilvl="4" w:tplc="A450087C">
      <w:start w:val="1"/>
      <w:numFmt w:val="decimal"/>
      <w:lvlText w:val="%5."/>
      <w:lvlJc w:val="left"/>
      <w:pPr>
        <w:ind w:left="1560" w:hanging="360"/>
      </w:pPr>
    </w:lvl>
    <w:lvl w:ilvl="5" w:tplc="F7307B8E">
      <w:start w:val="1"/>
      <w:numFmt w:val="decimal"/>
      <w:lvlText w:val="%6."/>
      <w:lvlJc w:val="left"/>
      <w:pPr>
        <w:ind w:left="1560" w:hanging="360"/>
      </w:pPr>
    </w:lvl>
    <w:lvl w:ilvl="6" w:tplc="8638BA38">
      <w:start w:val="1"/>
      <w:numFmt w:val="decimal"/>
      <w:lvlText w:val="%7."/>
      <w:lvlJc w:val="left"/>
      <w:pPr>
        <w:ind w:left="1560" w:hanging="360"/>
      </w:pPr>
    </w:lvl>
    <w:lvl w:ilvl="7" w:tplc="84726CA8">
      <w:start w:val="1"/>
      <w:numFmt w:val="decimal"/>
      <w:lvlText w:val="%8."/>
      <w:lvlJc w:val="left"/>
      <w:pPr>
        <w:ind w:left="1560" w:hanging="360"/>
      </w:pPr>
    </w:lvl>
    <w:lvl w:ilvl="8" w:tplc="D79AAB5C">
      <w:start w:val="1"/>
      <w:numFmt w:val="decimal"/>
      <w:lvlText w:val="%9."/>
      <w:lvlJc w:val="left"/>
      <w:pPr>
        <w:ind w:left="1560" w:hanging="360"/>
      </w:pPr>
    </w:lvl>
  </w:abstractNum>
  <w:abstractNum w:abstractNumId="21"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0">
    <w:nsid w:val="3E131557"/>
    <w:multiLevelType w:val="hybridMultilevel"/>
    <w:tmpl w:val="6A94264A"/>
    <w:lvl w:ilvl="0" w:tplc="A1884548">
      <w:start w:val="10"/>
      <w:numFmt w:val="decimal"/>
      <w:lvlText w:val="%1"/>
      <w:lvlJc w:val="left"/>
      <w:pPr>
        <w:ind w:left="720" w:hanging="360"/>
      </w:pPr>
      <w:rPr>
        <w:rFonts w:ascii="Open Sans" w:eastAsia="MS Mincho" w:hAnsi="Open Sans" w:cs="Times New Roman" w:hint="default"/>
        <w:b/>
        <w:color w:val="0000FF"/>
        <w:sz w:val="24"/>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9FF7A73"/>
    <w:multiLevelType w:val="multilevel"/>
    <w:tmpl w:val="7C1CA1E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2836"/>
        </w:tabs>
        <w:ind w:left="2836" w:hanging="851"/>
      </w:pPr>
      <w:rPr>
        <w:rFonts w:hint="default"/>
        <w:i w:val="0"/>
        <w:iCs w: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8" w15:restartNumberingAfterBreak="0">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2"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6C17047"/>
    <w:multiLevelType w:val="hybridMultilevel"/>
    <w:tmpl w:val="1492A988"/>
    <w:lvl w:ilvl="0" w:tplc="0C090017">
      <w:start w:val="1"/>
      <w:numFmt w:val="lowerLetter"/>
      <w:lvlText w:val="%1)"/>
      <w:lvlJc w:val="left"/>
      <w:pPr>
        <w:ind w:left="2220" w:hanging="360"/>
      </w:pPr>
    </w:lvl>
    <w:lvl w:ilvl="1" w:tplc="0C090019" w:tentative="1">
      <w:start w:val="1"/>
      <w:numFmt w:val="lowerLetter"/>
      <w:lvlText w:val="%2."/>
      <w:lvlJc w:val="left"/>
      <w:pPr>
        <w:ind w:left="2940" w:hanging="360"/>
      </w:pPr>
    </w:lvl>
    <w:lvl w:ilvl="2" w:tplc="0C09001B" w:tentative="1">
      <w:start w:val="1"/>
      <w:numFmt w:val="lowerRoman"/>
      <w:lvlText w:val="%3."/>
      <w:lvlJc w:val="right"/>
      <w:pPr>
        <w:ind w:left="3660" w:hanging="180"/>
      </w:pPr>
    </w:lvl>
    <w:lvl w:ilvl="3" w:tplc="0C09000F" w:tentative="1">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34"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5" w15:restartNumberingAfterBreak="0">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6E508AC"/>
    <w:multiLevelType w:val="hybridMultilevel"/>
    <w:tmpl w:val="A9CA310E"/>
    <w:lvl w:ilvl="0" w:tplc="0C09000F">
      <w:start w:val="1"/>
      <w:numFmt w:val="decimal"/>
      <w:lvlText w:val="%1."/>
      <w:lvlJc w:val="left"/>
      <w:pPr>
        <w:ind w:left="720" w:hanging="360"/>
      </w:pPr>
      <w:rPr>
        <w:rFonts w:hint="default"/>
      </w:rPr>
    </w:lvl>
    <w:lvl w:ilvl="1" w:tplc="5F52443E">
      <w:start w:val="1"/>
      <w:numFmt w:val="bullet"/>
      <w:lvlText w:val="-"/>
      <w:lvlJc w:val="left"/>
      <w:pPr>
        <w:ind w:left="1080" w:hanging="360"/>
      </w:pPr>
      <w:rPr>
        <w:rFonts w:ascii="Calibri" w:eastAsiaTheme="minorHAnsi" w:hAnsi="Calibri" w:cs="Calibri" w:hint="default"/>
      </w:rPr>
    </w:lvl>
    <w:lvl w:ilvl="2" w:tplc="6E6CB740">
      <w:start w:val="1"/>
      <w:numFmt w:val="lowerRoman"/>
      <w:lvlText w:val="%3."/>
      <w:lvlJc w:val="right"/>
      <w:pPr>
        <w:ind w:left="2160" w:hanging="180"/>
      </w:pPr>
      <w:rPr>
        <w:i w:val="0"/>
        <w:iCs/>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93958771">
    <w:abstractNumId w:val="27"/>
  </w:num>
  <w:num w:numId="2" w16cid:durableId="493185961">
    <w:abstractNumId w:val="9"/>
  </w:num>
  <w:num w:numId="3" w16cid:durableId="846947827">
    <w:abstractNumId w:val="7"/>
  </w:num>
  <w:num w:numId="4" w16cid:durableId="855272785">
    <w:abstractNumId w:val="6"/>
  </w:num>
  <w:num w:numId="5" w16cid:durableId="71852165">
    <w:abstractNumId w:val="5"/>
  </w:num>
  <w:num w:numId="6" w16cid:durableId="2124491961">
    <w:abstractNumId w:val="4"/>
  </w:num>
  <w:num w:numId="7" w16cid:durableId="1617983563">
    <w:abstractNumId w:val="8"/>
  </w:num>
  <w:num w:numId="8" w16cid:durableId="1362971547">
    <w:abstractNumId w:val="1"/>
  </w:num>
  <w:num w:numId="9" w16cid:durableId="1810324885">
    <w:abstractNumId w:val="0"/>
  </w:num>
  <w:num w:numId="10" w16cid:durableId="1384792982">
    <w:abstractNumId w:val="3"/>
  </w:num>
  <w:num w:numId="11" w16cid:durableId="1577586919">
    <w:abstractNumId w:val="2"/>
  </w:num>
  <w:num w:numId="12" w16cid:durableId="1863392610">
    <w:abstractNumId w:val="30"/>
  </w:num>
  <w:num w:numId="13" w16cid:durableId="1901669480">
    <w:abstractNumId w:val="23"/>
  </w:num>
  <w:num w:numId="14" w16cid:durableId="52236419">
    <w:abstractNumId w:val="15"/>
  </w:num>
  <w:num w:numId="15" w16cid:durableId="1709257185">
    <w:abstractNumId w:val="14"/>
  </w:num>
  <w:num w:numId="16" w16cid:durableId="1542092772">
    <w:abstractNumId w:val="33"/>
  </w:num>
  <w:num w:numId="17" w16cid:durableId="2420332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1085255">
    <w:abstractNumId w:val="8"/>
    <w:lvlOverride w:ilvl="0">
      <w:startOverride w:val="1"/>
    </w:lvlOverride>
  </w:num>
  <w:num w:numId="19" w16cid:durableId="566766402">
    <w:abstractNumId w:val="18"/>
  </w:num>
  <w:num w:numId="20" w16cid:durableId="1364751016">
    <w:abstractNumId w:val="32"/>
  </w:num>
  <w:num w:numId="21" w16cid:durableId="1621570909">
    <w:abstractNumId w:val="17"/>
  </w:num>
  <w:num w:numId="22" w16cid:durableId="19330047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7490743">
    <w:abstractNumId w:val="35"/>
  </w:num>
  <w:num w:numId="24" w16cid:durableId="1471249225">
    <w:abstractNumId w:val="25"/>
  </w:num>
  <w:num w:numId="25" w16cid:durableId="774208771">
    <w:abstractNumId w:val="24"/>
  </w:num>
  <w:num w:numId="26" w16cid:durableId="1920098975">
    <w:abstractNumId w:val="38"/>
  </w:num>
  <w:num w:numId="27" w16cid:durableId="483156504">
    <w:abstractNumId w:val="11"/>
  </w:num>
  <w:num w:numId="28" w16cid:durableId="823198578">
    <w:abstractNumId w:val="36"/>
  </w:num>
  <w:num w:numId="29" w16cid:durableId="1405638924">
    <w:abstractNumId w:val="26"/>
  </w:num>
  <w:num w:numId="30" w16cid:durableId="1010989736">
    <w:abstractNumId w:val="12"/>
  </w:num>
  <w:num w:numId="31" w16cid:durableId="425686945">
    <w:abstractNumId w:val="16"/>
  </w:num>
  <w:num w:numId="32" w16cid:durableId="1154680466">
    <w:abstractNumId w:val="29"/>
  </w:num>
  <w:num w:numId="33" w16cid:durableId="2044548222">
    <w:abstractNumId w:val="28"/>
  </w:num>
  <w:num w:numId="34" w16cid:durableId="18048099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44273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337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5447459">
    <w:abstractNumId w:val="19"/>
  </w:num>
  <w:num w:numId="38" w16cid:durableId="1164665888">
    <w:abstractNumId w:val="34"/>
  </w:num>
  <w:num w:numId="39" w16cid:durableId="1397120424">
    <w:abstractNumId w:val="10"/>
  </w:num>
  <w:num w:numId="40" w16cid:durableId="708843155">
    <w:abstractNumId w:val="9"/>
    <w:lvlOverride w:ilvl="0">
      <w:startOverride w:val="1"/>
    </w:lvlOverride>
  </w:num>
  <w:num w:numId="41" w16cid:durableId="1277520390">
    <w:abstractNumId w:val="37"/>
  </w:num>
  <w:num w:numId="42" w16cid:durableId="1030838862">
    <w:abstractNumId w:val="13"/>
  </w:num>
  <w:num w:numId="43" w16cid:durableId="1752769740">
    <w:abstractNumId w:val="22"/>
  </w:num>
  <w:num w:numId="44" w16cid:durableId="1721201199">
    <w:abstractNumId w:val="8"/>
  </w:num>
  <w:num w:numId="45" w16cid:durableId="1219785816">
    <w:abstractNumId w:val="8"/>
  </w:num>
  <w:num w:numId="46" w16cid:durableId="15699967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3342166">
    <w:abstractNumId w:val="20"/>
  </w:num>
  <w:num w:numId="48" w16cid:durableId="25495782">
    <w:abstractNumId w:val="8"/>
  </w:num>
  <w:num w:numId="49" w16cid:durableId="24140838">
    <w:abstractNumId w:val="8"/>
  </w:num>
  <w:num w:numId="50" w16cid:durableId="783112683">
    <w:abstractNumId w:val="8"/>
  </w:num>
  <w:num w:numId="51" w16cid:durableId="192456091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F2"/>
    <w:rsid w:val="000004BD"/>
    <w:rsid w:val="00000D46"/>
    <w:rsid w:val="000015EC"/>
    <w:rsid w:val="00001725"/>
    <w:rsid w:val="00001F28"/>
    <w:rsid w:val="00002B75"/>
    <w:rsid w:val="00003145"/>
    <w:rsid w:val="0000315D"/>
    <w:rsid w:val="00003593"/>
    <w:rsid w:val="00003863"/>
    <w:rsid w:val="00003EA5"/>
    <w:rsid w:val="0000431C"/>
    <w:rsid w:val="0000453D"/>
    <w:rsid w:val="000051FA"/>
    <w:rsid w:val="000053B9"/>
    <w:rsid w:val="00005AC5"/>
    <w:rsid w:val="000063DA"/>
    <w:rsid w:val="000064E2"/>
    <w:rsid w:val="00006E5C"/>
    <w:rsid w:val="00007098"/>
    <w:rsid w:val="00007164"/>
    <w:rsid w:val="0000756B"/>
    <w:rsid w:val="00010718"/>
    <w:rsid w:val="0001076D"/>
    <w:rsid w:val="00010D10"/>
    <w:rsid w:val="0001102D"/>
    <w:rsid w:val="00011073"/>
    <w:rsid w:val="0001142A"/>
    <w:rsid w:val="000114FB"/>
    <w:rsid w:val="000118E8"/>
    <w:rsid w:val="000129B1"/>
    <w:rsid w:val="0001382F"/>
    <w:rsid w:val="00013866"/>
    <w:rsid w:val="00013BC6"/>
    <w:rsid w:val="00013C79"/>
    <w:rsid w:val="00015AA7"/>
    <w:rsid w:val="00015D79"/>
    <w:rsid w:val="00015F45"/>
    <w:rsid w:val="00016008"/>
    <w:rsid w:val="000161C2"/>
    <w:rsid w:val="00016905"/>
    <w:rsid w:val="00016BD4"/>
    <w:rsid w:val="00020B98"/>
    <w:rsid w:val="00020C90"/>
    <w:rsid w:val="000212A1"/>
    <w:rsid w:val="0002178D"/>
    <w:rsid w:val="00021B62"/>
    <w:rsid w:val="000228A2"/>
    <w:rsid w:val="000235FC"/>
    <w:rsid w:val="00023EA8"/>
    <w:rsid w:val="00024077"/>
    <w:rsid w:val="0002420D"/>
    <w:rsid w:val="0002476A"/>
    <w:rsid w:val="00024993"/>
    <w:rsid w:val="000254FD"/>
    <w:rsid w:val="0002594B"/>
    <w:rsid w:val="000260C3"/>
    <w:rsid w:val="00026500"/>
    <w:rsid w:val="0002667C"/>
    <w:rsid w:val="000266C7"/>
    <w:rsid w:val="00026ADA"/>
    <w:rsid w:val="00026C56"/>
    <w:rsid w:val="0002776D"/>
    <w:rsid w:val="000279D9"/>
    <w:rsid w:val="00027E34"/>
    <w:rsid w:val="00030A9A"/>
    <w:rsid w:val="00030C68"/>
    <w:rsid w:val="00030FDD"/>
    <w:rsid w:val="00031367"/>
    <w:rsid w:val="0003156F"/>
    <w:rsid w:val="000315DE"/>
    <w:rsid w:val="00031A1F"/>
    <w:rsid w:val="00032180"/>
    <w:rsid w:val="0003280A"/>
    <w:rsid w:val="00032B3C"/>
    <w:rsid w:val="00032C6D"/>
    <w:rsid w:val="0003364E"/>
    <w:rsid w:val="00033766"/>
    <w:rsid w:val="00034132"/>
    <w:rsid w:val="00034F04"/>
    <w:rsid w:val="000353AE"/>
    <w:rsid w:val="00035C1E"/>
    <w:rsid w:val="00036BE4"/>
    <w:rsid w:val="00037120"/>
    <w:rsid w:val="000377D5"/>
    <w:rsid w:val="000378D8"/>
    <w:rsid w:val="00037CAA"/>
    <w:rsid w:val="00037F2B"/>
    <w:rsid w:val="00040014"/>
    <w:rsid w:val="00041497"/>
    <w:rsid w:val="000415B6"/>
    <w:rsid w:val="000430B8"/>
    <w:rsid w:val="000431CB"/>
    <w:rsid w:val="0004336C"/>
    <w:rsid w:val="00043A27"/>
    <w:rsid w:val="0004401E"/>
    <w:rsid w:val="000447C2"/>
    <w:rsid w:val="00044BD6"/>
    <w:rsid w:val="00045712"/>
    <w:rsid w:val="00045B47"/>
    <w:rsid w:val="00045C4B"/>
    <w:rsid w:val="00045E3E"/>
    <w:rsid w:val="00045E40"/>
    <w:rsid w:val="000465F1"/>
    <w:rsid w:val="0004726D"/>
    <w:rsid w:val="00047BAE"/>
    <w:rsid w:val="00047D40"/>
    <w:rsid w:val="00050522"/>
    <w:rsid w:val="00050E7D"/>
    <w:rsid w:val="0005173D"/>
    <w:rsid w:val="000521BA"/>
    <w:rsid w:val="0005235D"/>
    <w:rsid w:val="000528EA"/>
    <w:rsid w:val="00052F18"/>
    <w:rsid w:val="000535A2"/>
    <w:rsid w:val="00053B49"/>
    <w:rsid w:val="00054186"/>
    <w:rsid w:val="00054DD6"/>
    <w:rsid w:val="00054F4C"/>
    <w:rsid w:val="00054FA8"/>
    <w:rsid w:val="00055744"/>
    <w:rsid w:val="00055F2B"/>
    <w:rsid w:val="00056E14"/>
    <w:rsid w:val="000579B1"/>
    <w:rsid w:val="00057B33"/>
    <w:rsid w:val="0006063E"/>
    <w:rsid w:val="00060A46"/>
    <w:rsid w:val="00061C6C"/>
    <w:rsid w:val="00061F27"/>
    <w:rsid w:val="000622ED"/>
    <w:rsid w:val="000626BD"/>
    <w:rsid w:val="000627D1"/>
    <w:rsid w:val="00062A6B"/>
    <w:rsid w:val="00063317"/>
    <w:rsid w:val="00063BC6"/>
    <w:rsid w:val="00064352"/>
    <w:rsid w:val="000648A9"/>
    <w:rsid w:val="00064C9E"/>
    <w:rsid w:val="00064E66"/>
    <w:rsid w:val="0006516B"/>
    <w:rsid w:val="000654CD"/>
    <w:rsid w:val="00065A80"/>
    <w:rsid w:val="00065B85"/>
    <w:rsid w:val="00067394"/>
    <w:rsid w:val="0007006B"/>
    <w:rsid w:val="00070684"/>
    <w:rsid w:val="0007076B"/>
    <w:rsid w:val="00070BC1"/>
    <w:rsid w:val="00070D92"/>
    <w:rsid w:val="00070DF5"/>
    <w:rsid w:val="000715DF"/>
    <w:rsid w:val="00072E0A"/>
    <w:rsid w:val="00072EDA"/>
    <w:rsid w:val="00073900"/>
    <w:rsid w:val="0007453E"/>
    <w:rsid w:val="00074794"/>
    <w:rsid w:val="00074B1B"/>
    <w:rsid w:val="00075140"/>
    <w:rsid w:val="0007642C"/>
    <w:rsid w:val="000764E7"/>
    <w:rsid w:val="000774A7"/>
    <w:rsid w:val="00081266"/>
    <w:rsid w:val="00081377"/>
    <w:rsid w:val="00081696"/>
    <w:rsid w:val="000817AB"/>
    <w:rsid w:val="00081B1C"/>
    <w:rsid w:val="00081BB7"/>
    <w:rsid w:val="00081C40"/>
    <w:rsid w:val="0008369A"/>
    <w:rsid w:val="000838AA"/>
    <w:rsid w:val="00084A86"/>
    <w:rsid w:val="00084C2E"/>
    <w:rsid w:val="000853DF"/>
    <w:rsid w:val="0008556F"/>
    <w:rsid w:val="00086E12"/>
    <w:rsid w:val="000870AC"/>
    <w:rsid w:val="00087262"/>
    <w:rsid w:val="0009065F"/>
    <w:rsid w:val="000908E0"/>
    <w:rsid w:val="00090A2F"/>
    <w:rsid w:val="00090BBD"/>
    <w:rsid w:val="00091061"/>
    <w:rsid w:val="0009127E"/>
    <w:rsid w:val="00091749"/>
    <w:rsid w:val="0009175A"/>
    <w:rsid w:val="000928C6"/>
    <w:rsid w:val="000932D6"/>
    <w:rsid w:val="0009360F"/>
    <w:rsid w:val="00094254"/>
    <w:rsid w:val="0009451B"/>
    <w:rsid w:val="00095175"/>
    <w:rsid w:val="000953B2"/>
    <w:rsid w:val="00095526"/>
    <w:rsid w:val="0009579A"/>
    <w:rsid w:val="0009668E"/>
    <w:rsid w:val="00096D3A"/>
    <w:rsid w:val="00097215"/>
    <w:rsid w:val="00097330"/>
    <w:rsid w:val="000A0B66"/>
    <w:rsid w:val="000A1DB8"/>
    <w:rsid w:val="000A2D5E"/>
    <w:rsid w:val="000A408A"/>
    <w:rsid w:val="000A470B"/>
    <w:rsid w:val="000A48AC"/>
    <w:rsid w:val="000A505B"/>
    <w:rsid w:val="000A520E"/>
    <w:rsid w:val="000A545C"/>
    <w:rsid w:val="000A5FCD"/>
    <w:rsid w:val="000A620B"/>
    <w:rsid w:val="000A68E0"/>
    <w:rsid w:val="000A7B8C"/>
    <w:rsid w:val="000B0603"/>
    <w:rsid w:val="000B092C"/>
    <w:rsid w:val="000B0A5D"/>
    <w:rsid w:val="000B1B9A"/>
    <w:rsid w:val="000B2190"/>
    <w:rsid w:val="000B2325"/>
    <w:rsid w:val="000B236B"/>
    <w:rsid w:val="000B263C"/>
    <w:rsid w:val="000B2A24"/>
    <w:rsid w:val="000B32C3"/>
    <w:rsid w:val="000B33B5"/>
    <w:rsid w:val="000B3943"/>
    <w:rsid w:val="000B45F2"/>
    <w:rsid w:val="000B524D"/>
    <w:rsid w:val="000B5295"/>
    <w:rsid w:val="000B5B68"/>
    <w:rsid w:val="000B702F"/>
    <w:rsid w:val="000B7CC7"/>
    <w:rsid w:val="000C0156"/>
    <w:rsid w:val="000C024D"/>
    <w:rsid w:val="000C0715"/>
    <w:rsid w:val="000C0FD8"/>
    <w:rsid w:val="000C1904"/>
    <w:rsid w:val="000C236C"/>
    <w:rsid w:val="000C2AB3"/>
    <w:rsid w:val="000C2B82"/>
    <w:rsid w:val="000C3645"/>
    <w:rsid w:val="000C39F2"/>
    <w:rsid w:val="000C3CA8"/>
    <w:rsid w:val="000C3F57"/>
    <w:rsid w:val="000C4A03"/>
    <w:rsid w:val="000C4A66"/>
    <w:rsid w:val="000C4EC6"/>
    <w:rsid w:val="000C5608"/>
    <w:rsid w:val="000C5CC0"/>
    <w:rsid w:val="000C5D66"/>
    <w:rsid w:val="000C5DA6"/>
    <w:rsid w:val="000C6124"/>
    <w:rsid w:val="000C63C2"/>
    <w:rsid w:val="000C68CE"/>
    <w:rsid w:val="000C6D4E"/>
    <w:rsid w:val="000C7085"/>
    <w:rsid w:val="000C7334"/>
    <w:rsid w:val="000C7BC1"/>
    <w:rsid w:val="000C7E7A"/>
    <w:rsid w:val="000D0186"/>
    <w:rsid w:val="000D0A5C"/>
    <w:rsid w:val="000D0BCF"/>
    <w:rsid w:val="000D0F80"/>
    <w:rsid w:val="000D174C"/>
    <w:rsid w:val="000D1868"/>
    <w:rsid w:val="000D1E08"/>
    <w:rsid w:val="000D1E84"/>
    <w:rsid w:val="000D2F77"/>
    <w:rsid w:val="000D2FB2"/>
    <w:rsid w:val="000D31F8"/>
    <w:rsid w:val="000D6ABC"/>
    <w:rsid w:val="000D6B22"/>
    <w:rsid w:val="000D6BC9"/>
    <w:rsid w:val="000D7482"/>
    <w:rsid w:val="000D7779"/>
    <w:rsid w:val="000D7866"/>
    <w:rsid w:val="000D7A66"/>
    <w:rsid w:val="000E0033"/>
    <w:rsid w:val="000E0F7B"/>
    <w:rsid w:val="000E130A"/>
    <w:rsid w:val="000E14BC"/>
    <w:rsid w:val="000E3005"/>
    <w:rsid w:val="000E32F7"/>
    <w:rsid w:val="000E3640"/>
    <w:rsid w:val="000E36FB"/>
    <w:rsid w:val="000E3B8C"/>
    <w:rsid w:val="000E4401"/>
    <w:rsid w:val="000E4946"/>
    <w:rsid w:val="000E57E7"/>
    <w:rsid w:val="000E5806"/>
    <w:rsid w:val="000E60CF"/>
    <w:rsid w:val="000E7A49"/>
    <w:rsid w:val="000F02C1"/>
    <w:rsid w:val="000F1444"/>
    <w:rsid w:val="000F162B"/>
    <w:rsid w:val="000F1713"/>
    <w:rsid w:val="000F1D46"/>
    <w:rsid w:val="000F1F7D"/>
    <w:rsid w:val="000F20EE"/>
    <w:rsid w:val="000F22C3"/>
    <w:rsid w:val="000F250C"/>
    <w:rsid w:val="000F27E2"/>
    <w:rsid w:val="000F2824"/>
    <w:rsid w:val="000F2A3A"/>
    <w:rsid w:val="000F343B"/>
    <w:rsid w:val="000F34EC"/>
    <w:rsid w:val="000F37B6"/>
    <w:rsid w:val="000F4E5C"/>
    <w:rsid w:val="000F513D"/>
    <w:rsid w:val="000F520D"/>
    <w:rsid w:val="000F5437"/>
    <w:rsid w:val="000F57BB"/>
    <w:rsid w:val="000F5E81"/>
    <w:rsid w:val="000F6034"/>
    <w:rsid w:val="000F61BB"/>
    <w:rsid w:val="000F712C"/>
    <w:rsid w:val="000F7F35"/>
    <w:rsid w:val="0010043A"/>
    <w:rsid w:val="00100642"/>
    <w:rsid w:val="0010089B"/>
    <w:rsid w:val="0010092D"/>
    <w:rsid w:val="00100DBC"/>
    <w:rsid w:val="00101C31"/>
    <w:rsid w:val="0010217D"/>
    <w:rsid w:val="00103270"/>
    <w:rsid w:val="001038F9"/>
    <w:rsid w:val="001042D3"/>
    <w:rsid w:val="00105289"/>
    <w:rsid w:val="00105430"/>
    <w:rsid w:val="0010563E"/>
    <w:rsid w:val="00105676"/>
    <w:rsid w:val="00106322"/>
    <w:rsid w:val="001071E9"/>
    <w:rsid w:val="00107BE1"/>
    <w:rsid w:val="001108A2"/>
    <w:rsid w:val="00110FB6"/>
    <w:rsid w:val="00112439"/>
    <w:rsid w:val="00112A18"/>
    <w:rsid w:val="001132F1"/>
    <w:rsid w:val="00113AFA"/>
    <w:rsid w:val="00113BA1"/>
    <w:rsid w:val="00113D44"/>
    <w:rsid w:val="00114777"/>
    <w:rsid w:val="00114EBC"/>
    <w:rsid w:val="00116194"/>
    <w:rsid w:val="00116973"/>
    <w:rsid w:val="001169F1"/>
    <w:rsid w:val="00117130"/>
    <w:rsid w:val="0011715E"/>
    <w:rsid w:val="0011718F"/>
    <w:rsid w:val="00120B7D"/>
    <w:rsid w:val="00124033"/>
    <w:rsid w:val="00124257"/>
    <w:rsid w:val="00125371"/>
    <w:rsid w:val="00125586"/>
    <w:rsid w:val="00125AEC"/>
    <w:rsid w:val="00126546"/>
    <w:rsid w:val="00126B42"/>
    <w:rsid w:val="001275A1"/>
    <w:rsid w:val="00127773"/>
    <w:rsid w:val="00130634"/>
    <w:rsid w:val="00130F4F"/>
    <w:rsid w:val="001310BE"/>
    <w:rsid w:val="00131515"/>
    <w:rsid w:val="00131982"/>
    <w:rsid w:val="00131C9A"/>
    <w:rsid w:val="001322C5"/>
    <w:rsid w:val="0013266E"/>
    <w:rsid w:val="00133A17"/>
    <w:rsid w:val="00133D9F"/>
    <w:rsid w:val="00133E25"/>
    <w:rsid w:val="0013462F"/>
    <w:rsid w:val="00134774"/>
    <w:rsid w:val="00134D1E"/>
    <w:rsid w:val="00134DDA"/>
    <w:rsid w:val="00135137"/>
    <w:rsid w:val="0013705F"/>
    <w:rsid w:val="00137B1F"/>
    <w:rsid w:val="00140274"/>
    <w:rsid w:val="0014037E"/>
    <w:rsid w:val="0014118B"/>
    <w:rsid w:val="00141B36"/>
    <w:rsid w:val="00141CA6"/>
    <w:rsid w:val="00141F69"/>
    <w:rsid w:val="00142985"/>
    <w:rsid w:val="00142F0D"/>
    <w:rsid w:val="00145491"/>
    <w:rsid w:val="001456E0"/>
    <w:rsid w:val="001460B2"/>
    <w:rsid w:val="00146D20"/>
    <w:rsid w:val="00146FC5"/>
    <w:rsid w:val="00147D3A"/>
    <w:rsid w:val="00150FA3"/>
    <w:rsid w:val="00151263"/>
    <w:rsid w:val="0015137D"/>
    <w:rsid w:val="00151CEE"/>
    <w:rsid w:val="00151EC9"/>
    <w:rsid w:val="0015239E"/>
    <w:rsid w:val="001524E6"/>
    <w:rsid w:val="001534F4"/>
    <w:rsid w:val="001538AF"/>
    <w:rsid w:val="00153A17"/>
    <w:rsid w:val="00153C1C"/>
    <w:rsid w:val="001542E3"/>
    <w:rsid w:val="00154D7A"/>
    <w:rsid w:val="001550CE"/>
    <w:rsid w:val="0015559F"/>
    <w:rsid w:val="0015577A"/>
    <w:rsid w:val="00156C07"/>
    <w:rsid w:val="00156C2D"/>
    <w:rsid w:val="00156F70"/>
    <w:rsid w:val="0015779F"/>
    <w:rsid w:val="001578A7"/>
    <w:rsid w:val="001600CB"/>
    <w:rsid w:val="00161035"/>
    <w:rsid w:val="0016266F"/>
    <w:rsid w:val="001627B5"/>
    <w:rsid w:val="00162A8D"/>
    <w:rsid w:val="00162B33"/>
    <w:rsid w:val="001635C3"/>
    <w:rsid w:val="00163BAD"/>
    <w:rsid w:val="00163C17"/>
    <w:rsid w:val="0016507D"/>
    <w:rsid w:val="001652E4"/>
    <w:rsid w:val="00165E3C"/>
    <w:rsid w:val="001662A8"/>
    <w:rsid w:val="0016636A"/>
    <w:rsid w:val="001665D1"/>
    <w:rsid w:val="0016758A"/>
    <w:rsid w:val="00167683"/>
    <w:rsid w:val="00167BD3"/>
    <w:rsid w:val="00167C09"/>
    <w:rsid w:val="00167E23"/>
    <w:rsid w:val="00170065"/>
    <w:rsid w:val="00170464"/>
    <w:rsid w:val="0017059C"/>
    <w:rsid w:val="001709B7"/>
    <w:rsid w:val="00170F7C"/>
    <w:rsid w:val="0017115A"/>
    <w:rsid w:val="00171867"/>
    <w:rsid w:val="00172E1E"/>
    <w:rsid w:val="0017332F"/>
    <w:rsid w:val="00173DF2"/>
    <w:rsid w:val="00173FB5"/>
    <w:rsid w:val="00174441"/>
    <w:rsid w:val="00174C85"/>
    <w:rsid w:val="00174D9A"/>
    <w:rsid w:val="00175D7F"/>
    <w:rsid w:val="001774BB"/>
    <w:rsid w:val="00177C75"/>
    <w:rsid w:val="001801CB"/>
    <w:rsid w:val="0018083C"/>
    <w:rsid w:val="001813E8"/>
    <w:rsid w:val="00181672"/>
    <w:rsid w:val="001818C6"/>
    <w:rsid w:val="001827EC"/>
    <w:rsid w:val="00182892"/>
    <w:rsid w:val="00182AA5"/>
    <w:rsid w:val="00183776"/>
    <w:rsid w:val="001838B9"/>
    <w:rsid w:val="00183B5A"/>
    <w:rsid w:val="00183E11"/>
    <w:rsid w:val="00184DA2"/>
    <w:rsid w:val="00185228"/>
    <w:rsid w:val="00185CFF"/>
    <w:rsid w:val="0018613D"/>
    <w:rsid w:val="00186C25"/>
    <w:rsid w:val="00187862"/>
    <w:rsid w:val="00187BC2"/>
    <w:rsid w:val="00187E1E"/>
    <w:rsid w:val="00187FD1"/>
    <w:rsid w:val="0019063B"/>
    <w:rsid w:val="00190A98"/>
    <w:rsid w:val="00190AB8"/>
    <w:rsid w:val="001917FC"/>
    <w:rsid w:val="0019252B"/>
    <w:rsid w:val="00192769"/>
    <w:rsid w:val="001928E9"/>
    <w:rsid w:val="00194274"/>
    <w:rsid w:val="0019523C"/>
    <w:rsid w:val="00195CEA"/>
    <w:rsid w:val="00195EC7"/>
    <w:rsid w:val="00195EDE"/>
    <w:rsid w:val="001966EC"/>
    <w:rsid w:val="001A0D38"/>
    <w:rsid w:val="001A0DF7"/>
    <w:rsid w:val="001A0F68"/>
    <w:rsid w:val="001A19B6"/>
    <w:rsid w:val="001A2305"/>
    <w:rsid w:val="001A31E2"/>
    <w:rsid w:val="001A3982"/>
    <w:rsid w:val="001A3F4A"/>
    <w:rsid w:val="001A42F2"/>
    <w:rsid w:val="001A45D4"/>
    <w:rsid w:val="001A476B"/>
    <w:rsid w:val="001A48AF"/>
    <w:rsid w:val="001A4B48"/>
    <w:rsid w:val="001A5DE4"/>
    <w:rsid w:val="001A701D"/>
    <w:rsid w:val="001A782C"/>
    <w:rsid w:val="001A79DB"/>
    <w:rsid w:val="001B0353"/>
    <w:rsid w:val="001B04C7"/>
    <w:rsid w:val="001B0860"/>
    <w:rsid w:val="001B0D79"/>
    <w:rsid w:val="001B31D4"/>
    <w:rsid w:val="001B34BF"/>
    <w:rsid w:val="001B386F"/>
    <w:rsid w:val="001B3D00"/>
    <w:rsid w:val="001B3F14"/>
    <w:rsid w:val="001B405D"/>
    <w:rsid w:val="001B4086"/>
    <w:rsid w:val="001B45D6"/>
    <w:rsid w:val="001B5AB0"/>
    <w:rsid w:val="001B74AD"/>
    <w:rsid w:val="001B7667"/>
    <w:rsid w:val="001B7A6F"/>
    <w:rsid w:val="001C0AA6"/>
    <w:rsid w:val="001C0DD2"/>
    <w:rsid w:val="001C125B"/>
    <w:rsid w:val="001C1F8B"/>
    <w:rsid w:val="001C2107"/>
    <w:rsid w:val="001C23C6"/>
    <w:rsid w:val="001C29A0"/>
    <w:rsid w:val="001C2C7A"/>
    <w:rsid w:val="001C435A"/>
    <w:rsid w:val="001C4735"/>
    <w:rsid w:val="001C48D8"/>
    <w:rsid w:val="001C524F"/>
    <w:rsid w:val="001C58B5"/>
    <w:rsid w:val="001C7F01"/>
    <w:rsid w:val="001D022D"/>
    <w:rsid w:val="001D0660"/>
    <w:rsid w:val="001D09F7"/>
    <w:rsid w:val="001D1738"/>
    <w:rsid w:val="001D29A4"/>
    <w:rsid w:val="001D2BD3"/>
    <w:rsid w:val="001D32FD"/>
    <w:rsid w:val="001D34B1"/>
    <w:rsid w:val="001D4776"/>
    <w:rsid w:val="001D539A"/>
    <w:rsid w:val="001D59A9"/>
    <w:rsid w:val="001D5E1D"/>
    <w:rsid w:val="001D5E61"/>
    <w:rsid w:val="001D6154"/>
    <w:rsid w:val="001D75DF"/>
    <w:rsid w:val="001D7D2E"/>
    <w:rsid w:val="001E14F7"/>
    <w:rsid w:val="001E273B"/>
    <w:rsid w:val="001E2F20"/>
    <w:rsid w:val="001E4675"/>
    <w:rsid w:val="001E4BB1"/>
    <w:rsid w:val="001E5676"/>
    <w:rsid w:val="001E57C8"/>
    <w:rsid w:val="001E59A8"/>
    <w:rsid w:val="001E5B12"/>
    <w:rsid w:val="001E61A5"/>
    <w:rsid w:val="001E66E2"/>
    <w:rsid w:val="001E68BC"/>
    <w:rsid w:val="001E6B0E"/>
    <w:rsid w:val="001E6B49"/>
    <w:rsid w:val="001E754D"/>
    <w:rsid w:val="001E7E86"/>
    <w:rsid w:val="001F0658"/>
    <w:rsid w:val="001F0B09"/>
    <w:rsid w:val="001F0B7D"/>
    <w:rsid w:val="001F19B8"/>
    <w:rsid w:val="001F2B46"/>
    <w:rsid w:val="001F2BBB"/>
    <w:rsid w:val="001F3856"/>
    <w:rsid w:val="001F3D90"/>
    <w:rsid w:val="001F4167"/>
    <w:rsid w:val="001F4A9C"/>
    <w:rsid w:val="001F52FD"/>
    <w:rsid w:val="001F579D"/>
    <w:rsid w:val="001F5B16"/>
    <w:rsid w:val="001F5F19"/>
    <w:rsid w:val="001F60E0"/>
    <w:rsid w:val="001F62B1"/>
    <w:rsid w:val="001F62CC"/>
    <w:rsid w:val="001F6CF4"/>
    <w:rsid w:val="001F6E3D"/>
    <w:rsid w:val="001F6FB6"/>
    <w:rsid w:val="001F753F"/>
    <w:rsid w:val="001F75E1"/>
    <w:rsid w:val="001F7C6C"/>
    <w:rsid w:val="00200677"/>
    <w:rsid w:val="00200C63"/>
    <w:rsid w:val="00200FAA"/>
    <w:rsid w:val="0020121C"/>
    <w:rsid w:val="002012F7"/>
    <w:rsid w:val="002027F6"/>
    <w:rsid w:val="002031EC"/>
    <w:rsid w:val="00203282"/>
    <w:rsid w:val="002036AD"/>
    <w:rsid w:val="00204944"/>
    <w:rsid w:val="002049EA"/>
    <w:rsid w:val="0020543C"/>
    <w:rsid w:val="0020607D"/>
    <w:rsid w:val="002068EB"/>
    <w:rsid w:val="00207789"/>
    <w:rsid w:val="0021031A"/>
    <w:rsid w:val="0021051C"/>
    <w:rsid w:val="002107DF"/>
    <w:rsid w:val="00210AE9"/>
    <w:rsid w:val="00210D9B"/>
    <w:rsid w:val="00211603"/>
    <w:rsid w:val="00211761"/>
    <w:rsid w:val="00211C5F"/>
    <w:rsid w:val="0021203B"/>
    <w:rsid w:val="00212C0D"/>
    <w:rsid w:val="00212D9B"/>
    <w:rsid w:val="00213331"/>
    <w:rsid w:val="002133B2"/>
    <w:rsid w:val="0021407F"/>
    <w:rsid w:val="00214207"/>
    <w:rsid w:val="00214210"/>
    <w:rsid w:val="002145B9"/>
    <w:rsid w:val="00214FB6"/>
    <w:rsid w:val="00215549"/>
    <w:rsid w:val="0021601C"/>
    <w:rsid w:val="002161DA"/>
    <w:rsid w:val="0021648F"/>
    <w:rsid w:val="002167DA"/>
    <w:rsid w:val="00216821"/>
    <w:rsid w:val="00216C55"/>
    <w:rsid w:val="00220A57"/>
    <w:rsid w:val="00221A06"/>
    <w:rsid w:val="00221C91"/>
    <w:rsid w:val="00221D5D"/>
    <w:rsid w:val="0022299A"/>
    <w:rsid w:val="00222A9D"/>
    <w:rsid w:val="002230E9"/>
    <w:rsid w:val="0022310D"/>
    <w:rsid w:val="00223874"/>
    <w:rsid w:val="00223EBF"/>
    <w:rsid w:val="002242CB"/>
    <w:rsid w:val="002253D9"/>
    <w:rsid w:val="00225C51"/>
    <w:rsid w:val="002261C7"/>
    <w:rsid w:val="00226BC2"/>
    <w:rsid w:val="002277A4"/>
    <w:rsid w:val="002306F5"/>
    <w:rsid w:val="00231899"/>
    <w:rsid w:val="00231B8E"/>
    <w:rsid w:val="00231ED1"/>
    <w:rsid w:val="0023227E"/>
    <w:rsid w:val="00232443"/>
    <w:rsid w:val="00233033"/>
    <w:rsid w:val="00233335"/>
    <w:rsid w:val="0023474E"/>
    <w:rsid w:val="00234A1A"/>
    <w:rsid w:val="002356F3"/>
    <w:rsid w:val="0023604A"/>
    <w:rsid w:val="00236341"/>
    <w:rsid w:val="002367FA"/>
    <w:rsid w:val="00237601"/>
    <w:rsid w:val="00240ADE"/>
    <w:rsid w:val="00241523"/>
    <w:rsid w:val="00242624"/>
    <w:rsid w:val="00242A9F"/>
    <w:rsid w:val="00242E6E"/>
    <w:rsid w:val="00243010"/>
    <w:rsid w:val="0024344C"/>
    <w:rsid w:val="00244FBE"/>
    <w:rsid w:val="0024557E"/>
    <w:rsid w:val="00245D25"/>
    <w:rsid w:val="002461D5"/>
    <w:rsid w:val="002466B1"/>
    <w:rsid w:val="0024679D"/>
    <w:rsid w:val="002471FD"/>
    <w:rsid w:val="0024768E"/>
    <w:rsid w:val="00247A0D"/>
    <w:rsid w:val="00247E9F"/>
    <w:rsid w:val="00250111"/>
    <w:rsid w:val="002519B9"/>
    <w:rsid w:val="0025218B"/>
    <w:rsid w:val="00252214"/>
    <w:rsid w:val="0025255D"/>
    <w:rsid w:val="00253D01"/>
    <w:rsid w:val="002542AF"/>
    <w:rsid w:val="0025492E"/>
    <w:rsid w:val="0025721E"/>
    <w:rsid w:val="0025736B"/>
    <w:rsid w:val="00257C82"/>
    <w:rsid w:val="00257FCC"/>
    <w:rsid w:val="00260373"/>
    <w:rsid w:val="0026170B"/>
    <w:rsid w:val="00261BA7"/>
    <w:rsid w:val="00262165"/>
    <w:rsid w:val="002625AD"/>
    <w:rsid w:val="002626E6"/>
    <w:rsid w:val="00262BB3"/>
    <w:rsid w:val="002632EA"/>
    <w:rsid w:val="00263D7C"/>
    <w:rsid w:val="00264E12"/>
    <w:rsid w:val="00264F8A"/>
    <w:rsid w:val="00266612"/>
    <w:rsid w:val="00266C79"/>
    <w:rsid w:val="00266CBD"/>
    <w:rsid w:val="00270A0C"/>
    <w:rsid w:val="00271067"/>
    <w:rsid w:val="00271DFD"/>
    <w:rsid w:val="00273AAF"/>
    <w:rsid w:val="0027411F"/>
    <w:rsid w:val="002742CA"/>
    <w:rsid w:val="002751DD"/>
    <w:rsid w:val="00275589"/>
    <w:rsid w:val="002756BF"/>
    <w:rsid w:val="002759EC"/>
    <w:rsid w:val="002765C8"/>
    <w:rsid w:val="002769CC"/>
    <w:rsid w:val="00276BF7"/>
    <w:rsid w:val="00280896"/>
    <w:rsid w:val="0028117B"/>
    <w:rsid w:val="002811F3"/>
    <w:rsid w:val="0028178C"/>
    <w:rsid w:val="00281CC3"/>
    <w:rsid w:val="00282157"/>
    <w:rsid w:val="00282EE1"/>
    <w:rsid w:val="0028506A"/>
    <w:rsid w:val="002850B0"/>
    <w:rsid w:val="00286029"/>
    <w:rsid w:val="002863D7"/>
    <w:rsid w:val="002871AA"/>
    <w:rsid w:val="002873A0"/>
    <w:rsid w:val="002873B4"/>
    <w:rsid w:val="0028785A"/>
    <w:rsid w:val="002905EC"/>
    <w:rsid w:val="002921C3"/>
    <w:rsid w:val="002925BF"/>
    <w:rsid w:val="002928FF"/>
    <w:rsid w:val="00292AB5"/>
    <w:rsid w:val="00292CE6"/>
    <w:rsid w:val="002930AC"/>
    <w:rsid w:val="00293619"/>
    <w:rsid w:val="00293856"/>
    <w:rsid w:val="00294770"/>
    <w:rsid w:val="002949F8"/>
    <w:rsid w:val="00295BB7"/>
    <w:rsid w:val="0029604C"/>
    <w:rsid w:val="002961F3"/>
    <w:rsid w:val="002968BE"/>
    <w:rsid w:val="00296B6D"/>
    <w:rsid w:val="00296E1A"/>
    <w:rsid w:val="00297E2D"/>
    <w:rsid w:val="002A0E74"/>
    <w:rsid w:val="002A1C1A"/>
    <w:rsid w:val="002A2D88"/>
    <w:rsid w:val="002A3ABC"/>
    <w:rsid w:val="002A4071"/>
    <w:rsid w:val="002A43C2"/>
    <w:rsid w:val="002A4EFE"/>
    <w:rsid w:val="002A602D"/>
    <w:rsid w:val="002A6BEE"/>
    <w:rsid w:val="002A76F7"/>
    <w:rsid w:val="002A7798"/>
    <w:rsid w:val="002A7A7E"/>
    <w:rsid w:val="002B0803"/>
    <w:rsid w:val="002B11A5"/>
    <w:rsid w:val="002B1A81"/>
    <w:rsid w:val="002B1B65"/>
    <w:rsid w:val="002B239E"/>
    <w:rsid w:val="002B2CE3"/>
    <w:rsid w:val="002B415B"/>
    <w:rsid w:val="002B4583"/>
    <w:rsid w:val="002B567E"/>
    <w:rsid w:val="002B575C"/>
    <w:rsid w:val="002B585E"/>
    <w:rsid w:val="002B684D"/>
    <w:rsid w:val="002B72CF"/>
    <w:rsid w:val="002B75A2"/>
    <w:rsid w:val="002C0278"/>
    <w:rsid w:val="002C02DB"/>
    <w:rsid w:val="002C03FD"/>
    <w:rsid w:val="002C04D0"/>
    <w:rsid w:val="002C06BF"/>
    <w:rsid w:val="002C0AFF"/>
    <w:rsid w:val="002C14F2"/>
    <w:rsid w:val="002C1866"/>
    <w:rsid w:val="002C1A89"/>
    <w:rsid w:val="002C253E"/>
    <w:rsid w:val="002C2A52"/>
    <w:rsid w:val="002C2C9D"/>
    <w:rsid w:val="002C2D49"/>
    <w:rsid w:val="002C2EA4"/>
    <w:rsid w:val="002C372A"/>
    <w:rsid w:val="002C4D4E"/>
    <w:rsid w:val="002C4E05"/>
    <w:rsid w:val="002C4F88"/>
    <w:rsid w:val="002C53B2"/>
    <w:rsid w:val="002C5B7B"/>
    <w:rsid w:val="002C62C0"/>
    <w:rsid w:val="002C63F8"/>
    <w:rsid w:val="002C657B"/>
    <w:rsid w:val="002C6918"/>
    <w:rsid w:val="002C7AB8"/>
    <w:rsid w:val="002C7BB5"/>
    <w:rsid w:val="002C7D1E"/>
    <w:rsid w:val="002D094D"/>
    <w:rsid w:val="002D0FDE"/>
    <w:rsid w:val="002D1B4C"/>
    <w:rsid w:val="002D1E00"/>
    <w:rsid w:val="002D2591"/>
    <w:rsid w:val="002D42E4"/>
    <w:rsid w:val="002D4559"/>
    <w:rsid w:val="002D460E"/>
    <w:rsid w:val="002D4EFF"/>
    <w:rsid w:val="002D5580"/>
    <w:rsid w:val="002D5B1A"/>
    <w:rsid w:val="002D5C07"/>
    <w:rsid w:val="002D697A"/>
    <w:rsid w:val="002D7364"/>
    <w:rsid w:val="002D7E40"/>
    <w:rsid w:val="002E03FD"/>
    <w:rsid w:val="002E0802"/>
    <w:rsid w:val="002E0AE9"/>
    <w:rsid w:val="002E0E09"/>
    <w:rsid w:val="002E1D1E"/>
    <w:rsid w:val="002E1E62"/>
    <w:rsid w:val="002E20A5"/>
    <w:rsid w:val="002E2407"/>
    <w:rsid w:val="002E26EE"/>
    <w:rsid w:val="002E2A07"/>
    <w:rsid w:val="002E2DA5"/>
    <w:rsid w:val="002E4A88"/>
    <w:rsid w:val="002E506A"/>
    <w:rsid w:val="002E512C"/>
    <w:rsid w:val="002E55BF"/>
    <w:rsid w:val="002E5A1B"/>
    <w:rsid w:val="002E609D"/>
    <w:rsid w:val="002E6646"/>
    <w:rsid w:val="002E7768"/>
    <w:rsid w:val="002E7C4D"/>
    <w:rsid w:val="002E7CAD"/>
    <w:rsid w:val="002F1779"/>
    <w:rsid w:val="002F1C9E"/>
    <w:rsid w:val="002F1E61"/>
    <w:rsid w:val="002F2763"/>
    <w:rsid w:val="002F4110"/>
    <w:rsid w:val="002F4CE1"/>
    <w:rsid w:val="002F5E96"/>
    <w:rsid w:val="002F6192"/>
    <w:rsid w:val="002F61B3"/>
    <w:rsid w:val="002F63BF"/>
    <w:rsid w:val="002F69E4"/>
    <w:rsid w:val="002F6AF1"/>
    <w:rsid w:val="002F6D6C"/>
    <w:rsid w:val="002F6DD0"/>
    <w:rsid w:val="002F6FF5"/>
    <w:rsid w:val="002F7A47"/>
    <w:rsid w:val="002F7C33"/>
    <w:rsid w:val="003001F7"/>
    <w:rsid w:val="0030053D"/>
    <w:rsid w:val="003007FA"/>
    <w:rsid w:val="00300F22"/>
    <w:rsid w:val="00301442"/>
    <w:rsid w:val="00302C9E"/>
    <w:rsid w:val="003041C7"/>
    <w:rsid w:val="0030479D"/>
    <w:rsid w:val="00304A37"/>
    <w:rsid w:val="00304F7C"/>
    <w:rsid w:val="00305114"/>
    <w:rsid w:val="00305208"/>
    <w:rsid w:val="00305FAB"/>
    <w:rsid w:val="003071CE"/>
    <w:rsid w:val="003071D7"/>
    <w:rsid w:val="00307B13"/>
    <w:rsid w:val="00307F84"/>
    <w:rsid w:val="0031040E"/>
    <w:rsid w:val="00310D06"/>
    <w:rsid w:val="00310ED4"/>
    <w:rsid w:val="00310F73"/>
    <w:rsid w:val="0031194F"/>
    <w:rsid w:val="00311A74"/>
    <w:rsid w:val="00311D61"/>
    <w:rsid w:val="003122CF"/>
    <w:rsid w:val="00312301"/>
    <w:rsid w:val="00312BAE"/>
    <w:rsid w:val="0031384C"/>
    <w:rsid w:val="00313C9E"/>
    <w:rsid w:val="00313FF6"/>
    <w:rsid w:val="0031406E"/>
    <w:rsid w:val="0031492A"/>
    <w:rsid w:val="003152EE"/>
    <w:rsid w:val="003160B3"/>
    <w:rsid w:val="0031640D"/>
    <w:rsid w:val="00316C1A"/>
    <w:rsid w:val="003176FD"/>
    <w:rsid w:val="00317AFA"/>
    <w:rsid w:val="00317E3E"/>
    <w:rsid w:val="00320BCF"/>
    <w:rsid w:val="00320BF9"/>
    <w:rsid w:val="00321567"/>
    <w:rsid w:val="003215D0"/>
    <w:rsid w:val="00321865"/>
    <w:rsid w:val="00322E30"/>
    <w:rsid w:val="00323175"/>
    <w:rsid w:val="003235DD"/>
    <w:rsid w:val="00323C73"/>
    <w:rsid w:val="00323CB5"/>
    <w:rsid w:val="00323E00"/>
    <w:rsid w:val="003246D5"/>
    <w:rsid w:val="003262AC"/>
    <w:rsid w:val="0032634C"/>
    <w:rsid w:val="003263A2"/>
    <w:rsid w:val="003266E4"/>
    <w:rsid w:val="003266E5"/>
    <w:rsid w:val="00327DE4"/>
    <w:rsid w:val="00330D66"/>
    <w:rsid w:val="00330EEA"/>
    <w:rsid w:val="00331141"/>
    <w:rsid w:val="00331ADC"/>
    <w:rsid w:val="00331DC6"/>
    <w:rsid w:val="00332233"/>
    <w:rsid w:val="003326C9"/>
    <w:rsid w:val="00332D5D"/>
    <w:rsid w:val="00333515"/>
    <w:rsid w:val="00333FDD"/>
    <w:rsid w:val="00334F20"/>
    <w:rsid w:val="003352A8"/>
    <w:rsid w:val="0033563C"/>
    <w:rsid w:val="003369D7"/>
    <w:rsid w:val="00336AF3"/>
    <w:rsid w:val="00336D78"/>
    <w:rsid w:val="00337203"/>
    <w:rsid w:val="0033749B"/>
    <w:rsid w:val="0034102F"/>
    <w:rsid w:val="003415C2"/>
    <w:rsid w:val="003423F4"/>
    <w:rsid w:val="00342A98"/>
    <w:rsid w:val="00342EDA"/>
    <w:rsid w:val="00343B02"/>
    <w:rsid w:val="00344758"/>
    <w:rsid w:val="00344BFF"/>
    <w:rsid w:val="00344FFB"/>
    <w:rsid w:val="00345079"/>
    <w:rsid w:val="003452FF"/>
    <w:rsid w:val="00345867"/>
    <w:rsid w:val="00346359"/>
    <w:rsid w:val="00347142"/>
    <w:rsid w:val="003471B0"/>
    <w:rsid w:val="003473F8"/>
    <w:rsid w:val="00347613"/>
    <w:rsid w:val="00347907"/>
    <w:rsid w:val="00347CF0"/>
    <w:rsid w:val="00347ED2"/>
    <w:rsid w:val="0035024A"/>
    <w:rsid w:val="00350459"/>
    <w:rsid w:val="0035070C"/>
    <w:rsid w:val="00350CAA"/>
    <w:rsid w:val="00350D1B"/>
    <w:rsid w:val="00351637"/>
    <w:rsid w:val="00351899"/>
    <w:rsid w:val="00352104"/>
    <w:rsid w:val="0035299C"/>
    <w:rsid w:val="003531CA"/>
    <w:rsid w:val="0035390E"/>
    <w:rsid w:val="00354963"/>
    <w:rsid w:val="00354C54"/>
    <w:rsid w:val="00355759"/>
    <w:rsid w:val="003557B5"/>
    <w:rsid w:val="00356052"/>
    <w:rsid w:val="003565A8"/>
    <w:rsid w:val="003566EA"/>
    <w:rsid w:val="00356CBB"/>
    <w:rsid w:val="00356D62"/>
    <w:rsid w:val="00357145"/>
    <w:rsid w:val="00357356"/>
    <w:rsid w:val="00357A47"/>
    <w:rsid w:val="00360262"/>
    <w:rsid w:val="003602F6"/>
    <w:rsid w:val="003604B0"/>
    <w:rsid w:val="00360C30"/>
    <w:rsid w:val="00360EDB"/>
    <w:rsid w:val="003613F5"/>
    <w:rsid w:val="00362009"/>
    <w:rsid w:val="00362220"/>
    <w:rsid w:val="00362D90"/>
    <w:rsid w:val="00363039"/>
    <w:rsid w:val="0036348F"/>
    <w:rsid w:val="0036542F"/>
    <w:rsid w:val="00366311"/>
    <w:rsid w:val="003663FC"/>
    <w:rsid w:val="00367240"/>
    <w:rsid w:val="00371A34"/>
    <w:rsid w:val="00371D05"/>
    <w:rsid w:val="00372343"/>
    <w:rsid w:val="00372C79"/>
    <w:rsid w:val="00373E9E"/>
    <w:rsid w:val="003743C8"/>
    <w:rsid w:val="00374544"/>
    <w:rsid w:val="00374A2B"/>
    <w:rsid w:val="00375186"/>
    <w:rsid w:val="0037545E"/>
    <w:rsid w:val="003759C8"/>
    <w:rsid w:val="003803EB"/>
    <w:rsid w:val="003819C1"/>
    <w:rsid w:val="00381C6B"/>
    <w:rsid w:val="003820FE"/>
    <w:rsid w:val="003827FB"/>
    <w:rsid w:val="00382D97"/>
    <w:rsid w:val="0038349C"/>
    <w:rsid w:val="003839C4"/>
    <w:rsid w:val="00384E0E"/>
    <w:rsid w:val="003852BD"/>
    <w:rsid w:val="00385601"/>
    <w:rsid w:val="00385726"/>
    <w:rsid w:val="00387FC0"/>
    <w:rsid w:val="003924E1"/>
    <w:rsid w:val="00392B32"/>
    <w:rsid w:val="003933A8"/>
    <w:rsid w:val="003936C9"/>
    <w:rsid w:val="00393BFE"/>
    <w:rsid w:val="0039415E"/>
    <w:rsid w:val="00394222"/>
    <w:rsid w:val="003943E7"/>
    <w:rsid w:val="0039483E"/>
    <w:rsid w:val="0039487E"/>
    <w:rsid w:val="00394EC6"/>
    <w:rsid w:val="003955C6"/>
    <w:rsid w:val="00395BB8"/>
    <w:rsid w:val="003965DA"/>
    <w:rsid w:val="003A0025"/>
    <w:rsid w:val="003A01D3"/>
    <w:rsid w:val="003A168E"/>
    <w:rsid w:val="003A1BD8"/>
    <w:rsid w:val="003A222E"/>
    <w:rsid w:val="003A39D6"/>
    <w:rsid w:val="003A3BC4"/>
    <w:rsid w:val="003A4111"/>
    <w:rsid w:val="003A47C7"/>
    <w:rsid w:val="003A48B7"/>
    <w:rsid w:val="003A4964"/>
    <w:rsid w:val="003A51FC"/>
    <w:rsid w:val="003A53A5"/>
    <w:rsid w:val="003A56BC"/>
    <w:rsid w:val="003A5D41"/>
    <w:rsid w:val="003A5D43"/>
    <w:rsid w:val="003A6329"/>
    <w:rsid w:val="003A6475"/>
    <w:rsid w:val="003A66B8"/>
    <w:rsid w:val="003A6922"/>
    <w:rsid w:val="003A7382"/>
    <w:rsid w:val="003B0342"/>
    <w:rsid w:val="003B05CC"/>
    <w:rsid w:val="003B24BD"/>
    <w:rsid w:val="003B33DC"/>
    <w:rsid w:val="003B3A64"/>
    <w:rsid w:val="003B425E"/>
    <w:rsid w:val="003B598B"/>
    <w:rsid w:val="003B5BC9"/>
    <w:rsid w:val="003B615C"/>
    <w:rsid w:val="003B67AE"/>
    <w:rsid w:val="003B699F"/>
    <w:rsid w:val="003B6F83"/>
    <w:rsid w:val="003B78D6"/>
    <w:rsid w:val="003B7D9E"/>
    <w:rsid w:val="003C0417"/>
    <w:rsid w:val="003C1393"/>
    <w:rsid w:val="003C17BB"/>
    <w:rsid w:val="003C2274"/>
    <w:rsid w:val="003C242D"/>
    <w:rsid w:val="003C26EE"/>
    <w:rsid w:val="003C3419"/>
    <w:rsid w:val="003C477C"/>
    <w:rsid w:val="003C4F20"/>
    <w:rsid w:val="003C53FE"/>
    <w:rsid w:val="003C5A58"/>
    <w:rsid w:val="003C6B5F"/>
    <w:rsid w:val="003C6BE3"/>
    <w:rsid w:val="003C7698"/>
    <w:rsid w:val="003D009A"/>
    <w:rsid w:val="003D03BD"/>
    <w:rsid w:val="003D11DE"/>
    <w:rsid w:val="003D2002"/>
    <w:rsid w:val="003D22BD"/>
    <w:rsid w:val="003D2795"/>
    <w:rsid w:val="003D2859"/>
    <w:rsid w:val="003D3847"/>
    <w:rsid w:val="003D3C9C"/>
    <w:rsid w:val="003D4091"/>
    <w:rsid w:val="003D4C44"/>
    <w:rsid w:val="003D4C4C"/>
    <w:rsid w:val="003D566F"/>
    <w:rsid w:val="003D5C1D"/>
    <w:rsid w:val="003D5FB2"/>
    <w:rsid w:val="003D61C0"/>
    <w:rsid w:val="003D6E8F"/>
    <w:rsid w:val="003D7266"/>
    <w:rsid w:val="003D72B0"/>
    <w:rsid w:val="003D7352"/>
    <w:rsid w:val="003D73F1"/>
    <w:rsid w:val="003D752F"/>
    <w:rsid w:val="003D7AAA"/>
    <w:rsid w:val="003E0836"/>
    <w:rsid w:val="003E129B"/>
    <w:rsid w:val="003E1685"/>
    <w:rsid w:val="003E1752"/>
    <w:rsid w:val="003E1D8A"/>
    <w:rsid w:val="003E3678"/>
    <w:rsid w:val="003E3D94"/>
    <w:rsid w:val="003E5DEF"/>
    <w:rsid w:val="003E6386"/>
    <w:rsid w:val="003F10DB"/>
    <w:rsid w:val="003F211F"/>
    <w:rsid w:val="003F3350"/>
    <w:rsid w:val="003F3351"/>
    <w:rsid w:val="003F3FF1"/>
    <w:rsid w:val="003F47A8"/>
    <w:rsid w:val="003F48AE"/>
    <w:rsid w:val="003F4C05"/>
    <w:rsid w:val="003F4C64"/>
    <w:rsid w:val="003F512E"/>
    <w:rsid w:val="003F53F5"/>
    <w:rsid w:val="003F5589"/>
    <w:rsid w:val="003F58DF"/>
    <w:rsid w:val="003F5B1C"/>
    <w:rsid w:val="003F6D9C"/>
    <w:rsid w:val="003F76F3"/>
    <w:rsid w:val="00400968"/>
    <w:rsid w:val="00400D3C"/>
    <w:rsid w:val="00401BF2"/>
    <w:rsid w:val="00401C11"/>
    <w:rsid w:val="0040205B"/>
    <w:rsid w:val="00402A71"/>
    <w:rsid w:val="00402DC2"/>
    <w:rsid w:val="00403261"/>
    <w:rsid w:val="0040497E"/>
    <w:rsid w:val="00404AEC"/>
    <w:rsid w:val="00405143"/>
    <w:rsid w:val="00405367"/>
    <w:rsid w:val="004057FB"/>
    <w:rsid w:val="00405BE2"/>
    <w:rsid w:val="00406AE0"/>
    <w:rsid w:val="00406FAB"/>
    <w:rsid w:val="00407935"/>
    <w:rsid w:val="0041002E"/>
    <w:rsid w:val="0041063B"/>
    <w:rsid w:val="00410F99"/>
    <w:rsid w:val="004114AC"/>
    <w:rsid w:val="004114F1"/>
    <w:rsid w:val="00411BEF"/>
    <w:rsid w:val="004127D3"/>
    <w:rsid w:val="004137AA"/>
    <w:rsid w:val="0041433E"/>
    <w:rsid w:val="0041473B"/>
    <w:rsid w:val="00414876"/>
    <w:rsid w:val="00414A90"/>
    <w:rsid w:val="00414B5F"/>
    <w:rsid w:val="00415221"/>
    <w:rsid w:val="00415294"/>
    <w:rsid w:val="004155A9"/>
    <w:rsid w:val="004157CB"/>
    <w:rsid w:val="004167E6"/>
    <w:rsid w:val="0041687A"/>
    <w:rsid w:val="00417CA7"/>
    <w:rsid w:val="004208BC"/>
    <w:rsid w:val="00420DD0"/>
    <w:rsid w:val="00421128"/>
    <w:rsid w:val="004215CC"/>
    <w:rsid w:val="00421681"/>
    <w:rsid w:val="004216F9"/>
    <w:rsid w:val="004222BF"/>
    <w:rsid w:val="00422417"/>
    <w:rsid w:val="0042283F"/>
    <w:rsid w:val="004240CA"/>
    <w:rsid w:val="00424233"/>
    <w:rsid w:val="0042428A"/>
    <w:rsid w:val="004247DC"/>
    <w:rsid w:val="00424BC9"/>
    <w:rsid w:val="00424F48"/>
    <w:rsid w:val="00425FAF"/>
    <w:rsid w:val="00426517"/>
    <w:rsid w:val="004268C7"/>
    <w:rsid w:val="00427A6A"/>
    <w:rsid w:val="00430613"/>
    <w:rsid w:val="00431C00"/>
    <w:rsid w:val="0043236D"/>
    <w:rsid w:val="00433D30"/>
    <w:rsid w:val="0043447C"/>
    <w:rsid w:val="0043589A"/>
    <w:rsid w:val="0043598F"/>
    <w:rsid w:val="00435A6B"/>
    <w:rsid w:val="00435F1C"/>
    <w:rsid w:val="00436E4B"/>
    <w:rsid w:val="00436FEF"/>
    <w:rsid w:val="0043741A"/>
    <w:rsid w:val="00437980"/>
    <w:rsid w:val="00437D4C"/>
    <w:rsid w:val="004403B0"/>
    <w:rsid w:val="004409AF"/>
    <w:rsid w:val="00441384"/>
    <w:rsid w:val="0044190A"/>
    <w:rsid w:val="004420E9"/>
    <w:rsid w:val="004425B6"/>
    <w:rsid w:val="00442A20"/>
    <w:rsid w:val="00442FC1"/>
    <w:rsid w:val="00443058"/>
    <w:rsid w:val="004438DA"/>
    <w:rsid w:val="004439EC"/>
    <w:rsid w:val="004442A6"/>
    <w:rsid w:val="00444DAD"/>
    <w:rsid w:val="00444E39"/>
    <w:rsid w:val="00445266"/>
    <w:rsid w:val="0044574A"/>
    <w:rsid w:val="00445B79"/>
    <w:rsid w:val="00445CB5"/>
    <w:rsid w:val="00445FDC"/>
    <w:rsid w:val="00446236"/>
    <w:rsid w:val="00446246"/>
    <w:rsid w:val="00446FF4"/>
    <w:rsid w:val="00447250"/>
    <w:rsid w:val="004478A1"/>
    <w:rsid w:val="00447D8A"/>
    <w:rsid w:val="0045007E"/>
    <w:rsid w:val="004502B5"/>
    <w:rsid w:val="004506AC"/>
    <w:rsid w:val="00450918"/>
    <w:rsid w:val="00450BD5"/>
    <w:rsid w:val="00450C90"/>
    <w:rsid w:val="004517D7"/>
    <w:rsid w:val="00452280"/>
    <w:rsid w:val="00452794"/>
    <w:rsid w:val="004528EE"/>
    <w:rsid w:val="00454535"/>
    <w:rsid w:val="0045462C"/>
    <w:rsid w:val="00454D53"/>
    <w:rsid w:val="00455A48"/>
    <w:rsid w:val="00455E38"/>
    <w:rsid w:val="00456AE1"/>
    <w:rsid w:val="0045704D"/>
    <w:rsid w:val="004579B1"/>
    <w:rsid w:val="0046028F"/>
    <w:rsid w:val="00460513"/>
    <w:rsid w:val="00460702"/>
    <w:rsid w:val="00460964"/>
    <w:rsid w:val="00460EE0"/>
    <w:rsid w:val="004611CF"/>
    <w:rsid w:val="004616D8"/>
    <w:rsid w:val="004619B2"/>
    <w:rsid w:val="004631B1"/>
    <w:rsid w:val="00463DD4"/>
    <w:rsid w:val="00464181"/>
    <w:rsid w:val="0046477C"/>
    <w:rsid w:val="00464978"/>
    <w:rsid w:val="004656EB"/>
    <w:rsid w:val="00466283"/>
    <w:rsid w:val="004662BD"/>
    <w:rsid w:val="004662EF"/>
    <w:rsid w:val="00466C9E"/>
    <w:rsid w:val="004675BB"/>
    <w:rsid w:val="00467742"/>
    <w:rsid w:val="00470017"/>
    <w:rsid w:val="00470375"/>
    <w:rsid w:val="0047124A"/>
    <w:rsid w:val="004712FB"/>
    <w:rsid w:val="0047186D"/>
    <w:rsid w:val="00471BB7"/>
    <w:rsid w:val="004720AB"/>
    <w:rsid w:val="00472EFF"/>
    <w:rsid w:val="004730BF"/>
    <w:rsid w:val="004732E9"/>
    <w:rsid w:val="004737F3"/>
    <w:rsid w:val="00474006"/>
    <w:rsid w:val="00474063"/>
    <w:rsid w:val="004744D2"/>
    <w:rsid w:val="00475026"/>
    <w:rsid w:val="004753FE"/>
    <w:rsid w:val="00475417"/>
    <w:rsid w:val="004756FE"/>
    <w:rsid w:val="0047576A"/>
    <w:rsid w:val="004759C5"/>
    <w:rsid w:val="004763B6"/>
    <w:rsid w:val="004765E4"/>
    <w:rsid w:val="0047677D"/>
    <w:rsid w:val="00476793"/>
    <w:rsid w:val="00476C35"/>
    <w:rsid w:val="00476C4D"/>
    <w:rsid w:val="00476CFE"/>
    <w:rsid w:val="00476EF0"/>
    <w:rsid w:val="004771CA"/>
    <w:rsid w:val="00477396"/>
    <w:rsid w:val="00477CB6"/>
    <w:rsid w:val="00477F68"/>
    <w:rsid w:val="004803E6"/>
    <w:rsid w:val="004804A8"/>
    <w:rsid w:val="0048097E"/>
    <w:rsid w:val="00480F82"/>
    <w:rsid w:val="00481A08"/>
    <w:rsid w:val="00481B2A"/>
    <w:rsid w:val="00482091"/>
    <w:rsid w:val="004820E1"/>
    <w:rsid w:val="00482794"/>
    <w:rsid w:val="0048289C"/>
    <w:rsid w:val="0048309F"/>
    <w:rsid w:val="00483284"/>
    <w:rsid w:val="00483A8B"/>
    <w:rsid w:val="00483F07"/>
    <w:rsid w:val="00484566"/>
    <w:rsid w:val="00484A74"/>
    <w:rsid w:val="004874C4"/>
    <w:rsid w:val="00487A43"/>
    <w:rsid w:val="00490C14"/>
    <w:rsid w:val="00490F53"/>
    <w:rsid w:val="00491840"/>
    <w:rsid w:val="00492021"/>
    <w:rsid w:val="0049235F"/>
    <w:rsid w:val="00492479"/>
    <w:rsid w:val="00492827"/>
    <w:rsid w:val="00492923"/>
    <w:rsid w:val="00494100"/>
    <w:rsid w:val="0049417B"/>
    <w:rsid w:val="0049431B"/>
    <w:rsid w:val="004949E2"/>
    <w:rsid w:val="004955D5"/>
    <w:rsid w:val="004965D2"/>
    <w:rsid w:val="00496625"/>
    <w:rsid w:val="00496C1A"/>
    <w:rsid w:val="00497057"/>
    <w:rsid w:val="004975CC"/>
    <w:rsid w:val="0049775B"/>
    <w:rsid w:val="004979C3"/>
    <w:rsid w:val="004A078E"/>
    <w:rsid w:val="004A0A4C"/>
    <w:rsid w:val="004A0DB2"/>
    <w:rsid w:val="004A1659"/>
    <w:rsid w:val="004A16DD"/>
    <w:rsid w:val="004A187B"/>
    <w:rsid w:val="004A1986"/>
    <w:rsid w:val="004A2754"/>
    <w:rsid w:val="004A2D3C"/>
    <w:rsid w:val="004A2E11"/>
    <w:rsid w:val="004A4145"/>
    <w:rsid w:val="004A4372"/>
    <w:rsid w:val="004A43F5"/>
    <w:rsid w:val="004A44C8"/>
    <w:rsid w:val="004A4A8D"/>
    <w:rsid w:val="004A4DDB"/>
    <w:rsid w:val="004A4EF6"/>
    <w:rsid w:val="004A533F"/>
    <w:rsid w:val="004A57BC"/>
    <w:rsid w:val="004A5E26"/>
    <w:rsid w:val="004A6DED"/>
    <w:rsid w:val="004A70AE"/>
    <w:rsid w:val="004B017E"/>
    <w:rsid w:val="004B034C"/>
    <w:rsid w:val="004B0D0B"/>
    <w:rsid w:val="004B0F2D"/>
    <w:rsid w:val="004B1435"/>
    <w:rsid w:val="004B1600"/>
    <w:rsid w:val="004B19B9"/>
    <w:rsid w:val="004B257D"/>
    <w:rsid w:val="004B2872"/>
    <w:rsid w:val="004B2EC5"/>
    <w:rsid w:val="004B3BD1"/>
    <w:rsid w:val="004B50F7"/>
    <w:rsid w:val="004B5C25"/>
    <w:rsid w:val="004B5FDC"/>
    <w:rsid w:val="004B6F03"/>
    <w:rsid w:val="004B7240"/>
    <w:rsid w:val="004C06D8"/>
    <w:rsid w:val="004C09FF"/>
    <w:rsid w:val="004C1B5D"/>
    <w:rsid w:val="004C1B67"/>
    <w:rsid w:val="004C1E98"/>
    <w:rsid w:val="004C2076"/>
    <w:rsid w:val="004C20AF"/>
    <w:rsid w:val="004C26FB"/>
    <w:rsid w:val="004C29F1"/>
    <w:rsid w:val="004C2C39"/>
    <w:rsid w:val="004C714D"/>
    <w:rsid w:val="004C7412"/>
    <w:rsid w:val="004C7541"/>
    <w:rsid w:val="004D01D1"/>
    <w:rsid w:val="004D04BF"/>
    <w:rsid w:val="004D082D"/>
    <w:rsid w:val="004D16C8"/>
    <w:rsid w:val="004D1E9D"/>
    <w:rsid w:val="004D2F9C"/>
    <w:rsid w:val="004D5015"/>
    <w:rsid w:val="004D5C2A"/>
    <w:rsid w:val="004D6D9F"/>
    <w:rsid w:val="004E031A"/>
    <w:rsid w:val="004E0DFF"/>
    <w:rsid w:val="004E128F"/>
    <w:rsid w:val="004E1369"/>
    <w:rsid w:val="004E1F09"/>
    <w:rsid w:val="004E29AA"/>
    <w:rsid w:val="004E2B15"/>
    <w:rsid w:val="004E2DDB"/>
    <w:rsid w:val="004E3407"/>
    <w:rsid w:val="004E340E"/>
    <w:rsid w:val="004E34E5"/>
    <w:rsid w:val="004E37B1"/>
    <w:rsid w:val="004E41D5"/>
    <w:rsid w:val="004E5050"/>
    <w:rsid w:val="004E51ED"/>
    <w:rsid w:val="004E6AED"/>
    <w:rsid w:val="004E7B1E"/>
    <w:rsid w:val="004E7CC0"/>
    <w:rsid w:val="004F016C"/>
    <w:rsid w:val="004F0660"/>
    <w:rsid w:val="004F0CA3"/>
    <w:rsid w:val="004F188E"/>
    <w:rsid w:val="004F1C7C"/>
    <w:rsid w:val="004F2926"/>
    <w:rsid w:val="004F41E5"/>
    <w:rsid w:val="004F461D"/>
    <w:rsid w:val="004F4C01"/>
    <w:rsid w:val="004F51E8"/>
    <w:rsid w:val="004F56A4"/>
    <w:rsid w:val="004F6002"/>
    <w:rsid w:val="004F608D"/>
    <w:rsid w:val="004F621B"/>
    <w:rsid w:val="004F6D0A"/>
    <w:rsid w:val="004F6E69"/>
    <w:rsid w:val="004F7F44"/>
    <w:rsid w:val="00500006"/>
    <w:rsid w:val="00500183"/>
    <w:rsid w:val="0050025E"/>
    <w:rsid w:val="00500469"/>
    <w:rsid w:val="0050050E"/>
    <w:rsid w:val="00500605"/>
    <w:rsid w:val="00500B8F"/>
    <w:rsid w:val="00501413"/>
    <w:rsid w:val="005018E4"/>
    <w:rsid w:val="00501D70"/>
    <w:rsid w:val="005021CF"/>
    <w:rsid w:val="005025B7"/>
    <w:rsid w:val="005026A8"/>
    <w:rsid w:val="00502AF5"/>
    <w:rsid w:val="0050478E"/>
    <w:rsid w:val="00504902"/>
    <w:rsid w:val="00504BE6"/>
    <w:rsid w:val="00505773"/>
    <w:rsid w:val="005068CF"/>
    <w:rsid w:val="00510390"/>
    <w:rsid w:val="00510617"/>
    <w:rsid w:val="005107AE"/>
    <w:rsid w:val="005111BA"/>
    <w:rsid w:val="00511A59"/>
    <w:rsid w:val="005123F0"/>
    <w:rsid w:val="00513540"/>
    <w:rsid w:val="00513807"/>
    <w:rsid w:val="00513941"/>
    <w:rsid w:val="00513C01"/>
    <w:rsid w:val="00514A3F"/>
    <w:rsid w:val="005157FC"/>
    <w:rsid w:val="00517B9C"/>
    <w:rsid w:val="00517E02"/>
    <w:rsid w:val="0052091E"/>
    <w:rsid w:val="0052161C"/>
    <w:rsid w:val="005219C0"/>
    <w:rsid w:val="00522063"/>
    <w:rsid w:val="00522337"/>
    <w:rsid w:val="005223EA"/>
    <w:rsid w:val="005228E1"/>
    <w:rsid w:val="00522DE7"/>
    <w:rsid w:val="00523157"/>
    <w:rsid w:val="00523305"/>
    <w:rsid w:val="00523AD7"/>
    <w:rsid w:val="00524176"/>
    <w:rsid w:val="00524261"/>
    <w:rsid w:val="005245AD"/>
    <w:rsid w:val="0052500F"/>
    <w:rsid w:val="005263D6"/>
    <w:rsid w:val="00526914"/>
    <w:rsid w:val="00527137"/>
    <w:rsid w:val="0052752A"/>
    <w:rsid w:val="0053051D"/>
    <w:rsid w:val="005305CC"/>
    <w:rsid w:val="00530C2C"/>
    <w:rsid w:val="00531535"/>
    <w:rsid w:val="00531568"/>
    <w:rsid w:val="00531C54"/>
    <w:rsid w:val="005327B1"/>
    <w:rsid w:val="00532BE5"/>
    <w:rsid w:val="00532C26"/>
    <w:rsid w:val="00534481"/>
    <w:rsid w:val="00534776"/>
    <w:rsid w:val="00534F6D"/>
    <w:rsid w:val="005367EC"/>
    <w:rsid w:val="0053689E"/>
    <w:rsid w:val="0054049E"/>
    <w:rsid w:val="0054328E"/>
    <w:rsid w:val="00543751"/>
    <w:rsid w:val="00543E8D"/>
    <w:rsid w:val="00545254"/>
    <w:rsid w:val="0054559F"/>
    <w:rsid w:val="00545C25"/>
    <w:rsid w:val="00546AE2"/>
    <w:rsid w:val="00546D3D"/>
    <w:rsid w:val="00546E99"/>
    <w:rsid w:val="00547241"/>
    <w:rsid w:val="0055028B"/>
    <w:rsid w:val="0055037A"/>
    <w:rsid w:val="00550A70"/>
    <w:rsid w:val="0055132C"/>
    <w:rsid w:val="005520D5"/>
    <w:rsid w:val="005520F4"/>
    <w:rsid w:val="005525F5"/>
    <w:rsid w:val="00552FDB"/>
    <w:rsid w:val="00553400"/>
    <w:rsid w:val="00553540"/>
    <w:rsid w:val="005537B0"/>
    <w:rsid w:val="00553A1F"/>
    <w:rsid w:val="00553B6E"/>
    <w:rsid w:val="00553EA7"/>
    <w:rsid w:val="00554283"/>
    <w:rsid w:val="0055459D"/>
    <w:rsid w:val="0055534C"/>
    <w:rsid w:val="0055548B"/>
    <w:rsid w:val="005554A7"/>
    <w:rsid w:val="005555E4"/>
    <w:rsid w:val="00555772"/>
    <w:rsid w:val="00555BC5"/>
    <w:rsid w:val="005570B0"/>
    <w:rsid w:val="00557EB4"/>
    <w:rsid w:val="0056084A"/>
    <w:rsid w:val="00560CB8"/>
    <w:rsid w:val="005614BF"/>
    <w:rsid w:val="005618BA"/>
    <w:rsid w:val="00561BB1"/>
    <w:rsid w:val="0056297C"/>
    <w:rsid w:val="0056355E"/>
    <w:rsid w:val="0056369C"/>
    <w:rsid w:val="00563E77"/>
    <w:rsid w:val="00563F48"/>
    <w:rsid w:val="00564208"/>
    <w:rsid w:val="00564312"/>
    <w:rsid w:val="00566541"/>
    <w:rsid w:val="00566EAC"/>
    <w:rsid w:val="00567239"/>
    <w:rsid w:val="0056736D"/>
    <w:rsid w:val="00567CEC"/>
    <w:rsid w:val="00567E30"/>
    <w:rsid w:val="005710B6"/>
    <w:rsid w:val="00571B46"/>
    <w:rsid w:val="00571CEB"/>
    <w:rsid w:val="005724EB"/>
    <w:rsid w:val="005730E8"/>
    <w:rsid w:val="00574A7F"/>
    <w:rsid w:val="00574B41"/>
    <w:rsid w:val="00574CA7"/>
    <w:rsid w:val="00574DBE"/>
    <w:rsid w:val="00575692"/>
    <w:rsid w:val="00576353"/>
    <w:rsid w:val="0057686F"/>
    <w:rsid w:val="00576F4E"/>
    <w:rsid w:val="00580EBC"/>
    <w:rsid w:val="0058109E"/>
    <w:rsid w:val="0058144F"/>
    <w:rsid w:val="005815B2"/>
    <w:rsid w:val="0058298A"/>
    <w:rsid w:val="00582A37"/>
    <w:rsid w:val="00582D62"/>
    <w:rsid w:val="005833F3"/>
    <w:rsid w:val="0058357F"/>
    <w:rsid w:val="00583ACD"/>
    <w:rsid w:val="005841D0"/>
    <w:rsid w:val="005850C8"/>
    <w:rsid w:val="005857D3"/>
    <w:rsid w:val="0058696F"/>
    <w:rsid w:val="005869F7"/>
    <w:rsid w:val="00586A3C"/>
    <w:rsid w:val="00587472"/>
    <w:rsid w:val="00587A4F"/>
    <w:rsid w:val="0059059D"/>
    <w:rsid w:val="005913EB"/>
    <w:rsid w:val="005913F3"/>
    <w:rsid w:val="00591951"/>
    <w:rsid w:val="00592204"/>
    <w:rsid w:val="0059247F"/>
    <w:rsid w:val="00593FAA"/>
    <w:rsid w:val="00595C4E"/>
    <w:rsid w:val="00596AD7"/>
    <w:rsid w:val="00596CF7"/>
    <w:rsid w:val="005971EA"/>
    <w:rsid w:val="005A0509"/>
    <w:rsid w:val="005A0964"/>
    <w:rsid w:val="005A0F6D"/>
    <w:rsid w:val="005A177E"/>
    <w:rsid w:val="005A23CA"/>
    <w:rsid w:val="005A3117"/>
    <w:rsid w:val="005A4FE4"/>
    <w:rsid w:val="005A527E"/>
    <w:rsid w:val="005A59E2"/>
    <w:rsid w:val="005A5A92"/>
    <w:rsid w:val="005A5FF8"/>
    <w:rsid w:val="005A6043"/>
    <w:rsid w:val="005A697B"/>
    <w:rsid w:val="005A6A20"/>
    <w:rsid w:val="005A71EA"/>
    <w:rsid w:val="005B15F5"/>
    <w:rsid w:val="005B1A1A"/>
    <w:rsid w:val="005B1CF6"/>
    <w:rsid w:val="005B1FA9"/>
    <w:rsid w:val="005B205C"/>
    <w:rsid w:val="005B3035"/>
    <w:rsid w:val="005B3094"/>
    <w:rsid w:val="005B34CF"/>
    <w:rsid w:val="005B351A"/>
    <w:rsid w:val="005B36F6"/>
    <w:rsid w:val="005B3E89"/>
    <w:rsid w:val="005B45AB"/>
    <w:rsid w:val="005B4611"/>
    <w:rsid w:val="005B500E"/>
    <w:rsid w:val="005B50A0"/>
    <w:rsid w:val="005B5257"/>
    <w:rsid w:val="005B58FC"/>
    <w:rsid w:val="005B6029"/>
    <w:rsid w:val="005B6482"/>
    <w:rsid w:val="005B6E1D"/>
    <w:rsid w:val="005C0613"/>
    <w:rsid w:val="005C0E74"/>
    <w:rsid w:val="005C0EE8"/>
    <w:rsid w:val="005C0FCF"/>
    <w:rsid w:val="005C1BF7"/>
    <w:rsid w:val="005C2094"/>
    <w:rsid w:val="005C2D38"/>
    <w:rsid w:val="005C2ECF"/>
    <w:rsid w:val="005C3C4F"/>
    <w:rsid w:val="005C3C9A"/>
    <w:rsid w:val="005C3DE7"/>
    <w:rsid w:val="005C410E"/>
    <w:rsid w:val="005C43D8"/>
    <w:rsid w:val="005C4502"/>
    <w:rsid w:val="005C4509"/>
    <w:rsid w:val="005C463B"/>
    <w:rsid w:val="005C4F03"/>
    <w:rsid w:val="005C554F"/>
    <w:rsid w:val="005C5D41"/>
    <w:rsid w:val="005C6193"/>
    <w:rsid w:val="005C690B"/>
    <w:rsid w:val="005C79E2"/>
    <w:rsid w:val="005C7C30"/>
    <w:rsid w:val="005C7DFD"/>
    <w:rsid w:val="005C7FC1"/>
    <w:rsid w:val="005D0390"/>
    <w:rsid w:val="005D0758"/>
    <w:rsid w:val="005D098D"/>
    <w:rsid w:val="005D0A47"/>
    <w:rsid w:val="005D1D9B"/>
    <w:rsid w:val="005D1F34"/>
    <w:rsid w:val="005D2A23"/>
    <w:rsid w:val="005D2B07"/>
    <w:rsid w:val="005D383D"/>
    <w:rsid w:val="005D3911"/>
    <w:rsid w:val="005D3DFE"/>
    <w:rsid w:val="005D4543"/>
    <w:rsid w:val="005D4A7B"/>
    <w:rsid w:val="005D4BE3"/>
    <w:rsid w:val="005D4F88"/>
    <w:rsid w:val="005D5137"/>
    <w:rsid w:val="005D6662"/>
    <w:rsid w:val="005D6AF8"/>
    <w:rsid w:val="005E0125"/>
    <w:rsid w:val="005E05AF"/>
    <w:rsid w:val="005E12D6"/>
    <w:rsid w:val="005E1756"/>
    <w:rsid w:val="005E2673"/>
    <w:rsid w:val="005E2C4B"/>
    <w:rsid w:val="005E34BC"/>
    <w:rsid w:val="005E3938"/>
    <w:rsid w:val="005E3AEF"/>
    <w:rsid w:val="005E3FF3"/>
    <w:rsid w:val="005E43B8"/>
    <w:rsid w:val="005E443C"/>
    <w:rsid w:val="005E48AD"/>
    <w:rsid w:val="005E5A6A"/>
    <w:rsid w:val="005E6697"/>
    <w:rsid w:val="005E68FE"/>
    <w:rsid w:val="005E6A1F"/>
    <w:rsid w:val="005E7A17"/>
    <w:rsid w:val="005E7CA0"/>
    <w:rsid w:val="005F033F"/>
    <w:rsid w:val="005F0355"/>
    <w:rsid w:val="005F0AEB"/>
    <w:rsid w:val="005F0D37"/>
    <w:rsid w:val="005F0E24"/>
    <w:rsid w:val="005F16F0"/>
    <w:rsid w:val="005F1FDA"/>
    <w:rsid w:val="005F2CDB"/>
    <w:rsid w:val="005F2CF1"/>
    <w:rsid w:val="005F309E"/>
    <w:rsid w:val="005F324F"/>
    <w:rsid w:val="005F3325"/>
    <w:rsid w:val="005F3348"/>
    <w:rsid w:val="005F38D3"/>
    <w:rsid w:val="005F51C9"/>
    <w:rsid w:val="005F6956"/>
    <w:rsid w:val="005F69F0"/>
    <w:rsid w:val="00600199"/>
    <w:rsid w:val="00600418"/>
    <w:rsid w:val="00600753"/>
    <w:rsid w:val="00600AA8"/>
    <w:rsid w:val="00600ED0"/>
    <w:rsid w:val="006010DE"/>
    <w:rsid w:val="00603E22"/>
    <w:rsid w:val="00604646"/>
    <w:rsid w:val="00604E76"/>
    <w:rsid w:val="006058F3"/>
    <w:rsid w:val="00605F95"/>
    <w:rsid w:val="0060629E"/>
    <w:rsid w:val="006064B9"/>
    <w:rsid w:val="00606A40"/>
    <w:rsid w:val="00606C5E"/>
    <w:rsid w:val="00606E37"/>
    <w:rsid w:val="0060735A"/>
    <w:rsid w:val="006075B7"/>
    <w:rsid w:val="0060779F"/>
    <w:rsid w:val="00607A3D"/>
    <w:rsid w:val="00610AB7"/>
    <w:rsid w:val="0061155B"/>
    <w:rsid w:val="00611978"/>
    <w:rsid w:val="00611DBF"/>
    <w:rsid w:val="00612F6D"/>
    <w:rsid w:val="006134DE"/>
    <w:rsid w:val="00613B88"/>
    <w:rsid w:val="00613C3A"/>
    <w:rsid w:val="006141B8"/>
    <w:rsid w:val="00614217"/>
    <w:rsid w:val="006147F6"/>
    <w:rsid w:val="00615737"/>
    <w:rsid w:val="00616404"/>
    <w:rsid w:val="0061649E"/>
    <w:rsid w:val="00616A6D"/>
    <w:rsid w:val="00616F88"/>
    <w:rsid w:val="0061734C"/>
    <w:rsid w:val="00617A7F"/>
    <w:rsid w:val="00617BB8"/>
    <w:rsid w:val="006200AB"/>
    <w:rsid w:val="006204E6"/>
    <w:rsid w:val="00620585"/>
    <w:rsid w:val="00620F82"/>
    <w:rsid w:val="00621632"/>
    <w:rsid w:val="00622508"/>
    <w:rsid w:val="00622841"/>
    <w:rsid w:val="00622BCD"/>
    <w:rsid w:val="00623578"/>
    <w:rsid w:val="00623C20"/>
    <w:rsid w:val="00623FCC"/>
    <w:rsid w:val="0062434B"/>
    <w:rsid w:val="0062495A"/>
    <w:rsid w:val="006250C9"/>
    <w:rsid w:val="006255F0"/>
    <w:rsid w:val="00626123"/>
    <w:rsid w:val="00626384"/>
    <w:rsid w:val="00626B1C"/>
    <w:rsid w:val="00627EE3"/>
    <w:rsid w:val="00630047"/>
    <w:rsid w:val="0063009F"/>
    <w:rsid w:val="006310F8"/>
    <w:rsid w:val="00631A20"/>
    <w:rsid w:val="00633298"/>
    <w:rsid w:val="00633E30"/>
    <w:rsid w:val="00635078"/>
    <w:rsid w:val="006356C5"/>
    <w:rsid w:val="00635CB1"/>
    <w:rsid w:val="00635F1B"/>
    <w:rsid w:val="00636563"/>
    <w:rsid w:val="006365FD"/>
    <w:rsid w:val="00636E78"/>
    <w:rsid w:val="00637C08"/>
    <w:rsid w:val="00637D47"/>
    <w:rsid w:val="00640560"/>
    <w:rsid w:val="006410E1"/>
    <w:rsid w:val="00641E6A"/>
    <w:rsid w:val="006421C9"/>
    <w:rsid w:val="00642B15"/>
    <w:rsid w:val="00643979"/>
    <w:rsid w:val="00643B25"/>
    <w:rsid w:val="00643D69"/>
    <w:rsid w:val="00644BC6"/>
    <w:rsid w:val="00644E7F"/>
    <w:rsid w:val="0064589B"/>
    <w:rsid w:val="00646C5D"/>
    <w:rsid w:val="006471E4"/>
    <w:rsid w:val="00650E26"/>
    <w:rsid w:val="0065183E"/>
    <w:rsid w:val="00651EE0"/>
    <w:rsid w:val="00651F81"/>
    <w:rsid w:val="006533CF"/>
    <w:rsid w:val="006536D7"/>
    <w:rsid w:val="0065411A"/>
    <w:rsid w:val="00654793"/>
    <w:rsid w:val="00654E42"/>
    <w:rsid w:val="006564D3"/>
    <w:rsid w:val="00657DEA"/>
    <w:rsid w:val="0066074B"/>
    <w:rsid w:val="00660C4E"/>
    <w:rsid w:val="00661C91"/>
    <w:rsid w:val="00662045"/>
    <w:rsid w:val="00663589"/>
    <w:rsid w:val="006636BD"/>
    <w:rsid w:val="00663C65"/>
    <w:rsid w:val="00663CFA"/>
    <w:rsid w:val="00665182"/>
    <w:rsid w:val="006653C4"/>
    <w:rsid w:val="0066578E"/>
    <w:rsid w:val="006659B5"/>
    <w:rsid w:val="00665BA3"/>
    <w:rsid w:val="006666BF"/>
    <w:rsid w:val="0066721A"/>
    <w:rsid w:val="00671C0A"/>
    <w:rsid w:val="00671EDD"/>
    <w:rsid w:val="00672753"/>
    <w:rsid w:val="00672AA6"/>
    <w:rsid w:val="00673BED"/>
    <w:rsid w:val="00674952"/>
    <w:rsid w:val="00674E6D"/>
    <w:rsid w:val="006750C6"/>
    <w:rsid w:val="00675194"/>
    <w:rsid w:val="00675957"/>
    <w:rsid w:val="00675A82"/>
    <w:rsid w:val="00676097"/>
    <w:rsid w:val="00677923"/>
    <w:rsid w:val="00677CAE"/>
    <w:rsid w:val="0068047B"/>
    <w:rsid w:val="00681408"/>
    <w:rsid w:val="0068184B"/>
    <w:rsid w:val="006818D8"/>
    <w:rsid w:val="006819B1"/>
    <w:rsid w:val="0068281E"/>
    <w:rsid w:val="00683141"/>
    <w:rsid w:val="00683710"/>
    <w:rsid w:val="00684512"/>
    <w:rsid w:val="006846F3"/>
    <w:rsid w:val="00684EAC"/>
    <w:rsid w:val="00685563"/>
    <w:rsid w:val="0068691A"/>
    <w:rsid w:val="00686EAA"/>
    <w:rsid w:val="006909F8"/>
    <w:rsid w:val="00690BB5"/>
    <w:rsid w:val="0069149F"/>
    <w:rsid w:val="00692349"/>
    <w:rsid w:val="0069338F"/>
    <w:rsid w:val="0069340E"/>
    <w:rsid w:val="00693D5C"/>
    <w:rsid w:val="00694236"/>
    <w:rsid w:val="00694B1F"/>
    <w:rsid w:val="00694F4F"/>
    <w:rsid w:val="0069523C"/>
    <w:rsid w:val="006953C0"/>
    <w:rsid w:val="006959C5"/>
    <w:rsid w:val="00695E9D"/>
    <w:rsid w:val="006965EE"/>
    <w:rsid w:val="00696871"/>
    <w:rsid w:val="00696CD1"/>
    <w:rsid w:val="0069758A"/>
    <w:rsid w:val="00697FF4"/>
    <w:rsid w:val="006A06E2"/>
    <w:rsid w:val="006A0961"/>
    <w:rsid w:val="006A0978"/>
    <w:rsid w:val="006A1386"/>
    <w:rsid w:val="006A1449"/>
    <w:rsid w:val="006A1762"/>
    <w:rsid w:val="006A1889"/>
    <w:rsid w:val="006A23FE"/>
    <w:rsid w:val="006A321F"/>
    <w:rsid w:val="006A4012"/>
    <w:rsid w:val="006A43AC"/>
    <w:rsid w:val="006A489F"/>
    <w:rsid w:val="006A49D1"/>
    <w:rsid w:val="006A52D3"/>
    <w:rsid w:val="006A6BB3"/>
    <w:rsid w:val="006B0B7C"/>
    <w:rsid w:val="006B0BEC"/>
    <w:rsid w:val="006B0FC7"/>
    <w:rsid w:val="006B1328"/>
    <w:rsid w:val="006B13EB"/>
    <w:rsid w:val="006B14A7"/>
    <w:rsid w:val="006B14BB"/>
    <w:rsid w:val="006B1EC5"/>
    <w:rsid w:val="006B23AF"/>
    <w:rsid w:val="006B240E"/>
    <w:rsid w:val="006B24FC"/>
    <w:rsid w:val="006B2589"/>
    <w:rsid w:val="006B29D6"/>
    <w:rsid w:val="006B2F21"/>
    <w:rsid w:val="006B2F22"/>
    <w:rsid w:val="006B3489"/>
    <w:rsid w:val="006B348C"/>
    <w:rsid w:val="006B370D"/>
    <w:rsid w:val="006B3DE1"/>
    <w:rsid w:val="006B4401"/>
    <w:rsid w:val="006B46AE"/>
    <w:rsid w:val="006B4744"/>
    <w:rsid w:val="006B49BF"/>
    <w:rsid w:val="006B5789"/>
    <w:rsid w:val="006B588D"/>
    <w:rsid w:val="006B5EFA"/>
    <w:rsid w:val="006B62C4"/>
    <w:rsid w:val="006B6485"/>
    <w:rsid w:val="006B6A0D"/>
    <w:rsid w:val="006B711F"/>
    <w:rsid w:val="006B733B"/>
    <w:rsid w:val="006C02F5"/>
    <w:rsid w:val="006C0642"/>
    <w:rsid w:val="006C1325"/>
    <w:rsid w:val="006C1B63"/>
    <w:rsid w:val="006C3307"/>
    <w:rsid w:val="006C339B"/>
    <w:rsid w:val="006C3462"/>
    <w:rsid w:val="006C52EA"/>
    <w:rsid w:val="006C5526"/>
    <w:rsid w:val="006C561F"/>
    <w:rsid w:val="006C594A"/>
    <w:rsid w:val="006C5A19"/>
    <w:rsid w:val="006C5BA6"/>
    <w:rsid w:val="006C685F"/>
    <w:rsid w:val="006C6AA2"/>
    <w:rsid w:val="006C6D9A"/>
    <w:rsid w:val="006C7642"/>
    <w:rsid w:val="006C7BF2"/>
    <w:rsid w:val="006D0407"/>
    <w:rsid w:val="006D0B7D"/>
    <w:rsid w:val="006D15DD"/>
    <w:rsid w:val="006D1849"/>
    <w:rsid w:val="006D1F36"/>
    <w:rsid w:val="006D24E6"/>
    <w:rsid w:val="006D2F52"/>
    <w:rsid w:val="006D2F78"/>
    <w:rsid w:val="006D358E"/>
    <w:rsid w:val="006D3590"/>
    <w:rsid w:val="006D4260"/>
    <w:rsid w:val="006D46CB"/>
    <w:rsid w:val="006D5243"/>
    <w:rsid w:val="006D5760"/>
    <w:rsid w:val="006D5A35"/>
    <w:rsid w:val="006D5CF6"/>
    <w:rsid w:val="006D5D2C"/>
    <w:rsid w:val="006D5EE5"/>
    <w:rsid w:val="006D6004"/>
    <w:rsid w:val="006D61CC"/>
    <w:rsid w:val="006D70A5"/>
    <w:rsid w:val="006D723F"/>
    <w:rsid w:val="006D769E"/>
    <w:rsid w:val="006D76B3"/>
    <w:rsid w:val="006E05E3"/>
    <w:rsid w:val="006E0890"/>
    <w:rsid w:val="006E1DD4"/>
    <w:rsid w:val="006E1EA4"/>
    <w:rsid w:val="006E239A"/>
    <w:rsid w:val="006E26B4"/>
    <w:rsid w:val="006E3433"/>
    <w:rsid w:val="006E3BAE"/>
    <w:rsid w:val="006E419E"/>
    <w:rsid w:val="006E4A4A"/>
    <w:rsid w:val="006E64C9"/>
    <w:rsid w:val="006E69A3"/>
    <w:rsid w:val="006E6C13"/>
    <w:rsid w:val="006E6D3B"/>
    <w:rsid w:val="006E6E7A"/>
    <w:rsid w:val="006E71C8"/>
    <w:rsid w:val="006F0D33"/>
    <w:rsid w:val="006F129F"/>
    <w:rsid w:val="006F13FD"/>
    <w:rsid w:val="006F26B0"/>
    <w:rsid w:val="006F3397"/>
    <w:rsid w:val="006F376F"/>
    <w:rsid w:val="006F39EA"/>
    <w:rsid w:val="006F3D13"/>
    <w:rsid w:val="006F46A9"/>
    <w:rsid w:val="006F507D"/>
    <w:rsid w:val="006F6361"/>
    <w:rsid w:val="006F71BA"/>
    <w:rsid w:val="006F7D09"/>
    <w:rsid w:val="006F7DCE"/>
    <w:rsid w:val="00700550"/>
    <w:rsid w:val="00700D3C"/>
    <w:rsid w:val="00701705"/>
    <w:rsid w:val="007031DD"/>
    <w:rsid w:val="00706A7A"/>
    <w:rsid w:val="00706AD4"/>
    <w:rsid w:val="00706D5D"/>
    <w:rsid w:val="00707464"/>
    <w:rsid w:val="0071065E"/>
    <w:rsid w:val="00710B9F"/>
    <w:rsid w:val="00710BBE"/>
    <w:rsid w:val="00711908"/>
    <w:rsid w:val="00712FC7"/>
    <w:rsid w:val="00713028"/>
    <w:rsid w:val="00713597"/>
    <w:rsid w:val="0071375B"/>
    <w:rsid w:val="00713EDC"/>
    <w:rsid w:val="0071467D"/>
    <w:rsid w:val="00714741"/>
    <w:rsid w:val="00714CE8"/>
    <w:rsid w:val="00714FF5"/>
    <w:rsid w:val="00714FFD"/>
    <w:rsid w:val="00715125"/>
    <w:rsid w:val="00716131"/>
    <w:rsid w:val="00716482"/>
    <w:rsid w:val="00716ADB"/>
    <w:rsid w:val="00716DDA"/>
    <w:rsid w:val="0071767D"/>
    <w:rsid w:val="007202A0"/>
    <w:rsid w:val="00720DEE"/>
    <w:rsid w:val="00722028"/>
    <w:rsid w:val="0072219C"/>
    <w:rsid w:val="0072516C"/>
    <w:rsid w:val="00725B55"/>
    <w:rsid w:val="00726374"/>
    <w:rsid w:val="007269B7"/>
    <w:rsid w:val="007270E9"/>
    <w:rsid w:val="00727882"/>
    <w:rsid w:val="00730074"/>
    <w:rsid w:val="007305D2"/>
    <w:rsid w:val="00730BD2"/>
    <w:rsid w:val="00730C61"/>
    <w:rsid w:val="00730F7A"/>
    <w:rsid w:val="007311A7"/>
    <w:rsid w:val="00731D95"/>
    <w:rsid w:val="00731E5B"/>
    <w:rsid w:val="007329AE"/>
    <w:rsid w:val="00732E92"/>
    <w:rsid w:val="007332F7"/>
    <w:rsid w:val="00733486"/>
    <w:rsid w:val="0073424D"/>
    <w:rsid w:val="007346E3"/>
    <w:rsid w:val="00734832"/>
    <w:rsid w:val="00734E31"/>
    <w:rsid w:val="007360DA"/>
    <w:rsid w:val="00736A72"/>
    <w:rsid w:val="00737798"/>
    <w:rsid w:val="00737A63"/>
    <w:rsid w:val="00737B51"/>
    <w:rsid w:val="00737B5F"/>
    <w:rsid w:val="00737CBD"/>
    <w:rsid w:val="007402EE"/>
    <w:rsid w:val="00741D53"/>
    <w:rsid w:val="007436DF"/>
    <w:rsid w:val="00744984"/>
    <w:rsid w:val="00745863"/>
    <w:rsid w:val="007469C5"/>
    <w:rsid w:val="007469F7"/>
    <w:rsid w:val="00746C95"/>
    <w:rsid w:val="00747270"/>
    <w:rsid w:val="00747D9D"/>
    <w:rsid w:val="00750A17"/>
    <w:rsid w:val="00750B95"/>
    <w:rsid w:val="00750BCD"/>
    <w:rsid w:val="00750CD9"/>
    <w:rsid w:val="00750E18"/>
    <w:rsid w:val="007512F9"/>
    <w:rsid w:val="007518A3"/>
    <w:rsid w:val="00751901"/>
    <w:rsid w:val="00751BF4"/>
    <w:rsid w:val="0075227C"/>
    <w:rsid w:val="007527C8"/>
    <w:rsid w:val="00753F40"/>
    <w:rsid w:val="007540BF"/>
    <w:rsid w:val="007543CF"/>
    <w:rsid w:val="00754926"/>
    <w:rsid w:val="00754C7C"/>
    <w:rsid w:val="0075572C"/>
    <w:rsid w:val="00755FF6"/>
    <w:rsid w:val="007569CC"/>
    <w:rsid w:val="00756D7C"/>
    <w:rsid w:val="00756ED7"/>
    <w:rsid w:val="0075746E"/>
    <w:rsid w:val="00757988"/>
    <w:rsid w:val="00757B03"/>
    <w:rsid w:val="00761821"/>
    <w:rsid w:val="0076190E"/>
    <w:rsid w:val="00761CAC"/>
    <w:rsid w:val="0076283F"/>
    <w:rsid w:val="00762C66"/>
    <w:rsid w:val="00763519"/>
    <w:rsid w:val="007637A8"/>
    <w:rsid w:val="007639D5"/>
    <w:rsid w:val="00763C81"/>
    <w:rsid w:val="007653B4"/>
    <w:rsid w:val="00765682"/>
    <w:rsid w:val="00765B58"/>
    <w:rsid w:val="0076645A"/>
    <w:rsid w:val="00767CF8"/>
    <w:rsid w:val="007704E2"/>
    <w:rsid w:val="00770ADB"/>
    <w:rsid w:val="00770DCB"/>
    <w:rsid w:val="007714BF"/>
    <w:rsid w:val="0077363E"/>
    <w:rsid w:val="00773B89"/>
    <w:rsid w:val="00773FE2"/>
    <w:rsid w:val="007741B0"/>
    <w:rsid w:val="00774E43"/>
    <w:rsid w:val="00775485"/>
    <w:rsid w:val="00775832"/>
    <w:rsid w:val="00775860"/>
    <w:rsid w:val="00775D27"/>
    <w:rsid w:val="007762F2"/>
    <w:rsid w:val="0077651A"/>
    <w:rsid w:val="00776696"/>
    <w:rsid w:val="007769A8"/>
    <w:rsid w:val="00776FA5"/>
    <w:rsid w:val="0078001D"/>
    <w:rsid w:val="007816C1"/>
    <w:rsid w:val="0078182B"/>
    <w:rsid w:val="00781BD0"/>
    <w:rsid w:val="00782F8A"/>
    <w:rsid w:val="00783532"/>
    <w:rsid w:val="00783B80"/>
    <w:rsid w:val="007845E0"/>
    <w:rsid w:val="007846B5"/>
    <w:rsid w:val="00785817"/>
    <w:rsid w:val="00786CF7"/>
    <w:rsid w:val="00786F0D"/>
    <w:rsid w:val="00787ADB"/>
    <w:rsid w:val="00787AEF"/>
    <w:rsid w:val="0079079D"/>
    <w:rsid w:val="00790951"/>
    <w:rsid w:val="00791B8D"/>
    <w:rsid w:val="007927EB"/>
    <w:rsid w:val="00792802"/>
    <w:rsid w:val="00792BA3"/>
    <w:rsid w:val="00793D04"/>
    <w:rsid w:val="00793D38"/>
    <w:rsid w:val="00795A2F"/>
    <w:rsid w:val="00795ACC"/>
    <w:rsid w:val="00796157"/>
    <w:rsid w:val="007A1169"/>
    <w:rsid w:val="007A1A1E"/>
    <w:rsid w:val="007A2095"/>
    <w:rsid w:val="007A286A"/>
    <w:rsid w:val="007A2ACE"/>
    <w:rsid w:val="007A2D2A"/>
    <w:rsid w:val="007A3205"/>
    <w:rsid w:val="007A4035"/>
    <w:rsid w:val="007A4622"/>
    <w:rsid w:val="007A4F39"/>
    <w:rsid w:val="007A5A62"/>
    <w:rsid w:val="007A6168"/>
    <w:rsid w:val="007A65DA"/>
    <w:rsid w:val="007A6C0E"/>
    <w:rsid w:val="007A6E7B"/>
    <w:rsid w:val="007A73A0"/>
    <w:rsid w:val="007A74AC"/>
    <w:rsid w:val="007A74E5"/>
    <w:rsid w:val="007A7B4D"/>
    <w:rsid w:val="007B0271"/>
    <w:rsid w:val="007B03B3"/>
    <w:rsid w:val="007B04F5"/>
    <w:rsid w:val="007B06EA"/>
    <w:rsid w:val="007B0ADB"/>
    <w:rsid w:val="007B1147"/>
    <w:rsid w:val="007B1611"/>
    <w:rsid w:val="007B1AEF"/>
    <w:rsid w:val="007B1D70"/>
    <w:rsid w:val="007B1FBC"/>
    <w:rsid w:val="007B2639"/>
    <w:rsid w:val="007B306D"/>
    <w:rsid w:val="007B3148"/>
    <w:rsid w:val="007B3F4F"/>
    <w:rsid w:val="007B497B"/>
    <w:rsid w:val="007B4C47"/>
    <w:rsid w:val="007B5721"/>
    <w:rsid w:val="007B6C5C"/>
    <w:rsid w:val="007B713A"/>
    <w:rsid w:val="007B7144"/>
    <w:rsid w:val="007B791B"/>
    <w:rsid w:val="007C0E55"/>
    <w:rsid w:val="007C17A5"/>
    <w:rsid w:val="007C240C"/>
    <w:rsid w:val="007C2671"/>
    <w:rsid w:val="007C2B9E"/>
    <w:rsid w:val="007C2E0D"/>
    <w:rsid w:val="007C3EED"/>
    <w:rsid w:val="007C3F12"/>
    <w:rsid w:val="007C447B"/>
    <w:rsid w:val="007C4A61"/>
    <w:rsid w:val="007C6098"/>
    <w:rsid w:val="007C65C8"/>
    <w:rsid w:val="007C6D97"/>
    <w:rsid w:val="007C7CC3"/>
    <w:rsid w:val="007D00FD"/>
    <w:rsid w:val="007D01DA"/>
    <w:rsid w:val="007D1428"/>
    <w:rsid w:val="007D1671"/>
    <w:rsid w:val="007D22BE"/>
    <w:rsid w:val="007D2F00"/>
    <w:rsid w:val="007D303E"/>
    <w:rsid w:val="007D3D44"/>
    <w:rsid w:val="007D4834"/>
    <w:rsid w:val="007D4870"/>
    <w:rsid w:val="007D55AA"/>
    <w:rsid w:val="007D5D06"/>
    <w:rsid w:val="007D7A95"/>
    <w:rsid w:val="007E0192"/>
    <w:rsid w:val="007E04AA"/>
    <w:rsid w:val="007E05F7"/>
    <w:rsid w:val="007E067F"/>
    <w:rsid w:val="007E0819"/>
    <w:rsid w:val="007E17FC"/>
    <w:rsid w:val="007E1FE3"/>
    <w:rsid w:val="007E2367"/>
    <w:rsid w:val="007E27FC"/>
    <w:rsid w:val="007E2AAD"/>
    <w:rsid w:val="007E2B59"/>
    <w:rsid w:val="007E2D40"/>
    <w:rsid w:val="007E3312"/>
    <w:rsid w:val="007E4EE3"/>
    <w:rsid w:val="007E5722"/>
    <w:rsid w:val="007E5B88"/>
    <w:rsid w:val="007F0B15"/>
    <w:rsid w:val="007F0BCF"/>
    <w:rsid w:val="007F0D0B"/>
    <w:rsid w:val="007F1F67"/>
    <w:rsid w:val="007F1F78"/>
    <w:rsid w:val="007F2098"/>
    <w:rsid w:val="007F25C4"/>
    <w:rsid w:val="007F3515"/>
    <w:rsid w:val="007F4E50"/>
    <w:rsid w:val="007F555B"/>
    <w:rsid w:val="007F5DFB"/>
    <w:rsid w:val="007F61DC"/>
    <w:rsid w:val="007F6613"/>
    <w:rsid w:val="007F68A6"/>
    <w:rsid w:val="007F6B4D"/>
    <w:rsid w:val="007F7434"/>
    <w:rsid w:val="007F75EA"/>
    <w:rsid w:val="00800050"/>
    <w:rsid w:val="008004A1"/>
    <w:rsid w:val="008007A8"/>
    <w:rsid w:val="00801532"/>
    <w:rsid w:val="0080254A"/>
    <w:rsid w:val="00802CB6"/>
    <w:rsid w:val="008032FE"/>
    <w:rsid w:val="00803FDA"/>
    <w:rsid w:val="00803FE2"/>
    <w:rsid w:val="008042D9"/>
    <w:rsid w:val="00804547"/>
    <w:rsid w:val="008045C6"/>
    <w:rsid w:val="008054F1"/>
    <w:rsid w:val="00805934"/>
    <w:rsid w:val="0080665D"/>
    <w:rsid w:val="0080684D"/>
    <w:rsid w:val="00806E2A"/>
    <w:rsid w:val="008072CD"/>
    <w:rsid w:val="008077FF"/>
    <w:rsid w:val="00807813"/>
    <w:rsid w:val="00807A3E"/>
    <w:rsid w:val="00807D85"/>
    <w:rsid w:val="0081044C"/>
    <w:rsid w:val="00810991"/>
    <w:rsid w:val="00811817"/>
    <w:rsid w:val="00811DA3"/>
    <w:rsid w:val="00812975"/>
    <w:rsid w:val="00813CBA"/>
    <w:rsid w:val="0081487C"/>
    <w:rsid w:val="00814C5A"/>
    <w:rsid w:val="00814FC0"/>
    <w:rsid w:val="00815A17"/>
    <w:rsid w:val="008160A5"/>
    <w:rsid w:val="008168B5"/>
    <w:rsid w:val="00816E9D"/>
    <w:rsid w:val="00817C73"/>
    <w:rsid w:val="00820067"/>
    <w:rsid w:val="00820996"/>
    <w:rsid w:val="00821190"/>
    <w:rsid w:val="008228BE"/>
    <w:rsid w:val="00823005"/>
    <w:rsid w:val="00823257"/>
    <w:rsid w:val="00823551"/>
    <w:rsid w:val="00823676"/>
    <w:rsid w:val="00823719"/>
    <w:rsid w:val="008238CA"/>
    <w:rsid w:val="008257BC"/>
    <w:rsid w:val="00825D91"/>
    <w:rsid w:val="008260FC"/>
    <w:rsid w:val="00826824"/>
    <w:rsid w:val="00827187"/>
    <w:rsid w:val="0082797F"/>
    <w:rsid w:val="008306C3"/>
    <w:rsid w:val="008314F2"/>
    <w:rsid w:val="008315DC"/>
    <w:rsid w:val="008321E8"/>
    <w:rsid w:val="0083227C"/>
    <w:rsid w:val="0083293B"/>
    <w:rsid w:val="00832E4B"/>
    <w:rsid w:val="008334AE"/>
    <w:rsid w:val="00834086"/>
    <w:rsid w:val="008340A3"/>
    <w:rsid w:val="00834BD1"/>
    <w:rsid w:val="00834FEB"/>
    <w:rsid w:val="00835103"/>
    <w:rsid w:val="008353F1"/>
    <w:rsid w:val="00835945"/>
    <w:rsid w:val="00835E15"/>
    <w:rsid w:val="008362A7"/>
    <w:rsid w:val="008363D7"/>
    <w:rsid w:val="008365B7"/>
    <w:rsid w:val="0083664D"/>
    <w:rsid w:val="0083673D"/>
    <w:rsid w:val="008370A1"/>
    <w:rsid w:val="0083753E"/>
    <w:rsid w:val="00841688"/>
    <w:rsid w:val="00841FAC"/>
    <w:rsid w:val="0084276A"/>
    <w:rsid w:val="00842A46"/>
    <w:rsid w:val="0084301E"/>
    <w:rsid w:val="00843368"/>
    <w:rsid w:val="00843DF8"/>
    <w:rsid w:val="0084416F"/>
    <w:rsid w:val="008449B9"/>
    <w:rsid w:val="00845596"/>
    <w:rsid w:val="00845F05"/>
    <w:rsid w:val="00847191"/>
    <w:rsid w:val="00847209"/>
    <w:rsid w:val="008472D3"/>
    <w:rsid w:val="00847D8B"/>
    <w:rsid w:val="00847EB7"/>
    <w:rsid w:val="008503BA"/>
    <w:rsid w:val="008503E8"/>
    <w:rsid w:val="008508F8"/>
    <w:rsid w:val="00851949"/>
    <w:rsid w:val="00851B27"/>
    <w:rsid w:val="00853562"/>
    <w:rsid w:val="00853F11"/>
    <w:rsid w:val="00853F7C"/>
    <w:rsid w:val="00855CE6"/>
    <w:rsid w:val="00855CFE"/>
    <w:rsid w:val="00855DFC"/>
    <w:rsid w:val="00855F8F"/>
    <w:rsid w:val="00856186"/>
    <w:rsid w:val="0085626F"/>
    <w:rsid w:val="0085629A"/>
    <w:rsid w:val="008566E8"/>
    <w:rsid w:val="00856A42"/>
    <w:rsid w:val="00856B11"/>
    <w:rsid w:val="00856D31"/>
    <w:rsid w:val="00856D80"/>
    <w:rsid w:val="0085798B"/>
    <w:rsid w:val="00857CB7"/>
    <w:rsid w:val="008602D6"/>
    <w:rsid w:val="00860A7C"/>
    <w:rsid w:val="00860AE0"/>
    <w:rsid w:val="00861F29"/>
    <w:rsid w:val="008620BD"/>
    <w:rsid w:val="00862403"/>
    <w:rsid w:val="0086254F"/>
    <w:rsid w:val="00862F81"/>
    <w:rsid w:val="0086519E"/>
    <w:rsid w:val="00866461"/>
    <w:rsid w:val="00866FC6"/>
    <w:rsid w:val="008672E3"/>
    <w:rsid w:val="00867F23"/>
    <w:rsid w:val="00870E9A"/>
    <w:rsid w:val="00870EC2"/>
    <w:rsid w:val="008712DE"/>
    <w:rsid w:val="008713FD"/>
    <w:rsid w:val="008719A6"/>
    <w:rsid w:val="00871D56"/>
    <w:rsid w:val="00871DA5"/>
    <w:rsid w:val="008724DE"/>
    <w:rsid w:val="008730DC"/>
    <w:rsid w:val="008732D1"/>
    <w:rsid w:val="00873BD4"/>
    <w:rsid w:val="00874140"/>
    <w:rsid w:val="0087543B"/>
    <w:rsid w:val="008758D9"/>
    <w:rsid w:val="008758E3"/>
    <w:rsid w:val="0087591D"/>
    <w:rsid w:val="00875C46"/>
    <w:rsid w:val="00875F66"/>
    <w:rsid w:val="00876309"/>
    <w:rsid w:val="00876600"/>
    <w:rsid w:val="00876BF1"/>
    <w:rsid w:val="00876CE7"/>
    <w:rsid w:val="0088083B"/>
    <w:rsid w:val="008809A4"/>
    <w:rsid w:val="00880B3B"/>
    <w:rsid w:val="008826E5"/>
    <w:rsid w:val="00882B0A"/>
    <w:rsid w:val="0088358F"/>
    <w:rsid w:val="00883C0E"/>
    <w:rsid w:val="00884E59"/>
    <w:rsid w:val="008852EA"/>
    <w:rsid w:val="0088569C"/>
    <w:rsid w:val="00885B18"/>
    <w:rsid w:val="00886249"/>
    <w:rsid w:val="008875D3"/>
    <w:rsid w:val="008879F1"/>
    <w:rsid w:val="00890CC6"/>
    <w:rsid w:val="00890EAE"/>
    <w:rsid w:val="008912AA"/>
    <w:rsid w:val="00891631"/>
    <w:rsid w:val="008916A5"/>
    <w:rsid w:val="00891B27"/>
    <w:rsid w:val="00891ED9"/>
    <w:rsid w:val="008923FA"/>
    <w:rsid w:val="0089255D"/>
    <w:rsid w:val="00892E9F"/>
    <w:rsid w:val="00893C90"/>
    <w:rsid w:val="00893D07"/>
    <w:rsid w:val="00893D0D"/>
    <w:rsid w:val="00893F9D"/>
    <w:rsid w:val="008949FB"/>
    <w:rsid w:val="00895BAC"/>
    <w:rsid w:val="00895C29"/>
    <w:rsid w:val="00896A01"/>
    <w:rsid w:val="00896C46"/>
    <w:rsid w:val="00896F45"/>
    <w:rsid w:val="00896F68"/>
    <w:rsid w:val="00897007"/>
    <w:rsid w:val="00897F4B"/>
    <w:rsid w:val="008A041A"/>
    <w:rsid w:val="008A0FDF"/>
    <w:rsid w:val="008A1605"/>
    <w:rsid w:val="008A2311"/>
    <w:rsid w:val="008A25A7"/>
    <w:rsid w:val="008A32CE"/>
    <w:rsid w:val="008A341B"/>
    <w:rsid w:val="008A384F"/>
    <w:rsid w:val="008A3D57"/>
    <w:rsid w:val="008A48CF"/>
    <w:rsid w:val="008A5F10"/>
    <w:rsid w:val="008B01EE"/>
    <w:rsid w:val="008B0440"/>
    <w:rsid w:val="008B0F08"/>
    <w:rsid w:val="008B1067"/>
    <w:rsid w:val="008B15BF"/>
    <w:rsid w:val="008B23BC"/>
    <w:rsid w:val="008B2C5B"/>
    <w:rsid w:val="008B2DC3"/>
    <w:rsid w:val="008B3380"/>
    <w:rsid w:val="008B35A8"/>
    <w:rsid w:val="008B3899"/>
    <w:rsid w:val="008B46F4"/>
    <w:rsid w:val="008B48E8"/>
    <w:rsid w:val="008B4D92"/>
    <w:rsid w:val="008B5776"/>
    <w:rsid w:val="008B6246"/>
    <w:rsid w:val="008B66AA"/>
    <w:rsid w:val="008B764C"/>
    <w:rsid w:val="008B77C1"/>
    <w:rsid w:val="008B7B40"/>
    <w:rsid w:val="008C072B"/>
    <w:rsid w:val="008C0834"/>
    <w:rsid w:val="008C1103"/>
    <w:rsid w:val="008C1832"/>
    <w:rsid w:val="008C1BD0"/>
    <w:rsid w:val="008C1FDF"/>
    <w:rsid w:val="008C21DE"/>
    <w:rsid w:val="008C28DF"/>
    <w:rsid w:val="008C29C6"/>
    <w:rsid w:val="008C2D2D"/>
    <w:rsid w:val="008C331B"/>
    <w:rsid w:val="008C33E2"/>
    <w:rsid w:val="008C3482"/>
    <w:rsid w:val="008C34F5"/>
    <w:rsid w:val="008C3AF9"/>
    <w:rsid w:val="008C4235"/>
    <w:rsid w:val="008C540E"/>
    <w:rsid w:val="008C55D6"/>
    <w:rsid w:val="008C673F"/>
    <w:rsid w:val="008C684F"/>
    <w:rsid w:val="008C6FCE"/>
    <w:rsid w:val="008C7FB2"/>
    <w:rsid w:val="008D0C85"/>
    <w:rsid w:val="008D17A3"/>
    <w:rsid w:val="008D2CD0"/>
    <w:rsid w:val="008D3098"/>
    <w:rsid w:val="008D3193"/>
    <w:rsid w:val="008D3645"/>
    <w:rsid w:val="008D4066"/>
    <w:rsid w:val="008D44BD"/>
    <w:rsid w:val="008D472E"/>
    <w:rsid w:val="008D5185"/>
    <w:rsid w:val="008D64C8"/>
    <w:rsid w:val="008D6599"/>
    <w:rsid w:val="008D66D5"/>
    <w:rsid w:val="008D6FB7"/>
    <w:rsid w:val="008D7636"/>
    <w:rsid w:val="008D7EE3"/>
    <w:rsid w:val="008E0F80"/>
    <w:rsid w:val="008E16D9"/>
    <w:rsid w:val="008E328C"/>
    <w:rsid w:val="008E32F1"/>
    <w:rsid w:val="008E3368"/>
    <w:rsid w:val="008E33E9"/>
    <w:rsid w:val="008E3CED"/>
    <w:rsid w:val="008E3D60"/>
    <w:rsid w:val="008E3F4C"/>
    <w:rsid w:val="008E3F98"/>
    <w:rsid w:val="008E4840"/>
    <w:rsid w:val="008E4ABD"/>
    <w:rsid w:val="008E6AEA"/>
    <w:rsid w:val="008E6D06"/>
    <w:rsid w:val="008E6DDA"/>
    <w:rsid w:val="008E6EF4"/>
    <w:rsid w:val="008E702C"/>
    <w:rsid w:val="008E7604"/>
    <w:rsid w:val="008E7D87"/>
    <w:rsid w:val="008E7EC1"/>
    <w:rsid w:val="008F0414"/>
    <w:rsid w:val="008F062E"/>
    <w:rsid w:val="008F08DD"/>
    <w:rsid w:val="008F1342"/>
    <w:rsid w:val="008F3159"/>
    <w:rsid w:val="008F3DDB"/>
    <w:rsid w:val="008F5598"/>
    <w:rsid w:val="008F644F"/>
    <w:rsid w:val="008F6E4B"/>
    <w:rsid w:val="008F7BA4"/>
    <w:rsid w:val="00900590"/>
    <w:rsid w:val="00900AA7"/>
    <w:rsid w:val="009010BC"/>
    <w:rsid w:val="009015D2"/>
    <w:rsid w:val="0090163D"/>
    <w:rsid w:val="0090165F"/>
    <w:rsid w:val="00901B82"/>
    <w:rsid w:val="00901C62"/>
    <w:rsid w:val="00902262"/>
    <w:rsid w:val="0090251E"/>
    <w:rsid w:val="00902B3A"/>
    <w:rsid w:val="0090311D"/>
    <w:rsid w:val="00903747"/>
    <w:rsid w:val="00903E6E"/>
    <w:rsid w:val="0090592F"/>
    <w:rsid w:val="00906539"/>
    <w:rsid w:val="009067C6"/>
    <w:rsid w:val="00906D85"/>
    <w:rsid w:val="0090711B"/>
    <w:rsid w:val="00907625"/>
    <w:rsid w:val="00907B1F"/>
    <w:rsid w:val="00907EE6"/>
    <w:rsid w:val="00910112"/>
    <w:rsid w:val="0091045B"/>
    <w:rsid w:val="0091051E"/>
    <w:rsid w:val="0091073F"/>
    <w:rsid w:val="00911571"/>
    <w:rsid w:val="009124C9"/>
    <w:rsid w:val="00912690"/>
    <w:rsid w:val="00912B09"/>
    <w:rsid w:val="00912BFA"/>
    <w:rsid w:val="00913CD3"/>
    <w:rsid w:val="00916B95"/>
    <w:rsid w:val="00916F45"/>
    <w:rsid w:val="009178D4"/>
    <w:rsid w:val="00917900"/>
    <w:rsid w:val="00917AD8"/>
    <w:rsid w:val="00920093"/>
    <w:rsid w:val="00920448"/>
    <w:rsid w:val="00921350"/>
    <w:rsid w:val="00921487"/>
    <w:rsid w:val="009225C0"/>
    <w:rsid w:val="00922B09"/>
    <w:rsid w:val="00922C1E"/>
    <w:rsid w:val="0092432A"/>
    <w:rsid w:val="009253D4"/>
    <w:rsid w:val="009257C2"/>
    <w:rsid w:val="00925A28"/>
    <w:rsid w:val="00925A85"/>
    <w:rsid w:val="00926127"/>
    <w:rsid w:val="00926221"/>
    <w:rsid w:val="0092634C"/>
    <w:rsid w:val="00926C90"/>
    <w:rsid w:val="00927DA2"/>
    <w:rsid w:val="00930238"/>
    <w:rsid w:val="00930C1B"/>
    <w:rsid w:val="00930CCA"/>
    <w:rsid w:val="00930DA3"/>
    <w:rsid w:val="0093146C"/>
    <w:rsid w:val="00932C9D"/>
    <w:rsid w:val="00933208"/>
    <w:rsid w:val="009332E9"/>
    <w:rsid w:val="00933B0B"/>
    <w:rsid w:val="009342FF"/>
    <w:rsid w:val="009345D3"/>
    <w:rsid w:val="00934BD8"/>
    <w:rsid w:val="00934CE3"/>
    <w:rsid w:val="00935911"/>
    <w:rsid w:val="00935AA5"/>
    <w:rsid w:val="00937435"/>
    <w:rsid w:val="00937FA7"/>
    <w:rsid w:val="00940E1C"/>
    <w:rsid w:val="00941480"/>
    <w:rsid w:val="00941830"/>
    <w:rsid w:val="00941982"/>
    <w:rsid w:val="009422D9"/>
    <w:rsid w:val="00943225"/>
    <w:rsid w:val="009432CF"/>
    <w:rsid w:val="009436D7"/>
    <w:rsid w:val="00943F66"/>
    <w:rsid w:val="009443F8"/>
    <w:rsid w:val="0094480F"/>
    <w:rsid w:val="00945636"/>
    <w:rsid w:val="009464E3"/>
    <w:rsid w:val="00946539"/>
    <w:rsid w:val="009465E1"/>
    <w:rsid w:val="00946E36"/>
    <w:rsid w:val="00947123"/>
    <w:rsid w:val="009472AD"/>
    <w:rsid w:val="009475AA"/>
    <w:rsid w:val="0094782B"/>
    <w:rsid w:val="00947890"/>
    <w:rsid w:val="00947BC3"/>
    <w:rsid w:val="00947F21"/>
    <w:rsid w:val="00950EEE"/>
    <w:rsid w:val="00951975"/>
    <w:rsid w:val="00952492"/>
    <w:rsid w:val="0095308D"/>
    <w:rsid w:val="00955E77"/>
    <w:rsid w:val="009577DC"/>
    <w:rsid w:val="00957CA7"/>
    <w:rsid w:val="00957D0C"/>
    <w:rsid w:val="0096022B"/>
    <w:rsid w:val="009612E7"/>
    <w:rsid w:val="009625C2"/>
    <w:rsid w:val="00962656"/>
    <w:rsid w:val="009629CF"/>
    <w:rsid w:val="00963275"/>
    <w:rsid w:val="0096457E"/>
    <w:rsid w:val="00964BB5"/>
    <w:rsid w:val="00964DAE"/>
    <w:rsid w:val="00965204"/>
    <w:rsid w:val="009655AD"/>
    <w:rsid w:val="00965853"/>
    <w:rsid w:val="009659DF"/>
    <w:rsid w:val="00965D0D"/>
    <w:rsid w:val="00965FBF"/>
    <w:rsid w:val="00965FC7"/>
    <w:rsid w:val="00965FDD"/>
    <w:rsid w:val="00966057"/>
    <w:rsid w:val="00966C2F"/>
    <w:rsid w:val="0096742A"/>
    <w:rsid w:val="00967530"/>
    <w:rsid w:val="00967884"/>
    <w:rsid w:val="00970332"/>
    <w:rsid w:val="009725C4"/>
    <w:rsid w:val="00973197"/>
    <w:rsid w:val="0097393E"/>
    <w:rsid w:val="00973CE3"/>
    <w:rsid w:val="009747EF"/>
    <w:rsid w:val="0097512B"/>
    <w:rsid w:val="00976280"/>
    <w:rsid w:val="009767B3"/>
    <w:rsid w:val="009778C0"/>
    <w:rsid w:val="009778FE"/>
    <w:rsid w:val="00977B71"/>
    <w:rsid w:val="00977FBE"/>
    <w:rsid w:val="00981167"/>
    <w:rsid w:val="009813D7"/>
    <w:rsid w:val="00981BD3"/>
    <w:rsid w:val="00982404"/>
    <w:rsid w:val="00983A53"/>
    <w:rsid w:val="009840D4"/>
    <w:rsid w:val="00984182"/>
    <w:rsid w:val="009841E4"/>
    <w:rsid w:val="00984A06"/>
    <w:rsid w:val="009854EF"/>
    <w:rsid w:val="0098560F"/>
    <w:rsid w:val="0098591A"/>
    <w:rsid w:val="00986840"/>
    <w:rsid w:val="00986C2D"/>
    <w:rsid w:val="00986DCC"/>
    <w:rsid w:val="0098753B"/>
    <w:rsid w:val="009875A7"/>
    <w:rsid w:val="00987EC6"/>
    <w:rsid w:val="00987EEF"/>
    <w:rsid w:val="00990790"/>
    <w:rsid w:val="009913AB"/>
    <w:rsid w:val="009915BB"/>
    <w:rsid w:val="0099172B"/>
    <w:rsid w:val="00991E38"/>
    <w:rsid w:val="0099214B"/>
    <w:rsid w:val="00993414"/>
    <w:rsid w:val="00994039"/>
    <w:rsid w:val="00994659"/>
    <w:rsid w:val="00994B9B"/>
    <w:rsid w:val="00994C0F"/>
    <w:rsid w:val="00994FCC"/>
    <w:rsid w:val="00995A57"/>
    <w:rsid w:val="00995DC3"/>
    <w:rsid w:val="009968F4"/>
    <w:rsid w:val="00996E37"/>
    <w:rsid w:val="009A1259"/>
    <w:rsid w:val="009A1924"/>
    <w:rsid w:val="009A1ED9"/>
    <w:rsid w:val="009A2159"/>
    <w:rsid w:val="009A26D3"/>
    <w:rsid w:val="009A29B5"/>
    <w:rsid w:val="009A2A5C"/>
    <w:rsid w:val="009A3391"/>
    <w:rsid w:val="009A3938"/>
    <w:rsid w:val="009A3F02"/>
    <w:rsid w:val="009A499C"/>
    <w:rsid w:val="009A5A6C"/>
    <w:rsid w:val="009A5C83"/>
    <w:rsid w:val="009A6145"/>
    <w:rsid w:val="009A6411"/>
    <w:rsid w:val="009A69C4"/>
    <w:rsid w:val="009A717E"/>
    <w:rsid w:val="009B0068"/>
    <w:rsid w:val="009B0116"/>
    <w:rsid w:val="009B1B26"/>
    <w:rsid w:val="009B25D2"/>
    <w:rsid w:val="009B2758"/>
    <w:rsid w:val="009B3CF1"/>
    <w:rsid w:val="009B464C"/>
    <w:rsid w:val="009B488D"/>
    <w:rsid w:val="009B48FD"/>
    <w:rsid w:val="009B55C1"/>
    <w:rsid w:val="009B5C27"/>
    <w:rsid w:val="009B6258"/>
    <w:rsid w:val="009B6B75"/>
    <w:rsid w:val="009B6BBF"/>
    <w:rsid w:val="009B7A6B"/>
    <w:rsid w:val="009C0815"/>
    <w:rsid w:val="009C1099"/>
    <w:rsid w:val="009C2351"/>
    <w:rsid w:val="009C30C3"/>
    <w:rsid w:val="009C3C79"/>
    <w:rsid w:val="009C40B2"/>
    <w:rsid w:val="009C5942"/>
    <w:rsid w:val="009C5D3A"/>
    <w:rsid w:val="009C6542"/>
    <w:rsid w:val="009C6A6A"/>
    <w:rsid w:val="009C6A73"/>
    <w:rsid w:val="009C6C88"/>
    <w:rsid w:val="009C72BD"/>
    <w:rsid w:val="009C736A"/>
    <w:rsid w:val="009D0CCB"/>
    <w:rsid w:val="009D164A"/>
    <w:rsid w:val="009D2091"/>
    <w:rsid w:val="009D29F6"/>
    <w:rsid w:val="009D2B8F"/>
    <w:rsid w:val="009D39A6"/>
    <w:rsid w:val="009D4BCB"/>
    <w:rsid w:val="009D4EEE"/>
    <w:rsid w:val="009D6290"/>
    <w:rsid w:val="009D67F6"/>
    <w:rsid w:val="009D7145"/>
    <w:rsid w:val="009D7827"/>
    <w:rsid w:val="009D79B9"/>
    <w:rsid w:val="009D7AFF"/>
    <w:rsid w:val="009E03EB"/>
    <w:rsid w:val="009E05C2"/>
    <w:rsid w:val="009E08D1"/>
    <w:rsid w:val="009E0FE1"/>
    <w:rsid w:val="009E1BF8"/>
    <w:rsid w:val="009E1F70"/>
    <w:rsid w:val="009E2478"/>
    <w:rsid w:val="009E25D0"/>
    <w:rsid w:val="009E2A4A"/>
    <w:rsid w:val="009E2BF3"/>
    <w:rsid w:val="009E2CDC"/>
    <w:rsid w:val="009E3702"/>
    <w:rsid w:val="009E37DD"/>
    <w:rsid w:val="009E42A0"/>
    <w:rsid w:val="009E4BD0"/>
    <w:rsid w:val="009E57FE"/>
    <w:rsid w:val="009E62B6"/>
    <w:rsid w:val="009E75A7"/>
    <w:rsid w:val="009E7A57"/>
    <w:rsid w:val="009F0369"/>
    <w:rsid w:val="009F227F"/>
    <w:rsid w:val="009F2407"/>
    <w:rsid w:val="009F2764"/>
    <w:rsid w:val="009F28BB"/>
    <w:rsid w:val="009F2BB6"/>
    <w:rsid w:val="009F2F81"/>
    <w:rsid w:val="009F37BD"/>
    <w:rsid w:val="009F38DA"/>
    <w:rsid w:val="009F3939"/>
    <w:rsid w:val="009F3B8A"/>
    <w:rsid w:val="009F3D6A"/>
    <w:rsid w:val="009F3FC3"/>
    <w:rsid w:val="009F54BE"/>
    <w:rsid w:val="009F5670"/>
    <w:rsid w:val="009F5E98"/>
    <w:rsid w:val="009F609A"/>
    <w:rsid w:val="009F621E"/>
    <w:rsid w:val="009F6566"/>
    <w:rsid w:val="009F7EA7"/>
    <w:rsid w:val="00A003F1"/>
    <w:rsid w:val="00A0171D"/>
    <w:rsid w:val="00A02F31"/>
    <w:rsid w:val="00A03762"/>
    <w:rsid w:val="00A03F3C"/>
    <w:rsid w:val="00A0406E"/>
    <w:rsid w:val="00A046E1"/>
    <w:rsid w:val="00A0540A"/>
    <w:rsid w:val="00A054C4"/>
    <w:rsid w:val="00A06203"/>
    <w:rsid w:val="00A06A1E"/>
    <w:rsid w:val="00A06B96"/>
    <w:rsid w:val="00A07F2A"/>
    <w:rsid w:val="00A1067E"/>
    <w:rsid w:val="00A1078E"/>
    <w:rsid w:val="00A10C41"/>
    <w:rsid w:val="00A10CDE"/>
    <w:rsid w:val="00A11307"/>
    <w:rsid w:val="00A11420"/>
    <w:rsid w:val="00A117FC"/>
    <w:rsid w:val="00A12060"/>
    <w:rsid w:val="00A121DB"/>
    <w:rsid w:val="00A124F1"/>
    <w:rsid w:val="00A12DB4"/>
    <w:rsid w:val="00A13090"/>
    <w:rsid w:val="00A13AF3"/>
    <w:rsid w:val="00A157D5"/>
    <w:rsid w:val="00A1590A"/>
    <w:rsid w:val="00A1652B"/>
    <w:rsid w:val="00A166AE"/>
    <w:rsid w:val="00A16FD8"/>
    <w:rsid w:val="00A17A76"/>
    <w:rsid w:val="00A17C93"/>
    <w:rsid w:val="00A204C7"/>
    <w:rsid w:val="00A204D7"/>
    <w:rsid w:val="00A2112F"/>
    <w:rsid w:val="00A21388"/>
    <w:rsid w:val="00A214DA"/>
    <w:rsid w:val="00A21C4E"/>
    <w:rsid w:val="00A21F12"/>
    <w:rsid w:val="00A21F99"/>
    <w:rsid w:val="00A22039"/>
    <w:rsid w:val="00A227F6"/>
    <w:rsid w:val="00A22942"/>
    <w:rsid w:val="00A22A1F"/>
    <w:rsid w:val="00A22B01"/>
    <w:rsid w:val="00A235A6"/>
    <w:rsid w:val="00A23D6C"/>
    <w:rsid w:val="00A243CA"/>
    <w:rsid w:val="00A25EAA"/>
    <w:rsid w:val="00A2640F"/>
    <w:rsid w:val="00A26F32"/>
    <w:rsid w:val="00A26FF5"/>
    <w:rsid w:val="00A27791"/>
    <w:rsid w:val="00A27ABE"/>
    <w:rsid w:val="00A27B04"/>
    <w:rsid w:val="00A3018C"/>
    <w:rsid w:val="00A30472"/>
    <w:rsid w:val="00A3062A"/>
    <w:rsid w:val="00A320D9"/>
    <w:rsid w:val="00A3216A"/>
    <w:rsid w:val="00A321C4"/>
    <w:rsid w:val="00A3281E"/>
    <w:rsid w:val="00A329D2"/>
    <w:rsid w:val="00A34033"/>
    <w:rsid w:val="00A343CA"/>
    <w:rsid w:val="00A35244"/>
    <w:rsid w:val="00A35449"/>
    <w:rsid w:val="00A355F9"/>
    <w:rsid w:val="00A35CB3"/>
    <w:rsid w:val="00A36F98"/>
    <w:rsid w:val="00A37187"/>
    <w:rsid w:val="00A37F00"/>
    <w:rsid w:val="00A37F07"/>
    <w:rsid w:val="00A4042E"/>
    <w:rsid w:val="00A41355"/>
    <w:rsid w:val="00A41764"/>
    <w:rsid w:val="00A4244D"/>
    <w:rsid w:val="00A429B7"/>
    <w:rsid w:val="00A42FD6"/>
    <w:rsid w:val="00A435B6"/>
    <w:rsid w:val="00A437B6"/>
    <w:rsid w:val="00A43B92"/>
    <w:rsid w:val="00A43C76"/>
    <w:rsid w:val="00A4477D"/>
    <w:rsid w:val="00A44C20"/>
    <w:rsid w:val="00A450E7"/>
    <w:rsid w:val="00A471B3"/>
    <w:rsid w:val="00A47C43"/>
    <w:rsid w:val="00A50314"/>
    <w:rsid w:val="00A50463"/>
    <w:rsid w:val="00A50BBD"/>
    <w:rsid w:val="00A51444"/>
    <w:rsid w:val="00A51616"/>
    <w:rsid w:val="00A51663"/>
    <w:rsid w:val="00A52919"/>
    <w:rsid w:val="00A529F5"/>
    <w:rsid w:val="00A53781"/>
    <w:rsid w:val="00A53D79"/>
    <w:rsid w:val="00A53EDC"/>
    <w:rsid w:val="00A54251"/>
    <w:rsid w:val="00A551D3"/>
    <w:rsid w:val="00A56CD9"/>
    <w:rsid w:val="00A5716A"/>
    <w:rsid w:val="00A57AAE"/>
    <w:rsid w:val="00A60579"/>
    <w:rsid w:val="00A60996"/>
    <w:rsid w:val="00A60D87"/>
    <w:rsid w:val="00A6143C"/>
    <w:rsid w:val="00A615B1"/>
    <w:rsid w:val="00A6179E"/>
    <w:rsid w:val="00A623D8"/>
    <w:rsid w:val="00A62D01"/>
    <w:rsid w:val="00A62DB8"/>
    <w:rsid w:val="00A632D3"/>
    <w:rsid w:val="00A6382D"/>
    <w:rsid w:val="00A6424E"/>
    <w:rsid w:val="00A64316"/>
    <w:rsid w:val="00A64CBA"/>
    <w:rsid w:val="00A64E17"/>
    <w:rsid w:val="00A65150"/>
    <w:rsid w:val="00A6522F"/>
    <w:rsid w:val="00A66427"/>
    <w:rsid w:val="00A66E9E"/>
    <w:rsid w:val="00A66F81"/>
    <w:rsid w:val="00A67020"/>
    <w:rsid w:val="00A7186A"/>
    <w:rsid w:val="00A7254D"/>
    <w:rsid w:val="00A733EC"/>
    <w:rsid w:val="00A73BE2"/>
    <w:rsid w:val="00A73EE5"/>
    <w:rsid w:val="00A73F22"/>
    <w:rsid w:val="00A742B6"/>
    <w:rsid w:val="00A7474C"/>
    <w:rsid w:val="00A75D96"/>
    <w:rsid w:val="00A76F39"/>
    <w:rsid w:val="00A774B7"/>
    <w:rsid w:val="00A778A3"/>
    <w:rsid w:val="00A77AE4"/>
    <w:rsid w:val="00A80100"/>
    <w:rsid w:val="00A804D9"/>
    <w:rsid w:val="00A80569"/>
    <w:rsid w:val="00A81143"/>
    <w:rsid w:val="00A815BC"/>
    <w:rsid w:val="00A81A58"/>
    <w:rsid w:val="00A82189"/>
    <w:rsid w:val="00A821D1"/>
    <w:rsid w:val="00A829B1"/>
    <w:rsid w:val="00A82A3A"/>
    <w:rsid w:val="00A83579"/>
    <w:rsid w:val="00A840AE"/>
    <w:rsid w:val="00A84CFB"/>
    <w:rsid w:val="00A850B8"/>
    <w:rsid w:val="00A8573B"/>
    <w:rsid w:val="00A87188"/>
    <w:rsid w:val="00A87F67"/>
    <w:rsid w:val="00A90DAD"/>
    <w:rsid w:val="00A919EF"/>
    <w:rsid w:val="00A91CF7"/>
    <w:rsid w:val="00A9253C"/>
    <w:rsid w:val="00A92915"/>
    <w:rsid w:val="00A92B74"/>
    <w:rsid w:val="00A92F92"/>
    <w:rsid w:val="00A93B5B"/>
    <w:rsid w:val="00A94819"/>
    <w:rsid w:val="00A9505B"/>
    <w:rsid w:val="00A96852"/>
    <w:rsid w:val="00A96892"/>
    <w:rsid w:val="00A9689D"/>
    <w:rsid w:val="00AA08C1"/>
    <w:rsid w:val="00AA2051"/>
    <w:rsid w:val="00AA2854"/>
    <w:rsid w:val="00AA2992"/>
    <w:rsid w:val="00AA3CB4"/>
    <w:rsid w:val="00AA42EB"/>
    <w:rsid w:val="00AA4677"/>
    <w:rsid w:val="00AA5BBF"/>
    <w:rsid w:val="00AA6584"/>
    <w:rsid w:val="00AA6A54"/>
    <w:rsid w:val="00AA6CFE"/>
    <w:rsid w:val="00AA6FF1"/>
    <w:rsid w:val="00AA70C4"/>
    <w:rsid w:val="00AA7228"/>
    <w:rsid w:val="00AB0210"/>
    <w:rsid w:val="00AB058B"/>
    <w:rsid w:val="00AB0D63"/>
    <w:rsid w:val="00AB1407"/>
    <w:rsid w:val="00AB2969"/>
    <w:rsid w:val="00AB48F3"/>
    <w:rsid w:val="00AB4C26"/>
    <w:rsid w:val="00AB5608"/>
    <w:rsid w:val="00AB5C39"/>
    <w:rsid w:val="00AB72A9"/>
    <w:rsid w:val="00AB78D3"/>
    <w:rsid w:val="00AB7C8F"/>
    <w:rsid w:val="00AC0718"/>
    <w:rsid w:val="00AC19D2"/>
    <w:rsid w:val="00AC1F0F"/>
    <w:rsid w:val="00AC2192"/>
    <w:rsid w:val="00AC3D96"/>
    <w:rsid w:val="00AC4245"/>
    <w:rsid w:val="00AC46BA"/>
    <w:rsid w:val="00AC539E"/>
    <w:rsid w:val="00AC58C6"/>
    <w:rsid w:val="00AC5AC3"/>
    <w:rsid w:val="00AC636D"/>
    <w:rsid w:val="00AC6604"/>
    <w:rsid w:val="00AC6692"/>
    <w:rsid w:val="00AC67B6"/>
    <w:rsid w:val="00AC68E5"/>
    <w:rsid w:val="00AC69E7"/>
    <w:rsid w:val="00AC7023"/>
    <w:rsid w:val="00AC7135"/>
    <w:rsid w:val="00AD0A05"/>
    <w:rsid w:val="00AD10B6"/>
    <w:rsid w:val="00AD118C"/>
    <w:rsid w:val="00AD134B"/>
    <w:rsid w:val="00AD1A2D"/>
    <w:rsid w:val="00AD1A47"/>
    <w:rsid w:val="00AD246D"/>
    <w:rsid w:val="00AD310E"/>
    <w:rsid w:val="00AD3B46"/>
    <w:rsid w:val="00AD3BDD"/>
    <w:rsid w:val="00AD3C44"/>
    <w:rsid w:val="00AD3C52"/>
    <w:rsid w:val="00AD5E84"/>
    <w:rsid w:val="00AD6017"/>
    <w:rsid w:val="00AD6173"/>
    <w:rsid w:val="00AD6550"/>
    <w:rsid w:val="00AD6F61"/>
    <w:rsid w:val="00AD715B"/>
    <w:rsid w:val="00AD7627"/>
    <w:rsid w:val="00AD78B0"/>
    <w:rsid w:val="00AE0449"/>
    <w:rsid w:val="00AE083F"/>
    <w:rsid w:val="00AE0D98"/>
    <w:rsid w:val="00AE0DC8"/>
    <w:rsid w:val="00AE135A"/>
    <w:rsid w:val="00AE1599"/>
    <w:rsid w:val="00AE18ED"/>
    <w:rsid w:val="00AE2CEB"/>
    <w:rsid w:val="00AE2E16"/>
    <w:rsid w:val="00AE3EA6"/>
    <w:rsid w:val="00AE46A7"/>
    <w:rsid w:val="00AE4754"/>
    <w:rsid w:val="00AE482C"/>
    <w:rsid w:val="00AE4909"/>
    <w:rsid w:val="00AE645A"/>
    <w:rsid w:val="00AE64F5"/>
    <w:rsid w:val="00AE6838"/>
    <w:rsid w:val="00AE6858"/>
    <w:rsid w:val="00AE751B"/>
    <w:rsid w:val="00AE7825"/>
    <w:rsid w:val="00AE79C6"/>
    <w:rsid w:val="00AE7C8E"/>
    <w:rsid w:val="00AE7DCE"/>
    <w:rsid w:val="00AF00BA"/>
    <w:rsid w:val="00AF0B1A"/>
    <w:rsid w:val="00AF1BE7"/>
    <w:rsid w:val="00AF2158"/>
    <w:rsid w:val="00AF2301"/>
    <w:rsid w:val="00AF2CE5"/>
    <w:rsid w:val="00AF2F22"/>
    <w:rsid w:val="00AF3ACF"/>
    <w:rsid w:val="00AF3C0E"/>
    <w:rsid w:val="00AF4547"/>
    <w:rsid w:val="00AF47A8"/>
    <w:rsid w:val="00AF4C95"/>
    <w:rsid w:val="00AF5364"/>
    <w:rsid w:val="00AF5C16"/>
    <w:rsid w:val="00AF5EEB"/>
    <w:rsid w:val="00AF7228"/>
    <w:rsid w:val="00AF7A92"/>
    <w:rsid w:val="00AF7D91"/>
    <w:rsid w:val="00B00C20"/>
    <w:rsid w:val="00B00F61"/>
    <w:rsid w:val="00B017C4"/>
    <w:rsid w:val="00B01AF8"/>
    <w:rsid w:val="00B025ED"/>
    <w:rsid w:val="00B02BA6"/>
    <w:rsid w:val="00B02D7C"/>
    <w:rsid w:val="00B02FE4"/>
    <w:rsid w:val="00B039AF"/>
    <w:rsid w:val="00B03FC3"/>
    <w:rsid w:val="00B040CF"/>
    <w:rsid w:val="00B04272"/>
    <w:rsid w:val="00B04760"/>
    <w:rsid w:val="00B0476B"/>
    <w:rsid w:val="00B04AAD"/>
    <w:rsid w:val="00B06FD2"/>
    <w:rsid w:val="00B0743E"/>
    <w:rsid w:val="00B07BEB"/>
    <w:rsid w:val="00B10162"/>
    <w:rsid w:val="00B10436"/>
    <w:rsid w:val="00B1046C"/>
    <w:rsid w:val="00B10E1D"/>
    <w:rsid w:val="00B10E77"/>
    <w:rsid w:val="00B1108D"/>
    <w:rsid w:val="00B111F5"/>
    <w:rsid w:val="00B11687"/>
    <w:rsid w:val="00B11A68"/>
    <w:rsid w:val="00B134C3"/>
    <w:rsid w:val="00B1353B"/>
    <w:rsid w:val="00B13DF0"/>
    <w:rsid w:val="00B13E63"/>
    <w:rsid w:val="00B144D6"/>
    <w:rsid w:val="00B14F11"/>
    <w:rsid w:val="00B15460"/>
    <w:rsid w:val="00B15BA5"/>
    <w:rsid w:val="00B16204"/>
    <w:rsid w:val="00B163D4"/>
    <w:rsid w:val="00B165E0"/>
    <w:rsid w:val="00B16993"/>
    <w:rsid w:val="00B16D32"/>
    <w:rsid w:val="00B172A3"/>
    <w:rsid w:val="00B17D36"/>
    <w:rsid w:val="00B203ED"/>
    <w:rsid w:val="00B2161C"/>
    <w:rsid w:val="00B216B6"/>
    <w:rsid w:val="00B222A3"/>
    <w:rsid w:val="00B22667"/>
    <w:rsid w:val="00B22F6F"/>
    <w:rsid w:val="00B230EB"/>
    <w:rsid w:val="00B23464"/>
    <w:rsid w:val="00B2375C"/>
    <w:rsid w:val="00B2378C"/>
    <w:rsid w:val="00B237FB"/>
    <w:rsid w:val="00B238C7"/>
    <w:rsid w:val="00B23AE8"/>
    <w:rsid w:val="00B23C53"/>
    <w:rsid w:val="00B23C9B"/>
    <w:rsid w:val="00B2407C"/>
    <w:rsid w:val="00B24B1D"/>
    <w:rsid w:val="00B24B80"/>
    <w:rsid w:val="00B250F4"/>
    <w:rsid w:val="00B25545"/>
    <w:rsid w:val="00B25BC7"/>
    <w:rsid w:val="00B25E10"/>
    <w:rsid w:val="00B26471"/>
    <w:rsid w:val="00B268AB"/>
    <w:rsid w:val="00B26C33"/>
    <w:rsid w:val="00B26EBC"/>
    <w:rsid w:val="00B26F83"/>
    <w:rsid w:val="00B273C5"/>
    <w:rsid w:val="00B277E0"/>
    <w:rsid w:val="00B27C01"/>
    <w:rsid w:val="00B27FCE"/>
    <w:rsid w:val="00B30320"/>
    <w:rsid w:val="00B30367"/>
    <w:rsid w:val="00B305D9"/>
    <w:rsid w:val="00B31975"/>
    <w:rsid w:val="00B328F6"/>
    <w:rsid w:val="00B3290C"/>
    <w:rsid w:val="00B34946"/>
    <w:rsid w:val="00B34CE1"/>
    <w:rsid w:val="00B34E1B"/>
    <w:rsid w:val="00B35AB6"/>
    <w:rsid w:val="00B369F4"/>
    <w:rsid w:val="00B3718D"/>
    <w:rsid w:val="00B3722E"/>
    <w:rsid w:val="00B41589"/>
    <w:rsid w:val="00B41F4B"/>
    <w:rsid w:val="00B42629"/>
    <w:rsid w:val="00B42EDF"/>
    <w:rsid w:val="00B4318E"/>
    <w:rsid w:val="00B435A9"/>
    <w:rsid w:val="00B44EE5"/>
    <w:rsid w:val="00B45024"/>
    <w:rsid w:val="00B452C7"/>
    <w:rsid w:val="00B45DF6"/>
    <w:rsid w:val="00B46693"/>
    <w:rsid w:val="00B47C7E"/>
    <w:rsid w:val="00B50276"/>
    <w:rsid w:val="00B506DA"/>
    <w:rsid w:val="00B50AB7"/>
    <w:rsid w:val="00B511D7"/>
    <w:rsid w:val="00B51380"/>
    <w:rsid w:val="00B519FD"/>
    <w:rsid w:val="00B520BC"/>
    <w:rsid w:val="00B5219B"/>
    <w:rsid w:val="00B52407"/>
    <w:rsid w:val="00B52533"/>
    <w:rsid w:val="00B52598"/>
    <w:rsid w:val="00B52B9F"/>
    <w:rsid w:val="00B52C7C"/>
    <w:rsid w:val="00B52F69"/>
    <w:rsid w:val="00B539CC"/>
    <w:rsid w:val="00B53D1F"/>
    <w:rsid w:val="00B54F10"/>
    <w:rsid w:val="00B56018"/>
    <w:rsid w:val="00B56595"/>
    <w:rsid w:val="00B56D98"/>
    <w:rsid w:val="00B57429"/>
    <w:rsid w:val="00B614E2"/>
    <w:rsid w:val="00B619B0"/>
    <w:rsid w:val="00B61CB1"/>
    <w:rsid w:val="00B620C5"/>
    <w:rsid w:val="00B625B1"/>
    <w:rsid w:val="00B630DD"/>
    <w:rsid w:val="00B63D16"/>
    <w:rsid w:val="00B63D24"/>
    <w:rsid w:val="00B649A5"/>
    <w:rsid w:val="00B64EAD"/>
    <w:rsid w:val="00B64FE6"/>
    <w:rsid w:val="00B65B70"/>
    <w:rsid w:val="00B66767"/>
    <w:rsid w:val="00B678BA"/>
    <w:rsid w:val="00B70110"/>
    <w:rsid w:val="00B71426"/>
    <w:rsid w:val="00B7195B"/>
    <w:rsid w:val="00B7214A"/>
    <w:rsid w:val="00B722D9"/>
    <w:rsid w:val="00B73AD8"/>
    <w:rsid w:val="00B73AEE"/>
    <w:rsid w:val="00B73B00"/>
    <w:rsid w:val="00B74D82"/>
    <w:rsid w:val="00B760D1"/>
    <w:rsid w:val="00B76179"/>
    <w:rsid w:val="00B768D2"/>
    <w:rsid w:val="00B775F6"/>
    <w:rsid w:val="00B77909"/>
    <w:rsid w:val="00B779FF"/>
    <w:rsid w:val="00B80E4B"/>
    <w:rsid w:val="00B80F19"/>
    <w:rsid w:val="00B813DC"/>
    <w:rsid w:val="00B81DFA"/>
    <w:rsid w:val="00B82E3E"/>
    <w:rsid w:val="00B8373C"/>
    <w:rsid w:val="00B84240"/>
    <w:rsid w:val="00B84323"/>
    <w:rsid w:val="00B84711"/>
    <w:rsid w:val="00B84F95"/>
    <w:rsid w:val="00B851EE"/>
    <w:rsid w:val="00B85839"/>
    <w:rsid w:val="00B858A4"/>
    <w:rsid w:val="00B878AE"/>
    <w:rsid w:val="00B87F76"/>
    <w:rsid w:val="00B87F7F"/>
    <w:rsid w:val="00B91076"/>
    <w:rsid w:val="00B92002"/>
    <w:rsid w:val="00B924E6"/>
    <w:rsid w:val="00B92685"/>
    <w:rsid w:val="00B92697"/>
    <w:rsid w:val="00B92A97"/>
    <w:rsid w:val="00B93638"/>
    <w:rsid w:val="00B93A19"/>
    <w:rsid w:val="00B957ED"/>
    <w:rsid w:val="00B95B55"/>
    <w:rsid w:val="00B95CDC"/>
    <w:rsid w:val="00B964BD"/>
    <w:rsid w:val="00B96639"/>
    <w:rsid w:val="00B97B3E"/>
    <w:rsid w:val="00BA1251"/>
    <w:rsid w:val="00BA19F4"/>
    <w:rsid w:val="00BA1A82"/>
    <w:rsid w:val="00BA1AE6"/>
    <w:rsid w:val="00BA1DA5"/>
    <w:rsid w:val="00BA262D"/>
    <w:rsid w:val="00BA2B2A"/>
    <w:rsid w:val="00BA2E3E"/>
    <w:rsid w:val="00BA3E41"/>
    <w:rsid w:val="00BA41E6"/>
    <w:rsid w:val="00BA4CEE"/>
    <w:rsid w:val="00BA5698"/>
    <w:rsid w:val="00BA6CB7"/>
    <w:rsid w:val="00BA6D72"/>
    <w:rsid w:val="00BA6E54"/>
    <w:rsid w:val="00BA6F1F"/>
    <w:rsid w:val="00BA725E"/>
    <w:rsid w:val="00BA7EFB"/>
    <w:rsid w:val="00BB00F2"/>
    <w:rsid w:val="00BB08A9"/>
    <w:rsid w:val="00BB149C"/>
    <w:rsid w:val="00BB284D"/>
    <w:rsid w:val="00BB2A69"/>
    <w:rsid w:val="00BB2ECC"/>
    <w:rsid w:val="00BB314F"/>
    <w:rsid w:val="00BB3A8E"/>
    <w:rsid w:val="00BB3B61"/>
    <w:rsid w:val="00BB4D32"/>
    <w:rsid w:val="00BB552E"/>
    <w:rsid w:val="00BB581A"/>
    <w:rsid w:val="00BB5CF1"/>
    <w:rsid w:val="00BB612C"/>
    <w:rsid w:val="00BB62DE"/>
    <w:rsid w:val="00BB6AE8"/>
    <w:rsid w:val="00BB723E"/>
    <w:rsid w:val="00BB7437"/>
    <w:rsid w:val="00BB782E"/>
    <w:rsid w:val="00BC023F"/>
    <w:rsid w:val="00BC0B88"/>
    <w:rsid w:val="00BC1B92"/>
    <w:rsid w:val="00BC2807"/>
    <w:rsid w:val="00BC281B"/>
    <w:rsid w:val="00BC2F89"/>
    <w:rsid w:val="00BC34DE"/>
    <w:rsid w:val="00BC3B90"/>
    <w:rsid w:val="00BC3F9C"/>
    <w:rsid w:val="00BC413E"/>
    <w:rsid w:val="00BC56EA"/>
    <w:rsid w:val="00BC6C59"/>
    <w:rsid w:val="00BC6EA3"/>
    <w:rsid w:val="00BC7633"/>
    <w:rsid w:val="00BC780B"/>
    <w:rsid w:val="00BC79EB"/>
    <w:rsid w:val="00BD01A8"/>
    <w:rsid w:val="00BD0E87"/>
    <w:rsid w:val="00BD0F8B"/>
    <w:rsid w:val="00BD1EA5"/>
    <w:rsid w:val="00BD3F06"/>
    <w:rsid w:val="00BD46A1"/>
    <w:rsid w:val="00BD47F8"/>
    <w:rsid w:val="00BD5539"/>
    <w:rsid w:val="00BD5E32"/>
    <w:rsid w:val="00BD6564"/>
    <w:rsid w:val="00BD671A"/>
    <w:rsid w:val="00BD6799"/>
    <w:rsid w:val="00BD67FE"/>
    <w:rsid w:val="00BD7FCF"/>
    <w:rsid w:val="00BE00BF"/>
    <w:rsid w:val="00BE0198"/>
    <w:rsid w:val="00BE0AA7"/>
    <w:rsid w:val="00BE0F5F"/>
    <w:rsid w:val="00BE1162"/>
    <w:rsid w:val="00BE13EC"/>
    <w:rsid w:val="00BE20FC"/>
    <w:rsid w:val="00BE25CB"/>
    <w:rsid w:val="00BE30A4"/>
    <w:rsid w:val="00BE30E4"/>
    <w:rsid w:val="00BE362D"/>
    <w:rsid w:val="00BE470D"/>
    <w:rsid w:val="00BE49CB"/>
    <w:rsid w:val="00BE4DE1"/>
    <w:rsid w:val="00BE5270"/>
    <w:rsid w:val="00BE5BDF"/>
    <w:rsid w:val="00BE60AF"/>
    <w:rsid w:val="00BE6AFD"/>
    <w:rsid w:val="00BE6C1D"/>
    <w:rsid w:val="00BE75A4"/>
    <w:rsid w:val="00BE7B13"/>
    <w:rsid w:val="00BF04B0"/>
    <w:rsid w:val="00BF181D"/>
    <w:rsid w:val="00BF1932"/>
    <w:rsid w:val="00BF1D52"/>
    <w:rsid w:val="00BF2103"/>
    <w:rsid w:val="00BF2C17"/>
    <w:rsid w:val="00BF34DB"/>
    <w:rsid w:val="00BF45E4"/>
    <w:rsid w:val="00BF49D7"/>
    <w:rsid w:val="00BF5147"/>
    <w:rsid w:val="00BF5BFD"/>
    <w:rsid w:val="00BF5FEC"/>
    <w:rsid w:val="00BF6102"/>
    <w:rsid w:val="00BF6406"/>
    <w:rsid w:val="00C00322"/>
    <w:rsid w:val="00C00733"/>
    <w:rsid w:val="00C01568"/>
    <w:rsid w:val="00C01B8A"/>
    <w:rsid w:val="00C01F7B"/>
    <w:rsid w:val="00C0292D"/>
    <w:rsid w:val="00C033F3"/>
    <w:rsid w:val="00C03647"/>
    <w:rsid w:val="00C0378B"/>
    <w:rsid w:val="00C03E8A"/>
    <w:rsid w:val="00C0416C"/>
    <w:rsid w:val="00C04EB0"/>
    <w:rsid w:val="00C04EC5"/>
    <w:rsid w:val="00C060BC"/>
    <w:rsid w:val="00C061D0"/>
    <w:rsid w:val="00C06224"/>
    <w:rsid w:val="00C064DC"/>
    <w:rsid w:val="00C06E0E"/>
    <w:rsid w:val="00C07168"/>
    <w:rsid w:val="00C1024F"/>
    <w:rsid w:val="00C10DC7"/>
    <w:rsid w:val="00C11531"/>
    <w:rsid w:val="00C12059"/>
    <w:rsid w:val="00C126D0"/>
    <w:rsid w:val="00C1280F"/>
    <w:rsid w:val="00C1293A"/>
    <w:rsid w:val="00C143A9"/>
    <w:rsid w:val="00C149BD"/>
    <w:rsid w:val="00C152E1"/>
    <w:rsid w:val="00C15630"/>
    <w:rsid w:val="00C15D0A"/>
    <w:rsid w:val="00C16921"/>
    <w:rsid w:val="00C1755D"/>
    <w:rsid w:val="00C17717"/>
    <w:rsid w:val="00C17A2E"/>
    <w:rsid w:val="00C20C68"/>
    <w:rsid w:val="00C20F93"/>
    <w:rsid w:val="00C210EC"/>
    <w:rsid w:val="00C21E90"/>
    <w:rsid w:val="00C2213B"/>
    <w:rsid w:val="00C236E6"/>
    <w:rsid w:val="00C2376D"/>
    <w:rsid w:val="00C23D34"/>
    <w:rsid w:val="00C23DA7"/>
    <w:rsid w:val="00C24C4C"/>
    <w:rsid w:val="00C25870"/>
    <w:rsid w:val="00C2598A"/>
    <w:rsid w:val="00C25BDA"/>
    <w:rsid w:val="00C25C05"/>
    <w:rsid w:val="00C263BB"/>
    <w:rsid w:val="00C270DD"/>
    <w:rsid w:val="00C272EA"/>
    <w:rsid w:val="00C2787A"/>
    <w:rsid w:val="00C300CB"/>
    <w:rsid w:val="00C3063A"/>
    <w:rsid w:val="00C30C76"/>
    <w:rsid w:val="00C30F81"/>
    <w:rsid w:val="00C3189C"/>
    <w:rsid w:val="00C32D34"/>
    <w:rsid w:val="00C33043"/>
    <w:rsid w:val="00C33104"/>
    <w:rsid w:val="00C332D4"/>
    <w:rsid w:val="00C337F4"/>
    <w:rsid w:val="00C34B2B"/>
    <w:rsid w:val="00C35BE9"/>
    <w:rsid w:val="00C363B9"/>
    <w:rsid w:val="00C36D8A"/>
    <w:rsid w:val="00C37384"/>
    <w:rsid w:val="00C3751A"/>
    <w:rsid w:val="00C37DDF"/>
    <w:rsid w:val="00C407B0"/>
    <w:rsid w:val="00C41E57"/>
    <w:rsid w:val="00C42E5A"/>
    <w:rsid w:val="00C43519"/>
    <w:rsid w:val="00C43D72"/>
    <w:rsid w:val="00C43E69"/>
    <w:rsid w:val="00C44011"/>
    <w:rsid w:val="00C448DE"/>
    <w:rsid w:val="00C44F67"/>
    <w:rsid w:val="00C4511B"/>
    <w:rsid w:val="00C45197"/>
    <w:rsid w:val="00C457AB"/>
    <w:rsid w:val="00C46A73"/>
    <w:rsid w:val="00C46F59"/>
    <w:rsid w:val="00C470EC"/>
    <w:rsid w:val="00C47127"/>
    <w:rsid w:val="00C47AE2"/>
    <w:rsid w:val="00C50D25"/>
    <w:rsid w:val="00C50D85"/>
    <w:rsid w:val="00C51011"/>
    <w:rsid w:val="00C51542"/>
    <w:rsid w:val="00C51DF5"/>
    <w:rsid w:val="00C5274D"/>
    <w:rsid w:val="00C52E4B"/>
    <w:rsid w:val="00C530D4"/>
    <w:rsid w:val="00C534A1"/>
    <w:rsid w:val="00C53907"/>
    <w:rsid w:val="00C53F91"/>
    <w:rsid w:val="00C54BCC"/>
    <w:rsid w:val="00C54CA6"/>
    <w:rsid w:val="00C54F50"/>
    <w:rsid w:val="00C54F5D"/>
    <w:rsid w:val="00C552A5"/>
    <w:rsid w:val="00C5559F"/>
    <w:rsid w:val="00C55E2C"/>
    <w:rsid w:val="00C55E5C"/>
    <w:rsid w:val="00C560AC"/>
    <w:rsid w:val="00C562E1"/>
    <w:rsid w:val="00C56427"/>
    <w:rsid w:val="00C564A6"/>
    <w:rsid w:val="00C568D0"/>
    <w:rsid w:val="00C56F12"/>
    <w:rsid w:val="00C5781C"/>
    <w:rsid w:val="00C57C64"/>
    <w:rsid w:val="00C57D24"/>
    <w:rsid w:val="00C6033F"/>
    <w:rsid w:val="00C60343"/>
    <w:rsid w:val="00C6109A"/>
    <w:rsid w:val="00C6138F"/>
    <w:rsid w:val="00C61699"/>
    <w:rsid w:val="00C623CE"/>
    <w:rsid w:val="00C62B19"/>
    <w:rsid w:val="00C63674"/>
    <w:rsid w:val="00C6457E"/>
    <w:rsid w:val="00C648AD"/>
    <w:rsid w:val="00C64F67"/>
    <w:rsid w:val="00C650CA"/>
    <w:rsid w:val="00C65529"/>
    <w:rsid w:val="00C655EF"/>
    <w:rsid w:val="00C65CBF"/>
    <w:rsid w:val="00C65D9A"/>
    <w:rsid w:val="00C669D8"/>
    <w:rsid w:val="00C67934"/>
    <w:rsid w:val="00C67EFF"/>
    <w:rsid w:val="00C7124A"/>
    <w:rsid w:val="00C71520"/>
    <w:rsid w:val="00C7179B"/>
    <w:rsid w:val="00C73278"/>
    <w:rsid w:val="00C73C09"/>
    <w:rsid w:val="00C7504D"/>
    <w:rsid w:val="00C75053"/>
    <w:rsid w:val="00C7548B"/>
    <w:rsid w:val="00C765C7"/>
    <w:rsid w:val="00C765E0"/>
    <w:rsid w:val="00C778A5"/>
    <w:rsid w:val="00C77B52"/>
    <w:rsid w:val="00C8068A"/>
    <w:rsid w:val="00C80896"/>
    <w:rsid w:val="00C81741"/>
    <w:rsid w:val="00C81A44"/>
    <w:rsid w:val="00C82451"/>
    <w:rsid w:val="00C828F8"/>
    <w:rsid w:val="00C8312B"/>
    <w:rsid w:val="00C831D2"/>
    <w:rsid w:val="00C8327E"/>
    <w:rsid w:val="00C84BAF"/>
    <w:rsid w:val="00C84D2D"/>
    <w:rsid w:val="00C854D4"/>
    <w:rsid w:val="00C85B2E"/>
    <w:rsid w:val="00C85D2F"/>
    <w:rsid w:val="00C86CF8"/>
    <w:rsid w:val="00C87742"/>
    <w:rsid w:val="00C901E9"/>
    <w:rsid w:val="00C90556"/>
    <w:rsid w:val="00C906C7"/>
    <w:rsid w:val="00C926DF"/>
    <w:rsid w:val="00C92F46"/>
    <w:rsid w:val="00C938D7"/>
    <w:rsid w:val="00C93FD6"/>
    <w:rsid w:val="00C94D4A"/>
    <w:rsid w:val="00C95A97"/>
    <w:rsid w:val="00C95BAF"/>
    <w:rsid w:val="00C96D77"/>
    <w:rsid w:val="00C9725E"/>
    <w:rsid w:val="00C97612"/>
    <w:rsid w:val="00C97CE4"/>
    <w:rsid w:val="00CA0D78"/>
    <w:rsid w:val="00CA17B4"/>
    <w:rsid w:val="00CA18FA"/>
    <w:rsid w:val="00CA1C4D"/>
    <w:rsid w:val="00CA1C89"/>
    <w:rsid w:val="00CA1F5A"/>
    <w:rsid w:val="00CA23F9"/>
    <w:rsid w:val="00CA2D34"/>
    <w:rsid w:val="00CA3291"/>
    <w:rsid w:val="00CA3489"/>
    <w:rsid w:val="00CA3C88"/>
    <w:rsid w:val="00CA4311"/>
    <w:rsid w:val="00CA4855"/>
    <w:rsid w:val="00CA4B9C"/>
    <w:rsid w:val="00CA5D4D"/>
    <w:rsid w:val="00CA5D90"/>
    <w:rsid w:val="00CA6911"/>
    <w:rsid w:val="00CA691D"/>
    <w:rsid w:val="00CA6942"/>
    <w:rsid w:val="00CA699D"/>
    <w:rsid w:val="00CA6D2E"/>
    <w:rsid w:val="00CA7618"/>
    <w:rsid w:val="00CA77AC"/>
    <w:rsid w:val="00CA7807"/>
    <w:rsid w:val="00CB0103"/>
    <w:rsid w:val="00CB0F6A"/>
    <w:rsid w:val="00CB15AA"/>
    <w:rsid w:val="00CB15B2"/>
    <w:rsid w:val="00CB17AD"/>
    <w:rsid w:val="00CB18AA"/>
    <w:rsid w:val="00CB24FE"/>
    <w:rsid w:val="00CB2DC7"/>
    <w:rsid w:val="00CB31C0"/>
    <w:rsid w:val="00CB3BBE"/>
    <w:rsid w:val="00CB483C"/>
    <w:rsid w:val="00CB4925"/>
    <w:rsid w:val="00CB4B1B"/>
    <w:rsid w:val="00CB4D90"/>
    <w:rsid w:val="00CB525A"/>
    <w:rsid w:val="00CB5F08"/>
    <w:rsid w:val="00CB6042"/>
    <w:rsid w:val="00CB72CF"/>
    <w:rsid w:val="00CB7427"/>
    <w:rsid w:val="00CB79CB"/>
    <w:rsid w:val="00CB7FE0"/>
    <w:rsid w:val="00CC02BE"/>
    <w:rsid w:val="00CC06E9"/>
    <w:rsid w:val="00CC0937"/>
    <w:rsid w:val="00CC18A5"/>
    <w:rsid w:val="00CC1A77"/>
    <w:rsid w:val="00CC2585"/>
    <w:rsid w:val="00CC266B"/>
    <w:rsid w:val="00CC2AA0"/>
    <w:rsid w:val="00CC30C3"/>
    <w:rsid w:val="00CC3717"/>
    <w:rsid w:val="00CC3E25"/>
    <w:rsid w:val="00CC4F2E"/>
    <w:rsid w:val="00CC51E5"/>
    <w:rsid w:val="00CC531E"/>
    <w:rsid w:val="00CC6291"/>
    <w:rsid w:val="00CC6CD6"/>
    <w:rsid w:val="00CC7694"/>
    <w:rsid w:val="00CD0AC1"/>
    <w:rsid w:val="00CD0C26"/>
    <w:rsid w:val="00CD1079"/>
    <w:rsid w:val="00CD114B"/>
    <w:rsid w:val="00CD1505"/>
    <w:rsid w:val="00CD154C"/>
    <w:rsid w:val="00CD189F"/>
    <w:rsid w:val="00CD1B26"/>
    <w:rsid w:val="00CD2677"/>
    <w:rsid w:val="00CD2893"/>
    <w:rsid w:val="00CD2C90"/>
    <w:rsid w:val="00CD4F31"/>
    <w:rsid w:val="00CD5818"/>
    <w:rsid w:val="00CD58FD"/>
    <w:rsid w:val="00CD720B"/>
    <w:rsid w:val="00CD73ED"/>
    <w:rsid w:val="00CD7D0F"/>
    <w:rsid w:val="00CE006B"/>
    <w:rsid w:val="00CE0540"/>
    <w:rsid w:val="00CE0558"/>
    <w:rsid w:val="00CE0C02"/>
    <w:rsid w:val="00CE0FF1"/>
    <w:rsid w:val="00CE1267"/>
    <w:rsid w:val="00CE1B6C"/>
    <w:rsid w:val="00CE2493"/>
    <w:rsid w:val="00CE276F"/>
    <w:rsid w:val="00CE2D84"/>
    <w:rsid w:val="00CE2DF4"/>
    <w:rsid w:val="00CE3347"/>
    <w:rsid w:val="00CE403F"/>
    <w:rsid w:val="00CE431D"/>
    <w:rsid w:val="00CE4CA1"/>
    <w:rsid w:val="00CE50F7"/>
    <w:rsid w:val="00CE5EED"/>
    <w:rsid w:val="00CE64AD"/>
    <w:rsid w:val="00CE6D85"/>
    <w:rsid w:val="00CE7019"/>
    <w:rsid w:val="00CE7529"/>
    <w:rsid w:val="00CF0014"/>
    <w:rsid w:val="00CF0A02"/>
    <w:rsid w:val="00CF130E"/>
    <w:rsid w:val="00CF13DE"/>
    <w:rsid w:val="00CF15EB"/>
    <w:rsid w:val="00CF15FC"/>
    <w:rsid w:val="00CF2298"/>
    <w:rsid w:val="00CF2C42"/>
    <w:rsid w:val="00CF2C65"/>
    <w:rsid w:val="00CF3259"/>
    <w:rsid w:val="00CF3389"/>
    <w:rsid w:val="00CF3A67"/>
    <w:rsid w:val="00CF3C41"/>
    <w:rsid w:val="00CF5061"/>
    <w:rsid w:val="00CF53E6"/>
    <w:rsid w:val="00CF5972"/>
    <w:rsid w:val="00CF6D3D"/>
    <w:rsid w:val="00CF6FA8"/>
    <w:rsid w:val="00CF766E"/>
    <w:rsid w:val="00D01BE7"/>
    <w:rsid w:val="00D01C9F"/>
    <w:rsid w:val="00D02141"/>
    <w:rsid w:val="00D0252F"/>
    <w:rsid w:val="00D03307"/>
    <w:rsid w:val="00D0340F"/>
    <w:rsid w:val="00D038EF"/>
    <w:rsid w:val="00D03949"/>
    <w:rsid w:val="00D04163"/>
    <w:rsid w:val="00D047BD"/>
    <w:rsid w:val="00D04B52"/>
    <w:rsid w:val="00D04D47"/>
    <w:rsid w:val="00D061E6"/>
    <w:rsid w:val="00D0626D"/>
    <w:rsid w:val="00D069CB"/>
    <w:rsid w:val="00D06BFA"/>
    <w:rsid w:val="00D075C4"/>
    <w:rsid w:val="00D10078"/>
    <w:rsid w:val="00D10F2F"/>
    <w:rsid w:val="00D11405"/>
    <w:rsid w:val="00D11A1D"/>
    <w:rsid w:val="00D1290F"/>
    <w:rsid w:val="00D12BD7"/>
    <w:rsid w:val="00D136EA"/>
    <w:rsid w:val="00D13962"/>
    <w:rsid w:val="00D14555"/>
    <w:rsid w:val="00D1471C"/>
    <w:rsid w:val="00D14828"/>
    <w:rsid w:val="00D14CE2"/>
    <w:rsid w:val="00D15797"/>
    <w:rsid w:val="00D1715C"/>
    <w:rsid w:val="00D17F3E"/>
    <w:rsid w:val="00D203B9"/>
    <w:rsid w:val="00D205FA"/>
    <w:rsid w:val="00D20D35"/>
    <w:rsid w:val="00D23178"/>
    <w:rsid w:val="00D231D1"/>
    <w:rsid w:val="00D24809"/>
    <w:rsid w:val="00D25203"/>
    <w:rsid w:val="00D261B2"/>
    <w:rsid w:val="00D263A8"/>
    <w:rsid w:val="00D2649C"/>
    <w:rsid w:val="00D26B9D"/>
    <w:rsid w:val="00D26D22"/>
    <w:rsid w:val="00D27809"/>
    <w:rsid w:val="00D27A11"/>
    <w:rsid w:val="00D27AD2"/>
    <w:rsid w:val="00D27B76"/>
    <w:rsid w:val="00D27D53"/>
    <w:rsid w:val="00D30302"/>
    <w:rsid w:val="00D3042C"/>
    <w:rsid w:val="00D30F6E"/>
    <w:rsid w:val="00D314C9"/>
    <w:rsid w:val="00D31896"/>
    <w:rsid w:val="00D32297"/>
    <w:rsid w:val="00D32314"/>
    <w:rsid w:val="00D32CC9"/>
    <w:rsid w:val="00D3343A"/>
    <w:rsid w:val="00D33964"/>
    <w:rsid w:val="00D33FEB"/>
    <w:rsid w:val="00D34159"/>
    <w:rsid w:val="00D343FA"/>
    <w:rsid w:val="00D3555B"/>
    <w:rsid w:val="00D3575D"/>
    <w:rsid w:val="00D36177"/>
    <w:rsid w:val="00D36228"/>
    <w:rsid w:val="00D365AD"/>
    <w:rsid w:val="00D37838"/>
    <w:rsid w:val="00D37C33"/>
    <w:rsid w:val="00D400A9"/>
    <w:rsid w:val="00D400C8"/>
    <w:rsid w:val="00D404BC"/>
    <w:rsid w:val="00D40DC2"/>
    <w:rsid w:val="00D40FA5"/>
    <w:rsid w:val="00D4160F"/>
    <w:rsid w:val="00D418FF"/>
    <w:rsid w:val="00D41DB1"/>
    <w:rsid w:val="00D41ED8"/>
    <w:rsid w:val="00D42049"/>
    <w:rsid w:val="00D421F0"/>
    <w:rsid w:val="00D42459"/>
    <w:rsid w:val="00D43141"/>
    <w:rsid w:val="00D432E6"/>
    <w:rsid w:val="00D445AF"/>
    <w:rsid w:val="00D445F1"/>
    <w:rsid w:val="00D461C0"/>
    <w:rsid w:val="00D46C0D"/>
    <w:rsid w:val="00D46EE7"/>
    <w:rsid w:val="00D470A7"/>
    <w:rsid w:val="00D47217"/>
    <w:rsid w:val="00D479A1"/>
    <w:rsid w:val="00D50096"/>
    <w:rsid w:val="00D503FF"/>
    <w:rsid w:val="00D507BE"/>
    <w:rsid w:val="00D50A5C"/>
    <w:rsid w:val="00D50B04"/>
    <w:rsid w:val="00D50FF1"/>
    <w:rsid w:val="00D511DA"/>
    <w:rsid w:val="00D51665"/>
    <w:rsid w:val="00D525ED"/>
    <w:rsid w:val="00D52701"/>
    <w:rsid w:val="00D528D7"/>
    <w:rsid w:val="00D52EBA"/>
    <w:rsid w:val="00D5377B"/>
    <w:rsid w:val="00D537BA"/>
    <w:rsid w:val="00D542CF"/>
    <w:rsid w:val="00D547F0"/>
    <w:rsid w:val="00D54953"/>
    <w:rsid w:val="00D54AA2"/>
    <w:rsid w:val="00D56103"/>
    <w:rsid w:val="00D566DB"/>
    <w:rsid w:val="00D56978"/>
    <w:rsid w:val="00D57621"/>
    <w:rsid w:val="00D57DED"/>
    <w:rsid w:val="00D6009E"/>
    <w:rsid w:val="00D600BE"/>
    <w:rsid w:val="00D60551"/>
    <w:rsid w:val="00D60FFB"/>
    <w:rsid w:val="00D6131B"/>
    <w:rsid w:val="00D62343"/>
    <w:rsid w:val="00D62792"/>
    <w:rsid w:val="00D62E61"/>
    <w:rsid w:val="00D62FE5"/>
    <w:rsid w:val="00D633E0"/>
    <w:rsid w:val="00D63B44"/>
    <w:rsid w:val="00D63EDE"/>
    <w:rsid w:val="00D6425D"/>
    <w:rsid w:val="00D64B34"/>
    <w:rsid w:val="00D64FD4"/>
    <w:rsid w:val="00D65BED"/>
    <w:rsid w:val="00D65C76"/>
    <w:rsid w:val="00D66EAB"/>
    <w:rsid w:val="00D6774A"/>
    <w:rsid w:val="00D677D9"/>
    <w:rsid w:val="00D67854"/>
    <w:rsid w:val="00D6791E"/>
    <w:rsid w:val="00D67C09"/>
    <w:rsid w:val="00D70304"/>
    <w:rsid w:val="00D7083C"/>
    <w:rsid w:val="00D708FA"/>
    <w:rsid w:val="00D70AD3"/>
    <w:rsid w:val="00D70CA6"/>
    <w:rsid w:val="00D70D72"/>
    <w:rsid w:val="00D71075"/>
    <w:rsid w:val="00D719C9"/>
    <w:rsid w:val="00D71A72"/>
    <w:rsid w:val="00D72248"/>
    <w:rsid w:val="00D734C7"/>
    <w:rsid w:val="00D7364A"/>
    <w:rsid w:val="00D73F0F"/>
    <w:rsid w:val="00D7447B"/>
    <w:rsid w:val="00D74480"/>
    <w:rsid w:val="00D74D0D"/>
    <w:rsid w:val="00D74EE0"/>
    <w:rsid w:val="00D7542B"/>
    <w:rsid w:val="00D754F1"/>
    <w:rsid w:val="00D76BFD"/>
    <w:rsid w:val="00D800C2"/>
    <w:rsid w:val="00D801C0"/>
    <w:rsid w:val="00D8052D"/>
    <w:rsid w:val="00D8098A"/>
    <w:rsid w:val="00D80B58"/>
    <w:rsid w:val="00D80D38"/>
    <w:rsid w:val="00D8104C"/>
    <w:rsid w:val="00D810B4"/>
    <w:rsid w:val="00D815EC"/>
    <w:rsid w:val="00D8176A"/>
    <w:rsid w:val="00D820A5"/>
    <w:rsid w:val="00D824CC"/>
    <w:rsid w:val="00D8351F"/>
    <w:rsid w:val="00D83A63"/>
    <w:rsid w:val="00D83E82"/>
    <w:rsid w:val="00D842DF"/>
    <w:rsid w:val="00D84583"/>
    <w:rsid w:val="00D84E37"/>
    <w:rsid w:val="00D859F5"/>
    <w:rsid w:val="00D8628D"/>
    <w:rsid w:val="00D86409"/>
    <w:rsid w:val="00D872DC"/>
    <w:rsid w:val="00D90E68"/>
    <w:rsid w:val="00D90F0D"/>
    <w:rsid w:val="00D91805"/>
    <w:rsid w:val="00D91968"/>
    <w:rsid w:val="00D92588"/>
    <w:rsid w:val="00D93E44"/>
    <w:rsid w:val="00D9424E"/>
    <w:rsid w:val="00D94C03"/>
    <w:rsid w:val="00D94D78"/>
    <w:rsid w:val="00D95446"/>
    <w:rsid w:val="00D95810"/>
    <w:rsid w:val="00D959DF"/>
    <w:rsid w:val="00D95CE2"/>
    <w:rsid w:val="00D95E7D"/>
    <w:rsid w:val="00D96B39"/>
    <w:rsid w:val="00D97066"/>
    <w:rsid w:val="00DA0BF7"/>
    <w:rsid w:val="00DA0E22"/>
    <w:rsid w:val="00DA0F18"/>
    <w:rsid w:val="00DA1938"/>
    <w:rsid w:val="00DA1D32"/>
    <w:rsid w:val="00DA1EF0"/>
    <w:rsid w:val="00DA240B"/>
    <w:rsid w:val="00DA288B"/>
    <w:rsid w:val="00DA2971"/>
    <w:rsid w:val="00DA2F73"/>
    <w:rsid w:val="00DA3167"/>
    <w:rsid w:val="00DA381E"/>
    <w:rsid w:val="00DA3EEC"/>
    <w:rsid w:val="00DA453E"/>
    <w:rsid w:val="00DA48CF"/>
    <w:rsid w:val="00DA4AD8"/>
    <w:rsid w:val="00DA54F2"/>
    <w:rsid w:val="00DA5FB5"/>
    <w:rsid w:val="00DA66DB"/>
    <w:rsid w:val="00DA6FDF"/>
    <w:rsid w:val="00DA7A55"/>
    <w:rsid w:val="00DA7E19"/>
    <w:rsid w:val="00DB070E"/>
    <w:rsid w:val="00DB14F7"/>
    <w:rsid w:val="00DB1D02"/>
    <w:rsid w:val="00DB1EFA"/>
    <w:rsid w:val="00DB1F63"/>
    <w:rsid w:val="00DB2574"/>
    <w:rsid w:val="00DB2C52"/>
    <w:rsid w:val="00DB2E2F"/>
    <w:rsid w:val="00DB3525"/>
    <w:rsid w:val="00DB3A98"/>
    <w:rsid w:val="00DB3EDC"/>
    <w:rsid w:val="00DB415F"/>
    <w:rsid w:val="00DB49B4"/>
    <w:rsid w:val="00DB54C3"/>
    <w:rsid w:val="00DB5750"/>
    <w:rsid w:val="00DB62CB"/>
    <w:rsid w:val="00DB6492"/>
    <w:rsid w:val="00DB6A81"/>
    <w:rsid w:val="00DB6D36"/>
    <w:rsid w:val="00DB7661"/>
    <w:rsid w:val="00DB7801"/>
    <w:rsid w:val="00DC0DDF"/>
    <w:rsid w:val="00DC128B"/>
    <w:rsid w:val="00DC18B4"/>
    <w:rsid w:val="00DC1989"/>
    <w:rsid w:val="00DC1B95"/>
    <w:rsid w:val="00DC243F"/>
    <w:rsid w:val="00DC307B"/>
    <w:rsid w:val="00DC343B"/>
    <w:rsid w:val="00DC3633"/>
    <w:rsid w:val="00DC387A"/>
    <w:rsid w:val="00DC394A"/>
    <w:rsid w:val="00DC3967"/>
    <w:rsid w:val="00DC462F"/>
    <w:rsid w:val="00DC499A"/>
    <w:rsid w:val="00DC568E"/>
    <w:rsid w:val="00DC590D"/>
    <w:rsid w:val="00DC63F7"/>
    <w:rsid w:val="00DC6621"/>
    <w:rsid w:val="00DC6650"/>
    <w:rsid w:val="00DC673B"/>
    <w:rsid w:val="00DC79AB"/>
    <w:rsid w:val="00DD02E4"/>
    <w:rsid w:val="00DD0745"/>
    <w:rsid w:val="00DD08DD"/>
    <w:rsid w:val="00DD0A80"/>
    <w:rsid w:val="00DD0BB1"/>
    <w:rsid w:val="00DD0BC2"/>
    <w:rsid w:val="00DD125E"/>
    <w:rsid w:val="00DD1614"/>
    <w:rsid w:val="00DD1905"/>
    <w:rsid w:val="00DD236E"/>
    <w:rsid w:val="00DD358F"/>
    <w:rsid w:val="00DD35F8"/>
    <w:rsid w:val="00DD38F1"/>
    <w:rsid w:val="00DD3A37"/>
    <w:rsid w:val="00DD3A5F"/>
    <w:rsid w:val="00DD43EB"/>
    <w:rsid w:val="00DD459F"/>
    <w:rsid w:val="00DD4639"/>
    <w:rsid w:val="00DD4FB1"/>
    <w:rsid w:val="00DD50CC"/>
    <w:rsid w:val="00DD5405"/>
    <w:rsid w:val="00DD593C"/>
    <w:rsid w:val="00DD5A05"/>
    <w:rsid w:val="00DD5BD6"/>
    <w:rsid w:val="00DD5DBE"/>
    <w:rsid w:val="00DD5E23"/>
    <w:rsid w:val="00DD653C"/>
    <w:rsid w:val="00DD6A21"/>
    <w:rsid w:val="00DD712B"/>
    <w:rsid w:val="00DD722B"/>
    <w:rsid w:val="00DD7504"/>
    <w:rsid w:val="00DD797F"/>
    <w:rsid w:val="00DD7A29"/>
    <w:rsid w:val="00DD7B94"/>
    <w:rsid w:val="00DE0423"/>
    <w:rsid w:val="00DE078E"/>
    <w:rsid w:val="00DE0D1C"/>
    <w:rsid w:val="00DE18A7"/>
    <w:rsid w:val="00DE22B4"/>
    <w:rsid w:val="00DE2A05"/>
    <w:rsid w:val="00DE2EFB"/>
    <w:rsid w:val="00DE30F5"/>
    <w:rsid w:val="00DE43BF"/>
    <w:rsid w:val="00DE457C"/>
    <w:rsid w:val="00DE59E3"/>
    <w:rsid w:val="00DE60CA"/>
    <w:rsid w:val="00DE64F1"/>
    <w:rsid w:val="00DE7053"/>
    <w:rsid w:val="00DF01BE"/>
    <w:rsid w:val="00DF1058"/>
    <w:rsid w:val="00DF1887"/>
    <w:rsid w:val="00DF2043"/>
    <w:rsid w:val="00DF26A6"/>
    <w:rsid w:val="00DF2918"/>
    <w:rsid w:val="00DF31A9"/>
    <w:rsid w:val="00DF3338"/>
    <w:rsid w:val="00DF39E0"/>
    <w:rsid w:val="00DF3A8E"/>
    <w:rsid w:val="00DF3E9D"/>
    <w:rsid w:val="00DF6378"/>
    <w:rsid w:val="00DF6679"/>
    <w:rsid w:val="00DF66CD"/>
    <w:rsid w:val="00E004D1"/>
    <w:rsid w:val="00E00D5A"/>
    <w:rsid w:val="00E0188E"/>
    <w:rsid w:val="00E02517"/>
    <w:rsid w:val="00E02ADA"/>
    <w:rsid w:val="00E037F9"/>
    <w:rsid w:val="00E03B42"/>
    <w:rsid w:val="00E03EA8"/>
    <w:rsid w:val="00E04D26"/>
    <w:rsid w:val="00E04F41"/>
    <w:rsid w:val="00E059BB"/>
    <w:rsid w:val="00E06536"/>
    <w:rsid w:val="00E06733"/>
    <w:rsid w:val="00E07D6A"/>
    <w:rsid w:val="00E07FB6"/>
    <w:rsid w:val="00E10E97"/>
    <w:rsid w:val="00E11E05"/>
    <w:rsid w:val="00E128BA"/>
    <w:rsid w:val="00E1299C"/>
    <w:rsid w:val="00E12BBC"/>
    <w:rsid w:val="00E12F75"/>
    <w:rsid w:val="00E131BF"/>
    <w:rsid w:val="00E13293"/>
    <w:rsid w:val="00E13ACF"/>
    <w:rsid w:val="00E13FF5"/>
    <w:rsid w:val="00E1453F"/>
    <w:rsid w:val="00E14833"/>
    <w:rsid w:val="00E14DD4"/>
    <w:rsid w:val="00E15EA3"/>
    <w:rsid w:val="00E16458"/>
    <w:rsid w:val="00E165B0"/>
    <w:rsid w:val="00E1675F"/>
    <w:rsid w:val="00E16978"/>
    <w:rsid w:val="00E174C7"/>
    <w:rsid w:val="00E17AA3"/>
    <w:rsid w:val="00E17DDB"/>
    <w:rsid w:val="00E2014C"/>
    <w:rsid w:val="00E20A04"/>
    <w:rsid w:val="00E20F4E"/>
    <w:rsid w:val="00E217F0"/>
    <w:rsid w:val="00E21E97"/>
    <w:rsid w:val="00E21EB8"/>
    <w:rsid w:val="00E22288"/>
    <w:rsid w:val="00E22561"/>
    <w:rsid w:val="00E22ABA"/>
    <w:rsid w:val="00E2356E"/>
    <w:rsid w:val="00E23D33"/>
    <w:rsid w:val="00E24172"/>
    <w:rsid w:val="00E24DEB"/>
    <w:rsid w:val="00E24FA3"/>
    <w:rsid w:val="00E25070"/>
    <w:rsid w:val="00E25200"/>
    <w:rsid w:val="00E26055"/>
    <w:rsid w:val="00E26968"/>
    <w:rsid w:val="00E26AD2"/>
    <w:rsid w:val="00E26B28"/>
    <w:rsid w:val="00E2751A"/>
    <w:rsid w:val="00E30941"/>
    <w:rsid w:val="00E309A9"/>
    <w:rsid w:val="00E31036"/>
    <w:rsid w:val="00E31447"/>
    <w:rsid w:val="00E31465"/>
    <w:rsid w:val="00E31977"/>
    <w:rsid w:val="00E32765"/>
    <w:rsid w:val="00E327B6"/>
    <w:rsid w:val="00E328CD"/>
    <w:rsid w:val="00E33426"/>
    <w:rsid w:val="00E3489E"/>
    <w:rsid w:val="00E34E21"/>
    <w:rsid w:val="00E357EC"/>
    <w:rsid w:val="00E3619D"/>
    <w:rsid w:val="00E362F0"/>
    <w:rsid w:val="00E36402"/>
    <w:rsid w:val="00E36B95"/>
    <w:rsid w:val="00E36DE0"/>
    <w:rsid w:val="00E370FE"/>
    <w:rsid w:val="00E378DB"/>
    <w:rsid w:val="00E37D8E"/>
    <w:rsid w:val="00E4003F"/>
    <w:rsid w:val="00E40A1E"/>
    <w:rsid w:val="00E40B8E"/>
    <w:rsid w:val="00E410FF"/>
    <w:rsid w:val="00E424D4"/>
    <w:rsid w:val="00E43DA7"/>
    <w:rsid w:val="00E44433"/>
    <w:rsid w:val="00E44685"/>
    <w:rsid w:val="00E44F25"/>
    <w:rsid w:val="00E44F9D"/>
    <w:rsid w:val="00E453C1"/>
    <w:rsid w:val="00E457D6"/>
    <w:rsid w:val="00E458F6"/>
    <w:rsid w:val="00E45954"/>
    <w:rsid w:val="00E45A56"/>
    <w:rsid w:val="00E45B92"/>
    <w:rsid w:val="00E45DFC"/>
    <w:rsid w:val="00E46704"/>
    <w:rsid w:val="00E46871"/>
    <w:rsid w:val="00E471F5"/>
    <w:rsid w:val="00E475AD"/>
    <w:rsid w:val="00E505A3"/>
    <w:rsid w:val="00E50C7C"/>
    <w:rsid w:val="00E50CEF"/>
    <w:rsid w:val="00E513AF"/>
    <w:rsid w:val="00E51AFB"/>
    <w:rsid w:val="00E51BC1"/>
    <w:rsid w:val="00E51FD0"/>
    <w:rsid w:val="00E5214E"/>
    <w:rsid w:val="00E527CF"/>
    <w:rsid w:val="00E532A2"/>
    <w:rsid w:val="00E53365"/>
    <w:rsid w:val="00E534F5"/>
    <w:rsid w:val="00E53537"/>
    <w:rsid w:val="00E53546"/>
    <w:rsid w:val="00E536A7"/>
    <w:rsid w:val="00E53795"/>
    <w:rsid w:val="00E541D5"/>
    <w:rsid w:val="00E54FD9"/>
    <w:rsid w:val="00E55281"/>
    <w:rsid w:val="00E55BF1"/>
    <w:rsid w:val="00E55F24"/>
    <w:rsid w:val="00E56CE5"/>
    <w:rsid w:val="00E603B4"/>
    <w:rsid w:val="00E60608"/>
    <w:rsid w:val="00E60D59"/>
    <w:rsid w:val="00E613E3"/>
    <w:rsid w:val="00E61A79"/>
    <w:rsid w:val="00E624FF"/>
    <w:rsid w:val="00E62719"/>
    <w:rsid w:val="00E629D6"/>
    <w:rsid w:val="00E63593"/>
    <w:rsid w:val="00E63862"/>
    <w:rsid w:val="00E63905"/>
    <w:rsid w:val="00E63BD8"/>
    <w:rsid w:val="00E63C55"/>
    <w:rsid w:val="00E63D9D"/>
    <w:rsid w:val="00E64CF0"/>
    <w:rsid w:val="00E64CFA"/>
    <w:rsid w:val="00E65008"/>
    <w:rsid w:val="00E66231"/>
    <w:rsid w:val="00E66686"/>
    <w:rsid w:val="00E66D39"/>
    <w:rsid w:val="00E6760D"/>
    <w:rsid w:val="00E71681"/>
    <w:rsid w:val="00E72593"/>
    <w:rsid w:val="00E725B9"/>
    <w:rsid w:val="00E7288E"/>
    <w:rsid w:val="00E72B16"/>
    <w:rsid w:val="00E73288"/>
    <w:rsid w:val="00E746B0"/>
    <w:rsid w:val="00E7474E"/>
    <w:rsid w:val="00E754B6"/>
    <w:rsid w:val="00E75BAC"/>
    <w:rsid w:val="00E75F81"/>
    <w:rsid w:val="00E77D0E"/>
    <w:rsid w:val="00E77E3C"/>
    <w:rsid w:val="00E80E76"/>
    <w:rsid w:val="00E81A81"/>
    <w:rsid w:val="00E81A93"/>
    <w:rsid w:val="00E823C3"/>
    <w:rsid w:val="00E82F77"/>
    <w:rsid w:val="00E84F78"/>
    <w:rsid w:val="00E854B2"/>
    <w:rsid w:val="00E85654"/>
    <w:rsid w:val="00E856DE"/>
    <w:rsid w:val="00E85D12"/>
    <w:rsid w:val="00E85EC2"/>
    <w:rsid w:val="00E866F3"/>
    <w:rsid w:val="00E86E38"/>
    <w:rsid w:val="00E90817"/>
    <w:rsid w:val="00E9114F"/>
    <w:rsid w:val="00E91C24"/>
    <w:rsid w:val="00E91CEE"/>
    <w:rsid w:val="00E92023"/>
    <w:rsid w:val="00E92917"/>
    <w:rsid w:val="00E938C4"/>
    <w:rsid w:val="00E93B15"/>
    <w:rsid w:val="00E94331"/>
    <w:rsid w:val="00E943EC"/>
    <w:rsid w:val="00E94E55"/>
    <w:rsid w:val="00E95F3D"/>
    <w:rsid w:val="00E97E45"/>
    <w:rsid w:val="00EA06C8"/>
    <w:rsid w:val="00EA1AEC"/>
    <w:rsid w:val="00EA269A"/>
    <w:rsid w:val="00EA293D"/>
    <w:rsid w:val="00EA2968"/>
    <w:rsid w:val="00EA3124"/>
    <w:rsid w:val="00EA44D9"/>
    <w:rsid w:val="00EA454A"/>
    <w:rsid w:val="00EA49BE"/>
    <w:rsid w:val="00EA597B"/>
    <w:rsid w:val="00EA5D1D"/>
    <w:rsid w:val="00EA5FCC"/>
    <w:rsid w:val="00EA61C3"/>
    <w:rsid w:val="00EA7A4C"/>
    <w:rsid w:val="00EA7F66"/>
    <w:rsid w:val="00EB0D51"/>
    <w:rsid w:val="00EB1004"/>
    <w:rsid w:val="00EB154A"/>
    <w:rsid w:val="00EB1797"/>
    <w:rsid w:val="00EB27D8"/>
    <w:rsid w:val="00EB297F"/>
    <w:rsid w:val="00EB2AB8"/>
    <w:rsid w:val="00EB2FE3"/>
    <w:rsid w:val="00EB3B50"/>
    <w:rsid w:val="00EB3DD2"/>
    <w:rsid w:val="00EB4489"/>
    <w:rsid w:val="00EB4A8C"/>
    <w:rsid w:val="00EB4AEF"/>
    <w:rsid w:val="00EB4F20"/>
    <w:rsid w:val="00EB56FD"/>
    <w:rsid w:val="00EB5E0F"/>
    <w:rsid w:val="00EB6124"/>
    <w:rsid w:val="00EB6A76"/>
    <w:rsid w:val="00EB752B"/>
    <w:rsid w:val="00EC0958"/>
    <w:rsid w:val="00EC0A61"/>
    <w:rsid w:val="00EC0C8F"/>
    <w:rsid w:val="00EC25EA"/>
    <w:rsid w:val="00EC2754"/>
    <w:rsid w:val="00EC3118"/>
    <w:rsid w:val="00EC3150"/>
    <w:rsid w:val="00EC490E"/>
    <w:rsid w:val="00EC4A64"/>
    <w:rsid w:val="00EC4CB9"/>
    <w:rsid w:val="00EC5DEA"/>
    <w:rsid w:val="00EC6206"/>
    <w:rsid w:val="00EC66C6"/>
    <w:rsid w:val="00EC7A24"/>
    <w:rsid w:val="00EC7B28"/>
    <w:rsid w:val="00ED0499"/>
    <w:rsid w:val="00ED1103"/>
    <w:rsid w:val="00ED11B3"/>
    <w:rsid w:val="00ED1284"/>
    <w:rsid w:val="00ED1A96"/>
    <w:rsid w:val="00ED1F26"/>
    <w:rsid w:val="00ED2436"/>
    <w:rsid w:val="00ED253B"/>
    <w:rsid w:val="00ED38CB"/>
    <w:rsid w:val="00ED5436"/>
    <w:rsid w:val="00ED5C9A"/>
    <w:rsid w:val="00ED5D95"/>
    <w:rsid w:val="00ED61D8"/>
    <w:rsid w:val="00ED6216"/>
    <w:rsid w:val="00ED6269"/>
    <w:rsid w:val="00ED673D"/>
    <w:rsid w:val="00ED726C"/>
    <w:rsid w:val="00ED730F"/>
    <w:rsid w:val="00EE0A2B"/>
    <w:rsid w:val="00EE0ADF"/>
    <w:rsid w:val="00EE0C8B"/>
    <w:rsid w:val="00EE1115"/>
    <w:rsid w:val="00EE1C6A"/>
    <w:rsid w:val="00EE2074"/>
    <w:rsid w:val="00EE488C"/>
    <w:rsid w:val="00EE4FCA"/>
    <w:rsid w:val="00EE5947"/>
    <w:rsid w:val="00EE5B40"/>
    <w:rsid w:val="00EE5D98"/>
    <w:rsid w:val="00EE6022"/>
    <w:rsid w:val="00EE6FB6"/>
    <w:rsid w:val="00EE713A"/>
    <w:rsid w:val="00EE781A"/>
    <w:rsid w:val="00EF0592"/>
    <w:rsid w:val="00EF0962"/>
    <w:rsid w:val="00EF0ACE"/>
    <w:rsid w:val="00EF0F7B"/>
    <w:rsid w:val="00EF343B"/>
    <w:rsid w:val="00EF38F9"/>
    <w:rsid w:val="00EF3C3E"/>
    <w:rsid w:val="00EF4DAC"/>
    <w:rsid w:val="00EF51C6"/>
    <w:rsid w:val="00EF54E4"/>
    <w:rsid w:val="00EF572B"/>
    <w:rsid w:val="00EF6E96"/>
    <w:rsid w:val="00EF7468"/>
    <w:rsid w:val="00EF7D79"/>
    <w:rsid w:val="00EF7D8B"/>
    <w:rsid w:val="00F00003"/>
    <w:rsid w:val="00F02317"/>
    <w:rsid w:val="00F030E6"/>
    <w:rsid w:val="00F0351E"/>
    <w:rsid w:val="00F03845"/>
    <w:rsid w:val="00F0388D"/>
    <w:rsid w:val="00F038A1"/>
    <w:rsid w:val="00F03CE6"/>
    <w:rsid w:val="00F0497E"/>
    <w:rsid w:val="00F04D77"/>
    <w:rsid w:val="00F04FE1"/>
    <w:rsid w:val="00F06A1B"/>
    <w:rsid w:val="00F07185"/>
    <w:rsid w:val="00F0799D"/>
    <w:rsid w:val="00F107A0"/>
    <w:rsid w:val="00F10A45"/>
    <w:rsid w:val="00F10B82"/>
    <w:rsid w:val="00F1174D"/>
    <w:rsid w:val="00F11D5F"/>
    <w:rsid w:val="00F11D78"/>
    <w:rsid w:val="00F126EA"/>
    <w:rsid w:val="00F127A8"/>
    <w:rsid w:val="00F128D1"/>
    <w:rsid w:val="00F129F1"/>
    <w:rsid w:val="00F12E33"/>
    <w:rsid w:val="00F12F2D"/>
    <w:rsid w:val="00F12F9F"/>
    <w:rsid w:val="00F13179"/>
    <w:rsid w:val="00F14C6D"/>
    <w:rsid w:val="00F153E9"/>
    <w:rsid w:val="00F15AAA"/>
    <w:rsid w:val="00F15B53"/>
    <w:rsid w:val="00F16E59"/>
    <w:rsid w:val="00F16EC4"/>
    <w:rsid w:val="00F17BF9"/>
    <w:rsid w:val="00F21EBA"/>
    <w:rsid w:val="00F21F79"/>
    <w:rsid w:val="00F220A5"/>
    <w:rsid w:val="00F2293A"/>
    <w:rsid w:val="00F2373B"/>
    <w:rsid w:val="00F2373F"/>
    <w:rsid w:val="00F23F67"/>
    <w:rsid w:val="00F247AE"/>
    <w:rsid w:val="00F25AF0"/>
    <w:rsid w:val="00F262DF"/>
    <w:rsid w:val="00F2637B"/>
    <w:rsid w:val="00F2679B"/>
    <w:rsid w:val="00F26AC0"/>
    <w:rsid w:val="00F270DE"/>
    <w:rsid w:val="00F27926"/>
    <w:rsid w:val="00F27CE1"/>
    <w:rsid w:val="00F27F43"/>
    <w:rsid w:val="00F300BE"/>
    <w:rsid w:val="00F30A73"/>
    <w:rsid w:val="00F31620"/>
    <w:rsid w:val="00F3190D"/>
    <w:rsid w:val="00F3191D"/>
    <w:rsid w:val="00F32AB6"/>
    <w:rsid w:val="00F3359A"/>
    <w:rsid w:val="00F339AF"/>
    <w:rsid w:val="00F33AC1"/>
    <w:rsid w:val="00F34362"/>
    <w:rsid w:val="00F34BC9"/>
    <w:rsid w:val="00F350E8"/>
    <w:rsid w:val="00F35179"/>
    <w:rsid w:val="00F35941"/>
    <w:rsid w:val="00F35B52"/>
    <w:rsid w:val="00F35B5C"/>
    <w:rsid w:val="00F35B92"/>
    <w:rsid w:val="00F35F72"/>
    <w:rsid w:val="00F362FB"/>
    <w:rsid w:val="00F36694"/>
    <w:rsid w:val="00F4118E"/>
    <w:rsid w:val="00F4470E"/>
    <w:rsid w:val="00F461E7"/>
    <w:rsid w:val="00F46B36"/>
    <w:rsid w:val="00F46B9D"/>
    <w:rsid w:val="00F46D4F"/>
    <w:rsid w:val="00F47328"/>
    <w:rsid w:val="00F473C9"/>
    <w:rsid w:val="00F47F1A"/>
    <w:rsid w:val="00F50580"/>
    <w:rsid w:val="00F50D4B"/>
    <w:rsid w:val="00F512FC"/>
    <w:rsid w:val="00F513AE"/>
    <w:rsid w:val="00F5145F"/>
    <w:rsid w:val="00F5210B"/>
    <w:rsid w:val="00F53CA8"/>
    <w:rsid w:val="00F5403F"/>
    <w:rsid w:val="00F54727"/>
    <w:rsid w:val="00F548F9"/>
    <w:rsid w:val="00F54E1E"/>
    <w:rsid w:val="00F555DD"/>
    <w:rsid w:val="00F55886"/>
    <w:rsid w:val="00F5588B"/>
    <w:rsid w:val="00F5598D"/>
    <w:rsid w:val="00F569AB"/>
    <w:rsid w:val="00F6051D"/>
    <w:rsid w:val="00F60C48"/>
    <w:rsid w:val="00F60D58"/>
    <w:rsid w:val="00F60EB6"/>
    <w:rsid w:val="00F6206D"/>
    <w:rsid w:val="00F62621"/>
    <w:rsid w:val="00F62EED"/>
    <w:rsid w:val="00F635BF"/>
    <w:rsid w:val="00F63C25"/>
    <w:rsid w:val="00F64013"/>
    <w:rsid w:val="00F64506"/>
    <w:rsid w:val="00F64767"/>
    <w:rsid w:val="00F6595A"/>
    <w:rsid w:val="00F65ADC"/>
    <w:rsid w:val="00F6637F"/>
    <w:rsid w:val="00F66E13"/>
    <w:rsid w:val="00F66EF1"/>
    <w:rsid w:val="00F67291"/>
    <w:rsid w:val="00F7136D"/>
    <w:rsid w:val="00F7142B"/>
    <w:rsid w:val="00F7158A"/>
    <w:rsid w:val="00F72383"/>
    <w:rsid w:val="00F72CFF"/>
    <w:rsid w:val="00F732B4"/>
    <w:rsid w:val="00F73661"/>
    <w:rsid w:val="00F74150"/>
    <w:rsid w:val="00F7430C"/>
    <w:rsid w:val="00F74668"/>
    <w:rsid w:val="00F74869"/>
    <w:rsid w:val="00F74E43"/>
    <w:rsid w:val="00F753D1"/>
    <w:rsid w:val="00F75FAE"/>
    <w:rsid w:val="00F760E5"/>
    <w:rsid w:val="00F76415"/>
    <w:rsid w:val="00F77AAC"/>
    <w:rsid w:val="00F80856"/>
    <w:rsid w:val="00F80EE6"/>
    <w:rsid w:val="00F80FA5"/>
    <w:rsid w:val="00F810FD"/>
    <w:rsid w:val="00F811E4"/>
    <w:rsid w:val="00F81C09"/>
    <w:rsid w:val="00F81D06"/>
    <w:rsid w:val="00F81FDF"/>
    <w:rsid w:val="00F82449"/>
    <w:rsid w:val="00F8302E"/>
    <w:rsid w:val="00F839B8"/>
    <w:rsid w:val="00F84E4C"/>
    <w:rsid w:val="00F8514B"/>
    <w:rsid w:val="00F85B10"/>
    <w:rsid w:val="00F85BAD"/>
    <w:rsid w:val="00F85CE7"/>
    <w:rsid w:val="00F85F01"/>
    <w:rsid w:val="00F86C99"/>
    <w:rsid w:val="00F86DAB"/>
    <w:rsid w:val="00F870D5"/>
    <w:rsid w:val="00F9113B"/>
    <w:rsid w:val="00F9127B"/>
    <w:rsid w:val="00F91F8B"/>
    <w:rsid w:val="00F931DD"/>
    <w:rsid w:val="00F949BF"/>
    <w:rsid w:val="00F94DC6"/>
    <w:rsid w:val="00F94F78"/>
    <w:rsid w:val="00F95BC3"/>
    <w:rsid w:val="00F961B0"/>
    <w:rsid w:val="00F964B3"/>
    <w:rsid w:val="00F96724"/>
    <w:rsid w:val="00F967D0"/>
    <w:rsid w:val="00F96AF9"/>
    <w:rsid w:val="00F96FFF"/>
    <w:rsid w:val="00F97580"/>
    <w:rsid w:val="00F97851"/>
    <w:rsid w:val="00F97D04"/>
    <w:rsid w:val="00F97F5B"/>
    <w:rsid w:val="00FA0D45"/>
    <w:rsid w:val="00FA0EB6"/>
    <w:rsid w:val="00FA2037"/>
    <w:rsid w:val="00FA2336"/>
    <w:rsid w:val="00FA26B4"/>
    <w:rsid w:val="00FA2705"/>
    <w:rsid w:val="00FA2AFA"/>
    <w:rsid w:val="00FA2B1A"/>
    <w:rsid w:val="00FA2BA3"/>
    <w:rsid w:val="00FA2BCE"/>
    <w:rsid w:val="00FA2FFF"/>
    <w:rsid w:val="00FA3302"/>
    <w:rsid w:val="00FA4079"/>
    <w:rsid w:val="00FA420C"/>
    <w:rsid w:val="00FA456D"/>
    <w:rsid w:val="00FA4916"/>
    <w:rsid w:val="00FA6358"/>
    <w:rsid w:val="00FA6838"/>
    <w:rsid w:val="00FA6DA6"/>
    <w:rsid w:val="00FA7E5C"/>
    <w:rsid w:val="00FB0316"/>
    <w:rsid w:val="00FB0783"/>
    <w:rsid w:val="00FB0B66"/>
    <w:rsid w:val="00FB0C1C"/>
    <w:rsid w:val="00FB0CB5"/>
    <w:rsid w:val="00FB0FDA"/>
    <w:rsid w:val="00FB17A8"/>
    <w:rsid w:val="00FB193D"/>
    <w:rsid w:val="00FB2705"/>
    <w:rsid w:val="00FB3422"/>
    <w:rsid w:val="00FB37E3"/>
    <w:rsid w:val="00FB3992"/>
    <w:rsid w:val="00FB4067"/>
    <w:rsid w:val="00FB492E"/>
    <w:rsid w:val="00FB4AEA"/>
    <w:rsid w:val="00FB4F76"/>
    <w:rsid w:val="00FB5075"/>
    <w:rsid w:val="00FB5890"/>
    <w:rsid w:val="00FB593B"/>
    <w:rsid w:val="00FB7078"/>
    <w:rsid w:val="00FB76FE"/>
    <w:rsid w:val="00FC030E"/>
    <w:rsid w:val="00FC1061"/>
    <w:rsid w:val="00FC1660"/>
    <w:rsid w:val="00FC181E"/>
    <w:rsid w:val="00FC1948"/>
    <w:rsid w:val="00FC1A22"/>
    <w:rsid w:val="00FC2C20"/>
    <w:rsid w:val="00FC365F"/>
    <w:rsid w:val="00FC3888"/>
    <w:rsid w:val="00FC51B1"/>
    <w:rsid w:val="00FC6387"/>
    <w:rsid w:val="00FC63C3"/>
    <w:rsid w:val="00FC66B3"/>
    <w:rsid w:val="00FC69AD"/>
    <w:rsid w:val="00FC6AD8"/>
    <w:rsid w:val="00FC6BF9"/>
    <w:rsid w:val="00FC704B"/>
    <w:rsid w:val="00FC734C"/>
    <w:rsid w:val="00FC74EC"/>
    <w:rsid w:val="00FC7E28"/>
    <w:rsid w:val="00FC7FCD"/>
    <w:rsid w:val="00FC7FE7"/>
    <w:rsid w:val="00FD00B3"/>
    <w:rsid w:val="00FD01B5"/>
    <w:rsid w:val="00FD029E"/>
    <w:rsid w:val="00FD03C5"/>
    <w:rsid w:val="00FD0A80"/>
    <w:rsid w:val="00FD16F2"/>
    <w:rsid w:val="00FD19B9"/>
    <w:rsid w:val="00FD1DDF"/>
    <w:rsid w:val="00FD2370"/>
    <w:rsid w:val="00FD2AEF"/>
    <w:rsid w:val="00FD2D3F"/>
    <w:rsid w:val="00FD2DEA"/>
    <w:rsid w:val="00FD31E1"/>
    <w:rsid w:val="00FD3548"/>
    <w:rsid w:val="00FD47C1"/>
    <w:rsid w:val="00FD4FAA"/>
    <w:rsid w:val="00FD5479"/>
    <w:rsid w:val="00FD5BF0"/>
    <w:rsid w:val="00FD60F9"/>
    <w:rsid w:val="00FD6719"/>
    <w:rsid w:val="00FD6BDA"/>
    <w:rsid w:val="00FD719B"/>
    <w:rsid w:val="00FD7CDB"/>
    <w:rsid w:val="00FE13A2"/>
    <w:rsid w:val="00FE1AA8"/>
    <w:rsid w:val="00FE21AE"/>
    <w:rsid w:val="00FE27BD"/>
    <w:rsid w:val="00FE289B"/>
    <w:rsid w:val="00FE2D2D"/>
    <w:rsid w:val="00FE2FC6"/>
    <w:rsid w:val="00FE4C8A"/>
    <w:rsid w:val="00FF0471"/>
    <w:rsid w:val="00FF083C"/>
    <w:rsid w:val="00FF17BF"/>
    <w:rsid w:val="00FF2296"/>
    <w:rsid w:val="00FF2496"/>
    <w:rsid w:val="00FF2A26"/>
    <w:rsid w:val="00FF2ACB"/>
    <w:rsid w:val="00FF3052"/>
    <w:rsid w:val="00FF309B"/>
    <w:rsid w:val="00FF3A59"/>
    <w:rsid w:val="00FF4843"/>
    <w:rsid w:val="00FF4963"/>
    <w:rsid w:val="00FF538D"/>
    <w:rsid w:val="00FF5525"/>
    <w:rsid w:val="00FF57DA"/>
    <w:rsid w:val="00FF600B"/>
    <w:rsid w:val="00FF61EF"/>
    <w:rsid w:val="00FF667F"/>
    <w:rsid w:val="00FF6847"/>
    <w:rsid w:val="00FF6DA3"/>
    <w:rsid w:val="00FF75E0"/>
    <w:rsid w:val="00FF7E3F"/>
    <w:rsid w:val="00FF7E6F"/>
    <w:rsid w:val="4177C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0CC96"/>
  <w15:chartTrackingRefBased/>
  <w15:docId w15:val="{A564C9A6-BBDE-4CF7-931B-11F0FF71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annotation text" w:uiPriority="99"/>
    <w:lsdException w:name="header" w:locked="0" w:qFormat="1"/>
    <w:lsdException w:name="footer" w:locked="0" w:uiPriority="99"/>
    <w:lsdException w:name="caption" w:semiHidden="1" w:unhideWhenUsed="1" w:qFormat="1"/>
    <w:lsdException w:name="annotation reference" w:uiPriority="99"/>
    <w:lsdException w:name="endnote reference" w:locked="0" w:uiPriority="99" w:qFormat="1"/>
    <w:lsdException w:name="endnote text" w:locked="0" w:qFormat="1"/>
    <w:lsdException w:name="List Bullet" w:qFormat="1"/>
    <w:lsdException w:name="List Number" w:qFormat="1"/>
    <w:lsdException w:name="Default Paragraph Font" w:locked="0"/>
    <w:lsdException w:name="List Continue 4" w:locked="0"/>
    <w:lsdException w:name="Subtitle" w:qFormat="1"/>
    <w:lsdException w:name="Hyperlink" w:locked="0" w:uiPriority="99"/>
    <w:lsdException w:name="Strong" w:locked="0"/>
    <w:lsdException w:name="HTML Top of Form" w:locked="0"/>
    <w:lsdException w:name="HTML Bottom of Form" w:locked="0"/>
    <w:lsdException w:name="HTML Preformatted"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46"/>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46"/>
      </w:numPr>
      <w:spacing w:before="200"/>
      <w:outlineLvl w:val="4"/>
    </w:pPr>
  </w:style>
  <w:style w:type="paragraph" w:styleId="Heading6">
    <w:name w:val="heading 6"/>
    <w:basedOn w:val="Normal"/>
    <w:next w:val="Normal"/>
    <w:link w:val="Heading6Char"/>
    <w:locked/>
    <w:rsid w:val="005C2ECF"/>
    <w:pPr>
      <w:keepNext/>
      <w:keepLines/>
      <w:numPr>
        <w:ilvl w:val="5"/>
        <w:numId w:val="46"/>
      </w:numPr>
      <w:spacing w:before="200"/>
      <w:outlineLvl w:val="5"/>
    </w:pPr>
    <w:rPr>
      <w:i/>
      <w:iCs/>
    </w:rPr>
  </w:style>
  <w:style w:type="paragraph" w:styleId="Heading7">
    <w:name w:val="heading 7"/>
    <w:basedOn w:val="Normal"/>
    <w:next w:val="Normal"/>
    <w:link w:val="Heading7Char"/>
    <w:locked/>
    <w:rsid w:val="005C2ECF"/>
    <w:pPr>
      <w:keepNext/>
      <w:keepLines/>
      <w:numPr>
        <w:ilvl w:val="6"/>
        <w:numId w:val="46"/>
      </w:numPr>
      <w:spacing w:before="200"/>
      <w:outlineLvl w:val="6"/>
    </w:pPr>
    <w:rPr>
      <w:i/>
      <w:iCs/>
    </w:rPr>
  </w:style>
  <w:style w:type="paragraph" w:styleId="Heading8">
    <w:name w:val="heading 8"/>
    <w:basedOn w:val="Normal"/>
    <w:next w:val="Normal"/>
    <w:link w:val="Heading8Char"/>
    <w:locked/>
    <w:rsid w:val="005C2ECF"/>
    <w:pPr>
      <w:keepNext/>
      <w:keepLines/>
      <w:numPr>
        <w:ilvl w:val="7"/>
        <w:numId w:val="46"/>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46"/>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uiPriority w:val="99"/>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tabs>
        <w:tab w:val="num" w:pos="3621"/>
      </w:tabs>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55FF6"/>
    <w:pPr>
      <w:numPr>
        <w:numId w:val="7"/>
      </w:numPr>
      <w:tabs>
        <w:tab w:val="left" w:pos="1134"/>
        <w:tab w:val="num" w:pos="1637"/>
      </w:tabs>
      <w:spacing w:before="120" w:after="120"/>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ind w:hanging="720"/>
    </w:pPr>
    <w:rPr>
      <w:rFonts w:eastAsia="Times New Roman"/>
    </w:rPr>
  </w:style>
  <w:style w:type="character" w:customStyle="1" w:styleId="SubmissionNormalChar">
    <w:name w:val="Submission Normal Char"/>
    <w:aliases w:val="No Spacing Char,No Spacing1 Char,No Spacing11 Char,No Spacing111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uiPriority w:val="99"/>
    <w:rsid w:val="00045C4B"/>
    <w:rPr>
      <w:rFonts w:ascii="Open Sans" w:hAnsi="Open Sans"/>
      <w:sz w:val="16"/>
      <w:szCs w:val="16"/>
    </w:rPr>
  </w:style>
  <w:style w:type="paragraph" w:styleId="CommentText">
    <w:name w:val="annotation text"/>
    <w:basedOn w:val="Normal"/>
    <w:link w:val="CommentTextChar"/>
    <w:uiPriority w:val="99"/>
    <w:rsid w:val="00045C4B"/>
    <w:rPr>
      <w:sz w:val="20"/>
      <w:szCs w:val="20"/>
    </w:rPr>
  </w:style>
  <w:style w:type="character" w:customStyle="1" w:styleId="CommentTextChar">
    <w:name w:val="Comment Text Char"/>
    <w:link w:val="CommentText"/>
    <w:uiPriority w:val="99"/>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aliases w:val="No Spacing1,No Spacing11,No Spacing11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qFormat/>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styleId="Revision">
    <w:name w:val="Revision"/>
    <w:hidden/>
    <w:uiPriority w:val="99"/>
    <w:semiHidden/>
    <w:rsid w:val="00401BF2"/>
    <w:rPr>
      <w:rFonts w:ascii="Open Sans" w:eastAsia="MS Mincho" w:hAnsi="Open Sans"/>
      <w:sz w:val="24"/>
      <w:szCs w:val="24"/>
    </w:rPr>
  </w:style>
  <w:style w:type="paragraph" w:styleId="FootnoteText">
    <w:name w:val="footnote text"/>
    <w:basedOn w:val="Normal"/>
    <w:link w:val="FootnoteTextChar"/>
    <w:locked/>
    <w:rsid w:val="00B41F4B"/>
    <w:pPr>
      <w:spacing w:before="0" w:after="0"/>
    </w:pPr>
    <w:rPr>
      <w:sz w:val="20"/>
      <w:szCs w:val="20"/>
    </w:rPr>
  </w:style>
  <w:style w:type="character" w:customStyle="1" w:styleId="FootnoteTextChar">
    <w:name w:val="Footnote Text Char"/>
    <w:basedOn w:val="DefaultParagraphFont"/>
    <w:link w:val="FootnoteText"/>
    <w:rsid w:val="00B41F4B"/>
    <w:rPr>
      <w:rFonts w:ascii="Open Sans" w:eastAsia="MS Mincho" w:hAnsi="Open Sans"/>
    </w:rPr>
  </w:style>
  <w:style w:type="character" w:styleId="FootnoteReference">
    <w:name w:val="footnote reference"/>
    <w:basedOn w:val="DefaultParagraphFont"/>
    <w:locked/>
    <w:rsid w:val="00B41F4B"/>
    <w:rPr>
      <w:vertAlign w:val="superscript"/>
    </w:rPr>
  </w:style>
  <w:style w:type="character" w:styleId="UnresolvedMention">
    <w:name w:val="Unresolved Mention"/>
    <w:basedOn w:val="DefaultParagraphFont"/>
    <w:uiPriority w:val="99"/>
    <w:semiHidden/>
    <w:unhideWhenUsed/>
    <w:rsid w:val="00AE7C8E"/>
    <w:rPr>
      <w:color w:val="605E5C"/>
      <w:shd w:val="clear" w:color="auto" w:fill="E1DFDD"/>
    </w:rPr>
  </w:style>
  <w:style w:type="character" w:customStyle="1" w:styleId="cf01">
    <w:name w:val="cf01"/>
    <w:basedOn w:val="DefaultParagraphFont"/>
    <w:rsid w:val="00D95CE2"/>
    <w:rPr>
      <w:rFonts w:ascii="Segoe UI" w:hAnsi="Segoe UI" w:cs="Segoe UI" w:hint="default"/>
      <w:sz w:val="18"/>
      <w:szCs w:val="18"/>
    </w:rPr>
  </w:style>
  <w:style w:type="character" w:styleId="Mention">
    <w:name w:val="Mention"/>
    <w:basedOn w:val="DefaultParagraphFont"/>
    <w:uiPriority w:val="99"/>
    <w:unhideWhenUsed/>
    <w:rsid w:val="000541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263705">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7165568">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37495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humanrights.gov.au/sites/default/files/document/publication/cria_2023_-_final_-_18aug2023_1_1_1.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s://humanrights.gov.au/sites/default/files/document/publication/cria_2023_-_standalone_assessment_tool_-_18_aug_2023_1.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26" Type="http://schemas.openxmlformats.org/officeDocument/2006/relationships/hyperlink" Target="https://www.ohchr.org/en/instruments-mechanisms/instruments/convention-rights-child" TargetMode="External"/><Relationship Id="rId21" Type="http://schemas.openxmlformats.org/officeDocument/2006/relationships/hyperlink" Target="https://documents-dds-ny.un.org/doc/UNDOC/GEN/NL7/300/05/PDF/NL730005.pdf?OpenElement" TargetMode="External"/><Relationship Id="rId42" Type="http://schemas.openxmlformats.org/officeDocument/2006/relationships/hyperlink" Target="https://parlinfo.aph.gov.au/parlInfo/search/display/display.w3p;query=Id%3A%22legislation%2Fbills%2Fs1385_first-senate%2F0000%22;rec=0" TargetMode="External"/><Relationship Id="rId47"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63" Type="http://schemas.openxmlformats.org/officeDocument/2006/relationships/hyperlink" Target="https://www2.ohchr.org/english/bodies/crc/docs/gc/crc_c_gc_14_eng.pdf" TargetMode="External"/><Relationship Id="rId68"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16" Type="http://schemas.openxmlformats.org/officeDocument/2006/relationships/hyperlink" Target="https://www.fedcourt.gov.au/services/access-to-files-and-transcripts/online-files/minister-for-the-environment-v-sharma/vid-389-of-2021-filed-documents/judgment-2021FCA560.pdf" TargetMode="External"/><Relationship Id="rId11" Type="http://schemas.openxmlformats.org/officeDocument/2006/relationships/hyperlink" Target="https://www.legislation.gov.au/Details/C2023C00092" TargetMode="External"/><Relationship Id="rId24" Type="http://schemas.openxmlformats.org/officeDocument/2006/relationships/hyperlink" Target="https://unfccc.int/files/essential_background/background_publications_htmlpdf/application/pdf/conveng.pdf" TargetMode="External"/><Relationship Id="rId32" Type="http://schemas.openxmlformats.org/officeDocument/2006/relationships/hyperlink" Target="https://www.fedcourt.gov.au/services/access-to-files-and-transcripts/online-files/minister-for-the-environment-v-sharma/vid-389-of-2021-filed-documents/judgment-2021FCA560.pdf" TargetMode="External"/><Relationship Id="rId37"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40" Type="http://schemas.openxmlformats.org/officeDocument/2006/relationships/hyperlink" Target="https://www.judgments.fedcourt.gov.au/judgments/Judgments/fca/single/2021/2021fca0774" TargetMode="External"/><Relationship Id="rId45"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53"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58" Type="http://schemas.openxmlformats.org/officeDocument/2006/relationships/hyperlink" Target="https://www.legislation.gov.au/Details/C2023C00092" TargetMode="External"/><Relationship Id="rId66" Type="http://schemas.openxmlformats.org/officeDocument/2006/relationships/hyperlink" Target="https://www.legislation.gov.au/Details/C2023C00342" TargetMode="External"/><Relationship Id="rId74"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79"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5" Type="http://schemas.openxmlformats.org/officeDocument/2006/relationships/hyperlink" Target="https://unfccc.int/sites/default/files/english_paris_agreement.pdf" TargetMode="External"/><Relationship Id="rId61" Type="http://schemas.openxmlformats.org/officeDocument/2006/relationships/hyperlink" Target="https://jade.io/article/103622" TargetMode="External"/><Relationship Id="rId19"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14" Type="http://schemas.openxmlformats.org/officeDocument/2006/relationships/hyperlink" Target="https://www.judgments.fedcourt.gov.au/judgments/Judgments/fca/full/2022/2022fcafc0035" TargetMode="External"/><Relationship Id="rId22" Type="http://schemas.openxmlformats.org/officeDocument/2006/relationships/hyperlink" Target="https://documents-dds-ny.un.org/doc/UNDOC/GEN/NL7/300/05/PDF/NL730005.pdf?OpenElement" TargetMode="External"/><Relationship Id="rId27" Type="http://schemas.openxmlformats.org/officeDocument/2006/relationships/hyperlink" Target="https://gchumanrights.org/preparedness-children/article-detail/the-right-of-children-to-a-healthy-environment-intergenerational-rights-are-childrens-rights.html" TargetMode="External"/><Relationship Id="rId30" Type="http://schemas.openxmlformats.org/officeDocument/2006/relationships/hyperlink" Target="https://parlinfo.aph.gov.au/parlInfo/search/display/display.w3p;query=Id%3A%22legislation%2Fbills%2Fs1385_first-senate%2F0000%22;rec=0" TargetMode="External"/><Relationship Id="rId35" Type="http://schemas.openxmlformats.org/officeDocument/2006/relationships/hyperlink" Target="https://www.judgments.fedcourt.gov.au/judgments/Judgments/fca/full/2022/2022fcafc0035" TargetMode="External"/><Relationship Id="rId43" Type="http://schemas.openxmlformats.org/officeDocument/2006/relationships/hyperlink" Target="https://www.legislation.gov.au/Details/C2023C00092" TargetMode="External"/><Relationship Id="rId48"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56"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64" Type="http://schemas.openxmlformats.org/officeDocument/2006/relationships/hyperlink" Target="https://jade.io/article/103622" TargetMode="External"/><Relationship Id="rId69" Type="http://schemas.openxmlformats.org/officeDocument/2006/relationships/hyperlink" Target="https://www2.ohchr.org/english/bodies/crc/docs/gc/crc_c_gc_14_eng.pdf" TargetMode="External"/><Relationship Id="rId77"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8" Type="http://schemas.openxmlformats.org/officeDocument/2006/relationships/hyperlink" Target="https://parlinfo.aph.gov.au/parlInfo/search/display/display.w3p;query=Id%3A%22legislation%2Fbills%2Fs1385_first-senate%2F0000%22;rec=0" TargetMode="External"/><Relationship Id="rId51" Type="http://schemas.openxmlformats.org/officeDocument/2006/relationships/hyperlink" Target="https://www.legislation.gov.au/Details/C2023C00092" TargetMode="External"/><Relationship Id="rId72" Type="http://schemas.openxmlformats.org/officeDocument/2006/relationships/hyperlink" Target="https://enoc.eu/wp-content/uploads/2020/12/ENOC-Common-Framework-of-Reference-FV.pdf" TargetMode="External"/><Relationship Id="rId80"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3" Type="http://schemas.openxmlformats.org/officeDocument/2006/relationships/hyperlink" Target="https://unfccc.int/sites/default/files/english_paris_agreement.pdf" TargetMode="External"/><Relationship Id="rId12" Type="http://schemas.openxmlformats.org/officeDocument/2006/relationships/hyperlink" Target="https://parlinfo.aph.gov.au/parlInfo/search/display/display.w3p;query=Id%3A%22legislation%2Fbills%2Fs1385_first-senate%2F0000%22;rec=0" TargetMode="External"/><Relationship Id="rId17" Type="http://schemas.openxmlformats.org/officeDocument/2006/relationships/hyperlink" Target="https://www.judgments.fedcourt.gov.au/judgments/Judgments/fca/single/2021/2021fca0774" TargetMode="External"/><Relationship Id="rId25" Type="http://schemas.openxmlformats.org/officeDocument/2006/relationships/hyperlink" Target="https://www.ohchr.org/en/instruments-mechanisms/instruments/convention-rights-child" TargetMode="External"/><Relationship Id="rId33" Type="http://schemas.openxmlformats.org/officeDocument/2006/relationships/hyperlink" Target="https://www.legislation.gov.au/Details/C2023C00225" TargetMode="External"/><Relationship Id="rId38"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46"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59" Type="http://schemas.openxmlformats.org/officeDocument/2006/relationships/hyperlink" Target="https://www.unicef.org/lac/media/22071/file/Implementation%20Handbook%20for%20the%20CRC.pdf" TargetMode="External"/><Relationship Id="rId67"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20" Type="http://schemas.openxmlformats.org/officeDocument/2006/relationships/hyperlink" Target="https://www.unicef.org/lac/en/press-releases/un-committee-rights-child-calls-states-take-action-general-comment-26-childrens-rights-environment-cimate-change" TargetMode="External"/><Relationship Id="rId41"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54"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62" Type="http://schemas.openxmlformats.org/officeDocument/2006/relationships/hyperlink" Target="https://www2.ohchr.org/english/bodies/crc/docs/gc/crc_c_gc_14_eng.pdf" TargetMode="External"/><Relationship Id="rId70" Type="http://schemas.openxmlformats.org/officeDocument/2006/relationships/hyperlink" Target="https://docstore.ohchr.org/SelfServices/FilesHandler.ashx?enc=6QkG1d%2FPPRiCAqhKb7yhsiQql8gX5Zxh0cQqSRzx6Zd2%2FQRsDnCTcaruSeZhPr2vUevjbn6t6GSi1fheVp%2Bj5HTLU2Ub%2FPZZtQWn0jExFVnWuhiBbqgAj0dWBoFGbK0c" TargetMode="External"/><Relationship Id="rId75" Type="http://schemas.openxmlformats.org/officeDocument/2006/relationships/hyperlink" Target="https://www.ohchr.org/en/instruments-mechanisms/instruments/convention-rights-child" TargetMode="External"/><Relationship Id="rId1" Type="http://schemas.openxmlformats.org/officeDocument/2006/relationships/hyperlink" Target="https://documents-dds-ny.un.org/doc/UNDOC/GEN/G22/525/19/PDF/G2252519.pdf?OpenElement" TargetMode="External"/><Relationship Id="rId6" Type="http://schemas.openxmlformats.org/officeDocument/2006/relationships/hyperlink" Target="https://www.legislation.gov.au/Details/C2023C00092" TargetMode="External"/><Relationship Id="rId15" Type="http://schemas.openxmlformats.org/officeDocument/2006/relationships/hyperlink" Target="https://www.judgments.fedcourt.gov.au/judgments/Judgments/fca/full/2022/2022fcafc0065" TargetMode="External"/><Relationship Id="rId23" Type="http://schemas.openxmlformats.org/officeDocument/2006/relationships/hyperlink" Target="https://www.un.org/en/development/desa/population/migration/generalassembly/docs/globalcompact/A_CONF.151_26_Vol.I_Declaration.pdf" TargetMode="External"/><Relationship Id="rId28" Type="http://schemas.openxmlformats.org/officeDocument/2006/relationships/hyperlink" Target="https://treasury.gov.au/intergenerational-report" TargetMode="External"/><Relationship Id="rId36"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49"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57" Type="http://schemas.openxmlformats.org/officeDocument/2006/relationships/hyperlink" Target="https://parlinfo.aph.gov.au/parlInfo/search/display/display.w3p;query=Id%3A%22legislation%2Fbills%2Fs1385_first-senate%2F0000%22;rec=0" TargetMode="External"/><Relationship Id="rId10" Type="http://schemas.openxmlformats.org/officeDocument/2006/relationships/hyperlink" Target="https://parlinfo.aph.gov.au/parlInfo/search/display/display.w3p;query=Id%3A%22legislation%2Fbills%2Fs1385_first-senate%2F0000%22;rec=0" TargetMode="External"/><Relationship Id="rId31" Type="http://schemas.openxmlformats.org/officeDocument/2006/relationships/hyperlink" Target="https://www.fedcourt.gov.au/services/access-to-files-and-transcripts/online-files/minister-for-the-environment-v-sharma/vid-389-of-2021-filed-documents/judgment-2021FCA560.pdf" TargetMode="External"/><Relationship Id="rId44"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52" Type="http://schemas.openxmlformats.org/officeDocument/2006/relationships/hyperlink" Target="https://www.ohchr.org/en/instruments-mechanisms/instruments/convention-rights-child" TargetMode="External"/><Relationship Id="rId60" Type="http://schemas.openxmlformats.org/officeDocument/2006/relationships/hyperlink" Target="https://jade.io/article/103622" TargetMode="External"/><Relationship Id="rId65" Type="http://schemas.openxmlformats.org/officeDocument/2006/relationships/hyperlink" Target="https://jade.io/article/103622" TargetMode="External"/><Relationship Id="rId73" Type="http://schemas.openxmlformats.org/officeDocument/2006/relationships/hyperlink" Target="https://www.togetherscotland.org.uk/resources-and-networks/support-the-use-of-child-rights-impact-assessments-crias/" TargetMode="External"/><Relationship Id="rId78" Type="http://schemas.openxmlformats.org/officeDocument/2006/relationships/hyperlink" Target="https://www.legislation.gov.au/Details/C2022C00186" TargetMode="External"/><Relationship Id="rId4" Type="http://schemas.openxmlformats.org/officeDocument/2006/relationships/hyperlink" Target="https://unfccc.int/resource/docs/2015/cop21/eng/l09r01.pdf" TargetMode="External"/><Relationship Id="rId9" Type="http://schemas.openxmlformats.org/officeDocument/2006/relationships/hyperlink" Target="https://www.legislation.gov.au/Details/C2023C00092" TargetMode="External"/><Relationship Id="rId13" Type="http://schemas.openxmlformats.org/officeDocument/2006/relationships/hyperlink" Target="https://www.legislation.gov.au/Details/C2023C00092" TargetMode="External"/><Relationship Id="rId18"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39"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34" Type="http://schemas.openxmlformats.org/officeDocument/2006/relationships/hyperlink" Target="https://www.judgments.fedcourt.gov.au/judgments/Judgments/fca/single/2021/2021fca0774" TargetMode="External"/><Relationship Id="rId50" Type="http://schemas.openxmlformats.org/officeDocument/2006/relationships/hyperlink" Target="https://parlinfo.aph.gov.au/parlInfo/search/display/display.w3p;query=Id%3A%22legislation%2Fbills%2Fs1385_first-senate%2F0000%22;rec=0" TargetMode="External"/><Relationship Id="rId55" Type="http://schemas.openxmlformats.org/officeDocument/2006/relationships/hyperlink" Target="https://www.ohchr.org/en/instruments-mechanisms/instruments/convention-rights-child" TargetMode="External"/><Relationship Id="rId76" Type="http://schemas.openxmlformats.org/officeDocument/2006/relationships/hyperlink" Target="https://docstore.ohchr.org/SelfServices/FilesHandler.ashx?enc=6QkG1d%2FPPRiCAqhKb7yhsqIkirKQZLK2M58RF%2F5F0vHrWghmhzPL092j0u3MJAYhyUPAX9o0tJ4tFwwX4frsfflPka9cgF%2FBur8eYD%2BEeDmuoVnVOpjkzwB9eiDayjZA" TargetMode="External"/><Relationship Id="rId7" Type="http://schemas.openxmlformats.org/officeDocument/2006/relationships/hyperlink" Target="https://www.legislation.gov.au/Details/C2023C00092" TargetMode="External"/><Relationship Id="rId71" Type="http://schemas.openxmlformats.org/officeDocument/2006/relationships/hyperlink" Target="https://www.cba.org/Publications-Resources/Practice-Tools/Child-Rights-Toolkit/theSystem/Child-Rights-Impact-Assessments" TargetMode="External"/><Relationship Id="rId2" Type="http://schemas.openxmlformats.org/officeDocument/2006/relationships/hyperlink" Target="https://documents-dds-ny.un.org/doc/UNDOC/GEN/G23/148/70/PDF/G2314870.pdf?OpenElement" TargetMode="External"/><Relationship Id="rId29" Type="http://schemas.openxmlformats.org/officeDocument/2006/relationships/hyperlink" Target="https://parlinfo.aph.gov.au/parlInfo/search/display/display.w3p;query=Id%3A%22legislation%2Fems%2Fs1385_ems_6e6bab02-d8fe-4dab-a67d-61095ede364b%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intranet/AHRCTemplateHub/Commission/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A43CD601D3E40B316FCE0677E911B" ma:contentTypeVersion="0" ma:contentTypeDescription="Create a new document." ma:contentTypeScope="" ma:versionID="5e70347dc04c4f2fddebef2db16b0d4a">
  <xsd:schema xmlns:xsd="http://www.w3.org/2001/XMLSchema" xmlns:xs="http://www.w3.org/2001/XMLSchema" xmlns:p="http://schemas.microsoft.com/office/2006/metadata/properties" xmlns:ns2="6500fe01-343b-4fb9-a1b0-68ac19d62e01" targetNamespace="http://schemas.microsoft.com/office/2006/metadata/properties" ma:root="true" ma:fieldsID="9fee74ed0eab57efa3898659caf4d9b5" ns2:_="">
    <xsd:import namespace="6500fe01-343b-4fb9-a1b0-68ac19d62e01"/>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67ff84a9-0913-46c1-862c-8020effa0062}" ma:internalName="TaxCatchAll" ma:showField="CatchAllData" ma:web="96cedded-d030-43e1-8678-6d9f178d0d6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ff84a9-0913-46c1-862c-8020effa0062}" ma:internalName="TaxCatchAllLabel" ma:readOnly="true" ma:showField="CatchAllDataLabel" ma:web="96cedded-d030-43e1-8678-6d9f178d0d6f">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5VSCNTJHPU33-1817091113-6</_dlc_DocId>
    <_dlc_DocIdUrl xmlns="6500fe01-343b-4fb9-a1b0-68ac19d62e01">
      <Url>https://australianhrc.sharepoint.com/sites/HRCC/_layouts/15/DocIdRedir.aspx?ID=5VSCNTJHPU33-1817091113-6</Url>
      <Description>5VSCNTJHPU33-1817091113-6</Description>
    </_dlc_DocIdUrl>
    <Divider xmlns="6500fe01-343b-4fb9-a1b0-68ac19d62e01" xsi:nil="tru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975c5ac6-a0cc-43ed-b850-4a2ae59237b6" ContentTypeId="0x0101" PreviousValue="false" LastSyncTimeStamp="2019-01-22T02:06:15.047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B4F63-A09B-477A-8344-48921D818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34E28-B345-4108-8EB3-981E9AB2F75F}">
  <ds:schemaRefs>
    <ds:schemaRef ds:uri="http://purl.org/dc/dcmitype/"/>
    <ds:schemaRef ds:uri="http://schemas.microsoft.com/office/2006/metadata/properties"/>
    <ds:schemaRef ds:uri="http://schemas.openxmlformats.org/package/2006/metadata/core-properties"/>
    <ds:schemaRef ds:uri="6500fe01-343b-4fb9-a1b0-68ac19d62e01"/>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0DF7606B-64CD-4B86-8CB1-2E0DE0CD8911}">
  <ds:schemaRefs>
    <ds:schemaRef ds:uri="http://schemas.microsoft.com/office/2006/metadata/customXsn"/>
  </ds:schemaRefs>
</ds:datastoreItem>
</file>

<file path=customXml/itemProps4.xml><?xml version="1.0" encoding="utf-8"?>
<ds:datastoreItem xmlns:ds="http://schemas.openxmlformats.org/officeDocument/2006/customXml" ds:itemID="{937CA1DC-01D9-4E56-ADAA-AE22BFB4ED86}">
  <ds:schemaRefs>
    <ds:schemaRef ds:uri="Microsoft.SharePoint.Taxonomy.ContentTypeSync"/>
  </ds:schemaRefs>
</ds:datastoreItem>
</file>

<file path=customXml/itemProps5.xml><?xml version="1.0" encoding="utf-8"?>
<ds:datastoreItem xmlns:ds="http://schemas.openxmlformats.org/officeDocument/2006/customXml" ds:itemID="{B034F6BE-1A64-4A1C-92AD-238F0159AFE7}">
  <ds:schemaRefs>
    <ds:schemaRef ds:uri="http://schemas.microsoft.com/sharepoint/v3/contenttype/forms"/>
  </ds:schemaRefs>
</ds:datastoreItem>
</file>

<file path=customXml/itemProps6.xml><?xml version="1.0" encoding="utf-8"?>
<ds:datastoreItem xmlns:ds="http://schemas.openxmlformats.org/officeDocument/2006/customXml" ds:itemID="{4FFFF486-CE15-45B2-AD37-2BE2B10776FD}">
  <ds:schemaRefs>
    <ds:schemaRef ds:uri="http://schemas.microsoft.com/sharepoint/events"/>
  </ds:schemaRefs>
</ds:datastoreItem>
</file>

<file path=customXml/itemProps7.xml><?xml version="1.0" encoding="utf-8"?>
<ds:datastoreItem xmlns:ds="http://schemas.openxmlformats.org/officeDocument/2006/customXml" ds:itemID="{221D3C63-0C46-49A4-B926-30794ADA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Submission.dotx</Template>
  <TotalTime>17</TotalTime>
  <Pages>25</Pages>
  <Words>6307</Words>
  <Characters>35952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42175</CharactersWithSpaces>
  <SharedDoc>false</SharedDoc>
  <HLinks>
    <vt:vector size="558" baseType="variant">
      <vt:variant>
        <vt:i4>262211</vt:i4>
      </vt:variant>
      <vt:variant>
        <vt:i4>75</vt:i4>
      </vt:variant>
      <vt:variant>
        <vt:i4>0</vt:i4>
      </vt:variant>
      <vt:variant>
        <vt:i4>5</vt:i4>
      </vt:variant>
      <vt:variant>
        <vt:lpwstr>https://humanrights.gov.au/sites/default/files/document/publication/cria_2023_-_standalone_assessment_tool_-_18_aug_2023_1.pdf</vt:lpwstr>
      </vt:variant>
      <vt:variant>
        <vt:lpwstr/>
      </vt:variant>
      <vt:variant>
        <vt:i4>5636112</vt:i4>
      </vt:variant>
      <vt:variant>
        <vt:i4>72</vt:i4>
      </vt:variant>
      <vt:variant>
        <vt:i4>0</vt:i4>
      </vt:variant>
      <vt:variant>
        <vt:i4>5</vt:i4>
      </vt:variant>
      <vt:variant>
        <vt:lpwstr>https://humanrights.gov.au/sites/default/files/document/publication/cria_2023_-_final_-_18aug2023_1_1_1.pdf</vt:lpwstr>
      </vt:variant>
      <vt:variant>
        <vt:lpwstr/>
      </vt:variant>
      <vt:variant>
        <vt:i4>3801148</vt:i4>
      </vt:variant>
      <vt:variant>
        <vt:i4>69</vt:i4>
      </vt:variant>
      <vt:variant>
        <vt:i4>0</vt:i4>
      </vt:variant>
      <vt:variant>
        <vt:i4>5</vt:i4>
      </vt:variant>
      <vt:variant>
        <vt:lpwstr>https://humanrights.gov.au/our-work/childrens-rights/publications/safeguarding-children</vt:lpwstr>
      </vt:variant>
      <vt:variant>
        <vt:lpwstr/>
      </vt:variant>
      <vt:variant>
        <vt:i4>1048629</vt:i4>
      </vt:variant>
      <vt:variant>
        <vt:i4>56</vt:i4>
      </vt:variant>
      <vt:variant>
        <vt:i4>0</vt:i4>
      </vt:variant>
      <vt:variant>
        <vt:i4>5</vt:i4>
      </vt:variant>
      <vt:variant>
        <vt:lpwstr/>
      </vt:variant>
      <vt:variant>
        <vt:lpwstr>_Toc151652068</vt:lpwstr>
      </vt:variant>
      <vt:variant>
        <vt:i4>1048629</vt:i4>
      </vt:variant>
      <vt:variant>
        <vt:i4>50</vt:i4>
      </vt:variant>
      <vt:variant>
        <vt:i4>0</vt:i4>
      </vt:variant>
      <vt:variant>
        <vt:i4>5</vt:i4>
      </vt:variant>
      <vt:variant>
        <vt:lpwstr/>
      </vt:variant>
      <vt:variant>
        <vt:lpwstr>_Toc151652067</vt:lpwstr>
      </vt:variant>
      <vt:variant>
        <vt:i4>1048629</vt:i4>
      </vt:variant>
      <vt:variant>
        <vt:i4>44</vt:i4>
      </vt:variant>
      <vt:variant>
        <vt:i4>0</vt:i4>
      </vt:variant>
      <vt:variant>
        <vt:i4>5</vt:i4>
      </vt:variant>
      <vt:variant>
        <vt:lpwstr/>
      </vt:variant>
      <vt:variant>
        <vt:lpwstr>_Toc151652066</vt:lpwstr>
      </vt:variant>
      <vt:variant>
        <vt:i4>1048629</vt:i4>
      </vt:variant>
      <vt:variant>
        <vt:i4>38</vt:i4>
      </vt:variant>
      <vt:variant>
        <vt:i4>0</vt:i4>
      </vt:variant>
      <vt:variant>
        <vt:i4>5</vt:i4>
      </vt:variant>
      <vt:variant>
        <vt:lpwstr/>
      </vt:variant>
      <vt:variant>
        <vt:lpwstr>_Toc151652065</vt:lpwstr>
      </vt:variant>
      <vt:variant>
        <vt:i4>1048629</vt:i4>
      </vt:variant>
      <vt:variant>
        <vt:i4>32</vt:i4>
      </vt:variant>
      <vt:variant>
        <vt:i4>0</vt:i4>
      </vt:variant>
      <vt:variant>
        <vt:i4>5</vt:i4>
      </vt:variant>
      <vt:variant>
        <vt:lpwstr/>
      </vt:variant>
      <vt:variant>
        <vt:lpwstr>_Toc151652064</vt:lpwstr>
      </vt:variant>
      <vt:variant>
        <vt:i4>1048629</vt:i4>
      </vt:variant>
      <vt:variant>
        <vt:i4>26</vt:i4>
      </vt:variant>
      <vt:variant>
        <vt:i4>0</vt:i4>
      </vt:variant>
      <vt:variant>
        <vt:i4>5</vt:i4>
      </vt:variant>
      <vt:variant>
        <vt:lpwstr/>
      </vt:variant>
      <vt:variant>
        <vt:lpwstr>_Toc151652063</vt:lpwstr>
      </vt:variant>
      <vt:variant>
        <vt:i4>1048629</vt:i4>
      </vt:variant>
      <vt:variant>
        <vt:i4>20</vt:i4>
      </vt:variant>
      <vt:variant>
        <vt:i4>0</vt:i4>
      </vt:variant>
      <vt:variant>
        <vt:i4>5</vt:i4>
      </vt:variant>
      <vt:variant>
        <vt:lpwstr/>
      </vt:variant>
      <vt:variant>
        <vt:lpwstr>_Toc151652062</vt:lpwstr>
      </vt:variant>
      <vt:variant>
        <vt:i4>1048629</vt:i4>
      </vt:variant>
      <vt:variant>
        <vt:i4>14</vt:i4>
      </vt:variant>
      <vt:variant>
        <vt:i4>0</vt:i4>
      </vt:variant>
      <vt:variant>
        <vt:i4>5</vt:i4>
      </vt:variant>
      <vt:variant>
        <vt:lpwstr/>
      </vt:variant>
      <vt:variant>
        <vt:lpwstr>_Toc151652061</vt:lpwstr>
      </vt:variant>
      <vt:variant>
        <vt:i4>1048629</vt:i4>
      </vt:variant>
      <vt:variant>
        <vt:i4>8</vt:i4>
      </vt:variant>
      <vt:variant>
        <vt:i4>0</vt:i4>
      </vt:variant>
      <vt:variant>
        <vt:i4>5</vt:i4>
      </vt:variant>
      <vt:variant>
        <vt:lpwstr/>
      </vt:variant>
      <vt:variant>
        <vt:lpwstr>_Toc151652060</vt:lpwstr>
      </vt:variant>
      <vt:variant>
        <vt:i4>1245237</vt:i4>
      </vt:variant>
      <vt:variant>
        <vt:i4>2</vt:i4>
      </vt:variant>
      <vt:variant>
        <vt:i4>0</vt:i4>
      </vt:variant>
      <vt:variant>
        <vt:i4>5</vt:i4>
      </vt:variant>
      <vt:variant>
        <vt:lpwstr/>
      </vt:variant>
      <vt:variant>
        <vt:lpwstr>_Toc151652059</vt:lpwstr>
      </vt:variant>
      <vt:variant>
        <vt:i4>8257634</vt:i4>
      </vt:variant>
      <vt:variant>
        <vt:i4>243</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8257634</vt:i4>
      </vt:variant>
      <vt:variant>
        <vt:i4>240</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7667757</vt:i4>
      </vt:variant>
      <vt:variant>
        <vt:i4>237</vt:i4>
      </vt:variant>
      <vt:variant>
        <vt:i4>0</vt:i4>
      </vt:variant>
      <vt:variant>
        <vt:i4>5</vt:i4>
      </vt:variant>
      <vt:variant>
        <vt:lpwstr>https://www.legislation.gov.au/Details/C2022C00186</vt:lpwstr>
      </vt:variant>
      <vt:variant>
        <vt:lpwstr/>
      </vt:variant>
      <vt:variant>
        <vt:i4>8257634</vt:i4>
      </vt:variant>
      <vt:variant>
        <vt:i4>234</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8257634</vt:i4>
      </vt:variant>
      <vt:variant>
        <vt:i4>231</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6291570</vt:i4>
      </vt:variant>
      <vt:variant>
        <vt:i4>228</vt:i4>
      </vt:variant>
      <vt:variant>
        <vt:i4>0</vt:i4>
      </vt:variant>
      <vt:variant>
        <vt:i4>5</vt:i4>
      </vt:variant>
      <vt:variant>
        <vt:lpwstr>https://www.ohchr.org/en/instruments-mechanisms/instruments/convention-rights-child</vt:lpwstr>
      </vt:variant>
      <vt:variant>
        <vt:lpwstr/>
      </vt:variant>
      <vt:variant>
        <vt:i4>8257634</vt:i4>
      </vt:variant>
      <vt:variant>
        <vt:i4>225</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4849664</vt:i4>
      </vt:variant>
      <vt:variant>
        <vt:i4>222</vt:i4>
      </vt:variant>
      <vt:variant>
        <vt:i4>0</vt:i4>
      </vt:variant>
      <vt:variant>
        <vt:i4>5</vt:i4>
      </vt:variant>
      <vt:variant>
        <vt:lpwstr>https://www.togetherscotland.org.uk/resources-and-networks/support-the-use-of-child-rights-impact-assessments-crias/</vt:lpwstr>
      </vt:variant>
      <vt:variant>
        <vt:lpwstr/>
      </vt:variant>
      <vt:variant>
        <vt:i4>524298</vt:i4>
      </vt:variant>
      <vt:variant>
        <vt:i4>219</vt:i4>
      </vt:variant>
      <vt:variant>
        <vt:i4>0</vt:i4>
      </vt:variant>
      <vt:variant>
        <vt:i4>5</vt:i4>
      </vt:variant>
      <vt:variant>
        <vt:lpwstr>https://enoc.eu/wp-content/uploads/2020/12/ENOC-Common-Framework-of-Reference-FV.pdf</vt:lpwstr>
      </vt:variant>
      <vt:variant>
        <vt:lpwstr/>
      </vt:variant>
      <vt:variant>
        <vt:i4>5046272</vt:i4>
      </vt:variant>
      <vt:variant>
        <vt:i4>216</vt:i4>
      </vt:variant>
      <vt:variant>
        <vt:i4>0</vt:i4>
      </vt:variant>
      <vt:variant>
        <vt:i4>5</vt:i4>
      </vt:variant>
      <vt:variant>
        <vt:lpwstr>https://www.cba.org/Publications-Resources/Practice-Tools/Child-Rights-Toolkit/theSystem/Child-Rights-Impact-Assessments</vt:lpwstr>
      </vt:variant>
      <vt:variant>
        <vt:lpwstr/>
      </vt:variant>
      <vt:variant>
        <vt:i4>7929901</vt:i4>
      </vt:variant>
      <vt:variant>
        <vt:i4>213</vt:i4>
      </vt:variant>
      <vt:variant>
        <vt:i4>0</vt:i4>
      </vt:variant>
      <vt:variant>
        <vt:i4>5</vt:i4>
      </vt:variant>
      <vt:variant>
        <vt:lpwstr>https://docstore.ohchr.org/SelfServices/FilesHandler.ashx?enc=6QkG1d%2FPPRiCAqhKb7yhsiQql8gX5Zxh0cQqSRzx6Zd2%2FQRsDnCTcaruSeZhPr2vUevjbn6t6GSi1fheVp%2Bj5HTLU2Ub%2FPZZtQWn0jExFVnWuhiBbqgAj0dWBoFGbK0c</vt:lpwstr>
      </vt:variant>
      <vt:variant>
        <vt:lpwstr/>
      </vt:variant>
      <vt:variant>
        <vt:i4>4128864</vt:i4>
      </vt:variant>
      <vt:variant>
        <vt:i4>210</vt:i4>
      </vt:variant>
      <vt:variant>
        <vt:i4>0</vt:i4>
      </vt:variant>
      <vt:variant>
        <vt:i4>5</vt:i4>
      </vt:variant>
      <vt:variant>
        <vt:lpwstr>https://www2.ohchr.org/english/bodies/crc/docs/gc/crc_c_gc_14_eng.pdf</vt:lpwstr>
      </vt:variant>
      <vt:variant>
        <vt:lpwstr/>
      </vt:variant>
      <vt:variant>
        <vt:i4>8257634</vt:i4>
      </vt:variant>
      <vt:variant>
        <vt:i4>207</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8257634</vt:i4>
      </vt:variant>
      <vt:variant>
        <vt:i4>204</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7471137</vt:i4>
      </vt:variant>
      <vt:variant>
        <vt:i4>201</vt:i4>
      </vt:variant>
      <vt:variant>
        <vt:i4>0</vt:i4>
      </vt:variant>
      <vt:variant>
        <vt:i4>5</vt:i4>
      </vt:variant>
      <vt:variant>
        <vt:lpwstr>https://www.legislation.gov.au/Details/C2023C00342</vt:lpwstr>
      </vt:variant>
      <vt:variant>
        <vt:lpwstr/>
      </vt:variant>
      <vt:variant>
        <vt:i4>4128812</vt:i4>
      </vt:variant>
      <vt:variant>
        <vt:i4>198</vt:i4>
      </vt:variant>
      <vt:variant>
        <vt:i4>0</vt:i4>
      </vt:variant>
      <vt:variant>
        <vt:i4>5</vt:i4>
      </vt:variant>
      <vt:variant>
        <vt:lpwstr>https://jade.io/article/103622</vt:lpwstr>
      </vt:variant>
      <vt:variant>
        <vt:lpwstr/>
      </vt:variant>
      <vt:variant>
        <vt:i4>4128812</vt:i4>
      </vt:variant>
      <vt:variant>
        <vt:i4>195</vt:i4>
      </vt:variant>
      <vt:variant>
        <vt:i4>0</vt:i4>
      </vt:variant>
      <vt:variant>
        <vt:i4>5</vt:i4>
      </vt:variant>
      <vt:variant>
        <vt:lpwstr>https://jade.io/article/103622</vt:lpwstr>
      </vt:variant>
      <vt:variant>
        <vt:lpwstr/>
      </vt:variant>
      <vt:variant>
        <vt:i4>4128864</vt:i4>
      </vt:variant>
      <vt:variant>
        <vt:i4>192</vt:i4>
      </vt:variant>
      <vt:variant>
        <vt:i4>0</vt:i4>
      </vt:variant>
      <vt:variant>
        <vt:i4>5</vt:i4>
      </vt:variant>
      <vt:variant>
        <vt:lpwstr>https://www2.ohchr.org/english/bodies/crc/docs/gc/crc_c_gc_14_eng.pdf</vt:lpwstr>
      </vt:variant>
      <vt:variant>
        <vt:lpwstr/>
      </vt:variant>
      <vt:variant>
        <vt:i4>4128864</vt:i4>
      </vt:variant>
      <vt:variant>
        <vt:i4>189</vt:i4>
      </vt:variant>
      <vt:variant>
        <vt:i4>0</vt:i4>
      </vt:variant>
      <vt:variant>
        <vt:i4>5</vt:i4>
      </vt:variant>
      <vt:variant>
        <vt:lpwstr>https://www2.ohchr.org/english/bodies/crc/docs/gc/crc_c_gc_14_eng.pdf</vt:lpwstr>
      </vt:variant>
      <vt:variant>
        <vt:lpwstr/>
      </vt:variant>
      <vt:variant>
        <vt:i4>4128812</vt:i4>
      </vt:variant>
      <vt:variant>
        <vt:i4>186</vt:i4>
      </vt:variant>
      <vt:variant>
        <vt:i4>0</vt:i4>
      </vt:variant>
      <vt:variant>
        <vt:i4>5</vt:i4>
      </vt:variant>
      <vt:variant>
        <vt:lpwstr>https://jade.io/article/103622</vt:lpwstr>
      </vt:variant>
      <vt:variant>
        <vt:lpwstr/>
      </vt:variant>
      <vt:variant>
        <vt:i4>4128812</vt:i4>
      </vt:variant>
      <vt:variant>
        <vt:i4>183</vt:i4>
      </vt:variant>
      <vt:variant>
        <vt:i4>0</vt:i4>
      </vt:variant>
      <vt:variant>
        <vt:i4>5</vt:i4>
      </vt:variant>
      <vt:variant>
        <vt:lpwstr>https://jade.io/article/103622</vt:lpwstr>
      </vt:variant>
      <vt:variant>
        <vt:lpwstr/>
      </vt:variant>
      <vt:variant>
        <vt:i4>2752547</vt:i4>
      </vt:variant>
      <vt:variant>
        <vt:i4>180</vt:i4>
      </vt:variant>
      <vt:variant>
        <vt:i4>0</vt:i4>
      </vt:variant>
      <vt:variant>
        <vt:i4>5</vt:i4>
      </vt:variant>
      <vt:variant>
        <vt:lpwstr>https://www.unicef.org/lac/media/22071/file/Implementation Handbook for the CRC.pdf</vt:lpwstr>
      </vt:variant>
      <vt:variant>
        <vt:lpwstr/>
      </vt:variant>
      <vt:variant>
        <vt:i4>7405612</vt:i4>
      </vt:variant>
      <vt:variant>
        <vt:i4>177</vt:i4>
      </vt:variant>
      <vt:variant>
        <vt:i4>0</vt:i4>
      </vt:variant>
      <vt:variant>
        <vt:i4>5</vt:i4>
      </vt:variant>
      <vt:variant>
        <vt:lpwstr>https://www.legislation.gov.au/Details/C2023C00092</vt:lpwstr>
      </vt:variant>
      <vt:variant>
        <vt:lpwstr/>
      </vt:variant>
      <vt:variant>
        <vt:i4>1048620</vt:i4>
      </vt:variant>
      <vt:variant>
        <vt:i4>174</vt:i4>
      </vt:variant>
      <vt:variant>
        <vt:i4>0</vt:i4>
      </vt:variant>
      <vt:variant>
        <vt:i4>5</vt:i4>
      </vt:variant>
      <vt:variant>
        <vt:lpwstr>https://parlinfo.aph.gov.au/parlInfo/search/display/display.w3p;query=Id%3A%22legislation%2Fbills%2Fs1385_first-senate%2F0000%22;rec=0</vt:lpwstr>
      </vt:variant>
      <vt:variant>
        <vt:lpwstr/>
      </vt:variant>
      <vt:variant>
        <vt:i4>8257634</vt:i4>
      </vt:variant>
      <vt:variant>
        <vt:i4>171</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6291570</vt:i4>
      </vt:variant>
      <vt:variant>
        <vt:i4>168</vt:i4>
      </vt:variant>
      <vt:variant>
        <vt:i4>0</vt:i4>
      </vt:variant>
      <vt:variant>
        <vt:i4>5</vt:i4>
      </vt:variant>
      <vt:variant>
        <vt:lpwstr>https://www.ohchr.org/en/instruments-mechanisms/instruments/convention-rights-child</vt:lpwstr>
      </vt:variant>
      <vt:variant>
        <vt:lpwstr/>
      </vt:variant>
      <vt:variant>
        <vt:i4>8257634</vt:i4>
      </vt:variant>
      <vt:variant>
        <vt:i4>165</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8257634</vt:i4>
      </vt:variant>
      <vt:variant>
        <vt:i4>162</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6291570</vt:i4>
      </vt:variant>
      <vt:variant>
        <vt:i4>159</vt:i4>
      </vt:variant>
      <vt:variant>
        <vt:i4>0</vt:i4>
      </vt:variant>
      <vt:variant>
        <vt:i4>5</vt:i4>
      </vt:variant>
      <vt:variant>
        <vt:lpwstr>https://www.ohchr.org/en/instruments-mechanisms/instruments/convention-rights-child</vt:lpwstr>
      </vt:variant>
      <vt:variant>
        <vt:lpwstr/>
      </vt:variant>
      <vt:variant>
        <vt:i4>7405612</vt:i4>
      </vt:variant>
      <vt:variant>
        <vt:i4>156</vt:i4>
      </vt:variant>
      <vt:variant>
        <vt:i4>0</vt:i4>
      </vt:variant>
      <vt:variant>
        <vt:i4>5</vt:i4>
      </vt:variant>
      <vt:variant>
        <vt:lpwstr>https://www.legislation.gov.au/Details/C2023C00092</vt:lpwstr>
      </vt:variant>
      <vt:variant>
        <vt:lpwstr/>
      </vt:variant>
      <vt:variant>
        <vt:i4>1048620</vt:i4>
      </vt:variant>
      <vt:variant>
        <vt:i4>153</vt:i4>
      </vt:variant>
      <vt:variant>
        <vt:i4>0</vt:i4>
      </vt:variant>
      <vt:variant>
        <vt:i4>5</vt:i4>
      </vt:variant>
      <vt:variant>
        <vt:lpwstr>https://parlinfo.aph.gov.au/parlInfo/search/display/display.w3p;query=Id%3A%22legislation%2Fbills%2Fs1385_first-senate%2F0000%22;rec=0</vt:lpwstr>
      </vt:variant>
      <vt:variant>
        <vt:lpwstr/>
      </vt:variant>
      <vt:variant>
        <vt:i4>8257634</vt:i4>
      </vt:variant>
      <vt:variant>
        <vt:i4>150</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8257634</vt:i4>
      </vt:variant>
      <vt:variant>
        <vt:i4>147</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8257634</vt:i4>
      </vt:variant>
      <vt:variant>
        <vt:i4>144</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8257634</vt:i4>
      </vt:variant>
      <vt:variant>
        <vt:i4>141</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8257634</vt:i4>
      </vt:variant>
      <vt:variant>
        <vt:i4>138</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8257634</vt:i4>
      </vt:variant>
      <vt:variant>
        <vt:i4>135</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7405612</vt:i4>
      </vt:variant>
      <vt:variant>
        <vt:i4>132</vt:i4>
      </vt:variant>
      <vt:variant>
        <vt:i4>0</vt:i4>
      </vt:variant>
      <vt:variant>
        <vt:i4>5</vt:i4>
      </vt:variant>
      <vt:variant>
        <vt:lpwstr>https://www.legislation.gov.au/Details/C2023C00092</vt:lpwstr>
      </vt:variant>
      <vt:variant>
        <vt:lpwstr/>
      </vt:variant>
      <vt:variant>
        <vt:i4>1048620</vt:i4>
      </vt:variant>
      <vt:variant>
        <vt:i4>129</vt:i4>
      </vt:variant>
      <vt:variant>
        <vt:i4>0</vt:i4>
      </vt:variant>
      <vt:variant>
        <vt:i4>5</vt:i4>
      </vt:variant>
      <vt:variant>
        <vt:lpwstr>https://parlinfo.aph.gov.au/parlInfo/search/display/display.w3p;query=Id%3A%22legislation%2Fbills%2Fs1385_first-senate%2F0000%22;rec=0</vt:lpwstr>
      </vt:variant>
      <vt:variant>
        <vt:lpwstr/>
      </vt:variant>
      <vt:variant>
        <vt:i4>8257634</vt:i4>
      </vt:variant>
      <vt:variant>
        <vt:i4>126</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5242963</vt:i4>
      </vt:variant>
      <vt:variant>
        <vt:i4>123</vt:i4>
      </vt:variant>
      <vt:variant>
        <vt:i4>0</vt:i4>
      </vt:variant>
      <vt:variant>
        <vt:i4>5</vt:i4>
      </vt:variant>
      <vt:variant>
        <vt:lpwstr>https://www.judgments.fedcourt.gov.au/judgments/Judgments/fca/single/2021/2021fca0774</vt:lpwstr>
      </vt:variant>
      <vt:variant>
        <vt:lpwstr/>
      </vt:variant>
      <vt:variant>
        <vt:i4>8257634</vt:i4>
      </vt:variant>
      <vt:variant>
        <vt:i4>120</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8257634</vt:i4>
      </vt:variant>
      <vt:variant>
        <vt:i4>117</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8257634</vt:i4>
      </vt:variant>
      <vt:variant>
        <vt:i4>114</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8257634</vt:i4>
      </vt:variant>
      <vt:variant>
        <vt:i4>111</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4390991</vt:i4>
      </vt:variant>
      <vt:variant>
        <vt:i4>108</vt:i4>
      </vt:variant>
      <vt:variant>
        <vt:i4>0</vt:i4>
      </vt:variant>
      <vt:variant>
        <vt:i4>5</vt:i4>
      </vt:variant>
      <vt:variant>
        <vt:lpwstr>https://www.judgments.fedcourt.gov.au/judgments/Judgments/fca/full/2022/2022fcafc0035</vt:lpwstr>
      </vt:variant>
      <vt:variant>
        <vt:lpwstr/>
      </vt:variant>
      <vt:variant>
        <vt:i4>5242963</vt:i4>
      </vt:variant>
      <vt:variant>
        <vt:i4>105</vt:i4>
      </vt:variant>
      <vt:variant>
        <vt:i4>0</vt:i4>
      </vt:variant>
      <vt:variant>
        <vt:i4>5</vt:i4>
      </vt:variant>
      <vt:variant>
        <vt:lpwstr>https://www.judgments.fedcourt.gov.au/judgments/Judgments/fca/single/2021/2021fca0774</vt:lpwstr>
      </vt:variant>
      <vt:variant>
        <vt:lpwstr/>
      </vt:variant>
      <vt:variant>
        <vt:i4>7602215</vt:i4>
      </vt:variant>
      <vt:variant>
        <vt:i4>102</vt:i4>
      </vt:variant>
      <vt:variant>
        <vt:i4>0</vt:i4>
      </vt:variant>
      <vt:variant>
        <vt:i4>5</vt:i4>
      </vt:variant>
      <vt:variant>
        <vt:lpwstr>https://www.legislation.gov.au/Details/C2023C00225</vt:lpwstr>
      </vt:variant>
      <vt:variant>
        <vt:lpwstr/>
      </vt:variant>
      <vt:variant>
        <vt:i4>7602213</vt:i4>
      </vt:variant>
      <vt:variant>
        <vt:i4>99</vt:i4>
      </vt:variant>
      <vt:variant>
        <vt:i4>0</vt:i4>
      </vt:variant>
      <vt:variant>
        <vt:i4>5</vt:i4>
      </vt:variant>
      <vt:variant>
        <vt:lpwstr>https://www.fedcourt.gov.au/services/access-to-files-and-transcripts/online-files/minister-for-the-environment-v-sharma/vid-389-of-2021-filed-documents/judgment-2021FCA560.pdf</vt:lpwstr>
      </vt:variant>
      <vt:variant>
        <vt:lpwstr/>
      </vt:variant>
      <vt:variant>
        <vt:i4>7602213</vt:i4>
      </vt:variant>
      <vt:variant>
        <vt:i4>96</vt:i4>
      </vt:variant>
      <vt:variant>
        <vt:i4>0</vt:i4>
      </vt:variant>
      <vt:variant>
        <vt:i4>5</vt:i4>
      </vt:variant>
      <vt:variant>
        <vt:lpwstr>https://www.fedcourt.gov.au/services/access-to-files-and-transcripts/online-files/minister-for-the-environment-v-sharma/vid-389-of-2021-filed-documents/judgment-2021FCA560.pdf</vt:lpwstr>
      </vt:variant>
      <vt:variant>
        <vt:lpwstr/>
      </vt:variant>
      <vt:variant>
        <vt:i4>1048620</vt:i4>
      </vt:variant>
      <vt:variant>
        <vt:i4>93</vt:i4>
      </vt:variant>
      <vt:variant>
        <vt:i4>0</vt:i4>
      </vt:variant>
      <vt:variant>
        <vt:i4>5</vt:i4>
      </vt:variant>
      <vt:variant>
        <vt:lpwstr>https://parlinfo.aph.gov.au/parlInfo/search/display/display.w3p;query=Id%3A%22legislation%2Fbills%2Fs1385_first-senate%2F0000%22;rec=0</vt:lpwstr>
      </vt:variant>
      <vt:variant>
        <vt:lpwstr/>
      </vt:variant>
      <vt:variant>
        <vt:i4>7536692</vt:i4>
      </vt:variant>
      <vt:variant>
        <vt:i4>90</vt:i4>
      </vt:variant>
      <vt:variant>
        <vt:i4>0</vt:i4>
      </vt:variant>
      <vt:variant>
        <vt:i4>5</vt:i4>
      </vt:variant>
      <vt:variant>
        <vt:lpwstr>https://parlinfo.aph.gov.au/parlInfo/search/display/display.w3p;query=Id%3A%22legislation%2Fems%2Fs1385_ems_6e6bab02-d8fe-4dab-a67d-61095ede364b%22</vt:lpwstr>
      </vt:variant>
      <vt:variant>
        <vt:lpwstr/>
      </vt:variant>
      <vt:variant>
        <vt:i4>524383</vt:i4>
      </vt:variant>
      <vt:variant>
        <vt:i4>87</vt:i4>
      </vt:variant>
      <vt:variant>
        <vt:i4>0</vt:i4>
      </vt:variant>
      <vt:variant>
        <vt:i4>5</vt:i4>
      </vt:variant>
      <vt:variant>
        <vt:lpwstr>https://treasury.gov.au/intergenerational-report</vt:lpwstr>
      </vt:variant>
      <vt:variant>
        <vt:lpwstr/>
      </vt:variant>
      <vt:variant>
        <vt:i4>4849731</vt:i4>
      </vt:variant>
      <vt:variant>
        <vt:i4>84</vt:i4>
      </vt:variant>
      <vt:variant>
        <vt:i4>0</vt:i4>
      </vt:variant>
      <vt:variant>
        <vt:i4>5</vt:i4>
      </vt:variant>
      <vt:variant>
        <vt:lpwstr>https://gchumanrights.org/preparedness-children/article-detail/the-right-of-children-to-a-healthy-environment-intergenerational-rights-are-childrens-rights.html</vt:lpwstr>
      </vt:variant>
      <vt:variant>
        <vt:lpwstr/>
      </vt:variant>
      <vt:variant>
        <vt:i4>6291570</vt:i4>
      </vt:variant>
      <vt:variant>
        <vt:i4>81</vt:i4>
      </vt:variant>
      <vt:variant>
        <vt:i4>0</vt:i4>
      </vt:variant>
      <vt:variant>
        <vt:i4>5</vt:i4>
      </vt:variant>
      <vt:variant>
        <vt:lpwstr>https://www.ohchr.org/en/instruments-mechanisms/instruments/convention-rights-child</vt:lpwstr>
      </vt:variant>
      <vt:variant>
        <vt:lpwstr/>
      </vt:variant>
      <vt:variant>
        <vt:i4>6291570</vt:i4>
      </vt:variant>
      <vt:variant>
        <vt:i4>78</vt:i4>
      </vt:variant>
      <vt:variant>
        <vt:i4>0</vt:i4>
      </vt:variant>
      <vt:variant>
        <vt:i4>5</vt:i4>
      </vt:variant>
      <vt:variant>
        <vt:lpwstr>https://www.ohchr.org/en/instruments-mechanisms/instruments/convention-rights-child</vt:lpwstr>
      </vt:variant>
      <vt:variant>
        <vt:lpwstr/>
      </vt:variant>
      <vt:variant>
        <vt:i4>7012359</vt:i4>
      </vt:variant>
      <vt:variant>
        <vt:i4>75</vt:i4>
      </vt:variant>
      <vt:variant>
        <vt:i4>0</vt:i4>
      </vt:variant>
      <vt:variant>
        <vt:i4>5</vt:i4>
      </vt:variant>
      <vt:variant>
        <vt:lpwstr>https://unfccc.int/files/essential_background/background_publications_htmlpdf/application/pdf/conveng.pdf</vt:lpwstr>
      </vt:variant>
      <vt:variant>
        <vt:lpwstr/>
      </vt:variant>
      <vt:variant>
        <vt:i4>1835027</vt:i4>
      </vt:variant>
      <vt:variant>
        <vt:i4>72</vt:i4>
      </vt:variant>
      <vt:variant>
        <vt:i4>0</vt:i4>
      </vt:variant>
      <vt:variant>
        <vt:i4>5</vt:i4>
      </vt:variant>
      <vt:variant>
        <vt:lpwstr>https://www.un.org/en/development/desa/population/migration/generalassembly/docs/globalcompact/A_CONF.151_26_Vol.I_Declaration.pdf</vt:lpwstr>
      </vt:variant>
      <vt:variant>
        <vt:lpwstr/>
      </vt:variant>
      <vt:variant>
        <vt:i4>458839</vt:i4>
      </vt:variant>
      <vt:variant>
        <vt:i4>69</vt:i4>
      </vt:variant>
      <vt:variant>
        <vt:i4>0</vt:i4>
      </vt:variant>
      <vt:variant>
        <vt:i4>5</vt:i4>
      </vt:variant>
      <vt:variant>
        <vt:lpwstr>https://documents-dds-ny.un.org/doc/UNDOC/GEN/NL7/300/05/PDF/NL730005.pdf?OpenElement</vt:lpwstr>
      </vt:variant>
      <vt:variant>
        <vt:lpwstr/>
      </vt:variant>
      <vt:variant>
        <vt:i4>458839</vt:i4>
      </vt:variant>
      <vt:variant>
        <vt:i4>66</vt:i4>
      </vt:variant>
      <vt:variant>
        <vt:i4>0</vt:i4>
      </vt:variant>
      <vt:variant>
        <vt:i4>5</vt:i4>
      </vt:variant>
      <vt:variant>
        <vt:lpwstr>https://documents-dds-ny.un.org/doc/UNDOC/GEN/NL7/300/05/PDF/NL730005.pdf?OpenElement</vt:lpwstr>
      </vt:variant>
      <vt:variant>
        <vt:lpwstr/>
      </vt:variant>
      <vt:variant>
        <vt:i4>786526</vt:i4>
      </vt:variant>
      <vt:variant>
        <vt:i4>63</vt:i4>
      </vt:variant>
      <vt:variant>
        <vt:i4>0</vt:i4>
      </vt:variant>
      <vt:variant>
        <vt:i4>5</vt:i4>
      </vt:variant>
      <vt:variant>
        <vt:lpwstr>https://www.unicef.org/lac/en/press-releases/un-committee-rights-child-calls-states-take-action-general-comment-26-childrens-rights-environment-cimate-change</vt:lpwstr>
      </vt:variant>
      <vt:variant>
        <vt:lpwstr/>
      </vt:variant>
      <vt:variant>
        <vt:i4>8257634</vt:i4>
      </vt:variant>
      <vt:variant>
        <vt:i4>60</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8257634</vt:i4>
      </vt:variant>
      <vt:variant>
        <vt:i4>57</vt:i4>
      </vt:variant>
      <vt:variant>
        <vt:i4>0</vt:i4>
      </vt:variant>
      <vt:variant>
        <vt:i4>5</vt:i4>
      </vt:variant>
      <vt:variant>
        <vt:lpwstr>https://docstore.ohchr.org/SelfServices/FilesHandler.ashx?enc=6QkG1d%2FPPRiCAqhKb7yhsqIkirKQZLK2M58RF%2F5F0vHrWghmhzPL092j0u3MJAYhyUPAX9o0tJ4tFwwX4frsfflPka9cgF%2FBur8eYD%2BEeDmuoVnVOpjkzwB9eiDayjZA</vt:lpwstr>
      </vt:variant>
      <vt:variant>
        <vt:lpwstr/>
      </vt:variant>
      <vt:variant>
        <vt:i4>5242963</vt:i4>
      </vt:variant>
      <vt:variant>
        <vt:i4>54</vt:i4>
      </vt:variant>
      <vt:variant>
        <vt:i4>0</vt:i4>
      </vt:variant>
      <vt:variant>
        <vt:i4>5</vt:i4>
      </vt:variant>
      <vt:variant>
        <vt:lpwstr>https://www.judgments.fedcourt.gov.au/judgments/Judgments/fca/single/2021/2021fca0774</vt:lpwstr>
      </vt:variant>
      <vt:variant>
        <vt:lpwstr/>
      </vt:variant>
      <vt:variant>
        <vt:i4>7602213</vt:i4>
      </vt:variant>
      <vt:variant>
        <vt:i4>51</vt:i4>
      </vt:variant>
      <vt:variant>
        <vt:i4>0</vt:i4>
      </vt:variant>
      <vt:variant>
        <vt:i4>5</vt:i4>
      </vt:variant>
      <vt:variant>
        <vt:lpwstr>https://www.fedcourt.gov.au/services/access-to-files-and-transcripts/online-files/minister-for-the-environment-v-sharma/vid-389-of-2021-filed-documents/judgment-2021FCA560.pdf</vt:lpwstr>
      </vt:variant>
      <vt:variant>
        <vt:lpwstr/>
      </vt:variant>
      <vt:variant>
        <vt:i4>4587599</vt:i4>
      </vt:variant>
      <vt:variant>
        <vt:i4>48</vt:i4>
      </vt:variant>
      <vt:variant>
        <vt:i4>0</vt:i4>
      </vt:variant>
      <vt:variant>
        <vt:i4>5</vt:i4>
      </vt:variant>
      <vt:variant>
        <vt:lpwstr>https://www.judgments.fedcourt.gov.au/judgments/Judgments/fca/full/2022/2022fcafc0065</vt:lpwstr>
      </vt:variant>
      <vt:variant>
        <vt:lpwstr/>
      </vt:variant>
      <vt:variant>
        <vt:i4>4390991</vt:i4>
      </vt:variant>
      <vt:variant>
        <vt:i4>45</vt:i4>
      </vt:variant>
      <vt:variant>
        <vt:i4>0</vt:i4>
      </vt:variant>
      <vt:variant>
        <vt:i4>5</vt:i4>
      </vt:variant>
      <vt:variant>
        <vt:lpwstr>https://www.judgments.fedcourt.gov.au/judgments/Judgments/fca/full/2022/2022fcafc0035</vt:lpwstr>
      </vt:variant>
      <vt:variant>
        <vt:lpwstr/>
      </vt:variant>
      <vt:variant>
        <vt:i4>7405612</vt:i4>
      </vt:variant>
      <vt:variant>
        <vt:i4>42</vt:i4>
      </vt:variant>
      <vt:variant>
        <vt:i4>0</vt:i4>
      </vt:variant>
      <vt:variant>
        <vt:i4>5</vt:i4>
      </vt:variant>
      <vt:variant>
        <vt:lpwstr>https://www.legislation.gov.au/Details/C2023C00092</vt:lpwstr>
      </vt:variant>
      <vt:variant>
        <vt:lpwstr/>
      </vt:variant>
      <vt:variant>
        <vt:i4>1048620</vt:i4>
      </vt:variant>
      <vt:variant>
        <vt:i4>39</vt:i4>
      </vt:variant>
      <vt:variant>
        <vt:i4>0</vt:i4>
      </vt:variant>
      <vt:variant>
        <vt:i4>5</vt:i4>
      </vt:variant>
      <vt:variant>
        <vt:lpwstr>https://parlinfo.aph.gov.au/parlInfo/search/display/display.w3p;query=Id%3A%22legislation%2Fbills%2Fs1385_first-senate%2F0000%22;rec=0</vt:lpwstr>
      </vt:variant>
      <vt:variant>
        <vt:lpwstr/>
      </vt:variant>
      <vt:variant>
        <vt:i4>7405612</vt:i4>
      </vt:variant>
      <vt:variant>
        <vt:i4>36</vt:i4>
      </vt:variant>
      <vt:variant>
        <vt:i4>0</vt:i4>
      </vt:variant>
      <vt:variant>
        <vt:i4>5</vt:i4>
      </vt:variant>
      <vt:variant>
        <vt:lpwstr>https://www.legislation.gov.au/Details/C2023C00092</vt:lpwstr>
      </vt:variant>
      <vt:variant>
        <vt:lpwstr/>
      </vt:variant>
      <vt:variant>
        <vt:i4>1048620</vt:i4>
      </vt:variant>
      <vt:variant>
        <vt:i4>33</vt:i4>
      </vt:variant>
      <vt:variant>
        <vt:i4>0</vt:i4>
      </vt:variant>
      <vt:variant>
        <vt:i4>5</vt:i4>
      </vt:variant>
      <vt:variant>
        <vt:lpwstr>https://parlinfo.aph.gov.au/parlInfo/search/display/display.w3p;query=Id%3A%22legislation%2Fbills%2Fs1385_first-senate%2F0000%22;rec=0</vt:lpwstr>
      </vt:variant>
      <vt:variant>
        <vt:lpwstr/>
      </vt:variant>
      <vt:variant>
        <vt:i4>7405612</vt:i4>
      </vt:variant>
      <vt:variant>
        <vt:i4>30</vt:i4>
      </vt:variant>
      <vt:variant>
        <vt:i4>0</vt:i4>
      </vt:variant>
      <vt:variant>
        <vt:i4>5</vt:i4>
      </vt:variant>
      <vt:variant>
        <vt:lpwstr>https://www.legislation.gov.au/Details/C2023C00092</vt:lpwstr>
      </vt:variant>
      <vt:variant>
        <vt:lpwstr/>
      </vt:variant>
      <vt:variant>
        <vt:i4>1048620</vt:i4>
      </vt:variant>
      <vt:variant>
        <vt:i4>27</vt:i4>
      </vt:variant>
      <vt:variant>
        <vt:i4>0</vt:i4>
      </vt:variant>
      <vt:variant>
        <vt:i4>5</vt:i4>
      </vt:variant>
      <vt:variant>
        <vt:lpwstr>https://parlinfo.aph.gov.au/parlInfo/search/display/display.w3p;query=Id%3A%22legislation%2Fbills%2Fs1385_first-senate%2F0000%22;rec=0</vt:lpwstr>
      </vt:variant>
      <vt:variant>
        <vt:lpwstr/>
      </vt:variant>
      <vt:variant>
        <vt:i4>7405612</vt:i4>
      </vt:variant>
      <vt:variant>
        <vt:i4>24</vt:i4>
      </vt:variant>
      <vt:variant>
        <vt:i4>0</vt:i4>
      </vt:variant>
      <vt:variant>
        <vt:i4>5</vt:i4>
      </vt:variant>
      <vt:variant>
        <vt:lpwstr>https://www.legislation.gov.au/Details/C2023C00092</vt:lpwstr>
      </vt:variant>
      <vt:variant>
        <vt:lpwstr/>
      </vt:variant>
      <vt:variant>
        <vt:i4>7405612</vt:i4>
      </vt:variant>
      <vt:variant>
        <vt:i4>15</vt:i4>
      </vt:variant>
      <vt:variant>
        <vt:i4>0</vt:i4>
      </vt:variant>
      <vt:variant>
        <vt:i4>5</vt:i4>
      </vt:variant>
      <vt:variant>
        <vt:lpwstr>https://www.legislation.gov.au/Details/C2023C00092</vt:lpwstr>
      </vt:variant>
      <vt:variant>
        <vt:lpwstr/>
      </vt:variant>
      <vt:variant>
        <vt:i4>7274538</vt:i4>
      </vt:variant>
      <vt:variant>
        <vt:i4>12</vt:i4>
      </vt:variant>
      <vt:variant>
        <vt:i4>0</vt:i4>
      </vt:variant>
      <vt:variant>
        <vt:i4>5</vt:i4>
      </vt:variant>
      <vt:variant>
        <vt:lpwstr>https://unfccc.int/sites/default/files/english_paris_agreement.pdf</vt:lpwstr>
      </vt:variant>
      <vt:variant>
        <vt:lpwstr/>
      </vt:variant>
      <vt:variant>
        <vt:i4>3932256</vt:i4>
      </vt:variant>
      <vt:variant>
        <vt:i4>9</vt:i4>
      </vt:variant>
      <vt:variant>
        <vt:i4>0</vt:i4>
      </vt:variant>
      <vt:variant>
        <vt:i4>5</vt:i4>
      </vt:variant>
      <vt:variant>
        <vt:lpwstr>https://unfccc.int/resource/docs/2015/cop21/eng/l09r01.pdf</vt:lpwstr>
      </vt:variant>
      <vt:variant>
        <vt:lpwstr/>
      </vt:variant>
      <vt:variant>
        <vt:i4>7274538</vt:i4>
      </vt:variant>
      <vt:variant>
        <vt:i4>6</vt:i4>
      </vt:variant>
      <vt:variant>
        <vt:i4>0</vt:i4>
      </vt:variant>
      <vt:variant>
        <vt:i4>5</vt:i4>
      </vt:variant>
      <vt:variant>
        <vt:lpwstr>https://unfccc.int/sites/default/files/english_paris_agreement.pdf</vt:lpwstr>
      </vt:variant>
      <vt:variant>
        <vt:lpwstr/>
      </vt:variant>
      <vt:variant>
        <vt:i4>5636102</vt:i4>
      </vt:variant>
      <vt:variant>
        <vt:i4>3</vt:i4>
      </vt:variant>
      <vt:variant>
        <vt:i4>0</vt:i4>
      </vt:variant>
      <vt:variant>
        <vt:i4>5</vt:i4>
      </vt:variant>
      <vt:variant>
        <vt:lpwstr>https://documents-dds-ny.un.org/doc/UNDOC/GEN/G23/148/70/PDF/G2314870.pdf?OpenElement</vt:lpwstr>
      </vt:variant>
      <vt:variant>
        <vt:lpwstr/>
      </vt:variant>
      <vt:variant>
        <vt:i4>5767176</vt:i4>
      </vt:variant>
      <vt:variant>
        <vt:i4>0</vt:i4>
      </vt:variant>
      <vt:variant>
        <vt:i4>0</vt:i4>
      </vt:variant>
      <vt:variant>
        <vt:i4>5</vt:i4>
      </vt:variant>
      <vt:variant>
        <vt:lpwstr>https://documents-dds-ny.un.org/doc/UNDOC/GEN/G22/525/19/PDF/G2252519.pdf?OpenElement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AHRC User</dc:creator>
  <cp:keywords/>
  <cp:lastModifiedBy>Patrick Hooton</cp:lastModifiedBy>
  <cp:revision>2</cp:revision>
  <cp:lastPrinted>2023-11-23T06:24:00Z</cp:lastPrinted>
  <dcterms:created xsi:type="dcterms:W3CDTF">2024-03-04T03:32:00Z</dcterms:created>
  <dcterms:modified xsi:type="dcterms:W3CDTF">2024-03-04T03:32:00Z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0x010100902A43CD601D3E40B316FCE0677E911B</vt:lpwstr>
  </property>
  <property fmtid="{D5CDD505-2E9C-101B-9397-08002B2CF9AE}" pid="3" name="_dlc_DocIdItemGuid">
    <vt:lpwstr>57c43ccb-4250-4d80-99f1-72b80334bf88</vt:lpwstr>
  </property>
  <property fmtid="{D5CDD505-2E9C-101B-9397-08002B2CF9AE}" pid="4" name="TaxKeyword">
    <vt:lpwstr/>
  </property>
</Properties>
</file>