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EBDB7" w14:textId="28799A83" w:rsidR="00A66EAD" w:rsidRPr="00B77DE0" w:rsidRDefault="006A39A7" w:rsidP="00691A89">
      <w:pPr>
        <w:pStyle w:val="MainTitle"/>
        <w:rPr>
          <w:szCs w:val="52"/>
        </w:rPr>
      </w:pPr>
      <w:r>
        <w:t>Religious Freedom Bills</w:t>
      </w:r>
      <w:r w:rsidR="00691A89">
        <w:br/>
      </w:r>
      <w:r w:rsidR="00D72AA3">
        <w:rPr>
          <w:szCs w:val="52"/>
        </w:rPr>
        <w:t>s</w:t>
      </w:r>
      <w:r w:rsidR="00A66EAD" w:rsidRPr="00B77DE0">
        <w:rPr>
          <w:szCs w:val="52"/>
        </w:rPr>
        <w:t>econd exposure draft</w:t>
      </w:r>
    </w:p>
    <w:p w14:paraId="3A2967D6" w14:textId="2A69D092" w:rsidR="00817C73" w:rsidRPr="004A351F" w:rsidRDefault="00C86324" w:rsidP="004A351F">
      <w:pPr>
        <w:pStyle w:val="Date"/>
        <w:rPr>
          <w:color w:val="2E74B5" w:themeColor="accent1" w:themeShade="BF"/>
          <w:sz w:val="28"/>
        </w:rPr>
      </w:pPr>
      <w:bookmarkStart w:id="0" w:name="_Toc525894097"/>
      <w:r w:rsidRPr="004A351F">
        <w:rPr>
          <w:color w:val="2E74B5" w:themeColor="accent1" w:themeShade="BF"/>
          <w:sz w:val="28"/>
        </w:rPr>
        <w:t xml:space="preserve">Submission to the </w:t>
      </w:r>
      <w:r w:rsidR="006A39A7">
        <w:rPr>
          <w:color w:val="2E74B5" w:themeColor="accent1" w:themeShade="BF"/>
          <w:sz w:val="28"/>
        </w:rPr>
        <w:t>Attorney-General’s Department</w:t>
      </w:r>
      <w:bookmarkEnd w:id="0"/>
    </w:p>
    <w:p w14:paraId="61815E5F" w14:textId="311DB9AE" w:rsidR="00F220A5" w:rsidRPr="00817C73" w:rsidRDefault="00903C2A" w:rsidP="00F220A5">
      <w:pPr>
        <w:pStyle w:val="Date"/>
      </w:pPr>
      <w:r>
        <w:t>3</w:t>
      </w:r>
      <w:r w:rsidR="00BE6BDD">
        <w:t>1</w:t>
      </w:r>
      <w:r>
        <w:t xml:space="preserve"> </w:t>
      </w:r>
      <w:r w:rsidR="00622A13">
        <w:t>January 2020</w:t>
      </w:r>
    </w:p>
    <w:p w14:paraId="3B0E565A" w14:textId="77777777" w:rsidR="00AC636D" w:rsidRDefault="00AC636D" w:rsidP="00AC636D"/>
    <w:p w14:paraId="30138D7E" w14:textId="77777777" w:rsidR="009E4BD0" w:rsidRPr="00AC636D" w:rsidRDefault="009E4BD0" w:rsidP="000E4837">
      <w:pPr>
        <w:pStyle w:val="Subtitle"/>
        <w:sectPr w:rsidR="009E4BD0" w:rsidRPr="00AC636D" w:rsidSect="00AC636D">
          <w:headerReference w:type="even" r:id="rId14"/>
          <w:headerReference w:type="default" r:id="rId15"/>
          <w:headerReference w:type="first" r:id="rId16"/>
          <w:footerReference w:type="first" r:id="rId17"/>
          <w:type w:val="continuous"/>
          <w:pgSz w:w="11906" w:h="16838" w:code="9"/>
          <w:pgMar w:top="228" w:right="1700" w:bottom="1134" w:left="1418" w:header="277" w:footer="1361" w:gutter="0"/>
          <w:pgNumType w:start="2"/>
          <w:cols w:space="708"/>
          <w:titlePg/>
          <w:docGrid w:linePitch="360"/>
        </w:sectPr>
      </w:pPr>
    </w:p>
    <w:bookmarkStart w:id="1" w:name="_Toc209316062"/>
    <w:bookmarkEnd w:id="1"/>
    <w:p w14:paraId="71EF2FE1" w14:textId="1DED5905" w:rsidR="00AD058D" w:rsidRDefault="000E4837">
      <w:pPr>
        <w:pStyle w:val="TOC1"/>
        <w:rPr>
          <w:rFonts w:asciiTheme="minorHAnsi" w:eastAsiaTheme="minorEastAsia" w:hAnsiTheme="minorHAnsi" w:cstheme="minorBidi"/>
          <w:b w:val="0"/>
          <w:sz w:val="22"/>
          <w:szCs w:val="22"/>
        </w:rPr>
      </w:pPr>
      <w:r>
        <w:rPr>
          <w:b w:val="0"/>
        </w:rPr>
        <w:lastRenderedPageBreak/>
        <w:fldChar w:fldCharType="begin"/>
      </w:r>
      <w:r>
        <w:rPr>
          <w:b w:val="0"/>
        </w:rPr>
        <w:instrText xml:space="preserve"> TOC \o "1-3" \h \z \u </w:instrText>
      </w:r>
      <w:r>
        <w:rPr>
          <w:b w:val="0"/>
        </w:rPr>
        <w:fldChar w:fldCharType="separate"/>
      </w:r>
      <w:hyperlink w:anchor="_Toc31355389" w:history="1">
        <w:r w:rsidR="00AD058D" w:rsidRPr="00742422">
          <w:rPr>
            <w:rStyle w:val="Hyperlink"/>
          </w:rPr>
          <w:t>1</w:t>
        </w:r>
        <w:r w:rsidR="00AD058D">
          <w:rPr>
            <w:rFonts w:asciiTheme="minorHAnsi" w:eastAsiaTheme="minorEastAsia" w:hAnsiTheme="minorHAnsi" w:cstheme="minorBidi"/>
            <w:b w:val="0"/>
            <w:sz w:val="22"/>
            <w:szCs w:val="22"/>
          </w:rPr>
          <w:tab/>
        </w:r>
        <w:r w:rsidR="00AD058D" w:rsidRPr="00742422">
          <w:rPr>
            <w:rStyle w:val="Hyperlink"/>
          </w:rPr>
          <w:t>Introduction</w:t>
        </w:r>
        <w:r w:rsidR="00AD058D">
          <w:rPr>
            <w:webHidden/>
          </w:rPr>
          <w:tab/>
        </w:r>
        <w:r w:rsidR="00AD058D">
          <w:rPr>
            <w:webHidden/>
          </w:rPr>
          <w:fldChar w:fldCharType="begin"/>
        </w:r>
        <w:r w:rsidR="00AD058D">
          <w:rPr>
            <w:webHidden/>
          </w:rPr>
          <w:instrText xml:space="preserve"> PAGEREF _Toc31355389 \h </w:instrText>
        </w:r>
        <w:r w:rsidR="00AD058D">
          <w:rPr>
            <w:webHidden/>
          </w:rPr>
        </w:r>
        <w:r w:rsidR="00AD058D">
          <w:rPr>
            <w:webHidden/>
          </w:rPr>
          <w:fldChar w:fldCharType="separate"/>
        </w:r>
        <w:r w:rsidR="009C3F0E">
          <w:rPr>
            <w:webHidden/>
          </w:rPr>
          <w:t>3</w:t>
        </w:r>
        <w:r w:rsidR="00AD058D">
          <w:rPr>
            <w:webHidden/>
          </w:rPr>
          <w:fldChar w:fldCharType="end"/>
        </w:r>
      </w:hyperlink>
    </w:p>
    <w:p w14:paraId="000CCA58" w14:textId="518AFE2A" w:rsidR="00AD058D" w:rsidRDefault="00AD058D">
      <w:pPr>
        <w:pStyle w:val="TOC1"/>
        <w:rPr>
          <w:rFonts w:asciiTheme="minorHAnsi" w:eastAsiaTheme="minorEastAsia" w:hAnsiTheme="minorHAnsi" w:cstheme="minorBidi"/>
          <w:b w:val="0"/>
          <w:sz w:val="22"/>
          <w:szCs w:val="22"/>
        </w:rPr>
      </w:pPr>
      <w:hyperlink w:anchor="_Toc31355390" w:history="1">
        <w:r w:rsidRPr="00742422">
          <w:rPr>
            <w:rStyle w:val="Hyperlink"/>
          </w:rPr>
          <w:t>2</w:t>
        </w:r>
        <w:r>
          <w:rPr>
            <w:rFonts w:asciiTheme="minorHAnsi" w:eastAsiaTheme="minorEastAsia" w:hAnsiTheme="minorHAnsi" w:cstheme="minorBidi"/>
            <w:b w:val="0"/>
            <w:sz w:val="22"/>
            <w:szCs w:val="22"/>
          </w:rPr>
          <w:tab/>
        </w:r>
        <w:r w:rsidRPr="00742422">
          <w:rPr>
            <w:rStyle w:val="Hyperlink"/>
          </w:rPr>
          <w:t>Summary</w:t>
        </w:r>
        <w:r>
          <w:rPr>
            <w:webHidden/>
          </w:rPr>
          <w:tab/>
        </w:r>
        <w:r>
          <w:rPr>
            <w:webHidden/>
          </w:rPr>
          <w:fldChar w:fldCharType="begin"/>
        </w:r>
        <w:r>
          <w:rPr>
            <w:webHidden/>
          </w:rPr>
          <w:instrText xml:space="preserve"> PAGEREF _Toc31355390 \h </w:instrText>
        </w:r>
        <w:r>
          <w:rPr>
            <w:webHidden/>
          </w:rPr>
        </w:r>
        <w:r>
          <w:rPr>
            <w:webHidden/>
          </w:rPr>
          <w:fldChar w:fldCharType="separate"/>
        </w:r>
        <w:r w:rsidR="009C3F0E">
          <w:rPr>
            <w:webHidden/>
          </w:rPr>
          <w:t>3</w:t>
        </w:r>
        <w:r>
          <w:rPr>
            <w:webHidden/>
          </w:rPr>
          <w:fldChar w:fldCharType="end"/>
        </w:r>
      </w:hyperlink>
    </w:p>
    <w:p w14:paraId="05BB5256" w14:textId="71944870" w:rsidR="00AD058D" w:rsidRDefault="00AD058D">
      <w:pPr>
        <w:pStyle w:val="TOC1"/>
        <w:rPr>
          <w:rFonts w:asciiTheme="minorHAnsi" w:eastAsiaTheme="minorEastAsia" w:hAnsiTheme="minorHAnsi" w:cstheme="minorBidi"/>
          <w:b w:val="0"/>
          <w:sz w:val="22"/>
          <w:szCs w:val="22"/>
        </w:rPr>
      </w:pPr>
      <w:hyperlink w:anchor="_Toc31355391" w:history="1">
        <w:r w:rsidRPr="00742422">
          <w:rPr>
            <w:rStyle w:val="Hyperlink"/>
          </w:rPr>
          <w:t>3</w:t>
        </w:r>
        <w:r>
          <w:rPr>
            <w:rFonts w:asciiTheme="minorHAnsi" w:eastAsiaTheme="minorEastAsia" w:hAnsiTheme="minorHAnsi" w:cstheme="minorBidi"/>
            <w:b w:val="0"/>
            <w:sz w:val="22"/>
            <w:szCs w:val="22"/>
          </w:rPr>
          <w:tab/>
        </w:r>
        <w:r w:rsidRPr="00742422">
          <w:rPr>
            <w:rStyle w:val="Hyperlink"/>
          </w:rPr>
          <w:t>Recommendations</w:t>
        </w:r>
        <w:r>
          <w:rPr>
            <w:webHidden/>
          </w:rPr>
          <w:tab/>
        </w:r>
        <w:r>
          <w:rPr>
            <w:webHidden/>
          </w:rPr>
          <w:fldChar w:fldCharType="begin"/>
        </w:r>
        <w:r>
          <w:rPr>
            <w:webHidden/>
          </w:rPr>
          <w:instrText xml:space="preserve"> PAGEREF _Toc31355391 \h </w:instrText>
        </w:r>
        <w:r>
          <w:rPr>
            <w:webHidden/>
          </w:rPr>
        </w:r>
        <w:r>
          <w:rPr>
            <w:webHidden/>
          </w:rPr>
          <w:fldChar w:fldCharType="separate"/>
        </w:r>
        <w:r w:rsidR="009C3F0E">
          <w:rPr>
            <w:webHidden/>
          </w:rPr>
          <w:t>8</w:t>
        </w:r>
        <w:r>
          <w:rPr>
            <w:webHidden/>
          </w:rPr>
          <w:fldChar w:fldCharType="end"/>
        </w:r>
      </w:hyperlink>
    </w:p>
    <w:p w14:paraId="7E5261D7" w14:textId="3B6E18CE" w:rsidR="00AD058D" w:rsidRDefault="00AD058D">
      <w:pPr>
        <w:pStyle w:val="TOC1"/>
        <w:rPr>
          <w:rFonts w:asciiTheme="minorHAnsi" w:eastAsiaTheme="minorEastAsia" w:hAnsiTheme="minorHAnsi" w:cstheme="minorBidi"/>
          <w:b w:val="0"/>
          <w:sz w:val="22"/>
          <w:szCs w:val="22"/>
        </w:rPr>
      </w:pPr>
      <w:hyperlink w:anchor="_Toc31355392" w:history="1">
        <w:r w:rsidRPr="00742422">
          <w:rPr>
            <w:rStyle w:val="Hyperlink"/>
          </w:rPr>
          <w:t>4</w:t>
        </w:r>
        <w:r>
          <w:rPr>
            <w:rFonts w:asciiTheme="minorHAnsi" w:eastAsiaTheme="minorEastAsia" w:hAnsiTheme="minorHAnsi" w:cstheme="minorBidi"/>
            <w:b w:val="0"/>
            <w:sz w:val="22"/>
            <w:szCs w:val="22"/>
          </w:rPr>
          <w:tab/>
        </w:r>
        <w:r w:rsidRPr="00742422">
          <w:rPr>
            <w:rStyle w:val="Hyperlink"/>
          </w:rPr>
          <w:t>Scope of the Bill</w:t>
        </w:r>
        <w:r>
          <w:rPr>
            <w:webHidden/>
          </w:rPr>
          <w:tab/>
        </w:r>
        <w:r>
          <w:rPr>
            <w:webHidden/>
          </w:rPr>
          <w:fldChar w:fldCharType="begin"/>
        </w:r>
        <w:r>
          <w:rPr>
            <w:webHidden/>
          </w:rPr>
          <w:instrText xml:space="preserve"> PAGEREF _Toc31355392 \h </w:instrText>
        </w:r>
        <w:r>
          <w:rPr>
            <w:webHidden/>
          </w:rPr>
        </w:r>
        <w:r>
          <w:rPr>
            <w:webHidden/>
          </w:rPr>
          <w:fldChar w:fldCharType="separate"/>
        </w:r>
        <w:r w:rsidR="009C3F0E">
          <w:rPr>
            <w:webHidden/>
          </w:rPr>
          <w:t>12</w:t>
        </w:r>
        <w:r>
          <w:rPr>
            <w:webHidden/>
          </w:rPr>
          <w:fldChar w:fldCharType="end"/>
        </w:r>
      </w:hyperlink>
    </w:p>
    <w:p w14:paraId="3980703B" w14:textId="4FFA5499" w:rsidR="00AD058D" w:rsidRDefault="00AD058D">
      <w:pPr>
        <w:pStyle w:val="TOC2"/>
        <w:rPr>
          <w:rFonts w:asciiTheme="minorHAnsi" w:eastAsiaTheme="minorEastAsia" w:hAnsiTheme="minorHAnsi" w:cstheme="minorBidi"/>
          <w:b w:val="0"/>
          <w:i w:val="0"/>
          <w:sz w:val="22"/>
          <w:szCs w:val="22"/>
        </w:rPr>
      </w:pPr>
      <w:hyperlink w:anchor="_Toc31355393" w:history="1">
        <w:r w:rsidRPr="00742422">
          <w:rPr>
            <w:rStyle w:val="Hyperlink"/>
          </w:rPr>
          <w:t>4.1</w:t>
        </w:r>
        <w:r>
          <w:rPr>
            <w:rFonts w:asciiTheme="minorHAnsi" w:eastAsiaTheme="minorEastAsia" w:hAnsiTheme="minorHAnsi" w:cstheme="minorBidi"/>
            <w:b w:val="0"/>
            <w:i w:val="0"/>
            <w:sz w:val="22"/>
            <w:szCs w:val="22"/>
          </w:rPr>
          <w:tab/>
        </w:r>
        <w:r w:rsidRPr="00742422">
          <w:rPr>
            <w:rStyle w:val="Hyperlink"/>
          </w:rPr>
          <w:t>Actions by corporations alleging religious discrimination</w:t>
        </w:r>
        <w:r>
          <w:rPr>
            <w:webHidden/>
          </w:rPr>
          <w:tab/>
        </w:r>
        <w:r>
          <w:rPr>
            <w:webHidden/>
          </w:rPr>
          <w:fldChar w:fldCharType="begin"/>
        </w:r>
        <w:r>
          <w:rPr>
            <w:webHidden/>
          </w:rPr>
          <w:instrText xml:space="preserve"> PAGEREF _Toc31355393 \h </w:instrText>
        </w:r>
        <w:r>
          <w:rPr>
            <w:webHidden/>
          </w:rPr>
        </w:r>
        <w:r>
          <w:rPr>
            <w:webHidden/>
          </w:rPr>
          <w:fldChar w:fldCharType="separate"/>
        </w:r>
        <w:r w:rsidR="009C3F0E">
          <w:rPr>
            <w:webHidden/>
          </w:rPr>
          <w:t>12</w:t>
        </w:r>
        <w:r>
          <w:rPr>
            <w:webHidden/>
          </w:rPr>
          <w:fldChar w:fldCharType="end"/>
        </w:r>
      </w:hyperlink>
    </w:p>
    <w:p w14:paraId="0F5E6A44" w14:textId="0E6CDD74" w:rsidR="00AD058D" w:rsidRDefault="00AD058D">
      <w:pPr>
        <w:pStyle w:val="TOC2"/>
        <w:rPr>
          <w:rFonts w:asciiTheme="minorHAnsi" w:eastAsiaTheme="minorEastAsia" w:hAnsiTheme="minorHAnsi" w:cstheme="minorBidi"/>
          <w:b w:val="0"/>
          <w:i w:val="0"/>
          <w:sz w:val="22"/>
          <w:szCs w:val="22"/>
        </w:rPr>
      </w:pPr>
      <w:hyperlink w:anchor="_Toc31355394" w:history="1">
        <w:r w:rsidRPr="00742422">
          <w:rPr>
            <w:rStyle w:val="Hyperlink"/>
          </w:rPr>
          <w:t>4.2</w:t>
        </w:r>
        <w:r>
          <w:rPr>
            <w:rFonts w:asciiTheme="minorHAnsi" w:eastAsiaTheme="minorEastAsia" w:hAnsiTheme="minorHAnsi" w:cstheme="minorBidi"/>
            <w:b w:val="0"/>
            <w:i w:val="0"/>
            <w:sz w:val="22"/>
            <w:szCs w:val="22"/>
          </w:rPr>
          <w:tab/>
        </w:r>
        <w:r w:rsidRPr="00742422">
          <w:rPr>
            <w:rStyle w:val="Hyperlink"/>
          </w:rPr>
          <w:t>Exemptions for religious bodies to engage in religious discrimination</w:t>
        </w:r>
        <w:r>
          <w:rPr>
            <w:webHidden/>
          </w:rPr>
          <w:tab/>
        </w:r>
        <w:r>
          <w:rPr>
            <w:webHidden/>
          </w:rPr>
          <w:fldChar w:fldCharType="begin"/>
        </w:r>
        <w:r>
          <w:rPr>
            <w:webHidden/>
          </w:rPr>
          <w:instrText xml:space="preserve"> PAGEREF _Toc31355394 \h </w:instrText>
        </w:r>
        <w:r>
          <w:rPr>
            <w:webHidden/>
          </w:rPr>
        </w:r>
        <w:r>
          <w:rPr>
            <w:webHidden/>
          </w:rPr>
          <w:fldChar w:fldCharType="separate"/>
        </w:r>
        <w:r w:rsidR="009C3F0E">
          <w:rPr>
            <w:webHidden/>
          </w:rPr>
          <w:t>15</w:t>
        </w:r>
        <w:r>
          <w:rPr>
            <w:webHidden/>
          </w:rPr>
          <w:fldChar w:fldCharType="end"/>
        </w:r>
      </w:hyperlink>
    </w:p>
    <w:p w14:paraId="341F7C95" w14:textId="01850891" w:rsidR="00AD058D" w:rsidRDefault="00AD058D">
      <w:pPr>
        <w:pStyle w:val="TOC3"/>
        <w:rPr>
          <w:rFonts w:asciiTheme="minorHAnsi" w:eastAsiaTheme="minorEastAsia" w:hAnsiTheme="minorHAnsi" w:cstheme="minorBidi"/>
          <w:i w:val="0"/>
          <w:sz w:val="22"/>
          <w:szCs w:val="22"/>
        </w:rPr>
      </w:pPr>
      <w:hyperlink w:anchor="_Toc31355395" w:history="1">
        <w:r w:rsidRPr="00742422">
          <w:rPr>
            <w:rStyle w:val="Hyperlink"/>
          </w:rPr>
          <w:t>(a)</w:t>
        </w:r>
        <w:r>
          <w:rPr>
            <w:rFonts w:asciiTheme="minorHAnsi" w:eastAsiaTheme="minorEastAsia" w:hAnsiTheme="minorHAnsi" w:cstheme="minorBidi"/>
            <w:i w:val="0"/>
            <w:sz w:val="22"/>
            <w:szCs w:val="22"/>
          </w:rPr>
          <w:tab/>
        </w:r>
        <w:r w:rsidRPr="00742422">
          <w:rPr>
            <w:rStyle w:val="Hyperlink"/>
          </w:rPr>
          <w:t>Scope of new test for ‘religious bodies’</w:t>
        </w:r>
        <w:r>
          <w:rPr>
            <w:webHidden/>
          </w:rPr>
          <w:tab/>
        </w:r>
        <w:r>
          <w:rPr>
            <w:webHidden/>
          </w:rPr>
          <w:fldChar w:fldCharType="begin"/>
        </w:r>
        <w:r>
          <w:rPr>
            <w:webHidden/>
          </w:rPr>
          <w:instrText xml:space="preserve"> PAGEREF _Toc31355395 \h </w:instrText>
        </w:r>
        <w:r>
          <w:rPr>
            <w:webHidden/>
          </w:rPr>
        </w:r>
        <w:r>
          <w:rPr>
            <w:webHidden/>
          </w:rPr>
          <w:fldChar w:fldCharType="separate"/>
        </w:r>
        <w:r w:rsidR="009C3F0E">
          <w:rPr>
            <w:webHidden/>
          </w:rPr>
          <w:t>17</w:t>
        </w:r>
        <w:r>
          <w:rPr>
            <w:webHidden/>
          </w:rPr>
          <w:fldChar w:fldCharType="end"/>
        </w:r>
      </w:hyperlink>
    </w:p>
    <w:p w14:paraId="36FB3DB7" w14:textId="72A01AB5" w:rsidR="00AD058D" w:rsidRDefault="00AD058D">
      <w:pPr>
        <w:pStyle w:val="TOC3"/>
        <w:rPr>
          <w:rFonts w:asciiTheme="minorHAnsi" w:eastAsiaTheme="minorEastAsia" w:hAnsiTheme="minorHAnsi" w:cstheme="minorBidi"/>
          <w:i w:val="0"/>
          <w:sz w:val="22"/>
          <w:szCs w:val="22"/>
        </w:rPr>
      </w:pPr>
      <w:hyperlink w:anchor="_Toc31355396" w:history="1">
        <w:r w:rsidRPr="00742422">
          <w:rPr>
            <w:rStyle w:val="Hyperlink"/>
          </w:rPr>
          <w:t>(b)</w:t>
        </w:r>
        <w:r>
          <w:rPr>
            <w:rFonts w:asciiTheme="minorHAnsi" w:eastAsiaTheme="minorEastAsia" w:hAnsiTheme="minorHAnsi" w:cstheme="minorBidi"/>
            <w:i w:val="0"/>
            <w:sz w:val="22"/>
            <w:szCs w:val="22"/>
          </w:rPr>
          <w:tab/>
        </w:r>
        <w:r w:rsidRPr="00742422">
          <w:rPr>
            <w:rStyle w:val="Hyperlink"/>
          </w:rPr>
          <w:t>Objects of the Bill – to eliminate religious discrimination so far as possible</w:t>
        </w:r>
        <w:r>
          <w:rPr>
            <w:webHidden/>
          </w:rPr>
          <w:tab/>
        </w:r>
        <w:r>
          <w:rPr>
            <w:webHidden/>
          </w:rPr>
          <w:fldChar w:fldCharType="begin"/>
        </w:r>
        <w:r>
          <w:rPr>
            <w:webHidden/>
          </w:rPr>
          <w:instrText xml:space="preserve"> PAGEREF _Toc31355396 \h </w:instrText>
        </w:r>
        <w:r>
          <w:rPr>
            <w:webHidden/>
          </w:rPr>
        </w:r>
        <w:r>
          <w:rPr>
            <w:webHidden/>
          </w:rPr>
          <w:fldChar w:fldCharType="separate"/>
        </w:r>
        <w:r w:rsidR="009C3F0E">
          <w:rPr>
            <w:webHidden/>
          </w:rPr>
          <w:t>20</w:t>
        </w:r>
        <w:r>
          <w:rPr>
            <w:webHidden/>
          </w:rPr>
          <w:fldChar w:fldCharType="end"/>
        </w:r>
      </w:hyperlink>
    </w:p>
    <w:p w14:paraId="5F7B6A4C" w14:textId="05A9FCBD" w:rsidR="00AD058D" w:rsidRDefault="00AD058D">
      <w:pPr>
        <w:pStyle w:val="TOC3"/>
        <w:rPr>
          <w:rFonts w:asciiTheme="minorHAnsi" w:eastAsiaTheme="minorEastAsia" w:hAnsiTheme="minorHAnsi" w:cstheme="minorBidi"/>
          <w:i w:val="0"/>
          <w:sz w:val="22"/>
          <w:szCs w:val="22"/>
        </w:rPr>
      </w:pPr>
      <w:hyperlink w:anchor="_Toc31355397" w:history="1">
        <w:r w:rsidRPr="00742422">
          <w:rPr>
            <w:rStyle w:val="Hyperlink"/>
          </w:rPr>
          <w:t>(c)</w:t>
        </w:r>
        <w:r>
          <w:rPr>
            <w:rFonts w:asciiTheme="minorHAnsi" w:eastAsiaTheme="minorEastAsia" w:hAnsiTheme="minorHAnsi" w:cstheme="minorBidi"/>
            <w:i w:val="0"/>
            <w:sz w:val="22"/>
            <w:szCs w:val="22"/>
          </w:rPr>
          <w:tab/>
        </w:r>
        <w:r w:rsidRPr="00742422">
          <w:rPr>
            <w:rStyle w:val="Hyperlink"/>
          </w:rPr>
          <w:t>Areas where religious discrimination is permissible</w:t>
        </w:r>
        <w:r>
          <w:rPr>
            <w:webHidden/>
          </w:rPr>
          <w:tab/>
        </w:r>
        <w:r>
          <w:rPr>
            <w:webHidden/>
          </w:rPr>
          <w:fldChar w:fldCharType="begin"/>
        </w:r>
        <w:r>
          <w:rPr>
            <w:webHidden/>
          </w:rPr>
          <w:instrText xml:space="preserve"> PAGEREF _Toc31355397 \h </w:instrText>
        </w:r>
        <w:r>
          <w:rPr>
            <w:webHidden/>
          </w:rPr>
        </w:r>
        <w:r>
          <w:rPr>
            <w:webHidden/>
          </w:rPr>
          <w:fldChar w:fldCharType="separate"/>
        </w:r>
        <w:r w:rsidR="009C3F0E">
          <w:rPr>
            <w:webHidden/>
          </w:rPr>
          <w:t>20</w:t>
        </w:r>
        <w:r>
          <w:rPr>
            <w:webHidden/>
          </w:rPr>
          <w:fldChar w:fldCharType="end"/>
        </w:r>
      </w:hyperlink>
    </w:p>
    <w:p w14:paraId="1CA9D721" w14:textId="05351353" w:rsidR="00AD058D" w:rsidRDefault="00AD058D">
      <w:pPr>
        <w:pStyle w:val="TOC3"/>
        <w:rPr>
          <w:rFonts w:asciiTheme="minorHAnsi" w:eastAsiaTheme="minorEastAsia" w:hAnsiTheme="minorHAnsi" w:cstheme="minorBidi"/>
          <w:i w:val="0"/>
          <w:sz w:val="22"/>
          <w:szCs w:val="22"/>
        </w:rPr>
      </w:pPr>
      <w:hyperlink w:anchor="_Toc31355398" w:history="1">
        <w:r w:rsidRPr="00742422">
          <w:rPr>
            <w:rStyle w:val="Hyperlink"/>
          </w:rPr>
          <w:t>(d)</w:t>
        </w:r>
        <w:r>
          <w:rPr>
            <w:rFonts w:asciiTheme="minorHAnsi" w:eastAsiaTheme="minorEastAsia" w:hAnsiTheme="minorHAnsi" w:cstheme="minorBidi"/>
            <w:i w:val="0"/>
            <w:sz w:val="22"/>
            <w:szCs w:val="22"/>
          </w:rPr>
          <w:tab/>
        </w:r>
        <w:r w:rsidRPr="00742422">
          <w:rPr>
            <w:rStyle w:val="Hyperlink"/>
          </w:rPr>
          <w:t>Special exemptions for other religious organisations</w:t>
        </w:r>
        <w:r>
          <w:rPr>
            <w:webHidden/>
          </w:rPr>
          <w:tab/>
        </w:r>
        <w:r>
          <w:rPr>
            <w:webHidden/>
          </w:rPr>
          <w:fldChar w:fldCharType="begin"/>
        </w:r>
        <w:r>
          <w:rPr>
            <w:webHidden/>
          </w:rPr>
          <w:instrText xml:space="preserve"> PAGEREF _Toc31355398 \h </w:instrText>
        </w:r>
        <w:r>
          <w:rPr>
            <w:webHidden/>
          </w:rPr>
        </w:r>
        <w:r>
          <w:rPr>
            <w:webHidden/>
          </w:rPr>
          <w:fldChar w:fldCharType="separate"/>
        </w:r>
        <w:r w:rsidR="009C3F0E">
          <w:rPr>
            <w:webHidden/>
          </w:rPr>
          <w:t>24</w:t>
        </w:r>
        <w:r>
          <w:rPr>
            <w:webHidden/>
          </w:rPr>
          <w:fldChar w:fldCharType="end"/>
        </w:r>
      </w:hyperlink>
    </w:p>
    <w:p w14:paraId="3AAEC795" w14:textId="20F7D67D" w:rsidR="00AD058D" w:rsidRDefault="00AD058D">
      <w:pPr>
        <w:pStyle w:val="TOC1"/>
        <w:rPr>
          <w:rFonts w:asciiTheme="minorHAnsi" w:eastAsiaTheme="minorEastAsia" w:hAnsiTheme="minorHAnsi" w:cstheme="minorBidi"/>
          <w:b w:val="0"/>
          <w:sz w:val="22"/>
          <w:szCs w:val="22"/>
        </w:rPr>
      </w:pPr>
      <w:hyperlink w:anchor="_Toc31355399" w:history="1">
        <w:r w:rsidRPr="00742422">
          <w:rPr>
            <w:rStyle w:val="Hyperlink"/>
          </w:rPr>
          <w:t>5</w:t>
        </w:r>
        <w:r>
          <w:rPr>
            <w:rFonts w:asciiTheme="minorHAnsi" w:eastAsiaTheme="minorEastAsia" w:hAnsiTheme="minorHAnsi" w:cstheme="minorBidi"/>
            <w:b w:val="0"/>
            <w:sz w:val="22"/>
            <w:szCs w:val="22"/>
          </w:rPr>
          <w:tab/>
        </w:r>
        <w:r w:rsidRPr="00742422">
          <w:rPr>
            <w:rStyle w:val="Hyperlink"/>
          </w:rPr>
          <w:t>Overriding Commonwealth, State and Territory discrimination law</w:t>
        </w:r>
        <w:r>
          <w:rPr>
            <w:webHidden/>
          </w:rPr>
          <w:tab/>
        </w:r>
        <w:r>
          <w:rPr>
            <w:webHidden/>
          </w:rPr>
          <w:fldChar w:fldCharType="begin"/>
        </w:r>
        <w:r>
          <w:rPr>
            <w:webHidden/>
          </w:rPr>
          <w:instrText xml:space="preserve"> PAGEREF _Toc31355399 \h </w:instrText>
        </w:r>
        <w:r>
          <w:rPr>
            <w:webHidden/>
          </w:rPr>
        </w:r>
        <w:r>
          <w:rPr>
            <w:webHidden/>
          </w:rPr>
          <w:fldChar w:fldCharType="separate"/>
        </w:r>
        <w:r w:rsidR="009C3F0E">
          <w:rPr>
            <w:webHidden/>
          </w:rPr>
          <w:t>29</w:t>
        </w:r>
        <w:r>
          <w:rPr>
            <w:webHidden/>
          </w:rPr>
          <w:fldChar w:fldCharType="end"/>
        </w:r>
      </w:hyperlink>
    </w:p>
    <w:p w14:paraId="5E2B7A9D" w14:textId="2ACF9519" w:rsidR="00AD058D" w:rsidRDefault="00AD058D">
      <w:pPr>
        <w:pStyle w:val="TOC2"/>
        <w:rPr>
          <w:rFonts w:asciiTheme="minorHAnsi" w:eastAsiaTheme="minorEastAsia" w:hAnsiTheme="minorHAnsi" w:cstheme="minorBidi"/>
          <w:b w:val="0"/>
          <w:i w:val="0"/>
          <w:sz w:val="22"/>
          <w:szCs w:val="22"/>
        </w:rPr>
      </w:pPr>
      <w:hyperlink w:anchor="_Toc31355400" w:history="1">
        <w:r w:rsidRPr="00742422">
          <w:rPr>
            <w:rStyle w:val="Hyperlink"/>
          </w:rPr>
          <w:t>5.1</w:t>
        </w:r>
        <w:r>
          <w:rPr>
            <w:rFonts w:asciiTheme="minorHAnsi" w:eastAsiaTheme="minorEastAsia" w:hAnsiTheme="minorHAnsi" w:cstheme="minorBidi"/>
            <w:b w:val="0"/>
            <w:i w:val="0"/>
            <w:sz w:val="22"/>
            <w:szCs w:val="22"/>
          </w:rPr>
          <w:tab/>
        </w:r>
        <w:r w:rsidRPr="00742422">
          <w:rPr>
            <w:rStyle w:val="Hyperlink"/>
          </w:rPr>
          <w:t>Discriminatory statements of belief</w:t>
        </w:r>
        <w:r>
          <w:rPr>
            <w:webHidden/>
          </w:rPr>
          <w:tab/>
        </w:r>
        <w:r>
          <w:rPr>
            <w:webHidden/>
          </w:rPr>
          <w:fldChar w:fldCharType="begin"/>
        </w:r>
        <w:r>
          <w:rPr>
            <w:webHidden/>
          </w:rPr>
          <w:instrText xml:space="preserve"> PAGEREF _Toc31355400 \h </w:instrText>
        </w:r>
        <w:r>
          <w:rPr>
            <w:webHidden/>
          </w:rPr>
        </w:r>
        <w:r>
          <w:rPr>
            <w:webHidden/>
          </w:rPr>
          <w:fldChar w:fldCharType="separate"/>
        </w:r>
        <w:r w:rsidR="009C3F0E">
          <w:rPr>
            <w:webHidden/>
          </w:rPr>
          <w:t>29</w:t>
        </w:r>
        <w:r>
          <w:rPr>
            <w:webHidden/>
          </w:rPr>
          <w:fldChar w:fldCharType="end"/>
        </w:r>
      </w:hyperlink>
    </w:p>
    <w:p w14:paraId="450BD0EC" w14:textId="6BA853BD" w:rsidR="00AD058D" w:rsidRDefault="00AD058D">
      <w:pPr>
        <w:pStyle w:val="TOC2"/>
        <w:rPr>
          <w:rFonts w:asciiTheme="minorHAnsi" w:eastAsiaTheme="minorEastAsia" w:hAnsiTheme="minorHAnsi" w:cstheme="minorBidi"/>
          <w:b w:val="0"/>
          <w:i w:val="0"/>
          <w:sz w:val="22"/>
          <w:szCs w:val="22"/>
        </w:rPr>
      </w:pPr>
      <w:hyperlink w:anchor="_Toc31355401" w:history="1">
        <w:r w:rsidRPr="00742422">
          <w:rPr>
            <w:rStyle w:val="Hyperlink"/>
          </w:rPr>
          <w:t>5.2</w:t>
        </w:r>
        <w:r>
          <w:rPr>
            <w:rFonts w:asciiTheme="minorHAnsi" w:eastAsiaTheme="minorEastAsia" w:hAnsiTheme="minorHAnsi" w:cstheme="minorBidi"/>
            <w:b w:val="0"/>
            <w:i w:val="0"/>
            <w:sz w:val="22"/>
            <w:szCs w:val="22"/>
          </w:rPr>
          <w:tab/>
        </w:r>
        <w:r w:rsidRPr="00742422">
          <w:rPr>
            <w:rStyle w:val="Hyperlink"/>
          </w:rPr>
          <w:t>Definition of ‘statement of belief’</w:t>
        </w:r>
        <w:r>
          <w:rPr>
            <w:webHidden/>
          </w:rPr>
          <w:tab/>
        </w:r>
        <w:r>
          <w:rPr>
            <w:webHidden/>
          </w:rPr>
          <w:fldChar w:fldCharType="begin"/>
        </w:r>
        <w:r>
          <w:rPr>
            <w:webHidden/>
          </w:rPr>
          <w:instrText xml:space="preserve"> PAGEREF _Toc31355401 \h </w:instrText>
        </w:r>
        <w:r>
          <w:rPr>
            <w:webHidden/>
          </w:rPr>
        </w:r>
        <w:r>
          <w:rPr>
            <w:webHidden/>
          </w:rPr>
          <w:fldChar w:fldCharType="separate"/>
        </w:r>
        <w:r w:rsidR="009C3F0E">
          <w:rPr>
            <w:webHidden/>
          </w:rPr>
          <w:t>30</w:t>
        </w:r>
        <w:r>
          <w:rPr>
            <w:webHidden/>
          </w:rPr>
          <w:fldChar w:fldCharType="end"/>
        </w:r>
      </w:hyperlink>
    </w:p>
    <w:p w14:paraId="715AB92F" w14:textId="50CD9312" w:rsidR="00AD058D" w:rsidRDefault="00AD058D">
      <w:pPr>
        <w:pStyle w:val="TOC2"/>
        <w:rPr>
          <w:rFonts w:asciiTheme="minorHAnsi" w:eastAsiaTheme="minorEastAsia" w:hAnsiTheme="minorHAnsi" w:cstheme="minorBidi"/>
          <w:b w:val="0"/>
          <w:i w:val="0"/>
          <w:sz w:val="22"/>
          <w:szCs w:val="22"/>
        </w:rPr>
      </w:pPr>
      <w:hyperlink w:anchor="_Toc31355402" w:history="1">
        <w:r w:rsidRPr="00742422">
          <w:rPr>
            <w:rStyle w:val="Hyperlink"/>
          </w:rPr>
          <w:t>5.3</w:t>
        </w:r>
        <w:r>
          <w:rPr>
            <w:rFonts w:asciiTheme="minorHAnsi" w:eastAsiaTheme="minorEastAsia" w:hAnsiTheme="minorHAnsi" w:cstheme="minorBidi"/>
            <w:b w:val="0"/>
            <w:i w:val="0"/>
            <w:sz w:val="22"/>
            <w:szCs w:val="22"/>
          </w:rPr>
          <w:tab/>
        </w:r>
        <w:r w:rsidRPr="00742422">
          <w:rPr>
            <w:rStyle w:val="Hyperlink"/>
          </w:rPr>
          <w:t>Definition of ‘vilify’</w:t>
        </w:r>
        <w:r>
          <w:rPr>
            <w:webHidden/>
          </w:rPr>
          <w:tab/>
        </w:r>
        <w:r>
          <w:rPr>
            <w:webHidden/>
          </w:rPr>
          <w:fldChar w:fldCharType="begin"/>
        </w:r>
        <w:r>
          <w:rPr>
            <w:webHidden/>
          </w:rPr>
          <w:instrText xml:space="preserve"> PAGEREF _Toc31355402 \h </w:instrText>
        </w:r>
        <w:r>
          <w:rPr>
            <w:webHidden/>
          </w:rPr>
        </w:r>
        <w:r>
          <w:rPr>
            <w:webHidden/>
          </w:rPr>
          <w:fldChar w:fldCharType="separate"/>
        </w:r>
        <w:r w:rsidR="009C3F0E">
          <w:rPr>
            <w:webHidden/>
          </w:rPr>
          <w:t>31</w:t>
        </w:r>
        <w:r>
          <w:rPr>
            <w:webHidden/>
          </w:rPr>
          <w:fldChar w:fldCharType="end"/>
        </w:r>
      </w:hyperlink>
    </w:p>
    <w:p w14:paraId="407F3CE8" w14:textId="24D726A0" w:rsidR="00AD058D" w:rsidRDefault="00AD058D">
      <w:pPr>
        <w:pStyle w:val="TOC2"/>
        <w:rPr>
          <w:rFonts w:asciiTheme="minorHAnsi" w:eastAsiaTheme="minorEastAsia" w:hAnsiTheme="minorHAnsi" w:cstheme="minorBidi"/>
          <w:b w:val="0"/>
          <w:i w:val="0"/>
          <w:sz w:val="22"/>
          <w:szCs w:val="22"/>
        </w:rPr>
      </w:pPr>
      <w:hyperlink w:anchor="_Toc31355403" w:history="1">
        <w:r w:rsidRPr="00742422">
          <w:rPr>
            <w:rStyle w:val="Hyperlink"/>
          </w:rPr>
          <w:t>5.4</w:t>
        </w:r>
        <w:r>
          <w:rPr>
            <w:rFonts w:asciiTheme="minorHAnsi" w:eastAsiaTheme="minorEastAsia" w:hAnsiTheme="minorHAnsi" w:cstheme="minorBidi"/>
            <w:b w:val="0"/>
            <w:i w:val="0"/>
            <w:sz w:val="22"/>
            <w:szCs w:val="22"/>
          </w:rPr>
          <w:tab/>
        </w:r>
        <w:r w:rsidRPr="00742422">
          <w:rPr>
            <w:rStyle w:val="Hyperlink"/>
          </w:rPr>
          <w:t>Exemption only for discriminatory statements and not for related discriminatory conduct</w:t>
        </w:r>
        <w:r>
          <w:rPr>
            <w:webHidden/>
          </w:rPr>
          <w:tab/>
        </w:r>
        <w:r>
          <w:rPr>
            <w:webHidden/>
          </w:rPr>
          <w:fldChar w:fldCharType="begin"/>
        </w:r>
        <w:r>
          <w:rPr>
            <w:webHidden/>
          </w:rPr>
          <w:instrText xml:space="preserve"> PAGEREF _Toc31355403 \h </w:instrText>
        </w:r>
        <w:r>
          <w:rPr>
            <w:webHidden/>
          </w:rPr>
        </w:r>
        <w:r>
          <w:rPr>
            <w:webHidden/>
          </w:rPr>
          <w:fldChar w:fldCharType="separate"/>
        </w:r>
        <w:r w:rsidR="009C3F0E">
          <w:rPr>
            <w:webHidden/>
          </w:rPr>
          <w:t>32</w:t>
        </w:r>
        <w:r>
          <w:rPr>
            <w:webHidden/>
          </w:rPr>
          <w:fldChar w:fldCharType="end"/>
        </w:r>
      </w:hyperlink>
    </w:p>
    <w:p w14:paraId="6C505B6F" w14:textId="08FCBF27" w:rsidR="00AD058D" w:rsidRDefault="00AD058D">
      <w:pPr>
        <w:pStyle w:val="TOC2"/>
        <w:rPr>
          <w:rFonts w:asciiTheme="minorHAnsi" w:eastAsiaTheme="minorEastAsia" w:hAnsiTheme="minorHAnsi" w:cstheme="minorBidi"/>
          <w:b w:val="0"/>
          <w:i w:val="0"/>
          <w:sz w:val="22"/>
          <w:szCs w:val="22"/>
        </w:rPr>
      </w:pPr>
      <w:hyperlink w:anchor="_Toc31355404" w:history="1">
        <w:r w:rsidRPr="00742422">
          <w:rPr>
            <w:rStyle w:val="Hyperlink"/>
          </w:rPr>
          <w:t>5.5</w:t>
        </w:r>
        <w:r>
          <w:rPr>
            <w:rFonts w:asciiTheme="minorHAnsi" w:eastAsiaTheme="minorEastAsia" w:hAnsiTheme="minorHAnsi" w:cstheme="minorBidi"/>
            <w:b w:val="0"/>
            <w:i w:val="0"/>
            <w:sz w:val="22"/>
            <w:szCs w:val="22"/>
          </w:rPr>
          <w:tab/>
        </w:r>
        <w:r w:rsidRPr="00742422">
          <w:rPr>
            <w:rStyle w:val="Hyperlink"/>
          </w:rPr>
          <w:t>Statements may amount to discrimination without accompanying conduct</w:t>
        </w:r>
        <w:r>
          <w:rPr>
            <w:webHidden/>
          </w:rPr>
          <w:tab/>
        </w:r>
        <w:r>
          <w:rPr>
            <w:webHidden/>
          </w:rPr>
          <w:fldChar w:fldCharType="begin"/>
        </w:r>
        <w:r>
          <w:rPr>
            <w:webHidden/>
          </w:rPr>
          <w:instrText xml:space="preserve"> PAGEREF _Toc31355404 \h </w:instrText>
        </w:r>
        <w:r>
          <w:rPr>
            <w:webHidden/>
          </w:rPr>
        </w:r>
        <w:r>
          <w:rPr>
            <w:webHidden/>
          </w:rPr>
          <w:fldChar w:fldCharType="separate"/>
        </w:r>
        <w:r w:rsidR="009C3F0E">
          <w:rPr>
            <w:webHidden/>
          </w:rPr>
          <w:t>34</w:t>
        </w:r>
        <w:r>
          <w:rPr>
            <w:webHidden/>
          </w:rPr>
          <w:fldChar w:fldCharType="end"/>
        </w:r>
      </w:hyperlink>
    </w:p>
    <w:p w14:paraId="61D09248" w14:textId="5ADEF744" w:rsidR="00AD058D" w:rsidRDefault="00AD058D">
      <w:pPr>
        <w:pStyle w:val="TOC2"/>
        <w:rPr>
          <w:rFonts w:asciiTheme="minorHAnsi" w:eastAsiaTheme="minorEastAsia" w:hAnsiTheme="minorHAnsi" w:cstheme="minorBidi"/>
          <w:b w:val="0"/>
          <w:i w:val="0"/>
          <w:sz w:val="22"/>
          <w:szCs w:val="22"/>
        </w:rPr>
      </w:pPr>
      <w:hyperlink w:anchor="_Toc31355405" w:history="1">
        <w:r w:rsidRPr="00742422">
          <w:rPr>
            <w:rStyle w:val="Hyperlink"/>
          </w:rPr>
          <w:t>5.6</w:t>
        </w:r>
        <w:r>
          <w:rPr>
            <w:rFonts w:asciiTheme="minorHAnsi" w:eastAsiaTheme="minorEastAsia" w:hAnsiTheme="minorHAnsi" w:cstheme="minorBidi"/>
            <w:b w:val="0"/>
            <w:i w:val="0"/>
            <w:sz w:val="22"/>
            <w:szCs w:val="22"/>
          </w:rPr>
          <w:tab/>
        </w:r>
        <w:r w:rsidRPr="00742422">
          <w:rPr>
            <w:rStyle w:val="Hyperlink"/>
          </w:rPr>
          <w:t>Sufficient protection for statements of belief</w:t>
        </w:r>
        <w:r>
          <w:rPr>
            <w:webHidden/>
          </w:rPr>
          <w:tab/>
        </w:r>
        <w:r>
          <w:rPr>
            <w:webHidden/>
          </w:rPr>
          <w:fldChar w:fldCharType="begin"/>
        </w:r>
        <w:r>
          <w:rPr>
            <w:webHidden/>
          </w:rPr>
          <w:instrText xml:space="preserve"> PAGEREF _Toc31355405 \h </w:instrText>
        </w:r>
        <w:r>
          <w:rPr>
            <w:webHidden/>
          </w:rPr>
        </w:r>
        <w:r>
          <w:rPr>
            <w:webHidden/>
          </w:rPr>
          <w:fldChar w:fldCharType="separate"/>
        </w:r>
        <w:r w:rsidR="009C3F0E">
          <w:rPr>
            <w:webHidden/>
          </w:rPr>
          <w:t>37</w:t>
        </w:r>
        <w:r>
          <w:rPr>
            <w:webHidden/>
          </w:rPr>
          <w:fldChar w:fldCharType="end"/>
        </w:r>
      </w:hyperlink>
    </w:p>
    <w:p w14:paraId="1988AFCC" w14:textId="1EABDD0C" w:rsidR="00AD058D" w:rsidRDefault="00AD058D">
      <w:pPr>
        <w:pStyle w:val="TOC1"/>
        <w:rPr>
          <w:rFonts w:asciiTheme="minorHAnsi" w:eastAsiaTheme="minorEastAsia" w:hAnsiTheme="minorHAnsi" w:cstheme="minorBidi"/>
          <w:b w:val="0"/>
          <w:sz w:val="22"/>
          <w:szCs w:val="22"/>
        </w:rPr>
      </w:pPr>
      <w:hyperlink w:anchor="_Toc31355406" w:history="1">
        <w:r w:rsidRPr="00742422">
          <w:rPr>
            <w:rStyle w:val="Hyperlink"/>
          </w:rPr>
          <w:t>6</w:t>
        </w:r>
        <w:r>
          <w:rPr>
            <w:rFonts w:asciiTheme="minorHAnsi" w:eastAsiaTheme="minorEastAsia" w:hAnsiTheme="minorHAnsi" w:cstheme="minorBidi"/>
            <w:b w:val="0"/>
            <w:sz w:val="22"/>
            <w:szCs w:val="22"/>
          </w:rPr>
          <w:tab/>
        </w:r>
        <w:r w:rsidRPr="00742422">
          <w:rPr>
            <w:rStyle w:val="Hyperlink"/>
          </w:rPr>
          <w:t>Indirect discrimination</w:t>
        </w:r>
        <w:r>
          <w:rPr>
            <w:webHidden/>
          </w:rPr>
          <w:tab/>
        </w:r>
        <w:r>
          <w:rPr>
            <w:webHidden/>
          </w:rPr>
          <w:fldChar w:fldCharType="begin"/>
        </w:r>
        <w:r>
          <w:rPr>
            <w:webHidden/>
          </w:rPr>
          <w:instrText xml:space="preserve"> PAGEREF _Toc31355406 \h </w:instrText>
        </w:r>
        <w:r>
          <w:rPr>
            <w:webHidden/>
          </w:rPr>
        </w:r>
        <w:r>
          <w:rPr>
            <w:webHidden/>
          </w:rPr>
          <w:fldChar w:fldCharType="separate"/>
        </w:r>
        <w:r w:rsidR="009C3F0E">
          <w:rPr>
            <w:webHidden/>
          </w:rPr>
          <w:t>40</w:t>
        </w:r>
        <w:r>
          <w:rPr>
            <w:webHidden/>
          </w:rPr>
          <w:fldChar w:fldCharType="end"/>
        </w:r>
      </w:hyperlink>
    </w:p>
    <w:p w14:paraId="2BCCDE35" w14:textId="720DF845" w:rsidR="00AD058D" w:rsidRDefault="00AD058D">
      <w:pPr>
        <w:pStyle w:val="TOC2"/>
        <w:rPr>
          <w:rFonts w:asciiTheme="minorHAnsi" w:eastAsiaTheme="minorEastAsia" w:hAnsiTheme="minorHAnsi" w:cstheme="minorBidi"/>
          <w:b w:val="0"/>
          <w:i w:val="0"/>
          <w:sz w:val="22"/>
          <w:szCs w:val="22"/>
        </w:rPr>
      </w:pPr>
      <w:hyperlink w:anchor="_Toc31355407" w:history="1">
        <w:r w:rsidRPr="00742422">
          <w:rPr>
            <w:rStyle w:val="Hyperlink"/>
          </w:rPr>
          <w:t>6.1</w:t>
        </w:r>
        <w:r>
          <w:rPr>
            <w:rFonts w:asciiTheme="minorHAnsi" w:eastAsiaTheme="minorEastAsia" w:hAnsiTheme="minorHAnsi" w:cstheme="minorBidi"/>
            <w:b w:val="0"/>
            <w:i w:val="0"/>
            <w:sz w:val="22"/>
            <w:szCs w:val="22"/>
          </w:rPr>
          <w:tab/>
        </w:r>
        <w:r w:rsidRPr="00742422">
          <w:rPr>
            <w:rStyle w:val="Hyperlink"/>
          </w:rPr>
          <w:t>Employer conduct rules and statements of belief</w:t>
        </w:r>
        <w:r>
          <w:rPr>
            <w:webHidden/>
          </w:rPr>
          <w:tab/>
        </w:r>
        <w:r>
          <w:rPr>
            <w:webHidden/>
          </w:rPr>
          <w:fldChar w:fldCharType="begin"/>
        </w:r>
        <w:r>
          <w:rPr>
            <w:webHidden/>
          </w:rPr>
          <w:instrText xml:space="preserve"> PAGEREF _Toc31355407 \h </w:instrText>
        </w:r>
        <w:r>
          <w:rPr>
            <w:webHidden/>
          </w:rPr>
        </w:r>
        <w:r>
          <w:rPr>
            <w:webHidden/>
          </w:rPr>
          <w:fldChar w:fldCharType="separate"/>
        </w:r>
        <w:r w:rsidR="009C3F0E">
          <w:rPr>
            <w:webHidden/>
          </w:rPr>
          <w:t>41</w:t>
        </w:r>
        <w:r>
          <w:rPr>
            <w:webHidden/>
          </w:rPr>
          <w:fldChar w:fldCharType="end"/>
        </w:r>
      </w:hyperlink>
    </w:p>
    <w:p w14:paraId="6D755A76" w14:textId="4F0FB5DD" w:rsidR="00AD058D" w:rsidRDefault="00AD058D">
      <w:pPr>
        <w:pStyle w:val="TOC2"/>
        <w:rPr>
          <w:rFonts w:asciiTheme="minorHAnsi" w:eastAsiaTheme="minorEastAsia" w:hAnsiTheme="minorHAnsi" w:cstheme="minorBidi"/>
          <w:b w:val="0"/>
          <w:i w:val="0"/>
          <w:sz w:val="22"/>
          <w:szCs w:val="22"/>
        </w:rPr>
      </w:pPr>
      <w:hyperlink w:anchor="_Toc31355408" w:history="1">
        <w:r w:rsidRPr="00742422">
          <w:rPr>
            <w:rStyle w:val="Hyperlink"/>
          </w:rPr>
          <w:t>6.2</w:t>
        </w:r>
        <w:r>
          <w:rPr>
            <w:rFonts w:asciiTheme="minorHAnsi" w:eastAsiaTheme="minorEastAsia" w:hAnsiTheme="minorHAnsi" w:cstheme="minorBidi"/>
            <w:b w:val="0"/>
            <w:i w:val="0"/>
            <w:sz w:val="22"/>
            <w:szCs w:val="22"/>
          </w:rPr>
          <w:tab/>
        </w:r>
        <w:r w:rsidRPr="00742422">
          <w:rPr>
            <w:rStyle w:val="Hyperlink"/>
          </w:rPr>
          <w:t>Qualifying bodies</w:t>
        </w:r>
        <w:r>
          <w:rPr>
            <w:webHidden/>
          </w:rPr>
          <w:tab/>
        </w:r>
        <w:r>
          <w:rPr>
            <w:webHidden/>
          </w:rPr>
          <w:fldChar w:fldCharType="begin"/>
        </w:r>
        <w:r>
          <w:rPr>
            <w:webHidden/>
          </w:rPr>
          <w:instrText xml:space="preserve"> PAGEREF _Toc31355408 \h </w:instrText>
        </w:r>
        <w:r>
          <w:rPr>
            <w:webHidden/>
          </w:rPr>
        </w:r>
        <w:r>
          <w:rPr>
            <w:webHidden/>
          </w:rPr>
          <w:fldChar w:fldCharType="separate"/>
        </w:r>
        <w:r w:rsidR="009C3F0E">
          <w:rPr>
            <w:webHidden/>
          </w:rPr>
          <w:t>42</w:t>
        </w:r>
        <w:r>
          <w:rPr>
            <w:webHidden/>
          </w:rPr>
          <w:fldChar w:fldCharType="end"/>
        </w:r>
      </w:hyperlink>
    </w:p>
    <w:p w14:paraId="4A1C5E72" w14:textId="05DB232B" w:rsidR="00AD058D" w:rsidRDefault="00AD058D">
      <w:pPr>
        <w:pStyle w:val="TOC2"/>
        <w:rPr>
          <w:rFonts w:asciiTheme="minorHAnsi" w:eastAsiaTheme="minorEastAsia" w:hAnsiTheme="minorHAnsi" w:cstheme="minorBidi"/>
          <w:b w:val="0"/>
          <w:i w:val="0"/>
          <w:sz w:val="22"/>
          <w:szCs w:val="22"/>
        </w:rPr>
      </w:pPr>
      <w:hyperlink w:anchor="_Toc31355409" w:history="1">
        <w:r w:rsidRPr="00742422">
          <w:rPr>
            <w:rStyle w:val="Hyperlink"/>
          </w:rPr>
          <w:t>6.3</w:t>
        </w:r>
        <w:r>
          <w:rPr>
            <w:rFonts w:asciiTheme="minorHAnsi" w:eastAsiaTheme="minorEastAsia" w:hAnsiTheme="minorHAnsi" w:cstheme="minorBidi"/>
            <w:b w:val="0"/>
            <w:i w:val="0"/>
            <w:sz w:val="22"/>
            <w:szCs w:val="22"/>
          </w:rPr>
          <w:tab/>
        </w:r>
        <w:r w:rsidRPr="00742422">
          <w:rPr>
            <w:rStyle w:val="Hyperlink"/>
          </w:rPr>
          <w:t>Threshold</w:t>
        </w:r>
        <w:r>
          <w:rPr>
            <w:webHidden/>
          </w:rPr>
          <w:tab/>
        </w:r>
        <w:r>
          <w:rPr>
            <w:webHidden/>
          </w:rPr>
          <w:fldChar w:fldCharType="begin"/>
        </w:r>
        <w:r>
          <w:rPr>
            <w:webHidden/>
          </w:rPr>
          <w:instrText xml:space="preserve"> PAGEREF _Toc31355409 \h </w:instrText>
        </w:r>
        <w:r>
          <w:rPr>
            <w:webHidden/>
          </w:rPr>
        </w:r>
        <w:r>
          <w:rPr>
            <w:webHidden/>
          </w:rPr>
          <w:fldChar w:fldCharType="separate"/>
        </w:r>
        <w:r w:rsidR="009C3F0E">
          <w:rPr>
            <w:webHidden/>
          </w:rPr>
          <w:t>43</w:t>
        </w:r>
        <w:r>
          <w:rPr>
            <w:webHidden/>
          </w:rPr>
          <w:fldChar w:fldCharType="end"/>
        </w:r>
      </w:hyperlink>
    </w:p>
    <w:p w14:paraId="3D6025BD" w14:textId="49D280F3" w:rsidR="00AD058D" w:rsidRDefault="00AD058D">
      <w:pPr>
        <w:pStyle w:val="TOC2"/>
        <w:rPr>
          <w:rFonts w:asciiTheme="minorHAnsi" w:eastAsiaTheme="minorEastAsia" w:hAnsiTheme="minorHAnsi" w:cstheme="minorBidi"/>
          <w:b w:val="0"/>
          <w:i w:val="0"/>
          <w:sz w:val="22"/>
          <w:szCs w:val="22"/>
        </w:rPr>
      </w:pPr>
      <w:hyperlink w:anchor="_Toc31355410" w:history="1">
        <w:r w:rsidRPr="00742422">
          <w:rPr>
            <w:rStyle w:val="Hyperlink"/>
          </w:rPr>
          <w:t>6.4</w:t>
        </w:r>
        <w:r>
          <w:rPr>
            <w:rFonts w:asciiTheme="minorHAnsi" w:eastAsiaTheme="minorEastAsia" w:hAnsiTheme="minorHAnsi" w:cstheme="minorBidi"/>
            <w:b w:val="0"/>
            <w:i w:val="0"/>
            <w:sz w:val="22"/>
            <w:szCs w:val="22"/>
          </w:rPr>
          <w:tab/>
        </w:r>
        <w:r w:rsidRPr="00742422">
          <w:rPr>
            <w:rStyle w:val="Hyperlink"/>
          </w:rPr>
          <w:t>Conscientious objections by health practitioners</w:t>
        </w:r>
        <w:r>
          <w:rPr>
            <w:webHidden/>
          </w:rPr>
          <w:tab/>
        </w:r>
        <w:r>
          <w:rPr>
            <w:webHidden/>
          </w:rPr>
          <w:fldChar w:fldCharType="begin"/>
        </w:r>
        <w:r>
          <w:rPr>
            <w:webHidden/>
          </w:rPr>
          <w:instrText xml:space="preserve"> PAGEREF _Toc31355410 \h </w:instrText>
        </w:r>
        <w:r>
          <w:rPr>
            <w:webHidden/>
          </w:rPr>
        </w:r>
        <w:r>
          <w:rPr>
            <w:webHidden/>
          </w:rPr>
          <w:fldChar w:fldCharType="separate"/>
        </w:r>
        <w:r w:rsidR="009C3F0E">
          <w:rPr>
            <w:webHidden/>
          </w:rPr>
          <w:t>43</w:t>
        </w:r>
        <w:r>
          <w:rPr>
            <w:webHidden/>
          </w:rPr>
          <w:fldChar w:fldCharType="end"/>
        </w:r>
      </w:hyperlink>
    </w:p>
    <w:p w14:paraId="2C9493D6" w14:textId="2A376BAF" w:rsidR="00AD058D" w:rsidRDefault="00AD058D">
      <w:pPr>
        <w:pStyle w:val="TOC1"/>
        <w:rPr>
          <w:rFonts w:asciiTheme="minorHAnsi" w:eastAsiaTheme="minorEastAsia" w:hAnsiTheme="minorHAnsi" w:cstheme="minorBidi"/>
          <w:b w:val="0"/>
          <w:sz w:val="22"/>
          <w:szCs w:val="22"/>
        </w:rPr>
      </w:pPr>
      <w:hyperlink w:anchor="_Toc31355411" w:history="1">
        <w:r w:rsidRPr="00742422">
          <w:rPr>
            <w:rStyle w:val="Hyperlink"/>
          </w:rPr>
          <w:t>7</w:t>
        </w:r>
        <w:r>
          <w:rPr>
            <w:rFonts w:asciiTheme="minorHAnsi" w:eastAsiaTheme="minorEastAsia" w:hAnsiTheme="minorHAnsi" w:cstheme="minorBidi"/>
            <w:b w:val="0"/>
            <w:sz w:val="22"/>
            <w:szCs w:val="22"/>
          </w:rPr>
          <w:tab/>
        </w:r>
        <w:r w:rsidRPr="00742422">
          <w:rPr>
            <w:rStyle w:val="Hyperlink"/>
          </w:rPr>
          <w:t>Local government by-laws</w:t>
        </w:r>
        <w:r>
          <w:rPr>
            <w:webHidden/>
          </w:rPr>
          <w:tab/>
        </w:r>
        <w:r>
          <w:rPr>
            <w:webHidden/>
          </w:rPr>
          <w:fldChar w:fldCharType="begin"/>
        </w:r>
        <w:r>
          <w:rPr>
            <w:webHidden/>
          </w:rPr>
          <w:instrText xml:space="preserve"> PAGEREF _Toc31355411 \h </w:instrText>
        </w:r>
        <w:r>
          <w:rPr>
            <w:webHidden/>
          </w:rPr>
        </w:r>
        <w:r>
          <w:rPr>
            <w:webHidden/>
          </w:rPr>
          <w:fldChar w:fldCharType="separate"/>
        </w:r>
        <w:r w:rsidR="009C3F0E">
          <w:rPr>
            <w:webHidden/>
          </w:rPr>
          <w:t>45</w:t>
        </w:r>
        <w:r>
          <w:rPr>
            <w:webHidden/>
          </w:rPr>
          <w:fldChar w:fldCharType="end"/>
        </w:r>
      </w:hyperlink>
    </w:p>
    <w:p w14:paraId="6F469B61" w14:textId="5AF839DB" w:rsidR="00C86324" w:rsidRDefault="000E4837" w:rsidP="00C81705">
      <w:pPr>
        <w:pStyle w:val="TOC2"/>
        <w:rPr>
          <w:b w:val="0"/>
        </w:rPr>
      </w:pPr>
      <w:r>
        <w:rPr>
          <w:b w:val="0"/>
        </w:rPr>
        <w:fldChar w:fldCharType="end"/>
      </w:r>
      <w:r w:rsidR="00C86324">
        <w:br w:type="page"/>
      </w:r>
    </w:p>
    <w:p w14:paraId="02C3DC1E" w14:textId="1B96553E" w:rsidR="00510390" w:rsidRDefault="009F2764" w:rsidP="00A27ABE">
      <w:pPr>
        <w:pStyle w:val="Heading1"/>
      </w:pPr>
      <w:bookmarkStart w:id="2" w:name="_Toc207761830"/>
      <w:bookmarkStart w:id="3" w:name="_Toc209578266"/>
      <w:bookmarkStart w:id="4" w:name="_Toc209941766"/>
      <w:bookmarkStart w:id="5" w:name="_Toc525894098"/>
      <w:bookmarkStart w:id="6" w:name="_Toc31355389"/>
      <w:r w:rsidRPr="009E08D1">
        <w:lastRenderedPageBreak/>
        <w:t>Introduction</w:t>
      </w:r>
      <w:bookmarkEnd w:id="2"/>
      <w:bookmarkEnd w:id="3"/>
      <w:bookmarkEnd w:id="4"/>
      <w:bookmarkEnd w:id="5"/>
      <w:bookmarkEnd w:id="6"/>
    </w:p>
    <w:p w14:paraId="575674A6" w14:textId="393D6AD0" w:rsidR="007905E6" w:rsidRDefault="009B1A45" w:rsidP="00CA1ED0">
      <w:pPr>
        <w:pStyle w:val="ListNumber"/>
      </w:pPr>
      <w:r>
        <w:t xml:space="preserve">On 27 September 2019, the </w:t>
      </w:r>
      <w:r w:rsidR="003D0096">
        <w:t xml:space="preserve">Australian Human Rights Commission </w:t>
      </w:r>
      <w:r w:rsidR="00E81FA1">
        <w:t xml:space="preserve">(the Commission) </w:t>
      </w:r>
      <w:r w:rsidR="00FC7F06">
        <w:t xml:space="preserve">made a </w:t>
      </w:r>
      <w:r w:rsidR="003D0096">
        <w:t xml:space="preserve">submission to the Attorney-General’s Department </w:t>
      </w:r>
      <w:r w:rsidR="00EF2584">
        <w:t xml:space="preserve">in relation to the </w:t>
      </w:r>
      <w:r w:rsidR="005163FD">
        <w:t xml:space="preserve">first exposure draft of </w:t>
      </w:r>
      <w:r w:rsidR="00EF2584">
        <w:t xml:space="preserve">a package of three draft Bills </w:t>
      </w:r>
      <w:r w:rsidR="005A54CC">
        <w:t xml:space="preserve">that </w:t>
      </w:r>
      <w:r w:rsidR="00327CB4">
        <w:t xml:space="preserve">the Department </w:t>
      </w:r>
      <w:r w:rsidR="00AF326E">
        <w:t>describe</w:t>
      </w:r>
      <w:r w:rsidR="00F9124F">
        <w:t>d</w:t>
      </w:r>
      <w:r w:rsidR="00AF326E">
        <w:t xml:space="preserve"> collectively as</w:t>
      </w:r>
      <w:r w:rsidR="007C5F5E">
        <w:t xml:space="preserve"> the</w:t>
      </w:r>
      <w:r w:rsidR="00AF326E">
        <w:t xml:space="preserve"> ‘Religious Freedom Bills’.</w:t>
      </w:r>
      <w:r w:rsidR="00811ECC">
        <w:rPr>
          <w:rStyle w:val="EndnoteReference"/>
        </w:rPr>
        <w:endnoteReference w:id="2"/>
      </w:r>
      <w:r w:rsidR="00AF326E">
        <w:t xml:space="preserve">  Th</w:t>
      </w:r>
      <w:r w:rsidR="002B0028">
        <w:t>e Religious Freedom Bills comprise</w:t>
      </w:r>
      <w:r w:rsidR="003C4212">
        <w:t>d</w:t>
      </w:r>
      <w:r w:rsidR="00100594">
        <w:t xml:space="preserve"> </w:t>
      </w:r>
      <w:r w:rsidR="007C5F5E">
        <w:t xml:space="preserve">drafts of </w:t>
      </w:r>
      <w:r w:rsidR="00100594">
        <w:t>the</w:t>
      </w:r>
      <w:r w:rsidR="007905E6">
        <w:t>:</w:t>
      </w:r>
    </w:p>
    <w:p w14:paraId="489667D3" w14:textId="69FBD3AB" w:rsidR="007905E6" w:rsidRDefault="002B0028" w:rsidP="00E239B1">
      <w:pPr>
        <w:pStyle w:val="ListNumber"/>
        <w:numPr>
          <w:ilvl w:val="0"/>
          <w:numId w:val="16"/>
        </w:numPr>
      </w:pPr>
      <w:r>
        <w:t>Religious Di</w:t>
      </w:r>
      <w:r w:rsidR="0091774C">
        <w:t>scrimination Bill 2019 (</w:t>
      </w:r>
      <w:proofErr w:type="spellStart"/>
      <w:r w:rsidR="0091774C">
        <w:t>Cth</w:t>
      </w:r>
      <w:proofErr w:type="spellEnd"/>
      <w:r w:rsidR="0091774C">
        <w:t xml:space="preserve">) (the Bill) </w:t>
      </w:r>
    </w:p>
    <w:p w14:paraId="7150DD46" w14:textId="7CF449F1" w:rsidR="001309D7" w:rsidRDefault="00185E1E" w:rsidP="00E239B1">
      <w:pPr>
        <w:pStyle w:val="ListNumber"/>
        <w:numPr>
          <w:ilvl w:val="0"/>
          <w:numId w:val="16"/>
        </w:numPr>
      </w:pPr>
      <w:r>
        <w:t>Religious Discrimination (Consequential Amendments) Bill 2019 (</w:t>
      </w:r>
      <w:proofErr w:type="spellStart"/>
      <w:r>
        <w:t>Cth</w:t>
      </w:r>
      <w:proofErr w:type="spellEnd"/>
      <w:r>
        <w:t>) (the Consequential Amendments Bill)</w:t>
      </w:r>
    </w:p>
    <w:p w14:paraId="141EDBB6" w14:textId="06EA4C02" w:rsidR="00185E1E" w:rsidRDefault="00100594" w:rsidP="00E239B1">
      <w:pPr>
        <w:pStyle w:val="ListNumber"/>
        <w:numPr>
          <w:ilvl w:val="0"/>
          <w:numId w:val="16"/>
        </w:numPr>
      </w:pPr>
      <w:r>
        <w:t>Human Rights Legislation Amendment (Freedom of Religion) Bill 2019 (</w:t>
      </w:r>
      <w:proofErr w:type="spellStart"/>
      <w:r>
        <w:t>Cth</w:t>
      </w:r>
      <w:proofErr w:type="spellEnd"/>
      <w:r>
        <w:t>) (</w:t>
      </w:r>
      <w:r w:rsidR="00056C1A">
        <w:t>the Freedom of Religion Bill).</w:t>
      </w:r>
    </w:p>
    <w:p w14:paraId="066FC743" w14:textId="52F70E55" w:rsidR="003C4212" w:rsidRDefault="003C4212" w:rsidP="00D22E33">
      <w:pPr>
        <w:pStyle w:val="ListNumber"/>
      </w:pPr>
      <w:r>
        <w:t xml:space="preserve">On </w:t>
      </w:r>
      <w:r w:rsidR="00704404">
        <w:t xml:space="preserve">10 December 2019, the Attorney-General’s Department published a second exposure draft </w:t>
      </w:r>
      <w:r w:rsidR="0098215C">
        <w:t>of the Religious Freedom Bills.</w:t>
      </w:r>
    </w:p>
    <w:p w14:paraId="6AEDAA51" w14:textId="01BE8780" w:rsidR="005D42CF" w:rsidRDefault="005D42CF" w:rsidP="00D22E33">
      <w:pPr>
        <w:pStyle w:val="ListNumber"/>
      </w:pPr>
      <w:r>
        <w:t xml:space="preserve">This submission focuses on the changes </w:t>
      </w:r>
      <w:r w:rsidR="000C554E">
        <w:t xml:space="preserve">that have been made </w:t>
      </w:r>
      <w:r w:rsidR="00215276">
        <w:t xml:space="preserve">to the </w:t>
      </w:r>
      <w:r w:rsidR="00BA5723">
        <w:t xml:space="preserve">Religious Freedom </w:t>
      </w:r>
      <w:r w:rsidR="00215276">
        <w:t xml:space="preserve">Bills </w:t>
      </w:r>
      <w:r w:rsidR="000C554E">
        <w:t xml:space="preserve">in the </w:t>
      </w:r>
      <w:r w:rsidR="00AD67BD">
        <w:t xml:space="preserve">second exposure draft.  It does not repeat </w:t>
      </w:r>
      <w:proofErr w:type="gramStart"/>
      <w:r w:rsidR="00AD67BD">
        <w:t>all of</w:t>
      </w:r>
      <w:proofErr w:type="gramEnd"/>
      <w:r w:rsidR="00AD67BD">
        <w:t xml:space="preserve"> the </w:t>
      </w:r>
      <w:r w:rsidR="00BA5723">
        <w:t xml:space="preserve">analysis and other </w:t>
      </w:r>
      <w:r w:rsidR="00AD67BD">
        <w:t xml:space="preserve">information contained in the </w:t>
      </w:r>
      <w:r w:rsidR="002A7DA7">
        <w:t>Commission’s first submission.</w:t>
      </w:r>
      <w:r w:rsidR="00B7790F">
        <w:t xml:space="preserve">  However, for clarity, th</w:t>
      </w:r>
      <w:r w:rsidR="00BA5723">
        <w:t>os</w:t>
      </w:r>
      <w:r w:rsidR="00B7790F">
        <w:t xml:space="preserve">e recommendations </w:t>
      </w:r>
      <w:r w:rsidR="003859F8">
        <w:t xml:space="preserve">from the </w:t>
      </w:r>
      <w:r w:rsidR="00524610">
        <w:t>Commission’s first submission</w:t>
      </w:r>
      <w:r w:rsidR="00BA5723">
        <w:t>,</w:t>
      </w:r>
      <w:r w:rsidR="00524610">
        <w:t xml:space="preserve"> </w:t>
      </w:r>
      <w:r w:rsidR="00BA5723">
        <w:t xml:space="preserve">which </w:t>
      </w:r>
      <w:r w:rsidR="00524610">
        <w:t>have not already been implemented</w:t>
      </w:r>
      <w:r w:rsidR="00BA5723">
        <w:t>,</w:t>
      </w:r>
      <w:r w:rsidR="00524610">
        <w:t xml:space="preserve"> </w:t>
      </w:r>
      <w:r w:rsidR="00602DD5">
        <w:t xml:space="preserve">are repeated here so that </w:t>
      </w:r>
      <w:r w:rsidR="001F43C0">
        <w:t>it is clear what changes the Co</w:t>
      </w:r>
      <w:r w:rsidR="00FB5820">
        <w:t xml:space="preserve">mmission considers still need to be made to the Bill </w:t>
      </w:r>
      <w:r w:rsidR="005F00CE">
        <w:t>from a human rights perspective.</w:t>
      </w:r>
    </w:p>
    <w:p w14:paraId="2EE01263" w14:textId="760AEA39" w:rsidR="009F2764" w:rsidRDefault="003423F4" w:rsidP="009E08D1">
      <w:pPr>
        <w:pStyle w:val="Heading1"/>
      </w:pPr>
      <w:bookmarkStart w:id="7" w:name="_Toc525894099"/>
      <w:bookmarkStart w:id="8" w:name="_Toc31355390"/>
      <w:r>
        <w:t>Summary</w:t>
      </w:r>
      <w:bookmarkEnd w:id="7"/>
      <w:bookmarkEnd w:id="8"/>
    </w:p>
    <w:p w14:paraId="1BC8729D" w14:textId="01CD3164" w:rsidR="00913AD2" w:rsidRDefault="004564A3" w:rsidP="004564A3">
      <w:pPr>
        <w:pStyle w:val="ListNumber"/>
      </w:pPr>
      <w:r>
        <w:t xml:space="preserve">The Commission strongly supports the introduction of </w:t>
      </w:r>
      <w:r w:rsidR="00376F7B">
        <w:t xml:space="preserve">enforceable </w:t>
      </w:r>
      <w:r>
        <w:t xml:space="preserve">protections </w:t>
      </w:r>
      <w:r w:rsidR="0043726B">
        <w:t xml:space="preserve">against religious discrimination </w:t>
      </w:r>
      <w:r w:rsidR="00483DE0">
        <w:t xml:space="preserve">for </w:t>
      </w:r>
      <w:r w:rsidR="0043726B">
        <w:t xml:space="preserve">all </w:t>
      </w:r>
      <w:r w:rsidR="00483DE0">
        <w:t>people in Australia</w:t>
      </w:r>
      <w:r w:rsidR="0043726B">
        <w:t>.</w:t>
      </w:r>
      <w:r w:rsidR="00265C5C">
        <w:t xml:space="preserve">  </w:t>
      </w:r>
      <w:r w:rsidR="00376A3C">
        <w:t>This has been the consistent position of the Commission for more than 20 years.</w:t>
      </w:r>
      <w:r w:rsidR="00044FC9" w:rsidRPr="00BE77B6">
        <w:rPr>
          <w:sz w:val="20"/>
          <w:szCs w:val="20"/>
          <w:vertAlign w:val="superscript"/>
        </w:rPr>
        <w:endnoteReference w:id="3"/>
      </w:r>
      <w:r w:rsidR="00376A3C">
        <w:t xml:space="preserve"> </w:t>
      </w:r>
    </w:p>
    <w:p w14:paraId="63DF4024" w14:textId="7CE43EDF" w:rsidR="00376A3C" w:rsidRDefault="00EB6025" w:rsidP="004564A3">
      <w:pPr>
        <w:pStyle w:val="ListNumber"/>
      </w:pPr>
      <w:r>
        <w:t xml:space="preserve">While there are some protections against religious discrimination </w:t>
      </w:r>
      <w:r w:rsidR="00BA5723">
        <w:t>in</w:t>
      </w:r>
      <w:r w:rsidR="00E10D86">
        <w:t xml:space="preserve"> Commonwealth, State and Territory </w:t>
      </w:r>
      <w:r w:rsidR="00BA5723">
        <w:t>law</w:t>
      </w:r>
      <w:r w:rsidR="00E10D86">
        <w:t>, these protections are incomplete</w:t>
      </w:r>
      <w:r w:rsidR="009B4340">
        <w:t xml:space="preserve">.  In some </w:t>
      </w:r>
      <w:r w:rsidR="00E81FA1">
        <w:t>scenarios</w:t>
      </w:r>
      <w:r w:rsidR="009B4340">
        <w:t>, such as complaints to the Commission of religious discrimination in employment, th</w:t>
      </w:r>
      <w:r w:rsidR="00BA5723">
        <w:t>ose existing legal protections</w:t>
      </w:r>
      <w:r w:rsidR="009B4340">
        <w:t xml:space="preserve"> do not provide for enforceable remedies where discrimination is established. </w:t>
      </w:r>
    </w:p>
    <w:p w14:paraId="0B6E2C93" w14:textId="476728F5" w:rsidR="009B4340" w:rsidRDefault="00AB340F" w:rsidP="004564A3">
      <w:pPr>
        <w:pStyle w:val="ListNumber"/>
      </w:pPr>
      <w:r>
        <w:t xml:space="preserve">Just as Australians </w:t>
      </w:r>
      <w:r w:rsidR="00CC6C0B">
        <w:t xml:space="preserve">are provided </w:t>
      </w:r>
      <w:r w:rsidR="00F603C6">
        <w:t xml:space="preserve">with statutory </w:t>
      </w:r>
      <w:r w:rsidR="00CC6C0B">
        <w:t xml:space="preserve">protection against discrimination on the grounds of race, sex, </w:t>
      </w:r>
      <w:r w:rsidR="001976C1">
        <w:t xml:space="preserve">disability and age, so too </w:t>
      </w:r>
      <w:r w:rsidR="001976C1">
        <w:lastRenderedPageBreak/>
        <w:t xml:space="preserve">should they be provided with </w:t>
      </w:r>
      <w:r w:rsidR="00F603C6">
        <w:t xml:space="preserve">equivalent </w:t>
      </w:r>
      <w:r w:rsidR="001976C1">
        <w:t xml:space="preserve">protection against discrimination on the ground of religious belief or activity.  </w:t>
      </w:r>
      <w:r w:rsidR="00397498">
        <w:t>This reinforces the idea</w:t>
      </w:r>
      <w:r w:rsidR="00A6312E">
        <w:t xml:space="preserve">, reflected in </w:t>
      </w:r>
      <w:r w:rsidR="003B5212">
        <w:t xml:space="preserve">article 2 of the Universal Declaration of Human Rights and </w:t>
      </w:r>
      <w:r w:rsidR="000E639E">
        <w:t xml:space="preserve">in </w:t>
      </w:r>
      <w:r w:rsidR="00A6312E">
        <w:t xml:space="preserve">the </w:t>
      </w:r>
      <w:proofErr w:type="gramStart"/>
      <w:r w:rsidR="00B2117D">
        <w:t>objects</w:t>
      </w:r>
      <w:proofErr w:type="gramEnd"/>
      <w:r w:rsidR="00B2117D">
        <w:t xml:space="preserve"> clause for the Bill,</w:t>
      </w:r>
      <w:r w:rsidR="00397498">
        <w:t xml:space="preserve"> that human rights are </w:t>
      </w:r>
      <w:r w:rsidR="00825080">
        <w:t xml:space="preserve">indivisible and </w:t>
      </w:r>
      <w:r w:rsidR="00397498">
        <w:t>universal</w:t>
      </w:r>
      <w:r w:rsidR="00A6312E">
        <w:t xml:space="preserve">. </w:t>
      </w:r>
    </w:p>
    <w:p w14:paraId="404BFF68" w14:textId="5B4CEE4A" w:rsidR="00B2117D" w:rsidRDefault="007740F7" w:rsidP="004564A3">
      <w:pPr>
        <w:pStyle w:val="ListNumber"/>
      </w:pPr>
      <w:r>
        <w:t xml:space="preserve">Prohibiting </w:t>
      </w:r>
      <w:r w:rsidR="00CF784D">
        <w:t xml:space="preserve">discrimination on the ground of </w:t>
      </w:r>
      <w:r w:rsidR="00CF3A71">
        <w:t>religious belief or activity (including belief</w:t>
      </w:r>
      <w:r w:rsidR="007C43EB">
        <w:t>s about religion held by people who are atheist</w:t>
      </w:r>
      <w:r w:rsidR="0039031A">
        <w:t>s</w:t>
      </w:r>
      <w:r w:rsidR="007C43EB">
        <w:t xml:space="preserve"> or agnostic</w:t>
      </w:r>
      <w:r w:rsidR="00AE7615">
        <w:t>s</w:t>
      </w:r>
      <w:r w:rsidR="007C43EB">
        <w:t>)</w:t>
      </w:r>
      <w:r w:rsidR="007119BD">
        <w:t xml:space="preserve"> </w:t>
      </w:r>
      <w:r w:rsidR="00342B28">
        <w:t>is consistent with</w:t>
      </w:r>
      <w:r w:rsidR="00BA5723">
        <w:t xml:space="preserve"> and supports </w:t>
      </w:r>
      <w:r w:rsidR="00342B28">
        <w:t xml:space="preserve">the </w:t>
      </w:r>
      <w:r w:rsidR="00D76A68">
        <w:t>tolerant, pluralistic nature of Australian society.</w:t>
      </w:r>
    </w:p>
    <w:p w14:paraId="64053BF5" w14:textId="07118E37" w:rsidR="00CC6C0B" w:rsidRDefault="00BA5723" w:rsidP="004564A3">
      <w:pPr>
        <w:pStyle w:val="ListNumber"/>
      </w:pPr>
      <w:r>
        <w:t>Many provisions of</w:t>
      </w:r>
      <w:r w:rsidR="00ED454D">
        <w:t xml:space="preserve"> t</w:t>
      </w:r>
      <w:r w:rsidR="00C86032">
        <w:t xml:space="preserve">he Bill </w:t>
      </w:r>
      <w:r>
        <w:t xml:space="preserve">are </w:t>
      </w:r>
      <w:r w:rsidR="00ED454D">
        <w:t>consistent with the objective of providing equivalent protection against discrimination on the ground of religious belief or activity</w:t>
      </w:r>
      <w:r w:rsidR="00724290">
        <w:t xml:space="preserve">—as compared with </w:t>
      </w:r>
      <w:r w:rsidR="00FA5839">
        <w:t xml:space="preserve">existing </w:t>
      </w:r>
      <w:r w:rsidR="00724290">
        <w:t>Commonwealth laws that prohibit discrimination on other grounds such as race, sex, disability and age</w:t>
      </w:r>
      <w:r w:rsidR="00DE201B">
        <w:t xml:space="preserve">.  </w:t>
      </w:r>
      <w:r w:rsidR="00724290">
        <w:t>T</w:t>
      </w:r>
      <w:r w:rsidR="00DE201B">
        <w:t xml:space="preserve">he Bill </w:t>
      </w:r>
      <w:r w:rsidR="00724290">
        <w:t xml:space="preserve">prohibits </w:t>
      </w:r>
      <w:r w:rsidR="00FA5839">
        <w:t xml:space="preserve">direct and indirect </w:t>
      </w:r>
      <w:r w:rsidR="00724290">
        <w:t xml:space="preserve">discrimination on the ground of religious belief or activity </w:t>
      </w:r>
      <w:r w:rsidR="00DE201B">
        <w:t xml:space="preserve">in areas of public life covered by </w:t>
      </w:r>
      <w:r w:rsidR="00FA5839">
        <w:t xml:space="preserve">those </w:t>
      </w:r>
      <w:r w:rsidR="00DE201B">
        <w:t xml:space="preserve">other </w:t>
      </w:r>
      <w:r w:rsidR="006058D0">
        <w:t>Commonwealth</w:t>
      </w:r>
      <w:r w:rsidR="00DE201B">
        <w:t xml:space="preserve"> discrimination law</w:t>
      </w:r>
      <w:r w:rsidR="00FA5839">
        <w:t>s</w:t>
      </w:r>
      <w:r w:rsidR="00DE201B">
        <w:t>.  The Bill also provides for general and specific exemptions</w:t>
      </w:r>
      <w:r w:rsidR="00040D7E">
        <w:t xml:space="preserve"> which </w:t>
      </w:r>
      <w:r w:rsidR="00311B99">
        <w:t>are broadly consistent with other discrimination law.</w:t>
      </w:r>
      <w:r w:rsidR="008B3984">
        <w:t xml:space="preserve">  </w:t>
      </w:r>
    </w:p>
    <w:p w14:paraId="1BE11E59" w14:textId="4B0248D8" w:rsidR="00BA5723" w:rsidRDefault="00FA5839" w:rsidP="00CA1ED0">
      <w:pPr>
        <w:pStyle w:val="ListNumber"/>
      </w:pPr>
      <w:r>
        <w:t xml:space="preserve">The Commission endorses these </w:t>
      </w:r>
      <w:r w:rsidR="003D7D95">
        <w:t>elements</w:t>
      </w:r>
      <w:r>
        <w:t xml:space="preserve"> of the Bill</w:t>
      </w:r>
      <w:r w:rsidR="00F551D5">
        <w:t>.</w:t>
      </w:r>
      <w:r>
        <w:t xml:space="preserve"> </w:t>
      </w:r>
      <w:r w:rsidR="00F551D5">
        <w:t xml:space="preserve">They represent </w:t>
      </w:r>
      <w:r>
        <w:t>a</w:t>
      </w:r>
      <w:r w:rsidR="000D0C96">
        <w:t xml:space="preserve"> </w:t>
      </w:r>
      <w:r w:rsidR="00BA5723">
        <w:t xml:space="preserve">conventional </w:t>
      </w:r>
      <w:r>
        <w:t xml:space="preserve">means of incorporating certain protections from international human rights law into Australia’s domestic law.  </w:t>
      </w:r>
    </w:p>
    <w:p w14:paraId="3CEDC0B3" w14:textId="3E20BFC3" w:rsidR="00735980" w:rsidRDefault="00311B99" w:rsidP="00CA1ED0">
      <w:pPr>
        <w:pStyle w:val="ListNumber"/>
      </w:pPr>
      <w:r>
        <w:t xml:space="preserve">However, </w:t>
      </w:r>
      <w:r w:rsidR="003D7D95">
        <w:t xml:space="preserve">the Commission is concerned that, </w:t>
      </w:r>
      <w:r>
        <w:t xml:space="preserve">in </w:t>
      </w:r>
      <w:r w:rsidR="009C1175">
        <w:t>other</w:t>
      </w:r>
      <w:r>
        <w:t xml:space="preserve"> respects, the Bill </w:t>
      </w:r>
      <w:r w:rsidR="00906178">
        <w:t>would</w:t>
      </w:r>
      <w:r w:rsidR="00DC7E0E">
        <w:t xml:space="preserve"> provide protection to religious belief or activity at the expense of other </w:t>
      </w:r>
      <w:r w:rsidR="00241543">
        <w:t xml:space="preserve">rights.  </w:t>
      </w:r>
      <w:r w:rsidR="00BA5723" w:rsidRPr="00F614EF">
        <w:t xml:space="preserve">The Commission considers that those </w:t>
      </w:r>
      <w:r w:rsidR="00BA5723" w:rsidRPr="00770CBF">
        <w:t xml:space="preserve">provisions </w:t>
      </w:r>
      <w:r w:rsidR="00BA5723" w:rsidRPr="00F614EF">
        <w:t xml:space="preserve">of the Bill </w:t>
      </w:r>
      <w:r w:rsidR="00F614EF">
        <w:t>need to be amended or removed, because t</w:t>
      </w:r>
      <w:r w:rsidR="00F614EF" w:rsidRPr="00B32DEB">
        <w:t>hey</w:t>
      </w:r>
      <w:r w:rsidR="00BA5723" w:rsidRPr="00F614EF">
        <w:t xml:space="preserve"> limit other human rights </w:t>
      </w:r>
      <w:r w:rsidR="00F614EF" w:rsidRPr="00B32DEB">
        <w:t xml:space="preserve">in a way that is unnecessary and </w:t>
      </w:r>
      <w:proofErr w:type="gramStart"/>
      <w:r w:rsidR="00F614EF" w:rsidRPr="00B32DEB">
        <w:t>disproportionate, or</w:t>
      </w:r>
      <w:proofErr w:type="gramEnd"/>
      <w:r w:rsidR="00F614EF" w:rsidRPr="00B32DEB">
        <w:t xml:space="preserve"> are otherwise inconsistent with international human rights law</w:t>
      </w:r>
      <w:r w:rsidR="00BA5723" w:rsidRPr="00F614EF">
        <w:t>.</w:t>
      </w:r>
    </w:p>
    <w:p w14:paraId="4E7CF3D3" w14:textId="57F88009" w:rsidR="00311B99" w:rsidRDefault="00241543" w:rsidP="00CA1ED0">
      <w:pPr>
        <w:pStyle w:val="ListNumber"/>
      </w:pPr>
      <w:r>
        <w:t xml:space="preserve">The Bill includes </w:t>
      </w:r>
      <w:proofErr w:type="gramStart"/>
      <w:r>
        <w:t>a number of</w:t>
      </w:r>
      <w:proofErr w:type="gramEnd"/>
      <w:r>
        <w:t xml:space="preserve"> </w:t>
      </w:r>
      <w:r w:rsidR="00763F13">
        <w:t xml:space="preserve">unique provisions </w:t>
      </w:r>
      <w:r w:rsidR="00E241F4">
        <w:t>that have no counterpart in other anti-discrimination law</w:t>
      </w:r>
      <w:r w:rsidR="00D77A9D">
        <w:t>s</w:t>
      </w:r>
      <w:r w:rsidR="00E241F4">
        <w:t xml:space="preserve"> </w:t>
      </w:r>
      <w:r w:rsidR="002A735A">
        <w:t xml:space="preserve">and appear to be designed to address </w:t>
      </w:r>
      <w:r w:rsidR="00A8765A">
        <w:t>high</w:t>
      </w:r>
      <w:r w:rsidR="00FA5839">
        <w:t>-</w:t>
      </w:r>
      <w:r w:rsidR="00A8765A">
        <w:t>profile individual cases</w:t>
      </w:r>
      <w:r w:rsidR="002A735A">
        <w:t xml:space="preserve">.  As a matter of principle, the Commission considers that </w:t>
      </w:r>
      <w:r w:rsidR="00FA1F7B">
        <w:t xml:space="preserve">legislating for single instances </w:t>
      </w:r>
      <w:r w:rsidR="002A735A">
        <w:t xml:space="preserve">is </w:t>
      </w:r>
      <w:r w:rsidR="00D77A9D">
        <w:t xml:space="preserve">not good </w:t>
      </w:r>
      <w:r w:rsidR="00771C8E">
        <w:t xml:space="preserve">legislative practice.  As a matter of substance, </w:t>
      </w:r>
      <w:r w:rsidR="00CE01CD">
        <w:t xml:space="preserve">it </w:t>
      </w:r>
      <w:r w:rsidR="00D77A9D">
        <w:t>may</w:t>
      </w:r>
      <w:r w:rsidR="00EA7C9E">
        <w:t xml:space="preserve"> lead to unintended </w:t>
      </w:r>
      <w:r w:rsidR="000E1DF3">
        <w:t xml:space="preserve">and undesirable </w:t>
      </w:r>
      <w:r w:rsidR="00EA7C9E">
        <w:t>consequences</w:t>
      </w:r>
      <w:r w:rsidR="000E1DF3">
        <w:t>.</w:t>
      </w:r>
    </w:p>
    <w:p w14:paraId="036C9DB6" w14:textId="7CE27FAC" w:rsidR="007B36CC" w:rsidRDefault="003C75E4" w:rsidP="00CA1ED0">
      <w:pPr>
        <w:pStyle w:val="ListNumber"/>
      </w:pPr>
      <w:r>
        <w:t>Many of the amendments that have been made in the second exposure draft have the effect of enabling discrimination</w:t>
      </w:r>
      <w:r w:rsidR="0022792A">
        <w:t xml:space="preserve"> on the ground of religious belief or activity in a number of areas</w:t>
      </w:r>
      <w:r>
        <w:t>, if the body engaging in the discrimination is itself ‘</w:t>
      </w:r>
      <w:proofErr w:type="gramStart"/>
      <w:r>
        <w:t>religious’</w:t>
      </w:r>
      <w:proofErr w:type="gramEnd"/>
      <w:r>
        <w:t>.</w:t>
      </w:r>
      <w:r w:rsidR="003A67FB">
        <w:t xml:space="preserve">  This creates </w:t>
      </w:r>
      <w:r w:rsidR="00F0683C">
        <w:t xml:space="preserve">the </w:t>
      </w:r>
      <w:r w:rsidR="00F0683C">
        <w:lastRenderedPageBreak/>
        <w:t>impression that</w:t>
      </w:r>
      <w:r w:rsidR="00435027">
        <w:t xml:space="preserve"> </w:t>
      </w:r>
      <w:r w:rsidR="00F0683C">
        <w:t xml:space="preserve">this Bill </w:t>
      </w:r>
      <w:r w:rsidR="00F84503">
        <w:t xml:space="preserve">is increasingly becoming a collection of </w:t>
      </w:r>
      <w:r w:rsidR="00B25D30">
        <w:t xml:space="preserve">exemptions </w:t>
      </w:r>
      <w:r w:rsidR="007E6194">
        <w:t xml:space="preserve">for </w:t>
      </w:r>
      <w:r w:rsidR="0089425A">
        <w:t xml:space="preserve">different kinds of </w:t>
      </w:r>
      <w:r w:rsidR="007E6194">
        <w:t>religious organisations</w:t>
      </w:r>
      <w:r w:rsidR="002E18CD">
        <w:t>.</w:t>
      </w:r>
    </w:p>
    <w:p w14:paraId="4B065EAD" w14:textId="12A962BC" w:rsidR="00337294" w:rsidRDefault="007B36CC" w:rsidP="00CA1ED0">
      <w:pPr>
        <w:pStyle w:val="ListNumber"/>
      </w:pPr>
      <w:r>
        <w:t>The Commission’s view is that a Bill prohibiting religious discrimination should apply</w:t>
      </w:r>
      <w:r w:rsidR="00765D21">
        <w:t xml:space="preserve"> </w:t>
      </w:r>
      <w:r w:rsidR="00A716F6">
        <w:t xml:space="preserve">equally </w:t>
      </w:r>
      <w:r w:rsidR="00765D21">
        <w:t xml:space="preserve">to the conduct of everyone in society, </w:t>
      </w:r>
      <w:proofErr w:type="gramStart"/>
      <w:r w:rsidR="00765D21">
        <w:t>whether or not</w:t>
      </w:r>
      <w:proofErr w:type="gramEnd"/>
      <w:r w:rsidR="00765D21">
        <w:t xml:space="preserve"> they are religious.</w:t>
      </w:r>
      <w:r w:rsidR="00A716F6">
        <w:t xml:space="preserve"> </w:t>
      </w:r>
      <w:r w:rsidR="00250194">
        <w:t xml:space="preserve"> </w:t>
      </w:r>
      <w:r w:rsidR="00EC5901">
        <w:t>In the context of a Bill that is seeking to eliminate religious discrimination, it is reasonable to expect as a starting point that everyone should have the same opportunity to apply for jobs, go to school and to buy goods and services, including where the employers, educators and providers of goods and services are religious bodies.</w:t>
      </w:r>
      <w:r w:rsidR="00A67C6B">
        <w:t xml:space="preserve">  </w:t>
      </w:r>
      <w:r w:rsidR="00A716F6">
        <w:t xml:space="preserve">Some exemptions for inherently religious practices are appropriate, but broad exemptions </w:t>
      </w:r>
      <w:r w:rsidR="00576FA0">
        <w:t xml:space="preserve">that allow religious bodies to engage in religious discrimination </w:t>
      </w:r>
      <w:r w:rsidR="00BA0FD6">
        <w:t xml:space="preserve">across a range of </w:t>
      </w:r>
      <w:r w:rsidR="00337294">
        <w:t>areas of public life undermines the rationale for the introduction of the Bill.</w:t>
      </w:r>
    </w:p>
    <w:p w14:paraId="0F8607D0" w14:textId="1983592F" w:rsidR="000E1DF3" w:rsidRDefault="003C184B" w:rsidP="004564A3">
      <w:pPr>
        <w:pStyle w:val="ListNumber"/>
      </w:pPr>
      <w:r>
        <w:t xml:space="preserve">The </w:t>
      </w:r>
      <w:r w:rsidR="003D7D95">
        <w:t xml:space="preserve">Commission’s </w:t>
      </w:r>
      <w:r>
        <w:t xml:space="preserve">main concerns </w:t>
      </w:r>
      <w:r w:rsidR="003D7D95">
        <w:t xml:space="preserve">regarding </w:t>
      </w:r>
      <w:r>
        <w:t>the Bill are as follows.</w:t>
      </w:r>
    </w:p>
    <w:p w14:paraId="55A5C4BA" w14:textId="3023D86D" w:rsidR="00FE1DCA" w:rsidRDefault="003C184B" w:rsidP="004564A3">
      <w:pPr>
        <w:pStyle w:val="ListNumber"/>
      </w:pPr>
      <w:r w:rsidRPr="00FE1DCA">
        <w:rPr>
          <w:b/>
          <w:bCs/>
        </w:rPr>
        <w:t>First</w:t>
      </w:r>
      <w:r>
        <w:t xml:space="preserve">, the scope of the Bill is </w:t>
      </w:r>
      <w:r w:rsidR="009A4E3B">
        <w:t xml:space="preserve">overly </w:t>
      </w:r>
      <w:r w:rsidR="003555E3">
        <w:t>broad in</w:t>
      </w:r>
      <w:r w:rsidR="001D1520">
        <w:t xml:space="preserve"> defining</w:t>
      </w:r>
      <w:r w:rsidR="003555E3">
        <w:t xml:space="preserve"> who may be a victim of religious discrimination</w:t>
      </w:r>
      <w:r w:rsidR="004631BD">
        <w:t>,</w:t>
      </w:r>
      <w:r w:rsidR="003555E3">
        <w:t xml:space="preserve"> and</w:t>
      </w:r>
      <w:r w:rsidR="00A2703B">
        <w:t xml:space="preserve"> too</w:t>
      </w:r>
      <w:r w:rsidR="003555E3">
        <w:t xml:space="preserve"> narrow in </w:t>
      </w:r>
      <w:r w:rsidR="001D1520">
        <w:t xml:space="preserve">defining </w:t>
      </w:r>
      <w:r w:rsidR="003555E3">
        <w:t xml:space="preserve">who may </w:t>
      </w:r>
      <w:r w:rsidR="001D1520">
        <w:t xml:space="preserve">be found to have </w:t>
      </w:r>
      <w:r w:rsidR="009A4E3B">
        <w:t>engage</w:t>
      </w:r>
      <w:r w:rsidR="001D1520">
        <w:t>d</w:t>
      </w:r>
      <w:r w:rsidR="009A4E3B">
        <w:t xml:space="preserve"> in </w:t>
      </w:r>
      <w:r w:rsidR="001D1520">
        <w:t xml:space="preserve">religious </w:t>
      </w:r>
      <w:r w:rsidR="009A4E3B">
        <w:t>discrimination.</w:t>
      </w:r>
      <w:r w:rsidR="00A2703B">
        <w:t xml:space="preserve"> </w:t>
      </w:r>
    </w:p>
    <w:p w14:paraId="23FBCAD1" w14:textId="58968D7E" w:rsidR="00A07FFD" w:rsidRDefault="00AB4EBC" w:rsidP="004564A3">
      <w:pPr>
        <w:pStyle w:val="ListNumber"/>
      </w:pPr>
      <w:r>
        <w:t xml:space="preserve">The Commission </w:t>
      </w:r>
      <w:r w:rsidR="003F4E35">
        <w:t xml:space="preserve">welcomes the </w:t>
      </w:r>
      <w:r w:rsidR="00EA6D52">
        <w:t xml:space="preserve">clarification in the second exposure draft that only natural persons (and not corporations) may hold a religious belief and engage in religious activity.  </w:t>
      </w:r>
      <w:r w:rsidR="00427954">
        <w:t xml:space="preserve">This </w:t>
      </w:r>
      <w:r w:rsidR="00096F52">
        <w:t xml:space="preserve">change </w:t>
      </w:r>
      <w:r w:rsidR="00427954">
        <w:t xml:space="preserve">implements </w:t>
      </w:r>
      <w:r w:rsidR="00A07FFD">
        <w:t xml:space="preserve">recommendation 2 in the </w:t>
      </w:r>
      <w:r w:rsidR="00427954">
        <w:t xml:space="preserve">Commission’s </w:t>
      </w:r>
      <w:r w:rsidR="00A07FFD">
        <w:t>first submission.</w:t>
      </w:r>
    </w:p>
    <w:p w14:paraId="4459DEF8" w14:textId="7148315B" w:rsidR="003C184B" w:rsidRDefault="00EA6D52" w:rsidP="00CA1ED0">
      <w:pPr>
        <w:pStyle w:val="ListNumber"/>
      </w:pPr>
      <w:r>
        <w:t xml:space="preserve">However, </w:t>
      </w:r>
      <w:r w:rsidR="00E000CB">
        <w:t>new clause 9</w:t>
      </w:r>
      <w:r w:rsidR="00A72F01">
        <w:t>,</w:t>
      </w:r>
      <w:r w:rsidR="00E000CB">
        <w:t xml:space="preserve"> </w:t>
      </w:r>
      <w:r w:rsidR="00A72F01">
        <w:t xml:space="preserve">which </w:t>
      </w:r>
      <w:r w:rsidR="001E6C6A">
        <w:t>prohibits discrimination against associates</w:t>
      </w:r>
      <w:r w:rsidR="00A72F01">
        <w:t>,</w:t>
      </w:r>
      <w:r w:rsidR="001E6C6A">
        <w:t xml:space="preserve"> </w:t>
      </w:r>
      <w:r w:rsidR="00E000CB">
        <w:t xml:space="preserve">is overly broad </w:t>
      </w:r>
      <w:r w:rsidR="001E6C6A">
        <w:t>and again permits claims of religious discrimination to be made by corporations</w:t>
      </w:r>
      <w:r w:rsidR="003E0A5F">
        <w:t>, as associates of a person with a religious belief</w:t>
      </w:r>
      <w:r w:rsidR="001E6C6A">
        <w:t xml:space="preserve">.  </w:t>
      </w:r>
      <w:r w:rsidR="002D09B5">
        <w:t xml:space="preserve">This is a </w:t>
      </w:r>
      <w:r w:rsidR="00A4438A">
        <w:t xml:space="preserve">significant </w:t>
      </w:r>
      <w:r w:rsidR="00FF6C3C">
        <w:t xml:space="preserve">departure from </w:t>
      </w:r>
      <w:r w:rsidR="00906178">
        <w:t xml:space="preserve">domestic and international </w:t>
      </w:r>
      <w:r w:rsidR="00FF6C3C">
        <w:t xml:space="preserve">human rights </w:t>
      </w:r>
      <w:r w:rsidR="00906178">
        <w:t>law</w:t>
      </w:r>
      <w:r w:rsidR="00A4438A">
        <w:t>s</w:t>
      </w:r>
      <w:r w:rsidR="00906178">
        <w:t xml:space="preserve"> </w:t>
      </w:r>
      <w:r w:rsidR="00FF6C3C">
        <w:t>which</w:t>
      </w:r>
      <w:r w:rsidR="003E6FAB">
        <w:t xml:space="preserve"> </w:t>
      </w:r>
      <w:r w:rsidR="00906178">
        <w:t>protect</w:t>
      </w:r>
      <w:r w:rsidR="003E6FAB">
        <w:t xml:space="preserve"> </w:t>
      </w:r>
      <w:r w:rsidR="00906178">
        <w:t xml:space="preserve">only </w:t>
      </w:r>
      <w:r w:rsidR="00FF6C3C">
        <w:t xml:space="preserve">the rights of </w:t>
      </w:r>
      <w:r w:rsidR="003E6FAB">
        <w:t>natural persons.</w:t>
      </w:r>
    </w:p>
    <w:p w14:paraId="30F087E0" w14:textId="6EF832C6" w:rsidR="00F953E3" w:rsidRDefault="00FE1DCA" w:rsidP="004564A3">
      <w:pPr>
        <w:pStyle w:val="ListNumber"/>
      </w:pPr>
      <w:r>
        <w:t xml:space="preserve">At the same time, the Bill provides that </w:t>
      </w:r>
      <w:r w:rsidR="00A567DF">
        <w:t>‘</w:t>
      </w:r>
      <w:r w:rsidR="00180ED8">
        <w:t>religious bodies</w:t>
      </w:r>
      <w:r w:rsidR="00A567DF">
        <w:t>’</w:t>
      </w:r>
      <w:r w:rsidR="003D7D95">
        <w:t>—</w:t>
      </w:r>
      <w:r w:rsidR="00180ED8">
        <w:t>including religious schools, religious charities and other religious bodies</w:t>
      </w:r>
      <w:r w:rsidR="003D7D95">
        <w:t>—</w:t>
      </w:r>
      <w:r w:rsidR="00A567DF">
        <w:t xml:space="preserve">are entirely exempt from engaging in religious discrimination </w:t>
      </w:r>
      <w:r w:rsidR="0086285C">
        <w:t>if the discrimination is</w:t>
      </w:r>
      <w:r w:rsidR="00E20B05">
        <w:t xml:space="preserve"> in good faith and</w:t>
      </w:r>
      <w:r w:rsidR="009530A8">
        <w:t xml:space="preserve"> is either</w:t>
      </w:r>
      <w:r w:rsidR="0086285C">
        <w:t xml:space="preserve"> in accordance with their </w:t>
      </w:r>
      <w:r w:rsidR="007467FC">
        <w:t xml:space="preserve">religious </w:t>
      </w:r>
      <w:r w:rsidR="0086285C">
        <w:t>doctr</w:t>
      </w:r>
      <w:r w:rsidR="000908F2">
        <w:t>ines</w:t>
      </w:r>
      <w:r w:rsidR="00036B6C">
        <w:t>, tenets,</w:t>
      </w:r>
      <w:r w:rsidR="000908F2">
        <w:t xml:space="preserve"> beliefs</w:t>
      </w:r>
      <w:r w:rsidR="00036B6C">
        <w:t xml:space="preserve"> or teachings</w:t>
      </w:r>
      <w:r w:rsidR="009530A8">
        <w:t xml:space="preserve"> or </w:t>
      </w:r>
      <w:r w:rsidR="00C921E6">
        <w:t xml:space="preserve">is </w:t>
      </w:r>
      <w:r w:rsidR="00934C7E">
        <w:t xml:space="preserve">aimed at avoiding injury to the religious susceptibilities </w:t>
      </w:r>
      <w:r w:rsidR="003A5357">
        <w:t>of adherents of the religion</w:t>
      </w:r>
      <w:r w:rsidR="000908F2">
        <w:t>.</w:t>
      </w:r>
      <w:r w:rsidR="00CE7C46">
        <w:t xml:space="preserve">  </w:t>
      </w:r>
      <w:r w:rsidR="00EB4DF6">
        <w:t xml:space="preserve">This broad exemption permits religious discrimination in </w:t>
      </w:r>
      <w:r w:rsidR="007B350B">
        <w:t xml:space="preserve">any area of public life covered by the Bill, including </w:t>
      </w:r>
      <w:r w:rsidR="00EB4DF6">
        <w:t>employment, education and the provision of goods, services and facilities</w:t>
      </w:r>
      <w:r w:rsidR="003A2A4D">
        <w:t>.</w:t>
      </w:r>
    </w:p>
    <w:p w14:paraId="1E5BB63E" w14:textId="11AB2F3B" w:rsidR="001133E6" w:rsidRDefault="001133E6" w:rsidP="004564A3">
      <w:pPr>
        <w:pStyle w:val="ListNumber"/>
      </w:pPr>
      <w:r>
        <w:t xml:space="preserve">The Commission considers that the scope of exemptions granted to religious schools should be considered by the Australian Law Reform </w:t>
      </w:r>
      <w:r>
        <w:lastRenderedPageBreak/>
        <w:t xml:space="preserve">Commission as part of its current inquiry into religious exemptions including exemptions for religious schools under the </w:t>
      </w:r>
      <w:r w:rsidRPr="00BC2487">
        <w:rPr>
          <w:i/>
          <w:iCs/>
        </w:rPr>
        <w:t>Sex Discrimination Act 1984</w:t>
      </w:r>
      <w:r>
        <w:t xml:space="preserve"> (</w:t>
      </w:r>
      <w:proofErr w:type="spellStart"/>
      <w:r>
        <w:t>Cth</w:t>
      </w:r>
      <w:proofErr w:type="spellEnd"/>
      <w:r>
        <w:t>)</w:t>
      </w:r>
      <w:r w:rsidR="00D902C9">
        <w:t xml:space="preserve"> (SDA)</w:t>
      </w:r>
      <w:r>
        <w:t>.</w:t>
      </w:r>
    </w:p>
    <w:p w14:paraId="3762DAC8" w14:textId="1DF5B284" w:rsidR="005F7F93" w:rsidRDefault="00036B4A" w:rsidP="009E5E01">
      <w:pPr>
        <w:pStyle w:val="ListNumber"/>
      </w:pPr>
      <w:r>
        <w:t xml:space="preserve">The second exposure draft adds new </w:t>
      </w:r>
      <w:r w:rsidR="00E679BA">
        <w:t xml:space="preserve">exemptions </w:t>
      </w:r>
      <w:r w:rsidR="00BF4770">
        <w:t xml:space="preserve">allowing </w:t>
      </w:r>
      <w:r w:rsidR="00C142A6">
        <w:t xml:space="preserve">religious hospitals, aged care providers, camps and conference centres to engage </w:t>
      </w:r>
      <w:proofErr w:type="gramStart"/>
      <w:r w:rsidR="00C142A6">
        <w:t xml:space="preserve">in </w:t>
      </w:r>
      <w:r w:rsidR="00EC5223">
        <w:t>particular kinds</w:t>
      </w:r>
      <w:proofErr w:type="gramEnd"/>
      <w:r w:rsidR="00EC5223">
        <w:t xml:space="preserve"> of religious discrimination</w:t>
      </w:r>
      <w:r w:rsidR="00C142A6">
        <w:t xml:space="preserve">. </w:t>
      </w:r>
      <w:r w:rsidR="00B30359">
        <w:t xml:space="preserve"> </w:t>
      </w:r>
      <w:r w:rsidR="00BB1D49">
        <w:t xml:space="preserve">In light of other more targeted exemptions available </w:t>
      </w:r>
      <w:r w:rsidR="00097714">
        <w:t xml:space="preserve">in the Bill </w:t>
      </w:r>
      <w:r w:rsidR="005E5F0F">
        <w:t xml:space="preserve">which permit </w:t>
      </w:r>
      <w:r w:rsidR="000045EA">
        <w:t xml:space="preserve">religious </w:t>
      </w:r>
      <w:r w:rsidR="005E5F0F">
        <w:t xml:space="preserve">discrimination where this is </w:t>
      </w:r>
      <w:r w:rsidR="000045EA">
        <w:t xml:space="preserve">intended </w:t>
      </w:r>
      <w:r w:rsidR="00522C30">
        <w:t xml:space="preserve">to meet a need arising out of a religious belief or activity, or </w:t>
      </w:r>
      <w:r w:rsidR="000045EA">
        <w:t xml:space="preserve">where </w:t>
      </w:r>
      <w:r w:rsidR="00EB5846">
        <w:t>this</w:t>
      </w:r>
      <w:r w:rsidR="000045EA">
        <w:t xml:space="preserve"> is n</w:t>
      </w:r>
      <w:r w:rsidR="00D00DAA">
        <w:t>ecessary to fill a</w:t>
      </w:r>
      <w:r w:rsidR="006F6691">
        <w:t xml:space="preserve">n employment position where religious belief or activity is an inherent requirement </w:t>
      </w:r>
      <w:r w:rsidR="00A37A26">
        <w:t>of</w:t>
      </w:r>
      <w:r w:rsidR="006F6691">
        <w:t xml:space="preserve"> the role, t</w:t>
      </w:r>
      <w:r w:rsidR="00B30359">
        <w:t>he Commission considers that these new special exemptions</w:t>
      </w:r>
      <w:r w:rsidR="00F33925">
        <w:t xml:space="preserve"> </w:t>
      </w:r>
      <w:r w:rsidR="00D4157E">
        <w:t xml:space="preserve">for particular types of </w:t>
      </w:r>
      <w:r w:rsidR="00CE6300">
        <w:t xml:space="preserve">organisations </w:t>
      </w:r>
      <w:r w:rsidR="00F33925">
        <w:t xml:space="preserve">are </w:t>
      </w:r>
      <w:r w:rsidR="0083617B">
        <w:t xml:space="preserve">too broad and </w:t>
      </w:r>
      <w:r w:rsidR="00F33925">
        <w:t>not necessary</w:t>
      </w:r>
      <w:r w:rsidR="00B30359">
        <w:t xml:space="preserve">. </w:t>
      </w:r>
    </w:p>
    <w:p w14:paraId="7021F32C" w14:textId="77777777" w:rsidR="008300D3" w:rsidRDefault="001E4662" w:rsidP="004564A3">
      <w:pPr>
        <w:pStyle w:val="ListNumber"/>
      </w:pPr>
      <w:r w:rsidRPr="001E4662">
        <w:rPr>
          <w:b/>
          <w:bCs/>
        </w:rPr>
        <w:t>Secondly</w:t>
      </w:r>
      <w:r>
        <w:t xml:space="preserve">, the Bill </w:t>
      </w:r>
      <w:r w:rsidR="003F5504">
        <w:t xml:space="preserve">provides that </w:t>
      </w:r>
      <w:r w:rsidR="0087233D">
        <w:t>‘</w:t>
      </w:r>
      <w:r w:rsidR="003F5504">
        <w:t>statements of belief</w:t>
      </w:r>
      <w:r w:rsidR="0087233D">
        <w:t>’</w:t>
      </w:r>
      <w:r w:rsidR="00315EAF">
        <w:t xml:space="preserve"> that would otherwise contravene Commonwealth, State or Territory anti-discrimination law</w:t>
      </w:r>
      <w:r w:rsidR="00A4438A">
        <w:t>s</w:t>
      </w:r>
      <w:r w:rsidR="00315EAF">
        <w:t xml:space="preserve"> </w:t>
      </w:r>
      <w:r w:rsidR="002607FC">
        <w:t>are</w:t>
      </w:r>
      <w:r w:rsidR="00315EAF">
        <w:t xml:space="preserve"> exempt from the operation of those laws.</w:t>
      </w:r>
      <w:r w:rsidR="0081276E">
        <w:t xml:space="preserve">  </w:t>
      </w:r>
    </w:p>
    <w:p w14:paraId="40ABD360" w14:textId="691744AC" w:rsidR="008300D3" w:rsidRDefault="004A2F90" w:rsidP="004564A3">
      <w:pPr>
        <w:pStyle w:val="ListNumber"/>
      </w:pPr>
      <w:r>
        <w:t xml:space="preserve">The Commission welcomes </w:t>
      </w:r>
      <w:r w:rsidR="00C86CDB">
        <w:t xml:space="preserve">the clarification in the Explanatory Notes that </w:t>
      </w:r>
      <w:r w:rsidR="00483CF7">
        <w:t>the protection for discriminatory statements of belief</w:t>
      </w:r>
      <w:r w:rsidR="00182487">
        <w:t xml:space="preserve"> does not </w:t>
      </w:r>
      <w:r w:rsidR="00077DDE">
        <w:t xml:space="preserve">extend to accompanying discriminatory conduct, and that the discriminatory statement may be </w:t>
      </w:r>
      <w:r w:rsidR="00B03038">
        <w:t>relied on</w:t>
      </w:r>
      <w:r w:rsidR="00077DDE">
        <w:t xml:space="preserve"> as evidence that </w:t>
      </w:r>
      <w:r w:rsidR="00B35523">
        <w:t>related</w:t>
      </w:r>
      <w:r w:rsidR="00077DDE">
        <w:t xml:space="preserve"> conduct was engaged in </w:t>
      </w:r>
      <w:r w:rsidR="00150C76">
        <w:t>on a discriminatory ground.</w:t>
      </w:r>
      <w:r w:rsidR="00807EA4">
        <w:t xml:space="preserve">  Clause 42 has been amended to add the words ‘in and of itself’ </w:t>
      </w:r>
      <w:r w:rsidR="00EA1C09">
        <w:t>aft</w:t>
      </w:r>
      <w:r w:rsidR="001C64D0">
        <w:t>er ‘A statement of belief’.</w:t>
      </w:r>
      <w:r w:rsidR="0080679A">
        <w:t xml:space="preserve"> </w:t>
      </w:r>
      <w:r w:rsidR="001C64D0">
        <w:t xml:space="preserve"> </w:t>
      </w:r>
      <w:r w:rsidR="0065109A">
        <w:t>These changes</w:t>
      </w:r>
      <w:r w:rsidR="00807EA4">
        <w:t xml:space="preserve"> respond </w:t>
      </w:r>
      <w:r w:rsidR="0080679A">
        <w:t xml:space="preserve">to </w:t>
      </w:r>
      <w:r w:rsidR="009315A3">
        <w:t>some</w:t>
      </w:r>
      <w:r w:rsidR="00E0128C">
        <w:t>, but not all,</w:t>
      </w:r>
      <w:r w:rsidR="009315A3">
        <w:t xml:space="preserve"> of the </w:t>
      </w:r>
      <w:r w:rsidR="0080679A">
        <w:t>concerns expressed by the Commission at [</w:t>
      </w:r>
      <w:r w:rsidR="000D6BF8">
        <w:t>84]</w:t>
      </w:r>
      <w:proofErr w:type="gramStart"/>
      <w:r w:rsidR="00475721">
        <w:t>–</w:t>
      </w:r>
      <w:r w:rsidR="000D6BF8">
        <w:t>[</w:t>
      </w:r>
      <w:proofErr w:type="gramEnd"/>
      <w:r w:rsidR="000D6BF8">
        <w:t xml:space="preserve">90] of its </w:t>
      </w:r>
      <w:r w:rsidR="001A42F9">
        <w:t>first submission.</w:t>
      </w:r>
    </w:p>
    <w:p w14:paraId="1DAC51E4" w14:textId="073A16FB" w:rsidR="00A3524A" w:rsidRDefault="002036FF" w:rsidP="00D87E83">
      <w:pPr>
        <w:pStyle w:val="ListNumber"/>
      </w:pPr>
      <w:r>
        <w:t>T</w:t>
      </w:r>
      <w:r w:rsidR="00B57895">
        <w:t xml:space="preserve">he Commission remains concerned that </w:t>
      </w:r>
      <w:r w:rsidR="00067795">
        <w:t xml:space="preserve">clause 42 will </w:t>
      </w:r>
      <w:r w:rsidR="009B2108">
        <w:t xml:space="preserve">permit </w:t>
      </w:r>
      <w:r w:rsidR="006B0A1E">
        <w:t>discriminatory statements of belief</w:t>
      </w:r>
      <w:r w:rsidR="009B2108">
        <w:t xml:space="preserve"> to be made</w:t>
      </w:r>
      <w:r w:rsidR="0081276E">
        <w:t xml:space="preserve">, </w:t>
      </w:r>
      <w:r w:rsidR="002607FC">
        <w:t xml:space="preserve">whether they amount to racial discrimination, sex discrimination or </w:t>
      </w:r>
      <w:r w:rsidR="00874F2A">
        <w:t>discrimination on any other ground</w:t>
      </w:r>
      <w:r w:rsidR="00B5027A">
        <w:t xml:space="preserve"> prohibited by law.</w:t>
      </w:r>
      <w:r w:rsidR="0087233D">
        <w:t xml:space="preserve">  </w:t>
      </w:r>
      <w:r w:rsidR="00BB63A6">
        <w:t xml:space="preserve">Section </w:t>
      </w:r>
      <w:r w:rsidR="00BB63A6">
        <w:fldChar w:fldCharType="begin"/>
      </w:r>
      <w:r w:rsidR="00BB63A6">
        <w:instrText xml:space="preserve"> REF _Ref31294551 \r \h </w:instrText>
      </w:r>
      <w:r w:rsidR="00BB63A6">
        <w:fldChar w:fldCharType="separate"/>
      </w:r>
      <w:r w:rsidR="009C3F0E">
        <w:t>5.5</w:t>
      </w:r>
      <w:r w:rsidR="00BB63A6">
        <w:fldChar w:fldCharType="end"/>
      </w:r>
      <w:r w:rsidR="00BB63A6">
        <w:t xml:space="preserve"> of this submission </w:t>
      </w:r>
      <w:r w:rsidR="00BD0A75">
        <w:t xml:space="preserve">describes </w:t>
      </w:r>
      <w:proofErr w:type="gramStart"/>
      <w:r w:rsidR="004871A8">
        <w:t>a number of</w:t>
      </w:r>
      <w:proofErr w:type="gramEnd"/>
      <w:r w:rsidR="004871A8">
        <w:t xml:space="preserve"> </w:t>
      </w:r>
      <w:r w:rsidR="00BD0A75">
        <w:t xml:space="preserve">recent complaints to the Commission about discriminatory statements where the ‘statement of belief’ defence </w:t>
      </w:r>
      <w:r w:rsidR="0024364B">
        <w:t xml:space="preserve">could operate.  For example, </w:t>
      </w:r>
      <w:r w:rsidR="00BC5E0A">
        <w:t xml:space="preserve">the Commission received a complaint from a woman who had </w:t>
      </w:r>
      <w:r w:rsidR="009065E9">
        <w:t xml:space="preserve">disclosed </w:t>
      </w:r>
      <w:r w:rsidR="004B462C">
        <w:t xml:space="preserve">to her employer that she had recently </w:t>
      </w:r>
      <w:r w:rsidR="00BC5E0A">
        <w:t>become pregnant</w:t>
      </w:r>
      <w:r w:rsidR="004B462C">
        <w:t xml:space="preserve">.  She alleged that her employer said: ‘There is no room in </w:t>
      </w:r>
      <w:r w:rsidR="005A5F1D">
        <w:t xml:space="preserve">[this] business for someone who is going to be </w:t>
      </w:r>
      <w:r w:rsidR="002E6652">
        <w:t>a single mother’.</w:t>
      </w:r>
      <w:r w:rsidR="00BC5E0A">
        <w:t xml:space="preserve"> </w:t>
      </w:r>
      <w:r w:rsidR="004D6A79">
        <w:t xml:space="preserve"> If the Bill were passed with clause 42 in its proposed form, </w:t>
      </w:r>
      <w:r w:rsidR="00570A67">
        <w:t>this statement may be protected from amou</w:t>
      </w:r>
      <w:r w:rsidR="00115FE9">
        <w:t>n</w:t>
      </w:r>
      <w:r w:rsidR="00570A67">
        <w:t>ting to discrimination if it was a statement of belief</w:t>
      </w:r>
      <w:r w:rsidR="005911A1">
        <w:t xml:space="preserve"> (although related conduct</w:t>
      </w:r>
      <w:r w:rsidR="00411CF2">
        <w:t>,</w:t>
      </w:r>
      <w:r w:rsidR="005911A1">
        <w:t xml:space="preserve"> such as </w:t>
      </w:r>
      <w:r w:rsidR="00411CF2">
        <w:t>firing the woman if she ultimately had a child out of wedlock</w:t>
      </w:r>
      <w:r w:rsidR="00E82267">
        <w:t>,</w:t>
      </w:r>
      <w:r w:rsidR="00AD1917">
        <w:t xml:space="preserve"> </w:t>
      </w:r>
      <w:r w:rsidR="0026526C">
        <w:t xml:space="preserve">could still amount to discrimination </w:t>
      </w:r>
      <w:r w:rsidR="00703694">
        <w:t xml:space="preserve">if </w:t>
      </w:r>
      <w:r w:rsidR="003C3413">
        <w:t xml:space="preserve">the woman was able to </w:t>
      </w:r>
      <w:r w:rsidR="00703694">
        <w:t xml:space="preserve">show that </w:t>
      </w:r>
      <w:r w:rsidR="006F57BF">
        <w:t xml:space="preserve">the termination </w:t>
      </w:r>
      <w:r w:rsidR="006F57BF">
        <w:lastRenderedPageBreak/>
        <w:t xml:space="preserve">of </w:t>
      </w:r>
      <w:r w:rsidR="00C80EC8">
        <w:t xml:space="preserve">her </w:t>
      </w:r>
      <w:r w:rsidR="006F57BF">
        <w:t xml:space="preserve">employment was on the grounds of sex, </w:t>
      </w:r>
      <w:r w:rsidR="003C3413">
        <w:t>pregnancy or marital status</w:t>
      </w:r>
      <w:r w:rsidR="00AD1917">
        <w:t xml:space="preserve">). </w:t>
      </w:r>
    </w:p>
    <w:p w14:paraId="4589E346" w14:textId="1FFF3BF8" w:rsidR="000908F2" w:rsidRDefault="0087233D" w:rsidP="00D87E83">
      <w:pPr>
        <w:pStyle w:val="ListNumber"/>
      </w:pPr>
      <w:r>
        <w:t xml:space="preserve">The Commission considers that this </w:t>
      </w:r>
      <w:r w:rsidR="006E1F42">
        <w:t xml:space="preserve">overriding of all other </w:t>
      </w:r>
      <w:r w:rsidR="005A29A4">
        <w:t xml:space="preserve">Australian </w:t>
      </w:r>
      <w:r w:rsidR="006E1F42">
        <w:t>discrimination law</w:t>
      </w:r>
      <w:r w:rsidR="00035E21">
        <w:t>s</w:t>
      </w:r>
      <w:r w:rsidR="00F72D4D">
        <w:t xml:space="preserve"> </w:t>
      </w:r>
      <w:r w:rsidR="007B680C">
        <w:t xml:space="preserve">is not warranted, sets a </w:t>
      </w:r>
      <w:r w:rsidR="00A72F01">
        <w:t xml:space="preserve">dangerous </w:t>
      </w:r>
      <w:r w:rsidR="007B680C">
        <w:t>precedent, and is inconsistent with the stated objects of the Bill</w:t>
      </w:r>
      <w:r w:rsidR="00035E21">
        <w:t>,</w:t>
      </w:r>
      <w:r w:rsidR="007B680C">
        <w:t xml:space="preserve"> which recognise the indivisibility </w:t>
      </w:r>
      <w:r w:rsidR="00C54019">
        <w:t xml:space="preserve">and universality </w:t>
      </w:r>
      <w:r w:rsidR="007B680C">
        <w:t xml:space="preserve">of human rights.  </w:t>
      </w:r>
      <w:r w:rsidR="00432E19">
        <w:t>By contrast</w:t>
      </w:r>
      <w:r w:rsidR="007B680C">
        <w:t xml:space="preserve">, this provision seeks to </w:t>
      </w:r>
      <w:r w:rsidR="00035E21">
        <w:t xml:space="preserve">favour </w:t>
      </w:r>
      <w:r w:rsidR="007B680C">
        <w:t>one right over all others.</w:t>
      </w:r>
    </w:p>
    <w:p w14:paraId="13E052AA" w14:textId="77777777" w:rsidR="00032256" w:rsidRDefault="00CB2581" w:rsidP="004564A3">
      <w:pPr>
        <w:pStyle w:val="ListNumber"/>
      </w:pPr>
      <w:r w:rsidRPr="00CB2581">
        <w:rPr>
          <w:b/>
          <w:bCs/>
        </w:rPr>
        <w:t>Thirdly</w:t>
      </w:r>
      <w:r>
        <w:t xml:space="preserve">, </w:t>
      </w:r>
      <w:r w:rsidR="005431A7">
        <w:t xml:space="preserve">the Commission is concerned about </w:t>
      </w:r>
      <w:r w:rsidR="00185D30">
        <w:t xml:space="preserve">deeming provisions </w:t>
      </w:r>
      <w:r w:rsidR="00E11C4E">
        <w:t xml:space="preserve">that affect the assessment of whether </w:t>
      </w:r>
      <w:r w:rsidR="002404BF">
        <w:t xml:space="preserve">codes of conduct imposed by large employers on their employees, and </w:t>
      </w:r>
      <w:r w:rsidR="008746D7">
        <w:t>rules dealing with conscientious objections by medical practitioners</w:t>
      </w:r>
      <w:r w:rsidR="00786FE7">
        <w:t>,</w:t>
      </w:r>
      <w:r w:rsidR="008746D7">
        <w:t xml:space="preserve"> will </w:t>
      </w:r>
      <w:proofErr w:type="gramStart"/>
      <w:r w:rsidR="008746D7">
        <w:t xml:space="preserve">be considered </w:t>
      </w:r>
      <w:r w:rsidR="00422C3A">
        <w:t>to be</w:t>
      </w:r>
      <w:proofErr w:type="gramEnd"/>
      <w:r w:rsidR="00422C3A">
        <w:t xml:space="preserve"> reasonable.  </w:t>
      </w:r>
    </w:p>
    <w:p w14:paraId="16B9DB18" w14:textId="66E05094" w:rsidR="0060323C" w:rsidRDefault="00032256" w:rsidP="004564A3">
      <w:pPr>
        <w:pStyle w:val="ListNumber"/>
      </w:pPr>
      <w:r>
        <w:t xml:space="preserve">The deeming provisions related to conscientious objection </w:t>
      </w:r>
      <w:r w:rsidRPr="00032256">
        <w:t>increase the risk that patients may lose the ability to obtain ‘information, prescriptions, or referrals’ or to have procedures related to services such as abortion, euthanasia, contraception or sterilisation where, in all the circumstances, it would be reasonable to require health practitioners to provide those services or to make referrals to another health practitioner who is willing to do so</w:t>
      </w:r>
      <w:r w:rsidR="00FA251A">
        <w:t>.</w:t>
      </w:r>
    </w:p>
    <w:p w14:paraId="4F345B37" w14:textId="5700E8E5" w:rsidR="0060323C" w:rsidRDefault="00CC5B9A" w:rsidP="004564A3">
      <w:pPr>
        <w:pStyle w:val="ListNumber"/>
      </w:pPr>
      <w:r>
        <w:t xml:space="preserve">The second exposure draft adds a further deeming provision </w:t>
      </w:r>
      <w:r w:rsidR="004D1EA2">
        <w:t xml:space="preserve">which deems certain </w:t>
      </w:r>
      <w:r>
        <w:t>rules made by bodies that accredit professionals and tradespeople</w:t>
      </w:r>
      <w:r w:rsidR="004D1EA2">
        <w:t xml:space="preserve"> to be unreasonable</w:t>
      </w:r>
      <w:r>
        <w:t>.</w:t>
      </w:r>
    </w:p>
    <w:p w14:paraId="2A1AA37F" w14:textId="7316DD4A" w:rsidR="004751BC" w:rsidRDefault="00422C3A" w:rsidP="004564A3">
      <w:pPr>
        <w:pStyle w:val="ListNumber"/>
      </w:pPr>
      <w:r>
        <w:t xml:space="preserve">Unlike all other </w:t>
      </w:r>
      <w:r w:rsidR="009301A2">
        <w:t>Commonwealth</w:t>
      </w:r>
      <w:r>
        <w:t xml:space="preserve"> discrimination law</w:t>
      </w:r>
      <w:r w:rsidR="00035E21">
        <w:t>s</w:t>
      </w:r>
      <w:r>
        <w:t xml:space="preserve">, the Bill </w:t>
      </w:r>
      <w:r w:rsidR="00B32D43">
        <w:t>prejudges the assessment of reasonableness</w:t>
      </w:r>
      <w:r w:rsidR="00D71921">
        <w:t xml:space="preserve"> by deeming</w:t>
      </w:r>
      <w:r w:rsidR="00B32D43">
        <w:t xml:space="preserve"> some </w:t>
      </w:r>
      <w:r w:rsidR="005E77BE">
        <w:t xml:space="preserve">specific </w:t>
      </w:r>
      <w:r w:rsidR="004304CA">
        <w:t xml:space="preserve">kinds of </w:t>
      </w:r>
      <w:r w:rsidR="00B32D43">
        <w:t>conduct not to be reasonable.</w:t>
      </w:r>
      <w:r w:rsidR="00DD1CE7">
        <w:t xml:space="preserve">  This means that</w:t>
      </w:r>
      <w:r w:rsidR="00B22156">
        <w:t>,</w:t>
      </w:r>
      <w:r w:rsidR="00DD1CE7">
        <w:t xml:space="preserve"> in those cases, not </w:t>
      </w:r>
      <w:proofErr w:type="gramStart"/>
      <w:r w:rsidR="00DD1CE7">
        <w:t>all of</w:t>
      </w:r>
      <w:proofErr w:type="gramEnd"/>
      <w:r w:rsidR="00DD1CE7">
        <w:t xml:space="preserve"> the </w:t>
      </w:r>
      <w:r w:rsidR="00D71921">
        <w:t>potentially</w:t>
      </w:r>
      <w:r w:rsidR="00035E21">
        <w:t xml:space="preserve"> </w:t>
      </w:r>
      <w:r w:rsidR="00DD1CE7">
        <w:t xml:space="preserve">relevant circumstances will be taken into account. </w:t>
      </w:r>
    </w:p>
    <w:p w14:paraId="52AED66B" w14:textId="1043F41D" w:rsidR="001E4662" w:rsidRDefault="00F27B8B" w:rsidP="004564A3">
      <w:pPr>
        <w:pStyle w:val="ListNumber"/>
      </w:pPr>
      <w:r w:rsidRPr="00F27B8B">
        <w:rPr>
          <w:b/>
          <w:bCs/>
        </w:rPr>
        <w:t>Fourthly</w:t>
      </w:r>
      <w:r>
        <w:t xml:space="preserve">, </w:t>
      </w:r>
      <w:r w:rsidR="00572E5F">
        <w:t xml:space="preserve">those deeming provisions also have an impact on the ability of employers to decide who they employ.  The Bill provides that </w:t>
      </w:r>
      <w:r w:rsidR="00002C6B">
        <w:t>employers may not decide that compliance with a code of conduct</w:t>
      </w:r>
      <w:r w:rsidR="00F41B4C">
        <w:t xml:space="preserve"> that extends to conduct outside work hours</w:t>
      </w:r>
      <w:r w:rsidR="00002C6B">
        <w:t xml:space="preserve">, or with rules dealing with conscientious objection, </w:t>
      </w:r>
      <w:r w:rsidR="00491505">
        <w:t xml:space="preserve">are an inherent requirement of employment, if they would be unreasonable under clause 8.  </w:t>
      </w:r>
      <w:r w:rsidR="00F41B4C">
        <w:t>This means</w:t>
      </w:r>
      <w:r w:rsidR="00675B7D">
        <w:t>, for example,</w:t>
      </w:r>
      <w:r w:rsidR="00F41B4C">
        <w:t xml:space="preserve"> that the narrow deeming provisions about what is reasonable </w:t>
      </w:r>
      <w:r w:rsidR="00334DD1">
        <w:t xml:space="preserve">for organisations with an annual </w:t>
      </w:r>
      <w:r w:rsidR="00503FF4">
        <w:t>revenue</w:t>
      </w:r>
      <w:r w:rsidR="00334DD1">
        <w:t xml:space="preserve"> of more than $50 million </w:t>
      </w:r>
      <w:r w:rsidR="00F41B4C">
        <w:t xml:space="preserve">also </w:t>
      </w:r>
      <w:r w:rsidR="00035E21">
        <w:t>ha</w:t>
      </w:r>
      <w:r w:rsidR="00F614EF">
        <w:t>ve</w:t>
      </w:r>
      <w:r w:rsidR="00035E21">
        <w:t xml:space="preserve"> an impact </w:t>
      </w:r>
      <w:r w:rsidR="00F41B4C">
        <w:t xml:space="preserve">on the decisions by </w:t>
      </w:r>
      <w:r w:rsidR="00334DD1">
        <w:t xml:space="preserve">those </w:t>
      </w:r>
      <w:r w:rsidR="00F41B4C">
        <w:t xml:space="preserve">employers </w:t>
      </w:r>
      <w:r w:rsidR="002C0FB3">
        <w:t xml:space="preserve">about </w:t>
      </w:r>
      <w:r w:rsidR="005D5149">
        <w:t xml:space="preserve">the conditions they may set </w:t>
      </w:r>
      <w:r w:rsidR="00035E21">
        <w:t xml:space="preserve">with respect to </w:t>
      </w:r>
      <w:r w:rsidR="005D5149">
        <w:t>employment.</w:t>
      </w:r>
    </w:p>
    <w:p w14:paraId="31968E62" w14:textId="27550163" w:rsidR="000F471F" w:rsidRDefault="000F471F" w:rsidP="004564A3">
      <w:pPr>
        <w:pStyle w:val="ListNumber"/>
      </w:pPr>
      <w:r w:rsidRPr="000F471F">
        <w:lastRenderedPageBreak/>
        <w:t xml:space="preserve">These </w:t>
      </w:r>
      <w:r>
        <w:t xml:space="preserve">four </w:t>
      </w:r>
      <w:r w:rsidRPr="000F471F">
        <w:t>issues</w:t>
      </w:r>
      <w:r>
        <w:t>, and a range of other</w:t>
      </w:r>
      <w:r w:rsidR="00B04DFC">
        <w:t>s</w:t>
      </w:r>
      <w:r w:rsidR="00F42D08">
        <w:t xml:space="preserve"> relating to </w:t>
      </w:r>
      <w:r w:rsidR="00906178">
        <w:t>all three</w:t>
      </w:r>
      <w:r w:rsidR="00F42D08">
        <w:t xml:space="preserve"> Religious Freedom Bills</w:t>
      </w:r>
      <w:r w:rsidR="00B04DFC">
        <w:t xml:space="preserve">, are dealt with in more detail </w:t>
      </w:r>
      <w:r w:rsidR="000D66EF">
        <w:t xml:space="preserve">both in the Commission’s first submission and in this </w:t>
      </w:r>
      <w:r w:rsidR="00B04DFC">
        <w:t xml:space="preserve">submission. </w:t>
      </w:r>
    </w:p>
    <w:p w14:paraId="0EF53FBD" w14:textId="53A30C9B" w:rsidR="006C1192" w:rsidRPr="000F471F" w:rsidRDefault="00A351FA" w:rsidP="004564A3">
      <w:pPr>
        <w:pStyle w:val="ListNumber"/>
      </w:pPr>
      <w:r>
        <w:t>I</w:t>
      </w:r>
      <w:r w:rsidR="006C1192">
        <w:t xml:space="preserve">t </w:t>
      </w:r>
      <w:r>
        <w:t xml:space="preserve">would be a simple task </w:t>
      </w:r>
      <w:r w:rsidR="006C1192">
        <w:t xml:space="preserve">to remove the </w:t>
      </w:r>
      <w:r w:rsidR="000A6A66">
        <w:t xml:space="preserve">few highly problematic </w:t>
      </w:r>
      <w:r w:rsidR="007A55F1">
        <w:t>provisions of the Bill</w:t>
      </w:r>
      <w:r w:rsidR="00AE2666">
        <w:t>,</w:t>
      </w:r>
      <w:r w:rsidR="007A55F1">
        <w:t xml:space="preserve"> </w:t>
      </w:r>
      <w:r w:rsidR="000A6A66">
        <w:t>leav</w:t>
      </w:r>
      <w:r w:rsidR="00AE2666">
        <w:t>ing</w:t>
      </w:r>
      <w:r w:rsidR="000A6A66">
        <w:t xml:space="preserve"> a Bill that is </w:t>
      </w:r>
      <w:r w:rsidR="007A55F1">
        <w:t>consistent with other Commonwealth discrimination law</w:t>
      </w:r>
      <w:r w:rsidR="00035E21">
        <w:t>s</w:t>
      </w:r>
      <w:r w:rsidR="000A6A66">
        <w:t xml:space="preserve"> and provide</w:t>
      </w:r>
      <w:r w:rsidR="00490658">
        <w:t>s</w:t>
      </w:r>
      <w:r w:rsidR="000A6A66">
        <w:t xml:space="preserve"> strong protections against discrimination on the </w:t>
      </w:r>
      <w:r>
        <w:t xml:space="preserve">ground of religious belief or activity. </w:t>
      </w:r>
      <w:r w:rsidR="00EE055C">
        <w:t xml:space="preserve"> The Commission’s recommendations seek to achieve this outcome</w:t>
      </w:r>
      <w:r w:rsidR="00D26B7F">
        <w:t>.</w:t>
      </w:r>
    </w:p>
    <w:p w14:paraId="33539F46" w14:textId="77777777" w:rsidR="001362B4" w:rsidRDefault="001362B4" w:rsidP="001362B4">
      <w:pPr>
        <w:pStyle w:val="Heading1"/>
      </w:pPr>
      <w:bookmarkStart w:id="9" w:name="_Toc525894101"/>
      <w:bookmarkStart w:id="10" w:name="_Toc525894100"/>
      <w:bookmarkStart w:id="11" w:name="_Toc31355391"/>
      <w:r>
        <w:t>Recommendations</w:t>
      </w:r>
      <w:bookmarkEnd w:id="11"/>
    </w:p>
    <w:p w14:paraId="02C6A170" w14:textId="7CAC5437" w:rsidR="007B7839" w:rsidRDefault="001362B4" w:rsidP="001362B4">
      <w:pPr>
        <w:pStyle w:val="ListNumber"/>
      </w:pPr>
      <w:r>
        <w:t xml:space="preserve">The Commission makes </w:t>
      </w:r>
      <w:proofErr w:type="gramStart"/>
      <w:r w:rsidR="00180F5B">
        <w:t>a number of</w:t>
      </w:r>
      <w:proofErr w:type="gramEnd"/>
      <w:r w:rsidR="00180F5B">
        <w:t xml:space="preserve"> recommendations as set out below.  Many of these recommendations were made in the Commission’s first submission and have not yet been implemented.  </w:t>
      </w:r>
      <w:r w:rsidR="000350EB">
        <w:t xml:space="preserve">The list </w:t>
      </w:r>
      <w:r w:rsidR="00DB236E">
        <w:t xml:space="preserve">below </w:t>
      </w:r>
      <w:r w:rsidR="000350EB">
        <w:t xml:space="preserve">consolidates recommendations from the Commission’s first submission (other than recommendation 2, which has been implemented) and </w:t>
      </w:r>
      <w:r w:rsidR="00761550">
        <w:t xml:space="preserve">new recommendations in this submission.  </w:t>
      </w:r>
      <w:r w:rsidR="00F16124">
        <w:t xml:space="preserve">In some cases, the language </w:t>
      </w:r>
      <w:r w:rsidR="007B7839">
        <w:t xml:space="preserve">of the </w:t>
      </w:r>
      <w:r w:rsidR="00AC0ADB">
        <w:t xml:space="preserve">previous </w:t>
      </w:r>
      <w:r w:rsidR="007B7839">
        <w:t xml:space="preserve">recommendations and the references to clauses of the </w:t>
      </w:r>
      <w:r w:rsidR="006118A1">
        <w:t xml:space="preserve">relevant </w:t>
      </w:r>
      <w:r w:rsidR="007B7839">
        <w:t xml:space="preserve">Bills </w:t>
      </w:r>
      <w:r w:rsidR="00991198">
        <w:t xml:space="preserve">has been updated to reflect </w:t>
      </w:r>
      <w:r w:rsidR="007B7839">
        <w:t>the amendments in the second exposure draft.</w:t>
      </w:r>
    </w:p>
    <w:p w14:paraId="1F91116E" w14:textId="2BC20836" w:rsidR="00222680" w:rsidRDefault="00D66C2E" w:rsidP="001362B4">
      <w:pPr>
        <w:pStyle w:val="ListNumber"/>
      </w:pPr>
      <w:proofErr w:type="gramStart"/>
      <w:r>
        <w:t>A number of</w:t>
      </w:r>
      <w:proofErr w:type="gramEnd"/>
      <w:r>
        <w:t xml:space="preserve"> new recommendations are made in this submission that were not made in the </w:t>
      </w:r>
      <w:r w:rsidR="00222680">
        <w:t xml:space="preserve">first </w:t>
      </w:r>
      <w:r>
        <w:t xml:space="preserve">submission.  </w:t>
      </w:r>
      <w:r w:rsidR="00164F38">
        <w:t xml:space="preserve">The new recommendations in this </w:t>
      </w:r>
      <w:r w:rsidR="0087195D">
        <w:t xml:space="preserve">second </w:t>
      </w:r>
      <w:r w:rsidR="00164F38">
        <w:t xml:space="preserve">submission are recommendations </w:t>
      </w:r>
      <w:r w:rsidR="00164F38" w:rsidRPr="007053B7">
        <w:t>2A</w:t>
      </w:r>
      <w:r w:rsidR="00BB0381" w:rsidRPr="007053B7">
        <w:t>, 3A</w:t>
      </w:r>
      <w:r w:rsidR="008E2B41" w:rsidRPr="007053B7">
        <w:t>, 3B</w:t>
      </w:r>
      <w:r w:rsidR="00EF3395" w:rsidRPr="007053B7">
        <w:t>, 3C</w:t>
      </w:r>
      <w:r w:rsidR="00C3458D" w:rsidRPr="007053B7">
        <w:t>, 3D</w:t>
      </w:r>
      <w:r w:rsidR="009F5446" w:rsidRPr="007053B7">
        <w:t>, 3E</w:t>
      </w:r>
      <w:r w:rsidR="002972BA" w:rsidRPr="007053B7">
        <w:t>, 5A</w:t>
      </w:r>
      <w:r w:rsidR="00164F38" w:rsidRPr="005C553B">
        <w:t xml:space="preserve"> </w:t>
      </w:r>
      <w:r w:rsidR="007053B7">
        <w:t>and 14</w:t>
      </w:r>
      <w:r w:rsidR="00164F38">
        <w:t xml:space="preserve">.  </w:t>
      </w:r>
      <w:r w:rsidR="002C7EFA">
        <w:t>The numbering has been adopted so that recommendations are grouped together thematically.</w:t>
      </w:r>
    </w:p>
    <w:p w14:paraId="2A1201EB" w14:textId="098A9103" w:rsidR="001362B4" w:rsidRDefault="001646FD" w:rsidP="001362B4">
      <w:pPr>
        <w:pStyle w:val="ListNumber"/>
      </w:pPr>
      <w:r>
        <w:t xml:space="preserve">Under each recommendation are </w:t>
      </w:r>
      <w:r w:rsidR="008A247A">
        <w:t xml:space="preserve">paragraph </w:t>
      </w:r>
      <w:r>
        <w:t>r</w:t>
      </w:r>
      <w:r w:rsidR="00B326E7">
        <w:t xml:space="preserve">eferences to where </w:t>
      </w:r>
      <w:r>
        <w:t xml:space="preserve">information about the recommendation may be found in the Commission’s first </w:t>
      </w:r>
      <w:r w:rsidR="00813376">
        <w:t xml:space="preserve">submission and in this </w:t>
      </w:r>
      <w:r>
        <w:t xml:space="preserve">second submission. </w:t>
      </w:r>
    </w:p>
    <w:p w14:paraId="5FD7FE7D" w14:textId="77777777" w:rsidR="003E0BF5" w:rsidRPr="003E0BF5" w:rsidRDefault="003E0BF5" w:rsidP="003E0BF5">
      <w:pPr>
        <w:pStyle w:val="ListNumber"/>
        <w:keepNext/>
        <w:numPr>
          <w:ilvl w:val="0"/>
          <w:numId w:val="0"/>
        </w:numPr>
        <w:ind w:left="1094"/>
        <w:rPr>
          <w:b/>
          <w:bCs/>
        </w:rPr>
      </w:pPr>
      <w:r w:rsidRPr="003E0BF5">
        <w:rPr>
          <w:b/>
          <w:bCs/>
        </w:rPr>
        <w:t>Recommendation 1</w:t>
      </w:r>
    </w:p>
    <w:p w14:paraId="7C4AED87" w14:textId="310B0950" w:rsidR="003E0BF5" w:rsidRDefault="003E0BF5" w:rsidP="003E0BF5">
      <w:pPr>
        <w:pStyle w:val="ListNumber"/>
        <w:numPr>
          <w:ilvl w:val="0"/>
          <w:numId w:val="0"/>
        </w:numPr>
        <w:ind w:left="1094"/>
      </w:pPr>
      <w:r>
        <w:t>The Commission recommends that the protection against discrimination for unpaid workers provided by the Bill also be included in the existing four Commonwealth discrimination Acts</w:t>
      </w:r>
      <w:r w:rsidR="00490658">
        <w:t xml:space="preserve">, namely the </w:t>
      </w:r>
      <w:r w:rsidR="00490658" w:rsidRPr="00490658">
        <w:rPr>
          <w:i/>
          <w:iCs/>
        </w:rPr>
        <w:t>Racial Discrimination Act 1975</w:t>
      </w:r>
      <w:r w:rsidR="00490658">
        <w:t xml:space="preserve"> (</w:t>
      </w:r>
      <w:proofErr w:type="spellStart"/>
      <w:r w:rsidR="00490658">
        <w:t>Cth</w:t>
      </w:r>
      <w:proofErr w:type="spellEnd"/>
      <w:r w:rsidR="00490658">
        <w:t xml:space="preserve">), the </w:t>
      </w:r>
      <w:r w:rsidR="00490658" w:rsidRPr="00490658">
        <w:rPr>
          <w:i/>
          <w:iCs/>
        </w:rPr>
        <w:t>Sex Discrimination Act 1984</w:t>
      </w:r>
      <w:r w:rsidR="00490658">
        <w:t xml:space="preserve"> (</w:t>
      </w:r>
      <w:proofErr w:type="spellStart"/>
      <w:r w:rsidR="00490658">
        <w:t>Cth</w:t>
      </w:r>
      <w:proofErr w:type="spellEnd"/>
      <w:r w:rsidR="00490658">
        <w:t xml:space="preserve">), the </w:t>
      </w:r>
      <w:r w:rsidR="00490658" w:rsidRPr="00490658">
        <w:rPr>
          <w:i/>
          <w:iCs/>
        </w:rPr>
        <w:t>Disability Discrimination Act 1992</w:t>
      </w:r>
      <w:r w:rsidR="00490658">
        <w:t xml:space="preserve"> (</w:t>
      </w:r>
      <w:proofErr w:type="spellStart"/>
      <w:r w:rsidR="00490658">
        <w:t>Cth</w:t>
      </w:r>
      <w:proofErr w:type="spellEnd"/>
      <w:r w:rsidR="00490658">
        <w:t xml:space="preserve">) and the </w:t>
      </w:r>
      <w:r w:rsidR="00490658" w:rsidRPr="00490658">
        <w:rPr>
          <w:i/>
          <w:iCs/>
        </w:rPr>
        <w:t>Age Discrimination Act 2004</w:t>
      </w:r>
      <w:r w:rsidR="00490658">
        <w:t xml:space="preserve"> (</w:t>
      </w:r>
      <w:proofErr w:type="spellStart"/>
      <w:r w:rsidR="00490658">
        <w:t>Cth</w:t>
      </w:r>
      <w:proofErr w:type="spellEnd"/>
      <w:r w:rsidR="00490658">
        <w:t>)</w:t>
      </w:r>
      <w:r>
        <w:t>.</w:t>
      </w:r>
    </w:p>
    <w:p w14:paraId="0F711A42" w14:textId="2234107D" w:rsidR="009062D7" w:rsidRDefault="00E50428" w:rsidP="008D2FD3">
      <w:pPr>
        <w:pStyle w:val="ListNumber"/>
        <w:numPr>
          <w:ilvl w:val="0"/>
          <w:numId w:val="0"/>
        </w:numPr>
        <w:ind w:left="1440"/>
      </w:pPr>
      <w:r>
        <w:t>(</w:t>
      </w:r>
      <w:r w:rsidR="00A55C1C">
        <w:t xml:space="preserve">Commission’s first submission at </w:t>
      </w:r>
      <w:r>
        <w:t>[46]</w:t>
      </w:r>
      <w:proofErr w:type="gramStart"/>
      <w:r w:rsidR="00475721">
        <w:t>–</w:t>
      </w:r>
      <w:r>
        <w:t>[</w:t>
      </w:r>
      <w:proofErr w:type="gramEnd"/>
      <w:r>
        <w:t>51]</w:t>
      </w:r>
      <w:r w:rsidR="005166F5">
        <w:t>)</w:t>
      </w:r>
    </w:p>
    <w:p w14:paraId="7A7D9595" w14:textId="339F45A3" w:rsidR="006656EB" w:rsidRPr="006656EB" w:rsidRDefault="006656EB" w:rsidP="006656EB">
      <w:pPr>
        <w:pStyle w:val="ListNumber"/>
        <w:keepNext/>
        <w:numPr>
          <w:ilvl w:val="0"/>
          <w:numId w:val="0"/>
        </w:numPr>
        <w:ind w:left="1094"/>
        <w:rPr>
          <w:b/>
          <w:bCs/>
        </w:rPr>
      </w:pPr>
      <w:r w:rsidRPr="006656EB">
        <w:rPr>
          <w:b/>
          <w:bCs/>
        </w:rPr>
        <w:lastRenderedPageBreak/>
        <w:t xml:space="preserve">Recommendation </w:t>
      </w:r>
      <w:r w:rsidR="00C37F58">
        <w:rPr>
          <w:b/>
          <w:bCs/>
        </w:rPr>
        <w:t>2</w:t>
      </w:r>
      <w:r w:rsidR="005624CE">
        <w:rPr>
          <w:b/>
          <w:bCs/>
        </w:rPr>
        <w:t>A</w:t>
      </w:r>
    </w:p>
    <w:p w14:paraId="3EE07FF9" w14:textId="060A5842" w:rsidR="006656EB" w:rsidRDefault="006656EB" w:rsidP="006656EB">
      <w:pPr>
        <w:pStyle w:val="ListNumber"/>
        <w:numPr>
          <w:ilvl w:val="0"/>
          <w:numId w:val="0"/>
        </w:numPr>
        <w:ind w:left="1094"/>
      </w:pPr>
      <w:r>
        <w:t>The Commission recommends that the definition of ‘</w:t>
      </w:r>
      <w:r w:rsidR="00DF72F3">
        <w:t>associate’</w:t>
      </w:r>
      <w:r>
        <w:t xml:space="preserve"> be </w:t>
      </w:r>
      <w:r w:rsidR="00DF72F3">
        <w:t xml:space="preserve">amended </w:t>
      </w:r>
      <w:r>
        <w:t>to make clear that a complaint of discrimination may only be made by a natural person</w:t>
      </w:r>
      <w:r w:rsidR="0058098F">
        <w:t xml:space="preserve"> and not by a corporation</w:t>
      </w:r>
      <w:r>
        <w:t>.</w:t>
      </w:r>
    </w:p>
    <w:p w14:paraId="27119336" w14:textId="74D622D6" w:rsidR="00AB277D" w:rsidRDefault="00AB277D" w:rsidP="00AB277D">
      <w:pPr>
        <w:pStyle w:val="ListNumber"/>
        <w:numPr>
          <w:ilvl w:val="0"/>
          <w:numId w:val="0"/>
        </w:numPr>
        <w:ind w:left="1440"/>
      </w:pPr>
      <w:r>
        <w:t xml:space="preserve">(Commission’s second submission at </w:t>
      </w:r>
      <w:r w:rsidRPr="00EA0948">
        <w:t>[</w:t>
      </w:r>
      <w:r w:rsidR="00EA0948" w:rsidRPr="00EA0948">
        <w:fldChar w:fldCharType="begin"/>
      </w:r>
      <w:r w:rsidR="00EA0948" w:rsidRPr="00EA0948">
        <w:instrText xml:space="preserve"> REF _Ref30431480 \r \h </w:instrText>
      </w:r>
      <w:r w:rsidR="00EA0948">
        <w:instrText xml:space="preserve"> \* MERGEFORMAT </w:instrText>
      </w:r>
      <w:r w:rsidR="00EA0948" w:rsidRPr="00EA0948">
        <w:fldChar w:fldCharType="separate"/>
      </w:r>
      <w:r w:rsidR="009C3F0E">
        <w:t>35</w:t>
      </w:r>
      <w:r w:rsidR="00EA0948" w:rsidRPr="00EA0948">
        <w:fldChar w:fldCharType="end"/>
      </w:r>
      <w:r w:rsidRPr="00EA0948">
        <w:t>]</w:t>
      </w:r>
      <w:r w:rsidR="00475721">
        <w:t>–</w:t>
      </w:r>
      <w:r w:rsidRPr="00EA0948">
        <w:t>[</w:t>
      </w:r>
      <w:r w:rsidR="00EA0948" w:rsidRPr="00EA0948">
        <w:fldChar w:fldCharType="begin"/>
      </w:r>
      <w:r w:rsidR="00EA0948" w:rsidRPr="00EA0948">
        <w:instrText xml:space="preserve"> REF _Ref30431488 \r \h </w:instrText>
      </w:r>
      <w:r w:rsidR="00EA0948">
        <w:instrText xml:space="preserve"> \* MERGEFORMAT </w:instrText>
      </w:r>
      <w:r w:rsidR="00EA0948" w:rsidRPr="00EA0948">
        <w:fldChar w:fldCharType="separate"/>
      </w:r>
      <w:r w:rsidR="009C3F0E">
        <w:t>49</w:t>
      </w:r>
      <w:r w:rsidR="00EA0948" w:rsidRPr="00EA0948">
        <w:fldChar w:fldCharType="end"/>
      </w:r>
      <w:r w:rsidRPr="00EA0948">
        <w:t>]</w:t>
      </w:r>
      <w:r>
        <w:t>)</w:t>
      </w:r>
    </w:p>
    <w:p w14:paraId="13E08C7B" w14:textId="0C2F89C7" w:rsidR="0051628E" w:rsidRPr="002032F9" w:rsidRDefault="0051628E" w:rsidP="0051628E">
      <w:pPr>
        <w:pStyle w:val="ListNumber"/>
        <w:keepNext/>
        <w:numPr>
          <w:ilvl w:val="0"/>
          <w:numId w:val="0"/>
        </w:numPr>
        <w:ind w:left="1094"/>
        <w:rPr>
          <w:b/>
          <w:bCs/>
        </w:rPr>
      </w:pPr>
      <w:r w:rsidRPr="002032F9">
        <w:rPr>
          <w:b/>
          <w:bCs/>
        </w:rPr>
        <w:t xml:space="preserve">Recommendation </w:t>
      </w:r>
      <w:r w:rsidR="00C37F58">
        <w:rPr>
          <w:b/>
          <w:bCs/>
        </w:rPr>
        <w:t>3</w:t>
      </w:r>
    </w:p>
    <w:p w14:paraId="287A1790" w14:textId="0407FE24" w:rsidR="0051628E" w:rsidRDefault="0051628E" w:rsidP="0051628E">
      <w:pPr>
        <w:pStyle w:val="ListNumber"/>
        <w:numPr>
          <w:ilvl w:val="0"/>
          <w:numId w:val="0"/>
        </w:numPr>
        <w:ind w:left="1094"/>
      </w:pPr>
      <w:r>
        <w:t>The Commission recommends that clause 1</w:t>
      </w:r>
      <w:r w:rsidR="002C4DC0">
        <w:t>1</w:t>
      </w:r>
      <w:r>
        <w:t xml:space="preserve"> of the Bill be amended to:</w:t>
      </w:r>
    </w:p>
    <w:p w14:paraId="6EE6B0B9" w14:textId="77777777" w:rsidR="0051628E" w:rsidRDefault="0051628E" w:rsidP="0051628E">
      <w:pPr>
        <w:pStyle w:val="ListNumber"/>
        <w:numPr>
          <w:ilvl w:val="0"/>
          <w:numId w:val="0"/>
        </w:numPr>
        <w:ind w:left="1440" w:hanging="346"/>
      </w:pPr>
      <w:r>
        <w:t>(a)</w:t>
      </w:r>
      <w:r>
        <w:tab/>
        <w:t>limit the definition of ‘religious body’ to ‘bodies established for religious purposes’</w:t>
      </w:r>
    </w:p>
    <w:p w14:paraId="23169901" w14:textId="5EF456BE" w:rsidR="0051628E" w:rsidRDefault="0051628E" w:rsidP="0051628E">
      <w:pPr>
        <w:pStyle w:val="ListNumber"/>
        <w:numPr>
          <w:ilvl w:val="0"/>
          <w:numId w:val="0"/>
        </w:numPr>
        <w:ind w:left="1440" w:hanging="346"/>
      </w:pPr>
      <w:r>
        <w:t>(b)</w:t>
      </w:r>
      <w:r>
        <w:tab/>
        <w:t xml:space="preserve">provide that the </w:t>
      </w:r>
      <w:r w:rsidR="00FB3F01">
        <w:t>general exemption</w:t>
      </w:r>
      <w:r>
        <w:t xml:space="preserve"> does not apply to conduct connected with commercial activities.</w:t>
      </w:r>
    </w:p>
    <w:p w14:paraId="3FD45D42" w14:textId="4085BC67" w:rsidR="00054168" w:rsidRDefault="00054168" w:rsidP="00261BBB">
      <w:pPr>
        <w:pStyle w:val="ListNumber"/>
        <w:numPr>
          <w:ilvl w:val="0"/>
          <w:numId w:val="0"/>
        </w:numPr>
        <w:ind w:left="1440"/>
      </w:pPr>
      <w:r>
        <w:t>(Commission’s first submission at [</w:t>
      </w:r>
      <w:r w:rsidR="009602E3">
        <w:t>63</w:t>
      </w:r>
      <w:r>
        <w:t>]</w:t>
      </w:r>
      <w:proofErr w:type="gramStart"/>
      <w:r w:rsidR="00475721">
        <w:t>–</w:t>
      </w:r>
      <w:r>
        <w:t>[</w:t>
      </w:r>
      <w:proofErr w:type="gramEnd"/>
      <w:r w:rsidR="00551666">
        <w:t>77</w:t>
      </w:r>
      <w:r>
        <w:t>])</w:t>
      </w:r>
    </w:p>
    <w:p w14:paraId="1AA0E016" w14:textId="5F79FFDA" w:rsidR="00054168" w:rsidRDefault="00054168" w:rsidP="00261BBB">
      <w:pPr>
        <w:pStyle w:val="ListNumber"/>
        <w:numPr>
          <w:ilvl w:val="0"/>
          <w:numId w:val="0"/>
        </w:numPr>
        <w:ind w:left="1440"/>
      </w:pPr>
      <w:r>
        <w:t xml:space="preserve">(Commission’s second submission at </w:t>
      </w:r>
      <w:r w:rsidRPr="00A74D50">
        <w:t>[</w:t>
      </w:r>
      <w:r w:rsidR="00A74D50" w:rsidRPr="00A74D50">
        <w:fldChar w:fldCharType="begin"/>
      </w:r>
      <w:r w:rsidR="00A74D50" w:rsidRPr="00A74D50">
        <w:instrText xml:space="preserve"> REF _Ref30431795 \r \h </w:instrText>
      </w:r>
      <w:r w:rsidR="00A74D50">
        <w:instrText xml:space="preserve"> \* MERGEFORMAT </w:instrText>
      </w:r>
      <w:r w:rsidR="00A74D50" w:rsidRPr="00A74D50">
        <w:fldChar w:fldCharType="separate"/>
      </w:r>
      <w:r w:rsidR="009C3F0E">
        <w:t>75</w:t>
      </w:r>
      <w:r w:rsidR="00A74D50" w:rsidRPr="00A74D50">
        <w:fldChar w:fldCharType="end"/>
      </w:r>
      <w:r w:rsidRPr="00A74D50">
        <w:t>]</w:t>
      </w:r>
      <w:r w:rsidR="00475721">
        <w:t>–</w:t>
      </w:r>
      <w:r w:rsidRPr="00A74D50">
        <w:t>[</w:t>
      </w:r>
      <w:r w:rsidR="00A74D50" w:rsidRPr="00A74D50">
        <w:fldChar w:fldCharType="begin"/>
      </w:r>
      <w:r w:rsidR="00A74D50" w:rsidRPr="00A74D50">
        <w:instrText xml:space="preserve"> REF _Ref30431804 \r \h </w:instrText>
      </w:r>
      <w:r w:rsidR="00A74D50">
        <w:instrText xml:space="preserve"> \* MERGEFORMAT </w:instrText>
      </w:r>
      <w:r w:rsidR="00A74D50" w:rsidRPr="00A74D50">
        <w:fldChar w:fldCharType="separate"/>
      </w:r>
      <w:r w:rsidR="009C3F0E">
        <w:t>99</w:t>
      </w:r>
      <w:r w:rsidR="00A74D50" w:rsidRPr="00A74D50">
        <w:fldChar w:fldCharType="end"/>
      </w:r>
      <w:r w:rsidRPr="00A74D50">
        <w:t>])</w:t>
      </w:r>
    </w:p>
    <w:p w14:paraId="71D5244E" w14:textId="77777777" w:rsidR="00C3458D" w:rsidRPr="00A0113D" w:rsidRDefault="00C3458D" w:rsidP="00C3458D">
      <w:pPr>
        <w:pStyle w:val="ListNumber"/>
        <w:keepNext/>
        <w:numPr>
          <w:ilvl w:val="0"/>
          <w:numId w:val="0"/>
        </w:numPr>
        <w:ind w:left="1094"/>
        <w:rPr>
          <w:b/>
          <w:bCs/>
        </w:rPr>
      </w:pPr>
      <w:r w:rsidRPr="00A0113D">
        <w:rPr>
          <w:b/>
          <w:bCs/>
        </w:rPr>
        <w:t>Recommendation 3A</w:t>
      </w:r>
    </w:p>
    <w:p w14:paraId="18DEB794" w14:textId="12752D1D" w:rsidR="00C3458D" w:rsidRPr="0026394B" w:rsidRDefault="00C3458D" w:rsidP="00C3458D">
      <w:pPr>
        <w:pStyle w:val="ListNumber"/>
        <w:numPr>
          <w:ilvl w:val="0"/>
          <w:numId w:val="0"/>
        </w:numPr>
        <w:ind w:left="1094"/>
      </w:pPr>
      <w:r>
        <w:t xml:space="preserve">The Commission recommends that clauses 11(3), 32(10)(b) and 33(4)(b) </w:t>
      </w:r>
      <w:r w:rsidR="00806C78">
        <w:t>be</w:t>
      </w:r>
      <w:r>
        <w:t xml:space="preserve"> amended to limit the application of the relevant exemptions to conduct that is ‘necessary’ to avoid injury to the religious susceptibilities of adherents of the relevant religion.</w:t>
      </w:r>
    </w:p>
    <w:p w14:paraId="77B4A419" w14:textId="3421CF1D" w:rsidR="00AB277D" w:rsidRDefault="00AB277D" w:rsidP="00AB277D">
      <w:pPr>
        <w:pStyle w:val="ListNumber"/>
        <w:numPr>
          <w:ilvl w:val="0"/>
          <w:numId w:val="0"/>
        </w:numPr>
        <w:ind w:left="1440"/>
      </w:pPr>
      <w:r>
        <w:t xml:space="preserve">(Commission’s second submission at </w:t>
      </w:r>
      <w:r w:rsidRPr="0044351B">
        <w:t>[</w:t>
      </w:r>
      <w:r w:rsidR="0044351B" w:rsidRPr="0044351B">
        <w:fldChar w:fldCharType="begin"/>
      </w:r>
      <w:r w:rsidR="0044351B" w:rsidRPr="0044351B">
        <w:instrText xml:space="preserve"> REF _Ref30431601 \r \h </w:instrText>
      </w:r>
      <w:r w:rsidR="0044351B">
        <w:instrText xml:space="preserve"> \* MERGEFORMAT </w:instrText>
      </w:r>
      <w:r w:rsidR="0044351B" w:rsidRPr="0044351B">
        <w:fldChar w:fldCharType="separate"/>
      </w:r>
      <w:r w:rsidR="009C3F0E">
        <w:t>63</w:t>
      </w:r>
      <w:r w:rsidR="0044351B" w:rsidRPr="0044351B">
        <w:fldChar w:fldCharType="end"/>
      </w:r>
      <w:r w:rsidRPr="0044351B">
        <w:t>]</w:t>
      </w:r>
      <w:r w:rsidR="00475721">
        <w:t>–</w:t>
      </w:r>
      <w:r w:rsidRPr="0044351B">
        <w:t>[</w:t>
      </w:r>
      <w:r w:rsidR="00BE1536">
        <w:fldChar w:fldCharType="begin"/>
      </w:r>
      <w:r w:rsidR="00BE1536">
        <w:instrText xml:space="preserve"> REF _Ref30522184 \r \h </w:instrText>
      </w:r>
      <w:r w:rsidR="00BE1536">
        <w:fldChar w:fldCharType="separate"/>
      </w:r>
      <w:r w:rsidR="009C3F0E">
        <w:t>69</w:t>
      </w:r>
      <w:r w:rsidR="00BE1536">
        <w:fldChar w:fldCharType="end"/>
      </w:r>
      <w:r w:rsidRPr="0044351B">
        <w:t>]</w:t>
      </w:r>
      <w:r>
        <w:t>)</w:t>
      </w:r>
    </w:p>
    <w:p w14:paraId="26F987AD" w14:textId="77777777" w:rsidR="007B7E97" w:rsidRPr="00A423C8" w:rsidRDefault="007B7E97" w:rsidP="007B7E97">
      <w:pPr>
        <w:pStyle w:val="ListNumber"/>
        <w:keepNext/>
        <w:numPr>
          <w:ilvl w:val="0"/>
          <w:numId w:val="0"/>
        </w:numPr>
        <w:ind w:left="1094"/>
        <w:rPr>
          <w:b/>
          <w:bCs/>
        </w:rPr>
      </w:pPr>
      <w:r w:rsidRPr="00A423C8">
        <w:rPr>
          <w:b/>
          <w:bCs/>
        </w:rPr>
        <w:t>Recommendation 3</w:t>
      </w:r>
      <w:r>
        <w:rPr>
          <w:b/>
          <w:bCs/>
        </w:rPr>
        <w:t>B</w:t>
      </w:r>
    </w:p>
    <w:p w14:paraId="4DD6B729" w14:textId="6A95D5C2" w:rsidR="007B7E97" w:rsidRDefault="00054653" w:rsidP="007B7E97">
      <w:pPr>
        <w:pStyle w:val="ListNumber"/>
        <w:numPr>
          <w:ilvl w:val="0"/>
          <w:numId w:val="0"/>
        </w:numPr>
        <w:ind w:left="1094"/>
      </w:pPr>
      <w:r>
        <w:t>The Commission recommends that clauses 11(2) and (4), 32(9) and (11), and 33(3) and (5) be amended to make clear that giving preference to persons of a particular religion will be permitted only where this also satisfies the relevant substantive test for non-discriminatory conduct.</w:t>
      </w:r>
    </w:p>
    <w:p w14:paraId="64DF495A" w14:textId="3A45DC8A" w:rsidR="00AB277D" w:rsidRDefault="00AB277D" w:rsidP="00AB277D">
      <w:pPr>
        <w:pStyle w:val="ListNumber"/>
        <w:numPr>
          <w:ilvl w:val="0"/>
          <w:numId w:val="0"/>
        </w:numPr>
        <w:ind w:left="1440"/>
      </w:pPr>
      <w:r>
        <w:t xml:space="preserve">(Commission’s second submission at </w:t>
      </w:r>
      <w:r w:rsidRPr="0006327C">
        <w:t>[</w:t>
      </w:r>
      <w:r w:rsidR="0006327C" w:rsidRPr="0006327C">
        <w:fldChar w:fldCharType="begin"/>
      </w:r>
      <w:r w:rsidR="0006327C" w:rsidRPr="0006327C">
        <w:instrText xml:space="preserve"> REF _Ref30431700 \r \h </w:instrText>
      </w:r>
      <w:r w:rsidR="0006327C">
        <w:instrText xml:space="preserve"> \* MERGEFORMAT </w:instrText>
      </w:r>
      <w:r w:rsidR="0006327C" w:rsidRPr="0006327C">
        <w:fldChar w:fldCharType="separate"/>
      </w:r>
      <w:r w:rsidR="009C3F0E">
        <w:t>70</w:t>
      </w:r>
      <w:r w:rsidR="0006327C" w:rsidRPr="0006327C">
        <w:fldChar w:fldCharType="end"/>
      </w:r>
      <w:r w:rsidRPr="0006327C">
        <w:t>]</w:t>
      </w:r>
      <w:r w:rsidR="00475721">
        <w:t>–</w:t>
      </w:r>
      <w:r w:rsidRPr="0006327C">
        <w:t>[</w:t>
      </w:r>
      <w:r w:rsidR="0006327C" w:rsidRPr="0006327C">
        <w:fldChar w:fldCharType="begin"/>
      </w:r>
      <w:r w:rsidR="0006327C" w:rsidRPr="0006327C">
        <w:instrText xml:space="preserve"> REF _Ref30431705 \r \h </w:instrText>
      </w:r>
      <w:r w:rsidR="0006327C">
        <w:instrText xml:space="preserve"> \* MERGEFORMAT </w:instrText>
      </w:r>
      <w:r w:rsidR="0006327C" w:rsidRPr="0006327C">
        <w:fldChar w:fldCharType="separate"/>
      </w:r>
      <w:r w:rsidR="009C3F0E">
        <w:t>74</w:t>
      </w:r>
      <w:r w:rsidR="0006327C" w:rsidRPr="0006327C">
        <w:fldChar w:fldCharType="end"/>
      </w:r>
      <w:r w:rsidRPr="0006327C">
        <w:t>]</w:t>
      </w:r>
      <w:r>
        <w:t>)</w:t>
      </w:r>
    </w:p>
    <w:p w14:paraId="1A90E802" w14:textId="1927AE58" w:rsidR="00CB098A" w:rsidRPr="002032F9" w:rsidRDefault="00CB098A" w:rsidP="00CB098A">
      <w:pPr>
        <w:pStyle w:val="ListNumber"/>
        <w:keepNext/>
        <w:numPr>
          <w:ilvl w:val="0"/>
          <w:numId w:val="0"/>
        </w:numPr>
        <w:ind w:left="1094"/>
        <w:rPr>
          <w:b/>
          <w:bCs/>
        </w:rPr>
      </w:pPr>
      <w:r w:rsidRPr="002032F9">
        <w:rPr>
          <w:b/>
          <w:bCs/>
        </w:rPr>
        <w:t xml:space="preserve">Recommendation </w:t>
      </w:r>
      <w:r>
        <w:rPr>
          <w:b/>
          <w:bCs/>
        </w:rPr>
        <w:t>3</w:t>
      </w:r>
      <w:r w:rsidR="009F5446">
        <w:rPr>
          <w:b/>
          <w:bCs/>
        </w:rPr>
        <w:t>C</w:t>
      </w:r>
    </w:p>
    <w:p w14:paraId="44216546" w14:textId="026DD71B" w:rsidR="00CB098A" w:rsidRDefault="00CB098A" w:rsidP="00CB098A">
      <w:pPr>
        <w:pStyle w:val="ListNumber"/>
        <w:numPr>
          <w:ilvl w:val="0"/>
          <w:numId w:val="0"/>
        </w:numPr>
        <w:ind w:left="1094"/>
      </w:pPr>
      <w:r>
        <w:t>The Commission recommends that clause 11</w:t>
      </w:r>
      <w:r w:rsidR="003640DD">
        <w:t>(5)</w:t>
      </w:r>
      <w:r>
        <w:t xml:space="preserve"> of the Bill be amended to remove the general exemption for educational institutions, and that this issue be referred to the Australian Law Reform Commission as part of its current review of religious exemptions in anti-discrimination law</w:t>
      </w:r>
      <w:r w:rsidR="00F10059" w:rsidRPr="00F10059">
        <w:t xml:space="preserve"> </w:t>
      </w:r>
      <w:r w:rsidR="00F10059">
        <w:t>along with any amendment to the ALRC’s terms of reference as may be necessary for it to consider this issue</w:t>
      </w:r>
      <w:r>
        <w:t>.</w:t>
      </w:r>
    </w:p>
    <w:p w14:paraId="0B0A008D" w14:textId="14729D09" w:rsidR="00AB277D" w:rsidRDefault="00AB277D" w:rsidP="00AB277D">
      <w:pPr>
        <w:pStyle w:val="ListNumber"/>
        <w:numPr>
          <w:ilvl w:val="0"/>
          <w:numId w:val="0"/>
        </w:numPr>
        <w:ind w:left="1440"/>
      </w:pPr>
      <w:r>
        <w:t xml:space="preserve">(Commission’s second submission at </w:t>
      </w:r>
      <w:r w:rsidRPr="00A23747">
        <w:t>[</w:t>
      </w:r>
      <w:r w:rsidR="00A23747" w:rsidRPr="00A23747">
        <w:fldChar w:fldCharType="begin"/>
      </w:r>
      <w:r w:rsidR="00A23747" w:rsidRPr="00A23747">
        <w:instrText xml:space="preserve"> REF _Ref30431864 \r \h </w:instrText>
      </w:r>
      <w:r w:rsidR="00A23747">
        <w:instrText xml:space="preserve"> \* MERGEFORMAT </w:instrText>
      </w:r>
      <w:r w:rsidR="00A23747" w:rsidRPr="00A23747">
        <w:fldChar w:fldCharType="separate"/>
      </w:r>
      <w:r w:rsidR="009C3F0E">
        <w:t>100</w:t>
      </w:r>
      <w:r w:rsidR="00A23747" w:rsidRPr="00A23747">
        <w:fldChar w:fldCharType="end"/>
      </w:r>
      <w:r w:rsidRPr="00A23747">
        <w:t>]</w:t>
      </w:r>
      <w:r w:rsidR="00475721">
        <w:t>–</w:t>
      </w:r>
      <w:r w:rsidRPr="00A23747">
        <w:t>[</w:t>
      </w:r>
      <w:r w:rsidR="009C3F0E">
        <w:fldChar w:fldCharType="begin"/>
      </w:r>
      <w:r w:rsidR="009C3F0E">
        <w:instrText xml:space="preserve"> REF _Ref31355846 \r \h </w:instrText>
      </w:r>
      <w:r w:rsidR="009C3F0E">
        <w:fldChar w:fldCharType="separate"/>
      </w:r>
      <w:r w:rsidR="009C3F0E">
        <w:t>106</w:t>
      </w:r>
      <w:r w:rsidR="009C3F0E">
        <w:fldChar w:fldCharType="end"/>
      </w:r>
      <w:r w:rsidRPr="00A23747">
        <w:t>]</w:t>
      </w:r>
      <w:r>
        <w:t>)</w:t>
      </w:r>
    </w:p>
    <w:p w14:paraId="3CBABD8F" w14:textId="2B280151" w:rsidR="004723B0" w:rsidRPr="00C05EEC" w:rsidRDefault="004723B0" w:rsidP="004723B0">
      <w:pPr>
        <w:pStyle w:val="ListNumber"/>
        <w:keepNext/>
        <w:numPr>
          <w:ilvl w:val="0"/>
          <w:numId w:val="0"/>
        </w:numPr>
        <w:ind w:left="1094"/>
        <w:rPr>
          <w:b/>
          <w:bCs/>
        </w:rPr>
      </w:pPr>
      <w:r w:rsidRPr="00C05EEC">
        <w:rPr>
          <w:b/>
          <w:bCs/>
        </w:rPr>
        <w:lastRenderedPageBreak/>
        <w:t>Recommendation 3</w:t>
      </w:r>
      <w:r w:rsidR="009F5446">
        <w:rPr>
          <w:b/>
          <w:bCs/>
        </w:rPr>
        <w:t>D</w:t>
      </w:r>
    </w:p>
    <w:p w14:paraId="6306D882" w14:textId="1D14F1F9" w:rsidR="004723B0" w:rsidRDefault="004723B0" w:rsidP="004723B0">
      <w:pPr>
        <w:pStyle w:val="ListNumber"/>
        <w:numPr>
          <w:ilvl w:val="0"/>
          <w:numId w:val="0"/>
        </w:numPr>
        <w:ind w:left="1094"/>
      </w:pPr>
      <w:r>
        <w:t>The Commission recommends that clauses 32(8)</w:t>
      </w:r>
      <w:proofErr w:type="gramStart"/>
      <w:r w:rsidR="00475721">
        <w:t>–</w:t>
      </w:r>
      <w:r>
        <w:t>(</w:t>
      </w:r>
      <w:proofErr w:type="gramEnd"/>
      <w:r>
        <w:t xml:space="preserve">11), dealing with exemptions from </w:t>
      </w:r>
      <w:r w:rsidR="00F0799B">
        <w:t xml:space="preserve">religious </w:t>
      </w:r>
      <w:r>
        <w:t xml:space="preserve">discrimination in employment and partnerships for religious </w:t>
      </w:r>
      <w:r w:rsidRPr="00A46BF4">
        <w:t>hospitals, aged care facilities and accommodation providers</w:t>
      </w:r>
      <w:r>
        <w:t>, be removed from the Bill.</w:t>
      </w:r>
    </w:p>
    <w:p w14:paraId="15F0BCD1" w14:textId="02CFC9AF" w:rsidR="00AB277D" w:rsidRDefault="00AB277D" w:rsidP="00AB277D">
      <w:pPr>
        <w:pStyle w:val="ListNumber"/>
        <w:numPr>
          <w:ilvl w:val="0"/>
          <w:numId w:val="0"/>
        </w:numPr>
        <w:ind w:left="1440"/>
      </w:pPr>
      <w:r>
        <w:t xml:space="preserve">(Commission’s second submission at </w:t>
      </w:r>
      <w:r w:rsidRPr="002E6B89">
        <w:t>[</w:t>
      </w:r>
      <w:r w:rsidR="002E6B89" w:rsidRPr="002E6B89">
        <w:fldChar w:fldCharType="begin"/>
      </w:r>
      <w:r w:rsidR="002E6B89" w:rsidRPr="002E6B89">
        <w:instrText xml:space="preserve"> REF _Ref30431924 \r \h </w:instrText>
      </w:r>
      <w:r w:rsidR="002E6B89">
        <w:instrText xml:space="preserve"> \* MERGEFORMAT </w:instrText>
      </w:r>
      <w:r w:rsidR="002E6B89" w:rsidRPr="002E6B89">
        <w:fldChar w:fldCharType="separate"/>
      </w:r>
      <w:r w:rsidR="009C3F0E">
        <w:t>107</w:t>
      </w:r>
      <w:r w:rsidR="002E6B89" w:rsidRPr="002E6B89">
        <w:fldChar w:fldCharType="end"/>
      </w:r>
      <w:r w:rsidRPr="002E6B89">
        <w:t>]</w:t>
      </w:r>
      <w:r w:rsidR="00475721">
        <w:t>–</w:t>
      </w:r>
      <w:r w:rsidRPr="002E6B89">
        <w:t>[</w:t>
      </w:r>
      <w:r w:rsidR="002E6B89" w:rsidRPr="002E6B89">
        <w:fldChar w:fldCharType="begin"/>
      </w:r>
      <w:r w:rsidR="002E6B89" w:rsidRPr="002E6B89">
        <w:instrText xml:space="preserve"> REF _Ref30431931 \r \h </w:instrText>
      </w:r>
      <w:r w:rsidR="002E6B89">
        <w:instrText xml:space="preserve"> \* MERGEFORMAT </w:instrText>
      </w:r>
      <w:r w:rsidR="002E6B89" w:rsidRPr="002E6B89">
        <w:fldChar w:fldCharType="separate"/>
      </w:r>
      <w:r w:rsidR="009C3F0E">
        <w:t>117</w:t>
      </w:r>
      <w:r w:rsidR="002E6B89" w:rsidRPr="002E6B89">
        <w:fldChar w:fldCharType="end"/>
      </w:r>
      <w:r w:rsidRPr="002E6B89">
        <w:t>]</w:t>
      </w:r>
      <w:r>
        <w:t>)</w:t>
      </w:r>
    </w:p>
    <w:p w14:paraId="473F4984" w14:textId="5171A4CC" w:rsidR="000C2F4F" w:rsidRPr="003B4CD5" w:rsidRDefault="000C2F4F" w:rsidP="000C2F4F">
      <w:pPr>
        <w:pStyle w:val="ListNumber"/>
        <w:keepNext/>
        <w:numPr>
          <w:ilvl w:val="0"/>
          <w:numId w:val="0"/>
        </w:numPr>
        <w:ind w:left="1094"/>
        <w:rPr>
          <w:b/>
          <w:bCs/>
        </w:rPr>
      </w:pPr>
      <w:r w:rsidRPr="003B4CD5">
        <w:rPr>
          <w:b/>
          <w:bCs/>
        </w:rPr>
        <w:t>Recommendation 3</w:t>
      </w:r>
      <w:r w:rsidR="009F5446">
        <w:rPr>
          <w:b/>
          <w:bCs/>
        </w:rPr>
        <w:t>E</w:t>
      </w:r>
    </w:p>
    <w:p w14:paraId="61F43421" w14:textId="4EABC756" w:rsidR="000C2F4F" w:rsidRDefault="000C2F4F" w:rsidP="000C2F4F">
      <w:pPr>
        <w:pStyle w:val="ListNumber"/>
        <w:numPr>
          <w:ilvl w:val="0"/>
          <w:numId w:val="0"/>
        </w:numPr>
        <w:ind w:left="1094"/>
      </w:pPr>
      <w:r>
        <w:t>The Commission recommends that clauses 33(2)</w:t>
      </w:r>
      <w:proofErr w:type="gramStart"/>
      <w:r w:rsidR="00475721">
        <w:t>–</w:t>
      </w:r>
      <w:r>
        <w:t>(</w:t>
      </w:r>
      <w:proofErr w:type="gramEnd"/>
      <w:r>
        <w:t xml:space="preserve">5), dealing with exemptions from </w:t>
      </w:r>
      <w:r w:rsidR="0002120D">
        <w:t xml:space="preserve">religious </w:t>
      </w:r>
      <w:r>
        <w:t>discrimination relating to accommodation for religious camps and conference sites, be removed from the Bill.</w:t>
      </w:r>
    </w:p>
    <w:p w14:paraId="2DB9BD50" w14:textId="088B01E6" w:rsidR="000F09EC" w:rsidRDefault="000F09EC" w:rsidP="000F09EC">
      <w:pPr>
        <w:pStyle w:val="ListNumber"/>
        <w:numPr>
          <w:ilvl w:val="0"/>
          <w:numId w:val="0"/>
        </w:numPr>
        <w:ind w:left="1440"/>
      </w:pPr>
      <w:r>
        <w:t xml:space="preserve">(Commission’s second submission at </w:t>
      </w:r>
      <w:r w:rsidRPr="002E6B89">
        <w:t>[</w:t>
      </w:r>
      <w:r w:rsidR="002E6B89" w:rsidRPr="002E6B89">
        <w:fldChar w:fldCharType="begin"/>
      </w:r>
      <w:r w:rsidR="002E6B89" w:rsidRPr="002E6B89">
        <w:instrText xml:space="preserve"> REF _Ref30431971 \r \h </w:instrText>
      </w:r>
      <w:r w:rsidR="002E6B89">
        <w:instrText xml:space="preserve"> \* MERGEFORMAT </w:instrText>
      </w:r>
      <w:r w:rsidR="002E6B89" w:rsidRPr="002E6B89">
        <w:fldChar w:fldCharType="separate"/>
      </w:r>
      <w:r w:rsidR="009C3F0E">
        <w:t>118</w:t>
      </w:r>
      <w:r w:rsidR="002E6B89" w:rsidRPr="002E6B89">
        <w:fldChar w:fldCharType="end"/>
      </w:r>
      <w:r w:rsidRPr="002E6B89">
        <w:t>]</w:t>
      </w:r>
      <w:r w:rsidR="00475721">
        <w:t>–</w:t>
      </w:r>
      <w:r w:rsidRPr="002E6B89">
        <w:t>[</w:t>
      </w:r>
      <w:r w:rsidR="002E6B89" w:rsidRPr="002E6B89">
        <w:fldChar w:fldCharType="begin"/>
      </w:r>
      <w:r w:rsidR="002E6B89" w:rsidRPr="002E6B89">
        <w:instrText xml:space="preserve"> REF _Ref30431978 \r \h </w:instrText>
      </w:r>
      <w:r w:rsidR="002E6B89">
        <w:instrText xml:space="preserve"> \* MERGEFORMAT </w:instrText>
      </w:r>
      <w:r w:rsidR="002E6B89" w:rsidRPr="002E6B89">
        <w:fldChar w:fldCharType="separate"/>
      </w:r>
      <w:r w:rsidR="009C3F0E">
        <w:t>125</w:t>
      </w:r>
      <w:r w:rsidR="002E6B89" w:rsidRPr="002E6B89">
        <w:fldChar w:fldCharType="end"/>
      </w:r>
      <w:r w:rsidRPr="002E6B89">
        <w:t>]</w:t>
      </w:r>
      <w:r>
        <w:t>)</w:t>
      </w:r>
    </w:p>
    <w:p w14:paraId="1EE998BD" w14:textId="29A43B4F" w:rsidR="006656EB" w:rsidRPr="00DE681B" w:rsidRDefault="006656EB" w:rsidP="006656EB">
      <w:pPr>
        <w:pStyle w:val="ListNumber"/>
        <w:keepNext/>
        <w:numPr>
          <w:ilvl w:val="0"/>
          <w:numId w:val="0"/>
        </w:numPr>
        <w:ind w:left="1094"/>
        <w:rPr>
          <w:b/>
          <w:bCs/>
        </w:rPr>
      </w:pPr>
      <w:r w:rsidRPr="00DE681B">
        <w:rPr>
          <w:b/>
          <w:bCs/>
        </w:rPr>
        <w:t xml:space="preserve">Recommendation </w:t>
      </w:r>
      <w:r w:rsidR="00C37F58">
        <w:rPr>
          <w:b/>
          <w:bCs/>
        </w:rPr>
        <w:t>4</w:t>
      </w:r>
    </w:p>
    <w:p w14:paraId="02954495" w14:textId="41AD605A" w:rsidR="006656EB" w:rsidRDefault="006656EB" w:rsidP="006656EB">
      <w:pPr>
        <w:pStyle w:val="ListNumber"/>
        <w:numPr>
          <w:ilvl w:val="0"/>
          <w:numId w:val="0"/>
        </w:numPr>
        <w:ind w:left="1094"/>
      </w:pPr>
      <w:r>
        <w:t>The Commission recommends that clause 4</w:t>
      </w:r>
      <w:r w:rsidR="00551666">
        <w:t>2</w:t>
      </w:r>
      <w:r>
        <w:t xml:space="preserve">, dealing with discriminatory statements of belief, </w:t>
      </w:r>
      <w:r w:rsidR="00FD1C19">
        <w:t>be</w:t>
      </w:r>
      <w:r>
        <w:t xml:space="preserve"> removed from the Bill.</w:t>
      </w:r>
    </w:p>
    <w:p w14:paraId="0E4E8DBF" w14:textId="18E0BDD1" w:rsidR="002C4DC0" w:rsidRDefault="002C4DC0" w:rsidP="00261BBB">
      <w:pPr>
        <w:pStyle w:val="ListNumber"/>
        <w:numPr>
          <w:ilvl w:val="0"/>
          <w:numId w:val="0"/>
        </w:numPr>
        <w:ind w:left="1440"/>
      </w:pPr>
      <w:r>
        <w:t>(Commission’s first submission at [</w:t>
      </w:r>
      <w:r w:rsidR="00783B5D">
        <w:t>78</w:t>
      </w:r>
      <w:r>
        <w:t>]</w:t>
      </w:r>
      <w:proofErr w:type="gramStart"/>
      <w:r w:rsidR="00475721">
        <w:t>–</w:t>
      </w:r>
      <w:r>
        <w:t>[</w:t>
      </w:r>
      <w:proofErr w:type="gramEnd"/>
      <w:r w:rsidR="00783B5D">
        <w:t>97</w:t>
      </w:r>
      <w:r>
        <w:t>])</w:t>
      </w:r>
    </w:p>
    <w:p w14:paraId="76A0893D" w14:textId="5467185D" w:rsidR="002C4DC0" w:rsidRDefault="002C4DC0" w:rsidP="00261BBB">
      <w:pPr>
        <w:pStyle w:val="ListNumber"/>
        <w:numPr>
          <w:ilvl w:val="0"/>
          <w:numId w:val="0"/>
        </w:numPr>
        <w:ind w:left="1440"/>
      </w:pPr>
      <w:r>
        <w:t xml:space="preserve">(Commission’s second submission at </w:t>
      </w:r>
      <w:r w:rsidRPr="00A51A1E">
        <w:t>[</w:t>
      </w:r>
      <w:r w:rsidR="00C658EE" w:rsidRPr="00A51A1E">
        <w:fldChar w:fldCharType="begin"/>
      </w:r>
      <w:r w:rsidR="00C658EE" w:rsidRPr="00A51A1E">
        <w:instrText xml:space="preserve"> REF _Ref30432028 \r \h </w:instrText>
      </w:r>
      <w:r w:rsidR="00A51A1E">
        <w:instrText xml:space="preserve"> \* MERGEFORMAT </w:instrText>
      </w:r>
      <w:r w:rsidR="00C658EE" w:rsidRPr="00A51A1E">
        <w:fldChar w:fldCharType="separate"/>
      </w:r>
      <w:r w:rsidR="009C3F0E">
        <w:t>126</w:t>
      </w:r>
      <w:r w:rsidR="00C658EE" w:rsidRPr="00A51A1E">
        <w:fldChar w:fldCharType="end"/>
      </w:r>
      <w:r w:rsidR="00A51A1E" w:rsidRPr="00A51A1E">
        <w:t>]</w:t>
      </w:r>
      <w:r w:rsidR="00475721">
        <w:t>–</w:t>
      </w:r>
      <w:r w:rsidR="00A51A1E" w:rsidRPr="00A51A1E">
        <w:t>[</w:t>
      </w:r>
      <w:r w:rsidR="00C658EE" w:rsidRPr="00A51A1E">
        <w:fldChar w:fldCharType="begin"/>
      </w:r>
      <w:r w:rsidR="00C658EE" w:rsidRPr="00A51A1E">
        <w:instrText xml:space="preserve"> REF _Ref30432033 \r \h </w:instrText>
      </w:r>
      <w:r w:rsidR="00A51A1E">
        <w:instrText xml:space="preserve"> \* MERGEFORMAT </w:instrText>
      </w:r>
      <w:r w:rsidR="00C658EE" w:rsidRPr="00A51A1E">
        <w:fldChar w:fldCharType="separate"/>
      </w:r>
      <w:r w:rsidR="009C3F0E">
        <w:t>158</w:t>
      </w:r>
      <w:r w:rsidR="00C658EE" w:rsidRPr="00A51A1E">
        <w:fldChar w:fldCharType="end"/>
      </w:r>
      <w:r w:rsidR="00C658EE" w:rsidRPr="00A51A1E">
        <w:t>]</w:t>
      </w:r>
      <w:r>
        <w:t>)</w:t>
      </w:r>
    </w:p>
    <w:p w14:paraId="721ED2B9" w14:textId="120B9635" w:rsidR="006656EB" w:rsidRPr="00293476" w:rsidRDefault="006656EB" w:rsidP="006656EB">
      <w:pPr>
        <w:pStyle w:val="ListNumber"/>
        <w:keepNext/>
        <w:numPr>
          <w:ilvl w:val="0"/>
          <w:numId w:val="0"/>
        </w:numPr>
        <w:ind w:left="1094"/>
        <w:rPr>
          <w:b/>
          <w:bCs/>
        </w:rPr>
      </w:pPr>
      <w:r w:rsidRPr="00293476">
        <w:rPr>
          <w:b/>
          <w:bCs/>
        </w:rPr>
        <w:t xml:space="preserve">Recommendation </w:t>
      </w:r>
      <w:r w:rsidR="00C37F58">
        <w:rPr>
          <w:b/>
          <w:bCs/>
        </w:rPr>
        <w:t>5</w:t>
      </w:r>
    </w:p>
    <w:p w14:paraId="2386F04E" w14:textId="6DFC3160" w:rsidR="006656EB" w:rsidRDefault="006656EB" w:rsidP="001A3F67">
      <w:pPr>
        <w:pStyle w:val="ListNumber"/>
        <w:numPr>
          <w:ilvl w:val="0"/>
          <w:numId w:val="0"/>
        </w:numPr>
        <w:ind w:left="1094"/>
      </w:pPr>
      <w:r>
        <w:t>The Commission recommends that clause</w:t>
      </w:r>
      <w:r w:rsidR="00EE3724">
        <w:t>s</w:t>
      </w:r>
      <w:r>
        <w:t xml:space="preserve"> 8(3</w:t>
      </w:r>
      <w:r w:rsidR="00FA2824">
        <w:t>)</w:t>
      </w:r>
      <w:r w:rsidR="00EE3724">
        <w:t xml:space="preserve"> and (5)</w:t>
      </w:r>
      <w:r>
        <w:t>, dealing with the separate treatment of</w:t>
      </w:r>
      <w:r w:rsidR="001A3F67">
        <w:t xml:space="preserve"> </w:t>
      </w:r>
      <w:r w:rsidR="00EA2C88">
        <w:t xml:space="preserve">employer conduct rules imposed by </w:t>
      </w:r>
      <w:r>
        <w:t>private sector businesses with annual revenue of more than $50 million</w:t>
      </w:r>
      <w:r w:rsidR="001A3F67">
        <w:t xml:space="preserve"> </w:t>
      </w:r>
      <w:r w:rsidR="001E0829">
        <w:t>be</w:t>
      </w:r>
      <w:r>
        <w:t xml:space="preserve"> removed from the Bill.</w:t>
      </w:r>
    </w:p>
    <w:p w14:paraId="023612D7" w14:textId="34D3AC18" w:rsidR="00103202" w:rsidRDefault="00103202" w:rsidP="00261BBB">
      <w:pPr>
        <w:pStyle w:val="ListNumber"/>
        <w:numPr>
          <w:ilvl w:val="0"/>
          <w:numId w:val="0"/>
        </w:numPr>
        <w:ind w:left="1440"/>
      </w:pPr>
      <w:r>
        <w:t>(Commission’s first submission at [</w:t>
      </w:r>
      <w:r w:rsidR="004F0842">
        <w:t>102</w:t>
      </w:r>
      <w:r>
        <w:t>]</w:t>
      </w:r>
      <w:proofErr w:type="gramStart"/>
      <w:r w:rsidR="00475721">
        <w:t>–</w:t>
      </w:r>
      <w:r>
        <w:t>[</w:t>
      </w:r>
      <w:proofErr w:type="gramEnd"/>
      <w:r w:rsidR="004F0842">
        <w:t>114</w:t>
      </w:r>
      <w:r>
        <w:t>])</w:t>
      </w:r>
    </w:p>
    <w:p w14:paraId="6371EE13" w14:textId="313F4085" w:rsidR="00222FB1" w:rsidRDefault="00222FB1" w:rsidP="00222FB1">
      <w:pPr>
        <w:pStyle w:val="ListNumber"/>
        <w:numPr>
          <w:ilvl w:val="0"/>
          <w:numId w:val="0"/>
        </w:numPr>
        <w:ind w:left="1440"/>
      </w:pPr>
      <w:r>
        <w:t xml:space="preserve">(Commission’s second submission at </w:t>
      </w:r>
      <w:r w:rsidRPr="00222FB1">
        <w:t>[</w:t>
      </w:r>
      <w:r w:rsidRPr="00222FB1">
        <w:fldChar w:fldCharType="begin"/>
      </w:r>
      <w:r w:rsidRPr="00222FB1">
        <w:instrText xml:space="preserve"> REF _Ref30432156 \r \h </w:instrText>
      </w:r>
      <w:r>
        <w:instrText xml:space="preserve"> \* MERGEFORMAT </w:instrText>
      </w:r>
      <w:r w:rsidRPr="00222FB1">
        <w:fldChar w:fldCharType="separate"/>
      </w:r>
      <w:r w:rsidR="009C3F0E">
        <w:t>193</w:t>
      </w:r>
      <w:r w:rsidRPr="00222FB1">
        <w:fldChar w:fldCharType="end"/>
      </w:r>
      <w:r w:rsidRPr="00222FB1">
        <w:t>]</w:t>
      </w:r>
      <w:r w:rsidR="00475721">
        <w:t>–</w:t>
      </w:r>
      <w:r w:rsidRPr="00222FB1">
        <w:t>[</w:t>
      </w:r>
      <w:r w:rsidRPr="00222FB1">
        <w:fldChar w:fldCharType="begin"/>
      </w:r>
      <w:r w:rsidRPr="00222FB1">
        <w:instrText xml:space="preserve"> REF _Ref30432161 \r \h </w:instrText>
      </w:r>
      <w:r>
        <w:instrText xml:space="preserve"> \* MERGEFORMAT </w:instrText>
      </w:r>
      <w:r w:rsidRPr="00222FB1">
        <w:fldChar w:fldCharType="separate"/>
      </w:r>
      <w:r w:rsidR="009C3F0E">
        <w:t>197</w:t>
      </w:r>
      <w:r w:rsidRPr="00222FB1">
        <w:fldChar w:fldCharType="end"/>
      </w:r>
      <w:r w:rsidRPr="00222FB1">
        <w:t>]</w:t>
      </w:r>
      <w:r>
        <w:t>)</w:t>
      </w:r>
    </w:p>
    <w:p w14:paraId="4331A08E" w14:textId="00289C2D" w:rsidR="001A3F67" w:rsidRDefault="001A3F67" w:rsidP="006656EB">
      <w:pPr>
        <w:pStyle w:val="ListNumber"/>
        <w:keepNext/>
        <w:numPr>
          <w:ilvl w:val="0"/>
          <w:numId w:val="0"/>
        </w:numPr>
        <w:ind w:left="1094"/>
        <w:rPr>
          <w:b/>
          <w:bCs/>
        </w:rPr>
      </w:pPr>
      <w:r>
        <w:rPr>
          <w:b/>
          <w:bCs/>
        </w:rPr>
        <w:t>Recommendation 5A</w:t>
      </w:r>
    </w:p>
    <w:p w14:paraId="5095B5E8" w14:textId="0A81A59C" w:rsidR="001A3F67" w:rsidRDefault="001A3F67" w:rsidP="001A3F67">
      <w:pPr>
        <w:pStyle w:val="ListNumber"/>
        <w:numPr>
          <w:ilvl w:val="0"/>
          <w:numId w:val="0"/>
        </w:numPr>
        <w:ind w:left="1094"/>
      </w:pPr>
      <w:r>
        <w:t xml:space="preserve">The Commission recommends that clause 8(4), dealing with the separate treatment of </w:t>
      </w:r>
      <w:r w:rsidR="00AB277D">
        <w:t>qualifying body conduct rules imposed by qualifying bodies</w:t>
      </w:r>
      <w:r w:rsidR="008B33F0">
        <w:t>,</w:t>
      </w:r>
      <w:r w:rsidR="00AB277D">
        <w:t xml:space="preserve"> b</w:t>
      </w:r>
      <w:r>
        <w:t>e removed from the Bill.</w:t>
      </w:r>
    </w:p>
    <w:p w14:paraId="43929D8F" w14:textId="53231AB0" w:rsidR="00AB277D" w:rsidRDefault="00AB277D" w:rsidP="00AB277D">
      <w:pPr>
        <w:pStyle w:val="ListNumber"/>
        <w:numPr>
          <w:ilvl w:val="0"/>
          <w:numId w:val="0"/>
        </w:numPr>
        <w:ind w:left="1440"/>
      </w:pPr>
      <w:r>
        <w:t xml:space="preserve">(Commission’s second submission at </w:t>
      </w:r>
      <w:r w:rsidRPr="00AA0356">
        <w:t>[</w:t>
      </w:r>
      <w:r w:rsidR="00AA0356" w:rsidRPr="00AA0356">
        <w:fldChar w:fldCharType="begin"/>
      </w:r>
      <w:r w:rsidR="00AA0356" w:rsidRPr="00AA0356">
        <w:instrText xml:space="preserve"> REF _Ref30432208 \r \h </w:instrText>
      </w:r>
      <w:r w:rsidR="00AA0356">
        <w:instrText xml:space="preserve"> \* MERGEFORMAT </w:instrText>
      </w:r>
      <w:r w:rsidR="00AA0356" w:rsidRPr="00AA0356">
        <w:fldChar w:fldCharType="separate"/>
      </w:r>
      <w:r w:rsidR="009C3F0E">
        <w:t>198</w:t>
      </w:r>
      <w:r w:rsidR="00AA0356" w:rsidRPr="00AA0356">
        <w:fldChar w:fldCharType="end"/>
      </w:r>
      <w:r w:rsidRPr="00AA0356">
        <w:t>]</w:t>
      </w:r>
      <w:r w:rsidR="00475721">
        <w:t>–</w:t>
      </w:r>
      <w:r w:rsidRPr="00AA0356">
        <w:t>[</w:t>
      </w:r>
      <w:r w:rsidR="00AA0356" w:rsidRPr="00AA0356">
        <w:fldChar w:fldCharType="begin"/>
      </w:r>
      <w:r w:rsidR="00AA0356" w:rsidRPr="00AA0356">
        <w:instrText xml:space="preserve"> REF _Ref30432215 \r \h </w:instrText>
      </w:r>
      <w:r w:rsidR="00AA0356">
        <w:instrText xml:space="preserve"> \* MERGEFORMAT </w:instrText>
      </w:r>
      <w:r w:rsidR="00AA0356" w:rsidRPr="00AA0356">
        <w:fldChar w:fldCharType="separate"/>
      </w:r>
      <w:r w:rsidR="009C3F0E">
        <w:t>202</w:t>
      </w:r>
      <w:r w:rsidR="00AA0356" w:rsidRPr="00AA0356">
        <w:fldChar w:fldCharType="end"/>
      </w:r>
      <w:r w:rsidRPr="00AA0356">
        <w:t>]</w:t>
      </w:r>
      <w:r>
        <w:t>)</w:t>
      </w:r>
    </w:p>
    <w:p w14:paraId="750170F1" w14:textId="35C434FD" w:rsidR="006656EB" w:rsidRPr="004111ED" w:rsidRDefault="006656EB" w:rsidP="006656EB">
      <w:pPr>
        <w:pStyle w:val="ListNumber"/>
        <w:keepNext/>
        <w:numPr>
          <w:ilvl w:val="0"/>
          <w:numId w:val="0"/>
        </w:numPr>
        <w:ind w:left="1094"/>
        <w:rPr>
          <w:b/>
          <w:bCs/>
        </w:rPr>
      </w:pPr>
      <w:r w:rsidRPr="004111ED">
        <w:rPr>
          <w:b/>
          <w:bCs/>
        </w:rPr>
        <w:t xml:space="preserve">Recommendation </w:t>
      </w:r>
      <w:r w:rsidR="00C37F58">
        <w:rPr>
          <w:b/>
          <w:bCs/>
        </w:rPr>
        <w:t>6</w:t>
      </w:r>
    </w:p>
    <w:p w14:paraId="5356CF53" w14:textId="727DD614" w:rsidR="006656EB" w:rsidRDefault="006656EB" w:rsidP="006656EB">
      <w:pPr>
        <w:pStyle w:val="ListNumber"/>
        <w:numPr>
          <w:ilvl w:val="0"/>
          <w:numId w:val="0"/>
        </w:numPr>
        <w:ind w:left="1094"/>
      </w:pPr>
      <w:r>
        <w:t>The Commission recommends that clause</w:t>
      </w:r>
      <w:r w:rsidR="00FA2824">
        <w:t>s</w:t>
      </w:r>
      <w:r>
        <w:t xml:space="preserve"> 8(</w:t>
      </w:r>
      <w:r w:rsidR="00F16124">
        <w:t>6</w:t>
      </w:r>
      <w:r w:rsidR="00FA2824">
        <w:t>)</w:t>
      </w:r>
      <w:proofErr w:type="gramStart"/>
      <w:r w:rsidR="00FA2824">
        <w:t>–(</w:t>
      </w:r>
      <w:proofErr w:type="gramEnd"/>
      <w:r w:rsidR="00F16124">
        <w:t>7</w:t>
      </w:r>
      <w:r>
        <w:t xml:space="preserve">), dealing with the separate treatment of rules about conscientious objections by health practitioners, </w:t>
      </w:r>
      <w:r w:rsidR="001E0829">
        <w:t>be</w:t>
      </w:r>
      <w:r>
        <w:t xml:space="preserve"> removed from the Bill.</w:t>
      </w:r>
    </w:p>
    <w:p w14:paraId="788B2AEC" w14:textId="6F3F2851" w:rsidR="004F0842" w:rsidRDefault="004F0842" w:rsidP="00261BBB">
      <w:pPr>
        <w:pStyle w:val="ListNumber"/>
        <w:numPr>
          <w:ilvl w:val="0"/>
          <w:numId w:val="0"/>
        </w:numPr>
        <w:ind w:left="1440"/>
      </w:pPr>
      <w:r>
        <w:t>(Commission’s first submission at [</w:t>
      </w:r>
      <w:r w:rsidR="001C1B45">
        <w:t>115</w:t>
      </w:r>
      <w:r>
        <w:t>]</w:t>
      </w:r>
      <w:proofErr w:type="gramStart"/>
      <w:r w:rsidR="00475721">
        <w:t>–</w:t>
      </w:r>
      <w:r>
        <w:t>[</w:t>
      </w:r>
      <w:proofErr w:type="gramEnd"/>
      <w:r w:rsidR="00AE52A1">
        <w:t>138</w:t>
      </w:r>
      <w:r>
        <w:t>])</w:t>
      </w:r>
    </w:p>
    <w:p w14:paraId="0DFA911B" w14:textId="642FE1E5" w:rsidR="004F0842" w:rsidRDefault="004F0842" w:rsidP="00261BBB">
      <w:pPr>
        <w:pStyle w:val="ListNumber"/>
        <w:numPr>
          <w:ilvl w:val="0"/>
          <w:numId w:val="0"/>
        </w:numPr>
        <w:ind w:left="1440"/>
      </w:pPr>
      <w:r>
        <w:lastRenderedPageBreak/>
        <w:t xml:space="preserve">(Commission’s second submission at </w:t>
      </w:r>
      <w:r w:rsidRPr="00AA0356">
        <w:t>[</w:t>
      </w:r>
      <w:r w:rsidR="00AA0356" w:rsidRPr="00AA0356">
        <w:fldChar w:fldCharType="begin"/>
      </w:r>
      <w:r w:rsidR="00AA0356" w:rsidRPr="00AA0356">
        <w:instrText xml:space="preserve"> REF _Ref30432271 \r \h </w:instrText>
      </w:r>
      <w:r w:rsidR="00AA0356">
        <w:instrText xml:space="preserve"> \* MERGEFORMAT </w:instrText>
      </w:r>
      <w:r w:rsidR="00AA0356" w:rsidRPr="00AA0356">
        <w:fldChar w:fldCharType="separate"/>
      </w:r>
      <w:r w:rsidR="009C3F0E">
        <w:t>205</w:t>
      </w:r>
      <w:r w:rsidR="00AA0356" w:rsidRPr="00AA0356">
        <w:fldChar w:fldCharType="end"/>
      </w:r>
      <w:r w:rsidRPr="00AA0356">
        <w:t>]</w:t>
      </w:r>
      <w:r w:rsidR="00475721">
        <w:t>–</w:t>
      </w:r>
      <w:r w:rsidRPr="00AA0356">
        <w:t>[</w:t>
      </w:r>
      <w:r w:rsidR="00AA0356" w:rsidRPr="00AA0356">
        <w:fldChar w:fldCharType="begin"/>
      </w:r>
      <w:r w:rsidR="00AA0356" w:rsidRPr="00AA0356">
        <w:instrText xml:space="preserve"> REF _Ref30432279 \r \h </w:instrText>
      </w:r>
      <w:r w:rsidR="00AA0356">
        <w:instrText xml:space="preserve"> \* MERGEFORMAT </w:instrText>
      </w:r>
      <w:r w:rsidR="00AA0356" w:rsidRPr="00AA0356">
        <w:fldChar w:fldCharType="separate"/>
      </w:r>
      <w:r w:rsidR="009C3F0E">
        <w:t>218</w:t>
      </w:r>
      <w:r w:rsidR="00AA0356" w:rsidRPr="00AA0356">
        <w:fldChar w:fldCharType="end"/>
      </w:r>
      <w:r w:rsidRPr="00AA0356">
        <w:t>]</w:t>
      </w:r>
      <w:r>
        <w:t>)</w:t>
      </w:r>
    </w:p>
    <w:p w14:paraId="2EF39CA1" w14:textId="58B74BCC" w:rsidR="006656EB" w:rsidRPr="006824C8" w:rsidRDefault="006656EB" w:rsidP="006656EB">
      <w:pPr>
        <w:pStyle w:val="ListNumber"/>
        <w:keepNext/>
        <w:numPr>
          <w:ilvl w:val="0"/>
          <w:numId w:val="0"/>
        </w:numPr>
        <w:ind w:left="1094"/>
        <w:rPr>
          <w:b/>
          <w:bCs/>
        </w:rPr>
      </w:pPr>
      <w:r w:rsidRPr="006824C8">
        <w:rPr>
          <w:b/>
          <w:bCs/>
        </w:rPr>
        <w:t xml:space="preserve">Recommendation </w:t>
      </w:r>
      <w:r w:rsidR="00C37F58">
        <w:rPr>
          <w:b/>
          <w:bCs/>
        </w:rPr>
        <w:t>7</w:t>
      </w:r>
    </w:p>
    <w:p w14:paraId="52CC9B03" w14:textId="34D8890C" w:rsidR="006656EB" w:rsidRDefault="006656EB" w:rsidP="006656EB">
      <w:pPr>
        <w:pStyle w:val="ListNumber"/>
        <w:numPr>
          <w:ilvl w:val="0"/>
          <w:numId w:val="0"/>
        </w:numPr>
        <w:ind w:left="1094"/>
      </w:pPr>
      <w:r>
        <w:t>The Commission recommends that clause</w:t>
      </w:r>
      <w:r w:rsidR="00FA2824">
        <w:t>s</w:t>
      </w:r>
      <w:r>
        <w:t xml:space="preserve"> 3</w:t>
      </w:r>
      <w:r w:rsidR="006E6165">
        <w:t>2</w:t>
      </w:r>
      <w:r>
        <w:t>(6</w:t>
      </w:r>
      <w:r w:rsidR="00FA2824">
        <w:t>)</w:t>
      </w:r>
      <w:proofErr w:type="gramStart"/>
      <w:r w:rsidR="00FA2824">
        <w:t>–(</w:t>
      </w:r>
      <w:proofErr w:type="gramEnd"/>
      <w:r>
        <w:t xml:space="preserve">7), dealing with additional restrictions on what amounts to an inherent requirement of a job, </w:t>
      </w:r>
      <w:r w:rsidR="001E0829">
        <w:t>be</w:t>
      </w:r>
      <w:r>
        <w:t xml:space="preserve"> removed from the Bill.</w:t>
      </w:r>
    </w:p>
    <w:p w14:paraId="2F8685F1" w14:textId="38C49763" w:rsidR="001D1F85" w:rsidRDefault="001D1F85" w:rsidP="001D1F85">
      <w:pPr>
        <w:pStyle w:val="ListNumber"/>
        <w:numPr>
          <w:ilvl w:val="0"/>
          <w:numId w:val="0"/>
        </w:numPr>
        <w:ind w:left="1440"/>
      </w:pPr>
      <w:r>
        <w:t>(Commission’s first submission</w:t>
      </w:r>
      <w:r w:rsidR="005B7ED8">
        <w:t xml:space="preserve"> </w:t>
      </w:r>
      <w:r>
        <w:t xml:space="preserve">at </w:t>
      </w:r>
      <w:r w:rsidR="000E0942">
        <w:t>[</w:t>
      </w:r>
      <w:r w:rsidR="00500353">
        <w:t>139</w:t>
      </w:r>
      <w:r>
        <w:t>]</w:t>
      </w:r>
      <w:proofErr w:type="gramStart"/>
      <w:r w:rsidR="00475721">
        <w:t>–</w:t>
      </w:r>
      <w:r>
        <w:t>[</w:t>
      </w:r>
      <w:proofErr w:type="gramEnd"/>
      <w:r w:rsidR="00500353">
        <w:t>152</w:t>
      </w:r>
      <w:r>
        <w:t>])</w:t>
      </w:r>
    </w:p>
    <w:p w14:paraId="6B56CC9F" w14:textId="5A530742" w:rsidR="006656EB" w:rsidRPr="00772BC5" w:rsidRDefault="006656EB" w:rsidP="006656EB">
      <w:pPr>
        <w:pStyle w:val="ListNumber"/>
        <w:keepNext/>
        <w:numPr>
          <w:ilvl w:val="0"/>
          <w:numId w:val="0"/>
        </w:numPr>
        <w:ind w:left="1094"/>
        <w:rPr>
          <w:b/>
          <w:bCs/>
        </w:rPr>
      </w:pPr>
      <w:r w:rsidRPr="00772BC5">
        <w:rPr>
          <w:b/>
          <w:bCs/>
        </w:rPr>
        <w:t xml:space="preserve">Recommendation </w:t>
      </w:r>
      <w:r w:rsidR="00C37F58">
        <w:rPr>
          <w:b/>
          <w:bCs/>
        </w:rPr>
        <w:t>8</w:t>
      </w:r>
    </w:p>
    <w:p w14:paraId="7BF4DC8E" w14:textId="30DD5B56" w:rsidR="006656EB" w:rsidRDefault="006656EB" w:rsidP="006656EB">
      <w:pPr>
        <w:pStyle w:val="ListNumber"/>
        <w:numPr>
          <w:ilvl w:val="0"/>
          <w:numId w:val="0"/>
        </w:numPr>
        <w:ind w:left="1094"/>
      </w:pPr>
      <w:r>
        <w:t xml:space="preserve">The Commission recommends that clause </w:t>
      </w:r>
      <w:r w:rsidR="00A5018F">
        <w:t>40</w:t>
      </w:r>
      <w:r>
        <w:t xml:space="preserve">(1) of the Bill be amended to remove the provision granting the Attorney-General the ability to vary or revoke temporary exemptions granted by the Commission. </w:t>
      </w:r>
    </w:p>
    <w:p w14:paraId="3115C615" w14:textId="701AE638" w:rsidR="0058254D" w:rsidRDefault="0058254D" w:rsidP="0058254D">
      <w:pPr>
        <w:pStyle w:val="ListNumber"/>
        <w:numPr>
          <w:ilvl w:val="0"/>
          <w:numId w:val="0"/>
        </w:numPr>
        <w:ind w:left="1440"/>
      </w:pPr>
      <w:r>
        <w:t>(Commission’s first submission at [</w:t>
      </w:r>
      <w:r w:rsidR="00F00EB7">
        <w:t>153</w:t>
      </w:r>
      <w:r>
        <w:t>]</w:t>
      </w:r>
      <w:proofErr w:type="gramStart"/>
      <w:r w:rsidR="00475721">
        <w:t>–</w:t>
      </w:r>
      <w:r>
        <w:t>[</w:t>
      </w:r>
      <w:proofErr w:type="gramEnd"/>
      <w:r w:rsidR="00F00EB7">
        <w:t>157</w:t>
      </w:r>
      <w:r>
        <w:t>])</w:t>
      </w:r>
    </w:p>
    <w:p w14:paraId="23D19EDB" w14:textId="46FFDBBF" w:rsidR="006656EB" w:rsidRPr="009C7A1F" w:rsidRDefault="006656EB" w:rsidP="006656EB">
      <w:pPr>
        <w:pStyle w:val="ListNumber"/>
        <w:keepNext/>
        <w:numPr>
          <w:ilvl w:val="0"/>
          <w:numId w:val="0"/>
        </w:numPr>
        <w:ind w:left="1094"/>
        <w:rPr>
          <w:b/>
          <w:bCs/>
        </w:rPr>
      </w:pPr>
      <w:r w:rsidRPr="009C7A1F">
        <w:rPr>
          <w:b/>
          <w:bCs/>
        </w:rPr>
        <w:t xml:space="preserve">Recommendation </w:t>
      </w:r>
      <w:r w:rsidR="00C37F58">
        <w:rPr>
          <w:b/>
          <w:bCs/>
        </w:rPr>
        <w:t>9</w:t>
      </w:r>
    </w:p>
    <w:p w14:paraId="3BC7FD8B" w14:textId="4D72A45D" w:rsidR="006656EB" w:rsidRDefault="006656EB" w:rsidP="006656EB">
      <w:pPr>
        <w:pStyle w:val="ListNumber"/>
        <w:numPr>
          <w:ilvl w:val="0"/>
          <w:numId w:val="0"/>
        </w:numPr>
        <w:ind w:left="1094"/>
      </w:pPr>
      <w:r>
        <w:t>The Commission recommends that further consideration be given to the breadth of operation of clause 2</w:t>
      </w:r>
      <w:r w:rsidR="00A90758">
        <w:t>8</w:t>
      </w:r>
      <w:r>
        <w:t xml:space="preserve"> of the Bill.</w:t>
      </w:r>
    </w:p>
    <w:p w14:paraId="648DFF96" w14:textId="186CA4E4" w:rsidR="00F00EB7" w:rsidRDefault="00F00EB7" w:rsidP="00F00EB7">
      <w:pPr>
        <w:pStyle w:val="ListNumber"/>
        <w:numPr>
          <w:ilvl w:val="0"/>
          <w:numId w:val="0"/>
        </w:numPr>
        <w:ind w:left="1440"/>
      </w:pPr>
      <w:r>
        <w:t>(Commission’s first submission at [15</w:t>
      </w:r>
      <w:r w:rsidR="00A5433F">
        <w:t>8</w:t>
      </w:r>
      <w:r>
        <w:t>]</w:t>
      </w:r>
      <w:proofErr w:type="gramStart"/>
      <w:r w:rsidR="00475721">
        <w:t>–</w:t>
      </w:r>
      <w:r>
        <w:t>[</w:t>
      </w:r>
      <w:proofErr w:type="gramEnd"/>
      <w:r>
        <w:t>1</w:t>
      </w:r>
      <w:r w:rsidR="00A5433F">
        <w:t>64</w:t>
      </w:r>
      <w:r>
        <w:t>])</w:t>
      </w:r>
    </w:p>
    <w:p w14:paraId="03C03CDE" w14:textId="0D5D1EDC" w:rsidR="006656EB" w:rsidRPr="004F5B0E" w:rsidRDefault="006656EB" w:rsidP="006656EB">
      <w:pPr>
        <w:pStyle w:val="ListNumber"/>
        <w:keepNext/>
        <w:numPr>
          <w:ilvl w:val="0"/>
          <w:numId w:val="0"/>
        </w:numPr>
        <w:ind w:left="1094"/>
        <w:rPr>
          <w:b/>
          <w:bCs/>
        </w:rPr>
      </w:pPr>
      <w:r w:rsidRPr="004F5B0E">
        <w:rPr>
          <w:b/>
          <w:bCs/>
        </w:rPr>
        <w:t xml:space="preserve">Recommendation </w:t>
      </w:r>
      <w:r w:rsidR="00C37F58">
        <w:rPr>
          <w:b/>
          <w:bCs/>
        </w:rPr>
        <w:t>10</w:t>
      </w:r>
    </w:p>
    <w:p w14:paraId="00EBB332" w14:textId="4DAE1243" w:rsidR="006656EB" w:rsidRDefault="006656EB" w:rsidP="006656EB">
      <w:pPr>
        <w:pStyle w:val="ListNumber"/>
        <w:numPr>
          <w:ilvl w:val="0"/>
          <w:numId w:val="0"/>
        </w:numPr>
        <w:ind w:left="1094"/>
      </w:pPr>
      <w:r>
        <w:t xml:space="preserve">The Commission recommends that further consideration be given to the breadth of operation of clause </w:t>
      </w:r>
      <w:r w:rsidR="0078269A">
        <w:t>30</w:t>
      </w:r>
      <w:r>
        <w:t>(2) of the Bill.</w:t>
      </w:r>
    </w:p>
    <w:p w14:paraId="7A05B63D" w14:textId="2DF291D4" w:rsidR="00A5433F" w:rsidRDefault="00A5433F" w:rsidP="00A5433F">
      <w:pPr>
        <w:pStyle w:val="ListNumber"/>
        <w:numPr>
          <w:ilvl w:val="0"/>
          <w:numId w:val="0"/>
        </w:numPr>
        <w:ind w:left="1440"/>
      </w:pPr>
      <w:r>
        <w:t>(Commission’s first submission at [165]</w:t>
      </w:r>
      <w:proofErr w:type="gramStart"/>
      <w:r w:rsidR="00475721">
        <w:t>–</w:t>
      </w:r>
      <w:r>
        <w:t>[</w:t>
      </w:r>
      <w:proofErr w:type="gramEnd"/>
      <w:r>
        <w:t>1</w:t>
      </w:r>
      <w:r w:rsidR="00C626DB">
        <w:t>71</w:t>
      </w:r>
      <w:r>
        <w:t>])</w:t>
      </w:r>
    </w:p>
    <w:p w14:paraId="49024E03" w14:textId="60D0ADCE" w:rsidR="006656EB" w:rsidRPr="00C86034" w:rsidRDefault="006656EB" w:rsidP="006656EB">
      <w:pPr>
        <w:pStyle w:val="ListNumber"/>
        <w:keepNext/>
        <w:numPr>
          <w:ilvl w:val="0"/>
          <w:numId w:val="0"/>
        </w:numPr>
        <w:ind w:left="1094"/>
        <w:rPr>
          <w:b/>
          <w:bCs/>
        </w:rPr>
      </w:pPr>
      <w:r w:rsidRPr="00C86034">
        <w:rPr>
          <w:b/>
          <w:bCs/>
        </w:rPr>
        <w:t>Recommendation 1</w:t>
      </w:r>
      <w:r w:rsidR="00C37F58">
        <w:rPr>
          <w:b/>
          <w:bCs/>
        </w:rPr>
        <w:t>1</w:t>
      </w:r>
    </w:p>
    <w:p w14:paraId="7877B762" w14:textId="46FB969C" w:rsidR="006656EB" w:rsidRDefault="006656EB" w:rsidP="006656EB">
      <w:pPr>
        <w:pStyle w:val="ListNumber"/>
        <w:numPr>
          <w:ilvl w:val="0"/>
          <w:numId w:val="0"/>
        </w:numPr>
        <w:ind w:left="1094"/>
      </w:pPr>
      <w:r>
        <w:t xml:space="preserve">The Commission recommends that if a new Freedom of Religion Commissioner is appointed, the Commission should be provided with </w:t>
      </w:r>
      <w:proofErr w:type="gramStart"/>
      <w:r>
        <w:t>sufficient</w:t>
      </w:r>
      <w:proofErr w:type="gramEnd"/>
      <w:r>
        <w:t xml:space="preserve"> additional budget to cover this position</w:t>
      </w:r>
      <w:r w:rsidR="001B0AC0" w:rsidRPr="001B0AC0">
        <w:t xml:space="preserve"> </w:t>
      </w:r>
      <w:r w:rsidR="001B0AC0">
        <w:t>and appropriate staffing support and resources to undertake the role</w:t>
      </w:r>
      <w:r>
        <w:t>.</w:t>
      </w:r>
      <w:r w:rsidR="00F8642C">
        <w:t xml:space="preserve">  </w:t>
      </w:r>
      <w:r w:rsidR="009455C2">
        <w:t xml:space="preserve">Further, the introduction of the Religious Discrimination Act should also be accompanied by </w:t>
      </w:r>
      <w:proofErr w:type="gramStart"/>
      <w:r w:rsidR="009455C2">
        <w:t>sufficient</w:t>
      </w:r>
      <w:proofErr w:type="gramEnd"/>
      <w:r w:rsidR="009455C2">
        <w:t xml:space="preserve"> additional budget to provide the necessary information and conciliation services in relation to the new grounds of discrimination.</w:t>
      </w:r>
    </w:p>
    <w:p w14:paraId="3C881B9D" w14:textId="70524DFF" w:rsidR="00C626DB" w:rsidRDefault="00C626DB" w:rsidP="00C626DB">
      <w:pPr>
        <w:pStyle w:val="ListNumber"/>
        <w:numPr>
          <w:ilvl w:val="0"/>
          <w:numId w:val="0"/>
        </w:numPr>
        <w:ind w:left="1440"/>
      </w:pPr>
      <w:r>
        <w:t>(Commission’s first submission at [172]</w:t>
      </w:r>
      <w:proofErr w:type="gramStart"/>
      <w:r w:rsidR="00475721">
        <w:t>–</w:t>
      </w:r>
      <w:r>
        <w:t>[</w:t>
      </w:r>
      <w:proofErr w:type="gramEnd"/>
      <w:r w:rsidR="00632F1E">
        <w:t>180</w:t>
      </w:r>
      <w:r>
        <w:t>])</w:t>
      </w:r>
    </w:p>
    <w:p w14:paraId="1E5BC17A" w14:textId="1E200911" w:rsidR="006656EB" w:rsidRPr="00DC0506" w:rsidRDefault="006656EB" w:rsidP="006656EB">
      <w:pPr>
        <w:pStyle w:val="ListNumber"/>
        <w:keepNext/>
        <w:numPr>
          <w:ilvl w:val="0"/>
          <w:numId w:val="0"/>
        </w:numPr>
        <w:ind w:left="1094"/>
        <w:rPr>
          <w:b/>
          <w:bCs/>
        </w:rPr>
      </w:pPr>
      <w:r w:rsidRPr="00DC0506">
        <w:rPr>
          <w:b/>
          <w:bCs/>
        </w:rPr>
        <w:t>Recommendation 1</w:t>
      </w:r>
      <w:r w:rsidR="00C37F58">
        <w:rPr>
          <w:b/>
          <w:bCs/>
        </w:rPr>
        <w:t>2</w:t>
      </w:r>
    </w:p>
    <w:p w14:paraId="411A2AA1" w14:textId="0B94C170" w:rsidR="006656EB" w:rsidRDefault="006656EB" w:rsidP="006656EB">
      <w:pPr>
        <w:pStyle w:val="ListNumber"/>
        <w:numPr>
          <w:ilvl w:val="0"/>
          <w:numId w:val="0"/>
        </w:numPr>
        <w:ind w:left="1094"/>
      </w:pPr>
      <w:r>
        <w:t xml:space="preserve">The Commission recommends that the </w:t>
      </w:r>
      <w:r w:rsidR="003E3FFB" w:rsidRPr="003E3FFB">
        <w:rPr>
          <w:i/>
          <w:iCs/>
        </w:rPr>
        <w:t xml:space="preserve">Australian Human Rights Commission </w:t>
      </w:r>
      <w:r w:rsidRPr="003E3FFB">
        <w:rPr>
          <w:i/>
          <w:iCs/>
        </w:rPr>
        <w:t>Act</w:t>
      </w:r>
      <w:r w:rsidR="003E3FFB" w:rsidRPr="003E3FFB">
        <w:rPr>
          <w:i/>
          <w:iCs/>
        </w:rPr>
        <w:t xml:space="preserve"> 1986</w:t>
      </w:r>
      <w:r w:rsidR="003E3FFB">
        <w:t xml:space="preserve"> (</w:t>
      </w:r>
      <w:proofErr w:type="spellStart"/>
      <w:r w:rsidR="003E3FFB">
        <w:t>Cth</w:t>
      </w:r>
      <w:proofErr w:type="spellEnd"/>
      <w:r w:rsidR="003E3FFB">
        <w:t>)</w:t>
      </w:r>
      <w:r>
        <w:t xml:space="preserve"> be amended to clarify that an allegation of victimisation included in a complaint of unlawful discrimination may </w:t>
      </w:r>
      <w:r>
        <w:lastRenderedPageBreak/>
        <w:t>form the basis of an application to the Federal Court or Federal Circuit Court once that complaint has been terminated</w:t>
      </w:r>
      <w:r w:rsidR="00FC2FF8">
        <w:t xml:space="preserve"> by the Commission</w:t>
      </w:r>
      <w:r>
        <w:t>.</w:t>
      </w:r>
    </w:p>
    <w:p w14:paraId="3DFE177E" w14:textId="7BE74C92" w:rsidR="00632F1E" w:rsidRDefault="00632F1E" w:rsidP="00632F1E">
      <w:pPr>
        <w:pStyle w:val="ListNumber"/>
        <w:numPr>
          <w:ilvl w:val="0"/>
          <w:numId w:val="0"/>
        </w:numPr>
        <w:ind w:left="1440"/>
      </w:pPr>
      <w:r>
        <w:t>(Commission’s first submission at [181]</w:t>
      </w:r>
      <w:proofErr w:type="gramStart"/>
      <w:r w:rsidR="00475721">
        <w:t>–</w:t>
      </w:r>
      <w:r>
        <w:t>[</w:t>
      </w:r>
      <w:proofErr w:type="gramEnd"/>
      <w:r>
        <w:t>1</w:t>
      </w:r>
      <w:r w:rsidR="008150CA">
        <w:t>89</w:t>
      </w:r>
      <w:r>
        <w:t>])</w:t>
      </w:r>
    </w:p>
    <w:p w14:paraId="3A4206DF" w14:textId="37882FD5" w:rsidR="004B7BE2" w:rsidRPr="00C568A9" w:rsidRDefault="004B7BE2" w:rsidP="004B7BE2">
      <w:pPr>
        <w:pStyle w:val="ListNumber"/>
        <w:keepNext/>
        <w:numPr>
          <w:ilvl w:val="0"/>
          <w:numId w:val="0"/>
        </w:numPr>
        <w:ind w:left="1094"/>
        <w:rPr>
          <w:b/>
          <w:bCs/>
        </w:rPr>
      </w:pPr>
      <w:r w:rsidRPr="00C568A9">
        <w:rPr>
          <w:b/>
          <w:bCs/>
        </w:rPr>
        <w:t>Recommendation 1</w:t>
      </w:r>
      <w:r w:rsidR="00C37F58">
        <w:rPr>
          <w:b/>
          <w:bCs/>
        </w:rPr>
        <w:t>3</w:t>
      </w:r>
    </w:p>
    <w:p w14:paraId="120E654B" w14:textId="3C6439A5" w:rsidR="004B7BE2" w:rsidRDefault="004B7BE2" w:rsidP="004B7BE2">
      <w:pPr>
        <w:pStyle w:val="ListNumber"/>
        <w:numPr>
          <w:ilvl w:val="0"/>
          <w:numId w:val="0"/>
        </w:numPr>
        <w:ind w:left="1094"/>
      </w:pPr>
      <w:r>
        <w:t xml:space="preserve">The Commission recommends that Sch 1, clause 7 of the Freedom of Religion Bill, which would insert a new s 47C into the </w:t>
      </w:r>
      <w:r w:rsidRPr="00C26DFB">
        <w:rPr>
          <w:i/>
          <w:iCs/>
        </w:rPr>
        <w:t>Marriage Act 1961</w:t>
      </w:r>
      <w:r>
        <w:t xml:space="preserve"> (</w:t>
      </w:r>
      <w:proofErr w:type="spellStart"/>
      <w:r>
        <w:t>Cth</w:t>
      </w:r>
      <w:proofErr w:type="spellEnd"/>
      <w:r>
        <w:t xml:space="preserve">), be removed from that Bill and that consideration of this proposed amendment await the report of the Australian Law Reform Commission </w:t>
      </w:r>
      <w:r w:rsidR="00E413EB">
        <w:t>of</w:t>
      </w:r>
      <w:r w:rsidR="00FA2824">
        <w:t xml:space="preserve"> </w:t>
      </w:r>
      <w:r>
        <w:t>its review of religious exemptions in anti-discrimination law</w:t>
      </w:r>
      <w:r w:rsidR="00F10059" w:rsidRPr="00F10059">
        <w:t xml:space="preserve"> </w:t>
      </w:r>
      <w:r w:rsidR="00F10059">
        <w:t>along with any amendment to the ALRC’s terms of reference as may be necessary for it to consider this issue</w:t>
      </w:r>
      <w:r>
        <w:t>.</w:t>
      </w:r>
    </w:p>
    <w:p w14:paraId="04394C0A" w14:textId="65E10E32" w:rsidR="004321D8" w:rsidRDefault="004321D8" w:rsidP="004321D8">
      <w:pPr>
        <w:pStyle w:val="ListNumber"/>
        <w:numPr>
          <w:ilvl w:val="0"/>
          <w:numId w:val="0"/>
        </w:numPr>
        <w:ind w:left="1440"/>
      </w:pPr>
      <w:r>
        <w:t>(Commission’s first submission at [207]</w:t>
      </w:r>
      <w:proofErr w:type="gramStart"/>
      <w:r w:rsidR="00475721">
        <w:t>–</w:t>
      </w:r>
      <w:r>
        <w:t>[</w:t>
      </w:r>
      <w:proofErr w:type="gramEnd"/>
      <w:r>
        <w:t>217])</w:t>
      </w:r>
    </w:p>
    <w:p w14:paraId="750CC6CF" w14:textId="77777777" w:rsidR="008D2C02" w:rsidRPr="005D2DDA" w:rsidRDefault="008D2C02" w:rsidP="008D2C02">
      <w:pPr>
        <w:pStyle w:val="ListNumber"/>
        <w:keepNext/>
        <w:numPr>
          <w:ilvl w:val="0"/>
          <w:numId w:val="0"/>
        </w:numPr>
        <w:ind w:left="1094"/>
        <w:rPr>
          <w:b/>
          <w:bCs/>
        </w:rPr>
      </w:pPr>
      <w:r w:rsidRPr="005D2DDA">
        <w:rPr>
          <w:b/>
          <w:bCs/>
        </w:rPr>
        <w:t>Recommendation 14</w:t>
      </w:r>
    </w:p>
    <w:p w14:paraId="0633DBA7" w14:textId="77777777" w:rsidR="008D2C02" w:rsidRDefault="008D2C02" w:rsidP="008D2C02">
      <w:pPr>
        <w:pStyle w:val="ListNumber"/>
        <w:numPr>
          <w:ilvl w:val="0"/>
          <w:numId w:val="0"/>
        </w:numPr>
        <w:ind w:left="1094"/>
      </w:pPr>
      <w:r>
        <w:t>The Commission recommends that the words ‘(other than a local by-law)’ be removed from clause 30(3)(a) of the Bill.</w:t>
      </w:r>
    </w:p>
    <w:bookmarkEnd w:id="9"/>
    <w:p w14:paraId="26CA060B" w14:textId="0ADD6F93" w:rsidR="008D2C02" w:rsidRDefault="008D2C02" w:rsidP="008D2C02">
      <w:pPr>
        <w:pStyle w:val="ListNumber"/>
        <w:numPr>
          <w:ilvl w:val="0"/>
          <w:numId w:val="0"/>
        </w:numPr>
        <w:ind w:left="1440"/>
      </w:pPr>
      <w:r>
        <w:t>(Commission’s second submission at [</w:t>
      </w:r>
      <w:r>
        <w:fldChar w:fldCharType="begin"/>
      </w:r>
      <w:r>
        <w:instrText xml:space="preserve"> REF _Ref30506421 \r \h </w:instrText>
      </w:r>
      <w:r>
        <w:fldChar w:fldCharType="separate"/>
      </w:r>
      <w:r w:rsidR="009C3F0E">
        <w:t>219</w:t>
      </w:r>
      <w:r>
        <w:fldChar w:fldCharType="end"/>
      </w:r>
      <w:r>
        <w:t>]</w:t>
      </w:r>
      <w:r w:rsidR="00475721">
        <w:t>–</w:t>
      </w:r>
      <w:r>
        <w:t>[</w:t>
      </w:r>
      <w:r>
        <w:fldChar w:fldCharType="begin"/>
      </w:r>
      <w:r>
        <w:instrText xml:space="preserve"> REF _Ref30506429 \r \h </w:instrText>
      </w:r>
      <w:r>
        <w:fldChar w:fldCharType="separate"/>
      </w:r>
      <w:r w:rsidR="009C3F0E">
        <w:t>227</w:t>
      </w:r>
      <w:r>
        <w:fldChar w:fldCharType="end"/>
      </w:r>
      <w:r>
        <w:t>])</w:t>
      </w:r>
    </w:p>
    <w:p w14:paraId="652E2F3D" w14:textId="54FC3AD3" w:rsidR="001C04F6" w:rsidRDefault="001E4662" w:rsidP="001C04F6">
      <w:pPr>
        <w:pStyle w:val="Heading1"/>
      </w:pPr>
      <w:bookmarkStart w:id="12" w:name="_Toc31355392"/>
      <w:r>
        <w:t>Scope of the Bill</w:t>
      </w:r>
      <w:bookmarkEnd w:id="12"/>
    </w:p>
    <w:p w14:paraId="1461304E" w14:textId="67D46C7C" w:rsidR="00F56A39" w:rsidRDefault="00DB43EE" w:rsidP="00F56A39">
      <w:pPr>
        <w:pStyle w:val="Heading2"/>
      </w:pPr>
      <w:bookmarkStart w:id="13" w:name="_Toc31355393"/>
      <w:r>
        <w:t xml:space="preserve">Actions by corporations alleging religious </w:t>
      </w:r>
      <w:r w:rsidR="00F56A39">
        <w:t>discrimination</w:t>
      </w:r>
      <w:bookmarkEnd w:id="13"/>
    </w:p>
    <w:p w14:paraId="4983F47A" w14:textId="70C4C46D" w:rsidR="00A33658" w:rsidRDefault="00770CBF" w:rsidP="00E81FA1">
      <w:pPr>
        <w:pStyle w:val="ListNumber"/>
      </w:pPr>
      <w:bookmarkStart w:id="14" w:name="_Ref30431480"/>
      <w:r>
        <w:t>It is axiomatic that only natural persons—that is to say, humans—have human rights. However, t</w:t>
      </w:r>
      <w:r w:rsidR="00137858">
        <w:t xml:space="preserve">he </w:t>
      </w:r>
      <w:r w:rsidR="00B614AF">
        <w:t xml:space="preserve">first exposure draft of the </w:t>
      </w:r>
      <w:r w:rsidR="00137858">
        <w:t xml:space="preserve">Bill </w:t>
      </w:r>
      <w:r w:rsidR="00B614AF">
        <w:t xml:space="preserve">took </w:t>
      </w:r>
      <w:r w:rsidR="00137858">
        <w:t xml:space="preserve">the </w:t>
      </w:r>
      <w:r w:rsidR="004D25B2">
        <w:t xml:space="preserve">highly </w:t>
      </w:r>
      <w:r w:rsidR="00B23307">
        <w:t xml:space="preserve">unusual step of </w:t>
      </w:r>
      <w:r>
        <w:t xml:space="preserve">enabling certain bodies corporate to claim that they have suffered </w:t>
      </w:r>
      <w:r w:rsidR="00B23307">
        <w:t xml:space="preserve">discrimination on the grounds of </w:t>
      </w:r>
      <w:r>
        <w:t xml:space="preserve">the </w:t>
      </w:r>
      <w:r w:rsidR="00B23307">
        <w:t>religious belief or activity</w:t>
      </w:r>
      <w:r>
        <w:t xml:space="preserve"> of the body corporate itself</w:t>
      </w:r>
      <w:r w:rsidR="00B23307">
        <w:t xml:space="preserve">.  </w:t>
      </w:r>
      <w:r w:rsidR="00C85CC8">
        <w:t xml:space="preserve">More specifically, it </w:t>
      </w:r>
      <w:proofErr w:type="gramStart"/>
      <w:r w:rsidR="00C85CC8">
        <w:t>provide</w:t>
      </w:r>
      <w:r w:rsidR="0068039A">
        <w:t>d</w:t>
      </w:r>
      <w:r w:rsidR="00C85CC8">
        <w:t xml:space="preserve"> that</w:t>
      </w:r>
      <w:proofErr w:type="gramEnd"/>
      <w:r w:rsidR="00C85CC8">
        <w:t xml:space="preserve"> bodies corporate </w:t>
      </w:r>
      <w:r w:rsidR="0068039A">
        <w:t>could</w:t>
      </w:r>
      <w:r w:rsidR="00C85CC8">
        <w:t xml:space="preserve"> make complaints of religious discrimination against</w:t>
      </w:r>
      <w:r w:rsidR="00DC1414">
        <w:t xml:space="preserve"> other corporations or against </w:t>
      </w:r>
      <w:r>
        <w:t>natural persons</w:t>
      </w:r>
      <w:r w:rsidR="00C85CC8">
        <w:t xml:space="preserve">.  </w:t>
      </w:r>
      <w:r w:rsidR="00B23307">
        <w:t xml:space="preserve">It </w:t>
      </w:r>
      <w:r w:rsidR="000E098D">
        <w:t>did</w:t>
      </w:r>
      <w:r w:rsidR="00B23307">
        <w:t xml:space="preserve"> this </w:t>
      </w:r>
      <w:r w:rsidR="0095033D">
        <w:t>explicitly through</w:t>
      </w:r>
      <w:r w:rsidR="00A33658">
        <w:t>:</w:t>
      </w:r>
      <w:bookmarkEnd w:id="14"/>
    </w:p>
    <w:p w14:paraId="2C1F2275" w14:textId="3D4BD4FE" w:rsidR="0016272B" w:rsidRDefault="00DF7577" w:rsidP="00E239B1">
      <w:pPr>
        <w:pStyle w:val="ListNumber"/>
        <w:numPr>
          <w:ilvl w:val="0"/>
          <w:numId w:val="17"/>
        </w:numPr>
      </w:pPr>
      <w:r>
        <w:t xml:space="preserve">the definition of </w:t>
      </w:r>
      <w:r w:rsidR="0095033D">
        <w:t xml:space="preserve">‘person’ </w:t>
      </w:r>
      <w:r>
        <w:t>in clause 5 of the Bill</w:t>
      </w:r>
      <w:r w:rsidR="00F56A39">
        <w:t xml:space="preserve">, which </w:t>
      </w:r>
      <w:r w:rsidR="0066651B">
        <w:t>said</w:t>
      </w:r>
      <w:r w:rsidR="00F56A39">
        <w:t xml:space="preserve"> that ‘person</w:t>
      </w:r>
      <w:r w:rsidR="0032376C">
        <w:t>’</w:t>
      </w:r>
      <w:r w:rsidR="00F56A39">
        <w:t xml:space="preserve"> has </w:t>
      </w:r>
      <w:r w:rsidR="0032376C">
        <w:t xml:space="preserve">a meaning affected by the </w:t>
      </w:r>
      <w:r w:rsidR="0032376C" w:rsidRPr="0032376C">
        <w:rPr>
          <w:i/>
          <w:iCs/>
        </w:rPr>
        <w:t>Acts Interpretation Act 1901</w:t>
      </w:r>
    </w:p>
    <w:p w14:paraId="0B492878" w14:textId="3614499F" w:rsidR="00A33658" w:rsidRDefault="00A33658" w:rsidP="00E239B1">
      <w:pPr>
        <w:pStyle w:val="ListNumber"/>
        <w:numPr>
          <w:ilvl w:val="0"/>
          <w:numId w:val="17"/>
        </w:numPr>
      </w:pPr>
      <w:r>
        <w:t xml:space="preserve">the Note to the definition of ‘person’ which </w:t>
      </w:r>
      <w:r w:rsidR="00FF5067">
        <w:t>provide</w:t>
      </w:r>
      <w:r w:rsidR="0066651B">
        <w:t>d</w:t>
      </w:r>
      <w:r w:rsidR="00FF5067">
        <w:t xml:space="preserve"> that ‘[u]</w:t>
      </w:r>
      <w:proofErr w:type="spellStart"/>
      <w:r w:rsidR="00FF5067">
        <w:t>nder</w:t>
      </w:r>
      <w:proofErr w:type="spellEnd"/>
      <w:r w:rsidR="00FF5067">
        <w:t xml:space="preserve"> </w:t>
      </w:r>
      <w:r w:rsidR="00EC5630">
        <w:t xml:space="preserve">s 2C of the </w:t>
      </w:r>
      <w:r w:rsidR="00EC5630" w:rsidRPr="0045798B">
        <w:rPr>
          <w:i/>
          <w:iCs/>
        </w:rPr>
        <w:t xml:space="preserve">Acts Interpretation Act </w:t>
      </w:r>
      <w:r w:rsidR="0045798B" w:rsidRPr="0045798B">
        <w:rPr>
          <w:i/>
          <w:iCs/>
        </w:rPr>
        <w:t>1901</w:t>
      </w:r>
      <w:r w:rsidR="0045798B">
        <w:t xml:space="preserve">, an expression that is used to denote a person includes a body corporate, which may </w:t>
      </w:r>
      <w:r w:rsidR="00F261D8">
        <w:t>include a religious body or other religious institution</w:t>
      </w:r>
      <w:r w:rsidR="0045798B">
        <w:t>’</w:t>
      </w:r>
    </w:p>
    <w:p w14:paraId="130F914F" w14:textId="269C5FAA" w:rsidR="00F261D8" w:rsidRDefault="00F261D8" w:rsidP="00E239B1">
      <w:pPr>
        <w:pStyle w:val="ListNumber"/>
        <w:numPr>
          <w:ilvl w:val="0"/>
          <w:numId w:val="17"/>
        </w:numPr>
      </w:pPr>
      <w:r>
        <w:lastRenderedPageBreak/>
        <w:t xml:space="preserve">the Explanatory </w:t>
      </w:r>
      <w:r w:rsidR="00B92BE2">
        <w:t>Notes to the Bill, particularly at [77]</w:t>
      </w:r>
      <w:r w:rsidR="00EE0A7B">
        <w:t>,</w:t>
      </w:r>
      <w:r w:rsidR="00B92BE2">
        <w:t xml:space="preserve"> which </w:t>
      </w:r>
      <w:r w:rsidR="002026CC">
        <w:t>said</w:t>
      </w:r>
      <w:r w:rsidR="00215061">
        <w:t xml:space="preserve"> that ‘it is open for a body corporate to make a complaint under this Act alleging that it has been discriminated against on the basis of its religious belief or activity’.</w:t>
      </w:r>
    </w:p>
    <w:p w14:paraId="1876B638" w14:textId="77777777" w:rsidR="00E71DA0" w:rsidRDefault="000A7C31" w:rsidP="00E81FA1">
      <w:pPr>
        <w:pStyle w:val="ListNumber"/>
      </w:pPr>
      <w:r>
        <w:t>In its first submission, the Commission recommended that the definition of ‘person’ be removed from the Bill and that the Explanatory Notes be amended to make clear that a complaint of discrimination on the ground of religious belief or activity may only be made by or on behalf of a natural person.</w:t>
      </w:r>
      <w:r w:rsidR="00452DFA">
        <w:t xml:space="preserve">  </w:t>
      </w:r>
    </w:p>
    <w:p w14:paraId="455938DA" w14:textId="4AD6A9D6" w:rsidR="000A7C31" w:rsidRDefault="00452DFA" w:rsidP="00E81FA1">
      <w:pPr>
        <w:pStyle w:val="ListNumber"/>
      </w:pPr>
      <w:r>
        <w:t>This recommendation was accepted</w:t>
      </w:r>
      <w:r w:rsidR="00795D1E">
        <w:t>.</w:t>
      </w:r>
      <w:r>
        <w:t xml:space="preserve"> </w:t>
      </w:r>
      <w:r w:rsidR="00E71DA0">
        <w:t xml:space="preserve"> The definition of ‘person’ </w:t>
      </w:r>
      <w:r w:rsidR="0092501C">
        <w:t xml:space="preserve">was </w:t>
      </w:r>
      <w:proofErr w:type="gramStart"/>
      <w:r w:rsidR="00E71DA0">
        <w:t>removed</w:t>
      </w:r>
      <w:proofErr w:type="gramEnd"/>
      <w:r w:rsidR="00E71DA0">
        <w:t xml:space="preserve"> and the Explanatory Notes now make clear </w:t>
      </w:r>
      <w:r w:rsidR="00752F81">
        <w:t xml:space="preserve">at [66] </w:t>
      </w:r>
      <w:r w:rsidR="00E71DA0">
        <w:t>that</w:t>
      </w:r>
      <w:r w:rsidR="00752F81">
        <w:t>:</w:t>
      </w:r>
    </w:p>
    <w:p w14:paraId="78E6BA54" w14:textId="4062AEC5" w:rsidR="00752F81" w:rsidRPr="00CC4052" w:rsidRDefault="00752F81" w:rsidP="00CC4052">
      <w:pPr>
        <w:pStyle w:val="ListNumber"/>
        <w:numPr>
          <w:ilvl w:val="0"/>
          <w:numId w:val="0"/>
        </w:numPr>
        <w:ind w:left="1440"/>
        <w:rPr>
          <w:sz w:val="22"/>
          <w:szCs w:val="22"/>
        </w:rPr>
      </w:pPr>
      <w:r w:rsidRPr="00CC4052">
        <w:rPr>
          <w:sz w:val="22"/>
          <w:szCs w:val="22"/>
        </w:rPr>
        <w:t>The Act is intended primarily to protect individuals from discrimination and does not envisage that non-natural persons, such as bodies corporate, will hold or engage in religious beliefs or activit</w:t>
      </w:r>
      <w:r w:rsidR="00CC4052" w:rsidRPr="00CC4052">
        <w:rPr>
          <w:sz w:val="22"/>
          <w:szCs w:val="22"/>
        </w:rPr>
        <w:t>i</w:t>
      </w:r>
      <w:r w:rsidRPr="00CC4052">
        <w:rPr>
          <w:sz w:val="22"/>
          <w:szCs w:val="22"/>
        </w:rPr>
        <w:t>es</w:t>
      </w:r>
      <w:r w:rsidR="00CC4052" w:rsidRPr="00CC4052">
        <w:rPr>
          <w:sz w:val="22"/>
          <w:szCs w:val="22"/>
        </w:rPr>
        <w:t>.</w:t>
      </w:r>
    </w:p>
    <w:p w14:paraId="60E00601" w14:textId="42C7DD3C" w:rsidR="00856DB5" w:rsidRDefault="00795D1E" w:rsidP="00CA1ED0">
      <w:pPr>
        <w:pStyle w:val="ListNumber"/>
      </w:pPr>
      <w:r>
        <w:t xml:space="preserve">However, </w:t>
      </w:r>
      <w:r w:rsidR="00187B40">
        <w:t xml:space="preserve">the effect of </w:t>
      </w:r>
      <w:r w:rsidR="00C92BAB">
        <w:t xml:space="preserve">this amendment has been undermined </w:t>
      </w:r>
      <w:r w:rsidR="00187B40">
        <w:t>by an expansive definition of ‘associate’</w:t>
      </w:r>
      <w:r w:rsidR="001A5D13">
        <w:t xml:space="preserve"> in a new clause 9 inserted into the second exposure draft</w:t>
      </w:r>
      <w:r w:rsidR="0050472D">
        <w:t>.</w:t>
      </w:r>
      <w:r w:rsidR="00A8463E">
        <w:t xml:space="preserve">  </w:t>
      </w:r>
      <w:r w:rsidR="00856DB5">
        <w:t>Clause 9 provides:</w:t>
      </w:r>
    </w:p>
    <w:p w14:paraId="504A9712" w14:textId="19C97C85" w:rsidR="00856DB5" w:rsidRPr="002D53CF" w:rsidRDefault="00856DB5" w:rsidP="00856DB5">
      <w:pPr>
        <w:pStyle w:val="ListNumber"/>
        <w:numPr>
          <w:ilvl w:val="0"/>
          <w:numId w:val="0"/>
        </w:numPr>
        <w:ind w:left="1440"/>
        <w:rPr>
          <w:sz w:val="22"/>
          <w:szCs w:val="22"/>
        </w:rPr>
      </w:pPr>
      <w:r w:rsidRPr="002D53CF">
        <w:rPr>
          <w:sz w:val="22"/>
          <w:szCs w:val="22"/>
        </w:rPr>
        <w:t xml:space="preserve">This Act applies to a person who has an association (whether as a near relative </w:t>
      </w:r>
      <w:r w:rsidR="00802A30" w:rsidRPr="002D53CF">
        <w:rPr>
          <w:sz w:val="22"/>
          <w:szCs w:val="22"/>
        </w:rPr>
        <w:t>or otherwise) with an individual</w:t>
      </w:r>
      <w:r w:rsidR="002D53CF" w:rsidRPr="002D53CF">
        <w:rPr>
          <w:sz w:val="22"/>
          <w:szCs w:val="22"/>
        </w:rPr>
        <w:t xml:space="preserve"> who holds or engages in a religious belief or activity in the same way as it applies to a person who holds or engages in a religious belief or activity.</w:t>
      </w:r>
    </w:p>
    <w:p w14:paraId="4695400F" w14:textId="36DB5FC7" w:rsidR="00795D1E" w:rsidRDefault="0001463A" w:rsidP="00E81FA1">
      <w:pPr>
        <w:pStyle w:val="ListNumber"/>
      </w:pPr>
      <w:r>
        <w:t xml:space="preserve">The Explanatory Notes </w:t>
      </w:r>
      <w:r w:rsidR="00E4470D">
        <w:t xml:space="preserve">make clear that </w:t>
      </w:r>
      <w:r w:rsidR="006410F0">
        <w:t>this clause</w:t>
      </w:r>
      <w:r>
        <w:t>:</w:t>
      </w:r>
    </w:p>
    <w:p w14:paraId="171088ED" w14:textId="6F65720C" w:rsidR="00863D79" w:rsidRDefault="002E204B" w:rsidP="00285A26">
      <w:pPr>
        <w:pStyle w:val="ListNumber"/>
        <w:numPr>
          <w:ilvl w:val="0"/>
          <w:numId w:val="0"/>
        </w:numPr>
        <w:ind w:left="1440"/>
        <w:rPr>
          <w:sz w:val="22"/>
          <w:szCs w:val="22"/>
        </w:rPr>
      </w:pPr>
      <w:r>
        <w:rPr>
          <w:sz w:val="22"/>
          <w:szCs w:val="22"/>
        </w:rPr>
        <w:t>… p</w:t>
      </w:r>
      <w:r w:rsidR="006410F0" w:rsidRPr="007C7F99">
        <w:rPr>
          <w:sz w:val="22"/>
          <w:szCs w:val="22"/>
        </w:rPr>
        <w:t xml:space="preserve">rotects a person </w:t>
      </w:r>
      <w:r w:rsidR="00DA471C" w:rsidRPr="007C7F99">
        <w:rPr>
          <w:sz w:val="22"/>
          <w:szCs w:val="22"/>
        </w:rPr>
        <w:t xml:space="preserve">– including a natural person or body corporate – from discrimination </w:t>
      </w:r>
      <w:proofErr w:type="gramStart"/>
      <w:r w:rsidR="00DA471C" w:rsidRPr="007C7F99">
        <w:rPr>
          <w:sz w:val="22"/>
          <w:szCs w:val="22"/>
        </w:rPr>
        <w:t>on the basis of</w:t>
      </w:r>
      <w:proofErr w:type="gramEnd"/>
      <w:r w:rsidR="00DA471C" w:rsidRPr="007C7F99">
        <w:rPr>
          <w:sz w:val="22"/>
          <w:szCs w:val="22"/>
        </w:rPr>
        <w:t xml:space="preserve"> </w:t>
      </w:r>
      <w:r w:rsidR="00937395">
        <w:rPr>
          <w:sz w:val="22"/>
          <w:szCs w:val="22"/>
        </w:rPr>
        <w:t>their association with a natural person who holds or engages in a religious belief or activity.</w:t>
      </w:r>
    </w:p>
    <w:p w14:paraId="7E0DD38E" w14:textId="656EBE83" w:rsidR="0001463A" w:rsidRPr="007C7F99" w:rsidRDefault="00937395" w:rsidP="00285A26">
      <w:pPr>
        <w:pStyle w:val="ListNumber"/>
        <w:numPr>
          <w:ilvl w:val="0"/>
          <w:numId w:val="0"/>
        </w:numPr>
        <w:ind w:left="1440"/>
        <w:rPr>
          <w:sz w:val="22"/>
          <w:szCs w:val="22"/>
        </w:rPr>
      </w:pPr>
      <w:r>
        <w:rPr>
          <w:sz w:val="22"/>
          <w:szCs w:val="22"/>
        </w:rPr>
        <w:t>… For example</w:t>
      </w:r>
      <w:r w:rsidR="007F4654">
        <w:rPr>
          <w:sz w:val="22"/>
          <w:szCs w:val="22"/>
        </w:rPr>
        <w:t xml:space="preserve">, a corporation would be protected </w:t>
      </w:r>
      <w:r w:rsidR="00D91EFC">
        <w:rPr>
          <w:sz w:val="22"/>
          <w:szCs w:val="22"/>
        </w:rPr>
        <w:t xml:space="preserve">against discrimination in relation to their association </w:t>
      </w:r>
      <w:r w:rsidR="0069538F">
        <w:rPr>
          <w:sz w:val="22"/>
          <w:szCs w:val="22"/>
        </w:rPr>
        <w:t xml:space="preserve">with a natural person, </w:t>
      </w:r>
      <w:r w:rsidR="008869A1" w:rsidRPr="007C7F99">
        <w:rPr>
          <w:sz w:val="22"/>
          <w:szCs w:val="22"/>
        </w:rPr>
        <w:t>such as their CEO.</w:t>
      </w:r>
      <w:r w:rsidR="007C7F99">
        <w:rPr>
          <w:rStyle w:val="EndnoteReference"/>
          <w:szCs w:val="22"/>
        </w:rPr>
        <w:endnoteReference w:id="4"/>
      </w:r>
    </w:p>
    <w:p w14:paraId="054453B5" w14:textId="635BE34C" w:rsidR="00A53E02" w:rsidRDefault="00B35BA5" w:rsidP="00CA1ED0">
      <w:pPr>
        <w:pStyle w:val="ListNumber"/>
      </w:pPr>
      <w:r w:rsidRPr="00B10A2A">
        <w:t xml:space="preserve">The Commission supports the inclusion of a clause </w:t>
      </w:r>
      <w:r w:rsidR="00537F0E" w:rsidRPr="00B10A2A">
        <w:t xml:space="preserve">that allows </w:t>
      </w:r>
      <w:r w:rsidR="00470554" w:rsidRPr="00B10A2A">
        <w:t xml:space="preserve">discrimination complaints to be made by </w:t>
      </w:r>
      <w:r w:rsidR="002A786F" w:rsidRPr="00B10A2A">
        <w:t>individuals who are</w:t>
      </w:r>
      <w:r w:rsidR="00AD6875" w:rsidRPr="00B10A2A">
        <w:t xml:space="preserve"> </w:t>
      </w:r>
      <w:r w:rsidR="0066631F" w:rsidRPr="00B10A2A">
        <w:t>a</w:t>
      </w:r>
      <w:r w:rsidR="002A786F" w:rsidRPr="00B10A2A">
        <w:t>ssociates of a person wi</w:t>
      </w:r>
      <w:r w:rsidR="00470554" w:rsidRPr="00B10A2A">
        <w:t xml:space="preserve">th a religious belief or </w:t>
      </w:r>
      <w:r w:rsidR="0066631F" w:rsidRPr="00B10A2A">
        <w:t>associates of a person who engage</w:t>
      </w:r>
      <w:r w:rsidR="00A53E02" w:rsidRPr="00B10A2A">
        <w:t>s in religious activity.</w:t>
      </w:r>
      <w:r w:rsidR="00E920BA">
        <w:t xml:space="preserve">  </w:t>
      </w:r>
      <w:r w:rsidR="00345A25" w:rsidRPr="00B10A2A">
        <w:t>For example</w:t>
      </w:r>
      <w:r w:rsidR="00770CBF">
        <w:t>,</w:t>
      </w:r>
      <w:r w:rsidR="00345A25" w:rsidRPr="00B10A2A">
        <w:t xml:space="preserve"> a</w:t>
      </w:r>
      <w:r w:rsidR="00770CBF">
        <w:t>n individual</w:t>
      </w:r>
      <w:r w:rsidR="00345A25" w:rsidRPr="00B10A2A">
        <w:t xml:space="preserve"> should be entitled to make a complaint </w:t>
      </w:r>
      <w:r w:rsidR="00AB6262">
        <w:t xml:space="preserve">if they </w:t>
      </w:r>
      <w:r w:rsidR="00345A25">
        <w:t>have been discriminated against because of the religious belief of their spouse.</w:t>
      </w:r>
      <w:r w:rsidR="00E920BA">
        <w:t xml:space="preserve">  However, the Commission does not support the extension of this principle to allow </w:t>
      </w:r>
      <w:r w:rsidR="00204766">
        <w:t xml:space="preserve">a </w:t>
      </w:r>
      <w:r w:rsidR="00E920BA" w:rsidRPr="009B4A91">
        <w:rPr>
          <w:i/>
          <w:iCs/>
        </w:rPr>
        <w:t>corporation</w:t>
      </w:r>
      <w:r w:rsidR="00E920BA">
        <w:t xml:space="preserve"> to make </w:t>
      </w:r>
      <w:r w:rsidR="00204766">
        <w:t xml:space="preserve">a </w:t>
      </w:r>
      <w:r w:rsidR="00E920BA">
        <w:t xml:space="preserve">claim of religious discrimination because of </w:t>
      </w:r>
      <w:r w:rsidR="00204766">
        <w:t xml:space="preserve">its </w:t>
      </w:r>
      <w:r w:rsidR="00E920BA">
        <w:t xml:space="preserve">association with </w:t>
      </w:r>
      <w:r w:rsidR="00C04F17">
        <w:t>an individual</w:t>
      </w:r>
      <w:r w:rsidR="00FE63CE">
        <w:t xml:space="preserve">, whether that is the CEO, </w:t>
      </w:r>
      <w:r w:rsidR="00204766">
        <w:t xml:space="preserve">a </w:t>
      </w:r>
      <w:r w:rsidR="00FE63CE">
        <w:t>director, shareholder, employee or customer.</w:t>
      </w:r>
    </w:p>
    <w:p w14:paraId="532A3789" w14:textId="1C2C2E93" w:rsidR="00887EAC" w:rsidRDefault="00887EAC" w:rsidP="00E81FA1">
      <w:pPr>
        <w:pStyle w:val="ListNumber"/>
      </w:pPr>
      <w:r>
        <w:lastRenderedPageBreak/>
        <w:t xml:space="preserve">International law and the domestic law of comparable jurisdictions makes clear that human rights law protects only humans. This principle has been adhered to in all of Australia’s federal, state and territory human rights laws, including </w:t>
      </w:r>
      <w:r w:rsidR="002266A8">
        <w:t xml:space="preserve">the existing federal </w:t>
      </w:r>
      <w:r>
        <w:t xml:space="preserve">discrimination laws. </w:t>
      </w:r>
      <w:r w:rsidR="007811AF">
        <w:t xml:space="preserve">In the Commission’s view, </w:t>
      </w:r>
      <w:r>
        <w:t xml:space="preserve">there is no justification for the Bill to depart from this settled and fundamental principle. </w:t>
      </w:r>
    </w:p>
    <w:p w14:paraId="018CAE17" w14:textId="2236E673" w:rsidR="007811AF" w:rsidRDefault="00887EAC" w:rsidP="00E81FA1">
      <w:pPr>
        <w:pStyle w:val="ListNumber"/>
      </w:pPr>
      <w:r>
        <w:t xml:space="preserve">As previously observed, corporations cannot possess innately human qualities, such as dignity, which human rights law is designed to protect. More specifically, a corporation cannot have a religious belief that is somehow disconnected from the religious belief of an individual or group of individuals that are involved with the corporation. </w:t>
      </w:r>
      <w:r w:rsidR="002266A8">
        <w:t xml:space="preserve">For this reason, the Bill should protect only the religious beliefs of individuals, including associates. The legitimate rights and interests of </w:t>
      </w:r>
      <w:r w:rsidR="008A2F33">
        <w:t xml:space="preserve">corporations </w:t>
      </w:r>
      <w:r w:rsidR="00CD7AB4">
        <w:t xml:space="preserve">can be, and </w:t>
      </w:r>
      <w:r w:rsidR="002266A8">
        <w:t>are</w:t>
      </w:r>
      <w:r w:rsidR="00CD7AB4">
        <w:t>,</w:t>
      </w:r>
      <w:r w:rsidR="008A2F33">
        <w:t xml:space="preserve"> </w:t>
      </w:r>
      <w:r w:rsidR="002266A8">
        <w:t xml:space="preserve">legally protected </w:t>
      </w:r>
      <w:r w:rsidR="004A6AA8">
        <w:t>in other ways</w:t>
      </w:r>
      <w:r w:rsidR="002266A8">
        <w:t>—</w:t>
      </w:r>
      <w:r w:rsidR="004A6AA8">
        <w:t>for example</w:t>
      </w:r>
      <w:r w:rsidR="002266A8">
        <w:t>,</w:t>
      </w:r>
      <w:r w:rsidR="004A6AA8">
        <w:t xml:space="preserve"> </w:t>
      </w:r>
      <w:r w:rsidR="001142EE">
        <w:t>in statutes dealing with competition law</w:t>
      </w:r>
      <w:r w:rsidR="004A6AA8">
        <w:t xml:space="preserve">.  </w:t>
      </w:r>
    </w:p>
    <w:p w14:paraId="687E1641" w14:textId="65166D3B" w:rsidR="00EB4AF2" w:rsidRDefault="00601961" w:rsidP="00A21EFE">
      <w:pPr>
        <w:pStyle w:val="ListNumber"/>
      </w:pPr>
      <w:r>
        <w:t xml:space="preserve">At the federal level there are two statues that provide protection for ‘associates’ </w:t>
      </w:r>
      <w:r w:rsidR="008F5F0D">
        <w:t>of a person with a protected characteristic.</w:t>
      </w:r>
    </w:p>
    <w:p w14:paraId="28695B35" w14:textId="5667D713" w:rsidR="00FA7702" w:rsidRDefault="00FA7702" w:rsidP="00A21EFE">
      <w:pPr>
        <w:pStyle w:val="ListNumber"/>
      </w:pPr>
      <w:r>
        <w:t xml:space="preserve">The </w:t>
      </w:r>
      <w:r w:rsidRPr="00FA7702">
        <w:rPr>
          <w:i/>
          <w:iCs/>
        </w:rPr>
        <w:t>Racial Discrimination Act 1975</w:t>
      </w:r>
      <w:r>
        <w:t xml:space="preserve"> (</w:t>
      </w:r>
      <w:proofErr w:type="spellStart"/>
      <w:r>
        <w:t>Cth</w:t>
      </w:r>
      <w:proofErr w:type="spellEnd"/>
      <w:r>
        <w:t xml:space="preserve">) (RDA) </w:t>
      </w:r>
      <w:r w:rsidR="0049031F">
        <w:t xml:space="preserve">provides </w:t>
      </w:r>
      <w:r w:rsidR="002E304C">
        <w:t>protection for associates in ss 5 (immigrants), 11 (access to premises), 12 (land, housing</w:t>
      </w:r>
      <w:r w:rsidR="00DB67F0">
        <w:t xml:space="preserve">, accommodation), 13 (goods and services) and 15 (employment).  </w:t>
      </w:r>
      <w:r w:rsidR="00685D7A">
        <w:t xml:space="preserve">The RDA does not </w:t>
      </w:r>
      <w:r w:rsidR="00DC73E3">
        <w:t>provide a definition of ‘associate’.</w:t>
      </w:r>
      <w:r w:rsidR="00F65B0A">
        <w:t xml:space="preserve">  </w:t>
      </w:r>
    </w:p>
    <w:p w14:paraId="2B4B456E" w14:textId="1260BDC8" w:rsidR="00052649" w:rsidRDefault="00CF309A" w:rsidP="00A21EFE">
      <w:pPr>
        <w:pStyle w:val="ListNumber"/>
      </w:pPr>
      <w:r>
        <w:t xml:space="preserve">The </w:t>
      </w:r>
      <w:r w:rsidR="006D11DC">
        <w:t xml:space="preserve">provisions of the </w:t>
      </w:r>
      <w:r w:rsidRPr="006D11DC">
        <w:rPr>
          <w:i/>
          <w:iCs/>
        </w:rPr>
        <w:t>Disability Discrimination Act 1992</w:t>
      </w:r>
      <w:r>
        <w:t xml:space="preserve"> (</w:t>
      </w:r>
      <w:proofErr w:type="spellStart"/>
      <w:r>
        <w:t>Cth</w:t>
      </w:r>
      <w:proofErr w:type="spellEnd"/>
      <w:r>
        <w:t xml:space="preserve">) </w:t>
      </w:r>
      <w:r w:rsidR="00B5104A">
        <w:t xml:space="preserve">(DDA) </w:t>
      </w:r>
      <w:r w:rsidR="007503C4">
        <w:t xml:space="preserve">are </w:t>
      </w:r>
      <w:r w:rsidR="006D11DC">
        <w:t>generally extend</w:t>
      </w:r>
      <w:r w:rsidR="007503C4">
        <w:t>ed</w:t>
      </w:r>
      <w:r w:rsidR="006D11DC">
        <w:t xml:space="preserve"> to associates by </w:t>
      </w:r>
      <w:r w:rsidR="007503C4">
        <w:t xml:space="preserve">virtue of s 7.  </w:t>
      </w:r>
      <w:r w:rsidR="00B5104A">
        <w:t xml:space="preserve">‘Associate’ is defined </w:t>
      </w:r>
      <w:r w:rsidR="00231AFF">
        <w:t>in s 4 in a non-exhaustive way, but in a way that suggests that it is intended only to apply to individuals:</w:t>
      </w:r>
    </w:p>
    <w:p w14:paraId="245D4FAA" w14:textId="70F5FDBD" w:rsidR="00231AFF" w:rsidRPr="0053484D" w:rsidRDefault="00231AFF" w:rsidP="00231AFF">
      <w:pPr>
        <w:pStyle w:val="ListNumber"/>
        <w:numPr>
          <w:ilvl w:val="0"/>
          <w:numId w:val="0"/>
        </w:numPr>
        <w:ind w:left="1094"/>
        <w:rPr>
          <w:sz w:val="22"/>
          <w:szCs w:val="22"/>
        </w:rPr>
      </w:pPr>
      <w:r w:rsidRPr="0053484D">
        <w:rPr>
          <w:sz w:val="22"/>
          <w:szCs w:val="22"/>
        </w:rPr>
        <w:tab/>
      </w:r>
      <w:r w:rsidRPr="0053484D">
        <w:rPr>
          <w:sz w:val="22"/>
          <w:szCs w:val="22"/>
        </w:rPr>
        <w:tab/>
      </w:r>
      <w:r w:rsidRPr="0053484D">
        <w:rPr>
          <w:b/>
          <w:bCs/>
          <w:i/>
          <w:iCs/>
          <w:sz w:val="22"/>
          <w:szCs w:val="22"/>
        </w:rPr>
        <w:t>associate</w:t>
      </w:r>
      <w:r w:rsidRPr="0053484D">
        <w:rPr>
          <w:sz w:val="22"/>
          <w:szCs w:val="22"/>
        </w:rPr>
        <w:t>, in relation to a person</w:t>
      </w:r>
      <w:r w:rsidR="001F5B90" w:rsidRPr="0053484D">
        <w:rPr>
          <w:sz w:val="22"/>
          <w:szCs w:val="22"/>
        </w:rPr>
        <w:t>, includes:</w:t>
      </w:r>
    </w:p>
    <w:p w14:paraId="28143366" w14:textId="2311E71F" w:rsidR="001F5B90" w:rsidRPr="0053484D" w:rsidRDefault="001F5B90" w:rsidP="0053484D">
      <w:pPr>
        <w:pStyle w:val="ListNumber"/>
        <w:numPr>
          <w:ilvl w:val="0"/>
          <w:numId w:val="0"/>
        </w:numPr>
        <w:ind w:left="1440"/>
        <w:rPr>
          <w:sz w:val="22"/>
          <w:szCs w:val="22"/>
        </w:rPr>
      </w:pPr>
      <w:r w:rsidRPr="0053484D">
        <w:rPr>
          <w:sz w:val="22"/>
          <w:szCs w:val="22"/>
        </w:rPr>
        <w:t>(a)</w:t>
      </w:r>
      <w:r w:rsidRPr="0053484D">
        <w:rPr>
          <w:sz w:val="22"/>
          <w:szCs w:val="22"/>
        </w:rPr>
        <w:tab/>
        <w:t>a spouse of the person; and</w:t>
      </w:r>
    </w:p>
    <w:p w14:paraId="00DC5FC4" w14:textId="0450D30C" w:rsidR="001F5B90" w:rsidRPr="0053484D" w:rsidRDefault="001F5B90" w:rsidP="0053484D">
      <w:pPr>
        <w:pStyle w:val="ListNumber"/>
        <w:numPr>
          <w:ilvl w:val="0"/>
          <w:numId w:val="0"/>
        </w:numPr>
        <w:ind w:left="2160" w:hanging="720"/>
        <w:rPr>
          <w:sz w:val="22"/>
          <w:szCs w:val="22"/>
        </w:rPr>
      </w:pPr>
      <w:r w:rsidRPr="0053484D">
        <w:rPr>
          <w:sz w:val="22"/>
          <w:szCs w:val="22"/>
        </w:rPr>
        <w:t>(b)</w:t>
      </w:r>
      <w:r w:rsidRPr="0053484D">
        <w:rPr>
          <w:sz w:val="22"/>
          <w:szCs w:val="22"/>
        </w:rPr>
        <w:tab/>
        <w:t xml:space="preserve">another person who is living </w:t>
      </w:r>
      <w:r w:rsidR="006208E1" w:rsidRPr="0053484D">
        <w:rPr>
          <w:sz w:val="22"/>
          <w:szCs w:val="22"/>
        </w:rPr>
        <w:t>with the person on a genuine domestic basis;</w:t>
      </w:r>
      <w:r w:rsidR="000154B0" w:rsidRPr="0053484D">
        <w:rPr>
          <w:sz w:val="22"/>
          <w:szCs w:val="22"/>
        </w:rPr>
        <w:t xml:space="preserve"> and</w:t>
      </w:r>
    </w:p>
    <w:p w14:paraId="7348673A" w14:textId="2BBD1C6C" w:rsidR="006208E1" w:rsidRPr="0053484D" w:rsidRDefault="000154B0" w:rsidP="0053484D">
      <w:pPr>
        <w:pStyle w:val="ListNumber"/>
        <w:numPr>
          <w:ilvl w:val="0"/>
          <w:numId w:val="0"/>
        </w:numPr>
        <w:ind w:left="1786" w:hanging="346"/>
        <w:rPr>
          <w:sz w:val="22"/>
          <w:szCs w:val="22"/>
        </w:rPr>
      </w:pPr>
      <w:r w:rsidRPr="0053484D">
        <w:rPr>
          <w:sz w:val="22"/>
          <w:szCs w:val="22"/>
        </w:rPr>
        <w:t>(c)</w:t>
      </w:r>
      <w:r w:rsidRPr="0053484D">
        <w:rPr>
          <w:sz w:val="22"/>
          <w:szCs w:val="22"/>
        </w:rPr>
        <w:tab/>
      </w:r>
      <w:r w:rsidR="0053484D">
        <w:rPr>
          <w:sz w:val="22"/>
          <w:szCs w:val="22"/>
        </w:rPr>
        <w:tab/>
      </w:r>
      <w:r w:rsidRPr="0053484D">
        <w:rPr>
          <w:sz w:val="22"/>
          <w:szCs w:val="22"/>
        </w:rPr>
        <w:t>a relative of the person; and</w:t>
      </w:r>
    </w:p>
    <w:p w14:paraId="53231B16" w14:textId="10F82365" w:rsidR="000154B0" w:rsidRPr="0053484D" w:rsidRDefault="000154B0" w:rsidP="0053484D">
      <w:pPr>
        <w:pStyle w:val="ListNumber"/>
        <w:numPr>
          <w:ilvl w:val="0"/>
          <w:numId w:val="0"/>
        </w:numPr>
        <w:ind w:left="1786" w:hanging="346"/>
        <w:rPr>
          <w:sz w:val="22"/>
          <w:szCs w:val="22"/>
        </w:rPr>
      </w:pPr>
      <w:r w:rsidRPr="0053484D">
        <w:rPr>
          <w:sz w:val="22"/>
          <w:szCs w:val="22"/>
        </w:rPr>
        <w:t>(d)</w:t>
      </w:r>
      <w:r w:rsidRPr="0053484D">
        <w:rPr>
          <w:sz w:val="22"/>
          <w:szCs w:val="22"/>
        </w:rPr>
        <w:tab/>
      </w:r>
      <w:r w:rsidR="0053484D">
        <w:rPr>
          <w:sz w:val="22"/>
          <w:szCs w:val="22"/>
        </w:rPr>
        <w:tab/>
      </w:r>
      <w:r w:rsidRPr="0053484D">
        <w:rPr>
          <w:sz w:val="22"/>
          <w:szCs w:val="22"/>
        </w:rPr>
        <w:t xml:space="preserve">a </w:t>
      </w:r>
      <w:proofErr w:type="spellStart"/>
      <w:r w:rsidRPr="0053484D">
        <w:rPr>
          <w:sz w:val="22"/>
          <w:szCs w:val="22"/>
        </w:rPr>
        <w:t>carer</w:t>
      </w:r>
      <w:proofErr w:type="spellEnd"/>
      <w:r w:rsidRPr="0053484D">
        <w:rPr>
          <w:sz w:val="22"/>
          <w:szCs w:val="22"/>
        </w:rPr>
        <w:t xml:space="preserve"> of the person; and</w:t>
      </w:r>
    </w:p>
    <w:p w14:paraId="31EC3B34" w14:textId="77D9ABE2" w:rsidR="000154B0" w:rsidRDefault="000154B0" w:rsidP="0053484D">
      <w:pPr>
        <w:pStyle w:val="ListNumber"/>
        <w:numPr>
          <w:ilvl w:val="0"/>
          <w:numId w:val="0"/>
        </w:numPr>
        <w:ind w:left="2160" w:hanging="720"/>
        <w:rPr>
          <w:sz w:val="22"/>
          <w:szCs w:val="22"/>
        </w:rPr>
      </w:pPr>
      <w:r w:rsidRPr="0053484D">
        <w:rPr>
          <w:sz w:val="22"/>
          <w:szCs w:val="22"/>
        </w:rPr>
        <w:t>(e)</w:t>
      </w:r>
      <w:r w:rsidRPr="0053484D">
        <w:rPr>
          <w:sz w:val="22"/>
          <w:szCs w:val="22"/>
        </w:rPr>
        <w:tab/>
        <w:t xml:space="preserve">another person who is in a business, sporting or recreational </w:t>
      </w:r>
      <w:r w:rsidR="0053484D" w:rsidRPr="0053484D">
        <w:rPr>
          <w:sz w:val="22"/>
          <w:szCs w:val="22"/>
        </w:rPr>
        <w:t>relationship with the person.</w:t>
      </w:r>
    </w:p>
    <w:p w14:paraId="5265572E" w14:textId="77091912" w:rsidR="005B6B4A" w:rsidRDefault="00E603FC" w:rsidP="00A21EFE">
      <w:pPr>
        <w:pStyle w:val="ListNumber"/>
      </w:pPr>
      <w:r>
        <w:t xml:space="preserve">More generally, in the four </w:t>
      </w:r>
      <w:r w:rsidR="00D56202">
        <w:t>Commonwealth discrimination law</w:t>
      </w:r>
      <w:r w:rsidR="00DA5B65">
        <w:t>s</w:t>
      </w:r>
      <w:r w:rsidR="00D56202">
        <w:t xml:space="preserve">, the term ‘person’ is used when speaking about </w:t>
      </w:r>
      <w:r w:rsidR="000F14C9">
        <w:t xml:space="preserve">both </w:t>
      </w:r>
      <w:r w:rsidR="00D56202">
        <w:t>someone engaging in discrimina</w:t>
      </w:r>
      <w:r w:rsidR="005A6066">
        <w:t>tory conduct</w:t>
      </w:r>
      <w:r w:rsidR="00D56202">
        <w:t xml:space="preserve"> and someone who is</w:t>
      </w:r>
      <w:r w:rsidR="00CF6464">
        <w:t xml:space="preserve"> discriminated against</w:t>
      </w:r>
      <w:r w:rsidR="00B654C0">
        <w:t xml:space="preserve">.  However, it is clear from the context of those other laws that </w:t>
      </w:r>
      <w:r w:rsidR="00F27AD3">
        <w:t xml:space="preserve">the </w:t>
      </w:r>
      <w:r w:rsidR="00816E42">
        <w:lastRenderedPageBreak/>
        <w:t xml:space="preserve">person discriminated against </w:t>
      </w:r>
      <w:r w:rsidR="005A6066">
        <w:t xml:space="preserve">can be only </w:t>
      </w:r>
      <w:r w:rsidR="00F27AD3">
        <w:t xml:space="preserve">a natural person.  In part, this is </w:t>
      </w:r>
      <w:r w:rsidR="000F7324">
        <w:t xml:space="preserve">clear from the </w:t>
      </w:r>
      <w:r w:rsidR="00004E9D">
        <w:t>prohibited grounds of discrimination.  A natural person can have a race, a sex, a sexual orientation, a gender identity</w:t>
      </w:r>
      <w:r w:rsidR="00F63257">
        <w:t>, an intersex status, a marital or relationship status</w:t>
      </w:r>
      <w:r w:rsidR="001732A4">
        <w:t>,</w:t>
      </w:r>
      <w:r w:rsidR="00F25307">
        <w:t xml:space="preserve"> or a disability.  A natural person can be pregnant or breastfeeding.  A corporation </w:t>
      </w:r>
      <w:r w:rsidR="001732A4">
        <w:t xml:space="preserve">can have none of these characteristics.  </w:t>
      </w:r>
    </w:p>
    <w:p w14:paraId="67D891D1" w14:textId="190BA733" w:rsidR="00A21EFE" w:rsidRDefault="00215498" w:rsidP="00A21EFE">
      <w:pPr>
        <w:pStyle w:val="ListNumber"/>
      </w:pPr>
      <w:r>
        <w:t>T</w:t>
      </w:r>
      <w:r w:rsidR="0013184A">
        <w:t xml:space="preserve">he focus on individuals is clear from the constitutional basis for </w:t>
      </w:r>
      <w:r w:rsidR="00E75BC5">
        <w:t>Commonwealth discrimination laws</w:t>
      </w:r>
      <w:r w:rsidR="006E0D7F">
        <w:t xml:space="preserve">.  </w:t>
      </w:r>
      <w:r w:rsidR="0013184A">
        <w:t>T</w:t>
      </w:r>
      <w:r w:rsidR="006E0D7F">
        <w:t>he primary constitutional source is the external affairs power in s </w:t>
      </w:r>
      <w:r w:rsidR="00F81861">
        <w:t xml:space="preserve">51(xxix) of the </w:t>
      </w:r>
      <w:r w:rsidR="00E95609">
        <w:t>Constitution</w:t>
      </w:r>
      <w:r w:rsidR="00DA5B65">
        <w:t>,</w:t>
      </w:r>
      <w:r w:rsidR="00E95609">
        <w:t xml:space="preserve"> because the laws seek to enact into domestic law </w:t>
      </w:r>
      <w:r w:rsidR="00092BC9">
        <w:t xml:space="preserve">some of </w:t>
      </w:r>
      <w:r w:rsidR="00E95609">
        <w:t xml:space="preserve">Australia’s international obligations agreed through the </w:t>
      </w:r>
      <w:r w:rsidR="0010304E">
        <w:t>ratification of human rights treaties.</w:t>
      </w:r>
      <w:r w:rsidR="00736257">
        <w:rPr>
          <w:rStyle w:val="EndnoteReference"/>
        </w:rPr>
        <w:endnoteReference w:id="5"/>
      </w:r>
      <w:r w:rsidR="002F779A">
        <w:t xml:space="preserve">  </w:t>
      </w:r>
      <w:r w:rsidR="00C53C46">
        <w:t>The same is true of the present Bill.</w:t>
      </w:r>
      <w:r w:rsidR="00C53C46">
        <w:rPr>
          <w:rStyle w:val="EndnoteReference"/>
        </w:rPr>
        <w:endnoteReference w:id="6"/>
      </w:r>
      <w:r w:rsidR="00C53C46">
        <w:t xml:space="preserve">  </w:t>
      </w:r>
      <w:r w:rsidR="002F779A">
        <w:t>Those human rights treaties, in turn, relate to the rights of natural persons within the territory or jurisdiction of Australia.</w:t>
      </w:r>
      <w:r w:rsidR="00320F01">
        <w:rPr>
          <w:rStyle w:val="EndnoteReference"/>
        </w:rPr>
        <w:endnoteReference w:id="7"/>
      </w:r>
    </w:p>
    <w:p w14:paraId="1C90EF49" w14:textId="519DE921" w:rsidR="00287FED" w:rsidRDefault="00215498" w:rsidP="00A21EFE">
      <w:pPr>
        <w:pStyle w:val="ListNumber"/>
      </w:pPr>
      <w:r>
        <w:t>Further, w</w:t>
      </w:r>
      <w:r w:rsidR="00287FED">
        <w:t>here</w:t>
      </w:r>
      <w:r w:rsidR="0084143F">
        <w:t xml:space="preserve"> the corporations power in s </w:t>
      </w:r>
      <w:r w:rsidR="00C1483A">
        <w:t xml:space="preserve">51(xx) of the Constitution is </w:t>
      </w:r>
      <w:r w:rsidR="00287FED">
        <w:t>relied on</w:t>
      </w:r>
      <w:r w:rsidR="003A0449">
        <w:t xml:space="preserve"> for validity</w:t>
      </w:r>
      <w:r w:rsidR="00011F67">
        <w:t xml:space="preserve"> in other Commonwealth discrimination laws</w:t>
      </w:r>
      <w:r w:rsidR="00287FED">
        <w:t xml:space="preserve">, </w:t>
      </w:r>
      <w:r w:rsidR="0029281C">
        <w:t xml:space="preserve">this is limited to </w:t>
      </w:r>
      <w:r w:rsidR="006F59D1">
        <w:t xml:space="preserve">ensuring that the </w:t>
      </w:r>
      <w:r w:rsidR="00201FBE">
        <w:t xml:space="preserve">relevant </w:t>
      </w:r>
      <w:r w:rsidR="006F59D1">
        <w:t xml:space="preserve">provisions apply to discrimination by a corporation, or by a person </w:t>
      </w:r>
      <w:r w:rsidR="006229D3">
        <w:t>employed by a corporation</w:t>
      </w:r>
      <w:r w:rsidR="00145163">
        <w:t>.</w:t>
      </w:r>
      <w:r w:rsidR="003173A0">
        <w:rPr>
          <w:rStyle w:val="EndnoteReference"/>
        </w:rPr>
        <w:endnoteReference w:id="8"/>
      </w:r>
      <w:r w:rsidR="00145163">
        <w:t xml:space="preserve">  </w:t>
      </w:r>
      <w:r w:rsidR="006229D3">
        <w:t>The same is true of the present Bill</w:t>
      </w:r>
      <w:r w:rsidR="00CE62B8">
        <w:t xml:space="preserve">, although it also extends </w:t>
      </w:r>
      <w:r w:rsidR="005C7E92">
        <w:t>the</w:t>
      </w:r>
      <w:r w:rsidR="00CE62B8">
        <w:t xml:space="preserve"> operation </w:t>
      </w:r>
      <w:r w:rsidR="005C7E92">
        <w:t xml:space="preserve">of the Bill </w:t>
      </w:r>
      <w:r w:rsidR="00CE62B8">
        <w:t xml:space="preserve">so that </w:t>
      </w:r>
      <w:r w:rsidR="005C7E92">
        <w:t xml:space="preserve">its </w:t>
      </w:r>
      <w:r w:rsidR="009F6F05">
        <w:t xml:space="preserve">provisions are valid to the extent that they relate to discrimination against </w:t>
      </w:r>
      <w:r w:rsidR="00CE62B8">
        <w:t>a person employed by a corporation</w:t>
      </w:r>
      <w:r w:rsidR="006229D3">
        <w:t>.</w:t>
      </w:r>
      <w:r w:rsidR="00A31417">
        <w:rPr>
          <w:rStyle w:val="EndnoteReference"/>
        </w:rPr>
        <w:endnoteReference w:id="9"/>
      </w:r>
      <w:r w:rsidR="006229D3">
        <w:t xml:space="preserve"> </w:t>
      </w:r>
    </w:p>
    <w:p w14:paraId="1BFD7DED" w14:textId="6435A40F" w:rsidR="004825F2" w:rsidRDefault="002F4A8A" w:rsidP="00A21EFE">
      <w:pPr>
        <w:pStyle w:val="ListNumber"/>
      </w:pPr>
      <w:bookmarkStart w:id="15" w:name="_Ref30431488"/>
      <w:r>
        <w:t xml:space="preserve">The clear policy intention in other </w:t>
      </w:r>
      <w:r w:rsidR="001C3847">
        <w:t xml:space="preserve">Commonwealth </w:t>
      </w:r>
      <w:r>
        <w:t xml:space="preserve">discrimination laws is to rely on the </w:t>
      </w:r>
      <w:proofErr w:type="gramStart"/>
      <w:r>
        <w:t>corporations</w:t>
      </w:r>
      <w:proofErr w:type="gramEnd"/>
      <w:r>
        <w:t xml:space="preserve"> power only to permit claims to be made </w:t>
      </w:r>
      <w:r w:rsidRPr="00964B73">
        <w:rPr>
          <w:i/>
          <w:iCs/>
        </w:rPr>
        <w:t>against</w:t>
      </w:r>
      <w:r>
        <w:t xml:space="preserve"> corporations and not </w:t>
      </w:r>
      <w:r w:rsidRPr="00964B73">
        <w:rPr>
          <w:i/>
          <w:iCs/>
        </w:rPr>
        <w:t>by</w:t>
      </w:r>
      <w:r>
        <w:t xml:space="preserve"> them.</w:t>
      </w:r>
      <w:r w:rsidR="00675A2D">
        <w:t xml:space="preserve">  The Commission considers that the same policy should govern complaints made by associates.</w:t>
      </w:r>
      <w:bookmarkEnd w:id="15"/>
    </w:p>
    <w:p w14:paraId="024E492D" w14:textId="78E3CC88" w:rsidR="005A56E4" w:rsidRPr="007A1ECE" w:rsidRDefault="005A56E4" w:rsidP="007A1ECE">
      <w:pPr>
        <w:pStyle w:val="ListNumber"/>
        <w:keepNext/>
        <w:numPr>
          <w:ilvl w:val="0"/>
          <w:numId w:val="0"/>
        </w:numPr>
        <w:ind w:left="1094"/>
        <w:rPr>
          <w:b/>
          <w:bCs/>
        </w:rPr>
      </w:pPr>
      <w:r w:rsidRPr="007A1ECE">
        <w:rPr>
          <w:b/>
          <w:bCs/>
        </w:rPr>
        <w:t xml:space="preserve">Recommendation </w:t>
      </w:r>
      <w:r w:rsidR="00AA04DF">
        <w:rPr>
          <w:b/>
          <w:bCs/>
        </w:rPr>
        <w:t>2</w:t>
      </w:r>
      <w:r w:rsidR="00675A2D">
        <w:rPr>
          <w:b/>
          <w:bCs/>
        </w:rPr>
        <w:t>A</w:t>
      </w:r>
    </w:p>
    <w:p w14:paraId="532D69BE" w14:textId="6572C8DF" w:rsidR="005A56E4" w:rsidRDefault="00675A2D" w:rsidP="007A1ECE">
      <w:pPr>
        <w:pStyle w:val="ListNumber"/>
        <w:numPr>
          <w:ilvl w:val="0"/>
          <w:numId w:val="0"/>
        </w:numPr>
        <w:ind w:left="1094"/>
      </w:pPr>
      <w:r>
        <w:t>The Commission recommends that the definition of ‘associate’ be amended to make clear that a complaint of discrimination may only be made by a natural person and not by a corporation.</w:t>
      </w:r>
    </w:p>
    <w:p w14:paraId="7C038A61" w14:textId="53DD0AE0" w:rsidR="005A56E4" w:rsidRDefault="00554A6B" w:rsidP="007A1ECE">
      <w:pPr>
        <w:pStyle w:val="Heading2"/>
      </w:pPr>
      <w:bookmarkStart w:id="16" w:name="_Toc31355394"/>
      <w:r>
        <w:t>E</w:t>
      </w:r>
      <w:r w:rsidR="007B37AA">
        <w:t>xemption</w:t>
      </w:r>
      <w:r w:rsidR="001F09A0">
        <w:t>s</w:t>
      </w:r>
      <w:r w:rsidR="007B37AA">
        <w:t xml:space="preserve"> for religious bodies</w:t>
      </w:r>
      <w:r w:rsidR="00527092">
        <w:t xml:space="preserve"> to engage in religious discrimination</w:t>
      </w:r>
      <w:bookmarkEnd w:id="16"/>
    </w:p>
    <w:p w14:paraId="36CFB95D" w14:textId="457D1A06" w:rsidR="0089302F" w:rsidRDefault="00433109" w:rsidP="00E81FA1">
      <w:pPr>
        <w:pStyle w:val="ListNumber"/>
      </w:pPr>
      <w:r>
        <w:t xml:space="preserve">The other aspect of the Bill </w:t>
      </w:r>
      <w:r w:rsidR="006A56EE">
        <w:t>that</w:t>
      </w:r>
      <w:r w:rsidR="009F197A">
        <w:t xml:space="preserve"> affects its overall scope is the general exemption granted to ‘religious bodies’ in clause 1</w:t>
      </w:r>
      <w:r w:rsidR="00205829">
        <w:t>1</w:t>
      </w:r>
      <w:r w:rsidR="009F197A">
        <w:t>.</w:t>
      </w:r>
      <w:r w:rsidR="008A7E23">
        <w:t xml:space="preserve">  The second exposure draft expands the scope of this general exemption.</w:t>
      </w:r>
    </w:p>
    <w:p w14:paraId="500104F1" w14:textId="7D870962" w:rsidR="005375E2" w:rsidRDefault="00FC709A" w:rsidP="00E81FA1">
      <w:pPr>
        <w:pStyle w:val="ListNumber"/>
      </w:pPr>
      <w:r>
        <w:lastRenderedPageBreak/>
        <w:t xml:space="preserve">Religious bodies </w:t>
      </w:r>
      <w:r w:rsidR="00044187">
        <w:t xml:space="preserve">would be </w:t>
      </w:r>
      <w:r>
        <w:t xml:space="preserve">entirely exempt from </w:t>
      </w:r>
      <w:r w:rsidR="004A41F3">
        <w:t xml:space="preserve">the prohibition </w:t>
      </w:r>
      <w:r w:rsidR="00581ED7">
        <w:t>against</w:t>
      </w:r>
      <w:r w:rsidR="004A41F3">
        <w:t xml:space="preserve"> </w:t>
      </w:r>
      <w:r>
        <w:t xml:space="preserve">religious discrimination </w:t>
      </w:r>
      <w:r w:rsidR="006E5ECC">
        <w:t xml:space="preserve">provided that </w:t>
      </w:r>
      <w:r w:rsidR="00D249B0">
        <w:t xml:space="preserve">their conduct is in good faith and </w:t>
      </w:r>
      <w:r w:rsidR="005375E2">
        <w:t>either:</w:t>
      </w:r>
    </w:p>
    <w:p w14:paraId="231A5C7D" w14:textId="4CFA7000" w:rsidR="009F197A" w:rsidRDefault="005375E2" w:rsidP="00F736EE">
      <w:pPr>
        <w:pStyle w:val="ListNumber"/>
        <w:numPr>
          <w:ilvl w:val="0"/>
          <w:numId w:val="0"/>
        </w:numPr>
        <w:ind w:left="2160" w:hanging="1066"/>
      </w:pPr>
      <w:r>
        <w:t>(a)</w:t>
      </w:r>
      <w:r>
        <w:tab/>
      </w:r>
      <w:r w:rsidR="009126D6">
        <w:t xml:space="preserve">a person </w:t>
      </w:r>
      <w:r w:rsidR="007D1726">
        <w:t>of the same religion as the religious body could reasonabl</w:t>
      </w:r>
      <w:r w:rsidR="00BB7ADB">
        <w:t>y</w:t>
      </w:r>
      <w:r w:rsidR="007D1726">
        <w:t xml:space="preserve"> consider</w:t>
      </w:r>
      <w:r w:rsidR="00093926">
        <w:t xml:space="preserve"> the conduct to be </w:t>
      </w:r>
      <w:r w:rsidR="009126D6">
        <w:t xml:space="preserve">in accordance with the doctrines, tenets, beliefs or teachings of the </w:t>
      </w:r>
      <w:proofErr w:type="gramStart"/>
      <w:r w:rsidR="009126D6">
        <w:t>particular religion</w:t>
      </w:r>
      <w:proofErr w:type="gramEnd"/>
      <w:r w:rsidR="00FE4A46">
        <w:t>; or</w:t>
      </w:r>
    </w:p>
    <w:p w14:paraId="58629109" w14:textId="078C72F4" w:rsidR="00F736EE" w:rsidRDefault="00F736EE" w:rsidP="00F736EE">
      <w:pPr>
        <w:pStyle w:val="ListNumber"/>
        <w:numPr>
          <w:ilvl w:val="0"/>
          <w:numId w:val="0"/>
        </w:numPr>
        <w:ind w:left="2160" w:hanging="1066"/>
      </w:pPr>
      <w:r>
        <w:t>(b)</w:t>
      </w:r>
      <w:r>
        <w:tab/>
      </w:r>
      <w:r w:rsidR="005C2F48">
        <w:t xml:space="preserve">the religious body </w:t>
      </w:r>
      <w:r w:rsidR="00BE7641">
        <w:t xml:space="preserve">engages in the conduct in order to avoid </w:t>
      </w:r>
      <w:r w:rsidR="00CB22EB">
        <w:t>injury to the religious susceptib</w:t>
      </w:r>
      <w:r w:rsidR="00356EB8">
        <w:t xml:space="preserve">ilities of adherents of the same </w:t>
      </w:r>
      <w:r w:rsidR="000B655B">
        <w:t>religion as the religious body.</w:t>
      </w:r>
    </w:p>
    <w:p w14:paraId="310A010D" w14:textId="76CB0B9B" w:rsidR="001944EC" w:rsidRDefault="00D06BEC" w:rsidP="00E81FA1">
      <w:pPr>
        <w:pStyle w:val="ListNumber"/>
      </w:pPr>
      <w:r>
        <w:t>Th</w:t>
      </w:r>
      <w:r w:rsidR="00B2482E">
        <w:t>is is a new</w:t>
      </w:r>
      <w:r>
        <w:t xml:space="preserve"> test </w:t>
      </w:r>
      <w:r w:rsidR="008662DF">
        <w:t>when compared with the first exposure draft</w:t>
      </w:r>
      <w:r w:rsidR="00F91286">
        <w:t xml:space="preserve">.  The new test </w:t>
      </w:r>
      <w:r w:rsidR="004907A5">
        <w:t xml:space="preserve">provides </w:t>
      </w:r>
      <w:r w:rsidR="009345BA">
        <w:t xml:space="preserve">a broader </w:t>
      </w:r>
      <w:r w:rsidR="00F91286">
        <w:t>definition of</w:t>
      </w:r>
      <w:r w:rsidR="00A4112A">
        <w:t xml:space="preserve"> conduct that may be engaged in by </w:t>
      </w:r>
      <w:r w:rsidR="00F91286">
        <w:t>religious bodies</w:t>
      </w:r>
      <w:r w:rsidR="0070433F">
        <w:t xml:space="preserve"> which will not amount to religious </w:t>
      </w:r>
      <w:r w:rsidR="001944EC">
        <w:t>discrimination</w:t>
      </w:r>
      <w:r w:rsidR="00F91286">
        <w:t xml:space="preserve">. </w:t>
      </w:r>
    </w:p>
    <w:p w14:paraId="430C3A60" w14:textId="5DA5C9D7" w:rsidR="001944EC" w:rsidRDefault="00D61B74" w:rsidP="00E81FA1">
      <w:pPr>
        <w:pStyle w:val="ListNumber"/>
      </w:pPr>
      <w:r>
        <w:t xml:space="preserve">The definition of ‘religious bodies’ has also been expanded to include all </w:t>
      </w:r>
      <w:r w:rsidR="003C6A1E">
        <w:t xml:space="preserve">religious </w:t>
      </w:r>
      <w:r w:rsidR="00FC4207">
        <w:t xml:space="preserve">public </w:t>
      </w:r>
      <w:r w:rsidR="000F3D16">
        <w:t>benevolent institutions</w:t>
      </w:r>
      <w:r w:rsidR="003C6A1E">
        <w:t xml:space="preserve">, regardless of whether </w:t>
      </w:r>
      <w:r w:rsidR="00A84C91">
        <w:t xml:space="preserve">or not </w:t>
      </w:r>
      <w:r w:rsidR="003C6A1E">
        <w:t xml:space="preserve">they </w:t>
      </w:r>
      <w:r w:rsidR="00A84C91">
        <w:t xml:space="preserve">engage in </w:t>
      </w:r>
      <w:r w:rsidR="001114B4">
        <w:t xml:space="preserve">commercial activities. </w:t>
      </w:r>
    </w:p>
    <w:p w14:paraId="472986E1" w14:textId="5DE34BE1" w:rsidR="00090CAE" w:rsidRDefault="00F91286" w:rsidP="00E81FA1">
      <w:pPr>
        <w:pStyle w:val="ListNumber"/>
      </w:pPr>
      <w:r>
        <w:t xml:space="preserve">The </w:t>
      </w:r>
      <w:r w:rsidR="00174F68">
        <w:t xml:space="preserve">combined </w:t>
      </w:r>
      <w:r>
        <w:t xml:space="preserve">effect </w:t>
      </w:r>
      <w:r w:rsidR="004C7CB6">
        <w:t xml:space="preserve">of </w:t>
      </w:r>
      <w:r w:rsidR="00174F68">
        <w:t xml:space="preserve">these changes </w:t>
      </w:r>
      <w:r w:rsidR="00C60321">
        <w:t xml:space="preserve">is </w:t>
      </w:r>
      <w:r>
        <w:t xml:space="preserve">that </w:t>
      </w:r>
      <w:r w:rsidR="00FE284C">
        <w:t xml:space="preserve">more </w:t>
      </w:r>
      <w:r>
        <w:t xml:space="preserve">bodies will be exempt from the operation of the Bill </w:t>
      </w:r>
      <w:r w:rsidR="00174F68">
        <w:t>in relation to a greater range of conduct</w:t>
      </w:r>
      <w:r w:rsidR="00C96E7C">
        <w:t>, giving them an increased ability</w:t>
      </w:r>
      <w:r w:rsidR="00174F68">
        <w:t xml:space="preserve"> </w:t>
      </w:r>
      <w:r>
        <w:t>to engage in religious discrimination</w:t>
      </w:r>
      <w:r w:rsidR="00F27878">
        <w:t xml:space="preserve"> when compared with the first exposure draft</w:t>
      </w:r>
      <w:r>
        <w:t>.</w:t>
      </w:r>
    </w:p>
    <w:p w14:paraId="73E2D359" w14:textId="3F1D19C7" w:rsidR="00D01E62" w:rsidRDefault="00D01E62" w:rsidP="00E81FA1">
      <w:pPr>
        <w:pStyle w:val="ListNumber"/>
      </w:pPr>
      <w:r>
        <w:t xml:space="preserve">Further, additional specific exemptions have been inserted into </w:t>
      </w:r>
      <w:r w:rsidR="0036743A">
        <w:t xml:space="preserve">clauses 32 and 33 of </w:t>
      </w:r>
      <w:r>
        <w:t xml:space="preserve">the second exposure draft to permit religious </w:t>
      </w:r>
      <w:r w:rsidR="002D71E7">
        <w:t xml:space="preserve">hospitals, aged care facilities and accommodation providers to </w:t>
      </w:r>
      <w:r w:rsidR="00DE563F">
        <w:t xml:space="preserve">engage in religious </w:t>
      </w:r>
      <w:r>
        <w:t>discriminat</w:t>
      </w:r>
      <w:r w:rsidR="00DE563F">
        <w:t>ion</w:t>
      </w:r>
      <w:r>
        <w:t xml:space="preserve"> in </w:t>
      </w:r>
      <w:r w:rsidR="008F1550">
        <w:t xml:space="preserve">employment and </w:t>
      </w:r>
      <w:r w:rsidR="002D71E7">
        <w:t xml:space="preserve">the formation of partnerships, and to permit religious camps and conference sites </w:t>
      </w:r>
      <w:r w:rsidR="00DE563F">
        <w:t xml:space="preserve">to engage in religious discrimination in </w:t>
      </w:r>
      <w:r w:rsidR="00D67BBA">
        <w:t>the provision of accommodation.</w:t>
      </w:r>
    </w:p>
    <w:p w14:paraId="177FD14C" w14:textId="77777777" w:rsidR="007627DA" w:rsidRDefault="008F4C4F" w:rsidP="00D67BBA">
      <w:pPr>
        <w:pStyle w:val="ListNumber"/>
        <w:keepNext/>
      </w:pPr>
      <w:r>
        <w:t xml:space="preserve">This section of the </w:t>
      </w:r>
      <w:r w:rsidR="007627DA">
        <w:t>submission deals with the following issues:</w:t>
      </w:r>
    </w:p>
    <w:p w14:paraId="191051D6" w14:textId="48056216" w:rsidR="00F635EB" w:rsidRDefault="00F635EB" w:rsidP="00E239B1">
      <w:pPr>
        <w:pStyle w:val="ListNumber"/>
        <w:numPr>
          <w:ilvl w:val="0"/>
          <w:numId w:val="17"/>
        </w:numPr>
      </w:pPr>
      <w:r>
        <w:t>t</w:t>
      </w:r>
      <w:r w:rsidR="00B93F9A">
        <w:t xml:space="preserve">he ways in which the new </w:t>
      </w:r>
      <w:r>
        <w:t>test for a religious body has been expanded</w:t>
      </w:r>
    </w:p>
    <w:p w14:paraId="1F8D0C50" w14:textId="2E62A2E7" w:rsidR="00794B5B" w:rsidRDefault="00871C85" w:rsidP="00E239B1">
      <w:pPr>
        <w:pStyle w:val="ListNumber"/>
        <w:numPr>
          <w:ilvl w:val="0"/>
          <w:numId w:val="17"/>
        </w:numPr>
      </w:pPr>
      <w:r>
        <w:t xml:space="preserve">whether </w:t>
      </w:r>
      <w:r w:rsidR="00843B1A">
        <w:t xml:space="preserve">the </w:t>
      </w:r>
      <w:r>
        <w:t xml:space="preserve">broad exemption </w:t>
      </w:r>
      <w:r w:rsidR="00843B1A">
        <w:t xml:space="preserve">for religious bodies </w:t>
      </w:r>
      <w:r w:rsidR="00115520">
        <w:t xml:space="preserve">in the second exposure draft </w:t>
      </w:r>
      <w:r>
        <w:t xml:space="preserve">is consistent with the </w:t>
      </w:r>
      <w:r w:rsidR="00E77D74">
        <w:t xml:space="preserve">objects </w:t>
      </w:r>
      <w:r>
        <w:t>of the Bill</w:t>
      </w:r>
    </w:p>
    <w:p w14:paraId="6F7B16D2" w14:textId="77777777" w:rsidR="00AE57E5" w:rsidRDefault="00E80A23" w:rsidP="00E239B1">
      <w:pPr>
        <w:pStyle w:val="ListNumber"/>
        <w:numPr>
          <w:ilvl w:val="0"/>
          <w:numId w:val="17"/>
        </w:numPr>
      </w:pPr>
      <w:r>
        <w:t xml:space="preserve">what </w:t>
      </w:r>
      <w:r w:rsidR="00460DCB">
        <w:t xml:space="preserve">an </w:t>
      </w:r>
      <w:r>
        <w:t xml:space="preserve">appropriate </w:t>
      </w:r>
      <w:r w:rsidR="00460DCB">
        <w:t>exemption for religious bodies might look like</w:t>
      </w:r>
    </w:p>
    <w:p w14:paraId="55F42E00" w14:textId="68726C82" w:rsidR="00871C85" w:rsidRDefault="00AE57E5" w:rsidP="00E239B1">
      <w:pPr>
        <w:pStyle w:val="ListNumber"/>
        <w:numPr>
          <w:ilvl w:val="0"/>
          <w:numId w:val="17"/>
        </w:numPr>
      </w:pPr>
      <w:r>
        <w:t xml:space="preserve">whether special exemptions are required for </w:t>
      </w:r>
      <w:r w:rsidR="00144E33">
        <w:t xml:space="preserve">religious </w:t>
      </w:r>
      <w:r w:rsidR="005E1B2D">
        <w:t>educational institutions</w:t>
      </w:r>
      <w:r w:rsidR="004F247D">
        <w:t xml:space="preserve">, </w:t>
      </w:r>
      <w:r w:rsidR="002B30D0">
        <w:t xml:space="preserve">hospitals, </w:t>
      </w:r>
      <w:r w:rsidR="00166AC2">
        <w:t xml:space="preserve">aged care </w:t>
      </w:r>
      <w:r w:rsidR="00903A95">
        <w:t xml:space="preserve">facilities, accommodation providers, </w:t>
      </w:r>
      <w:r w:rsidR="0070162B">
        <w:t>camps and conference sites</w:t>
      </w:r>
      <w:r w:rsidR="00460DCB">
        <w:t>.</w:t>
      </w:r>
    </w:p>
    <w:p w14:paraId="776CF372" w14:textId="1A653921" w:rsidR="00F635EB" w:rsidRDefault="00F635EB" w:rsidP="005529F5">
      <w:pPr>
        <w:pStyle w:val="Heading3"/>
      </w:pPr>
      <w:bookmarkStart w:id="17" w:name="_Toc31355395"/>
      <w:r>
        <w:lastRenderedPageBreak/>
        <w:t>Scope of new test for ‘religious bodies’</w:t>
      </w:r>
      <w:bookmarkEnd w:id="17"/>
    </w:p>
    <w:p w14:paraId="23308DEA" w14:textId="1AF43864" w:rsidR="00C063A5" w:rsidRDefault="00C063A5" w:rsidP="00BA5723">
      <w:pPr>
        <w:pStyle w:val="ListNumber"/>
      </w:pPr>
      <w:bookmarkStart w:id="18" w:name="_Ref30162177"/>
      <w:r>
        <w:t>The test for whether a religious body is entitled to an exemption has been broadened in three ways.</w:t>
      </w:r>
      <w:bookmarkEnd w:id="18"/>
    </w:p>
    <w:p w14:paraId="18C117DC" w14:textId="4861E807" w:rsidR="00C063A5" w:rsidRDefault="00C063A5" w:rsidP="00C063A5">
      <w:pPr>
        <w:pStyle w:val="ListNumber"/>
      </w:pPr>
      <w:r w:rsidRPr="0014375E">
        <w:rPr>
          <w:b/>
          <w:bCs/>
        </w:rPr>
        <w:t>First</w:t>
      </w:r>
      <w:r>
        <w:t xml:space="preserve">, the test for whether the conduct of a body is religious has been broadened.  The previous test was whether the body was engaging in conduct that </w:t>
      </w:r>
      <w:r w:rsidRPr="00115E76">
        <w:rPr>
          <w:u w:val="single"/>
        </w:rPr>
        <w:t>may reasonably be regarded</w:t>
      </w:r>
      <w:r>
        <w:t xml:space="preserve"> as being in accordance with teachings of the religion in question.  This was a </w:t>
      </w:r>
      <w:proofErr w:type="gramStart"/>
      <w:r>
        <w:t xml:space="preserve">fairly </w:t>
      </w:r>
      <w:r w:rsidR="00402983">
        <w:t>standard</w:t>
      </w:r>
      <w:proofErr w:type="gramEnd"/>
      <w:r>
        <w:t xml:space="preserve"> objective test.</w:t>
      </w:r>
    </w:p>
    <w:p w14:paraId="42BD2232" w14:textId="77777777" w:rsidR="00C063A5" w:rsidRDefault="00C063A5" w:rsidP="00C063A5">
      <w:pPr>
        <w:pStyle w:val="ListNumber"/>
      </w:pPr>
      <w:r>
        <w:t xml:space="preserve">Now, the test is whether the body was engaging in conduct that a person of the same religion as the religious body </w:t>
      </w:r>
      <w:r w:rsidRPr="00115E76">
        <w:rPr>
          <w:u w:val="single"/>
        </w:rPr>
        <w:t>could</w:t>
      </w:r>
      <w:r>
        <w:t xml:space="preserve"> reasonably consider to be in accordance with teachings of the religion in question.</w:t>
      </w:r>
    </w:p>
    <w:p w14:paraId="424206CB" w14:textId="72316B56" w:rsidR="0020439E" w:rsidRDefault="00041544" w:rsidP="00C063A5">
      <w:pPr>
        <w:pStyle w:val="ListNumber"/>
      </w:pPr>
      <w:r>
        <w:t>The Explanatory Notes make clear that this is still an ‘objective reasonableness test’.</w:t>
      </w:r>
      <w:r w:rsidR="00954CD0">
        <w:rPr>
          <w:rStyle w:val="EndnoteReference"/>
        </w:rPr>
        <w:endnoteReference w:id="10"/>
      </w:r>
      <w:r>
        <w:t xml:space="preserve">  </w:t>
      </w:r>
      <w:r w:rsidR="00B878FF">
        <w:t>Therefore, t</w:t>
      </w:r>
      <w:r>
        <w:t xml:space="preserve">he test will not be satisfied by a particular person </w:t>
      </w:r>
      <w:r w:rsidR="001B69E4">
        <w:t xml:space="preserve">from the same religion giving evidence of </w:t>
      </w:r>
      <w:r w:rsidR="007338F5">
        <w:t xml:space="preserve">whether they </w:t>
      </w:r>
      <w:r w:rsidR="00950C9D">
        <w:t xml:space="preserve">in fact </w:t>
      </w:r>
      <w:r w:rsidR="007338F5">
        <w:t xml:space="preserve">consider that </w:t>
      </w:r>
      <w:r w:rsidR="005402F3">
        <w:t xml:space="preserve">the conduct </w:t>
      </w:r>
      <w:r w:rsidR="00BE4BE5">
        <w:t xml:space="preserve">is </w:t>
      </w:r>
      <w:r w:rsidR="005402F3">
        <w:t>in accordance with the teachings of the religion in questi</w:t>
      </w:r>
      <w:r w:rsidR="001A4885">
        <w:t>on.</w:t>
      </w:r>
    </w:p>
    <w:p w14:paraId="5663D3E0" w14:textId="2BC5D4F6" w:rsidR="001A4885" w:rsidRDefault="001A4885" w:rsidP="00C063A5">
      <w:pPr>
        <w:pStyle w:val="ListNumber"/>
      </w:pPr>
      <w:r>
        <w:t xml:space="preserve">Rather, it </w:t>
      </w:r>
      <w:r w:rsidR="00563EBF">
        <w:t>will</w:t>
      </w:r>
      <w:r>
        <w:t xml:space="preserve"> involve the court considering the question from the point of view of a hypothetical reasonable member of the religion in question.</w:t>
      </w:r>
      <w:r w:rsidR="006848E8">
        <w:rPr>
          <w:rStyle w:val="EndnoteReference"/>
        </w:rPr>
        <w:endnoteReference w:id="11"/>
      </w:r>
      <w:r>
        <w:t xml:space="preserve">  The </w:t>
      </w:r>
      <w:r w:rsidR="00FB1A77">
        <w:t xml:space="preserve">ultimate decision is still one made by the Court, albeit from the perspective of a member of the relevant </w:t>
      </w:r>
      <w:r w:rsidR="00E30D31">
        <w:t>religion.</w:t>
      </w:r>
      <w:r w:rsidR="007340AD">
        <w:t xml:space="preserve">  The Court will ask whether such a hypothetical </w:t>
      </w:r>
      <w:r w:rsidR="00B73D3C">
        <w:t xml:space="preserve">reasonable </w:t>
      </w:r>
      <w:r w:rsidR="007340AD">
        <w:t xml:space="preserve">person could reasonably </w:t>
      </w:r>
      <w:r w:rsidR="00BB656C">
        <w:t>consider the conduct to be in accordance with the teachings, etc of the religion.</w:t>
      </w:r>
      <w:r w:rsidR="00C82E40">
        <w:rPr>
          <w:rStyle w:val="EndnoteReference"/>
        </w:rPr>
        <w:endnoteReference w:id="12"/>
      </w:r>
    </w:p>
    <w:p w14:paraId="6CD5B8BF" w14:textId="590709F6" w:rsidR="00C063A5" w:rsidRDefault="005A5F88" w:rsidP="00C063A5">
      <w:pPr>
        <w:pStyle w:val="ListNumber"/>
      </w:pPr>
      <w:bookmarkStart w:id="19" w:name="_Ref30162185"/>
      <w:r>
        <w:t xml:space="preserve">By requiring the Court to examine the question from the perspective of a hypothetical reasonable member of the religion in question, </w:t>
      </w:r>
      <w:r w:rsidR="00241FE0">
        <w:t xml:space="preserve">it appears that it is intended that </w:t>
      </w:r>
      <w:r w:rsidR="00E07DA3">
        <w:t xml:space="preserve">a greater margin of appreciation will be given to </w:t>
      </w:r>
      <w:r w:rsidR="001212F5">
        <w:t xml:space="preserve">the </w:t>
      </w:r>
      <w:r w:rsidR="00D16C8F">
        <w:t xml:space="preserve">religious body claiming that the conduct is </w:t>
      </w:r>
      <w:r w:rsidR="00B93A43">
        <w:t>in accordance with its teachings.</w:t>
      </w:r>
      <w:bookmarkEnd w:id="19"/>
      <w:r w:rsidR="00B93A43">
        <w:t xml:space="preserve"> </w:t>
      </w:r>
    </w:p>
    <w:p w14:paraId="5E1D5665" w14:textId="77777777" w:rsidR="00C063A5" w:rsidRPr="0026394B" w:rsidRDefault="00C063A5" w:rsidP="00C063A5">
      <w:pPr>
        <w:pStyle w:val="ListNumber"/>
      </w:pPr>
      <w:bookmarkStart w:id="20" w:name="_Ref30431601"/>
      <w:r w:rsidRPr="0014375E">
        <w:rPr>
          <w:b/>
          <w:bCs/>
        </w:rPr>
        <w:t>Secondly</w:t>
      </w:r>
      <w:r w:rsidRPr="0026394B">
        <w:t>, clause 11(3) provides a new, alternative way of qualifying for the exemption.  A religious body will qualify for an exemption if it is engaging in good faith in conduct to avoid injury to the religious susceptibilities of adherents of its religion.</w:t>
      </w:r>
      <w:bookmarkEnd w:id="20"/>
    </w:p>
    <w:p w14:paraId="268846D2" w14:textId="5557B762" w:rsidR="00C063A5" w:rsidRPr="0026394B" w:rsidRDefault="00C063A5" w:rsidP="00C063A5">
      <w:pPr>
        <w:pStyle w:val="ListNumber"/>
      </w:pPr>
      <w:r w:rsidRPr="0026394B">
        <w:t xml:space="preserve">This picks up the language of ss 37 and 38 of the </w:t>
      </w:r>
      <w:r w:rsidR="00EF0BC1">
        <w:t>SDA</w:t>
      </w:r>
      <w:r w:rsidRPr="0026394B">
        <w:t xml:space="preserve"> and ss 153(2) and 195(2) of the </w:t>
      </w:r>
      <w:r w:rsidRPr="00EF0BC1">
        <w:rPr>
          <w:i/>
          <w:iCs/>
        </w:rPr>
        <w:t>Fair Work Act</w:t>
      </w:r>
      <w:r w:rsidR="00EF0BC1" w:rsidRPr="00EF0BC1">
        <w:rPr>
          <w:i/>
          <w:iCs/>
        </w:rPr>
        <w:t xml:space="preserve"> 2009</w:t>
      </w:r>
      <w:r w:rsidR="00EF0BC1">
        <w:t xml:space="preserve"> (</w:t>
      </w:r>
      <w:proofErr w:type="spellStart"/>
      <w:r w:rsidR="00EF0BC1">
        <w:t>Cth</w:t>
      </w:r>
      <w:proofErr w:type="spellEnd"/>
      <w:r w:rsidR="00EF0BC1">
        <w:t>) (Fair Work Act</w:t>
      </w:r>
      <w:proofErr w:type="gramStart"/>
      <w:r w:rsidR="00EF0BC1">
        <w:t>)</w:t>
      </w:r>
      <w:r w:rsidRPr="0026394B">
        <w:t>, and</w:t>
      </w:r>
      <w:proofErr w:type="gramEnd"/>
      <w:r w:rsidRPr="0026394B">
        <w:t xml:space="preserve"> is similar to the language in s 35 of the </w:t>
      </w:r>
      <w:r w:rsidRPr="0034404A">
        <w:rPr>
          <w:i/>
          <w:iCs/>
        </w:rPr>
        <w:t>A</w:t>
      </w:r>
      <w:r w:rsidR="0034404A" w:rsidRPr="0034404A">
        <w:rPr>
          <w:i/>
          <w:iCs/>
        </w:rPr>
        <w:t xml:space="preserve">ge </w:t>
      </w:r>
      <w:r w:rsidRPr="0034404A">
        <w:rPr>
          <w:i/>
          <w:iCs/>
        </w:rPr>
        <w:t>D</w:t>
      </w:r>
      <w:r w:rsidR="0034404A" w:rsidRPr="0034404A">
        <w:rPr>
          <w:i/>
          <w:iCs/>
        </w:rPr>
        <w:t xml:space="preserve">iscrimination </w:t>
      </w:r>
      <w:r w:rsidRPr="0034404A">
        <w:rPr>
          <w:i/>
          <w:iCs/>
        </w:rPr>
        <w:t>A</w:t>
      </w:r>
      <w:r w:rsidR="0034404A" w:rsidRPr="0034404A">
        <w:rPr>
          <w:i/>
          <w:iCs/>
        </w:rPr>
        <w:t>ct 2004</w:t>
      </w:r>
      <w:r w:rsidR="0034404A">
        <w:t xml:space="preserve"> (</w:t>
      </w:r>
      <w:proofErr w:type="spellStart"/>
      <w:r w:rsidR="0034404A">
        <w:t>Cth</w:t>
      </w:r>
      <w:proofErr w:type="spellEnd"/>
      <w:r w:rsidR="0034404A">
        <w:t>) (ADA)</w:t>
      </w:r>
      <w:r w:rsidRPr="0026394B">
        <w:t>.</w:t>
      </w:r>
    </w:p>
    <w:p w14:paraId="5511AFDE" w14:textId="4A65F08A" w:rsidR="00C063A5" w:rsidRDefault="00C063A5" w:rsidP="00C063A5">
      <w:pPr>
        <w:pStyle w:val="ListNumber"/>
      </w:pPr>
      <w:r w:rsidRPr="0026394B">
        <w:lastRenderedPageBreak/>
        <w:t xml:space="preserve">One difference is that </w:t>
      </w:r>
      <w:r w:rsidR="005B44F6">
        <w:t xml:space="preserve">under </w:t>
      </w:r>
      <w:r w:rsidRPr="0026394B">
        <w:t xml:space="preserve">the Fair Work Act </w:t>
      </w:r>
      <w:r w:rsidR="005B44F6">
        <w:t xml:space="preserve">a respondent </w:t>
      </w:r>
      <w:r w:rsidRPr="0026394B">
        <w:t>need</w:t>
      </w:r>
      <w:r w:rsidR="005B44F6">
        <w:t>s</w:t>
      </w:r>
      <w:r w:rsidRPr="0026394B">
        <w:t xml:space="preserve"> to show that </w:t>
      </w:r>
      <w:r w:rsidR="005B44F6">
        <w:t xml:space="preserve">it </w:t>
      </w:r>
      <w:r w:rsidR="002420F6">
        <w:t>was</w:t>
      </w:r>
      <w:r w:rsidR="005B44F6">
        <w:t xml:space="preserve"> </w:t>
      </w:r>
      <w:r w:rsidRPr="0026394B">
        <w:t xml:space="preserve">acting in accordance with religious teachings </w:t>
      </w:r>
      <w:r w:rsidR="007A3CD6" w:rsidRPr="00FD1D51">
        <w:rPr>
          <w:u w:val="single"/>
        </w:rPr>
        <w:t>and</w:t>
      </w:r>
      <w:r w:rsidR="007A3CD6">
        <w:t xml:space="preserve"> </w:t>
      </w:r>
      <w:r w:rsidRPr="0026394B">
        <w:t>in order to avoid injury to religious susceptibilities</w:t>
      </w:r>
      <w:r w:rsidR="007A3CD6">
        <w:t xml:space="preserve">, in order </w:t>
      </w:r>
      <w:r w:rsidR="00FD1D51">
        <w:t>to qualify for an exemption</w:t>
      </w:r>
      <w:r w:rsidRPr="0026394B">
        <w:t xml:space="preserve">.  In </w:t>
      </w:r>
      <w:r w:rsidR="005D5D55">
        <w:t>s 37(1)(d) of the</w:t>
      </w:r>
      <w:r w:rsidRPr="0026394B">
        <w:t xml:space="preserve"> SDA, </w:t>
      </w:r>
      <w:r w:rsidR="005D5D55">
        <w:t xml:space="preserve">s 35 of the </w:t>
      </w:r>
      <w:r w:rsidRPr="0026394B">
        <w:t>ADA and the second exposure draft</w:t>
      </w:r>
      <w:r w:rsidR="00A32A18">
        <w:t xml:space="preserve"> of the Bill</w:t>
      </w:r>
      <w:r w:rsidRPr="0026394B">
        <w:t>, these are alternatives.</w:t>
      </w:r>
    </w:p>
    <w:p w14:paraId="2293C169" w14:textId="7E4804C1" w:rsidR="00720B1B" w:rsidRDefault="00195B88" w:rsidP="00C063A5">
      <w:pPr>
        <w:pStyle w:val="ListNumber"/>
      </w:pPr>
      <w:r>
        <w:t xml:space="preserve">However, </w:t>
      </w:r>
      <w:r w:rsidR="00EB0F04">
        <w:t>unlike the exposure draft</w:t>
      </w:r>
      <w:r w:rsidR="009E7693">
        <w:t xml:space="preserve"> of the Bill</w:t>
      </w:r>
      <w:r w:rsidR="00EB0F04">
        <w:t xml:space="preserve">, </w:t>
      </w:r>
      <w:r w:rsidR="00EF23B5">
        <w:t xml:space="preserve">in </w:t>
      </w:r>
      <w:r w:rsidR="00893C6E">
        <w:t>s 37</w:t>
      </w:r>
      <w:r w:rsidR="009D5BC0">
        <w:t>(1)</w:t>
      </w:r>
      <w:r w:rsidR="00893C6E">
        <w:t>(d)</w:t>
      </w:r>
      <w:r w:rsidR="009D5BC0">
        <w:t xml:space="preserve"> of the SDA and in </w:t>
      </w:r>
      <w:r w:rsidR="008B244F">
        <w:t xml:space="preserve">s 35 of the ADA, which are the provisions that apply to the broadest range of conduct, the conduct </w:t>
      </w:r>
      <w:r w:rsidR="001932E8">
        <w:t xml:space="preserve">must be </w:t>
      </w:r>
      <w:r w:rsidR="008B244F" w:rsidRPr="008B244F">
        <w:rPr>
          <w:u w:val="single"/>
        </w:rPr>
        <w:t>necessary</w:t>
      </w:r>
      <w:r w:rsidR="008B244F">
        <w:t xml:space="preserve"> </w:t>
      </w:r>
      <w:r w:rsidR="00555E6B">
        <w:t xml:space="preserve">to avoid injury to the religious </w:t>
      </w:r>
      <w:r w:rsidR="005A2981">
        <w:t>susceptibilities of adherents of the religion</w:t>
      </w:r>
      <w:r w:rsidR="00451320">
        <w:t xml:space="preserve"> for the exemption to apply</w:t>
      </w:r>
      <w:r w:rsidR="005A2981">
        <w:t>.</w:t>
      </w:r>
      <w:r w:rsidR="001F144C">
        <w:t xml:space="preserve">  </w:t>
      </w:r>
      <w:r w:rsidR="000367B7">
        <w:t xml:space="preserve">Section 38 of the SDA </w:t>
      </w:r>
      <w:r w:rsidR="00EE2C26">
        <w:t xml:space="preserve">and the </w:t>
      </w:r>
      <w:r w:rsidR="005F61EB">
        <w:t xml:space="preserve">Fair Work Act provisions </w:t>
      </w:r>
      <w:r w:rsidR="001F144C">
        <w:t>do not include the requirement of necessity, but are confined to a much narrower range of conduct (</w:t>
      </w:r>
      <w:proofErr w:type="spellStart"/>
      <w:r w:rsidR="001F144C">
        <w:t>eg</w:t>
      </w:r>
      <w:proofErr w:type="spellEnd"/>
      <w:r w:rsidR="00A343F2">
        <w:t xml:space="preserve"> discrimination </w:t>
      </w:r>
      <w:r w:rsidR="005A3C03">
        <w:t>by educational institutions</w:t>
      </w:r>
      <w:r w:rsidR="001B041D">
        <w:t xml:space="preserve">, </w:t>
      </w:r>
      <w:r w:rsidR="00AC1663">
        <w:t xml:space="preserve">in a modern award </w:t>
      </w:r>
      <w:r w:rsidR="001B041D">
        <w:t>or in an enterprise agreement)</w:t>
      </w:r>
      <w:r w:rsidR="00040780">
        <w:t xml:space="preserve"> and</w:t>
      </w:r>
      <w:r w:rsidR="00940F1D">
        <w:t xml:space="preserve">, as </w:t>
      </w:r>
      <w:r w:rsidR="00226B5D">
        <w:t>noted above,</w:t>
      </w:r>
      <w:r w:rsidR="00040780">
        <w:t xml:space="preserve"> </w:t>
      </w:r>
      <w:r w:rsidR="00CB02AE">
        <w:t>in the case of the Fair Work Act</w:t>
      </w:r>
      <w:r w:rsidR="00226B5D">
        <w:t xml:space="preserve"> there is an</w:t>
      </w:r>
      <w:r w:rsidR="00CB02AE">
        <w:t xml:space="preserve"> </w:t>
      </w:r>
      <w:r w:rsidR="006C49C5">
        <w:t xml:space="preserve">additional requirement </w:t>
      </w:r>
      <w:r w:rsidR="00CB2D22">
        <w:t>that the conduct must be in accordance with religious teachings</w:t>
      </w:r>
      <w:r w:rsidR="001B041D">
        <w:t>.</w:t>
      </w:r>
      <w:r w:rsidR="00A343F2">
        <w:t xml:space="preserve"> </w:t>
      </w:r>
    </w:p>
    <w:p w14:paraId="0347EFCC" w14:textId="5B06165B" w:rsidR="00A62209" w:rsidRDefault="00A62209" w:rsidP="00C063A5">
      <w:pPr>
        <w:pStyle w:val="ListNumber"/>
      </w:pPr>
      <w:r>
        <w:t xml:space="preserve">This means that the exemption </w:t>
      </w:r>
      <w:r w:rsidR="00BD0C71">
        <w:t xml:space="preserve">proposed </w:t>
      </w:r>
      <w:r>
        <w:t xml:space="preserve">in clause 11(3) </w:t>
      </w:r>
      <w:r w:rsidR="00BD0C71">
        <w:t xml:space="preserve">of the second exposure draft of the Bill </w:t>
      </w:r>
      <w:r>
        <w:t xml:space="preserve">is broader than any other </w:t>
      </w:r>
      <w:r w:rsidR="00FE486C">
        <w:t>existing religious exemption in federal discrimination law.</w:t>
      </w:r>
    </w:p>
    <w:p w14:paraId="6F357C6E" w14:textId="533D0303" w:rsidR="00B72F75" w:rsidRDefault="00633294" w:rsidP="00C063A5">
      <w:pPr>
        <w:pStyle w:val="ListNumber"/>
      </w:pPr>
      <w:bookmarkStart w:id="21" w:name="_Ref30431609"/>
      <w:r>
        <w:t>The exemption in clause 11</w:t>
      </w:r>
      <w:r w:rsidR="00A67FAC">
        <w:t>(3)</w:t>
      </w:r>
      <w:r w:rsidR="006C2B6A">
        <w:t xml:space="preserve">, for conduct </w:t>
      </w:r>
      <w:r w:rsidR="00F1481B">
        <w:t>aimed at avoiding injury to religious suscept</w:t>
      </w:r>
      <w:r w:rsidR="005F3B80">
        <w:t>ibilities,</w:t>
      </w:r>
      <w:r>
        <w:t xml:space="preserve"> </w:t>
      </w:r>
      <w:r w:rsidR="000549C8">
        <w:t xml:space="preserve">applies in relation to all conduct engaged in by religious bodies.  </w:t>
      </w:r>
      <w:r w:rsidR="006C0A52">
        <w:t xml:space="preserve">In order to </w:t>
      </w:r>
      <w:r w:rsidR="00B222DC">
        <w:t>be consistent with the way in which this test has been used</w:t>
      </w:r>
      <w:r w:rsidR="00CF5390">
        <w:t xml:space="preserve"> in other </w:t>
      </w:r>
      <w:r w:rsidR="00934473">
        <w:t xml:space="preserve">Commonwealth </w:t>
      </w:r>
      <w:r w:rsidR="00CF5390">
        <w:t xml:space="preserve">legislation, </w:t>
      </w:r>
      <w:r w:rsidR="006047B6">
        <w:t xml:space="preserve">the Commission recommends that </w:t>
      </w:r>
      <w:r w:rsidR="00DE22F2">
        <w:t xml:space="preserve">the </w:t>
      </w:r>
      <w:r w:rsidR="00B57D5D">
        <w:t xml:space="preserve">exemption be limited to </w:t>
      </w:r>
      <w:r w:rsidR="00DE22F2">
        <w:t xml:space="preserve">conduct </w:t>
      </w:r>
      <w:r w:rsidR="00B57D5D">
        <w:t xml:space="preserve">that is </w:t>
      </w:r>
      <w:r w:rsidR="00DE22F2">
        <w:t xml:space="preserve">‘necessary’ to avoid injury to religious susceptibilities.  An equivalent change should be made </w:t>
      </w:r>
      <w:r w:rsidR="00DB1747">
        <w:t xml:space="preserve">to this test in clauses </w:t>
      </w:r>
      <w:r w:rsidR="00495AF8">
        <w:t>32(10)(b) and 33</w:t>
      </w:r>
      <w:r w:rsidR="002B1E93">
        <w:t xml:space="preserve">(4)(b) if, contrary to </w:t>
      </w:r>
      <w:r w:rsidR="00AF0FBD">
        <w:t>the Commission</w:t>
      </w:r>
      <w:r w:rsidR="00D05C0A">
        <w:t>’</w:t>
      </w:r>
      <w:r w:rsidR="00AF0FBD">
        <w:t>s recommendations below, these clauses are retained in the Bill.</w:t>
      </w:r>
      <w:bookmarkEnd w:id="21"/>
    </w:p>
    <w:p w14:paraId="5E99DF5D" w14:textId="532C8314" w:rsidR="003E0F0E" w:rsidRDefault="00B72533" w:rsidP="00C063A5">
      <w:pPr>
        <w:pStyle w:val="ListNumber"/>
      </w:pPr>
      <w:bookmarkStart w:id="22" w:name="_Ref30522184"/>
      <w:r>
        <w:t xml:space="preserve">For completeness, the Commission notes that including a requirement of ‘necessity’ would </w:t>
      </w:r>
      <w:r w:rsidR="002E5EE2">
        <w:t xml:space="preserve">also </w:t>
      </w:r>
      <w:r>
        <w:t>be consistent with s 82</w:t>
      </w:r>
      <w:r w:rsidR="005F283D">
        <w:t>(2)</w:t>
      </w:r>
      <w:r>
        <w:t xml:space="preserve"> of the </w:t>
      </w:r>
      <w:r w:rsidRPr="00B72533">
        <w:rPr>
          <w:i/>
          <w:iCs/>
        </w:rPr>
        <w:t>Equal Opportunity Act 2010</w:t>
      </w:r>
      <w:r>
        <w:t xml:space="preserve"> (Vic), which was referred to by the Attorney-General in his speech to the National Press Club </w:t>
      </w:r>
      <w:r w:rsidR="00B801EE">
        <w:t xml:space="preserve">(shortly before the release of the second exposure draft of the Bill) </w:t>
      </w:r>
      <w:r w:rsidR="001164B8">
        <w:t xml:space="preserve">as informing the Government’s approach to </w:t>
      </w:r>
      <w:r w:rsidR="00B959CB">
        <w:t>the formulation of the exception for religious bodies.</w:t>
      </w:r>
      <w:r w:rsidR="00FA7A0C">
        <w:rPr>
          <w:rStyle w:val="EndnoteReference"/>
        </w:rPr>
        <w:endnoteReference w:id="13"/>
      </w:r>
      <w:bookmarkEnd w:id="22"/>
    </w:p>
    <w:p w14:paraId="33CEFC86" w14:textId="77D1026B" w:rsidR="00AF0FBD" w:rsidRPr="00A0113D" w:rsidRDefault="00AF0FBD" w:rsidP="00C3458D">
      <w:pPr>
        <w:pStyle w:val="ListNumber"/>
        <w:keepNext/>
        <w:numPr>
          <w:ilvl w:val="0"/>
          <w:numId w:val="0"/>
        </w:numPr>
        <w:ind w:left="1094"/>
        <w:rPr>
          <w:b/>
          <w:bCs/>
        </w:rPr>
      </w:pPr>
      <w:r w:rsidRPr="00A0113D">
        <w:rPr>
          <w:b/>
          <w:bCs/>
        </w:rPr>
        <w:t xml:space="preserve">Recommendation </w:t>
      </w:r>
      <w:r w:rsidR="00A0113D" w:rsidRPr="00A0113D">
        <w:rPr>
          <w:b/>
          <w:bCs/>
        </w:rPr>
        <w:t>3A</w:t>
      </w:r>
    </w:p>
    <w:p w14:paraId="2856A82D" w14:textId="6E39CA9B" w:rsidR="00A0113D" w:rsidRPr="0026394B" w:rsidRDefault="00A0113D" w:rsidP="00A0113D">
      <w:pPr>
        <w:pStyle w:val="ListNumber"/>
        <w:numPr>
          <w:ilvl w:val="0"/>
          <w:numId w:val="0"/>
        </w:numPr>
        <w:ind w:left="1094"/>
      </w:pPr>
      <w:r>
        <w:t>The Commission recommends that clauses 11(3), 32(10)(b) and 33(4)(b)</w:t>
      </w:r>
      <w:r w:rsidR="00A54783">
        <w:t xml:space="preserve"> </w:t>
      </w:r>
      <w:r w:rsidR="008B27DF">
        <w:t>be</w:t>
      </w:r>
      <w:r w:rsidR="00A54783">
        <w:t xml:space="preserve"> amended to </w:t>
      </w:r>
      <w:r w:rsidR="00641B58">
        <w:t xml:space="preserve">limit the application of the relevant exemptions to </w:t>
      </w:r>
      <w:r w:rsidR="00641B58">
        <w:lastRenderedPageBreak/>
        <w:t xml:space="preserve">conduct that is ‘necessary’ </w:t>
      </w:r>
      <w:r w:rsidR="004D2AEE">
        <w:t>to avoid injury to the religious susceptib</w:t>
      </w:r>
      <w:r w:rsidR="006C4E89">
        <w:t>ilities of adherents of the relevant religion.</w:t>
      </w:r>
    </w:p>
    <w:p w14:paraId="2294BFBA" w14:textId="1D3DE4D6" w:rsidR="00C063A5" w:rsidRPr="00D46DAA" w:rsidRDefault="00C063A5" w:rsidP="00C063A5">
      <w:pPr>
        <w:pStyle w:val="ListNumber"/>
      </w:pPr>
      <w:bookmarkStart w:id="23" w:name="_Ref30431700"/>
      <w:r w:rsidRPr="0014375E">
        <w:rPr>
          <w:b/>
          <w:bCs/>
        </w:rPr>
        <w:t>Thirdly</w:t>
      </w:r>
      <w:r w:rsidRPr="00D46DAA">
        <w:t>, clauses 11(2) and (</w:t>
      </w:r>
      <w:r w:rsidR="008B48CE">
        <w:t>4</w:t>
      </w:r>
      <w:r w:rsidRPr="00D46DAA">
        <w:t>) provide that the conduct exempted includes giving preference to people of the same religion as the religious body, whether the preference is in relation to employment, education, or the provision of goods, services or facilities.</w:t>
      </w:r>
      <w:bookmarkEnd w:id="23"/>
    </w:p>
    <w:p w14:paraId="59497AFC" w14:textId="037BB74E" w:rsidR="00875485" w:rsidRDefault="006C6218" w:rsidP="00F635EB">
      <w:pPr>
        <w:pStyle w:val="ListNumber"/>
      </w:pPr>
      <w:r>
        <w:t xml:space="preserve">These clauses </w:t>
      </w:r>
      <w:r w:rsidR="00E67E03">
        <w:t xml:space="preserve">are ambiguous and </w:t>
      </w:r>
      <w:r w:rsidR="00D159A3">
        <w:t>should be redrafted.</w:t>
      </w:r>
      <w:r w:rsidR="004338C1">
        <w:t xml:space="preserve">  </w:t>
      </w:r>
      <w:r w:rsidR="00A02F48">
        <w:t>For example</w:t>
      </w:r>
      <w:r w:rsidR="000F5E59">
        <w:t>,</w:t>
      </w:r>
      <w:r w:rsidR="00A02F48">
        <w:t xml:space="preserve"> clause 11(2) </w:t>
      </w:r>
      <w:r w:rsidR="000F5E59">
        <w:t>states</w:t>
      </w:r>
      <w:r w:rsidR="00690353">
        <w:t xml:space="preserve">: ‘Without limiting subsection (1), conduct mentioned in that subsection includes giving preference to persons of the same religion as the religious body’.  The conduct </w:t>
      </w:r>
      <w:r w:rsidR="00A432C1">
        <w:t xml:space="preserve">mentioned in subsection (1) is </w:t>
      </w:r>
      <w:r w:rsidR="00396157">
        <w:t xml:space="preserve">‘conduct </w:t>
      </w:r>
      <w:r w:rsidR="003127FD">
        <w:t>that a person of the same religion as the re</w:t>
      </w:r>
      <w:r w:rsidR="00D73CD2">
        <w:t xml:space="preserve">ligious body could reasonably consider to be in accordance with the doctrines, tenets, beliefs or teachings of that religion’.  On one view, this could mean that giving preference to persons of the same religion will be </w:t>
      </w:r>
      <w:r w:rsidR="00D73CD2" w:rsidRPr="002E2B17">
        <w:rPr>
          <w:i/>
          <w:iCs/>
        </w:rPr>
        <w:t>deemed</w:t>
      </w:r>
      <w:r w:rsidR="00D73CD2">
        <w:t xml:space="preserve"> to be conduct that is in accordance with religious teachings.</w:t>
      </w:r>
      <w:r w:rsidR="00875485">
        <w:t xml:space="preserve">  </w:t>
      </w:r>
    </w:p>
    <w:p w14:paraId="0ABF76F7" w14:textId="0E200AEB" w:rsidR="00F635EB" w:rsidRDefault="00875485" w:rsidP="00F635EB">
      <w:pPr>
        <w:pStyle w:val="ListNumber"/>
      </w:pPr>
      <w:r>
        <w:t xml:space="preserve">It does not appear that this is the intended meaning.  Rather, it appears that the intended meaning is that it will be permissible to </w:t>
      </w:r>
      <w:r w:rsidR="006D22D9">
        <w:t xml:space="preserve">give preference to persons of the same religion as the religious body, provided that this </w:t>
      </w:r>
      <w:r w:rsidR="0044253A">
        <w:t xml:space="preserve">is conduct that a person of the same religion </w:t>
      </w:r>
      <w:r w:rsidR="005D1D10">
        <w:t xml:space="preserve">could reasonably consider to be in accordance with the </w:t>
      </w:r>
      <w:r w:rsidR="005F1442">
        <w:t>teachings of that religion.</w:t>
      </w:r>
      <w:r w:rsidR="002B14C4">
        <w:rPr>
          <w:rStyle w:val="EndnoteReference"/>
        </w:rPr>
        <w:endnoteReference w:id="14"/>
      </w:r>
      <w:r w:rsidR="00737FA2">
        <w:t xml:space="preserve">  </w:t>
      </w:r>
    </w:p>
    <w:p w14:paraId="58FBCF9B" w14:textId="23D94931" w:rsidR="00DF7D10" w:rsidRDefault="00C65A2C" w:rsidP="00F635EB">
      <w:pPr>
        <w:pStyle w:val="ListNumber"/>
      </w:pPr>
      <w:r>
        <w:t xml:space="preserve">No real clarification is given by the words ‘without limiting </w:t>
      </w:r>
      <w:r w:rsidR="00A84E4F">
        <w:t xml:space="preserve">subsection (1)’ as </w:t>
      </w:r>
      <w:r w:rsidR="00A54F94">
        <w:t>the sub</w:t>
      </w:r>
      <w:r w:rsidR="000F5E59">
        <w:t>s</w:t>
      </w:r>
      <w:r w:rsidR="00A54F94">
        <w:t xml:space="preserve">ection </w:t>
      </w:r>
      <w:r w:rsidR="00A516D0">
        <w:t>is aimed a</w:t>
      </w:r>
      <w:r w:rsidR="000F5E59">
        <w:t>t</w:t>
      </w:r>
      <w:r w:rsidR="00A516D0">
        <w:t xml:space="preserve"> describing circumstances in which discrimination does not occur.</w:t>
      </w:r>
    </w:p>
    <w:p w14:paraId="048A1848" w14:textId="73C876B8" w:rsidR="00F029C7" w:rsidRDefault="00DF0542" w:rsidP="00F635EB">
      <w:pPr>
        <w:pStyle w:val="ListNumber"/>
      </w:pPr>
      <w:bookmarkStart w:id="24" w:name="_Ref30431705"/>
      <w:r>
        <w:t xml:space="preserve">These </w:t>
      </w:r>
      <w:r w:rsidR="00554DE2">
        <w:t xml:space="preserve">sections should be </w:t>
      </w:r>
      <w:r w:rsidR="009449A4">
        <w:t xml:space="preserve">redrafted to make clear that </w:t>
      </w:r>
      <w:r w:rsidR="00AE6EFA">
        <w:t xml:space="preserve">giving preference to </w:t>
      </w:r>
      <w:r w:rsidR="00601FAF">
        <w:t xml:space="preserve">persons of a </w:t>
      </w:r>
      <w:proofErr w:type="gramStart"/>
      <w:r w:rsidR="00601FAF">
        <w:t>particular religion</w:t>
      </w:r>
      <w:proofErr w:type="gramEnd"/>
      <w:r w:rsidR="00601FAF">
        <w:t xml:space="preserve"> will </w:t>
      </w:r>
      <w:r w:rsidR="000411F7">
        <w:t xml:space="preserve">be </w:t>
      </w:r>
      <w:r w:rsidR="00B831A3">
        <w:t xml:space="preserve">permitted </w:t>
      </w:r>
      <w:r w:rsidR="000F5E59">
        <w:t xml:space="preserve">only </w:t>
      </w:r>
      <w:r w:rsidR="00B831A3">
        <w:t xml:space="preserve">where this also </w:t>
      </w:r>
      <w:r w:rsidR="002E7F8B">
        <w:t>satisfies th</w:t>
      </w:r>
      <w:r w:rsidR="000F5E59">
        <w:t>e</w:t>
      </w:r>
      <w:r w:rsidR="002E7F8B">
        <w:t xml:space="preserve"> </w:t>
      </w:r>
      <w:r w:rsidR="00A857FC">
        <w:t xml:space="preserve">test set out in clauses 11(1) and </w:t>
      </w:r>
      <w:r w:rsidR="006D35C5">
        <w:t xml:space="preserve">(3) respectively.  Similar amendments should be made to clauses </w:t>
      </w:r>
      <w:r w:rsidR="00022E92">
        <w:t xml:space="preserve">32(9) and (11) and clauses </w:t>
      </w:r>
      <w:r w:rsidR="00A423C8">
        <w:t>33(3) and (5) if, contrary to the Commission</w:t>
      </w:r>
      <w:r w:rsidR="00BC180C">
        <w:t>’</w:t>
      </w:r>
      <w:r w:rsidR="00A423C8">
        <w:t>s recommendations below, these clauses are retained in the Bill.</w:t>
      </w:r>
      <w:bookmarkEnd w:id="24"/>
    </w:p>
    <w:p w14:paraId="0AA25C9A" w14:textId="7D8DA18C" w:rsidR="00A423C8" w:rsidRPr="00A423C8" w:rsidRDefault="00A423C8" w:rsidP="007B7E97">
      <w:pPr>
        <w:pStyle w:val="ListNumber"/>
        <w:keepNext/>
        <w:numPr>
          <w:ilvl w:val="0"/>
          <w:numId w:val="0"/>
        </w:numPr>
        <w:ind w:left="1094"/>
        <w:rPr>
          <w:b/>
          <w:bCs/>
        </w:rPr>
      </w:pPr>
      <w:r w:rsidRPr="00A423C8">
        <w:rPr>
          <w:b/>
          <w:bCs/>
        </w:rPr>
        <w:t>Recommendation 3</w:t>
      </w:r>
      <w:r>
        <w:rPr>
          <w:b/>
          <w:bCs/>
        </w:rPr>
        <w:t>B</w:t>
      </w:r>
    </w:p>
    <w:p w14:paraId="11C72962" w14:textId="277B9118" w:rsidR="00A423C8" w:rsidRPr="0026394B" w:rsidRDefault="00A423C8" w:rsidP="00A423C8">
      <w:pPr>
        <w:pStyle w:val="ListNumber"/>
        <w:numPr>
          <w:ilvl w:val="0"/>
          <w:numId w:val="0"/>
        </w:numPr>
        <w:ind w:left="1094"/>
      </w:pPr>
      <w:r>
        <w:t>The Commission recommends that clauses 11</w:t>
      </w:r>
      <w:r w:rsidR="0076745B">
        <w:t xml:space="preserve">(2) and </w:t>
      </w:r>
      <w:r>
        <w:t>(</w:t>
      </w:r>
      <w:r w:rsidR="00601AF6">
        <w:t>4</w:t>
      </w:r>
      <w:r>
        <w:t>), 32(</w:t>
      </w:r>
      <w:r w:rsidR="00601AF6">
        <w:t>9</w:t>
      </w:r>
      <w:r>
        <w:t>) and</w:t>
      </w:r>
      <w:r w:rsidR="008B0E92">
        <w:t xml:space="preserve"> (11), and</w:t>
      </w:r>
      <w:r>
        <w:t xml:space="preserve"> 33(</w:t>
      </w:r>
      <w:r w:rsidR="008B0E92">
        <w:t>3</w:t>
      </w:r>
      <w:r>
        <w:t>)</w:t>
      </w:r>
      <w:r w:rsidR="008B0E92">
        <w:t xml:space="preserve"> and (5)</w:t>
      </w:r>
      <w:r>
        <w:t xml:space="preserve"> </w:t>
      </w:r>
      <w:r w:rsidR="00F534A4">
        <w:t xml:space="preserve">be </w:t>
      </w:r>
      <w:r>
        <w:t xml:space="preserve">amended to </w:t>
      </w:r>
      <w:r w:rsidR="00624F2B">
        <w:t xml:space="preserve">make clear that giving preference to persons of a particular religion will be permitted </w:t>
      </w:r>
      <w:r w:rsidR="00F534A4">
        <w:t xml:space="preserve">only </w:t>
      </w:r>
      <w:r w:rsidR="00624F2B">
        <w:t>where this also satisfies</w:t>
      </w:r>
      <w:r w:rsidR="0062428C">
        <w:t xml:space="preserve"> the relevant substantive test for non-discriminatory conduct</w:t>
      </w:r>
      <w:r>
        <w:t>.</w:t>
      </w:r>
    </w:p>
    <w:p w14:paraId="0181E5F9" w14:textId="1190B498" w:rsidR="00F70201" w:rsidRDefault="005529F5" w:rsidP="005529F5">
      <w:pPr>
        <w:pStyle w:val="Heading3"/>
      </w:pPr>
      <w:bookmarkStart w:id="25" w:name="_Toc31355396"/>
      <w:r>
        <w:lastRenderedPageBreak/>
        <w:t xml:space="preserve">Objects </w:t>
      </w:r>
      <w:r w:rsidR="00F70201">
        <w:t>of the Bill – to el</w:t>
      </w:r>
      <w:r w:rsidR="002C55EA">
        <w:t xml:space="preserve">iminate </w:t>
      </w:r>
      <w:r w:rsidR="00E77D74">
        <w:t xml:space="preserve">religious discrimination </w:t>
      </w:r>
      <w:r>
        <w:t>so far as possible</w:t>
      </w:r>
      <w:bookmarkEnd w:id="25"/>
    </w:p>
    <w:p w14:paraId="03063303" w14:textId="4C9EF9D4" w:rsidR="00A85426" w:rsidRDefault="00A85426" w:rsidP="00A85426">
      <w:pPr>
        <w:pStyle w:val="ListNumber"/>
      </w:pPr>
      <w:bookmarkStart w:id="26" w:name="_Ref30431795"/>
      <w:r>
        <w:t>The aim of the Bill is to introduce, for the first time, comprehensive protections against religious discrimination in core areas of public life.  To the extent that religious bodies are participating in these areas of public life, they should generally be held to the same standard as everyone else.</w:t>
      </w:r>
      <w:bookmarkEnd w:id="26"/>
      <w:r>
        <w:t xml:space="preserve">  </w:t>
      </w:r>
    </w:p>
    <w:p w14:paraId="09E31AAD" w14:textId="7B81C5BB" w:rsidR="00A85426" w:rsidRDefault="00D54BC0" w:rsidP="00A85426">
      <w:pPr>
        <w:pStyle w:val="ListNumber"/>
      </w:pPr>
      <w:r>
        <w:t xml:space="preserve">This would be consistent with the primary object of the Bill, namely, </w:t>
      </w:r>
      <w:r w:rsidR="00B74C84">
        <w:t>‘</w:t>
      </w:r>
      <w:r>
        <w:t xml:space="preserve">to </w:t>
      </w:r>
      <w:r w:rsidR="00B74C84">
        <w:t xml:space="preserve">eliminate, </w:t>
      </w:r>
      <w:r w:rsidR="002026BC" w:rsidRPr="00B4544B">
        <w:rPr>
          <w:u w:val="single"/>
        </w:rPr>
        <w:t>so far as is possible</w:t>
      </w:r>
      <w:r w:rsidR="002026BC">
        <w:t>, discrimination against persons on the ground of religious belief or activity</w:t>
      </w:r>
      <w:r w:rsidR="0040307E">
        <w:t xml:space="preserve"> in a range of areas of public life’</w:t>
      </w:r>
      <w:r w:rsidR="00A05FC5">
        <w:t xml:space="preserve"> (emphasis added)</w:t>
      </w:r>
      <w:r w:rsidR="0040307E">
        <w:t>.</w:t>
      </w:r>
      <w:r w:rsidR="0040307E">
        <w:rPr>
          <w:rStyle w:val="EndnoteReference"/>
        </w:rPr>
        <w:endnoteReference w:id="15"/>
      </w:r>
    </w:p>
    <w:p w14:paraId="797D6ACC" w14:textId="27F5A410" w:rsidR="002E43D7" w:rsidRDefault="002E43D7" w:rsidP="002E43D7">
      <w:pPr>
        <w:pStyle w:val="ListNumber"/>
      </w:pPr>
      <w:r>
        <w:t>It is important to acknowledge that religious charities and other religious organisations have a significant role in public life in Australia.  They run schools, hospitals, welfare organisations and employment agencies.  They employ a very large number of people.  Many receive a significant amount of public funding to support them in carrying out their activities.  The extent to which such organisations are permitted to engage in conduct that would otherwise be unlawful discrimination has an impact on the lives of many Australians.</w:t>
      </w:r>
    </w:p>
    <w:p w14:paraId="15A3B575" w14:textId="1962334B" w:rsidR="0072264A" w:rsidRDefault="00C03D3D" w:rsidP="002E43D7">
      <w:pPr>
        <w:pStyle w:val="ListNumber"/>
      </w:pPr>
      <w:r>
        <w:t>In the context of a Bill that is seeking to eliminate religious discrimination, i</w:t>
      </w:r>
      <w:r w:rsidR="0072264A">
        <w:t xml:space="preserve">t is reasonable to </w:t>
      </w:r>
      <w:r>
        <w:t xml:space="preserve">expect </w:t>
      </w:r>
      <w:r w:rsidR="00A71738">
        <w:t xml:space="preserve">as a starting point that </w:t>
      </w:r>
      <w:r w:rsidR="00461594">
        <w:t xml:space="preserve">everyone should have the same opportunity to </w:t>
      </w:r>
      <w:r w:rsidR="00A0514A">
        <w:t xml:space="preserve">apply for jobs, </w:t>
      </w:r>
      <w:r w:rsidR="00F53657">
        <w:t xml:space="preserve">go to school and </w:t>
      </w:r>
      <w:r w:rsidR="0077738E">
        <w:t xml:space="preserve">to </w:t>
      </w:r>
      <w:r w:rsidR="00977B4B">
        <w:t xml:space="preserve">buy goods and services, including where the </w:t>
      </w:r>
      <w:r w:rsidR="007241BE">
        <w:t xml:space="preserve">employers, educators and </w:t>
      </w:r>
      <w:r w:rsidR="00977B4B">
        <w:t xml:space="preserve">providers of </w:t>
      </w:r>
      <w:r w:rsidR="0077738E">
        <w:t>goods and services are religious</w:t>
      </w:r>
      <w:r w:rsidR="007E2F0B">
        <w:t xml:space="preserve"> bodies</w:t>
      </w:r>
      <w:r w:rsidR="0077738E">
        <w:t>.</w:t>
      </w:r>
    </w:p>
    <w:p w14:paraId="675696BD" w14:textId="4209011A" w:rsidR="006653A8" w:rsidRDefault="006653A8" w:rsidP="002E43D7">
      <w:pPr>
        <w:pStyle w:val="ListNumber"/>
      </w:pPr>
      <w:r>
        <w:t xml:space="preserve">The </w:t>
      </w:r>
      <w:r w:rsidR="00FD6897">
        <w:t xml:space="preserve">broad exemptions for religious bodies </w:t>
      </w:r>
      <w:r w:rsidR="00260899">
        <w:t>in the second exposure draft</w:t>
      </w:r>
      <w:r w:rsidR="00277214">
        <w:t>, which</w:t>
      </w:r>
      <w:r w:rsidR="008D15F7">
        <w:t xml:space="preserve"> give them </w:t>
      </w:r>
      <w:r w:rsidR="00354E29">
        <w:t xml:space="preserve">significant latitude </w:t>
      </w:r>
      <w:r w:rsidR="00277214">
        <w:t>to engage in religious discrimination,</w:t>
      </w:r>
      <w:r w:rsidR="0071496B">
        <w:t xml:space="preserve"> </w:t>
      </w:r>
      <w:r w:rsidR="00277214">
        <w:t xml:space="preserve">are inconsistent </w:t>
      </w:r>
      <w:r w:rsidR="0071496B">
        <w:t xml:space="preserve">with </w:t>
      </w:r>
      <w:r w:rsidR="00561A76">
        <w:t xml:space="preserve">the object of </w:t>
      </w:r>
      <w:r w:rsidR="00277214">
        <w:t xml:space="preserve">eliminating </w:t>
      </w:r>
      <w:r w:rsidR="006816EF">
        <w:t xml:space="preserve">religious </w:t>
      </w:r>
      <w:r w:rsidR="00277214">
        <w:t xml:space="preserve">discrimination </w:t>
      </w:r>
      <w:r w:rsidR="006816EF">
        <w:t>as far as possible.</w:t>
      </w:r>
      <w:r w:rsidR="00EC0BA3">
        <w:t xml:space="preserve">  If exemptions are to be granted, they should be more targeted.</w:t>
      </w:r>
    </w:p>
    <w:p w14:paraId="04ED8E3E" w14:textId="3CEFD092" w:rsidR="0040307E" w:rsidRDefault="005649D4" w:rsidP="006E4873">
      <w:pPr>
        <w:pStyle w:val="Heading3"/>
      </w:pPr>
      <w:bookmarkStart w:id="27" w:name="_Toc31355397"/>
      <w:r>
        <w:t>Areas where religious discrimination is permissible</w:t>
      </w:r>
      <w:bookmarkEnd w:id="27"/>
    </w:p>
    <w:p w14:paraId="2A8CBB75" w14:textId="3C6AD406" w:rsidR="009E37E7" w:rsidRDefault="00C34AB8" w:rsidP="00E81FA1">
      <w:pPr>
        <w:pStyle w:val="ListNumber"/>
      </w:pPr>
      <w:r>
        <w:t xml:space="preserve">There are undoubtedly </w:t>
      </w:r>
      <w:r w:rsidR="00A07A6D">
        <w:t xml:space="preserve">intrinsic </w:t>
      </w:r>
      <w:r>
        <w:t xml:space="preserve">aspects of religious practice that involve discrimination against </w:t>
      </w:r>
      <w:r w:rsidR="00511DA5">
        <w:t xml:space="preserve">people who are not </w:t>
      </w:r>
      <w:r w:rsidR="00A07A6D">
        <w:t xml:space="preserve">adherents of </w:t>
      </w:r>
      <w:r w:rsidR="00E851EA">
        <w:t xml:space="preserve">the </w:t>
      </w:r>
      <w:r w:rsidR="00CA5714">
        <w:t>relevant</w:t>
      </w:r>
      <w:r w:rsidR="00E851EA">
        <w:t xml:space="preserve"> </w:t>
      </w:r>
      <w:r w:rsidR="00A07A6D">
        <w:t xml:space="preserve">faith.  The Explanatory Notes give the examples of </w:t>
      </w:r>
      <w:r w:rsidR="00965FB6">
        <w:t xml:space="preserve">a church </w:t>
      </w:r>
      <w:r w:rsidR="00EE4F20">
        <w:t xml:space="preserve">requiring anyone taking communion </w:t>
      </w:r>
      <w:r w:rsidR="00795840">
        <w:t xml:space="preserve">to </w:t>
      </w:r>
      <w:r w:rsidR="00EE4F20">
        <w:t>be Christian</w:t>
      </w:r>
      <w:r w:rsidR="001D3492">
        <w:t xml:space="preserve">, or of </w:t>
      </w:r>
      <w:r w:rsidR="00175692">
        <w:t xml:space="preserve">a place of worship permitting entrance only to </w:t>
      </w:r>
      <w:r w:rsidR="004B2A11">
        <w:t>people who are adherents of that faith.</w:t>
      </w:r>
    </w:p>
    <w:p w14:paraId="0EE1B4B8" w14:textId="2A354A3B" w:rsidR="004F7EE0" w:rsidRDefault="00DE6B9A" w:rsidP="00E81FA1">
      <w:pPr>
        <w:pStyle w:val="ListNumber"/>
      </w:pPr>
      <w:r>
        <w:lastRenderedPageBreak/>
        <w:t xml:space="preserve">It is reasonable for religious bodies to </w:t>
      </w:r>
      <w:r w:rsidR="00755584">
        <w:t xml:space="preserve">exclude those who are not of their faith </w:t>
      </w:r>
      <w:r w:rsidR="009773F4">
        <w:t xml:space="preserve">when </w:t>
      </w:r>
      <w:r w:rsidR="00A46143">
        <w:t>this is necessary for the practice of their religion.</w:t>
      </w:r>
    </w:p>
    <w:p w14:paraId="596D71DA" w14:textId="44AAF0B2" w:rsidR="00A46143" w:rsidRDefault="00A46143" w:rsidP="00E81FA1">
      <w:pPr>
        <w:pStyle w:val="ListNumber"/>
      </w:pPr>
      <w:r>
        <w:t xml:space="preserve">However, it is less defensible to </w:t>
      </w:r>
      <w:r w:rsidR="00B42DF6">
        <w:t xml:space="preserve">permit </w:t>
      </w:r>
      <w:r w:rsidR="00B34F97">
        <w:t xml:space="preserve">organisations </w:t>
      </w:r>
      <w:r w:rsidR="0067465F">
        <w:t xml:space="preserve">participating </w:t>
      </w:r>
      <w:r w:rsidR="00B0324B">
        <w:t xml:space="preserve">in the </w:t>
      </w:r>
      <w:r w:rsidR="0067465F">
        <w:t xml:space="preserve">general </w:t>
      </w:r>
      <w:r w:rsidR="00B0324B">
        <w:t xml:space="preserve">economy or </w:t>
      </w:r>
      <w:r w:rsidR="00EB702A">
        <w:t xml:space="preserve">in </w:t>
      </w:r>
      <w:r w:rsidR="0093345B">
        <w:t xml:space="preserve">the provision of goods and services </w:t>
      </w:r>
      <w:r w:rsidR="00741866">
        <w:t>to exclude others based on their faith</w:t>
      </w:r>
      <w:r w:rsidR="00E10A13">
        <w:t xml:space="preserve"> (or lack of faith</w:t>
      </w:r>
      <w:r w:rsidR="002F7949">
        <w:t>)</w:t>
      </w:r>
      <w:r w:rsidR="00AE78FF">
        <w:t xml:space="preserve">. </w:t>
      </w:r>
    </w:p>
    <w:p w14:paraId="140552B1" w14:textId="6C8156E1" w:rsidR="00C74E96" w:rsidRDefault="00C74E96" w:rsidP="00E81FA1">
      <w:pPr>
        <w:pStyle w:val="ListNumber"/>
      </w:pPr>
      <w:r>
        <w:t xml:space="preserve">This is particularly </w:t>
      </w:r>
      <w:r w:rsidR="006E380A">
        <w:t>so where the organisations are recipients of public funding.</w:t>
      </w:r>
      <w:r w:rsidR="00F421AA">
        <w:t xml:space="preserve">  Why should </w:t>
      </w:r>
      <w:r w:rsidR="00A90EE2">
        <w:t xml:space="preserve">bodies that receive funds from </w:t>
      </w:r>
      <w:r w:rsidR="0096020B">
        <w:t xml:space="preserve">all Australian taxpayers, </w:t>
      </w:r>
      <w:r w:rsidR="003704A6">
        <w:t>from people of all faiths</w:t>
      </w:r>
      <w:r w:rsidR="00332DBD">
        <w:t xml:space="preserve"> and no faith, </w:t>
      </w:r>
      <w:r w:rsidR="005D6BD2">
        <w:t xml:space="preserve">be permitted to expend those funds </w:t>
      </w:r>
      <w:r w:rsidR="006D5D8C">
        <w:t xml:space="preserve">on public activities </w:t>
      </w:r>
      <w:r w:rsidR="005D6BD2">
        <w:t>in ways that are discriminatory?</w:t>
      </w:r>
    </w:p>
    <w:p w14:paraId="004876B6" w14:textId="1A2E5DBE" w:rsidR="009B57B3" w:rsidRDefault="009B57B3" w:rsidP="003B6C42">
      <w:pPr>
        <w:pStyle w:val="ListNumber"/>
      </w:pPr>
      <w:r>
        <w:t>The key question is to identify where it is appropriate to draw the line</w:t>
      </w:r>
      <w:r w:rsidR="008B7F89">
        <w:t xml:space="preserve">.  </w:t>
      </w:r>
      <w:r w:rsidR="00142ECB">
        <w:t xml:space="preserve">Should all religious </w:t>
      </w:r>
      <w:r w:rsidR="00C16711">
        <w:t xml:space="preserve">groups be permitted to discriminate </w:t>
      </w:r>
      <w:proofErr w:type="gramStart"/>
      <w:r w:rsidR="00F3062A">
        <w:t>on the basis of</w:t>
      </w:r>
      <w:proofErr w:type="gramEnd"/>
      <w:r w:rsidR="00F3062A">
        <w:t xml:space="preserve"> religion in all areas of public life, provided </w:t>
      </w:r>
      <w:r w:rsidR="001E3440">
        <w:t xml:space="preserve">that an ordinary member </w:t>
      </w:r>
      <w:r w:rsidR="00FC7C22">
        <w:t xml:space="preserve">of that faith could </w:t>
      </w:r>
      <w:r w:rsidR="00712C91">
        <w:t>reasonably consider such discrimination to be in accordance with the teachings of that religion?</w:t>
      </w:r>
      <w:r w:rsidR="003331FB">
        <w:t xml:space="preserve">  </w:t>
      </w:r>
      <w:r w:rsidR="006F14CD">
        <w:t xml:space="preserve">This is what is anticipated by the second exposure draft.  </w:t>
      </w:r>
      <w:r w:rsidR="008A4A6E">
        <w:t>Or c</w:t>
      </w:r>
      <w:r w:rsidR="00EF6D6E">
        <w:t>an more targeted exemptions be identified</w:t>
      </w:r>
      <w:r w:rsidR="001F2D80">
        <w:t xml:space="preserve"> where discrimination is necessary for the conduct of religious practices, or </w:t>
      </w:r>
      <w:r w:rsidR="00207C3F">
        <w:t xml:space="preserve">for the carrying out of </w:t>
      </w:r>
      <w:proofErr w:type="gramStart"/>
      <w:r w:rsidR="00207C3F">
        <w:t>particular kinds</w:t>
      </w:r>
      <w:proofErr w:type="gramEnd"/>
      <w:r w:rsidR="00207C3F">
        <w:t xml:space="preserve"> of jobs?</w:t>
      </w:r>
    </w:p>
    <w:p w14:paraId="6AFDAB3D" w14:textId="1318DB39" w:rsidR="00712C91" w:rsidRDefault="00B322E8" w:rsidP="003B6C42">
      <w:pPr>
        <w:pStyle w:val="ListNumber"/>
      </w:pPr>
      <w:r>
        <w:t xml:space="preserve">Properly engaging with these questions would </w:t>
      </w:r>
      <w:r w:rsidR="001E126D">
        <w:t xml:space="preserve">be more likely to result in a Bill that </w:t>
      </w:r>
      <w:r w:rsidR="005F1E90">
        <w:t>sought to eliminate religious discrimination so far as is possible</w:t>
      </w:r>
      <w:r w:rsidR="002A1A07">
        <w:t xml:space="preserve"> while </w:t>
      </w:r>
      <w:r w:rsidR="00AF3CBB">
        <w:t xml:space="preserve">permitting </w:t>
      </w:r>
      <w:r w:rsidR="003C7412">
        <w:t>the kinds of exclusionary conduct that are necessary for the practice of religion</w:t>
      </w:r>
      <w:r w:rsidR="005F1E90">
        <w:t>.</w:t>
      </w:r>
    </w:p>
    <w:p w14:paraId="6D94678A" w14:textId="1F94E393" w:rsidR="00061C05" w:rsidRDefault="00E67D4C" w:rsidP="00CA1ED0">
      <w:pPr>
        <w:pStyle w:val="ListNumber"/>
      </w:pPr>
      <w:bookmarkStart w:id="28" w:name="_Ref29995234"/>
      <w:r>
        <w:t xml:space="preserve">In its first submission, the Commission </w:t>
      </w:r>
      <w:r w:rsidR="00061C05">
        <w:t>recommend</w:t>
      </w:r>
      <w:r w:rsidR="00674597">
        <w:t>ed</w:t>
      </w:r>
      <w:r w:rsidR="00061C05">
        <w:t xml:space="preserve"> that clause 10</w:t>
      </w:r>
      <w:r w:rsidR="00205829">
        <w:t xml:space="preserve"> (now clause 11)</w:t>
      </w:r>
      <w:r w:rsidR="00061C05">
        <w:t xml:space="preserve"> of the Bill be amended to:</w:t>
      </w:r>
      <w:bookmarkEnd w:id="28"/>
    </w:p>
    <w:p w14:paraId="7154FE6F" w14:textId="39FCE1E0" w:rsidR="00061C05" w:rsidRDefault="00061C05" w:rsidP="00674597">
      <w:pPr>
        <w:pStyle w:val="ListNumber"/>
        <w:numPr>
          <w:ilvl w:val="0"/>
          <w:numId w:val="0"/>
        </w:numPr>
        <w:ind w:left="2160" w:hanging="1066"/>
      </w:pPr>
      <w:r>
        <w:t>(a)</w:t>
      </w:r>
      <w:r>
        <w:tab/>
        <w:t>limit the definition of ‘religious body’ to ‘bodies established for religious purposes’</w:t>
      </w:r>
    </w:p>
    <w:p w14:paraId="64B1D857" w14:textId="7874CC87" w:rsidR="00061C05" w:rsidRDefault="00061C05" w:rsidP="00674597">
      <w:pPr>
        <w:pStyle w:val="ListNumber"/>
        <w:numPr>
          <w:ilvl w:val="0"/>
          <w:numId w:val="0"/>
        </w:numPr>
        <w:ind w:left="2160" w:hanging="1066"/>
      </w:pPr>
      <w:r>
        <w:t>(b)</w:t>
      </w:r>
      <w:r>
        <w:tab/>
        <w:t>provide that the general exemption does not apply to conduct connected with commercial activities.</w:t>
      </w:r>
    </w:p>
    <w:p w14:paraId="114DB7E4" w14:textId="53FDDCF8" w:rsidR="00061C05" w:rsidRDefault="00C500BC" w:rsidP="003B6C42">
      <w:pPr>
        <w:pStyle w:val="ListNumber"/>
      </w:pPr>
      <w:r>
        <w:t xml:space="preserve">This would mean that </w:t>
      </w:r>
      <w:r w:rsidR="008606B9">
        <w:t xml:space="preserve">the general exemption would </w:t>
      </w:r>
      <w:r w:rsidR="00790728">
        <w:t xml:space="preserve">extend to </w:t>
      </w:r>
      <w:r w:rsidR="003028F6">
        <w:t xml:space="preserve">bodies that </w:t>
      </w:r>
      <w:r w:rsidR="00B219A8">
        <w:t>are necessary for the practice of religion</w:t>
      </w:r>
      <w:r w:rsidR="008C28B9">
        <w:t xml:space="preserve">, </w:t>
      </w:r>
      <w:r w:rsidR="00790728">
        <w:t xml:space="preserve">in a way that was </w:t>
      </w:r>
      <w:r w:rsidR="001B3946">
        <w:t xml:space="preserve">targeted </w:t>
      </w:r>
      <w:r w:rsidR="00790728">
        <w:t xml:space="preserve">to their religious activities but not </w:t>
      </w:r>
      <w:r w:rsidR="00F34339">
        <w:t>their</w:t>
      </w:r>
      <w:r w:rsidR="00790728">
        <w:t xml:space="preserve"> commercial activities. </w:t>
      </w:r>
    </w:p>
    <w:p w14:paraId="487E9485" w14:textId="1918B0BB" w:rsidR="00790728" w:rsidRDefault="00F56485" w:rsidP="003B6C42">
      <w:pPr>
        <w:pStyle w:val="ListNumber"/>
      </w:pPr>
      <w:r>
        <w:t>Under the test proposed by the Commission, b</w:t>
      </w:r>
      <w:r w:rsidR="00790728">
        <w:t>odies</w:t>
      </w:r>
      <w:r w:rsidR="00AC2BFA">
        <w:t xml:space="preserve"> with a religious ethos but</w:t>
      </w:r>
      <w:r w:rsidR="0045265B">
        <w:t xml:space="preserve"> established for other purposes, such as edu</w:t>
      </w:r>
      <w:r w:rsidR="00447090">
        <w:t xml:space="preserve">cation, </w:t>
      </w:r>
      <w:r w:rsidR="004020B4">
        <w:t xml:space="preserve">employment, </w:t>
      </w:r>
      <w:r w:rsidR="00063350">
        <w:t xml:space="preserve">health care, </w:t>
      </w:r>
      <w:r w:rsidR="004020B4">
        <w:t xml:space="preserve">aged care, </w:t>
      </w:r>
      <w:r w:rsidR="00063350">
        <w:t>accommodation</w:t>
      </w:r>
      <w:r w:rsidR="00B059AE">
        <w:t xml:space="preserve">, or </w:t>
      </w:r>
      <w:r w:rsidR="004020B4">
        <w:t>the relieving of poverty, sickness or disability</w:t>
      </w:r>
      <w:r w:rsidR="00AF4C25">
        <w:t xml:space="preserve">, would </w:t>
      </w:r>
      <w:r w:rsidR="004A6A22">
        <w:t xml:space="preserve">not have the ability to discriminate in the provision of their services, but </w:t>
      </w:r>
      <w:r w:rsidR="008F764A">
        <w:t xml:space="preserve">(under clause 32 of </w:t>
      </w:r>
      <w:r w:rsidR="008F764A">
        <w:lastRenderedPageBreak/>
        <w:t xml:space="preserve">the Bill) </w:t>
      </w:r>
      <w:r w:rsidR="00FF24FE">
        <w:t xml:space="preserve">they </w:t>
      </w:r>
      <w:r w:rsidR="004A6A22">
        <w:t xml:space="preserve">would </w:t>
      </w:r>
      <w:r w:rsidR="000E3BD7">
        <w:t xml:space="preserve">still </w:t>
      </w:r>
      <w:r w:rsidR="004A6A22">
        <w:t xml:space="preserve">have the ability to </w:t>
      </w:r>
      <w:r w:rsidR="008F764A">
        <w:t xml:space="preserve">employ people of their </w:t>
      </w:r>
      <w:r w:rsidR="00566608">
        <w:t xml:space="preserve">faith </w:t>
      </w:r>
      <w:r w:rsidR="000107B2">
        <w:t xml:space="preserve">if </w:t>
      </w:r>
      <w:r w:rsidR="00911957">
        <w:t xml:space="preserve">being of that faith was an inherent requirement of the </w:t>
      </w:r>
      <w:r w:rsidR="002C2C7A">
        <w:t xml:space="preserve">relevant job. </w:t>
      </w:r>
    </w:p>
    <w:p w14:paraId="6340BAA4" w14:textId="6277DBC1" w:rsidR="001C60E2" w:rsidRDefault="00A357BB" w:rsidP="003B6C42">
      <w:pPr>
        <w:pStyle w:val="ListNumber"/>
      </w:pPr>
      <w:r>
        <w:t xml:space="preserve">These bodies would also </w:t>
      </w:r>
      <w:r w:rsidR="00834947">
        <w:t xml:space="preserve">maintain the ability under clause 12 of the Bill to provide </w:t>
      </w:r>
      <w:r w:rsidR="00C06E13">
        <w:t xml:space="preserve">services intended to </w:t>
      </w:r>
      <w:r w:rsidR="008A6E06">
        <w:t>meet a need arising out of a religious belief or activity</w:t>
      </w:r>
      <w:r w:rsidR="004C0CE4">
        <w:t xml:space="preserve">.  For example, it would not amount to discrimination for </w:t>
      </w:r>
      <w:r w:rsidR="00F02C38">
        <w:t xml:space="preserve">Jewish hospitals or aged care facilities to provide </w:t>
      </w:r>
      <w:r w:rsidR="00091163">
        <w:t>kosher food</w:t>
      </w:r>
      <w:r w:rsidR="00456163">
        <w:t xml:space="preserve"> or prayer facilities </w:t>
      </w:r>
      <w:r w:rsidR="00497B54">
        <w:t xml:space="preserve">to Jewish patients and clients </w:t>
      </w:r>
      <w:r w:rsidR="00456163">
        <w:t xml:space="preserve">or to </w:t>
      </w:r>
      <w:r w:rsidR="00983CDC">
        <w:t>observe Jewish holidays</w:t>
      </w:r>
      <w:r w:rsidR="008072A4">
        <w:t xml:space="preserve">. </w:t>
      </w:r>
    </w:p>
    <w:p w14:paraId="2B36673D" w14:textId="7506BF43" w:rsidR="00237D3A" w:rsidRDefault="00237D3A" w:rsidP="003B6C42">
      <w:pPr>
        <w:pStyle w:val="ListNumber"/>
      </w:pPr>
      <w:r>
        <w:t xml:space="preserve">The Explanatory Notes also make clear that clause 12 is not limited only to </w:t>
      </w:r>
      <w:r>
        <w:rPr>
          <w:i/>
          <w:iCs/>
        </w:rPr>
        <w:t xml:space="preserve">how </w:t>
      </w:r>
      <w:r>
        <w:t xml:space="preserve">services are delivered by religious service providers. </w:t>
      </w:r>
      <w:r w:rsidR="00E86978">
        <w:t xml:space="preserve">Subject to some limitations, </w:t>
      </w:r>
      <w:r w:rsidR="00C64964">
        <w:t>c</w:t>
      </w:r>
      <w:r w:rsidR="00E86978">
        <w:t>lause 12</w:t>
      </w:r>
      <w:r>
        <w:t xml:space="preserve"> also would enable a religious service provider to </w:t>
      </w:r>
      <w:r w:rsidRPr="009C1C89">
        <w:rPr>
          <w:i/>
          <w:iCs/>
        </w:rPr>
        <w:t xml:space="preserve">target </w:t>
      </w:r>
      <w:r w:rsidR="00C64964">
        <w:t xml:space="preserve">its </w:t>
      </w:r>
      <w:r>
        <w:t xml:space="preserve">services towards meeting a religious need or reducing a disadvantage by members of a </w:t>
      </w:r>
      <w:proofErr w:type="gramStart"/>
      <w:r>
        <w:t>particular religion</w:t>
      </w:r>
      <w:proofErr w:type="gramEnd"/>
      <w:r>
        <w:t xml:space="preserve">. </w:t>
      </w:r>
      <w:r w:rsidR="008E7BB0">
        <w:t xml:space="preserve"> </w:t>
      </w:r>
      <w:r>
        <w:t>The Explanatory Notes gi</w:t>
      </w:r>
      <w:r w:rsidR="00E86978">
        <w:t>ve the following example:</w:t>
      </w:r>
    </w:p>
    <w:p w14:paraId="7D92734A" w14:textId="79B38F98" w:rsidR="00E86978" w:rsidRPr="00CC0BBB" w:rsidRDefault="00E86978" w:rsidP="00E86978">
      <w:pPr>
        <w:pStyle w:val="ListNumber"/>
        <w:numPr>
          <w:ilvl w:val="0"/>
          <w:numId w:val="0"/>
        </w:numPr>
        <w:ind w:left="1440"/>
        <w:rPr>
          <w:sz w:val="22"/>
          <w:szCs w:val="22"/>
        </w:rPr>
      </w:pPr>
      <w:r>
        <w:rPr>
          <w:sz w:val="22"/>
          <w:szCs w:val="22"/>
        </w:rPr>
        <w:t>[I]</w:t>
      </w:r>
      <w:r w:rsidRPr="00E86978">
        <w:rPr>
          <w:sz w:val="22"/>
          <w:szCs w:val="22"/>
        </w:rPr>
        <w:t>t would be reasonable for a person to provide aged care services that were carefully targeted to meet the needs of Jewish Holocaust survivors, and for those purposes to offer residential placements and employment opportunities only to persons of the Jewish faith</w:t>
      </w:r>
      <w:r>
        <w:rPr>
          <w:sz w:val="22"/>
          <w:szCs w:val="22"/>
        </w:rPr>
        <w:t xml:space="preserve"> </w:t>
      </w:r>
      <w:proofErr w:type="gramStart"/>
      <w:r>
        <w:rPr>
          <w:sz w:val="22"/>
          <w:szCs w:val="22"/>
        </w:rPr>
        <w:t xml:space="preserve">… </w:t>
      </w:r>
      <w:r w:rsidRPr="00CC0BBB">
        <w:rPr>
          <w:sz w:val="22"/>
          <w:szCs w:val="22"/>
        </w:rPr>
        <w:t>.</w:t>
      </w:r>
      <w:proofErr w:type="gramEnd"/>
      <w:r>
        <w:rPr>
          <w:rStyle w:val="EndnoteReference"/>
        </w:rPr>
        <w:endnoteReference w:id="16"/>
      </w:r>
    </w:p>
    <w:p w14:paraId="05ACE4E7" w14:textId="1EE46DFE" w:rsidR="004F27D4" w:rsidRDefault="00C64964" w:rsidP="00C64964">
      <w:pPr>
        <w:pStyle w:val="ListNumber"/>
      </w:pPr>
      <w:r>
        <w:t>In other words</w:t>
      </w:r>
      <w:r w:rsidR="004F27D4">
        <w:t xml:space="preserve">, clause 12 </w:t>
      </w:r>
      <w:r>
        <w:t xml:space="preserve">appears to </w:t>
      </w:r>
      <w:r w:rsidR="004F27D4">
        <w:t xml:space="preserve">provide </w:t>
      </w:r>
      <w:proofErr w:type="gramStart"/>
      <w:r w:rsidR="004F27D4">
        <w:t>sufficient</w:t>
      </w:r>
      <w:proofErr w:type="gramEnd"/>
      <w:r w:rsidR="004F27D4">
        <w:t xml:space="preserve"> protection to religious service providers to meet the legitimate needs of members of their respective religious groups, without impinging unduly on the human rights of others. </w:t>
      </w:r>
      <w:r w:rsidR="008E7BB0">
        <w:t xml:space="preserve"> </w:t>
      </w:r>
      <w:r>
        <w:t>Nevertheless</w:t>
      </w:r>
      <w:r w:rsidR="00422D02">
        <w:t xml:space="preserve">, clause 11 </w:t>
      </w:r>
      <w:r w:rsidR="004F27D4">
        <w:t xml:space="preserve">goes further by </w:t>
      </w:r>
      <w:r w:rsidR="00303014">
        <w:t>provid</w:t>
      </w:r>
      <w:r w:rsidR="004F27D4">
        <w:t>ing</w:t>
      </w:r>
      <w:r w:rsidR="00303014">
        <w:t xml:space="preserve"> a general exemption from the whole of the Bill </w:t>
      </w:r>
      <w:r w:rsidR="00744B97">
        <w:t>to a range of bodies</w:t>
      </w:r>
      <w:r w:rsidR="004F27D4">
        <w:t xml:space="preserve">.  </w:t>
      </w:r>
    </w:p>
    <w:p w14:paraId="390CF0C4" w14:textId="32BAAF7D" w:rsidR="008E1781" w:rsidRDefault="004F27D4" w:rsidP="003B6C42">
      <w:pPr>
        <w:pStyle w:val="ListNumber"/>
      </w:pPr>
      <w:r>
        <w:t xml:space="preserve">Especially </w:t>
      </w:r>
      <w:proofErr w:type="gramStart"/>
      <w:r>
        <w:t>in light of</w:t>
      </w:r>
      <w:proofErr w:type="gramEnd"/>
      <w:r>
        <w:t xml:space="preserve"> clause 12, the Commission considers</w:t>
      </w:r>
      <w:r w:rsidR="00744B97">
        <w:t xml:space="preserve"> </w:t>
      </w:r>
      <w:r w:rsidR="00303014">
        <w:t xml:space="preserve">that </w:t>
      </w:r>
      <w:r>
        <w:t xml:space="preserve">clause 11 would limit human rights more </w:t>
      </w:r>
      <w:r w:rsidR="00303014">
        <w:t xml:space="preserve">than </w:t>
      </w:r>
      <w:r>
        <w:t xml:space="preserve">is </w:t>
      </w:r>
      <w:r w:rsidR="00303014">
        <w:t>necessary</w:t>
      </w:r>
      <w:r>
        <w:t xml:space="preserve"> to achieve a legitimate purpose</w:t>
      </w:r>
      <w:r w:rsidR="00303014">
        <w:t>.  T</w:t>
      </w:r>
      <w:r w:rsidR="00D41E20">
        <w:t xml:space="preserve">he breadth of operation of </w:t>
      </w:r>
      <w:r w:rsidR="00325F9F">
        <w:t xml:space="preserve">clause 11 </w:t>
      </w:r>
      <w:r w:rsidR="00FB034D">
        <w:t xml:space="preserve">is highlighted by the </w:t>
      </w:r>
      <w:r w:rsidR="00906873">
        <w:t xml:space="preserve">inclusion </w:t>
      </w:r>
      <w:r w:rsidR="00325F9F">
        <w:t xml:space="preserve">in the second exposure draft </w:t>
      </w:r>
      <w:r w:rsidR="00C37C0C">
        <w:t xml:space="preserve">of </w:t>
      </w:r>
      <w:r w:rsidR="00C51AF5">
        <w:t xml:space="preserve">all religious ‘public benevolent institutions’ </w:t>
      </w:r>
      <w:r w:rsidR="00071634">
        <w:t xml:space="preserve">(PBIs) </w:t>
      </w:r>
      <w:r w:rsidR="00C51AF5">
        <w:t>in the definition of ‘religious bodies’</w:t>
      </w:r>
      <w:r w:rsidR="00846040">
        <w:t xml:space="preserve"> regardless of </w:t>
      </w:r>
      <w:proofErr w:type="gramStart"/>
      <w:r w:rsidR="00846040">
        <w:t>whether or not</w:t>
      </w:r>
      <w:proofErr w:type="gramEnd"/>
      <w:r w:rsidR="00846040">
        <w:t xml:space="preserve"> they are engaging in commercial activities</w:t>
      </w:r>
      <w:r w:rsidR="00C51AF5">
        <w:t>.</w:t>
      </w:r>
    </w:p>
    <w:p w14:paraId="768AE80D" w14:textId="590A5F6C" w:rsidR="00846040" w:rsidRDefault="00846040" w:rsidP="003B6C42">
      <w:pPr>
        <w:pStyle w:val="ListNumber"/>
      </w:pPr>
      <w:r>
        <w:t xml:space="preserve">A </w:t>
      </w:r>
      <w:r w:rsidR="00512FA6">
        <w:t xml:space="preserve">PBI </w:t>
      </w:r>
      <w:r>
        <w:t xml:space="preserve">is </w:t>
      </w:r>
      <w:r w:rsidR="000C7840" w:rsidRPr="000C7840">
        <w:t xml:space="preserve">a charity whose main purpose is </w:t>
      </w:r>
      <w:r w:rsidR="0088446E">
        <w:t>the relief of poverty or distress (sickness, disability</w:t>
      </w:r>
      <w:r w:rsidR="0075193C">
        <w:t>, destitution, suffering, misfortune</w:t>
      </w:r>
      <w:r w:rsidR="002E0158">
        <w:t xml:space="preserve"> or helplessness)</w:t>
      </w:r>
      <w:r w:rsidR="000C7840">
        <w:t>.</w:t>
      </w:r>
      <w:r w:rsidR="000D26C0">
        <w:rPr>
          <w:rStyle w:val="EndnoteReference"/>
        </w:rPr>
        <w:endnoteReference w:id="17"/>
      </w:r>
      <w:r w:rsidR="007448E6">
        <w:t xml:space="preserve">  </w:t>
      </w:r>
      <w:r w:rsidR="00476AF2">
        <w:t xml:space="preserve">The </w:t>
      </w:r>
      <w:r w:rsidR="007448E6">
        <w:t xml:space="preserve">Australian </w:t>
      </w:r>
      <w:r w:rsidR="00326649">
        <w:t>Charities and Not-for-profit</w:t>
      </w:r>
      <w:r w:rsidR="00B33787">
        <w:t xml:space="preserve">s Commissioner </w:t>
      </w:r>
      <w:r w:rsidR="00B4057C">
        <w:t xml:space="preserve">(ACNC) </w:t>
      </w:r>
      <w:r w:rsidR="00634597">
        <w:t xml:space="preserve">is responsible for registering </w:t>
      </w:r>
      <w:r w:rsidR="0039202F">
        <w:t xml:space="preserve">entities as </w:t>
      </w:r>
      <w:r w:rsidR="008F712E">
        <w:t>PBIs</w:t>
      </w:r>
      <w:r w:rsidR="0039202F">
        <w:t>.</w:t>
      </w:r>
      <w:r w:rsidR="0039202F">
        <w:rPr>
          <w:rStyle w:val="EndnoteReference"/>
        </w:rPr>
        <w:endnoteReference w:id="18"/>
      </w:r>
      <w:r w:rsidR="0039202F">
        <w:t xml:space="preserve">  </w:t>
      </w:r>
      <w:r w:rsidR="00634597">
        <w:t xml:space="preserve">Guidance published by the ACNC </w:t>
      </w:r>
      <w:r w:rsidR="00A15DCB">
        <w:t>provides that:</w:t>
      </w:r>
    </w:p>
    <w:p w14:paraId="4182546C" w14:textId="1D8A4D86" w:rsidR="00A15DCB" w:rsidRPr="00CC0BBB" w:rsidRDefault="00A15DCB" w:rsidP="00AA126D">
      <w:pPr>
        <w:pStyle w:val="ListNumber"/>
        <w:numPr>
          <w:ilvl w:val="0"/>
          <w:numId w:val="0"/>
        </w:numPr>
        <w:ind w:left="1440"/>
        <w:rPr>
          <w:sz w:val="22"/>
          <w:szCs w:val="22"/>
        </w:rPr>
      </w:pPr>
      <w:r w:rsidRPr="00CC0BBB">
        <w:rPr>
          <w:sz w:val="22"/>
          <w:szCs w:val="22"/>
        </w:rPr>
        <w:t xml:space="preserve">An entity’s motives are not directly relevant to determining its main purposes.  For example, </w:t>
      </w:r>
      <w:r w:rsidR="00AA126D" w:rsidRPr="00CC0BBB">
        <w:rPr>
          <w:sz w:val="22"/>
          <w:szCs w:val="22"/>
        </w:rPr>
        <w:t xml:space="preserve">if an entity’s main purpose is advancing religion it </w:t>
      </w:r>
      <w:r w:rsidR="00AA126D" w:rsidRPr="00CC0BBB">
        <w:rPr>
          <w:sz w:val="22"/>
          <w:szCs w:val="22"/>
        </w:rPr>
        <w:lastRenderedPageBreak/>
        <w:t>will not be eligible to be registered as a PBI.  However, if the entity is motivated by religious faith and its main purpose is benevolent, it may still be eligible.</w:t>
      </w:r>
      <w:r w:rsidR="00CC0BBB">
        <w:rPr>
          <w:rStyle w:val="EndnoteReference"/>
        </w:rPr>
        <w:endnoteReference w:id="19"/>
      </w:r>
    </w:p>
    <w:p w14:paraId="10069F29" w14:textId="0855DC5B" w:rsidR="00846040" w:rsidRDefault="00292B5C" w:rsidP="003B6C42">
      <w:pPr>
        <w:pStyle w:val="ListNumber"/>
      </w:pPr>
      <w:r>
        <w:t xml:space="preserve">If an entity is registered as a </w:t>
      </w:r>
      <w:r w:rsidR="008F712E">
        <w:t xml:space="preserve">PBI, it </w:t>
      </w:r>
      <w:r w:rsidR="00B8270C">
        <w:t xml:space="preserve">is entitled to a range of tax concessions </w:t>
      </w:r>
      <w:r w:rsidR="00770241">
        <w:t>including deductible gift recipient (DGR) status.</w:t>
      </w:r>
    </w:p>
    <w:p w14:paraId="6000B344" w14:textId="255D2C98" w:rsidR="001C528D" w:rsidRDefault="000710C9" w:rsidP="00E81FA1">
      <w:pPr>
        <w:pStyle w:val="ListNumber"/>
      </w:pPr>
      <w:r>
        <w:t xml:space="preserve">The Bill provides that all </w:t>
      </w:r>
      <w:r w:rsidR="001A657E">
        <w:t xml:space="preserve">PBIs that are conducted </w:t>
      </w:r>
      <w:r w:rsidR="0012726C">
        <w:t>in accordance with the doctrines, tenets, beliefs</w:t>
      </w:r>
      <w:r w:rsidR="00F723FD">
        <w:t xml:space="preserve"> or teachings of a particular religion would be permitted to engage in discrimination on the </w:t>
      </w:r>
      <w:r w:rsidR="000D5832">
        <w:t xml:space="preserve">ground </w:t>
      </w:r>
      <w:r w:rsidR="00F723FD">
        <w:t xml:space="preserve">of </w:t>
      </w:r>
      <w:r w:rsidR="000D5832">
        <w:t xml:space="preserve">religious belief or activity in all areas of public life covered by the Bill.  For example, they would be </w:t>
      </w:r>
      <w:r w:rsidR="00F02A1E">
        <w:t>allowed</w:t>
      </w:r>
      <w:r w:rsidR="000D5832">
        <w:t xml:space="preserve"> to discriminate in the provision of </w:t>
      </w:r>
      <w:r w:rsidR="00950DB0">
        <w:t xml:space="preserve">their services to people suffering poverty or distress </w:t>
      </w:r>
      <w:proofErr w:type="gramStart"/>
      <w:r w:rsidR="00950DB0">
        <w:t>on the basis of</w:t>
      </w:r>
      <w:proofErr w:type="gramEnd"/>
      <w:r w:rsidR="00950DB0">
        <w:t xml:space="preserve"> the </w:t>
      </w:r>
      <w:r w:rsidR="004A1BF3">
        <w:t>religious belief of those persons.</w:t>
      </w:r>
    </w:p>
    <w:p w14:paraId="761467D1" w14:textId="2DC1E571" w:rsidR="004A1BF3" w:rsidRDefault="00BF60DF" w:rsidP="00E81FA1">
      <w:pPr>
        <w:pStyle w:val="ListNumber"/>
      </w:pPr>
      <w:r>
        <w:t xml:space="preserve">As noted by the ACNC, while a PBI may be motivated by </w:t>
      </w:r>
      <w:r w:rsidR="009734B8">
        <w:t xml:space="preserve">religious faith, </w:t>
      </w:r>
      <w:r w:rsidR="00654ADC">
        <w:t>being rel</w:t>
      </w:r>
      <w:r w:rsidR="00F93794">
        <w:t xml:space="preserve">igious is not an inherent requirement of being a PBI.  Indeed, if </w:t>
      </w:r>
      <w:r w:rsidR="00570736">
        <w:t xml:space="preserve">the main purposes of an </w:t>
      </w:r>
      <w:r w:rsidR="00C336A7">
        <w:t xml:space="preserve">institution </w:t>
      </w:r>
      <w:r w:rsidR="00570736">
        <w:t xml:space="preserve">were advancing religion, it would not qualify </w:t>
      </w:r>
      <w:r w:rsidR="00C336A7">
        <w:t xml:space="preserve">for registration as a PBI.  In these circumstances, the Commission considers that it is not appropriate for religious PBIs to be given a broad exemption from </w:t>
      </w:r>
      <w:proofErr w:type="gramStart"/>
      <w:r w:rsidR="00824532">
        <w:t>all of</w:t>
      </w:r>
      <w:proofErr w:type="gramEnd"/>
      <w:r w:rsidR="00824532">
        <w:t xml:space="preserve"> </w:t>
      </w:r>
      <w:r w:rsidR="00C336A7">
        <w:t>the prohibitions against religious discrimination contained in the Bill.</w:t>
      </w:r>
    </w:p>
    <w:p w14:paraId="6D4E256C" w14:textId="3ACEB059" w:rsidR="00C336A7" w:rsidRDefault="004D2DE3" w:rsidP="00E81FA1">
      <w:pPr>
        <w:pStyle w:val="ListNumber"/>
      </w:pPr>
      <w:r>
        <w:t xml:space="preserve">In making the case for </w:t>
      </w:r>
      <w:r w:rsidR="00BA2738">
        <w:t xml:space="preserve">granting a blanket exemption to PBIs, </w:t>
      </w:r>
      <w:r w:rsidR="00B44075">
        <w:t xml:space="preserve">the Government identified the St Vincent de Paul Society as the kind of entity that </w:t>
      </w:r>
      <w:r w:rsidR="0078562D">
        <w:t xml:space="preserve">would </w:t>
      </w:r>
      <w:r w:rsidR="00791AD4">
        <w:t xml:space="preserve">be entitled to </w:t>
      </w:r>
      <w:r w:rsidR="002708D6">
        <w:t>the exemption.</w:t>
      </w:r>
      <w:r w:rsidR="008A18F1">
        <w:rPr>
          <w:rStyle w:val="EndnoteReference"/>
        </w:rPr>
        <w:endnoteReference w:id="20"/>
      </w:r>
      <w:r w:rsidR="007A225F">
        <w:t xml:space="preserve">  It was suggested that </w:t>
      </w:r>
      <w:r w:rsidR="000778B7">
        <w:t>the exemption</w:t>
      </w:r>
      <w:r w:rsidR="00972A07">
        <w:t xml:space="preserve"> would permit </w:t>
      </w:r>
      <w:r w:rsidR="004D0B33">
        <w:t xml:space="preserve">the St Vincent de Paul Society to make staffing decisions based on faith </w:t>
      </w:r>
      <w:r w:rsidR="00EB3850">
        <w:t>(</w:t>
      </w:r>
      <w:r w:rsidR="004D0B33">
        <w:t xml:space="preserve">although the exemption </w:t>
      </w:r>
      <w:r w:rsidR="00C32185">
        <w:t xml:space="preserve">for PBIs </w:t>
      </w:r>
      <w:r w:rsidR="008A18F1">
        <w:t xml:space="preserve">in the Bill </w:t>
      </w:r>
      <w:r w:rsidR="004D0B33">
        <w:t xml:space="preserve">extends to discrimination in any area of public life and is not limited to </w:t>
      </w:r>
      <w:r w:rsidR="00C32185">
        <w:t xml:space="preserve">discrimination in </w:t>
      </w:r>
      <w:r w:rsidR="004D0B33">
        <w:t>employment</w:t>
      </w:r>
      <w:r w:rsidR="00EB3850">
        <w:t>)</w:t>
      </w:r>
      <w:r w:rsidR="004D0B33">
        <w:t>.</w:t>
      </w:r>
    </w:p>
    <w:p w14:paraId="5C63D155" w14:textId="2C74FB5B" w:rsidR="004D0B33" w:rsidRDefault="00961A91" w:rsidP="00E81FA1">
      <w:pPr>
        <w:pStyle w:val="ListNumber"/>
      </w:pPr>
      <w:r>
        <w:t>T</w:t>
      </w:r>
      <w:r w:rsidR="004D0B33">
        <w:t xml:space="preserve">he St Vincent de Paul Society </w:t>
      </w:r>
      <w:r w:rsidR="00EA6D85">
        <w:t>had made clear, both before</w:t>
      </w:r>
      <w:r w:rsidR="005E138B">
        <w:rPr>
          <w:rStyle w:val="EndnoteReference"/>
        </w:rPr>
        <w:endnoteReference w:id="21"/>
      </w:r>
      <w:r w:rsidR="00EA6D85">
        <w:t xml:space="preserve"> and after</w:t>
      </w:r>
      <w:r w:rsidR="00A44474">
        <w:rPr>
          <w:rStyle w:val="EndnoteReference"/>
        </w:rPr>
        <w:endnoteReference w:id="22"/>
      </w:r>
      <w:r w:rsidR="00EA6D85">
        <w:t xml:space="preserve"> the public release of the second exposure draft, that it had no intention of </w:t>
      </w:r>
      <w:r w:rsidR="00893A0D">
        <w:t xml:space="preserve">discriminating </w:t>
      </w:r>
      <w:r w:rsidR="003543D1">
        <w:t xml:space="preserve">on the basis of </w:t>
      </w:r>
      <w:r w:rsidR="001D2FEA">
        <w:t xml:space="preserve">religion when it came to </w:t>
      </w:r>
      <w:r w:rsidR="008D7D14">
        <w:t xml:space="preserve">engaging employees and volunteers in its shops </w:t>
      </w:r>
      <w:r w:rsidR="00AD19D5">
        <w:t xml:space="preserve">or in </w:t>
      </w:r>
      <w:r w:rsidR="0046706B">
        <w:t xml:space="preserve">its </w:t>
      </w:r>
      <w:r w:rsidR="00AD19D5">
        <w:t>State and national secretariats</w:t>
      </w:r>
      <w:r w:rsidR="0046706B">
        <w:t xml:space="preserve">.  </w:t>
      </w:r>
      <w:r w:rsidR="006679DE">
        <w:t xml:space="preserve">The Society did identify some roles </w:t>
      </w:r>
      <w:r w:rsidR="00DC33E0">
        <w:t>‘which have particular responsibility for overseeing our mission and Catholic ethos’ which were usually filled by Catholics</w:t>
      </w:r>
      <w:r w:rsidR="00D430BD">
        <w:t xml:space="preserve">.  As noted above, </w:t>
      </w:r>
      <w:r w:rsidR="00DF7816">
        <w:t xml:space="preserve">if religious belief is an inherent requirement of a </w:t>
      </w:r>
      <w:proofErr w:type="gramStart"/>
      <w:r w:rsidR="00DF7816">
        <w:t>particular role</w:t>
      </w:r>
      <w:proofErr w:type="gramEnd"/>
      <w:r w:rsidR="00DF7816">
        <w:t xml:space="preserve">, </w:t>
      </w:r>
      <w:r w:rsidR="008F0657">
        <w:t xml:space="preserve">the Bill </w:t>
      </w:r>
      <w:r w:rsidR="00057FC7">
        <w:t xml:space="preserve">already </w:t>
      </w:r>
      <w:r w:rsidR="008F0657">
        <w:t xml:space="preserve">separately provides </w:t>
      </w:r>
      <w:r w:rsidR="006377F7">
        <w:t>in clause 32</w:t>
      </w:r>
      <w:r w:rsidR="002E6017">
        <w:t xml:space="preserve"> that </w:t>
      </w:r>
      <w:r w:rsidR="00BD2AE1">
        <w:t xml:space="preserve">those roles may be filled by people of that </w:t>
      </w:r>
      <w:r w:rsidR="0009688C">
        <w:t>faith.</w:t>
      </w:r>
    </w:p>
    <w:p w14:paraId="7ACBECB5" w14:textId="04B09395" w:rsidR="0009688C" w:rsidRDefault="007F4B2E" w:rsidP="00E81FA1">
      <w:pPr>
        <w:pStyle w:val="ListNumber"/>
      </w:pPr>
      <w:bookmarkStart w:id="29" w:name="_Ref30431804"/>
      <w:r>
        <w:t xml:space="preserve">The Commission considers that </w:t>
      </w:r>
      <w:r w:rsidR="00BF7224">
        <w:t xml:space="preserve">insufficient justification has been made for religious PBIs as a class to be granted a general exemption from </w:t>
      </w:r>
      <w:r w:rsidR="001005F3">
        <w:t xml:space="preserve">the </w:t>
      </w:r>
      <w:r w:rsidR="001005F3">
        <w:lastRenderedPageBreak/>
        <w:t xml:space="preserve">Bill. </w:t>
      </w:r>
      <w:r w:rsidR="00BA4832">
        <w:t xml:space="preserve"> The Commission reiterates recommendation 3 of its first submission, which is set out in paragraph </w:t>
      </w:r>
      <w:r w:rsidR="009B4CF8">
        <w:t>[</w:t>
      </w:r>
      <w:r w:rsidR="003956ED">
        <w:fldChar w:fldCharType="begin"/>
      </w:r>
      <w:r w:rsidR="003956ED">
        <w:instrText xml:space="preserve"> REF _Ref29995234 \r \h </w:instrText>
      </w:r>
      <w:r w:rsidR="003956ED">
        <w:fldChar w:fldCharType="separate"/>
      </w:r>
      <w:r w:rsidR="009C3F0E">
        <w:t>86</w:t>
      </w:r>
      <w:r w:rsidR="003956ED">
        <w:fldChar w:fldCharType="end"/>
      </w:r>
      <w:r w:rsidR="009B4CF8">
        <w:t>]</w:t>
      </w:r>
      <w:r w:rsidR="00BA4832">
        <w:t xml:space="preserve"> above.</w:t>
      </w:r>
      <w:bookmarkEnd w:id="29"/>
    </w:p>
    <w:p w14:paraId="4FE670B6" w14:textId="706B5360" w:rsidR="001C528D" w:rsidRDefault="00563517" w:rsidP="00563517">
      <w:pPr>
        <w:pStyle w:val="Heading3"/>
      </w:pPr>
      <w:bookmarkStart w:id="30" w:name="_Toc31355398"/>
      <w:r>
        <w:t xml:space="preserve">Special exemptions for </w:t>
      </w:r>
      <w:r w:rsidR="001B726A">
        <w:t>other religious organisations</w:t>
      </w:r>
      <w:bookmarkEnd w:id="30"/>
      <w:r w:rsidR="001B726A">
        <w:t xml:space="preserve"> </w:t>
      </w:r>
    </w:p>
    <w:p w14:paraId="60E6679B" w14:textId="345C97A9" w:rsidR="00E14E1F" w:rsidRDefault="00E33737" w:rsidP="00E81FA1">
      <w:pPr>
        <w:pStyle w:val="ListNumber"/>
      </w:pPr>
      <w:bookmarkStart w:id="31" w:name="_Ref30431864"/>
      <w:r>
        <w:t xml:space="preserve">The second exposure draft goes further than </w:t>
      </w:r>
      <w:r w:rsidR="00F114D5">
        <w:t xml:space="preserve">broadening the exemption for religious bodies to engage in religious discrimination.  It also </w:t>
      </w:r>
      <w:r w:rsidR="00E632B6">
        <w:t xml:space="preserve">provides special exemptions to a range of </w:t>
      </w:r>
      <w:r w:rsidR="008062E4">
        <w:t>other organisations</w:t>
      </w:r>
      <w:r w:rsidR="008E3686">
        <w:t>, namely</w:t>
      </w:r>
      <w:r w:rsidR="00A01380">
        <w:t>,</w:t>
      </w:r>
      <w:r w:rsidR="008E3686">
        <w:t xml:space="preserve"> religious </w:t>
      </w:r>
      <w:r w:rsidR="0050704D">
        <w:t>educational institutions</w:t>
      </w:r>
      <w:r w:rsidR="008E3686">
        <w:t>, hospitals, aged care facilities, accommodation providers, camps and conference sites.</w:t>
      </w:r>
      <w:bookmarkEnd w:id="31"/>
    </w:p>
    <w:p w14:paraId="5F32F87F" w14:textId="77777777" w:rsidR="00441C34" w:rsidRDefault="00441C34" w:rsidP="00441C34">
      <w:pPr>
        <w:pStyle w:val="ListNumber"/>
        <w:numPr>
          <w:ilvl w:val="0"/>
          <w:numId w:val="0"/>
        </w:numPr>
        <w:ind w:left="1094"/>
      </w:pPr>
    </w:p>
    <w:p w14:paraId="6F6F80C1" w14:textId="457DEA61" w:rsidR="00A01380" w:rsidRPr="00A86598" w:rsidRDefault="00A01380" w:rsidP="00A86598">
      <w:pPr>
        <w:pStyle w:val="ListNumber"/>
        <w:keepNext/>
        <w:numPr>
          <w:ilvl w:val="0"/>
          <w:numId w:val="0"/>
        </w:numPr>
        <w:ind w:left="1094"/>
        <w:rPr>
          <w:i/>
          <w:iCs/>
        </w:rPr>
      </w:pPr>
      <w:r w:rsidRPr="00A86598">
        <w:rPr>
          <w:i/>
          <w:iCs/>
        </w:rPr>
        <w:t>Religious educational institutions</w:t>
      </w:r>
    </w:p>
    <w:p w14:paraId="525546F8" w14:textId="3AF420E7" w:rsidR="005E1B2D" w:rsidRDefault="00E40186" w:rsidP="00E81FA1">
      <w:pPr>
        <w:pStyle w:val="ListNumber"/>
      </w:pPr>
      <w:r>
        <w:t>Clause 11</w:t>
      </w:r>
      <w:r w:rsidR="003640DD">
        <w:t>(5)(a)</w:t>
      </w:r>
      <w:r>
        <w:t xml:space="preserve"> provides a broad exemption f</w:t>
      </w:r>
      <w:r w:rsidR="000C6749">
        <w:t xml:space="preserve">rom the whole of the Bill </w:t>
      </w:r>
      <w:r w:rsidR="0058248F">
        <w:t xml:space="preserve">for educational institutions conducted in accordance with </w:t>
      </w:r>
      <w:r w:rsidR="0008668C">
        <w:t xml:space="preserve">the doctrines, tenets, beliefs or teachings of a </w:t>
      </w:r>
      <w:proofErr w:type="gramStart"/>
      <w:r w:rsidR="0008668C">
        <w:t>particular religion</w:t>
      </w:r>
      <w:proofErr w:type="gramEnd"/>
      <w:r w:rsidR="0008668C">
        <w:t>.</w:t>
      </w:r>
    </w:p>
    <w:p w14:paraId="08BDE0FD" w14:textId="62432951" w:rsidR="005E3E62" w:rsidRDefault="00693A9D" w:rsidP="00E81FA1">
      <w:pPr>
        <w:pStyle w:val="ListNumber"/>
      </w:pPr>
      <w:r>
        <w:t xml:space="preserve">The </w:t>
      </w:r>
      <w:r w:rsidR="005F0852">
        <w:t xml:space="preserve">definition of </w:t>
      </w:r>
      <w:r>
        <w:t xml:space="preserve">‘educational institution’ is in the same terms as </w:t>
      </w:r>
      <w:r w:rsidR="00B239E9">
        <w:t xml:space="preserve">the exemption in </w:t>
      </w:r>
      <w:r>
        <w:t xml:space="preserve">s 38 of the </w:t>
      </w:r>
      <w:r w:rsidRPr="00A96A06">
        <w:t>SDA</w:t>
      </w:r>
      <w:r w:rsidR="00285303">
        <w:t>.</w:t>
      </w:r>
      <w:r w:rsidR="00D42C86">
        <w:t xml:space="preserve"> </w:t>
      </w:r>
      <w:r w:rsidR="00285303">
        <w:t xml:space="preserve"> B</w:t>
      </w:r>
      <w:r w:rsidR="00D42C86">
        <w:t xml:space="preserve">oth cover schools, colleges, universities and other </w:t>
      </w:r>
      <w:r w:rsidR="0012463E">
        <w:t xml:space="preserve">institutions in which education or training is provided.  </w:t>
      </w:r>
      <w:r w:rsidR="00376DCB">
        <w:t>However, the scope of the exemption in clause 1</w:t>
      </w:r>
      <w:r w:rsidR="00977D33">
        <w:t>1</w:t>
      </w:r>
      <w:r w:rsidR="00376DCB">
        <w:t xml:space="preserve"> </w:t>
      </w:r>
      <w:r w:rsidR="00285303">
        <w:t xml:space="preserve">of the Bill </w:t>
      </w:r>
      <w:r w:rsidR="00376DCB">
        <w:t>is broader</w:t>
      </w:r>
      <w:r w:rsidR="0097311D">
        <w:t xml:space="preserve"> than s 38</w:t>
      </w:r>
      <w:r w:rsidR="00376DCB">
        <w:t xml:space="preserve"> </w:t>
      </w:r>
      <w:r w:rsidR="00062FFD">
        <w:t>of the SDA</w:t>
      </w:r>
      <w:r w:rsidR="00C06E03">
        <w:t>,</w:t>
      </w:r>
      <w:r w:rsidR="00062FFD">
        <w:t xml:space="preserve"> </w:t>
      </w:r>
      <w:r w:rsidR="00376DCB">
        <w:t xml:space="preserve">because it is not limited to conduct </w:t>
      </w:r>
      <w:r w:rsidR="002B432D">
        <w:t xml:space="preserve">aimed at </w:t>
      </w:r>
      <w:r w:rsidR="00A9191C">
        <w:t>‘</w:t>
      </w:r>
      <w:r w:rsidR="00376DCB">
        <w:t>avoid</w:t>
      </w:r>
      <w:r w:rsidR="002B432D">
        <w:t>[</w:t>
      </w:r>
      <w:proofErr w:type="spellStart"/>
      <w:r w:rsidR="002B432D">
        <w:t>ing</w:t>
      </w:r>
      <w:proofErr w:type="spellEnd"/>
      <w:r w:rsidR="002B432D">
        <w:t>]</w:t>
      </w:r>
      <w:r w:rsidR="00376DCB">
        <w:t xml:space="preserve"> injury to the religious </w:t>
      </w:r>
      <w:r w:rsidR="00D04ABD">
        <w:t xml:space="preserve">susceptibilities </w:t>
      </w:r>
      <w:r w:rsidR="00376DCB">
        <w:t>of adherents of that religion’</w:t>
      </w:r>
      <w:r w:rsidR="00533CBC">
        <w:t xml:space="preserve">.  </w:t>
      </w:r>
    </w:p>
    <w:p w14:paraId="5DDD37C2" w14:textId="16193777" w:rsidR="00BD3F25" w:rsidRDefault="00533CBC" w:rsidP="00E81FA1">
      <w:pPr>
        <w:pStyle w:val="ListNumber"/>
      </w:pPr>
      <w:r>
        <w:t xml:space="preserve">Section 38 of the SDA permits </w:t>
      </w:r>
      <w:r w:rsidR="005E3E62">
        <w:t xml:space="preserve">certain kinds of </w:t>
      </w:r>
      <w:r>
        <w:t xml:space="preserve">discrimination </w:t>
      </w:r>
      <w:r w:rsidR="000F3E27">
        <w:t xml:space="preserve">by educational institutions against staff, </w:t>
      </w:r>
      <w:r w:rsidR="002A37E9">
        <w:t xml:space="preserve">contract workers and students </w:t>
      </w:r>
      <w:r>
        <w:t xml:space="preserve">on the grounds of </w:t>
      </w:r>
      <w:r w:rsidR="005E3E62">
        <w:t>sex, sexual orientation, gender identity, marital or relationship status</w:t>
      </w:r>
      <w:r w:rsidR="005B05EB">
        <w:t xml:space="preserve"> or pregnancy.  </w:t>
      </w:r>
      <w:r w:rsidR="00E7222E">
        <w:t xml:space="preserve">At the request of the </w:t>
      </w:r>
      <w:r w:rsidR="00D97232">
        <w:t>Attorney-General</w:t>
      </w:r>
      <w:r w:rsidR="00E7222E">
        <w:t>, t</w:t>
      </w:r>
      <w:r w:rsidR="005B05EB">
        <w:t xml:space="preserve">his section is currently being reviewed by the </w:t>
      </w:r>
      <w:r w:rsidR="001F2FAC">
        <w:t>Australian Law Reform Commission (</w:t>
      </w:r>
      <w:r w:rsidR="00DD6A42" w:rsidRPr="00A96A06">
        <w:t>ALRC</w:t>
      </w:r>
      <w:r w:rsidR="001F2FAC">
        <w:t>)</w:t>
      </w:r>
      <w:r w:rsidR="00BE4DE6">
        <w:t xml:space="preserve">.  The </w:t>
      </w:r>
      <w:r w:rsidR="00D97232">
        <w:t xml:space="preserve">Attorney-General </w:t>
      </w:r>
      <w:r w:rsidR="00BE4DE6">
        <w:t xml:space="preserve">has asked the ALRC to consider whether these exemptions </w:t>
      </w:r>
      <w:r w:rsidR="00B86A70">
        <w:t>could be limited or removed altogether.</w:t>
      </w:r>
      <w:r w:rsidR="005B05EB">
        <w:t xml:space="preserve"> </w:t>
      </w:r>
    </w:p>
    <w:p w14:paraId="07031EB5" w14:textId="4BA0AA0C" w:rsidR="00B86A70" w:rsidRDefault="00B86A70" w:rsidP="00E81FA1">
      <w:pPr>
        <w:pStyle w:val="ListNumber"/>
      </w:pPr>
      <w:r>
        <w:t xml:space="preserve">In the Commission’s view, </w:t>
      </w:r>
      <w:r w:rsidR="005C73C2">
        <w:t xml:space="preserve">and </w:t>
      </w:r>
      <w:r>
        <w:t xml:space="preserve">in light of the reference to the ALRC, it would not be appropriate to grant a broader exemption to </w:t>
      </w:r>
      <w:r w:rsidR="00C61D28">
        <w:t xml:space="preserve">educational institutions to discriminate on the </w:t>
      </w:r>
      <w:r w:rsidR="00BC1655">
        <w:t>ground</w:t>
      </w:r>
      <w:r w:rsidR="00C61D28">
        <w:t xml:space="preserve"> of religious belief or activity than currently exists under the SDA</w:t>
      </w:r>
      <w:r w:rsidR="00953277">
        <w:t xml:space="preserve"> in relation to the grounds covered by that Act</w:t>
      </w:r>
      <w:r w:rsidR="00C61D28">
        <w:t>.</w:t>
      </w:r>
      <w:r w:rsidR="00FF064F">
        <w:t xml:space="preserve">  The Commission suggests that </w:t>
      </w:r>
      <w:r w:rsidR="009A5F0E">
        <w:t xml:space="preserve">any exemptions that allow religious discrimination by educational institutions should be considered by the ALRC </w:t>
      </w:r>
      <w:proofErr w:type="gramStart"/>
      <w:r w:rsidR="009A5F0E">
        <w:t>at the same time that</w:t>
      </w:r>
      <w:proofErr w:type="gramEnd"/>
      <w:r w:rsidR="009A5F0E">
        <w:t xml:space="preserve"> it considers </w:t>
      </w:r>
      <w:r w:rsidR="00B50AC9">
        <w:t>s 38 of the SDA.</w:t>
      </w:r>
    </w:p>
    <w:p w14:paraId="4C485AFA" w14:textId="77777777" w:rsidR="00F10059" w:rsidRDefault="00F10059" w:rsidP="00174DAA">
      <w:pPr>
        <w:pStyle w:val="ListNumber"/>
      </w:pPr>
      <w:bookmarkStart w:id="32" w:name="_Ref30431868"/>
      <w:r>
        <w:lastRenderedPageBreak/>
        <w:t>The Commission notes that the terms of reference for the ALRC inquiry were amended on 29 August 2019, when the first exposure drafts of the Religious Freedoms Bills were released.</w:t>
      </w:r>
      <w:r>
        <w:rPr>
          <w:rStyle w:val="EndnoteReference"/>
        </w:rPr>
        <w:endnoteReference w:id="23"/>
      </w:r>
      <w:r>
        <w:t xml:space="preserve">  Among other things, the amended terms of reference instructed the ALRC to ‘confine its inquiry to issues not resolved’ by the Religious Discrimination Bill and to ‘confine any amendment recommendations to legislation other than the Religious Discrimination Bill’.  It may be that further amended terms of reference would be required in order to implement the Commission’s Recommendation 3C below (and possibly recommendation 13 from the Commission’s first submission).</w:t>
      </w:r>
    </w:p>
    <w:p w14:paraId="5EE61344" w14:textId="581582D0" w:rsidR="006972AF" w:rsidRDefault="00562EA0" w:rsidP="00174DAA">
      <w:pPr>
        <w:pStyle w:val="ListNumber"/>
      </w:pPr>
      <w:bookmarkStart w:id="33" w:name="_Ref31355846"/>
      <w:r>
        <w:t xml:space="preserve">In the meantime, </w:t>
      </w:r>
      <w:r w:rsidR="00DB4E0E">
        <w:t xml:space="preserve">educational institutions would still be able to rely on </w:t>
      </w:r>
      <w:r w:rsidR="005259D3">
        <w:t>clause 3</w:t>
      </w:r>
      <w:r w:rsidR="0033602F">
        <w:t>2</w:t>
      </w:r>
      <w:r w:rsidR="005259D3">
        <w:t xml:space="preserve">(2) of the Bill in relation to employment decisions.  That is, </w:t>
      </w:r>
      <w:r w:rsidR="006B5AF8">
        <w:t xml:space="preserve">employment decisions would be tested against an ‘inherent requirements’ </w:t>
      </w:r>
      <w:r w:rsidR="00174DAA">
        <w:t xml:space="preserve">standard.  </w:t>
      </w:r>
      <w:r w:rsidR="004F4406">
        <w:t>For example, a</w:t>
      </w:r>
      <w:r w:rsidR="00F8711B">
        <w:t xml:space="preserve">t religious schools, it may well be an inherent requirement for teachers to be </w:t>
      </w:r>
      <w:r w:rsidR="00862A93">
        <w:t xml:space="preserve">of the faith </w:t>
      </w:r>
      <w:r w:rsidR="005238BD">
        <w:t xml:space="preserve">on which the </w:t>
      </w:r>
      <w:r w:rsidR="00862A93">
        <w:t>school</w:t>
      </w:r>
      <w:r w:rsidR="005238BD">
        <w:t xml:space="preserve"> is founded</w:t>
      </w:r>
      <w:r w:rsidR="00411784">
        <w:t xml:space="preserve">, particularly if they are required to have pastoral care responsibilities.  However, it may not be an inherent requirement </w:t>
      </w:r>
      <w:r w:rsidR="0026218E">
        <w:t>for</w:t>
      </w:r>
      <w:r w:rsidR="00411784">
        <w:t xml:space="preserve"> a </w:t>
      </w:r>
      <w:r w:rsidR="00062FFD">
        <w:t xml:space="preserve">cleaner or </w:t>
      </w:r>
      <w:r w:rsidR="00411784">
        <w:t>gardener employed by the school to be of the same faith.</w:t>
      </w:r>
      <w:r w:rsidR="003F19CC">
        <w:rPr>
          <w:rStyle w:val="EndnoteReference"/>
        </w:rPr>
        <w:endnoteReference w:id="24"/>
      </w:r>
      <w:bookmarkEnd w:id="32"/>
      <w:bookmarkEnd w:id="33"/>
    </w:p>
    <w:p w14:paraId="322F25AF" w14:textId="505EC7C0" w:rsidR="0005144D" w:rsidRPr="002032F9" w:rsidRDefault="002032F9" w:rsidP="00114519">
      <w:pPr>
        <w:pStyle w:val="ListNumber"/>
        <w:keepNext/>
        <w:numPr>
          <w:ilvl w:val="0"/>
          <w:numId w:val="0"/>
        </w:numPr>
        <w:ind w:left="1094"/>
        <w:rPr>
          <w:b/>
          <w:bCs/>
        </w:rPr>
      </w:pPr>
      <w:r w:rsidRPr="002032F9">
        <w:rPr>
          <w:b/>
          <w:bCs/>
        </w:rPr>
        <w:t xml:space="preserve">Recommendation </w:t>
      </w:r>
      <w:r w:rsidR="00AA04DF">
        <w:rPr>
          <w:b/>
          <w:bCs/>
        </w:rPr>
        <w:t>3</w:t>
      </w:r>
      <w:r w:rsidR="009F5446">
        <w:rPr>
          <w:b/>
          <w:bCs/>
        </w:rPr>
        <w:t>C</w:t>
      </w:r>
    </w:p>
    <w:p w14:paraId="5FE81AD8" w14:textId="48681A94" w:rsidR="00320683" w:rsidRDefault="002032F9" w:rsidP="00066C12">
      <w:pPr>
        <w:pStyle w:val="ListNumber"/>
        <w:numPr>
          <w:ilvl w:val="0"/>
          <w:numId w:val="0"/>
        </w:numPr>
        <w:ind w:left="1094"/>
      </w:pPr>
      <w:r>
        <w:t xml:space="preserve">The Commission recommends that </w:t>
      </w:r>
      <w:r w:rsidR="00782433">
        <w:t>clause 1</w:t>
      </w:r>
      <w:r w:rsidR="00F4446F">
        <w:t>1</w:t>
      </w:r>
      <w:r w:rsidR="003640DD">
        <w:t>(5)</w:t>
      </w:r>
      <w:r w:rsidR="00782433">
        <w:t xml:space="preserve"> of the Bill be amended to</w:t>
      </w:r>
      <w:r w:rsidR="006D0A8B">
        <w:t xml:space="preserve"> remove the general exemption for </w:t>
      </w:r>
      <w:r w:rsidR="00F4446F">
        <w:t>educational institutions</w:t>
      </w:r>
      <w:r w:rsidR="00697CC8">
        <w:t xml:space="preserve">, and that this issue be referred to the Australian Law Reform Commission as part of its current </w:t>
      </w:r>
      <w:r w:rsidR="00066C12">
        <w:t>review of religious exemptions in anti-discrimination law</w:t>
      </w:r>
      <w:r w:rsidR="00F10059">
        <w:t xml:space="preserve"> along with any amendment to the ALRC’s terms of reference as may be necessary for it to consider this issue</w:t>
      </w:r>
      <w:r w:rsidR="00042151">
        <w:t>.</w:t>
      </w:r>
    </w:p>
    <w:p w14:paraId="62FE0DD2" w14:textId="77777777" w:rsidR="00CA5964" w:rsidRDefault="00CA5964" w:rsidP="00066C12">
      <w:pPr>
        <w:pStyle w:val="ListNumber"/>
        <w:numPr>
          <w:ilvl w:val="0"/>
          <w:numId w:val="0"/>
        </w:numPr>
        <w:ind w:left="1094"/>
        <w:rPr>
          <w:i/>
          <w:iCs/>
        </w:rPr>
      </w:pPr>
    </w:p>
    <w:p w14:paraId="24F6608B" w14:textId="1FCBA823" w:rsidR="00CB098A" w:rsidRPr="002E7C75" w:rsidRDefault="002E7C75" w:rsidP="009F5446">
      <w:pPr>
        <w:pStyle w:val="ListNumber"/>
        <w:keepNext/>
        <w:numPr>
          <w:ilvl w:val="0"/>
          <w:numId w:val="0"/>
        </w:numPr>
        <w:ind w:left="1094"/>
        <w:rPr>
          <w:i/>
          <w:iCs/>
        </w:rPr>
      </w:pPr>
      <w:r w:rsidRPr="002E7C75">
        <w:rPr>
          <w:i/>
          <w:iCs/>
        </w:rPr>
        <w:t>Religious hospitals, aged care facilities and accommodation providers</w:t>
      </w:r>
    </w:p>
    <w:p w14:paraId="6DB0A686" w14:textId="2D6C7B8D" w:rsidR="002E7C75" w:rsidRDefault="008F1BF0" w:rsidP="008F1BF0">
      <w:pPr>
        <w:pStyle w:val="ListNumber"/>
      </w:pPr>
      <w:bookmarkStart w:id="34" w:name="_Ref30431924"/>
      <w:r>
        <w:t xml:space="preserve">A new exemption </w:t>
      </w:r>
      <w:r w:rsidR="008F439E">
        <w:t xml:space="preserve">has been included in </w:t>
      </w:r>
      <w:r w:rsidR="002970ED">
        <w:t>clause</w:t>
      </w:r>
      <w:r w:rsidR="00190296">
        <w:t>s</w:t>
      </w:r>
      <w:r w:rsidR="002970ED">
        <w:t xml:space="preserve"> 32(8)</w:t>
      </w:r>
      <w:r w:rsidR="00475721">
        <w:t>–</w:t>
      </w:r>
      <w:r w:rsidR="002970ED">
        <w:t xml:space="preserve">(11) of </w:t>
      </w:r>
      <w:r w:rsidR="008F439E">
        <w:t>the second exposure draft</w:t>
      </w:r>
      <w:r w:rsidR="003D7277">
        <w:t xml:space="preserve"> Bill</w:t>
      </w:r>
      <w:r w:rsidR="008F439E">
        <w:t xml:space="preserve"> to allow religious hospitals, aged care facilities and accommodation providers </w:t>
      </w:r>
      <w:r w:rsidR="00E71F78">
        <w:t xml:space="preserve">(such as religious camps or </w:t>
      </w:r>
      <w:r w:rsidR="00611573">
        <w:t xml:space="preserve">retirement villages) </w:t>
      </w:r>
      <w:r w:rsidR="008F439E">
        <w:t>to discriminate</w:t>
      </w:r>
      <w:r w:rsidR="00BD08F1">
        <w:t xml:space="preserve"> on the ground of religious belief or activity</w:t>
      </w:r>
      <w:r w:rsidR="008F439E">
        <w:t xml:space="preserve"> </w:t>
      </w:r>
      <w:r w:rsidR="00D87AE4">
        <w:t>in relation to employment</w:t>
      </w:r>
      <w:r w:rsidR="005B54AB">
        <w:t xml:space="preserve"> (and the formation of partnerships)</w:t>
      </w:r>
      <w:r w:rsidR="00D87AE4">
        <w:t xml:space="preserve">, regardless of whether being religious is </w:t>
      </w:r>
      <w:r w:rsidR="00324A2C">
        <w:t>an inherent requirement of the particular job.</w:t>
      </w:r>
      <w:bookmarkEnd w:id="34"/>
    </w:p>
    <w:p w14:paraId="140A79EF" w14:textId="79BED25B" w:rsidR="00324A2C" w:rsidRDefault="005538AC" w:rsidP="008F1BF0">
      <w:pPr>
        <w:pStyle w:val="ListNumber"/>
      </w:pPr>
      <w:r>
        <w:t>Instead, the only requirement</w:t>
      </w:r>
      <w:r w:rsidR="00DF5CBE">
        <w:t xml:space="preserve">s </w:t>
      </w:r>
      <w:r w:rsidR="00C61EC6">
        <w:t>would be</w:t>
      </w:r>
      <w:r w:rsidR="00DF5CBE">
        <w:t xml:space="preserve"> that the </w:t>
      </w:r>
      <w:r w:rsidR="008E4EFB">
        <w:t xml:space="preserve">religious </w:t>
      </w:r>
      <w:r w:rsidR="00F55CB9">
        <w:t>discrimin</w:t>
      </w:r>
      <w:r w:rsidR="008E4EFB">
        <w:t>ation</w:t>
      </w:r>
      <w:r w:rsidR="007D7438">
        <w:t xml:space="preserve"> in</w:t>
      </w:r>
      <w:r w:rsidR="00F55CB9">
        <w:t xml:space="preserve"> employment is </w:t>
      </w:r>
      <w:r w:rsidR="00F34197">
        <w:t>engaged in in good faith and</w:t>
      </w:r>
      <w:r w:rsidR="006338F0">
        <w:t>, either:</w:t>
      </w:r>
    </w:p>
    <w:p w14:paraId="038EE43D" w14:textId="697A6D57" w:rsidR="006338F0" w:rsidRDefault="006338F0" w:rsidP="006338F0">
      <w:pPr>
        <w:pStyle w:val="ListNumber"/>
        <w:numPr>
          <w:ilvl w:val="0"/>
          <w:numId w:val="17"/>
        </w:numPr>
      </w:pPr>
      <w:r>
        <w:lastRenderedPageBreak/>
        <w:t xml:space="preserve">a person of the same </w:t>
      </w:r>
      <w:r w:rsidR="003A5E77">
        <w:t xml:space="preserve">religion could reasonably consider that the </w:t>
      </w:r>
      <w:r w:rsidR="00285AF5">
        <w:t xml:space="preserve">religious discrimination was </w:t>
      </w:r>
      <w:r w:rsidR="0007236C">
        <w:t>in accordance with the doctrines, tenets</w:t>
      </w:r>
      <w:r w:rsidR="003C79FB">
        <w:t>, beliefs or teachings of that religion, or</w:t>
      </w:r>
    </w:p>
    <w:p w14:paraId="18C18D9B" w14:textId="1B04592D" w:rsidR="003C79FB" w:rsidRDefault="001C1F87" w:rsidP="006338F0">
      <w:pPr>
        <w:pStyle w:val="ListNumber"/>
        <w:numPr>
          <w:ilvl w:val="0"/>
          <w:numId w:val="17"/>
        </w:numPr>
      </w:pPr>
      <w:r>
        <w:t xml:space="preserve">the religious discrimination </w:t>
      </w:r>
      <w:r w:rsidR="0048662E">
        <w:t xml:space="preserve">was done in order to avoid injury to the religious susceptibilities of </w:t>
      </w:r>
      <w:r w:rsidR="00557678">
        <w:t>adherents of that religion.</w:t>
      </w:r>
    </w:p>
    <w:p w14:paraId="57BA3F0D" w14:textId="0402CC0C" w:rsidR="006338F0" w:rsidRDefault="003057F2" w:rsidP="008F1BF0">
      <w:pPr>
        <w:pStyle w:val="ListNumber"/>
      </w:pPr>
      <w:r>
        <w:t>The ‘inherent requirements’ test for discrimination in employment is well established</w:t>
      </w:r>
      <w:r w:rsidR="0089229D">
        <w:t xml:space="preserve">.  </w:t>
      </w:r>
      <w:r w:rsidR="00B806B7">
        <w:t xml:space="preserve">For example, under the SDA, </w:t>
      </w:r>
      <w:r w:rsidR="002A5852">
        <w:t xml:space="preserve">it is permissible to </w:t>
      </w:r>
      <w:r w:rsidR="00B3117D">
        <w:t xml:space="preserve">discriminate in employment on the basis of sex </w:t>
      </w:r>
      <w:r w:rsidR="00332860">
        <w:t xml:space="preserve">if </w:t>
      </w:r>
      <w:r w:rsidR="004D6BBF">
        <w:t xml:space="preserve">it is a ‘genuine occupational </w:t>
      </w:r>
      <w:r w:rsidR="004424CA">
        <w:t>qualification</w:t>
      </w:r>
      <w:r w:rsidR="004D6BBF">
        <w:t xml:space="preserve">’ </w:t>
      </w:r>
      <w:r w:rsidR="0023226B">
        <w:t>to be of a particular sex.</w:t>
      </w:r>
      <w:r w:rsidR="0023226B">
        <w:rPr>
          <w:rStyle w:val="EndnoteReference"/>
        </w:rPr>
        <w:endnoteReference w:id="25"/>
      </w:r>
      <w:r w:rsidR="0023226B">
        <w:t xml:space="preserve">  Examples include </w:t>
      </w:r>
      <w:r w:rsidR="00ED1075">
        <w:t xml:space="preserve">jobs involving </w:t>
      </w:r>
      <w:r w:rsidR="00DC69E7">
        <w:t xml:space="preserve">the conduct of searches </w:t>
      </w:r>
      <w:r w:rsidR="00304EB3">
        <w:t xml:space="preserve">of the clothing or bodies </w:t>
      </w:r>
      <w:r w:rsidR="00E00969">
        <w:t xml:space="preserve">of persons of a particular sex, </w:t>
      </w:r>
      <w:r w:rsidR="00B765AC">
        <w:t xml:space="preserve">and jobs involving </w:t>
      </w:r>
      <w:r w:rsidR="00884F3C">
        <w:t xml:space="preserve">the fitting of clothing </w:t>
      </w:r>
      <w:r w:rsidR="004F5048">
        <w:t>for persons of a particular sex</w:t>
      </w:r>
      <w:r w:rsidR="005D3241">
        <w:t xml:space="preserve"> where </w:t>
      </w:r>
      <w:r w:rsidR="00D97E7D">
        <w:t xml:space="preserve">it is necessary </w:t>
      </w:r>
      <w:r w:rsidR="008F6A36">
        <w:t xml:space="preserve">for the employee </w:t>
      </w:r>
      <w:r w:rsidR="00D97E7D">
        <w:t xml:space="preserve">to be of a particular sex in order to preserve </w:t>
      </w:r>
      <w:r w:rsidR="00ED1461">
        <w:t>the</w:t>
      </w:r>
      <w:r w:rsidR="00D97E7D">
        <w:t xml:space="preserve"> person’s decency or privacy</w:t>
      </w:r>
      <w:r w:rsidR="004F5048">
        <w:t>.</w:t>
      </w:r>
      <w:r w:rsidR="004F5048">
        <w:rPr>
          <w:rStyle w:val="EndnoteReference"/>
        </w:rPr>
        <w:endnoteReference w:id="26"/>
      </w:r>
    </w:p>
    <w:p w14:paraId="6D5420DD" w14:textId="1420D512" w:rsidR="0023226B" w:rsidRDefault="007B6959" w:rsidP="008F1BF0">
      <w:pPr>
        <w:pStyle w:val="ListNumber"/>
      </w:pPr>
      <w:r>
        <w:t xml:space="preserve">Similarly, under the </w:t>
      </w:r>
      <w:r w:rsidRPr="00762EF4">
        <w:rPr>
          <w:i/>
          <w:iCs/>
        </w:rPr>
        <w:t>Disability Discrimination Act 1992</w:t>
      </w:r>
      <w:r>
        <w:t xml:space="preserve"> (</w:t>
      </w:r>
      <w:proofErr w:type="spellStart"/>
      <w:r>
        <w:t>Cth</w:t>
      </w:r>
      <w:proofErr w:type="spellEnd"/>
      <w:r>
        <w:t xml:space="preserve">), </w:t>
      </w:r>
      <w:r w:rsidR="00CC1217">
        <w:t xml:space="preserve">it is permissible to discriminate in employment on the basis of disability if a person with a disability </w:t>
      </w:r>
      <w:r w:rsidR="00D310A6">
        <w:t>is unable to carry out the inherent requirements of a particular job as a result of their disability, even if the employer were to make reasonable adjustments for them.</w:t>
      </w:r>
      <w:r w:rsidR="00762EF4">
        <w:rPr>
          <w:rStyle w:val="EndnoteReference"/>
        </w:rPr>
        <w:endnoteReference w:id="27"/>
      </w:r>
    </w:p>
    <w:p w14:paraId="45E2AF4A" w14:textId="780E507C" w:rsidR="00762EF4" w:rsidRDefault="00E90655" w:rsidP="008F1BF0">
      <w:pPr>
        <w:pStyle w:val="ListNumber"/>
      </w:pPr>
      <w:r>
        <w:t xml:space="preserve">Under the </w:t>
      </w:r>
      <w:r w:rsidRPr="00E90655">
        <w:rPr>
          <w:i/>
          <w:iCs/>
        </w:rPr>
        <w:t>Age Discrimination Act 2004</w:t>
      </w:r>
      <w:r>
        <w:t xml:space="preserve"> (</w:t>
      </w:r>
      <w:proofErr w:type="spellStart"/>
      <w:r>
        <w:t>Cth</w:t>
      </w:r>
      <w:proofErr w:type="spellEnd"/>
      <w:r>
        <w:t xml:space="preserve">), it is permissible to discriminate in employment </w:t>
      </w:r>
      <w:proofErr w:type="gramStart"/>
      <w:r>
        <w:t>on the basis of</w:t>
      </w:r>
      <w:proofErr w:type="gramEnd"/>
      <w:r>
        <w:t xml:space="preserve"> age if the person is unable to carry out the inherent requirements of the particular employment because of their age.</w:t>
      </w:r>
      <w:r w:rsidR="00987A77">
        <w:rPr>
          <w:rStyle w:val="EndnoteReference"/>
        </w:rPr>
        <w:endnoteReference w:id="28"/>
      </w:r>
    </w:p>
    <w:p w14:paraId="34C6A29A" w14:textId="1F6B41F2" w:rsidR="00C30A51" w:rsidRDefault="00B365B2" w:rsidP="008F1BF0">
      <w:pPr>
        <w:pStyle w:val="ListNumber"/>
      </w:pPr>
      <w:r>
        <w:t>Consistently with other federal discrimination law, the Bill includes an inherent requirements test in clause</w:t>
      </w:r>
      <w:r w:rsidR="00B51E52">
        <w:t>s</w:t>
      </w:r>
      <w:r>
        <w:t xml:space="preserve"> </w:t>
      </w:r>
      <w:r w:rsidR="00463C0B">
        <w:t>32(2)</w:t>
      </w:r>
      <w:proofErr w:type="gramStart"/>
      <w:r w:rsidR="00475721">
        <w:t>–</w:t>
      </w:r>
      <w:r w:rsidR="00C34080">
        <w:t>(</w:t>
      </w:r>
      <w:proofErr w:type="gramEnd"/>
      <w:r w:rsidR="00C34080">
        <w:t>5)</w:t>
      </w:r>
      <w:r w:rsidR="00AC4017">
        <w:t xml:space="preserve"> for discrimination in employment</w:t>
      </w:r>
      <w:r w:rsidR="00C34080">
        <w:t>.</w:t>
      </w:r>
      <w:r w:rsidR="00945097">
        <w:t xml:space="preserve">  The Commission </w:t>
      </w:r>
      <w:r w:rsidR="009C0042">
        <w:t xml:space="preserve">supports this </w:t>
      </w:r>
      <w:r w:rsidR="00663DDD">
        <w:t xml:space="preserve">test. </w:t>
      </w:r>
    </w:p>
    <w:p w14:paraId="1E7555FC" w14:textId="1B88BD92" w:rsidR="00767820" w:rsidRDefault="00767820" w:rsidP="008F1BF0">
      <w:pPr>
        <w:pStyle w:val="ListNumber"/>
      </w:pPr>
      <w:r>
        <w:t xml:space="preserve">However, </w:t>
      </w:r>
      <w:r w:rsidR="00546402">
        <w:t>the new clause</w:t>
      </w:r>
      <w:r w:rsidR="00B51E52">
        <w:t>s</w:t>
      </w:r>
      <w:r w:rsidR="00546402">
        <w:t xml:space="preserve"> 32(8)</w:t>
      </w:r>
      <w:proofErr w:type="gramStart"/>
      <w:r w:rsidR="00475721">
        <w:t>–</w:t>
      </w:r>
      <w:r w:rsidR="00B36CB0">
        <w:t>(</w:t>
      </w:r>
      <w:proofErr w:type="gramEnd"/>
      <w:r w:rsidR="00B36CB0">
        <w:t xml:space="preserve">11) go beyond this and permit </w:t>
      </w:r>
      <w:r w:rsidR="00106436">
        <w:t xml:space="preserve">religious </w:t>
      </w:r>
      <w:r w:rsidR="00B36CB0">
        <w:t xml:space="preserve">discrimination in employment </w:t>
      </w:r>
      <w:r w:rsidR="009E70E9">
        <w:t xml:space="preserve">by hospitals, aged care facilities and accommodation providers, </w:t>
      </w:r>
      <w:r w:rsidR="00B36CB0">
        <w:t xml:space="preserve">where </w:t>
      </w:r>
      <w:r w:rsidR="00FD6FB3">
        <w:t xml:space="preserve">religious belief or activity is not an inherent requirement of the particular job.  The Commission considers </w:t>
      </w:r>
      <w:r w:rsidR="009E70E9">
        <w:t xml:space="preserve">that </w:t>
      </w:r>
      <w:r w:rsidR="00DA1968">
        <w:t xml:space="preserve">insufficient justification has been provided to depart from the ordinary inherent requirements test. </w:t>
      </w:r>
    </w:p>
    <w:p w14:paraId="491C039F" w14:textId="2DA4C198" w:rsidR="00DA1968" w:rsidRDefault="0057462C" w:rsidP="008F1BF0">
      <w:pPr>
        <w:pStyle w:val="ListNumber"/>
      </w:pPr>
      <w:r>
        <w:t xml:space="preserve">The only rationale </w:t>
      </w:r>
      <w:r w:rsidR="00C84B14">
        <w:t xml:space="preserve">given in the Explanatory Notes </w:t>
      </w:r>
      <w:r w:rsidR="0047439E">
        <w:t>to clause</w:t>
      </w:r>
      <w:r w:rsidR="00340FC0">
        <w:t>s</w:t>
      </w:r>
      <w:r w:rsidR="0047439E">
        <w:t xml:space="preserve"> 32(8)</w:t>
      </w:r>
      <w:r w:rsidR="00475721">
        <w:t>–</w:t>
      </w:r>
      <w:r w:rsidR="0047439E">
        <w:t xml:space="preserve">(11) is that the broader </w:t>
      </w:r>
      <w:r w:rsidR="00E057ED">
        <w:t xml:space="preserve">exemption is necessary </w:t>
      </w:r>
      <w:r w:rsidR="004003BA">
        <w:t>‘to ensure that religious hospitals, aged care facilities and accommodation providers are able to maintain their religious ethos through staffing decisions’.</w:t>
      </w:r>
      <w:r w:rsidR="002406CE">
        <w:rPr>
          <w:rStyle w:val="EndnoteReference"/>
        </w:rPr>
        <w:endnoteReference w:id="29"/>
      </w:r>
      <w:r w:rsidR="00872385">
        <w:t xml:space="preserve">  Two examples are given in the Explanatory Notes.  The first is that </w:t>
      </w:r>
      <w:r w:rsidR="00B87F17">
        <w:t xml:space="preserve">these bodies should be able to </w:t>
      </w:r>
      <w:r w:rsidR="000F3149">
        <w:t xml:space="preserve">‘make </w:t>
      </w:r>
      <w:r w:rsidR="00C17AE1">
        <w:t xml:space="preserve">certain </w:t>
      </w:r>
      <w:r w:rsidR="000F3149">
        <w:t xml:space="preserve">employment decisions </w:t>
      </w:r>
      <w:r w:rsidR="00C17AE1">
        <w:t xml:space="preserve">in </w:t>
      </w:r>
      <w:r w:rsidR="00C17AE1">
        <w:lastRenderedPageBreak/>
        <w:t>relation to positions which have an intrinsically religious character, such as requiring hospital chaplains to be of the same religion as the hospital’.</w:t>
      </w:r>
      <w:r w:rsidR="001D31F8">
        <w:rPr>
          <w:rStyle w:val="EndnoteReference"/>
        </w:rPr>
        <w:endnoteReference w:id="30"/>
      </w:r>
      <w:r w:rsidR="00C17AE1">
        <w:t xml:space="preserve">  However, </w:t>
      </w:r>
      <w:r w:rsidR="001D31F8">
        <w:t>such a requirement would be adequately covered by the inherent requirements test.  No more general exemption is necessary.</w:t>
      </w:r>
    </w:p>
    <w:p w14:paraId="242579F1" w14:textId="68B6DC6E" w:rsidR="001D31F8" w:rsidRDefault="001D31F8" w:rsidP="008F1BF0">
      <w:pPr>
        <w:pStyle w:val="ListNumber"/>
      </w:pPr>
      <w:r>
        <w:t xml:space="preserve">The second example </w:t>
      </w:r>
      <w:r w:rsidR="007E31C0">
        <w:t>is that</w:t>
      </w:r>
      <w:r w:rsidR="00F36054">
        <w:t>, under the broader test,</w:t>
      </w:r>
      <w:r w:rsidR="007E31C0">
        <w:t xml:space="preserve"> </w:t>
      </w:r>
      <w:r w:rsidR="00F36054">
        <w:t>‘</w:t>
      </w:r>
      <w:r w:rsidR="007E31C0">
        <w:t xml:space="preserve">it would not be unlawful </w:t>
      </w:r>
      <w:r w:rsidR="00F36054">
        <w:t>for a religious aged care facility to require that all staff abide by a code of conduct which required them to act consistently with key doctrines of faith whilst at work’.</w:t>
      </w:r>
      <w:r w:rsidR="00E96C54">
        <w:rPr>
          <w:rStyle w:val="EndnoteReference"/>
        </w:rPr>
        <w:endnoteReference w:id="31"/>
      </w:r>
      <w:r w:rsidR="003852A7">
        <w:t xml:space="preserve">  </w:t>
      </w:r>
      <w:r w:rsidR="00457E2F">
        <w:t>The s</w:t>
      </w:r>
      <w:r w:rsidR="00EB6B53">
        <w:t xml:space="preserve">cope of this example is not clear as it does not spell out the kinds of </w:t>
      </w:r>
      <w:r w:rsidR="00381CF8">
        <w:t xml:space="preserve">conduct that </w:t>
      </w:r>
      <w:r w:rsidR="00CC7FBD">
        <w:t xml:space="preserve">may be required.  However, </w:t>
      </w:r>
      <w:r w:rsidR="00145E0F">
        <w:t xml:space="preserve">regardless of the content of any particular code of conduct, </w:t>
      </w:r>
      <w:r w:rsidR="00F833AB">
        <w:t xml:space="preserve">the </w:t>
      </w:r>
      <w:r w:rsidR="00986EF7">
        <w:t>proposed exemption for aged care providers is much broader than this</w:t>
      </w:r>
      <w:r w:rsidR="00145E0F">
        <w:t xml:space="preserve"> because it would allow </w:t>
      </w:r>
      <w:r w:rsidR="0018527D">
        <w:t xml:space="preserve">an aged care provider to terminate the employment of a person </w:t>
      </w:r>
      <w:r w:rsidR="005C1748">
        <w:t>on the basis of their religious belief</w:t>
      </w:r>
      <w:r w:rsidR="00060EBF">
        <w:t xml:space="preserve">, regardless of the </w:t>
      </w:r>
      <w:r w:rsidR="0042586E">
        <w:t>role they were employed to perform</w:t>
      </w:r>
      <w:r w:rsidR="00986EF7">
        <w:t xml:space="preserve">. </w:t>
      </w:r>
      <w:r w:rsidR="00A97B74">
        <w:t xml:space="preserve"> </w:t>
      </w:r>
      <w:r w:rsidR="00C74E1C">
        <w:t xml:space="preserve">There </w:t>
      </w:r>
      <w:r w:rsidR="00C26F49">
        <w:t xml:space="preserve">is likely to </w:t>
      </w:r>
      <w:r w:rsidR="00C74E1C">
        <w:t xml:space="preserve">be a range of </w:t>
      </w:r>
      <w:r w:rsidR="003A13E3">
        <w:t xml:space="preserve">jobs within an aged care facility where </w:t>
      </w:r>
      <w:r w:rsidR="00D3365B">
        <w:t xml:space="preserve">religious belief </w:t>
      </w:r>
      <w:r w:rsidR="000D1CAA">
        <w:t xml:space="preserve">or activity is </w:t>
      </w:r>
      <w:r w:rsidR="002C702C">
        <w:t>not an inherent requirement o</w:t>
      </w:r>
      <w:r w:rsidR="00325787">
        <w:t>f the job</w:t>
      </w:r>
      <w:r w:rsidR="00764A96">
        <w:t xml:space="preserve">.  </w:t>
      </w:r>
    </w:p>
    <w:p w14:paraId="64D7A7F2" w14:textId="35BB19D1" w:rsidR="00E625E8" w:rsidRDefault="00575266" w:rsidP="008F1BF0">
      <w:pPr>
        <w:pStyle w:val="ListNumber"/>
      </w:pPr>
      <w:r>
        <w:t xml:space="preserve">Indeed, as </w:t>
      </w:r>
      <w:r w:rsidR="00634848">
        <w:t xml:space="preserve">the Explanatory Notes </w:t>
      </w:r>
      <w:r w:rsidR="00D66FDB">
        <w:t xml:space="preserve">say when talking about the inherent requirements test, </w:t>
      </w:r>
      <w:r w:rsidR="00E625E8">
        <w:t xml:space="preserve">‘an employer cannot simply declare that it is an inherent requirement for an employee </w:t>
      </w:r>
      <w:r w:rsidR="00944F7D">
        <w:t>or partner to hold, or not hold, a religious belief or engage, or not engage</w:t>
      </w:r>
      <w:r w:rsidR="00DD7F1C">
        <w:t>,</w:t>
      </w:r>
      <w:r w:rsidR="00944F7D">
        <w:t xml:space="preserve"> in </w:t>
      </w:r>
      <w:r w:rsidR="004B46D1">
        <w:t>a religious activity</w:t>
      </w:r>
      <w:r w:rsidR="001470F8">
        <w:t>, unless this was, objectively in the circumstances, an essential element of the particular position’.</w:t>
      </w:r>
      <w:r w:rsidR="00027A89">
        <w:t xml:space="preserve">  There does not appear to be a principled reason to treat hospitals, aged care facilities or accommodation providers any differently.</w:t>
      </w:r>
    </w:p>
    <w:p w14:paraId="7E069D45" w14:textId="7F331BF0" w:rsidR="001470F8" w:rsidRDefault="001470F8" w:rsidP="008F1BF0">
      <w:pPr>
        <w:pStyle w:val="ListNumber"/>
      </w:pPr>
      <w:bookmarkStart w:id="35" w:name="_Ref30431931"/>
      <w:r>
        <w:t xml:space="preserve">In the Commission’s view, </w:t>
      </w:r>
      <w:r w:rsidR="002256DB">
        <w:t xml:space="preserve">an </w:t>
      </w:r>
      <w:r w:rsidR="00E97086">
        <w:t>employer</w:t>
      </w:r>
      <w:r w:rsidR="002256DB">
        <w:t>’</w:t>
      </w:r>
      <w:r w:rsidR="00E97086">
        <w:t xml:space="preserve">s </w:t>
      </w:r>
      <w:r w:rsidR="00050E43">
        <w:t>impos</w:t>
      </w:r>
      <w:r w:rsidR="002256DB">
        <w:t>ition of</w:t>
      </w:r>
      <w:r w:rsidR="00050E43">
        <w:t xml:space="preserve"> blanket </w:t>
      </w:r>
      <w:r w:rsidR="00E97086">
        <w:t>employment rules</w:t>
      </w:r>
      <w:r w:rsidR="00BD08F1">
        <w:t xml:space="preserve">, which would otherwise be discriminatory </w:t>
      </w:r>
      <w:proofErr w:type="gramStart"/>
      <w:r w:rsidR="00BD08F1">
        <w:t>on the basis of</w:t>
      </w:r>
      <w:proofErr w:type="gramEnd"/>
      <w:r w:rsidR="00BD08F1">
        <w:t xml:space="preserve"> religious belief or activity, cannot be justified</w:t>
      </w:r>
      <w:r w:rsidR="00E97086">
        <w:t xml:space="preserve"> solely </w:t>
      </w:r>
      <w:r w:rsidR="00BD08F1">
        <w:t xml:space="preserve">because those rules contribute to </w:t>
      </w:r>
      <w:r w:rsidR="00E97086">
        <w:t>maintaining a ‘religious ethos’ in the workplace.</w:t>
      </w:r>
      <w:r w:rsidR="00CA2BCA">
        <w:t xml:space="preserve">  More should be required to demonstrate the religious belief or activity </w:t>
      </w:r>
      <w:r w:rsidR="00BD08F1">
        <w:t xml:space="preserve">set out in the employment rules </w:t>
      </w:r>
      <w:r w:rsidR="00CA2BCA">
        <w:t xml:space="preserve">is </w:t>
      </w:r>
      <w:r w:rsidR="00AB7544">
        <w:t xml:space="preserve">an essential part of the </w:t>
      </w:r>
      <w:proofErr w:type="gramStart"/>
      <w:r w:rsidR="00AB7544">
        <w:t>particular role</w:t>
      </w:r>
      <w:proofErr w:type="gramEnd"/>
      <w:r w:rsidR="00AB7544">
        <w:t>.</w:t>
      </w:r>
      <w:bookmarkEnd w:id="35"/>
    </w:p>
    <w:p w14:paraId="5A4E8FB3" w14:textId="32EF5781" w:rsidR="00C05EEC" w:rsidRPr="00C05EEC" w:rsidRDefault="00C05EEC" w:rsidP="00C05EEC">
      <w:pPr>
        <w:pStyle w:val="ListNumber"/>
        <w:keepNext/>
        <w:numPr>
          <w:ilvl w:val="0"/>
          <w:numId w:val="0"/>
        </w:numPr>
        <w:ind w:left="1094"/>
        <w:rPr>
          <w:b/>
          <w:bCs/>
        </w:rPr>
      </w:pPr>
      <w:r w:rsidRPr="00C05EEC">
        <w:rPr>
          <w:b/>
          <w:bCs/>
        </w:rPr>
        <w:t>Recommendation 3</w:t>
      </w:r>
      <w:r w:rsidR="009F5446">
        <w:rPr>
          <w:b/>
          <w:bCs/>
        </w:rPr>
        <w:t>D</w:t>
      </w:r>
    </w:p>
    <w:p w14:paraId="12EBA364" w14:textId="6CD80A33" w:rsidR="00C05EEC" w:rsidRDefault="00C05EEC" w:rsidP="0052114B">
      <w:pPr>
        <w:pStyle w:val="ListNumber"/>
        <w:numPr>
          <w:ilvl w:val="0"/>
          <w:numId w:val="0"/>
        </w:numPr>
        <w:ind w:left="1094"/>
      </w:pPr>
      <w:r>
        <w:t>The Commission recommends that clause</w:t>
      </w:r>
      <w:r w:rsidR="00424D47">
        <w:t>s</w:t>
      </w:r>
      <w:r>
        <w:t xml:space="preserve"> 32</w:t>
      </w:r>
      <w:r w:rsidR="00093FFA">
        <w:t>(8)</w:t>
      </w:r>
      <w:proofErr w:type="gramStart"/>
      <w:r w:rsidR="00475721">
        <w:t>–</w:t>
      </w:r>
      <w:r w:rsidR="00093FFA">
        <w:t>(</w:t>
      </w:r>
      <w:proofErr w:type="gramEnd"/>
      <w:r w:rsidR="00093FFA">
        <w:t>11)</w:t>
      </w:r>
      <w:r w:rsidR="00685384">
        <w:t xml:space="preserve">, dealing with </w:t>
      </w:r>
      <w:r w:rsidR="00505080">
        <w:t xml:space="preserve">exemptions </w:t>
      </w:r>
      <w:r w:rsidR="00EA2722">
        <w:t xml:space="preserve">from </w:t>
      </w:r>
      <w:r w:rsidR="00BD08F1">
        <w:t xml:space="preserve">religious </w:t>
      </w:r>
      <w:r w:rsidR="00EA2722">
        <w:t xml:space="preserve">discrimination in employment and partnerships for </w:t>
      </w:r>
      <w:r w:rsidR="00A46BF4">
        <w:t xml:space="preserve">religious </w:t>
      </w:r>
      <w:r w:rsidR="00A46BF4" w:rsidRPr="00A46BF4">
        <w:t>hospitals, aged care facilities and accommodation providers</w:t>
      </w:r>
      <w:r w:rsidR="00A46BF4">
        <w:t>, be removed from the Bill</w:t>
      </w:r>
      <w:r>
        <w:t>.</w:t>
      </w:r>
    </w:p>
    <w:p w14:paraId="435AA45F" w14:textId="77777777" w:rsidR="00CF7C9E" w:rsidRDefault="00CF7C9E" w:rsidP="0052114B">
      <w:pPr>
        <w:pStyle w:val="ListNumber"/>
        <w:numPr>
          <w:ilvl w:val="0"/>
          <w:numId w:val="0"/>
        </w:numPr>
        <w:ind w:left="1094"/>
      </w:pPr>
    </w:p>
    <w:p w14:paraId="48336900" w14:textId="2E62148E" w:rsidR="00E625E8" w:rsidRPr="00CF7C9E" w:rsidRDefault="00CF7C9E" w:rsidP="009F5446">
      <w:pPr>
        <w:pStyle w:val="ListNumber"/>
        <w:keepNext/>
        <w:numPr>
          <w:ilvl w:val="0"/>
          <w:numId w:val="0"/>
        </w:numPr>
        <w:ind w:left="1094"/>
        <w:rPr>
          <w:i/>
          <w:iCs/>
        </w:rPr>
      </w:pPr>
      <w:r w:rsidRPr="00CF7C9E">
        <w:rPr>
          <w:i/>
          <w:iCs/>
        </w:rPr>
        <w:lastRenderedPageBreak/>
        <w:t>Religious camps and conference sites</w:t>
      </w:r>
    </w:p>
    <w:p w14:paraId="20438997" w14:textId="1544EF76" w:rsidR="00CF7C9E" w:rsidRDefault="00651BF5" w:rsidP="008F1BF0">
      <w:pPr>
        <w:pStyle w:val="ListNumber"/>
      </w:pPr>
      <w:bookmarkStart w:id="36" w:name="_Ref30431971"/>
      <w:r>
        <w:t>A new exemption has been included in clause</w:t>
      </w:r>
      <w:r w:rsidR="00F23713">
        <w:t>s</w:t>
      </w:r>
      <w:r>
        <w:t xml:space="preserve"> 3</w:t>
      </w:r>
      <w:r w:rsidR="003B4CD5">
        <w:t>3</w:t>
      </w:r>
      <w:r>
        <w:t>(</w:t>
      </w:r>
      <w:r w:rsidR="003B4CD5">
        <w:t>2</w:t>
      </w:r>
      <w:r>
        <w:t>)</w:t>
      </w:r>
      <w:r w:rsidR="00475721">
        <w:t>–</w:t>
      </w:r>
      <w:r>
        <w:t>(</w:t>
      </w:r>
      <w:r w:rsidR="003B4CD5">
        <w:t>5</w:t>
      </w:r>
      <w:r>
        <w:t>) of the second exposure draft to allow</w:t>
      </w:r>
      <w:r w:rsidR="00C638D1">
        <w:t xml:space="preserve"> </w:t>
      </w:r>
      <w:r w:rsidR="00A05060">
        <w:t xml:space="preserve">religious camps and conference sites </w:t>
      </w:r>
      <w:r w:rsidR="00105071">
        <w:t xml:space="preserve">that provide accommodation to discriminate in the provision of that accommodation </w:t>
      </w:r>
      <w:r w:rsidR="00210D08">
        <w:t>on the basis of the religious belief or activity of people seeking the ac</w:t>
      </w:r>
      <w:r w:rsidR="00917A52">
        <w:t>commodation.</w:t>
      </w:r>
      <w:bookmarkEnd w:id="36"/>
    </w:p>
    <w:p w14:paraId="1820BDD7" w14:textId="77777777" w:rsidR="00CD552D" w:rsidRDefault="00102703" w:rsidP="00CD552D">
      <w:pPr>
        <w:pStyle w:val="ListNumber"/>
      </w:pPr>
      <w:r>
        <w:t xml:space="preserve">In order to </w:t>
      </w:r>
      <w:r w:rsidR="00684052">
        <w:t xml:space="preserve">take advantage of this exception, the </w:t>
      </w:r>
      <w:r w:rsidR="00CD3C2F">
        <w:t xml:space="preserve">discrimination </w:t>
      </w:r>
      <w:r w:rsidR="006C3C76">
        <w:t xml:space="preserve">by the religious camp or conference site must be </w:t>
      </w:r>
      <w:r w:rsidR="00EF1B04">
        <w:t xml:space="preserve">done </w:t>
      </w:r>
      <w:r w:rsidR="006C3C76">
        <w:t>in good faith</w:t>
      </w:r>
      <w:r w:rsidR="00EF1B04">
        <w:t>,</w:t>
      </w:r>
      <w:r w:rsidR="008C54AB">
        <w:t xml:space="preserve"> in accordance </w:t>
      </w:r>
      <w:r w:rsidR="00EF1B04">
        <w:t>with a publicly available policy</w:t>
      </w:r>
      <w:r w:rsidR="00CD552D">
        <w:t xml:space="preserve"> and either:</w:t>
      </w:r>
    </w:p>
    <w:p w14:paraId="3B1FA537" w14:textId="77777777" w:rsidR="00CD552D" w:rsidRDefault="00CD552D" w:rsidP="00CD552D">
      <w:pPr>
        <w:pStyle w:val="ListNumber"/>
        <w:numPr>
          <w:ilvl w:val="0"/>
          <w:numId w:val="17"/>
        </w:numPr>
      </w:pPr>
      <w:r>
        <w:t>a person of the same religion could reasonably consider that the religious discrimination was in accordance with the doctrines, tenets, beliefs or teachings of that religion, or</w:t>
      </w:r>
    </w:p>
    <w:p w14:paraId="72CC0591" w14:textId="262F3431" w:rsidR="0049685D" w:rsidRDefault="00CD552D" w:rsidP="00CD552D">
      <w:pPr>
        <w:pStyle w:val="ListNumber"/>
        <w:numPr>
          <w:ilvl w:val="0"/>
          <w:numId w:val="17"/>
        </w:numPr>
      </w:pPr>
      <w:r>
        <w:t>the religious discrimination was done in order to avoid injury to the religious susceptibilities of adherents of that religion.</w:t>
      </w:r>
    </w:p>
    <w:p w14:paraId="78DC1785" w14:textId="387B136B" w:rsidR="00CD552D" w:rsidRDefault="00F32B6E" w:rsidP="00CD552D">
      <w:pPr>
        <w:pStyle w:val="ListNumber"/>
      </w:pPr>
      <w:r>
        <w:t xml:space="preserve">The proposed exemption is broad enough to cover </w:t>
      </w:r>
      <w:r w:rsidR="00A76585">
        <w:t xml:space="preserve">camps and conference sites </w:t>
      </w:r>
      <w:r w:rsidR="00150E57">
        <w:t xml:space="preserve">where </w:t>
      </w:r>
      <w:r w:rsidR="00F97522">
        <w:t xml:space="preserve">accommodation is </w:t>
      </w:r>
      <w:r w:rsidR="00D23BE1">
        <w:t xml:space="preserve">offered </w:t>
      </w:r>
      <w:r w:rsidR="00477724">
        <w:t xml:space="preserve">to the </w:t>
      </w:r>
      <w:r w:rsidR="00D01916">
        <w:t xml:space="preserve">public at large </w:t>
      </w:r>
      <w:r w:rsidR="00E348D7">
        <w:t>and on a commercial basis.</w:t>
      </w:r>
      <w:r w:rsidR="00554E76">
        <w:t xml:space="preserve">  </w:t>
      </w:r>
      <w:r w:rsidR="0084617D">
        <w:t xml:space="preserve">By contrast, under the current Bill, </w:t>
      </w:r>
      <w:r w:rsidR="0017598F">
        <w:t xml:space="preserve">religious hospitals, </w:t>
      </w:r>
      <w:r w:rsidR="0069735D">
        <w:t xml:space="preserve">aged care facilities and accommodation providers </w:t>
      </w:r>
      <w:r w:rsidR="0084617D">
        <w:t>that offer their services to the public at large on a commercial basis are</w:t>
      </w:r>
      <w:r w:rsidR="00154894">
        <w:t>, for that reason,</w:t>
      </w:r>
      <w:r w:rsidR="0084617D">
        <w:t xml:space="preserve"> </w:t>
      </w:r>
      <w:r w:rsidR="0084617D">
        <w:rPr>
          <w:i/>
          <w:iCs/>
        </w:rPr>
        <w:t xml:space="preserve">not </w:t>
      </w:r>
      <w:r w:rsidR="00B851FA">
        <w:t>granted a</w:t>
      </w:r>
      <w:r w:rsidR="007200A6">
        <w:t>n</w:t>
      </w:r>
      <w:r w:rsidR="00B851FA">
        <w:t xml:space="preserve"> </w:t>
      </w:r>
      <w:r w:rsidR="007200A6">
        <w:t xml:space="preserve">exemption that would allow them to discriminate against </w:t>
      </w:r>
      <w:r w:rsidR="00F42E5F">
        <w:t>people who acquire their services.</w:t>
      </w:r>
      <w:r w:rsidR="0073326C">
        <w:rPr>
          <w:rStyle w:val="EndnoteReference"/>
        </w:rPr>
        <w:endnoteReference w:id="32"/>
      </w:r>
      <w:r w:rsidR="00F42E5F">
        <w:t xml:space="preserve">  It is unclear why religious </w:t>
      </w:r>
      <w:r w:rsidR="0073326C">
        <w:t>camps and conference sites have been treated differently.</w:t>
      </w:r>
    </w:p>
    <w:p w14:paraId="73DE0595" w14:textId="3F30BFBD" w:rsidR="0073326C" w:rsidRDefault="0073326C" w:rsidP="00CD552D">
      <w:pPr>
        <w:pStyle w:val="ListNumber"/>
      </w:pPr>
      <w:r>
        <w:t>Further, the Explanatory Notes acknowledge</w:t>
      </w:r>
      <w:r w:rsidR="0031708E">
        <w:t xml:space="preserve"> that </w:t>
      </w:r>
      <w:r w:rsidR="00A43C06">
        <w:t>‘religious camps and conference sites often do not require that all persons seeking accommodation be of their particular religious belief</w:t>
      </w:r>
      <w:r w:rsidR="00063750">
        <w:t>’.</w:t>
      </w:r>
      <w:r w:rsidR="00471106">
        <w:rPr>
          <w:rStyle w:val="EndnoteReference"/>
        </w:rPr>
        <w:endnoteReference w:id="33"/>
      </w:r>
      <w:r w:rsidR="00884873">
        <w:t xml:space="preserve">  </w:t>
      </w:r>
    </w:p>
    <w:p w14:paraId="74E33C9E" w14:textId="746AFADF" w:rsidR="001066D9" w:rsidRDefault="001066D9" w:rsidP="00CD552D">
      <w:pPr>
        <w:pStyle w:val="ListNumber"/>
      </w:pPr>
      <w:r>
        <w:t xml:space="preserve">It appears that this </w:t>
      </w:r>
      <w:r w:rsidR="007324DA">
        <w:t xml:space="preserve">proposed </w:t>
      </w:r>
      <w:r>
        <w:t>exemption is broader than necessary and</w:t>
      </w:r>
      <w:r w:rsidR="00471106">
        <w:t xml:space="preserve"> that the need for the exemption has </w:t>
      </w:r>
      <w:r>
        <w:t>not been sufficiently justified</w:t>
      </w:r>
      <w:r w:rsidR="00471106">
        <w:t>.</w:t>
      </w:r>
    </w:p>
    <w:p w14:paraId="634A99EC" w14:textId="57E86CB6" w:rsidR="0073326C" w:rsidRDefault="0073326C" w:rsidP="00CD552D">
      <w:pPr>
        <w:pStyle w:val="ListNumber"/>
      </w:pPr>
      <w:r>
        <w:t xml:space="preserve">In general, </w:t>
      </w:r>
      <w:r w:rsidR="00BE7F65">
        <w:t>organisations that offer goods and services to the public at large on a commercial basis should do so on terms that are non-discriminatory.</w:t>
      </w:r>
      <w:r w:rsidR="006911A6">
        <w:t xml:space="preserve">  With the introduction of protections from discrimination </w:t>
      </w:r>
      <w:proofErr w:type="gramStart"/>
      <w:r w:rsidR="006911A6">
        <w:t>on the basis of</w:t>
      </w:r>
      <w:proofErr w:type="gramEnd"/>
      <w:r w:rsidR="006911A6">
        <w:t xml:space="preserve"> religious belief or activity, </w:t>
      </w:r>
      <w:r w:rsidR="00652110">
        <w:t xml:space="preserve">the commercial supply of goods and services should also be </w:t>
      </w:r>
      <w:r w:rsidR="009517AD">
        <w:t xml:space="preserve">done in a way that does not discriminate </w:t>
      </w:r>
      <w:r w:rsidR="00332B0E">
        <w:t>on the basis of religious belief or activity.</w:t>
      </w:r>
      <w:r w:rsidR="007123B4">
        <w:t xml:space="preserve"> </w:t>
      </w:r>
      <w:r w:rsidR="00261D11">
        <w:t xml:space="preserve"> This includes </w:t>
      </w:r>
      <w:r w:rsidR="00EB2F77">
        <w:t xml:space="preserve">the supply of </w:t>
      </w:r>
      <w:r w:rsidR="00261D11">
        <w:t xml:space="preserve">accommodation services provided by camps and conference centres. </w:t>
      </w:r>
    </w:p>
    <w:p w14:paraId="564E4A66" w14:textId="18E62BC4" w:rsidR="0072656A" w:rsidRDefault="0072656A" w:rsidP="00CD552D">
      <w:pPr>
        <w:pStyle w:val="ListNumber"/>
      </w:pPr>
      <w:r>
        <w:lastRenderedPageBreak/>
        <w:t xml:space="preserve">The Commission notes that </w:t>
      </w:r>
      <w:r w:rsidR="00AD795D">
        <w:t xml:space="preserve">there is a general exemption in clause 12 of the Bill </w:t>
      </w:r>
      <w:r w:rsidR="00D676BB">
        <w:t>which permits reasonable conduct, consistent with the purposes of the Act and which is intended to meet a need arising out of a religious belief or activity</w:t>
      </w:r>
      <w:r w:rsidR="00DD404E">
        <w:t xml:space="preserve"> of a person or group of persons or is intended to reduce a disadvantage experienced by a person or group of people </w:t>
      </w:r>
      <w:r w:rsidR="00B42759">
        <w:t xml:space="preserve">on the basis of the person or group’s religious beliefs or activities.  It appears that this clause would permit camps and conference sites to provide preference to people </w:t>
      </w:r>
      <w:r w:rsidR="00995D59">
        <w:t xml:space="preserve">based on their </w:t>
      </w:r>
      <w:r w:rsidR="00B42759">
        <w:t xml:space="preserve">religious belief or activity </w:t>
      </w:r>
      <w:r w:rsidR="009B40B1">
        <w:t>in the circumstances covered by that clause.</w:t>
      </w:r>
    </w:p>
    <w:p w14:paraId="520B9D98" w14:textId="3988D005" w:rsidR="00B42759" w:rsidRDefault="009B40B1" w:rsidP="00CD552D">
      <w:pPr>
        <w:pStyle w:val="ListNumber"/>
      </w:pPr>
      <w:bookmarkStart w:id="37" w:name="_Ref30431978"/>
      <w:r>
        <w:t>It is unclear why any further</w:t>
      </w:r>
      <w:r w:rsidR="00FE7E83">
        <w:t xml:space="preserve">, more general exemption is required for religious camps and conference </w:t>
      </w:r>
      <w:r w:rsidR="00112BAB">
        <w:t>sites</w:t>
      </w:r>
      <w:r w:rsidR="00FE7E83">
        <w:t>.</w:t>
      </w:r>
      <w:bookmarkEnd w:id="37"/>
    </w:p>
    <w:p w14:paraId="1D642C55" w14:textId="53B693E3" w:rsidR="003B4CD5" w:rsidRPr="003B4CD5" w:rsidRDefault="003B4CD5" w:rsidP="000C2F4F">
      <w:pPr>
        <w:pStyle w:val="ListNumber"/>
        <w:keepNext/>
        <w:numPr>
          <w:ilvl w:val="0"/>
          <w:numId w:val="0"/>
        </w:numPr>
        <w:ind w:left="1094"/>
        <w:rPr>
          <w:b/>
          <w:bCs/>
        </w:rPr>
      </w:pPr>
      <w:r w:rsidRPr="003B4CD5">
        <w:rPr>
          <w:b/>
          <w:bCs/>
        </w:rPr>
        <w:t>Recommendation 3</w:t>
      </w:r>
      <w:r w:rsidR="009F5446">
        <w:rPr>
          <w:b/>
          <w:bCs/>
        </w:rPr>
        <w:t>E</w:t>
      </w:r>
    </w:p>
    <w:p w14:paraId="27057F03" w14:textId="3FF9B477" w:rsidR="003B4CD5" w:rsidRDefault="003B4CD5" w:rsidP="003B4CD5">
      <w:pPr>
        <w:pStyle w:val="ListNumber"/>
        <w:numPr>
          <w:ilvl w:val="0"/>
          <w:numId w:val="0"/>
        </w:numPr>
        <w:ind w:left="1094"/>
      </w:pPr>
      <w:r>
        <w:t>The Commission recommends that clauses 33(2)</w:t>
      </w:r>
      <w:proofErr w:type="gramStart"/>
      <w:r w:rsidR="00475721">
        <w:t>–</w:t>
      </w:r>
      <w:r>
        <w:t>(</w:t>
      </w:r>
      <w:proofErr w:type="gramEnd"/>
      <w:r>
        <w:t xml:space="preserve">5), dealing with exemptions from </w:t>
      </w:r>
      <w:r w:rsidR="009B47A2">
        <w:t xml:space="preserve">religious </w:t>
      </w:r>
      <w:r>
        <w:t xml:space="preserve">discrimination relating to accommodation </w:t>
      </w:r>
      <w:r w:rsidR="008E5C2A">
        <w:t>for</w:t>
      </w:r>
      <w:r>
        <w:t xml:space="preserve"> religious </w:t>
      </w:r>
      <w:r w:rsidR="000C2F4F">
        <w:t>camps and conference sites</w:t>
      </w:r>
      <w:r>
        <w:t>, be removed from the Bill.</w:t>
      </w:r>
    </w:p>
    <w:p w14:paraId="7CC49420" w14:textId="5F17B5B0" w:rsidR="002032F9" w:rsidRDefault="00D151EB" w:rsidP="00D151EB">
      <w:pPr>
        <w:pStyle w:val="Heading1"/>
      </w:pPr>
      <w:bookmarkStart w:id="38" w:name="_Toc31355399"/>
      <w:r>
        <w:t>Overriding Commonwealth, State and Territory discrimination law</w:t>
      </w:r>
      <w:bookmarkEnd w:id="38"/>
    </w:p>
    <w:p w14:paraId="2BA20438" w14:textId="1B0ADF67" w:rsidR="00D151EB" w:rsidRDefault="00DE0CCE" w:rsidP="00DE0CCE">
      <w:pPr>
        <w:pStyle w:val="Heading2"/>
      </w:pPr>
      <w:bookmarkStart w:id="39" w:name="_Toc31355400"/>
      <w:r>
        <w:t>Discriminatory statements of belief</w:t>
      </w:r>
      <w:bookmarkEnd w:id="39"/>
    </w:p>
    <w:p w14:paraId="4495F0A5" w14:textId="415E34FB" w:rsidR="00A30B38" w:rsidRDefault="00AF4B18" w:rsidP="00E81FA1">
      <w:pPr>
        <w:pStyle w:val="ListNumber"/>
      </w:pPr>
      <w:bookmarkStart w:id="40" w:name="_Ref30432028"/>
      <w:r>
        <w:t xml:space="preserve">Clause </w:t>
      </w:r>
      <w:r w:rsidR="007A1614">
        <w:t>4</w:t>
      </w:r>
      <w:r w:rsidR="0048179E">
        <w:t>2</w:t>
      </w:r>
      <w:r w:rsidR="00F15803">
        <w:t xml:space="preserve">(1)(a) of the Bill provides that a ‘statement of belief’ does not </w:t>
      </w:r>
      <w:r w:rsidR="00866B5F">
        <w:t xml:space="preserve">constitute discrimination for the purpose of any anti-discrimination law.  This means that </w:t>
      </w:r>
      <w:r w:rsidR="00F0686B">
        <w:t>no action alleging discrimination can be brought under the Religious Discrimination Act</w:t>
      </w:r>
      <w:r w:rsidR="006037A2">
        <w:t>,</w:t>
      </w:r>
      <w:r w:rsidR="006037A2">
        <w:rPr>
          <w:rStyle w:val="EndnoteReference"/>
        </w:rPr>
        <w:endnoteReference w:id="34"/>
      </w:r>
      <w:r w:rsidR="006037A2">
        <w:t xml:space="preserve"> </w:t>
      </w:r>
      <w:r w:rsidR="007406F7">
        <w:t xml:space="preserve">the </w:t>
      </w:r>
      <w:r w:rsidR="00FC6F66" w:rsidRPr="00A96A06">
        <w:t>RDA</w:t>
      </w:r>
      <w:r w:rsidR="007406F7">
        <w:t>, the S</w:t>
      </w:r>
      <w:r w:rsidR="0021289F">
        <w:t xml:space="preserve">DA, the </w:t>
      </w:r>
      <w:r w:rsidR="00FC6F66" w:rsidRPr="00A96A06">
        <w:t>DDA</w:t>
      </w:r>
      <w:r w:rsidR="0021289F">
        <w:t xml:space="preserve">, the </w:t>
      </w:r>
      <w:r w:rsidR="0021289F" w:rsidRPr="00A96A06">
        <w:t>ADA</w:t>
      </w:r>
      <w:r w:rsidR="0021289F">
        <w:t xml:space="preserve"> </w:t>
      </w:r>
      <w:r w:rsidR="0012352A">
        <w:t>or any State or Territory discrimination Act</w:t>
      </w:r>
      <w:r w:rsidR="00A30B38">
        <w:t xml:space="preserve"> in relation to such a statement, providing it does not contravene </w:t>
      </w:r>
      <w:r w:rsidR="00062FFD">
        <w:t>clause</w:t>
      </w:r>
      <w:r w:rsidR="00A30B38">
        <w:t> 4</w:t>
      </w:r>
      <w:r w:rsidR="001001FF">
        <w:t>2</w:t>
      </w:r>
      <w:r w:rsidR="00A30B38">
        <w:t>(2).</w:t>
      </w:r>
      <w:bookmarkEnd w:id="40"/>
    </w:p>
    <w:p w14:paraId="51011417" w14:textId="7E78DC69" w:rsidR="00BC7CF5" w:rsidRDefault="00BC7CF5" w:rsidP="00240B33">
      <w:pPr>
        <w:pStyle w:val="ListNumber"/>
        <w:keepNext/>
      </w:pPr>
      <w:r>
        <w:t>Th</w:t>
      </w:r>
      <w:r w:rsidR="001970A6">
        <w:t>e</w:t>
      </w:r>
      <w:r>
        <w:t xml:space="preserve"> clause applies to:</w:t>
      </w:r>
    </w:p>
    <w:p w14:paraId="0598A1CB" w14:textId="0D1095AB" w:rsidR="00FF3FDC" w:rsidRDefault="00FF3FDC" w:rsidP="00E239B1">
      <w:pPr>
        <w:pStyle w:val="ListNumber"/>
        <w:numPr>
          <w:ilvl w:val="0"/>
          <w:numId w:val="18"/>
        </w:numPr>
      </w:pPr>
      <w:r>
        <w:t>a ‘statement of belief’</w:t>
      </w:r>
    </w:p>
    <w:p w14:paraId="014F4ADD" w14:textId="77777777" w:rsidR="00FF3FDC" w:rsidRDefault="00FF3FDC" w:rsidP="00E239B1">
      <w:pPr>
        <w:pStyle w:val="ListNumber"/>
        <w:numPr>
          <w:ilvl w:val="0"/>
          <w:numId w:val="18"/>
        </w:numPr>
      </w:pPr>
      <w:r>
        <w:t>that would otherwise amount to discrimination</w:t>
      </w:r>
    </w:p>
    <w:p w14:paraId="0B294225" w14:textId="20C0C7EC" w:rsidR="00DE0CCE" w:rsidRDefault="00FF3FDC" w:rsidP="00E239B1">
      <w:pPr>
        <w:pStyle w:val="ListNumber"/>
        <w:numPr>
          <w:ilvl w:val="0"/>
          <w:numId w:val="18"/>
        </w:numPr>
      </w:pPr>
      <w:r>
        <w:t>but is not malicious</w:t>
      </w:r>
      <w:r w:rsidR="00C2341D">
        <w:t>; or</w:t>
      </w:r>
      <w:r w:rsidR="006037A2">
        <w:t xml:space="preserve"> </w:t>
      </w:r>
      <w:r w:rsidR="00B52F3E">
        <w:t xml:space="preserve">likely to harass, </w:t>
      </w:r>
      <w:r w:rsidR="000D39A5">
        <w:t>threaten</w:t>
      </w:r>
      <w:r w:rsidR="00B80303">
        <w:t xml:space="preserve">, seriously intimidate or </w:t>
      </w:r>
      <w:r w:rsidR="00503974">
        <w:t>‘</w:t>
      </w:r>
      <w:r w:rsidR="00B52F3E">
        <w:t>vilify</w:t>
      </w:r>
      <w:r w:rsidR="00503974">
        <w:t>’</w:t>
      </w:r>
      <w:r w:rsidR="00C2341D">
        <w:t>;</w:t>
      </w:r>
      <w:r w:rsidR="00B52F3E">
        <w:t xml:space="preserve"> or amount to </w:t>
      </w:r>
      <w:r w:rsidR="00073184">
        <w:t xml:space="preserve">the </w:t>
      </w:r>
      <w:r w:rsidR="00B52F3E">
        <w:t xml:space="preserve">urging of a </w:t>
      </w:r>
      <w:r w:rsidR="00C2341D">
        <w:t xml:space="preserve">serious </w:t>
      </w:r>
      <w:r w:rsidR="00B52F3E">
        <w:t>criminal offence.</w:t>
      </w:r>
    </w:p>
    <w:p w14:paraId="181B00DE" w14:textId="77777777" w:rsidR="00A22C91" w:rsidRDefault="00A210D4" w:rsidP="004D4430">
      <w:pPr>
        <w:pStyle w:val="ListNumber"/>
      </w:pPr>
      <w:r>
        <w:t xml:space="preserve">As in </w:t>
      </w:r>
      <w:r w:rsidR="006501EE">
        <w:t>the Commission’s first submission, t</w:t>
      </w:r>
      <w:r w:rsidR="004D4430">
        <w:t xml:space="preserve">his submission will refer to such a statement as a </w:t>
      </w:r>
      <w:r w:rsidR="001970A6">
        <w:t>‘discriminatory statement of belief’.</w:t>
      </w:r>
      <w:r w:rsidR="002A2E6B">
        <w:t xml:space="preserve">  The effect of </w:t>
      </w:r>
      <w:r w:rsidR="002A2E6B">
        <w:lastRenderedPageBreak/>
        <w:t>the clause is to render discriminatory statements of belief lawful and to override other Commonwealth, State and Territory law</w:t>
      </w:r>
      <w:r w:rsidR="00D2166C">
        <w:t>s</w:t>
      </w:r>
      <w:r w:rsidR="002A2E6B">
        <w:t xml:space="preserve"> to that extent.</w:t>
      </w:r>
      <w:r w:rsidR="0035371B">
        <w:t xml:space="preserve"> </w:t>
      </w:r>
      <w:r w:rsidR="006D380E">
        <w:t xml:space="preserve"> </w:t>
      </w:r>
    </w:p>
    <w:p w14:paraId="28B3C1B7" w14:textId="3B215328" w:rsidR="00A22C91" w:rsidRDefault="001E6838" w:rsidP="004D4430">
      <w:pPr>
        <w:pStyle w:val="ListNumber"/>
      </w:pPr>
      <w:r>
        <w:t xml:space="preserve">The Commission reiterates </w:t>
      </w:r>
      <w:r w:rsidR="003304B7">
        <w:t>recommendation 4 of its first submission, that clause 42 be removed from the Bill.</w:t>
      </w:r>
    </w:p>
    <w:p w14:paraId="0880012C" w14:textId="67F22596" w:rsidR="003304B7" w:rsidRDefault="003304B7" w:rsidP="004D4430">
      <w:pPr>
        <w:pStyle w:val="ListNumber"/>
      </w:pPr>
      <w:r>
        <w:t xml:space="preserve">This submission does not reproduce </w:t>
      </w:r>
      <w:r w:rsidR="00B07E61">
        <w:t xml:space="preserve">what the Commission said in its first </w:t>
      </w:r>
      <w:r w:rsidR="000570BF">
        <w:t xml:space="preserve">written </w:t>
      </w:r>
      <w:r w:rsidR="00B07E61">
        <w:t>submission about this clause.</w:t>
      </w:r>
      <w:r w:rsidR="00F83C24">
        <w:rPr>
          <w:rStyle w:val="EndnoteReference"/>
        </w:rPr>
        <w:endnoteReference w:id="35"/>
      </w:r>
      <w:r w:rsidR="00B07E61">
        <w:t xml:space="preserve">  Rather, it deals with three </w:t>
      </w:r>
      <w:r w:rsidR="002B49AF">
        <w:t>amendments to the clause.</w:t>
      </w:r>
    </w:p>
    <w:p w14:paraId="5119CA3B" w14:textId="59AEBB85" w:rsidR="002B49AF" w:rsidRDefault="00FD240A" w:rsidP="00FD240A">
      <w:pPr>
        <w:pStyle w:val="Heading2"/>
      </w:pPr>
      <w:bookmarkStart w:id="41" w:name="_Toc31355401"/>
      <w:r>
        <w:t>Definition of ‘statement of belief’</w:t>
      </w:r>
      <w:bookmarkEnd w:id="41"/>
    </w:p>
    <w:p w14:paraId="25595367" w14:textId="13AE5131" w:rsidR="00A4246D" w:rsidRDefault="002255A9" w:rsidP="004D4430">
      <w:pPr>
        <w:pStyle w:val="ListNumber"/>
      </w:pPr>
      <w:bookmarkStart w:id="42" w:name="_Ref30423819"/>
      <w:r>
        <w:t>The second exposure draft amends the definition of a</w:t>
      </w:r>
      <w:r w:rsidR="00C92EF0">
        <w:t xml:space="preserve"> ‘statement of belief’ in </w:t>
      </w:r>
      <w:r w:rsidR="001F06E4">
        <w:t>clause 5 of the Bill.</w:t>
      </w:r>
      <w:bookmarkEnd w:id="42"/>
      <w:r w:rsidR="001F06E4">
        <w:t xml:space="preserve">  </w:t>
      </w:r>
    </w:p>
    <w:p w14:paraId="038E6217" w14:textId="19C28CD7" w:rsidR="001970A6" w:rsidRDefault="001F06E4" w:rsidP="004D4430">
      <w:pPr>
        <w:pStyle w:val="ListNumber"/>
      </w:pPr>
      <w:r>
        <w:t xml:space="preserve">The definition varies depending on whether the maker of the statement is religious.  For a person who is religious, </w:t>
      </w:r>
      <w:r w:rsidR="00E05EC2">
        <w:t>the range of statements of belief has been expanded.  A</w:t>
      </w:r>
      <w:r>
        <w:t xml:space="preserve"> statement of belief</w:t>
      </w:r>
      <w:r w:rsidR="00E05EC2">
        <w:t xml:space="preserve"> in the second exposure draft</w:t>
      </w:r>
      <w:r w:rsidR="00081BDF">
        <w:t xml:space="preserve"> is</w:t>
      </w:r>
      <w:r>
        <w:t>:</w:t>
      </w:r>
    </w:p>
    <w:p w14:paraId="1FEDFB42" w14:textId="0496C00C" w:rsidR="001F06E4" w:rsidRDefault="007F2A71" w:rsidP="00E239B1">
      <w:pPr>
        <w:pStyle w:val="ListNumber"/>
        <w:numPr>
          <w:ilvl w:val="0"/>
          <w:numId w:val="19"/>
        </w:numPr>
      </w:pPr>
      <w:r>
        <w:t xml:space="preserve">of a religious belief </w:t>
      </w:r>
      <w:proofErr w:type="gramStart"/>
      <w:r w:rsidR="00B6460B">
        <w:t xml:space="preserve">actually </w:t>
      </w:r>
      <w:r>
        <w:t>held</w:t>
      </w:r>
      <w:proofErr w:type="gramEnd"/>
      <w:r>
        <w:t xml:space="preserve"> by that person</w:t>
      </w:r>
    </w:p>
    <w:p w14:paraId="5C66DB4B" w14:textId="4D30EFC4" w:rsidR="00416D4F" w:rsidRDefault="00416D4F" w:rsidP="00E239B1">
      <w:pPr>
        <w:pStyle w:val="ListNumber"/>
        <w:numPr>
          <w:ilvl w:val="0"/>
          <w:numId w:val="19"/>
        </w:numPr>
      </w:pPr>
      <w:r>
        <w:t>made in good faith</w:t>
      </w:r>
      <w:r w:rsidR="00872287">
        <w:t xml:space="preserve"> by that person, by written or spoken words</w:t>
      </w:r>
    </w:p>
    <w:p w14:paraId="545E363D" w14:textId="67F1F0D5" w:rsidR="007F2A71" w:rsidRDefault="00921B64" w:rsidP="00006700">
      <w:pPr>
        <w:pStyle w:val="ListNumber"/>
        <w:numPr>
          <w:ilvl w:val="0"/>
          <w:numId w:val="19"/>
        </w:numPr>
      </w:pPr>
      <w:r>
        <w:t>of a belief that a person of the same religion</w:t>
      </w:r>
      <w:r w:rsidR="00552FDB">
        <w:t xml:space="preserve"> could reasonably </w:t>
      </w:r>
      <w:r w:rsidR="0028298D">
        <w:t xml:space="preserve">consider to be in accordance with the doctrines, tenets, </w:t>
      </w:r>
      <w:r w:rsidR="002B6F17">
        <w:t xml:space="preserve">beliefs or teachings of that religion. </w:t>
      </w:r>
    </w:p>
    <w:p w14:paraId="1E3057D0" w14:textId="0F1DD254" w:rsidR="007F2A71" w:rsidRPr="00006700" w:rsidRDefault="00885826" w:rsidP="00006700">
      <w:pPr>
        <w:pStyle w:val="ListNumber"/>
      </w:pPr>
      <w:r>
        <w:t>As with the definition in the first exposure draft, t</w:t>
      </w:r>
      <w:r w:rsidR="007C73AC" w:rsidRPr="00006700">
        <w:t xml:space="preserve">he statement need not be about religion, it could be about any subject that </w:t>
      </w:r>
      <w:r w:rsidR="00A733A4" w:rsidRPr="00006700">
        <w:t>is covered by a religious teaching.</w:t>
      </w:r>
      <w:r w:rsidR="00006700">
        <w:t xml:space="preserve">  Further, the new test picks up the broader </w:t>
      </w:r>
      <w:r w:rsidR="00F8554A">
        <w:t xml:space="preserve">language </w:t>
      </w:r>
      <w:r w:rsidR="00EB6208">
        <w:t xml:space="preserve">in </w:t>
      </w:r>
      <w:r w:rsidR="0095529C">
        <w:t xml:space="preserve">amended </w:t>
      </w:r>
      <w:r w:rsidR="00EB6208">
        <w:t>clause 11(1)</w:t>
      </w:r>
      <w:r w:rsidR="004E71CB">
        <w:t xml:space="preserve"> which, as described in paragraphs [</w:t>
      </w:r>
      <w:r w:rsidR="00237C0F">
        <w:fldChar w:fldCharType="begin"/>
      </w:r>
      <w:r w:rsidR="00237C0F">
        <w:instrText xml:space="preserve"> REF _Ref30162177 \r \h </w:instrText>
      </w:r>
      <w:r w:rsidR="00237C0F">
        <w:fldChar w:fldCharType="separate"/>
      </w:r>
      <w:r w:rsidR="009C3F0E">
        <w:t>57</w:t>
      </w:r>
      <w:r w:rsidR="00237C0F">
        <w:fldChar w:fldCharType="end"/>
      </w:r>
      <w:r w:rsidR="004E71CB">
        <w:t>]</w:t>
      </w:r>
      <w:r w:rsidR="00475721">
        <w:t>–</w:t>
      </w:r>
      <w:r w:rsidR="004E71CB">
        <w:t>[</w:t>
      </w:r>
      <w:r w:rsidR="00237C0F">
        <w:fldChar w:fldCharType="begin"/>
      </w:r>
      <w:r w:rsidR="00237C0F">
        <w:instrText xml:space="preserve"> REF _Ref30162185 \r \h </w:instrText>
      </w:r>
      <w:r w:rsidR="00237C0F">
        <w:fldChar w:fldCharType="separate"/>
      </w:r>
      <w:r w:rsidR="009C3F0E">
        <w:t>62</w:t>
      </w:r>
      <w:r w:rsidR="00237C0F">
        <w:fldChar w:fldCharType="end"/>
      </w:r>
      <w:r w:rsidR="004E71CB">
        <w:t xml:space="preserve">] above, is designed to give a greater margin of appreciation to </w:t>
      </w:r>
      <w:r w:rsidR="00916B04">
        <w:t xml:space="preserve">religious bodies in assessing whether </w:t>
      </w:r>
      <w:r w:rsidR="00522516">
        <w:t>conduct is sufficiently related to religion.</w:t>
      </w:r>
    </w:p>
    <w:p w14:paraId="6E3DE0EF" w14:textId="5E2F9F7B" w:rsidR="001F06E4" w:rsidRDefault="00A733A4" w:rsidP="004D4430">
      <w:pPr>
        <w:pStyle w:val="ListNumber"/>
      </w:pPr>
      <w:r>
        <w:t>For a person who is not religious, a statement of belief</w:t>
      </w:r>
      <w:r w:rsidR="00EB33B8">
        <w:t xml:space="preserve"> is</w:t>
      </w:r>
      <w:r>
        <w:t>:</w:t>
      </w:r>
    </w:p>
    <w:p w14:paraId="332CC21B" w14:textId="134DC006" w:rsidR="00187903" w:rsidRDefault="00187903" w:rsidP="00187903">
      <w:pPr>
        <w:pStyle w:val="ListNumber"/>
        <w:numPr>
          <w:ilvl w:val="0"/>
          <w:numId w:val="23"/>
        </w:numPr>
      </w:pPr>
      <w:r>
        <w:t xml:space="preserve">of a belief </w:t>
      </w:r>
      <w:proofErr w:type="gramStart"/>
      <w:r>
        <w:t>actually held</w:t>
      </w:r>
      <w:proofErr w:type="gramEnd"/>
      <w:r>
        <w:t xml:space="preserve"> by that person</w:t>
      </w:r>
    </w:p>
    <w:p w14:paraId="571F4D5D" w14:textId="21E9A158" w:rsidR="00187903" w:rsidRDefault="00187903" w:rsidP="00187903">
      <w:pPr>
        <w:pStyle w:val="ListNumber"/>
        <w:numPr>
          <w:ilvl w:val="0"/>
          <w:numId w:val="23"/>
        </w:numPr>
      </w:pPr>
      <w:r>
        <w:t>made in good faith by that person, by written or spoken words</w:t>
      </w:r>
    </w:p>
    <w:p w14:paraId="45763886" w14:textId="6E2B6129" w:rsidR="000B593B" w:rsidRDefault="00187903" w:rsidP="00187903">
      <w:pPr>
        <w:pStyle w:val="ListNumber"/>
        <w:numPr>
          <w:ilvl w:val="0"/>
          <w:numId w:val="23"/>
        </w:numPr>
      </w:pPr>
      <w:r>
        <w:t>of a belief that a person</w:t>
      </w:r>
      <w:r w:rsidR="000C2307">
        <w:t xml:space="preserve"> who does not hold a religious belief could reasonably consider </w:t>
      </w:r>
      <w:proofErr w:type="gramStart"/>
      <w:r w:rsidR="000C2307">
        <w:t>to relate</w:t>
      </w:r>
      <w:proofErr w:type="gramEnd"/>
      <w:r w:rsidR="000C2307">
        <w:t xml:space="preserve"> to the fact of not holding a religious belief.</w:t>
      </w:r>
    </w:p>
    <w:p w14:paraId="43796A1A" w14:textId="39AF380F" w:rsidR="00D11441" w:rsidRDefault="00E103AC" w:rsidP="004D4430">
      <w:pPr>
        <w:pStyle w:val="ListNumber"/>
      </w:pPr>
      <w:bookmarkStart w:id="43" w:name="_Ref30423824"/>
      <w:r>
        <w:t xml:space="preserve">The third aspect of this test has changed from requiring the </w:t>
      </w:r>
      <w:r w:rsidR="00111A0E">
        <w:t>belief to ‘</w:t>
      </w:r>
      <w:r w:rsidR="005959A1">
        <w:t>arise directly from the fact that the person does not hold a religious belief’ to</w:t>
      </w:r>
      <w:r w:rsidR="001C4037">
        <w:t xml:space="preserve"> now</w:t>
      </w:r>
      <w:r w:rsidR="005959A1">
        <w:t xml:space="preserve"> </w:t>
      </w:r>
      <w:r w:rsidR="004F5F74">
        <w:t>‘</w:t>
      </w:r>
      <w:r w:rsidR="005E0F4D">
        <w:t xml:space="preserve">relate to the fact of not holding a religious belief’. </w:t>
      </w:r>
      <w:r w:rsidR="00943A23">
        <w:t xml:space="preserve"> </w:t>
      </w:r>
      <w:r w:rsidR="00943A23">
        <w:lastRenderedPageBreak/>
        <w:t>Arguably, the new test applies to a narrower range of statements by a person without a religious belief.</w:t>
      </w:r>
      <w:bookmarkEnd w:id="43"/>
    </w:p>
    <w:p w14:paraId="3A44E2EF" w14:textId="198368CB" w:rsidR="00FC76AD" w:rsidRDefault="00FC76AD" w:rsidP="002167DE">
      <w:pPr>
        <w:pStyle w:val="Heading2"/>
      </w:pPr>
      <w:bookmarkStart w:id="44" w:name="_Toc31355402"/>
      <w:r>
        <w:t>Definition of ‘vilify’</w:t>
      </w:r>
      <w:bookmarkEnd w:id="44"/>
    </w:p>
    <w:p w14:paraId="6157F738" w14:textId="0C7D6754" w:rsidR="00FC76AD" w:rsidRDefault="00A45710" w:rsidP="00FC76AD">
      <w:pPr>
        <w:pStyle w:val="ListNumber"/>
      </w:pPr>
      <w:bookmarkStart w:id="45" w:name="_Ref30423849"/>
      <w:r>
        <w:t xml:space="preserve">The second exposure draft also </w:t>
      </w:r>
      <w:r w:rsidR="00F24D60">
        <w:t>amends clause 42(2)</w:t>
      </w:r>
      <w:r w:rsidR="000E2DEC">
        <w:t>(b)</w:t>
      </w:r>
      <w:r w:rsidR="00F24D60">
        <w:t xml:space="preserve"> in a way that </w:t>
      </w:r>
      <w:r w:rsidR="00DB49ED">
        <w:t xml:space="preserve">appears to provide greater scope for discriminatory statements </w:t>
      </w:r>
      <w:r w:rsidR="000E5FF1">
        <w:t xml:space="preserve">of belief </w:t>
      </w:r>
      <w:r w:rsidR="00DB49ED">
        <w:t>to be made.</w:t>
      </w:r>
      <w:bookmarkEnd w:id="45"/>
    </w:p>
    <w:p w14:paraId="3C9F589F" w14:textId="70D2B478" w:rsidR="00DB49ED" w:rsidRDefault="00864606" w:rsidP="00FC76AD">
      <w:pPr>
        <w:pStyle w:val="ListNumber"/>
      </w:pPr>
      <w:r>
        <w:t>T</w:t>
      </w:r>
      <w:r w:rsidR="00DB49ED">
        <w:t>he previous draft</w:t>
      </w:r>
      <w:r>
        <w:t xml:space="preserve"> provided that </w:t>
      </w:r>
      <w:r w:rsidR="00427296">
        <w:t xml:space="preserve">discriminatory </w:t>
      </w:r>
      <w:r w:rsidR="00695420">
        <w:t xml:space="preserve">statements </w:t>
      </w:r>
      <w:r w:rsidR="00427296">
        <w:t xml:space="preserve">of belief </w:t>
      </w:r>
      <w:r>
        <w:t xml:space="preserve">would not be </w:t>
      </w:r>
      <w:r w:rsidR="00427296">
        <w:t xml:space="preserve">exempt from anti-discrimination law </w:t>
      </w:r>
      <w:r>
        <w:t xml:space="preserve">if they would </w:t>
      </w:r>
      <w:r w:rsidR="00827B52">
        <w:t xml:space="preserve">be likely to ‘harass, </w:t>
      </w:r>
      <w:r w:rsidR="00575961">
        <w:t>vilify or incite hatred or violence</w:t>
      </w:r>
      <w:r w:rsidR="00FA4158">
        <w:t xml:space="preserve">’ against another person or group of persons.  </w:t>
      </w:r>
      <w:r w:rsidR="002A21E3">
        <w:t>None of these terms w</w:t>
      </w:r>
      <w:r w:rsidR="00427296">
        <w:t>as</w:t>
      </w:r>
      <w:r w:rsidR="002A21E3">
        <w:t xml:space="preserve"> defined, so they all carried their ordinary meanings.  </w:t>
      </w:r>
      <w:r w:rsidR="00134785">
        <w:t>As a result of amendments to clause 42(2)(b)</w:t>
      </w:r>
      <w:r w:rsidR="00294CB5">
        <w:t xml:space="preserve">, statements will not be </w:t>
      </w:r>
      <w:r w:rsidR="00427296">
        <w:t xml:space="preserve">exempt from anti-discrimination law </w:t>
      </w:r>
      <w:r w:rsidR="00294CB5">
        <w:t xml:space="preserve">if they would be likely to ‘harass, </w:t>
      </w:r>
      <w:r w:rsidR="00A0405A">
        <w:t xml:space="preserve">threaten, seriously intimidate or vilify’ </w:t>
      </w:r>
      <w:r w:rsidR="000A2295">
        <w:t xml:space="preserve">another person or group of persons.  </w:t>
      </w:r>
    </w:p>
    <w:p w14:paraId="0C2F35CF" w14:textId="3A66201C" w:rsidR="000A2295" w:rsidRDefault="00FF325C" w:rsidP="00FC76AD">
      <w:pPr>
        <w:pStyle w:val="ListNumber"/>
      </w:pPr>
      <w:r>
        <w:t xml:space="preserve">Importantly, </w:t>
      </w:r>
      <w:r w:rsidR="000A2295">
        <w:t>‘</w:t>
      </w:r>
      <w:r>
        <w:t>v</w:t>
      </w:r>
      <w:r w:rsidR="000A2295">
        <w:t xml:space="preserve">ilify’ no longer takes its ordinary meaning, and has instead been defined </w:t>
      </w:r>
      <w:r w:rsidR="00A44D57">
        <w:t>to mean ‘incite hatred or violence’</w:t>
      </w:r>
      <w:r w:rsidR="007351BD">
        <w:t>.</w:t>
      </w:r>
    </w:p>
    <w:p w14:paraId="6D4F87F6" w14:textId="16EAD18B" w:rsidR="007351BD" w:rsidRDefault="008E71D4" w:rsidP="00FC76AD">
      <w:pPr>
        <w:pStyle w:val="ListNumber"/>
      </w:pPr>
      <w:r>
        <w:t xml:space="preserve">Reading in the </w:t>
      </w:r>
      <w:r w:rsidR="006D4A93">
        <w:t xml:space="preserve">new </w:t>
      </w:r>
      <w:r>
        <w:t>definition</w:t>
      </w:r>
      <w:r w:rsidR="006D4A93">
        <w:t xml:space="preserve"> of ‘vilify’</w:t>
      </w:r>
      <w:r>
        <w:t xml:space="preserve">, the threshold now is that </w:t>
      </w:r>
      <w:r w:rsidR="00C22012">
        <w:t xml:space="preserve">a statement will not be </w:t>
      </w:r>
      <w:r w:rsidR="00427296">
        <w:t>exempt from anti-discrimination law</w:t>
      </w:r>
      <w:r w:rsidR="00C22012">
        <w:t xml:space="preserve"> if it would be likely to ‘harass, threaten, seriously intimidate or incite hatred or violence’.</w:t>
      </w:r>
    </w:p>
    <w:p w14:paraId="74809667" w14:textId="19525192" w:rsidR="00F37D06" w:rsidRDefault="002A0A45" w:rsidP="00FC76AD">
      <w:pPr>
        <w:pStyle w:val="ListNumber"/>
      </w:pPr>
      <w:r>
        <w:t xml:space="preserve">The implication of these changes is that discriminatory statements will now be permitted to ‘vilify’ people in the ordinary sense of that word. </w:t>
      </w:r>
    </w:p>
    <w:p w14:paraId="06100125" w14:textId="1BB1C2ED" w:rsidR="00BF225A" w:rsidRDefault="00BF225A" w:rsidP="00FC76AD">
      <w:pPr>
        <w:pStyle w:val="ListNumber"/>
      </w:pPr>
      <w:r>
        <w:t xml:space="preserve">The </w:t>
      </w:r>
      <w:r w:rsidR="00BC5E80">
        <w:t xml:space="preserve">Shorter Oxford Dictionary defines </w:t>
      </w:r>
      <w:r w:rsidR="00E613AB">
        <w:t>‘vilify’ as including:</w:t>
      </w:r>
    </w:p>
    <w:p w14:paraId="0D8FB087" w14:textId="062671AD" w:rsidR="00E613AB" w:rsidRPr="00882A88" w:rsidRDefault="00DF3350" w:rsidP="00E613AB">
      <w:pPr>
        <w:pStyle w:val="ListNumber"/>
        <w:numPr>
          <w:ilvl w:val="0"/>
          <w:numId w:val="24"/>
        </w:numPr>
        <w:rPr>
          <w:sz w:val="22"/>
          <w:szCs w:val="22"/>
        </w:rPr>
      </w:pPr>
      <w:r w:rsidRPr="00882A88">
        <w:rPr>
          <w:i/>
          <w:iCs/>
          <w:sz w:val="22"/>
          <w:szCs w:val="22"/>
        </w:rPr>
        <w:t>t</w:t>
      </w:r>
      <w:r w:rsidR="00E613AB" w:rsidRPr="00882A88">
        <w:rPr>
          <w:i/>
          <w:iCs/>
          <w:sz w:val="22"/>
          <w:szCs w:val="22"/>
        </w:rPr>
        <w:t>rans</w:t>
      </w:r>
      <w:r w:rsidRPr="00882A88">
        <w:rPr>
          <w:sz w:val="22"/>
          <w:szCs w:val="22"/>
        </w:rPr>
        <w:t xml:space="preserve">. To lower </w:t>
      </w:r>
      <w:r w:rsidR="00776FAC" w:rsidRPr="00882A88">
        <w:rPr>
          <w:sz w:val="22"/>
          <w:szCs w:val="22"/>
        </w:rPr>
        <w:t>or lessen in worth or value</w:t>
      </w:r>
      <w:r w:rsidR="00F4046D" w:rsidRPr="00882A88">
        <w:rPr>
          <w:sz w:val="22"/>
          <w:szCs w:val="22"/>
        </w:rPr>
        <w:t>; to reduce to a lower standing or level</w:t>
      </w:r>
      <w:r w:rsidR="000F43CD" w:rsidRPr="00882A88">
        <w:rPr>
          <w:sz w:val="22"/>
          <w:szCs w:val="22"/>
        </w:rPr>
        <w:t>. …</w:t>
      </w:r>
    </w:p>
    <w:p w14:paraId="0BE3BB57" w14:textId="210B1949" w:rsidR="000F43CD" w:rsidRPr="00882A88" w:rsidRDefault="00EB1D65" w:rsidP="00E613AB">
      <w:pPr>
        <w:pStyle w:val="ListNumber"/>
        <w:numPr>
          <w:ilvl w:val="0"/>
          <w:numId w:val="24"/>
        </w:numPr>
        <w:rPr>
          <w:sz w:val="22"/>
          <w:szCs w:val="22"/>
        </w:rPr>
      </w:pPr>
      <w:r w:rsidRPr="00882A88">
        <w:rPr>
          <w:sz w:val="22"/>
          <w:szCs w:val="22"/>
        </w:rPr>
        <w:t xml:space="preserve">To depreciate </w:t>
      </w:r>
      <w:r w:rsidR="00B967E9" w:rsidRPr="00882A88">
        <w:rPr>
          <w:sz w:val="22"/>
          <w:szCs w:val="22"/>
        </w:rPr>
        <w:t>or disparage in discourse</w:t>
      </w:r>
      <w:r w:rsidR="00A6474D" w:rsidRPr="00882A88">
        <w:rPr>
          <w:sz w:val="22"/>
          <w:szCs w:val="22"/>
        </w:rPr>
        <w:t>; to defame or traduce</w:t>
      </w:r>
      <w:r w:rsidR="00096669" w:rsidRPr="00882A88">
        <w:rPr>
          <w:sz w:val="22"/>
          <w:szCs w:val="22"/>
        </w:rPr>
        <w:t xml:space="preserve">; to </w:t>
      </w:r>
      <w:r w:rsidR="00A10352" w:rsidRPr="00882A88">
        <w:rPr>
          <w:sz w:val="22"/>
          <w:szCs w:val="22"/>
        </w:rPr>
        <w:t xml:space="preserve">speak evil of </w:t>
      </w:r>
      <w:proofErr w:type="gramStart"/>
      <w:r w:rsidR="00A10352" w:rsidRPr="00882A88">
        <w:rPr>
          <w:sz w:val="22"/>
          <w:szCs w:val="22"/>
        </w:rPr>
        <w:t>… .</w:t>
      </w:r>
      <w:proofErr w:type="gramEnd"/>
    </w:p>
    <w:p w14:paraId="41D5CFEC" w14:textId="3F42BD08" w:rsidR="00A10352" w:rsidRPr="00882A88" w:rsidRDefault="00E20971" w:rsidP="00E613AB">
      <w:pPr>
        <w:pStyle w:val="ListNumber"/>
        <w:numPr>
          <w:ilvl w:val="0"/>
          <w:numId w:val="24"/>
        </w:numPr>
        <w:rPr>
          <w:sz w:val="22"/>
          <w:szCs w:val="22"/>
        </w:rPr>
      </w:pPr>
      <w:r w:rsidRPr="00882A88">
        <w:rPr>
          <w:sz w:val="22"/>
          <w:szCs w:val="22"/>
        </w:rPr>
        <w:t>To regard as worthless or of little value</w:t>
      </w:r>
      <w:r w:rsidR="00542F88" w:rsidRPr="00882A88">
        <w:rPr>
          <w:sz w:val="22"/>
          <w:szCs w:val="22"/>
        </w:rPr>
        <w:t>; to condemn or despise.</w:t>
      </w:r>
    </w:p>
    <w:p w14:paraId="7E5AA076" w14:textId="5A71EF0C" w:rsidR="00542F88" w:rsidRDefault="00F0107A" w:rsidP="002444D3">
      <w:pPr>
        <w:pStyle w:val="ListNumber"/>
      </w:pPr>
      <w:r>
        <w:t xml:space="preserve">These are the kinds of </w:t>
      </w:r>
      <w:r w:rsidR="00754B34">
        <w:t xml:space="preserve">statements of belief </w:t>
      </w:r>
      <w:r w:rsidR="00271BA0">
        <w:t xml:space="preserve">that </w:t>
      </w:r>
      <w:r w:rsidR="00754B34">
        <w:t xml:space="preserve">will </w:t>
      </w:r>
      <w:r w:rsidR="00271BA0">
        <w:t xml:space="preserve">now </w:t>
      </w:r>
      <w:r w:rsidR="00754B34">
        <w:t>be permitted</w:t>
      </w:r>
      <w:r w:rsidR="00271BA0">
        <w:t xml:space="preserve"> under the test in the second exposure draft</w:t>
      </w:r>
      <w:r w:rsidR="00754B34">
        <w:t xml:space="preserve">. </w:t>
      </w:r>
    </w:p>
    <w:p w14:paraId="5FEC8F87" w14:textId="6E0B4ACF" w:rsidR="0085294E" w:rsidRDefault="0085294E" w:rsidP="002444D3">
      <w:pPr>
        <w:pStyle w:val="ListNumber"/>
      </w:pPr>
      <w:r>
        <w:t>It is unclear why the qualification ‘</w:t>
      </w:r>
      <w:r w:rsidR="00EA11BE">
        <w:t xml:space="preserve">seriously’ has been added to </w:t>
      </w:r>
      <w:r w:rsidR="008D539D">
        <w:t xml:space="preserve">the threshold of ‘intimidate’.  It suggests that </w:t>
      </w:r>
      <w:r w:rsidR="002C7898">
        <w:t xml:space="preserve">some forms </w:t>
      </w:r>
      <w:r w:rsidR="00D96DE9">
        <w:t>of intimidation by way of discriminatory statements of belief will also be permissible.</w:t>
      </w:r>
    </w:p>
    <w:p w14:paraId="4241CFF3" w14:textId="2C555C0B" w:rsidR="00921575" w:rsidRDefault="00921575" w:rsidP="002444D3">
      <w:pPr>
        <w:pStyle w:val="ListNumber"/>
      </w:pPr>
      <w:r>
        <w:t xml:space="preserve">The Shorter Oxford Dictionary defines ‘intimidate’ </w:t>
      </w:r>
      <w:r w:rsidR="00786347">
        <w:t>in the following way</w:t>
      </w:r>
      <w:r>
        <w:t>:</w:t>
      </w:r>
    </w:p>
    <w:p w14:paraId="58B213B4" w14:textId="67B3762B" w:rsidR="00921575" w:rsidRDefault="008B11BA" w:rsidP="008B11BA">
      <w:pPr>
        <w:pStyle w:val="ListNumber"/>
        <w:numPr>
          <w:ilvl w:val="0"/>
          <w:numId w:val="0"/>
        </w:numPr>
        <w:ind w:left="1440" w:hanging="737"/>
        <w:rPr>
          <w:sz w:val="22"/>
          <w:szCs w:val="22"/>
        </w:rPr>
      </w:pPr>
      <w:r>
        <w:rPr>
          <w:i/>
          <w:iCs/>
          <w:sz w:val="22"/>
          <w:szCs w:val="22"/>
        </w:rPr>
        <w:lastRenderedPageBreak/>
        <w:tab/>
      </w:r>
      <w:r>
        <w:rPr>
          <w:i/>
          <w:iCs/>
          <w:sz w:val="22"/>
          <w:szCs w:val="22"/>
        </w:rPr>
        <w:tab/>
      </w:r>
      <w:r w:rsidR="00C952B6" w:rsidRPr="008B11BA">
        <w:rPr>
          <w:i/>
          <w:iCs/>
          <w:sz w:val="22"/>
          <w:szCs w:val="22"/>
        </w:rPr>
        <w:t>trans</w:t>
      </w:r>
      <w:r w:rsidR="00C952B6" w:rsidRPr="008B11BA">
        <w:rPr>
          <w:sz w:val="22"/>
          <w:szCs w:val="22"/>
        </w:rPr>
        <w:t>. T</w:t>
      </w:r>
      <w:r w:rsidR="00C01FF2" w:rsidRPr="008B11BA">
        <w:rPr>
          <w:sz w:val="22"/>
          <w:szCs w:val="22"/>
        </w:rPr>
        <w:t xml:space="preserve">o render </w:t>
      </w:r>
      <w:r w:rsidR="00C23DED" w:rsidRPr="008B11BA">
        <w:rPr>
          <w:sz w:val="22"/>
          <w:szCs w:val="22"/>
        </w:rPr>
        <w:t>timid</w:t>
      </w:r>
      <w:r w:rsidR="009F64BD" w:rsidRPr="008B11BA">
        <w:rPr>
          <w:sz w:val="22"/>
          <w:szCs w:val="22"/>
        </w:rPr>
        <w:t>, inspire with fear; to overawe</w:t>
      </w:r>
      <w:r w:rsidR="00343CBF" w:rsidRPr="008B11BA">
        <w:rPr>
          <w:sz w:val="22"/>
          <w:szCs w:val="22"/>
        </w:rPr>
        <w:t>, cow</w:t>
      </w:r>
      <w:r w:rsidR="00E44D14" w:rsidRPr="008B11BA">
        <w:rPr>
          <w:sz w:val="22"/>
          <w:szCs w:val="22"/>
        </w:rPr>
        <w:t xml:space="preserve">; now </w:t>
      </w:r>
      <w:r w:rsidR="00E44D14" w:rsidRPr="004B2152">
        <w:rPr>
          <w:i/>
          <w:iCs/>
          <w:sz w:val="22"/>
          <w:szCs w:val="22"/>
        </w:rPr>
        <w:t>esp</w:t>
      </w:r>
      <w:r w:rsidR="00E44D14" w:rsidRPr="008B11BA">
        <w:rPr>
          <w:sz w:val="22"/>
          <w:szCs w:val="22"/>
        </w:rPr>
        <w:t>. to force</w:t>
      </w:r>
      <w:r w:rsidR="00846376" w:rsidRPr="008B11BA">
        <w:rPr>
          <w:sz w:val="22"/>
          <w:szCs w:val="22"/>
        </w:rPr>
        <w:t xml:space="preserve"> to or deter from some action by threats or violence.</w:t>
      </w:r>
    </w:p>
    <w:p w14:paraId="6AC94E66" w14:textId="0763FAA5" w:rsidR="000902DC" w:rsidRDefault="000902DC" w:rsidP="000902DC">
      <w:pPr>
        <w:pStyle w:val="ListNumber"/>
      </w:pPr>
      <w:bookmarkStart w:id="46" w:name="_Ref30423858"/>
      <w:r>
        <w:t xml:space="preserve">While the aspects of ‘intimidation’ dealing with threats of violence would be excluded, it appears that the intention is to permit some kinds of statements that render others timid, that inspire them with fear and that overawe or cow them, provided that </w:t>
      </w:r>
      <w:r w:rsidR="00F74CE5">
        <w:t>this conduct does</w:t>
      </w:r>
      <w:r w:rsidR="00427296">
        <w:t xml:space="preserve"> </w:t>
      </w:r>
      <w:r w:rsidR="00F74CE5">
        <w:t>n</w:t>
      </w:r>
      <w:r w:rsidR="00427296">
        <w:t>o</w:t>
      </w:r>
      <w:r w:rsidR="00F74CE5">
        <w:t>t rise to the level of ‘serious’ intimidation</w:t>
      </w:r>
      <w:r w:rsidR="00436CFE">
        <w:t xml:space="preserve">.  It may be that ‘serious’ intimidation </w:t>
      </w:r>
      <w:r w:rsidR="00EF4A22">
        <w:t xml:space="preserve">is </w:t>
      </w:r>
      <w:r w:rsidR="00F37F8B">
        <w:t>intimidation that involves threats or violence.</w:t>
      </w:r>
      <w:bookmarkEnd w:id="46"/>
    </w:p>
    <w:p w14:paraId="7F4DEF58" w14:textId="7B8AAC9C" w:rsidR="0077461B" w:rsidRPr="008B11BA" w:rsidRDefault="0077461B" w:rsidP="000902DC">
      <w:pPr>
        <w:pStyle w:val="ListNumber"/>
      </w:pPr>
      <w:bookmarkStart w:id="47" w:name="_Ref31356073"/>
      <w:r>
        <w:t xml:space="preserve">In all cases, the section will only operate in relation to conduct that would otherwise be in breach of </w:t>
      </w:r>
      <w:r w:rsidR="000B4582">
        <w:t>anti-discrimination law.</w:t>
      </w:r>
      <w:bookmarkEnd w:id="47"/>
    </w:p>
    <w:p w14:paraId="43FD2CB3" w14:textId="06464BDC" w:rsidR="00553F13" w:rsidRDefault="00427296" w:rsidP="002167DE">
      <w:pPr>
        <w:pStyle w:val="Heading2"/>
      </w:pPr>
      <w:bookmarkStart w:id="48" w:name="_Toc31355403"/>
      <w:r>
        <w:t xml:space="preserve">Exemption </w:t>
      </w:r>
      <w:r w:rsidR="002167DE">
        <w:t>only for discriminatory statement</w:t>
      </w:r>
      <w:r w:rsidR="009B0887">
        <w:t>s</w:t>
      </w:r>
      <w:r w:rsidR="002167DE">
        <w:t xml:space="preserve"> and not for related discriminatory conduct</w:t>
      </w:r>
      <w:bookmarkEnd w:id="48"/>
    </w:p>
    <w:p w14:paraId="0BCEE67C" w14:textId="44592153" w:rsidR="002167DE" w:rsidRDefault="002167DE" w:rsidP="004D4430">
      <w:pPr>
        <w:pStyle w:val="ListNumber"/>
      </w:pPr>
      <w:r>
        <w:t>A significant amendment to clause 42</w:t>
      </w:r>
      <w:r w:rsidR="006113BB">
        <w:t>(1)</w:t>
      </w:r>
      <w:r>
        <w:t xml:space="preserve"> is the addition of the words </w:t>
      </w:r>
      <w:r w:rsidR="006113BB">
        <w:t xml:space="preserve">‘in and of itself’ after </w:t>
      </w:r>
      <w:r w:rsidR="00DE76D1">
        <w:t>‘A statement of belief’.</w:t>
      </w:r>
      <w:r w:rsidR="002D0886">
        <w:t xml:space="preserve">  </w:t>
      </w:r>
      <w:r w:rsidR="00570F15">
        <w:t xml:space="preserve">This amendment responds to some of the submissions made by </w:t>
      </w:r>
      <w:r w:rsidR="001B5BC9">
        <w:t xml:space="preserve">the </w:t>
      </w:r>
      <w:r w:rsidR="00570F15">
        <w:t>Commission in relation to the first exposure draft.</w:t>
      </w:r>
    </w:p>
    <w:p w14:paraId="6F10D818" w14:textId="2FDF64F6" w:rsidR="000F4533" w:rsidRDefault="000F4533" w:rsidP="000F4533">
      <w:pPr>
        <w:pStyle w:val="ListNumber"/>
      </w:pPr>
      <w:r w:rsidRPr="006422FC">
        <w:t xml:space="preserve">As the Commission had pointed out, discriminatory statements may amount to ‘less favourable treatment’ in and of themselves.  They may also provide evidence that other conduct, which is less favourable to a person, was undertaken for a prohibited reason. </w:t>
      </w:r>
    </w:p>
    <w:p w14:paraId="743EF246" w14:textId="77777777" w:rsidR="000F4533" w:rsidRDefault="000F4533" w:rsidP="000F4533">
      <w:pPr>
        <w:pStyle w:val="ListNumber"/>
      </w:pPr>
      <w:r>
        <w:t>The Commission identified three problems with clause 42:</w:t>
      </w:r>
    </w:p>
    <w:p w14:paraId="2DE16B61" w14:textId="77777777" w:rsidR="000F4533" w:rsidRDefault="000F4533" w:rsidP="000F4533">
      <w:pPr>
        <w:pStyle w:val="ListNumber"/>
        <w:numPr>
          <w:ilvl w:val="0"/>
          <w:numId w:val="23"/>
        </w:numPr>
      </w:pPr>
      <w:r>
        <w:t xml:space="preserve">it would allow discriminatory statements to be made that would otherwise be contrary to anti-discrimination law </w:t>
      </w:r>
    </w:p>
    <w:p w14:paraId="3BE13D22" w14:textId="77777777" w:rsidR="000F4533" w:rsidRDefault="000F4533" w:rsidP="000F4533">
      <w:pPr>
        <w:pStyle w:val="ListNumber"/>
        <w:numPr>
          <w:ilvl w:val="0"/>
          <w:numId w:val="23"/>
        </w:numPr>
      </w:pPr>
      <w:r>
        <w:t>it may also allow discriminatory conduct to be engaged in, if it was not possible to separate out discriminatory statements from discriminatory conduct</w:t>
      </w:r>
    </w:p>
    <w:p w14:paraId="4AF31379" w14:textId="36F56069" w:rsidR="000F4533" w:rsidRDefault="000F4533" w:rsidP="000F4533">
      <w:pPr>
        <w:pStyle w:val="ListNumber"/>
        <w:numPr>
          <w:ilvl w:val="0"/>
          <w:numId w:val="23"/>
        </w:numPr>
      </w:pPr>
      <w:r>
        <w:t xml:space="preserve">it may make it more difficult to demonstrate that discriminatory conduct was engaged in for a prohibited reason, by deeming discriminatory statements disclosing the motivation of the discriminator </w:t>
      </w:r>
      <w:r w:rsidR="00D74D76">
        <w:t>to</w:t>
      </w:r>
      <w:r w:rsidR="00AC403A">
        <w:t xml:space="preserve"> not amount to discrimination</w:t>
      </w:r>
      <w:r>
        <w:t>.</w:t>
      </w:r>
    </w:p>
    <w:p w14:paraId="0078B4DD" w14:textId="7200C526" w:rsidR="007F56FC" w:rsidRDefault="00756EAA" w:rsidP="004D4430">
      <w:pPr>
        <w:pStyle w:val="ListNumber"/>
      </w:pPr>
      <w:r>
        <w:t xml:space="preserve">The effect of the amendment is to </w:t>
      </w:r>
      <w:r w:rsidR="00D219C2">
        <w:t xml:space="preserve">confirm that people will be permitted to make </w:t>
      </w:r>
      <w:r w:rsidR="00C53F86">
        <w:t xml:space="preserve">discriminatory </w:t>
      </w:r>
      <w:proofErr w:type="gramStart"/>
      <w:r w:rsidR="00C53F86">
        <w:t>statements, but</w:t>
      </w:r>
      <w:proofErr w:type="gramEnd"/>
      <w:r w:rsidR="00C53F86">
        <w:t xml:space="preserve"> </w:t>
      </w:r>
      <w:r w:rsidR="00D219C2">
        <w:t xml:space="preserve">will not be protected if they act on those statements and engage in </w:t>
      </w:r>
      <w:r w:rsidR="00CB10E1">
        <w:t xml:space="preserve">related </w:t>
      </w:r>
      <w:r w:rsidR="00D219C2">
        <w:t xml:space="preserve">discriminatory conduct that is consistent with the discriminatory statement. </w:t>
      </w:r>
      <w:r w:rsidR="007F56FC">
        <w:t xml:space="preserve"> For example, the Explanatory Notes </w:t>
      </w:r>
      <w:r w:rsidR="0022100D">
        <w:t xml:space="preserve">now </w:t>
      </w:r>
      <w:r w:rsidR="007F56FC">
        <w:t xml:space="preserve">make clear that </w:t>
      </w:r>
      <w:r w:rsidR="00EC3A95">
        <w:t xml:space="preserve">business owners </w:t>
      </w:r>
      <w:r w:rsidR="00B45CEF">
        <w:lastRenderedPageBreak/>
        <w:t xml:space="preserve">(for example) </w:t>
      </w:r>
      <w:r w:rsidR="007F56FC">
        <w:t>will be permitted to make discriminatory statements about their employees</w:t>
      </w:r>
      <w:r w:rsidR="00EC3A95">
        <w:t xml:space="preserve"> or customers</w:t>
      </w:r>
      <w:r w:rsidR="00FB4354">
        <w:t xml:space="preserve"> that would otherwise be contrary to anti-discrimination law</w:t>
      </w:r>
      <w:r w:rsidR="007F56FC">
        <w:t xml:space="preserve">, but would not be permitted to </w:t>
      </w:r>
      <w:r w:rsidR="00C972CA">
        <w:t>engage in ‘any forms of behaviour that goes beyond the making of a statement</w:t>
      </w:r>
      <w:r w:rsidR="000939DC">
        <w:t xml:space="preserve"> such as employment decisions, decisions not to provide goods</w:t>
      </w:r>
      <w:r w:rsidR="00254CB5">
        <w:t>,</w:t>
      </w:r>
      <w:r w:rsidR="000939DC">
        <w:t xml:space="preserve"> services, </w:t>
      </w:r>
      <w:r w:rsidR="00254CB5">
        <w:t>or facilities or the destruction of religious symbols’.</w:t>
      </w:r>
      <w:r w:rsidR="007152A5">
        <w:rPr>
          <w:rStyle w:val="EndnoteReference"/>
        </w:rPr>
        <w:endnoteReference w:id="36"/>
      </w:r>
    </w:p>
    <w:p w14:paraId="78BD7D93" w14:textId="04ABE065" w:rsidR="00756EAA" w:rsidRDefault="003F783D" w:rsidP="004D4430">
      <w:pPr>
        <w:pStyle w:val="ListNumber"/>
      </w:pPr>
      <w:r>
        <w:t xml:space="preserve">Further, </w:t>
      </w:r>
      <w:r w:rsidR="00C54F82">
        <w:t xml:space="preserve">the Explanatory Notes now make clear </w:t>
      </w:r>
      <w:r w:rsidR="007737B1">
        <w:t xml:space="preserve">the Government’s intention </w:t>
      </w:r>
      <w:r w:rsidR="00C54F82">
        <w:t xml:space="preserve">that </w:t>
      </w:r>
      <w:r w:rsidR="00956F23">
        <w:t xml:space="preserve">a discriminatory statement of belief </w:t>
      </w:r>
      <w:r w:rsidR="003941D1">
        <w:t xml:space="preserve">should be able to be </w:t>
      </w:r>
      <w:r w:rsidR="00784C3C">
        <w:t xml:space="preserve">‘brought forward as evidence </w:t>
      </w:r>
      <w:r w:rsidR="008B1A76">
        <w:t>in support of a discrimination complaint concerning separate conduct’</w:t>
      </w:r>
      <w:r w:rsidR="00B53A88">
        <w:t>.</w:t>
      </w:r>
      <w:r w:rsidR="003F3B5A">
        <w:rPr>
          <w:rStyle w:val="EndnoteReference"/>
        </w:rPr>
        <w:endnoteReference w:id="37"/>
      </w:r>
      <w:r w:rsidR="00B53A88">
        <w:t xml:space="preserve">  For example</w:t>
      </w:r>
      <w:r w:rsidR="00ED4E5D">
        <w:t>,</w:t>
      </w:r>
      <w:r w:rsidR="00B53A88">
        <w:t xml:space="preserve"> the discriminatory statement of belief could be evidence </w:t>
      </w:r>
      <w:r w:rsidR="007D161E">
        <w:t>that related conduct was engaged in for a discriminatory reason.</w:t>
      </w:r>
    </w:p>
    <w:p w14:paraId="30C17C76" w14:textId="2A8F0918" w:rsidR="003F783D" w:rsidRDefault="00EE063A" w:rsidP="004D4430">
      <w:pPr>
        <w:pStyle w:val="ListNumber"/>
      </w:pPr>
      <w:r>
        <w:t>In practice, however, it may be difficult to separate out discriminatory statements and related discriminatory conduct.</w:t>
      </w:r>
      <w:r w:rsidR="003637AA">
        <w:t xml:space="preserve">  An example given </w:t>
      </w:r>
      <w:r w:rsidR="00084C4E">
        <w:t xml:space="preserve">in the Commission’s first submission </w:t>
      </w:r>
      <w:r w:rsidR="007A780F">
        <w:t xml:space="preserve">related to the difficulty that </w:t>
      </w:r>
      <w:r w:rsidR="00657424">
        <w:t>people who are blind or have a vision impairment sometimes face in hailing a taxi when they are travelling with a guide dog.</w:t>
      </w:r>
      <w:r w:rsidR="00CE6AEC">
        <w:t xml:space="preserve">  It is unlawful to treat a person less favourably </w:t>
      </w:r>
      <w:r w:rsidR="007566E0">
        <w:t>because they have an assistance animal.</w:t>
      </w:r>
      <w:r w:rsidR="00DE65E7">
        <w:t xml:space="preserve">  If a taxi driver said to such a person that their religion considers </w:t>
      </w:r>
      <w:r w:rsidR="00CF579A">
        <w:t>dogs to be unclean animals</w:t>
      </w:r>
      <w:r w:rsidR="00BE16F4">
        <w:t xml:space="preserve">, this may involve </w:t>
      </w:r>
      <w:r w:rsidR="008F6F72">
        <w:t xml:space="preserve">treating the person less favourably because </w:t>
      </w:r>
      <w:r w:rsidR="00EA4277">
        <w:t xml:space="preserve">of their assistance animal.  </w:t>
      </w:r>
      <w:r w:rsidR="00474B92">
        <w:t>Clause 4</w:t>
      </w:r>
      <w:r w:rsidR="009448DE">
        <w:t>2</w:t>
      </w:r>
      <w:r w:rsidR="00474B92">
        <w:t xml:space="preserve"> may mean that such a statement would no longer be discriminatory in and of itself.  </w:t>
      </w:r>
      <w:r w:rsidR="00107C80">
        <w:t xml:space="preserve">If the person with </w:t>
      </w:r>
      <w:r w:rsidR="005C5F86">
        <w:t xml:space="preserve">the guide dog then does not get in the taxi, </w:t>
      </w:r>
      <w:r w:rsidR="000E2AD0">
        <w:t xml:space="preserve">is the person </w:t>
      </w:r>
      <w:r w:rsidR="00BB15BF">
        <w:t xml:space="preserve">merely </w:t>
      </w:r>
      <w:r w:rsidR="000829C7">
        <w:t xml:space="preserve">making their own decision </w:t>
      </w:r>
      <w:r w:rsidR="00CF5FE8">
        <w:t xml:space="preserve">not to </w:t>
      </w:r>
      <w:r w:rsidR="007D64DD">
        <w:t xml:space="preserve">take the taxi </w:t>
      </w:r>
      <w:r w:rsidR="000829C7">
        <w:t xml:space="preserve">in </w:t>
      </w:r>
      <w:r w:rsidR="00BB15BF">
        <w:t>respon</w:t>
      </w:r>
      <w:r w:rsidR="000829C7">
        <w:t>se</w:t>
      </w:r>
      <w:r w:rsidR="00BB15BF">
        <w:t xml:space="preserve"> to a (lawful</w:t>
      </w:r>
      <w:r w:rsidR="00117E1D">
        <w:t>)</w:t>
      </w:r>
      <w:r w:rsidR="00BB15BF">
        <w:t xml:space="preserve"> statement, or </w:t>
      </w:r>
      <w:r w:rsidR="00863E71">
        <w:t xml:space="preserve">is the statement enough to also amount to </w:t>
      </w:r>
      <w:r w:rsidR="00320C8B">
        <w:t xml:space="preserve">an (unlawful) refusal by the taxi driver to </w:t>
      </w:r>
      <w:r w:rsidR="00785C43">
        <w:t xml:space="preserve">provide a taxi service? </w:t>
      </w:r>
      <w:r w:rsidR="00FA3A82">
        <w:t xml:space="preserve"> Does the customer need to insist that the taxi driver take them in order to demonstrate that there has been a</w:t>
      </w:r>
      <w:r w:rsidR="0011654D">
        <w:t>n unlawful</w:t>
      </w:r>
      <w:r w:rsidR="00FA3A82">
        <w:t xml:space="preserve"> refusal of service?</w:t>
      </w:r>
    </w:p>
    <w:p w14:paraId="579D570C" w14:textId="2D48C340" w:rsidR="00611AB0" w:rsidRDefault="00611AB0" w:rsidP="004D4430">
      <w:pPr>
        <w:pStyle w:val="ListNumber"/>
      </w:pPr>
      <w:r>
        <w:t xml:space="preserve">Similarly, it appears that it would be permissible for a shop to have a sign in the window </w:t>
      </w:r>
      <w:r w:rsidR="00C4068C">
        <w:t xml:space="preserve">saying that gay people were not welcome if this was a statement of belief, although it would continue to be unlawful to refuse to serve a person because of their sexual </w:t>
      </w:r>
      <w:r w:rsidR="00B67213">
        <w:t>orientation</w:t>
      </w:r>
      <w:r w:rsidR="00C4068C">
        <w:t>.</w:t>
      </w:r>
    </w:p>
    <w:p w14:paraId="14CE2208" w14:textId="583F814F" w:rsidR="00BC4096" w:rsidRDefault="00BC4096" w:rsidP="004D4430">
      <w:pPr>
        <w:pStyle w:val="ListNumber"/>
      </w:pPr>
      <w:r>
        <w:t xml:space="preserve">Examples of this nature can be multiplied where something discriminatory is said </w:t>
      </w:r>
      <w:r w:rsidR="004B01AD">
        <w:t xml:space="preserve">or written </w:t>
      </w:r>
      <w:r w:rsidR="001E0055">
        <w:t xml:space="preserve">about a person </w:t>
      </w:r>
      <w:r w:rsidR="00A4048C">
        <w:t xml:space="preserve">without necessarily spelling out what the consequences </w:t>
      </w:r>
      <w:r w:rsidR="001E0055">
        <w:t xml:space="preserve">will be for the person on the receiving end of the communication.  </w:t>
      </w:r>
      <w:r w:rsidR="00A14109">
        <w:t>Why should the statement be permitted</w:t>
      </w:r>
      <w:r w:rsidR="00B4632B">
        <w:t xml:space="preserve"> where it would otherwise be unlawful, and where it would be unlawful to act on the statement?</w:t>
      </w:r>
    </w:p>
    <w:p w14:paraId="05CBF659" w14:textId="3BD28527" w:rsidR="00B4632B" w:rsidRDefault="00E12DD9" w:rsidP="004D4430">
      <w:pPr>
        <w:pStyle w:val="ListNumber"/>
      </w:pPr>
      <w:r>
        <w:lastRenderedPageBreak/>
        <w:t xml:space="preserve">Even if the narrowing of clause 42 is successful and </w:t>
      </w:r>
      <w:r w:rsidR="008C4AA0">
        <w:t xml:space="preserve">it is possible to separate out </w:t>
      </w:r>
      <w:r>
        <w:t>discriminatory statements</w:t>
      </w:r>
      <w:r w:rsidR="008C4AA0">
        <w:t xml:space="preserve"> from any related conduct</w:t>
      </w:r>
      <w:r>
        <w:t xml:space="preserve">, </w:t>
      </w:r>
      <w:r w:rsidR="00D95E49">
        <w:t xml:space="preserve">this would still run into the same </w:t>
      </w:r>
      <w:r w:rsidR="003C3F2C">
        <w:t xml:space="preserve">conceptual problems identified by the Commission in its first submission.  </w:t>
      </w:r>
      <w:proofErr w:type="gramStart"/>
      <w:r w:rsidR="003C3F2C">
        <w:t>In particular</w:t>
      </w:r>
      <w:r w:rsidR="005802B4">
        <w:t>,</w:t>
      </w:r>
      <w:r w:rsidR="003C3F2C">
        <w:t xml:space="preserve"> it</w:t>
      </w:r>
      <w:proofErr w:type="gramEnd"/>
      <w:r w:rsidR="003C3F2C">
        <w:t xml:space="preserve"> involves </w:t>
      </w:r>
      <w:r w:rsidR="000372F4">
        <w:t xml:space="preserve">preferencing </w:t>
      </w:r>
      <w:r w:rsidR="004A39CC">
        <w:t xml:space="preserve">the manifestation of </w:t>
      </w:r>
      <w:r w:rsidR="000372F4">
        <w:t>religio</w:t>
      </w:r>
      <w:r w:rsidR="000C4775">
        <w:t>n</w:t>
      </w:r>
      <w:r w:rsidR="000372F4">
        <w:t xml:space="preserve"> over </w:t>
      </w:r>
      <w:r w:rsidR="00BD6EF9">
        <w:t xml:space="preserve">the </w:t>
      </w:r>
      <w:r w:rsidR="000F3426">
        <w:t>right to be protected from discrimination.</w:t>
      </w:r>
    </w:p>
    <w:p w14:paraId="164AEB1C" w14:textId="6449D7CE" w:rsidR="005A2AF9" w:rsidRDefault="00D301B1" w:rsidP="004D4430">
      <w:pPr>
        <w:pStyle w:val="ListNumber"/>
      </w:pPr>
      <w:r>
        <w:t xml:space="preserve">The proposed package of </w:t>
      </w:r>
      <w:r w:rsidR="00872557">
        <w:t xml:space="preserve">Religious Freedom </w:t>
      </w:r>
      <w:r w:rsidR="00727539">
        <w:t xml:space="preserve">Bills </w:t>
      </w:r>
      <w:r w:rsidR="00872557">
        <w:t xml:space="preserve">will </w:t>
      </w:r>
      <w:r w:rsidR="00727539">
        <w:t xml:space="preserve">amend the objects of each piece of federal discrimination law </w:t>
      </w:r>
      <w:r w:rsidR="000B45ED">
        <w:t xml:space="preserve">to </w:t>
      </w:r>
      <w:r w:rsidR="008D03C7">
        <w:t>reflect the ‘</w:t>
      </w:r>
      <w:r w:rsidR="00D33C08">
        <w:t>indivisibility and universality of human rights</w:t>
      </w:r>
      <w:r w:rsidR="00706281">
        <w:t xml:space="preserve"> and their equal status in international law</w:t>
      </w:r>
      <w:r w:rsidR="00D33C08">
        <w:t>’</w:t>
      </w:r>
      <w:r w:rsidR="00072803">
        <w:t>.</w:t>
      </w:r>
      <w:r w:rsidR="00BD1E64">
        <w:rPr>
          <w:rStyle w:val="EndnoteReference"/>
        </w:rPr>
        <w:endnoteReference w:id="38"/>
      </w:r>
      <w:r w:rsidR="00072803">
        <w:t xml:space="preserve">  However, clause 42 </w:t>
      </w:r>
      <w:r w:rsidR="00D44BA5">
        <w:t>stands i</w:t>
      </w:r>
      <w:r w:rsidR="00E0537B">
        <w:t>n</w:t>
      </w:r>
      <w:r w:rsidR="00D44BA5">
        <w:t xml:space="preserve"> direct conflict with these principles by </w:t>
      </w:r>
      <w:r w:rsidR="001144C4">
        <w:t xml:space="preserve">favouring one human right </w:t>
      </w:r>
      <w:r w:rsidR="00404860">
        <w:t>at the expense of others.</w:t>
      </w:r>
    </w:p>
    <w:p w14:paraId="30FA3E58" w14:textId="35FB7DA4" w:rsidR="001D4CD3" w:rsidRDefault="001D4CD3" w:rsidP="004D4430">
      <w:pPr>
        <w:pStyle w:val="ListNumber"/>
      </w:pPr>
      <w:r>
        <w:t xml:space="preserve">This is </w:t>
      </w:r>
      <w:r w:rsidR="004E1A0F">
        <w:t xml:space="preserve">also </w:t>
      </w:r>
      <w:r w:rsidR="00132BA3">
        <w:t xml:space="preserve">inconsistent with </w:t>
      </w:r>
      <w:r w:rsidR="002A44BE">
        <w:t xml:space="preserve">how </w:t>
      </w:r>
      <w:r>
        <w:t>Article 19 of the ICCPR</w:t>
      </w:r>
      <w:r w:rsidR="002A44BE">
        <w:t xml:space="preserve"> </w:t>
      </w:r>
      <w:r w:rsidR="00C8005E">
        <w:t xml:space="preserve">generally </w:t>
      </w:r>
      <w:r w:rsidR="002A44BE">
        <w:t xml:space="preserve">anticipates </w:t>
      </w:r>
      <w:r w:rsidR="00C8005E">
        <w:t xml:space="preserve">that </w:t>
      </w:r>
      <w:r w:rsidR="002A44BE">
        <w:t xml:space="preserve">conflicts </w:t>
      </w:r>
      <w:r w:rsidR="00700C80">
        <w:t xml:space="preserve">will be reconciled </w:t>
      </w:r>
      <w:r w:rsidR="00CC7961">
        <w:t xml:space="preserve">between the right to manifest religion and laws </w:t>
      </w:r>
      <w:r w:rsidR="00D74FD7">
        <w:t xml:space="preserve">that are necessary </w:t>
      </w:r>
      <w:r w:rsidR="00CC7961">
        <w:t>for the protection of the community more generally</w:t>
      </w:r>
      <w:r>
        <w:t xml:space="preserve">.  While the right to religious belief is absolute, the right to manifest religious belief </w:t>
      </w:r>
      <w:r w:rsidR="008D5FAD">
        <w:t xml:space="preserve">may be subject to </w:t>
      </w:r>
      <w:r w:rsidR="004C6FFA">
        <w:t xml:space="preserve">restrictions that are necessary </w:t>
      </w:r>
      <w:r w:rsidR="00031FDC">
        <w:t xml:space="preserve">in order to </w:t>
      </w:r>
      <w:r w:rsidR="005853F2">
        <w:t xml:space="preserve">respect of </w:t>
      </w:r>
      <w:r w:rsidR="006E6FF4">
        <w:t xml:space="preserve">the rights </w:t>
      </w:r>
      <w:r w:rsidR="00031FDC">
        <w:t>of others.</w:t>
      </w:r>
      <w:r w:rsidR="00A14BBE">
        <w:t xml:space="preserve">  Here, instead, </w:t>
      </w:r>
      <w:r w:rsidR="00621411">
        <w:t xml:space="preserve">longstanding </w:t>
      </w:r>
      <w:r w:rsidR="00A14BBE">
        <w:t>existing rights that</w:t>
      </w:r>
      <w:r w:rsidR="00F7220F">
        <w:t xml:space="preserve"> are necessary to</w:t>
      </w:r>
      <w:r w:rsidR="00A14BBE">
        <w:t xml:space="preserve"> protect </w:t>
      </w:r>
      <w:r w:rsidR="00E63AD6">
        <w:t xml:space="preserve">the dignity of </w:t>
      </w:r>
      <w:r w:rsidR="000B3C21">
        <w:t>people in the community</w:t>
      </w:r>
      <w:r w:rsidR="00A14BBE">
        <w:t xml:space="preserve"> are being </w:t>
      </w:r>
      <w:r w:rsidR="007F5D38">
        <w:t xml:space="preserve">expressly overridden </w:t>
      </w:r>
      <w:r w:rsidR="00750099">
        <w:t xml:space="preserve">to expand the </w:t>
      </w:r>
      <w:r w:rsidR="000B3C21">
        <w:t xml:space="preserve">scope for </w:t>
      </w:r>
      <w:r w:rsidR="00883107">
        <w:t>the manifestation of religion</w:t>
      </w:r>
      <w:r w:rsidR="008E6AC9">
        <w:t>.</w:t>
      </w:r>
    </w:p>
    <w:p w14:paraId="49896758" w14:textId="35094F5C" w:rsidR="00DE6F6F" w:rsidRDefault="00DE6F6F" w:rsidP="004D4430">
      <w:pPr>
        <w:pStyle w:val="ListNumber"/>
      </w:pPr>
      <w:bookmarkStart w:id="49" w:name="_Ref30432033"/>
      <w:r>
        <w:t>The Commission maintains that clause 42 should be removed from the Bill.</w:t>
      </w:r>
      <w:bookmarkEnd w:id="49"/>
    </w:p>
    <w:p w14:paraId="41364986" w14:textId="0489BB4C" w:rsidR="00FC57F6" w:rsidRDefault="00FC57F6" w:rsidP="00FC57F6">
      <w:pPr>
        <w:pStyle w:val="Heading2"/>
      </w:pPr>
      <w:bookmarkStart w:id="50" w:name="_Ref31294551"/>
      <w:bookmarkStart w:id="51" w:name="_Toc31355404"/>
      <w:r w:rsidRPr="005D5950">
        <w:t>Statements</w:t>
      </w:r>
      <w:r>
        <w:t xml:space="preserve"> may amount to discrimination without accompanying conduct</w:t>
      </w:r>
      <w:bookmarkEnd w:id="50"/>
      <w:bookmarkEnd w:id="51"/>
    </w:p>
    <w:p w14:paraId="32E312AD" w14:textId="478AECB5" w:rsidR="00FC57F6" w:rsidRDefault="0074143D" w:rsidP="004D4430">
      <w:pPr>
        <w:pStyle w:val="ListNumber"/>
      </w:pPr>
      <w:r>
        <w:t xml:space="preserve">As the Commission noted in its first submission, statements may </w:t>
      </w:r>
      <w:r w:rsidR="00ED16A4">
        <w:t>constitute discrimination if they amount to less favourable treatment on the ground of an attribute protected by discrimination law.</w:t>
      </w:r>
    </w:p>
    <w:p w14:paraId="37A7ACAD" w14:textId="0A1F57B3" w:rsidR="00ED16A4" w:rsidRDefault="004D08AB" w:rsidP="004D4430">
      <w:pPr>
        <w:pStyle w:val="ListNumber"/>
      </w:pPr>
      <w:r>
        <w:t>If a person wants to make a claim of discrimination under federal discrimination law</w:t>
      </w:r>
      <w:r w:rsidR="007706A4">
        <w:t xml:space="preserve"> (other than under the Fair Work Act), they must make a complaint </w:t>
      </w:r>
      <w:r w:rsidR="00C60508">
        <w:t xml:space="preserve">to the Commission.  The </w:t>
      </w:r>
      <w:r w:rsidR="002E5927">
        <w:t>Commission</w:t>
      </w:r>
      <w:r w:rsidR="00C60508">
        <w:t xml:space="preserve">’s role is to </w:t>
      </w:r>
      <w:r w:rsidR="00062D51">
        <w:t xml:space="preserve">inquire into and attempt to conciliate </w:t>
      </w:r>
      <w:r w:rsidR="0098426B">
        <w:t>such complaints.</w:t>
      </w:r>
      <w:r w:rsidR="00431728">
        <w:rPr>
          <w:rStyle w:val="EndnoteReference"/>
        </w:rPr>
        <w:endnoteReference w:id="39"/>
      </w:r>
      <w:r w:rsidR="002E5927">
        <w:t xml:space="preserve"> </w:t>
      </w:r>
    </w:p>
    <w:p w14:paraId="25D3E668" w14:textId="3D680ADF" w:rsidR="0098426B" w:rsidRDefault="0098426B" w:rsidP="004D4430">
      <w:pPr>
        <w:pStyle w:val="ListNumber"/>
      </w:pPr>
      <w:r>
        <w:t xml:space="preserve">The Commission regularly receives complaints </w:t>
      </w:r>
      <w:r w:rsidR="008D6058">
        <w:t xml:space="preserve">about </w:t>
      </w:r>
      <w:r w:rsidR="008C3343">
        <w:t xml:space="preserve">oral </w:t>
      </w:r>
      <w:r w:rsidR="008D6058">
        <w:t xml:space="preserve">or written </w:t>
      </w:r>
      <w:r w:rsidR="008C3343">
        <w:t>statements</w:t>
      </w:r>
      <w:r w:rsidR="007C734D">
        <w:t xml:space="preserve"> which could amount to unlawful discrimination</w:t>
      </w:r>
      <w:r w:rsidR="008C3343">
        <w:t xml:space="preserve">.  </w:t>
      </w:r>
      <w:r w:rsidR="00ED3A00">
        <w:t xml:space="preserve">For the purposes of this submission, the Commission reviewed summaries of complaints that it received in the three months from </w:t>
      </w:r>
      <w:r w:rsidR="00834F28">
        <w:t xml:space="preserve">1 August 2019 to </w:t>
      </w:r>
      <w:r w:rsidR="00914D65">
        <w:lastRenderedPageBreak/>
        <w:t>31 October 2019.</w:t>
      </w:r>
      <w:r w:rsidR="00AD206A">
        <w:t xml:space="preserve">  Over this three</w:t>
      </w:r>
      <w:r w:rsidR="009F6E2F">
        <w:t>-</w:t>
      </w:r>
      <w:r w:rsidR="00AD206A">
        <w:t xml:space="preserve">month period, it received </w:t>
      </w:r>
      <w:r w:rsidR="00601338">
        <w:t>558 complaints</w:t>
      </w:r>
      <w:r w:rsidR="00A94A13">
        <w:t xml:space="preserve"> of discrimination</w:t>
      </w:r>
      <w:r w:rsidR="00601338">
        <w:t>.</w:t>
      </w:r>
      <w:r w:rsidR="000D16EA">
        <w:t xml:space="preserve">  </w:t>
      </w:r>
      <w:r w:rsidR="00A94A13">
        <w:t xml:space="preserve">For the purposes of this analysis, </w:t>
      </w:r>
      <w:r w:rsidR="00726DD6">
        <w:t xml:space="preserve">complaints of racial hatred and sexual harassment were excluded.  </w:t>
      </w:r>
      <w:r w:rsidR="000D16EA">
        <w:t xml:space="preserve">At least 35 of these complaints (6.2%) </w:t>
      </w:r>
      <w:r w:rsidR="00B146EE">
        <w:t xml:space="preserve">included at least one claim of discrimination based on </w:t>
      </w:r>
      <w:r w:rsidR="00644367">
        <w:t>an allegedly discriminatory statement</w:t>
      </w:r>
      <w:r w:rsidR="00A94A13">
        <w:t>.</w:t>
      </w:r>
    </w:p>
    <w:p w14:paraId="7085EB6B" w14:textId="03B88AFB" w:rsidR="00EE4AC4" w:rsidRDefault="00713399" w:rsidP="004D4430">
      <w:pPr>
        <w:pStyle w:val="ListNumber"/>
      </w:pPr>
      <w:r>
        <w:t>Complaints about discriminatory statements were received under each of the four federal discrimination Acts (RDA, SDA, DDA and ADA).</w:t>
      </w:r>
    </w:p>
    <w:p w14:paraId="100270B2" w14:textId="7C4E7568" w:rsidR="00713399" w:rsidRDefault="000B074D" w:rsidP="004D4430">
      <w:pPr>
        <w:pStyle w:val="ListNumber"/>
      </w:pPr>
      <w:r>
        <w:t xml:space="preserve">In </w:t>
      </w:r>
      <w:proofErr w:type="gramStart"/>
      <w:r>
        <w:t>a number of</w:t>
      </w:r>
      <w:proofErr w:type="gramEnd"/>
      <w:r>
        <w:t xml:space="preserve"> cases, </w:t>
      </w:r>
      <w:r w:rsidR="00C64FB7">
        <w:t xml:space="preserve">the </w:t>
      </w:r>
      <w:r w:rsidR="00623830">
        <w:t xml:space="preserve">alleged </w:t>
      </w:r>
      <w:r>
        <w:t xml:space="preserve">statements were </w:t>
      </w:r>
      <w:r w:rsidR="00B3430B">
        <w:t xml:space="preserve">of a nature that could conceivably be covered by </w:t>
      </w:r>
      <w:r w:rsidR="002111BA">
        <w:t xml:space="preserve">clause 42 of the Bill.  That is, the alleged statement was of a kind that </w:t>
      </w:r>
      <w:r w:rsidR="00A54DF1">
        <w:t xml:space="preserve">arguably </w:t>
      </w:r>
      <w:r w:rsidR="00441759">
        <w:t>could</w:t>
      </w:r>
      <w:r w:rsidR="00A54DF1">
        <w:t xml:space="preserve"> be consistent </w:t>
      </w:r>
      <w:r w:rsidR="005B2976">
        <w:t xml:space="preserve">with a ‘statement of belief’. </w:t>
      </w:r>
    </w:p>
    <w:p w14:paraId="57B190E8" w14:textId="269505A0" w:rsidR="005B2976" w:rsidRDefault="005B2976" w:rsidP="004D4430">
      <w:pPr>
        <w:pStyle w:val="ListNumber"/>
      </w:pPr>
      <w:r>
        <w:t xml:space="preserve">For example, </w:t>
      </w:r>
      <w:r w:rsidR="009125AD">
        <w:t xml:space="preserve">a woman </w:t>
      </w:r>
      <w:r w:rsidR="00914DBF">
        <w:t>who ha</w:t>
      </w:r>
      <w:r w:rsidR="000940FB">
        <w:t xml:space="preserve">d recently become pregnant </w:t>
      </w:r>
      <w:r w:rsidR="004A7109">
        <w:t xml:space="preserve">told the Commission that </w:t>
      </w:r>
      <w:r w:rsidR="00AF1ED2">
        <w:t xml:space="preserve">when she advised her employer of her </w:t>
      </w:r>
      <w:r w:rsidR="00AF6E3D">
        <w:t>pregnancy her employer</w:t>
      </w:r>
      <w:r w:rsidR="00BE61D2">
        <w:t xml:space="preserve"> said</w:t>
      </w:r>
      <w:r w:rsidR="001B16D6">
        <w:t>:</w:t>
      </w:r>
      <w:r w:rsidR="00BE61D2">
        <w:t xml:space="preserve"> ‘There is no room in [this] business for someone who is going to be a single mother’.</w:t>
      </w:r>
      <w:r w:rsidR="002B3C37">
        <w:t xml:space="preserve">  </w:t>
      </w:r>
      <w:r w:rsidR="00327BCC">
        <w:t>Such a statement could amount to direct discrimination on the grounds of sex, marital status or pregnancy.</w:t>
      </w:r>
      <w:r w:rsidR="00327BCC">
        <w:rPr>
          <w:rStyle w:val="EndnoteReference"/>
        </w:rPr>
        <w:endnoteReference w:id="40"/>
      </w:r>
      <w:r w:rsidR="00327BCC">
        <w:t xml:space="preserve">  </w:t>
      </w:r>
      <w:r w:rsidR="002B3C37">
        <w:t>In some religions, hav</w:t>
      </w:r>
      <w:r w:rsidR="00C71F9E">
        <w:t xml:space="preserve">ing a child out of wedlock </w:t>
      </w:r>
      <w:proofErr w:type="gramStart"/>
      <w:r w:rsidR="00C71F9E">
        <w:t xml:space="preserve">is </w:t>
      </w:r>
      <w:r w:rsidR="001B16D6">
        <w:t>considered to be</w:t>
      </w:r>
      <w:proofErr w:type="gramEnd"/>
      <w:r w:rsidR="001B16D6">
        <w:t xml:space="preserve"> sinful.  </w:t>
      </w:r>
      <w:r w:rsidR="0085516C">
        <w:t xml:space="preserve">If the Bill was passed </w:t>
      </w:r>
      <w:r w:rsidR="00997855">
        <w:t xml:space="preserve">with clause 42 in its proposed form, this statement may be protected </w:t>
      </w:r>
      <w:r w:rsidR="00F9622B">
        <w:t xml:space="preserve">from </w:t>
      </w:r>
      <w:r w:rsidR="009F6EA2">
        <w:t>amounting to discrimination</w:t>
      </w:r>
      <w:r w:rsidR="00AE1AC9">
        <w:t xml:space="preserve"> </w:t>
      </w:r>
      <w:r w:rsidR="006F0071">
        <w:t xml:space="preserve">if it </w:t>
      </w:r>
      <w:r w:rsidR="009405E1">
        <w:t xml:space="preserve">was </w:t>
      </w:r>
      <w:r w:rsidR="00E37AF8">
        <w:t xml:space="preserve">a statement of belief </w:t>
      </w:r>
      <w:r w:rsidR="00AE1AC9">
        <w:t>(although any related conduct, such as firing the woman if she ultimately had a child out of wedlock would not be protected)</w:t>
      </w:r>
      <w:r w:rsidR="009F6EA2">
        <w:t>.</w:t>
      </w:r>
    </w:p>
    <w:p w14:paraId="6123BB20" w14:textId="1C0968C6" w:rsidR="003A4E62" w:rsidRDefault="00D465DE" w:rsidP="004D4430">
      <w:pPr>
        <w:pStyle w:val="ListNumber"/>
      </w:pPr>
      <w:r>
        <w:t>Other</w:t>
      </w:r>
      <w:r w:rsidR="00D704F2">
        <w:t xml:space="preserve">, more extreme, statements may </w:t>
      </w:r>
      <w:r w:rsidR="0039548E">
        <w:t>not be protected by clause 42</w:t>
      </w:r>
      <w:r w:rsidR="00F41D2C">
        <w:t xml:space="preserve">.  For example, </w:t>
      </w:r>
      <w:r w:rsidR="00047BC1">
        <w:t>a second</w:t>
      </w:r>
      <w:r w:rsidR="00F41D2C">
        <w:t xml:space="preserve"> </w:t>
      </w:r>
      <w:r w:rsidR="00016C93">
        <w:t xml:space="preserve">woman complained to the Commission about </w:t>
      </w:r>
      <w:r w:rsidR="009C0F53">
        <w:t xml:space="preserve">treatment by her boss after she disclosed her pregnancy.  She </w:t>
      </w:r>
      <w:r w:rsidR="00B12C7B">
        <w:t>claimed</w:t>
      </w:r>
      <w:r w:rsidR="009C0F53">
        <w:t xml:space="preserve"> that her boss said to her: ‘</w:t>
      </w:r>
      <w:proofErr w:type="gramStart"/>
      <w:r w:rsidR="00CF1D39">
        <w:t>You</w:t>
      </w:r>
      <w:proofErr w:type="gramEnd"/>
      <w:r w:rsidR="00CF1D39">
        <w:t xml:space="preserve"> fat old cow … you are a worthless pi</w:t>
      </w:r>
      <w:r w:rsidR="00F04690">
        <w:t>ece of s</w:t>
      </w:r>
      <w:r w:rsidR="00E607D6">
        <w:t>***</w:t>
      </w:r>
      <w:r w:rsidR="00F04690">
        <w:t xml:space="preserve"> – all you’ll ever be good at doing is getting f</w:t>
      </w:r>
      <w:r w:rsidR="00E607D6">
        <w:t>***</w:t>
      </w:r>
      <w:r w:rsidR="00F04690">
        <w:t>ed up’.</w:t>
      </w:r>
      <w:r w:rsidR="008E6CAE">
        <w:t xml:space="preserve">  </w:t>
      </w:r>
      <w:r w:rsidR="00C154A8">
        <w:t xml:space="preserve">This </w:t>
      </w:r>
      <w:r w:rsidR="00B80EA8">
        <w:t>statement uses more derogatory language and</w:t>
      </w:r>
      <w:r w:rsidR="00AA0148">
        <w:t>, assuming it was made in those terms,</w:t>
      </w:r>
      <w:r w:rsidR="00A14E98">
        <w:t xml:space="preserve"> </w:t>
      </w:r>
      <w:r w:rsidR="00FD201D">
        <w:t xml:space="preserve">the </w:t>
      </w:r>
      <w:r w:rsidR="00305EC8">
        <w:t>woman’s boss</w:t>
      </w:r>
      <w:r w:rsidR="00FD201D">
        <w:t xml:space="preserve"> may find it </w:t>
      </w:r>
      <w:r w:rsidR="00384233">
        <w:t xml:space="preserve">more difficult to characterise it as a </w:t>
      </w:r>
      <w:r w:rsidR="0062513B">
        <w:t xml:space="preserve">statement of belief.  </w:t>
      </w:r>
      <w:r w:rsidR="00C04641">
        <w:t xml:space="preserve">Arguably, even if this </w:t>
      </w:r>
      <w:r w:rsidR="004955FC">
        <w:t xml:space="preserve">was a statement of belief, it may be excluded from clause 42 on the ground that </w:t>
      </w:r>
      <w:r w:rsidR="00AE0B2B">
        <w:t>it was malicious.</w:t>
      </w:r>
      <w:r w:rsidR="001203E2">
        <w:t xml:space="preserve">  However, the comparison of these two cases </w:t>
      </w:r>
      <w:r w:rsidR="00EF1C5B">
        <w:t>highlights</w:t>
      </w:r>
      <w:r w:rsidR="001203E2">
        <w:t xml:space="preserve"> </w:t>
      </w:r>
      <w:r w:rsidR="00EF1C5B">
        <w:t xml:space="preserve">the </w:t>
      </w:r>
      <w:r w:rsidR="004B5A8F">
        <w:t xml:space="preserve">scope for </w:t>
      </w:r>
      <w:r w:rsidR="001A4E41">
        <w:t xml:space="preserve">discriminatory </w:t>
      </w:r>
      <w:r w:rsidR="004B5A8F">
        <w:t xml:space="preserve">statements </w:t>
      </w:r>
      <w:r w:rsidR="00F10059">
        <w:t xml:space="preserve">that may currently be unlawful </w:t>
      </w:r>
      <w:r w:rsidR="001A4E41">
        <w:t xml:space="preserve">to be insulated by clause 42. </w:t>
      </w:r>
    </w:p>
    <w:p w14:paraId="6FCA4C75" w14:textId="6C2DE430" w:rsidR="00F9622B" w:rsidRDefault="001870B4" w:rsidP="004D4430">
      <w:pPr>
        <w:pStyle w:val="ListNumber"/>
      </w:pPr>
      <w:r>
        <w:t xml:space="preserve">Another woman </w:t>
      </w:r>
      <w:r w:rsidR="00914E07">
        <w:t xml:space="preserve">complained to </w:t>
      </w:r>
      <w:r w:rsidR="00C97F72">
        <w:t xml:space="preserve">the Commission that </w:t>
      </w:r>
      <w:r w:rsidR="00C50662">
        <w:t xml:space="preserve">while she was at work </w:t>
      </w:r>
      <w:r w:rsidR="00914E07">
        <w:t>her manager said</w:t>
      </w:r>
      <w:r w:rsidR="006B1DF7">
        <w:t xml:space="preserve"> to her</w:t>
      </w:r>
      <w:r w:rsidR="00914E07">
        <w:t xml:space="preserve">: ‘Women’s best contribution to </w:t>
      </w:r>
      <w:r w:rsidR="00DD407D">
        <w:t xml:space="preserve">society is to have a baby.  </w:t>
      </w:r>
      <w:proofErr w:type="gramStart"/>
      <w:r w:rsidR="00DD407D">
        <w:t>That being said, you’re</w:t>
      </w:r>
      <w:proofErr w:type="gramEnd"/>
      <w:r w:rsidR="00DD407D">
        <w:t xml:space="preserve"> too old to have one’.</w:t>
      </w:r>
      <w:r w:rsidR="00064891">
        <w:t xml:space="preserve">  </w:t>
      </w:r>
      <w:r w:rsidR="009B6DDE">
        <w:t xml:space="preserve">She complained that this amounted to discrimination </w:t>
      </w:r>
      <w:proofErr w:type="gramStart"/>
      <w:r w:rsidR="009B6DDE">
        <w:t>on the basis of</w:t>
      </w:r>
      <w:proofErr w:type="gramEnd"/>
      <w:r w:rsidR="009B6DDE">
        <w:t xml:space="preserve"> her </w:t>
      </w:r>
      <w:r w:rsidR="009B6DDE">
        <w:lastRenderedPageBreak/>
        <w:t>sex and her age.</w:t>
      </w:r>
      <w:r w:rsidR="009B6DDE">
        <w:rPr>
          <w:rStyle w:val="EndnoteReference"/>
        </w:rPr>
        <w:endnoteReference w:id="41"/>
      </w:r>
      <w:r w:rsidR="009B6DDE">
        <w:t xml:space="preserve">  </w:t>
      </w:r>
      <w:r w:rsidR="00327EAE">
        <w:t xml:space="preserve">It is conceivable that </w:t>
      </w:r>
      <w:r w:rsidR="00501ED7">
        <w:t xml:space="preserve">the alleged statement by </w:t>
      </w:r>
      <w:r w:rsidR="00327EAE">
        <w:t xml:space="preserve">her manager may </w:t>
      </w:r>
      <w:r w:rsidR="008A42D7">
        <w:t>be based on a genuinely held religious belief.</w:t>
      </w:r>
      <w:r w:rsidR="005C30EB">
        <w:t xml:space="preserve">  If the Bill was passed with clause 42 in its proposed form, this statement may be protected from amounting to discrimination.</w:t>
      </w:r>
      <w:r w:rsidR="00D00873">
        <w:t xml:space="preserve">  In those circumstances, the woman may lose the benefit of </w:t>
      </w:r>
      <w:r w:rsidR="00E53F9A">
        <w:t>conciliat</w:t>
      </w:r>
      <w:r w:rsidR="005E36FD">
        <w:t>ion before the Commission in order to seek a resolution to her grievance.</w:t>
      </w:r>
    </w:p>
    <w:p w14:paraId="0CB11635" w14:textId="12D046D0" w:rsidR="00B41D23" w:rsidRDefault="003D4E67" w:rsidP="004D4430">
      <w:pPr>
        <w:pStyle w:val="ListNumber"/>
      </w:pPr>
      <w:r>
        <w:t xml:space="preserve">A </w:t>
      </w:r>
      <w:r w:rsidR="00D51F78">
        <w:t>fourth</w:t>
      </w:r>
      <w:r>
        <w:t xml:space="preserve"> woman complained to the Commission </w:t>
      </w:r>
      <w:r w:rsidR="00D90E53">
        <w:t xml:space="preserve">that while she was at work her boss told her to: </w:t>
      </w:r>
      <w:r w:rsidR="00AC2FF2">
        <w:t>‘</w:t>
      </w:r>
      <w:r w:rsidR="00D90E53">
        <w:t>Behave like a female and do as you’re told</w:t>
      </w:r>
      <w:r w:rsidR="00AC2FF2">
        <w:t>’</w:t>
      </w:r>
      <w:r w:rsidR="00D90E53">
        <w:t>.</w:t>
      </w:r>
      <w:r w:rsidR="00BC2D9F">
        <w:t xml:space="preserve">  She complained that this amounted to discrimination </w:t>
      </w:r>
      <w:proofErr w:type="gramStart"/>
      <w:r w:rsidR="00BC2D9F">
        <w:t>on the basis of</w:t>
      </w:r>
      <w:proofErr w:type="gramEnd"/>
      <w:r w:rsidR="00BC2D9F">
        <w:t xml:space="preserve"> her sex.</w:t>
      </w:r>
      <w:r w:rsidR="00784EAA">
        <w:rPr>
          <w:rStyle w:val="EndnoteReference"/>
        </w:rPr>
        <w:endnoteReference w:id="42"/>
      </w:r>
      <w:r w:rsidR="00BC2D9F">
        <w:t xml:space="preserve">  </w:t>
      </w:r>
      <w:r w:rsidR="00897D4A">
        <w:t xml:space="preserve">In </w:t>
      </w:r>
      <w:r w:rsidR="007C2DE0">
        <w:t xml:space="preserve">parts of some </w:t>
      </w:r>
      <w:r w:rsidR="00897D4A">
        <w:t xml:space="preserve">religions, </w:t>
      </w:r>
      <w:r w:rsidR="00EF5D1F">
        <w:t xml:space="preserve">women </w:t>
      </w:r>
      <w:r w:rsidR="00BC0D15">
        <w:t xml:space="preserve">are considered to </w:t>
      </w:r>
      <w:r w:rsidR="00435717">
        <w:t xml:space="preserve">have </w:t>
      </w:r>
      <w:r w:rsidR="00D35CA5">
        <w:t xml:space="preserve">lower </w:t>
      </w:r>
      <w:r w:rsidR="00435717">
        <w:t xml:space="preserve">status than </w:t>
      </w:r>
      <w:r w:rsidR="00473068">
        <w:t xml:space="preserve">men </w:t>
      </w:r>
      <w:r w:rsidR="00EF6092">
        <w:t xml:space="preserve">and are expected to be subservient to men in a range of activities. </w:t>
      </w:r>
      <w:r w:rsidR="00D74DE1">
        <w:t xml:space="preserve"> If the Bill was passed with clause 42 in its proposed form, this statement may be protected from amounting to discrimination</w:t>
      </w:r>
      <w:r w:rsidR="000323B2">
        <w:t xml:space="preserve"> if it was a statement of belief</w:t>
      </w:r>
      <w:r w:rsidR="00D74DE1">
        <w:t>.</w:t>
      </w:r>
    </w:p>
    <w:p w14:paraId="15291AAC" w14:textId="13470222" w:rsidR="007B10E7" w:rsidRDefault="00784922" w:rsidP="004D4430">
      <w:pPr>
        <w:pStyle w:val="ListNumber"/>
      </w:pPr>
      <w:r>
        <w:t>A</w:t>
      </w:r>
      <w:r w:rsidR="005D5950">
        <w:t>nother situation involved a</w:t>
      </w:r>
      <w:r>
        <w:t xml:space="preserve"> gay man</w:t>
      </w:r>
      <w:r w:rsidR="005D5950">
        <w:t>, who</w:t>
      </w:r>
      <w:r>
        <w:t xml:space="preserve"> made a complaint to the Commission that </w:t>
      </w:r>
      <w:r w:rsidR="00952608">
        <w:t xml:space="preserve">he was refused </w:t>
      </w:r>
      <w:r w:rsidR="00FC14E0">
        <w:t>treatment by a doctor ‘because I was a gay male spreading disease through the community’.</w:t>
      </w:r>
      <w:r w:rsidR="00F35119">
        <w:t xml:space="preserve">  </w:t>
      </w:r>
      <w:r w:rsidR="00315AA7">
        <w:t xml:space="preserve">Now that </w:t>
      </w:r>
      <w:r w:rsidR="00F35119">
        <w:t>clause 42 of the Bill</w:t>
      </w:r>
      <w:r w:rsidR="00315AA7">
        <w:t xml:space="preserve"> seeks to distinguish more clearly between discriminatory conduct and discriminatory statements</w:t>
      </w:r>
      <w:r w:rsidR="00F35119">
        <w:t xml:space="preserve">, </w:t>
      </w:r>
      <w:r w:rsidR="00315AA7">
        <w:t xml:space="preserve">it </w:t>
      </w:r>
      <w:r w:rsidR="002A4016">
        <w:t>seems likely that</w:t>
      </w:r>
      <w:r w:rsidR="00315AA7">
        <w:t xml:space="preserve"> the</w:t>
      </w:r>
      <w:r w:rsidR="000A6419">
        <w:t xml:space="preserve"> alleged</w:t>
      </w:r>
      <w:r w:rsidR="00315AA7">
        <w:t xml:space="preserve"> </w:t>
      </w:r>
      <w:r w:rsidR="00F35119">
        <w:t xml:space="preserve">refusal of </w:t>
      </w:r>
      <w:r w:rsidR="00FC2B14">
        <w:t>treatment</w:t>
      </w:r>
      <w:r w:rsidR="00F35119">
        <w:t xml:space="preserve"> </w:t>
      </w:r>
      <w:r w:rsidR="00315AA7">
        <w:t xml:space="preserve">could </w:t>
      </w:r>
      <w:r w:rsidR="00F35119">
        <w:t xml:space="preserve">still amount to </w:t>
      </w:r>
      <w:r w:rsidR="00315AA7">
        <w:t xml:space="preserve">discrimination </w:t>
      </w:r>
      <w:r w:rsidR="00CD5438">
        <w:t>in the provision of a service on the ground of sexual orientation.</w:t>
      </w:r>
      <w:r w:rsidR="00E40E7E">
        <w:rPr>
          <w:rStyle w:val="EndnoteReference"/>
        </w:rPr>
        <w:endnoteReference w:id="43"/>
      </w:r>
      <w:r w:rsidR="00F02D0F">
        <w:t xml:space="preserve">  However, </w:t>
      </w:r>
      <w:r w:rsidR="002A5BE4">
        <w:t xml:space="preserve">the </w:t>
      </w:r>
      <w:r w:rsidR="00B201E5">
        <w:t xml:space="preserve">alleged </w:t>
      </w:r>
      <w:r w:rsidR="002A5BE4">
        <w:t xml:space="preserve">disparaging statement </w:t>
      </w:r>
      <w:r w:rsidR="00A37BBA">
        <w:t xml:space="preserve">about </w:t>
      </w:r>
      <w:r w:rsidR="00FA261E">
        <w:t>homosexual men</w:t>
      </w:r>
      <w:r w:rsidR="00F60E25">
        <w:t xml:space="preserve"> could be treated differently if clause </w:t>
      </w:r>
      <w:r w:rsidR="00CB447A">
        <w:t>42 was passed in its proposed form.  I</w:t>
      </w:r>
      <w:r w:rsidR="00FA261E">
        <w:t xml:space="preserve">f </w:t>
      </w:r>
      <w:r w:rsidR="00294B23">
        <w:t xml:space="preserve">a doctor made a statement to </w:t>
      </w:r>
      <w:r w:rsidR="00FA261E">
        <w:t xml:space="preserve">this </w:t>
      </w:r>
      <w:r w:rsidR="00294B23">
        <w:t>effect</w:t>
      </w:r>
      <w:r w:rsidR="002765AF">
        <w:t xml:space="preserve"> in the course of a medical consultation</w:t>
      </w:r>
      <w:r w:rsidR="00294B23">
        <w:t xml:space="preserve">, and it was </w:t>
      </w:r>
      <w:r w:rsidR="00F97ED3">
        <w:t xml:space="preserve">a </w:t>
      </w:r>
      <w:r w:rsidR="001B4AC2">
        <w:t>genuinely held religious belief</w:t>
      </w:r>
      <w:r w:rsidR="00F97ED3">
        <w:t xml:space="preserve"> of the doctor</w:t>
      </w:r>
      <w:r w:rsidR="001B4AC2">
        <w:t xml:space="preserve">, </w:t>
      </w:r>
      <w:r w:rsidR="00DD6AF4">
        <w:t>the statement in and of itself may be protected from amounting to discrimination</w:t>
      </w:r>
      <w:r w:rsidR="00107846">
        <w:t>.</w:t>
      </w:r>
    </w:p>
    <w:p w14:paraId="167A171E" w14:textId="47CCB96D" w:rsidR="00060199" w:rsidRDefault="00B97960" w:rsidP="004D4430">
      <w:pPr>
        <w:pStyle w:val="ListNumber"/>
      </w:pPr>
      <w:r>
        <w:t xml:space="preserve">Finally, </w:t>
      </w:r>
      <w:r w:rsidR="00FE0075">
        <w:t xml:space="preserve">a woman who identifies as bisexual made a complaint to the Commission </w:t>
      </w:r>
      <w:r w:rsidR="0012736A">
        <w:t xml:space="preserve">that while she was at work her director </w:t>
      </w:r>
      <w:r w:rsidR="000A1066">
        <w:t>made disparaging comments about her ‘L</w:t>
      </w:r>
      <w:r w:rsidR="005F05AD">
        <w:t>GBTI</w:t>
      </w:r>
      <w:r w:rsidR="00A543A4">
        <w:t xml:space="preserve"> bulls</w:t>
      </w:r>
      <w:r w:rsidR="00D35CA5">
        <w:t>***</w:t>
      </w:r>
      <w:r w:rsidR="00A543A4">
        <w:t>’</w:t>
      </w:r>
      <w:r w:rsidR="00644B7D">
        <w:t>, told her that ‘bisexual people need to choose a lane and stay in it’, called her a ‘double dipper’ and said</w:t>
      </w:r>
      <w:r w:rsidR="000931F8">
        <w:t xml:space="preserve"> ‘why is it that women are so stupid</w:t>
      </w:r>
      <w:r w:rsidR="005876DE">
        <w:t>?</w:t>
      </w:r>
      <w:r w:rsidR="000931F8">
        <w:t>’</w:t>
      </w:r>
      <w:r w:rsidR="005876DE">
        <w:t xml:space="preserve">.  </w:t>
      </w:r>
      <w:r w:rsidR="001221FA">
        <w:t xml:space="preserve">In </w:t>
      </w:r>
      <w:proofErr w:type="gramStart"/>
      <w:r w:rsidR="001221FA">
        <w:t>a number of</w:t>
      </w:r>
      <w:proofErr w:type="gramEnd"/>
      <w:r w:rsidR="001221FA">
        <w:t xml:space="preserve"> religions, </w:t>
      </w:r>
      <w:r w:rsidR="007C25AC">
        <w:t>same</w:t>
      </w:r>
      <w:r w:rsidR="005D5950">
        <w:t>-</w:t>
      </w:r>
      <w:r w:rsidR="007C25AC">
        <w:t xml:space="preserve">sex attraction is considered sinful </w:t>
      </w:r>
      <w:r w:rsidR="003321C9">
        <w:t xml:space="preserve">and </w:t>
      </w:r>
      <w:r w:rsidR="009E1307">
        <w:t>can be</w:t>
      </w:r>
      <w:r w:rsidR="003321C9">
        <w:t xml:space="preserve"> condemned in strong terms.  </w:t>
      </w:r>
      <w:r w:rsidR="0087031C">
        <w:t xml:space="preserve">These </w:t>
      </w:r>
      <w:r w:rsidR="00AB4C00">
        <w:t xml:space="preserve">alleged </w:t>
      </w:r>
      <w:r w:rsidR="0087031C">
        <w:t xml:space="preserve">statements of animosity </w:t>
      </w:r>
      <w:r w:rsidR="00AB4C00">
        <w:t xml:space="preserve">based on the woman’s gender or sexual orientation could </w:t>
      </w:r>
      <w:r w:rsidR="00A61BE7">
        <w:t>arguably be expressions of genuine religious belief</w:t>
      </w:r>
      <w:r w:rsidR="00390AF2">
        <w:t xml:space="preserve">.  </w:t>
      </w:r>
      <w:r w:rsidR="00FA665A">
        <w:t xml:space="preserve">While they are strongly expressed, it is not clear that </w:t>
      </w:r>
      <w:r w:rsidR="00054D14">
        <w:t xml:space="preserve">would be excluded from clause 42 on the grounds that they are malicious or that they </w:t>
      </w:r>
      <w:r w:rsidR="00DD68F4">
        <w:t>are likely to harass</w:t>
      </w:r>
      <w:r w:rsidR="001E1536">
        <w:t>, threaten, seriously intimidate</w:t>
      </w:r>
      <w:r w:rsidR="00A11041">
        <w:t>, or incite hatred or violence.</w:t>
      </w:r>
      <w:r w:rsidR="0088226D">
        <w:t xml:space="preserve">  </w:t>
      </w:r>
      <w:r w:rsidR="009D6F4F">
        <w:t xml:space="preserve">Clause 42 raises the real </w:t>
      </w:r>
      <w:r w:rsidR="009D6F4F">
        <w:lastRenderedPageBreak/>
        <w:t xml:space="preserve">prospect that conduct like this at work </w:t>
      </w:r>
      <w:r w:rsidR="003D6F39">
        <w:t>c</w:t>
      </w:r>
      <w:r w:rsidR="009D6F4F">
        <w:t xml:space="preserve">ould </w:t>
      </w:r>
      <w:r w:rsidR="00DB78AA">
        <w:t xml:space="preserve">be protected from amounting to discrimination. </w:t>
      </w:r>
    </w:p>
    <w:p w14:paraId="4CF536CE" w14:textId="21B8F7C5" w:rsidR="00682451" w:rsidRDefault="00682451" w:rsidP="004D4430">
      <w:pPr>
        <w:pStyle w:val="ListNumber"/>
      </w:pPr>
      <w:r>
        <w:t xml:space="preserve">These case studies are </w:t>
      </w:r>
      <w:r w:rsidR="00DD536E">
        <w:t xml:space="preserve">just </w:t>
      </w:r>
      <w:r w:rsidR="004707F1">
        <w:t xml:space="preserve">a handful of complaints </w:t>
      </w:r>
      <w:r w:rsidR="00DD536E">
        <w:t xml:space="preserve">from </w:t>
      </w:r>
      <w:r w:rsidR="006A5A3F">
        <w:t>a</w:t>
      </w:r>
      <w:r w:rsidR="00DD536E">
        <w:t xml:space="preserve"> </w:t>
      </w:r>
      <w:r w:rsidR="006832DB">
        <w:t xml:space="preserve">recent </w:t>
      </w:r>
      <w:r w:rsidR="00DD536E">
        <w:t>three</w:t>
      </w:r>
      <w:r w:rsidR="006C624A">
        <w:t>-</w:t>
      </w:r>
      <w:r w:rsidR="00DD536E">
        <w:t xml:space="preserve">month period </w:t>
      </w:r>
      <w:r w:rsidR="006C624A">
        <w:t xml:space="preserve">examined </w:t>
      </w:r>
      <w:r w:rsidR="00DD536E">
        <w:t xml:space="preserve">by the Commission.  </w:t>
      </w:r>
      <w:r w:rsidR="00954351">
        <w:t xml:space="preserve">They are not </w:t>
      </w:r>
      <w:proofErr w:type="gramStart"/>
      <w:r w:rsidR="00954351">
        <w:t>unusual</w:t>
      </w:r>
      <w:proofErr w:type="gramEnd"/>
      <w:r w:rsidR="00954351">
        <w:t xml:space="preserve"> and </w:t>
      </w:r>
      <w:r w:rsidR="00B5693C">
        <w:t xml:space="preserve">they indicate the real impact that clause 42 is likely to have on the ability of people </w:t>
      </w:r>
      <w:r w:rsidR="00E05337">
        <w:t xml:space="preserve">who claim that they have been discriminated against </w:t>
      </w:r>
      <w:r w:rsidR="008177F5">
        <w:t xml:space="preserve">to obtain </w:t>
      </w:r>
      <w:r w:rsidR="00B5693C">
        <w:t>a remedy</w:t>
      </w:r>
      <w:r w:rsidR="008177F5">
        <w:t>.</w:t>
      </w:r>
    </w:p>
    <w:p w14:paraId="0779D9E8" w14:textId="5DC7601D" w:rsidR="001A45AD" w:rsidRDefault="00105539" w:rsidP="00BB1CFB">
      <w:pPr>
        <w:pStyle w:val="Heading2"/>
      </w:pPr>
      <w:bookmarkStart w:id="52" w:name="_Toc31355405"/>
      <w:proofErr w:type="gramStart"/>
      <w:r>
        <w:t>Sufficient</w:t>
      </w:r>
      <w:proofErr w:type="gramEnd"/>
      <w:r>
        <w:t xml:space="preserve"> p</w:t>
      </w:r>
      <w:r w:rsidR="001A45AD" w:rsidRPr="000C08DE">
        <w:t xml:space="preserve">rotection for </w:t>
      </w:r>
      <w:r w:rsidR="00BB1CFB" w:rsidRPr="000C08DE">
        <w:t>statements of belief</w:t>
      </w:r>
      <w:bookmarkEnd w:id="52"/>
    </w:p>
    <w:p w14:paraId="4F3B8EEC" w14:textId="1AD57C0E" w:rsidR="00BB1CFB" w:rsidRDefault="00550402" w:rsidP="004D4430">
      <w:pPr>
        <w:pStyle w:val="ListNumber"/>
      </w:pPr>
      <w:r>
        <w:t xml:space="preserve">The Commission </w:t>
      </w:r>
      <w:r w:rsidR="00BB1CFB">
        <w:t xml:space="preserve">maintains that clause 42 should be removed from the Bill because its only operative effect is to weaken other protections against discrimination. </w:t>
      </w:r>
    </w:p>
    <w:p w14:paraId="0B04D678" w14:textId="086B504D" w:rsidR="00BB1CFB" w:rsidRDefault="00095EBE" w:rsidP="004D4430">
      <w:pPr>
        <w:pStyle w:val="ListNumber"/>
      </w:pPr>
      <w:r>
        <w:t>Importantly</w:t>
      </w:r>
      <w:r w:rsidR="00BB1CFB">
        <w:t>,</w:t>
      </w:r>
      <w:r w:rsidR="00B3425C">
        <w:t xml:space="preserve"> removing clause 42 from the Bill is unlikely to have any substantial impact on </w:t>
      </w:r>
      <w:r w:rsidR="00F641FA">
        <w:t>the ability of religious people to profess their faith.</w:t>
      </w:r>
      <w:r w:rsidR="000F10F5">
        <w:t xml:space="preserve">  This is so for three reasons.</w:t>
      </w:r>
    </w:p>
    <w:p w14:paraId="27C5F0FE" w14:textId="77777777" w:rsidR="007E6AD4" w:rsidRDefault="008D0A5D" w:rsidP="004D4430">
      <w:pPr>
        <w:pStyle w:val="ListNumber"/>
      </w:pPr>
      <w:r w:rsidRPr="006912BB">
        <w:rPr>
          <w:b/>
          <w:bCs/>
        </w:rPr>
        <w:t>First</w:t>
      </w:r>
      <w:r>
        <w:t xml:space="preserve">, and most importantly, </w:t>
      </w:r>
      <w:r w:rsidR="00EE0863">
        <w:t xml:space="preserve">the status quo will be maintained in that </w:t>
      </w:r>
      <w:r>
        <w:t xml:space="preserve">people will continue to be permitted to make statements of belief that </w:t>
      </w:r>
      <w:r w:rsidR="00EE0863">
        <w:t xml:space="preserve">do not contravene anti-discrimination laws.  Most genuine statements of belief will fall into this category.  </w:t>
      </w:r>
    </w:p>
    <w:p w14:paraId="7F6CA751" w14:textId="0D763899" w:rsidR="00F641FA" w:rsidRDefault="00395B6D" w:rsidP="004D4430">
      <w:pPr>
        <w:pStyle w:val="ListNumber"/>
      </w:pPr>
      <w:r>
        <w:t xml:space="preserve">The previous section of this submission identified </w:t>
      </w:r>
      <w:proofErr w:type="gramStart"/>
      <w:r>
        <w:t>a number of</w:t>
      </w:r>
      <w:proofErr w:type="gramEnd"/>
      <w:r>
        <w:t xml:space="preserve"> statements that </w:t>
      </w:r>
      <w:r w:rsidR="00DE5693">
        <w:t xml:space="preserve">could fall within clause 42 as currently drafted, but these are not the kinds of statements that </w:t>
      </w:r>
      <w:r w:rsidR="00C8364E">
        <w:t xml:space="preserve">proponents of clause 42 have suggested are deserving of protection.  </w:t>
      </w:r>
    </w:p>
    <w:p w14:paraId="1BB1FF90" w14:textId="39A5C2CE" w:rsidR="00135FC2" w:rsidRDefault="00135FC2" w:rsidP="00135FC2">
      <w:pPr>
        <w:pStyle w:val="ListNumber"/>
      </w:pPr>
      <w:r>
        <w:rPr>
          <w:b/>
          <w:bCs/>
        </w:rPr>
        <w:t>Secondly</w:t>
      </w:r>
      <w:r>
        <w:t xml:space="preserve">, the other provisions of the Bill will strengthen the ability of people to make statements of belief in a range of areas of public life by prohibiting discrimination </w:t>
      </w:r>
      <w:proofErr w:type="gramStart"/>
      <w:r>
        <w:t>on the basis of</w:t>
      </w:r>
      <w:proofErr w:type="gramEnd"/>
      <w:r>
        <w:t xml:space="preserve"> religious activity (including the professing of faith).  So, for example, it will be unlawful for an employer to treat an employee less favourably because they made a religious statement, or to require employees to adhere to a code of conduct that unreasonably restricts the ability of employees to talk about their religious beliefs.</w:t>
      </w:r>
    </w:p>
    <w:p w14:paraId="17DC6779" w14:textId="692B9503" w:rsidR="00A47B62" w:rsidRDefault="00135FC2" w:rsidP="004D4430">
      <w:pPr>
        <w:pStyle w:val="ListNumber"/>
      </w:pPr>
      <w:r>
        <w:rPr>
          <w:b/>
          <w:bCs/>
        </w:rPr>
        <w:t>Thirdly</w:t>
      </w:r>
      <w:r w:rsidR="00080365">
        <w:t xml:space="preserve">, </w:t>
      </w:r>
      <w:r w:rsidR="00054A5F">
        <w:t xml:space="preserve">clause 42 does not address </w:t>
      </w:r>
      <w:r w:rsidR="00F11CC7">
        <w:t xml:space="preserve">any </w:t>
      </w:r>
      <w:r w:rsidR="00C579B6">
        <w:t xml:space="preserve">identified </w:t>
      </w:r>
      <w:r w:rsidR="00F11CC7">
        <w:t xml:space="preserve">systemic problem.  </w:t>
      </w:r>
      <w:r w:rsidR="0007511C">
        <w:t xml:space="preserve">Following a </w:t>
      </w:r>
      <w:r w:rsidR="00CA19FE">
        <w:t>comprehen</w:t>
      </w:r>
      <w:r w:rsidR="001427E4">
        <w:t xml:space="preserve">sive inquiry involving more than 15,000 submissions and </w:t>
      </w:r>
      <w:r w:rsidR="0029180E">
        <w:t>consultations in every State and Territory, t</w:t>
      </w:r>
      <w:r w:rsidR="002541EE">
        <w:t xml:space="preserve">he </w:t>
      </w:r>
      <w:r w:rsidR="00477576">
        <w:t xml:space="preserve">Religious Freedom Review concluded that </w:t>
      </w:r>
      <w:r w:rsidR="00090931">
        <w:t xml:space="preserve">there was ‘a lack of reliable information </w:t>
      </w:r>
      <w:r w:rsidR="006A2B86">
        <w:t>regarding the experience of religious freedom intersecting with other human rights’</w:t>
      </w:r>
      <w:r w:rsidR="00527C17">
        <w:t>.</w:t>
      </w:r>
      <w:r w:rsidR="00EA1625">
        <w:rPr>
          <w:rStyle w:val="EndnoteReference"/>
        </w:rPr>
        <w:endnoteReference w:id="44"/>
      </w:r>
      <w:r w:rsidR="00527C17">
        <w:t xml:space="preserve">  </w:t>
      </w:r>
      <w:r w:rsidR="00190C63">
        <w:t xml:space="preserve">Despite many submissions </w:t>
      </w:r>
      <w:r w:rsidR="00FC2102">
        <w:t>‘rep</w:t>
      </w:r>
      <w:r w:rsidR="000C4D17">
        <w:t>eat[</w:t>
      </w:r>
      <w:proofErr w:type="spellStart"/>
      <w:r w:rsidR="000C4D17">
        <w:t>ing</w:t>
      </w:r>
      <w:proofErr w:type="spellEnd"/>
      <w:r w:rsidR="000C4D17">
        <w:t xml:space="preserve">] </w:t>
      </w:r>
      <w:r w:rsidR="000C4D17">
        <w:lastRenderedPageBreak/>
        <w:t xml:space="preserve">several well-known, high profile cases of perceived </w:t>
      </w:r>
      <w:r w:rsidR="000A614D">
        <w:t>infringement of religious freedom’</w:t>
      </w:r>
      <w:r w:rsidR="00914DFF">
        <w:rPr>
          <w:rStyle w:val="EndnoteReference"/>
        </w:rPr>
        <w:endnoteReference w:id="45"/>
      </w:r>
      <w:r w:rsidR="004A1D4A">
        <w:t xml:space="preserve"> the Panel concluded that there was ‘insufficient evi</w:t>
      </w:r>
      <w:r w:rsidR="001E3A43">
        <w:t xml:space="preserve">dence </w:t>
      </w:r>
      <w:r w:rsidR="00C13F06">
        <w:t>as to the frequency and impact of this type of discrimination within the community’.</w:t>
      </w:r>
      <w:r w:rsidR="00524800">
        <w:rPr>
          <w:rStyle w:val="EndnoteReference"/>
        </w:rPr>
        <w:endnoteReference w:id="46"/>
      </w:r>
      <w:r w:rsidR="00C13F06">
        <w:t xml:space="preserve">  The Panel recommended </w:t>
      </w:r>
      <w:r w:rsidR="00BC0FAF">
        <w:t xml:space="preserve">that the Commonwealth collect and analyse quantitative and qualitative information </w:t>
      </w:r>
      <w:r w:rsidR="001255F9">
        <w:t xml:space="preserve">on the experience of freedom of religion at a community level, including in relation to </w:t>
      </w:r>
      <w:r w:rsidR="00131374">
        <w:t xml:space="preserve">any unreasonable restrictions on the ability </w:t>
      </w:r>
      <w:r w:rsidR="000A4AAF">
        <w:t>of people to express their faith</w:t>
      </w:r>
      <w:r w:rsidR="008F44C4">
        <w:t>.</w:t>
      </w:r>
      <w:r w:rsidR="00524800">
        <w:rPr>
          <w:rStyle w:val="EndnoteReference"/>
        </w:rPr>
        <w:endnoteReference w:id="47"/>
      </w:r>
    </w:p>
    <w:p w14:paraId="01540919" w14:textId="3F4D69B0" w:rsidR="00B779EE" w:rsidRDefault="00326D4C" w:rsidP="004D4430">
      <w:pPr>
        <w:pStyle w:val="ListNumber"/>
      </w:pPr>
      <w:r>
        <w:t xml:space="preserve">In discussing the Bill at </w:t>
      </w:r>
      <w:r w:rsidR="00B71B0A">
        <w:t>the launch of the first exposure draft at the Great Synagog</w:t>
      </w:r>
      <w:r w:rsidR="00D4765A">
        <w:t>ue in Sydney</w:t>
      </w:r>
      <w:r w:rsidR="006A145E">
        <w:rPr>
          <w:rStyle w:val="EndnoteReference"/>
        </w:rPr>
        <w:endnoteReference w:id="48"/>
      </w:r>
      <w:r w:rsidR="00D4765A">
        <w:t xml:space="preserve"> and later at </w:t>
      </w:r>
      <w:r>
        <w:t>the National Press Club</w:t>
      </w:r>
      <w:r w:rsidR="004D65B7">
        <w:t xml:space="preserve"> in Canberra</w:t>
      </w:r>
      <w:r>
        <w:t>,</w:t>
      </w:r>
      <w:r w:rsidR="00C978C2">
        <w:rPr>
          <w:rStyle w:val="EndnoteReference"/>
        </w:rPr>
        <w:endnoteReference w:id="49"/>
      </w:r>
      <w:r>
        <w:t xml:space="preserve"> the Attorney-General identified two cases </w:t>
      </w:r>
      <w:r w:rsidR="005A68AD">
        <w:t>that he said formed the ba</w:t>
      </w:r>
      <w:r w:rsidR="00FF757F">
        <w:t xml:space="preserve">sis for the introduction of clause 42.  </w:t>
      </w:r>
    </w:p>
    <w:p w14:paraId="63FEA02B" w14:textId="2105A931" w:rsidR="00080365" w:rsidRDefault="00BC06FA" w:rsidP="004D4430">
      <w:pPr>
        <w:pStyle w:val="ListNumber"/>
      </w:pPr>
      <w:r>
        <w:t xml:space="preserve">The first case </w:t>
      </w:r>
      <w:r w:rsidR="00002206">
        <w:t xml:space="preserve">involved a complaint </w:t>
      </w:r>
      <w:r w:rsidR="00BA5823">
        <w:t xml:space="preserve">made to </w:t>
      </w:r>
      <w:r w:rsidR="00404282">
        <w:t>Equal Opportunity Tasmania under s 17</w:t>
      </w:r>
      <w:r w:rsidR="005D5950">
        <w:t xml:space="preserve"> </w:t>
      </w:r>
      <w:r w:rsidR="000C16AF">
        <w:t xml:space="preserve">of the </w:t>
      </w:r>
      <w:r w:rsidR="000C16AF" w:rsidRPr="0088121F">
        <w:rPr>
          <w:i/>
          <w:iCs/>
        </w:rPr>
        <w:t>Ant</w:t>
      </w:r>
      <w:r w:rsidR="00ED20FD" w:rsidRPr="0088121F">
        <w:rPr>
          <w:i/>
          <w:iCs/>
        </w:rPr>
        <w:t>i-</w:t>
      </w:r>
      <w:r w:rsidR="000C16AF" w:rsidRPr="0088121F">
        <w:rPr>
          <w:i/>
          <w:iCs/>
        </w:rPr>
        <w:t xml:space="preserve">Discrimination Act </w:t>
      </w:r>
      <w:r w:rsidR="00ED20FD" w:rsidRPr="0088121F">
        <w:rPr>
          <w:i/>
          <w:iCs/>
        </w:rPr>
        <w:t>1</w:t>
      </w:r>
      <w:r w:rsidR="004678A8" w:rsidRPr="0088121F">
        <w:rPr>
          <w:i/>
          <w:iCs/>
        </w:rPr>
        <w:t>998</w:t>
      </w:r>
      <w:r w:rsidR="004678A8">
        <w:t xml:space="preserve"> (Tas) against </w:t>
      </w:r>
      <w:r w:rsidR="0088121F">
        <w:t>the Catholic Archbishop of Hobart, Julian Porteous.</w:t>
      </w:r>
      <w:r w:rsidR="000C16AF">
        <w:t xml:space="preserve"> </w:t>
      </w:r>
      <w:r w:rsidR="0088121F">
        <w:t xml:space="preserve"> </w:t>
      </w:r>
      <w:r w:rsidR="004750F5">
        <w:t xml:space="preserve">The complaint related to a pamphlet published by the Australian Catholic Bishops Conference titled ‘Don’t mess with marriage’.  The second case </w:t>
      </w:r>
      <w:r w:rsidR="0003002C">
        <w:t xml:space="preserve">involved a complaint </w:t>
      </w:r>
      <w:r w:rsidR="00F31E4E">
        <w:t>to the then Queensland Anti-Discrimination Commission</w:t>
      </w:r>
      <w:r w:rsidR="00A51BE9">
        <w:t xml:space="preserve"> about an email sent by </w:t>
      </w:r>
      <w:r w:rsidR="00321B6B">
        <w:t xml:space="preserve">the Chief Executive of the Baptist Union of Queensland’s </w:t>
      </w:r>
      <w:proofErr w:type="spellStart"/>
      <w:r w:rsidR="00321B6B">
        <w:t>Carinity</w:t>
      </w:r>
      <w:proofErr w:type="spellEnd"/>
      <w:r w:rsidR="00321B6B">
        <w:t xml:space="preserve"> </w:t>
      </w:r>
      <w:r w:rsidR="0012568D">
        <w:t xml:space="preserve">care service during the </w:t>
      </w:r>
      <w:r w:rsidR="00CE4C48">
        <w:t>Australian Marriage Law Postal Survey</w:t>
      </w:r>
      <w:r w:rsidR="00B300E5">
        <w:t>, in which he argued for a ‘no’ vote.</w:t>
      </w:r>
    </w:p>
    <w:p w14:paraId="19B97B7E" w14:textId="7EDD4604" w:rsidR="00527502" w:rsidRDefault="00327849" w:rsidP="004D4430">
      <w:pPr>
        <w:pStyle w:val="ListNumber"/>
      </w:pPr>
      <w:r>
        <w:t xml:space="preserve">Both </w:t>
      </w:r>
      <w:r w:rsidR="00D01E5D">
        <w:t>cases w</w:t>
      </w:r>
      <w:r>
        <w:t>ere ultimately withdrawn or discontinued.</w:t>
      </w:r>
      <w:r w:rsidR="009119C8">
        <w:rPr>
          <w:rStyle w:val="EndnoteReference"/>
        </w:rPr>
        <w:endnoteReference w:id="50"/>
      </w:r>
      <w:r>
        <w:t xml:space="preserve">  There were no findings in either case that the conduct complained of was in fact contrary to any discrimination law.  Moreover, the Attorney-General has said</w:t>
      </w:r>
      <w:r w:rsidR="00DF0756">
        <w:t>:</w:t>
      </w:r>
      <w:r>
        <w:t xml:space="preserve"> </w:t>
      </w:r>
      <w:r w:rsidR="009A111F">
        <w:t>‘the view of the Government – and I think legally, the correct view</w:t>
      </w:r>
      <w:r w:rsidR="00C53794">
        <w:t xml:space="preserve"> – is that they were both unmeritorious, probably invalid </w:t>
      </w:r>
      <w:proofErr w:type="gramStart"/>
      <w:r w:rsidR="00C53794">
        <w:t>complaints’</w:t>
      </w:r>
      <w:proofErr w:type="gramEnd"/>
      <w:r w:rsidR="00C53794">
        <w:t>.</w:t>
      </w:r>
      <w:r w:rsidR="008B1260">
        <w:rPr>
          <w:rStyle w:val="EndnoteReference"/>
        </w:rPr>
        <w:endnoteReference w:id="51"/>
      </w:r>
    </w:p>
    <w:p w14:paraId="033DE4EB" w14:textId="6FB81AC7" w:rsidR="008B1260" w:rsidRDefault="00C2107F" w:rsidP="004D4430">
      <w:pPr>
        <w:pStyle w:val="ListNumber"/>
      </w:pPr>
      <w:r>
        <w:t xml:space="preserve">The Commission </w:t>
      </w:r>
      <w:r w:rsidR="004D3784">
        <w:t xml:space="preserve">was not involved in either of these complaints and </w:t>
      </w:r>
      <w:r>
        <w:t xml:space="preserve">does not make any </w:t>
      </w:r>
      <w:r w:rsidR="00692A42">
        <w:t xml:space="preserve">comment about </w:t>
      </w:r>
      <w:r w:rsidR="004D3784">
        <w:t xml:space="preserve">their </w:t>
      </w:r>
      <w:r w:rsidR="00692A42">
        <w:t>substance</w:t>
      </w:r>
      <w:r w:rsidR="00167DA5">
        <w:t>.  However, assuming the Government’s view is correct, c</w:t>
      </w:r>
      <w:r w:rsidR="008B1260">
        <w:t xml:space="preserve">learly </w:t>
      </w:r>
      <w:r w:rsidR="00C12B16">
        <w:t xml:space="preserve">it is not necessary to </w:t>
      </w:r>
      <w:r w:rsidR="000B469A">
        <w:t xml:space="preserve">legislate to provide that </w:t>
      </w:r>
      <w:r w:rsidR="00143F00">
        <w:t>certain conduct does not constitute discrim</w:t>
      </w:r>
      <w:r w:rsidR="006224BD">
        <w:t>in</w:t>
      </w:r>
      <w:r w:rsidR="00143F00">
        <w:t xml:space="preserve">ation when it would not constitute </w:t>
      </w:r>
      <w:r w:rsidR="006224BD">
        <w:t>discrimination in any event.</w:t>
      </w:r>
    </w:p>
    <w:p w14:paraId="3909BBEE" w14:textId="24FB36A6" w:rsidR="006224BD" w:rsidRDefault="005F6712" w:rsidP="004D4430">
      <w:pPr>
        <w:pStyle w:val="ListNumber"/>
      </w:pPr>
      <w:r>
        <w:t xml:space="preserve">Further, clause 42 is not </w:t>
      </w:r>
      <w:r w:rsidR="004140A5">
        <w:t>restric</w:t>
      </w:r>
      <w:r w:rsidR="0071796D">
        <w:t>t</w:t>
      </w:r>
      <w:r w:rsidR="004140A5">
        <w:t>ed</w:t>
      </w:r>
      <w:r>
        <w:t xml:space="preserve"> to </w:t>
      </w:r>
      <w:r w:rsidR="004E504B">
        <w:t>legislation in Tasmania and Queensland</w:t>
      </w:r>
      <w:r w:rsidR="00450B3B">
        <w:t xml:space="preserve"> where these two complaints were made</w:t>
      </w:r>
      <w:r w:rsidR="004E504B">
        <w:t xml:space="preserve">.  It also would </w:t>
      </w:r>
      <w:r w:rsidR="00772AC3">
        <w:t xml:space="preserve">limit the scope of </w:t>
      </w:r>
      <w:r w:rsidR="00C15EC1">
        <w:t>the following pieces of legislation:</w:t>
      </w:r>
    </w:p>
    <w:p w14:paraId="65338B82" w14:textId="2AEDB37D" w:rsidR="00C15EC1" w:rsidRDefault="00C15EC1" w:rsidP="00C15EC1">
      <w:pPr>
        <w:pStyle w:val="ListNumber"/>
        <w:numPr>
          <w:ilvl w:val="0"/>
          <w:numId w:val="23"/>
        </w:numPr>
      </w:pPr>
      <w:r w:rsidRPr="00F62E39">
        <w:rPr>
          <w:i/>
          <w:iCs/>
        </w:rPr>
        <w:t>Racial Discrimination Act 1975</w:t>
      </w:r>
      <w:r>
        <w:t xml:space="preserve"> (</w:t>
      </w:r>
      <w:proofErr w:type="spellStart"/>
      <w:r>
        <w:t>Cth</w:t>
      </w:r>
      <w:proofErr w:type="spellEnd"/>
      <w:r>
        <w:t>)</w:t>
      </w:r>
    </w:p>
    <w:p w14:paraId="7C0B94AE" w14:textId="0997AE64" w:rsidR="00C15EC1" w:rsidRDefault="00C15EC1" w:rsidP="00C15EC1">
      <w:pPr>
        <w:pStyle w:val="ListNumber"/>
        <w:numPr>
          <w:ilvl w:val="0"/>
          <w:numId w:val="23"/>
        </w:numPr>
      </w:pPr>
      <w:r w:rsidRPr="00F62E39">
        <w:rPr>
          <w:i/>
          <w:iCs/>
        </w:rPr>
        <w:t>Sex Discrimination Act 1984</w:t>
      </w:r>
      <w:r>
        <w:t xml:space="preserve"> (</w:t>
      </w:r>
      <w:proofErr w:type="spellStart"/>
      <w:r>
        <w:t>Cth</w:t>
      </w:r>
      <w:proofErr w:type="spellEnd"/>
      <w:r>
        <w:t>)</w:t>
      </w:r>
    </w:p>
    <w:p w14:paraId="1B09E3C9" w14:textId="4F69E92A" w:rsidR="00C15EC1" w:rsidRDefault="00C15EC1" w:rsidP="00C15EC1">
      <w:pPr>
        <w:pStyle w:val="ListNumber"/>
        <w:numPr>
          <w:ilvl w:val="0"/>
          <w:numId w:val="23"/>
        </w:numPr>
      </w:pPr>
      <w:r w:rsidRPr="00F62E39">
        <w:rPr>
          <w:i/>
          <w:iCs/>
        </w:rPr>
        <w:lastRenderedPageBreak/>
        <w:t>Disability Discrimination Act 1992</w:t>
      </w:r>
      <w:r>
        <w:t xml:space="preserve"> (</w:t>
      </w:r>
      <w:proofErr w:type="spellStart"/>
      <w:r>
        <w:t>Cth</w:t>
      </w:r>
      <w:proofErr w:type="spellEnd"/>
      <w:r>
        <w:t>)</w:t>
      </w:r>
    </w:p>
    <w:p w14:paraId="2D22C2E8" w14:textId="4AC0BA3B" w:rsidR="00C15EC1" w:rsidRDefault="00C15EC1" w:rsidP="00C15EC1">
      <w:pPr>
        <w:pStyle w:val="ListNumber"/>
        <w:numPr>
          <w:ilvl w:val="0"/>
          <w:numId w:val="23"/>
        </w:numPr>
      </w:pPr>
      <w:r w:rsidRPr="00F62E39">
        <w:rPr>
          <w:i/>
          <w:iCs/>
        </w:rPr>
        <w:t>Age Discrimination Act 2004</w:t>
      </w:r>
      <w:r>
        <w:t xml:space="preserve"> (</w:t>
      </w:r>
      <w:proofErr w:type="spellStart"/>
      <w:r>
        <w:t>Cth</w:t>
      </w:r>
      <w:proofErr w:type="spellEnd"/>
      <w:r>
        <w:t>)</w:t>
      </w:r>
    </w:p>
    <w:p w14:paraId="5EB549B7" w14:textId="5C89B3D5" w:rsidR="00C15EC1" w:rsidRDefault="0004460E" w:rsidP="00C15EC1">
      <w:pPr>
        <w:pStyle w:val="ListNumber"/>
        <w:numPr>
          <w:ilvl w:val="0"/>
          <w:numId w:val="23"/>
        </w:numPr>
      </w:pPr>
      <w:r w:rsidRPr="00F62E39">
        <w:rPr>
          <w:i/>
          <w:iCs/>
        </w:rPr>
        <w:t xml:space="preserve">Anti-Discrimination </w:t>
      </w:r>
      <w:r w:rsidR="00D76A30" w:rsidRPr="00F62E39">
        <w:rPr>
          <w:i/>
          <w:iCs/>
        </w:rPr>
        <w:t>Act 1977</w:t>
      </w:r>
      <w:r w:rsidR="00D76A30">
        <w:t xml:space="preserve"> (NSW)</w:t>
      </w:r>
    </w:p>
    <w:p w14:paraId="4F163876" w14:textId="77777777" w:rsidR="00461EF0" w:rsidRDefault="00461EF0" w:rsidP="00461EF0">
      <w:pPr>
        <w:pStyle w:val="ListNumber"/>
        <w:numPr>
          <w:ilvl w:val="0"/>
          <w:numId w:val="23"/>
        </w:numPr>
      </w:pPr>
      <w:r w:rsidRPr="00F62E39">
        <w:rPr>
          <w:i/>
          <w:iCs/>
        </w:rPr>
        <w:t>Equal Opportunity Act 1984</w:t>
      </w:r>
      <w:r>
        <w:t xml:space="preserve"> (SA)</w:t>
      </w:r>
    </w:p>
    <w:p w14:paraId="29C4D7D5" w14:textId="73E66C5F" w:rsidR="00D76A30" w:rsidRDefault="00D76A30" w:rsidP="00C15EC1">
      <w:pPr>
        <w:pStyle w:val="ListNumber"/>
        <w:numPr>
          <w:ilvl w:val="0"/>
          <w:numId w:val="23"/>
        </w:numPr>
      </w:pPr>
      <w:r w:rsidRPr="00F62E39">
        <w:rPr>
          <w:i/>
          <w:iCs/>
        </w:rPr>
        <w:t>Equal Opportunity Act 2010</w:t>
      </w:r>
      <w:r>
        <w:t xml:space="preserve"> (Vic)</w:t>
      </w:r>
    </w:p>
    <w:p w14:paraId="69D85B57" w14:textId="289ECA74" w:rsidR="00D76A30" w:rsidRDefault="00D76A30" w:rsidP="00C15EC1">
      <w:pPr>
        <w:pStyle w:val="ListNumber"/>
        <w:numPr>
          <w:ilvl w:val="0"/>
          <w:numId w:val="23"/>
        </w:numPr>
      </w:pPr>
      <w:r w:rsidRPr="00F62E39">
        <w:rPr>
          <w:i/>
          <w:iCs/>
        </w:rPr>
        <w:t xml:space="preserve">Equal Opportunity Act </w:t>
      </w:r>
      <w:r w:rsidR="00D656C6" w:rsidRPr="00F62E39">
        <w:rPr>
          <w:i/>
          <w:iCs/>
        </w:rPr>
        <w:t>1984</w:t>
      </w:r>
      <w:r w:rsidR="00D656C6">
        <w:t xml:space="preserve"> (WA)</w:t>
      </w:r>
    </w:p>
    <w:p w14:paraId="57D47112" w14:textId="3BCAB6CF" w:rsidR="00F62E39" w:rsidRDefault="00F62E39" w:rsidP="00C15EC1">
      <w:pPr>
        <w:pStyle w:val="ListNumber"/>
        <w:numPr>
          <w:ilvl w:val="0"/>
          <w:numId w:val="23"/>
        </w:numPr>
      </w:pPr>
      <w:r w:rsidRPr="00F62E39">
        <w:rPr>
          <w:i/>
          <w:iCs/>
        </w:rPr>
        <w:t>Discrimination Act 1991</w:t>
      </w:r>
      <w:r>
        <w:t xml:space="preserve"> (ACT)</w:t>
      </w:r>
    </w:p>
    <w:p w14:paraId="6AD4062D" w14:textId="79F3B766" w:rsidR="00F62E39" w:rsidRDefault="00F62E39" w:rsidP="00C15EC1">
      <w:pPr>
        <w:pStyle w:val="ListNumber"/>
        <w:numPr>
          <w:ilvl w:val="0"/>
          <w:numId w:val="23"/>
        </w:numPr>
      </w:pPr>
      <w:r w:rsidRPr="00F62E39">
        <w:rPr>
          <w:i/>
          <w:iCs/>
        </w:rPr>
        <w:t>Anti-Discrimination Act</w:t>
      </w:r>
      <w:r>
        <w:t xml:space="preserve"> (NT)</w:t>
      </w:r>
    </w:p>
    <w:p w14:paraId="15CFD019" w14:textId="1D8F8F82" w:rsidR="005C3885" w:rsidRPr="005C3885" w:rsidRDefault="005C3885" w:rsidP="00C15EC1">
      <w:pPr>
        <w:pStyle w:val="ListNumber"/>
        <w:numPr>
          <w:ilvl w:val="0"/>
          <w:numId w:val="23"/>
        </w:numPr>
      </w:pPr>
      <w:r>
        <w:t>a</w:t>
      </w:r>
      <w:r w:rsidRPr="005C3885">
        <w:t>nd any other law prescribed by regulation.</w:t>
      </w:r>
    </w:p>
    <w:p w14:paraId="7DFDA288" w14:textId="3F96248F" w:rsidR="00F62E39" w:rsidRDefault="00F62E39" w:rsidP="004D4430">
      <w:pPr>
        <w:pStyle w:val="ListNumber"/>
      </w:pPr>
      <w:r>
        <w:t>There has been no suggestion that any comp</w:t>
      </w:r>
      <w:r w:rsidR="005F0330">
        <w:t>laints</w:t>
      </w:r>
      <w:r w:rsidR="00946351">
        <w:t>, let alone findings,</w:t>
      </w:r>
      <w:r w:rsidR="005F0330">
        <w:t xml:space="preserve"> have been made </w:t>
      </w:r>
      <w:r w:rsidR="00946351">
        <w:t>under any of these pieces of legislation</w:t>
      </w:r>
      <w:r w:rsidR="00B15EA8">
        <w:t xml:space="preserve"> </w:t>
      </w:r>
      <w:r w:rsidR="002D142B">
        <w:t xml:space="preserve">about </w:t>
      </w:r>
      <w:r w:rsidR="00CC4F0B">
        <w:t xml:space="preserve">discriminatory </w:t>
      </w:r>
      <w:r w:rsidR="002D142B">
        <w:t xml:space="preserve">statements of belief </w:t>
      </w:r>
      <w:r w:rsidR="00B15EA8">
        <w:t xml:space="preserve">that warrant </w:t>
      </w:r>
      <w:r w:rsidR="005B1FA4">
        <w:t xml:space="preserve">them being </w:t>
      </w:r>
      <w:r w:rsidR="00F66E20">
        <w:t>limited by new Commonwealth legislation.</w:t>
      </w:r>
    </w:p>
    <w:p w14:paraId="6373BC03" w14:textId="68D400F2" w:rsidR="002D142B" w:rsidRDefault="00A47E96" w:rsidP="004D4430">
      <w:pPr>
        <w:pStyle w:val="ListNumber"/>
      </w:pPr>
      <w:r>
        <w:t xml:space="preserve">It is particularly difficult to make the case for limiting Commonwealth </w:t>
      </w:r>
      <w:r w:rsidR="00B903DF">
        <w:t xml:space="preserve">discrimination laws in this way.  </w:t>
      </w:r>
      <w:r w:rsidR="008A0766">
        <w:t xml:space="preserve">This is because the substance of </w:t>
      </w:r>
      <w:r w:rsidR="003F5000">
        <w:t>the Attorney</w:t>
      </w:r>
      <w:r w:rsidR="00AB1A5C">
        <w:t>-General</w:t>
      </w:r>
      <w:r w:rsidR="003F5000">
        <w:t xml:space="preserve">’s concerns about the two </w:t>
      </w:r>
      <w:r w:rsidR="00841A24">
        <w:t xml:space="preserve">identified </w:t>
      </w:r>
      <w:r w:rsidR="003F5000">
        <w:t xml:space="preserve">cases is not that </w:t>
      </w:r>
      <w:r w:rsidR="00CF7A5F">
        <w:t>the cases had substance</w:t>
      </w:r>
      <w:r w:rsidR="009F03FD">
        <w:t xml:space="preserve"> and would have resul</w:t>
      </w:r>
      <w:r w:rsidR="00CC4F0B">
        <w:t>t</w:t>
      </w:r>
      <w:r w:rsidR="002770B9">
        <w:t>ed</w:t>
      </w:r>
      <w:r w:rsidR="009F03FD">
        <w:t xml:space="preserve"> in findings of discrimination</w:t>
      </w:r>
      <w:r w:rsidR="00CF7A5F">
        <w:t xml:space="preserve">, but rather that the process took too long </w:t>
      </w:r>
      <w:r w:rsidR="003165C0">
        <w:t>before the</w:t>
      </w:r>
      <w:r w:rsidR="00FA0675">
        <w:t xml:space="preserve"> complaints</w:t>
      </w:r>
      <w:r w:rsidR="003165C0">
        <w:t xml:space="preserve"> were withdrawn or discontinued.</w:t>
      </w:r>
      <w:r w:rsidR="001D0BE9">
        <w:t xml:space="preserve">  At the request of the Commission, the </w:t>
      </w:r>
      <w:r w:rsidR="001D0BE9" w:rsidRPr="001D0BE9">
        <w:rPr>
          <w:i/>
          <w:iCs/>
        </w:rPr>
        <w:t>Australian Human Rights Commission Act 1986</w:t>
      </w:r>
      <w:r w:rsidR="001D0BE9">
        <w:t xml:space="preserve"> (</w:t>
      </w:r>
      <w:proofErr w:type="spellStart"/>
      <w:r w:rsidR="001D0BE9">
        <w:t>Cth</w:t>
      </w:r>
      <w:proofErr w:type="spellEnd"/>
      <w:r w:rsidR="001D0BE9">
        <w:t>) was amended in 2017 to increase the threshold for the making of a valid complaint.</w:t>
      </w:r>
      <w:r w:rsidR="00312B26">
        <w:rPr>
          <w:rStyle w:val="EndnoteReference"/>
        </w:rPr>
        <w:endnoteReference w:id="52"/>
      </w:r>
      <w:r w:rsidR="005A7A5D">
        <w:t xml:space="preserve">  These changes have made it easier for the Australian Human Rights Commission to terminate </w:t>
      </w:r>
      <w:r w:rsidR="002B0824">
        <w:t>unmeritorious complaints early in the complaint</w:t>
      </w:r>
      <w:r w:rsidR="00BE2C11">
        <w:t xml:space="preserve"> handling</w:t>
      </w:r>
      <w:r w:rsidR="002B0824">
        <w:t xml:space="preserve"> process.</w:t>
      </w:r>
    </w:p>
    <w:p w14:paraId="1BCFCF0E" w14:textId="1ADB33A1" w:rsidR="003165C0" w:rsidRDefault="00816D40" w:rsidP="003D6521">
      <w:pPr>
        <w:pStyle w:val="ListNumber"/>
        <w:keepNext/>
      </w:pPr>
      <w:r>
        <w:t>T</w:t>
      </w:r>
      <w:r w:rsidR="002B0824">
        <w:t>he Attorney</w:t>
      </w:r>
      <w:r w:rsidR="00AB1A5C">
        <w:t>-General</w:t>
      </w:r>
      <w:r w:rsidR="002B0824">
        <w:t xml:space="preserve"> has observed:</w:t>
      </w:r>
    </w:p>
    <w:p w14:paraId="12F96E5D" w14:textId="536B3E7B" w:rsidR="002B0824" w:rsidRPr="00564628" w:rsidRDefault="007A0271" w:rsidP="00816D40">
      <w:pPr>
        <w:pStyle w:val="ListNumber"/>
        <w:numPr>
          <w:ilvl w:val="0"/>
          <w:numId w:val="0"/>
        </w:numPr>
        <w:ind w:left="1440"/>
        <w:rPr>
          <w:sz w:val="22"/>
          <w:szCs w:val="22"/>
        </w:rPr>
      </w:pPr>
      <w:r w:rsidRPr="00564628">
        <w:rPr>
          <w:sz w:val="22"/>
          <w:szCs w:val="22"/>
        </w:rPr>
        <w:t>At the Commonwealth level great effort has been made to eliminate and discourage unmeritorious complaints</w:t>
      </w:r>
      <w:r w:rsidR="00A250FF" w:rsidRPr="00564628">
        <w:rPr>
          <w:sz w:val="22"/>
          <w:szCs w:val="22"/>
        </w:rPr>
        <w:t>,</w:t>
      </w:r>
      <w:r w:rsidRPr="00564628">
        <w:rPr>
          <w:sz w:val="22"/>
          <w:szCs w:val="22"/>
        </w:rPr>
        <w:t xml:space="preserve"> and if the </w:t>
      </w:r>
      <w:r w:rsidR="00A250FF" w:rsidRPr="00564628">
        <w:rPr>
          <w:sz w:val="22"/>
          <w:szCs w:val="22"/>
        </w:rPr>
        <w:t xml:space="preserve">relevant State based processes had been similarly and appropriately stringent it would be </w:t>
      </w:r>
      <w:r w:rsidR="005005B4" w:rsidRPr="00564628">
        <w:rPr>
          <w:sz w:val="22"/>
          <w:szCs w:val="22"/>
        </w:rPr>
        <w:t>[un]</w:t>
      </w:r>
      <w:r w:rsidR="00A250FF" w:rsidRPr="00564628">
        <w:rPr>
          <w:sz w:val="22"/>
          <w:szCs w:val="22"/>
        </w:rPr>
        <w:t xml:space="preserve">likely that this provision of the Commonwealth Bill [clause 42] would have </w:t>
      </w:r>
      <w:r w:rsidR="00564628" w:rsidRPr="00564628">
        <w:rPr>
          <w:sz w:val="22"/>
          <w:szCs w:val="22"/>
        </w:rPr>
        <w:t>much, if any, work to do.</w:t>
      </w:r>
      <w:r w:rsidR="00785AEC">
        <w:rPr>
          <w:rStyle w:val="EndnoteReference"/>
          <w:szCs w:val="22"/>
        </w:rPr>
        <w:endnoteReference w:id="53"/>
      </w:r>
    </w:p>
    <w:p w14:paraId="02FC1CB5" w14:textId="2C009649" w:rsidR="002B3869" w:rsidRDefault="0070451D" w:rsidP="004D4430">
      <w:pPr>
        <w:pStyle w:val="ListNumber"/>
      </w:pPr>
      <w:r>
        <w:t>It is an inherent aspect of any complaint handling process that</w:t>
      </w:r>
      <w:r w:rsidR="00D0234E">
        <w:t xml:space="preserve"> from time to time unmeritorious complaints will be made.  </w:t>
      </w:r>
      <w:r w:rsidR="002B3869">
        <w:t xml:space="preserve">Clause 42 will do nothing to </w:t>
      </w:r>
      <w:r w:rsidR="006C0A21">
        <w:t xml:space="preserve">prevent </w:t>
      </w:r>
      <w:r w:rsidR="002B3869">
        <w:t xml:space="preserve">unmeritorious </w:t>
      </w:r>
      <w:r w:rsidR="00582C89">
        <w:t>complaints.</w:t>
      </w:r>
      <w:r w:rsidR="00F36CF1">
        <w:t xml:space="preserve">  </w:t>
      </w:r>
      <w:r w:rsidR="0043396B">
        <w:t xml:space="preserve">The real concern </w:t>
      </w:r>
      <w:r w:rsidR="005F575D">
        <w:t xml:space="preserve">raised </w:t>
      </w:r>
      <w:r w:rsidR="00E179D8">
        <w:t xml:space="preserve">by </w:t>
      </w:r>
      <w:r w:rsidR="002D116F">
        <w:t>the Attorney</w:t>
      </w:r>
      <w:r w:rsidR="000F2519">
        <w:t>-General</w:t>
      </w:r>
      <w:r w:rsidR="002D116F">
        <w:t xml:space="preserve"> is whether </w:t>
      </w:r>
      <w:r w:rsidR="00E91FA8">
        <w:t>the relevant discrimination bodies ha</w:t>
      </w:r>
      <w:r w:rsidR="000F2519">
        <w:t>ve</w:t>
      </w:r>
      <w:r w:rsidR="00E91FA8">
        <w:t xml:space="preserve"> </w:t>
      </w:r>
      <w:proofErr w:type="gramStart"/>
      <w:r w:rsidR="002D116F">
        <w:t>sufficient</w:t>
      </w:r>
      <w:proofErr w:type="gramEnd"/>
      <w:r w:rsidR="002D116F">
        <w:t xml:space="preserve"> processes in place </w:t>
      </w:r>
      <w:r w:rsidR="00830E60">
        <w:t xml:space="preserve">to </w:t>
      </w:r>
      <w:r w:rsidR="009E260B">
        <w:t xml:space="preserve">promptly </w:t>
      </w:r>
      <w:r w:rsidR="00E91FA8">
        <w:t xml:space="preserve">identify and </w:t>
      </w:r>
      <w:r w:rsidR="009E260B">
        <w:t xml:space="preserve">terminate unmeritorious complaints. </w:t>
      </w:r>
      <w:r w:rsidR="00C6790F">
        <w:t xml:space="preserve"> </w:t>
      </w:r>
    </w:p>
    <w:p w14:paraId="7A36C458" w14:textId="36D82729" w:rsidR="00C6790F" w:rsidRDefault="00C6790F" w:rsidP="004D4430">
      <w:pPr>
        <w:pStyle w:val="ListNumber"/>
      </w:pPr>
      <w:r>
        <w:lastRenderedPageBreak/>
        <w:t xml:space="preserve">Rather than </w:t>
      </w:r>
      <w:r w:rsidR="00DB19BD">
        <w:t xml:space="preserve">introducing legislation that is unsuited to </w:t>
      </w:r>
      <w:r w:rsidR="00CB560C">
        <w:t>th</w:t>
      </w:r>
      <w:r w:rsidR="00D62233">
        <w:t>is</w:t>
      </w:r>
      <w:r w:rsidR="004C0A07">
        <w:t xml:space="preserve"> </w:t>
      </w:r>
      <w:r w:rsidR="00D027ED">
        <w:t>concern</w:t>
      </w:r>
      <w:r w:rsidR="00DB19BD">
        <w:t xml:space="preserve">, </w:t>
      </w:r>
      <w:r w:rsidR="00635122">
        <w:t xml:space="preserve">it would be more productive to engage with relevant </w:t>
      </w:r>
      <w:r w:rsidR="006F2F78">
        <w:t xml:space="preserve">States and Territories </w:t>
      </w:r>
      <w:r w:rsidR="00635122">
        <w:t>to discuss whether the</w:t>
      </w:r>
      <w:r w:rsidR="006F2F78">
        <w:t>ir discrimination bodies</w:t>
      </w:r>
      <w:r w:rsidR="00635122">
        <w:t xml:space="preserve"> have the powers they need</w:t>
      </w:r>
      <w:r w:rsidR="00396B62">
        <w:t xml:space="preserve"> </w:t>
      </w:r>
      <w:r w:rsidR="00F3507C">
        <w:t>to deal appropriately with unmeritorious complaints.</w:t>
      </w:r>
    </w:p>
    <w:p w14:paraId="76A32D85" w14:textId="2E3DFC59" w:rsidR="007C0B10" w:rsidRDefault="00A013AC" w:rsidP="004D4430">
      <w:pPr>
        <w:pStyle w:val="ListNumber"/>
      </w:pPr>
      <w:proofErr w:type="gramStart"/>
      <w:r>
        <w:t>In light of</w:t>
      </w:r>
      <w:proofErr w:type="gramEnd"/>
      <w:r>
        <w:t xml:space="preserve"> these </w:t>
      </w:r>
      <w:r w:rsidR="00F95129">
        <w:t>issues, clause 42 should also be removed from the Bill because it is not necessary.</w:t>
      </w:r>
    </w:p>
    <w:p w14:paraId="2C148606" w14:textId="79725940" w:rsidR="00DE681B" w:rsidRDefault="007904CE" w:rsidP="007904CE">
      <w:pPr>
        <w:pStyle w:val="Heading1"/>
      </w:pPr>
      <w:bookmarkStart w:id="53" w:name="_Toc31355406"/>
      <w:r>
        <w:t>Indirect discrimination</w:t>
      </w:r>
      <w:bookmarkEnd w:id="53"/>
    </w:p>
    <w:p w14:paraId="174EF4A3" w14:textId="706F515B" w:rsidR="007904CE" w:rsidRDefault="00544DFB" w:rsidP="00E81FA1">
      <w:pPr>
        <w:pStyle w:val="ListNumber"/>
      </w:pPr>
      <w:r>
        <w:t xml:space="preserve">The Bill sets out prohibitions </w:t>
      </w:r>
      <w:r w:rsidR="00B7629D">
        <w:t>against direct discrimination in clause 7 and indi</w:t>
      </w:r>
      <w:r w:rsidR="009C1079">
        <w:t>rect discrimination in clause 8.  The structure of clause</w:t>
      </w:r>
      <w:r w:rsidR="00924CC7">
        <w:t>s</w:t>
      </w:r>
      <w:r w:rsidR="009C1079">
        <w:t xml:space="preserve"> 7 and 8(1)</w:t>
      </w:r>
      <w:r w:rsidR="00454B8B">
        <w:t>,</w:t>
      </w:r>
      <w:r w:rsidR="009C1079">
        <w:t xml:space="preserve"> (2) </w:t>
      </w:r>
      <w:r w:rsidR="00454B8B">
        <w:t>and (</w:t>
      </w:r>
      <w:r w:rsidR="0075376F">
        <w:t>7)</w:t>
      </w:r>
      <w:r w:rsidR="00DA734C">
        <w:t xml:space="preserve"> </w:t>
      </w:r>
      <w:r w:rsidR="00924CC7">
        <w:t xml:space="preserve">are </w:t>
      </w:r>
      <w:r w:rsidR="00454B8B">
        <w:t>consistent with other Commonwealth discrimination law</w:t>
      </w:r>
      <w:r w:rsidR="00604731">
        <w:t>s</w:t>
      </w:r>
      <w:r w:rsidR="00454B8B">
        <w:t xml:space="preserve"> and </w:t>
      </w:r>
      <w:r w:rsidR="00924CC7">
        <w:t>are</w:t>
      </w:r>
      <w:r w:rsidR="00454B8B">
        <w:t xml:space="preserve"> uncontroversial. </w:t>
      </w:r>
      <w:r w:rsidR="0082090A">
        <w:t xml:space="preserve"> Similarly, Part 3 of the Bill</w:t>
      </w:r>
      <w:r w:rsidR="008C12B2">
        <w:t>,</w:t>
      </w:r>
      <w:r w:rsidR="0082090A">
        <w:t xml:space="preserve"> dealing with </w:t>
      </w:r>
      <w:r w:rsidR="001E1D5C">
        <w:t>the areas of public life in which discrimination on the ground of religious belief or activity would be prohibited</w:t>
      </w:r>
      <w:r w:rsidR="008C12B2">
        <w:t>,</w:t>
      </w:r>
      <w:r w:rsidR="001E1D5C">
        <w:t xml:space="preserve"> are uncontroversial.</w:t>
      </w:r>
    </w:p>
    <w:p w14:paraId="1AF71704" w14:textId="5B0611A3" w:rsidR="00924CC7" w:rsidRDefault="00924CC7" w:rsidP="00E81FA1">
      <w:pPr>
        <w:pStyle w:val="ListNumber"/>
      </w:pPr>
      <w:r>
        <w:t xml:space="preserve">However, </w:t>
      </w:r>
      <w:r w:rsidR="00154F06">
        <w:t xml:space="preserve">when it comes to the test for indirect discrimination, </w:t>
      </w:r>
      <w:r>
        <w:t xml:space="preserve">the Bill introduces </w:t>
      </w:r>
      <w:r w:rsidR="0096683E">
        <w:t xml:space="preserve">provisions that are </w:t>
      </w:r>
      <w:r w:rsidR="0092751C">
        <w:t xml:space="preserve">unusual </w:t>
      </w:r>
      <w:r w:rsidR="0096683E">
        <w:t xml:space="preserve">and unnecessary.  </w:t>
      </w:r>
      <w:r w:rsidR="003C43D1">
        <w:t xml:space="preserve">In particular, </w:t>
      </w:r>
      <w:r>
        <w:t xml:space="preserve">two </w:t>
      </w:r>
      <w:r w:rsidR="007E7033">
        <w:t xml:space="preserve">sets of </w:t>
      </w:r>
      <w:r>
        <w:t>deeming provisions in claus</w:t>
      </w:r>
      <w:r w:rsidR="0077219E">
        <w:t>e</w:t>
      </w:r>
      <w:r w:rsidR="001471B8">
        <w:t>s</w:t>
      </w:r>
      <w:r w:rsidR="0077219E">
        <w:t xml:space="preserve"> 8(3</w:t>
      </w:r>
      <w:r w:rsidR="001471B8">
        <w:t>)</w:t>
      </w:r>
      <w:proofErr w:type="gramStart"/>
      <w:r w:rsidR="001471B8">
        <w:t>–(</w:t>
      </w:r>
      <w:proofErr w:type="gramEnd"/>
      <w:r w:rsidR="000D1016">
        <w:t>5</w:t>
      </w:r>
      <w:r w:rsidR="0077219E">
        <w:t>) and clause</w:t>
      </w:r>
      <w:r w:rsidR="001471B8">
        <w:t>s</w:t>
      </w:r>
      <w:r w:rsidR="0077219E">
        <w:t xml:space="preserve"> 8(</w:t>
      </w:r>
      <w:r w:rsidR="000D1016">
        <w:t>6</w:t>
      </w:r>
      <w:r w:rsidR="001471B8">
        <w:t>)–(</w:t>
      </w:r>
      <w:r w:rsidR="000D1016">
        <w:t>7</w:t>
      </w:r>
      <w:r w:rsidR="0077219E">
        <w:t xml:space="preserve">) </w:t>
      </w:r>
      <w:r w:rsidR="0011619A">
        <w:t xml:space="preserve">narrow the test of whether conduct that might amount to indirect discrimination is reasonable in all of the circumstances.  </w:t>
      </w:r>
      <w:r w:rsidR="00467324">
        <w:t xml:space="preserve">When those deeming provisions operate, not </w:t>
      </w:r>
      <w:proofErr w:type="gramStart"/>
      <w:r w:rsidR="00467324">
        <w:t>all of</w:t>
      </w:r>
      <w:proofErr w:type="gramEnd"/>
      <w:r w:rsidR="00467324">
        <w:t xml:space="preserve"> the relevant circumstances will be taken into account. </w:t>
      </w:r>
    </w:p>
    <w:p w14:paraId="094CC743" w14:textId="29D98E6D" w:rsidR="00594B7C" w:rsidRDefault="00282A9D" w:rsidP="00E81FA1">
      <w:pPr>
        <w:pStyle w:val="ListNumber"/>
      </w:pPr>
      <w:r>
        <w:t xml:space="preserve">The Commission’s first submission dealt in detail with </w:t>
      </w:r>
      <w:r w:rsidR="00167B95">
        <w:t xml:space="preserve">the deeming provisions </w:t>
      </w:r>
      <w:r w:rsidR="00317A0A">
        <w:t>that relate to:</w:t>
      </w:r>
    </w:p>
    <w:p w14:paraId="1A39A692" w14:textId="0607995C" w:rsidR="00317A0A" w:rsidRDefault="00317A0A" w:rsidP="00317A0A">
      <w:pPr>
        <w:pStyle w:val="ListNumber"/>
        <w:numPr>
          <w:ilvl w:val="0"/>
          <w:numId w:val="23"/>
        </w:numPr>
      </w:pPr>
      <w:r>
        <w:t>employer conduct rules and statements of belief; and</w:t>
      </w:r>
    </w:p>
    <w:p w14:paraId="69EE5F7F" w14:textId="17C92B16" w:rsidR="00317A0A" w:rsidRDefault="00317A0A" w:rsidP="00317A0A">
      <w:pPr>
        <w:pStyle w:val="ListNumber"/>
        <w:numPr>
          <w:ilvl w:val="0"/>
          <w:numId w:val="23"/>
        </w:numPr>
      </w:pPr>
      <w:r>
        <w:t>conscientious objections by health practitioners,</w:t>
      </w:r>
    </w:p>
    <w:p w14:paraId="1B86ACC8" w14:textId="3305E1A0" w:rsidR="00317A0A" w:rsidRDefault="00317A0A" w:rsidP="00317A0A">
      <w:pPr>
        <w:pStyle w:val="ListNumber"/>
        <w:numPr>
          <w:ilvl w:val="0"/>
          <w:numId w:val="0"/>
        </w:numPr>
        <w:ind w:left="1094" w:hanging="737"/>
      </w:pPr>
      <w:r>
        <w:tab/>
        <w:t xml:space="preserve">and recommended that these clauses be removed from the Bill.  </w:t>
      </w:r>
    </w:p>
    <w:p w14:paraId="3B6A9DF9" w14:textId="626AAAB3" w:rsidR="002836C4" w:rsidRDefault="002836C4" w:rsidP="00E81FA1">
      <w:pPr>
        <w:pStyle w:val="ListNumber"/>
      </w:pPr>
      <w:r>
        <w:t xml:space="preserve">If these clauses were removed, assessments of indirect discrimination would be carried out in </w:t>
      </w:r>
      <w:proofErr w:type="gramStart"/>
      <w:r>
        <w:t>exactly the same</w:t>
      </w:r>
      <w:proofErr w:type="gramEnd"/>
      <w:r>
        <w:t xml:space="preserve"> way as </w:t>
      </w:r>
      <w:r w:rsidR="00C32B90">
        <w:t xml:space="preserve">the </w:t>
      </w:r>
      <w:r>
        <w:t>assessment of indirect discrimination</w:t>
      </w:r>
      <w:r w:rsidR="00C32B90">
        <w:t xml:space="preserve"> in all other federal discrimination law</w:t>
      </w:r>
      <w:r>
        <w:t xml:space="preserve">.  That is, there would be an assessment of whether the rule was likely to disadvantage people on the ground of religious belief or activity and an assessment, </w:t>
      </w:r>
      <w:proofErr w:type="gramStart"/>
      <w:r>
        <w:t>taking into account</w:t>
      </w:r>
      <w:proofErr w:type="gramEnd"/>
      <w:r>
        <w:t xml:space="preserve"> all of the relevant circumstances, of whether or not the restriction was reasonable.</w:t>
      </w:r>
      <w:r w:rsidR="00AC2719">
        <w:t xml:space="preserve">  The Commission reiterates the </w:t>
      </w:r>
      <w:r w:rsidR="00FA6613">
        <w:t>comments</w:t>
      </w:r>
      <w:r w:rsidR="00AC2719">
        <w:t xml:space="preserve"> it made in its first submission</w:t>
      </w:r>
      <w:r w:rsidR="00FA6613">
        <w:t xml:space="preserve"> and its </w:t>
      </w:r>
      <w:r w:rsidR="00FA6613">
        <w:lastRenderedPageBreak/>
        <w:t>recommendation that these additional deeming provisions be removed from the Bill</w:t>
      </w:r>
      <w:r w:rsidR="00AC2719">
        <w:t>.</w:t>
      </w:r>
    </w:p>
    <w:p w14:paraId="708B9394" w14:textId="4218FF30" w:rsidR="00AC2719" w:rsidRDefault="00AC2719" w:rsidP="00E81FA1">
      <w:pPr>
        <w:pStyle w:val="ListNumber"/>
      </w:pPr>
      <w:r>
        <w:t xml:space="preserve">The comments in the following sections are addressed to </w:t>
      </w:r>
      <w:r w:rsidR="00741334">
        <w:t xml:space="preserve">proposed amendments to these </w:t>
      </w:r>
      <w:r w:rsidR="00CC4F0B">
        <w:t xml:space="preserve">clauses </w:t>
      </w:r>
      <w:r w:rsidR="00741334">
        <w:t xml:space="preserve">in </w:t>
      </w:r>
      <w:r w:rsidR="00265152">
        <w:t>the second exposure draft.</w:t>
      </w:r>
    </w:p>
    <w:p w14:paraId="0AD56B66" w14:textId="29CAAC20" w:rsidR="001C6F31" w:rsidRDefault="00696418" w:rsidP="00696418">
      <w:pPr>
        <w:pStyle w:val="Heading2"/>
      </w:pPr>
      <w:bookmarkStart w:id="54" w:name="_Toc31355407"/>
      <w:r>
        <w:t>Employer conduct rules and statements of belief</w:t>
      </w:r>
      <w:bookmarkEnd w:id="54"/>
    </w:p>
    <w:p w14:paraId="0B87213C" w14:textId="69E3833D" w:rsidR="00696418" w:rsidRDefault="00F67B18" w:rsidP="00E81FA1">
      <w:pPr>
        <w:pStyle w:val="ListNumber"/>
      </w:pPr>
      <w:bookmarkStart w:id="55" w:name="_Ref30432156"/>
      <w:r>
        <w:t>C</w:t>
      </w:r>
      <w:r w:rsidR="0051566C">
        <w:t>lause 8(3</w:t>
      </w:r>
      <w:r w:rsidR="009315B5">
        <w:t>)</w:t>
      </w:r>
      <w:r w:rsidR="00CA01B9">
        <w:t xml:space="preserve"> </w:t>
      </w:r>
      <w:r w:rsidR="0051566C">
        <w:t xml:space="preserve">of the Bill </w:t>
      </w:r>
      <w:r w:rsidR="001963B0">
        <w:t>relate</w:t>
      </w:r>
      <w:r w:rsidR="007F0F8C">
        <w:t>s</w:t>
      </w:r>
      <w:r w:rsidR="001963B0">
        <w:t xml:space="preserve"> to codes of conduct </w:t>
      </w:r>
      <w:r w:rsidR="005D7581">
        <w:t xml:space="preserve">that </w:t>
      </w:r>
      <w:r w:rsidR="00CD056E">
        <w:t xml:space="preserve">certain </w:t>
      </w:r>
      <w:r w:rsidR="005D7581">
        <w:t>employers require their employees to adhere to.</w:t>
      </w:r>
      <w:r w:rsidR="006E3194">
        <w:t xml:space="preserve">  </w:t>
      </w:r>
      <w:r w:rsidR="00E548AF">
        <w:t xml:space="preserve">The provision </w:t>
      </w:r>
      <w:r w:rsidR="00065236">
        <w:t xml:space="preserve">is </w:t>
      </w:r>
      <w:r w:rsidR="006E3194">
        <w:t xml:space="preserve">limited to </w:t>
      </w:r>
      <w:r w:rsidR="00396A68">
        <w:t xml:space="preserve">private sector </w:t>
      </w:r>
      <w:r w:rsidR="006E3194">
        <w:t xml:space="preserve">employers with </w:t>
      </w:r>
      <w:r w:rsidR="00520F4C">
        <w:t xml:space="preserve">revenue </w:t>
      </w:r>
      <w:r w:rsidR="00396A68">
        <w:t xml:space="preserve">of more than </w:t>
      </w:r>
      <w:r w:rsidR="00520F4C">
        <w:t>$50 million in either of the last two financial years.</w:t>
      </w:r>
      <w:r w:rsidR="00CD056E">
        <w:rPr>
          <w:rStyle w:val="EndnoteReference"/>
        </w:rPr>
        <w:endnoteReference w:id="54"/>
      </w:r>
      <w:r w:rsidR="00520F4C">
        <w:t xml:space="preserve">  </w:t>
      </w:r>
      <w:r w:rsidR="00065236">
        <w:t xml:space="preserve">It only applies </w:t>
      </w:r>
      <w:r w:rsidR="00325129">
        <w:t xml:space="preserve">to codes of conduct that regulate what employees of these companies </w:t>
      </w:r>
      <w:r w:rsidR="008607B2">
        <w:t xml:space="preserve">can say </w:t>
      </w:r>
      <w:r w:rsidR="0019342B">
        <w:t>when they are not a</w:t>
      </w:r>
      <w:r w:rsidR="00C81BDB">
        <w:t>t work</w:t>
      </w:r>
      <w:r w:rsidR="00307E24">
        <w:t>.</w:t>
      </w:r>
      <w:bookmarkEnd w:id="55"/>
    </w:p>
    <w:p w14:paraId="2C2035EC" w14:textId="77777777" w:rsidR="00E0580A" w:rsidRDefault="00C81BDB" w:rsidP="00E81FA1">
      <w:pPr>
        <w:pStyle w:val="ListNumber"/>
      </w:pPr>
      <w:r>
        <w:t xml:space="preserve">The </w:t>
      </w:r>
      <w:r w:rsidR="000F707A">
        <w:t xml:space="preserve">language of this clause has been amended in how it describes when an employee is not at work.  Previously, the </w:t>
      </w:r>
      <w:r w:rsidR="008316C3">
        <w:t xml:space="preserve">clause applied to codes of conduct that regulated </w:t>
      </w:r>
      <w:r w:rsidR="00215D51">
        <w:t xml:space="preserve">statements of belief </w:t>
      </w:r>
      <w:r w:rsidR="000F707A">
        <w:t>‘</w:t>
      </w:r>
      <w:r w:rsidR="00962604">
        <w:t xml:space="preserve">at a time </w:t>
      </w:r>
      <w:r w:rsidR="00493FE0">
        <w:t xml:space="preserve">other than </w:t>
      </w:r>
      <w:r w:rsidR="00962604">
        <w:t xml:space="preserve">when the employee is </w:t>
      </w:r>
      <w:r w:rsidR="00E4261E">
        <w:t xml:space="preserve">performing work on behalf of </w:t>
      </w:r>
      <w:r w:rsidR="007A088D">
        <w:t xml:space="preserve">the employer’.  The </w:t>
      </w:r>
      <w:r w:rsidR="00C529BF">
        <w:t>clause now applies to codes of conduct that regulate statements of belief ‘</w:t>
      </w:r>
      <w:r w:rsidR="00B3122B">
        <w:t xml:space="preserve">other than </w:t>
      </w:r>
      <w:r w:rsidR="00913A8B">
        <w:t xml:space="preserve">in the course of </w:t>
      </w:r>
      <w:r w:rsidR="009311AF">
        <w:t xml:space="preserve">the employee’s employment’.  </w:t>
      </w:r>
    </w:p>
    <w:p w14:paraId="18E2CA70" w14:textId="25F6AD25" w:rsidR="00C81BDB" w:rsidRDefault="00E0580A" w:rsidP="00E81FA1">
      <w:pPr>
        <w:pStyle w:val="ListNumber"/>
      </w:pPr>
      <w:r>
        <w:t xml:space="preserve">The effect is that the deeming provision now applies in a </w:t>
      </w:r>
      <w:r w:rsidR="00B3604E">
        <w:t xml:space="preserve">narrower </w:t>
      </w:r>
      <w:r>
        <w:t xml:space="preserve">range of circumstances.  An employee may be </w:t>
      </w:r>
      <w:r w:rsidR="0015150E">
        <w:t xml:space="preserve">acting in the course of their employment in some situations while they are not performing work, for example at an office Christmas party.  </w:t>
      </w:r>
      <w:r w:rsidR="004D2FE0">
        <w:t xml:space="preserve">Codes of conduct dealing with office Christmas parties will be </w:t>
      </w:r>
      <w:r w:rsidR="00C62941">
        <w:t xml:space="preserve">treated in the same way as codes of conduct </w:t>
      </w:r>
      <w:r w:rsidR="00EC6A5E">
        <w:t>governing employee behaviour while engaged in work.  The deeming provision will not apply in those circumstances.</w:t>
      </w:r>
    </w:p>
    <w:p w14:paraId="51379DA7" w14:textId="2A72A070" w:rsidR="00307E24" w:rsidRDefault="00307E24" w:rsidP="00E81FA1">
      <w:pPr>
        <w:pStyle w:val="ListNumber"/>
      </w:pPr>
      <w:r>
        <w:t xml:space="preserve">If the code of conduct restricts or prevents </w:t>
      </w:r>
      <w:r w:rsidR="007D093B">
        <w:t xml:space="preserve">an employee of such a company from making a ‘statement of belief’ </w:t>
      </w:r>
      <w:r w:rsidR="00F739C4" w:rsidRPr="00F25CC3">
        <w:rPr>
          <w:i/>
          <w:iCs/>
        </w:rPr>
        <w:t>other</w:t>
      </w:r>
      <w:r w:rsidR="00F739C4">
        <w:t xml:space="preserve"> than in the course of their employment </w:t>
      </w:r>
      <w:r w:rsidR="00F40B90">
        <w:t>(including a discriminatory statement of belief covered by clause 4</w:t>
      </w:r>
      <w:r w:rsidR="00CC4F0B">
        <w:t>2</w:t>
      </w:r>
      <w:r w:rsidR="00F40B90">
        <w:t>)</w:t>
      </w:r>
      <w:r w:rsidR="00CE4EF3">
        <w:t>,</w:t>
      </w:r>
      <w:r w:rsidR="00F40B90">
        <w:t xml:space="preserve"> </w:t>
      </w:r>
      <w:r w:rsidR="00D33FA1">
        <w:t>th</w:t>
      </w:r>
      <w:r w:rsidR="004921EB">
        <w:t xml:space="preserve">e code </w:t>
      </w:r>
      <w:r w:rsidR="007D093B">
        <w:t>will be deemed to be unreasonable</w:t>
      </w:r>
      <w:r w:rsidR="006C5EFA">
        <w:t xml:space="preserve">, regardless of the reasons the employer may have had for </w:t>
      </w:r>
      <w:r w:rsidR="004921EB">
        <w:t>implementing it</w:t>
      </w:r>
      <w:r w:rsidR="006C5EFA">
        <w:t>, unless the employer can prove</w:t>
      </w:r>
      <w:r w:rsidR="00BD3029">
        <w:rPr>
          <w:rStyle w:val="EndnoteReference"/>
        </w:rPr>
        <w:endnoteReference w:id="55"/>
      </w:r>
      <w:r w:rsidR="006C5EFA">
        <w:t xml:space="preserve"> that </w:t>
      </w:r>
      <w:r w:rsidR="00AA7457">
        <w:t>the code is necessary to avoid ‘unjustifiable financial hardship’.</w:t>
      </w:r>
    </w:p>
    <w:p w14:paraId="71C9357C" w14:textId="0F07DCC3" w:rsidR="00BC01C0" w:rsidRDefault="00BC01C0" w:rsidP="00E81FA1">
      <w:pPr>
        <w:pStyle w:val="ListNumber"/>
      </w:pPr>
      <w:bookmarkStart w:id="56" w:name="_Ref30432161"/>
      <w:r>
        <w:t>The Commission reiterates its previous submission that this clause be removed from the Bill.</w:t>
      </w:r>
      <w:bookmarkEnd w:id="56"/>
    </w:p>
    <w:p w14:paraId="28BE956A" w14:textId="592B50A6" w:rsidR="00312BD8" w:rsidRDefault="00070EAF" w:rsidP="00D07860">
      <w:pPr>
        <w:pStyle w:val="Heading2"/>
      </w:pPr>
      <w:bookmarkStart w:id="57" w:name="_Toc31355408"/>
      <w:r>
        <w:lastRenderedPageBreak/>
        <w:t>Qualifying bodies</w:t>
      </w:r>
      <w:bookmarkEnd w:id="57"/>
    </w:p>
    <w:p w14:paraId="6DC1C93E" w14:textId="7E6D2CBA" w:rsidR="00D07860" w:rsidRDefault="008A5E32" w:rsidP="00E81FA1">
      <w:pPr>
        <w:pStyle w:val="ListNumber"/>
      </w:pPr>
      <w:bookmarkStart w:id="58" w:name="_Ref30432208"/>
      <w:r>
        <w:t xml:space="preserve">The second exposure draft of the Bill includes a new deeming provision </w:t>
      </w:r>
      <w:r w:rsidR="005D24B1">
        <w:t xml:space="preserve">in clause 8(4) </w:t>
      </w:r>
      <w:r>
        <w:t>relating to qualifying bodies.</w:t>
      </w:r>
      <w:r w:rsidR="00D5114A">
        <w:t xml:space="preserve">  The deeming provision operates in the same way as </w:t>
      </w:r>
      <w:r w:rsidR="00506642">
        <w:t>clause 8(3) in relation to employers.</w:t>
      </w:r>
      <w:bookmarkEnd w:id="58"/>
    </w:p>
    <w:p w14:paraId="16BE5348" w14:textId="74EA07C8" w:rsidR="00C935C6" w:rsidRDefault="008D6EF3" w:rsidP="00E81FA1">
      <w:pPr>
        <w:pStyle w:val="ListNumber"/>
      </w:pPr>
      <w:r>
        <w:t xml:space="preserve">A qualifying body </w:t>
      </w:r>
      <w:r w:rsidR="001C14DA">
        <w:t>is a</w:t>
      </w:r>
      <w:r w:rsidR="000918B8">
        <w:t>n authority or</w:t>
      </w:r>
      <w:r w:rsidR="001C14DA">
        <w:t xml:space="preserve"> body </w:t>
      </w:r>
      <w:r w:rsidR="000918B8">
        <w:t xml:space="preserve">that is empowered to </w:t>
      </w:r>
      <w:r w:rsidR="00D86EF5">
        <w:t xml:space="preserve">confer </w:t>
      </w:r>
      <w:r w:rsidR="00C741DD">
        <w:t xml:space="preserve">an </w:t>
      </w:r>
      <w:r w:rsidR="00D86EF5">
        <w:t xml:space="preserve">authorisation </w:t>
      </w:r>
      <w:r w:rsidR="00C741DD">
        <w:t>or qualification that is needed for the pr</w:t>
      </w:r>
      <w:r w:rsidR="00F51D17">
        <w:t>actice of a profession</w:t>
      </w:r>
      <w:r w:rsidR="002245BD">
        <w:t xml:space="preserve">, trade or occupation.  </w:t>
      </w:r>
      <w:r w:rsidR="00C935C6">
        <w:t xml:space="preserve">The Explanatory Notes say that this provision is aimed at </w:t>
      </w:r>
      <w:r w:rsidR="00437E48">
        <w:t xml:space="preserve">bodies </w:t>
      </w:r>
      <w:r w:rsidR="000D2A65">
        <w:t xml:space="preserve">such as those </w:t>
      </w:r>
      <w:r w:rsidR="00437E48">
        <w:t xml:space="preserve">that certify </w:t>
      </w:r>
      <w:r w:rsidR="00D15701">
        <w:t xml:space="preserve">lawyers, teachers, accountants and health practitioners, as well as </w:t>
      </w:r>
      <w:r w:rsidR="0011523C">
        <w:t>training providers such as TAFE</w:t>
      </w:r>
      <w:r w:rsidR="00EC788B">
        <w:t>s and universities.</w:t>
      </w:r>
      <w:r w:rsidR="00F56314">
        <w:rPr>
          <w:rStyle w:val="EndnoteReference"/>
        </w:rPr>
        <w:endnoteReference w:id="56"/>
      </w:r>
    </w:p>
    <w:p w14:paraId="22DB8B4D" w14:textId="09F13B06" w:rsidR="005D24B1" w:rsidRDefault="007B3E78" w:rsidP="00E81FA1">
      <w:pPr>
        <w:pStyle w:val="ListNumber"/>
      </w:pPr>
      <w:r>
        <w:t xml:space="preserve">The deeming provision in clause 8(3) applies to </w:t>
      </w:r>
      <w:r w:rsidR="0016227E">
        <w:t xml:space="preserve">conduct </w:t>
      </w:r>
      <w:r w:rsidR="008B5DE2">
        <w:t xml:space="preserve">rules </w:t>
      </w:r>
      <w:r w:rsidR="00530D2B">
        <w:t xml:space="preserve">imposed by qualifying bodies that </w:t>
      </w:r>
      <w:r w:rsidR="008D05CB">
        <w:t xml:space="preserve">regulate </w:t>
      </w:r>
      <w:r w:rsidR="00530D2B">
        <w:t>standards of behaviour</w:t>
      </w:r>
      <w:r w:rsidR="00B10E8D">
        <w:t xml:space="preserve"> </w:t>
      </w:r>
      <w:r w:rsidR="00B10E8D" w:rsidRPr="00A37C73">
        <w:rPr>
          <w:i/>
          <w:iCs/>
        </w:rPr>
        <w:t>other than</w:t>
      </w:r>
      <w:r w:rsidR="00B10E8D">
        <w:t xml:space="preserve"> </w:t>
      </w:r>
      <w:r w:rsidR="008D05CB">
        <w:t xml:space="preserve">when </w:t>
      </w:r>
      <w:r w:rsidR="00397899">
        <w:t>a person is carrying on a r</w:t>
      </w:r>
      <w:r w:rsidR="00443451">
        <w:t xml:space="preserve">elevant trade or engaging in a relevant occupation.  If </w:t>
      </w:r>
      <w:r w:rsidR="006A1E0A">
        <w:t xml:space="preserve">a </w:t>
      </w:r>
      <w:r w:rsidR="00443451">
        <w:t xml:space="preserve">conduct rule </w:t>
      </w:r>
      <w:r w:rsidR="00AA790D">
        <w:t xml:space="preserve">by a qualifying body </w:t>
      </w:r>
      <w:r w:rsidR="00443451">
        <w:t>limit</w:t>
      </w:r>
      <w:r w:rsidR="006A1E0A">
        <w:t>s</w:t>
      </w:r>
      <w:r w:rsidR="00443451">
        <w:t xml:space="preserve"> </w:t>
      </w:r>
      <w:r w:rsidR="00EE7F11">
        <w:t xml:space="preserve">a person from making a ‘statement of belief’ </w:t>
      </w:r>
      <w:r w:rsidR="00981C38">
        <w:t xml:space="preserve">while they are not carrying on the </w:t>
      </w:r>
      <w:r w:rsidR="001D604C">
        <w:t xml:space="preserve">trade or engaging in the occupation, </w:t>
      </w:r>
      <w:r w:rsidR="00EE7F11">
        <w:t xml:space="preserve">the rule will be deemed to be </w:t>
      </w:r>
      <w:r w:rsidR="007462C7">
        <w:t xml:space="preserve">unreasonable </w:t>
      </w:r>
      <w:r w:rsidR="006A4360">
        <w:t xml:space="preserve">unless the qualifying body can show that compliance with the rule </w:t>
      </w:r>
      <w:r w:rsidR="00D77DCC">
        <w:t xml:space="preserve">is an essential requirement of the </w:t>
      </w:r>
      <w:r w:rsidR="007358EF">
        <w:t>profession, trade or occupation.</w:t>
      </w:r>
    </w:p>
    <w:p w14:paraId="5A30F1E1" w14:textId="3BA4F9CC" w:rsidR="00A91670" w:rsidRDefault="00A91670" w:rsidP="00E81FA1">
      <w:pPr>
        <w:pStyle w:val="ListNumber"/>
      </w:pPr>
      <w:r>
        <w:t xml:space="preserve">No attempt is made in the Explanatory Notes to justify departing from the usual test of ‘reasonableness’ </w:t>
      </w:r>
      <w:r w:rsidR="003B2608">
        <w:t>when assessing a qualifying body conduct rule.</w:t>
      </w:r>
      <w:r w:rsidR="00B9601F">
        <w:t xml:space="preserve">  </w:t>
      </w:r>
      <w:r w:rsidR="002853BB">
        <w:t xml:space="preserve">There does not appear to be any principled reason why special deeming provisions should apply to </w:t>
      </w:r>
      <w:r w:rsidR="00D678A6">
        <w:t xml:space="preserve">rules set by </w:t>
      </w:r>
      <w:r w:rsidR="002853BB">
        <w:t>qualifying bodies</w:t>
      </w:r>
      <w:r w:rsidR="001B1B11">
        <w:t xml:space="preserve">.  As with the deeming provision in relation to employer conduct rules, the effect </w:t>
      </w:r>
      <w:r w:rsidR="002853BB">
        <w:t xml:space="preserve">would </w:t>
      </w:r>
      <w:r w:rsidR="001B1B11">
        <w:t xml:space="preserve">be that not </w:t>
      </w:r>
      <w:proofErr w:type="gramStart"/>
      <w:r w:rsidR="001B1B11">
        <w:t>all of</w:t>
      </w:r>
      <w:proofErr w:type="gramEnd"/>
      <w:r w:rsidR="001B1B11">
        <w:t xml:space="preserve"> the relevant circumstances would be taken into account when </w:t>
      </w:r>
      <w:r w:rsidR="00874CA5">
        <w:t xml:space="preserve">assessing whether </w:t>
      </w:r>
      <w:r w:rsidR="001B1B11">
        <w:t>the rule was reasonable.</w:t>
      </w:r>
    </w:p>
    <w:p w14:paraId="4E151FE5" w14:textId="54EF1149" w:rsidR="007358EF" w:rsidRDefault="009D5797" w:rsidP="00E81FA1">
      <w:pPr>
        <w:pStyle w:val="ListNumber"/>
      </w:pPr>
      <w:bookmarkStart w:id="59" w:name="_Ref30432215"/>
      <w:r>
        <w:t>For the same reasons</w:t>
      </w:r>
      <w:r w:rsidR="00B27A65">
        <w:t xml:space="preserve"> </w:t>
      </w:r>
      <w:r w:rsidR="00B66B09">
        <w:t xml:space="preserve">as set out in the Commission’s first submission in relation to </w:t>
      </w:r>
      <w:r w:rsidR="007D7C4E">
        <w:t xml:space="preserve">employer conduct rules, </w:t>
      </w:r>
      <w:r w:rsidR="003C33CF">
        <w:t>the Commission recommends that these provisions be removed from the Bill and that the standard test of reasonableness be applied to any indirect discrimination in these circumstances.</w:t>
      </w:r>
      <w:bookmarkEnd w:id="59"/>
    </w:p>
    <w:p w14:paraId="0B451B4A" w14:textId="77777777" w:rsidR="00462B43" w:rsidRPr="00462B43" w:rsidRDefault="00462B43" w:rsidP="00462B43">
      <w:pPr>
        <w:pStyle w:val="ListNumber"/>
        <w:keepNext/>
        <w:numPr>
          <w:ilvl w:val="0"/>
          <w:numId w:val="0"/>
        </w:numPr>
        <w:ind w:left="1094"/>
        <w:rPr>
          <w:b/>
          <w:bCs/>
        </w:rPr>
      </w:pPr>
      <w:r w:rsidRPr="00462B43">
        <w:rPr>
          <w:b/>
          <w:bCs/>
        </w:rPr>
        <w:t>Recommendation 5A</w:t>
      </w:r>
    </w:p>
    <w:p w14:paraId="75349276" w14:textId="30A1CB9A" w:rsidR="00462B43" w:rsidRDefault="00462B43" w:rsidP="00462B43">
      <w:pPr>
        <w:pStyle w:val="ListNumber"/>
        <w:numPr>
          <w:ilvl w:val="0"/>
          <w:numId w:val="0"/>
        </w:numPr>
        <w:ind w:left="1094"/>
      </w:pPr>
      <w:r>
        <w:t>The Commission recommends that clause 8(4), dealing with the separate treatment of qualifying body conduct rules imposed by qualifying bodies</w:t>
      </w:r>
      <w:r w:rsidR="00CC4F0B">
        <w:t>,</w:t>
      </w:r>
      <w:r>
        <w:t xml:space="preserve"> be removed from the Bill.</w:t>
      </w:r>
    </w:p>
    <w:p w14:paraId="0A9F5552" w14:textId="15F49F81" w:rsidR="00070EAF" w:rsidRDefault="00E136A6" w:rsidP="00E136A6">
      <w:pPr>
        <w:pStyle w:val="Heading2"/>
      </w:pPr>
      <w:bookmarkStart w:id="60" w:name="_Toc31355409"/>
      <w:r>
        <w:lastRenderedPageBreak/>
        <w:t>Threshold</w:t>
      </w:r>
      <w:bookmarkEnd w:id="60"/>
    </w:p>
    <w:p w14:paraId="423BF795" w14:textId="503B0360" w:rsidR="00780BB5" w:rsidRDefault="000158A8" w:rsidP="00E81FA1">
      <w:pPr>
        <w:pStyle w:val="ListNumber"/>
      </w:pPr>
      <w:bookmarkStart w:id="61" w:name="_Ref30432238"/>
      <w:r>
        <w:t xml:space="preserve">The deeming provisions in relation to </w:t>
      </w:r>
      <w:r w:rsidR="009D07B6">
        <w:t xml:space="preserve">employer conduct rules and </w:t>
      </w:r>
      <w:r w:rsidR="001E4A1E">
        <w:t>qualifying body conduct rules pick up the new definition of ‘statement of belief’</w:t>
      </w:r>
      <w:r w:rsidR="000A6AD8">
        <w:t>: see</w:t>
      </w:r>
      <w:r w:rsidR="001E4A1E">
        <w:t xml:space="preserve"> </w:t>
      </w:r>
      <w:r w:rsidR="00457F27">
        <w:t>paragraphs [</w:t>
      </w:r>
      <w:r w:rsidR="00453AAC">
        <w:fldChar w:fldCharType="begin"/>
      </w:r>
      <w:r w:rsidR="00453AAC">
        <w:instrText xml:space="preserve"> REF _Ref30423819 \r \h </w:instrText>
      </w:r>
      <w:r w:rsidR="00453AAC">
        <w:fldChar w:fldCharType="separate"/>
      </w:r>
      <w:r w:rsidR="009C3F0E">
        <w:t>131</w:t>
      </w:r>
      <w:r w:rsidR="00453AAC">
        <w:fldChar w:fldCharType="end"/>
      </w:r>
      <w:r w:rsidR="00457F27">
        <w:t>] to [</w:t>
      </w:r>
      <w:r w:rsidR="00453AAC">
        <w:fldChar w:fldCharType="begin"/>
      </w:r>
      <w:r w:rsidR="00453AAC">
        <w:instrText xml:space="preserve"> REF _Ref30423824 \r \h </w:instrText>
      </w:r>
      <w:r w:rsidR="00453AAC">
        <w:fldChar w:fldCharType="separate"/>
      </w:r>
      <w:r w:rsidR="009C3F0E">
        <w:t>135</w:t>
      </w:r>
      <w:r w:rsidR="00453AAC">
        <w:fldChar w:fldCharType="end"/>
      </w:r>
      <w:r w:rsidR="00457F27">
        <w:t xml:space="preserve">] </w:t>
      </w:r>
      <w:r w:rsidR="001E4A1E">
        <w:t>above.</w:t>
      </w:r>
      <w:bookmarkEnd w:id="61"/>
      <w:r w:rsidR="001E4A1E">
        <w:t xml:space="preserve">  </w:t>
      </w:r>
    </w:p>
    <w:p w14:paraId="6497CB56" w14:textId="78E4C022" w:rsidR="00E136A6" w:rsidRDefault="006E7AA7" w:rsidP="00E81FA1">
      <w:pPr>
        <w:pStyle w:val="ListNumber"/>
      </w:pPr>
      <w:r>
        <w:t xml:space="preserve">The threshold </w:t>
      </w:r>
      <w:r w:rsidR="00780BB5">
        <w:t xml:space="preserve">for statements to which the deeming provisions apply has also increased in the second exposure draft in the same way as the threshold for </w:t>
      </w:r>
      <w:r w:rsidR="00E91442">
        <w:t xml:space="preserve">discriminatory statements of belief in </w:t>
      </w:r>
      <w:r w:rsidR="00AA69B2">
        <w:t>clause 42</w:t>
      </w:r>
      <w:r w:rsidR="00443140">
        <w:t>:</w:t>
      </w:r>
      <w:r w:rsidR="00453AAC">
        <w:t xml:space="preserve"> see paragraphs [</w:t>
      </w:r>
      <w:r w:rsidR="00453AAC">
        <w:fldChar w:fldCharType="begin"/>
      </w:r>
      <w:r w:rsidR="00453AAC">
        <w:instrText xml:space="preserve"> REF _Ref30423849 \r \h </w:instrText>
      </w:r>
      <w:r w:rsidR="00453AAC">
        <w:fldChar w:fldCharType="separate"/>
      </w:r>
      <w:r w:rsidR="009C3F0E">
        <w:t>136</w:t>
      </w:r>
      <w:r w:rsidR="00453AAC">
        <w:fldChar w:fldCharType="end"/>
      </w:r>
      <w:r w:rsidR="00453AAC">
        <w:t>] to [</w:t>
      </w:r>
      <w:r w:rsidR="00A65693">
        <w:fldChar w:fldCharType="begin"/>
      </w:r>
      <w:r w:rsidR="00A65693">
        <w:instrText xml:space="preserve"> REF _Ref31356073 \r \h </w:instrText>
      </w:r>
      <w:r w:rsidR="00A65693">
        <w:fldChar w:fldCharType="separate"/>
      </w:r>
      <w:r w:rsidR="00042861">
        <w:t>146</w:t>
      </w:r>
      <w:r w:rsidR="00A65693">
        <w:fldChar w:fldCharType="end"/>
      </w:r>
      <w:r w:rsidR="00453AAC">
        <w:t>] above</w:t>
      </w:r>
      <w:r w:rsidR="00AA69B2">
        <w:t xml:space="preserve">.  </w:t>
      </w:r>
    </w:p>
    <w:p w14:paraId="56535B61" w14:textId="7D2DDEFC" w:rsidR="003F3357" w:rsidRDefault="00546136" w:rsidP="00546136">
      <w:pPr>
        <w:pStyle w:val="Heading2"/>
      </w:pPr>
      <w:bookmarkStart w:id="62" w:name="_Toc31355410"/>
      <w:r>
        <w:t>Conscientious objections by health practitioners</w:t>
      </w:r>
      <w:bookmarkEnd w:id="62"/>
    </w:p>
    <w:p w14:paraId="63D062DB" w14:textId="3AA54722" w:rsidR="00546136" w:rsidRDefault="0090759B" w:rsidP="00E81FA1">
      <w:pPr>
        <w:pStyle w:val="ListNumber"/>
      </w:pPr>
      <w:bookmarkStart w:id="63" w:name="_Ref30432271"/>
      <w:r>
        <w:t xml:space="preserve">The </w:t>
      </w:r>
      <w:r w:rsidR="00854002">
        <w:t>last</w:t>
      </w:r>
      <w:r>
        <w:t xml:space="preserve"> set of deeming</w:t>
      </w:r>
      <w:bookmarkStart w:id="64" w:name="_GoBack"/>
      <w:bookmarkEnd w:id="64"/>
      <w:r>
        <w:t xml:space="preserve"> provisions</w:t>
      </w:r>
      <w:r w:rsidR="009621E2">
        <w:t xml:space="preserve">, in </w:t>
      </w:r>
      <w:r w:rsidR="009621E2" w:rsidRPr="009621E2">
        <w:t>clause</w:t>
      </w:r>
      <w:r w:rsidR="00F40BED">
        <w:t>s</w:t>
      </w:r>
      <w:r w:rsidR="009621E2" w:rsidRPr="009621E2">
        <w:t xml:space="preserve"> 8(</w:t>
      </w:r>
      <w:r w:rsidR="002241FB">
        <w:t>6</w:t>
      </w:r>
      <w:r w:rsidR="00F40BED" w:rsidRPr="009621E2">
        <w:t>)</w:t>
      </w:r>
      <w:proofErr w:type="gramStart"/>
      <w:r w:rsidR="00F40BED">
        <w:t>–</w:t>
      </w:r>
      <w:r w:rsidR="00F40BED" w:rsidRPr="009621E2">
        <w:t>(</w:t>
      </w:r>
      <w:proofErr w:type="gramEnd"/>
      <w:r w:rsidR="0048663B">
        <w:t>7</w:t>
      </w:r>
      <w:r w:rsidR="009621E2" w:rsidRPr="009621E2">
        <w:t xml:space="preserve">) </w:t>
      </w:r>
      <w:r w:rsidR="009621E2">
        <w:t>of the Bill,</w:t>
      </w:r>
      <w:r>
        <w:t xml:space="preserve"> relate</w:t>
      </w:r>
      <w:r w:rsidR="000E30E4">
        <w:t>s</w:t>
      </w:r>
      <w:r>
        <w:t xml:space="preserve"> to </w:t>
      </w:r>
      <w:r w:rsidR="00B23615">
        <w:t>conscientious objections by health practitioners.</w:t>
      </w:r>
      <w:bookmarkEnd w:id="63"/>
    </w:p>
    <w:p w14:paraId="2504694F" w14:textId="26894AFF" w:rsidR="005B235F" w:rsidRDefault="00EA7B04" w:rsidP="00E81FA1">
      <w:pPr>
        <w:pStyle w:val="ListNumber"/>
      </w:pPr>
      <w:r>
        <w:t xml:space="preserve">The provisions relate to rules that restrict or prevent a health practitioner </w:t>
      </w:r>
      <w:r w:rsidR="003E1079">
        <w:t xml:space="preserve">from conscientiously objecting to providing a health service </w:t>
      </w:r>
      <w:r w:rsidR="002D4433">
        <w:t xml:space="preserve">on religious grounds. </w:t>
      </w:r>
      <w:r w:rsidR="00590B26">
        <w:t xml:space="preserve"> The provisions operate to deem </w:t>
      </w:r>
      <w:r w:rsidR="0004789D">
        <w:t xml:space="preserve">such rules to </w:t>
      </w:r>
      <w:r w:rsidR="00530531">
        <w:t>be unreasonable</w:t>
      </w:r>
      <w:r w:rsidR="0004789D">
        <w:t xml:space="preserve"> in certain circumstances</w:t>
      </w:r>
      <w:r w:rsidR="00530531">
        <w:t xml:space="preserve">. </w:t>
      </w:r>
      <w:r w:rsidR="007D68E7">
        <w:t xml:space="preserve"> </w:t>
      </w:r>
      <w:r w:rsidR="0094304D">
        <w:t xml:space="preserve">As with the other deeming provisions, the effect is that not </w:t>
      </w:r>
      <w:proofErr w:type="gramStart"/>
      <w:r w:rsidR="0094304D">
        <w:t>all of</w:t>
      </w:r>
      <w:proofErr w:type="gramEnd"/>
      <w:r w:rsidR="0094304D">
        <w:t xml:space="preserve"> the relevant circumstances will be taken into account when assessing </w:t>
      </w:r>
      <w:r w:rsidR="004363B6">
        <w:t>whether rules limiting conscientious objections</w:t>
      </w:r>
      <w:r w:rsidR="0047788D">
        <w:t xml:space="preserve"> are reasonable—</w:t>
      </w:r>
      <w:r w:rsidR="009502E7">
        <w:t>for example</w:t>
      </w:r>
      <w:r w:rsidR="0047788D">
        <w:t>,</w:t>
      </w:r>
      <w:r w:rsidR="009502E7">
        <w:t xml:space="preserve"> </w:t>
      </w:r>
      <w:r w:rsidR="00D279F9">
        <w:t xml:space="preserve">rules that </w:t>
      </w:r>
      <w:r w:rsidR="009502E7">
        <w:t>requir</w:t>
      </w:r>
      <w:r w:rsidR="00D279F9">
        <w:t>e</w:t>
      </w:r>
      <w:r w:rsidR="009502E7">
        <w:t xml:space="preserve"> referrals to be made</w:t>
      </w:r>
      <w:r w:rsidR="004260AC">
        <w:t xml:space="preserve"> to other medical practitioners</w:t>
      </w:r>
      <w:r w:rsidR="009502E7">
        <w:t>.</w:t>
      </w:r>
      <w:r w:rsidR="004363B6">
        <w:t xml:space="preserve"> </w:t>
      </w:r>
    </w:p>
    <w:p w14:paraId="7DDE32DE" w14:textId="5AD2A414" w:rsidR="0004727A" w:rsidRDefault="0004727A" w:rsidP="0004727A">
      <w:pPr>
        <w:pStyle w:val="ListNumber"/>
      </w:pPr>
      <w:r>
        <w:t>Three main changes have been made</w:t>
      </w:r>
      <w:r w:rsidR="00C46BD7">
        <w:t xml:space="preserve"> in the second exposure draft</w:t>
      </w:r>
      <w:r>
        <w:t xml:space="preserve"> to the provisions dealing with conscientious objection</w:t>
      </w:r>
      <w:r w:rsidR="00261319">
        <w:t>s</w:t>
      </w:r>
      <w:r>
        <w:t>.</w:t>
      </w:r>
    </w:p>
    <w:p w14:paraId="01FB3AFC" w14:textId="2B3A9BA4" w:rsidR="0004727A" w:rsidRDefault="0004727A" w:rsidP="00BA5723">
      <w:pPr>
        <w:pStyle w:val="ListNumber"/>
      </w:pPr>
      <w:r w:rsidRPr="00AF23F9">
        <w:rPr>
          <w:b/>
          <w:bCs/>
        </w:rPr>
        <w:t>First</w:t>
      </w:r>
      <w:r>
        <w:t>, the list of health services entitled to make a conscientious objection has narrowed.  It no longer includes dentists, radiologists, occupational therapists, optometrists, physiotherapists, podiatrists and Aboriginal and Torres Strait Islander health practices.</w:t>
      </w:r>
      <w:r w:rsidR="004652EC">
        <w:t xml:space="preserve">  </w:t>
      </w:r>
      <w:r w:rsidR="00B3141A">
        <w:t xml:space="preserve">The Commission welcomes this change as it was difficult to understand what kinds of </w:t>
      </w:r>
      <w:r w:rsidR="00192629">
        <w:t xml:space="preserve">conscientious objections </w:t>
      </w:r>
      <w:r w:rsidR="005C1A4D">
        <w:t xml:space="preserve">such medical practitioners could </w:t>
      </w:r>
      <w:r w:rsidR="00E165E0">
        <w:t>reasonably have</w:t>
      </w:r>
      <w:r w:rsidR="00F53EE9">
        <w:t xml:space="preserve"> had</w:t>
      </w:r>
      <w:r w:rsidR="00E165E0">
        <w:t xml:space="preserve">.  </w:t>
      </w:r>
      <w:r w:rsidR="004652EC">
        <w:t xml:space="preserve">However, </w:t>
      </w:r>
      <w:r>
        <w:t xml:space="preserve">the </w:t>
      </w:r>
      <w:r w:rsidR="00144DA0">
        <w:t xml:space="preserve">remaining </w:t>
      </w:r>
      <w:r>
        <w:t xml:space="preserve">list still </w:t>
      </w:r>
      <w:r w:rsidR="00473A95">
        <w:t>contains</w:t>
      </w:r>
      <w:r>
        <w:t xml:space="preserve"> a broad category of ‘medical’ services so </w:t>
      </w:r>
      <w:r w:rsidR="00CB6EB3">
        <w:t xml:space="preserve">the </w:t>
      </w:r>
      <w:r w:rsidR="00B92F7D">
        <w:t>removal of explicit reference</w:t>
      </w:r>
      <w:r w:rsidR="00B34B76">
        <w:t>s</w:t>
      </w:r>
      <w:r w:rsidR="00B92F7D">
        <w:t xml:space="preserve"> to </w:t>
      </w:r>
      <w:proofErr w:type="gramStart"/>
      <w:r w:rsidR="00CB6EB3">
        <w:t>particular types</w:t>
      </w:r>
      <w:proofErr w:type="gramEnd"/>
      <w:r w:rsidR="00CB6EB3">
        <w:t xml:space="preserve"> of medical services </w:t>
      </w:r>
      <w:r w:rsidR="00B92F7D">
        <w:t xml:space="preserve">may </w:t>
      </w:r>
      <w:r w:rsidR="000A1992">
        <w:t>not actually result in much substantive change to the scope of the provision.</w:t>
      </w:r>
      <w:r w:rsidR="00703BE6">
        <w:rPr>
          <w:rStyle w:val="EndnoteReference"/>
        </w:rPr>
        <w:endnoteReference w:id="57"/>
      </w:r>
      <w:r w:rsidR="000A1992">
        <w:t xml:space="preserve"> </w:t>
      </w:r>
    </w:p>
    <w:p w14:paraId="1E127791" w14:textId="7AA67F46" w:rsidR="0004727A" w:rsidRDefault="0004727A" w:rsidP="0004727A">
      <w:pPr>
        <w:pStyle w:val="ListNumber"/>
      </w:pPr>
      <w:r w:rsidRPr="00AF23F9">
        <w:rPr>
          <w:b/>
          <w:bCs/>
        </w:rPr>
        <w:t>Secondly</w:t>
      </w:r>
      <w:r>
        <w:t>, the provision</w:t>
      </w:r>
      <w:r w:rsidR="00AE1D27">
        <w:t xml:space="preserve">s have </w:t>
      </w:r>
      <w:r>
        <w:t>been broadened to apply not only to providing a health service, but also to participating in the provision of a health service.</w:t>
      </w:r>
    </w:p>
    <w:p w14:paraId="4581BAFD" w14:textId="00F026F0" w:rsidR="0004727A" w:rsidRDefault="0004727A" w:rsidP="0004727A">
      <w:pPr>
        <w:pStyle w:val="ListNumber"/>
      </w:pPr>
      <w:r w:rsidRPr="00AF23F9">
        <w:rPr>
          <w:b/>
          <w:bCs/>
        </w:rPr>
        <w:lastRenderedPageBreak/>
        <w:t>Thirdly</w:t>
      </w:r>
      <w:r>
        <w:t>, notes have been added in an attempt to clarify that</w:t>
      </w:r>
      <w:r w:rsidR="009C305B">
        <w:t>, while</w:t>
      </w:r>
      <w:r>
        <w:t xml:space="preserve"> the provision</w:t>
      </w:r>
      <w:r w:rsidR="001C22D8">
        <w:t>s</w:t>
      </w:r>
      <w:r>
        <w:t xml:space="preserve"> </w:t>
      </w:r>
      <w:r w:rsidR="001C22D8">
        <w:t>are</w:t>
      </w:r>
      <w:r>
        <w:t xml:space="preserve"> </w:t>
      </w:r>
      <w:r w:rsidR="00E13A2B">
        <w:t xml:space="preserve">aimed at </w:t>
      </w:r>
      <w:r w:rsidR="00461D9F">
        <w:t xml:space="preserve">broadening the scope for health practitioners to conscientiously object to providing </w:t>
      </w:r>
      <w:r w:rsidR="00235531">
        <w:t>or participating in a hea</w:t>
      </w:r>
      <w:r w:rsidR="000111AE">
        <w:t>l</w:t>
      </w:r>
      <w:r w:rsidR="00235531">
        <w:t xml:space="preserve">th service, </w:t>
      </w:r>
      <w:r w:rsidR="0094164E">
        <w:t xml:space="preserve">they are </w:t>
      </w:r>
      <w:r>
        <w:t xml:space="preserve">not aimed at allowing a health practitioner to refuse to provide a service to a particular person or groups of people.  </w:t>
      </w:r>
    </w:p>
    <w:p w14:paraId="54AAC343" w14:textId="77777777" w:rsidR="00FC329A" w:rsidRDefault="0004727A" w:rsidP="0004727A">
      <w:pPr>
        <w:pStyle w:val="ListNumber"/>
      </w:pPr>
      <w:r>
        <w:t>The Government’s summary is that an objection ‘must be to a procedure, not to a person’.</w:t>
      </w:r>
      <w:r w:rsidR="0098647B">
        <w:rPr>
          <w:rStyle w:val="EndnoteReference"/>
        </w:rPr>
        <w:endnoteReference w:id="58"/>
      </w:r>
      <w:r>
        <w:t xml:space="preserve">  However, sometimes the distinction between </w:t>
      </w:r>
      <w:r w:rsidR="008A5BC2">
        <w:t xml:space="preserve">objecting to </w:t>
      </w:r>
      <w:r>
        <w:t xml:space="preserve">a procedure and </w:t>
      </w:r>
      <w:r w:rsidR="008A5BC2">
        <w:t xml:space="preserve">objecting to </w:t>
      </w:r>
      <w:r>
        <w:t xml:space="preserve">a type of person is difficult to draw.  </w:t>
      </w:r>
    </w:p>
    <w:p w14:paraId="77392F8F" w14:textId="6FD51257" w:rsidR="00FF5B27" w:rsidRDefault="00FF5B27" w:rsidP="00BA5723">
      <w:pPr>
        <w:pStyle w:val="ListNumber"/>
      </w:pPr>
      <w:r>
        <w:t xml:space="preserve">For example, </w:t>
      </w:r>
      <w:r w:rsidR="0047788D">
        <w:t xml:space="preserve">certain types of </w:t>
      </w:r>
      <w:r w:rsidR="00F22E9A">
        <w:t xml:space="preserve">hormone therapy </w:t>
      </w:r>
      <w:r w:rsidR="0047788D">
        <w:t xml:space="preserve">are </w:t>
      </w:r>
      <w:r w:rsidR="00F22E9A">
        <w:t xml:space="preserve">a medically necessary intervention for </w:t>
      </w:r>
      <w:r w:rsidR="00B23A87">
        <w:t>many trans people</w:t>
      </w:r>
      <w:r w:rsidR="00F22E9A">
        <w:t>.</w:t>
      </w:r>
      <w:r w:rsidR="00F22E9A">
        <w:rPr>
          <w:rStyle w:val="EndnoteReference"/>
        </w:rPr>
        <w:endnoteReference w:id="59"/>
      </w:r>
      <w:r w:rsidR="00F22E9A">
        <w:t xml:space="preserve"> </w:t>
      </w:r>
      <w:r w:rsidR="00B23A87">
        <w:t xml:space="preserve"> </w:t>
      </w:r>
      <w:r w:rsidR="004B2765">
        <w:t>These medical interventions are provided o</w:t>
      </w:r>
      <w:r w:rsidR="0047788D">
        <w:t xml:space="preserve">nly </w:t>
      </w:r>
      <w:r w:rsidR="004B2765">
        <w:t xml:space="preserve">to </w:t>
      </w:r>
      <w:r w:rsidR="006D0B18">
        <w:t xml:space="preserve">trans people.  </w:t>
      </w:r>
      <w:r w:rsidR="00270ECD">
        <w:t>I</w:t>
      </w:r>
      <w:r w:rsidR="00EA1FA8">
        <w:t xml:space="preserve">f a </w:t>
      </w:r>
      <w:r w:rsidR="00BB0F02">
        <w:t>doctor refuse</w:t>
      </w:r>
      <w:r w:rsidR="00270ECD">
        <w:t>d</w:t>
      </w:r>
      <w:r w:rsidR="00BB0F02">
        <w:t xml:space="preserve"> to prescribe </w:t>
      </w:r>
      <w:r w:rsidR="006D4976">
        <w:t xml:space="preserve">hormone therapy </w:t>
      </w:r>
      <w:r w:rsidR="00857E26">
        <w:t xml:space="preserve">required by </w:t>
      </w:r>
      <w:r w:rsidR="00C10F68">
        <w:t>a trans person</w:t>
      </w:r>
      <w:r w:rsidR="006B0635">
        <w:t>, citing</w:t>
      </w:r>
      <w:r w:rsidR="00270ECD">
        <w:t xml:space="preserve"> religious grounds</w:t>
      </w:r>
      <w:r w:rsidR="00C10F68">
        <w:t xml:space="preserve">, it </w:t>
      </w:r>
      <w:r w:rsidR="007F31D1">
        <w:t xml:space="preserve">would </w:t>
      </w:r>
      <w:r w:rsidR="003F0154">
        <w:t xml:space="preserve">appear highly artificial to claim that the objection was </w:t>
      </w:r>
      <w:r w:rsidR="008F0AEE">
        <w:t xml:space="preserve">only to the </w:t>
      </w:r>
      <w:r w:rsidR="00073A72">
        <w:t xml:space="preserve">provision of the service and not to the kind of person who requires that service. </w:t>
      </w:r>
    </w:p>
    <w:p w14:paraId="5F6431B4" w14:textId="0FFABAA9" w:rsidR="00073A72" w:rsidRDefault="00073A72" w:rsidP="0004727A">
      <w:pPr>
        <w:pStyle w:val="ListNumber"/>
      </w:pPr>
      <w:r>
        <w:t xml:space="preserve">Similarly, </w:t>
      </w:r>
      <w:r w:rsidR="00194976">
        <w:t xml:space="preserve">people who </w:t>
      </w:r>
      <w:r w:rsidR="00D124A4">
        <w:t xml:space="preserve">do not have HIV but who are at high risk of </w:t>
      </w:r>
      <w:r w:rsidR="0044749E">
        <w:t xml:space="preserve">contracting </w:t>
      </w:r>
      <w:r w:rsidR="00D124A4">
        <w:t>HIV</w:t>
      </w:r>
      <w:r w:rsidR="00D26D09">
        <w:t>, for example through sex or drug use</w:t>
      </w:r>
      <w:r w:rsidR="004634DC">
        <w:t xml:space="preserve">, may seek a prescription for </w:t>
      </w:r>
      <w:r w:rsidR="00B236F7">
        <w:t>pre</w:t>
      </w:r>
      <w:r w:rsidR="004C37C9">
        <w:t xml:space="preserve">-exposure </w:t>
      </w:r>
      <w:r w:rsidR="009E6AE4">
        <w:t>prophylaxis (</w:t>
      </w:r>
      <w:proofErr w:type="spellStart"/>
      <w:r w:rsidR="009E6AE4">
        <w:t>PrEP</w:t>
      </w:r>
      <w:proofErr w:type="spellEnd"/>
      <w:r w:rsidR="009E6AE4">
        <w:t>)</w:t>
      </w:r>
      <w:r w:rsidR="004634DC">
        <w:t>.</w:t>
      </w:r>
      <w:r w:rsidR="004634DC">
        <w:rPr>
          <w:rStyle w:val="EndnoteReference"/>
        </w:rPr>
        <w:endnoteReference w:id="60"/>
      </w:r>
      <w:r w:rsidR="009E6AE4">
        <w:t xml:space="preserve"> </w:t>
      </w:r>
      <w:r w:rsidR="004106ED">
        <w:t xml:space="preserve"> </w:t>
      </w:r>
      <w:proofErr w:type="spellStart"/>
      <w:r w:rsidR="001B509E">
        <w:t>PrEP</w:t>
      </w:r>
      <w:proofErr w:type="spellEnd"/>
      <w:r w:rsidR="001B509E">
        <w:t xml:space="preserve"> is listed </w:t>
      </w:r>
      <w:r w:rsidR="007A7697">
        <w:t>on the Pharmaceutical Benefits Scheme.</w:t>
      </w:r>
      <w:r w:rsidR="00F63D37">
        <w:rPr>
          <w:rStyle w:val="EndnoteReference"/>
        </w:rPr>
        <w:endnoteReference w:id="61"/>
      </w:r>
      <w:r w:rsidR="007A7697">
        <w:t xml:space="preserve">  </w:t>
      </w:r>
      <w:r w:rsidR="008A3CD1">
        <w:t xml:space="preserve">If a doctor refused to prescribe </w:t>
      </w:r>
      <w:proofErr w:type="spellStart"/>
      <w:r w:rsidR="008A3CD1">
        <w:t>PrEP</w:t>
      </w:r>
      <w:proofErr w:type="spellEnd"/>
      <w:r w:rsidR="008A3CD1">
        <w:t>, citing religious grounds, i</w:t>
      </w:r>
      <w:r w:rsidR="00436402">
        <w:t xml:space="preserve">t </w:t>
      </w:r>
      <w:r w:rsidR="00A6036B">
        <w:t>may again be artificial to claim that the objection is only to the p</w:t>
      </w:r>
      <w:r w:rsidR="00784EE9">
        <w:t>rovision of the medical service and not to the kind of person who</w:t>
      </w:r>
      <w:r w:rsidR="00394DCB">
        <w:t>, in the doctor’s view,</w:t>
      </w:r>
      <w:r w:rsidR="00784EE9">
        <w:t xml:space="preserve"> requires that service.</w:t>
      </w:r>
    </w:p>
    <w:p w14:paraId="6DD3F391" w14:textId="062E1931" w:rsidR="00AC62D9" w:rsidRDefault="00E802DF" w:rsidP="0004727A">
      <w:pPr>
        <w:pStyle w:val="ListNumber"/>
      </w:pPr>
      <w:r>
        <w:t xml:space="preserve">The Commission considers that the explanatory notes </w:t>
      </w:r>
      <w:r w:rsidR="00394DCB">
        <w:t>do not effectively</w:t>
      </w:r>
      <w:r w:rsidR="009D1D58">
        <w:t xml:space="preserve"> </w:t>
      </w:r>
      <w:r w:rsidR="005A6DEE">
        <w:t>delineat</w:t>
      </w:r>
      <w:r w:rsidR="00394DCB">
        <w:t>e</w:t>
      </w:r>
      <w:r w:rsidR="005A6DEE">
        <w:t xml:space="preserve"> </w:t>
      </w:r>
      <w:r w:rsidR="00390ABC">
        <w:t>conscientious objections to procedures rather than to groups of people.</w:t>
      </w:r>
    </w:p>
    <w:p w14:paraId="37E0B139" w14:textId="054BFFFD" w:rsidR="00390ABC" w:rsidRDefault="00390ABC" w:rsidP="0004727A">
      <w:pPr>
        <w:pStyle w:val="ListNumber"/>
      </w:pPr>
      <w:r>
        <w:t xml:space="preserve">More generally, the inclusion of the notes </w:t>
      </w:r>
      <w:r w:rsidR="00D04374">
        <w:t>has not cured the more fundamental problems with the deeming provisions in relation to conscientious objection</w:t>
      </w:r>
      <w:r w:rsidR="001A09D0">
        <w:t xml:space="preserve"> that the Commission identified in its first submission</w:t>
      </w:r>
      <w:r w:rsidR="00D04374">
        <w:t>.</w:t>
      </w:r>
    </w:p>
    <w:p w14:paraId="365A2BFD" w14:textId="05358E1C" w:rsidR="00526480" w:rsidRDefault="009F3279" w:rsidP="0025245F">
      <w:pPr>
        <w:pStyle w:val="ListNumber"/>
      </w:pPr>
      <w:r>
        <w:t xml:space="preserve">Clause 8(6) serves little practical purpose.  </w:t>
      </w:r>
      <w:r w:rsidR="00526480">
        <w:t xml:space="preserve">Where </w:t>
      </w:r>
      <w:r>
        <w:t xml:space="preserve">the </w:t>
      </w:r>
      <w:r w:rsidR="00526480">
        <w:t xml:space="preserve">clause operates, the relevant rule would be both contrary to State or Territory law </w:t>
      </w:r>
      <w:r w:rsidR="00526480" w:rsidRPr="004E21E4">
        <w:rPr>
          <w:i/>
          <w:iCs/>
        </w:rPr>
        <w:t>and</w:t>
      </w:r>
      <w:r w:rsidR="00526480">
        <w:t xml:space="preserve"> </w:t>
      </w:r>
      <w:r w:rsidR="0097280E">
        <w:t xml:space="preserve">be deemed to amount to </w:t>
      </w:r>
      <w:r w:rsidR="00526480">
        <w:t xml:space="preserve">indirect </w:t>
      </w:r>
      <w:r w:rsidR="004E21E4">
        <w:t xml:space="preserve">religious </w:t>
      </w:r>
      <w:r w:rsidR="00526480">
        <w:t xml:space="preserve">discrimination under the </w:t>
      </w:r>
      <w:r w:rsidR="004A0000">
        <w:t>Bill</w:t>
      </w:r>
      <w:r w:rsidR="00526480">
        <w:t xml:space="preserve">.  </w:t>
      </w:r>
      <w:r w:rsidR="00650712">
        <w:t xml:space="preserve">A medical practitioner </w:t>
      </w:r>
      <w:r w:rsidR="00B253BE">
        <w:t xml:space="preserve">seeking </w:t>
      </w:r>
      <w:r w:rsidR="0075430D">
        <w:t xml:space="preserve">to challenge the rule could do so </w:t>
      </w:r>
      <w:r w:rsidR="00856F78">
        <w:t xml:space="preserve">directly </w:t>
      </w:r>
      <w:r w:rsidR="0075430D">
        <w:t xml:space="preserve">on the basis that it </w:t>
      </w:r>
      <w:r w:rsidR="00F133DE">
        <w:t>was</w:t>
      </w:r>
      <w:r w:rsidR="0075430D">
        <w:t xml:space="preserve"> a breach of State or Territory law</w:t>
      </w:r>
      <w:r w:rsidR="00856F78">
        <w:t xml:space="preserve">, without the need to </w:t>
      </w:r>
      <w:r w:rsidR="00187BCA">
        <w:t xml:space="preserve">go through the conciliation process involved in making a complaint to the Commission alleging that there has been indirect </w:t>
      </w:r>
      <w:r w:rsidR="00213260">
        <w:t>religious discrimination</w:t>
      </w:r>
      <w:r w:rsidR="0075430D">
        <w:t>.</w:t>
      </w:r>
    </w:p>
    <w:p w14:paraId="729974D4" w14:textId="79776AB9" w:rsidR="00DC3149" w:rsidRDefault="00DC3149" w:rsidP="0025245F">
      <w:pPr>
        <w:pStyle w:val="ListNumber"/>
      </w:pPr>
      <w:r>
        <w:lastRenderedPageBreak/>
        <w:t xml:space="preserve">Clause 8(7) </w:t>
      </w:r>
      <w:r w:rsidR="00E86279">
        <w:t xml:space="preserve">is problematic because it </w:t>
      </w:r>
      <w:r w:rsidR="00C66EB9">
        <w:t>increases the risk that patients may lose the ability to obtain ‘information, prescriptions, or referrals’ or to have procedures related to services such as abortion, euthanasia, contraception or sterilisation where, in all the circumstances, it would be reasonable to require health practitioners to provide those services or to make referrals to another health practitioner who is willing to do so.</w:t>
      </w:r>
    </w:p>
    <w:p w14:paraId="00F7BD50" w14:textId="251904F4" w:rsidR="007D2D63" w:rsidRDefault="005241DB" w:rsidP="0025245F">
      <w:pPr>
        <w:pStyle w:val="ListNumber"/>
      </w:pPr>
      <w:bookmarkStart w:id="65" w:name="_Ref30432279"/>
      <w:r>
        <w:t>The Commission reiterates its previous submission that these clauses be removed from the Bill.</w:t>
      </w:r>
      <w:bookmarkEnd w:id="65"/>
    </w:p>
    <w:p w14:paraId="60E4BA14" w14:textId="69659B23" w:rsidR="004111ED" w:rsidRDefault="0072364E" w:rsidP="0063485A">
      <w:pPr>
        <w:pStyle w:val="Heading1"/>
      </w:pPr>
      <w:bookmarkStart w:id="66" w:name="_Toc31355411"/>
      <w:bookmarkEnd w:id="10"/>
      <w:r>
        <w:t>Local government by-laws</w:t>
      </w:r>
      <w:bookmarkEnd w:id="66"/>
      <w:r>
        <w:t xml:space="preserve"> </w:t>
      </w:r>
    </w:p>
    <w:p w14:paraId="123A81C4" w14:textId="77777777" w:rsidR="00FC4B09" w:rsidRDefault="00D831A3" w:rsidP="0063485A">
      <w:pPr>
        <w:pStyle w:val="ListNumber"/>
      </w:pPr>
      <w:bookmarkStart w:id="67" w:name="_Ref30506421"/>
      <w:r>
        <w:t>There was a general e</w:t>
      </w:r>
      <w:r w:rsidR="00A60C2C">
        <w:t xml:space="preserve">xception in the first exposure draft for </w:t>
      </w:r>
      <w:r w:rsidR="00C64A81">
        <w:t xml:space="preserve">conduct that </w:t>
      </w:r>
      <w:r w:rsidR="00FC4B09">
        <w:t>was in direct compliance with State and Territory law.</w:t>
      </w:r>
      <w:bookmarkEnd w:id="67"/>
    </w:p>
    <w:p w14:paraId="38237AFC" w14:textId="1A261A08" w:rsidR="0063485A" w:rsidRDefault="00067E1F" w:rsidP="0063485A">
      <w:pPr>
        <w:pStyle w:val="ListNumber"/>
      </w:pPr>
      <w:r>
        <w:t xml:space="preserve">Clause </w:t>
      </w:r>
      <w:r w:rsidR="006217DB">
        <w:t xml:space="preserve">30(3) provided that </w:t>
      </w:r>
      <w:r w:rsidR="00795668">
        <w:t>the prohibitions against discrimination in Divisions 2 and 3 of Part 3</w:t>
      </w:r>
      <w:r w:rsidR="00F10F4F">
        <w:t xml:space="preserve"> </w:t>
      </w:r>
      <w:r w:rsidR="00CF1037">
        <w:t xml:space="preserve">did not </w:t>
      </w:r>
      <w:r w:rsidR="00CF1292">
        <w:t>apply to conduct in direct compliance with a law of a State or Territory.</w:t>
      </w:r>
    </w:p>
    <w:p w14:paraId="42C15888" w14:textId="397F0213" w:rsidR="00CF1292" w:rsidRDefault="000E534E" w:rsidP="0063485A">
      <w:pPr>
        <w:pStyle w:val="ListNumber"/>
      </w:pPr>
      <w:r>
        <w:t xml:space="preserve">The second exposure draft has reduced the scope of this exception by providing that </w:t>
      </w:r>
      <w:r w:rsidR="000407FA">
        <w:t xml:space="preserve">the prohibitions against discrimination will still apply to conduct that is in direct compliance with </w:t>
      </w:r>
      <w:r w:rsidR="00220689">
        <w:t xml:space="preserve">a provision of a </w:t>
      </w:r>
      <w:r w:rsidR="005B2875">
        <w:t>‘</w:t>
      </w:r>
      <w:r w:rsidR="00220689">
        <w:t>local by-law</w:t>
      </w:r>
      <w:r w:rsidR="005B2875">
        <w:t>’</w:t>
      </w:r>
      <w:r w:rsidR="00220689">
        <w:t>.</w:t>
      </w:r>
      <w:r w:rsidR="00583A04">
        <w:rPr>
          <w:rStyle w:val="EndnoteReference"/>
        </w:rPr>
        <w:endnoteReference w:id="62"/>
      </w:r>
      <w:r w:rsidR="005B2875">
        <w:t xml:space="preserve">  A ‘local by-law’ is defined as any law made by a </w:t>
      </w:r>
      <w:r w:rsidR="00EB14C8">
        <w:t xml:space="preserve">body established for the purposes of local government by </w:t>
      </w:r>
      <w:r w:rsidR="005B1708">
        <w:t>or under a law of a State or Territory.</w:t>
      </w:r>
    </w:p>
    <w:p w14:paraId="65E96CAD" w14:textId="3CFB8E9A" w:rsidR="009334B2" w:rsidRDefault="005873FE" w:rsidP="0063485A">
      <w:pPr>
        <w:pStyle w:val="ListNumber"/>
      </w:pPr>
      <w:r>
        <w:t xml:space="preserve">The rationale </w:t>
      </w:r>
      <w:r w:rsidR="00CD5E1C">
        <w:t xml:space="preserve">given in the Explanatory Notes </w:t>
      </w:r>
      <w:r>
        <w:t xml:space="preserve">for overriding local government </w:t>
      </w:r>
      <w:r w:rsidR="00CD5E1C">
        <w:t>laws is that ‘</w:t>
      </w:r>
      <w:r w:rsidR="007D1D00">
        <w:t xml:space="preserve">this </w:t>
      </w:r>
      <w:r w:rsidR="00DC5398">
        <w:t xml:space="preserve">form of </w:t>
      </w:r>
      <w:r w:rsidR="005D200B">
        <w:t xml:space="preserve">delegated legislation does not have the same levels of oversight and scrutiny as legislation made by </w:t>
      </w:r>
      <w:r w:rsidR="005A2118">
        <w:t>the Commonwealth or a state or territory government’.</w:t>
      </w:r>
      <w:r w:rsidR="005A2118">
        <w:rPr>
          <w:rStyle w:val="EndnoteReference"/>
        </w:rPr>
        <w:endnoteReference w:id="63"/>
      </w:r>
    </w:p>
    <w:p w14:paraId="001D386D" w14:textId="70AD6F6A" w:rsidR="00974A34" w:rsidRDefault="0087363B" w:rsidP="00974A34">
      <w:pPr>
        <w:pStyle w:val="ListNumber"/>
      </w:pPr>
      <w:r>
        <w:t xml:space="preserve">The Explanatory Notes do not indicate the kinds of local government laws that it is envisaged would </w:t>
      </w:r>
      <w:proofErr w:type="gramStart"/>
      <w:r>
        <w:t xml:space="preserve">be </w:t>
      </w:r>
      <w:r w:rsidR="00451F0C">
        <w:t>in conflict with</w:t>
      </w:r>
      <w:proofErr w:type="gramEnd"/>
      <w:r w:rsidR="00451F0C">
        <w:t xml:space="preserve"> </w:t>
      </w:r>
      <w:r w:rsidR="00281207">
        <w:t xml:space="preserve">the Act and therefore </w:t>
      </w:r>
      <w:r w:rsidR="00696D2C">
        <w:t>overridden</w:t>
      </w:r>
      <w:r w:rsidR="00281207">
        <w:t xml:space="preserve">.  However, it could be anticipated that </w:t>
      </w:r>
      <w:r w:rsidR="00C37467">
        <w:t xml:space="preserve">they would include local government laws in relation to street preaching of the kind </w:t>
      </w:r>
      <w:r w:rsidR="005655F7">
        <w:t xml:space="preserve">considered in </w:t>
      </w:r>
      <w:r w:rsidR="00F6429A" w:rsidRPr="00974A34">
        <w:rPr>
          <w:i/>
          <w:iCs/>
        </w:rPr>
        <w:t>Attorney-General (SA) v Corporation of the City of Adelaide</w:t>
      </w:r>
      <w:r w:rsidR="00F6429A">
        <w:t xml:space="preserve"> (</w:t>
      </w:r>
      <w:r w:rsidR="008F69ED">
        <w:t xml:space="preserve">2013) 249 CLR 1.  In that case, the High Court upheld as valid </w:t>
      </w:r>
      <w:r w:rsidR="00457155">
        <w:t xml:space="preserve">a by-law </w:t>
      </w:r>
      <w:r w:rsidR="008B75A1">
        <w:t xml:space="preserve">made by Adelaide City Council </w:t>
      </w:r>
      <w:r w:rsidR="00457155">
        <w:t>that prohibited persons from preaching, canvassing, haranguing or distributing</w:t>
      </w:r>
      <w:r w:rsidR="00AF1B4E">
        <w:t xml:space="preserve"> </w:t>
      </w:r>
      <w:r w:rsidR="00457155">
        <w:t xml:space="preserve">printed material on any road </w:t>
      </w:r>
      <w:r w:rsidR="00AF1B4E">
        <w:t>(including a pedestria</w:t>
      </w:r>
      <w:r w:rsidR="00AF168C">
        <w:t>n</w:t>
      </w:r>
      <w:r w:rsidR="00AF1B4E">
        <w:t xml:space="preserve"> thoroughfare or mall) </w:t>
      </w:r>
      <w:r w:rsidR="00457155">
        <w:t xml:space="preserve">without the permission of </w:t>
      </w:r>
      <w:r w:rsidR="002C1686">
        <w:t xml:space="preserve">the </w:t>
      </w:r>
      <w:r w:rsidR="00457155">
        <w:t xml:space="preserve">Council. </w:t>
      </w:r>
      <w:r w:rsidR="00974A34">
        <w:t xml:space="preserve"> </w:t>
      </w:r>
      <w:r w:rsidR="005A2D3C">
        <w:t xml:space="preserve">Under the </w:t>
      </w:r>
      <w:r w:rsidR="00AB2CB7">
        <w:t>amendment to clause 30</w:t>
      </w:r>
      <w:r w:rsidR="00717625">
        <w:t>(3)</w:t>
      </w:r>
      <w:r w:rsidR="00AB2CB7">
        <w:t xml:space="preserve"> of the </w:t>
      </w:r>
      <w:r w:rsidR="005A2D3C">
        <w:t xml:space="preserve">Bill, </w:t>
      </w:r>
      <w:r w:rsidR="002424FA">
        <w:t xml:space="preserve">it may be possible to challenge such a by-law on the basis that it </w:t>
      </w:r>
      <w:r w:rsidR="009A5BF6">
        <w:t>amounts to religious discrimination</w:t>
      </w:r>
      <w:r w:rsidR="002019D3">
        <w:t xml:space="preserve">.  If the challenge was framed as indirect </w:t>
      </w:r>
      <w:r w:rsidR="002019D3">
        <w:lastRenderedPageBreak/>
        <w:t>discrimination, it would be necessary to assess whether the by-law was reasonable</w:t>
      </w:r>
      <w:r w:rsidR="00D50682">
        <w:t xml:space="preserve"> in </w:t>
      </w:r>
      <w:proofErr w:type="gramStart"/>
      <w:r w:rsidR="00D50682">
        <w:t>all of</w:t>
      </w:r>
      <w:proofErr w:type="gramEnd"/>
      <w:r w:rsidR="00D50682">
        <w:t xml:space="preserve"> the circumstances</w:t>
      </w:r>
      <w:r w:rsidR="002019D3">
        <w:t>.</w:t>
      </w:r>
    </w:p>
    <w:p w14:paraId="199A76C0" w14:textId="0DD0EB90" w:rsidR="0087363B" w:rsidRDefault="00D50682" w:rsidP="00457155">
      <w:pPr>
        <w:pStyle w:val="ListNumber"/>
      </w:pPr>
      <w:r>
        <w:t>It appears that clause 30</w:t>
      </w:r>
      <w:r w:rsidR="00717625">
        <w:t>(3)</w:t>
      </w:r>
      <w:r>
        <w:t xml:space="preserve"> </w:t>
      </w:r>
      <w:r w:rsidR="003B4F3E">
        <w:t xml:space="preserve">of the Bill </w:t>
      </w:r>
      <w:r>
        <w:t xml:space="preserve">is </w:t>
      </w:r>
      <w:r w:rsidR="00E225CE">
        <w:t xml:space="preserve">modelled on </w:t>
      </w:r>
      <w:r w:rsidR="00186375">
        <w:t>s</w:t>
      </w:r>
      <w:r w:rsidR="00F800DD">
        <w:t>s 39</w:t>
      </w:r>
      <w:r w:rsidR="0054237A">
        <w:t>(</w:t>
      </w:r>
      <w:r w:rsidR="00211780">
        <w:t>4)</w:t>
      </w:r>
      <w:proofErr w:type="gramStart"/>
      <w:r w:rsidR="00475721">
        <w:t>–</w:t>
      </w:r>
      <w:r w:rsidR="00211780">
        <w:t>(</w:t>
      </w:r>
      <w:proofErr w:type="gramEnd"/>
      <w:r w:rsidR="00211780">
        <w:t>5)</w:t>
      </w:r>
      <w:r w:rsidR="00F800DD">
        <w:t xml:space="preserve"> of the </w:t>
      </w:r>
      <w:r w:rsidR="00316D29">
        <w:t>ADA</w:t>
      </w:r>
      <w:r w:rsidR="00F800DD">
        <w:t xml:space="preserve">.  </w:t>
      </w:r>
      <w:r w:rsidR="00316D29">
        <w:t xml:space="preserve">The ADA does not </w:t>
      </w:r>
      <w:r w:rsidR="0063240D">
        <w:t xml:space="preserve">include a </w:t>
      </w:r>
      <w:r w:rsidR="00FE497E">
        <w:t xml:space="preserve">carve out for local government laws, but (as with clause 30(3)(b) of the Bill) it does permit </w:t>
      </w:r>
      <w:r w:rsidR="00115B63">
        <w:t xml:space="preserve">regulations </w:t>
      </w:r>
      <w:r w:rsidR="004502FE">
        <w:t xml:space="preserve">to be made that </w:t>
      </w:r>
      <w:r w:rsidR="00115B63">
        <w:t xml:space="preserve">prescribe </w:t>
      </w:r>
      <w:r w:rsidR="004502FE">
        <w:t xml:space="preserve">particular State </w:t>
      </w:r>
      <w:r w:rsidR="006731E4">
        <w:t xml:space="preserve">and Territory laws (including local government laws) that will not </w:t>
      </w:r>
      <w:r w:rsidR="00753D57">
        <w:t>receive</w:t>
      </w:r>
      <w:r w:rsidR="00FE70A8">
        <w:t xml:space="preserve"> the benefit of </w:t>
      </w:r>
      <w:r w:rsidR="00EA4568">
        <w:t>an exception.</w:t>
      </w:r>
    </w:p>
    <w:p w14:paraId="28676D85" w14:textId="032E7BFF" w:rsidR="00A51AD4" w:rsidRDefault="00994286" w:rsidP="0063485A">
      <w:pPr>
        <w:pStyle w:val="ListNumber"/>
      </w:pPr>
      <w:r>
        <w:t>T</w:t>
      </w:r>
      <w:r w:rsidR="00095B53">
        <w:t xml:space="preserve">he exemptions in the ADA </w:t>
      </w:r>
      <w:r>
        <w:t xml:space="preserve">for conduct in compliance with law </w:t>
      </w:r>
      <w:r w:rsidR="00095B53">
        <w:t xml:space="preserve">are broad (and broader than other </w:t>
      </w:r>
      <w:r>
        <w:t>federal discrimination law).</w:t>
      </w:r>
      <w:r w:rsidR="00517DF1">
        <w:rPr>
          <w:rStyle w:val="EndnoteReference"/>
        </w:rPr>
        <w:endnoteReference w:id="64"/>
      </w:r>
      <w:r>
        <w:t xml:space="preserve">  </w:t>
      </w:r>
      <w:r w:rsidR="00205A86">
        <w:t xml:space="preserve">One virtue of the </w:t>
      </w:r>
      <w:r w:rsidR="00D12166">
        <w:t>model in the ADA</w:t>
      </w:r>
      <w:r w:rsidR="00BD6EDD">
        <w:t xml:space="preserve">, in comparison with </w:t>
      </w:r>
      <w:r w:rsidR="007B2F9D">
        <w:t xml:space="preserve">the second exposure draft of </w:t>
      </w:r>
      <w:r w:rsidR="00BD6EDD">
        <w:t>the Bill,</w:t>
      </w:r>
      <w:r w:rsidR="00D12166">
        <w:t xml:space="preserve"> </w:t>
      </w:r>
      <w:r w:rsidR="00205A86">
        <w:t xml:space="preserve">is </w:t>
      </w:r>
      <w:r w:rsidR="00CD127F">
        <w:t xml:space="preserve">increased </w:t>
      </w:r>
      <w:r w:rsidR="00C026F5">
        <w:t>certainty</w:t>
      </w:r>
      <w:r w:rsidR="00205A86">
        <w:t xml:space="preserve">.  </w:t>
      </w:r>
      <w:r w:rsidR="00A648E2">
        <w:t>Conduct in compliance with State and Territory law will be lawful</w:t>
      </w:r>
      <w:r w:rsidR="00E52F5C">
        <w:t xml:space="preserve">, except in the case of </w:t>
      </w:r>
      <w:proofErr w:type="gramStart"/>
      <w:r w:rsidR="00E52F5C">
        <w:t xml:space="preserve">particular </w:t>
      </w:r>
      <w:r w:rsidR="0021334F">
        <w:t>identified</w:t>
      </w:r>
      <w:proofErr w:type="gramEnd"/>
      <w:r w:rsidR="0021334F">
        <w:t xml:space="preserve"> laws where compliance with the terms of the ADA would need to be assessed.  Currently, there are no laws p</w:t>
      </w:r>
      <w:r w:rsidR="004E5258">
        <w:t>rescribed for the purposes of s </w:t>
      </w:r>
      <w:r w:rsidR="00DC6510">
        <w:t>39(5) of the ADA.</w:t>
      </w:r>
    </w:p>
    <w:p w14:paraId="0AB51732" w14:textId="2566CA42" w:rsidR="00DC6510" w:rsidRDefault="00DC6510" w:rsidP="0063485A">
      <w:pPr>
        <w:pStyle w:val="ListNumber"/>
      </w:pPr>
      <w:r>
        <w:t>If the carve out for local government laws was removed from clause 30(3)</w:t>
      </w:r>
      <w:r w:rsidR="00FD63C3">
        <w:t>(a</w:t>
      </w:r>
      <w:r>
        <w:t xml:space="preserve">), it would still be possible to prescribe </w:t>
      </w:r>
      <w:proofErr w:type="gramStart"/>
      <w:r>
        <w:t>particular local</w:t>
      </w:r>
      <w:proofErr w:type="gramEnd"/>
      <w:r>
        <w:t xml:space="preserve"> government laws under clause 30</w:t>
      </w:r>
      <w:r w:rsidR="00FD63C3">
        <w:t>(3)(b)</w:t>
      </w:r>
      <w:r w:rsidR="00054CE5">
        <w:t xml:space="preserve"> that should be assessed for compliance with the </w:t>
      </w:r>
      <w:r w:rsidR="00FC598E">
        <w:t xml:space="preserve">religious discrimination </w:t>
      </w:r>
      <w:r w:rsidR="00054CE5">
        <w:t xml:space="preserve">provisions of the Bill.  </w:t>
      </w:r>
      <w:r w:rsidR="00FC598E">
        <w:t xml:space="preserve">An advantage of such a structure is that those who are charged with enforcing compliance with valid local government laws, such as State and Territory police, would have </w:t>
      </w:r>
      <w:r w:rsidR="00F73FD2">
        <w:t xml:space="preserve">greater certainty about which </w:t>
      </w:r>
      <w:proofErr w:type="gramStart"/>
      <w:r w:rsidR="00580DFB">
        <w:t xml:space="preserve">particular </w:t>
      </w:r>
      <w:r w:rsidR="00F73FD2">
        <w:t>laws</w:t>
      </w:r>
      <w:proofErr w:type="gramEnd"/>
      <w:r w:rsidR="00F73FD2">
        <w:t xml:space="preserve"> needed to be assessed against compliance with </w:t>
      </w:r>
      <w:r w:rsidR="00D31EA0">
        <w:t>the Bill.</w:t>
      </w:r>
    </w:p>
    <w:p w14:paraId="6D987555" w14:textId="2C338886" w:rsidR="00D31EA0" w:rsidRDefault="00D31EA0" w:rsidP="0063485A">
      <w:pPr>
        <w:pStyle w:val="ListNumber"/>
      </w:pPr>
      <w:bookmarkStart w:id="68" w:name="_Ref30506429"/>
      <w:r>
        <w:t xml:space="preserve">On balance, the Commission recommends that </w:t>
      </w:r>
      <w:r w:rsidR="00BD0CA7">
        <w:t>the amendment to clause 30(</w:t>
      </w:r>
      <w:r w:rsidR="005D2DDA">
        <w:t>3)(a) in the second exposure draft of the Bill not be made.</w:t>
      </w:r>
      <w:bookmarkEnd w:id="68"/>
      <w:r w:rsidR="008121D1">
        <w:t xml:space="preserve"> </w:t>
      </w:r>
    </w:p>
    <w:p w14:paraId="61A7D822" w14:textId="22D55919" w:rsidR="005D2DDA" w:rsidRPr="005D2DDA" w:rsidRDefault="005D2DDA" w:rsidP="005D2DDA">
      <w:pPr>
        <w:pStyle w:val="ListNumber"/>
        <w:keepNext/>
        <w:numPr>
          <w:ilvl w:val="0"/>
          <w:numId w:val="0"/>
        </w:numPr>
        <w:ind w:left="1094"/>
        <w:rPr>
          <w:b/>
          <w:bCs/>
        </w:rPr>
      </w:pPr>
      <w:r w:rsidRPr="005D2DDA">
        <w:rPr>
          <w:b/>
          <w:bCs/>
        </w:rPr>
        <w:t>Recommendation 14</w:t>
      </w:r>
    </w:p>
    <w:p w14:paraId="6DC7D03F" w14:textId="2117CF8F" w:rsidR="005D2DDA" w:rsidRDefault="005D2DDA" w:rsidP="005D2DDA">
      <w:pPr>
        <w:pStyle w:val="ListNumber"/>
        <w:numPr>
          <w:ilvl w:val="0"/>
          <w:numId w:val="0"/>
        </w:numPr>
        <w:ind w:left="1094"/>
      </w:pPr>
      <w:r>
        <w:t xml:space="preserve">The Commission recommends that </w:t>
      </w:r>
      <w:r w:rsidR="002727AF">
        <w:t xml:space="preserve">the words ‘(other than a local by-law)’ be removed from clause </w:t>
      </w:r>
      <w:r w:rsidR="008D2C02">
        <w:t>30(3)(a) of the Bill.</w:t>
      </w:r>
    </w:p>
    <w:p w14:paraId="31F8731B" w14:textId="0F41A279" w:rsidR="00AD058D" w:rsidRDefault="00AD058D">
      <w:pPr>
        <w:spacing w:before="0" w:after="0"/>
      </w:pPr>
      <w:r>
        <w:br w:type="page"/>
      </w:r>
    </w:p>
    <w:p w14:paraId="6402B01B" w14:textId="77777777" w:rsidR="00A7615D" w:rsidRDefault="00A7615D" w:rsidP="000705F2">
      <w:pPr>
        <w:pStyle w:val="ListNumber"/>
        <w:numPr>
          <w:ilvl w:val="0"/>
          <w:numId w:val="0"/>
        </w:numPr>
      </w:pPr>
    </w:p>
    <w:sectPr w:rsidR="00A7615D" w:rsidSect="00A7615D">
      <w:headerReference w:type="even" r:id="rId18"/>
      <w:headerReference w:type="default" r:id="rId19"/>
      <w:footerReference w:type="even" r:id="rId20"/>
      <w:footerReference w:type="default" r:id="rId21"/>
      <w:headerReference w:type="first" r:id="rId22"/>
      <w:footerReference w:type="first" r:id="rId23"/>
      <w:endnotePr>
        <w:numFmt w:val="decimal"/>
      </w:endnotePr>
      <w:pgSz w:w="11906" w:h="16838" w:code="9"/>
      <w:pgMar w:top="2438" w:right="1418" w:bottom="1134" w:left="1418" w:header="907" w:footer="284"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04828" w14:textId="77777777" w:rsidR="00682BB1" w:rsidRDefault="00682BB1" w:rsidP="00F14C6D">
      <w:r>
        <w:separator/>
      </w:r>
    </w:p>
  </w:endnote>
  <w:endnote w:type="continuationSeparator" w:id="0">
    <w:p w14:paraId="39785D0A" w14:textId="77777777" w:rsidR="00682BB1" w:rsidRDefault="00682BB1" w:rsidP="00F14C6D">
      <w:r>
        <w:continuationSeparator/>
      </w:r>
    </w:p>
  </w:endnote>
  <w:endnote w:type="continuationNotice" w:id="1">
    <w:p w14:paraId="70AC8281" w14:textId="77777777" w:rsidR="00682BB1" w:rsidRDefault="00682BB1">
      <w:pPr>
        <w:spacing w:before="0" w:after="0"/>
      </w:pPr>
    </w:p>
  </w:endnote>
  <w:endnote w:id="2">
    <w:p w14:paraId="043783F5" w14:textId="75ACC17D" w:rsidR="00F10059" w:rsidRDefault="00F10059" w:rsidP="00F125C7">
      <w:pPr>
        <w:pStyle w:val="EndnoteText"/>
        <w:ind w:left="284" w:hanging="284"/>
      </w:pPr>
      <w:r>
        <w:rPr>
          <w:rStyle w:val="EndnoteReference"/>
        </w:rPr>
        <w:endnoteRef/>
      </w:r>
      <w:r>
        <w:t xml:space="preserve"> </w:t>
      </w:r>
      <w:r>
        <w:tab/>
        <w:t xml:space="preserve">Australian Human Rights Commission, </w:t>
      </w:r>
      <w:r w:rsidRPr="00F125C7">
        <w:rPr>
          <w:i/>
          <w:iCs/>
        </w:rPr>
        <w:t>Religious Freedom Bills, Submission to the Attorney-General’s Department</w:t>
      </w:r>
      <w:r>
        <w:t xml:space="preserve">, 27 September 2019.  At </w:t>
      </w:r>
      <w:hyperlink r:id="rId1" w:history="1">
        <w:r w:rsidRPr="002D71E5">
          <w:rPr>
            <w:rStyle w:val="Hyperlink"/>
          </w:rPr>
          <w:t>https://www.ag.gov.au/Consultations/Documents/religious-freedom-bills/submissions/Australian%20Human%20Rights%20Commission.pdf</w:t>
        </w:r>
      </w:hyperlink>
      <w:r>
        <w:t xml:space="preserve">. </w:t>
      </w:r>
    </w:p>
  </w:endnote>
  <w:endnote w:id="3">
    <w:p w14:paraId="1DFC1196" w14:textId="74BE52FF" w:rsidR="00F10059" w:rsidRPr="00A02FE6" w:rsidRDefault="00F10059" w:rsidP="00E17B13">
      <w:pPr>
        <w:pStyle w:val="EndnoteText"/>
        <w:ind w:left="284" w:hanging="284"/>
        <w:rPr>
          <w:rFonts w:cs="Open Sans"/>
        </w:rPr>
      </w:pPr>
      <w:r w:rsidRPr="00233510">
        <w:rPr>
          <w:rStyle w:val="EndnoteReference"/>
          <w:rFonts w:cs="Open Sans"/>
        </w:rPr>
        <w:endnoteRef/>
      </w:r>
      <w:r w:rsidRPr="00233510">
        <w:rPr>
          <w:rFonts w:cs="Open Sans"/>
        </w:rPr>
        <w:t xml:space="preserve"> </w:t>
      </w:r>
      <w:r>
        <w:rPr>
          <w:rFonts w:cs="Open Sans"/>
        </w:rPr>
        <w:tab/>
      </w:r>
      <w:r w:rsidRPr="00233510">
        <w:rPr>
          <w:rFonts w:cs="Open Sans"/>
        </w:rPr>
        <w:t xml:space="preserve">Australian Human Rights Commission, </w:t>
      </w:r>
      <w:r w:rsidRPr="00233510">
        <w:rPr>
          <w:rFonts w:cs="Open Sans"/>
          <w:i/>
          <w:iCs/>
        </w:rPr>
        <w:t xml:space="preserve">Religious Freedom Review, </w:t>
      </w:r>
      <w:r>
        <w:rPr>
          <w:rFonts w:cs="Open Sans"/>
          <w:i/>
          <w:iCs/>
        </w:rPr>
        <w:t>S</w:t>
      </w:r>
      <w:r w:rsidRPr="00A50030">
        <w:rPr>
          <w:rFonts w:cs="Open Sans"/>
          <w:i/>
          <w:iCs/>
        </w:rPr>
        <w:t>ubmission to the Expert Panel</w:t>
      </w:r>
      <w:r w:rsidRPr="00A50030">
        <w:rPr>
          <w:rFonts w:cs="Open Sans"/>
        </w:rPr>
        <w:t xml:space="preserve"> (2018)</w:t>
      </w:r>
      <w:r>
        <w:rPr>
          <w:rFonts w:cs="Open Sans"/>
        </w:rPr>
        <w:t xml:space="preserve"> at [11]-[14]</w:t>
      </w:r>
      <w:r w:rsidRPr="00A50030">
        <w:rPr>
          <w:rFonts w:cs="Open Sans"/>
        </w:rPr>
        <w:t xml:space="preserve">. At </w:t>
      </w:r>
      <w:hyperlink r:id="rId2" w:history="1">
        <w:r w:rsidRPr="00A50030">
          <w:rPr>
            <w:rStyle w:val="Hyperlink"/>
            <w:rFonts w:cs="Open Sans"/>
          </w:rPr>
          <w:t>https://www.humanrights.gov.au/our-work/legal/submission/religious-freedom-review-2018</w:t>
        </w:r>
      </w:hyperlink>
      <w:r>
        <w:rPr>
          <w:rStyle w:val="Hyperlink"/>
          <w:rFonts w:cs="Open Sans"/>
          <w:u w:val="none"/>
        </w:rPr>
        <w:t>.</w:t>
      </w:r>
    </w:p>
  </w:endnote>
  <w:endnote w:id="4">
    <w:p w14:paraId="0903AB76" w14:textId="76A75BFD" w:rsidR="00F10059" w:rsidRDefault="00F10059" w:rsidP="00763393">
      <w:pPr>
        <w:pStyle w:val="EndnoteText"/>
        <w:ind w:left="284" w:hanging="284"/>
      </w:pPr>
      <w:r>
        <w:rPr>
          <w:rStyle w:val="EndnoteReference"/>
        </w:rPr>
        <w:endnoteRef/>
      </w:r>
      <w:r>
        <w:t xml:space="preserve"> </w:t>
      </w:r>
      <w:r>
        <w:tab/>
        <w:t>Explanatory Notes, second exposure draft, at [203]-[204].</w:t>
      </w:r>
    </w:p>
  </w:endnote>
  <w:endnote w:id="5">
    <w:p w14:paraId="0A30554B" w14:textId="4C1D8AFF" w:rsidR="00F10059" w:rsidRDefault="00F10059" w:rsidP="00E17B13">
      <w:pPr>
        <w:pStyle w:val="EndnoteText"/>
        <w:ind w:left="284" w:hanging="284"/>
      </w:pPr>
      <w:r>
        <w:rPr>
          <w:rStyle w:val="EndnoteReference"/>
        </w:rPr>
        <w:endnoteRef/>
      </w:r>
      <w:r>
        <w:t xml:space="preserve"> </w:t>
      </w:r>
      <w:r>
        <w:tab/>
        <w:t xml:space="preserve">In the case of the </w:t>
      </w:r>
      <w:r w:rsidRPr="00A373F1">
        <w:rPr>
          <w:i/>
          <w:iCs/>
        </w:rPr>
        <w:t>Racial Discrimination Act 1975</w:t>
      </w:r>
      <w:r>
        <w:t xml:space="preserve"> (Cth), see proposed s 2A(1)(a) to be inserted into the RDA by the Freedom of Religion Bill, Sch 1, clause 8, in the case of the other Acts, see </w:t>
      </w:r>
      <w:r w:rsidRPr="00A373F1">
        <w:rPr>
          <w:i/>
          <w:iCs/>
        </w:rPr>
        <w:t>Sex Discrimination Act 1984</w:t>
      </w:r>
      <w:r>
        <w:t xml:space="preserve"> (Cth), s 3(a), </w:t>
      </w:r>
      <w:r w:rsidRPr="00A373F1">
        <w:rPr>
          <w:i/>
          <w:iCs/>
        </w:rPr>
        <w:t>Disability Discrimination Act 1992</w:t>
      </w:r>
      <w:r>
        <w:t xml:space="preserve"> (Cth), s 12(8), </w:t>
      </w:r>
      <w:r w:rsidRPr="00A373F1">
        <w:rPr>
          <w:i/>
          <w:iCs/>
        </w:rPr>
        <w:t>Age Discrimination Act 2004</w:t>
      </w:r>
      <w:r>
        <w:t xml:space="preserve"> (Cth), s 10(7).</w:t>
      </w:r>
    </w:p>
  </w:endnote>
  <w:endnote w:id="6">
    <w:p w14:paraId="171575AA" w14:textId="493A91A5" w:rsidR="00F10059" w:rsidRDefault="00F10059" w:rsidP="00E17B13">
      <w:pPr>
        <w:pStyle w:val="EndnoteText"/>
        <w:ind w:left="284" w:hanging="284"/>
      </w:pPr>
      <w:r>
        <w:rPr>
          <w:rStyle w:val="EndnoteReference"/>
        </w:rPr>
        <w:endnoteRef/>
      </w:r>
      <w:r>
        <w:t xml:space="preserve"> </w:t>
      </w:r>
      <w:r>
        <w:tab/>
        <w:t>Bill, clause 58.</w:t>
      </w:r>
    </w:p>
  </w:endnote>
  <w:endnote w:id="7">
    <w:p w14:paraId="33BEA069" w14:textId="6E86D2F8" w:rsidR="00F10059" w:rsidRDefault="00F10059" w:rsidP="00E17B13">
      <w:pPr>
        <w:pStyle w:val="EndnoteText"/>
        <w:ind w:left="284" w:hanging="284"/>
      </w:pPr>
      <w:r>
        <w:rPr>
          <w:rStyle w:val="EndnoteReference"/>
        </w:rPr>
        <w:endnoteRef/>
      </w:r>
      <w:r>
        <w:t xml:space="preserve"> </w:t>
      </w:r>
      <w:r>
        <w:tab/>
        <w:t xml:space="preserve">For example, see </w:t>
      </w:r>
      <w:r w:rsidRPr="00743345">
        <w:rPr>
          <w:i/>
          <w:iCs/>
        </w:rPr>
        <w:t>International Covenant on Civil and Political Rights</w:t>
      </w:r>
      <w:r>
        <w:t xml:space="preserve">, article 2(1). </w:t>
      </w:r>
    </w:p>
  </w:endnote>
  <w:endnote w:id="8">
    <w:p w14:paraId="1807F588" w14:textId="5A5FF17D" w:rsidR="00F10059" w:rsidRDefault="00F10059" w:rsidP="00E17B13">
      <w:pPr>
        <w:pStyle w:val="EndnoteText"/>
        <w:ind w:left="284" w:hanging="284"/>
      </w:pPr>
      <w:r>
        <w:rPr>
          <w:rStyle w:val="EndnoteReference"/>
        </w:rPr>
        <w:endnoteRef/>
      </w:r>
      <w:r>
        <w:t xml:space="preserve"> </w:t>
      </w:r>
      <w:r>
        <w:tab/>
      </w:r>
      <w:r w:rsidRPr="00A373F1">
        <w:rPr>
          <w:i/>
          <w:iCs/>
        </w:rPr>
        <w:t>Sex Discrimination Act 1984</w:t>
      </w:r>
      <w:r>
        <w:t xml:space="preserve"> (Cth), s 9(11)-(14); </w:t>
      </w:r>
      <w:r w:rsidRPr="00A373F1">
        <w:rPr>
          <w:i/>
          <w:iCs/>
        </w:rPr>
        <w:t>Disability Discrimination Act 1992</w:t>
      </w:r>
      <w:r>
        <w:t xml:space="preserve"> (Cth), s 12(9); </w:t>
      </w:r>
      <w:r w:rsidRPr="00A373F1">
        <w:rPr>
          <w:i/>
          <w:iCs/>
        </w:rPr>
        <w:t>Age Discrimination Act 2004</w:t>
      </w:r>
      <w:r>
        <w:t xml:space="preserve"> (Cth), s 10(9).</w:t>
      </w:r>
    </w:p>
  </w:endnote>
  <w:endnote w:id="9">
    <w:p w14:paraId="0568E557" w14:textId="13D70167" w:rsidR="00F10059" w:rsidRDefault="00F10059" w:rsidP="00E17B13">
      <w:pPr>
        <w:pStyle w:val="EndnoteText"/>
        <w:ind w:left="284" w:hanging="284"/>
      </w:pPr>
      <w:r>
        <w:rPr>
          <w:rStyle w:val="EndnoteReference"/>
        </w:rPr>
        <w:endnoteRef/>
      </w:r>
      <w:r>
        <w:t xml:space="preserve"> </w:t>
      </w:r>
      <w:r>
        <w:tab/>
        <w:t>Bill, clause 59(2).</w:t>
      </w:r>
    </w:p>
  </w:endnote>
  <w:endnote w:id="10">
    <w:p w14:paraId="4FB2FDC0" w14:textId="6D7C4B4B" w:rsidR="00F10059" w:rsidRDefault="00F10059" w:rsidP="00FC66AA">
      <w:pPr>
        <w:pStyle w:val="EndnoteText"/>
        <w:ind w:left="284" w:hanging="284"/>
      </w:pPr>
      <w:r>
        <w:rPr>
          <w:rStyle w:val="EndnoteReference"/>
        </w:rPr>
        <w:endnoteRef/>
      </w:r>
      <w:r>
        <w:t xml:space="preserve"> </w:t>
      </w:r>
      <w:r>
        <w:tab/>
        <w:t>Explanatory Notes, second exposure draft, at [237].</w:t>
      </w:r>
    </w:p>
  </w:endnote>
  <w:endnote w:id="11">
    <w:p w14:paraId="4676042A" w14:textId="177EDF34" w:rsidR="00F10059" w:rsidRDefault="00F10059" w:rsidP="00563EBF">
      <w:pPr>
        <w:pStyle w:val="EndnoteText"/>
        <w:ind w:left="284" w:hanging="284"/>
      </w:pPr>
      <w:r>
        <w:rPr>
          <w:rStyle w:val="EndnoteReference"/>
        </w:rPr>
        <w:endnoteRef/>
      </w:r>
      <w:r>
        <w:t xml:space="preserve"> </w:t>
      </w:r>
      <w:r>
        <w:tab/>
        <w:t xml:space="preserve">Explanatory Notes, second exposure draft, at [239].  See also </w:t>
      </w:r>
      <w:r w:rsidRPr="00921718">
        <w:t>The Hon Christian Porter MP</w:t>
      </w:r>
      <w:r>
        <w:t xml:space="preserve">, Attorney General, </w:t>
      </w:r>
      <w:r w:rsidRPr="00921718">
        <w:rPr>
          <w:i/>
          <w:iCs/>
        </w:rPr>
        <w:t>Transcript of Press Conference</w:t>
      </w:r>
      <w:r>
        <w:t xml:space="preserve">, 10 December 2019, at </w:t>
      </w:r>
      <w:hyperlink r:id="rId3" w:history="1">
        <w:r w:rsidRPr="009C283A">
          <w:rPr>
            <w:rStyle w:val="Hyperlink"/>
          </w:rPr>
          <w:t>https://www.attorneygeneral.gov.au/media/transcripts/press-conference-sydney-nsw-10-december-2019</w:t>
        </w:r>
      </w:hyperlink>
      <w:r>
        <w:t>: ‘</w:t>
      </w:r>
      <w:r w:rsidRPr="005224FA">
        <w:t>the test of reasonableness here is a test from the perspective of the average person of the same religion</w:t>
      </w:r>
      <w:r>
        <w:t xml:space="preserve">’. </w:t>
      </w:r>
    </w:p>
  </w:endnote>
  <w:endnote w:id="12">
    <w:p w14:paraId="4AEA0F1D" w14:textId="0B3DFEF3" w:rsidR="00F10059" w:rsidRDefault="00F10059" w:rsidP="00E3511C">
      <w:pPr>
        <w:pStyle w:val="EndnoteText"/>
        <w:ind w:left="284" w:hanging="284"/>
      </w:pPr>
      <w:r>
        <w:rPr>
          <w:rStyle w:val="EndnoteReference"/>
        </w:rPr>
        <w:endnoteRef/>
      </w:r>
      <w:r>
        <w:t xml:space="preserve"> </w:t>
      </w:r>
      <w:r>
        <w:tab/>
        <w:t xml:space="preserve">By way of comparison, see how the impact of conduct on a group of people is considered for the purposes of s 18C of the </w:t>
      </w:r>
      <w:r w:rsidRPr="00A373F1">
        <w:rPr>
          <w:i/>
          <w:iCs/>
        </w:rPr>
        <w:t>Racial Discrimination Act 1975</w:t>
      </w:r>
      <w:r>
        <w:t xml:space="preserve"> (Cth): </w:t>
      </w:r>
      <w:r w:rsidRPr="00D36028">
        <w:rPr>
          <w:i/>
          <w:iCs/>
        </w:rPr>
        <w:t>Eatock v Bolt</w:t>
      </w:r>
      <w:r>
        <w:t xml:space="preserve"> [2011] FCA 1103 at [251]-[252]; and how alleged misleading representations to the public at large were considered for the purposes of s 52 of the then </w:t>
      </w:r>
      <w:r w:rsidRPr="000C0236">
        <w:rPr>
          <w:i/>
          <w:iCs/>
        </w:rPr>
        <w:t>Trade Practices Act 1974</w:t>
      </w:r>
      <w:r>
        <w:t xml:space="preserve"> (Cth) (now s 18 of the Australian Consumer Law at Sch 2 of the </w:t>
      </w:r>
      <w:r w:rsidRPr="000C0236">
        <w:rPr>
          <w:i/>
          <w:iCs/>
        </w:rPr>
        <w:t>Competition and Consumer Act 2010</w:t>
      </w:r>
      <w:r>
        <w:t xml:space="preserve"> (Cth)): </w:t>
      </w:r>
      <w:r w:rsidRPr="00833B86">
        <w:rPr>
          <w:i/>
          <w:iCs/>
        </w:rPr>
        <w:t>Campomar Sociedad, Limitada v Nike International Ltd</w:t>
      </w:r>
      <w:r>
        <w:t xml:space="preserve"> (2000) 202 CLR 45 at 85 [102]-[103].</w:t>
      </w:r>
    </w:p>
  </w:endnote>
  <w:endnote w:id="13">
    <w:p w14:paraId="04E4CC33" w14:textId="109AE498" w:rsidR="00F10059" w:rsidRDefault="00F10059" w:rsidP="00963ED5">
      <w:pPr>
        <w:pStyle w:val="EndnoteText"/>
        <w:ind w:left="284" w:hanging="284"/>
      </w:pPr>
      <w:r>
        <w:rPr>
          <w:rStyle w:val="EndnoteReference"/>
        </w:rPr>
        <w:endnoteRef/>
      </w:r>
      <w:r>
        <w:t xml:space="preserve"> </w:t>
      </w:r>
      <w:r>
        <w:tab/>
      </w:r>
      <w:r>
        <w:rPr>
          <w:rFonts w:ascii="Segoe UI" w:hAnsi="Segoe UI" w:cs="Segoe UI"/>
          <w:color w:val="313131"/>
          <w:shd w:val="clear" w:color="auto" w:fill="FFFFFF"/>
        </w:rPr>
        <w:t xml:space="preserve">The Hon Christian Porter MP, </w:t>
      </w:r>
      <w:r>
        <w:t xml:space="preserve">Attorney-General, </w:t>
      </w:r>
      <w:r w:rsidRPr="00963ED5">
        <w:rPr>
          <w:i/>
          <w:iCs/>
        </w:rPr>
        <w:t>Address to National Press Club Canberra</w:t>
      </w:r>
      <w:r>
        <w:t xml:space="preserve">, 20 November 2019, at </w:t>
      </w:r>
      <w:hyperlink r:id="rId4" w:history="1">
        <w:r w:rsidRPr="009C283A">
          <w:rPr>
            <w:rStyle w:val="Hyperlink"/>
          </w:rPr>
          <w:t>https://www.attorneygeneral.gov.au/media/speeches/address-national-press-club-canberra-20-november-2019</w:t>
        </w:r>
      </w:hyperlink>
      <w:r>
        <w:t xml:space="preserve">. </w:t>
      </w:r>
    </w:p>
  </w:endnote>
  <w:endnote w:id="14">
    <w:p w14:paraId="70172A21" w14:textId="69637EEA" w:rsidR="00F10059" w:rsidRDefault="00F10059" w:rsidP="006138FB">
      <w:pPr>
        <w:pStyle w:val="EndnoteText"/>
        <w:ind w:left="284" w:hanging="284"/>
      </w:pPr>
      <w:r>
        <w:rPr>
          <w:rStyle w:val="EndnoteReference"/>
        </w:rPr>
        <w:endnoteRef/>
      </w:r>
      <w:r>
        <w:t xml:space="preserve"> </w:t>
      </w:r>
      <w:r>
        <w:tab/>
        <w:t>Explanatory Notes to second exposure draft at [252].</w:t>
      </w:r>
    </w:p>
  </w:endnote>
  <w:endnote w:id="15">
    <w:p w14:paraId="69466817" w14:textId="2ED9CAA1" w:rsidR="00F10059" w:rsidRDefault="00F10059" w:rsidP="00605D3E">
      <w:pPr>
        <w:pStyle w:val="EndnoteText"/>
        <w:ind w:left="284" w:hanging="284"/>
      </w:pPr>
      <w:r>
        <w:rPr>
          <w:rStyle w:val="EndnoteReference"/>
        </w:rPr>
        <w:endnoteRef/>
      </w:r>
      <w:r>
        <w:t xml:space="preserve"> </w:t>
      </w:r>
      <w:r>
        <w:tab/>
        <w:t>Bill, clause 3(1)(a).</w:t>
      </w:r>
    </w:p>
  </w:endnote>
  <w:endnote w:id="16">
    <w:p w14:paraId="50C5C75B" w14:textId="0644FE5E" w:rsidR="00F10059" w:rsidRDefault="00F10059" w:rsidP="00E86978">
      <w:pPr>
        <w:pStyle w:val="EndnoteText"/>
        <w:ind w:left="284" w:hanging="284"/>
      </w:pPr>
      <w:r>
        <w:rPr>
          <w:rStyle w:val="EndnoteReference"/>
        </w:rPr>
        <w:endnoteRef/>
      </w:r>
      <w:r>
        <w:t xml:space="preserve"> </w:t>
      </w:r>
      <w:r>
        <w:tab/>
        <w:t>Explanatory Notes to second exposure draft at [260].</w:t>
      </w:r>
    </w:p>
  </w:endnote>
  <w:endnote w:id="17">
    <w:p w14:paraId="25FAB953" w14:textId="538A9D13" w:rsidR="00F10059" w:rsidRDefault="00F10059" w:rsidP="00883784">
      <w:pPr>
        <w:pStyle w:val="EndnoteText"/>
        <w:ind w:left="284" w:hanging="284"/>
      </w:pPr>
      <w:r>
        <w:rPr>
          <w:rStyle w:val="EndnoteReference"/>
        </w:rPr>
        <w:endnoteRef/>
      </w:r>
      <w:r>
        <w:t xml:space="preserve"> </w:t>
      </w:r>
      <w:r>
        <w:tab/>
        <w:t xml:space="preserve">Australian Charities and Not-for-profits Commission, </w:t>
      </w:r>
      <w:r w:rsidRPr="00883784">
        <w:rPr>
          <w:i/>
          <w:iCs/>
        </w:rPr>
        <w:t>Commissioner’s Interpretation Statement: Public Benevolent Institutions</w:t>
      </w:r>
      <w:r>
        <w:t xml:space="preserve">, CIS 2016/03 at 5.1.1 citing </w:t>
      </w:r>
      <w:r w:rsidRPr="00CE2CD4">
        <w:rPr>
          <w:i/>
          <w:iCs/>
        </w:rPr>
        <w:t>Perpetual Trustee Co Ltd v Commissioner of Taxation</w:t>
      </w:r>
      <w:r>
        <w:t xml:space="preserve"> (1931) 45 CLR 224. </w:t>
      </w:r>
    </w:p>
  </w:endnote>
  <w:endnote w:id="18">
    <w:p w14:paraId="0A31C2F2" w14:textId="6D37005B" w:rsidR="00F10059" w:rsidRDefault="00F10059" w:rsidP="00293625">
      <w:pPr>
        <w:pStyle w:val="EndnoteText"/>
        <w:ind w:left="284" w:hanging="284"/>
      </w:pPr>
      <w:r>
        <w:rPr>
          <w:rStyle w:val="EndnoteReference"/>
        </w:rPr>
        <w:endnoteRef/>
      </w:r>
      <w:r>
        <w:t xml:space="preserve"> </w:t>
      </w:r>
      <w:r>
        <w:tab/>
      </w:r>
      <w:r w:rsidRPr="00812B74">
        <w:rPr>
          <w:i/>
          <w:iCs/>
        </w:rPr>
        <w:t>Australian Charities and Not-for-profits Commission Act 2012</w:t>
      </w:r>
      <w:r>
        <w:t xml:space="preserve"> (Cth), s 25-5(5), item 14.</w:t>
      </w:r>
    </w:p>
  </w:endnote>
  <w:endnote w:id="19">
    <w:p w14:paraId="3B2550CD" w14:textId="11451C59" w:rsidR="00F10059" w:rsidRDefault="00F10059" w:rsidP="00CC0BBB">
      <w:pPr>
        <w:pStyle w:val="EndnoteText"/>
        <w:ind w:left="284" w:hanging="284"/>
      </w:pPr>
      <w:r>
        <w:rPr>
          <w:rStyle w:val="EndnoteReference"/>
        </w:rPr>
        <w:endnoteRef/>
      </w:r>
      <w:r>
        <w:t xml:space="preserve"> </w:t>
      </w:r>
      <w:r>
        <w:tab/>
        <w:t xml:space="preserve">Australian Charities and Not-for-profits Commission, </w:t>
      </w:r>
      <w:r w:rsidRPr="00883784">
        <w:rPr>
          <w:i/>
          <w:iCs/>
        </w:rPr>
        <w:t>Commissioner’s Interpretation Statement: Public Benevolent Institutions</w:t>
      </w:r>
      <w:r>
        <w:t xml:space="preserve">, CIS 2016/03 at 5.5.3. </w:t>
      </w:r>
    </w:p>
  </w:endnote>
  <w:endnote w:id="20">
    <w:p w14:paraId="15508AFD" w14:textId="5E86CA0F" w:rsidR="00F10059" w:rsidRDefault="00F10059" w:rsidP="005E138B">
      <w:pPr>
        <w:pStyle w:val="EndnoteText"/>
        <w:ind w:left="284" w:hanging="284"/>
      </w:pPr>
      <w:r>
        <w:rPr>
          <w:rStyle w:val="EndnoteReference"/>
        </w:rPr>
        <w:endnoteRef/>
      </w:r>
      <w:r>
        <w:t xml:space="preserve"> </w:t>
      </w:r>
      <w:r>
        <w:tab/>
      </w:r>
      <w:r>
        <w:rPr>
          <w:rFonts w:ascii="Segoe UI" w:hAnsi="Segoe UI" w:cs="Segoe UI"/>
          <w:color w:val="313131"/>
          <w:shd w:val="clear" w:color="auto" w:fill="FFFFFF"/>
        </w:rPr>
        <w:t xml:space="preserve">The Hon Christian Porter MP, </w:t>
      </w:r>
      <w:r>
        <w:t xml:space="preserve">Attorney-General, </w:t>
      </w:r>
      <w:r w:rsidRPr="005E138B">
        <w:rPr>
          <w:rFonts w:ascii="Segoe UI" w:hAnsi="Segoe UI" w:cs="Segoe UI"/>
          <w:i/>
          <w:iCs/>
          <w:color w:val="313131"/>
          <w:shd w:val="clear" w:color="auto" w:fill="FFFFFF"/>
        </w:rPr>
        <w:t>Transcript of Press Conference in Sydney</w:t>
      </w:r>
      <w:r>
        <w:rPr>
          <w:rFonts w:ascii="Segoe UI" w:hAnsi="Segoe UI" w:cs="Segoe UI"/>
          <w:color w:val="313131"/>
          <w:shd w:val="clear" w:color="auto" w:fill="FFFFFF"/>
        </w:rPr>
        <w:t xml:space="preserve">, 10 December 2019, at </w:t>
      </w:r>
      <w:hyperlink r:id="rId5" w:history="1">
        <w:r w:rsidRPr="00C76B01">
          <w:rPr>
            <w:rStyle w:val="Hyperlink"/>
            <w:rFonts w:ascii="Segoe UI" w:hAnsi="Segoe UI" w:cs="Segoe UI"/>
            <w:shd w:val="clear" w:color="auto" w:fill="FFFFFF"/>
          </w:rPr>
          <w:t>https://www.attorneygeneral.gov.au/media/transcripts/press-conference-sydney-nsw-10-december-2019</w:t>
        </w:r>
      </w:hyperlink>
      <w:r>
        <w:rPr>
          <w:rFonts w:ascii="Segoe UI" w:hAnsi="Segoe UI" w:cs="Segoe UI"/>
          <w:color w:val="313131"/>
          <w:shd w:val="clear" w:color="auto" w:fill="FFFFFF"/>
        </w:rPr>
        <w:t xml:space="preserve">. </w:t>
      </w:r>
    </w:p>
  </w:endnote>
  <w:endnote w:id="21">
    <w:p w14:paraId="031D60E4" w14:textId="292333A6" w:rsidR="00F10059" w:rsidRDefault="00F10059" w:rsidP="00AA2EBC">
      <w:pPr>
        <w:pStyle w:val="EndnoteText"/>
        <w:ind w:left="284" w:hanging="284"/>
      </w:pPr>
      <w:r>
        <w:rPr>
          <w:rStyle w:val="EndnoteReference"/>
        </w:rPr>
        <w:endnoteRef/>
      </w:r>
      <w:r>
        <w:t xml:space="preserve"> </w:t>
      </w:r>
      <w:r>
        <w:tab/>
        <w:t xml:space="preserve">St Vincent de Paul Society, ‘Religious Freedom Legislation’, </w:t>
      </w:r>
      <w:r w:rsidRPr="003C656F">
        <w:rPr>
          <w:i/>
          <w:iCs/>
        </w:rPr>
        <w:t>Media Release</w:t>
      </w:r>
      <w:r>
        <w:t xml:space="preserve">, 6 December 2019: ‘In engaging staff and volunteers, the Society does not discriminate on the basis of religion, race, disability, gender or sexual orientation. It is not our intention to do so, even in the event of a change in legislation’.  At </w:t>
      </w:r>
      <w:hyperlink r:id="rId6" w:history="1">
        <w:r w:rsidRPr="00C76B01">
          <w:rPr>
            <w:rStyle w:val="Hyperlink"/>
          </w:rPr>
          <w:t>https://www.vinnies.org.au/icms_docs/313010_Religious_Freedom_Legislation.pdf</w:t>
        </w:r>
      </w:hyperlink>
      <w:r>
        <w:t xml:space="preserve">. </w:t>
      </w:r>
    </w:p>
  </w:endnote>
  <w:endnote w:id="22">
    <w:p w14:paraId="78F9EE31" w14:textId="5EAE9E15" w:rsidR="00F10059" w:rsidRDefault="00F10059" w:rsidP="00A44474">
      <w:pPr>
        <w:pStyle w:val="EndnoteText"/>
        <w:ind w:left="284" w:hanging="284"/>
      </w:pPr>
      <w:r>
        <w:rPr>
          <w:rStyle w:val="EndnoteReference"/>
        </w:rPr>
        <w:endnoteRef/>
      </w:r>
      <w:r>
        <w:t xml:space="preserve"> </w:t>
      </w:r>
      <w:r>
        <w:tab/>
        <w:t>St Vincent de Paul Society, ‘</w:t>
      </w:r>
      <w:r w:rsidRPr="007E6C92">
        <w:t>Don’t use Vinnies in the religious freedom debate</w:t>
      </w:r>
      <w:r>
        <w:t xml:space="preserve">’, </w:t>
      </w:r>
      <w:r w:rsidRPr="003C656F">
        <w:rPr>
          <w:i/>
          <w:iCs/>
        </w:rPr>
        <w:t>Media Release</w:t>
      </w:r>
      <w:r>
        <w:t xml:space="preserve">, 11 December 2019.  At </w:t>
      </w:r>
      <w:hyperlink r:id="rId7" w:history="1">
        <w:r w:rsidRPr="00C76B01">
          <w:rPr>
            <w:rStyle w:val="Hyperlink"/>
          </w:rPr>
          <w:t>https://www.vinnies.org.au/icms_docs/313130_Don_t_use_Vinnies_in_the_religious_freedom_debate.pdf</w:t>
        </w:r>
      </w:hyperlink>
      <w:r>
        <w:t xml:space="preserve">. </w:t>
      </w:r>
    </w:p>
  </w:endnote>
  <w:endnote w:id="23">
    <w:p w14:paraId="5B6BC9F4" w14:textId="77777777" w:rsidR="00F10059" w:rsidRDefault="00F10059" w:rsidP="00F10059">
      <w:pPr>
        <w:pStyle w:val="EndnoteText"/>
        <w:ind w:left="284" w:hanging="284"/>
      </w:pPr>
      <w:r>
        <w:rPr>
          <w:rStyle w:val="EndnoteReference"/>
        </w:rPr>
        <w:endnoteRef/>
      </w:r>
      <w:r>
        <w:t xml:space="preserve"> </w:t>
      </w:r>
      <w:r>
        <w:tab/>
        <w:t xml:space="preserve">Australian Law Reform Commission, </w:t>
      </w:r>
      <w:r w:rsidRPr="00B27C4A">
        <w:rPr>
          <w:i/>
          <w:iCs/>
        </w:rPr>
        <w:t>Altered Terms of Reference</w:t>
      </w:r>
      <w:r>
        <w:t xml:space="preserve">, 29 August 2019, at </w:t>
      </w:r>
      <w:hyperlink r:id="rId8" w:history="1">
        <w:r w:rsidRPr="007C07D7">
          <w:rPr>
            <w:rStyle w:val="Hyperlink"/>
          </w:rPr>
          <w:t>https://www.alrc.gov.au/inquiry/review-into-the-framework-of-religious-exemptions-in-anti-discrimination-legislation/altered-terms-of-reference-29-august-2019/</w:t>
        </w:r>
      </w:hyperlink>
      <w:r>
        <w:t xml:space="preserve">. </w:t>
      </w:r>
    </w:p>
  </w:endnote>
  <w:endnote w:id="24">
    <w:p w14:paraId="6E683D1D" w14:textId="069293CD" w:rsidR="00F10059" w:rsidRDefault="00F10059" w:rsidP="00E17B13">
      <w:pPr>
        <w:pStyle w:val="EndnoteText"/>
        <w:ind w:left="284" w:hanging="284"/>
      </w:pPr>
      <w:r>
        <w:rPr>
          <w:rStyle w:val="EndnoteReference"/>
        </w:rPr>
        <w:endnoteRef/>
      </w:r>
      <w:r>
        <w:t xml:space="preserve"> </w:t>
      </w:r>
      <w:r>
        <w:tab/>
        <w:t>See the discussion in Religious Freedom Review at [1.211]-[1.213].</w:t>
      </w:r>
    </w:p>
  </w:endnote>
  <w:endnote w:id="25">
    <w:p w14:paraId="23A2CF1F" w14:textId="29C56F62" w:rsidR="00F10059" w:rsidRDefault="00F10059" w:rsidP="004F5048">
      <w:pPr>
        <w:pStyle w:val="EndnoteText"/>
        <w:ind w:left="284" w:hanging="284"/>
      </w:pPr>
      <w:r>
        <w:rPr>
          <w:rStyle w:val="EndnoteReference"/>
        </w:rPr>
        <w:endnoteRef/>
      </w:r>
      <w:r>
        <w:t xml:space="preserve"> </w:t>
      </w:r>
      <w:r>
        <w:tab/>
      </w:r>
      <w:r w:rsidRPr="0023226B">
        <w:rPr>
          <w:i/>
          <w:iCs/>
        </w:rPr>
        <w:t>Sex Discrimination Act 1984</w:t>
      </w:r>
      <w:r>
        <w:t xml:space="preserve"> (Cth), s 30.</w:t>
      </w:r>
    </w:p>
  </w:endnote>
  <w:endnote w:id="26">
    <w:p w14:paraId="57F9BBC6" w14:textId="43824B14" w:rsidR="00F10059" w:rsidRDefault="00F10059" w:rsidP="004F5048">
      <w:pPr>
        <w:pStyle w:val="EndnoteText"/>
        <w:ind w:left="284" w:hanging="284"/>
      </w:pPr>
      <w:r>
        <w:rPr>
          <w:rStyle w:val="EndnoteReference"/>
        </w:rPr>
        <w:endnoteRef/>
      </w:r>
      <w:r>
        <w:t xml:space="preserve"> </w:t>
      </w:r>
      <w:r>
        <w:tab/>
      </w:r>
      <w:r w:rsidRPr="0023226B">
        <w:rPr>
          <w:i/>
          <w:iCs/>
        </w:rPr>
        <w:t>Sex Discrimination Act 1984</w:t>
      </w:r>
      <w:r>
        <w:t xml:space="preserve"> (Cth), s 31.</w:t>
      </w:r>
    </w:p>
  </w:endnote>
  <w:endnote w:id="27">
    <w:p w14:paraId="4A9AD9D2" w14:textId="4071A1FF" w:rsidR="00F10059" w:rsidRDefault="00F10059" w:rsidP="00762EF4">
      <w:pPr>
        <w:pStyle w:val="EndnoteText"/>
        <w:ind w:left="284" w:hanging="284"/>
      </w:pPr>
      <w:r>
        <w:rPr>
          <w:rStyle w:val="EndnoteReference"/>
        </w:rPr>
        <w:endnoteRef/>
      </w:r>
      <w:r>
        <w:t xml:space="preserve"> </w:t>
      </w:r>
      <w:r>
        <w:tab/>
      </w:r>
      <w:r w:rsidRPr="00762EF4">
        <w:rPr>
          <w:i/>
          <w:iCs/>
        </w:rPr>
        <w:t>Disability Discrimination Act 1992</w:t>
      </w:r>
      <w:r>
        <w:t xml:space="preserve"> (Cth), s 21A.</w:t>
      </w:r>
    </w:p>
  </w:endnote>
  <w:endnote w:id="28">
    <w:p w14:paraId="7EBEC3BE" w14:textId="74B30964" w:rsidR="00F10059" w:rsidRDefault="00F10059" w:rsidP="00987A77">
      <w:pPr>
        <w:pStyle w:val="EndnoteText"/>
        <w:ind w:left="284" w:hanging="284"/>
      </w:pPr>
      <w:r>
        <w:rPr>
          <w:rStyle w:val="EndnoteReference"/>
        </w:rPr>
        <w:endnoteRef/>
      </w:r>
      <w:r>
        <w:t xml:space="preserve"> </w:t>
      </w:r>
      <w:r>
        <w:tab/>
        <w:t xml:space="preserve">Eg, </w:t>
      </w:r>
      <w:r>
        <w:rPr>
          <w:i/>
          <w:iCs/>
        </w:rPr>
        <w:t>Age</w:t>
      </w:r>
      <w:r w:rsidRPr="00762EF4">
        <w:rPr>
          <w:i/>
          <w:iCs/>
        </w:rPr>
        <w:t xml:space="preserve"> Discrimination Act </w:t>
      </w:r>
      <w:r>
        <w:rPr>
          <w:i/>
          <w:iCs/>
        </w:rPr>
        <w:t>2004</w:t>
      </w:r>
      <w:r>
        <w:t xml:space="preserve"> (Cth), ss 18(4)-(5).</w:t>
      </w:r>
    </w:p>
  </w:endnote>
  <w:endnote w:id="29">
    <w:p w14:paraId="306B5156" w14:textId="49C7EEEA" w:rsidR="00F10059" w:rsidRDefault="00F10059" w:rsidP="001C0285">
      <w:pPr>
        <w:pStyle w:val="EndnoteText"/>
        <w:ind w:left="284" w:hanging="284"/>
      </w:pPr>
      <w:r>
        <w:rPr>
          <w:rStyle w:val="EndnoteReference"/>
        </w:rPr>
        <w:endnoteRef/>
      </w:r>
      <w:r>
        <w:t xml:space="preserve"> </w:t>
      </w:r>
      <w:r>
        <w:tab/>
        <w:t>Explanatory Notes to second exposure draft at [452] and [454].</w:t>
      </w:r>
    </w:p>
  </w:endnote>
  <w:endnote w:id="30">
    <w:p w14:paraId="0CD5F5D9" w14:textId="774EBE0A" w:rsidR="00F10059" w:rsidRDefault="00F10059" w:rsidP="001D31F8">
      <w:pPr>
        <w:pStyle w:val="EndnoteText"/>
        <w:ind w:left="284" w:hanging="284"/>
      </w:pPr>
      <w:r>
        <w:rPr>
          <w:rStyle w:val="EndnoteReference"/>
        </w:rPr>
        <w:endnoteRef/>
      </w:r>
      <w:r>
        <w:t xml:space="preserve"> </w:t>
      </w:r>
      <w:r>
        <w:tab/>
        <w:t>Explanatory Notes to second exposure draft at [463].</w:t>
      </w:r>
    </w:p>
  </w:endnote>
  <w:endnote w:id="31">
    <w:p w14:paraId="70DB71F2" w14:textId="1AC09319" w:rsidR="00F10059" w:rsidRDefault="00F10059" w:rsidP="00E96C54">
      <w:pPr>
        <w:pStyle w:val="EndnoteText"/>
        <w:ind w:left="284" w:hanging="284"/>
      </w:pPr>
      <w:r>
        <w:rPr>
          <w:rStyle w:val="EndnoteReference"/>
        </w:rPr>
        <w:endnoteRef/>
      </w:r>
      <w:r>
        <w:t xml:space="preserve"> </w:t>
      </w:r>
      <w:r>
        <w:tab/>
        <w:t>Explanatory Notes to second exposure draft at [464].</w:t>
      </w:r>
    </w:p>
  </w:endnote>
  <w:endnote w:id="32">
    <w:p w14:paraId="5C21AA85" w14:textId="29EA68C5" w:rsidR="00F10059" w:rsidRDefault="00F10059" w:rsidP="0073326C">
      <w:pPr>
        <w:pStyle w:val="EndnoteText"/>
        <w:ind w:left="284" w:hanging="284"/>
      </w:pPr>
      <w:r>
        <w:rPr>
          <w:rStyle w:val="EndnoteReference"/>
        </w:rPr>
        <w:endnoteRef/>
      </w:r>
      <w:r>
        <w:t xml:space="preserve"> </w:t>
      </w:r>
      <w:r>
        <w:tab/>
        <w:t>Explanatory Notes to second exposure draft at [232].</w:t>
      </w:r>
    </w:p>
  </w:endnote>
  <w:endnote w:id="33">
    <w:p w14:paraId="3B5B59DD" w14:textId="74540C39" w:rsidR="00F10059" w:rsidRDefault="00F10059" w:rsidP="00471106">
      <w:pPr>
        <w:pStyle w:val="EndnoteText"/>
        <w:ind w:left="284" w:hanging="284"/>
      </w:pPr>
      <w:r>
        <w:rPr>
          <w:rStyle w:val="EndnoteReference"/>
        </w:rPr>
        <w:endnoteRef/>
      </w:r>
      <w:r>
        <w:t xml:space="preserve"> </w:t>
      </w:r>
      <w:r>
        <w:tab/>
        <w:t>Explanatory Notes to second exposure draft at [492].</w:t>
      </w:r>
    </w:p>
  </w:endnote>
  <w:endnote w:id="34">
    <w:p w14:paraId="7A9E68B2" w14:textId="2291075E" w:rsidR="00F10059" w:rsidRDefault="00F10059" w:rsidP="00E17B13">
      <w:pPr>
        <w:pStyle w:val="EndnoteText"/>
        <w:ind w:left="284" w:hanging="284"/>
      </w:pPr>
      <w:r>
        <w:rPr>
          <w:rStyle w:val="EndnoteReference"/>
        </w:rPr>
        <w:endnoteRef/>
      </w:r>
      <w:r>
        <w:t xml:space="preserve"> </w:t>
      </w:r>
      <w:r>
        <w:tab/>
        <w:t xml:space="preserve">The Consequential Amendments Bill, Sch 1, clause 19 will amend the list of anti-discrimination laws in the </w:t>
      </w:r>
      <w:r w:rsidRPr="00294D79">
        <w:rPr>
          <w:i/>
          <w:iCs/>
        </w:rPr>
        <w:t>Fair Work Act 2009</w:t>
      </w:r>
      <w:r>
        <w:t xml:space="preserve"> (Cth) to include the new </w:t>
      </w:r>
      <w:r w:rsidRPr="00294D79">
        <w:rPr>
          <w:i/>
          <w:iCs/>
        </w:rPr>
        <w:t>Religious Discrimination Act 2019</w:t>
      </w:r>
      <w:r>
        <w:t xml:space="preserve"> (Cth).</w:t>
      </w:r>
    </w:p>
  </w:endnote>
  <w:endnote w:id="35">
    <w:p w14:paraId="4F98CC00" w14:textId="78C29331" w:rsidR="00F10059" w:rsidRDefault="00F10059" w:rsidP="002D16E6">
      <w:pPr>
        <w:pStyle w:val="EndnoteText"/>
        <w:ind w:left="284" w:hanging="284"/>
      </w:pPr>
      <w:r>
        <w:rPr>
          <w:rStyle w:val="EndnoteReference"/>
        </w:rPr>
        <w:endnoteRef/>
      </w:r>
      <w:r>
        <w:t xml:space="preserve"> </w:t>
      </w:r>
      <w:r>
        <w:tab/>
        <w:t xml:space="preserve">Australian Human Rights Commission, </w:t>
      </w:r>
      <w:r w:rsidRPr="002D16E6">
        <w:rPr>
          <w:i/>
          <w:iCs/>
        </w:rPr>
        <w:t>Religious Freedom Bills, Submission to the Attorney-General’s Department</w:t>
      </w:r>
      <w:r>
        <w:t>, 27 September 2019 at [78]-[97].</w:t>
      </w:r>
    </w:p>
  </w:endnote>
  <w:endnote w:id="36">
    <w:p w14:paraId="10B58964" w14:textId="1B75DAD7" w:rsidR="00F10059" w:rsidRDefault="00F10059" w:rsidP="007152A5">
      <w:pPr>
        <w:pStyle w:val="EndnoteText"/>
        <w:ind w:left="284" w:hanging="284"/>
      </w:pPr>
      <w:r>
        <w:rPr>
          <w:rStyle w:val="EndnoteReference"/>
        </w:rPr>
        <w:endnoteRef/>
      </w:r>
      <w:r>
        <w:t xml:space="preserve"> </w:t>
      </w:r>
      <w:r>
        <w:tab/>
        <w:t>Explanatory Notes to second exposure draft at [548].</w:t>
      </w:r>
    </w:p>
  </w:endnote>
  <w:endnote w:id="37">
    <w:p w14:paraId="63DB83F4" w14:textId="78ECB702" w:rsidR="00F10059" w:rsidRDefault="00F10059" w:rsidP="003F3B5A">
      <w:pPr>
        <w:pStyle w:val="EndnoteText"/>
        <w:ind w:left="284" w:hanging="284"/>
      </w:pPr>
      <w:r>
        <w:rPr>
          <w:rStyle w:val="EndnoteReference"/>
        </w:rPr>
        <w:endnoteRef/>
      </w:r>
      <w:r>
        <w:t xml:space="preserve"> </w:t>
      </w:r>
      <w:r>
        <w:tab/>
        <w:t>Explanatory Notes to second exposure draft at [551].</w:t>
      </w:r>
    </w:p>
  </w:endnote>
  <w:endnote w:id="38">
    <w:p w14:paraId="6F16C3A6" w14:textId="5CBCC0AA" w:rsidR="00F10059" w:rsidRDefault="00F10059" w:rsidP="00B72173">
      <w:pPr>
        <w:pStyle w:val="EndnoteText"/>
        <w:ind w:left="284" w:hanging="284"/>
      </w:pPr>
      <w:r>
        <w:rPr>
          <w:rStyle w:val="EndnoteReference"/>
        </w:rPr>
        <w:endnoteRef/>
      </w:r>
      <w:r>
        <w:t xml:space="preserve"> </w:t>
      </w:r>
      <w:r>
        <w:tab/>
        <w:t>Bill, clause 3(2); Freedom of Religion Bill, Sch 1, items 2, 6, 8 and 10.</w:t>
      </w:r>
    </w:p>
  </w:endnote>
  <w:endnote w:id="39">
    <w:p w14:paraId="6F74222D" w14:textId="27E87E58" w:rsidR="00F10059" w:rsidRDefault="00F10059" w:rsidP="007E50F4">
      <w:pPr>
        <w:pStyle w:val="EndnoteText"/>
        <w:ind w:left="284" w:hanging="284"/>
      </w:pPr>
      <w:r>
        <w:rPr>
          <w:rStyle w:val="EndnoteReference"/>
        </w:rPr>
        <w:endnoteRef/>
      </w:r>
      <w:r>
        <w:t xml:space="preserve"> </w:t>
      </w:r>
      <w:r>
        <w:tab/>
      </w:r>
      <w:r w:rsidRPr="007E50F4">
        <w:rPr>
          <w:i/>
          <w:iCs/>
        </w:rPr>
        <w:t>Australian Human Rights Commission Act 1986</w:t>
      </w:r>
      <w:r>
        <w:t xml:space="preserve"> (Cth), s 11(1)(aa).</w:t>
      </w:r>
    </w:p>
  </w:endnote>
  <w:endnote w:id="40">
    <w:p w14:paraId="0A837E62" w14:textId="284D81D8" w:rsidR="00F10059" w:rsidRDefault="00F10059" w:rsidP="008F72B0">
      <w:pPr>
        <w:pStyle w:val="EndnoteText"/>
        <w:ind w:left="284" w:hanging="284"/>
      </w:pPr>
      <w:r>
        <w:rPr>
          <w:rStyle w:val="EndnoteReference"/>
        </w:rPr>
        <w:endnoteRef/>
      </w:r>
      <w:r>
        <w:t xml:space="preserve"> </w:t>
      </w:r>
      <w:r>
        <w:tab/>
      </w:r>
      <w:r w:rsidRPr="008F72B0">
        <w:rPr>
          <w:i/>
          <w:iCs/>
        </w:rPr>
        <w:t>Sex Discrimination Act 1984</w:t>
      </w:r>
      <w:r>
        <w:t xml:space="preserve"> (Cth), ss 5, 6, 7 and 14.</w:t>
      </w:r>
    </w:p>
  </w:endnote>
  <w:endnote w:id="41">
    <w:p w14:paraId="71D7AC10" w14:textId="75A18919" w:rsidR="00F10059" w:rsidRDefault="00F10059" w:rsidP="009B6DDE">
      <w:pPr>
        <w:pStyle w:val="EndnoteText"/>
        <w:ind w:left="284" w:hanging="284"/>
      </w:pPr>
      <w:r>
        <w:rPr>
          <w:rStyle w:val="EndnoteReference"/>
        </w:rPr>
        <w:endnoteRef/>
      </w:r>
      <w:r>
        <w:t xml:space="preserve"> </w:t>
      </w:r>
      <w:r>
        <w:tab/>
      </w:r>
      <w:r w:rsidRPr="008F72B0">
        <w:rPr>
          <w:i/>
          <w:iCs/>
        </w:rPr>
        <w:t>Sex Discrimination Act 1984</w:t>
      </w:r>
      <w:r>
        <w:t xml:space="preserve"> (Cth), ss 5 and 14; </w:t>
      </w:r>
      <w:r w:rsidRPr="00555A1D">
        <w:rPr>
          <w:i/>
          <w:iCs/>
        </w:rPr>
        <w:t>Age Discrimination Act 2004</w:t>
      </w:r>
      <w:r>
        <w:t xml:space="preserve"> (Cth), ss 14 and 18.</w:t>
      </w:r>
    </w:p>
  </w:endnote>
  <w:endnote w:id="42">
    <w:p w14:paraId="5324E2FA" w14:textId="516CF14F" w:rsidR="00F10059" w:rsidRDefault="00F10059" w:rsidP="00784EAA">
      <w:pPr>
        <w:pStyle w:val="EndnoteText"/>
        <w:ind w:left="284" w:hanging="284"/>
      </w:pPr>
      <w:r>
        <w:rPr>
          <w:rStyle w:val="EndnoteReference"/>
        </w:rPr>
        <w:endnoteRef/>
      </w:r>
      <w:r>
        <w:t xml:space="preserve"> </w:t>
      </w:r>
      <w:r>
        <w:tab/>
      </w:r>
      <w:r w:rsidRPr="008F72B0">
        <w:rPr>
          <w:i/>
          <w:iCs/>
        </w:rPr>
        <w:t>Sex Discrimination Act 1984</w:t>
      </w:r>
      <w:r>
        <w:t xml:space="preserve"> (Cth), ss 5 and 14.</w:t>
      </w:r>
    </w:p>
  </w:endnote>
  <w:endnote w:id="43">
    <w:p w14:paraId="75F52CF1" w14:textId="107A2C86" w:rsidR="00F10059" w:rsidRDefault="00F10059" w:rsidP="00E40E7E">
      <w:pPr>
        <w:pStyle w:val="EndnoteText"/>
        <w:ind w:left="284" w:hanging="284"/>
      </w:pPr>
      <w:r>
        <w:rPr>
          <w:rStyle w:val="EndnoteReference"/>
        </w:rPr>
        <w:endnoteRef/>
      </w:r>
      <w:r>
        <w:t xml:space="preserve"> </w:t>
      </w:r>
      <w:r>
        <w:tab/>
      </w:r>
      <w:r w:rsidRPr="008F72B0">
        <w:rPr>
          <w:i/>
          <w:iCs/>
        </w:rPr>
        <w:t>Sex Discrimination Act 1984</w:t>
      </w:r>
      <w:r>
        <w:t xml:space="preserve"> (Cth), ss 5A and 22.</w:t>
      </w:r>
    </w:p>
  </w:endnote>
  <w:endnote w:id="44">
    <w:p w14:paraId="14C6793B" w14:textId="48284B90" w:rsidR="00F10059" w:rsidRDefault="00F10059" w:rsidP="005E7159">
      <w:pPr>
        <w:pStyle w:val="EndnoteText"/>
        <w:ind w:left="284" w:hanging="284"/>
      </w:pPr>
      <w:r>
        <w:rPr>
          <w:rStyle w:val="EndnoteReference"/>
        </w:rPr>
        <w:endnoteRef/>
      </w:r>
      <w:r>
        <w:t xml:space="preserve"> </w:t>
      </w:r>
      <w:r>
        <w:tab/>
        <w:t xml:space="preserve">Religious Freedom Review, </w:t>
      </w:r>
      <w:r w:rsidRPr="002A5F20">
        <w:rPr>
          <w:i/>
          <w:iCs/>
        </w:rPr>
        <w:t>Report of the Expert Panel</w:t>
      </w:r>
      <w:r>
        <w:t xml:space="preserve"> (2018), at [1.408].</w:t>
      </w:r>
    </w:p>
  </w:endnote>
  <w:endnote w:id="45">
    <w:p w14:paraId="3CF7D558" w14:textId="5CABC196" w:rsidR="00F10059" w:rsidRDefault="00F10059" w:rsidP="00524800">
      <w:pPr>
        <w:pStyle w:val="EndnoteText"/>
        <w:ind w:left="284" w:hanging="284"/>
      </w:pPr>
      <w:r>
        <w:rPr>
          <w:rStyle w:val="EndnoteReference"/>
        </w:rPr>
        <w:endnoteRef/>
      </w:r>
      <w:r>
        <w:t xml:space="preserve"> </w:t>
      </w:r>
      <w:r>
        <w:tab/>
        <w:t>Religious Freedom Review at [1.400].</w:t>
      </w:r>
    </w:p>
  </w:endnote>
  <w:endnote w:id="46">
    <w:p w14:paraId="4FE59348" w14:textId="58C7589B" w:rsidR="00F10059" w:rsidRDefault="00F10059" w:rsidP="00524800">
      <w:pPr>
        <w:pStyle w:val="EndnoteText"/>
        <w:ind w:left="284" w:hanging="284"/>
      </w:pPr>
      <w:r>
        <w:rPr>
          <w:rStyle w:val="EndnoteReference"/>
        </w:rPr>
        <w:endnoteRef/>
      </w:r>
      <w:r>
        <w:t xml:space="preserve"> </w:t>
      </w:r>
      <w:r>
        <w:tab/>
        <w:t>Religious Freedom Review at [1.408].</w:t>
      </w:r>
    </w:p>
  </w:endnote>
  <w:endnote w:id="47">
    <w:p w14:paraId="42765F48" w14:textId="102D4454" w:rsidR="00F10059" w:rsidRDefault="00F10059" w:rsidP="00524800">
      <w:pPr>
        <w:pStyle w:val="EndnoteText"/>
        <w:ind w:left="284" w:hanging="284"/>
      </w:pPr>
      <w:r>
        <w:rPr>
          <w:rStyle w:val="EndnoteReference"/>
        </w:rPr>
        <w:endnoteRef/>
      </w:r>
      <w:r>
        <w:t xml:space="preserve"> </w:t>
      </w:r>
      <w:r>
        <w:tab/>
        <w:t>Religious Freedom Review, Recommendation 17.</w:t>
      </w:r>
    </w:p>
  </w:endnote>
  <w:endnote w:id="48">
    <w:p w14:paraId="78714EE1" w14:textId="407C5262" w:rsidR="00F10059" w:rsidRDefault="00F10059" w:rsidP="000C0890">
      <w:pPr>
        <w:pStyle w:val="EndnoteText"/>
        <w:ind w:left="284" w:hanging="284"/>
      </w:pPr>
      <w:r>
        <w:rPr>
          <w:rStyle w:val="EndnoteReference"/>
        </w:rPr>
        <w:endnoteRef/>
      </w:r>
      <w:r>
        <w:t xml:space="preserve"> </w:t>
      </w:r>
      <w:r>
        <w:tab/>
      </w:r>
      <w:r>
        <w:rPr>
          <w:rFonts w:ascii="Segoe UI" w:hAnsi="Segoe UI" w:cs="Segoe UI"/>
          <w:color w:val="313131"/>
          <w:shd w:val="clear" w:color="auto" w:fill="FFFFFF"/>
        </w:rPr>
        <w:t xml:space="preserve">The Hon Christian Porter MP, </w:t>
      </w:r>
      <w:r>
        <w:t xml:space="preserve">Attorney-General, </w:t>
      </w:r>
      <w:r w:rsidRPr="002B5850">
        <w:rPr>
          <w:i/>
          <w:iCs/>
        </w:rPr>
        <w:t>Religious Discrimination Bill 2019</w:t>
      </w:r>
      <w:r>
        <w:t xml:space="preserve">, 29 August 2019, at </w:t>
      </w:r>
      <w:hyperlink r:id="rId9" w:history="1">
        <w:r>
          <w:rPr>
            <w:rStyle w:val="Hyperlink"/>
          </w:rPr>
          <w:t>https://www.attorneygeneral.gov.au/media/speeches/religious-discrimination-bill-2019-29-august-2019</w:t>
        </w:r>
      </w:hyperlink>
      <w:r>
        <w:t>, at footnotes 7 and 8 and accompanying text.</w:t>
      </w:r>
    </w:p>
  </w:endnote>
  <w:endnote w:id="49">
    <w:p w14:paraId="294A8446" w14:textId="1A24EA12" w:rsidR="00F10059" w:rsidRDefault="00F10059" w:rsidP="00C978C2">
      <w:pPr>
        <w:pStyle w:val="EndnoteText"/>
        <w:ind w:left="284" w:hanging="284"/>
      </w:pPr>
      <w:r>
        <w:rPr>
          <w:rStyle w:val="EndnoteReference"/>
        </w:rPr>
        <w:endnoteRef/>
      </w:r>
      <w:r>
        <w:t xml:space="preserve"> </w:t>
      </w:r>
      <w:r>
        <w:tab/>
      </w:r>
      <w:r>
        <w:rPr>
          <w:rFonts w:ascii="Segoe UI" w:hAnsi="Segoe UI" w:cs="Segoe UI"/>
          <w:color w:val="313131"/>
          <w:shd w:val="clear" w:color="auto" w:fill="FFFFFF"/>
        </w:rPr>
        <w:t xml:space="preserve">The Hon Christian Porter MP, </w:t>
      </w:r>
      <w:r>
        <w:t xml:space="preserve">Attorney-General, </w:t>
      </w:r>
      <w:r w:rsidRPr="00237BED">
        <w:rPr>
          <w:i/>
          <w:iCs/>
        </w:rPr>
        <w:t>Q&amp;A from the Address to the National Press Club Canberra</w:t>
      </w:r>
      <w:r>
        <w:t xml:space="preserve">, 20 November 2019, at </w:t>
      </w:r>
      <w:hyperlink r:id="rId10" w:history="1">
        <w:r w:rsidRPr="00436DFE">
          <w:rPr>
            <w:rStyle w:val="Hyperlink"/>
          </w:rPr>
          <w:t>https://www.attorneygeneral.gov.au/media/transcripts/qa-address-national-press-club-canberra-20-november-2019</w:t>
        </w:r>
      </w:hyperlink>
      <w:r>
        <w:t>.</w:t>
      </w:r>
    </w:p>
  </w:endnote>
  <w:endnote w:id="50">
    <w:p w14:paraId="3A2C4DE0" w14:textId="3AC86F70" w:rsidR="00F10059" w:rsidRDefault="00F10059" w:rsidP="009119C8">
      <w:pPr>
        <w:pStyle w:val="EndnoteText"/>
        <w:ind w:left="284" w:hanging="284"/>
      </w:pPr>
      <w:r>
        <w:rPr>
          <w:rStyle w:val="EndnoteReference"/>
        </w:rPr>
        <w:endnoteRef/>
      </w:r>
      <w:r>
        <w:t xml:space="preserve"> </w:t>
      </w:r>
      <w:r>
        <w:tab/>
      </w:r>
      <w:r>
        <w:rPr>
          <w:rFonts w:ascii="Segoe UI" w:hAnsi="Segoe UI" w:cs="Segoe UI"/>
          <w:color w:val="313131"/>
          <w:shd w:val="clear" w:color="auto" w:fill="FFFFFF"/>
        </w:rPr>
        <w:t xml:space="preserve">The Hon Christian Porter MP, </w:t>
      </w:r>
      <w:r>
        <w:t xml:space="preserve">Attorney-General, </w:t>
      </w:r>
      <w:r w:rsidRPr="002B5850">
        <w:rPr>
          <w:i/>
          <w:iCs/>
        </w:rPr>
        <w:t>Religious Discrimination Bill 2019</w:t>
      </w:r>
      <w:r>
        <w:t xml:space="preserve">, 29 August 2019, at </w:t>
      </w:r>
      <w:hyperlink r:id="rId11" w:history="1">
        <w:r>
          <w:rPr>
            <w:rStyle w:val="Hyperlink"/>
          </w:rPr>
          <w:t>https://www.attorneygeneral.gov.au/media/speeches/religious-discrimination-bill-2019-29-august-2019</w:t>
        </w:r>
      </w:hyperlink>
      <w:r>
        <w:t>.</w:t>
      </w:r>
    </w:p>
  </w:endnote>
  <w:endnote w:id="51">
    <w:p w14:paraId="06D52007" w14:textId="0535029E" w:rsidR="00F10059" w:rsidRDefault="00F10059" w:rsidP="008B1260">
      <w:pPr>
        <w:pStyle w:val="EndnoteText"/>
        <w:ind w:left="284" w:hanging="284"/>
      </w:pPr>
      <w:r>
        <w:rPr>
          <w:rStyle w:val="EndnoteReference"/>
        </w:rPr>
        <w:endnoteRef/>
      </w:r>
      <w:r>
        <w:t xml:space="preserve"> </w:t>
      </w:r>
      <w:r>
        <w:tab/>
      </w:r>
      <w:r>
        <w:rPr>
          <w:rFonts w:ascii="Segoe UI" w:hAnsi="Segoe UI" w:cs="Segoe UI"/>
          <w:color w:val="313131"/>
          <w:shd w:val="clear" w:color="auto" w:fill="FFFFFF"/>
        </w:rPr>
        <w:t xml:space="preserve">The Hon Christian Porter MP, </w:t>
      </w:r>
      <w:r>
        <w:t xml:space="preserve">Attorney-General, </w:t>
      </w:r>
      <w:r w:rsidRPr="00237BED">
        <w:rPr>
          <w:i/>
          <w:iCs/>
        </w:rPr>
        <w:t>Q&amp;A from the Address to the National Press Club Canberra</w:t>
      </w:r>
      <w:r>
        <w:t xml:space="preserve">, 20 November 2019, at </w:t>
      </w:r>
      <w:hyperlink r:id="rId12" w:history="1">
        <w:r w:rsidRPr="00436DFE">
          <w:rPr>
            <w:rStyle w:val="Hyperlink"/>
          </w:rPr>
          <w:t>https://www.attorneygeneral.gov.au/media/transcripts/qa-address-national-press-club-canberra-20-november-2019</w:t>
        </w:r>
      </w:hyperlink>
      <w:r>
        <w:t xml:space="preserve">.  </w:t>
      </w:r>
    </w:p>
  </w:endnote>
  <w:endnote w:id="52">
    <w:p w14:paraId="6286A6F2" w14:textId="2374CC24" w:rsidR="00F10059" w:rsidRDefault="00F10059" w:rsidP="00D968F2">
      <w:pPr>
        <w:pStyle w:val="EndnoteText"/>
        <w:ind w:left="284" w:hanging="284"/>
      </w:pPr>
      <w:r>
        <w:rPr>
          <w:rStyle w:val="EndnoteReference"/>
        </w:rPr>
        <w:endnoteRef/>
      </w:r>
      <w:r>
        <w:t xml:space="preserve"> </w:t>
      </w:r>
      <w:r>
        <w:tab/>
      </w:r>
      <w:r w:rsidRPr="00762CAE">
        <w:rPr>
          <w:i/>
          <w:iCs/>
        </w:rPr>
        <w:t>Human Rights Legislation Amendment Act 2017</w:t>
      </w:r>
      <w:r>
        <w:t xml:space="preserve"> (Cth); Australian Human Rights Commission, </w:t>
      </w:r>
      <w:r w:rsidRPr="000D236F">
        <w:rPr>
          <w:i/>
          <w:iCs/>
        </w:rPr>
        <w:t>Inquiry into freedom of speech</w:t>
      </w:r>
      <w:r>
        <w:t xml:space="preserve">, submission to the Parliamentary Joint Committee on Human Rights, 9 December 2016, at </w:t>
      </w:r>
      <w:hyperlink r:id="rId13" w:history="1">
        <w:r w:rsidRPr="000E6F57">
          <w:rPr>
            <w:rStyle w:val="Hyperlink"/>
          </w:rPr>
          <w:t>https://www.aph.gov.au/DocumentStore.ashx?id=d42f430a-869c-4706-9414-bf0cba934162&amp;subId=461226</w:t>
        </w:r>
      </w:hyperlink>
      <w:r>
        <w:t>, recommendations 1-3 and text at [180]-[214].</w:t>
      </w:r>
    </w:p>
  </w:endnote>
  <w:endnote w:id="53">
    <w:p w14:paraId="5448E36D" w14:textId="05D91C5D" w:rsidR="00F10059" w:rsidRDefault="00F10059" w:rsidP="009C4F36">
      <w:pPr>
        <w:pStyle w:val="EndnoteText"/>
        <w:ind w:left="284" w:hanging="284"/>
      </w:pPr>
      <w:r>
        <w:rPr>
          <w:rStyle w:val="EndnoteReference"/>
        </w:rPr>
        <w:endnoteRef/>
      </w:r>
      <w:r>
        <w:t xml:space="preserve"> </w:t>
      </w:r>
      <w:r>
        <w:tab/>
      </w:r>
      <w:r>
        <w:rPr>
          <w:rFonts w:ascii="Segoe UI" w:hAnsi="Segoe UI" w:cs="Segoe UI"/>
          <w:color w:val="313131"/>
          <w:shd w:val="clear" w:color="auto" w:fill="FFFFFF"/>
        </w:rPr>
        <w:t xml:space="preserve">The Hon Christian Porter MP, </w:t>
      </w:r>
      <w:r>
        <w:t xml:space="preserve">Attorney-General, </w:t>
      </w:r>
      <w:r w:rsidRPr="002B5850">
        <w:rPr>
          <w:i/>
          <w:iCs/>
        </w:rPr>
        <w:t>Religious Discrimination Bill 2019</w:t>
      </w:r>
      <w:r>
        <w:t xml:space="preserve">, 29 August 2019, at </w:t>
      </w:r>
      <w:hyperlink r:id="rId14" w:history="1">
        <w:r>
          <w:rPr>
            <w:rStyle w:val="Hyperlink"/>
          </w:rPr>
          <w:t>https://www.attorneygeneral.gov.au/media/speeches/religious-discrimination-bill-2019-29-august-2019</w:t>
        </w:r>
      </w:hyperlink>
      <w:r>
        <w:rPr>
          <w:rStyle w:val="Hyperlink"/>
        </w:rPr>
        <w:t>, text accompanying footnote 28.</w:t>
      </w:r>
    </w:p>
  </w:endnote>
  <w:endnote w:id="54">
    <w:p w14:paraId="4D409EA0" w14:textId="2C5DC487" w:rsidR="00F10059" w:rsidRDefault="00F10059" w:rsidP="00E17B13">
      <w:pPr>
        <w:pStyle w:val="EndnoteText"/>
        <w:ind w:left="284" w:hanging="284"/>
      </w:pPr>
      <w:r>
        <w:rPr>
          <w:rStyle w:val="EndnoteReference"/>
        </w:rPr>
        <w:endnoteRef/>
      </w:r>
      <w:r>
        <w:t xml:space="preserve"> </w:t>
      </w:r>
      <w:r>
        <w:tab/>
        <w:t>Bill, clause 5, definition of ‘relevant employer’.</w:t>
      </w:r>
    </w:p>
  </w:endnote>
  <w:endnote w:id="55">
    <w:p w14:paraId="295BB911" w14:textId="43C123D4" w:rsidR="00F10059" w:rsidRDefault="00F10059" w:rsidP="00E74F02">
      <w:pPr>
        <w:pStyle w:val="EndnoteText"/>
        <w:ind w:left="284" w:hanging="284"/>
      </w:pPr>
      <w:r>
        <w:rPr>
          <w:rStyle w:val="EndnoteReference"/>
        </w:rPr>
        <w:endnoteRef/>
      </w:r>
      <w:r>
        <w:t xml:space="preserve"> </w:t>
      </w:r>
      <w:r>
        <w:tab/>
        <w:t>Bill, clause 8(7).</w:t>
      </w:r>
    </w:p>
  </w:endnote>
  <w:endnote w:id="56">
    <w:p w14:paraId="52CAB394" w14:textId="08E2F530" w:rsidR="00F10059" w:rsidRDefault="00F10059" w:rsidP="000D2A65">
      <w:pPr>
        <w:pStyle w:val="EndnoteText"/>
        <w:ind w:left="284" w:hanging="284"/>
      </w:pPr>
      <w:r>
        <w:rPr>
          <w:rStyle w:val="EndnoteReference"/>
        </w:rPr>
        <w:endnoteRef/>
      </w:r>
      <w:r>
        <w:t xml:space="preserve"> </w:t>
      </w:r>
      <w:r>
        <w:tab/>
        <w:t>Explanatory Notes to second exposure draft at [126].</w:t>
      </w:r>
    </w:p>
  </w:endnote>
  <w:endnote w:id="57">
    <w:p w14:paraId="216F6B23" w14:textId="77777777" w:rsidR="00F10059" w:rsidRDefault="00F10059" w:rsidP="00703BE6">
      <w:pPr>
        <w:pStyle w:val="EndnoteText"/>
        <w:ind w:left="284" w:hanging="284"/>
      </w:pPr>
      <w:r>
        <w:rPr>
          <w:rStyle w:val="EndnoteReference"/>
        </w:rPr>
        <w:endnoteRef/>
      </w:r>
      <w:r>
        <w:t xml:space="preserve"> </w:t>
      </w:r>
      <w:r>
        <w:tab/>
        <w:t>Bill, clause 5, definition of ‘health service’.</w:t>
      </w:r>
    </w:p>
  </w:endnote>
  <w:endnote w:id="58">
    <w:p w14:paraId="3FE12490" w14:textId="2A0BD7E6" w:rsidR="00F10059" w:rsidRDefault="00F10059" w:rsidP="00586AE9">
      <w:pPr>
        <w:pStyle w:val="EndnoteText"/>
        <w:ind w:left="284" w:hanging="284"/>
      </w:pPr>
      <w:r>
        <w:rPr>
          <w:rStyle w:val="EndnoteReference"/>
        </w:rPr>
        <w:endnoteRef/>
      </w:r>
      <w:r>
        <w:t xml:space="preserve"> </w:t>
      </w:r>
      <w:r>
        <w:tab/>
        <w:t xml:space="preserve">Attorney-General’s Department, </w:t>
      </w:r>
      <w:r w:rsidRPr="0079008F">
        <w:rPr>
          <w:i/>
          <w:iCs/>
        </w:rPr>
        <w:t>Religious freedoms legislation – Key changes from</w:t>
      </w:r>
      <w:r>
        <w:t xml:space="preserve"> </w:t>
      </w:r>
      <w:r w:rsidRPr="00586AE9">
        <w:rPr>
          <w:i/>
          <w:iCs/>
        </w:rPr>
        <w:t>first exposure draft</w:t>
      </w:r>
      <w:r>
        <w:t xml:space="preserve">, p 2, at </w:t>
      </w:r>
      <w:hyperlink r:id="rId15" w:history="1">
        <w:r w:rsidRPr="00C23923">
          <w:rPr>
            <w:rStyle w:val="Hyperlink"/>
          </w:rPr>
          <w:t>https://www.ag.gov.au/Consultations/Pages/religious-freedom-bills-second-exposure-drafts.aspx</w:t>
        </w:r>
      </w:hyperlink>
      <w:r>
        <w:t xml:space="preserve">. </w:t>
      </w:r>
    </w:p>
  </w:endnote>
  <w:endnote w:id="59">
    <w:p w14:paraId="61C20544" w14:textId="4769D44D" w:rsidR="00F10059" w:rsidRDefault="00F10059" w:rsidP="00C9649B">
      <w:pPr>
        <w:pStyle w:val="EndnoteText"/>
        <w:ind w:left="284" w:hanging="284"/>
      </w:pPr>
      <w:r>
        <w:rPr>
          <w:rStyle w:val="EndnoteReference"/>
        </w:rPr>
        <w:endnoteRef/>
      </w:r>
      <w:r>
        <w:t xml:space="preserve"> </w:t>
      </w:r>
      <w:r>
        <w:tab/>
        <w:t xml:space="preserve">World Professional Association for Transgender Health, </w:t>
      </w:r>
      <w:r w:rsidRPr="00C9649B">
        <w:rPr>
          <w:i/>
          <w:iCs/>
        </w:rPr>
        <w:t>Standards of Care for the Health of Transsexual, Transgender and Gender-Nonconforming People</w:t>
      </w:r>
      <w:r>
        <w:t>, (7</w:t>
      </w:r>
      <w:r w:rsidRPr="00964CF9">
        <w:rPr>
          <w:vertAlign w:val="superscript"/>
        </w:rPr>
        <w:t>th</w:t>
      </w:r>
      <w:r>
        <w:t xml:space="preserve"> ed, 2012), pp 33-50, at </w:t>
      </w:r>
      <w:hyperlink r:id="rId16" w:history="1">
        <w:r w:rsidRPr="00C23923">
          <w:rPr>
            <w:rStyle w:val="Hyperlink"/>
          </w:rPr>
          <w:t>https://www.wpath.org/media/cms/Documents/SOC%20v7/Standards%20of%20Care_V7%20Full%20Book_English.pdf</w:t>
        </w:r>
      </w:hyperlink>
      <w:r>
        <w:t xml:space="preserve">. </w:t>
      </w:r>
    </w:p>
  </w:endnote>
  <w:endnote w:id="60">
    <w:p w14:paraId="20C519CE" w14:textId="5CFE2F1C" w:rsidR="00F10059" w:rsidRDefault="00F10059" w:rsidP="00670D4F">
      <w:pPr>
        <w:pStyle w:val="EndnoteText"/>
        <w:ind w:left="284" w:hanging="284"/>
      </w:pPr>
      <w:r>
        <w:rPr>
          <w:rStyle w:val="EndnoteReference"/>
        </w:rPr>
        <w:endnoteRef/>
      </w:r>
      <w:r>
        <w:t xml:space="preserve"> </w:t>
      </w:r>
      <w:r>
        <w:tab/>
        <w:t xml:space="preserve">Australian Federation of AIDS Organisations, </w:t>
      </w:r>
      <w:r w:rsidRPr="00670D4F">
        <w:rPr>
          <w:i/>
          <w:iCs/>
        </w:rPr>
        <w:t>HIV Prevention</w:t>
      </w:r>
      <w:r>
        <w:t xml:space="preserve">, at </w:t>
      </w:r>
      <w:hyperlink r:id="rId17" w:history="1">
        <w:r w:rsidRPr="00C23923">
          <w:rPr>
            <w:rStyle w:val="Hyperlink"/>
          </w:rPr>
          <w:t>https://www.afao.org.au/about-hiv/hiv-prevention/prep/</w:t>
        </w:r>
      </w:hyperlink>
      <w:r>
        <w:t xml:space="preserve">.  </w:t>
      </w:r>
    </w:p>
  </w:endnote>
  <w:endnote w:id="61">
    <w:p w14:paraId="12E558B2" w14:textId="7FFFCC4C" w:rsidR="00F10059" w:rsidRDefault="00F10059" w:rsidP="0060483D">
      <w:pPr>
        <w:pStyle w:val="EndnoteText"/>
        <w:ind w:left="284" w:hanging="284"/>
      </w:pPr>
      <w:r>
        <w:rPr>
          <w:rStyle w:val="EndnoteReference"/>
        </w:rPr>
        <w:endnoteRef/>
      </w:r>
      <w:r>
        <w:t xml:space="preserve"> </w:t>
      </w:r>
      <w:r>
        <w:tab/>
        <w:t xml:space="preserve">Royal Australian College of General Practitioners, </w:t>
      </w:r>
      <w:r w:rsidRPr="0060483D">
        <w:rPr>
          <w:i/>
          <w:iCs/>
        </w:rPr>
        <w:t>Prescribing PrEP in general practice: What GPs need to know</w:t>
      </w:r>
      <w:r>
        <w:t xml:space="preserve">, at </w:t>
      </w:r>
      <w:hyperlink r:id="rId18" w:history="1">
        <w:r w:rsidRPr="00C23923">
          <w:rPr>
            <w:rStyle w:val="Hyperlink"/>
          </w:rPr>
          <w:t>https://www1.racgp.org.au/newsgp/clinical/prescribing-prep-in-general-practice-what-gps-nee</w:t>
        </w:r>
      </w:hyperlink>
      <w:r>
        <w:t xml:space="preserve">. </w:t>
      </w:r>
    </w:p>
  </w:endnote>
  <w:endnote w:id="62">
    <w:p w14:paraId="040A31E1" w14:textId="6141F74E" w:rsidR="00F10059" w:rsidRDefault="00F10059" w:rsidP="00583A04">
      <w:pPr>
        <w:pStyle w:val="EndnoteText"/>
        <w:ind w:left="284" w:hanging="284"/>
      </w:pPr>
      <w:r>
        <w:rPr>
          <w:rStyle w:val="EndnoteReference"/>
        </w:rPr>
        <w:endnoteRef/>
      </w:r>
      <w:r>
        <w:t xml:space="preserve"> </w:t>
      </w:r>
      <w:r>
        <w:tab/>
        <w:t>Bill, clause 30(3)(a).</w:t>
      </w:r>
    </w:p>
  </w:endnote>
  <w:endnote w:id="63">
    <w:p w14:paraId="73172EC5" w14:textId="77435BD2" w:rsidR="00F10059" w:rsidRDefault="00F10059" w:rsidP="00676D5E">
      <w:pPr>
        <w:pStyle w:val="EndnoteText"/>
        <w:ind w:left="284" w:hanging="284"/>
      </w:pPr>
      <w:r>
        <w:rPr>
          <w:rStyle w:val="EndnoteReference"/>
        </w:rPr>
        <w:endnoteRef/>
      </w:r>
      <w:r>
        <w:t xml:space="preserve"> </w:t>
      </w:r>
      <w:r>
        <w:tab/>
        <w:t>Explanatory Notes to second exposure draft at [411].</w:t>
      </w:r>
    </w:p>
  </w:endnote>
  <w:endnote w:id="64">
    <w:p w14:paraId="0B386AAC" w14:textId="62ECBC93" w:rsidR="00F10059" w:rsidRDefault="00F10059" w:rsidP="00420C45">
      <w:pPr>
        <w:pStyle w:val="EndnoteText"/>
        <w:ind w:left="284" w:hanging="284"/>
      </w:pPr>
      <w:r>
        <w:rPr>
          <w:rStyle w:val="EndnoteReference"/>
        </w:rPr>
        <w:endnoteRef/>
      </w:r>
      <w:r>
        <w:t xml:space="preserve"> </w:t>
      </w:r>
      <w:r>
        <w:tab/>
        <w:t xml:space="preserve">Cf </w:t>
      </w:r>
      <w:r w:rsidRPr="00420C45">
        <w:rPr>
          <w:i/>
          <w:iCs/>
        </w:rPr>
        <w:t>Sex Discrimination Act 1984</w:t>
      </w:r>
      <w:r>
        <w:t xml:space="preserve"> (Cth), s 40; </w:t>
      </w:r>
      <w:r w:rsidRPr="00420C45">
        <w:rPr>
          <w:i/>
          <w:iCs/>
        </w:rPr>
        <w:t>Disability Discrimination Act 1992</w:t>
      </w:r>
      <w:r>
        <w:t xml:space="preserve"> (Cth), s 47.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1C133" w14:textId="77777777" w:rsidR="00F10059" w:rsidRPr="000465F1" w:rsidRDefault="00F10059" w:rsidP="000465F1">
    <w:pPr>
      <w:pStyle w:val="Footer"/>
    </w:pPr>
    <w:r w:rsidRPr="000465F1">
      <w:t>ABN 47 996 232 602</w:t>
    </w:r>
  </w:p>
  <w:p w14:paraId="673DBBCF" w14:textId="77777777" w:rsidR="00F10059" w:rsidRPr="000465F1" w:rsidRDefault="00F10059" w:rsidP="000465F1">
    <w:pPr>
      <w:pStyle w:val="Footer"/>
    </w:pPr>
    <w:r w:rsidRPr="000465F1">
      <w:t>Level 3, 175 Pitt Street, Sydney NSW 2000</w:t>
    </w:r>
  </w:p>
  <w:p w14:paraId="465ADED2" w14:textId="77777777" w:rsidR="00F10059" w:rsidRPr="000465F1" w:rsidRDefault="00F10059" w:rsidP="000465F1">
    <w:pPr>
      <w:pStyle w:val="Footer"/>
    </w:pPr>
    <w:r w:rsidRPr="000465F1">
      <w:t>GPO Box 5218, Sydney NSW 2001</w:t>
    </w:r>
  </w:p>
  <w:p w14:paraId="27230A56" w14:textId="77777777" w:rsidR="00F10059" w:rsidRPr="000465F1" w:rsidRDefault="00F10059" w:rsidP="000465F1">
    <w:pPr>
      <w:pStyle w:val="Footer"/>
    </w:pPr>
    <w:r w:rsidRPr="000465F1">
      <w:t>General enquiries 1300 369 711</w:t>
    </w:r>
  </w:p>
  <w:p w14:paraId="06505C3D" w14:textId="77777777" w:rsidR="00F10059" w:rsidRPr="000465F1" w:rsidRDefault="00F10059" w:rsidP="000465F1">
    <w:pPr>
      <w:pStyle w:val="Footer"/>
    </w:pPr>
    <w:r>
      <w:t xml:space="preserve">National Information Service </w:t>
    </w:r>
    <w:r w:rsidRPr="000465F1">
      <w:t>1300 656 419</w:t>
    </w:r>
  </w:p>
  <w:p w14:paraId="53EF3F37" w14:textId="77777777" w:rsidR="00F10059" w:rsidRPr="000465F1" w:rsidRDefault="00F10059" w:rsidP="000465F1">
    <w:pPr>
      <w:pStyle w:val="Footer"/>
    </w:pPr>
    <w:r w:rsidRPr="000465F1">
      <w:t>TTY 1800 620 241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129B4" w14:textId="77777777" w:rsidR="00F10059" w:rsidRDefault="00F10059">
    <w:pPr>
      <w:pStyle w:val="Footer"/>
    </w:pPr>
    <w:r w:rsidRPr="00622508">
      <w:fldChar w:fldCharType="begin"/>
    </w:r>
    <w:r>
      <w:instrText xml:space="preserve"> PAGE   \* MERGEFORMAT </w:instrText>
    </w:r>
    <w:r w:rsidRPr="00622508">
      <w:fldChar w:fldCharType="separate"/>
    </w:r>
    <w:r w:rsidRPr="00AB7C8F">
      <w:t>4</w:t>
    </w:r>
    <w:r w:rsidRPr="0062250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FCFCC" w14:textId="77777777" w:rsidR="00F10059" w:rsidRDefault="00F10059" w:rsidP="00E53546">
    <w:pPr>
      <w:pStyle w:val="FooterOddPageNumber"/>
    </w:pPr>
    <w:r w:rsidRPr="00AB7C8F">
      <w:fldChar w:fldCharType="begin"/>
    </w:r>
    <w:r>
      <w:instrText xml:space="preserve"> PAGE   \* MERGEFORMAT </w:instrText>
    </w:r>
    <w:r w:rsidRPr="00AB7C8F">
      <w:fldChar w:fldCharType="separate"/>
    </w:r>
    <w:r>
      <w:rPr>
        <w:noProof/>
      </w:rPr>
      <w:t>4</w:t>
    </w:r>
    <w:r w:rsidRPr="00AB7C8F">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9FE40" w14:textId="77777777" w:rsidR="00F10059" w:rsidRDefault="00F10059" w:rsidP="00E53546">
    <w:pPr>
      <w:pStyle w:val="FooterEvenPageNumber"/>
    </w:pPr>
    <w:r w:rsidRPr="00F127A8">
      <w:fldChar w:fldCharType="begin"/>
    </w:r>
    <w:r>
      <w:instrText xml:space="preserve"> PAGE   \* MERGEFORMAT </w:instrText>
    </w:r>
    <w:r w:rsidRPr="00F127A8">
      <w:fldChar w:fldCharType="separate"/>
    </w:r>
    <w:r>
      <w:rPr>
        <w:noProof/>
      </w:rPr>
      <w:t>2</w:t>
    </w:r>
    <w:r w:rsidRPr="00F127A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A25A2" w14:textId="77777777" w:rsidR="00682BB1" w:rsidRDefault="00682BB1" w:rsidP="00F14C6D">
      <w:r>
        <w:separator/>
      </w:r>
    </w:p>
  </w:footnote>
  <w:footnote w:type="continuationSeparator" w:id="0">
    <w:p w14:paraId="21A56BD5" w14:textId="77777777" w:rsidR="00682BB1" w:rsidRDefault="00682BB1" w:rsidP="00F14C6D">
      <w:r>
        <w:continuationSeparator/>
      </w:r>
    </w:p>
  </w:footnote>
  <w:footnote w:type="continuationNotice" w:id="1">
    <w:p w14:paraId="7E1AF9A9" w14:textId="77777777" w:rsidR="00682BB1" w:rsidRDefault="00682BB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5508F" w14:textId="77777777" w:rsidR="00F10059" w:rsidRPr="000465F1" w:rsidRDefault="00682BB1" w:rsidP="000465F1">
    <w:pPr>
      <w:pStyle w:val="Header"/>
    </w:pPr>
    <w:r>
      <w:pict w14:anchorId="426F9E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3" o:spid="_x0000_s2052" type="#_x0000_t75" alt="report watermark" style="position:absolute;left:0;text-align:left;margin-left:0;margin-top:0;width:930.9pt;height:1359.95pt;z-index:-251658239;mso-wrap-edited:f;mso-width-percent:0;mso-height-percent:0;mso-position-horizontal:center;mso-position-horizontal-relative:margin;mso-position-vertical:center;mso-position-vertical-relative:margin;mso-width-percent:0;mso-height-percent:0" o:allowincell="f">
          <v:imagedata r:id="rId1" o:title="report watermark"/>
          <w10:wrap anchorx="margin" anchory="margin"/>
        </v:shape>
      </w:pict>
    </w:r>
    <w:r w:rsidR="00F10059" w:rsidRPr="000465F1">
      <w:t>Australian Human Rights Commission</w:t>
    </w:r>
  </w:p>
  <w:p w14:paraId="4DC079F4" w14:textId="77777777" w:rsidR="00F10059" w:rsidRPr="00622508" w:rsidRDefault="00F10059" w:rsidP="00622508">
    <w:pPr>
      <w:pStyle w:val="Footer"/>
    </w:pPr>
    <w:r w:rsidRPr="001F62CC">
      <w:rPr>
        <w:rStyle w:val="HeaderDocumentTitle"/>
      </w:rPr>
      <w:t>Short title</w:t>
    </w:r>
    <w:r w:rsidRPr="00622508">
      <w:rPr>
        <w:rStyle w:val="HeaderDocumentTitle"/>
      </w:rPr>
      <w:t>, report name,</w:t>
    </w:r>
    <w:r w:rsidRPr="00622508">
      <w:t xml:space="preserve"> 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F1A7D" w14:textId="77777777" w:rsidR="00F10059" w:rsidRPr="000465F1" w:rsidRDefault="00682BB1" w:rsidP="000465F1">
    <w:r>
      <w:pict w14:anchorId="0597ED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4" o:spid="_x0000_s2051" type="#_x0000_t75" alt="report watermark" style="position:absolute;margin-left:0;margin-top:0;width:930.9pt;height:1359.95pt;z-index:-251658238;mso-wrap-edited:f;mso-width-percent:0;mso-height-percent:0;mso-position-horizontal:center;mso-position-horizontal-relative:margin;mso-position-vertical:center;mso-position-vertical-relative:margin;mso-width-percent:0;mso-height-percent:0" o:allowincell="f">
          <v:imagedata r:id="rId1" o:title="report watermark"/>
          <w10:wrap anchorx="margin" anchory="margin"/>
        </v:shape>
      </w:pict>
    </w:r>
    <w:r w:rsidR="00F10059" w:rsidRPr="000465F1">
      <w:t>Australian Human Rights Commission</w:t>
    </w:r>
  </w:p>
  <w:p w14:paraId="4138090C" w14:textId="77777777" w:rsidR="00F10059" w:rsidRPr="000465F1" w:rsidRDefault="00F10059" w:rsidP="000465F1">
    <w:pPr>
      <w:pStyle w:val="Footer"/>
    </w:pPr>
    <w:r w:rsidRPr="000465F1">
      <w:t>Short document title, 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66B7F" w14:textId="77777777" w:rsidR="00F10059" w:rsidRDefault="00682BB1" w:rsidP="002012F7">
    <w:pPr>
      <w:pStyle w:val="Header"/>
    </w:pPr>
    <w:r>
      <w:pict w14:anchorId="79F06C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50" type="#_x0000_t75" alt="MS word cover1" style="position:absolute;left:0;text-align:left;margin-left:-71.05pt;margin-top:-108.5pt;width:595.65pt;height:870.15pt;z-index:-251658237;mso-wrap-edited:f;mso-width-percent:0;mso-height-percent:0;mso-position-horizontal-relative:margin;mso-position-vertical-relative:margin;mso-width-percent:0;mso-height-percent:0" o:allowincell="f">
          <v:imagedata r:id="rId1" o:title="MS word cover1"/>
          <w10:wrap anchorx="margin" anchory="margin"/>
        </v:shape>
      </w:pict>
    </w:r>
    <w:r>
      <w:pict w14:anchorId="7F70B1B8">
        <v:shape id="WordPictureWatermark1034832" o:spid="_x0000_s2049" type="#_x0000_t75" alt="report watermark" style="position:absolute;left:0;text-align:left;margin-left:-70.9pt;margin-top:-109.05pt;width:595.1pt;height:869.4pt;z-index:-251658240;mso-wrap-edited:f;mso-width-percent:0;mso-height-percent:0;mso-position-horizontal-relative:margin;mso-position-vertical-relative:margin;mso-width-percent:0;mso-height-percent:0" o:allowincell="f">
          <v:imagedata r:id="rId2" o:title="report watermark"/>
          <w10:wrap anchorx="margin" anchory="margin"/>
        </v:shape>
      </w:pict>
    </w:r>
  </w:p>
  <w:p w14:paraId="2AD6E4B8" w14:textId="77777777" w:rsidR="00F10059" w:rsidRDefault="00F10059" w:rsidP="002012F7">
    <w:pPr>
      <w:pStyle w:val="Header"/>
    </w:pPr>
  </w:p>
  <w:p w14:paraId="11112ACF" w14:textId="77777777" w:rsidR="00F10059" w:rsidRDefault="00F10059" w:rsidP="002012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2974F" w14:textId="77777777" w:rsidR="00F10059" w:rsidRPr="000465F1" w:rsidRDefault="00F10059" w:rsidP="0015239E">
    <w:pPr>
      <w:pStyle w:val="Header"/>
    </w:pPr>
    <w:r w:rsidRPr="000465F1">
      <w:t>Australian Human Rights Commission</w:t>
    </w:r>
  </w:p>
  <w:p w14:paraId="077369D3" w14:textId="77777777" w:rsidR="00F10059" w:rsidRPr="000465F1" w:rsidRDefault="00F10059" w:rsidP="0015239E">
    <w:pPr>
      <w:pStyle w:val="HeaderDocumentDate"/>
    </w:pPr>
    <w:r w:rsidRPr="001F62CC">
      <w:rPr>
        <w:rStyle w:val="HeaderDocumentTitle"/>
      </w:rPr>
      <w:t>Short title, report name,</w:t>
    </w:r>
    <w:r>
      <w:t xml:space="preserve"> </w:t>
    </w:r>
    <w:r w:rsidRPr="002850B0">
      <w:t>Date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1DB6D" w14:textId="77777777" w:rsidR="00F10059" w:rsidRPr="000465F1" w:rsidRDefault="00F10059" w:rsidP="00CA5D90">
    <w:pPr>
      <w:pStyle w:val="Header"/>
    </w:pPr>
    <w:bookmarkStart w:id="69" w:name="_Hlk514672172"/>
    <w:bookmarkStart w:id="70" w:name="_Hlk514672173"/>
    <w:r w:rsidRPr="000465F1">
      <w:t>Australian Human Rights Commission</w:t>
    </w:r>
  </w:p>
  <w:bookmarkEnd w:id="69"/>
  <w:bookmarkEnd w:id="70"/>
  <w:p w14:paraId="6F0BCA1F" w14:textId="6348023B" w:rsidR="00F10059" w:rsidRPr="000465F1" w:rsidRDefault="00F10059" w:rsidP="002F5E96">
    <w:pPr>
      <w:pStyle w:val="HeaderDocumentDate"/>
    </w:pPr>
    <w:r>
      <w:rPr>
        <w:rStyle w:val="HeaderDocumentTitle"/>
      </w:rPr>
      <w:t>Religious Freedom Bills – second exposure draft</w:t>
    </w:r>
    <w:r w:rsidRPr="001F62CC">
      <w:rPr>
        <w:rStyle w:val="HeaderDocumentTitle"/>
      </w:rPr>
      <w:t>,</w:t>
    </w:r>
    <w:r>
      <w:t xml:space="preserve"> </w:t>
    </w:r>
    <w:r w:rsidR="00903C2A">
      <w:t>3</w:t>
    </w:r>
    <w:r w:rsidR="00BE6BDD">
      <w:t>1</w:t>
    </w:r>
    <w:r w:rsidR="00903C2A">
      <w:t xml:space="preserve"> </w:t>
    </w:r>
    <w:r>
      <w:t>January 2020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FD38F" w14:textId="77777777" w:rsidR="00F10059" w:rsidRPr="000465F1" w:rsidRDefault="00F10059" w:rsidP="0063009F">
    <w:pPr>
      <w:pStyle w:val="Header"/>
    </w:pPr>
    <w:r w:rsidRPr="000465F1">
      <w:t>Australian Human Rights Commission</w:t>
    </w:r>
  </w:p>
  <w:p w14:paraId="3EB3BFA9" w14:textId="448E16AE" w:rsidR="00F10059" w:rsidRPr="000465F1" w:rsidRDefault="00F10059" w:rsidP="0063009F">
    <w:pPr>
      <w:pStyle w:val="HeaderDocumentDate"/>
    </w:pPr>
    <w:r>
      <w:rPr>
        <w:rStyle w:val="HeaderDocumentTitle"/>
      </w:rPr>
      <w:t>Religious Freedom Bills – second exposure draft</w:t>
    </w:r>
    <w:r w:rsidRPr="001F62CC">
      <w:rPr>
        <w:rStyle w:val="HeaderDocumentTitle"/>
      </w:rPr>
      <w:t>,</w:t>
    </w:r>
    <w:r>
      <w:t xml:space="preserve"> </w:t>
    </w:r>
    <w:r w:rsidR="00903C2A">
      <w:t>3</w:t>
    </w:r>
    <w:r w:rsidR="00BE6BDD">
      <w:t>1</w:t>
    </w:r>
    <w:r w:rsidR="00903C2A">
      <w:t xml:space="preserve"> </w:t>
    </w:r>
    <w:r>
      <w:t>January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0CE7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D44524"/>
    <w:lvl w:ilvl="0">
      <w:start w:val="1"/>
      <w:numFmt w:val="bullet"/>
      <w:pStyle w:val="ListBullet"/>
      <w:lvlText w:val=""/>
      <w:lvlJc w:val="left"/>
      <w:pPr>
        <w:tabs>
          <w:tab w:val="num" w:pos="360"/>
        </w:tabs>
        <w:ind w:left="360" w:hanging="3"/>
      </w:pPr>
      <w:rPr>
        <w:rFonts w:ascii="Symbol" w:hAnsi="Symbol" w:hint="default"/>
      </w:rPr>
    </w:lvl>
  </w:abstractNum>
  <w:abstractNum w:abstractNumId="10" w15:restartNumberingAfterBreak="0">
    <w:nsid w:val="04B722D9"/>
    <w:multiLevelType w:val="hybridMultilevel"/>
    <w:tmpl w:val="3F9A5E10"/>
    <w:lvl w:ilvl="0" w:tplc="0C090001">
      <w:start w:val="1"/>
      <w:numFmt w:val="bullet"/>
      <w:lvlText w:val=""/>
      <w:lvlJc w:val="left"/>
      <w:pPr>
        <w:ind w:left="1814" w:hanging="360"/>
      </w:pPr>
      <w:rPr>
        <w:rFonts w:ascii="Symbol" w:hAnsi="Symbol" w:hint="default"/>
      </w:rPr>
    </w:lvl>
    <w:lvl w:ilvl="1" w:tplc="0C090003" w:tentative="1">
      <w:start w:val="1"/>
      <w:numFmt w:val="bullet"/>
      <w:lvlText w:val="o"/>
      <w:lvlJc w:val="left"/>
      <w:pPr>
        <w:ind w:left="2534" w:hanging="360"/>
      </w:pPr>
      <w:rPr>
        <w:rFonts w:ascii="Courier New" w:hAnsi="Courier New" w:cs="Courier New" w:hint="default"/>
      </w:rPr>
    </w:lvl>
    <w:lvl w:ilvl="2" w:tplc="0C090005" w:tentative="1">
      <w:start w:val="1"/>
      <w:numFmt w:val="bullet"/>
      <w:lvlText w:val=""/>
      <w:lvlJc w:val="left"/>
      <w:pPr>
        <w:ind w:left="3254" w:hanging="360"/>
      </w:pPr>
      <w:rPr>
        <w:rFonts w:ascii="Wingdings" w:hAnsi="Wingdings" w:hint="default"/>
      </w:rPr>
    </w:lvl>
    <w:lvl w:ilvl="3" w:tplc="0C090001" w:tentative="1">
      <w:start w:val="1"/>
      <w:numFmt w:val="bullet"/>
      <w:lvlText w:val=""/>
      <w:lvlJc w:val="left"/>
      <w:pPr>
        <w:ind w:left="3974" w:hanging="360"/>
      </w:pPr>
      <w:rPr>
        <w:rFonts w:ascii="Symbol" w:hAnsi="Symbol" w:hint="default"/>
      </w:rPr>
    </w:lvl>
    <w:lvl w:ilvl="4" w:tplc="0C090003" w:tentative="1">
      <w:start w:val="1"/>
      <w:numFmt w:val="bullet"/>
      <w:lvlText w:val="o"/>
      <w:lvlJc w:val="left"/>
      <w:pPr>
        <w:ind w:left="4694" w:hanging="360"/>
      </w:pPr>
      <w:rPr>
        <w:rFonts w:ascii="Courier New" w:hAnsi="Courier New" w:cs="Courier New" w:hint="default"/>
      </w:rPr>
    </w:lvl>
    <w:lvl w:ilvl="5" w:tplc="0C090005" w:tentative="1">
      <w:start w:val="1"/>
      <w:numFmt w:val="bullet"/>
      <w:lvlText w:val=""/>
      <w:lvlJc w:val="left"/>
      <w:pPr>
        <w:ind w:left="5414" w:hanging="360"/>
      </w:pPr>
      <w:rPr>
        <w:rFonts w:ascii="Wingdings" w:hAnsi="Wingdings" w:hint="default"/>
      </w:rPr>
    </w:lvl>
    <w:lvl w:ilvl="6" w:tplc="0C090001" w:tentative="1">
      <w:start w:val="1"/>
      <w:numFmt w:val="bullet"/>
      <w:lvlText w:val=""/>
      <w:lvlJc w:val="left"/>
      <w:pPr>
        <w:ind w:left="6134" w:hanging="360"/>
      </w:pPr>
      <w:rPr>
        <w:rFonts w:ascii="Symbol" w:hAnsi="Symbol" w:hint="default"/>
      </w:rPr>
    </w:lvl>
    <w:lvl w:ilvl="7" w:tplc="0C090003" w:tentative="1">
      <w:start w:val="1"/>
      <w:numFmt w:val="bullet"/>
      <w:lvlText w:val="o"/>
      <w:lvlJc w:val="left"/>
      <w:pPr>
        <w:ind w:left="6854" w:hanging="360"/>
      </w:pPr>
      <w:rPr>
        <w:rFonts w:ascii="Courier New" w:hAnsi="Courier New" w:cs="Courier New" w:hint="default"/>
      </w:rPr>
    </w:lvl>
    <w:lvl w:ilvl="8" w:tplc="0C090005" w:tentative="1">
      <w:start w:val="1"/>
      <w:numFmt w:val="bullet"/>
      <w:lvlText w:val=""/>
      <w:lvlJc w:val="left"/>
      <w:pPr>
        <w:ind w:left="7574" w:hanging="360"/>
      </w:pPr>
      <w:rPr>
        <w:rFonts w:ascii="Wingdings" w:hAnsi="Wingdings" w:hint="default"/>
      </w:rPr>
    </w:lvl>
  </w:abstractNum>
  <w:abstractNum w:abstractNumId="11"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25CD70AF"/>
    <w:multiLevelType w:val="hybridMultilevel"/>
    <w:tmpl w:val="DD660E5E"/>
    <w:lvl w:ilvl="0" w:tplc="2FBA7848">
      <w:start w:val="1"/>
      <w:numFmt w:val="decimal"/>
      <w:lvlText w:val="%1."/>
      <w:lvlJc w:val="left"/>
      <w:pPr>
        <w:ind w:left="1802" w:hanging="360"/>
      </w:pPr>
      <w:rPr>
        <w:rFonts w:hint="default"/>
      </w:rPr>
    </w:lvl>
    <w:lvl w:ilvl="1" w:tplc="0C090019" w:tentative="1">
      <w:start w:val="1"/>
      <w:numFmt w:val="lowerLetter"/>
      <w:lvlText w:val="%2."/>
      <w:lvlJc w:val="left"/>
      <w:pPr>
        <w:ind w:left="2522" w:hanging="360"/>
      </w:pPr>
    </w:lvl>
    <w:lvl w:ilvl="2" w:tplc="0C09001B" w:tentative="1">
      <w:start w:val="1"/>
      <w:numFmt w:val="lowerRoman"/>
      <w:lvlText w:val="%3."/>
      <w:lvlJc w:val="right"/>
      <w:pPr>
        <w:ind w:left="3242" w:hanging="180"/>
      </w:pPr>
    </w:lvl>
    <w:lvl w:ilvl="3" w:tplc="0C09000F" w:tentative="1">
      <w:start w:val="1"/>
      <w:numFmt w:val="decimal"/>
      <w:lvlText w:val="%4."/>
      <w:lvlJc w:val="left"/>
      <w:pPr>
        <w:ind w:left="3962" w:hanging="360"/>
      </w:pPr>
    </w:lvl>
    <w:lvl w:ilvl="4" w:tplc="0C090019" w:tentative="1">
      <w:start w:val="1"/>
      <w:numFmt w:val="lowerLetter"/>
      <w:lvlText w:val="%5."/>
      <w:lvlJc w:val="left"/>
      <w:pPr>
        <w:ind w:left="4682" w:hanging="360"/>
      </w:pPr>
    </w:lvl>
    <w:lvl w:ilvl="5" w:tplc="0C09001B" w:tentative="1">
      <w:start w:val="1"/>
      <w:numFmt w:val="lowerRoman"/>
      <w:lvlText w:val="%6."/>
      <w:lvlJc w:val="right"/>
      <w:pPr>
        <w:ind w:left="5402" w:hanging="180"/>
      </w:pPr>
    </w:lvl>
    <w:lvl w:ilvl="6" w:tplc="0C09000F" w:tentative="1">
      <w:start w:val="1"/>
      <w:numFmt w:val="decimal"/>
      <w:lvlText w:val="%7."/>
      <w:lvlJc w:val="left"/>
      <w:pPr>
        <w:ind w:left="6122" w:hanging="360"/>
      </w:pPr>
    </w:lvl>
    <w:lvl w:ilvl="7" w:tplc="0C090019" w:tentative="1">
      <w:start w:val="1"/>
      <w:numFmt w:val="lowerLetter"/>
      <w:lvlText w:val="%8."/>
      <w:lvlJc w:val="left"/>
      <w:pPr>
        <w:ind w:left="6842" w:hanging="360"/>
      </w:pPr>
    </w:lvl>
    <w:lvl w:ilvl="8" w:tplc="0C09001B" w:tentative="1">
      <w:start w:val="1"/>
      <w:numFmt w:val="lowerRoman"/>
      <w:lvlText w:val="%9."/>
      <w:lvlJc w:val="right"/>
      <w:pPr>
        <w:ind w:left="7562" w:hanging="180"/>
      </w:pPr>
    </w:lvl>
  </w:abstractNum>
  <w:abstractNum w:abstractNumId="14" w15:restartNumberingAfterBreak="0">
    <w:nsid w:val="2AC50615"/>
    <w:multiLevelType w:val="hybridMultilevel"/>
    <w:tmpl w:val="10502BD6"/>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5" w15:restartNumberingAfterBreak="0">
    <w:nsid w:val="2E9971C8"/>
    <w:multiLevelType w:val="hybridMultilevel"/>
    <w:tmpl w:val="ABE4CF52"/>
    <w:lvl w:ilvl="0" w:tplc="0C090001">
      <w:start w:val="1"/>
      <w:numFmt w:val="bullet"/>
      <w:lvlText w:val=""/>
      <w:lvlJc w:val="left"/>
      <w:pPr>
        <w:ind w:left="1814" w:hanging="360"/>
      </w:pPr>
      <w:rPr>
        <w:rFonts w:ascii="Symbol" w:hAnsi="Symbol" w:hint="default"/>
      </w:rPr>
    </w:lvl>
    <w:lvl w:ilvl="1" w:tplc="0C090003" w:tentative="1">
      <w:start w:val="1"/>
      <w:numFmt w:val="bullet"/>
      <w:lvlText w:val="o"/>
      <w:lvlJc w:val="left"/>
      <w:pPr>
        <w:ind w:left="2534" w:hanging="360"/>
      </w:pPr>
      <w:rPr>
        <w:rFonts w:ascii="Courier New" w:hAnsi="Courier New" w:cs="Courier New" w:hint="default"/>
      </w:rPr>
    </w:lvl>
    <w:lvl w:ilvl="2" w:tplc="0C090005" w:tentative="1">
      <w:start w:val="1"/>
      <w:numFmt w:val="bullet"/>
      <w:lvlText w:val=""/>
      <w:lvlJc w:val="left"/>
      <w:pPr>
        <w:ind w:left="3254" w:hanging="360"/>
      </w:pPr>
      <w:rPr>
        <w:rFonts w:ascii="Wingdings" w:hAnsi="Wingdings" w:hint="default"/>
      </w:rPr>
    </w:lvl>
    <w:lvl w:ilvl="3" w:tplc="0C090001" w:tentative="1">
      <w:start w:val="1"/>
      <w:numFmt w:val="bullet"/>
      <w:lvlText w:val=""/>
      <w:lvlJc w:val="left"/>
      <w:pPr>
        <w:ind w:left="3974" w:hanging="360"/>
      </w:pPr>
      <w:rPr>
        <w:rFonts w:ascii="Symbol" w:hAnsi="Symbol" w:hint="default"/>
      </w:rPr>
    </w:lvl>
    <w:lvl w:ilvl="4" w:tplc="0C090003" w:tentative="1">
      <w:start w:val="1"/>
      <w:numFmt w:val="bullet"/>
      <w:lvlText w:val="o"/>
      <w:lvlJc w:val="left"/>
      <w:pPr>
        <w:ind w:left="4694" w:hanging="360"/>
      </w:pPr>
      <w:rPr>
        <w:rFonts w:ascii="Courier New" w:hAnsi="Courier New" w:cs="Courier New" w:hint="default"/>
      </w:rPr>
    </w:lvl>
    <w:lvl w:ilvl="5" w:tplc="0C090005" w:tentative="1">
      <w:start w:val="1"/>
      <w:numFmt w:val="bullet"/>
      <w:lvlText w:val=""/>
      <w:lvlJc w:val="left"/>
      <w:pPr>
        <w:ind w:left="5414" w:hanging="360"/>
      </w:pPr>
      <w:rPr>
        <w:rFonts w:ascii="Wingdings" w:hAnsi="Wingdings" w:hint="default"/>
      </w:rPr>
    </w:lvl>
    <w:lvl w:ilvl="6" w:tplc="0C090001" w:tentative="1">
      <w:start w:val="1"/>
      <w:numFmt w:val="bullet"/>
      <w:lvlText w:val=""/>
      <w:lvlJc w:val="left"/>
      <w:pPr>
        <w:ind w:left="6134" w:hanging="360"/>
      </w:pPr>
      <w:rPr>
        <w:rFonts w:ascii="Symbol" w:hAnsi="Symbol" w:hint="default"/>
      </w:rPr>
    </w:lvl>
    <w:lvl w:ilvl="7" w:tplc="0C090003" w:tentative="1">
      <w:start w:val="1"/>
      <w:numFmt w:val="bullet"/>
      <w:lvlText w:val="o"/>
      <w:lvlJc w:val="left"/>
      <w:pPr>
        <w:ind w:left="6854" w:hanging="360"/>
      </w:pPr>
      <w:rPr>
        <w:rFonts w:ascii="Courier New" w:hAnsi="Courier New" w:cs="Courier New" w:hint="default"/>
      </w:rPr>
    </w:lvl>
    <w:lvl w:ilvl="8" w:tplc="0C090005" w:tentative="1">
      <w:start w:val="1"/>
      <w:numFmt w:val="bullet"/>
      <w:lvlText w:val=""/>
      <w:lvlJc w:val="left"/>
      <w:pPr>
        <w:ind w:left="7574" w:hanging="360"/>
      </w:pPr>
      <w:rPr>
        <w:rFonts w:ascii="Wingdings" w:hAnsi="Wingdings" w:hint="default"/>
      </w:rPr>
    </w:lvl>
  </w:abstractNum>
  <w:abstractNum w:abstractNumId="1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27131EA"/>
    <w:multiLevelType w:val="hybridMultilevel"/>
    <w:tmpl w:val="2C00725C"/>
    <w:lvl w:ilvl="0" w:tplc="0C090001">
      <w:start w:val="1"/>
      <w:numFmt w:val="bullet"/>
      <w:lvlText w:val=""/>
      <w:lvlJc w:val="left"/>
      <w:pPr>
        <w:ind w:left="1814" w:hanging="360"/>
      </w:pPr>
      <w:rPr>
        <w:rFonts w:ascii="Symbol" w:hAnsi="Symbol" w:hint="default"/>
      </w:rPr>
    </w:lvl>
    <w:lvl w:ilvl="1" w:tplc="0C090003" w:tentative="1">
      <w:start w:val="1"/>
      <w:numFmt w:val="bullet"/>
      <w:lvlText w:val="o"/>
      <w:lvlJc w:val="left"/>
      <w:pPr>
        <w:ind w:left="2534" w:hanging="360"/>
      </w:pPr>
      <w:rPr>
        <w:rFonts w:ascii="Courier New" w:hAnsi="Courier New" w:cs="Courier New" w:hint="default"/>
      </w:rPr>
    </w:lvl>
    <w:lvl w:ilvl="2" w:tplc="0C090005" w:tentative="1">
      <w:start w:val="1"/>
      <w:numFmt w:val="bullet"/>
      <w:lvlText w:val=""/>
      <w:lvlJc w:val="left"/>
      <w:pPr>
        <w:ind w:left="3254" w:hanging="360"/>
      </w:pPr>
      <w:rPr>
        <w:rFonts w:ascii="Wingdings" w:hAnsi="Wingdings" w:hint="default"/>
      </w:rPr>
    </w:lvl>
    <w:lvl w:ilvl="3" w:tplc="0C090001" w:tentative="1">
      <w:start w:val="1"/>
      <w:numFmt w:val="bullet"/>
      <w:lvlText w:val=""/>
      <w:lvlJc w:val="left"/>
      <w:pPr>
        <w:ind w:left="3974" w:hanging="360"/>
      </w:pPr>
      <w:rPr>
        <w:rFonts w:ascii="Symbol" w:hAnsi="Symbol" w:hint="default"/>
      </w:rPr>
    </w:lvl>
    <w:lvl w:ilvl="4" w:tplc="0C090003" w:tentative="1">
      <w:start w:val="1"/>
      <w:numFmt w:val="bullet"/>
      <w:lvlText w:val="o"/>
      <w:lvlJc w:val="left"/>
      <w:pPr>
        <w:ind w:left="4694" w:hanging="360"/>
      </w:pPr>
      <w:rPr>
        <w:rFonts w:ascii="Courier New" w:hAnsi="Courier New" w:cs="Courier New" w:hint="default"/>
      </w:rPr>
    </w:lvl>
    <w:lvl w:ilvl="5" w:tplc="0C090005" w:tentative="1">
      <w:start w:val="1"/>
      <w:numFmt w:val="bullet"/>
      <w:lvlText w:val=""/>
      <w:lvlJc w:val="left"/>
      <w:pPr>
        <w:ind w:left="5414" w:hanging="360"/>
      </w:pPr>
      <w:rPr>
        <w:rFonts w:ascii="Wingdings" w:hAnsi="Wingdings" w:hint="default"/>
      </w:rPr>
    </w:lvl>
    <w:lvl w:ilvl="6" w:tplc="0C090001" w:tentative="1">
      <w:start w:val="1"/>
      <w:numFmt w:val="bullet"/>
      <w:lvlText w:val=""/>
      <w:lvlJc w:val="left"/>
      <w:pPr>
        <w:ind w:left="6134" w:hanging="360"/>
      </w:pPr>
      <w:rPr>
        <w:rFonts w:ascii="Symbol" w:hAnsi="Symbol" w:hint="default"/>
      </w:rPr>
    </w:lvl>
    <w:lvl w:ilvl="7" w:tplc="0C090003" w:tentative="1">
      <w:start w:val="1"/>
      <w:numFmt w:val="bullet"/>
      <w:lvlText w:val="o"/>
      <w:lvlJc w:val="left"/>
      <w:pPr>
        <w:ind w:left="6854" w:hanging="360"/>
      </w:pPr>
      <w:rPr>
        <w:rFonts w:ascii="Courier New" w:hAnsi="Courier New" w:cs="Courier New" w:hint="default"/>
      </w:rPr>
    </w:lvl>
    <w:lvl w:ilvl="8" w:tplc="0C090005" w:tentative="1">
      <w:start w:val="1"/>
      <w:numFmt w:val="bullet"/>
      <w:lvlText w:val=""/>
      <w:lvlJc w:val="left"/>
      <w:pPr>
        <w:ind w:left="7574" w:hanging="360"/>
      </w:pPr>
      <w:rPr>
        <w:rFonts w:ascii="Wingdings" w:hAnsi="Wingdings" w:hint="default"/>
      </w:rPr>
    </w:lvl>
  </w:abstractNum>
  <w:abstractNum w:abstractNumId="18"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9"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59920255"/>
    <w:multiLevelType w:val="hybridMultilevel"/>
    <w:tmpl w:val="5ECC1F50"/>
    <w:lvl w:ilvl="0" w:tplc="0C090001">
      <w:start w:val="1"/>
      <w:numFmt w:val="bullet"/>
      <w:lvlText w:val=""/>
      <w:lvlJc w:val="left"/>
      <w:pPr>
        <w:ind w:left="1814" w:hanging="360"/>
      </w:pPr>
      <w:rPr>
        <w:rFonts w:ascii="Symbol" w:hAnsi="Symbol" w:hint="default"/>
      </w:rPr>
    </w:lvl>
    <w:lvl w:ilvl="1" w:tplc="0C090003" w:tentative="1">
      <w:start w:val="1"/>
      <w:numFmt w:val="bullet"/>
      <w:lvlText w:val="o"/>
      <w:lvlJc w:val="left"/>
      <w:pPr>
        <w:ind w:left="2534" w:hanging="360"/>
      </w:pPr>
      <w:rPr>
        <w:rFonts w:ascii="Courier New" w:hAnsi="Courier New" w:cs="Courier New" w:hint="default"/>
      </w:rPr>
    </w:lvl>
    <w:lvl w:ilvl="2" w:tplc="0C090005" w:tentative="1">
      <w:start w:val="1"/>
      <w:numFmt w:val="bullet"/>
      <w:lvlText w:val=""/>
      <w:lvlJc w:val="left"/>
      <w:pPr>
        <w:ind w:left="3254" w:hanging="360"/>
      </w:pPr>
      <w:rPr>
        <w:rFonts w:ascii="Wingdings" w:hAnsi="Wingdings" w:hint="default"/>
      </w:rPr>
    </w:lvl>
    <w:lvl w:ilvl="3" w:tplc="0C090001" w:tentative="1">
      <w:start w:val="1"/>
      <w:numFmt w:val="bullet"/>
      <w:lvlText w:val=""/>
      <w:lvlJc w:val="left"/>
      <w:pPr>
        <w:ind w:left="3974" w:hanging="360"/>
      </w:pPr>
      <w:rPr>
        <w:rFonts w:ascii="Symbol" w:hAnsi="Symbol" w:hint="default"/>
      </w:rPr>
    </w:lvl>
    <w:lvl w:ilvl="4" w:tplc="0C090003" w:tentative="1">
      <w:start w:val="1"/>
      <w:numFmt w:val="bullet"/>
      <w:lvlText w:val="o"/>
      <w:lvlJc w:val="left"/>
      <w:pPr>
        <w:ind w:left="4694" w:hanging="360"/>
      </w:pPr>
      <w:rPr>
        <w:rFonts w:ascii="Courier New" w:hAnsi="Courier New" w:cs="Courier New" w:hint="default"/>
      </w:rPr>
    </w:lvl>
    <w:lvl w:ilvl="5" w:tplc="0C090005" w:tentative="1">
      <w:start w:val="1"/>
      <w:numFmt w:val="bullet"/>
      <w:lvlText w:val=""/>
      <w:lvlJc w:val="left"/>
      <w:pPr>
        <w:ind w:left="5414" w:hanging="360"/>
      </w:pPr>
      <w:rPr>
        <w:rFonts w:ascii="Wingdings" w:hAnsi="Wingdings" w:hint="default"/>
      </w:rPr>
    </w:lvl>
    <w:lvl w:ilvl="6" w:tplc="0C090001" w:tentative="1">
      <w:start w:val="1"/>
      <w:numFmt w:val="bullet"/>
      <w:lvlText w:val=""/>
      <w:lvlJc w:val="left"/>
      <w:pPr>
        <w:ind w:left="6134" w:hanging="360"/>
      </w:pPr>
      <w:rPr>
        <w:rFonts w:ascii="Symbol" w:hAnsi="Symbol" w:hint="default"/>
      </w:rPr>
    </w:lvl>
    <w:lvl w:ilvl="7" w:tplc="0C090003" w:tentative="1">
      <w:start w:val="1"/>
      <w:numFmt w:val="bullet"/>
      <w:lvlText w:val="o"/>
      <w:lvlJc w:val="left"/>
      <w:pPr>
        <w:ind w:left="6854" w:hanging="360"/>
      </w:pPr>
      <w:rPr>
        <w:rFonts w:ascii="Courier New" w:hAnsi="Courier New" w:cs="Courier New" w:hint="default"/>
      </w:rPr>
    </w:lvl>
    <w:lvl w:ilvl="8" w:tplc="0C090005" w:tentative="1">
      <w:start w:val="1"/>
      <w:numFmt w:val="bullet"/>
      <w:lvlText w:val=""/>
      <w:lvlJc w:val="left"/>
      <w:pPr>
        <w:ind w:left="7574" w:hanging="360"/>
      </w:pPr>
      <w:rPr>
        <w:rFonts w:ascii="Wingdings" w:hAnsi="Wingdings" w:hint="default"/>
      </w:rPr>
    </w:lvl>
  </w:abstractNum>
  <w:abstractNum w:abstractNumId="21" w15:restartNumberingAfterBreak="0">
    <w:nsid w:val="5ACD3AFE"/>
    <w:multiLevelType w:val="hybridMultilevel"/>
    <w:tmpl w:val="A59A98D8"/>
    <w:lvl w:ilvl="0" w:tplc="0C090001">
      <w:start w:val="1"/>
      <w:numFmt w:val="bullet"/>
      <w:lvlText w:val=""/>
      <w:lvlJc w:val="left"/>
      <w:pPr>
        <w:ind w:left="1814" w:hanging="360"/>
      </w:pPr>
      <w:rPr>
        <w:rFonts w:ascii="Symbol" w:hAnsi="Symbol" w:hint="default"/>
      </w:rPr>
    </w:lvl>
    <w:lvl w:ilvl="1" w:tplc="0C090003" w:tentative="1">
      <w:start w:val="1"/>
      <w:numFmt w:val="bullet"/>
      <w:lvlText w:val="o"/>
      <w:lvlJc w:val="left"/>
      <w:pPr>
        <w:ind w:left="2534" w:hanging="360"/>
      </w:pPr>
      <w:rPr>
        <w:rFonts w:ascii="Courier New" w:hAnsi="Courier New" w:cs="Courier New" w:hint="default"/>
      </w:rPr>
    </w:lvl>
    <w:lvl w:ilvl="2" w:tplc="0C090005" w:tentative="1">
      <w:start w:val="1"/>
      <w:numFmt w:val="bullet"/>
      <w:lvlText w:val=""/>
      <w:lvlJc w:val="left"/>
      <w:pPr>
        <w:ind w:left="3254" w:hanging="360"/>
      </w:pPr>
      <w:rPr>
        <w:rFonts w:ascii="Wingdings" w:hAnsi="Wingdings" w:hint="default"/>
      </w:rPr>
    </w:lvl>
    <w:lvl w:ilvl="3" w:tplc="0C090001" w:tentative="1">
      <w:start w:val="1"/>
      <w:numFmt w:val="bullet"/>
      <w:lvlText w:val=""/>
      <w:lvlJc w:val="left"/>
      <w:pPr>
        <w:ind w:left="3974" w:hanging="360"/>
      </w:pPr>
      <w:rPr>
        <w:rFonts w:ascii="Symbol" w:hAnsi="Symbol" w:hint="default"/>
      </w:rPr>
    </w:lvl>
    <w:lvl w:ilvl="4" w:tplc="0C090003" w:tentative="1">
      <w:start w:val="1"/>
      <w:numFmt w:val="bullet"/>
      <w:lvlText w:val="o"/>
      <w:lvlJc w:val="left"/>
      <w:pPr>
        <w:ind w:left="4694" w:hanging="360"/>
      </w:pPr>
      <w:rPr>
        <w:rFonts w:ascii="Courier New" w:hAnsi="Courier New" w:cs="Courier New" w:hint="default"/>
      </w:rPr>
    </w:lvl>
    <w:lvl w:ilvl="5" w:tplc="0C090005" w:tentative="1">
      <w:start w:val="1"/>
      <w:numFmt w:val="bullet"/>
      <w:lvlText w:val=""/>
      <w:lvlJc w:val="left"/>
      <w:pPr>
        <w:ind w:left="5414" w:hanging="360"/>
      </w:pPr>
      <w:rPr>
        <w:rFonts w:ascii="Wingdings" w:hAnsi="Wingdings" w:hint="default"/>
      </w:rPr>
    </w:lvl>
    <w:lvl w:ilvl="6" w:tplc="0C090001" w:tentative="1">
      <w:start w:val="1"/>
      <w:numFmt w:val="bullet"/>
      <w:lvlText w:val=""/>
      <w:lvlJc w:val="left"/>
      <w:pPr>
        <w:ind w:left="6134" w:hanging="360"/>
      </w:pPr>
      <w:rPr>
        <w:rFonts w:ascii="Symbol" w:hAnsi="Symbol" w:hint="default"/>
      </w:rPr>
    </w:lvl>
    <w:lvl w:ilvl="7" w:tplc="0C090003" w:tentative="1">
      <w:start w:val="1"/>
      <w:numFmt w:val="bullet"/>
      <w:lvlText w:val="o"/>
      <w:lvlJc w:val="left"/>
      <w:pPr>
        <w:ind w:left="6854" w:hanging="360"/>
      </w:pPr>
      <w:rPr>
        <w:rFonts w:ascii="Courier New" w:hAnsi="Courier New" w:cs="Courier New" w:hint="default"/>
      </w:rPr>
    </w:lvl>
    <w:lvl w:ilvl="8" w:tplc="0C090005" w:tentative="1">
      <w:start w:val="1"/>
      <w:numFmt w:val="bullet"/>
      <w:lvlText w:val=""/>
      <w:lvlJc w:val="left"/>
      <w:pPr>
        <w:ind w:left="7574" w:hanging="360"/>
      </w:pPr>
      <w:rPr>
        <w:rFonts w:ascii="Wingdings" w:hAnsi="Wingdings" w:hint="default"/>
      </w:rPr>
    </w:lvl>
  </w:abstractNum>
  <w:abstractNum w:abstractNumId="22" w15:restartNumberingAfterBreak="0">
    <w:nsid w:val="70E42847"/>
    <w:multiLevelType w:val="hybridMultilevel"/>
    <w:tmpl w:val="E2D6B0F6"/>
    <w:lvl w:ilvl="0" w:tplc="0C090001">
      <w:start w:val="1"/>
      <w:numFmt w:val="bullet"/>
      <w:lvlText w:val=""/>
      <w:lvlJc w:val="left"/>
      <w:pPr>
        <w:ind w:left="1875" w:hanging="360"/>
      </w:pPr>
      <w:rPr>
        <w:rFonts w:ascii="Symbol" w:hAnsi="Symbol" w:hint="default"/>
      </w:rPr>
    </w:lvl>
    <w:lvl w:ilvl="1" w:tplc="0C090003" w:tentative="1">
      <w:start w:val="1"/>
      <w:numFmt w:val="bullet"/>
      <w:lvlText w:val="o"/>
      <w:lvlJc w:val="left"/>
      <w:pPr>
        <w:ind w:left="2595" w:hanging="360"/>
      </w:pPr>
      <w:rPr>
        <w:rFonts w:ascii="Courier New" w:hAnsi="Courier New" w:cs="Courier New" w:hint="default"/>
      </w:rPr>
    </w:lvl>
    <w:lvl w:ilvl="2" w:tplc="0C090005" w:tentative="1">
      <w:start w:val="1"/>
      <w:numFmt w:val="bullet"/>
      <w:lvlText w:val=""/>
      <w:lvlJc w:val="left"/>
      <w:pPr>
        <w:ind w:left="3315" w:hanging="360"/>
      </w:pPr>
      <w:rPr>
        <w:rFonts w:ascii="Wingdings" w:hAnsi="Wingdings" w:hint="default"/>
      </w:rPr>
    </w:lvl>
    <w:lvl w:ilvl="3" w:tplc="0C090001" w:tentative="1">
      <w:start w:val="1"/>
      <w:numFmt w:val="bullet"/>
      <w:lvlText w:val=""/>
      <w:lvlJc w:val="left"/>
      <w:pPr>
        <w:ind w:left="4035" w:hanging="360"/>
      </w:pPr>
      <w:rPr>
        <w:rFonts w:ascii="Symbol" w:hAnsi="Symbol" w:hint="default"/>
      </w:rPr>
    </w:lvl>
    <w:lvl w:ilvl="4" w:tplc="0C090003" w:tentative="1">
      <w:start w:val="1"/>
      <w:numFmt w:val="bullet"/>
      <w:lvlText w:val="o"/>
      <w:lvlJc w:val="left"/>
      <w:pPr>
        <w:ind w:left="4755" w:hanging="360"/>
      </w:pPr>
      <w:rPr>
        <w:rFonts w:ascii="Courier New" w:hAnsi="Courier New" w:cs="Courier New" w:hint="default"/>
      </w:rPr>
    </w:lvl>
    <w:lvl w:ilvl="5" w:tplc="0C090005" w:tentative="1">
      <w:start w:val="1"/>
      <w:numFmt w:val="bullet"/>
      <w:lvlText w:val=""/>
      <w:lvlJc w:val="left"/>
      <w:pPr>
        <w:ind w:left="5475" w:hanging="360"/>
      </w:pPr>
      <w:rPr>
        <w:rFonts w:ascii="Wingdings" w:hAnsi="Wingdings" w:hint="default"/>
      </w:rPr>
    </w:lvl>
    <w:lvl w:ilvl="6" w:tplc="0C090001" w:tentative="1">
      <w:start w:val="1"/>
      <w:numFmt w:val="bullet"/>
      <w:lvlText w:val=""/>
      <w:lvlJc w:val="left"/>
      <w:pPr>
        <w:ind w:left="6195" w:hanging="360"/>
      </w:pPr>
      <w:rPr>
        <w:rFonts w:ascii="Symbol" w:hAnsi="Symbol" w:hint="default"/>
      </w:rPr>
    </w:lvl>
    <w:lvl w:ilvl="7" w:tplc="0C090003" w:tentative="1">
      <w:start w:val="1"/>
      <w:numFmt w:val="bullet"/>
      <w:lvlText w:val="o"/>
      <w:lvlJc w:val="left"/>
      <w:pPr>
        <w:ind w:left="6915" w:hanging="360"/>
      </w:pPr>
      <w:rPr>
        <w:rFonts w:ascii="Courier New" w:hAnsi="Courier New" w:cs="Courier New" w:hint="default"/>
      </w:rPr>
    </w:lvl>
    <w:lvl w:ilvl="8" w:tplc="0C090005" w:tentative="1">
      <w:start w:val="1"/>
      <w:numFmt w:val="bullet"/>
      <w:lvlText w:val=""/>
      <w:lvlJc w:val="left"/>
      <w:pPr>
        <w:ind w:left="7635" w:hanging="360"/>
      </w:pPr>
      <w:rPr>
        <w:rFonts w:ascii="Wingdings" w:hAnsi="Wingdings" w:hint="default"/>
      </w:rPr>
    </w:lvl>
  </w:abstractNum>
  <w:abstractNum w:abstractNumId="23" w15:restartNumberingAfterBreak="0">
    <w:nsid w:val="76706A8F"/>
    <w:multiLevelType w:val="hybridMultilevel"/>
    <w:tmpl w:val="1104472C"/>
    <w:lvl w:ilvl="0" w:tplc="F8C415F8">
      <w:start w:val="1"/>
      <w:numFmt w:val="decimal"/>
      <w:lvlText w:val="%1."/>
      <w:lvlJc w:val="left"/>
      <w:pPr>
        <w:ind w:left="1802" w:hanging="360"/>
      </w:pPr>
      <w:rPr>
        <w:rFonts w:hint="default"/>
      </w:rPr>
    </w:lvl>
    <w:lvl w:ilvl="1" w:tplc="0C090019" w:tentative="1">
      <w:start w:val="1"/>
      <w:numFmt w:val="lowerLetter"/>
      <w:lvlText w:val="%2."/>
      <w:lvlJc w:val="left"/>
      <w:pPr>
        <w:ind w:left="2522" w:hanging="360"/>
      </w:pPr>
    </w:lvl>
    <w:lvl w:ilvl="2" w:tplc="0C09001B" w:tentative="1">
      <w:start w:val="1"/>
      <w:numFmt w:val="lowerRoman"/>
      <w:lvlText w:val="%3."/>
      <w:lvlJc w:val="right"/>
      <w:pPr>
        <w:ind w:left="3242" w:hanging="180"/>
      </w:pPr>
    </w:lvl>
    <w:lvl w:ilvl="3" w:tplc="0C09000F" w:tentative="1">
      <w:start w:val="1"/>
      <w:numFmt w:val="decimal"/>
      <w:lvlText w:val="%4."/>
      <w:lvlJc w:val="left"/>
      <w:pPr>
        <w:ind w:left="3962" w:hanging="360"/>
      </w:pPr>
    </w:lvl>
    <w:lvl w:ilvl="4" w:tplc="0C090019" w:tentative="1">
      <w:start w:val="1"/>
      <w:numFmt w:val="lowerLetter"/>
      <w:lvlText w:val="%5."/>
      <w:lvlJc w:val="left"/>
      <w:pPr>
        <w:ind w:left="4682" w:hanging="360"/>
      </w:pPr>
    </w:lvl>
    <w:lvl w:ilvl="5" w:tplc="0C09001B" w:tentative="1">
      <w:start w:val="1"/>
      <w:numFmt w:val="lowerRoman"/>
      <w:lvlText w:val="%6."/>
      <w:lvlJc w:val="right"/>
      <w:pPr>
        <w:ind w:left="5402" w:hanging="180"/>
      </w:pPr>
    </w:lvl>
    <w:lvl w:ilvl="6" w:tplc="0C09000F" w:tentative="1">
      <w:start w:val="1"/>
      <w:numFmt w:val="decimal"/>
      <w:lvlText w:val="%7."/>
      <w:lvlJc w:val="left"/>
      <w:pPr>
        <w:ind w:left="6122" w:hanging="360"/>
      </w:pPr>
    </w:lvl>
    <w:lvl w:ilvl="7" w:tplc="0C090019" w:tentative="1">
      <w:start w:val="1"/>
      <w:numFmt w:val="lowerLetter"/>
      <w:lvlText w:val="%8."/>
      <w:lvlJc w:val="left"/>
      <w:pPr>
        <w:ind w:left="6842" w:hanging="360"/>
      </w:pPr>
    </w:lvl>
    <w:lvl w:ilvl="8" w:tplc="0C09001B" w:tentative="1">
      <w:start w:val="1"/>
      <w:numFmt w:val="lowerRoman"/>
      <w:lvlText w:val="%9."/>
      <w:lvlJc w:val="right"/>
      <w:pPr>
        <w:ind w:left="7562" w:hanging="180"/>
      </w:pPr>
    </w:lvl>
  </w:abstractNum>
  <w:abstractNum w:abstractNumId="24" w15:restartNumberingAfterBreak="0">
    <w:nsid w:val="78231AC7"/>
    <w:multiLevelType w:val="hybridMultilevel"/>
    <w:tmpl w:val="D080538A"/>
    <w:lvl w:ilvl="0" w:tplc="0C090001">
      <w:start w:val="1"/>
      <w:numFmt w:val="bullet"/>
      <w:lvlText w:val=""/>
      <w:lvlJc w:val="left"/>
      <w:pPr>
        <w:ind w:left="1814" w:hanging="360"/>
      </w:pPr>
      <w:rPr>
        <w:rFonts w:ascii="Symbol" w:hAnsi="Symbol" w:hint="default"/>
      </w:rPr>
    </w:lvl>
    <w:lvl w:ilvl="1" w:tplc="0C090003" w:tentative="1">
      <w:start w:val="1"/>
      <w:numFmt w:val="bullet"/>
      <w:lvlText w:val="o"/>
      <w:lvlJc w:val="left"/>
      <w:pPr>
        <w:ind w:left="2534" w:hanging="360"/>
      </w:pPr>
      <w:rPr>
        <w:rFonts w:ascii="Courier New" w:hAnsi="Courier New" w:cs="Courier New" w:hint="default"/>
      </w:rPr>
    </w:lvl>
    <w:lvl w:ilvl="2" w:tplc="0C090005" w:tentative="1">
      <w:start w:val="1"/>
      <w:numFmt w:val="bullet"/>
      <w:lvlText w:val=""/>
      <w:lvlJc w:val="left"/>
      <w:pPr>
        <w:ind w:left="3254" w:hanging="360"/>
      </w:pPr>
      <w:rPr>
        <w:rFonts w:ascii="Wingdings" w:hAnsi="Wingdings" w:hint="default"/>
      </w:rPr>
    </w:lvl>
    <w:lvl w:ilvl="3" w:tplc="0C090001" w:tentative="1">
      <w:start w:val="1"/>
      <w:numFmt w:val="bullet"/>
      <w:lvlText w:val=""/>
      <w:lvlJc w:val="left"/>
      <w:pPr>
        <w:ind w:left="3974" w:hanging="360"/>
      </w:pPr>
      <w:rPr>
        <w:rFonts w:ascii="Symbol" w:hAnsi="Symbol" w:hint="default"/>
      </w:rPr>
    </w:lvl>
    <w:lvl w:ilvl="4" w:tplc="0C090003" w:tentative="1">
      <w:start w:val="1"/>
      <w:numFmt w:val="bullet"/>
      <w:lvlText w:val="o"/>
      <w:lvlJc w:val="left"/>
      <w:pPr>
        <w:ind w:left="4694" w:hanging="360"/>
      </w:pPr>
      <w:rPr>
        <w:rFonts w:ascii="Courier New" w:hAnsi="Courier New" w:cs="Courier New" w:hint="default"/>
      </w:rPr>
    </w:lvl>
    <w:lvl w:ilvl="5" w:tplc="0C090005" w:tentative="1">
      <w:start w:val="1"/>
      <w:numFmt w:val="bullet"/>
      <w:lvlText w:val=""/>
      <w:lvlJc w:val="left"/>
      <w:pPr>
        <w:ind w:left="5414" w:hanging="360"/>
      </w:pPr>
      <w:rPr>
        <w:rFonts w:ascii="Wingdings" w:hAnsi="Wingdings" w:hint="default"/>
      </w:rPr>
    </w:lvl>
    <w:lvl w:ilvl="6" w:tplc="0C090001" w:tentative="1">
      <w:start w:val="1"/>
      <w:numFmt w:val="bullet"/>
      <w:lvlText w:val=""/>
      <w:lvlJc w:val="left"/>
      <w:pPr>
        <w:ind w:left="6134" w:hanging="360"/>
      </w:pPr>
      <w:rPr>
        <w:rFonts w:ascii="Symbol" w:hAnsi="Symbol" w:hint="default"/>
      </w:rPr>
    </w:lvl>
    <w:lvl w:ilvl="7" w:tplc="0C090003" w:tentative="1">
      <w:start w:val="1"/>
      <w:numFmt w:val="bullet"/>
      <w:lvlText w:val="o"/>
      <w:lvlJc w:val="left"/>
      <w:pPr>
        <w:ind w:left="6854" w:hanging="360"/>
      </w:pPr>
      <w:rPr>
        <w:rFonts w:ascii="Courier New" w:hAnsi="Courier New" w:cs="Courier New" w:hint="default"/>
      </w:rPr>
    </w:lvl>
    <w:lvl w:ilvl="8" w:tplc="0C090005" w:tentative="1">
      <w:start w:val="1"/>
      <w:numFmt w:val="bullet"/>
      <w:lvlText w:val=""/>
      <w:lvlJc w:val="left"/>
      <w:pPr>
        <w:ind w:left="7574" w:hanging="360"/>
      </w:pPr>
      <w:rPr>
        <w:rFonts w:ascii="Wingdings" w:hAnsi="Wingdings" w:hint="default"/>
      </w:r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19"/>
  </w:num>
  <w:num w:numId="13">
    <w:abstractNumId w:val="16"/>
  </w:num>
  <w:num w:numId="14">
    <w:abstractNumId w:val="12"/>
  </w:num>
  <w:num w:numId="15">
    <w:abstractNumId w:val="11"/>
  </w:num>
  <w:num w:numId="16">
    <w:abstractNumId w:val="14"/>
  </w:num>
  <w:num w:numId="17">
    <w:abstractNumId w:val="22"/>
  </w:num>
  <w:num w:numId="18">
    <w:abstractNumId w:val="10"/>
  </w:num>
  <w:num w:numId="19">
    <w:abstractNumId w:val="21"/>
  </w:num>
  <w:num w:numId="20">
    <w:abstractNumId w:val="24"/>
  </w:num>
  <w:num w:numId="21">
    <w:abstractNumId w:val="20"/>
  </w:num>
  <w:num w:numId="22">
    <w:abstractNumId w:val="17"/>
  </w:num>
  <w:num w:numId="23">
    <w:abstractNumId w:val="15"/>
  </w:num>
  <w:num w:numId="24">
    <w:abstractNumId w:val="23"/>
  </w:num>
  <w:num w:numId="25">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9A7"/>
    <w:rsid w:val="00000D7F"/>
    <w:rsid w:val="000015EC"/>
    <w:rsid w:val="000017A6"/>
    <w:rsid w:val="00001BAE"/>
    <w:rsid w:val="00002164"/>
    <w:rsid w:val="00002206"/>
    <w:rsid w:val="00002957"/>
    <w:rsid w:val="00002C6B"/>
    <w:rsid w:val="00003EA5"/>
    <w:rsid w:val="000045EA"/>
    <w:rsid w:val="00004E9D"/>
    <w:rsid w:val="0000524A"/>
    <w:rsid w:val="0000600D"/>
    <w:rsid w:val="00006700"/>
    <w:rsid w:val="00006F1C"/>
    <w:rsid w:val="0000705B"/>
    <w:rsid w:val="000075F7"/>
    <w:rsid w:val="000078BF"/>
    <w:rsid w:val="00007F4A"/>
    <w:rsid w:val="0001004B"/>
    <w:rsid w:val="000103CB"/>
    <w:rsid w:val="000107B2"/>
    <w:rsid w:val="00010F3B"/>
    <w:rsid w:val="00011015"/>
    <w:rsid w:val="000111AE"/>
    <w:rsid w:val="00011D33"/>
    <w:rsid w:val="00011F67"/>
    <w:rsid w:val="0001435A"/>
    <w:rsid w:val="00014550"/>
    <w:rsid w:val="0001463A"/>
    <w:rsid w:val="00014E48"/>
    <w:rsid w:val="000154B0"/>
    <w:rsid w:val="000158A8"/>
    <w:rsid w:val="000161C2"/>
    <w:rsid w:val="0001685F"/>
    <w:rsid w:val="00016C93"/>
    <w:rsid w:val="00017EA1"/>
    <w:rsid w:val="00020122"/>
    <w:rsid w:val="0002098F"/>
    <w:rsid w:val="00020CEC"/>
    <w:rsid w:val="0002120D"/>
    <w:rsid w:val="000213F9"/>
    <w:rsid w:val="00022485"/>
    <w:rsid w:val="000229C9"/>
    <w:rsid w:val="00022B6A"/>
    <w:rsid w:val="00022E92"/>
    <w:rsid w:val="00022F67"/>
    <w:rsid w:val="000244CB"/>
    <w:rsid w:val="0002476A"/>
    <w:rsid w:val="0002521D"/>
    <w:rsid w:val="00026FD4"/>
    <w:rsid w:val="000275B1"/>
    <w:rsid w:val="00027A89"/>
    <w:rsid w:val="0003002C"/>
    <w:rsid w:val="00031037"/>
    <w:rsid w:val="00031FDC"/>
    <w:rsid w:val="00032235"/>
    <w:rsid w:val="00032256"/>
    <w:rsid w:val="000323B2"/>
    <w:rsid w:val="00032E90"/>
    <w:rsid w:val="000340E2"/>
    <w:rsid w:val="000350EB"/>
    <w:rsid w:val="00035E21"/>
    <w:rsid w:val="000360AA"/>
    <w:rsid w:val="000361BB"/>
    <w:rsid w:val="00036436"/>
    <w:rsid w:val="00036531"/>
    <w:rsid w:val="000367B7"/>
    <w:rsid w:val="00036A11"/>
    <w:rsid w:val="00036B4A"/>
    <w:rsid w:val="00036B6C"/>
    <w:rsid w:val="00036BE4"/>
    <w:rsid w:val="00036C3D"/>
    <w:rsid w:val="00036F45"/>
    <w:rsid w:val="000372E1"/>
    <w:rsid w:val="000372F4"/>
    <w:rsid w:val="00037DC7"/>
    <w:rsid w:val="00037E3D"/>
    <w:rsid w:val="00040780"/>
    <w:rsid w:val="000407FA"/>
    <w:rsid w:val="00040CE2"/>
    <w:rsid w:val="00040D7E"/>
    <w:rsid w:val="000411F7"/>
    <w:rsid w:val="00041544"/>
    <w:rsid w:val="000418F3"/>
    <w:rsid w:val="00041DB9"/>
    <w:rsid w:val="00042151"/>
    <w:rsid w:val="000426CE"/>
    <w:rsid w:val="00042861"/>
    <w:rsid w:val="000429ED"/>
    <w:rsid w:val="000430B8"/>
    <w:rsid w:val="00043920"/>
    <w:rsid w:val="00044187"/>
    <w:rsid w:val="0004460E"/>
    <w:rsid w:val="00044FC9"/>
    <w:rsid w:val="00045102"/>
    <w:rsid w:val="000451A3"/>
    <w:rsid w:val="00045283"/>
    <w:rsid w:val="00045404"/>
    <w:rsid w:val="000454CC"/>
    <w:rsid w:val="00045712"/>
    <w:rsid w:val="00045C4B"/>
    <w:rsid w:val="000465F1"/>
    <w:rsid w:val="0004672A"/>
    <w:rsid w:val="00046FA7"/>
    <w:rsid w:val="0004702A"/>
    <w:rsid w:val="0004727A"/>
    <w:rsid w:val="0004789D"/>
    <w:rsid w:val="00047BC1"/>
    <w:rsid w:val="00050859"/>
    <w:rsid w:val="00050CBC"/>
    <w:rsid w:val="00050E43"/>
    <w:rsid w:val="000512CD"/>
    <w:rsid w:val="0005144D"/>
    <w:rsid w:val="00051A77"/>
    <w:rsid w:val="00052649"/>
    <w:rsid w:val="0005299A"/>
    <w:rsid w:val="000532F5"/>
    <w:rsid w:val="00054168"/>
    <w:rsid w:val="00054653"/>
    <w:rsid w:val="000549C8"/>
    <w:rsid w:val="00054A5F"/>
    <w:rsid w:val="00054CE5"/>
    <w:rsid w:val="00054D14"/>
    <w:rsid w:val="000559D2"/>
    <w:rsid w:val="00055F29"/>
    <w:rsid w:val="00056C1A"/>
    <w:rsid w:val="000570BF"/>
    <w:rsid w:val="000579B1"/>
    <w:rsid w:val="00057B9F"/>
    <w:rsid w:val="00057CB7"/>
    <w:rsid w:val="00057FC7"/>
    <w:rsid w:val="00060199"/>
    <w:rsid w:val="00060EBF"/>
    <w:rsid w:val="00061C05"/>
    <w:rsid w:val="00061C6C"/>
    <w:rsid w:val="000620B3"/>
    <w:rsid w:val="00062105"/>
    <w:rsid w:val="000628FC"/>
    <w:rsid w:val="00062D51"/>
    <w:rsid w:val="00062FFD"/>
    <w:rsid w:val="0006327C"/>
    <w:rsid w:val="00063350"/>
    <w:rsid w:val="00063750"/>
    <w:rsid w:val="00064653"/>
    <w:rsid w:val="00064891"/>
    <w:rsid w:val="00065236"/>
    <w:rsid w:val="000652B6"/>
    <w:rsid w:val="00065639"/>
    <w:rsid w:val="00066C12"/>
    <w:rsid w:val="00067795"/>
    <w:rsid w:val="00067E1F"/>
    <w:rsid w:val="00067EA3"/>
    <w:rsid w:val="00067FAE"/>
    <w:rsid w:val="00070139"/>
    <w:rsid w:val="000705F2"/>
    <w:rsid w:val="00070EAF"/>
    <w:rsid w:val="000710C9"/>
    <w:rsid w:val="00071634"/>
    <w:rsid w:val="00071A56"/>
    <w:rsid w:val="00071C30"/>
    <w:rsid w:val="00071DF9"/>
    <w:rsid w:val="00072160"/>
    <w:rsid w:val="0007236C"/>
    <w:rsid w:val="0007240D"/>
    <w:rsid w:val="00072803"/>
    <w:rsid w:val="000728CB"/>
    <w:rsid w:val="00072A90"/>
    <w:rsid w:val="00072EDA"/>
    <w:rsid w:val="00073184"/>
    <w:rsid w:val="00073A72"/>
    <w:rsid w:val="00073A9B"/>
    <w:rsid w:val="000740E7"/>
    <w:rsid w:val="000744DA"/>
    <w:rsid w:val="000747CE"/>
    <w:rsid w:val="0007511C"/>
    <w:rsid w:val="00075F48"/>
    <w:rsid w:val="00076E00"/>
    <w:rsid w:val="000778B7"/>
    <w:rsid w:val="00077DDE"/>
    <w:rsid w:val="00080365"/>
    <w:rsid w:val="000806AA"/>
    <w:rsid w:val="0008081B"/>
    <w:rsid w:val="00080A4F"/>
    <w:rsid w:val="0008103E"/>
    <w:rsid w:val="00081B98"/>
    <w:rsid w:val="00081BDF"/>
    <w:rsid w:val="000825EF"/>
    <w:rsid w:val="000829C7"/>
    <w:rsid w:val="00082C44"/>
    <w:rsid w:val="00082F53"/>
    <w:rsid w:val="00083466"/>
    <w:rsid w:val="000839F3"/>
    <w:rsid w:val="00083A32"/>
    <w:rsid w:val="00083BA3"/>
    <w:rsid w:val="0008435D"/>
    <w:rsid w:val="00084C4E"/>
    <w:rsid w:val="0008564E"/>
    <w:rsid w:val="0008668C"/>
    <w:rsid w:val="00086899"/>
    <w:rsid w:val="00086F05"/>
    <w:rsid w:val="00087BB5"/>
    <w:rsid w:val="000902DC"/>
    <w:rsid w:val="000908F2"/>
    <w:rsid w:val="00090931"/>
    <w:rsid w:val="00090CAE"/>
    <w:rsid w:val="00091163"/>
    <w:rsid w:val="0009185E"/>
    <w:rsid w:val="000918B8"/>
    <w:rsid w:val="00092BC9"/>
    <w:rsid w:val="000931F8"/>
    <w:rsid w:val="00093926"/>
    <w:rsid w:val="000939DC"/>
    <w:rsid w:val="00093FFA"/>
    <w:rsid w:val="000940FB"/>
    <w:rsid w:val="000949F2"/>
    <w:rsid w:val="00094ACD"/>
    <w:rsid w:val="00095306"/>
    <w:rsid w:val="00095B53"/>
    <w:rsid w:val="00095EBE"/>
    <w:rsid w:val="00096669"/>
    <w:rsid w:val="0009688C"/>
    <w:rsid w:val="00096F52"/>
    <w:rsid w:val="00097714"/>
    <w:rsid w:val="000A1066"/>
    <w:rsid w:val="000A168B"/>
    <w:rsid w:val="000A194B"/>
    <w:rsid w:val="000A1992"/>
    <w:rsid w:val="000A1DB8"/>
    <w:rsid w:val="000A2295"/>
    <w:rsid w:val="000A2ACE"/>
    <w:rsid w:val="000A2F50"/>
    <w:rsid w:val="000A312E"/>
    <w:rsid w:val="000A3DB1"/>
    <w:rsid w:val="000A48AC"/>
    <w:rsid w:val="000A4AAF"/>
    <w:rsid w:val="000A50A5"/>
    <w:rsid w:val="000A520E"/>
    <w:rsid w:val="000A614D"/>
    <w:rsid w:val="000A6342"/>
    <w:rsid w:val="000A639F"/>
    <w:rsid w:val="000A6419"/>
    <w:rsid w:val="000A688A"/>
    <w:rsid w:val="000A6A66"/>
    <w:rsid w:val="000A6AD8"/>
    <w:rsid w:val="000A771C"/>
    <w:rsid w:val="000A7C31"/>
    <w:rsid w:val="000B0603"/>
    <w:rsid w:val="000B074D"/>
    <w:rsid w:val="000B081E"/>
    <w:rsid w:val="000B0A5D"/>
    <w:rsid w:val="000B3C21"/>
    <w:rsid w:val="000B408D"/>
    <w:rsid w:val="000B4582"/>
    <w:rsid w:val="000B45ED"/>
    <w:rsid w:val="000B469A"/>
    <w:rsid w:val="000B4758"/>
    <w:rsid w:val="000B5674"/>
    <w:rsid w:val="000B593B"/>
    <w:rsid w:val="000B5B68"/>
    <w:rsid w:val="000B5EC8"/>
    <w:rsid w:val="000B655B"/>
    <w:rsid w:val="000B660E"/>
    <w:rsid w:val="000B75C6"/>
    <w:rsid w:val="000B7F51"/>
    <w:rsid w:val="000C0230"/>
    <w:rsid w:val="000C0236"/>
    <w:rsid w:val="000C0890"/>
    <w:rsid w:val="000C08DE"/>
    <w:rsid w:val="000C16AF"/>
    <w:rsid w:val="000C1C10"/>
    <w:rsid w:val="000C2307"/>
    <w:rsid w:val="000C2F4F"/>
    <w:rsid w:val="000C3902"/>
    <w:rsid w:val="000C39DA"/>
    <w:rsid w:val="000C4180"/>
    <w:rsid w:val="000C41F4"/>
    <w:rsid w:val="000C4775"/>
    <w:rsid w:val="000C493D"/>
    <w:rsid w:val="000C4D17"/>
    <w:rsid w:val="000C554E"/>
    <w:rsid w:val="000C5608"/>
    <w:rsid w:val="000C5DA6"/>
    <w:rsid w:val="000C5F6D"/>
    <w:rsid w:val="000C6749"/>
    <w:rsid w:val="000C6967"/>
    <w:rsid w:val="000C7840"/>
    <w:rsid w:val="000C7F50"/>
    <w:rsid w:val="000D001A"/>
    <w:rsid w:val="000D0C96"/>
    <w:rsid w:val="000D1016"/>
    <w:rsid w:val="000D10B5"/>
    <w:rsid w:val="000D16EA"/>
    <w:rsid w:val="000D1CAA"/>
    <w:rsid w:val="000D1DB8"/>
    <w:rsid w:val="000D236F"/>
    <w:rsid w:val="000D26C0"/>
    <w:rsid w:val="000D295B"/>
    <w:rsid w:val="000D2A65"/>
    <w:rsid w:val="000D39A5"/>
    <w:rsid w:val="000D45DE"/>
    <w:rsid w:val="000D471A"/>
    <w:rsid w:val="000D4AFE"/>
    <w:rsid w:val="000D5180"/>
    <w:rsid w:val="000D5832"/>
    <w:rsid w:val="000D66EF"/>
    <w:rsid w:val="000D6BF8"/>
    <w:rsid w:val="000D7306"/>
    <w:rsid w:val="000D7C29"/>
    <w:rsid w:val="000E0942"/>
    <w:rsid w:val="000E098D"/>
    <w:rsid w:val="000E1156"/>
    <w:rsid w:val="000E130A"/>
    <w:rsid w:val="000E1524"/>
    <w:rsid w:val="000E1DF3"/>
    <w:rsid w:val="000E2866"/>
    <w:rsid w:val="000E2AD0"/>
    <w:rsid w:val="000E2DEC"/>
    <w:rsid w:val="000E30E4"/>
    <w:rsid w:val="000E3BD7"/>
    <w:rsid w:val="000E4030"/>
    <w:rsid w:val="000E44C5"/>
    <w:rsid w:val="000E4837"/>
    <w:rsid w:val="000E4B22"/>
    <w:rsid w:val="000E534E"/>
    <w:rsid w:val="000E5614"/>
    <w:rsid w:val="000E589C"/>
    <w:rsid w:val="000E5FF1"/>
    <w:rsid w:val="000E5FFF"/>
    <w:rsid w:val="000E639E"/>
    <w:rsid w:val="000E692B"/>
    <w:rsid w:val="000E7358"/>
    <w:rsid w:val="000F0052"/>
    <w:rsid w:val="000F0354"/>
    <w:rsid w:val="000F036C"/>
    <w:rsid w:val="000F04C1"/>
    <w:rsid w:val="000F08B9"/>
    <w:rsid w:val="000F09EC"/>
    <w:rsid w:val="000F10F5"/>
    <w:rsid w:val="000F13D6"/>
    <w:rsid w:val="000F14C9"/>
    <w:rsid w:val="000F15A8"/>
    <w:rsid w:val="000F1DDA"/>
    <w:rsid w:val="000F2519"/>
    <w:rsid w:val="000F2909"/>
    <w:rsid w:val="000F3149"/>
    <w:rsid w:val="000F3426"/>
    <w:rsid w:val="000F3500"/>
    <w:rsid w:val="000F3D16"/>
    <w:rsid w:val="000F3E27"/>
    <w:rsid w:val="000F43CD"/>
    <w:rsid w:val="000F448C"/>
    <w:rsid w:val="000F4533"/>
    <w:rsid w:val="000F471F"/>
    <w:rsid w:val="000F513C"/>
    <w:rsid w:val="000F55D0"/>
    <w:rsid w:val="000F5E59"/>
    <w:rsid w:val="000F629E"/>
    <w:rsid w:val="000F6376"/>
    <w:rsid w:val="000F6D60"/>
    <w:rsid w:val="000F707A"/>
    <w:rsid w:val="000F7324"/>
    <w:rsid w:val="000F74D4"/>
    <w:rsid w:val="000F77FD"/>
    <w:rsid w:val="001000B0"/>
    <w:rsid w:val="001001FF"/>
    <w:rsid w:val="001002FA"/>
    <w:rsid w:val="00100594"/>
    <w:rsid w:val="001005F3"/>
    <w:rsid w:val="00100BF8"/>
    <w:rsid w:val="00101B20"/>
    <w:rsid w:val="0010250D"/>
    <w:rsid w:val="00102703"/>
    <w:rsid w:val="00102A97"/>
    <w:rsid w:val="0010304E"/>
    <w:rsid w:val="00103202"/>
    <w:rsid w:val="00105071"/>
    <w:rsid w:val="00105395"/>
    <w:rsid w:val="00105456"/>
    <w:rsid w:val="00105539"/>
    <w:rsid w:val="00105638"/>
    <w:rsid w:val="00106436"/>
    <w:rsid w:val="001066D9"/>
    <w:rsid w:val="00106A79"/>
    <w:rsid w:val="00107846"/>
    <w:rsid w:val="00107C80"/>
    <w:rsid w:val="001114B4"/>
    <w:rsid w:val="00111619"/>
    <w:rsid w:val="00111A0E"/>
    <w:rsid w:val="00112456"/>
    <w:rsid w:val="00112A08"/>
    <w:rsid w:val="00112BAB"/>
    <w:rsid w:val="00112C38"/>
    <w:rsid w:val="00113187"/>
    <w:rsid w:val="001133E6"/>
    <w:rsid w:val="00113964"/>
    <w:rsid w:val="001142EE"/>
    <w:rsid w:val="001144C4"/>
    <w:rsid w:val="00114519"/>
    <w:rsid w:val="0011490A"/>
    <w:rsid w:val="0011523C"/>
    <w:rsid w:val="00115520"/>
    <w:rsid w:val="00115B63"/>
    <w:rsid w:val="00115FE9"/>
    <w:rsid w:val="0011619A"/>
    <w:rsid w:val="001164B8"/>
    <w:rsid w:val="0011654D"/>
    <w:rsid w:val="00116987"/>
    <w:rsid w:val="00116F8B"/>
    <w:rsid w:val="0011759D"/>
    <w:rsid w:val="00117643"/>
    <w:rsid w:val="00117E1D"/>
    <w:rsid w:val="001203E2"/>
    <w:rsid w:val="001212F5"/>
    <w:rsid w:val="001221FA"/>
    <w:rsid w:val="001224B9"/>
    <w:rsid w:val="0012352A"/>
    <w:rsid w:val="0012463E"/>
    <w:rsid w:val="001249E3"/>
    <w:rsid w:val="00124CCF"/>
    <w:rsid w:val="001255F9"/>
    <w:rsid w:val="0012568D"/>
    <w:rsid w:val="00125A76"/>
    <w:rsid w:val="0012726C"/>
    <w:rsid w:val="0012736A"/>
    <w:rsid w:val="00127384"/>
    <w:rsid w:val="001301E6"/>
    <w:rsid w:val="001307B6"/>
    <w:rsid w:val="001309D7"/>
    <w:rsid w:val="00130A65"/>
    <w:rsid w:val="00131374"/>
    <w:rsid w:val="0013184A"/>
    <w:rsid w:val="001318C4"/>
    <w:rsid w:val="00131EA3"/>
    <w:rsid w:val="0013284F"/>
    <w:rsid w:val="00132BA3"/>
    <w:rsid w:val="00133339"/>
    <w:rsid w:val="00134774"/>
    <w:rsid w:val="00134785"/>
    <w:rsid w:val="00134977"/>
    <w:rsid w:val="00135292"/>
    <w:rsid w:val="00135CD3"/>
    <w:rsid w:val="00135E41"/>
    <w:rsid w:val="00135FC2"/>
    <w:rsid w:val="001362B4"/>
    <w:rsid w:val="0013740B"/>
    <w:rsid w:val="00137858"/>
    <w:rsid w:val="00140274"/>
    <w:rsid w:val="00140CB7"/>
    <w:rsid w:val="001413E9"/>
    <w:rsid w:val="00141448"/>
    <w:rsid w:val="001420A4"/>
    <w:rsid w:val="001420BF"/>
    <w:rsid w:val="001427E4"/>
    <w:rsid w:val="00142C28"/>
    <w:rsid w:val="00142ECB"/>
    <w:rsid w:val="0014375E"/>
    <w:rsid w:val="00143B77"/>
    <w:rsid w:val="00143F00"/>
    <w:rsid w:val="00144C44"/>
    <w:rsid w:val="00144CE9"/>
    <w:rsid w:val="00144DA0"/>
    <w:rsid w:val="00144E33"/>
    <w:rsid w:val="00145163"/>
    <w:rsid w:val="00145E0F"/>
    <w:rsid w:val="001460E3"/>
    <w:rsid w:val="0014626D"/>
    <w:rsid w:val="00147039"/>
    <w:rsid w:val="001470F8"/>
    <w:rsid w:val="001471B8"/>
    <w:rsid w:val="001472EE"/>
    <w:rsid w:val="00147BD2"/>
    <w:rsid w:val="0015019F"/>
    <w:rsid w:val="00150C76"/>
    <w:rsid w:val="00150D24"/>
    <w:rsid w:val="00150E57"/>
    <w:rsid w:val="00151263"/>
    <w:rsid w:val="0015150E"/>
    <w:rsid w:val="00151C2C"/>
    <w:rsid w:val="0015239E"/>
    <w:rsid w:val="00153A09"/>
    <w:rsid w:val="00154894"/>
    <w:rsid w:val="00154F06"/>
    <w:rsid w:val="0015507B"/>
    <w:rsid w:val="00155668"/>
    <w:rsid w:val="00155A51"/>
    <w:rsid w:val="001576CA"/>
    <w:rsid w:val="00160B27"/>
    <w:rsid w:val="00161069"/>
    <w:rsid w:val="001611AE"/>
    <w:rsid w:val="0016130B"/>
    <w:rsid w:val="0016171B"/>
    <w:rsid w:val="00161921"/>
    <w:rsid w:val="00161E26"/>
    <w:rsid w:val="0016224C"/>
    <w:rsid w:val="0016227E"/>
    <w:rsid w:val="0016266F"/>
    <w:rsid w:val="001626B4"/>
    <w:rsid w:val="0016272B"/>
    <w:rsid w:val="00162A8D"/>
    <w:rsid w:val="00162B73"/>
    <w:rsid w:val="00164596"/>
    <w:rsid w:val="001646FD"/>
    <w:rsid w:val="00164DB8"/>
    <w:rsid w:val="00164F38"/>
    <w:rsid w:val="00165E3C"/>
    <w:rsid w:val="001665E0"/>
    <w:rsid w:val="001669B4"/>
    <w:rsid w:val="00166AC2"/>
    <w:rsid w:val="00166B3B"/>
    <w:rsid w:val="001675D7"/>
    <w:rsid w:val="00167B95"/>
    <w:rsid w:val="00167DA5"/>
    <w:rsid w:val="00170931"/>
    <w:rsid w:val="00170D50"/>
    <w:rsid w:val="00170E03"/>
    <w:rsid w:val="001716E1"/>
    <w:rsid w:val="0017171F"/>
    <w:rsid w:val="00171A40"/>
    <w:rsid w:val="001721D2"/>
    <w:rsid w:val="001730D0"/>
    <w:rsid w:val="001732A4"/>
    <w:rsid w:val="00173667"/>
    <w:rsid w:val="00173744"/>
    <w:rsid w:val="00173FB5"/>
    <w:rsid w:val="00174D9A"/>
    <w:rsid w:val="00174DAA"/>
    <w:rsid w:val="00174F68"/>
    <w:rsid w:val="0017508D"/>
    <w:rsid w:val="001753AC"/>
    <w:rsid w:val="00175692"/>
    <w:rsid w:val="0017598F"/>
    <w:rsid w:val="00175AEE"/>
    <w:rsid w:val="001770F2"/>
    <w:rsid w:val="00180ED8"/>
    <w:rsid w:val="00180F5B"/>
    <w:rsid w:val="001815ED"/>
    <w:rsid w:val="00182487"/>
    <w:rsid w:val="00182E29"/>
    <w:rsid w:val="00183180"/>
    <w:rsid w:val="001842F8"/>
    <w:rsid w:val="0018489B"/>
    <w:rsid w:val="001849BF"/>
    <w:rsid w:val="00184BD9"/>
    <w:rsid w:val="0018520F"/>
    <w:rsid w:val="0018527D"/>
    <w:rsid w:val="00185CB2"/>
    <w:rsid w:val="00185D30"/>
    <w:rsid w:val="00185E1E"/>
    <w:rsid w:val="00186375"/>
    <w:rsid w:val="001870B4"/>
    <w:rsid w:val="001876CD"/>
    <w:rsid w:val="00187903"/>
    <w:rsid w:val="00187B3B"/>
    <w:rsid w:val="00187B40"/>
    <w:rsid w:val="00187BCA"/>
    <w:rsid w:val="00187C67"/>
    <w:rsid w:val="00190296"/>
    <w:rsid w:val="001903B3"/>
    <w:rsid w:val="00190C63"/>
    <w:rsid w:val="0019163F"/>
    <w:rsid w:val="001918C7"/>
    <w:rsid w:val="00192629"/>
    <w:rsid w:val="001930DD"/>
    <w:rsid w:val="001932E8"/>
    <w:rsid w:val="0019342B"/>
    <w:rsid w:val="00193A92"/>
    <w:rsid w:val="001944EC"/>
    <w:rsid w:val="00194976"/>
    <w:rsid w:val="00195B88"/>
    <w:rsid w:val="00195EDE"/>
    <w:rsid w:val="001963B0"/>
    <w:rsid w:val="00196E05"/>
    <w:rsid w:val="001970A6"/>
    <w:rsid w:val="001971EF"/>
    <w:rsid w:val="001976C1"/>
    <w:rsid w:val="001A0978"/>
    <w:rsid w:val="001A09D0"/>
    <w:rsid w:val="001A0FFE"/>
    <w:rsid w:val="001A1A48"/>
    <w:rsid w:val="001A1B0A"/>
    <w:rsid w:val="001A3F67"/>
    <w:rsid w:val="001A4109"/>
    <w:rsid w:val="001A42F9"/>
    <w:rsid w:val="001A45AD"/>
    <w:rsid w:val="001A4885"/>
    <w:rsid w:val="001A4E41"/>
    <w:rsid w:val="001A579A"/>
    <w:rsid w:val="001A5D13"/>
    <w:rsid w:val="001A657E"/>
    <w:rsid w:val="001A689D"/>
    <w:rsid w:val="001B0353"/>
    <w:rsid w:val="001B041D"/>
    <w:rsid w:val="001B0AC0"/>
    <w:rsid w:val="001B112D"/>
    <w:rsid w:val="001B16D6"/>
    <w:rsid w:val="001B1B11"/>
    <w:rsid w:val="001B3946"/>
    <w:rsid w:val="001B42F0"/>
    <w:rsid w:val="001B4AC2"/>
    <w:rsid w:val="001B509E"/>
    <w:rsid w:val="001B5BC9"/>
    <w:rsid w:val="001B65E1"/>
    <w:rsid w:val="001B69E4"/>
    <w:rsid w:val="001B6BBE"/>
    <w:rsid w:val="001B726A"/>
    <w:rsid w:val="001B7573"/>
    <w:rsid w:val="001B783F"/>
    <w:rsid w:val="001B7C9E"/>
    <w:rsid w:val="001B7D0E"/>
    <w:rsid w:val="001C0072"/>
    <w:rsid w:val="001C0285"/>
    <w:rsid w:val="001C04F6"/>
    <w:rsid w:val="001C0744"/>
    <w:rsid w:val="001C08A7"/>
    <w:rsid w:val="001C13ED"/>
    <w:rsid w:val="001C14DA"/>
    <w:rsid w:val="001C1B45"/>
    <w:rsid w:val="001C1F87"/>
    <w:rsid w:val="001C1F8B"/>
    <w:rsid w:val="001C22D8"/>
    <w:rsid w:val="001C3847"/>
    <w:rsid w:val="001C3920"/>
    <w:rsid w:val="001C4037"/>
    <w:rsid w:val="001C528D"/>
    <w:rsid w:val="001C60E2"/>
    <w:rsid w:val="001C6412"/>
    <w:rsid w:val="001C64D0"/>
    <w:rsid w:val="001C6F31"/>
    <w:rsid w:val="001D0BE9"/>
    <w:rsid w:val="001D0DD1"/>
    <w:rsid w:val="001D10C4"/>
    <w:rsid w:val="001D1520"/>
    <w:rsid w:val="001D1F85"/>
    <w:rsid w:val="001D2FEA"/>
    <w:rsid w:val="001D31F8"/>
    <w:rsid w:val="001D3492"/>
    <w:rsid w:val="001D4A46"/>
    <w:rsid w:val="001D4CD3"/>
    <w:rsid w:val="001D55F7"/>
    <w:rsid w:val="001D5C01"/>
    <w:rsid w:val="001D604C"/>
    <w:rsid w:val="001D6549"/>
    <w:rsid w:val="001D6A3D"/>
    <w:rsid w:val="001D6B15"/>
    <w:rsid w:val="001E0055"/>
    <w:rsid w:val="001E05D5"/>
    <w:rsid w:val="001E0829"/>
    <w:rsid w:val="001E126D"/>
    <w:rsid w:val="001E1536"/>
    <w:rsid w:val="001E1654"/>
    <w:rsid w:val="001E1D5C"/>
    <w:rsid w:val="001E240C"/>
    <w:rsid w:val="001E2DA5"/>
    <w:rsid w:val="001E327A"/>
    <w:rsid w:val="001E3440"/>
    <w:rsid w:val="001E3A43"/>
    <w:rsid w:val="001E4662"/>
    <w:rsid w:val="001E470E"/>
    <w:rsid w:val="001E4A1E"/>
    <w:rsid w:val="001E5515"/>
    <w:rsid w:val="001E5676"/>
    <w:rsid w:val="001E61DA"/>
    <w:rsid w:val="001E6838"/>
    <w:rsid w:val="001E6C6A"/>
    <w:rsid w:val="001E7F01"/>
    <w:rsid w:val="001F0550"/>
    <w:rsid w:val="001F06E4"/>
    <w:rsid w:val="001F09A0"/>
    <w:rsid w:val="001F0D2C"/>
    <w:rsid w:val="001F0D9E"/>
    <w:rsid w:val="001F144C"/>
    <w:rsid w:val="001F1C91"/>
    <w:rsid w:val="001F2BBB"/>
    <w:rsid w:val="001F2C39"/>
    <w:rsid w:val="001F2D80"/>
    <w:rsid w:val="001F2FAC"/>
    <w:rsid w:val="001F35C2"/>
    <w:rsid w:val="001F43A0"/>
    <w:rsid w:val="001F43C0"/>
    <w:rsid w:val="001F47F0"/>
    <w:rsid w:val="001F52FD"/>
    <w:rsid w:val="001F53FB"/>
    <w:rsid w:val="001F5874"/>
    <w:rsid w:val="001F5B90"/>
    <w:rsid w:val="001F5C85"/>
    <w:rsid w:val="001F5E83"/>
    <w:rsid w:val="001F5EE9"/>
    <w:rsid w:val="001F6056"/>
    <w:rsid w:val="001F62CC"/>
    <w:rsid w:val="001F7A53"/>
    <w:rsid w:val="00200677"/>
    <w:rsid w:val="002012F7"/>
    <w:rsid w:val="00201728"/>
    <w:rsid w:val="002019D3"/>
    <w:rsid w:val="00201A99"/>
    <w:rsid w:val="00201CC8"/>
    <w:rsid w:val="00201FBE"/>
    <w:rsid w:val="002021CC"/>
    <w:rsid w:val="002026BC"/>
    <w:rsid w:val="002026CC"/>
    <w:rsid w:val="002027F6"/>
    <w:rsid w:val="00202A3A"/>
    <w:rsid w:val="00202AF6"/>
    <w:rsid w:val="00203118"/>
    <w:rsid w:val="002032F9"/>
    <w:rsid w:val="002036FF"/>
    <w:rsid w:val="00203BD8"/>
    <w:rsid w:val="0020439E"/>
    <w:rsid w:val="00204766"/>
    <w:rsid w:val="00205155"/>
    <w:rsid w:val="00205829"/>
    <w:rsid w:val="00205A86"/>
    <w:rsid w:val="002060CE"/>
    <w:rsid w:val="002068EB"/>
    <w:rsid w:val="00206DAC"/>
    <w:rsid w:val="00207170"/>
    <w:rsid w:val="00207C3F"/>
    <w:rsid w:val="00210D08"/>
    <w:rsid w:val="002111BA"/>
    <w:rsid w:val="00211780"/>
    <w:rsid w:val="00211DD3"/>
    <w:rsid w:val="00212158"/>
    <w:rsid w:val="002121C2"/>
    <w:rsid w:val="0021289F"/>
    <w:rsid w:val="00213241"/>
    <w:rsid w:val="00213260"/>
    <w:rsid w:val="00213327"/>
    <w:rsid w:val="0021334F"/>
    <w:rsid w:val="00215061"/>
    <w:rsid w:val="00215276"/>
    <w:rsid w:val="00215498"/>
    <w:rsid w:val="0021560B"/>
    <w:rsid w:val="00215D51"/>
    <w:rsid w:val="002167DE"/>
    <w:rsid w:val="002171E9"/>
    <w:rsid w:val="0021746B"/>
    <w:rsid w:val="00220689"/>
    <w:rsid w:val="00220B18"/>
    <w:rsid w:val="0022100D"/>
    <w:rsid w:val="002218D6"/>
    <w:rsid w:val="00222680"/>
    <w:rsid w:val="00222AC5"/>
    <w:rsid w:val="00222FB1"/>
    <w:rsid w:val="0022307E"/>
    <w:rsid w:val="0022402F"/>
    <w:rsid w:val="002241FB"/>
    <w:rsid w:val="002245BD"/>
    <w:rsid w:val="00224DF8"/>
    <w:rsid w:val="0022535C"/>
    <w:rsid w:val="002255A9"/>
    <w:rsid w:val="002256DB"/>
    <w:rsid w:val="00225F29"/>
    <w:rsid w:val="00225FFE"/>
    <w:rsid w:val="002266A8"/>
    <w:rsid w:val="00226B5D"/>
    <w:rsid w:val="002275B2"/>
    <w:rsid w:val="0022792A"/>
    <w:rsid w:val="00227CAE"/>
    <w:rsid w:val="00230E69"/>
    <w:rsid w:val="00231AFF"/>
    <w:rsid w:val="00231E91"/>
    <w:rsid w:val="00231ED1"/>
    <w:rsid w:val="0023226B"/>
    <w:rsid w:val="00232385"/>
    <w:rsid w:val="00233F76"/>
    <w:rsid w:val="0023487A"/>
    <w:rsid w:val="00234FDB"/>
    <w:rsid w:val="00235531"/>
    <w:rsid w:val="00235747"/>
    <w:rsid w:val="00235C73"/>
    <w:rsid w:val="002366DC"/>
    <w:rsid w:val="00237BED"/>
    <w:rsid w:val="00237C0F"/>
    <w:rsid w:val="00237D3A"/>
    <w:rsid w:val="002404BF"/>
    <w:rsid w:val="002406CE"/>
    <w:rsid w:val="00240B33"/>
    <w:rsid w:val="002412D7"/>
    <w:rsid w:val="00241523"/>
    <w:rsid w:val="00241543"/>
    <w:rsid w:val="00241FE0"/>
    <w:rsid w:val="002420F6"/>
    <w:rsid w:val="002422F6"/>
    <w:rsid w:val="002424FA"/>
    <w:rsid w:val="002425DF"/>
    <w:rsid w:val="00242624"/>
    <w:rsid w:val="0024364B"/>
    <w:rsid w:val="00244408"/>
    <w:rsid w:val="002444D3"/>
    <w:rsid w:val="0024489E"/>
    <w:rsid w:val="0024557E"/>
    <w:rsid w:val="00245DE0"/>
    <w:rsid w:val="00246C96"/>
    <w:rsid w:val="002471FD"/>
    <w:rsid w:val="0024793A"/>
    <w:rsid w:val="00250194"/>
    <w:rsid w:val="00250E86"/>
    <w:rsid w:val="00251352"/>
    <w:rsid w:val="00251494"/>
    <w:rsid w:val="0025245F"/>
    <w:rsid w:val="00252A17"/>
    <w:rsid w:val="00252D8C"/>
    <w:rsid w:val="00253430"/>
    <w:rsid w:val="00253DD1"/>
    <w:rsid w:val="002541EE"/>
    <w:rsid w:val="0025421B"/>
    <w:rsid w:val="00254930"/>
    <w:rsid w:val="00254CB5"/>
    <w:rsid w:val="00255A75"/>
    <w:rsid w:val="00255B83"/>
    <w:rsid w:val="00256867"/>
    <w:rsid w:val="00257DCB"/>
    <w:rsid w:val="0026020D"/>
    <w:rsid w:val="0026051C"/>
    <w:rsid w:val="002607FC"/>
    <w:rsid w:val="00260899"/>
    <w:rsid w:val="00260974"/>
    <w:rsid w:val="00261319"/>
    <w:rsid w:val="00261424"/>
    <w:rsid w:val="00261BBB"/>
    <w:rsid w:val="00261D11"/>
    <w:rsid w:val="0026218E"/>
    <w:rsid w:val="002622A7"/>
    <w:rsid w:val="00262D30"/>
    <w:rsid w:val="002632B0"/>
    <w:rsid w:val="002632EA"/>
    <w:rsid w:val="0026394B"/>
    <w:rsid w:val="00263E94"/>
    <w:rsid w:val="00265152"/>
    <w:rsid w:val="0026526C"/>
    <w:rsid w:val="00265C5C"/>
    <w:rsid w:val="002667A5"/>
    <w:rsid w:val="00267A22"/>
    <w:rsid w:val="002707EB"/>
    <w:rsid w:val="002708D6"/>
    <w:rsid w:val="00270A48"/>
    <w:rsid w:val="00270CBF"/>
    <w:rsid w:val="00270ECD"/>
    <w:rsid w:val="002714BF"/>
    <w:rsid w:val="00271BA0"/>
    <w:rsid w:val="002727AF"/>
    <w:rsid w:val="00272A20"/>
    <w:rsid w:val="00274503"/>
    <w:rsid w:val="002748C3"/>
    <w:rsid w:val="00276431"/>
    <w:rsid w:val="0027655A"/>
    <w:rsid w:val="002765AF"/>
    <w:rsid w:val="002768AD"/>
    <w:rsid w:val="00276D20"/>
    <w:rsid w:val="002770B9"/>
    <w:rsid w:val="00277214"/>
    <w:rsid w:val="00277FA9"/>
    <w:rsid w:val="002807DB"/>
    <w:rsid w:val="00281207"/>
    <w:rsid w:val="00281334"/>
    <w:rsid w:val="0028298D"/>
    <w:rsid w:val="00282A9D"/>
    <w:rsid w:val="002836C4"/>
    <w:rsid w:val="0028393A"/>
    <w:rsid w:val="00284511"/>
    <w:rsid w:val="0028506A"/>
    <w:rsid w:val="002850B0"/>
    <w:rsid w:val="00285303"/>
    <w:rsid w:val="00285304"/>
    <w:rsid w:val="00285349"/>
    <w:rsid w:val="002853BB"/>
    <w:rsid w:val="00285A26"/>
    <w:rsid w:val="00285AF5"/>
    <w:rsid w:val="002863D7"/>
    <w:rsid w:val="0028650B"/>
    <w:rsid w:val="002867F1"/>
    <w:rsid w:val="002873B4"/>
    <w:rsid w:val="00287784"/>
    <w:rsid w:val="00287B1F"/>
    <w:rsid w:val="00287B8B"/>
    <w:rsid w:val="00287FED"/>
    <w:rsid w:val="00290A4E"/>
    <w:rsid w:val="0029107D"/>
    <w:rsid w:val="0029180E"/>
    <w:rsid w:val="00291A19"/>
    <w:rsid w:val="002922A9"/>
    <w:rsid w:val="0029281C"/>
    <w:rsid w:val="00292AB5"/>
    <w:rsid w:val="00292B5C"/>
    <w:rsid w:val="00293476"/>
    <w:rsid w:val="00293625"/>
    <w:rsid w:val="00294B23"/>
    <w:rsid w:val="00294CB5"/>
    <w:rsid w:val="00294D79"/>
    <w:rsid w:val="0029502A"/>
    <w:rsid w:val="002957DF"/>
    <w:rsid w:val="002959D1"/>
    <w:rsid w:val="00295FC8"/>
    <w:rsid w:val="00296A82"/>
    <w:rsid w:val="002970ED"/>
    <w:rsid w:val="002972BA"/>
    <w:rsid w:val="002A0A45"/>
    <w:rsid w:val="002A151F"/>
    <w:rsid w:val="002A191D"/>
    <w:rsid w:val="002A1A07"/>
    <w:rsid w:val="002A21E3"/>
    <w:rsid w:val="002A26C0"/>
    <w:rsid w:val="002A2CA4"/>
    <w:rsid w:val="002A2E6B"/>
    <w:rsid w:val="002A33D9"/>
    <w:rsid w:val="002A37E9"/>
    <w:rsid w:val="002A3B86"/>
    <w:rsid w:val="002A4016"/>
    <w:rsid w:val="002A434B"/>
    <w:rsid w:val="002A43C2"/>
    <w:rsid w:val="002A44BE"/>
    <w:rsid w:val="002A469F"/>
    <w:rsid w:val="002A4AA8"/>
    <w:rsid w:val="002A554E"/>
    <w:rsid w:val="002A5852"/>
    <w:rsid w:val="002A5927"/>
    <w:rsid w:val="002A5BE4"/>
    <w:rsid w:val="002A5F20"/>
    <w:rsid w:val="002A67CE"/>
    <w:rsid w:val="002A6EFC"/>
    <w:rsid w:val="002A735A"/>
    <w:rsid w:val="002A7705"/>
    <w:rsid w:val="002A786F"/>
    <w:rsid w:val="002A7DA7"/>
    <w:rsid w:val="002B0028"/>
    <w:rsid w:val="002B078E"/>
    <w:rsid w:val="002B0824"/>
    <w:rsid w:val="002B14C4"/>
    <w:rsid w:val="002B1B65"/>
    <w:rsid w:val="002B1D11"/>
    <w:rsid w:val="002B1E93"/>
    <w:rsid w:val="002B2658"/>
    <w:rsid w:val="002B276E"/>
    <w:rsid w:val="002B30D0"/>
    <w:rsid w:val="002B337D"/>
    <w:rsid w:val="002B3869"/>
    <w:rsid w:val="002B39D5"/>
    <w:rsid w:val="002B3C37"/>
    <w:rsid w:val="002B432D"/>
    <w:rsid w:val="002B49AF"/>
    <w:rsid w:val="002B5057"/>
    <w:rsid w:val="002B505C"/>
    <w:rsid w:val="002B51D5"/>
    <w:rsid w:val="002B5850"/>
    <w:rsid w:val="002B63F8"/>
    <w:rsid w:val="002B6759"/>
    <w:rsid w:val="002B6F17"/>
    <w:rsid w:val="002C00DF"/>
    <w:rsid w:val="002C02DB"/>
    <w:rsid w:val="002C06FC"/>
    <w:rsid w:val="002C0FB3"/>
    <w:rsid w:val="002C1686"/>
    <w:rsid w:val="002C1866"/>
    <w:rsid w:val="002C2C7A"/>
    <w:rsid w:val="002C350A"/>
    <w:rsid w:val="002C37CC"/>
    <w:rsid w:val="002C402C"/>
    <w:rsid w:val="002C4C2A"/>
    <w:rsid w:val="002C4DC0"/>
    <w:rsid w:val="002C55EA"/>
    <w:rsid w:val="002C6906"/>
    <w:rsid w:val="002C702C"/>
    <w:rsid w:val="002C7898"/>
    <w:rsid w:val="002C7EFA"/>
    <w:rsid w:val="002D03FF"/>
    <w:rsid w:val="002D078B"/>
    <w:rsid w:val="002D0886"/>
    <w:rsid w:val="002D09B5"/>
    <w:rsid w:val="002D116F"/>
    <w:rsid w:val="002D142B"/>
    <w:rsid w:val="002D16E6"/>
    <w:rsid w:val="002D2E92"/>
    <w:rsid w:val="002D4433"/>
    <w:rsid w:val="002D53CF"/>
    <w:rsid w:val="002D568E"/>
    <w:rsid w:val="002D5BBD"/>
    <w:rsid w:val="002D674B"/>
    <w:rsid w:val="002D6755"/>
    <w:rsid w:val="002D6DCB"/>
    <w:rsid w:val="002D700D"/>
    <w:rsid w:val="002D7122"/>
    <w:rsid w:val="002D71E7"/>
    <w:rsid w:val="002D7248"/>
    <w:rsid w:val="002D7456"/>
    <w:rsid w:val="002E0158"/>
    <w:rsid w:val="002E02C7"/>
    <w:rsid w:val="002E0600"/>
    <w:rsid w:val="002E18CD"/>
    <w:rsid w:val="002E1E81"/>
    <w:rsid w:val="002E204B"/>
    <w:rsid w:val="002E2B17"/>
    <w:rsid w:val="002E304C"/>
    <w:rsid w:val="002E3099"/>
    <w:rsid w:val="002E35D8"/>
    <w:rsid w:val="002E43D7"/>
    <w:rsid w:val="002E5927"/>
    <w:rsid w:val="002E5A1B"/>
    <w:rsid w:val="002E5EE2"/>
    <w:rsid w:val="002E6017"/>
    <w:rsid w:val="002E6652"/>
    <w:rsid w:val="002E6B89"/>
    <w:rsid w:val="002E6DED"/>
    <w:rsid w:val="002E725C"/>
    <w:rsid w:val="002E7C75"/>
    <w:rsid w:val="002E7F8B"/>
    <w:rsid w:val="002F2095"/>
    <w:rsid w:val="002F2318"/>
    <w:rsid w:val="002F2B3A"/>
    <w:rsid w:val="002F3E8A"/>
    <w:rsid w:val="002F4A8A"/>
    <w:rsid w:val="002F4CE1"/>
    <w:rsid w:val="002F5086"/>
    <w:rsid w:val="002F5E96"/>
    <w:rsid w:val="002F6732"/>
    <w:rsid w:val="002F6FE7"/>
    <w:rsid w:val="002F779A"/>
    <w:rsid w:val="002F7949"/>
    <w:rsid w:val="0030053D"/>
    <w:rsid w:val="00300A6A"/>
    <w:rsid w:val="00300F22"/>
    <w:rsid w:val="00301372"/>
    <w:rsid w:val="003015D6"/>
    <w:rsid w:val="00301653"/>
    <w:rsid w:val="003028F6"/>
    <w:rsid w:val="00303014"/>
    <w:rsid w:val="0030495B"/>
    <w:rsid w:val="00304A37"/>
    <w:rsid w:val="00304EB3"/>
    <w:rsid w:val="003057F2"/>
    <w:rsid w:val="00305EC8"/>
    <w:rsid w:val="00305F95"/>
    <w:rsid w:val="003068A8"/>
    <w:rsid w:val="0030725E"/>
    <w:rsid w:val="00307C6A"/>
    <w:rsid w:val="00307E24"/>
    <w:rsid w:val="00307E59"/>
    <w:rsid w:val="0031040E"/>
    <w:rsid w:val="003107D7"/>
    <w:rsid w:val="00310ED4"/>
    <w:rsid w:val="00311B99"/>
    <w:rsid w:val="00312301"/>
    <w:rsid w:val="003127FD"/>
    <w:rsid w:val="00312A10"/>
    <w:rsid w:val="00312B26"/>
    <w:rsid w:val="00312BD8"/>
    <w:rsid w:val="00312E74"/>
    <w:rsid w:val="00313493"/>
    <w:rsid w:val="00314231"/>
    <w:rsid w:val="00314509"/>
    <w:rsid w:val="00314782"/>
    <w:rsid w:val="0031492A"/>
    <w:rsid w:val="0031564D"/>
    <w:rsid w:val="00315AA7"/>
    <w:rsid w:val="00315EAF"/>
    <w:rsid w:val="003165C0"/>
    <w:rsid w:val="00316C1A"/>
    <w:rsid w:val="00316D29"/>
    <w:rsid w:val="0031708E"/>
    <w:rsid w:val="003173A0"/>
    <w:rsid w:val="003178FE"/>
    <w:rsid w:val="00317A0A"/>
    <w:rsid w:val="00317D2C"/>
    <w:rsid w:val="00320683"/>
    <w:rsid w:val="00320C8B"/>
    <w:rsid w:val="00320F01"/>
    <w:rsid w:val="00321B6B"/>
    <w:rsid w:val="0032376C"/>
    <w:rsid w:val="00323C73"/>
    <w:rsid w:val="00324A2C"/>
    <w:rsid w:val="00324D27"/>
    <w:rsid w:val="00325129"/>
    <w:rsid w:val="00325787"/>
    <w:rsid w:val="0032585C"/>
    <w:rsid w:val="00325F9F"/>
    <w:rsid w:val="0032621D"/>
    <w:rsid w:val="003265F5"/>
    <w:rsid w:val="00326649"/>
    <w:rsid w:val="003269DE"/>
    <w:rsid w:val="00326D4C"/>
    <w:rsid w:val="003276C3"/>
    <w:rsid w:val="00327849"/>
    <w:rsid w:val="00327BCC"/>
    <w:rsid w:val="00327CB4"/>
    <w:rsid w:val="00327EAE"/>
    <w:rsid w:val="003304B7"/>
    <w:rsid w:val="00330587"/>
    <w:rsid w:val="00331141"/>
    <w:rsid w:val="003321C9"/>
    <w:rsid w:val="00332860"/>
    <w:rsid w:val="00332877"/>
    <w:rsid w:val="00332A04"/>
    <w:rsid w:val="00332B0E"/>
    <w:rsid w:val="00332B86"/>
    <w:rsid w:val="00332DBD"/>
    <w:rsid w:val="003331FB"/>
    <w:rsid w:val="0033489B"/>
    <w:rsid w:val="00334DD1"/>
    <w:rsid w:val="00335579"/>
    <w:rsid w:val="00335AE4"/>
    <w:rsid w:val="00335BF9"/>
    <w:rsid w:val="0033602F"/>
    <w:rsid w:val="00337294"/>
    <w:rsid w:val="00340578"/>
    <w:rsid w:val="00340FC0"/>
    <w:rsid w:val="003423F4"/>
    <w:rsid w:val="00342504"/>
    <w:rsid w:val="00342B28"/>
    <w:rsid w:val="0034301E"/>
    <w:rsid w:val="0034326F"/>
    <w:rsid w:val="00343CBF"/>
    <w:rsid w:val="0034404A"/>
    <w:rsid w:val="00344337"/>
    <w:rsid w:val="00344758"/>
    <w:rsid w:val="00345A25"/>
    <w:rsid w:val="003464ED"/>
    <w:rsid w:val="003466E8"/>
    <w:rsid w:val="003467CE"/>
    <w:rsid w:val="00346892"/>
    <w:rsid w:val="00347142"/>
    <w:rsid w:val="0034714C"/>
    <w:rsid w:val="0035047D"/>
    <w:rsid w:val="00350D1B"/>
    <w:rsid w:val="00351B6F"/>
    <w:rsid w:val="00351F35"/>
    <w:rsid w:val="00352995"/>
    <w:rsid w:val="0035338A"/>
    <w:rsid w:val="0035371B"/>
    <w:rsid w:val="00353ABD"/>
    <w:rsid w:val="003543D1"/>
    <w:rsid w:val="00354946"/>
    <w:rsid w:val="00354E29"/>
    <w:rsid w:val="003555E3"/>
    <w:rsid w:val="00355C76"/>
    <w:rsid w:val="00356103"/>
    <w:rsid w:val="003561DD"/>
    <w:rsid w:val="003565A8"/>
    <w:rsid w:val="003566EA"/>
    <w:rsid w:val="00356EB8"/>
    <w:rsid w:val="00357780"/>
    <w:rsid w:val="00357A6A"/>
    <w:rsid w:val="00360753"/>
    <w:rsid w:val="00360DF5"/>
    <w:rsid w:val="00360EA5"/>
    <w:rsid w:val="0036139D"/>
    <w:rsid w:val="00361EDC"/>
    <w:rsid w:val="00363763"/>
    <w:rsid w:val="003637AA"/>
    <w:rsid w:val="00363A4D"/>
    <w:rsid w:val="003640DD"/>
    <w:rsid w:val="00365A3C"/>
    <w:rsid w:val="0036743A"/>
    <w:rsid w:val="00367646"/>
    <w:rsid w:val="003704A6"/>
    <w:rsid w:val="003712C4"/>
    <w:rsid w:val="00371EF7"/>
    <w:rsid w:val="003725D6"/>
    <w:rsid w:val="00372C79"/>
    <w:rsid w:val="00373947"/>
    <w:rsid w:val="00374C8F"/>
    <w:rsid w:val="00375862"/>
    <w:rsid w:val="00375CC9"/>
    <w:rsid w:val="00375FE5"/>
    <w:rsid w:val="00376A3C"/>
    <w:rsid w:val="00376A86"/>
    <w:rsid w:val="00376DCB"/>
    <w:rsid w:val="00376F7B"/>
    <w:rsid w:val="0037738E"/>
    <w:rsid w:val="00377E0B"/>
    <w:rsid w:val="00381210"/>
    <w:rsid w:val="00381879"/>
    <w:rsid w:val="00381CF8"/>
    <w:rsid w:val="003821F3"/>
    <w:rsid w:val="003825EE"/>
    <w:rsid w:val="00382BA9"/>
    <w:rsid w:val="0038306F"/>
    <w:rsid w:val="00383677"/>
    <w:rsid w:val="00384233"/>
    <w:rsid w:val="003843D6"/>
    <w:rsid w:val="0038441B"/>
    <w:rsid w:val="00384C04"/>
    <w:rsid w:val="0038500B"/>
    <w:rsid w:val="003852A7"/>
    <w:rsid w:val="00385452"/>
    <w:rsid w:val="003859F8"/>
    <w:rsid w:val="0039031A"/>
    <w:rsid w:val="00390737"/>
    <w:rsid w:val="00390ABC"/>
    <w:rsid w:val="00390AF2"/>
    <w:rsid w:val="00391143"/>
    <w:rsid w:val="00391449"/>
    <w:rsid w:val="0039202F"/>
    <w:rsid w:val="00393E87"/>
    <w:rsid w:val="003941D1"/>
    <w:rsid w:val="00394DCB"/>
    <w:rsid w:val="003951EA"/>
    <w:rsid w:val="0039548E"/>
    <w:rsid w:val="003956ED"/>
    <w:rsid w:val="00395B6D"/>
    <w:rsid w:val="00396157"/>
    <w:rsid w:val="00396897"/>
    <w:rsid w:val="00396A68"/>
    <w:rsid w:val="00396B62"/>
    <w:rsid w:val="00397389"/>
    <w:rsid w:val="00397498"/>
    <w:rsid w:val="00397899"/>
    <w:rsid w:val="0039795F"/>
    <w:rsid w:val="003A0449"/>
    <w:rsid w:val="003A0D65"/>
    <w:rsid w:val="003A13E3"/>
    <w:rsid w:val="003A168E"/>
    <w:rsid w:val="003A17BF"/>
    <w:rsid w:val="003A2153"/>
    <w:rsid w:val="003A2464"/>
    <w:rsid w:val="003A2A4D"/>
    <w:rsid w:val="003A3247"/>
    <w:rsid w:val="003A42F2"/>
    <w:rsid w:val="003A48B7"/>
    <w:rsid w:val="003A4E62"/>
    <w:rsid w:val="003A5357"/>
    <w:rsid w:val="003A5E77"/>
    <w:rsid w:val="003A606E"/>
    <w:rsid w:val="003A64EC"/>
    <w:rsid w:val="003A67FB"/>
    <w:rsid w:val="003A6901"/>
    <w:rsid w:val="003A729A"/>
    <w:rsid w:val="003B00DE"/>
    <w:rsid w:val="003B0334"/>
    <w:rsid w:val="003B06DA"/>
    <w:rsid w:val="003B0D82"/>
    <w:rsid w:val="003B2608"/>
    <w:rsid w:val="003B3448"/>
    <w:rsid w:val="003B38D3"/>
    <w:rsid w:val="003B3E04"/>
    <w:rsid w:val="003B4CD5"/>
    <w:rsid w:val="003B4F3E"/>
    <w:rsid w:val="003B5212"/>
    <w:rsid w:val="003B6182"/>
    <w:rsid w:val="003B6C42"/>
    <w:rsid w:val="003B6DD2"/>
    <w:rsid w:val="003B7C36"/>
    <w:rsid w:val="003C15E4"/>
    <w:rsid w:val="003C184B"/>
    <w:rsid w:val="003C2F9E"/>
    <w:rsid w:val="003C310D"/>
    <w:rsid w:val="003C33CF"/>
    <w:rsid w:val="003C3413"/>
    <w:rsid w:val="003C3E05"/>
    <w:rsid w:val="003C3F2C"/>
    <w:rsid w:val="003C4096"/>
    <w:rsid w:val="003C4212"/>
    <w:rsid w:val="003C43D1"/>
    <w:rsid w:val="003C4B9D"/>
    <w:rsid w:val="003C5441"/>
    <w:rsid w:val="003C6210"/>
    <w:rsid w:val="003C6228"/>
    <w:rsid w:val="003C656F"/>
    <w:rsid w:val="003C6A1E"/>
    <w:rsid w:val="003C6A37"/>
    <w:rsid w:val="003C7412"/>
    <w:rsid w:val="003C75E4"/>
    <w:rsid w:val="003C77F4"/>
    <w:rsid w:val="003C79FB"/>
    <w:rsid w:val="003D0096"/>
    <w:rsid w:val="003D01CD"/>
    <w:rsid w:val="003D1885"/>
    <w:rsid w:val="003D1A57"/>
    <w:rsid w:val="003D21A5"/>
    <w:rsid w:val="003D4790"/>
    <w:rsid w:val="003D4E67"/>
    <w:rsid w:val="003D4FEE"/>
    <w:rsid w:val="003D5631"/>
    <w:rsid w:val="003D5C2F"/>
    <w:rsid w:val="003D6521"/>
    <w:rsid w:val="003D6F39"/>
    <w:rsid w:val="003D7277"/>
    <w:rsid w:val="003D75A8"/>
    <w:rsid w:val="003D7D95"/>
    <w:rsid w:val="003E0A5F"/>
    <w:rsid w:val="003E0BF5"/>
    <w:rsid w:val="003E0F0E"/>
    <w:rsid w:val="003E1079"/>
    <w:rsid w:val="003E1583"/>
    <w:rsid w:val="003E15CD"/>
    <w:rsid w:val="003E2D44"/>
    <w:rsid w:val="003E3582"/>
    <w:rsid w:val="003E3FFB"/>
    <w:rsid w:val="003E43DF"/>
    <w:rsid w:val="003E53ED"/>
    <w:rsid w:val="003E5DEF"/>
    <w:rsid w:val="003E65ED"/>
    <w:rsid w:val="003E6FAB"/>
    <w:rsid w:val="003E7609"/>
    <w:rsid w:val="003F0154"/>
    <w:rsid w:val="003F02E4"/>
    <w:rsid w:val="003F16E2"/>
    <w:rsid w:val="003F19CC"/>
    <w:rsid w:val="003F3269"/>
    <w:rsid w:val="003F3357"/>
    <w:rsid w:val="003F3416"/>
    <w:rsid w:val="003F3845"/>
    <w:rsid w:val="003F3B5A"/>
    <w:rsid w:val="003F3E3E"/>
    <w:rsid w:val="003F4E35"/>
    <w:rsid w:val="003F5000"/>
    <w:rsid w:val="003F5504"/>
    <w:rsid w:val="003F55DC"/>
    <w:rsid w:val="003F65BF"/>
    <w:rsid w:val="003F6811"/>
    <w:rsid w:val="003F722B"/>
    <w:rsid w:val="003F783D"/>
    <w:rsid w:val="004003BA"/>
    <w:rsid w:val="00401347"/>
    <w:rsid w:val="004020B4"/>
    <w:rsid w:val="00402615"/>
    <w:rsid w:val="00402983"/>
    <w:rsid w:val="0040307E"/>
    <w:rsid w:val="00403B89"/>
    <w:rsid w:val="0040419E"/>
    <w:rsid w:val="00404282"/>
    <w:rsid w:val="00404860"/>
    <w:rsid w:val="0040497E"/>
    <w:rsid w:val="00404A28"/>
    <w:rsid w:val="00404A47"/>
    <w:rsid w:val="0040513B"/>
    <w:rsid w:val="004065A7"/>
    <w:rsid w:val="00406D0F"/>
    <w:rsid w:val="004106ED"/>
    <w:rsid w:val="004111ED"/>
    <w:rsid w:val="00411784"/>
    <w:rsid w:val="00411CF2"/>
    <w:rsid w:val="0041277E"/>
    <w:rsid w:val="00412997"/>
    <w:rsid w:val="00413ECE"/>
    <w:rsid w:val="004140A5"/>
    <w:rsid w:val="00415556"/>
    <w:rsid w:val="00416C8C"/>
    <w:rsid w:val="00416D4F"/>
    <w:rsid w:val="00420C45"/>
    <w:rsid w:val="00420E48"/>
    <w:rsid w:val="00422417"/>
    <w:rsid w:val="00422C3A"/>
    <w:rsid w:val="00422D02"/>
    <w:rsid w:val="00423ACD"/>
    <w:rsid w:val="00424233"/>
    <w:rsid w:val="00424551"/>
    <w:rsid w:val="00424D47"/>
    <w:rsid w:val="0042576F"/>
    <w:rsid w:val="0042586E"/>
    <w:rsid w:val="00425B95"/>
    <w:rsid w:val="00425E65"/>
    <w:rsid w:val="004260AC"/>
    <w:rsid w:val="0042676B"/>
    <w:rsid w:val="00427296"/>
    <w:rsid w:val="00427954"/>
    <w:rsid w:val="004304CA"/>
    <w:rsid w:val="004310E9"/>
    <w:rsid w:val="004314C7"/>
    <w:rsid w:val="00431660"/>
    <w:rsid w:val="00431728"/>
    <w:rsid w:val="004321D8"/>
    <w:rsid w:val="004323BA"/>
    <w:rsid w:val="0043263F"/>
    <w:rsid w:val="00432E19"/>
    <w:rsid w:val="00433109"/>
    <w:rsid w:val="00433516"/>
    <w:rsid w:val="004338C1"/>
    <w:rsid w:val="0043396B"/>
    <w:rsid w:val="00433B2C"/>
    <w:rsid w:val="00433FA9"/>
    <w:rsid w:val="00435027"/>
    <w:rsid w:val="00435717"/>
    <w:rsid w:val="004363B6"/>
    <w:rsid w:val="00436402"/>
    <w:rsid w:val="00436577"/>
    <w:rsid w:val="00436A18"/>
    <w:rsid w:val="00436CA8"/>
    <w:rsid w:val="00436CFE"/>
    <w:rsid w:val="0043726B"/>
    <w:rsid w:val="0043734C"/>
    <w:rsid w:val="00437A17"/>
    <w:rsid w:val="00437E48"/>
    <w:rsid w:val="00441759"/>
    <w:rsid w:val="0044190B"/>
    <w:rsid w:val="00441C34"/>
    <w:rsid w:val="004424CA"/>
    <w:rsid w:val="0044253A"/>
    <w:rsid w:val="00443140"/>
    <w:rsid w:val="004432B6"/>
    <w:rsid w:val="004433A5"/>
    <w:rsid w:val="00443451"/>
    <w:rsid w:val="0044351B"/>
    <w:rsid w:val="00445CB5"/>
    <w:rsid w:val="00445E63"/>
    <w:rsid w:val="004460A1"/>
    <w:rsid w:val="00446155"/>
    <w:rsid w:val="004463D7"/>
    <w:rsid w:val="004469E6"/>
    <w:rsid w:val="00447090"/>
    <w:rsid w:val="00447310"/>
    <w:rsid w:val="0044749E"/>
    <w:rsid w:val="004502FE"/>
    <w:rsid w:val="00450B3B"/>
    <w:rsid w:val="00451320"/>
    <w:rsid w:val="004515EA"/>
    <w:rsid w:val="0045188A"/>
    <w:rsid w:val="00451F0C"/>
    <w:rsid w:val="0045265B"/>
    <w:rsid w:val="00452DFA"/>
    <w:rsid w:val="004532C3"/>
    <w:rsid w:val="00453AAC"/>
    <w:rsid w:val="00454222"/>
    <w:rsid w:val="00454AE0"/>
    <w:rsid w:val="00454B8B"/>
    <w:rsid w:val="00454E9C"/>
    <w:rsid w:val="00456163"/>
    <w:rsid w:val="004564A3"/>
    <w:rsid w:val="004565C8"/>
    <w:rsid w:val="00456ACB"/>
    <w:rsid w:val="00456E5A"/>
    <w:rsid w:val="00457155"/>
    <w:rsid w:val="0045798B"/>
    <w:rsid w:val="00457E2F"/>
    <w:rsid w:val="00457F27"/>
    <w:rsid w:val="004601C8"/>
    <w:rsid w:val="00460569"/>
    <w:rsid w:val="004605DF"/>
    <w:rsid w:val="00460614"/>
    <w:rsid w:val="0046084A"/>
    <w:rsid w:val="00460994"/>
    <w:rsid w:val="00460DCB"/>
    <w:rsid w:val="00460EE0"/>
    <w:rsid w:val="00461594"/>
    <w:rsid w:val="004618C0"/>
    <w:rsid w:val="00461D9F"/>
    <w:rsid w:val="00461EF0"/>
    <w:rsid w:val="00462B43"/>
    <w:rsid w:val="004631BD"/>
    <w:rsid w:val="004634DC"/>
    <w:rsid w:val="00463C0B"/>
    <w:rsid w:val="00463F46"/>
    <w:rsid w:val="004641D6"/>
    <w:rsid w:val="004646F3"/>
    <w:rsid w:val="00464A29"/>
    <w:rsid w:val="00464BB8"/>
    <w:rsid w:val="00464BD5"/>
    <w:rsid w:val="004652EC"/>
    <w:rsid w:val="00466CB9"/>
    <w:rsid w:val="00466DFF"/>
    <w:rsid w:val="0046706B"/>
    <w:rsid w:val="00467324"/>
    <w:rsid w:val="004678A8"/>
    <w:rsid w:val="00470554"/>
    <w:rsid w:val="004707F1"/>
    <w:rsid w:val="00471106"/>
    <w:rsid w:val="004712FB"/>
    <w:rsid w:val="0047175B"/>
    <w:rsid w:val="00471BB7"/>
    <w:rsid w:val="004723B0"/>
    <w:rsid w:val="00472EFF"/>
    <w:rsid w:val="00473068"/>
    <w:rsid w:val="00473A95"/>
    <w:rsid w:val="00473FC5"/>
    <w:rsid w:val="00474063"/>
    <w:rsid w:val="0047439E"/>
    <w:rsid w:val="00474B92"/>
    <w:rsid w:val="004750F5"/>
    <w:rsid w:val="004751BC"/>
    <w:rsid w:val="00475565"/>
    <w:rsid w:val="00475721"/>
    <w:rsid w:val="00476793"/>
    <w:rsid w:val="00476A32"/>
    <w:rsid w:val="00476AF2"/>
    <w:rsid w:val="00476F72"/>
    <w:rsid w:val="00477576"/>
    <w:rsid w:val="00477724"/>
    <w:rsid w:val="0047788D"/>
    <w:rsid w:val="00480028"/>
    <w:rsid w:val="0048102A"/>
    <w:rsid w:val="004812ED"/>
    <w:rsid w:val="0048151A"/>
    <w:rsid w:val="0048179E"/>
    <w:rsid w:val="004817BD"/>
    <w:rsid w:val="004819EC"/>
    <w:rsid w:val="00481B2A"/>
    <w:rsid w:val="00481B90"/>
    <w:rsid w:val="00482091"/>
    <w:rsid w:val="004825F2"/>
    <w:rsid w:val="00482CFA"/>
    <w:rsid w:val="004833B2"/>
    <w:rsid w:val="004838B6"/>
    <w:rsid w:val="00483CF7"/>
    <w:rsid w:val="00483DE0"/>
    <w:rsid w:val="00484075"/>
    <w:rsid w:val="004848F6"/>
    <w:rsid w:val="0048510D"/>
    <w:rsid w:val="0048662E"/>
    <w:rsid w:val="0048663B"/>
    <w:rsid w:val="00486C9D"/>
    <w:rsid w:val="004871A8"/>
    <w:rsid w:val="00487613"/>
    <w:rsid w:val="0049031F"/>
    <w:rsid w:val="00490658"/>
    <w:rsid w:val="004907A5"/>
    <w:rsid w:val="00490A35"/>
    <w:rsid w:val="004910B1"/>
    <w:rsid w:val="00491505"/>
    <w:rsid w:val="004915DC"/>
    <w:rsid w:val="004921EB"/>
    <w:rsid w:val="00493480"/>
    <w:rsid w:val="004936F1"/>
    <w:rsid w:val="00493FE0"/>
    <w:rsid w:val="004955FC"/>
    <w:rsid w:val="00495AF8"/>
    <w:rsid w:val="0049685D"/>
    <w:rsid w:val="004968CA"/>
    <w:rsid w:val="004977C6"/>
    <w:rsid w:val="00497A1B"/>
    <w:rsid w:val="00497B54"/>
    <w:rsid w:val="00497FB3"/>
    <w:rsid w:val="004A0000"/>
    <w:rsid w:val="004A0C55"/>
    <w:rsid w:val="004A0ED2"/>
    <w:rsid w:val="004A187B"/>
    <w:rsid w:val="004A1BF3"/>
    <w:rsid w:val="004A1D4A"/>
    <w:rsid w:val="004A2D3C"/>
    <w:rsid w:val="004A2F90"/>
    <w:rsid w:val="004A351F"/>
    <w:rsid w:val="004A3694"/>
    <w:rsid w:val="004A39CC"/>
    <w:rsid w:val="004A41F3"/>
    <w:rsid w:val="004A45C2"/>
    <w:rsid w:val="004A517F"/>
    <w:rsid w:val="004A6A22"/>
    <w:rsid w:val="004A6AA8"/>
    <w:rsid w:val="004A6E3D"/>
    <w:rsid w:val="004A7109"/>
    <w:rsid w:val="004A738C"/>
    <w:rsid w:val="004A76D2"/>
    <w:rsid w:val="004A76D9"/>
    <w:rsid w:val="004B0130"/>
    <w:rsid w:val="004B01AD"/>
    <w:rsid w:val="004B1311"/>
    <w:rsid w:val="004B2152"/>
    <w:rsid w:val="004B2765"/>
    <w:rsid w:val="004B284B"/>
    <w:rsid w:val="004B2950"/>
    <w:rsid w:val="004B2A11"/>
    <w:rsid w:val="004B3308"/>
    <w:rsid w:val="004B3368"/>
    <w:rsid w:val="004B462C"/>
    <w:rsid w:val="004B46D1"/>
    <w:rsid w:val="004B5640"/>
    <w:rsid w:val="004B5A8F"/>
    <w:rsid w:val="004B6091"/>
    <w:rsid w:val="004B6A89"/>
    <w:rsid w:val="004B6E3E"/>
    <w:rsid w:val="004B7BE2"/>
    <w:rsid w:val="004B7EAE"/>
    <w:rsid w:val="004C0475"/>
    <w:rsid w:val="004C0897"/>
    <w:rsid w:val="004C08D5"/>
    <w:rsid w:val="004C0A07"/>
    <w:rsid w:val="004C0CBF"/>
    <w:rsid w:val="004C0CE4"/>
    <w:rsid w:val="004C226F"/>
    <w:rsid w:val="004C37C9"/>
    <w:rsid w:val="004C3890"/>
    <w:rsid w:val="004C38CF"/>
    <w:rsid w:val="004C442A"/>
    <w:rsid w:val="004C601D"/>
    <w:rsid w:val="004C6187"/>
    <w:rsid w:val="004C6FFA"/>
    <w:rsid w:val="004C7412"/>
    <w:rsid w:val="004C7677"/>
    <w:rsid w:val="004C7757"/>
    <w:rsid w:val="004C7CB6"/>
    <w:rsid w:val="004D04BF"/>
    <w:rsid w:val="004D08AB"/>
    <w:rsid w:val="004D0B33"/>
    <w:rsid w:val="004D157B"/>
    <w:rsid w:val="004D1D90"/>
    <w:rsid w:val="004D1EA2"/>
    <w:rsid w:val="004D25B2"/>
    <w:rsid w:val="004D2AEE"/>
    <w:rsid w:val="004D2DE3"/>
    <w:rsid w:val="004D2FE0"/>
    <w:rsid w:val="004D3784"/>
    <w:rsid w:val="004D3904"/>
    <w:rsid w:val="004D4430"/>
    <w:rsid w:val="004D5850"/>
    <w:rsid w:val="004D6078"/>
    <w:rsid w:val="004D65B7"/>
    <w:rsid w:val="004D6A79"/>
    <w:rsid w:val="004D6BBF"/>
    <w:rsid w:val="004D784E"/>
    <w:rsid w:val="004D7A59"/>
    <w:rsid w:val="004E0881"/>
    <w:rsid w:val="004E0DFF"/>
    <w:rsid w:val="004E1A0F"/>
    <w:rsid w:val="004E21E4"/>
    <w:rsid w:val="004E3477"/>
    <w:rsid w:val="004E504B"/>
    <w:rsid w:val="004E5258"/>
    <w:rsid w:val="004E5586"/>
    <w:rsid w:val="004E55BC"/>
    <w:rsid w:val="004E71CB"/>
    <w:rsid w:val="004E7555"/>
    <w:rsid w:val="004E7D49"/>
    <w:rsid w:val="004F0842"/>
    <w:rsid w:val="004F09A8"/>
    <w:rsid w:val="004F1C7C"/>
    <w:rsid w:val="004F20A9"/>
    <w:rsid w:val="004F22D0"/>
    <w:rsid w:val="004F247D"/>
    <w:rsid w:val="004F27D4"/>
    <w:rsid w:val="004F33E4"/>
    <w:rsid w:val="004F3C72"/>
    <w:rsid w:val="004F4406"/>
    <w:rsid w:val="004F5048"/>
    <w:rsid w:val="004F5B0E"/>
    <w:rsid w:val="004F5E84"/>
    <w:rsid w:val="004F5F11"/>
    <w:rsid w:val="004F5F74"/>
    <w:rsid w:val="004F6558"/>
    <w:rsid w:val="004F66F3"/>
    <w:rsid w:val="004F7B94"/>
    <w:rsid w:val="004F7EE0"/>
    <w:rsid w:val="00500264"/>
    <w:rsid w:val="00500301"/>
    <w:rsid w:val="00500353"/>
    <w:rsid w:val="005005B4"/>
    <w:rsid w:val="00501ED7"/>
    <w:rsid w:val="00502077"/>
    <w:rsid w:val="005022B6"/>
    <w:rsid w:val="005025D8"/>
    <w:rsid w:val="00502ADC"/>
    <w:rsid w:val="00503974"/>
    <w:rsid w:val="00503BD2"/>
    <w:rsid w:val="00503FF4"/>
    <w:rsid w:val="0050472D"/>
    <w:rsid w:val="00504CF6"/>
    <w:rsid w:val="00505080"/>
    <w:rsid w:val="00505B0A"/>
    <w:rsid w:val="0050635C"/>
    <w:rsid w:val="00506487"/>
    <w:rsid w:val="00506642"/>
    <w:rsid w:val="00506BBA"/>
    <w:rsid w:val="0050704D"/>
    <w:rsid w:val="00507DA6"/>
    <w:rsid w:val="00510390"/>
    <w:rsid w:val="0051152A"/>
    <w:rsid w:val="00511C6F"/>
    <w:rsid w:val="00511DA5"/>
    <w:rsid w:val="005123F0"/>
    <w:rsid w:val="00512A9F"/>
    <w:rsid w:val="00512C9C"/>
    <w:rsid w:val="00512FA6"/>
    <w:rsid w:val="00513540"/>
    <w:rsid w:val="00513941"/>
    <w:rsid w:val="00514806"/>
    <w:rsid w:val="00514D1E"/>
    <w:rsid w:val="00515332"/>
    <w:rsid w:val="0051566C"/>
    <w:rsid w:val="00516010"/>
    <w:rsid w:val="0051628E"/>
    <w:rsid w:val="005163FD"/>
    <w:rsid w:val="005166F5"/>
    <w:rsid w:val="00517485"/>
    <w:rsid w:val="00517DF1"/>
    <w:rsid w:val="00520044"/>
    <w:rsid w:val="0052050B"/>
    <w:rsid w:val="00520F4C"/>
    <w:rsid w:val="0052114B"/>
    <w:rsid w:val="005224FA"/>
    <w:rsid w:val="00522516"/>
    <w:rsid w:val="00522B08"/>
    <w:rsid w:val="00522C30"/>
    <w:rsid w:val="00522E82"/>
    <w:rsid w:val="005238BD"/>
    <w:rsid w:val="00524027"/>
    <w:rsid w:val="005241DB"/>
    <w:rsid w:val="005244C6"/>
    <w:rsid w:val="00524610"/>
    <w:rsid w:val="0052473C"/>
    <w:rsid w:val="00524800"/>
    <w:rsid w:val="00524C13"/>
    <w:rsid w:val="0052574A"/>
    <w:rsid w:val="005259D3"/>
    <w:rsid w:val="00525E40"/>
    <w:rsid w:val="00525F65"/>
    <w:rsid w:val="00526480"/>
    <w:rsid w:val="00526D2E"/>
    <w:rsid w:val="00527092"/>
    <w:rsid w:val="00527502"/>
    <w:rsid w:val="00527B10"/>
    <w:rsid w:val="00527C17"/>
    <w:rsid w:val="0053051D"/>
    <w:rsid w:val="00530531"/>
    <w:rsid w:val="00530825"/>
    <w:rsid w:val="00530D2B"/>
    <w:rsid w:val="0053213B"/>
    <w:rsid w:val="005323D6"/>
    <w:rsid w:val="00533CA5"/>
    <w:rsid w:val="00533CBC"/>
    <w:rsid w:val="00533E52"/>
    <w:rsid w:val="00534556"/>
    <w:rsid w:val="0053484D"/>
    <w:rsid w:val="00534CC9"/>
    <w:rsid w:val="00536885"/>
    <w:rsid w:val="005375E2"/>
    <w:rsid w:val="00537BAC"/>
    <w:rsid w:val="00537F0E"/>
    <w:rsid w:val="005402F3"/>
    <w:rsid w:val="00540821"/>
    <w:rsid w:val="00540A8E"/>
    <w:rsid w:val="0054237A"/>
    <w:rsid w:val="00542F88"/>
    <w:rsid w:val="005431A7"/>
    <w:rsid w:val="00543591"/>
    <w:rsid w:val="00544DFB"/>
    <w:rsid w:val="005454E5"/>
    <w:rsid w:val="00545BA1"/>
    <w:rsid w:val="00546136"/>
    <w:rsid w:val="00546402"/>
    <w:rsid w:val="005464FB"/>
    <w:rsid w:val="0054666E"/>
    <w:rsid w:val="00546771"/>
    <w:rsid w:val="00547A7C"/>
    <w:rsid w:val="005503F7"/>
    <w:rsid w:val="00550402"/>
    <w:rsid w:val="00550FB7"/>
    <w:rsid w:val="00551118"/>
    <w:rsid w:val="00551666"/>
    <w:rsid w:val="005529F5"/>
    <w:rsid w:val="00552FDB"/>
    <w:rsid w:val="0055349A"/>
    <w:rsid w:val="005538AC"/>
    <w:rsid w:val="00553994"/>
    <w:rsid w:val="00553F13"/>
    <w:rsid w:val="00554A6B"/>
    <w:rsid w:val="00554DE2"/>
    <w:rsid w:val="00554E76"/>
    <w:rsid w:val="00555A1D"/>
    <w:rsid w:val="00555E6B"/>
    <w:rsid w:val="005565E4"/>
    <w:rsid w:val="00556D9E"/>
    <w:rsid w:val="00556E55"/>
    <w:rsid w:val="00556F88"/>
    <w:rsid w:val="00557678"/>
    <w:rsid w:val="005579FA"/>
    <w:rsid w:val="00557AFD"/>
    <w:rsid w:val="00557F67"/>
    <w:rsid w:val="005601BB"/>
    <w:rsid w:val="005602C4"/>
    <w:rsid w:val="00560943"/>
    <w:rsid w:val="00561A76"/>
    <w:rsid w:val="00561BCA"/>
    <w:rsid w:val="005624CE"/>
    <w:rsid w:val="00562EA0"/>
    <w:rsid w:val="00563517"/>
    <w:rsid w:val="00563EBF"/>
    <w:rsid w:val="00563F44"/>
    <w:rsid w:val="00564208"/>
    <w:rsid w:val="00564628"/>
    <w:rsid w:val="00564954"/>
    <w:rsid w:val="005649D4"/>
    <w:rsid w:val="005655F7"/>
    <w:rsid w:val="00566608"/>
    <w:rsid w:val="00566C14"/>
    <w:rsid w:val="00566D97"/>
    <w:rsid w:val="00570736"/>
    <w:rsid w:val="00570A67"/>
    <w:rsid w:val="00570B88"/>
    <w:rsid w:val="00570CA5"/>
    <w:rsid w:val="00570F15"/>
    <w:rsid w:val="005710AB"/>
    <w:rsid w:val="005713AE"/>
    <w:rsid w:val="00571CEB"/>
    <w:rsid w:val="005728E8"/>
    <w:rsid w:val="00572E5F"/>
    <w:rsid w:val="0057377D"/>
    <w:rsid w:val="00573A7F"/>
    <w:rsid w:val="0057462C"/>
    <w:rsid w:val="00575266"/>
    <w:rsid w:val="005757F3"/>
    <w:rsid w:val="00575961"/>
    <w:rsid w:val="00576FA0"/>
    <w:rsid w:val="005801E0"/>
    <w:rsid w:val="005802B4"/>
    <w:rsid w:val="0058098F"/>
    <w:rsid w:val="00580DFB"/>
    <w:rsid w:val="00580E6E"/>
    <w:rsid w:val="005812C2"/>
    <w:rsid w:val="00581ED7"/>
    <w:rsid w:val="0058248F"/>
    <w:rsid w:val="0058254D"/>
    <w:rsid w:val="00582C89"/>
    <w:rsid w:val="00583644"/>
    <w:rsid w:val="00583A04"/>
    <w:rsid w:val="00583C62"/>
    <w:rsid w:val="00584138"/>
    <w:rsid w:val="005845AF"/>
    <w:rsid w:val="00584739"/>
    <w:rsid w:val="005853F2"/>
    <w:rsid w:val="00586462"/>
    <w:rsid w:val="00586497"/>
    <w:rsid w:val="00586AE9"/>
    <w:rsid w:val="005873FE"/>
    <w:rsid w:val="005876DE"/>
    <w:rsid w:val="00587D5A"/>
    <w:rsid w:val="00590B26"/>
    <w:rsid w:val="00590CC3"/>
    <w:rsid w:val="005911A1"/>
    <w:rsid w:val="005912EA"/>
    <w:rsid w:val="005913F0"/>
    <w:rsid w:val="00591771"/>
    <w:rsid w:val="00591951"/>
    <w:rsid w:val="00591C88"/>
    <w:rsid w:val="005926EF"/>
    <w:rsid w:val="00593113"/>
    <w:rsid w:val="0059328C"/>
    <w:rsid w:val="00593628"/>
    <w:rsid w:val="00594B7C"/>
    <w:rsid w:val="005956E5"/>
    <w:rsid w:val="005959A1"/>
    <w:rsid w:val="00597E8E"/>
    <w:rsid w:val="005A0964"/>
    <w:rsid w:val="005A0C0F"/>
    <w:rsid w:val="005A1882"/>
    <w:rsid w:val="005A2118"/>
    <w:rsid w:val="005A2396"/>
    <w:rsid w:val="005A2981"/>
    <w:rsid w:val="005A29A4"/>
    <w:rsid w:val="005A2AF9"/>
    <w:rsid w:val="005A2D3C"/>
    <w:rsid w:val="005A2DCA"/>
    <w:rsid w:val="005A31C1"/>
    <w:rsid w:val="005A32A7"/>
    <w:rsid w:val="005A3C03"/>
    <w:rsid w:val="005A45BA"/>
    <w:rsid w:val="005A54CC"/>
    <w:rsid w:val="005A55D0"/>
    <w:rsid w:val="005A56E4"/>
    <w:rsid w:val="005A5F1D"/>
    <w:rsid w:val="005A5F88"/>
    <w:rsid w:val="005A6066"/>
    <w:rsid w:val="005A68AD"/>
    <w:rsid w:val="005A68B7"/>
    <w:rsid w:val="005A697C"/>
    <w:rsid w:val="005A6DEE"/>
    <w:rsid w:val="005A7A5D"/>
    <w:rsid w:val="005B056C"/>
    <w:rsid w:val="005B0598"/>
    <w:rsid w:val="005B05EB"/>
    <w:rsid w:val="005B1441"/>
    <w:rsid w:val="005B1708"/>
    <w:rsid w:val="005B1FA4"/>
    <w:rsid w:val="005B235F"/>
    <w:rsid w:val="005B2875"/>
    <w:rsid w:val="005B2976"/>
    <w:rsid w:val="005B36F6"/>
    <w:rsid w:val="005B39EF"/>
    <w:rsid w:val="005B44F6"/>
    <w:rsid w:val="005B51DD"/>
    <w:rsid w:val="005B54AB"/>
    <w:rsid w:val="005B5EEE"/>
    <w:rsid w:val="005B6515"/>
    <w:rsid w:val="005B6B4A"/>
    <w:rsid w:val="005B6BDB"/>
    <w:rsid w:val="005B6F48"/>
    <w:rsid w:val="005B7ED8"/>
    <w:rsid w:val="005C0BD5"/>
    <w:rsid w:val="005C1748"/>
    <w:rsid w:val="005C1A4D"/>
    <w:rsid w:val="005C1C80"/>
    <w:rsid w:val="005C207C"/>
    <w:rsid w:val="005C24FD"/>
    <w:rsid w:val="005C29A4"/>
    <w:rsid w:val="005C2B09"/>
    <w:rsid w:val="005C2ECF"/>
    <w:rsid w:val="005C2F48"/>
    <w:rsid w:val="005C30EB"/>
    <w:rsid w:val="005C34E1"/>
    <w:rsid w:val="005C3885"/>
    <w:rsid w:val="005C3C24"/>
    <w:rsid w:val="005C4344"/>
    <w:rsid w:val="005C485A"/>
    <w:rsid w:val="005C4F27"/>
    <w:rsid w:val="005C540A"/>
    <w:rsid w:val="005C553B"/>
    <w:rsid w:val="005C5D41"/>
    <w:rsid w:val="005C5F86"/>
    <w:rsid w:val="005C73C2"/>
    <w:rsid w:val="005C7416"/>
    <w:rsid w:val="005C7E92"/>
    <w:rsid w:val="005D03E8"/>
    <w:rsid w:val="005D0A8E"/>
    <w:rsid w:val="005D0DFB"/>
    <w:rsid w:val="005D1373"/>
    <w:rsid w:val="005D15FE"/>
    <w:rsid w:val="005D1D10"/>
    <w:rsid w:val="005D1F34"/>
    <w:rsid w:val="005D200B"/>
    <w:rsid w:val="005D24B1"/>
    <w:rsid w:val="005D2DDA"/>
    <w:rsid w:val="005D3241"/>
    <w:rsid w:val="005D361B"/>
    <w:rsid w:val="005D383D"/>
    <w:rsid w:val="005D3B80"/>
    <w:rsid w:val="005D3E1B"/>
    <w:rsid w:val="005D4249"/>
    <w:rsid w:val="005D42CF"/>
    <w:rsid w:val="005D442F"/>
    <w:rsid w:val="005D47EE"/>
    <w:rsid w:val="005D5149"/>
    <w:rsid w:val="005D5183"/>
    <w:rsid w:val="005D544C"/>
    <w:rsid w:val="005D555F"/>
    <w:rsid w:val="005D5921"/>
    <w:rsid w:val="005D5950"/>
    <w:rsid w:val="005D59CB"/>
    <w:rsid w:val="005D5D55"/>
    <w:rsid w:val="005D66BD"/>
    <w:rsid w:val="005D6BD2"/>
    <w:rsid w:val="005D7581"/>
    <w:rsid w:val="005E0F4D"/>
    <w:rsid w:val="005E138B"/>
    <w:rsid w:val="005E1588"/>
    <w:rsid w:val="005E1B2D"/>
    <w:rsid w:val="005E2C23"/>
    <w:rsid w:val="005E324C"/>
    <w:rsid w:val="005E35F0"/>
    <w:rsid w:val="005E36FD"/>
    <w:rsid w:val="005E3E62"/>
    <w:rsid w:val="005E5F0F"/>
    <w:rsid w:val="005E7159"/>
    <w:rsid w:val="005E71AD"/>
    <w:rsid w:val="005E77BE"/>
    <w:rsid w:val="005E77E4"/>
    <w:rsid w:val="005E7CF0"/>
    <w:rsid w:val="005E7D85"/>
    <w:rsid w:val="005F00CE"/>
    <w:rsid w:val="005F0330"/>
    <w:rsid w:val="005F05AD"/>
    <w:rsid w:val="005F0852"/>
    <w:rsid w:val="005F0A08"/>
    <w:rsid w:val="005F1442"/>
    <w:rsid w:val="005F1E90"/>
    <w:rsid w:val="005F2481"/>
    <w:rsid w:val="005F283D"/>
    <w:rsid w:val="005F3917"/>
    <w:rsid w:val="005F3A3D"/>
    <w:rsid w:val="005F3B80"/>
    <w:rsid w:val="005F45F6"/>
    <w:rsid w:val="005F52C7"/>
    <w:rsid w:val="005F559B"/>
    <w:rsid w:val="005F575D"/>
    <w:rsid w:val="005F60F5"/>
    <w:rsid w:val="005F61EB"/>
    <w:rsid w:val="005F6712"/>
    <w:rsid w:val="005F7533"/>
    <w:rsid w:val="005F7F93"/>
    <w:rsid w:val="00600867"/>
    <w:rsid w:val="0060111E"/>
    <w:rsid w:val="00601338"/>
    <w:rsid w:val="00601809"/>
    <w:rsid w:val="00601961"/>
    <w:rsid w:val="00601AF6"/>
    <w:rsid w:val="00601FAF"/>
    <w:rsid w:val="00602951"/>
    <w:rsid w:val="00602AEF"/>
    <w:rsid w:val="00602DD5"/>
    <w:rsid w:val="00602EAB"/>
    <w:rsid w:val="0060304B"/>
    <w:rsid w:val="006031BF"/>
    <w:rsid w:val="0060323C"/>
    <w:rsid w:val="0060325A"/>
    <w:rsid w:val="006037A2"/>
    <w:rsid w:val="00604731"/>
    <w:rsid w:val="006047B6"/>
    <w:rsid w:val="0060483D"/>
    <w:rsid w:val="00605886"/>
    <w:rsid w:val="006058D0"/>
    <w:rsid w:val="00605D3E"/>
    <w:rsid w:val="00605F30"/>
    <w:rsid w:val="00606323"/>
    <w:rsid w:val="00606A30"/>
    <w:rsid w:val="0061011B"/>
    <w:rsid w:val="00610873"/>
    <w:rsid w:val="00610A97"/>
    <w:rsid w:val="00610C49"/>
    <w:rsid w:val="00610E06"/>
    <w:rsid w:val="00610E58"/>
    <w:rsid w:val="006113BB"/>
    <w:rsid w:val="0061150D"/>
    <w:rsid w:val="00611573"/>
    <w:rsid w:val="006118A1"/>
    <w:rsid w:val="00611AB0"/>
    <w:rsid w:val="006129D7"/>
    <w:rsid w:val="00613025"/>
    <w:rsid w:val="006138FB"/>
    <w:rsid w:val="00613BC0"/>
    <w:rsid w:val="006147DB"/>
    <w:rsid w:val="00614BE3"/>
    <w:rsid w:val="00614DE9"/>
    <w:rsid w:val="00614E7D"/>
    <w:rsid w:val="00615836"/>
    <w:rsid w:val="00616F88"/>
    <w:rsid w:val="006208E1"/>
    <w:rsid w:val="00620EA0"/>
    <w:rsid w:val="00621411"/>
    <w:rsid w:val="00621589"/>
    <w:rsid w:val="006217DB"/>
    <w:rsid w:val="006224BD"/>
    <w:rsid w:val="00622508"/>
    <w:rsid w:val="006229D3"/>
    <w:rsid w:val="00622A13"/>
    <w:rsid w:val="00622F50"/>
    <w:rsid w:val="00623731"/>
    <w:rsid w:val="00623830"/>
    <w:rsid w:val="0062428C"/>
    <w:rsid w:val="006246F7"/>
    <w:rsid w:val="00624F2B"/>
    <w:rsid w:val="0062513B"/>
    <w:rsid w:val="00626CE7"/>
    <w:rsid w:val="0063009F"/>
    <w:rsid w:val="00630753"/>
    <w:rsid w:val="006307C5"/>
    <w:rsid w:val="00631FD8"/>
    <w:rsid w:val="0063240D"/>
    <w:rsid w:val="00632CFC"/>
    <w:rsid w:val="00632F1E"/>
    <w:rsid w:val="00633294"/>
    <w:rsid w:val="006338F0"/>
    <w:rsid w:val="00633980"/>
    <w:rsid w:val="00633AED"/>
    <w:rsid w:val="0063404E"/>
    <w:rsid w:val="00634597"/>
    <w:rsid w:val="00634848"/>
    <w:rsid w:val="0063485A"/>
    <w:rsid w:val="00634D50"/>
    <w:rsid w:val="00635122"/>
    <w:rsid w:val="00635401"/>
    <w:rsid w:val="006356C5"/>
    <w:rsid w:val="0063673D"/>
    <w:rsid w:val="006377F7"/>
    <w:rsid w:val="00637FB9"/>
    <w:rsid w:val="00640466"/>
    <w:rsid w:val="00640DDF"/>
    <w:rsid w:val="006410D9"/>
    <w:rsid w:val="006410F0"/>
    <w:rsid w:val="006417A4"/>
    <w:rsid w:val="00641B58"/>
    <w:rsid w:val="006422FC"/>
    <w:rsid w:val="00642905"/>
    <w:rsid w:val="00642A64"/>
    <w:rsid w:val="0064349D"/>
    <w:rsid w:val="00643C39"/>
    <w:rsid w:val="00643D46"/>
    <w:rsid w:val="00644367"/>
    <w:rsid w:val="00644B7D"/>
    <w:rsid w:val="0064520F"/>
    <w:rsid w:val="00645418"/>
    <w:rsid w:val="006459A6"/>
    <w:rsid w:val="006472D0"/>
    <w:rsid w:val="00647B18"/>
    <w:rsid w:val="00647FE3"/>
    <w:rsid w:val="006501EE"/>
    <w:rsid w:val="00650712"/>
    <w:rsid w:val="0065077B"/>
    <w:rsid w:val="00650E26"/>
    <w:rsid w:val="0065109A"/>
    <w:rsid w:val="00651BF5"/>
    <w:rsid w:val="00652110"/>
    <w:rsid w:val="0065267D"/>
    <w:rsid w:val="006539F1"/>
    <w:rsid w:val="00653AE1"/>
    <w:rsid w:val="00654793"/>
    <w:rsid w:val="00654ADC"/>
    <w:rsid w:val="00654E11"/>
    <w:rsid w:val="006563ED"/>
    <w:rsid w:val="00656FD8"/>
    <w:rsid w:val="00657424"/>
    <w:rsid w:val="006600B1"/>
    <w:rsid w:val="00660938"/>
    <w:rsid w:val="006609E8"/>
    <w:rsid w:val="00660CC4"/>
    <w:rsid w:val="00660D98"/>
    <w:rsid w:val="00661465"/>
    <w:rsid w:val="00663DDD"/>
    <w:rsid w:val="0066480B"/>
    <w:rsid w:val="006653A8"/>
    <w:rsid w:val="00665624"/>
    <w:rsid w:val="006656EB"/>
    <w:rsid w:val="0066631F"/>
    <w:rsid w:val="0066651B"/>
    <w:rsid w:val="00666F60"/>
    <w:rsid w:val="006671D4"/>
    <w:rsid w:val="0066725E"/>
    <w:rsid w:val="006679DE"/>
    <w:rsid w:val="00670D4F"/>
    <w:rsid w:val="006722DE"/>
    <w:rsid w:val="0067245F"/>
    <w:rsid w:val="00672481"/>
    <w:rsid w:val="00672660"/>
    <w:rsid w:val="00672729"/>
    <w:rsid w:val="006731E4"/>
    <w:rsid w:val="00673B5F"/>
    <w:rsid w:val="00673CEA"/>
    <w:rsid w:val="00673E97"/>
    <w:rsid w:val="00674442"/>
    <w:rsid w:val="00674597"/>
    <w:rsid w:val="0067465F"/>
    <w:rsid w:val="00675A2D"/>
    <w:rsid w:val="00675B7D"/>
    <w:rsid w:val="00675EED"/>
    <w:rsid w:val="00676386"/>
    <w:rsid w:val="00676D5E"/>
    <w:rsid w:val="0068039A"/>
    <w:rsid w:val="006816EF"/>
    <w:rsid w:val="00681950"/>
    <w:rsid w:val="00681AE1"/>
    <w:rsid w:val="00681E6D"/>
    <w:rsid w:val="00682043"/>
    <w:rsid w:val="006820EF"/>
    <w:rsid w:val="00682451"/>
    <w:rsid w:val="006824C8"/>
    <w:rsid w:val="00682BB1"/>
    <w:rsid w:val="006832DB"/>
    <w:rsid w:val="00683AD0"/>
    <w:rsid w:val="00684052"/>
    <w:rsid w:val="00684531"/>
    <w:rsid w:val="006848E8"/>
    <w:rsid w:val="00684E43"/>
    <w:rsid w:val="00684F01"/>
    <w:rsid w:val="00685384"/>
    <w:rsid w:val="00685D7A"/>
    <w:rsid w:val="006866F3"/>
    <w:rsid w:val="0068709A"/>
    <w:rsid w:val="00687912"/>
    <w:rsid w:val="00690047"/>
    <w:rsid w:val="00690353"/>
    <w:rsid w:val="0069045D"/>
    <w:rsid w:val="00690931"/>
    <w:rsid w:val="006911A6"/>
    <w:rsid w:val="006912A8"/>
    <w:rsid w:val="006912BB"/>
    <w:rsid w:val="00691774"/>
    <w:rsid w:val="00691A89"/>
    <w:rsid w:val="00691A8C"/>
    <w:rsid w:val="00692641"/>
    <w:rsid w:val="00692A42"/>
    <w:rsid w:val="00693A9D"/>
    <w:rsid w:val="00693DDE"/>
    <w:rsid w:val="006943C2"/>
    <w:rsid w:val="00694548"/>
    <w:rsid w:val="0069538F"/>
    <w:rsid w:val="00695420"/>
    <w:rsid w:val="00695CBC"/>
    <w:rsid w:val="00695F1F"/>
    <w:rsid w:val="00695F4C"/>
    <w:rsid w:val="00696418"/>
    <w:rsid w:val="00696A30"/>
    <w:rsid w:val="00696C1C"/>
    <w:rsid w:val="00696D2C"/>
    <w:rsid w:val="00696F38"/>
    <w:rsid w:val="006972AF"/>
    <w:rsid w:val="0069735D"/>
    <w:rsid w:val="00697CC8"/>
    <w:rsid w:val="00697FED"/>
    <w:rsid w:val="006A071F"/>
    <w:rsid w:val="006A08BE"/>
    <w:rsid w:val="006A0AD7"/>
    <w:rsid w:val="006A145E"/>
    <w:rsid w:val="006A1E0A"/>
    <w:rsid w:val="006A2B86"/>
    <w:rsid w:val="006A39A7"/>
    <w:rsid w:val="006A4360"/>
    <w:rsid w:val="006A4B2E"/>
    <w:rsid w:val="006A4F6B"/>
    <w:rsid w:val="006A50D3"/>
    <w:rsid w:val="006A55F1"/>
    <w:rsid w:val="006A56EE"/>
    <w:rsid w:val="006A5A3F"/>
    <w:rsid w:val="006A5EC7"/>
    <w:rsid w:val="006A6BB3"/>
    <w:rsid w:val="006A6E98"/>
    <w:rsid w:val="006A704D"/>
    <w:rsid w:val="006B0234"/>
    <w:rsid w:val="006B0635"/>
    <w:rsid w:val="006B0A1E"/>
    <w:rsid w:val="006B1840"/>
    <w:rsid w:val="006B1DF7"/>
    <w:rsid w:val="006B3566"/>
    <w:rsid w:val="006B3619"/>
    <w:rsid w:val="006B3DE1"/>
    <w:rsid w:val="006B412E"/>
    <w:rsid w:val="006B5AF8"/>
    <w:rsid w:val="006B73C1"/>
    <w:rsid w:val="006C0642"/>
    <w:rsid w:val="006C0647"/>
    <w:rsid w:val="006C0A21"/>
    <w:rsid w:val="006C0A52"/>
    <w:rsid w:val="006C1192"/>
    <w:rsid w:val="006C24B3"/>
    <w:rsid w:val="006C2B6A"/>
    <w:rsid w:val="006C2DE6"/>
    <w:rsid w:val="006C37F6"/>
    <w:rsid w:val="006C384D"/>
    <w:rsid w:val="006C3C76"/>
    <w:rsid w:val="006C49C5"/>
    <w:rsid w:val="006C4AEC"/>
    <w:rsid w:val="006C4E89"/>
    <w:rsid w:val="006C5EFA"/>
    <w:rsid w:val="006C6218"/>
    <w:rsid w:val="006C624A"/>
    <w:rsid w:val="006C6955"/>
    <w:rsid w:val="006C69DF"/>
    <w:rsid w:val="006D0045"/>
    <w:rsid w:val="006D03B5"/>
    <w:rsid w:val="006D0407"/>
    <w:rsid w:val="006D04FE"/>
    <w:rsid w:val="006D0A8B"/>
    <w:rsid w:val="006D0B18"/>
    <w:rsid w:val="006D11DC"/>
    <w:rsid w:val="006D1220"/>
    <w:rsid w:val="006D18E8"/>
    <w:rsid w:val="006D22D9"/>
    <w:rsid w:val="006D2B86"/>
    <w:rsid w:val="006D2D37"/>
    <w:rsid w:val="006D35C5"/>
    <w:rsid w:val="006D380E"/>
    <w:rsid w:val="006D3991"/>
    <w:rsid w:val="006D4976"/>
    <w:rsid w:val="006D4A93"/>
    <w:rsid w:val="006D5D8C"/>
    <w:rsid w:val="006D5EE5"/>
    <w:rsid w:val="006D6776"/>
    <w:rsid w:val="006E0138"/>
    <w:rsid w:val="006E0D7F"/>
    <w:rsid w:val="006E1F42"/>
    <w:rsid w:val="006E25B9"/>
    <w:rsid w:val="006E30AC"/>
    <w:rsid w:val="006E3194"/>
    <w:rsid w:val="006E380A"/>
    <w:rsid w:val="006E4873"/>
    <w:rsid w:val="006E4D9C"/>
    <w:rsid w:val="006E5BF0"/>
    <w:rsid w:val="006E5E11"/>
    <w:rsid w:val="006E5ECC"/>
    <w:rsid w:val="006E6165"/>
    <w:rsid w:val="006E6534"/>
    <w:rsid w:val="006E6D3B"/>
    <w:rsid w:val="006E6FF4"/>
    <w:rsid w:val="006E7355"/>
    <w:rsid w:val="006E78C0"/>
    <w:rsid w:val="006E7AA7"/>
    <w:rsid w:val="006F0071"/>
    <w:rsid w:val="006F146F"/>
    <w:rsid w:val="006F14CD"/>
    <w:rsid w:val="006F1DEB"/>
    <w:rsid w:val="006F28F6"/>
    <w:rsid w:val="006F2F78"/>
    <w:rsid w:val="006F35BD"/>
    <w:rsid w:val="006F3BDD"/>
    <w:rsid w:val="006F48E3"/>
    <w:rsid w:val="006F4F0C"/>
    <w:rsid w:val="006F57BF"/>
    <w:rsid w:val="006F59D1"/>
    <w:rsid w:val="006F5BF4"/>
    <w:rsid w:val="006F5F27"/>
    <w:rsid w:val="006F6691"/>
    <w:rsid w:val="006F66F4"/>
    <w:rsid w:val="0070025D"/>
    <w:rsid w:val="00700C80"/>
    <w:rsid w:val="0070162B"/>
    <w:rsid w:val="007024A3"/>
    <w:rsid w:val="00703694"/>
    <w:rsid w:val="0070380A"/>
    <w:rsid w:val="00703BE6"/>
    <w:rsid w:val="0070433F"/>
    <w:rsid w:val="00704404"/>
    <w:rsid w:val="0070451D"/>
    <w:rsid w:val="00704AFC"/>
    <w:rsid w:val="00704BDA"/>
    <w:rsid w:val="007053B7"/>
    <w:rsid w:val="00706281"/>
    <w:rsid w:val="007068F0"/>
    <w:rsid w:val="00706DA4"/>
    <w:rsid w:val="0070728E"/>
    <w:rsid w:val="00710318"/>
    <w:rsid w:val="0071165B"/>
    <w:rsid w:val="007118DC"/>
    <w:rsid w:val="007119BD"/>
    <w:rsid w:val="00712049"/>
    <w:rsid w:val="007123B4"/>
    <w:rsid w:val="00712858"/>
    <w:rsid w:val="00712C91"/>
    <w:rsid w:val="00713399"/>
    <w:rsid w:val="007138D2"/>
    <w:rsid w:val="0071496B"/>
    <w:rsid w:val="00714FF5"/>
    <w:rsid w:val="007151CF"/>
    <w:rsid w:val="007152A5"/>
    <w:rsid w:val="0071579A"/>
    <w:rsid w:val="00715844"/>
    <w:rsid w:val="007159A8"/>
    <w:rsid w:val="00715DA6"/>
    <w:rsid w:val="00716825"/>
    <w:rsid w:val="00716944"/>
    <w:rsid w:val="00717625"/>
    <w:rsid w:val="0071792B"/>
    <w:rsid w:val="0071796D"/>
    <w:rsid w:val="007200A6"/>
    <w:rsid w:val="00720366"/>
    <w:rsid w:val="00720B1B"/>
    <w:rsid w:val="007218E3"/>
    <w:rsid w:val="0072264A"/>
    <w:rsid w:val="0072364E"/>
    <w:rsid w:val="00723927"/>
    <w:rsid w:val="00723A57"/>
    <w:rsid w:val="00723D58"/>
    <w:rsid w:val="00723D9B"/>
    <w:rsid w:val="007241BE"/>
    <w:rsid w:val="00724290"/>
    <w:rsid w:val="0072474F"/>
    <w:rsid w:val="0072656A"/>
    <w:rsid w:val="00726DD6"/>
    <w:rsid w:val="00727539"/>
    <w:rsid w:val="007278E1"/>
    <w:rsid w:val="00727DCA"/>
    <w:rsid w:val="00730BD2"/>
    <w:rsid w:val="007313D2"/>
    <w:rsid w:val="00731ADB"/>
    <w:rsid w:val="007324DA"/>
    <w:rsid w:val="007329B7"/>
    <w:rsid w:val="0073326C"/>
    <w:rsid w:val="007334B7"/>
    <w:rsid w:val="007338F5"/>
    <w:rsid w:val="007340AD"/>
    <w:rsid w:val="00734888"/>
    <w:rsid w:val="007351BD"/>
    <w:rsid w:val="007358EF"/>
    <w:rsid w:val="00735980"/>
    <w:rsid w:val="00736257"/>
    <w:rsid w:val="00736470"/>
    <w:rsid w:val="00737FA2"/>
    <w:rsid w:val="007406F7"/>
    <w:rsid w:val="00741334"/>
    <w:rsid w:val="0074143D"/>
    <w:rsid w:val="00741769"/>
    <w:rsid w:val="00741866"/>
    <w:rsid w:val="007418D3"/>
    <w:rsid w:val="00741A76"/>
    <w:rsid w:val="007424DF"/>
    <w:rsid w:val="0074258F"/>
    <w:rsid w:val="00743345"/>
    <w:rsid w:val="00743B6C"/>
    <w:rsid w:val="007448E6"/>
    <w:rsid w:val="00744B97"/>
    <w:rsid w:val="00744DE2"/>
    <w:rsid w:val="0074501C"/>
    <w:rsid w:val="00745023"/>
    <w:rsid w:val="0074549B"/>
    <w:rsid w:val="007462C7"/>
    <w:rsid w:val="0074642A"/>
    <w:rsid w:val="007467FC"/>
    <w:rsid w:val="00746D62"/>
    <w:rsid w:val="00747F0E"/>
    <w:rsid w:val="00750099"/>
    <w:rsid w:val="007503C4"/>
    <w:rsid w:val="007514F0"/>
    <w:rsid w:val="0075193C"/>
    <w:rsid w:val="00752F81"/>
    <w:rsid w:val="0075376F"/>
    <w:rsid w:val="00753D57"/>
    <w:rsid w:val="007540BF"/>
    <w:rsid w:val="0075430D"/>
    <w:rsid w:val="00754A8E"/>
    <w:rsid w:val="00754ABC"/>
    <w:rsid w:val="00754B34"/>
    <w:rsid w:val="00754F7D"/>
    <w:rsid w:val="00755584"/>
    <w:rsid w:val="00755DE7"/>
    <w:rsid w:val="00755E2D"/>
    <w:rsid w:val="007566E0"/>
    <w:rsid w:val="00756EAA"/>
    <w:rsid w:val="00756F40"/>
    <w:rsid w:val="007612AD"/>
    <w:rsid w:val="00761550"/>
    <w:rsid w:val="007622A3"/>
    <w:rsid w:val="007627DA"/>
    <w:rsid w:val="007629CE"/>
    <w:rsid w:val="00762CAE"/>
    <w:rsid w:val="00762EF4"/>
    <w:rsid w:val="00762F31"/>
    <w:rsid w:val="00762F7D"/>
    <w:rsid w:val="00763393"/>
    <w:rsid w:val="007637A8"/>
    <w:rsid w:val="007637FF"/>
    <w:rsid w:val="00763F13"/>
    <w:rsid w:val="007640D8"/>
    <w:rsid w:val="007641E3"/>
    <w:rsid w:val="00764406"/>
    <w:rsid w:val="00764A96"/>
    <w:rsid w:val="007655D4"/>
    <w:rsid w:val="007656C1"/>
    <w:rsid w:val="00765B45"/>
    <w:rsid w:val="00765B58"/>
    <w:rsid w:val="00765D21"/>
    <w:rsid w:val="00765F83"/>
    <w:rsid w:val="0076745B"/>
    <w:rsid w:val="00767820"/>
    <w:rsid w:val="00767C21"/>
    <w:rsid w:val="00770241"/>
    <w:rsid w:val="007703F8"/>
    <w:rsid w:val="007706A4"/>
    <w:rsid w:val="00770CBF"/>
    <w:rsid w:val="00770DCB"/>
    <w:rsid w:val="00771180"/>
    <w:rsid w:val="00771C8E"/>
    <w:rsid w:val="00771D62"/>
    <w:rsid w:val="00771FAC"/>
    <w:rsid w:val="0077219E"/>
    <w:rsid w:val="007726F3"/>
    <w:rsid w:val="00772835"/>
    <w:rsid w:val="007728CA"/>
    <w:rsid w:val="0077299E"/>
    <w:rsid w:val="00772A86"/>
    <w:rsid w:val="00772AC3"/>
    <w:rsid w:val="00772BC5"/>
    <w:rsid w:val="007737B1"/>
    <w:rsid w:val="00773998"/>
    <w:rsid w:val="007740F7"/>
    <w:rsid w:val="0077461B"/>
    <w:rsid w:val="007749B3"/>
    <w:rsid w:val="00774CBF"/>
    <w:rsid w:val="00774F48"/>
    <w:rsid w:val="00775027"/>
    <w:rsid w:val="00775485"/>
    <w:rsid w:val="00775EEA"/>
    <w:rsid w:val="0077666E"/>
    <w:rsid w:val="00776C47"/>
    <w:rsid w:val="00776FAC"/>
    <w:rsid w:val="00776FB8"/>
    <w:rsid w:val="0077738E"/>
    <w:rsid w:val="00780BB5"/>
    <w:rsid w:val="007811AF"/>
    <w:rsid w:val="00781B31"/>
    <w:rsid w:val="00782433"/>
    <w:rsid w:val="0078269A"/>
    <w:rsid w:val="0078296D"/>
    <w:rsid w:val="00782A3F"/>
    <w:rsid w:val="007832CD"/>
    <w:rsid w:val="00783532"/>
    <w:rsid w:val="007835B8"/>
    <w:rsid w:val="007837AF"/>
    <w:rsid w:val="00783B12"/>
    <w:rsid w:val="00783B5D"/>
    <w:rsid w:val="00784047"/>
    <w:rsid w:val="007846B5"/>
    <w:rsid w:val="00784922"/>
    <w:rsid w:val="00784C3C"/>
    <w:rsid w:val="00784EAA"/>
    <w:rsid w:val="00784EE9"/>
    <w:rsid w:val="00785041"/>
    <w:rsid w:val="0078562D"/>
    <w:rsid w:val="00785ADB"/>
    <w:rsid w:val="00785AEC"/>
    <w:rsid w:val="00785C43"/>
    <w:rsid w:val="00786347"/>
    <w:rsid w:val="00786501"/>
    <w:rsid w:val="00786FE7"/>
    <w:rsid w:val="0078714B"/>
    <w:rsid w:val="007878C7"/>
    <w:rsid w:val="0079008F"/>
    <w:rsid w:val="007904CE"/>
    <w:rsid w:val="007905E6"/>
    <w:rsid w:val="00790728"/>
    <w:rsid w:val="00791AD4"/>
    <w:rsid w:val="00791BB8"/>
    <w:rsid w:val="007927EB"/>
    <w:rsid w:val="00793A67"/>
    <w:rsid w:val="00794B5B"/>
    <w:rsid w:val="00795668"/>
    <w:rsid w:val="00795840"/>
    <w:rsid w:val="00795D1E"/>
    <w:rsid w:val="00797506"/>
    <w:rsid w:val="007975C3"/>
    <w:rsid w:val="007A0271"/>
    <w:rsid w:val="007A0550"/>
    <w:rsid w:val="007A088D"/>
    <w:rsid w:val="007A1614"/>
    <w:rsid w:val="007A1ECE"/>
    <w:rsid w:val="007A225F"/>
    <w:rsid w:val="007A259C"/>
    <w:rsid w:val="007A2BFB"/>
    <w:rsid w:val="007A3CD6"/>
    <w:rsid w:val="007A446F"/>
    <w:rsid w:val="007A55F1"/>
    <w:rsid w:val="007A5A2B"/>
    <w:rsid w:val="007A5A54"/>
    <w:rsid w:val="007A6F29"/>
    <w:rsid w:val="007A7697"/>
    <w:rsid w:val="007A780F"/>
    <w:rsid w:val="007B022E"/>
    <w:rsid w:val="007B06EA"/>
    <w:rsid w:val="007B0719"/>
    <w:rsid w:val="007B0A41"/>
    <w:rsid w:val="007B0FD9"/>
    <w:rsid w:val="007B10E7"/>
    <w:rsid w:val="007B2F9D"/>
    <w:rsid w:val="007B350B"/>
    <w:rsid w:val="007B36CC"/>
    <w:rsid w:val="007B37AA"/>
    <w:rsid w:val="007B3E78"/>
    <w:rsid w:val="007B45D0"/>
    <w:rsid w:val="007B5B5F"/>
    <w:rsid w:val="007B671A"/>
    <w:rsid w:val="007B680C"/>
    <w:rsid w:val="007B6959"/>
    <w:rsid w:val="007B7556"/>
    <w:rsid w:val="007B7839"/>
    <w:rsid w:val="007B7E97"/>
    <w:rsid w:val="007C03F9"/>
    <w:rsid w:val="007C040C"/>
    <w:rsid w:val="007C0B10"/>
    <w:rsid w:val="007C1BB7"/>
    <w:rsid w:val="007C1D92"/>
    <w:rsid w:val="007C25AC"/>
    <w:rsid w:val="007C2DE0"/>
    <w:rsid w:val="007C3973"/>
    <w:rsid w:val="007C3DAD"/>
    <w:rsid w:val="007C43EB"/>
    <w:rsid w:val="007C51D7"/>
    <w:rsid w:val="007C54CA"/>
    <w:rsid w:val="007C5566"/>
    <w:rsid w:val="007C565B"/>
    <w:rsid w:val="007C5F5E"/>
    <w:rsid w:val="007C6698"/>
    <w:rsid w:val="007C734D"/>
    <w:rsid w:val="007C73AC"/>
    <w:rsid w:val="007C7F99"/>
    <w:rsid w:val="007D093B"/>
    <w:rsid w:val="007D0A79"/>
    <w:rsid w:val="007D0B4D"/>
    <w:rsid w:val="007D119B"/>
    <w:rsid w:val="007D14C2"/>
    <w:rsid w:val="007D161E"/>
    <w:rsid w:val="007D1726"/>
    <w:rsid w:val="007D1D00"/>
    <w:rsid w:val="007D2D63"/>
    <w:rsid w:val="007D2F00"/>
    <w:rsid w:val="007D4300"/>
    <w:rsid w:val="007D4912"/>
    <w:rsid w:val="007D4CA6"/>
    <w:rsid w:val="007D5546"/>
    <w:rsid w:val="007D5A26"/>
    <w:rsid w:val="007D64CB"/>
    <w:rsid w:val="007D64DD"/>
    <w:rsid w:val="007D68E7"/>
    <w:rsid w:val="007D7438"/>
    <w:rsid w:val="007D7C4E"/>
    <w:rsid w:val="007E018F"/>
    <w:rsid w:val="007E0EA5"/>
    <w:rsid w:val="007E125A"/>
    <w:rsid w:val="007E1CDC"/>
    <w:rsid w:val="007E2F0B"/>
    <w:rsid w:val="007E3011"/>
    <w:rsid w:val="007E31C0"/>
    <w:rsid w:val="007E4116"/>
    <w:rsid w:val="007E47EF"/>
    <w:rsid w:val="007E50F4"/>
    <w:rsid w:val="007E5B88"/>
    <w:rsid w:val="007E5E81"/>
    <w:rsid w:val="007E6194"/>
    <w:rsid w:val="007E68E2"/>
    <w:rsid w:val="007E6AD4"/>
    <w:rsid w:val="007E6C92"/>
    <w:rsid w:val="007E7033"/>
    <w:rsid w:val="007F032A"/>
    <w:rsid w:val="007F0D0B"/>
    <w:rsid w:val="007F0F8C"/>
    <w:rsid w:val="007F155C"/>
    <w:rsid w:val="007F15B2"/>
    <w:rsid w:val="007F2009"/>
    <w:rsid w:val="007F26E4"/>
    <w:rsid w:val="007F2A71"/>
    <w:rsid w:val="007F2BDA"/>
    <w:rsid w:val="007F31D1"/>
    <w:rsid w:val="007F34B6"/>
    <w:rsid w:val="007F3C6E"/>
    <w:rsid w:val="007F4654"/>
    <w:rsid w:val="007F4B2E"/>
    <w:rsid w:val="007F4D15"/>
    <w:rsid w:val="007F4E4A"/>
    <w:rsid w:val="007F56FC"/>
    <w:rsid w:val="007F590C"/>
    <w:rsid w:val="007F592E"/>
    <w:rsid w:val="007F5D38"/>
    <w:rsid w:val="007F6575"/>
    <w:rsid w:val="007F78D1"/>
    <w:rsid w:val="007F7EA4"/>
    <w:rsid w:val="00800340"/>
    <w:rsid w:val="00800515"/>
    <w:rsid w:val="008007A8"/>
    <w:rsid w:val="008011BC"/>
    <w:rsid w:val="00801527"/>
    <w:rsid w:val="00801DA2"/>
    <w:rsid w:val="00802A30"/>
    <w:rsid w:val="00802D58"/>
    <w:rsid w:val="00803847"/>
    <w:rsid w:val="008042D9"/>
    <w:rsid w:val="0080490B"/>
    <w:rsid w:val="00804E34"/>
    <w:rsid w:val="00805708"/>
    <w:rsid w:val="00805B7F"/>
    <w:rsid w:val="00805E97"/>
    <w:rsid w:val="008062E4"/>
    <w:rsid w:val="0080679A"/>
    <w:rsid w:val="00806C78"/>
    <w:rsid w:val="008072A4"/>
    <w:rsid w:val="00807837"/>
    <w:rsid w:val="00807EA4"/>
    <w:rsid w:val="00810506"/>
    <w:rsid w:val="00810E22"/>
    <w:rsid w:val="00811621"/>
    <w:rsid w:val="00811ECC"/>
    <w:rsid w:val="0081210E"/>
    <w:rsid w:val="008121D1"/>
    <w:rsid w:val="0081276E"/>
    <w:rsid w:val="00812829"/>
    <w:rsid w:val="00812B74"/>
    <w:rsid w:val="00812F41"/>
    <w:rsid w:val="00813376"/>
    <w:rsid w:val="00813F1A"/>
    <w:rsid w:val="0081464E"/>
    <w:rsid w:val="00814E0E"/>
    <w:rsid w:val="00814FC0"/>
    <w:rsid w:val="008150CA"/>
    <w:rsid w:val="00816D40"/>
    <w:rsid w:val="00816E42"/>
    <w:rsid w:val="008177F5"/>
    <w:rsid w:val="00817C73"/>
    <w:rsid w:val="0082090A"/>
    <w:rsid w:val="0082143E"/>
    <w:rsid w:val="0082150B"/>
    <w:rsid w:val="00821666"/>
    <w:rsid w:val="0082182C"/>
    <w:rsid w:val="00823005"/>
    <w:rsid w:val="00823BBE"/>
    <w:rsid w:val="00823D2D"/>
    <w:rsid w:val="00824470"/>
    <w:rsid w:val="00824532"/>
    <w:rsid w:val="00824A81"/>
    <w:rsid w:val="00825080"/>
    <w:rsid w:val="00825C2F"/>
    <w:rsid w:val="0082692D"/>
    <w:rsid w:val="0082753E"/>
    <w:rsid w:val="00827B52"/>
    <w:rsid w:val="008300A6"/>
    <w:rsid w:val="008300D3"/>
    <w:rsid w:val="008304C7"/>
    <w:rsid w:val="00830E60"/>
    <w:rsid w:val="00831151"/>
    <w:rsid w:val="008316C3"/>
    <w:rsid w:val="00831B4B"/>
    <w:rsid w:val="00832184"/>
    <w:rsid w:val="00832AEB"/>
    <w:rsid w:val="00832F67"/>
    <w:rsid w:val="00833037"/>
    <w:rsid w:val="008332B3"/>
    <w:rsid w:val="00833887"/>
    <w:rsid w:val="00833B86"/>
    <w:rsid w:val="00834947"/>
    <w:rsid w:val="00834BA9"/>
    <w:rsid w:val="00834F28"/>
    <w:rsid w:val="0083617B"/>
    <w:rsid w:val="00836341"/>
    <w:rsid w:val="008369E4"/>
    <w:rsid w:val="00836A28"/>
    <w:rsid w:val="00836F73"/>
    <w:rsid w:val="00840037"/>
    <w:rsid w:val="008403BD"/>
    <w:rsid w:val="0084075D"/>
    <w:rsid w:val="00840F80"/>
    <w:rsid w:val="0084143F"/>
    <w:rsid w:val="00841A24"/>
    <w:rsid w:val="00841A50"/>
    <w:rsid w:val="00842B5C"/>
    <w:rsid w:val="00843B1A"/>
    <w:rsid w:val="008449B9"/>
    <w:rsid w:val="00845042"/>
    <w:rsid w:val="008451E7"/>
    <w:rsid w:val="00845941"/>
    <w:rsid w:val="00846040"/>
    <w:rsid w:val="0084617D"/>
    <w:rsid w:val="00846376"/>
    <w:rsid w:val="00846AA7"/>
    <w:rsid w:val="00847191"/>
    <w:rsid w:val="00847994"/>
    <w:rsid w:val="008503B4"/>
    <w:rsid w:val="00850F34"/>
    <w:rsid w:val="00851D92"/>
    <w:rsid w:val="0085294E"/>
    <w:rsid w:val="00853964"/>
    <w:rsid w:val="00854002"/>
    <w:rsid w:val="0085516C"/>
    <w:rsid w:val="008567E1"/>
    <w:rsid w:val="00856D2F"/>
    <w:rsid w:val="00856D8D"/>
    <w:rsid w:val="00856DB5"/>
    <w:rsid w:val="00856F78"/>
    <w:rsid w:val="00857E26"/>
    <w:rsid w:val="008606B9"/>
    <w:rsid w:val="008607B2"/>
    <w:rsid w:val="008609DA"/>
    <w:rsid w:val="0086254F"/>
    <w:rsid w:val="00862806"/>
    <w:rsid w:val="0086285C"/>
    <w:rsid w:val="00862879"/>
    <w:rsid w:val="00862A93"/>
    <w:rsid w:val="008639BC"/>
    <w:rsid w:val="00863D79"/>
    <w:rsid w:val="00863E71"/>
    <w:rsid w:val="00864606"/>
    <w:rsid w:val="00865218"/>
    <w:rsid w:val="008662DF"/>
    <w:rsid w:val="00866B5F"/>
    <w:rsid w:val="0086753F"/>
    <w:rsid w:val="0087031C"/>
    <w:rsid w:val="008712D1"/>
    <w:rsid w:val="0087195D"/>
    <w:rsid w:val="00871C85"/>
    <w:rsid w:val="00872287"/>
    <w:rsid w:val="0087233D"/>
    <w:rsid w:val="00872385"/>
    <w:rsid w:val="008724DE"/>
    <w:rsid w:val="00872557"/>
    <w:rsid w:val="00872D6B"/>
    <w:rsid w:val="00873150"/>
    <w:rsid w:val="0087363B"/>
    <w:rsid w:val="008736BA"/>
    <w:rsid w:val="008742E2"/>
    <w:rsid w:val="008744D8"/>
    <w:rsid w:val="008746D7"/>
    <w:rsid w:val="00874CA5"/>
    <w:rsid w:val="00874F2A"/>
    <w:rsid w:val="00875485"/>
    <w:rsid w:val="008758D9"/>
    <w:rsid w:val="0087598D"/>
    <w:rsid w:val="008772CB"/>
    <w:rsid w:val="00877376"/>
    <w:rsid w:val="00877BD4"/>
    <w:rsid w:val="00877CDE"/>
    <w:rsid w:val="008810E7"/>
    <w:rsid w:val="0088121F"/>
    <w:rsid w:val="008815F6"/>
    <w:rsid w:val="00881762"/>
    <w:rsid w:val="00881766"/>
    <w:rsid w:val="0088226D"/>
    <w:rsid w:val="00882A88"/>
    <w:rsid w:val="00882B0A"/>
    <w:rsid w:val="00883107"/>
    <w:rsid w:val="00883639"/>
    <w:rsid w:val="00883784"/>
    <w:rsid w:val="00883C88"/>
    <w:rsid w:val="0088446E"/>
    <w:rsid w:val="00884698"/>
    <w:rsid w:val="00884873"/>
    <w:rsid w:val="00884CA7"/>
    <w:rsid w:val="00884EB4"/>
    <w:rsid w:val="00884F3C"/>
    <w:rsid w:val="00885826"/>
    <w:rsid w:val="00885BFC"/>
    <w:rsid w:val="008869A1"/>
    <w:rsid w:val="00886E5D"/>
    <w:rsid w:val="0088738A"/>
    <w:rsid w:val="00887AF3"/>
    <w:rsid w:val="00887EAC"/>
    <w:rsid w:val="00890377"/>
    <w:rsid w:val="00891586"/>
    <w:rsid w:val="00891FA3"/>
    <w:rsid w:val="0089229D"/>
    <w:rsid w:val="00892AB9"/>
    <w:rsid w:val="0089302F"/>
    <w:rsid w:val="0089376F"/>
    <w:rsid w:val="008937CE"/>
    <w:rsid w:val="00893A0D"/>
    <w:rsid w:val="00893C6E"/>
    <w:rsid w:val="00894174"/>
    <w:rsid w:val="0089425A"/>
    <w:rsid w:val="00894763"/>
    <w:rsid w:val="00895B3F"/>
    <w:rsid w:val="00897104"/>
    <w:rsid w:val="00897546"/>
    <w:rsid w:val="00897D4A"/>
    <w:rsid w:val="008A0766"/>
    <w:rsid w:val="008A18F1"/>
    <w:rsid w:val="008A247A"/>
    <w:rsid w:val="008A2F33"/>
    <w:rsid w:val="008A3CD1"/>
    <w:rsid w:val="008A3D57"/>
    <w:rsid w:val="008A3FEA"/>
    <w:rsid w:val="008A42D7"/>
    <w:rsid w:val="008A440B"/>
    <w:rsid w:val="008A4A6E"/>
    <w:rsid w:val="008A544D"/>
    <w:rsid w:val="008A5566"/>
    <w:rsid w:val="008A5BC2"/>
    <w:rsid w:val="008A5DA1"/>
    <w:rsid w:val="008A5E32"/>
    <w:rsid w:val="008A6698"/>
    <w:rsid w:val="008A6E06"/>
    <w:rsid w:val="008A703F"/>
    <w:rsid w:val="008A7E23"/>
    <w:rsid w:val="008B0E92"/>
    <w:rsid w:val="008B11BA"/>
    <w:rsid w:val="008B1260"/>
    <w:rsid w:val="008B1310"/>
    <w:rsid w:val="008B1A76"/>
    <w:rsid w:val="008B23BC"/>
    <w:rsid w:val="008B244F"/>
    <w:rsid w:val="008B27DF"/>
    <w:rsid w:val="008B33F0"/>
    <w:rsid w:val="008B36AE"/>
    <w:rsid w:val="008B3899"/>
    <w:rsid w:val="008B3984"/>
    <w:rsid w:val="008B42D8"/>
    <w:rsid w:val="008B46CC"/>
    <w:rsid w:val="008B48CE"/>
    <w:rsid w:val="008B4E8C"/>
    <w:rsid w:val="008B50C2"/>
    <w:rsid w:val="008B59A2"/>
    <w:rsid w:val="008B5DE2"/>
    <w:rsid w:val="008B64AA"/>
    <w:rsid w:val="008B6ED8"/>
    <w:rsid w:val="008B75A1"/>
    <w:rsid w:val="008B7F89"/>
    <w:rsid w:val="008C01CB"/>
    <w:rsid w:val="008C0712"/>
    <w:rsid w:val="008C07C1"/>
    <w:rsid w:val="008C0FE8"/>
    <w:rsid w:val="008C122C"/>
    <w:rsid w:val="008C12B2"/>
    <w:rsid w:val="008C1936"/>
    <w:rsid w:val="008C2451"/>
    <w:rsid w:val="008C28B9"/>
    <w:rsid w:val="008C3343"/>
    <w:rsid w:val="008C4796"/>
    <w:rsid w:val="008C4AA0"/>
    <w:rsid w:val="008C5028"/>
    <w:rsid w:val="008C54AB"/>
    <w:rsid w:val="008C628C"/>
    <w:rsid w:val="008C74A8"/>
    <w:rsid w:val="008D03C7"/>
    <w:rsid w:val="008D05CB"/>
    <w:rsid w:val="008D0984"/>
    <w:rsid w:val="008D0A5D"/>
    <w:rsid w:val="008D13AD"/>
    <w:rsid w:val="008D15F7"/>
    <w:rsid w:val="008D1F57"/>
    <w:rsid w:val="008D2306"/>
    <w:rsid w:val="008D2C02"/>
    <w:rsid w:val="008D2C2A"/>
    <w:rsid w:val="008D2FD3"/>
    <w:rsid w:val="008D379A"/>
    <w:rsid w:val="008D3CFC"/>
    <w:rsid w:val="008D539D"/>
    <w:rsid w:val="008D5FAD"/>
    <w:rsid w:val="008D6058"/>
    <w:rsid w:val="008D6B29"/>
    <w:rsid w:val="008D6EF3"/>
    <w:rsid w:val="008D7021"/>
    <w:rsid w:val="008D763D"/>
    <w:rsid w:val="008D7D14"/>
    <w:rsid w:val="008E14CA"/>
    <w:rsid w:val="008E1781"/>
    <w:rsid w:val="008E24DC"/>
    <w:rsid w:val="008E2B41"/>
    <w:rsid w:val="008E2CD3"/>
    <w:rsid w:val="008E2DB7"/>
    <w:rsid w:val="008E328C"/>
    <w:rsid w:val="008E3686"/>
    <w:rsid w:val="008E3799"/>
    <w:rsid w:val="008E3D60"/>
    <w:rsid w:val="008E3F4C"/>
    <w:rsid w:val="008E402A"/>
    <w:rsid w:val="008E41FB"/>
    <w:rsid w:val="008E4EFB"/>
    <w:rsid w:val="008E5C2A"/>
    <w:rsid w:val="008E5C83"/>
    <w:rsid w:val="008E653C"/>
    <w:rsid w:val="008E6577"/>
    <w:rsid w:val="008E6AC9"/>
    <w:rsid w:val="008E6CAE"/>
    <w:rsid w:val="008E6FA6"/>
    <w:rsid w:val="008E71D4"/>
    <w:rsid w:val="008E745B"/>
    <w:rsid w:val="008E7BB0"/>
    <w:rsid w:val="008F025D"/>
    <w:rsid w:val="008F062E"/>
    <w:rsid w:val="008F0657"/>
    <w:rsid w:val="008F0AEE"/>
    <w:rsid w:val="008F1550"/>
    <w:rsid w:val="008F1BF0"/>
    <w:rsid w:val="008F2996"/>
    <w:rsid w:val="008F3130"/>
    <w:rsid w:val="008F3426"/>
    <w:rsid w:val="008F3472"/>
    <w:rsid w:val="008F35AB"/>
    <w:rsid w:val="008F439E"/>
    <w:rsid w:val="008F441E"/>
    <w:rsid w:val="008F44C4"/>
    <w:rsid w:val="008F470B"/>
    <w:rsid w:val="008F4C4F"/>
    <w:rsid w:val="008F56AD"/>
    <w:rsid w:val="008F5950"/>
    <w:rsid w:val="008F5F0D"/>
    <w:rsid w:val="008F69ED"/>
    <w:rsid w:val="008F6A36"/>
    <w:rsid w:val="008F6D56"/>
    <w:rsid w:val="008F6F72"/>
    <w:rsid w:val="008F712E"/>
    <w:rsid w:val="008F72B0"/>
    <w:rsid w:val="008F764A"/>
    <w:rsid w:val="008F7DE0"/>
    <w:rsid w:val="00900095"/>
    <w:rsid w:val="00900352"/>
    <w:rsid w:val="00900EFE"/>
    <w:rsid w:val="0090165F"/>
    <w:rsid w:val="00901B82"/>
    <w:rsid w:val="00902066"/>
    <w:rsid w:val="00903A95"/>
    <w:rsid w:val="00903C2A"/>
    <w:rsid w:val="00904BC4"/>
    <w:rsid w:val="00905746"/>
    <w:rsid w:val="00905985"/>
    <w:rsid w:val="00905B7D"/>
    <w:rsid w:val="00905C3E"/>
    <w:rsid w:val="00905F79"/>
    <w:rsid w:val="00906178"/>
    <w:rsid w:val="009062D7"/>
    <w:rsid w:val="009065E9"/>
    <w:rsid w:val="00906873"/>
    <w:rsid w:val="00906E11"/>
    <w:rsid w:val="0090759B"/>
    <w:rsid w:val="009113EC"/>
    <w:rsid w:val="0091140A"/>
    <w:rsid w:val="00911957"/>
    <w:rsid w:val="009119C8"/>
    <w:rsid w:val="00911A37"/>
    <w:rsid w:val="00911B48"/>
    <w:rsid w:val="009125AD"/>
    <w:rsid w:val="009126D6"/>
    <w:rsid w:val="00912B09"/>
    <w:rsid w:val="00912C05"/>
    <w:rsid w:val="00912DC3"/>
    <w:rsid w:val="00912FB8"/>
    <w:rsid w:val="00913A8B"/>
    <w:rsid w:val="00913AD2"/>
    <w:rsid w:val="00914D65"/>
    <w:rsid w:val="00914DBF"/>
    <w:rsid w:val="00914DFF"/>
    <w:rsid w:val="00914E07"/>
    <w:rsid w:val="00915BE9"/>
    <w:rsid w:val="00916677"/>
    <w:rsid w:val="009166EC"/>
    <w:rsid w:val="00916B04"/>
    <w:rsid w:val="00916D46"/>
    <w:rsid w:val="0091774C"/>
    <w:rsid w:val="00917A52"/>
    <w:rsid w:val="00921575"/>
    <w:rsid w:val="00921718"/>
    <w:rsid w:val="00921B64"/>
    <w:rsid w:val="00922BF1"/>
    <w:rsid w:val="00922C47"/>
    <w:rsid w:val="00923D98"/>
    <w:rsid w:val="00923DE4"/>
    <w:rsid w:val="00924B52"/>
    <w:rsid w:val="00924CC7"/>
    <w:rsid w:val="0092501C"/>
    <w:rsid w:val="00925C5B"/>
    <w:rsid w:val="009264AE"/>
    <w:rsid w:val="00926910"/>
    <w:rsid w:val="0092751C"/>
    <w:rsid w:val="00927F48"/>
    <w:rsid w:val="009301A2"/>
    <w:rsid w:val="00930D07"/>
    <w:rsid w:val="009311AF"/>
    <w:rsid w:val="009311DC"/>
    <w:rsid w:val="009315A3"/>
    <w:rsid w:val="009315B5"/>
    <w:rsid w:val="00931BFD"/>
    <w:rsid w:val="0093281F"/>
    <w:rsid w:val="00932E87"/>
    <w:rsid w:val="0093345B"/>
    <w:rsid w:val="009334B2"/>
    <w:rsid w:val="00933615"/>
    <w:rsid w:val="00934473"/>
    <w:rsid w:val="009345BA"/>
    <w:rsid w:val="00934C7E"/>
    <w:rsid w:val="00936EC9"/>
    <w:rsid w:val="0093729F"/>
    <w:rsid w:val="00937395"/>
    <w:rsid w:val="0093745A"/>
    <w:rsid w:val="00937839"/>
    <w:rsid w:val="009405E1"/>
    <w:rsid w:val="00940F1D"/>
    <w:rsid w:val="009410DE"/>
    <w:rsid w:val="0094164E"/>
    <w:rsid w:val="009417D6"/>
    <w:rsid w:val="00941856"/>
    <w:rsid w:val="0094202A"/>
    <w:rsid w:val="00942FF0"/>
    <w:rsid w:val="0094304D"/>
    <w:rsid w:val="009432CF"/>
    <w:rsid w:val="00943525"/>
    <w:rsid w:val="009436B2"/>
    <w:rsid w:val="00943A23"/>
    <w:rsid w:val="00943D23"/>
    <w:rsid w:val="009448DE"/>
    <w:rsid w:val="009448EC"/>
    <w:rsid w:val="00944956"/>
    <w:rsid w:val="009449A4"/>
    <w:rsid w:val="00944F7D"/>
    <w:rsid w:val="00945097"/>
    <w:rsid w:val="009451D2"/>
    <w:rsid w:val="009455C2"/>
    <w:rsid w:val="00946351"/>
    <w:rsid w:val="00946454"/>
    <w:rsid w:val="00946922"/>
    <w:rsid w:val="009502E7"/>
    <w:rsid w:val="0095033D"/>
    <w:rsid w:val="00950C9D"/>
    <w:rsid w:val="00950DB0"/>
    <w:rsid w:val="009517AD"/>
    <w:rsid w:val="00951B01"/>
    <w:rsid w:val="00952608"/>
    <w:rsid w:val="009530A8"/>
    <w:rsid w:val="00953277"/>
    <w:rsid w:val="00953382"/>
    <w:rsid w:val="0095378A"/>
    <w:rsid w:val="00954351"/>
    <w:rsid w:val="00954CD0"/>
    <w:rsid w:val="0095529C"/>
    <w:rsid w:val="009555D6"/>
    <w:rsid w:val="00956F23"/>
    <w:rsid w:val="00957BCD"/>
    <w:rsid w:val="0096020B"/>
    <w:rsid w:val="009602E3"/>
    <w:rsid w:val="009604BF"/>
    <w:rsid w:val="00960AF5"/>
    <w:rsid w:val="0096103A"/>
    <w:rsid w:val="0096109A"/>
    <w:rsid w:val="00961A91"/>
    <w:rsid w:val="009621E2"/>
    <w:rsid w:val="00962604"/>
    <w:rsid w:val="00962DBB"/>
    <w:rsid w:val="00962F9F"/>
    <w:rsid w:val="009633C3"/>
    <w:rsid w:val="00963613"/>
    <w:rsid w:val="00963ED5"/>
    <w:rsid w:val="00964B73"/>
    <w:rsid w:val="00964CF9"/>
    <w:rsid w:val="00964FBF"/>
    <w:rsid w:val="00965128"/>
    <w:rsid w:val="00965882"/>
    <w:rsid w:val="00965F22"/>
    <w:rsid w:val="00965FB6"/>
    <w:rsid w:val="0096683E"/>
    <w:rsid w:val="00966C2F"/>
    <w:rsid w:val="0096742A"/>
    <w:rsid w:val="00970DC3"/>
    <w:rsid w:val="0097140F"/>
    <w:rsid w:val="0097280E"/>
    <w:rsid w:val="00972A07"/>
    <w:rsid w:val="00972F49"/>
    <w:rsid w:val="0097311D"/>
    <w:rsid w:val="009734B8"/>
    <w:rsid w:val="0097365D"/>
    <w:rsid w:val="0097383F"/>
    <w:rsid w:val="0097432C"/>
    <w:rsid w:val="00974A34"/>
    <w:rsid w:val="00974B7A"/>
    <w:rsid w:val="0097512B"/>
    <w:rsid w:val="009751E3"/>
    <w:rsid w:val="00975CC2"/>
    <w:rsid w:val="00975E14"/>
    <w:rsid w:val="009773F4"/>
    <w:rsid w:val="0097796D"/>
    <w:rsid w:val="00977B4B"/>
    <w:rsid w:val="00977D33"/>
    <w:rsid w:val="00977DF0"/>
    <w:rsid w:val="00977E58"/>
    <w:rsid w:val="00980959"/>
    <w:rsid w:val="00980BE6"/>
    <w:rsid w:val="00981C38"/>
    <w:rsid w:val="0098215C"/>
    <w:rsid w:val="00982404"/>
    <w:rsid w:val="00983944"/>
    <w:rsid w:val="00983CDC"/>
    <w:rsid w:val="0098426B"/>
    <w:rsid w:val="0098430B"/>
    <w:rsid w:val="00984BF4"/>
    <w:rsid w:val="0098647B"/>
    <w:rsid w:val="00986EF7"/>
    <w:rsid w:val="0098761A"/>
    <w:rsid w:val="00987A77"/>
    <w:rsid w:val="00987DB1"/>
    <w:rsid w:val="0099018E"/>
    <w:rsid w:val="00991198"/>
    <w:rsid w:val="009921B1"/>
    <w:rsid w:val="009932A6"/>
    <w:rsid w:val="00993532"/>
    <w:rsid w:val="009936BE"/>
    <w:rsid w:val="009936F7"/>
    <w:rsid w:val="00993E70"/>
    <w:rsid w:val="00994286"/>
    <w:rsid w:val="0099487D"/>
    <w:rsid w:val="00995206"/>
    <w:rsid w:val="00995A7F"/>
    <w:rsid w:val="00995D59"/>
    <w:rsid w:val="0099633E"/>
    <w:rsid w:val="00997855"/>
    <w:rsid w:val="00997A13"/>
    <w:rsid w:val="009A0400"/>
    <w:rsid w:val="009A073A"/>
    <w:rsid w:val="009A111F"/>
    <w:rsid w:val="009A1259"/>
    <w:rsid w:val="009A1E6F"/>
    <w:rsid w:val="009A2711"/>
    <w:rsid w:val="009A4E3B"/>
    <w:rsid w:val="009A4EE3"/>
    <w:rsid w:val="009A5BF6"/>
    <w:rsid w:val="009A5F0E"/>
    <w:rsid w:val="009A61D5"/>
    <w:rsid w:val="009A6342"/>
    <w:rsid w:val="009A6AFB"/>
    <w:rsid w:val="009A7250"/>
    <w:rsid w:val="009A7450"/>
    <w:rsid w:val="009A7C5F"/>
    <w:rsid w:val="009B0887"/>
    <w:rsid w:val="009B0DF8"/>
    <w:rsid w:val="009B1A45"/>
    <w:rsid w:val="009B2108"/>
    <w:rsid w:val="009B2543"/>
    <w:rsid w:val="009B349E"/>
    <w:rsid w:val="009B38DB"/>
    <w:rsid w:val="009B3BB8"/>
    <w:rsid w:val="009B3CDF"/>
    <w:rsid w:val="009B40B1"/>
    <w:rsid w:val="009B4340"/>
    <w:rsid w:val="009B47A2"/>
    <w:rsid w:val="009B4A91"/>
    <w:rsid w:val="009B4CF8"/>
    <w:rsid w:val="009B57B3"/>
    <w:rsid w:val="009B665D"/>
    <w:rsid w:val="009B6DDE"/>
    <w:rsid w:val="009B6FA9"/>
    <w:rsid w:val="009B7F71"/>
    <w:rsid w:val="009C0042"/>
    <w:rsid w:val="009C0F53"/>
    <w:rsid w:val="009C1079"/>
    <w:rsid w:val="009C1175"/>
    <w:rsid w:val="009C186D"/>
    <w:rsid w:val="009C1C89"/>
    <w:rsid w:val="009C2EED"/>
    <w:rsid w:val="009C305B"/>
    <w:rsid w:val="009C3936"/>
    <w:rsid w:val="009C3F0E"/>
    <w:rsid w:val="009C3F29"/>
    <w:rsid w:val="009C469F"/>
    <w:rsid w:val="009C4DB6"/>
    <w:rsid w:val="009C4F36"/>
    <w:rsid w:val="009C58D1"/>
    <w:rsid w:val="009C7A1F"/>
    <w:rsid w:val="009D07B6"/>
    <w:rsid w:val="009D0FE3"/>
    <w:rsid w:val="009D172F"/>
    <w:rsid w:val="009D1D58"/>
    <w:rsid w:val="009D1FE5"/>
    <w:rsid w:val="009D311C"/>
    <w:rsid w:val="009D3D29"/>
    <w:rsid w:val="009D40BF"/>
    <w:rsid w:val="009D4B4F"/>
    <w:rsid w:val="009D4B92"/>
    <w:rsid w:val="009D569B"/>
    <w:rsid w:val="009D5797"/>
    <w:rsid w:val="009D5BC0"/>
    <w:rsid w:val="009D67F6"/>
    <w:rsid w:val="009D693F"/>
    <w:rsid w:val="009D6F4F"/>
    <w:rsid w:val="009E08D1"/>
    <w:rsid w:val="009E0FE1"/>
    <w:rsid w:val="009E1307"/>
    <w:rsid w:val="009E161A"/>
    <w:rsid w:val="009E260B"/>
    <w:rsid w:val="009E2CE4"/>
    <w:rsid w:val="009E37E7"/>
    <w:rsid w:val="009E3925"/>
    <w:rsid w:val="009E497E"/>
    <w:rsid w:val="009E4BD0"/>
    <w:rsid w:val="009E581F"/>
    <w:rsid w:val="009E6AE4"/>
    <w:rsid w:val="009E70E9"/>
    <w:rsid w:val="009E7693"/>
    <w:rsid w:val="009F03FD"/>
    <w:rsid w:val="009F12DC"/>
    <w:rsid w:val="009F1383"/>
    <w:rsid w:val="009F197A"/>
    <w:rsid w:val="009F19B4"/>
    <w:rsid w:val="009F2764"/>
    <w:rsid w:val="009F2C3B"/>
    <w:rsid w:val="009F3279"/>
    <w:rsid w:val="009F47E9"/>
    <w:rsid w:val="009F5446"/>
    <w:rsid w:val="009F5635"/>
    <w:rsid w:val="009F5A7B"/>
    <w:rsid w:val="009F5B78"/>
    <w:rsid w:val="009F5C90"/>
    <w:rsid w:val="009F64BD"/>
    <w:rsid w:val="009F6ABC"/>
    <w:rsid w:val="009F6E2F"/>
    <w:rsid w:val="009F6EA2"/>
    <w:rsid w:val="009F6F05"/>
    <w:rsid w:val="009F777C"/>
    <w:rsid w:val="009F7D0B"/>
    <w:rsid w:val="00A0080F"/>
    <w:rsid w:val="00A00BAA"/>
    <w:rsid w:val="00A00C46"/>
    <w:rsid w:val="00A01110"/>
    <w:rsid w:val="00A0113D"/>
    <w:rsid w:val="00A01359"/>
    <w:rsid w:val="00A01380"/>
    <w:rsid w:val="00A0138C"/>
    <w:rsid w:val="00A013AC"/>
    <w:rsid w:val="00A01F21"/>
    <w:rsid w:val="00A020B7"/>
    <w:rsid w:val="00A029BD"/>
    <w:rsid w:val="00A02C3D"/>
    <w:rsid w:val="00A02F48"/>
    <w:rsid w:val="00A02FE6"/>
    <w:rsid w:val="00A0405A"/>
    <w:rsid w:val="00A0406E"/>
    <w:rsid w:val="00A05060"/>
    <w:rsid w:val="00A0514A"/>
    <w:rsid w:val="00A0526E"/>
    <w:rsid w:val="00A05F18"/>
    <w:rsid w:val="00A05FC5"/>
    <w:rsid w:val="00A066A6"/>
    <w:rsid w:val="00A076BF"/>
    <w:rsid w:val="00A07A0A"/>
    <w:rsid w:val="00A07A6D"/>
    <w:rsid w:val="00A07FFD"/>
    <w:rsid w:val="00A1024F"/>
    <w:rsid w:val="00A10352"/>
    <w:rsid w:val="00A1071D"/>
    <w:rsid w:val="00A1092E"/>
    <w:rsid w:val="00A10E30"/>
    <w:rsid w:val="00A11041"/>
    <w:rsid w:val="00A11307"/>
    <w:rsid w:val="00A1172F"/>
    <w:rsid w:val="00A11C07"/>
    <w:rsid w:val="00A12041"/>
    <w:rsid w:val="00A12353"/>
    <w:rsid w:val="00A126F7"/>
    <w:rsid w:val="00A13609"/>
    <w:rsid w:val="00A137D5"/>
    <w:rsid w:val="00A13A79"/>
    <w:rsid w:val="00A13AF3"/>
    <w:rsid w:val="00A13E4F"/>
    <w:rsid w:val="00A14109"/>
    <w:rsid w:val="00A147DA"/>
    <w:rsid w:val="00A14864"/>
    <w:rsid w:val="00A14BBE"/>
    <w:rsid w:val="00A14E98"/>
    <w:rsid w:val="00A15C87"/>
    <w:rsid w:val="00A15CB0"/>
    <w:rsid w:val="00A15D72"/>
    <w:rsid w:val="00A15DCB"/>
    <w:rsid w:val="00A16DC6"/>
    <w:rsid w:val="00A1728E"/>
    <w:rsid w:val="00A173CB"/>
    <w:rsid w:val="00A17FAF"/>
    <w:rsid w:val="00A204BE"/>
    <w:rsid w:val="00A206FA"/>
    <w:rsid w:val="00A210D4"/>
    <w:rsid w:val="00A21388"/>
    <w:rsid w:val="00A214EB"/>
    <w:rsid w:val="00A21EFE"/>
    <w:rsid w:val="00A2278A"/>
    <w:rsid w:val="00A22A89"/>
    <w:rsid w:val="00A22C91"/>
    <w:rsid w:val="00A23747"/>
    <w:rsid w:val="00A23F1C"/>
    <w:rsid w:val="00A250FF"/>
    <w:rsid w:val="00A251A7"/>
    <w:rsid w:val="00A25869"/>
    <w:rsid w:val="00A2683B"/>
    <w:rsid w:val="00A26E58"/>
    <w:rsid w:val="00A2703B"/>
    <w:rsid w:val="00A27047"/>
    <w:rsid w:val="00A273A0"/>
    <w:rsid w:val="00A276D3"/>
    <w:rsid w:val="00A27791"/>
    <w:rsid w:val="00A27ABE"/>
    <w:rsid w:val="00A27C01"/>
    <w:rsid w:val="00A30B38"/>
    <w:rsid w:val="00A31417"/>
    <w:rsid w:val="00A32A18"/>
    <w:rsid w:val="00A33658"/>
    <w:rsid w:val="00A343F2"/>
    <w:rsid w:val="00A3490A"/>
    <w:rsid w:val="00A34DBB"/>
    <w:rsid w:val="00A351FA"/>
    <w:rsid w:val="00A3524A"/>
    <w:rsid w:val="00A355F9"/>
    <w:rsid w:val="00A357BB"/>
    <w:rsid w:val="00A36245"/>
    <w:rsid w:val="00A373F1"/>
    <w:rsid w:val="00A37A26"/>
    <w:rsid w:val="00A37BBA"/>
    <w:rsid w:val="00A37C73"/>
    <w:rsid w:val="00A4048C"/>
    <w:rsid w:val="00A4112A"/>
    <w:rsid w:val="00A41355"/>
    <w:rsid w:val="00A41A83"/>
    <w:rsid w:val="00A42397"/>
    <w:rsid w:val="00A423C8"/>
    <w:rsid w:val="00A4246D"/>
    <w:rsid w:val="00A432C1"/>
    <w:rsid w:val="00A437B6"/>
    <w:rsid w:val="00A43B92"/>
    <w:rsid w:val="00A43C06"/>
    <w:rsid w:val="00A43FCE"/>
    <w:rsid w:val="00A4438A"/>
    <w:rsid w:val="00A44474"/>
    <w:rsid w:val="00A44654"/>
    <w:rsid w:val="00A44883"/>
    <w:rsid w:val="00A44D57"/>
    <w:rsid w:val="00A4521E"/>
    <w:rsid w:val="00A45710"/>
    <w:rsid w:val="00A45846"/>
    <w:rsid w:val="00A46143"/>
    <w:rsid w:val="00A46BF4"/>
    <w:rsid w:val="00A46D14"/>
    <w:rsid w:val="00A47B62"/>
    <w:rsid w:val="00A47E96"/>
    <w:rsid w:val="00A500BD"/>
    <w:rsid w:val="00A5018F"/>
    <w:rsid w:val="00A50775"/>
    <w:rsid w:val="00A50A52"/>
    <w:rsid w:val="00A50BDB"/>
    <w:rsid w:val="00A50C0D"/>
    <w:rsid w:val="00A513C7"/>
    <w:rsid w:val="00A516D0"/>
    <w:rsid w:val="00A517B6"/>
    <w:rsid w:val="00A517E3"/>
    <w:rsid w:val="00A51A1E"/>
    <w:rsid w:val="00A51AD4"/>
    <w:rsid w:val="00A51BE9"/>
    <w:rsid w:val="00A52751"/>
    <w:rsid w:val="00A53E02"/>
    <w:rsid w:val="00A54251"/>
    <w:rsid w:val="00A5433F"/>
    <w:rsid w:val="00A543A4"/>
    <w:rsid w:val="00A54783"/>
    <w:rsid w:val="00A548C3"/>
    <w:rsid w:val="00A54DF1"/>
    <w:rsid w:val="00A54F94"/>
    <w:rsid w:val="00A5504B"/>
    <w:rsid w:val="00A552CD"/>
    <w:rsid w:val="00A55C1C"/>
    <w:rsid w:val="00A567DF"/>
    <w:rsid w:val="00A56EEE"/>
    <w:rsid w:val="00A571C1"/>
    <w:rsid w:val="00A57483"/>
    <w:rsid w:val="00A6021C"/>
    <w:rsid w:val="00A6036B"/>
    <w:rsid w:val="00A605D2"/>
    <w:rsid w:val="00A60C2C"/>
    <w:rsid w:val="00A6179E"/>
    <w:rsid w:val="00A61BE7"/>
    <w:rsid w:val="00A620FD"/>
    <w:rsid w:val="00A62209"/>
    <w:rsid w:val="00A630AC"/>
    <w:rsid w:val="00A6312E"/>
    <w:rsid w:val="00A631F8"/>
    <w:rsid w:val="00A64316"/>
    <w:rsid w:val="00A6474D"/>
    <w:rsid w:val="00A648E2"/>
    <w:rsid w:val="00A64BBE"/>
    <w:rsid w:val="00A64F25"/>
    <w:rsid w:val="00A65693"/>
    <w:rsid w:val="00A66880"/>
    <w:rsid w:val="00A66EAD"/>
    <w:rsid w:val="00A6749B"/>
    <w:rsid w:val="00A67C6B"/>
    <w:rsid w:val="00A67FAC"/>
    <w:rsid w:val="00A70F16"/>
    <w:rsid w:val="00A716F6"/>
    <w:rsid w:val="00A71738"/>
    <w:rsid w:val="00A7187A"/>
    <w:rsid w:val="00A71E47"/>
    <w:rsid w:val="00A728DA"/>
    <w:rsid w:val="00A72F01"/>
    <w:rsid w:val="00A733A4"/>
    <w:rsid w:val="00A73E90"/>
    <w:rsid w:val="00A74D03"/>
    <w:rsid w:val="00A74D50"/>
    <w:rsid w:val="00A74FD4"/>
    <w:rsid w:val="00A75857"/>
    <w:rsid w:val="00A75B25"/>
    <w:rsid w:val="00A7615D"/>
    <w:rsid w:val="00A76585"/>
    <w:rsid w:val="00A765F9"/>
    <w:rsid w:val="00A77616"/>
    <w:rsid w:val="00A804D9"/>
    <w:rsid w:val="00A82B73"/>
    <w:rsid w:val="00A82E45"/>
    <w:rsid w:val="00A832ED"/>
    <w:rsid w:val="00A83896"/>
    <w:rsid w:val="00A842A3"/>
    <w:rsid w:val="00A8463E"/>
    <w:rsid w:val="00A84C91"/>
    <w:rsid w:val="00A84DE7"/>
    <w:rsid w:val="00A84E4F"/>
    <w:rsid w:val="00A85426"/>
    <w:rsid w:val="00A8573B"/>
    <w:rsid w:val="00A857FC"/>
    <w:rsid w:val="00A85E20"/>
    <w:rsid w:val="00A86598"/>
    <w:rsid w:val="00A86809"/>
    <w:rsid w:val="00A86925"/>
    <w:rsid w:val="00A871DC"/>
    <w:rsid w:val="00A8765A"/>
    <w:rsid w:val="00A90758"/>
    <w:rsid w:val="00A90ABA"/>
    <w:rsid w:val="00A90E8C"/>
    <w:rsid w:val="00A90EE2"/>
    <w:rsid w:val="00A91670"/>
    <w:rsid w:val="00A9191C"/>
    <w:rsid w:val="00A91D36"/>
    <w:rsid w:val="00A92399"/>
    <w:rsid w:val="00A92915"/>
    <w:rsid w:val="00A92F92"/>
    <w:rsid w:val="00A932D1"/>
    <w:rsid w:val="00A93A42"/>
    <w:rsid w:val="00A93EF0"/>
    <w:rsid w:val="00A94A13"/>
    <w:rsid w:val="00A96670"/>
    <w:rsid w:val="00A9673D"/>
    <w:rsid w:val="00A967E8"/>
    <w:rsid w:val="00A96892"/>
    <w:rsid w:val="00A96A06"/>
    <w:rsid w:val="00A9754E"/>
    <w:rsid w:val="00A9760E"/>
    <w:rsid w:val="00A97B74"/>
    <w:rsid w:val="00A97C5B"/>
    <w:rsid w:val="00A97EEF"/>
    <w:rsid w:val="00AA0148"/>
    <w:rsid w:val="00AA0356"/>
    <w:rsid w:val="00AA04DF"/>
    <w:rsid w:val="00AA0940"/>
    <w:rsid w:val="00AA126D"/>
    <w:rsid w:val="00AA1EA1"/>
    <w:rsid w:val="00AA2051"/>
    <w:rsid w:val="00AA287F"/>
    <w:rsid w:val="00AA2D69"/>
    <w:rsid w:val="00AA2EBC"/>
    <w:rsid w:val="00AA34D5"/>
    <w:rsid w:val="00AA44B7"/>
    <w:rsid w:val="00AA4A87"/>
    <w:rsid w:val="00AA4F84"/>
    <w:rsid w:val="00AA51B0"/>
    <w:rsid w:val="00AA5589"/>
    <w:rsid w:val="00AA5950"/>
    <w:rsid w:val="00AA69B2"/>
    <w:rsid w:val="00AA6C0F"/>
    <w:rsid w:val="00AA70C4"/>
    <w:rsid w:val="00AA7457"/>
    <w:rsid w:val="00AA790D"/>
    <w:rsid w:val="00AB017E"/>
    <w:rsid w:val="00AB0732"/>
    <w:rsid w:val="00AB0AB6"/>
    <w:rsid w:val="00AB16C0"/>
    <w:rsid w:val="00AB1A5C"/>
    <w:rsid w:val="00AB1BAE"/>
    <w:rsid w:val="00AB277D"/>
    <w:rsid w:val="00AB2CB7"/>
    <w:rsid w:val="00AB340F"/>
    <w:rsid w:val="00AB348A"/>
    <w:rsid w:val="00AB4841"/>
    <w:rsid w:val="00AB4C00"/>
    <w:rsid w:val="00AB4DCF"/>
    <w:rsid w:val="00AB4EBC"/>
    <w:rsid w:val="00AB5D3E"/>
    <w:rsid w:val="00AB5F43"/>
    <w:rsid w:val="00AB61C6"/>
    <w:rsid w:val="00AB6262"/>
    <w:rsid w:val="00AB7249"/>
    <w:rsid w:val="00AB7544"/>
    <w:rsid w:val="00AB7C8F"/>
    <w:rsid w:val="00AC0ADB"/>
    <w:rsid w:val="00AC1663"/>
    <w:rsid w:val="00AC1A06"/>
    <w:rsid w:val="00AC2192"/>
    <w:rsid w:val="00AC24C8"/>
    <w:rsid w:val="00AC2719"/>
    <w:rsid w:val="00AC2BFA"/>
    <w:rsid w:val="00AC2FF2"/>
    <w:rsid w:val="00AC3E30"/>
    <w:rsid w:val="00AC4017"/>
    <w:rsid w:val="00AC403A"/>
    <w:rsid w:val="00AC447D"/>
    <w:rsid w:val="00AC5914"/>
    <w:rsid w:val="00AC5FB3"/>
    <w:rsid w:val="00AC62D9"/>
    <w:rsid w:val="00AC6355"/>
    <w:rsid w:val="00AC636D"/>
    <w:rsid w:val="00AC786F"/>
    <w:rsid w:val="00AC7DBE"/>
    <w:rsid w:val="00AD058D"/>
    <w:rsid w:val="00AD0621"/>
    <w:rsid w:val="00AD0996"/>
    <w:rsid w:val="00AD141D"/>
    <w:rsid w:val="00AD1917"/>
    <w:rsid w:val="00AD19D5"/>
    <w:rsid w:val="00AD1F1A"/>
    <w:rsid w:val="00AD206A"/>
    <w:rsid w:val="00AD2C83"/>
    <w:rsid w:val="00AD48DC"/>
    <w:rsid w:val="00AD49E8"/>
    <w:rsid w:val="00AD67BD"/>
    <w:rsid w:val="00AD6875"/>
    <w:rsid w:val="00AD7546"/>
    <w:rsid w:val="00AD795D"/>
    <w:rsid w:val="00AE0B2B"/>
    <w:rsid w:val="00AE157E"/>
    <w:rsid w:val="00AE15DB"/>
    <w:rsid w:val="00AE1AC9"/>
    <w:rsid w:val="00AE1CC6"/>
    <w:rsid w:val="00AE1D27"/>
    <w:rsid w:val="00AE21EA"/>
    <w:rsid w:val="00AE2666"/>
    <w:rsid w:val="00AE295C"/>
    <w:rsid w:val="00AE307B"/>
    <w:rsid w:val="00AE399B"/>
    <w:rsid w:val="00AE3AE2"/>
    <w:rsid w:val="00AE52A1"/>
    <w:rsid w:val="00AE53AD"/>
    <w:rsid w:val="00AE57E5"/>
    <w:rsid w:val="00AE6EFA"/>
    <w:rsid w:val="00AE7567"/>
    <w:rsid w:val="00AE7615"/>
    <w:rsid w:val="00AE78FF"/>
    <w:rsid w:val="00AF0FBD"/>
    <w:rsid w:val="00AF168C"/>
    <w:rsid w:val="00AF1B4E"/>
    <w:rsid w:val="00AF1ED2"/>
    <w:rsid w:val="00AF2032"/>
    <w:rsid w:val="00AF23F9"/>
    <w:rsid w:val="00AF326E"/>
    <w:rsid w:val="00AF3375"/>
    <w:rsid w:val="00AF3A57"/>
    <w:rsid w:val="00AF3C94"/>
    <w:rsid w:val="00AF3CBB"/>
    <w:rsid w:val="00AF3D4C"/>
    <w:rsid w:val="00AF4B18"/>
    <w:rsid w:val="00AF4C25"/>
    <w:rsid w:val="00AF50EA"/>
    <w:rsid w:val="00AF59D0"/>
    <w:rsid w:val="00AF6E3D"/>
    <w:rsid w:val="00AF73CB"/>
    <w:rsid w:val="00AF790A"/>
    <w:rsid w:val="00B00898"/>
    <w:rsid w:val="00B00F61"/>
    <w:rsid w:val="00B01219"/>
    <w:rsid w:val="00B01368"/>
    <w:rsid w:val="00B01A71"/>
    <w:rsid w:val="00B025E1"/>
    <w:rsid w:val="00B03038"/>
    <w:rsid w:val="00B0324B"/>
    <w:rsid w:val="00B04DFC"/>
    <w:rsid w:val="00B056F7"/>
    <w:rsid w:val="00B059AE"/>
    <w:rsid w:val="00B05E8A"/>
    <w:rsid w:val="00B07271"/>
    <w:rsid w:val="00B07BC8"/>
    <w:rsid w:val="00B07CC7"/>
    <w:rsid w:val="00B07D50"/>
    <w:rsid w:val="00B07E61"/>
    <w:rsid w:val="00B10195"/>
    <w:rsid w:val="00B10A2A"/>
    <w:rsid w:val="00B10BBA"/>
    <w:rsid w:val="00B10E8D"/>
    <w:rsid w:val="00B12603"/>
    <w:rsid w:val="00B12C7B"/>
    <w:rsid w:val="00B1353D"/>
    <w:rsid w:val="00B1358D"/>
    <w:rsid w:val="00B1374C"/>
    <w:rsid w:val="00B13F66"/>
    <w:rsid w:val="00B1412E"/>
    <w:rsid w:val="00B142B8"/>
    <w:rsid w:val="00B142C7"/>
    <w:rsid w:val="00B146EE"/>
    <w:rsid w:val="00B14907"/>
    <w:rsid w:val="00B14B49"/>
    <w:rsid w:val="00B151C0"/>
    <w:rsid w:val="00B15834"/>
    <w:rsid w:val="00B15878"/>
    <w:rsid w:val="00B15EA8"/>
    <w:rsid w:val="00B165F5"/>
    <w:rsid w:val="00B16E68"/>
    <w:rsid w:val="00B17557"/>
    <w:rsid w:val="00B201E5"/>
    <w:rsid w:val="00B202CA"/>
    <w:rsid w:val="00B2117D"/>
    <w:rsid w:val="00B219A8"/>
    <w:rsid w:val="00B21A57"/>
    <w:rsid w:val="00B22156"/>
    <w:rsid w:val="00B22292"/>
    <w:rsid w:val="00B222DC"/>
    <w:rsid w:val="00B227E5"/>
    <w:rsid w:val="00B22860"/>
    <w:rsid w:val="00B23307"/>
    <w:rsid w:val="00B23615"/>
    <w:rsid w:val="00B236F7"/>
    <w:rsid w:val="00B237FB"/>
    <w:rsid w:val="00B239E9"/>
    <w:rsid w:val="00B23A87"/>
    <w:rsid w:val="00B240DE"/>
    <w:rsid w:val="00B24779"/>
    <w:rsid w:val="00B2482E"/>
    <w:rsid w:val="00B24B1D"/>
    <w:rsid w:val="00B24B4B"/>
    <w:rsid w:val="00B251FF"/>
    <w:rsid w:val="00B253BE"/>
    <w:rsid w:val="00B25D30"/>
    <w:rsid w:val="00B26C33"/>
    <w:rsid w:val="00B277E0"/>
    <w:rsid w:val="00B27A65"/>
    <w:rsid w:val="00B300E5"/>
    <w:rsid w:val="00B30359"/>
    <w:rsid w:val="00B30CB4"/>
    <w:rsid w:val="00B3117D"/>
    <w:rsid w:val="00B3122B"/>
    <w:rsid w:val="00B3141A"/>
    <w:rsid w:val="00B315BC"/>
    <w:rsid w:val="00B316A0"/>
    <w:rsid w:val="00B31E5A"/>
    <w:rsid w:val="00B322E8"/>
    <w:rsid w:val="00B3236A"/>
    <w:rsid w:val="00B326E7"/>
    <w:rsid w:val="00B3289D"/>
    <w:rsid w:val="00B32D43"/>
    <w:rsid w:val="00B32DEB"/>
    <w:rsid w:val="00B32F5B"/>
    <w:rsid w:val="00B33106"/>
    <w:rsid w:val="00B33476"/>
    <w:rsid w:val="00B33787"/>
    <w:rsid w:val="00B338F9"/>
    <w:rsid w:val="00B3425C"/>
    <w:rsid w:val="00B3430B"/>
    <w:rsid w:val="00B34946"/>
    <w:rsid w:val="00B34B76"/>
    <w:rsid w:val="00B34F97"/>
    <w:rsid w:val="00B35092"/>
    <w:rsid w:val="00B35523"/>
    <w:rsid w:val="00B35580"/>
    <w:rsid w:val="00B35BA5"/>
    <w:rsid w:val="00B35C32"/>
    <w:rsid w:val="00B3604E"/>
    <w:rsid w:val="00B36179"/>
    <w:rsid w:val="00B3638D"/>
    <w:rsid w:val="00B365B2"/>
    <w:rsid w:val="00B36CB0"/>
    <w:rsid w:val="00B37682"/>
    <w:rsid w:val="00B37DD1"/>
    <w:rsid w:val="00B402EC"/>
    <w:rsid w:val="00B4057C"/>
    <w:rsid w:val="00B41B64"/>
    <w:rsid w:val="00B41CD4"/>
    <w:rsid w:val="00B41D23"/>
    <w:rsid w:val="00B42320"/>
    <w:rsid w:val="00B42759"/>
    <w:rsid w:val="00B42A7A"/>
    <w:rsid w:val="00B42DF6"/>
    <w:rsid w:val="00B43FE9"/>
    <w:rsid w:val="00B44075"/>
    <w:rsid w:val="00B443C3"/>
    <w:rsid w:val="00B44BBA"/>
    <w:rsid w:val="00B4544B"/>
    <w:rsid w:val="00B458AA"/>
    <w:rsid w:val="00B45CEF"/>
    <w:rsid w:val="00B45DC5"/>
    <w:rsid w:val="00B45EE9"/>
    <w:rsid w:val="00B4632B"/>
    <w:rsid w:val="00B46359"/>
    <w:rsid w:val="00B467FF"/>
    <w:rsid w:val="00B468C3"/>
    <w:rsid w:val="00B4699F"/>
    <w:rsid w:val="00B5027A"/>
    <w:rsid w:val="00B50A03"/>
    <w:rsid w:val="00B50AC9"/>
    <w:rsid w:val="00B50DA8"/>
    <w:rsid w:val="00B51023"/>
    <w:rsid w:val="00B5104A"/>
    <w:rsid w:val="00B51350"/>
    <w:rsid w:val="00B5185D"/>
    <w:rsid w:val="00B519FD"/>
    <w:rsid w:val="00B51E52"/>
    <w:rsid w:val="00B520BC"/>
    <w:rsid w:val="00B52326"/>
    <w:rsid w:val="00B523DE"/>
    <w:rsid w:val="00B5242E"/>
    <w:rsid w:val="00B52F3E"/>
    <w:rsid w:val="00B539CC"/>
    <w:rsid w:val="00B53A88"/>
    <w:rsid w:val="00B53DE3"/>
    <w:rsid w:val="00B544CC"/>
    <w:rsid w:val="00B54F0C"/>
    <w:rsid w:val="00B5693C"/>
    <w:rsid w:val="00B56EFB"/>
    <w:rsid w:val="00B5776A"/>
    <w:rsid w:val="00B57895"/>
    <w:rsid w:val="00B57CA9"/>
    <w:rsid w:val="00B57D5D"/>
    <w:rsid w:val="00B60093"/>
    <w:rsid w:val="00B60D33"/>
    <w:rsid w:val="00B60D79"/>
    <w:rsid w:val="00B614AF"/>
    <w:rsid w:val="00B61D94"/>
    <w:rsid w:val="00B63444"/>
    <w:rsid w:val="00B63C69"/>
    <w:rsid w:val="00B63D24"/>
    <w:rsid w:val="00B640D6"/>
    <w:rsid w:val="00B6460B"/>
    <w:rsid w:val="00B6504B"/>
    <w:rsid w:val="00B654C0"/>
    <w:rsid w:val="00B65B11"/>
    <w:rsid w:val="00B66363"/>
    <w:rsid w:val="00B66B09"/>
    <w:rsid w:val="00B67213"/>
    <w:rsid w:val="00B6733B"/>
    <w:rsid w:val="00B675D5"/>
    <w:rsid w:val="00B711AE"/>
    <w:rsid w:val="00B71B0A"/>
    <w:rsid w:val="00B71D56"/>
    <w:rsid w:val="00B72173"/>
    <w:rsid w:val="00B72533"/>
    <w:rsid w:val="00B72F75"/>
    <w:rsid w:val="00B7359F"/>
    <w:rsid w:val="00B73D3C"/>
    <w:rsid w:val="00B74218"/>
    <w:rsid w:val="00B74690"/>
    <w:rsid w:val="00B74C84"/>
    <w:rsid w:val="00B7629D"/>
    <w:rsid w:val="00B765AC"/>
    <w:rsid w:val="00B76A1A"/>
    <w:rsid w:val="00B776DB"/>
    <w:rsid w:val="00B7790F"/>
    <w:rsid w:val="00B779EE"/>
    <w:rsid w:val="00B77DE0"/>
    <w:rsid w:val="00B801EE"/>
    <w:rsid w:val="00B80236"/>
    <w:rsid w:val="00B80303"/>
    <w:rsid w:val="00B806B7"/>
    <w:rsid w:val="00B80EA8"/>
    <w:rsid w:val="00B82638"/>
    <w:rsid w:val="00B826D8"/>
    <w:rsid w:val="00B8270C"/>
    <w:rsid w:val="00B831A3"/>
    <w:rsid w:val="00B83294"/>
    <w:rsid w:val="00B842BB"/>
    <w:rsid w:val="00B84483"/>
    <w:rsid w:val="00B851FA"/>
    <w:rsid w:val="00B855A3"/>
    <w:rsid w:val="00B8639B"/>
    <w:rsid w:val="00B86A70"/>
    <w:rsid w:val="00B878FF"/>
    <w:rsid w:val="00B87F17"/>
    <w:rsid w:val="00B903DF"/>
    <w:rsid w:val="00B924E6"/>
    <w:rsid w:val="00B92BE2"/>
    <w:rsid w:val="00B92F7D"/>
    <w:rsid w:val="00B93A43"/>
    <w:rsid w:val="00B93F9A"/>
    <w:rsid w:val="00B94068"/>
    <w:rsid w:val="00B959CB"/>
    <w:rsid w:val="00B95EBA"/>
    <w:rsid w:val="00B95EF0"/>
    <w:rsid w:val="00B9601F"/>
    <w:rsid w:val="00B962ED"/>
    <w:rsid w:val="00B967E9"/>
    <w:rsid w:val="00B97960"/>
    <w:rsid w:val="00BA0FD6"/>
    <w:rsid w:val="00BA1EA0"/>
    <w:rsid w:val="00BA262D"/>
    <w:rsid w:val="00BA2738"/>
    <w:rsid w:val="00BA2EDE"/>
    <w:rsid w:val="00BA3101"/>
    <w:rsid w:val="00BA4832"/>
    <w:rsid w:val="00BA4FE9"/>
    <w:rsid w:val="00BA53A1"/>
    <w:rsid w:val="00BA545B"/>
    <w:rsid w:val="00BA566E"/>
    <w:rsid w:val="00BA5698"/>
    <w:rsid w:val="00BA5723"/>
    <w:rsid w:val="00BA5823"/>
    <w:rsid w:val="00BA5BB1"/>
    <w:rsid w:val="00BA647A"/>
    <w:rsid w:val="00BA6677"/>
    <w:rsid w:val="00BA66D3"/>
    <w:rsid w:val="00BB0381"/>
    <w:rsid w:val="00BB0843"/>
    <w:rsid w:val="00BB0F02"/>
    <w:rsid w:val="00BB15BF"/>
    <w:rsid w:val="00BB1CFB"/>
    <w:rsid w:val="00BB1D49"/>
    <w:rsid w:val="00BB2675"/>
    <w:rsid w:val="00BB3A8E"/>
    <w:rsid w:val="00BB3B4E"/>
    <w:rsid w:val="00BB3C1F"/>
    <w:rsid w:val="00BB47B4"/>
    <w:rsid w:val="00BB5543"/>
    <w:rsid w:val="00BB63A6"/>
    <w:rsid w:val="00BB6491"/>
    <w:rsid w:val="00BB656C"/>
    <w:rsid w:val="00BB7ADB"/>
    <w:rsid w:val="00BB7F78"/>
    <w:rsid w:val="00BC01C0"/>
    <w:rsid w:val="00BC06FA"/>
    <w:rsid w:val="00BC07A0"/>
    <w:rsid w:val="00BC0989"/>
    <w:rsid w:val="00BC0D15"/>
    <w:rsid w:val="00BC0F36"/>
    <w:rsid w:val="00BC0FAF"/>
    <w:rsid w:val="00BC1519"/>
    <w:rsid w:val="00BC1655"/>
    <w:rsid w:val="00BC180C"/>
    <w:rsid w:val="00BC1A81"/>
    <w:rsid w:val="00BC1CF0"/>
    <w:rsid w:val="00BC2487"/>
    <w:rsid w:val="00BC2620"/>
    <w:rsid w:val="00BC2D9F"/>
    <w:rsid w:val="00BC340A"/>
    <w:rsid w:val="00BC4096"/>
    <w:rsid w:val="00BC59EB"/>
    <w:rsid w:val="00BC5E0A"/>
    <w:rsid w:val="00BC5E80"/>
    <w:rsid w:val="00BC5E87"/>
    <w:rsid w:val="00BC79EB"/>
    <w:rsid w:val="00BC7CF5"/>
    <w:rsid w:val="00BD08D2"/>
    <w:rsid w:val="00BD08F1"/>
    <w:rsid w:val="00BD0A75"/>
    <w:rsid w:val="00BD0C71"/>
    <w:rsid w:val="00BD0CA7"/>
    <w:rsid w:val="00BD0CD8"/>
    <w:rsid w:val="00BD0DCC"/>
    <w:rsid w:val="00BD1A0F"/>
    <w:rsid w:val="00BD1E3E"/>
    <w:rsid w:val="00BD1E64"/>
    <w:rsid w:val="00BD22C3"/>
    <w:rsid w:val="00BD2785"/>
    <w:rsid w:val="00BD2AE1"/>
    <w:rsid w:val="00BD2C7D"/>
    <w:rsid w:val="00BD3029"/>
    <w:rsid w:val="00BD3844"/>
    <w:rsid w:val="00BD3F25"/>
    <w:rsid w:val="00BD41CD"/>
    <w:rsid w:val="00BD54B4"/>
    <w:rsid w:val="00BD58A4"/>
    <w:rsid w:val="00BD5F39"/>
    <w:rsid w:val="00BD6B23"/>
    <w:rsid w:val="00BD6DD0"/>
    <w:rsid w:val="00BD6EDD"/>
    <w:rsid w:val="00BD6EF9"/>
    <w:rsid w:val="00BD7FCF"/>
    <w:rsid w:val="00BE0BA4"/>
    <w:rsid w:val="00BE0C39"/>
    <w:rsid w:val="00BE0E76"/>
    <w:rsid w:val="00BE1536"/>
    <w:rsid w:val="00BE16F4"/>
    <w:rsid w:val="00BE2504"/>
    <w:rsid w:val="00BE276C"/>
    <w:rsid w:val="00BE2C11"/>
    <w:rsid w:val="00BE31FB"/>
    <w:rsid w:val="00BE330C"/>
    <w:rsid w:val="00BE396C"/>
    <w:rsid w:val="00BE4ACC"/>
    <w:rsid w:val="00BE4BE5"/>
    <w:rsid w:val="00BE4DE6"/>
    <w:rsid w:val="00BE5299"/>
    <w:rsid w:val="00BE58A7"/>
    <w:rsid w:val="00BE61D2"/>
    <w:rsid w:val="00BE6BDD"/>
    <w:rsid w:val="00BE7641"/>
    <w:rsid w:val="00BE77B6"/>
    <w:rsid w:val="00BE7F65"/>
    <w:rsid w:val="00BE7FE0"/>
    <w:rsid w:val="00BF07B1"/>
    <w:rsid w:val="00BF0A08"/>
    <w:rsid w:val="00BF0EDB"/>
    <w:rsid w:val="00BF225A"/>
    <w:rsid w:val="00BF2C49"/>
    <w:rsid w:val="00BF2D60"/>
    <w:rsid w:val="00BF3B49"/>
    <w:rsid w:val="00BF401C"/>
    <w:rsid w:val="00BF41CA"/>
    <w:rsid w:val="00BF41DF"/>
    <w:rsid w:val="00BF4770"/>
    <w:rsid w:val="00BF60DF"/>
    <w:rsid w:val="00BF6406"/>
    <w:rsid w:val="00BF7224"/>
    <w:rsid w:val="00C0002C"/>
    <w:rsid w:val="00C00089"/>
    <w:rsid w:val="00C000F7"/>
    <w:rsid w:val="00C01FF2"/>
    <w:rsid w:val="00C026F5"/>
    <w:rsid w:val="00C033F3"/>
    <w:rsid w:val="00C03B94"/>
    <w:rsid w:val="00C03D3D"/>
    <w:rsid w:val="00C04641"/>
    <w:rsid w:val="00C04F17"/>
    <w:rsid w:val="00C05EEC"/>
    <w:rsid w:val="00C063A5"/>
    <w:rsid w:val="00C064DC"/>
    <w:rsid w:val="00C06E03"/>
    <w:rsid w:val="00C06E13"/>
    <w:rsid w:val="00C0731B"/>
    <w:rsid w:val="00C076CB"/>
    <w:rsid w:val="00C10761"/>
    <w:rsid w:val="00C10AB3"/>
    <w:rsid w:val="00C10F68"/>
    <w:rsid w:val="00C1134F"/>
    <w:rsid w:val="00C1181F"/>
    <w:rsid w:val="00C12900"/>
    <w:rsid w:val="00C12B16"/>
    <w:rsid w:val="00C13F06"/>
    <w:rsid w:val="00C142A6"/>
    <w:rsid w:val="00C1483A"/>
    <w:rsid w:val="00C149BD"/>
    <w:rsid w:val="00C14CE5"/>
    <w:rsid w:val="00C154A8"/>
    <w:rsid w:val="00C156ED"/>
    <w:rsid w:val="00C15B9D"/>
    <w:rsid w:val="00C15EC1"/>
    <w:rsid w:val="00C166B2"/>
    <w:rsid w:val="00C16711"/>
    <w:rsid w:val="00C16DCE"/>
    <w:rsid w:val="00C17AE1"/>
    <w:rsid w:val="00C17BAE"/>
    <w:rsid w:val="00C20320"/>
    <w:rsid w:val="00C209C9"/>
    <w:rsid w:val="00C20FFC"/>
    <w:rsid w:val="00C2107F"/>
    <w:rsid w:val="00C21256"/>
    <w:rsid w:val="00C21A58"/>
    <w:rsid w:val="00C21E6F"/>
    <w:rsid w:val="00C21FF1"/>
    <w:rsid w:val="00C2200D"/>
    <w:rsid w:val="00C22012"/>
    <w:rsid w:val="00C22E96"/>
    <w:rsid w:val="00C2341D"/>
    <w:rsid w:val="00C23532"/>
    <w:rsid w:val="00C236A3"/>
    <w:rsid w:val="00C23DED"/>
    <w:rsid w:val="00C2509E"/>
    <w:rsid w:val="00C25196"/>
    <w:rsid w:val="00C259F8"/>
    <w:rsid w:val="00C25BDA"/>
    <w:rsid w:val="00C26DFB"/>
    <w:rsid w:val="00C26F49"/>
    <w:rsid w:val="00C27A13"/>
    <w:rsid w:val="00C30193"/>
    <w:rsid w:val="00C30908"/>
    <w:rsid w:val="00C30A51"/>
    <w:rsid w:val="00C30E86"/>
    <w:rsid w:val="00C31577"/>
    <w:rsid w:val="00C32185"/>
    <w:rsid w:val="00C32410"/>
    <w:rsid w:val="00C32B90"/>
    <w:rsid w:val="00C32C15"/>
    <w:rsid w:val="00C32ED3"/>
    <w:rsid w:val="00C33104"/>
    <w:rsid w:val="00C332D4"/>
    <w:rsid w:val="00C336A7"/>
    <w:rsid w:val="00C33B3F"/>
    <w:rsid w:val="00C34080"/>
    <w:rsid w:val="00C3458D"/>
    <w:rsid w:val="00C34AB8"/>
    <w:rsid w:val="00C36ADA"/>
    <w:rsid w:val="00C370E8"/>
    <w:rsid w:val="00C37467"/>
    <w:rsid w:val="00C37C0C"/>
    <w:rsid w:val="00C37F58"/>
    <w:rsid w:val="00C4022F"/>
    <w:rsid w:val="00C4068C"/>
    <w:rsid w:val="00C4074F"/>
    <w:rsid w:val="00C41E70"/>
    <w:rsid w:val="00C42403"/>
    <w:rsid w:val="00C4285C"/>
    <w:rsid w:val="00C436B2"/>
    <w:rsid w:val="00C43CD0"/>
    <w:rsid w:val="00C441A2"/>
    <w:rsid w:val="00C44767"/>
    <w:rsid w:val="00C44DEE"/>
    <w:rsid w:val="00C46BD7"/>
    <w:rsid w:val="00C46CDE"/>
    <w:rsid w:val="00C476D0"/>
    <w:rsid w:val="00C47916"/>
    <w:rsid w:val="00C500BC"/>
    <w:rsid w:val="00C50468"/>
    <w:rsid w:val="00C50662"/>
    <w:rsid w:val="00C51011"/>
    <w:rsid w:val="00C51942"/>
    <w:rsid w:val="00C51AF5"/>
    <w:rsid w:val="00C51FD5"/>
    <w:rsid w:val="00C5275A"/>
    <w:rsid w:val="00C529BF"/>
    <w:rsid w:val="00C5355B"/>
    <w:rsid w:val="00C53794"/>
    <w:rsid w:val="00C5381F"/>
    <w:rsid w:val="00C53C46"/>
    <w:rsid w:val="00C53C63"/>
    <w:rsid w:val="00C53F86"/>
    <w:rsid w:val="00C54019"/>
    <w:rsid w:val="00C541A1"/>
    <w:rsid w:val="00C54F82"/>
    <w:rsid w:val="00C5593E"/>
    <w:rsid w:val="00C55A75"/>
    <w:rsid w:val="00C560AC"/>
    <w:rsid w:val="00C56417"/>
    <w:rsid w:val="00C5665B"/>
    <w:rsid w:val="00C567D9"/>
    <w:rsid w:val="00C568A9"/>
    <w:rsid w:val="00C56FDE"/>
    <w:rsid w:val="00C5781C"/>
    <w:rsid w:val="00C579B6"/>
    <w:rsid w:val="00C600AE"/>
    <w:rsid w:val="00C60294"/>
    <w:rsid w:val="00C60321"/>
    <w:rsid w:val="00C60343"/>
    <w:rsid w:val="00C60416"/>
    <w:rsid w:val="00C60508"/>
    <w:rsid w:val="00C6093D"/>
    <w:rsid w:val="00C61AEA"/>
    <w:rsid w:val="00C61D28"/>
    <w:rsid w:val="00C61EC6"/>
    <w:rsid w:val="00C620C5"/>
    <w:rsid w:val="00C626DB"/>
    <w:rsid w:val="00C62941"/>
    <w:rsid w:val="00C638D1"/>
    <w:rsid w:val="00C6453B"/>
    <w:rsid w:val="00C64964"/>
    <w:rsid w:val="00C64A81"/>
    <w:rsid w:val="00C64FB7"/>
    <w:rsid w:val="00C65277"/>
    <w:rsid w:val="00C655CE"/>
    <w:rsid w:val="00C65659"/>
    <w:rsid w:val="00C656D7"/>
    <w:rsid w:val="00C656F4"/>
    <w:rsid w:val="00C65750"/>
    <w:rsid w:val="00C658EE"/>
    <w:rsid w:val="00C65A2C"/>
    <w:rsid w:val="00C66367"/>
    <w:rsid w:val="00C667D1"/>
    <w:rsid w:val="00C66EB9"/>
    <w:rsid w:val="00C6790F"/>
    <w:rsid w:val="00C67A6B"/>
    <w:rsid w:val="00C67C76"/>
    <w:rsid w:val="00C67F98"/>
    <w:rsid w:val="00C70615"/>
    <w:rsid w:val="00C70C66"/>
    <w:rsid w:val="00C71F9E"/>
    <w:rsid w:val="00C722B3"/>
    <w:rsid w:val="00C723AA"/>
    <w:rsid w:val="00C729FB"/>
    <w:rsid w:val="00C72C4B"/>
    <w:rsid w:val="00C72D27"/>
    <w:rsid w:val="00C73700"/>
    <w:rsid w:val="00C73856"/>
    <w:rsid w:val="00C741DD"/>
    <w:rsid w:val="00C74E1C"/>
    <w:rsid w:val="00C74E96"/>
    <w:rsid w:val="00C7515B"/>
    <w:rsid w:val="00C7573E"/>
    <w:rsid w:val="00C769DF"/>
    <w:rsid w:val="00C77A22"/>
    <w:rsid w:val="00C77BD4"/>
    <w:rsid w:val="00C77CC0"/>
    <w:rsid w:val="00C8005E"/>
    <w:rsid w:val="00C8091B"/>
    <w:rsid w:val="00C80EC8"/>
    <w:rsid w:val="00C80EDB"/>
    <w:rsid w:val="00C80F76"/>
    <w:rsid w:val="00C81705"/>
    <w:rsid w:val="00C81BDB"/>
    <w:rsid w:val="00C81C6B"/>
    <w:rsid w:val="00C82ABC"/>
    <w:rsid w:val="00C82E40"/>
    <w:rsid w:val="00C82F4E"/>
    <w:rsid w:val="00C83410"/>
    <w:rsid w:val="00C83582"/>
    <w:rsid w:val="00C8364E"/>
    <w:rsid w:val="00C83A33"/>
    <w:rsid w:val="00C84B14"/>
    <w:rsid w:val="00C84CE7"/>
    <w:rsid w:val="00C854D4"/>
    <w:rsid w:val="00C855D6"/>
    <w:rsid w:val="00C85CC8"/>
    <w:rsid w:val="00C86032"/>
    <w:rsid w:val="00C86034"/>
    <w:rsid w:val="00C86324"/>
    <w:rsid w:val="00C86CDB"/>
    <w:rsid w:val="00C90556"/>
    <w:rsid w:val="00C91215"/>
    <w:rsid w:val="00C9162D"/>
    <w:rsid w:val="00C921E6"/>
    <w:rsid w:val="00C92BAB"/>
    <w:rsid w:val="00C92EF0"/>
    <w:rsid w:val="00C935C6"/>
    <w:rsid w:val="00C9396C"/>
    <w:rsid w:val="00C93C8D"/>
    <w:rsid w:val="00C952B6"/>
    <w:rsid w:val="00C9649B"/>
    <w:rsid w:val="00C96B7D"/>
    <w:rsid w:val="00C96E7C"/>
    <w:rsid w:val="00C972CA"/>
    <w:rsid w:val="00C978C2"/>
    <w:rsid w:val="00C97F72"/>
    <w:rsid w:val="00CA01B9"/>
    <w:rsid w:val="00CA0D78"/>
    <w:rsid w:val="00CA1554"/>
    <w:rsid w:val="00CA19FE"/>
    <w:rsid w:val="00CA1ED0"/>
    <w:rsid w:val="00CA2BCA"/>
    <w:rsid w:val="00CA3D79"/>
    <w:rsid w:val="00CA4855"/>
    <w:rsid w:val="00CA4BCD"/>
    <w:rsid w:val="00CA4C92"/>
    <w:rsid w:val="00CA4FE1"/>
    <w:rsid w:val="00CA5714"/>
    <w:rsid w:val="00CA5964"/>
    <w:rsid w:val="00CA5D30"/>
    <w:rsid w:val="00CA5D90"/>
    <w:rsid w:val="00CA603D"/>
    <w:rsid w:val="00CA6A37"/>
    <w:rsid w:val="00CA7FB7"/>
    <w:rsid w:val="00CB02AE"/>
    <w:rsid w:val="00CB098A"/>
    <w:rsid w:val="00CB0ADD"/>
    <w:rsid w:val="00CB0D64"/>
    <w:rsid w:val="00CB10E1"/>
    <w:rsid w:val="00CB19C1"/>
    <w:rsid w:val="00CB1AAB"/>
    <w:rsid w:val="00CB22EB"/>
    <w:rsid w:val="00CB24FE"/>
    <w:rsid w:val="00CB2581"/>
    <w:rsid w:val="00CB2658"/>
    <w:rsid w:val="00CB2D22"/>
    <w:rsid w:val="00CB3BEB"/>
    <w:rsid w:val="00CB447A"/>
    <w:rsid w:val="00CB475F"/>
    <w:rsid w:val="00CB4C45"/>
    <w:rsid w:val="00CB560C"/>
    <w:rsid w:val="00CB6295"/>
    <w:rsid w:val="00CB6D9D"/>
    <w:rsid w:val="00CB6E4C"/>
    <w:rsid w:val="00CB6EB3"/>
    <w:rsid w:val="00CB79CA"/>
    <w:rsid w:val="00CB7BD5"/>
    <w:rsid w:val="00CC0A25"/>
    <w:rsid w:val="00CC0ABB"/>
    <w:rsid w:val="00CC0BBB"/>
    <w:rsid w:val="00CC0DD5"/>
    <w:rsid w:val="00CC1217"/>
    <w:rsid w:val="00CC1C65"/>
    <w:rsid w:val="00CC2AA0"/>
    <w:rsid w:val="00CC36A5"/>
    <w:rsid w:val="00CC384B"/>
    <w:rsid w:val="00CC4052"/>
    <w:rsid w:val="00CC427E"/>
    <w:rsid w:val="00CC4F0B"/>
    <w:rsid w:val="00CC55B1"/>
    <w:rsid w:val="00CC5B9A"/>
    <w:rsid w:val="00CC689C"/>
    <w:rsid w:val="00CC6C0B"/>
    <w:rsid w:val="00CC7961"/>
    <w:rsid w:val="00CC7FBD"/>
    <w:rsid w:val="00CD056E"/>
    <w:rsid w:val="00CD08C9"/>
    <w:rsid w:val="00CD127F"/>
    <w:rsid w:val="00CD211B"/>
    <w:rsid w:val="00CD34BA"/>
    <w:rsid w:val="00CD3C2F"/>
    <w:rsid w:val="00CD425D"/>
    <w:rsid w:val="00CD471E"/>
    <w:rsid w:val="00CD5438"/>
    <w:rsid w:val="00CD552D"/>
    <w:rsid w:val="00CD58FD"/>
    <w:rsid w:val="00CD5E1C"/>
    <w:rsid w:val="00CD6E39"/>
    <w:rsid w:val="00CD732D"/>
    <w:rsid w:val="00CD754D"/>
    <w:rsid w:val="00CD7902"/>
    <w:rsid w:val="00CD7AB4"/>
    <w:rsid w:val="00CE01CD"/>
    <w:rsid w:val="00CE1821"/>
    <w:rsid w:val="00CE22FB"/>
    <w:rsid w:val="00CE2CD4"/>
    <w:rsid w:val="00CE2DA6"/>
    <w:rsid w:val="00CE308B"/>
    <w:rsid w:val="00CE368E"/>
    <w:rsid w:val="00CE387A"/>
    <w:rsid w:val="00CE3B20"/>
    <w:rsid w:val="00CE3E37"/>
    <w:rsid w:val="00CE48BC"/>
    <w:rsid w:val="00CE4A0B"/>
    <w:rsid w:val="00CE4C48"/>
    <w:rsid w:val="00CE4EF3"/>
    <w:rsid w:val="00CE53C2"/>
    <w:rsid w:val="00CE572A"/>
    <w:rsid w:val="00CE62B8"/>
    <w:rsid w:val="00CE6300"/>
    <w:rsid w:val="00CE67FD"/>
    <w:rsid w:val="00CE689D"/>
    <w:rsid w:val="00CE6AEC"/>
    <w:rsid w:val="00CE7519"/>
    <w:rsid w:val="00CE76B1"/>
    <w:rsid w:val="00CE7C46"/>
    <w:rsid w:val="00CF000A"/>
    <w:rsid w:val="00CF1037"/>
    <w:rsid w:val="00CF1292"/>
    <w:rsid w:val="00CF1D39"/>
    <w:rsid w:val="00CF2372"/>
    <w:rsid w:val="00CF2486"/>
    <w:rsid w:val="00CF26D0"/>
    <w:rsid w:val="00CF309A"/>
    <w:rsid w:val="00CF3768"/>
    <w:rsid w:val="00CF3A71"/>
    <w:rsid w:val="00CF40DB"/>
    <w:rsid w:val="00CF4768"/>
    <w:rsid w:val="00CF52AA"/>
    <w:rsid w:val="00CF5390"/>
    <w:rsid w:val="00CF579A"/>
    <w:rsid w:val="00CF5FE8"/>
    <w:rsid w:val="00CF60B8"/>
    <w:rsid w:val="00CF6464"/>
    <w:rsid w:val="00CF6FA5"/>
    <w:rsid w:val="00CF784D"/>
    <w:rsid w:val="00CF7A5F"/>
    <w:rsid w:val="00CF7C9E"/>
    <w:rsid w:val="00D00131"/>
    <w:rsid w:val="00D0049E"/>
    <w:rsid w:val="00D00873"/>
    <w:rsid w:val="00D00DAA"/>
    <w:rsid w:val="00D01916"/>
    <w:rsid w:val="00D01E5D"/>
    <w:rsid w:val="00D01E62"/>
    <w:rsid w:val="00D02074"/>
    <w:rsid w:val="00D02209"/>
    <w:rsid w:val="00D02337"/>
    <w:rsid w:val="00D0234E"/>
    <w:rsid w:val="00D027ED"/>
    <w:rsid w:val="00D02C70"/>
    <w:rsid w:val="00D02CEC"/>
    <w:rsid w:val="00D03307"/>
    <w:rsid w:val="00D04374"/>
    <w:rsid w:val="00D04623"/>
    <w:rsid w:val="00D0479F"/>
    <w:rsid w:val="00D04ABD"/>
    <w:rsid w:val="00D0566B"/>
    <w:rsid w:val="00D05C0A"/>
    <w:rsid w:val="00D05FFB"/>
    <w:rsid w:val="00D06490"/>
    <w:rsid w:val="00D06771"/>
    <w:rsid w:val="00D06BEC"/>
    <w:rsid w:val="00D07637"/>
    <w:rsid w:val="00D07860"/>
    <w:rsid w:val="00D07C2B"/>
    <w:rsid w:val="00D07FA1"/>
    <w:rsid w:val="00D10571"/>
    <w:rsid w:val="00D10D45"/>
    <w:rsid w:val="00D11441"/>
    <w:rsid w:val="00D11B63"/>
    <w:rsid w:val="00D12166"/>
    <w:rsid w:val="00D124A4"/>
    <w:rsid w:val="00D124DE"/>
    <w:rsid w:val="00D1260A"/>
    <w:rsid w:val="00D12802"/>
    <w:rsid w:val="00D13478"/>
    <w:rsid w:val="00D140D0"/>
    <w:rsid w:val="00D14EA5"/>
    <w:rsid w:val="00D150A4"/>
    <w:rsid w:val="00D150C6"/>
    <w:rsid w:val="00D151EB"/>
    <w:rsid w:val="00D15701"/>
    <w:rsid w:val="00D159A3"/>
    <w:rsid w:val="00D16C8F"/>
    <w:rsid w:val="00D16CB3"/>
    <w:rsid w:val="00D17DC0"/>
    <w:rsid w:val="00D17EA0"/>
    <w:rsid w:val="00D2122E"/>
    <w:rsid w:val="00D2166C"/>
    <w:rsid w:val="00D219C2"/>
    <w:rsid w:val="00D22A36"/>
    <w:rsid w:val="00D22CD8"/>
    <w:rsid w:val="00D22E33"/>
    <w:rsid w:val="00D23344"/>
    <w:rsid w:val="00D239FA"/>
    <w:rsid w:val="00D23BD1"/>
    <w:rsid w:val="00D23BE1"/>
    <w:rsid w:val="00D24109"/>
    <w:rsid w:val="00D249B0"/>
    <w:rsid w:val="00D24ECF"/>
    <w:rsid w:val="00D252B7"/>
    <w:rsid w:val="00D26B7F"/>
    <w:rsid w:val="00D26D09"/>
    <w:rsid w:val="00D279F9"/>
    <w:rsid w:val="00D301B1"/>
    <w:rsid w:val="00D3063C"/>
    <w:rsid w:val="00D30FEB"/>
    <w:rsid w:val="00D310A6"/>
    <w:rsid w:val="00D3180D"/>
    <w:rsid w:val="00D31EA0"/>
    <w:rsid w:val="00D3365B"/>
    <w:rsid w:val="00D33C08"/>
    <w:rsid w:val="00D33FA1"/>
    <w:rsid w:val="00D343FA"/>
    <w:rsid w:val="00D34614"/>
    <w:rsid w:val="00D34B86"/>
    <w:rsid w:val="00D34DCD"/>
    <w:rsid w:val="00D35367"/>
    <w:rsid w:val="00D35CA5"/>
    <w:rsid w:val="00D36028"/>
    <w:rsid w:val="00D37022"/>
    <w:rsid w:val="00D3712A"/>
    <w:rsid w:val="00D3779B"/>
    <w:rsid w:val="00D377AF"/>
    <w:rsid w:val="00D41119"/>
    <w:rsid w:val="00D4157E"/>
    <w:rsid w:val="00D4180C"/>
    <w:rsid w:val="00D418FF"/>
    <w:rsid w:val="00D41D0C"/>
    <w:rsid w:val="00D41E20"/>
    <w:rsid w:val="00D42C86"/>
    <w:rsid w:val="00D430BD"/>
    <w:rsid w:val="00D43677"/>
    <w:rsid w:val="00D43C7D"/>
    <w:rsid w:val="00D446B9"/>
    <w:rsid w:val="00D4488C"/>
    <w:rsid w:val="00D44BA5"/>
    <w:rsid w:val="00D458BE"/>
    <w:rsid w:val="00D45AEE"/>
    <w:rsid w:val="00D465DE"/>
    <w:rsid w:val="00D46DAA"/>
    <w:rsid w:val="00D470CB"/>
    <w:rsid w:val="00D4731B"/>
    <w:rsid w:val="00D4765A"/>
    <w:rsid w:val="00D47787"/>
    <w:rsid w:val="00D47AF2"/>
    <w:rsid w:val="00D50682"/>
    <w:rsid w:val="00D50839"/>
    <w:rsid w:val="00D5114A"/>
    <w:rsid w:val="00D5190C"/>
    <w:rsid w:val="00D51F78"/>
    <w:rsid w:val="00D52070"/>
    <w:rsid w:val="00D526B6"/>
    <w:rsid w:val="00D52E6D"/>
    <w:rsid w:val="00D53C71"/>
    <w:rsid w:val="00D5418B"/>
    <w:rsid w:val="00D543E6"/>
    <w:rsid w:val="00D54BC0"/>
    <w:rsid w:val="00D5545F"/>
    <w:rsid w:val="00D56202"/>
    <w:rsid w:val="00D616E3"/>
    <w:rsid w:val="00D61B74"/>
    <w:rsid w:val="00D62233"/>
    <w:rsid w:val="00D625C7"/>
    <w:rsid w:val="00D62EEE"/>
    <w:rsid w:val="00D653BD"/>
    <w:rsid w:val="00D656C6"/>
    <w:rsid w:val="00D65C76"/>
    <w:rsid w:val="00D66672"/>
    <w:rsid w:val="00D66C2E"/>
    <w:rsid w:val="00D66FDB"/>
    <w:rsid w:val="00D676BB"/>
    <w:rsid w:val="00D678A6"/>
    <w:rsid w:val="00D67BBA"/>
    <w:rsid w:val="00D704F2"/>
    <w:rsid w:val="00D70BAC"/>
    <w:rsid w:val="00D71680"/>
    <w:rsid w:val="00D71921"/>
    <w:rsid w:val="00D725B5"/>
    <w:rsid w:val="00D727A0"/>
    <w:rsid w:val="00D72AA3"/>
    <w:rsid w:val="00D72B9A"/>
    <w:rsid w:val="00D72CF4"/>
    <w:rsid w:val="00D73069"/>
    <w:rsid w:val="00D732BC"/>
    <w:rsid w:val="00D734C7"/>
    <w:rsid w:val="00D73CD2"/>
    <w:rsid w:val="00D74D76"/>
    <w:rsid w:val="00D74DE1"/>
    <w:rsid w:val="00D74F1E"/>
    <w:rsid w:val="00D74FD7"/>
    <w:rsid w:val="00D7542B"/>
    <w:rsid w:val="00D75CEC"/>
    <w:rsid w:val="00D75ED9"/>
    <w:rsid w:val="00D75EE3"/>
    <w:rsid w:val="00D76A30"/>
    <w:rsid w:val="00D76A68"/>
    <w:rsid w:val="00D77A9D"/>
    <w:rsid w:val="00D77C18"/>
    <w:rsid w:val="00D77DCC"/>
    <w:rsid w:val="00D806F6"/>
    <w:rsid w:val="00D8290B"/>
    <w:rsid w:val="00D82A66"/>
    <w:rsid w:val="00D831A3"/>
    <w:rsid w:val="00D8351F"/>
    <w:rsid w:val="00D83646"/>
    <w:rsid w:val="00D84830"/>
    <w:rsid w:val="00D8532D"/>
    <w:rsid w:val="00D86924"/>
    <w:rsid w:val="00D86EF5"/>
    <w:rsid w:val="00D872C6"/>
    <w:rsid w:val="00D87AC0"/>
    <w:rsid w:val="00D87AE4"/>
    <w:rsid w:val="00D87E83"/>
    <w:rsid w:val="00D902C9"/>
    <w:rsid w:val="00D9051C"/>
    <w:rsid w:val="00D90C4E"/>
    <w:rsid w:val="00D90E53"/>
    <w:rsid w:val="00D91EFC"/>
    <w:rsid w:val="00D92B8C"/>
    <w:rsid w:val="00D92C1F"/>
    <w:rsid w:val="00D92DEC"/>
    <w:rsid w:val="00D92F80"/>
    <w:rsid w:val="00D9367B"/>
    <w:rsid w:val="00D936F3"/>
    <w:rsid w:val="00D9447D"/>
    <w:rsid w:val="00D94594"/>
    <w:rsid w:val="00D945DE"/>
    <w:rsid w:val="00D956E1"/>
    <w:rsid w:val="00D95CE2"/>
    <w:rsid w:val="00D95E49"/>
    <w:rsid w:val="00D968F2"/>
    <w:rsid w:val="00D96DE9"/>
    <w:rsid w:val="00D96F69"/>
    <w:rsid w:val="00D97008"/>
    <w:rsid w:val="00D97212"/>
    <w:rsid w:val="00D97232"/>
    <w:rsid w:val="00D97361"/>
    <w:rsid w:val="00D97E7D"/>
    <w:rsid w:val="00DA1968"/>
    <w:rsid w:val="00DA1D32"/>
    <w:rsid w:val="00DA2F73"/>
    <w:rsid w:val="00DA3D28"/>
    <w:rsid w:val="00DA3DA0"/>
    <w:rsid w:val="00DA46DF"/>
    <w:rsid w:val="00DA471C"/>
    <w:rsid w:val="00DA49BF"/>
    <w:rsid w:val="00DA4FD0"/>
    <w:rsid w:val="00DA5979"/>
    <w:rsid w:val="00DA5B65"/>
    <w:rsid w:val="00DA5C2A"/>
    <w:rsid w:val="00DA5F0C"/>
    <w:rsid w:val="00DA60D5"/>
    <w:rsid w:val="00DA62DB"/>
    <w:rsid w:val="00DA705E"/>
    <w:rsid w:val="00DA734C"/>
    <w:rsid w:val="00DA7A55"/>
    <w:rsid w:val="00DB0042"/>
    <w:rsid w:val="00DB1747"/>
    <w:rsid w:val="00DB19BD"/>
    <w:rsid w:val="00DB1B0A"/>
    <w:rsid w:val="00DB1E0E"/>
    <w:rsid w:val="00DB236E"/>
    <w:rsid w:val="00DB28F6"/>
    <w:rsid w:val="00DB34AC"/>
    <w:rsid w:val="00DB380E"/>
    <w:rsid w:val="00DB43EE"/>
    <w:rsid w:val="00DB49ED"/>
    <w:rsid w:val="00DB4E0E"/>
    <w:rsid w:val="00DB60D8"/>
    <w:rsid w:val="00DB6767"/>
    <w:rsid w:val="00DB6781"/>
    <w:rsid w:val="00DB67F0"/>
    <w:rsid w:val="00DB6B43"/>
    <w:rsid w:val="00DB7434"/>
    <w:rsid w:val="00DB78AA"/>
    <w:rsid w:val="00DB7AAD"/>
    <w:rsid w:val="00DC046D"/>
    <w:rsid w:val="00DC0506"/>
    <w:rsid w:val="00DC086B"/>
    <w:rsid w:val="00DC1414"/>
    <w:rsid w:val="00DC155E"/>
    <w:rsid w:val="00DC19D9"/>
    <w:rsid w:val="00DC307B"/>
    <w:rsid w:val="00DC3149"/>
    <w:rsid w:val="00DC33E0"/>
    <w:rsid w:val="00DC33F2"/>
    <w:rsid w:val="00DC343B"/>
    <w:rsid w:val="00DC419B"/>
    <w:rsid w:val="00DC41C6"/>
    <w:rsid w:val="00DC4615"/>
    <w:rsid w:val="00DC462F"/>
    <w:rsid w:val="00DC499A"/>
    <w:rsid w:val="00DC4A7E"/>
    <w:rsid w:val="00DC5398"/>
    <w:rsid w:val="00DC58A9"/>
    <w:rsid w:val="00DC5AC4"/>
    <w:rsid w:val="00DC6510"/>
    <w:rsid w:val="00DC6827"/>
    <w:rsid w:val="00DC69E7"/>
    <w:rsid w:val="00DC73E3"/>
    <w:rsid w:val="00DC77D0"/>
    <w:rsid w:val="00DC7AB6"/>
    <w:rsid w:val="00DC7E0E"/>
    <w:rsid w:val="00DD0B53"/>
    <w:rsid w:val="00DD1B9A"/>
    <w:rsid w:val="00DD1CE7"/>
    <w:rsid w:val="00DD3239"/>
    <w:rsid w:val="00DD3B65"/>
    <w:rsid w:val="00DD404E"/>
    <w:rsid w:val="00DD407D"/>
    <w:rsid w:val="00DD536E"/>
    <w:rsid w:val="00DD6198"/>
    <w:rsid w:val="00DD65A2"/>
    <w:rsid w:val="00DD68F4"/>
    <w:rsid w:val="00DD6A21"/>
    <w:rsid w:val="00DD6A42"/>
    <w:rsid w:val="00DD6AF4"/>
    <w:rsid w:val="00DD6F35"/>
    <w:rsid w:val="00DD6FA8"/>
    <w:rsid w:val="00DD6FB6"/>
    <w:rsid w:val="00DD7463"/>
    <w:rsid w:val="00DD7F1C"/>
    <w:rsid w:val="00DE0CCE"/>
    <w:rsid w:val="00DE18A7"/>
    <w:rsid w:val="00DE1B14"/>
    <w:rsid w:val="00DE201B"/>
    <w:rsid w:val="00DE22D8"/>
    <w:rsid w:val="00DE22F2"/>
    <w:rsid w:val="00DE2527"/>
    <w:rsid w:val="00DE2EFB"/>
    <w:rsid w:val="00DE3A5D"/>
    <w:rsid w:val="00DE4B51"/>
    <w:rsid w:val="00DE4F80"/>
    <w:rsid w:val="00DE563F"/>
    <w:rsid w:val="00DE5693"/>
    <w:rsid w:val="00DE60CA"/>
    <w:rsid w:val="00DE65E7"/>
    <w:rsid w:val="00DE681B"/>
    <w:rsid w:val="00DE6B9A"/>
    <w:rsid w:val="00DE6F6F"/>
    <w:rsid w:val="00DE71E2"/>
    <w:rsid w:val="00DE76D1"/>
    <w:rsid w:val="00DF0542"/>
    <w:rsid w:val="00DF0756"/>
    <w:rsid w:val="00DF091D"/>
    <w:rsid w:val="00DF1B3B"/>
    <w:rsid w:val="00DF203E"/>
    <w:rsid w:val="00DF3188"/>
    <w:rsid w:val="00DF3350"/>
    <w:rsid w:val="00DF37E1"/>
    <w:rsid w:val="00DF3932"/>
    <w:rsid w:val="00DF51A1"/>
    <w:rsid w:val="00DF5CBE"/>
    <w:rsid w:val="00DF6FE1"/>
    <w:rsid w:val="00DF72F3"/>
    <w:rsid w:val="00DF7510"/>
    <w:rsid w:val="00DF7577"/>
    <w:rsid w:val="00DF7816"/>
    <w:rsid w:val="00DF7D10"/>
    <w:rsid w:val="00E000A1"/>
    <w:rsid w:val="00E000CB"/>
    <w:rsid w:val="00E007E0"/>
    <w:rsid w:val="00E00969"/>
    <w:rsid w:val="00E0128C"/>
    <w:rsid w:val="00E01BC0"/>
    <w:rsid w:val="00E02517"/>
    <w:rsid w:val="00E02852"/>
    <w:rsid w:val="00E02904"/>
    <w:rsid w:val="00E0312D"/>
    <w:rsid w:val="00E031D6"/>
    <w:rsid w:val="00E04AD2"/>
    <w:rsid w:val="00E0531D"/>
    <w:rsid w:val="00E05337"/>
    <w:rsid w:val="00E0537B"/>
    <w:rsid w:val="00E057ED"/>
    <w:rsid w:val="00E0580A"/>
    <w:rsid w:val="00E05EC2"/>
    <w:rsid w:val="00E07539"/>
    <w:rsid w:val="00E07DA3"/>
    <w:rsid w:val="00E103AC"/>
    <w:rsid w:val="00E109F9"/>
    <w:rsid w:val="00E10A13"/>
    <w:rsid w:val="00E10D86"/>
    <w:rsid w:val="00E10E64"/>
    <w:rsid w:val="00E11C4E"/>
    <w:rsid w:val="00E11DCC"/>
    <w:rsid w:val="00E12DD9"/>
    <w:rsid w:val="00E136A6"/>
    <w:rsid w:val="00E13A2B"/>
    <w:rsid w:val="00E1403F"/>
    <w:rsid w:val="00E1454C"/>
    <w:rsid w:val="00E14833"/>
    <w:rsid w:val="00E14E1F"/>
    <w:rsid w:val="00E165E0"/>
    <w:rsid w:val="00E1675F"/>
    <w:rsid w:val="00E16922"/>
    <w:rsid w:val="00E179D8"/>
    <w:rsid w:val="00E17B13"/>
    <w:rsid w:val="00E20602"/>
    <w:rsid w:val="00E2093C"/>
    <w:rsid w:val="00E20971"/>
    <w:rsid w:val="00E20B05"/>
    <w:rsid w:val="00E20B8E"/>
    <w:rsid w:val="00E20D95"/>
    <w:rsid w:val="00E225CE"/>
    <w:rsid w:val="00E237F7"/>
    <w:rsid w:val="00E239B1"/>
    <w:rsid w:val="00E241F4"/>
    <w:rsid w:val="00E24612"/>
    <w:rsid w:val="00E2465E"/>
    <w:rsid w:val="00E246D3"/>
    <w:rsid w:val="00E24E64"/>
    <w:rsid w:val="00E24FA3"/>
    <w:rsid w:val="00E25E69"/>
    <w:rsid w:val="00E26B28"/>
    <w:rsid w:val="00E27235"/>
    <w:rsid w:val="00E27370"/>
    <w:rsid w:val="00E30D31"/>
    <w:rsid w:val="00E31465"/>
    <w:rsid w:val="00E31BCC"/>
    <w:rsid w:val="00E328CD"/>
    <w:rsid w:val="00E32D4D"/>
    <w:rsid w:val="00E32F9E"/>
    <w:rsid w:val="00E33737"/>
    <w:rsid w:val="00E33ABF"/>
    <w:rsid w:val="00E3489E"/>
    <w:rsid w:val="00E348D7"/>
    <w:rsid w:val="00E3511C"/>
    <w:rsid w:val="00E360C5"/>
    <w:rsid w:val="00E362F0"/>
    <w:rsid w:val="00E36B95"/>
    <w:rsid w:val="00E374EC"/>
    <w:rsid w:val="00E37AF8"/>
    <w:rsid w:val="00E4003F"/>
    <w:rsid w:val="00E40186"/>
    <w:rsid w:val="00E40E7E"/>
    <w:rsid w:val="00E40F29"/>
    <w:rsid w:val="00E40FA3"/>
    <w:rsid w:val="00E413EB"/>
    <w:rsid w:val="00E41A04"/>
    <w:rsid w:val="00E41E9F"/>
    <w:rsid w:val="00E4261E"/>
    <w:rsid w:val="00E42C3D"/>
    <w:rsid w:val="00E431EE"/>
    <w:rsid w:val="00E43470"/>
    <w:rsid w:val="00E43EA3"/>
    <w:rsid w:val="00E44069"/>
    <w:rsid w:val="00E4470D"/>
    <w:rsid w:val="00E44D14"/>
    <w:rsid w:val="00E454E4"/>
    <w:rsid w:val="00E458F6"/>
    <w:rsid w:val="00E45954"/>
    <w:rsid w:val="00E45A49"/>
    <w:rsid w:val="00E46704"/>
    <w:rsid w:val="00E473BB"/>
    <w:rsid w:val="00E478FF"/>
    <w:rsid w:val="00E47E61"/>
    <w:rsid w:val="00E50428"/>
    <w:rsid w:val="00E51E65"/>
    <w:rsid w:val="00E5295F"/>
    <w:rsid w:val="00E52F5C"/>
    <w:rsid w:val="00E53546"/>
    <w:rsid w:val="00E53A18"/>
    <w:rsid w:val="00E53F9A"/>
    <w:rsid w:val="00E54626"/>
    <w:rsid w:val="00E548AF"/>
    <w:rsid w:val="00E549E9"/>
    <w:rsid w:val="00E54AC3"/>
    <w:rsid w:val="00E54CFA"/>
    <w:rsid w:val="00E55EA5"/>
    <w:rsid w:val="00E55F24"/>
    <w:rsid w:val="00E55F5E"/>
    <w:rsid w:val="00E56398"/>
    <w:rsid w:val="00E56B65"/>
    <w:rsid w:val="00E603FC"/>
    <w:rsid w:val="00E607D6"/>
    <w:rsid w:val="00E613AB"/>
    <w:rsid w:val="00E6160C"/>
    <w:rsid w:val="00E61790"/>
    <w:rsid w:val="00E625E8"/>
    <w:rsid w:val="00E62B98"/>
    <w:rsid w:val="00E632B6"/>
    <w:rsid w:val="00E63680"/>
    <w:rsid w:val="00E63AD6"/>
    <w:rsid w:val="00E64ED5"/>
    <w:rsid w:val="00E65847"/>
    <w:rsid w:val="00E66A35"/>
    <w:rsid w:val="00E679BA"/>
    <w:rsid w:val="00E67D4C"/>
    <w:rsid w:val="00E67E03"/>
    <w:rsid w:val="00E7084B"/>
    <w:rsid w:val="00E709D3"/>
    <w:rsid w:val="00E710E3"/>
    <w:rsid w:val="00E71449"/>
    <w:rsid w:val="00E71643"/>
    <w:rsid w:val="00E71A64"/>
    <w:rsid w:val="00E71DA0"/>
    <w:rsid w:val="00E71F78"/>
    <w:rsid w:val="00E7222E"/>
    <w:rsid w:val="00E728BB"/>
    <w:rsid w:val="00E72A85"/>
    <w:rsid w:val="00E732DA"/>
    <w:rsid w:val="00E7335C"/>
    <w:rsid w:val="00E7429B"/>
    <w:rsid w:val="00E74F02"/>
    <w:rsid w:val="00E75BC5"/>
    <w:rsid w:val="00E75EA3"/>
    <w:rsid w:val="00E77D74"/>
    <w:rsid w:val="00E77D95"/>
    <w:rsid w:val="00E802DF"/>
    <w:rsid w:val="00E80597"/>
    <w:rsid w:val="00E809A6"/>
    <w:rsid w:val="00E80A23"/>
    <w:rsid w:val="00E81771"/>
    <w:rsid w:val="00E81912"/>
    <w:rsid w:val="00E81FA1"/>
    <w:rsid w:val="00E82267"/>
    <w:rsid w:val="00E82A59"/>
    <w:rsid w:val="00E82D5C"/>
    <w:rsid w:val="00E83E86"/>
    <w:rsid w:val="00E851BD"/>
    <w:rsid w:val="00E851EA"/>
    <w:rsid w:val="00E85AD5"/>
    <w:rsid w:val="00E85FA7"/>
    <w:rsid w:val="00E86279"/>
    <w:rsid w:val="00E86978"/>
    <w:rsid w:val="00E8699E"/>
    <w:rsid w:val="00E87E3D"/>
    <w:rsid w:val="00E9015B"/>
    <w:rsid w:val="00E90655"/>
    <w:rsid w:val="00E9116B"/>
    <w:rsid w:val="00E91442"/>
    <w:rsid w:val="00E91FA8"/>
    <w:rsid w:val="00E920BA"/>
    <w:rsid w:val="00E92C71"/>
    <w:rsid w:val="00E93A4D"/>
    <w:rsid w:val="00E93E8F"/>
    <w:rsid w:val="00E941EE"/>
    <w:rsid w:val="00E94695"/>
    <w:rsid w:val="00E95587"/>
    <w:rsid w:val="00E95609"/>
    <w:rsid w:val="00E95D5A"/>
    <w:rsid w:val="00E96C54"/>
    <w:rsid w:val="00E97086"/>
    <w:rsid w:val="00E9775B"/>
    <w:rsid w:val="00E97C5F"/>
    <w:rsid w:val="00EA0948"/>
    <w:rsid w:val="00EA0B89"/>
    <w:rsid w:val="00EA11BE"/>
    <w:rsid w:val="00EA1625"/>
    <w:rsid w:val="00EA1C09"/>
    <w:rsid w:val="00EA1DC6"/>
    <w:rsid w:val="00EA1ECA"/>
    <w:rsid w:val="00EA1FA8"/>
    <w:rsid w:val="00EA2722"/>
    <w:rsid w:val="00EA2C88"/>
    <w:rsid w:val="00EA31EF"/>
    <w:rsid w:val="00EA3D6F"/>
    <w:rsid w:val="00EA407B"/>
    <w:rsid w:val="00EA4277"/>
    <w:rsid w:val="00EA44D9"/>
    <w:rsid w:val="00EA4554"/>
    <w:rsid w:val="00EA4568"/>
    <w:rsid w:val="00EA4B76"/>
    <w:rsid w:val="00EA50CA"/>
    <w:rsid w:val="00EA522D"/>
    <w:rsid w:val="00EA5241"/>
    <w:rsid w:val="00EA5537"/>
    <w:rsid w:val="00EA6D52"/>
    <w:rsid w:val="00EA6D85"/>
    <w:rsid w:val="00EA6F28"/>
    <w:rsid w:val="00EA77CE"/>
    <w:rsid w:val="00EA7B04"/>
    <w:rsid w:val="00EA7C9E"/>
    <w:rsid w:val="00EB0698"/>
    <w:rsid w:val="00EB0CF7"/>
    <w:rsid w:val="00EB0F04"/>
    <w:rsid w:val="00EB14C8"/>
    <w:rsid w:val="00EB1B32"/>
    <w:rsid w:val="00EB1D65"/>
    <w:rsid w:val="00EB1FDB"/>
    <w:rsid w:val="00EB23BB"/>
    <w:rsid w:val="00EB2975"/>
    <w:rsid w:val="00EB2F77"/>
    <w:rsid w:val="00EB33B8"/>
    <w:rsid w:val="00EB3850"/>
    <w:rsid w:val="00EB4057"/>
    <w:rsid w:val="00EB4AF2"/>
    <w:rsid w:val="00EB4DF6"/>
    <w:rsid w:val="00EB5846"/>
    <w:rsid w:val="00EB6025"/>
    <w:rsid w:val="00EB6208"/>
    <w:rsid w:val="00EB6A76"/>
    <w:rsid w:val="00EB6B53"/>
    <w:rsid w:val="00EB702A"/>
    <w:rsid w:val="00EC05D7"/>
    <w:rsid w:val="00EC0BA3"/>
    <w:rsid w:val="00EC1B45"/>
    <w:rsid w:val="00EC26A0"/>
    <w:rsid w:val="00EC3650"/>
    <w:rsid w:val="00EC3A95"/>
    <w:rsid w:val="00EC3B89"/>
    <w:rsid w:val="00EC3ECE"/>
    <w:rsid w:val="00EC5223"/>
    <w:rsid w:val="00EC5630"/>
    <w:rsid w:val="00EC5901"/>
    <w:rsid w:val="00EC6368"/>
    <w:rsid w:val="00EC64B2"/>
    <w:rsid w:val="00EC6A35"/>
    <w:rsid w:val="00EC6A5E"/>
    <w:rsid w:val="00EC6C77"/>
    <w:rsid w:val="00EC788B"/>
    <w:rsid w:val="00EC7CEB"/>
    <w:rsid w:val="00ED023E"/>
    <w:rsid w:val="00ED0529"/>
    <w:rsid w:val="00ED0684"/>
    <w:rsid w:val="00ED1075"/>
    <w:rsid w:val="00ED1461"/>
    <w:rsid w:val="00ED16A4"/>
    <w:rsid w:val="00ED16A9"/>
    <w:rsid w:val="00ED1A0C"/>
    <w:rsid w:val="00ED1A58"/>
    <w:rsid w:val="00ED20FD"/>
    <w:rsid w:val="00ED374A"/>
    <w:rsid w:val="00ED3A00"/>
    <w:rsid w:val="00ED4146"/>
    <w:rsid w:val="00ED454D"/>
    <w:rsid w:val="00ED4E5D"/>
    <w:rsid w:val="00ED5897"/>
    <w:rsid w:val="00ED5DD9"/>
    <w:rsid w:val="00ED6257"/>
    <w:rsid w:val="00ED7D25"/>
    <w:rsid w:val="00EE055C"/>
    <w:rsid w:val="00EE063A"/>
    <w:rsid w:val="00EE06D9"/>
    <w:rsid w:val="00EE0863"/>
    <w:rsid w:val="00EE0A7B"/>
    <w:rsid w:val="00EE0F5F"/>
    <w:rsid w:val="00EE2C26"/>
    <w:rsid w:val="00EE2E08"/>
    <w:rsid w:val="00EE3241"/>
    <w:rsid w:val="00EE3724"/>
    <w:rsid w:val="00EE44B4"/>
    <w:rsid w:val="00EE4AC4"/>
    <w:rsid w:val="00EE4F20"/>
    <w:rsid w:val="00EE4F9C"/>
    <w:rsid w:val="00EE5296"/>
    <w:rsid w:val="00EE5360"/>
    <w:rsid w:val="00EE5BCE"/>
    <w:rsid w:val="00EE63DE"/>
    <w:rsid w:val="00EE7F11"/>
    <w:rsid w:val="00EF0BC1"/>
    <w:rsid w:val="00EF1B04"/>
    <w:rsid w:val="00EF1C5B"/>
    <w:rsid w:val="00EF23B5"/>
    <w:rsid w:val="00EF2501"/>
    <w:rsid w:val="00EF2584"/>
    <w:rsid w:val="00EF263F"/>
    <w:rsid w:val="00EF2A48"/>
    <w:rsid w:val="00EF3395"/>
    <w:rsid w:val="00EF4A22"/>
    <w:rsid w:val="00EF4DFD"/>
    <w:rsid w:val="00EF5C1F"/>
    <w:rsid w:val="00EF5D1F"/>
    <w:rsid w:val="00EF5F00"/>
    <w:rsid w:val="00EF6092"/>
    <w:rsid w:val="00EF6D6E"/>
    <w:rsid w:val="00F003E8"/>
    <w:rsid w:val="00F00432"/>
    <w:rsid w:val="00F00EB7"/>
    <w:rsid w:val="00F0107A"/>
    <w:rsid w:val="00F01DFA"/>
    <w:rsid w:val="00F029C7"/>
    <w:rsid w:val="00F02A1E"/>
    <w:rsid w:val="00F02C38"/>
    <w:rsid w:val="00F02D0F"/>
    <w:rsid w:val="00F034CC"/>
    <w:rsid w:val="00F04690"/>
    <w:rsid w:val="00F058E8"/>
    <w:rsid w:val="00F05F73"/>
    <w:rsid w:val="00F0683C"/>
    <w:rsid w:val="00F0686B"/>
    <w:rsid w:val="00F07969"/>
    <w:rsid w:val="00F0799B"/>
    <w:rsid w:val="00F0799D"/>
    <w:rsid w:val="00F10059"/>
    <w:rsid w:val="00F107A0"/>
    <w:rsid w:val="00F10F4F"/>
    <w:rsid w:val="00F114D5"/>
    <w:rsid w:val="00F11CC7"/>
    <w:rsid w:val="00F12099"/>
    <w:rsid w:val="00F125C7"/>
    <w:rsid w:val="00F127A8"/>
    <w:rsid w:val="00F12F09"/>
    <w:rsid w:val="00F133DE"/>
    <w:rsid w:val="00F140F9"/>
    <w:rsid w:val="00F1449F"/>
    <w:rsid w:val="00F1457A"/>
    <w:rsid w:val="00F14638"/>
    <w:rsid w:val="00F147C6"/>
    <w:rsid w:val="00F1481B"/>
    <w:rsid w:val="00F14C6D"/>
    <w:rsid w:val="00F14C79"/>
    <w:rsid w:val="00F1555A"/>
    <w:rsid w:val="00F15803"/>
    <w:rsid w:val="00F16124"/>
    <w:rsid w:val="00F162D5"/>
    <w:rsid w:val="00F163BE"/>
    <w:rsid w:val="00F16EA3"/>
    <w:rsid w:val="00F17E57"/>
    <w:rsid w:val="00F201B3"/>
    <w:rsid w:val="00F20E7F"/>
    <w:rsid w:val="00F21E93"/>
    <w:rsid w:val="00F22092"/>
    <w:rsid w:val="00F220A5"/>
    <w:rsid w:val="00F2219E"/>
    <w:rsid w:val="00F22E9A"/>
    <w:rsid w:val="00F23336"/>
    <w:rsid w:val="00F235E0"/>
    <w:rsid w:val="00F23713"/>
    <w:rsid w:val="00F24C38"/>
    <w:rsid w:val="00F24D60"/>
    <w:rsid w:val="00F25233"/>
    <w:rsid w:val="00F25307"/>
    <w:rsid w:val="00F25CC3"/>
    <w:rsid w:val="00F261D8"/>
    <w:rsid w:val="00F26EC3"/>
    <w:rsid w:val="00F27878"/>
    <w:rsid w:val="00F27AD3"/>
    <w:rsid w:val="00F27B8B"/>
    <w:rsid w:val="00F3062A"/>
    <w:rsid w:val="00F31E4E"/>
    <w:rsid w:val="00F321C7"/>
    <w:rsid w:val="00F3257F"/>
    <w:rsid w:val="00F32711"/>
    <w:rsid w:val="00F32B6E"/>
    <w:rsid w:val="00F33018"/>
    <w:rsid w:val="00F33925"/>
    <w:rsid w:val="00F33A29"/>
    <w:rsid w:val="00F34197"/>
    <w:rsid w:val="00F34339"/>
    <w:rsid w:val="00F34362"/>
    <w:rsid w:val="00F3446F"/>
    <w:rsid w:val="00F34BC9"/>
    <w:rsid w:val="00F3507C"/>
    <w:rsid w:val="00F35119"/>
    <w:rsid w:val="00F35952"/>
    <w:rsid w:val="00F36054"/>
    <w:rsid w:val="00F36509"/>
    <w:rsid w:val="00F36829"/>
    <w:rsid w:val="00F36CF1"/>
    <w:rsid w:val="00F37D06"/>
    <w:rsid w:val="00F37F8B"/>
    <w:rsid w:val="00F4046D"/>
    <w:rsid w:val="00F4062D"/>
    <w:rsid w:val="00F40B90"/>
    <w:rsid w:val="00F40BED"/>
    <w:rsid w:val="00F40E92"/>
    <w:rsid w:val="00F41301"/>
    <w:rsid w:val="00F41B4C"/>
    <w:rsid w:val="00F41D2C"/>
    <w:rsid w:val="00F41DB6"/>
    <w:rsid w:val="00F421AA"/>
    <w:rsid w:val="00F4293C"/>
    <w:rsid w:val="00F42D08"/>
    <w:rsid w:val="00F42E5F"/>
    <w:rsid w:val="00F435E1"/>
    <w:rsid w:val="00F43917"/>
    <w:rsid w:val="00F4446F"/>
    <w:rsid w:val="00F45CF7"/>
    <w:rsid w:val="00F46353"/>
    <w:rsid w:val="00F46386"/>
    <w:rsid w:val="00F46958"/>
    <w:rsid w:val="00F46AF1"/>
    <w:rsid w:val="00F47218"/>
    <w:rsid w:val="00F477A9"/>
    <w:rsid w:val="00F47AEE"/>
    <w:rsid w:val="00F513AE"/>
    <w:rsid w:val="00F51BB2"/>
    <w:rsid w:val="00F51D17"/>
    <w:rsid w:val="00F526B7"/>
    <w:rsid w:val="00F52AE2"/>
    <w:rsid w:val="00F52AFB"/>
    <w:rsid w:val="00F52CA0"/>
    <w:rsid w:val="00F532F0"/>
    <w:rsid w:val="00F534A4"/>
    <w:rsid w:val="00F53657"/>
    <w:rsid w:val="00F53843"/>
    <w:rsid w:val="00F53AB9"/>
    <w:rsid w:val="00F53D06"/>
    <w:rsid w:val="00F53EE9"/>
    <w:rsid w:val="00F54A12"/>
    <w:rsid w:val="00F551D5"/>
    <w:rsid w:val="00F55C9E"/>
    <w:rsid w:val="00F55CB9"/>
    <w:rsid w:val="00F56314"/>
    <w:rsid w:val="00F56485"/>
    <w:rsid w:val="00F56A39"/>
    <w:rsid w:val="00F57F58"/>
    <w:rsid w:val="00F60082"/>
    <w:rsid w:val="00F603C6"/>
    <w:rsid w:val="00F60B81"/>
    <w:rsid w:val="00F60E25"/>
    <w:rsid w:val="00F614D6"/>
    <w:rsid w:val="00F614EF"/>
    <w:rsid w:val="00F616B3"/>
    <w:rsid w:val="00F61A43"/>
    <w:rsid w:val="00F6200E"/>
    <w:rsid w:val="00F6230C"/>
    <w:rsid w:val="00F62E39"/>
    <w:rsid w:val="00F62FEC"/>
    <w:rsid w:val="00F63257"/>
    <w:rsid w:val="00F635EB"/>
    <w:rsid w:val="00F63D37"/>
    <w:rsid w:val="00F641FA"/>
    <w:rsid w:val="00F6429A"/>
    <w:rsid w:val="00F642E9"/>
    <w:rsid w:val="00F64992"/>
    <w:rsid w:val="00F656D5"/>
    <w:rsid w:val="00F65B0A"/>
    <w:rsid w:val="00F660C8"/>
    <w:rsid w:val="00F665C1"/>
    <w:rsid w:val="00F66E20"/>
    <w:rsid w:val="00F675D0"/>
    <w:rsid w:val="00F67B18"/>
    <w:rsid w:val="00F67DA4"/>
    <w:rsid w:val="00F67E74"/>
    <w:rsid w:val="00F700A4"/>
    <w:rsid w:val="00F70201"/>
    <w:rsid w:val="00F70367"/>
    <w:rsid w:val="00F719C0"/>
    <w:rsid w:val="00F71FD3"/>
    <w:rsid w:val="00F720CF"/>
    <w:rsid w:val="00F7220F"/>
    <w:rsid w:val="00F723FD"/>
    <w:rsid w:val="00F7249C"/>
    <w:rsid w:val="00F72B6A"/>
    <w:rsid w:val="00F72D4D"/>
    <w:rsid w:val="00F73024"/>
    <w:rsid w:val="00F736EE"/>
    <w:rsid w:val="00F739C4"/>
    <w:rsid w:val="00F73FD2"/>
    <w:rsid w:val="00F74CE5"/>
    <w:rsid w:val="00F75DE9"/>
    <w:rsid w:val="00F75E07"/>
    <w:rsid w:val="00F75ECF"/>
    <w:rsid w:val="00F76255"/>
    <w:rsid w:val="00F77098"/>
    <w:rsid w:val="00F800DD"/>
    <w:rsid w:val="00F8029C"/>
    <w:rsid w:val="00F805A1"/>
    <w:rsid w:val="00F81861"/>
    <w:rsid w:val="00F824D0"/>
    <w:rsid w:val="00F8302E"/>
    <w:rsid w:val="00F833AB"/>
    <w:rsid w:val="00F83655"/>
    <w:rsid w:val="00F83968"/>
    <w:rsid w:val="00F83C24"/>
    <w:rsid w:val="00F84503"/>
    <w:rsid w:val="00F8524A"/>
    <w:rsid w:val="00F8554A"/>
    <w:rsid w:val="00F85E9A"/>
    <w:rsid w:val="00F8642C"/>
    <w:rsid w:val="00F86DAB"/>
    <w:rsid w:val="00F8711B"/>
    <w:rsid w:val="00F87CAA"/>
    <w:rsid w:val="00F9124F"/>
    <w:rsid w:val="00F91286"/>
    <w:rsid w:val="00F913E3"/>
    <w:rsid w:val="00F9165C"/>
    <w:rsid w:val="00F91FA0"/>
    <w:rsid w:val="00F927F3"/>
    <w:rsid w:val="00F93794"/>
    <w:rsid w:val="00F9492B"/>
    <w:rsid w:val="00F94E6D"/>
    <w:rsid w:val="00F94EB9"/>
    <w:rsid w:val="00F95129"/>
    <w:rsid w:val="00F953E3"/>
    <w:rsid w:val="00F9622B"/>
    <w:rsid w:val="00F97522"/>
    <w:rsid w:val="00F97ED3"/>
    <w:rsid w:val="00FA03AA"/>
    <w:rsid w:val="00FA0675"/>
    <w:rsid w:val="00FA0C68"/>
    <w:rsid w:val="00FA1878"/>
    <w:rsid w:val="00FA1F7B"/>
    <w:rsid w:val="00FA251A"/>
    <w:rsid w:val="00FA261E"/>
    <w:rsid w:val="00FA2824"/>
    <w:rsid w:val="00FA2B9E"/>
    <w:rsid w:val="00FA3003"/>
    <w:rsid w:val="00FA35E2"/>
    <w:rsid w:val="00FA3A82"/>
    <w:rsid w:val="00FA4158"/>
    <w:rsid w:val="00FA4916"/>
    <w:rsid w:val="00FA4FA1"/>
    <w:rsid w:val="00FA5839"/>
    <w:rsid w:val="00FA5CB3"/>
    <w:rsid w:val="00FA5E14"/>
    <w:rsid w:val="00FA6613"/>
    <w:rsid w:val="00FA665A"/>
    <w:rsid w:val="00FA6BB6"/>
    <w:rsid w:val="00FA73E3"/>
    <w:rsid w:val="00FA7702"/>
    <w:rsid w:val="00FA7A0C"/>
    <w:rsid w:val="00FA7E5C"/>
    <w:rsid w:val="00FB034D"/>
    <w:rsid w:val="00FB0886"/>
    <w:rsid w:val="00FB0D89"/>
    <w:rsid w:val="00FB193D"/>
    <w:rsid w:val="00FB1A77"/>
    <w:rsid w:val="00FB1E19"/>
    <w:rsid w:val="00FB1F3C"/>
    <w:rsid w:val="00FB3089"/>
    <w:rsid w:val="00FB3422"/>
    <w:rsid w:val="00FB3F01"/>
    <w:rsid w:val="00FB3F3C"/>
    <w:rsid w:val="00FB4001"/>
    <w:rsid w:val="00FB4068"/>
    <w:rsid w:val="00FB4354"/>
    <w:rsid w:val="00FB4E99"/>
    <w:rsid w:val="00FB5651"/>
    <w:rsid w:val="00FB5820"/>
    <w:rsid w:val="00FB59E4"/>
    <w:rsid w:val="00FB5CCD"/>
    <w:rsid w:val="00FB5F01"/>
    <w:rsid w:val="00FB73C1"/>
    <w:rsid w:val="00FC121D"/>
    <w:rsid w:val="00FC14E0"/>
    <w:rsid w:val="00FC1754"/>
    <w:rsid w:val="00FC1B45"/>
    <w:rsid w:val="00FC2102"/>
    <w:rsid w:val="00FC2117"/>
    <w:rsid w:val="00FC22A2"/>
    <w:rsid w:val="00FC255E"/>
    <w:rsid w:val="00FC2A02"/>
    <w:rsid w:val="00FC2B14"/>
    <w:rsid w:val="00FC2FF8"/>
    <w:rsid w:val="00FC329A"/>
    <w:rsid w:val="00FC4207"/>
    <w:rsid w:val="00FC43CE"/>
    <w:rsid w:val="00FC4B09"/>
    <w:rsid w:val="00FC4C22"/>
    <w:rsid w:val="00FC4DD1"/>
    <w:rsid w:val="00FC5550"/>
    <w:rsid w:val="00FC5671"/>
    <w:rsid w:val="00FC57F6"/>
    <w:rsid w:val="00FC58E2"/>
    <w:rsid w:val="00FC598E"/>
    <w:rsid w:val="00FC66AA"/>
    <w:rsid w:val="00FC6F66"/>
    <w:rsid w:val="00FC709A"/>
    <w:rsid w:val="00FC76AD"/>
    <w:rsid w:val="00FC7C22"/>
    <w:rsid w:val="00FC7F06"/>
    <w:rsid w:val="00FD01B5"/>
    <w:rsid w:val="00FD0CE7"/>
    <w:rsid w:val="00FD195B"/>
    <w:rsid w:val="00FD19A9"/>
    <w:rsid w:val="00FD1C19"/>
    <w:rsid w:val="00FD1D51"/>
    <w:rsid w:val="00FD201D"/>
    <w:rsid w:val="00FD224B"/>
    <w:rsid w:val="00FD240A"/>
    <w:rsid w:val="00FD2886"/>
    <w:rsid w:val="00FD3C5D"/>
    <w:rsid w:val="00FD4126"/>
    <w:rsid w:val="00FD46CA"/>
    <w:rsid w:val="00FD5BBB"/>
    <w:rsid w:val="00FD5BF0"/>
    <w:rsid w:val="00FD63C3"/>
    <w:rsid w:val="00FD6897"/>
    <w:rsid w:val="00FD6FB3"/>
    <w:rsid w:val="00FE0075"/>
    <w:rsid w:val="00FE1778"/>
    <w:rsid w:val="00FE1DCA"/>
    <w:rsid w:val="00FE284C"/>
    <w:rsid w:val="00FE29E5"/>
    <w:rsid w:val="00FE2F29"/>
    <w:rsid w:val="00FE486C"/>
    <w:rsid w:val="00FE497E"/>
    <w:rsid w:val="00FE49BF"/>
    <w:rsid w:val="00FE4A46"/>
    <w:rsid w:val="00FE4DAD"/>
    <w:rsid w:val="00FE5C0C"/>
    <w:rsid w:val="00FE5E99"/>
    <w:rsid w:val="00FE6058"/>
    <w:rsid w:val="00FE63CE"/>
    <w:rsid w:val="00FE663B"/>
    <w:rsid w:val="00FE6B9B"/>
    <w:rsid w:val="00FE70A8"/>
    <w:rsid w:val="00FE72EE"/>
    <w:rsid w:val="00FE779A"/>
    <w:rsid w:val="00FE7961"/>
    <w:rsid w:val="00FE7C7F"/>
    <w:rsid w:val="00FE7E83"/>
    <w:rsid w:val="00FF0346"/>
    <w:rsid w:val="00FF064F"/>
    <w:rsid w:val="00FF0A15"/>
    <w:rsid w:val="00FF24FE"/>
    <w:rsid w:val="00FF314F"/>
    <w:rsid w:val="00FF325C"/>
    <w:rsid w:val="00FF3FDC"/>
    <w:rsid w:val="00FF44F9"/>
    <w:rsid w:val="00FF4E29"/>
    <w:rsid w:val="00FF4EDA"/>
    <w:rsid w:val="00FF5067"/>
    <w:rsid w:val="00FF5B27"/>
    <w:rsid w:val="00FF6030"/>
    <w:rsid w:val="00FF6C3C"/>
    <w:rsid w:val="00FF703C"/>
    <w:rsid w:val="00FF70B8"/>
    <w:rsid w:val="00FF757F"/>
    <w:rsid w:val="00FF7C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3CE048D3"/>
  <w15:chartTrackingRefBased/>
  <w15:docId w15:val="{AA802D72-1B40-4B86-BA4C-8D77A7013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lsdException w:name="heading 5" w:locked="0"/>
    <w:lsdException w:name="heading 6" w:locked="0"/>
    <w:lsdException w:name="heading 7" w:locked="0"/>
    <w:lsdException w:name="heading 8" w:locked="0"/>
    <w:lsdException w:name="heading 9" w:locked="0"/>
    <w:lsdException w:name="toc 1" w:locked="0" w:uiPriority="39"/>
    <w:lsdException w:name="toc 2" w:locked="0" w:uiPriority="39"/>
    <w:lsdException w:name="toc 3" w:locked="0" w:uiPriority="39"/>
    <w:lsdException w:name="toc 4" w:locked="0" w:uiPriority="39"/>
    <w:lsdException w:name="header" w:locked="0" w:qFormat="1"/>
    <w:lsdException w:name="footer" w:locked="0" w:uiPriority="99"/>
    <w:lsdException w:name="caption" w:semiHidden="1" w:unhideWhenUsed="1" w:qFormat="1"/>
    <w:lsdException w:name="endnote reference" w:locked="0" w:uiPriority="99" w:qFormat="1"/>
    <w:lsdException w:name="endnote text" w:locked="0" w:uiPriority="99" w:qFormat="1"/>
    <w:lsdException w:name="List Bullet" w:qFormat="1"/>
    <w:lsdException w:name="List Number" w:qFormat="1"/>
    <w:lsdException w:name="Default Paragraph Font" w:locked="0" w:uiPriority="1"/>
    <w:lsdException w:name="List Continue 4" w:locked="0"/>
    <w:lsdException w:name="Hyperlink" w:locked="0" w:uiPriority="99"/>
    <w:lsdException w:name="Strong" w:locked="0"/>
    <w:lsdException w:name="HTML Top of Form" w:locked="0"/>
    <w:lsdException w:name="HTML Bottom of Form" w:locked="0"/>
    <w:lsdException w:name="HTML Definition" w:semiHidden="1" w:unhideWhenUsed="1"/>
    <w:lsdException w:name="HTML Typewriter"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A85426"/>
    <w:pPr>
      <w:spacing w:before="240" w:after="240"/>
    </w:pPr>
    <w:rPr>
      <w:rFonts w:ascii="Open Sans" w:eastAsia="MS Mincho" w:hAnsi="Open Sans"/>
      <w:sz w:val="24"/>
      <w:szCs w:val="24"/>
    </w:rPr>
  </w:style>
  <w:style w:type="paragraph" w:styleId="Heading1">
    <w:name w:val="heading 1"/>
    <w:basedOn w:val="Normal"/>
    <w:next w:val="Normal"/>
    <w:link w:val="Heading1Char"/>
    <w:qFormat/>
    <w:rsid w:val="005C2ECF"/>
    <w:pPr>
      <w:keepNext/>
      <w:keepLines/>
      <w:numPr>
        <w:numId w:val="1"/>
      </w:numPr>
      <w:spacing w:before="360"/>
      <w:outlineLvl w:val="0"/>
    </w:pPr>
    <w:rPr>
      <w:b/>
      <w:bCs/>
      <w:sz w:val="36"/>
      <w:szCs w:val="28"/>
    </w:rPr>
  </w:style>
  <w:style w:type="paragraph" w:styleId="Heading2">
    <w:name w:val="heading 2"/>
    <w:basedOn w:val="Heading1"/>
    <w:next w:val="Normal"/>
    <w:link w:val="Heading2Char"/>
    <w:qFormat/>
    <w:rsid w:val="005C2ECF"/>
    <w:pPr>
      <w:numPr>
        <w:ilvl w:val="1"/>
      </w:numPr>
      <w:outlineLvl w:val="1"/>
    </w:pPr>
    <w:rPr>
      <w:bCs w:val="0"/>
      <w:sz w:val="28"/>
      <w:szCs w:val="26"/>
    </w:rPr>
  </w:style>
  <w:style w:type="paragraph" w:styleId="Heading3">
    <w:name w:val="heading 3"/>
    <w:basedOn w:val="Heading2"/>
    <w:next w:val="Normal"/>
    <w:link w:val="Heading3Char"/>
    <w:qFormat/>
    <w:rsid w:val="008007A8"/>
    <w:pPr>
      <w:numPr>
        <w:ilvl w:val="2"/>
      </w:numPr>
      <w:outlineLvl w:val="2"/>
    </w:pPr>
    <w:rPr>
      <w:b w:val="0"/>
      <w:bCs/>
      <w:sz w:val="24"/>
    </w:rPr>
  </w:style>
  <w:style w:type="paragraph" w:styleId="Heading4">
    <w:name w:val="heading 4"/>
    <w:basedOn w:val="Heading3"/>
    <w:next w:val="Normal"/>
    <w:link w:val="Heading4Char"/>
    <w:locked/>
    <w:rsid w:val="008007A8"/>
    <w:pPr>
      <w:numPr>
        <w:ilvl w:val="3"/>
      </w:numPr>
      <w:outlineLvl w:val="3"/>
    </w:pPr>
    <w:rPr>
      <w:bCs w:val="0"/>
      <w:i/>
      <w:iCs/>
    </w:rPr>
  </w:style>
  <w:style w:type="paragraph" w:styleId="Heading5">
    <w:name w:val="heading 5"/>
    <w:basedOn w:val="Normal"/>
    <w:next w:val="Normal"/>
    <w:link w:val="Heading5Char"/>
    <w:locked/>
    <w:rsid w:val="005C2ECF"/>
    <w:pPr>
      <w:keepNext/>
      <w:keepLines/>
      <w:numPr>
        <w:ilvl w:val="4"/>
        <w:numId w:val="1"/>
      </w:numPr>
      <w:spacing w:before="200"/>
      <w:outlineLvl w:val="4"/>
    </w:pPr>
  </w:style>
  <w:style w:type="paragraph" w:styleId="Heading6">
    <w:name w:val="heading 6"/>
    <w:basedOn w:val="Normal"/>
    <w:next w:val="Normal"/>
    <w:link w:val="Heading6Char"/>
    <w:locked/>
    <w:rsid w:val="005C2ECF"/>
    <w:pPr>
      <w:keepNext/>
      <w:keepLines/>
      <w:numPr>
        <w:ilvl w:val="5"/>
        <w:numId w:val="1"/>
      </w:numPr>
      <w:spacing w:before="200"/>
      <w:outlineLvl w:val="5"/>
    </w:pPr>
    <w:rPr>
      <w:i/>
      <w:iCs/>
    </w:rPr>
  </w:style>
  <w:style w:type="paragraph" w:styleId="Heading7">
    <w:name w:val="heading 7"/>
    <w:basedOn w:val="Normal"/>
    <w:next w:val="Normal"/>
    <w:link w:val="Heading7Char"/>
    <w:locked/>
    <w:rsid w:val="005C2ECF"/>
    <w:pPr>
      <w:keepNext/>
      <w:keepLines/>
      <w:numPr>
        <w:ilvl w:val="6"/>
        <w:numId w:val="1"/>
      </w:numPr>
      <w:spacing w:before="200"/>
      <w:outlineLvl w:val="6"/>
    </w:pPr>
    <w:rPr>
      <w:i/>
      <w:iCs/>
    </w:rPr>
  </w:style>
  <w:style w:type="paragraph" w:styleId="Heading8">
    <w:name w:val="heading 8"/>
    <w:basedOn w:val="Normal"/>
    <w:next w:val="Normal"/>
    <w:link w:val="Heading8Char"/>
    <w:locked/>
    <w:rsid w:val="005C2ECF"/>
    <w:pPr>
      <w:keepNext/>
      <w:keepLines/>
      <w:numPr>
        <w:ilvl w:val="7"/>
        <w:numId w:val="1"/>
      </w:numPr>
      <w:spacing w:before="200"/>
      <w:outlineLvl w:val="7"/>
    </w:pPr>
    <w:rPr>
      <w:sz w:val="20"/>
      <w:szCs w:val="20"/>
    </w:rPr>
  </w:style>
  <w:style w:type="paragraph" w:styleId="Heading9">
    <w:name w:val="heading 9"/>
    <w:basedOn w:val="Normal"/>
    <w:next w:val="Normal"/>
    <w:link w:val="Heading9Char"/>
    <w:locked/>
    <w:rsid w:val="005C2ECF"/>
    <w:pPr>
      <w:keepNext/>
      <w:keepLines/>
      <w:numPr>
        <w:ilvl w:val="8"/>
        <w:numId w:val="1"/>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C2ECF"/>
    <w:rPr>
      <w:rFonts w:ascii="Open Sans" w:eastAsia="MS Mincho" w:hAnsi="Open Sans"/>
      <w:b/>
      <w:bCs/>
      <w:sz w:val="36"/>
      <w:szCs w:val="28"/>
    </w:rPr>
  </w:style>
  <w:style w:type="character" w:customStyle="1" w:styleId="Heading2Char">
    <w:name w:val="Heading 2 Char"/>
    <w:link w:val="Heading2"/>
    <w:rsid w:val="005C2ECF"/>
    <w:rPr>
      <w:rFonts w:ascii="Open Sans" w:eastAsia="MS Mincho" w:hAnsi="Open Sans"/>
      <w:b/>
      <w:sz w:val="28"/>
      <w:szCs w:val="26"/>
    </w:rPr>
  </w:style>
  <w:style w:type="character" w:customStyle="1" w:styleId="Heading3Char">
    <w:name w:val="Heading 3 Char"/>
    <w:link w:val="Heading3"/>
    <w:rsid w:val="008007A8"/>
    <w:rPr>
      <w:rFonts w:ascii="Open Sans" w:eastAsia="MS Mincho" w:hAnsi="Open Sans"/>
      <w:bCs/>
      <w:sz w:val="24"/>
      <w:szCs w:val="26"/>
    </w:rPr>
  </w:style>
  <w:style w:type="character" w:customStyle="1" w:styleId="Heading4Char">
    <w:name w:val="Heading 4 Char"/>
    <w:link w:val="Heading4"/>
    <w:rsid w:val="008007A8"/>
    <w:rPr>
      <w:rFonts w:ascii="Open Sans" w:eastAsia="MS Mincho" w:hAnsi="Open Sans"/>
      <w:i/>
      <w:iCs/>
      <w:sz w:val="24"/>
      <w:szCs w:val="26"/>
    </w:rPr>
  </w:style>
  <w:style w:type="character" w:styleId="Strong">
    <w:name w:val="Strong"/>
    <w:locked/>
    <w:rsid w:val="00471BB7"/>
    <w:rPr>
      <w:rFonts w:ascii="Open Sans" w:hAnsi="Open Sans"/>
      <w:b/>
      <w:bCs/>
    </w:rPr>
  </w:style>
  <w:style w:type="character" w:customStyle="1" w:styleId="Heading5Char">
    <w:name w:val="Heading 5 Char"/>
    <w:link w:val="Heading5"/>
    <w:rsid w:val="005C2ECF"/>
    <w:rPr>
      <w:rFonts w:ascii="Open Sans" w:eastAsia="MS Mincho" w:hAnsi="Open Sans"/>
      <w:sz w:val="24"/>
      <w:szCs w:val="24"/>
    </w:rPr>
  </w:style>
  <w:style w:type="character" w:customStyle="1" w:styleId="Heading6Char">
    <w:name w:val="Heading 6 Char"/>
    <w:link w:val="Heading6"/>
    <w:rsid w:val="005C2ECF"/>
    <w:rPr>
      <w:rFonts w:ascii="Open Sans" w:eastAsia="MS Mincho" w:hAnsi="Open Sans"/>
      <w:i/>
      <w:iCs/>
      <w:sz w:val="24"/>
      <w:szCs w:val="24"/>
    </w:rPr>
  </w:style>
  <w:style w:type="character" w:customStyle="1" w:styleId="Heading7Char">
    <w:name w:val="Heading 7 Char"/>
    <w:link w:val="Heading7"/>
    <w:rsid w:val="005C2ECF"/>
    <w:rPr>
      <w:rFonts w:ascii="Open Sans" w:eastAsia="MS Mincho" w:hAnsi="Open Sans"/>
      <w:i/>
      <w:iCs/>
      <w:sz w:val="24"/>
      <w:szCs w:val="24"/>
    </w:rPr>
  </w:style>
  <w:style w:type="character" w:customStyle="1" w:styleId="Heading8Char">
    <w:name w:val="Heading 8 Char"/>
    <w:link w:val="Heading8"/>
    <w:rsid w:val="005C2ECF"/>
    <w:rPr>
      <w:rFonts w:ascii="Open Sans" w:eastAsia="MS Mincho" w:hAnsi="Open Sans"/>
    </w:rPr>
  </w:style>
  <w:style w:type="character" w:customStyle="1" w:styleId="Heading9Char">
    <w:name w:val="Heading 9 Char"/>
    <w:link w:val="Heading9"/>
    <w:rsid w:val="005C2ECF"/>
    <w:rPr>
      <w:rFonts w:ascii="Open Sans" w:eastAsia="MS Mincho" w:hAnsi="Open Sans"/>
      <w:i/>
      <w:iCs/>
    </w:rPr>
  </w:style>
  <w:style w:type="paragraph" w:styleId="Header">
    <w:name w:val="header"/>
    <w:basedOn w:val="Normal"/>
    <w:link w:val="HeaderChar"/>
    <w:qFormat/>
    <w:rsid w:val="00CA5D90"/>
    <w:pPr>
      <w:tabs>
        <w:tab w:val="center" w:pos="4513"/>
        <w:tab w:val="right" w:pos="9026"/>
      </w:tabs>
      <w:spacing w:after="0"/>
      <w:jc w:val="right"/>
    </w:pPr>
    <w:rPr>
      <w:sz w:val="22"/>
    </w:rPr>
  </w:style>
  <w:style w:type="character" w:customStyle="1" w:styleId="HeaderChar">
    <w:name w:val="Header Char"/>
    <w:link w:val="Header"/>
    <w:rsid w:val="0016266F"/>
    <w:rPr>
      <w:rFonts w:ascii="Open Sans" w:eastAsia="MS Mincho" w:hAnsi="Open Sans"/>
      <w:sz w:val="22"/>
      <w:szCs w:val="24"/>
    </w:rPr>
  </w:style>
  <w:style w:type="paragraph" w:styleId="Footer">
    <w:name w:val="footer"/>
    <w:basedOn w:val="Normal"/>
    <w:link w:val="FooterChar"/>
    <w:uiPriority w:val="99"/>
    <w:rsid w:val="0063009F"/>
    <w:pPr>
      <w:tabs>
        <w:tab w:val="right" w:pos="2835"/>
        <w:tab w:val="right" w:pos="5670"/>
      </w:tabs>
      <w:spacing w:before="0" w:after="0"/>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autoRedefine/>
    <w:uiPriority w:val="39"/>
    <w:locked/>
    <w:rsid w:val="000E4837"/>
    <w:pPr>
      <w:tabs>
        <w:tab w:val="left" w:pos="1202"/>
        <w:tab w:val="right" w:leader="dot" w:pos="9060"/>
      </w:tabs>
      <w:spacing w:before="0" w:after="0"/>
      <w:ind w:left="720"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rsid w:val="000E4837"/>
    <w:pPr>
      <w:tabs>
        <w:tab w:val="right" w:leader="dot" w:pos="9060"/>
      </w:tabs>
      <w:spacing w:after="0"/>
      <w:ind w:left="720" w:hanging="720"/>
    </w:pPr>
    <w:rPr>
      <w:b/>
      <w:noProof/>
    </w:rPr>
  </w:style>
  <w:style w:type="paragraph" w:styleId="TOC2">
    <w:name w:val="toc 2"/>
    <w:basedOn w:val="Normal"/>
    <w:next w:val="Normal"/>
    <w:autoRedefine/>
    <w:uiPriority w:val="39"/>
    <w:locked/>
    <w:rsid w:val="000E4837"/>
    <w:pPr>
      <w:tabs>
        <w:tab w:val="right" w:leader="dot" w:pos="9060"/>
      </w:tabs>
      <w:spacing w:before="0" w:after="0"/>
      <w:ind w:left="720" w:hanging="720"/>
    </w:pPr>
    <w:rPr>
      <w:b/>
      <w:i/>
      <w:noProof/>
    </w:rPr>
  </w:style>
  <w:style w:type="paragraph" w:styleId="TOC4">
    <w:name w:val="toc 4"/>
    <w:basedOn w:val="Normal"/>
    <w:next w:val="Normal"/>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rsid w:val="00471BB7"/>
    <w:pPr>
      <w:spacing w:before="0" w:after="360"/>
    </w:pPr>
    <w:rPr>
      <w:b/>
      <w:lang w:val="en-US" w:eastAsia="en-US"/>
    </w:rPr>
  </w:style>
  <w:style w:type="paragraph" w:styleId="EndnoteText">
    <w:name w:val="endnote text"/>
    <w:basedOn w:val="Normal"/>
    <w:link w:val="EndnoteTextChar1"/>
    <w:uiPriority w:val="99"/>
    <w:qFormat/>
    <w:rsid w:val="0002476A"/>
    <w:pPr>
      <w:spacing w:before="0" w:after="0"/>
      <w:ind w:left="142" w:hanging="142"/>
    </w:pPr>
    <w:rPr>
      <w:sz w:val="20"/>
      <w:szCs w:val="20"/>
    </w:rPr>
  </w:style>
  <w:style w:type="character" w:customStyle="1" w:styleId="EndnoteTextChar1">
    <w:name w:val="Endnote Text Char1"/>
    <w:link w:val="EndnoteText"/>
    <w:rsid w:val="00E55F24"/>
    <w:rPr>
      <w:rFonts w:ascii="Open Sans" w:eastAsia="MS Mincho" w:hAnsi="Open Sans"/>
    </w:rPr>
  </w:style>
  <w:style w:type="character" w:styleId="EndnoteReference">
    <w:name w:val="endnote reference"/>
    <w:uiPriority w:val="99"/>
    <w:qFormat/>
    <w:rsid w:val="00045C4B"/>
    <w:rPr>
      <w:rFonts w:ascii="Open Sans" w:hAnsi="Open Sans"/>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rsid w:val="00045C4B"/>
    <w:pPr>
      <w:spacing w:after="120"/>
      <w:ind w:left="1440" w:right="1440"/>
    </w:pPr>
  </w:style>
  <w:style w:type="paragraph" w:styleId="BodyText">
    <w:name w:val="Body Text"/>
    <w:basedOn w:val="Normal"/>
    <w:semiHidden/>
    <w:rsid w:val="00045C4B"/>
    <w:pPr>
      <w:spacing w:after="120"/>
    </w:pPr>
  </w:style>
  <w:style w:type="paragraph" w:styleId="BodyText2">
    <w:name w:val="Body Text 2"/>
    <w:basedOn w:val="Normal"/>
    <w:semiHidden/>
    <w:rsid w:val="00045C4B"/>
    <w:pPr>
      <w:spacing w:after="120" w:line="480" w:lineRule="auto"/>
    </w:pPr>
  </w:style>
  <w:style w:type="paragraph" w:styleId="BodyText3">
    <w:name w:val="Body Text 3"/>
    <w:basedOn w:val="Normal"/>
    <w:semiHidden/>
    <w:rsid w:val="00045C4B"/>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045C4B"/>
    <w:pPr>
      <w:spacing w:after="120"/>
      <w:ind w:left="283"/>
    </w:pPr>
  </w:style>
  <w:style w:type="paragraph" w:styleId="BodyTextFirstIndent2">
    <w:name w:val="Body Text First Indent 2"/>
    <w:basedOn w:val="BodyTextIndent"/>
    <w:semiHidden/>
    <w:rsid w:val="00045C4B"/>
    <w:pPr>
      <w:ind w:firstLine="210"/>
    </w:pPr>
  </w:style>
  <w:style w:type="paragraph" w:styleId="BodyTextIndent2">
    <w:name w:val="Body Text Indent 2"/>
    <w:basedOn w:val="Normal"/>
    <w:semiHidden/>
    <w:rsid w:val="00045C4B"/>
    <w:pPr>
      <w:spacing w:after="120" w:line="480" w:lineRule="auto"/>
      <w:ind w:left="283"/>
    </w:pPr>
  </w:style>
  <w:style w:type="paragraph" w:styleId="BodyTextIndent3">
    <w:name w:val="Body Text Indent 3"/>
    <w:basedOn w:val="Normal"/>
    <w:semiHidden/>
    <w:rsid w:val="00045C4B"/>
    <w:pPr>
      <w:spacing w:after="120"/>
      <w:ind w:left="283"/>
    </w:pPr>
    <w:rPr>
      <w:sz w:val="16"/>
      <w:szCs w:val="16"/>
    </w:rPr>
  </w:style>
  <w:style w:type="paragraph" w:styleId="Closing">
    <w:name w:val="Closing"/>
    <w:basedOn w:val="Normal"/>
    <w:semiHidden/>
    <w:rsid w:val="00045C4B"/>
    <w:pPr>
      <w:ind w:left="4252"/>
    </w:pPr>
  </w:style>
  <w:style w:type="paragraph" w:styleId="Date">
    <w:name w:val="Date"/>
    <w:basedOn w:val="Normal"/>
    <w:next w:val="Normal"/>
    <w:semiHidden/>
    <w:rsid w:val="005C2ECF"/>
    <w:pPr>
      <w:spacing w:before="120" w:after="120"/>
      <w:jc w:val="right"/>
    </w:pPr>
  </w:style>
  <w:style w:type="paragraph" w:styleId="E-mailSignature">
    <w:name w:val="E-mail Signature"/>
    <w:basedOn w:val="Normal"/>
    <w:semiHidden/>
    <w:rsid w:val="00045C4B"/>
  </w:style>
  <w:style w:type="character" w:styleId="Emphasis">
    <w:name w:val="Emphasis"/>
    <w:rsid w:val="00045C4B"/>
    <w:rPr>
      <w:rFonts w:ascii="Open Sans" w:hAnsi="Open Sans"/>
      <w:i w:val="0"/>
      <w:iCs/>
    </w:rPr>
  </w:style>
  <w:style w:type="paragraph" w:styleId="EnvelopeAddress">
    <w:name w:val="envelope address"/>
    <w:basedOn w:val="Normal"/>
    <w:semiHidden/>
    <w:rsid w:val="00045C4B"/>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DC307B"/>
    <w:pPr>
      <w:numPr>
        <w:numId w:val="2"/>
      </w:numPr>
      <w:spacing w:before="0"/>
    </w:pPr>
  </w:style>
  <w:style w:type="paragraph" w:styleId="ListBullet2">
    <w:name w:val="List Bullet 2"/>
    <w:basedOn w:val="Normal"/>
    <w:semiHidden/>
    <w:locked/>
    <w:rsid w:val="005C2ECF"/>
    <w:pPr>
      <w:numPr>
        <w:numId w:val="3"/>
      </w:numPr>
    </w:pPr>
  </w:style>
  <w:style w:type="paragraph" w:styleId="ListBullet3">
    <w:name w:val="List Bullet 3"/>
    <w:basedOn w:val="Normal"/>
    <w:semiHidden/>
    <w:locked/>
    <w:rsid w:val="005C2ECF"/>
    <w:pPr>
      <w:numPr>
        <w:numId w:val="4"/>
      </w:numPr>
    </w:pPr>
  </w:style>
  <w:style w:type="paragraph" w:styleId="ListBullet4">
    <w:name w:val="List Bullet 4"/>
    <w:basedOn w:val="Normal"/>
    <w:semiHidden/>
    <w:locked/>
    <w:rsid w:val="005C2ECF"/>
    <w:pPr>
      <w:numPr>
        <w:numId w:val="5"/>
      </w:numPr>
    </w:pPr>
  </w:style>
  <w:style w:type="paragraph" w:styleId="ListBullet5">
    <w:name w:val="List Bullet 5"/>
    <w:basedOn w:val="Normal"/>
    <w:semiHidden/>
    <w:locked/>
    <w:rsid w:val="005C2ECF"/>
    <w:pPr>
      <w:numPr>
        <w:numId w:val="6"/>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qFormat/>
    <w:rsid w:val="007B06EA"/>
    <w:pPr>
      <w:numPr>
        <w:numId w:val="7"/>
      </w:numPr>
      <w:tabs>
        <w:tab w:val="clear" w:pos="360"/>
        <w:tab w:val="left" w:pos="1134"/>
      </w:tabs>
      <w:spacing w:before="120" w:after="120"/>
      <w:ind w:left="1094" w:hanging="737"/>
    </w:pPr>
  </w:style>
  <w:style w:type="paragraph" w:styleId="ListNumber2">
    <w:name w:val="List Number 2"/>
    <w:basedOn w:val="Normal"/>
    <w:semiHidden/>
    <w:locked/>
    <w:rsid w:val="005C2ECF"/>
    <w:pPr>
      <w:numPr>
        <w:numId w:val="10"/>
      </w:numPr>
    </w:pPr>
  </w:style>
  <w:style w:type="paragraph" w:styleId="ListNumber3">
    <w:name w:val="List Number 3"/>
    <w:basedOn w:val="Normal"/>
    <w:semiHidden/>
    <w:locked/>
    <w:rsid w:val="005C2ECF"/>
    <w:pPr>
      <w:numPr>
        <w:numId w:val="11"/>
      </w:numPr>
    </w:pPr>
  </w:style>
  <w:style w:type="paragraph" w:styleId="ListNumber4">
    <w:name w:val="List Number 4"/>
    <w:basedOn w:val="Normal"/>
    <w:semiHidden/>
    <w:locked/>
    <w:rsid w:val="005C2ECF"/>
    <w:pPr>
      <w:numPr>
        <w:numId w:val="8"/>
      </w:numPr>
    </w:pPr>
  </w:style>
  <w:style w:type="paragraph" w:styleId="ListNumber5">
    <w:name w:val="List Number 5"/>
    <w:basedOn w:val="Normal"/>
    <w:semiHidden/>
    <w:locked/>
    <w:rsid w:val="005C2ECF"/>
    <w:pPr>
      <w:numPr>
        <w:numId w:val="9"/>
      </w:numPr>
    </w:pPr>
  </w:style>
  <w:style w:type="paragraph" w:styleId="MessageHeader">
    <w:name w:val="Message Header"/>
    <w:basedOn w:val="Normal"/>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5C2ECF"/>
  </w:style>
  <w:style w:type="paragraph" w:styleId="NormalIndent">
    <w:name w:val="Normal Indent"/>
    <w:basedOn w:val="Normal"/>
    <w:semiHidden/>
    <w:rsid w:val="005C2ECF"/>
    <w:pPr>
      <w:ind w:left="720"/>
    </w:pPr>
  </w:style>
  <w:style w:type="paragraph" w:styleId="NoteHeading">
    <w:name w:val="Note Heading"/>
    <w:basedOn w:val="Normal"/>
    <w:next w:val="Normal"/>
    <w:semiHidden/>
    <w:rsid w:val="00E45954"/>
  </w:style>
  <w:style w:type="character" w:styleId="PageNumber">
    <w:name w:val="page number"/>
    <w:semiHidden/>
    <w:rsid w:val="00471BB7"/>
    <w:rPr>
      <w:rFonts w:ascii="Open Sans" w:hAnsi="Open Sans"/>
      <w:sz w:val="24"/>
    </w:rPr>
  </w:style>
  <w:style w:type="paragraph" w:styleId="PlainText">
    <w:name w:val="Plain Text"/>
    <w:basedOn w:val="Normal"/>
    <w:semiHidden/>
    <w:rsid w:val="00471BB7"/>
    <w:rPr>
      <w:rFonts w:cs="Courier New"/>
      <w:szCs w:val="20"/>
    </w:rPr>
  </w:style>
  <w:style w:type="paragraph" w:styleId="Salutation">
    <w:name w:val="Salutation"/>
    <w:basedOn w:val="Normal"/>
    <w:next w:val="Normal"/>
    <w:semiHidden/>
    <w:locked/>
    <w:rsid w:val="00471BB7"/>
  </w:style>
  <w:style w:type="paragraph" w:styleId="Signature">
    <w:name w:val="Signature"/>
    <w:basedOn w:val="Normal"/>
    <w:semiHidden/>
    <w:locked/>
    <w:rsid w:val="00E45954"/>
    <w:pPr>
      <w:ind w:left="4252"/>
    </w:pPr>
  </w:style>
  <w:style w:type="paragraph" w:styleId="Subtitle">
    <w:name w:val="Subtitle"/>
    <w:basedOn w:val="Normal"/>
    <w:link w:val="SubtitleChar"/>
    <w:rsid w:val="000E4837"/>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Open Sans" w:hAnsi="Open Sans"/>
      <w:color w:val="800080"/>
      <w:u w:val="single"/>
    </w:rPr>
  </w:style>
  <w:style w:type="paragraph" w:customStyle="1" w:styleId="MainTitle">
    <w:name w:val="Main Title"/>
    <w:next w:val="Subtitle"/>
    <w:qFormat/>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semiHidden/>
    <w:locked/>
    <w:rsid w:val="005C2ECF"/>
    <w:pPr>
      <w:spacing w:line="200" w:lineRule="exact"/>
      <w:jc w:val="both"/>
    </w:pPr>
    <w:rPr>
      <w:rFonts w:eastAsia="Times New Roman" w:cs="ArialMT"/>
      <w:sz w:val="16"/>
      <w:lang w:eastAsia="en-US"/>
    </w:rPr>
  </w:style>
  <w:style w:type="paragraph" w:customStyle="1" w:styleId="LogoType">
    <w:name w:val="Logo Type"/>
    <w:basedOn w:val="Header"/>
    <w:semiHidden/>
    <w:locked/>
    <w:rsid w:val="005C2ECF"/>
    <w:pPr>
      <w:pBdr>
        <w:bottom w:val="single" w:sz="4" w:space="4" w:color="auto"/>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pPr>
      <w:spacing w:before="0" w:after="0"/>
    </w:pPr>
    <w:rPr>
      <w:rFonts w:cs="Tahoma"/>
      <w:sz w:val="16"/>
      <w:szCs w:val="16"/>
    </w:rPr>
  </w:style>
  <w:style w:type="character" w:customStyle="1" w:styleId="BalloonTextChar">
    <w:name w:val="Balloon Text Char"/>
    <w:link w:val="BalloonText"/>
    <w:semiHidden/>
    <w:rsid w:val="00045C4B"/>
    <w:rPr>
      <w:rFonts w:ascii="Open Sans" w:eastAsia="MS Mincho" w:hAnsi="Open Sans" w:cs="Tahoma"/>
      <w:sz w:val="16"/>
      <w:szCs w:val="16"/>
    </w:rPr>
  </w:style>
  <w:style w:type="character" w:customStyle="1" w:styleId="CharChar">
    <w:name w:val="Char Char"/>
    <w:semiHidden/>
    <w:locked/>
    <w:rsid w:val="00045C4B"/>
    <w:rPr>
      <w:rFonts w:ascii="Open Sans" w:hAnsi="Open Sans" w:cs="Arial"/>
      <w:lang w:val="en-AU" w:eastAsia="en-AU" w:bidi="ar-SA"/>
    </w:rPr>
  </w:style>
  <w:style w:type="character" w:customStyle="1" w:styleId="EndnoteTextChar">
    <w:name w:val="Endnote Text Char"/>
    <w:uiPriority w:val="99"/>
    <w:semiHidden/>
    <w:locked/>
    <w:rsid w:val="00045C4B"/>
    <w:rPr>
      <w:rFonts w:ascii="Open Sans" w:hAnsi="Open Sans"/>
      <w:sz w:val="20"/>
      <w:lang w:bidi="ar-SA"/>
    </w:rPr>
  </w:style>
  <w:style w:type="character" w:customStyle="1" w:styleId="SubtitleChar">
    <w:name w:val="Subtitle Char"/>
    <w:link w:val="Subtitle"/>
    <w:rsid w:val="000E4837"/>
    <w:rPr>
      <w:rFonts w:ascii="Open Sans" w:eastAsia="MS Mincho" w:hAnsi="Open Sans" w:cs="Arial"/>
      <w:color w:val="237BBC"/>
      <w:sz w:val="28"/>
      <w:szCs w:val="24"/>
    </w:rPr>
  </w:style>
  <w:style w:type="paragraph" w:customStyle="1" w:styleId="SubmissionNormal">
    <w:name w:val="Submission Normal"/>
    <w:basedOn w:val="Normal"/>
    <w:link w:val="SubmissionNormalChar"/>
    <w:locked/>
    <w:rsid w:val="00B34946"/>
    <w:pPr>
      <w:numPr>
        <w:numId w:val="15"/>
      </w:numPr>
      <w:tabs>
        <w:tab w:val="clear" w:pos="720"/>
      </w:tabs>
      <w:ind w:hanging="720"/>
    </w:pPr>
    <w:rPr>
      <w:rFonts w:eastAsia="Times New Roman"/>
    </w:rPr>
  </w:style>
  <w:style w:type="character" w:customStyle="1" w:styleId="SubmissionNormalChar">
    <w:name w:val="Submission Normal Char"/>
    <w:link w:val="SubmissionNormal"/>
    <w:rsid w:val="00B34946"/>
    <w:rPr>
      <w:rFonts w:ascii="Open Sans" w:hAnsi="Open Sans"/>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rsid w:val="00045C4B"/>
    <w:rPr>
      <w:rFonts w:ascii="Open Sans" w:hAnsi="Open Sans"/>
      <w:sz w:val="16"/>
      <w:szCs w:val="16"/>
    </w:rPr>
  </w:style>
  <w:style w:type="paragraph" w:styleId="CommentText">
    <w:name w:val="annotation text"/>
    <w:basedOn w:val="Normal"/>
    <w:link w:val="CommentTextChar"/>
    <w:rsid w:val="00045C4B"/>
    <w:rPr>
      <w:sz w:val="20"/>
      <w:szCs w:val="20"/>
    </w:rPr>
  </w:style>
  <w:style w:type="character" w:customStyle="1" w:styleId="CommentTextChar">
    <w:name w:val="Comment Text Char"/>
    <w:link w:val="CommentText"/>
    <w:rsid w:val="00045C4B"/>
    <w:rPr>
      <w:rFonts w:ascii="Open Sans" w:eastAsia="MS Mincho" w:hAnsi="Open Sans"/>
    </w:rPr>
  </w:style>
  <w:style w:type="paragraph" w:styleId="CommentSubject">
    <w:name w:val="annotation subject"/>
    <w:basedOn w:val="CommentText"/>
    <w:next w:val="CommentText"/>
    <w:link w:val="CommentSubjectChar"/>
    <w:rsid w:val="00045C4B"/>
    <w:rPr>
      <w:b/>
      <w:bCs/>
    </w:rPr>
  </w:style>
  <w:style w:type="character" w:customStyle="1" w:styleId="CommentSubjectChar">
    <w:name w:val="Comment Subject Char"/>
    <w:link w:val="CommentSubject"/>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uiPriority w:val="1"/>
    <w:rsid w:val="00471BB7"/>
    <w:rPr>
      <w:rFonts w:ascii="Open Sans" w:eastAsia="MS Mincho" w:hAnsi="Open Sans"/>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uiPriority w:val="29"/>
    <w:rsid w:val="000C5DA6"/>
    <w:pPr>
      <w:spacing w:before="200" w:after="160"/>
      <w:ind w:left="1440"/>
    </w:pPr>
    <w:rPr>
      <w:iCs/>
      <w:sz w:val="22"/>
    </w:rPr>
  </w:style>
  <w:style w:type="character" w:customStyle="1" w:styleId="QuoteChar">
    <w:name w:val="Quote Char"/>
    <w:link w:val="Quote"/>
    <w:uiPriority w:val="29"/>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basedOn w:val="Normal"/>
    <w:uiPriority w:val="34"/>
    <w:qFormat/>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HeaderDocumentTitle">
    <w:name w:val="Header Document Title"/>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character" w:styleId="UnresolvedMention">
    <w:name w:val="Unresolved Mention"/>
    <w:basedOn w:val="DefaultParagraphFont"/>
    <w:uiPriority w:val="99"/>
    <w:semiHidden/>
    <w:unhideWhenUsed/>
    <w:rsid w:val="003F6811"/>
    <w:rPr>
      <w:color w:val="605E5C"/>
      <w:shd w:val="clear" w:color="auto" w:fill="E1DFDD"/>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 Char,Char,FA Fu,single space Char"/>
    <w:basedOn w:val="Normal"/>
    <w:link w:val="FootnoteTextChar"/>
    <w:locked/>
    <w:rsid w:val="001E61DA"/>
    <w:pPr>
      <w:spacing w:before="0" w:after="0"/>
    </w:pPr>
    <w:rPr>
      <w:sz w:val="20"/>
      <w:szCs w:val="20"/>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rsid w:val="001E61DA"/>
    <w:rPr>
      <w:rFonts w:ascii="Open Sans" w:eastAsia="MS Mincho" w:hAnsi="Open Sans"/>
    </w:rPr>
  </w:style>
  <w:style w:type="character" w:styleId="FootnoteReference">
    <w:name w:val="footnote reference"/>
    <w:aliases w:val="Footnotes refss"/>
    <w:basedOn w:val="DefaultParagraphFont"/>
    <w:locked/>
    <w:rsid w:val="001E61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33834">
      <w:bodyDiv w:val="1"/>
      <w:marLeft w:val="0"/>
      <w:marRight w:val="0"/>
      <w:marTop w:val="0"/>
      <w:marBottom w:val="0"/>
      <w:divBdr>
        <w:top w:val="none" w:sz="0" w:space="0" w:color="auto"/>
        <w:left w:val="none" w:sz="0" w:space="0" w:color="auto"/>
        <w:bottom w:val="none" w:sz="0" w:space="0" w:color="auto"/>
        <w:right w:val="none" w:sz="0" w:space="0" w:color="auto"/>
      </w:divBdr>
      <w:divsChild>
        <w:div w:id="2116778456">
          <w:marLeft w:val="0"/>
          <w:marRight w:val="0"/>
          <w:marTop w:val="0"/>
          <w:marBottom w:val="0"/>
          <w:divBdr>
            <w:top w:val="none" w:sz="0" w:space="0" w:color="auto"/>
            <w:left w:val="none" w:sz="0" w:space="0" w:color="auto"/>
            <w:bottom w:val="none" w:sz="0" w:space="0" w:color="auto"/>
            <w:right w:val="none" w:sz="0" w:space="0" w:color="auto"/>
          </w:divBdr>
          <w:divsChild>
            <w:div w:id="1486238940">
              <w:marLeft w:val="0"/>
              <w:marRight w:val="0"/>
              <w:marTop w:val="0"/>
              <w:marBottom w:val="0"/>
              <w:divBdr>
                <w:top w:val="none" w:sz="0" w:space="0" w:color="auto"/>
                <w:left w:val="none" w:sz="0" w:space="0" w:color="auto"/>
                <w:bottom w:val="none" w:sz="0" w:space="0" w:color="auto"/>
                <w:right w:val="none" w:sz="0" w:space="0" w:color="auto"/>
              </w:divBdr>
              <w:divsChild>
                <w:div w:id="197205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66006">
      <w:bodyDiv w:val="1"/>
      <w:marLeft w:val="0"/>
      <w:marRight w:val="0"/>
      <w:marTop w:val="0"/>
      <w:marBottom w:val="0"/>
      <w:divBdr>
        <w:top w:val="none" w:sz="0" w:space="0" w:color="auto"/>
        <w:left w:val="none" w:sz="0" w:space="0" w:color="auto"/>
        <w:bottom w:val="none" w:sz="0" w:space="0" w:color="auto"/>
        <w:right w:val="none" w:sz="0" w:space="0" w:color="auto"/>
      </w:divBdr>
      <w:divsChild>
        <w:div w:id="113646674">
          <w:marLeft w:val="0"/>
          <w:marRight w:val="0"/>
          <w:marTop w:val="0"/>
          <w:marBottom w:val="0"/>
          <w:divBdr>
            <w:top w:val="none" w:sz="0" w:space="0" w:color="auto"/>
            <w:left w:val="none" w:sz="0" w:space="0" w:color="auto"/>
            <w:bottom w:val="none" w:sz="0" w:space="0" w:color="auto"/>
            <w:right w:val="none" w:sz="0" w:space="0" w:color="auto"/>
          </w:divBdr>
        </w:div>
        <w:div w:id="118380474">
          <w:marLeft w:val="0"/>
          <w:marRight w:val="0"/>
          <w:marTop w:val="0"/>
          <w:marBottom w:val="0"/>
          <w:divBdr>
            <w:top w:val="none" w:sz="0" w:space="0" w:color="auto"/>
            <w:left w:val="none" w:sz="0" w:space="0" w:color="auto"/>
            <w:bottom w:val="none" w:sz="0" w:space="0" w:color="auto"/>
            <w:right w:val="none" w:sz="0" w:space="0" w:color="auto"/>
          </w:divBdr>
        </w:div>
        <w:div w:id="136387540">
          <w:marLeft w:val="0"/>
          <w:marRight w:val="0"/>
          <w:marTop w:val="0"/>
          <w:marBottom w:val="0"/>
          <w:divBdr>
            <w:top w:val="none" w:sz="0" w:space="0" w:color="auto"/>
            <w:left w:val="none" w:sz="0" w:space="0" w:color="auto"/>
            <w:bottom w:val="none" w:sz="0" w:space="0" w:color="auto"/>
            <w:right w:val="none" w:sz="0" w:space="0" w:color="auto"/>
          </w:divBdr>
        </w:div>
        <w:div w:id="291982355">
          <w:marLeft w:val="0"/>
          <w:marRight w:val="0"/>
          <w:marTop w:val="0"/>
          <w:marBottom w:val="0"/>
          <w:divBdr>
            <w:top w:val="none" w:sz="0" w:space="0" w:color="auto"/>
            <w:left w:val="none" w:sz="0" w:space="0" w:color="auto"/>
            <w:bottom w:val="none" w:sz="0" w:space="0" w:color="auto"/>
            <w:right w:val="none" w:sz="0" w:space="0" w:color="auto"/>
          </w:divBdr>
        </w:div>
        <w:div w:id="358968492">
          <w:marLeft w:val="0"/>
          <w:marRight w:val="0"/>
          <w:marTop w:val="0"/>
          <w:marBottom w:val="0"/>
          <w:divBdr>
            <w:top w:val="none" w:sz="0" w:space="0" w:color="auto"/>
            <w:left w:val="none" w:sz="0" w:space="0" w:color="auto"/>
            <w:bottom w:val="none" w:sz="0" w:space="0" w:color="auto"/>
            <w:right w:val="none" w:sz="0" w:space="0" w:color="auto"/>
          </w:divBdr>
        </w:div>
        <w:div w:id="753474714">
          <w:marLeft w:val="0"/>
          <w:marRight w:val="0"/>
          <w:marTop w:val="0"/>
          <w:marBottom w:val="0"/>
          <w:divBdr>
            <w:top w:val="none" w:sz="0" w:space="0" w:color="auto"/>
            <w:left w:val="none" w:sz="0" w:space="0" w:color="auto"/>
            <w:bottom w:val="none" w:sz="0" w:space="0" w:color="auto"/>
            <w:right w:val="none" w:sz="0" w:space="0" w:color="auto"/>
          </w:divBdr>
        </w:div>
        <w:div w:id="840388830">
          <w:marLeft w:val="0"/>
          <w:marRight w:val="0"/>
          <w:marTop w:val="0"/>
          <w:marBottom w:val="0"/>
          <w:divBdr>
            <w:top w:val="none" w:sz="0" w:space="0" w:color="auto"/>
            <w:left w:val="none" w:sz="0" w:space="0" w:color="auto"/>
            <w:bottom w:val="none" w:sz="0" w:space="0" w:color="auto"/>
            <w:right w:val="none" w:sz="0" w:space="0" w:color="auto"/>
          </w:divBdr>
        </w:div>
        <w:div w:id="854536552">
          <w:marLeft w:val="0"/>
          <w:marRight w:val="0"/>
          <w:marTop w:val="0"/>
          <w:marBottom w:val="0"/>
          <w:divBdr>
            <w:top w:val="none" w:sz="0" w:space="0" w:color="auto"/>
            <w:left w:val="none" w:sz="0" w:space="0" w:color="auto"/>
            <w:bottom w:val="none" w:sz="0" w:space="0" w:color="auto"/>
            <w:right w:val="none" w:sz="0" w:space="0" w:color="auto"/>
          </w:divBdr>
        </w:div>
        <w:div w:id="889927164">
          <w:marLeft w:val="0"/>
          <w:marRight w:val="0"/>
          <w:marTop w:val="0"/>
          <w:marBottom w:val="0"/>
          <w:divBdr>
            <w:top w:val="none" w:sz="0" w:space="0" w:color="auto"/>
            <w:left w:val="none" w:sz="0" w:space="0" w:color="auto"/>
            <w:bottom w:val="none" w:sz="0" w:space="0" w:color="auto"/>
            <w:right w:val="none" w:sz="0" w:space="0" w:color="auto"/>
          </w:divBdr>
        </w:div>
        <w:div w:id="1141652627">
          <w:marLeft w:val="0"/>
          <w:marRight w:val="0"/>
          <w:marTop w:val="0"/>
          <w:marBottom w:val="0"/>
          <w:divBdr>
            <w:top w:val="none" w:sz="0" w:space="0" w:color="auto"/>
            <w:left w:val="none" w:sz="0" w:space="0" w:color="auto"/>
            <w:bottom w:val="none" w:sz="0" w:space="0" w:color="auto"/>
            <w:right w:val="none" w:sz="0" w:space="0" w:color="auto"/>
          </w:divBdr>
        </w:div>
        <w:div w:id="1275794224">
          <w:marLeft w:val="0"/>
          <w:marRight w:val="0"/>
          <w:marTop w:val="0"/>
          <w:marBottom w:val="0"/>
          <w:divBdr>
            <w:top w:val="none" w:sz="0" w:space="0" w:color="auto"/>
            <w:left w:val="none" w:sz="0" w:space="0" w:color="auto"/>
            <w:bottom w:val="none" w:sz="0" w:space="0" w:color="auto"/>
            <w:right w:val="none" w:sz="0" w:space="0" w:color="auto"/>
          </w:divBdr>
        </w:div>
        <w:div w:id="1311135182">
          <w:marLeft w:val="0"/>
          <w:marRight w:val="0"/>
          <w:marTop w:val="0"/>
          <w:marBottom w:val="0"/>
          <w:divBdr>
            <w:top w:val="none" w:sz="0" w:space="0" w:color="auto"/>
            <w:left w:val="none" w:sz="0" w:space="0" w:color="auto"/>
            <w:bottom w:val="none" w:sz="0" w:space="0" w:color="auto"/>
            <w:right w:val="none" w:sz="0" w:space="0" w:color="auto"/>
          </w:divBdr>
        </w:div>
        <w:div w:id="1532183273">
          <w:marLeft w:val="0"/>
          <w:marRight w:val="0"/>
          <w:marTop w:val="0"/>
          <w:marBottom w:val="0"/>
          <w:divBdr>
            <w:top w:val="none" w:sz="0" w:space="0" w:color="auto"/>
            <w:left w:val="none" w:sz="0" w:space="0" w:color="auto"/>
            <w:bottom w:val="none" w:sz="0" w:space="0" w:color="auto"/>
            <w:right w:val="none" w:sz="0" w:space="0" w:color="auto"/>
          </w:divBdr>
        </w:div>
        <w:div w:id="1573199731">
          <w:marLeft w:val="0"/>
          <w:marRight w:val="0"/>
          <w:marTop w:val="0"/>
          <w:marBottom w:val="0"/>
          <w:divBdr>
            <w:top w:val="none" w:sz="0" w:space="0" w:color="auto"/>
            <w:left w:val="none" w:sz="0" w:space="0" w:color="auto"/>
            <w:bottom w:val="none" w:sz="0" w:space="0" w:color="auto"/>
            <w:right w:val="none" w:sz="0" w:space="0" w:color="auto"/>
          </w:divBdr>
          <w:divsChild>
            <w:div w:id="542402528">
              <w:marLeft w:val="0"/>
              <w:marRight w:val="0"/>
              <w:marTop w:val="0"/>
              <w:marBottom w:val="0"/>
              <w:divBdr>
                <w:top w:val="none" w:sz="0" w:space="0" w:color="auto"/>
                <w:left w:val="none" w:sz="0" w:space="0" w:color="auto"/>
                <w:bottom w:val="none" w:sz="0" w:space="0" w:color="auto"/>
                <w:right w:val="none" w:sz="0" w:space="0" w:color="auto"/>
              </w:divBdr>
            </w:div>
            <w:div w:id="646010587">
              <w:marLeft w:val="0"/>
              <w:marRight w:val="0"/>
              <w:marTop w:val="0"/>
              <w:marBottom w:val="0"/>
              <w:divBdr>
                <w:top w:val="none" w:sz="0" w:space="0" w:color="auto"/>
                <w:left w:val="none" w:sz="0" w:space="0" w:color="auto"/>
                <w:bottom w:val="none" w:sz="0" w:space="0" w:color="auto"/>
                <w:right w:val="none" w:sz="0" w:space="0" w:color="auto"/>
              </w:divBdr>
            </w:div>
            <w:div w:id="810631602">
              <w:marLeft w:val="0"/>
              <w:marRight w:val="0"/>
              <w:marTop w:val="0"/>
              <w:marBottom w:val="0"/>
              <w:divBdr>
                <w:top w:val="none" w:sz="0" w:space="0" w:color="auto"/>
                <w:left w:val="none" w:sz="0" w:space="0" w:color="auto"/>
                <w:bottom w:val="none" w:sz="0" w:space="0" w:color="auto"/>
                <w:right w:val="none" w:sz="0" w:space="0" w:color="auto"/>
              </w:divBdr>
            </w:div>
            <w:div w:id="2054307719">
              <w:marLeft w:val="0"/>
              <w:marRight w:val="0"/>
              <w:marTop w:val="0"/>
              <w:marBottom w:val="0"/>
              <w:divBdr>
                <w:top w:val="none" w:sz="0" w:space="0" w:color="auto"/>
                <w:left w:val="none" w:sz="0" w:space="0" w:color="auto"/>
                <w:bottom w:val="none" w:sz="0" w:space="0" w:color="auto"/>
                <w:right w:val="none" w:sz="0" w:space="0" w:color="auto"/>
              </w:divBdr>
            </w:div>
          </w:divsChild>
        </w:div>
        <w:div w:id="2073893814">
          <w:marLeft w:val="0"/>
          <w:marRight w:val="0"/>
          <w:marTop w:val="0"/>
          <w:marBottom w:val="0"/>
          <w:divBdr>
            <w:top w:val="none" w:sz="0" w:space="0" w:color="auto"/>
            <w:left w:val="none" w:sz="0" w:space="0" w:color="auto"/>
            <w:bottom w:val="none" w:sz="0" w:space="0" w:color="auto"/>
            <w:right w:val="none" w:sz="0" w:space="0" w:color="auto"/>
          </w:divBdr>
        </w:div>
        <w:div w:id="2088912886">
          <w:marLeft w:val="0"/>
          <w:marRight w:val="0"/>
          <w:marTop w:val="0"/>
          <w:marBottom w:val="0"/>
          <w:divBdr>
            <w:top w:val="none" w:sz="0" w:space="0" w:color="auto"/>
            <w:left w:val="none" w:sz="0" w:space="0" w:color="auto"/>
            <w:bottom w:val="none" w:sz="0" w:space="0" w:color="auto"/>
            <w:right w:val="none" w:sz="0" w:space="0" w:color="auto"/>
          </w:divBdr>
        </w:div>
        <w:div w:id="2107918543">
          <w:marLeft w:val="0"/>
          <w:marRight w:val="0"/>
          <w:marTop w:val="0"/>
          <w:marBottom w:val="0"/>
          <w:divBdr>
            <w:top w:val="none" w:sz="0" w:space="0" w:color="auto"/>
            <w:left w:val="none" w:sz="0" w:space="0" w:color="auto"/>
            <w:bottom w:val="none" w:sz="0" w:space="0" w:color="auto"/>
            <w:right w:val="none" w:sz="0" w:space="0" w:color="auto"/>
          </w:divBdr>
        </w:div>
      </w:divsChild>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2002929625">
      <w:bodyDiv w:val="1"/>
      <w:marLeft w:val="0"/>
      <w:marRight w:val="0"/>
      <w:marTop w:val="0"/>
      <w:marBottom w:val="0"/>
      <w:divBdr>
        <w:top w:val="none" w:sz="0" w:space="0" w:color="auto"/>
        <w:left w:val="none" w:sz="0" w:space="0" w:color="auto"/>
        <w:bottom w:val="none" w:sz="0" w:space="0" w:color="auto"/>
        <w:right w:val="none" w:sz="0" w:space="0" w:color="auto"/>
      </w:divBdr>
      <w:divsChild>
        <w:div w:id="370957841">
          <w:marLeft w:val="0"/>
          <w:marRight w:val="0"/>
          <w:marTop w:val="0"/>
          <w:marBottom w:val="0"/>
          <w:divBdr>
            <w:top w:val="none" w:sz="0" w:space="0" w:color="auto"/>
            <w:left w:val="none" w:sz="0" w:space="0" w:color="auto"/>
            <w:bottom w:val="none" w:sz="0" w:space="0" w:color="auto"/>
            <w:right w:val="none" w:sz="0" w:space="0" w:color="auto"/>
          </w:divBdr>
          <w:divsChild>
            <w:div w:id="352462883">
              <w:marLeft w:val="0"/>
              <w:marRight w:val="0"/>
              <w:marTop w:val="0"/>
              <w:marBottom w:val="0"/>
              <w:divBdr>
                <w:top w:val="none" w:sz="0" w:space="0" w:color="auto"/>
                <w:left w:val="none" w:sz="0" w:space="0" w:color="auto"/>
                <w:bottom w:val="none" w:sz="0" w:space="0" w:color="auto"/>
                <w:right w:val="none" w:sz="0" w:space="0" w:color="auto"/>
              </w:divBdr>
            </w:div>
            <w:div w:id="1479225054">
              <w:marLeft w:val="0"/>
              <w:marRight w:val="0"/>
              <w:marTop w:val="0"/>
              <w:marBottom w:val="0"/>
              <w:divBdr>
                <w:top w:val="none" w:sz="0" w:space="0" w:color="auto"/>
                <w:left w:val="none" w:sz="0" w:space="0" w:color="auto"/>
                <w:bottom w:val="none" w:sz="0" w:space="0" w:color="auto"/>
                <w:right w:val="none" w:sz="0" w:space="0" w:color="auto"/>
              </w:divBdr>
            </w:div>
            <w:div w:id="2036030975">
              <w:marLeft w:val="0"/>
              <w:marRight w:val="0"/>
              <w:marTop w:val="0"/>
              <w:marBottom w:val="0"/>
              <w:divBdr>
                <w:top w:val="none" w:sz="0" w:space="0" w:color="auto"/>
                <w:left w:val="none" w:sz="0" w:space="0" w:color="auto"/>
                <w:bottom w:val="none" w:sz="0" w:space="0" w:color="auto"/>
                <w:right w:val="none" w:sz="0" w:space="0" w:color="auto"/>
              </w:divBdr>
            </w:div>
          </w:divsChild>
        </w:div>
        <w:div w:id="1380281945">
          <w:marLeft w:val="0"/>
          <w:marRight w:val="0"/>
          <w:marTop w:val="0"/>
          <w:marBottom w:val="0"/>
          <w:divBdr>
            <w:top w:val="none" w:sz="0" w:space="0" w:color="auto"/>
            <w:left w:val="none" w:sz="0" w:space="0" w:color="auto"/>
            <w:bottom w:val="none" w:sz="0" w:space="0" w:color="auto"/>
            <w:right w:val="none" w:sz="0" w:space="0" w:color="auto"/>
          </w:divBdr>
        </w:div>
        <w:div w:id="1588884354">
          <w:marLeft w:val="0"/>
          <w:marRight w:val="0"/>
          <w:marTop w:val="0"/>
          <w:marBottom w:val="0"/>
          <w:divBdr>
            <w:top w:val="none" w:sz="0" w:space="0" w:color="auto"/>
            <w:left w:val="none" w:sz="0" w:space="0" w:color="auto"/>
            <w:bottom w:val="none" w:sz="0" w:space="0" w:color="auto"/>
            <w:right w:val="none" w:sz="0" w:space="0" w:color="auto"/>
          </w:divBdr>
        </w:div>
        <w:div w:id="1625652059">
          <w:marLeft w:val="0"/>
          <w:marRight w:val="0"/>
          <w:marTop w:val="0"/>
          <w:marBottom w:val="0"/>
          <w:divBdr>
            <w:top w:val="none" w:sz="0" w:space="0" w:color="auto"/>
            <w:left w:val="none" w:sz="0" w:space="0" w:color="auto"/>
            <w:bottom w:val="none" w:sz="0" w:space="0" w:color="auto"/>
            <w:right w:val="none" w:sz="0" w:space="0" w:color="auto"/>
          </w:divBdr>
        </w:div>
        <w:div w:id="1732188748">
          <w:marLeft w:val="0"/>
          <w:marRight w:val="0"/>
          <w:marTop w:val="0"/>
          <w:marBottom w:val="0"/>
          <w:divBdr>
            <w:top w:val="none" w:sz="0" w:space="0" w:color="auto"/>
            <w:left w:val="none" w:sz="0" w:space="0" w:color="auto"/>
            <w:bottom w:val="none" w:sz="0" w:space="0" w:color="auto"/>
            <w:right w:val="none" w:sz="0" w:space="0" w:color="auto"/>
          </w:divBdr>
        </w:div>
        <w:div w:id="1955166602">
          <w:marLeft w:val="0"/>
          <w:marRight w:val="0"/>
          <w:marTop w:val="0"/>
          <w:marBottom w:val="0"/>
          <w:divBdr>
            <w:top w:val="none" w:sz="0" w:space="0" w:color="auto"/>
            <w:left w:val="none" w:sz="0" w:space="0" w:color="auto"/>
            <w:bottom w:val="none" w:sz="0" w:space="0" w:color="auto"/>
            <w:right w:val="none" w:sz="0" w:space="0" w:color="auto"/>
          </w:divBdr>
        </w:div>
        <w:div w:id="2022970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6.xml"/></Relationships>
</file>

<file path=word/_rels/endnotes.xml.rels><?xml version="1.0" encoding="UTF-8" standalone="yes"?>
<Relationships xmlns="http://schemas.openxmlformats.org/package/2006/relationships"><Relationship Id="rId8" Type="http://schemas.openxmlformats.org/officeDocument/2006/relationships/hyperlink" Target="https://www.alrc.gov.au/inquiry/review-into-the-framework-of-religious-exemptions-in-anti-discrimination-legislation/altered-terms-of-reference-29-august-2019/" TargetMode="External"/><Relationship Id="rId13" Type="http://schemas.openxmlformats.org/officeDocument/2006/relationships/hyperlink" Target="https://www.aph.gov.au/DocumentStore.ashx?id=d42f430a-869c-4706-9414-bf0cba934162&amp;subId=461226" TargetMode="External"/><Relationship Id="rId18" Type="http://schemas.openxmlformats.org/officeDocument/2006/relationships/hyperlink" Target="https://www1.racgp.org.au/newsgp/clinical/prescribing-prep-in-general-practice-what-gps-nee" TargetMode="External"/><Relationship Id="rId3" Type="http://schemas.openxmlformats.org/officeDocument/2006/relationships/hyperlink" Target="https://www.attorneygeneral.gov.au/media/transcripts/press-conference-sydney-nsw-10-december-2019" TargetMode="External"/><Relationship Id="rId7" Type="http://schemas.openxmlformats.org/officeDocument/2006/relationships/hyperlink" Target="https://www.vinnies.org.au/icms_docs/313130_Don_t_use_Vinnies_in_the_religious_freedom_debate.pdf" TargetMode="External"/><Relationship Id="rId12" Type="http://schemas.openxmlformats.org/officeDocument/2006/relationships/hyperlink" Target="https://www.attorneygeneral.gov.au/media/transcripts/qa-address-national-press-club-canberra-20-november-2019" TargetMode="External"/><Relationship Id="rId17" Type="http://schemas.openxmlformats.org/officeDocument/2006/relationships/hyperlink" Target="https://www.afao.org.au/about-hiv/hiv-prevention/prep/" TargetMode="External"/><Relationship Id="rId2" Type="http://schemas.openxmlformats.org/officeDocument/2006/relationships/hyperlink" Target="https://www.humanrights.gov.au/our-work/legal/submission/religious-freedom-review-2018" TargetMode="External"/><Relationship Id="rId16" Type="http://schemas.openxmlformats.org/officeDocument/2006/relationships/hyperlink" Target="https://www.wpath.org/media/cms/Documents/SOC%20v7/Standards%20of%20Care_V7%20Full%20Book_English.pdf" TargetMode="External"/><Relationship Id="rId1" Type="http://schemas.openxmlformats.org/officeDocument/2006/relationships/hyperlink" Target="https://www.ag.gov.au/Consultations/Documents/religious-freedom-bills/submissions/Australian%20Human%20Rights%20Commission.pdf" TargetMode="External"/><Relationship Id="rId6" Type="http://schemas.openxmlformats.org/officeDocument/2006/relationships/hyperlink" Target="https://www.vinnies.org.au/icms_docs/313010_Religious_Freedom_Legislation.pdf" TargetMode="External"/><Relationship Id="rId11" Type="http://schemas.openxmlformats.org/officeDocument/2006/relationships/hyperlink" Target="https://www.attorneygeneral.gov.au/media/speeches/religious-discrimination-bill-2019-29-august-2019" TargetMode="External"/><Relationship Id="rId5" Type="http://schemas.openxmlformats.org/officeDocument/2006/relationships/hyperlink" Target="https://www.attorneygeneral.gov.au/media/transcripts/press-conference-sydney-nsw-10-december-2019" TargetMode="External"/><Relationship Id="rId15" Type="http://schemas.openxmlformats.org/officeDocument/2006/relationships/hyperlink" Target="https://www.ag.gov.au/Consultations/Pages/religious-freedom-bills-second-exposure-drafts.aspx" TargetMode="External"/><Relationship Id="rId10" Type="http://schemas.openxmlformats.org/officeDocument/2006/relationships/hyperlink" Target="https://www.attorneygeneral.gov.au/media/transcripts/qa-address-national-press-club-canberra-20-november-2019" TargetMode="External"/><Relationship Id="rId4" Type="http://schemas.openxmlformats.org/officeDocument/2006/relationships/hyperlink" Target="https://www.attorneygeneral.gov.au/media/speeches/address-national-press-club-canberra-20-november-2019" TargetMode="External"/><Relationship Id="rId9" Type="http://schemas.openxmlformats.org/officeDocument/2006/relationships/hyperlink" Target="https://www.attorneygeneral.gov.au/media/speeches/religious-discrimination-bill-2019-29-august-2019" TargetMode="External"/><Relationship Id="rId14" Type="http://schemas.openxmlformats.org/officeDocument/2006/relationships/hyperlink" Target="https://www.attorneygeneral.gov.au/media/speeches/religious-discrimination-bill-2019-29-august-20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Submission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4B55D95DF676046B99E394FD3A716A8" ma:contentTypeVersion="648" ma:contentTypeDescription="Create a new document." ma:contentTypeScope="" ma:versionID="bbb1a6f41efe83b6fce66ec854f11e62">
  <xsd:schema xmlns:xsd="http://www.w3.org/2001/XMLSchema" xmlns:xs="http://www.w3.org/2001/XMLSchema" xmlns:p="http://schemas.microsoft.com/office/2006/metadata/properties" xmlns:ns2="57f1fb52-79b9-4278-9d54-1e5db41bfcda" xmlns:ns3="6500fe01-343b-4fb9-a1b0-68ac19d62e01" xmlns:ns4="1a69bdef-c635-48ac-9cf9-b687dab64bb7" targetNamespace="http://schemas.microsoft.com/office/2006/metadata/properties" ma:root="true" ma:fieldsID="c1de35cc94024bdc9f93ad9350e1d678" ns2:_="" ns3:_="" ns4:_="">
    <xsd:import namespace="57f1fb52-79b9-4278-9d54-1e5db41bfcda"/>
    <xsd:import namespace="6500fe01-343b-4fb9-a1b0-68ac19d62e01"/>
    <xsd:import namespace="1a69bdef-c635-48ac-9cf9-b687dab64bb7"/>
    <xsd:element name="properties">
      <xsd:complexType>
        <xsd:sequence>
          <xsd:element name="documentManagement">
            <xsd:complexType>
              <xsd:all>
                <xsd:element ref="ns3:Divider" minOccurs="0"/>
                <xsd:element ref="ns2:Subdivider" minOccurs="0"/>
                <xsd:element ref="ns3:TaxKeywordTaxHTField" minOccurs="0"/>
                <xsd:element ref="ns3:TaxCatchAll" minOccurs="0"/>
                <xsd:element ref="ns3:TaxCatchAllLabel" minOccurs="0"/>
                <xsd:element ref="ns3:_dlc_DocId" minOccurs="0"/>
                <xsd:element ref="ns3:_dlc_DocIdUrl" minOccurs="0"/>
                <xsd:element ref="ns3:_dlc_DocIdPersistId" minOccurs="0"/>
                <xsd:element ref="ns2:h1905e97e92e42caaf2a314461ed6a1e"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2:From1" minOccurs="0"/>
                <xsd:element ref="ns2:Received_x002f_Sent" minOccurs="0"/>
                <xsd:element ref="ns4:EmailasAttachment" minOccurs="0"/>
                <xsd:element ref="ns2:SharedWithUsers" minOccurs="0"/>
                <xsd:element ref="ns2: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Subdivider" ma:index="3" nillable="true" ma:displayName="Subdivider" ma:format="Dropdown" ma:indexed="true" ma:internalName="Subdivider">
      <xsd:simpleType>
        <xsd:union memberTypes="dms:Text">
          <xsd:simpleType>
            <xsd:restriction base="dms:Choice">
              <xsd:enumeration value="-"/>
            </xsd:restriction>
          </xsd:simpleType>
        </xsd:union>
      </xsd:simpleType>
    </xsd:element>
    <xsd:element name="h1905e97e92e42caaf2a314461ed6a1e" ma:index="18" nillable="true" ma:taxonomy="true" ma:internalName="h1905e97e92e42caaf2a314461ed6a1e" ma:taxonomyFieldName="Document_x0020_Type" ma:displayName="Document Type" ma:default="" ma:fieldId="{11905e97-e92e-42ca-af2a-314461ed6a1e}" ma:sspId="975c5ac6-a0cc-43ed-b850-4a2ae59237b6" ma:termSetId="5c0fb424-e810-48cd-89f5-068486990c36" ma:anchorId="00000000-0000-0000-0000-000000000000" ma:open="false" ma:isKeyword="false">
      <xsd:complexType>
        <xsd:sequence>
          <xsd:element ref="pc:Terms" minOccurs="0" maxOccurs="1"/>
        </xsd:sequence>
      </xsd:complexType>
    </xsd:element>
    <xsd:element name="From1" ma:index="27" nillable="true" ma:displayName="From" ma:indexed="true" ma:internalName="From1">
      <xsd:simpleType>
        <xsd:restriction base="dms:Text">
          <xsd:maxLength value="255"/>
        </xsd:restriction>
      </xsd:simpleType>
    </xsd:element>
    <xsd:element name="Received_x002f_Sent" ma:index="28" nillable="true" ma:displayName="Received/Sent" ma:indexed="true" ma:internalName="Received_x002F_Sent">
      <xsd:simpleType>
        <xsd:restriction base="dms:Text">
          <xsd:maxLength value="255"/>
        </xsd:restriction>
      </xsd:simple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format="Dropdown" ma:indexed="true" ma:internalName="Divider">
      <xsd:simpleType>
        <xsd:union memberTypes="dms:Text">
          <xsd:simpleType>
            <xsd:restriction base="dms:Choice">
              <xsd:enumeration value="-"/>
            </xsd:restriction>
          </xsd:simpleType>
        </xsd:union>
      </xsd:simpleType>
    </xsd:element>
    <xsd:element name="TaxKeywordTaxHTField" ma:index="7"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8" nillable="true" ma:displayName="Taxonomy Catch All Column" ma:hidden="true" ma:list="{f386e28e-d76d-4cdd-8585-6723f400076b}" ma:internalName="TaxCatchAll" ma:showField="CatchAllData"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f386e28e-d76d-4cdd-8585-6723f400076b}" ma:internalName="TaxCatchAllLabel" ma:readOnly="true" ma:showField="CatchAllDataLabel" ma:web="57f1fb52-79b9-4278-9d54-1e5db41bfcda">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9bdef-c635-48ac-9cf9-b687dab64bb7"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EmailasAttachment" ma:index="30" nillable="true" ma:displayName="Email as Attachment" ma:format="Hyperlink" ma:internalName="EmailasAttachment">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Received_x002f_Sent xmlns="57f1fb52-79b9-4278-9d54-1e5db41bfcda" xsi:nil="true"/>
    <EmailasAttachment xmlns="1a69bdef-c635-48ac-9cf9-b687dab64bb7">
      <Url xsi:nil="true"/>
      <Description xsi:nil="true"/>
    </EmailasAttachment>
    <Divider xmlns="6500fe01-343b-4fb9-a1b0-68ac19d62e01">Submissions</Divider>
    <TaxCatchAll xmlns="6500fe01-343b-4fb9-a1b0-68ac19d62e01">
      <Value>86</Value>
    </TaxCatchAll>
    <TaxKeywordTaxHTField xmlns="6500fe01-343b-4fb9-a1b0-68ac19d62e01">
      <Terms xmlns="http://schemas.microsoft.com/office/infopath/2007/PartnerControls"/>
    </TaxKeywordTaxHTField>
    <h1905e97e92e42caaf2a314461ed6a1e xmlns="57f1fb52-79b9-4278-9d54-1e5db41bfcda">
      <Terms xmlns="http://schemas.microsoft.com/office/infopath/2007/PartnerControls">
        <TermInfo xmlns="http://schemas.microsoft.com/office/infopath/2007/PartnerControls">
          <TermName xmlns="http://schemas.microsoft.com/office/infopath/2007/PartnerControls">Submission</TermName>
          <TermId xmlns="http://schemas.microsoft.com/office/infopath/2007/PartnerControls">a7ffb815-d6d4-4745-b5c6-c098d7de26cd</TermId>
        </TermInfo>
      </Terms>
    </h1905e97e92e42caaf2a314461ed6a1e>
    <From1 xmlns="57f1fb52-79b9-4278-9d54-1e5db41bfcda" xsi:nil="true"/>
    <Subdivider xmlns="57f1fb52-79b9-4278-9d54-1e5db41bfcda" xsi:nil="true"/>
    <_dlc_DocId xmlns="6500fe01-343b-4fb9-a1b0-68ac19d62e01">AHRC-31920988-7492</_dlc_DocId>
    <_dlc_DocIdUrl xmlns="6500fe01-343b-4fb9-a1b0-68ac19d62e01">
      <Url>https://australianhrc.sharepoint.com/sites/LegalServicesWorkspace/_layouts/15/DocIdRedir.aspx?ID=AHRC-31920988-7492</Url>
      <Description>AHRC-31920988-7492</Description>
    </_dlc_DocIdUrl>
  </documentManagement>
</p:properties>
</file>

<file path=customXml/item6.xml><?xml version="1.0" encoding="utf-8"?>
<?mso-contentType ?>
<SharedContentType xmlns="Microsoft.SharePoint.Taxonomy.ContentTypeSync" SourceId="975c5ac6-a0cc-43ed-b850-4a2ae59237b6" ContentTypeId="0x01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D295F-4CFC-4BD0-8E8C-382C0AB53E28}">
  <ds:schemaRefs>
    <ds:schemaRef ds:uri="http://schemas.microsoft.com/sharepoint/v3/contenttype/forms"/>
  </ds:schemaRefs>
</ds:datastoreItem>
</file>

<file path=customXml/itemProps2.xml><?xml version="1.0" encoding="utf-8"?>
<ds:datastoreItem xmlns:ds="http://schemas.openxmlformats.org/officeDocument/2006/customXml" ds:itemID="{F1609833-5C7C-4BE9-ADA1-751E229961E6}">
  <ds:schemaRefs>
    <ds:schemaRef ds:uri="http://schemas.microsoft.com/sharepoint/events"/>
  </ds:schemaRefs>
</ds:datastoreItem>
</file>

<file path=customXml/itemProps3.xml><?xml version="1.0" encoding="utf-8"?>
<ds:datastoreItem xmlns:ds="http://schemas.openxmlformats.org/officeDocument/2006/customXml" ds:itemID="{33D9FE4F-FE85-4066-BBBF-FD9A083BB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1fb52-79b9-4278-9d54-1e5db41bfcda"/>
    <ds:schemaRef ds:uri="6500fe01-343b-4fb9-a1b0-68ac19d62e01"/>
    <ds:schemaRef ds:uri="1a69bdef-c635-48ac-9cf9-b687dab64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6EB579-2D73-42D3-B0F1-B0FC796479E2}">
  <ds:schemaRefs>
    <ds:schemaRef ds:uri="http://schemas.microsoft.com/office/2006/metadata/customXsn"/>
  </ds:schemaRefs>
</ds:datastoreItem>
</file>

<file path=customXml/itemProps5.xml><?xml version="1.0" encoding="utf-8"?>
<ds:datastoreItem xmlns:ds="http://schemas.openxmlformats.org/officeDocument/2006/customXml" ds:itemID="{AD89639C-10B6-4EA8-AE42-89FAED48125F}">
  <ds:schemaRefs>
    <ds:schemaRef ds:uri="http://schemas.microsoft.com/office/2006/metadata/properties"/>
    <ds:schemaRef ds:uri="http://schemas.microsoft.com/office/infopath/2007/PartnerControls"/>
    <ds:schemaRef ds:uri="57f1fb52-79b9-4278-9d54-1e5db41bfcda"/>
    <ds:schemaRef ds:uri="1a69bdef-c635-48ac-9cf9-b687dab64bb7"/>
    <ds:schemaRef ds:uri="6500fe01-343b-4fb9-a1b0-68ac19d62e01"/>
  </ds:schemaRefs>
</ds:datastoreItem>
</file>

<file path=customXml/itemProps6.xml><?xml version="1.0" encoding="utf-8"?>
<ds:datastoreItem xmlns:ds="http://schemas.openxmlformats.org/officeDocument/2006/customXml" ds:itemID="{BC57FB66-2566-496F-9470-9C539E0CCDD8}">
  <ds:schemaRefs>
    <ds:schemaRef ds:uri="Microsoft.SharePoint.Taxonomy.ContentTypeSync"/>
  </ds:schemaRefs>
</ds:datastoreItem>
</file>

<file path=customXml/itemProps7.xml><?xml version="1.0" encoding="utf-8"?>
<ds:datastoreItem xmlns:ds="http://schemas.openxmlformats.org/officeDocument/2006/customXml" ds:itemID="{FE916BD5-54DE-4349-9ADA-56E273983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Submission_New.dotx</Template>
  <TotalTime>90</TotalTime>
  <Pages>49</Pages>
  <Words>14913</Words>
  <Characters>85009</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99723</CharactersWithSpaces>
  <SharedDoc>false</SharedDoc>
  <HLinks>
    <vt:vector size="150" baseType="variant">
      <vt:variant>
        <vt:i4>1310778</vt:i4>
      </vt:variant>
      <vt:variant>
        <vt:i4>86</vt:i4>
      </vt:variant>
      <vt:variant>
        <vt:i4>0</vt:i4>
      </vt:variant>
      <vt:variant>
        <vt:i4>5</vt:i4>
      </vt:variant>
      <vt:variant>
        <vt:lpwstr/>
      </vt:variant>
      <vt:variant>
        <vt:lpwstr>_Toc27748171</vt:lpwstr>
      </vt:variant>
      <vt:variant>
        <vt:i4>1376314</vt:i4>
      </vt:variant>
      <vt:variant>
        <vt:i4>80</vt:i4>
      </vt:variant>
      <vt:variant>
        <vt:i4>0</vt:i4>
      </vt:variant>
      <vt:variant>
        <vt:i4>5</vt:i4>
      </vt:variant>
      <vt:variant>
        <vt:lpwstr/>
      </vt:variant>
      <vt:variant>
        <vt:lpwstr>_Toc27748170</vt:lpwstr>
      </vt:variant>
      <vt:variant>
        <vt:i4>1835067</vt:i4>
      </vt:variant>
      <vt:variant>
        <vt:i4>74</vt:i4>
      </vt:variant>
      <vt:variant>
        <vt:i4>0</vt:i4>
      </vt:variant>
      <vt:variant>
        <vt:i4>5</vt:i4>
      </vt:variant>
      <vt:variant>
        <vt:lpwstr/>
      </vt:variant>
      <vt:variant>
        <vt:lpwstr>_Toc27748169</vt:lpwstr>
      </vt:variant>
      <vt:variant>
        <vt:i4>1900603</vt:i4>
      </vt:variant>
      <vt:variant>
        <vt:i4>68</vt:i4>
      </vt:variant>
      <vt:variant>
        <vt:i4>0</vt:i4>
      </vt:variant>
      <vt:variant>
        <vt:i4>5</vt:i4>
      </vt:variant>
      <vt:variant>
        <vt:lpwstr/>
      </vt:variant>
      <vt:variant>
        <vt:lpwstr>_Toc27748168</vt:lpwstr>
      </vt:variant>
      <vt:variant>
        <vt:i4>1179707</vt:i4>
      </vt:variant>
      <vt:variant>
        <vt:i4>62</vt:i4>
      </vt:variant>
      <vt:variant>
        <vt:i4>0</vt:i4>
      </vt:variant>
      <vt:variant>
        <vt:i4>5</vt:i4>
      </vt:variant>
      <vt:variant>
        <vt:lpwstr/>
      </vt:variant>
      <vt:variant>
        <vt:lpwstr>_Toc27748167</vt:lpwstr>
      </vt:variant>
      <vt:variant>
        <vt:i4>1245243</vt:i4>
      </vt:variant>
      <vt:variant>
        <vt:i4>56</vt:i4>
      </vt:variant>
      <vt:variant>
        <vt:i4>0</vt:i4>
      </vt:variant>
      <vt:variant>
        <vt:i4>5</vt:i4>
      </vt:variant>
      <vt:variant>
        <vt:lpwstr/>
      </vt:variant>
      <vt:variant>
        <vt:lpwstr>_Toc27748166</vt:lpwstr>
      </vt:variant>
      <vt:variant>
        <vt:i4>1048635</vt:i4>
      </vt:variant>
      <vt:variant>
        <vt:i4>50</vt:i4>
      </vt:variant>
      <vt:variant>
        <vt:i4>0</vt:i4>
      </vt:variant>
      <vt:variant>
        <vt:i4>5</vt:i4>
      </vt:variant>
      <vt:variant>
        <vt:lpwstr/>
      </vt:variant>
      <vt:variant>
        <vt:lpwstr>_Toc27748165</vt:lpwstr>
      </vt:variant>
      <vt:variant>
        <vt:i4>1114171</vt:i4>
      </vt:variant>
      <vt:variant>
        <vt:i4>44</vt:i4>
      </vt:variant>
      <vt:variant>
        <vt:i4>0</vt:i4>
      </vt:variant>
      <vt:variant>
        <vt:i4>5</vt:i4>
      </vt:variant>
      <vt:variant>
        <vt:lpwstr/>
      </vt:variant>
      <vt:variant>
        <vt:lpwstr>_Toc27748164</vt:lpwstr>
      </vt:variant>
      <vt:variant>
        <vt:i4>1441851</vt:i4>
      </vt:variant>
      <vt:variant>
        <vt:i4>38</vt:i4>
      </vt:variant>
      <vt:variant>
        <vt:i4>0</vt:i4>
      </vt:variant>
      <vt:variant>
        <vt:i4>5</vt:i4>
      </vt:variant>
      <vt:variant>
        <vt:lpwstr/>
      </vt:variant>
      <vt:variant>
        <vt:lpwstr>_Toc27748163</vt:lpwstr>
      </vt:variant>
      <vt:variant>
        <vt:i4>1507387</vt:i4>
      </vt:variant>
      <vt:variant>
        <vt:i4>32</vt:i4>
      </vt:variant>
      <vt:variant>
        <vt:i4>0</vt:i4>
      </vt:variant>
      <vt:variant>
        <vt:i4>5</vt:i4>
      </vt:variant>
      <vt:variant>
        <vt:lpwstr/>
      </vt:variant>
      <vt:variant>
        <vt:lpwstr>_Toc27748162</vt:lpwstr>
      </vt:variant>
      <vt:variant>
        <vt:i4>1310779</vt:i4>
      </vt:variant>
      <vt:variant>
        <vt:i4>26</vt:i4>
      </vt:variant>
      <vt:variant>
        <vt:i4>0</vt:i4>
      </vt:variant>
      <vt:variant>
        <vt:i4>5</vt:i4>
      </vt:variant>
      <vt:variant>
        <vt:lpwstr/>
      </vt:variant>
      <vt:variant>
        <vt:lpwstr>_Toc27748161</vt:lpwstr>
      </vt:variant>
      <vt:variant>
        <vt:i4>1376315</vt:i4>
      </vt:variant>
      <vt:variant>
        <vt:i4>20</vt:i4>
      </vt:variant>
      <vt:variant>
        <vt:i4>0</vt:i4>
      </vt:variant>
      <vt:variant>
        <vt:i4>5</vt:i4>
      </vt:variant>
      <vt:variant>
        <vt:lpwstr/>
      </vt:variant>
      <vt:variant>
        <vt:lpwstr>_Toc27748160</vt:lpwstr>
      </vt:variant>
      <vt:variant>
        <vt:i4>1835064</vt:i4>
      </vt:variant>
      <vt:variant>
        <vt:i4>14</vt:i4>
      </vt:variant>
      <vt:variant>
        <vt:i4>0</vt:i4>
      </vt:variant>
      <vt:variant>
        <vt:i4>5</vt:i4>
      </vt:variant>
      <vt:variant>
        <vt:lpwstr/>
      </vt:variant>
      <vt:variant>
        <vt:lpwstr>_Toc27748159</vt:lpwstr>
      </vt:variant>
      <vt:variant>
        <vt:i4>1900600</vt:i4>
      </vt:variant>
      <vt:variant>
        <vt:i4>8</vt:i4>
      </vt:variant>
      <vt:variant>
        <vt:i4>0</vt:i4>
      </vt:variant>
      <vt:variant>
        <vt:i4>5</vt:i4>
      </vt:variant>
      <vt:variant>
        <vt:lpwstr/>
      </vt:variant>
      <vt:variant>
        <vt:lpwstr>_Toc27748158</vt:lpwstr>
      </vt:variant>
      <vt:variant>
        <vt:i4>1179704</vt:i4>
      </vt:variant>
      <vt:variant>
        <vt:i4>2</vt:i4>
      </vt:variant>
      <vt:variant>
        <vt:i4>0</vt:i4>
      </vt:variant>
      <vt:variant>
        <vt:i4>5</vt:i4>
      </vt:variant>
      <vt:variant>
        <vt:lpwstr/>
      </vt:variant>
      <vt:variant>
        <vt:lpwstr>_Toc27748157</vt:lpwstr>
      </vt:variant>
      <vt:variant>
        <vt:i4>6160426</vt:i4>
      </vt:variant>
      <vt:variant>
        <vt:i4>27</vt:i4>
      </vt:variant>
      <vt:variant>
        <vt:i4>0</vt:i4>
      </vt:variant>
      <vt:variant>
        <vt:i4>5</vt:i4>
      </vt:variant>
      <vt:variant>
        <vt:lpwstr>https://www1.health.nsw.gov.au/pds/ActivePDSDocuments/PD2014_022.pdf</vt:lpwstr>
      </vt:variant>
      <vt:variant>
        <vt:lpwstr/>
      </vt:variant>
      <vt:variant>
        <vt:i4>6094849</vt:i4>
      </vt:variant>
      <vt:variant>
        <vt:i4>24</vt:i4>
      </vt:variant>
      <vt:variant>
        <vt:i4>0</vt:i4>
      </vt:variant>
      <vt:variant>
        <vt:i4>5</vt:i4>
      </vt:variant>
      <vt:variant>
        <vt:lpwstr>https://www.ag.gov.au/LegalSystem/ReducingTheComplexityOfLegislation/Documents/causes-of-complex-legislation-and-strategies-to-address-these.pdf</vt:lpwstr>
      </vt:variant>
      <vt:variant>
        <vt:lpwstr/>
      </vt:variant>
      <vt:variant>
        <vt:i4>7798889</vt:i4>
      </vt:variant>
      <vt:variant>
        <vt:i4>21</vt:i4>
      </vt:variant>
      <vt:variant>
        <vt:i4>0</vt:i4>
      </vt:variant>
      <vt:variant>
        <vt:i4>5</vt:i4>
      </vt:variant>
      <vt:variant>
        <vt:lpwstr>https://www.abc.net.au/news/2019-05-07/israel-folau-breached-code-of-conduct-hearing-finds/11089234</vt:lpwstr>
      </vt:variant>
      <vt:variant>
        <vt:lpwstr/>
      </vt:variant>
      <vt:variant>
        <vt:i4>1179648</vt:i4>
      </vt:variant>
      <vt:variant>
        <vt:i4>18</vt:i4>
      </vt:variant>
      <vt:variant>
        <vt:i4>0</vt:i4>
      </vt:variant>
      <vt:variant>
        <vt:i4>5</vt:i4>
      </vt:variant>
      <vt:variant>
        <vt:lpwstr>http://www.nswwaratahs.com.au/news/news-article/articleid/18377/rugby-australia-and-nsw-rugby-union-statement-regarding-israel-folau</vt:lpwstr>
      </vt:variant>
      <vt:variant>
        <vt:lpwstr/>
      </vt:variant>
      <vt:variant>
        <vt:i4>3080247</vt:i4>
      </vt:variant>
      <vt:variant>
        <vt:i4>15</vt:i4>
      </vt:variant>
      <vt:variant>
        <vt:i4>0</vt:i4>
      </vt:variant>
      <vt:variant>
        <vt:i4>5</vt:i4>
      </vt:variant>
      <vt:variant>
        <vt:lpwstr>https://www.humanrights.gov.au/our-work/legal/publications/federal-discrimination-law-2016</vt:lpwstr>
      </vt:variant>
      <vt:variant>
        <vt:lpwstr/>
      </vt:variant>
      <vt:variant>
        <vt:i4>8126566</vt:i4>
      </vt:variant>
      <vt:variant>
        <vt:i4>12</vt:i4>
      </vt:variant>
      <vt:variant>
        <vt:i4>0</vt:i4>
      </vt:variant>
      <vt:variant>
        <vt:i4>5</vt:i4>
      </vt:variant>
      <vt:variant>
        <vt:lpwstr>https://www.humanrights.gov.au/our-work/legal/submission/religious-freedom-review-2018</vt:lpwstr>
      </vt:variant>
      <vt:variant>
        <vt:lpwstr/>
      </vt:variant>
      <vt:variant>
        <vt:i4>5242904</vt:i4>
      </vt:variant>
      <vt:variant>
        <vt:i4>9</vt:i4>
      </vt:variant>
      <vt:variant>
        <vt:i4>0</vt:i4>
      </vt:variant>
      <vt:variant>
        <vt:i4>5</vt:i4>
      </vt:variant>
      <vt:variant>
        <vt:lpwstr>https://www.vinnies.org.au/icms_docs/313130_Don_t_use_Vinnies_in_the_religious_freedom_debate.pdf</vt:lpwstr>
      </vt:variant>
      <vt:variant>
        <vt:lpwstr/>
      </vt:variant>
      <vt:variant>
        <vt:i4>6094860</vt:i4>
      </vt:variant>
      <vt:variant>
        <vt:i4>6</vt:i4>
      </vt:variant>
      <vt:variant>
        <vt:i4>0</vt:i4>
      </vt:variant>
      <vt:variant>
        <vt:i4>5</vt:i4>
      </vt:variant>
      <vt:variant>
        <vt:lpwstr>https://www.vinnies.org.au/icms_docs/313010_Religious_Freedom_Legislation.pdf</vt:lpwstr>
      </vt:variant>
      <vt:variant>
        <vt:lpwstr/>
      </vt:variant>
      <vt:variant>
        <vt:i4>1900571</vt:i4>
      </vt:variant>
      <vt:variant>
        <vt:i4>3</vt:i4>
      </vt:variant>
      <vt:variant>
        <vt:i4>0</vt:i4>
      </vt:variant>
      <vt:variant>
        <vt:i4>5</vt:i4>
      </vt:variant>
      <vt:variant>
        <vt:lpwstr>https://www.attorneygeneral.gov.au/media/transcripts/press-conference-sydney-nsw-10-december-2019</vt:lpwstr>
      </vt:variant>
      <vt:variant>
        <vt:lpwstr/>
      </vt:variant>
      <vt:variant>
        <vt:i4>8126566</vt:i4>
      </vt:variant>
      <vt:variant>
        <vt:i4>0</vt:i4>
      </vt:variant>
      <vt:variant>
        <vt:i4>0</vt:i4>
      </vt:variant>
      <vt:variant>
        <vt:i4>5</vt:i4>
      </vt:variant>
      <vt:variant>
        <vt:lpwstr>https://www.humanrights.gov.au/our-work/legal/submission/religious-freedom-review-2018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Graeme Edgerton</dc:creator>
  <cp:keywords/>
  <cp:lastModifiedBy>Graeme Edgerton</cp:lastModifiedBy>
  <cp:revision>88</cp:revision>
  <cp:lastPrinted>2020-01-30T22:33:00Z</cp:lastPrinted>
  <dcterms:created xsi:type="dcterms:W3CDTF">2020-01-29T05:16:00Z</dcterms:created>
  <dcterms:modified xsi:type="dcterms:W3CDTF">2020-01-30T22:41:00Z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0x01010084B55D95DF676046B99E394FD3A716A8</vt:lpwstr>
  </property>
  <property fmtid="{D5CDD505-2E9C-101B-9397-08002B2CF9AE}" pid="3" name="TaxKeyword">
    <vt:lpwstr/>
  </property>
  <property fmtid="{D5CDD505-2E9C-101B-9397-08002B2CF9AE}" pid="4" name="Document Type">
    <vt:lpwstr>86;#Submission|a7ffb815-d6d4-4745-b5c6-c098d7de26cd</vt:lpwstr>
  </property>
  <property fmtid="{D5CDD505-2E9C-101B-9397-08002B2CF9AE}" pid="5" name="_dlc_DocIdItemGuid">
    <vt:lpwstr>ef54e6c2-2df8-4a4f-afea-8b4663f1107c</vt:lpwstr>
  </property>
  <property fmtid="{D5CDD505-2E9C-101B-9397-08002B2CF9AE}" pid="6" name="To">
    <vt:lpwstr>Attorney-General's Department</vt:lpwstr>
  </property>
</Properties>
</file>