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8123" w14:textId="77777777" w:rsidR="00660465" w:rsidRDefault="00660465" w:rsidP="003672A8">
      <w:pPr>
        <w:pStyle w:val="NoSpacing"/>
      </w:pPr>
    </w:p>
    <w:p w14:paraId="11F422FC" w14:textId="77777777" w:rsidR="00EA79B8" w:rsidRDefault="00EA79B8" w:rsidP="00EA79B8">
      <w:pPr>
        <w:pStyle w:val="NoSpacing"/>
      </w:pPr>
      <w:r w:rsidRPr="006B54F9">
        <w:t xml:space="preserve">Our Ref: </w:t>
      </w:r>
      <w:r w:rsidRPr="00053152">
        <w:t>SUB-2021/0914153029</w:t>
      </w:r>
    </w:p>
    <w:p w14:paraId="5DEED60B" w14:textId="77777777" w:rsidR="00EA79B8" w:rsidRPr="006B54F9" w:rsidRDefault="00EA79B8" w:rsidP="00EA79B8">
      <w:pPr>
        <w:pStyle w:val="NoSpacing"/>
      </w:pPr>
    </w:p>
    <w:p w14:paraId="2E963C30" w14:textId="62C036F0" w:rsidR="00EA79B8" w:rsidRDefault="000C0CD9" w:rsidP="00EA79B8">
      <w:pPr>
        <w:pStyle w:val="NoSpacing"/>
      </w:pPr>
      <w:r>
        <w:t>20</w:t>
      </w:r>
      <w:r w:rsidR="00EA79B8">
        <w:t xml:space="preserve"> September 2021</w:t>
      </w:r>
    </w:p>
    <w:p w14:paraId="548FCF42" w14:textId="77777777" w:rsidR="00EA79B8" w:rsidRPr="006B54F9" w:rsidRDefault="00EA79B8" w:rsidP="00EA79B8">
      <w:pPr>
        <w:pStyle w:val="NoSpacing"/>
        <w:spacing w:before="120" w:after="120"/>
      </w:pPr>
    </w:p>
    <w:p w14:paraId="2C0EFE4E" w14:textId="77777777" w:rsidR="00EA79B8" w:rsidRPr="006B54F9" w:rsidRDefault="00EA79B8" w:rsidP="00EA79B8">
      <w:pPr>
        <w:pStyle w:val="NoSpacing"/>
      </w:pPr>
      <w:r>
        <w:t>Committee Secretariat</w:t>
      </w:r>
    </w:p>
    <w:p w14:paraId="563EBC51" w14:textId="4EA4A033" w:rsidR="00EA79B8" w:rsidRPr="006B54F9" w:rsidRDefault="00EA79B8" w:rsidP="00EA79B8">
      <w:pPr>
        <w:pStyle w:val="NoSpacing"/>
      </w:pPr>
      <w:r>
        <w:t xml:space="preserve">Senate Finance and Public Administration </w:t>
      </w:r>
      <w:r w:rsidR="00AB5C45">
        <w:t xml:space="preserve">Legislation </w:t>
      </w:r>
      <w:r>
        <w:t>Committee</w:t>
      </w:r>
    </w:p>
    <w:p w14:paraId="1384EEB4" w14:textId="597236A6" w:rsidR="00242088" w:rsidRDefault="00242088" w:rsidP="00EA79B8">
      <w:pPr>
        <w:pStyle w:val="NoSpacing"/>
      </w:pPr>
      <w:r w:rsidRPr="00242088">
        <w:rPr>
          <w:rFonts w:cs="Open Sans"/>
        </w:rPr>
        <w:t xml:space="preserve">Via online portal </w:t>
      </w:r>
      <w:r>
        <w:rPr>
          <w:rFonts w:cs="Open Sans"/>
        </w:rPr>
        <w:t>at</w:t>
      </w:r>
      <w:r w:rsidRPr="00242088">
        <w:rPr>
          <w:rFonts w:cs="Open Sans"/>
        </w:rPr>
        <w:t xml:space="preserve">: </w:t>
      </w:r>
      <w:hyperlink r:id="rId13" w:history="1">
        <w:r w:rsidRPr="00242088">
          <w:rPr>
            <w:rStyle w:val="Hyperlink"/>
            <w:rFonts w:cs="Open Sans"/>
          </w:rPr>
          <w:t>www.aph.gov.au</w:t>
        </w:r>
      </w:hyperlink>
      <w:r w:rsidRPr="00242088">
        <w:rPr>
          <w:rFonts w:cs="Open Sans"/>
        </w:rPr>
        <w:t xml:space="preserve"> </w:t>
      </w:r>
    </w:p>
    <w:p w14:paraId="53FB66AB" w14:textId="77777777" w:rsidR="009D5CEB" w:rsidRDefault="009D5CEB" w:rsidP="00EA79B8">
      <w:pPr>
        <w:pStyle w:val="NoSpacing"/>
      </w:pPr>
    </w:p>
    <w:p w14:paraId="50215854" w14:textId="6E9E7E11" w:rsidR="00EA79B8" w:rsidRDefault="00EA79B8" w:rsidP="00EA79B8">
      <w:pPr>
        <w:pStyle w:val="NoSpacing"/>
      </w:pPr>
      <w:r w:rsidRPr="006B54F9">
        <w:t xml:space="preserve">Dear </w:t>
      </w:r>
      <w:r>
        <w:t>Secretariat</w:t>
      </w:r>
    </w:p>
    <w:p w14:paraId="2A466D9A" w14:textId="77777777" w:rsidR="00EA79B8" w:rsidRDefault="00EA79B8" w:rsidP="00EA79B8">
      <w:pPr>
        <w:pStyle w:val="NoSpacing"/>
        <w:rPr>
          <w:b/>
        </w:rPr>
      </w:pPr>
    </w:p>
    <w:p w14:paraId="6AE773AD" w14:textId="37A4C84C" w:rsidR="00EA79B8" w:rsidRPr="00410758" w:rsidRDefault="001248D3" w:rsidP="00EA79B8">
      <w:pPr>
        <w:pStyle w:val="NoSpacing"/>
        <w:rPr>
          <w:b/>
        </w:rPr>
      </w:pPr>
      <w:r>
        <w:rPr>
          <w:b/>
        </w:rPr>
        <w:t xml:space="preserve">Inquiry into </w:t>
      </w:r>
      <w:r w:rsidR="00EA79B8" w:rsidRPr="00387B10">
        <w:rPr>
          <w:rFonts w:eastAsia="Calibri" w:cs="Open Sans"/>
          <w:b/>
          <w:bCs/>
        </w:rPr>
        <w:t>the Commonwealth Electoral Amendment (Integrity of Elections) Bill 2021</w:t>
      </w:r>
    </w:p>
    <w:p w14:paraId="58F34BA5" w14:textId="14C4B03C" w:rsidR="00EA79B8" w:rsidRPr="00242088" w:rsidRDefault="00EA79B8" w:rsidP="00242088">
      <w:pPr>
        <w:pStyle w:val="ListParagraph"/>
        <w:numPr>
          <w:ilvl w:val="0"/>
          <w:numId w:val="38"/>
        </w:numPr>
        <w:spacing w:after="0"/>
        <w:ind w:left="360"/>
        <w:rPr>
          <w:rFonts w:eastAsia="Calibri" w:cs="Open Sans"/>
        </w:rPr>
      </w:pPr>
      <w:r w:rsidRPr="00242088">
        <w:rPr>
          <w:rFonts w:eastAsia="Calibri" w:cs="Open Sans"/>
        </w:rPr>
        <w:t>The Australian Human Rights Commission (Commission) welcomes the opportunity to make this submission to the Senate Finance and Public Administration</w:t>
      </w:r>
      <w:r w:rsidR="00F02FC6" w:rsidRPr="00242088">
        <w:rPr>
          <w:rFonts w:eastAsia="Calibri" w:cs="Open Sans"/>
        </w:rPr>
        <w:t xml:space="preserve"> Legislation</w:t>
      </w:r>
      <w:r w:rsidRPr="00242088">
        <w:rPr>
          <w:rFonts w:eastAsia="Calibri" w:cs="Open Sans"/>
        </w:rPr>
        <w:t xml:space="preserve"> Committee with respect to the Commonwealth Electoral Amendment (Integrity of Elections) Bill 2021 (Bill) introduced by Senator Roberts.  This submission is made only in relation to Schedule 2 of the Bill relating to voter identification.</w:t>
      </w:r>
    </w:p>
    <w:p w14:paraId="6BD6A5A9" w14:textId="77777777" w:rsidR="00242088" w:rsidRDefault="00242088" w:rsidP="00242088">
      <w:pPr>
        <w:pStyle w:val="ListParagraph"/>
        <w:spacing w:after="0"/>
        <w:ind w:left="360"/>
        <w:rPr>
          <w:rFonts w:eastAsia="Calibri" w:cs="Open Sans"/>
        </w:rPr>
      </w:pPr>
    </w:p>
    <w:p w14:paraId="26C1FE03" w14:textId="14E5DCA1" w:rsidR="003F4688" w:rsidRPr="00242088" w:rsidRDefault="00CA46BA" w:rsidP="00242088">
      <w:pPr>
        <w:pStyle w:val="ListParagraph"/>
        <w:numPr>
          <w:ilvl w:val="0"/>
          <w:numId w:val="38"/>
        </w:numPr>
        <w:spacing w:after="0"/>
        <w:ind w:left="360"/>
        <w:rPr>
          <w:rFonts w:eastAsia="Calibri" w:cs="Open Sans"/>
        </w:rPr>
      </w:pPr>
      <w:r w:rsidRPr="00242088">
        <w:rPr>
          <w:rFonts w:eastAsia="Calibri" w:cs="Open Sans"/>
        </w:rPr>
        <w:t>Schedule 2</w:t>
      </w:r>
      <w:r w:rsidR="007C38FF" w:rsidRPr="00242088">
        <w:rPr>
          <w:rFonts w:eastAsia="Calibri" w:cs="Open Sans"/>
        </w:rPr>
        <w:t xml:space="preserve"> of the Bill</w:t>
      </w:r>
      <w:r w:rsidR="007D0236" w:rsidRPr="00242088">
        <w:rPr>
          <w:rFonts w:eastAsia="Calibri" w:cs="Open Sans"/>
        </w:rPr>
        <w:t xml:space="preserve"> proposes to introduce voter identification to address </w:t>
      </w:r>
      <w:r w:rsidR="007B06E8" w:rsidRPr="00242088">
        <w:rPr>
          <w:rFonts w:eastAsia="Calibri" w:cs="Open Sans"/>
        </w:rPr>
        <w:t>‘</w:t>
      </w:r>
      <w:r w:rsidR="007D0236" w:rsidRPr="00242088">
        <w:rPr>
          <w:rFonts w:eastAsia="Calibri" w:cs="Open Sans"/>
        </w:rPr>
        <w:t xml:space="preserve">illegal </w:t>
      </w:r>
      <w:r w:rsidR="007B06E8" w:rsidRPr="00242088">
        <w:rPr>
          <w:rFonts w:eastAsia="Calibri" w:cs="Open Sans"/>
        </w:rPr>
        <w:t>or</w:t>
      </w:r>
      <w:r w:rsidR="007D0236" w:rsidRPr="00242088">
        <w:rPr>
          <w:rFonts w:eastAsia="Calibri" w:cs="Open Sans"/>
        </w:rPr>
        <w:t xml:space="preserve"> multiple</w:t>
      </w:r>
      <w:r w:rsidR="007B06E8" w:rsidRPr="00242088">
        <w:rPr>
          <w:rFonts w:eastAsia="Calibri" w:cs="Open Sans"/>
        </w:rPr>
        <w:t>’</w:t>
      </w:r>
      <w:r w:rsidR="007D0236" w:rsidRPr="00242088">
        <w:rPr>
          <w:rFonts w:eastAsia="Calibri" w:cs="Open Sans"/>
        </w:rPr>
        <w:t xml:space="preserve"> voting during elections.</w:t>
      </w:r>
      <w:r w:rsidR="007D0236" w:rsidRPr="00387B10">
        <w:rPr>
          <w:rFonts w:eastAsia="Calibri"/>
          <w:vertAlign w:val="superscript"/>
        </w:rPr>
        <w:endnoteReference w:id="2"/>
      </w:r>
      <w:r w:rsidR="007D0236" w:rsidRPr="00242088">
        <w:rPr>
          <w:rFonts w:eastAsia="Calibri" w:cs="Open Sans"/>
        </w:rPr>
        <w:t xml:space="preserve">  </w:t>
      </w:r>
      <w:r w:rsidRPr="00242088">
        <w:rPr>
          <w:rFonts w:eastAsia="Calibri" w:cs="Open Sans"/>
        </w:rPr>
        <w:t xml:space="preserve">The Commission </w:t>
      </w:r>
      <w:r w:rsidR="008D1309" w:rsidRPr="00242088">
        <w:rPr>
          <w:rFonts w:eastAsia="Calibri" w:cs="Open Sans"/>
        </w:rPr>
        <w:t xml:space="preserve">is concerned that this Bill has been introduced without proper regard to the existing safeguards </w:t>
      </w:r>
      <w:r w:rsidR="0023257D" w:rsidRPr="00242088">
        <w:rPr>
          <w:rFonts w:eastAsia="Calibri" w:cs="Open Sans"/>
        </w:rPr>
        <w:t xml:space="preserve">against multiple voting </w:t>
      </w:r>
      <w:r w:rsidR="008D1309" w:rsidRPr="00242088">
        <w:rPr>
          <w:rFonts w:eastAsia="Calibri" w:cs="Open Sans"/>
        </w:rPr>
        <w:t xml:space="preserve">and their effectiveness, and without proper consideration of the adverse impacts that the Bill is likely to have on participation in elections.  In the absence of this kind of analysis, the Bill risks disenfranchising a range of groups of people who may have difficulty in complying with its requirements.  As a result, the measures proposed in </w:t>
      </w:r>
      <w:r w:rsidR="00B237AF" w:rsidRPr="00242088">
        <w:rPr>
          <w:rFonts w:eastAsia="Calibri" w:cs="Open Sans"/>
        </w:rPr>
        <w:t xml:space="preserve">Schedule 2 of </w:t>
      </w:r>
      <w:r w:rsidR="008D1309" w:rsidRPr="00242088">
        <w:rPr>
          <w:rFonts w:eastAsia="Calibri" w:cs="Open Sans"/>
        </w:rPr>
        <w:t>this Bill do not appear to be necessary and proportionate to achieve the aim being sought and could unreasonably limit, and unduly impinge on, a person’s right to vote.</w:t>
      </w:r>
    </w:p>
    <w:p w14:paraId="63C95536" w14:textId="77777777" w:rsidR="00242088" w:rsidRDefault="00242088" w:rsidP="00242088">
      <w:pPr>
        <w:pStyle w:val="ListParagraph"/>
        <w:spacing w:after="0"/>
        <w:ind w:left="360"/>
        <w:rPr>
          <w:rFonts w:eastAsia="Calibri" w:cs="Open Sans"/>
        </w:rPr>
      </w:pPr>
    </w:p>
    <w:p w14:paraId="78441A97" w14:textId="249E30F8" w:rsidR="00EA79B8" w:rsidRPr="00242088" w:rsidRDefault="00F44A37" w:rsidP="00242088">
      <w:pPr>
        <w:pStyle w:val="ListParagraph"/>
        <w:numPr>
          <w:ilvl w:val="0"/>
          <w:numId w:val="38"/>
        </w:numPr>
        <w:spacing w:after="0"/>
        <w:ind w:left="360"/>
        <w:rPr>
          <w:rFonts w:eastAsia="Calibri" w:cs="Open Sans"/>
        </w:rPr>
      </w:pPr>
      <w:r w:rsidRPr="00242088">
        <w:rPr>
          <w:rFonts w:eastAsia="Calibri" w:cs="Open Sans"/>
        </w:rPr>
        <w:t xml:space="preserve">For these reasons and as further elaborated below, </w:t>
      </w:r>
      <w:r w:rsidRPr="00056130">
        <w:rPr>
          <w:rFonts w:eastAsia="Calibri" w:cs="Open Sans"/>
          <w:b/>
          <w:bCs/>
        </w:rPr>
        <w:t>t</w:t>
      </w:r>
      <w:r w:rsidR="00EA79B8" w:rsidRPr="00056130">
        <w:rPr>
          <w:rFonts w:eastAsia="Calibri" w:cs="Open Sans"/>
          <w:b/>
          <w:bCs/>
        </w:rPr>
        <w:t>he Commission recommends that Schedule 2 not be passed.</w:t>
      </w:r>
    </w:p>
    <w:p w14:paraId="5954F1DB" w14:textId="77777777" w:rsidR="00EA79B8" w:rsidRPr="00242088" w:rsidRDefault="00EA79B8" w:rsidP="00242088">
      <w:pPr>
        <w:keepNext/>
        <w:spacing w:after="0"/>
        <w:rPr>
          <w:rFonts w:eastAsia="Calibri" w:cs="Open Sans"/>
          <w:b/>
          <w:bCs/>
        </w:rPr>
      </w:pPr>
      <w:r w:rsidRPr="00242088">
        <w:rPr>
          <w:rFonts w:eastAsia="Calibri" w:cs="Open Sans"/>
          <w:b/>
          <w:bCs/>
        </w:rPr>
        <w:lastRenderedPageBreak/>
        <w:t>Overview of the Bill</w:t>
      </w:r>
    </w:p>
    <w:p w14:paraId="3A6648C6" w14:textId="73038E97" w:rsidR="003F4688" w:rsidRPr="003F4688" w:rsidRDefault="00CA46BA" w:rsidP="00242088">
      <w:pPr>
        <w:pStyle w:val="ListParagraph"/>
        <w:numPr>
          <w:ilvl w:val="0"/>
          <w:numId w:val="38"/>
        </w:numPr>
        <w:spacing w:after="0"/>
        <w:ind w:left="360"/>
        <w:rPr>
          <w:rFonts w:eastAsia="Calibri" w:cs="Open Sans"/>
        </w:rPr>
      </w:pPr>
      <w:r w:rsidRPr="003F4688">
        <w:rPr>
          <w:rFonts w:eastAsia="Calibri" w:cs="Open Sans"/>
        </w:rPr>
        <w:t>The Explanatory Memorandum (EM) to the Bill states that its objective is to protect the confidence of Australian elections, and improve the right to free and fair elections.</w:t>
      </w:r>
      <w:r w:rsidR="003F4688">
        <w:rPr>
          <w:rFonts w:eastAsia="Calibri" w:cs="Open Sans"/>
        </w:rPr>
        <w:t xml:space="preserve">  </w:t>
      </w:r>
      <w:r w:rsidR="00EA79B8" w:rsidRPr="003F4688">
        <w:rPr>
          <w:rFonts w:eastAsia="Calibri" w:cs="Open Sans"/>
        </w:rPr>
        <w:t xml:space="preserve">Schedule 2 of the Bill responds to recommendation </w:t>
      </w:r>
      <w:r w:rsidR="009F541F" w:rsidRPr="003F4688">
        <w:rPr>
          <w:rFonts w:eastAsia="Calibri" w:cs="Open Sans"/>
        </w:rPr>
        <w:t xml:space="preserve">21 </w:t>
      </w:r>
      <w:r w:rsidR="00EA79B8" w:rsidRPr="003F4688">
        <w:rPr>
          <w:rFonts w:eastAsia="Calibri" w:cs="Open Sans"/>
        </w:rPr>
        <w:t>of the majority of the Joint Standing Committee on Electoral Matters (JSCEM) in its report on the conduct of the 2019 federal election</w:t>
      </w:r>
      <w:r w:rsidR="009F541F" w:rsidRPr="003F4688">
        <w:rPr>
          <w:rFonts w:eastAsia="Calibri" w:cs="Open Sans"/>
        </w:rPr>
        <w:t>, which recommended voter identification during elections</w:t>
      </w:r>
      <w:r w:rsidR="00EA79B8" w:rsidRPr="003F4688">
        <w:rPr>
          <w:rFonts w:eastAsia="Calibri" w:cs="Open Sans"/>
        </w:rPr>
        <w:t>.</w:t>
      </w:r>
      <w:r w:rsidR="00EA79B8" w:rsidRPr="00387B10">
        <w:rPr>
          <w:rFonts w:eastAsia="Calibri"/>
          <w:vertAlign w:val="superscript"/>
        </w:rPr>
        <w:endnoteReference w:id="3"/>
      </w:r>
      <w:r w:rsidR="009F541F" w:rsidRPr="003F4688">
        <w:rPr>
          <w:rFonts w:eastAsia="Calibri" w:cs="Open Sans"/>
        </w:rPr>
        <w:t xml:space="preserve"> </w:t>
      </w:r>
    </w:p>
    <w:p w14:paraId="6271AD99" w14:textId="77777777" w:rsidR="003F4688" w:rsidRDefault="003F4688" w:rsidP="00242088">
      <w:pPr>
        <w:pStyle w:val="ListParagraph"/>
        <w:spacing w:after="0"/>
        <w:ind w:left="0"/>
        <w:rPr>
          <w:rFonts w:eastAsia="Calibri" w:cs="Open Sans"/>
        </w:rPr>
      </w:pPr>
    </w:p>
    <w:p w14:paraId="3D199B83" w14:textId="2E7E621E" w:rsidR="00EA79B8" w:rsidRPr="009D5CFF" w:rsidRDefault="003F4688" w:rsidP="00242088">
      <w:pPr>
        <w:pStyle w:val="ListParagraph"/>
        <w:numPr>
          <w:ilvl w:val="0"/>
          <w:numId w:val="38"/>
        </w:numPr>
        <w:spacing w:after="0"/>
        <w:ind w:left="360"/>
        <w:rPr>
          <w:rFonts w:eastAsia="Calibri" w:cs="Open Sans"/>
        </w:rPr>
      </w:pPr>
      <w:r w:rsidRPr="009D5CFF">
        <w:rPr>
          <w:rFonts w:eastAsia="Calibri" w:cs="Open Sans"/>
        </w:rPr>
        <w:t>The law currently requires a polling officer to be satisfied of the identity of a person seeking to vote, based on questions asked of the person, but does not require identity documents to be presented.</w:t>
      </w:r>
      <w:r w:rsidRPr="00387B10">
        <w:rPr>
          <w:rFonts w:eastAsia="Calibri"/>
          <w:vertAlign w:val="superscript"/>
        </w:rPr>
        <w:endnoteReference w:id="4"/>
      </w:r>
      <w:r w:rsidRPr="009D5CFF">
        <w:rPr>
          <w:rFonts w:eastAsia="Calibri" w:cs="Open Sans"/>
        </w:rPr>
        <w:t xml:space="preserve">  </w:t>
      </w:r>
      <w:r w:rsidR="00EA79B8" w:rsidRPr="009D5CFF">
        <w:rPr>
          <w:rFonts w:eastAsia="Calibri" w:cs="Open Sans"/>
        </w:rPr>
        <w:t xml:space="preserve">The Bill proposes to make a </w:t>
      </w:r>
      <w:r w:rsidR="00EA79B8" w:rsidRPr="009D5CFF">
        <w:rPr>
          <w:rFonts w:eastAsia="Calibri" w:cs="Open Sans"/>
          <w:bCs/>
        </w:rPr>
        <w:t>person’s entitlement to vote</w:t>
      </w:r>
      <w:r w:rsidR="00EA79B8" w:rsidRPr="009D5CFF">
        <w:rPr>
          <w:rFonts w:eastAsia="Calibri" w:cs="Open Sans"/>
        </w:rPr>
        <w:t xml:space="preserve"> </w:t>
      </w:r>
      <w:r w:rsidR="00CA46BA" w:rsidRPr="009D5CFF">
        <w:rPr>
          <w:rFonts w:eastAsia="Calibri" w:cs="Open Sans"/>
        </w:rPr>
        <w:t>(</w:t>
      </w:r>
      <w:r w:rsidR="00EA79B8" w:rsidRPr="009D5CFF">
        <w:rPr>
          <w:rFonts w:eastAsia="Calibri" w:cs="Open Sans"/>
        </w:rPr>
        <w:t>by way of a pre-poll ordinary vote or by way of ordinary vote on polling day</w:t>
      </w:r>
      <w:r w:rsidR="00CA46BA" w:rsidRPr="009D5CFF">
        <w:rPr>
          <w:rFonts w:eastAsia="Calibri" w:cs="Open Sans"/>
        </w:rPr>
        <w:t>)</w:t>
      </w:r>
      <w:r w:rsidR="00EA79B8" w:rsidRPr="009D5CFF">
        <w:rPr>
          <w:rFonts w:eastAsia="Calibri" w:cs="Open Sans"/>
        </w:rPr>
        <w:t xml:space="preserve"> </w:t>
      </w:r>
      <w:r w:rsidR="00EA79B8" w:rsidRPr="009D5CFF">
        <w:rPr>
          <w:rFonts w:eastAsia="Calibri" w:cs="Open Sans"/>
          <w:bCs/>
        </w:rPr>
        <w:t>contingent upon: showing a ‘proof of identity document’ to a voting officer; and the voting officer being reasonably satisfied of the person’s identity.  If these requirements are not met, a person’s claim to vote may be rejected or the person may be entitled to cast a provisional vote.</w:t>
      </w:r>
      <w:r w:rsidR="00EA79B8" w:rsidRPr="00387B10">
        <w:rPr>
          <w:rFonts w:eastAsia="Calibri"/>
          <w:bCs/>
          <w:vertAlign w:val="superscript"/>
        </w:rPr>
        <w:endnoteReference w:id="5"/>
      </w:r>
      <w:r w:rsidR="00EA79B8" w:rsidRPr="009D5CFF">
        <w:rPr>
          <w:rFonts w:eastAsia="Calibri" w:cs="Open Sans"/>
        </w:rPr>
        <w:t xml:space="preserve">  </w:t>
      </w:r>
      <w:r w:rsidR="00EA79B8" w:rsidRPr="009D5CFF">
        <w:rPr>
          <w:rFonts w:eastAsia="Calibri" w:cs="Open Sans"/>
          <w:bCs/>
        </w:rPr>
        <w:t xml:space="preserve">For itinerant electors, </w:t>
      </w:r>
      <w:r w:rsidR="00EA79B8" w:rsidRPr="009D5CFF">
        <w:rPr>
          <w:rFonts w:eastAsia="Calibri" w:cs="Open Sans"/>
        </w:rPr>
        <w:t xml:space="preserve">an Indigenous person in a remote area and/or a disadvantaged person, a health or welfare service employee can provide a ‘community identity document’ which would be accepted as identification.  </w:t>
      </w:r>
    </w:p>
    <w:p w14:paraId="2CCA9865" w14:textId="77777777" w:rsidR="00EA79B8" w:rsidRPr="00242088" w:rsidRDefault="00EA79B8" w:rsidP="00242088">
      <w:pPr>
        <w:keepNext/>
        <w:spacing w:after="0"/>
        <w:rPr>
          <w:rFonts w:eastAsia="Calibri" w:cs="Open Sans"/>
          <w:b/>
          <w:bCs/>
        </w:rPr>
      </w:pPr>
      <w:r w:rsidRPr="00242088">
        <w:rPr>
          <w:rFonts w:eastAsia="Calibri" w:cs="Open Sans"/>
          <w:b/>
          <w:bCs/>
        </w:rPr>
        <w:t xml:space="preserve">Key human rights issues </w:t>
      </w:r>
    </w:p>
    <w:p w14:paraId="3F39CB62" w14:textId="6D830DD5" w:rsidR="00EA79B8" w:rsidRDefault="00EA79B8" w:rsidP="00242088">
      <w:pPr>
        <w:pStyle w:val="ListParagraph"/>
        <w:numPr>
          <w:ilvl w:val="0"/>
          <w:numId w:val="38"/>
        </w:numPr>
        <w:spacing w:after="0"/>
        <w:ind w:left="360"/>
        <w:rPr>
          <w:rFonts w:eastAsia="Calibri" w:cs="Open Sans"/>
        </w:rPr>
      </w:pPr>
      <w:r w:rsidRPr="003F4688">
        <w:rPr>
          <w:rFonts w:eastAsia="Calibri" w:cs="Open Sans"/>
        </w:rPr>
        <w:t xml:space="preserve">The right to vote in elections on the basis of ‘universal and equal suffrage’ is set out in the </w:t>
      </w:r>
      <w:r w:rsidRPr="003F4688">
        <w:rPr>
          <w:rFonts w:eastAsia="Calibri" w:cs="Open Sans"/>
          <w:i/>
          <w:iCs/>
        </w:rPr>
        <w:t>International Covenant on Civil and Political Rights</w:t>
      </w:r>
      <w:r w:rsidRPr="003F4688">
        <w:rPr>
          <w:rFonts w:eastAsia="Calibri" w:cs="Open Sans"/>
        </w:rPr>
        <w:t xml:space="preserve"> (article 25) and the </w:t>
      </w:r>
      <w:r w:rsidRPr="003F4688">
        <w:rPr>
          <w:rFonts w:eastAsia="Calibri" w:cs="Open Sans"/>
          <w:i/>
          <w:iCs/>
        </w:rPr>
        <w:t>International Covenant on the Elimination of Racial Discrimination</w:t>
      </w:r>
      <w:r w:rsidRPr="003F4688">
        <w:rPr>
          <w:rFonts w:eastAsia="Calibri" w:cs="Open Sans"/>
        </w:rPr>
        <w:t xml:space="preserve"> (article 5(c)).  Australia is a party to both treaties.  The United </w:t>
      </w:r>
      <w:r w:rsidR="00495D1C" w:rsidRPr="003F4688">
        <w:rPr>
          <w:rFonts w:eastAsia="Calibri" w:cs="Open Sans"/>
        </w:rPr>
        <w:t>Nations has</w:t>
      </w:r>
      <w:r w:rsidRPr="003F4688">
        <w:rPr>
          <w:rFonts w:eastAsia="Calibri" w:cs="Open Sans"/>
        </w:rPr>
        <w:t xml:space="preserve"> confirmed that in practice, this means:</w:t>
      </w:r>
      <w:r w:rsidRPr="00387B10">
        <w:rPr>
          <w:rFonts w:eastAsia="Calibri"/>
          <w:vertAlign w:val="superscript"/>
        </w:rPr>
        <w:endnoteReference w:id="6"/>
      </w:r>
    </w:p>
    <w:p w14:paraId="273C42E6" w14:textId="77777777" w:rsidR="00EA79B8" w:rsidRPr="00DD4F07" w:rsidRDefault="00EA79B8" w:rsidP="00242088">
      <w:pPr>
        <w:pStyle w:val="ListParagraph"/>
        <w:numPr>
          <w:ilvl w:val="0"/>
          <w:numId w:val="39"/>
        </w:numPr>
        <w:rPr>
          <w:rFonts w:eastAsia="Calibri" w:cs="Open Sans"/>
        </w:rPr>
      </w:pPr>
      <w:r w:rsidRPr="00DD4F07">
        <w:rPr>
          <w:rFonts w:eastAsia="Calibri" w:cs="Open Sans"/>
        </w:rPr>
        <w:t>States must take effective measures to ensure that all persons entitled to vote are able to exercise that right;</w:t>
      </w:r>
    </w:p>
    <w:p w14:paraId="4DDF324B" w14:textId="77777777" w:rsidR="00EA79B8" w:rsidRPr="00DD4F07" w:rsidRDefault="00EA79B8" w:rsidP="00242088">
      <w:pPr>
        <w:pStyle w:val="ListParagraph"/>
        <w:numPr>
          <w:ilvl w:val="0"/>
          <w:numId w:val="39"/>
        </w:numPr>
        <w:rPr>
          <w:rFonts w:eastAsia="Calibri" w:cs="Open Sans"/>
        </w:rPr>
      </w:pPr>
      <w:r w:rsidRPr="00DD4F07">
        <w:rPr>
          <w:rFonts w:eastAsia="Calibri" w:cs="Open Sans"/>
        </w:rPr>
        <w:t xml:space="preserve">any restrictions should be based on objective and reasonable criteria; </w:t>
      </w:r>
    </w:p>
    <w:p w14:paraId="06993EB1" w14:textId="77777777" w:rsidR="00EA79B8" w:rsidRPr="00DD4F07" w:rsidRDefault="00EA79B8" w:rsidP="00242088">
      <w:pPr>
        <w:pStyle w:val="ListParagraph"/>
        <w:numPr>
          <w:ilvl w:val="0"/>
          <w:numId w:val="39"/>
        </w:numPr>
        <w:rPr>
          <w:rFonts w:eastAsia="Calibri" w:cs="Open Sans"/>
        </w:rPr>
      </w:pPr>
      <w:r w:rsidRPr="00DD4F07">
        <w:rPr>
          <w:rFonts w:eastAsia="Calibri" w:cs="Open Sans"/>
        </w:rPr>
        <w:t>obstacles to voter registration should not be imposed;</w:t>
      </w:r>
    </w:p>
    <w:p w14:paraId="4006BECE" w14:textId="77777777" w:rsidR="00EA79B8" w:rsidRPr="00DD4F07" w:rsidRDefault="00EA79B8" w:rsidP="00242088">
      <w:pPr>
        <w:pStyle w:val="ListParagraph"/>
        <w:numPr>
          <w:ilvl w:val="0"/>
          <w:numId w:val="39"/>
        </w:numPr>
        <w:rPr>
          <w:rFonts w:eastAsia="Calibri" w:cs="Open Sans"/>
        </w:rPr>
      </w:pPr>
      <w:r w:rsidRPr="00DD4F07">
        <w:rPr>
          <w:rFonts w:eastAsia="Calibri" w:cs="Open Sans"/>
        </w:rPr>
        <w:t>States should adopt measures to ensure elections are genuine, free and periodic.</w:t>
      </w:r>
    </w:p>
    <w:p w14:paraId="326E1562" w14:textId="77777777" w:rsidR="002A2D55" w:rsidRPr="00242088" w:rsidRDefault="002A2D55" w:rsidP="00242088">
      <w:pPr>
        <w:keepNext/>
        <w:rPr>
          <w:rFonts w:eastAsia="Calibri" w:cs="Open Sans"/>
          <w:b/>
          <w:bCs/>
          <w:i/>
          <w:iCs/>
        </w:rPr>
      </w:pPr>
      <w:r w:rsidRPr="00242088">
        <w:rPr>
          <w:rFonts w:eastAsia="Calibri" w:cs="Open Sans"/>
          <w:b/>
          <w:bCs/>
          <w:i/>
          <w:iCs/>
        </w:rPr>
        <w:t>Assessment of necessity</w:t>
      </w:r>
    </w:p>
    <w:p w14:paraId="4B851E52" w14:textId="31381DC7" w:rsidR="00EA79B8" w:rsidRPr="002A2D55" w:rsidRDefault="00EA79B8" w:rsidP="00242088">
      <w:pPr>
        <w:pStyle w:val="ListParagraph"/>
        <w:numPr>
          <w:ilvl w:val="0"/>
          <w:numId w:val="38"/>
        </w:numPr>
        <w:spacing w:after="0"/>
        <w:ind w:left="360"/>
        <w:rPr>
          <w:rFonts w:eastAsia="Calibri" w:cs="Open Sans"/>
        </w:rPr>
      </w:pPr>
      <w:r w:rsidRPr="003F4688">
        <w:rPr>
          <w:rFonts w:eastAsia="Calibri" w:cs="Open Sans"/>
        </w:rPr>
        <w:t>The Commission recognises that voter fraud, when it occurs, is a serious risk to the conduct of genuine</w:t>
      </w:r>
      <w:r w:rsidR="00BC61EB">
        <w:rPr>
          <w:rFonts w:eastAsia="Calibri" w:cs="Open Sans"/>
        </w:rPr>
        <w:t xml:space="preserve"> and fair</w:t>
      </w:r>
      <w:r w:rsidRPr="003F4688">
        <w:rPr>
          <w:rFonts w:eastAsia="Calibri" w:cs="Open Sans"/>
        </w:rPr>
        <w:t xml:space="preserve"> elections.  </w:t>
      </w:r>
      <w:r w:rsidR="009D5CFF">
        <w:rPr>
          <w:rFonts w:eastAsia="Calibri" w:cs="Open Sans"/>
        </w:rPr>
        <w:t>I</w:t>
      </w:r>
      <w:r w:rsidRPr="003F4688">
        <w:rPr>
          <w:rFonts w:eastAsia="Calibri" w:cs="Open Sans"/>
        </w:rPr>
        <w:t>t is a criminal offence to vote more than once in the same election.</w:t>
      </w:r>
      <w:r w:rsidRPr="00387B10">
        <w:rPr>
          <w:rFonts w:eastAsia="Calibri"/>
          <w:vertAlign w:val="superscript"/>
        </w:rPr>
        <w:endnoteReference w:id="7"/>
      </w:r>
      <w:r w:rsidRPr="003F4688">
        <w:rPr>
          <w:rFonts w:eastAsia="Calibri" w:cs="Open Sans"/>
        </w:rPr>
        <w:t xml:space="preserve">  The existence of a criminal offence </w:t>
      </w:r>
      <w:r w:rsidR="002A2D55">
        <w:rPr>
          <w:rFonts w:eastAsia="Calibri" w:cs="Open Sans"/>
        </w:rPr>
        <w:t xml:space="preserve">can </w:t>
      </w:r>
      <w:r w:rsidRPr="003F4688">
        <w:rPr>
          <w:rFonts w:eastAsia="Calibri" w:cs="Open Sans"/>
        </w:rPr>
        <w:lastRenderedPageBreak/>
        <w:t>provide a strong, and effective, disincentive against multiple voting.</w:t>
      </w:r>
      <w:r w:rsidR="002A2D55">
        <w:rPr>
          <w:rFonts w:eastAsia="Calibri" w:cs="Open Sans"/>
        </w:rPr>
        <w:t xml:space="preserve">  </w:t>
      </w:r>
      <w:r w:rsidRPr="002A2D55">
        <w:rPr>
          <w:rFonts w:eastAsia="Calibri" w:cs="Open Sans"/>
        </w:rPr>
        <w:t>The Australian Electoral Commission (AEC) also has measures in place to prevent and detect multiple voting.  This includes the increased use of electronic certified lists (ECLs) which allow for a real time mark off of voter names as they present to a polling place.</w:t>
      </w:r>
      <w:r w:rsidRPr="00387B10">
        <w:rPr>
          <w:rFonts w:eastAsia="Calibri"/>
          <w:vertAlign w:val="superscript"/>
        </w:rPr>
        <w:endnoteReference w:id="8"/>
      </w:r>
    </w:p>
    <w:p w14:paraId="6AEC837A" w14:textId="77777777" w:rsidR="002A2D55" w:rsidRDefault="002A2D55" w:rsidP="00242088">
      <w:pPr>
        <w:pStyle w:val="ListParagraph"/>
        <w:ind w:left="0"/>
        <w:rPr>
          <w:rFonts w:eastAsia="Calibri" w:cs="Open Sans"/>
        </w:rPr>
      </w:pPr>
    </w:p>
    <w:p w14:paraId="2CF82FC8" w14:textId="30A4C0B6" w:rsidR="002A2D55" w:rsidRDefault="00EA79B8" w:rsidP="00242088">
      <w:pPr>
        <w:pStyle w:val="ListParagraph"/>
        <w:numPr>
          <w:ilvl w:val="0"/>
          <w:numId w:val="38"/>
        </w:numPr>
        <w:ind w:left="360"/>
        <w:rPr>
          <w:rFonts w:eastAsia="Calibri" w:cs="Open Sans"/>
        </w:rPr>
      </w:pPr>
      <w:r w:rsidRPr="003F4688">
        <w:rPr>
          <w:rFonts w:eastAsia="Calibri" w:cs="Open Sans"/>
        </w:rPr>
        <w:t xml:space="preserve">The EM </w:t>
      </w:r>
      <w:r w:rsidR="009D5CFF">
        <w:rPr>
          <w:rFonts w:eastAsia="Calibri" w:cs="Open Sans"/>
        </w:rPr>
        <w:t>states</w:t>
      </w:r>
      <w:r w:rsidR="009D5CFF" w:rsidRPr="003F4688">
        <w:rPr>
          <w:rFonts w:eastAsia="Calibri" w:cs="Open Sans"/>
        </w:rPr>
        <w:t xml:space="preserve"> </w:t>
      </w:r>
      <w:r w:rsidRPr="003F4688">
        <w:rPr>
          <w:rFonts w:eastAsia="Calibri" w:cs="Open Sans"/>
        </w:rPr>
        <w:t xml:space="preserve">that ‘theory and the empirical evidence’ justifies </w:t>
      </w:r>
      <w:r w:rsidR="00BC61EB">
        <w:rPr>
          <w:rFonts w:eastAsia="Calibri" w:cs="Open Sans"/>
        </w:rPr>
        <w:t>voter identification laws</w:t>
      </w:r>
      <w:r w:rsidRPr="003F4688">
        <w:rPr>
          <w:rFonts w:eastAsia="Calibri" w:cs="Open Sans"/>
        </w:rPr>
        <w:t>.</w:t>
      </w:r>
      <w:r w:rsidRPr="00387B10">
        <w:rPr>
          <w:rFonts w:eastAsia="Calibri"/>
          <w:vertAlign w:val="superscript"/>
        </w:rPr>
        <w:endnoteReference w:id="9"/>
      </w:r>
      <w:r w:rsidRPr="003F4688">
        <w:rPr>
          <w:rFonts w:eastAsia="Calibri" w:cs="Open Sans"/>
        </w:rPr>
        <w:t xml:space="preserve"> However, it does not provide any information on the prevalence of voter fraud</w:t>
      </w:r>
      <w:r w:rsidR="009D5CFF">
        <w:rPr>
          <w:rFonts w:eastAsia="Calibri" w:cs="Open Sans"/>
        </w:rPr>
        <w:t xml:space="preserve"> or how voter identification will address voter fraud</w:t>
      </w:r>
      <w:r w:rsidRPr="003F4688">
        <w:rPr>
          <w:rFonts w:eastAsia="Calibri" w:cs="Open Sans"/>
        </w:rPr>
        <w:t>.</w:t>
      </w:r>
      <w:r w:rsidR="002A2D55">
        <w:rPr>
          <w:rFonts w:eastAsia="Calibri" w:cs="Open Sans"/>
        </w:rPr>
        <w:t xml:space="preserve">  </w:t>
      </w:r>
      <w:r w:rsidRPr="002A2D55">
        <w:rPr>
          <w:rFonts w:eastAsia="Calibri" w:cs="Open Sans"/>
        </w:rPr>
        <w:t>The AEC provided advice to the JSCEM that multiple voting is ‘a very small problem’</w:t>
      </w:r>
      <w:r w:rsidRPr="00387B10">
        <w:rPr>
          <w:rFonts w:eastAsia="Calibri"/>
          <w:vertAlign w:val="superscript"/>
        </w:rPr>
        <w:endnoteReference w:id="10"/>
      </w:r>
      <w:r w:rsidRPr="002A2D55">
        <w:rPr>
          <w:rFonts w:eastAsia="Calibri" w:cs="Open Sans"/>
        </w:rPr>
        <w:t xml:space="preserve"> with multiple voting reflecting approximately 0.03 per cent of total votes at the 2019 federal election for the House of Representatives.</w:t>
      </w:r>
      <w:r w:rsidRPr="00387B10">
        <w:rPr>
          <w:rFonts w:eastAsia="Calibri"/>
          <w:vertAlign w:val="superscript"/>
        </w:rPr>
        <w:endnoteReference w:id="11"/>
      </w:r>
      <w:r w:rsidRPr="002A2D55">
        <w:rPr>
          <w:rFonts w:eastAsia="Calibri" w:cs="Open Sans"/>
        </w:rPr>
        <w:t xml:space="preserve"> The AEC noted that this very small cohort included some people with mental health issues who may not be engaging in deliberately fraudulent activity.  </w:t>
      </w:r>
      <w:r w:rsidR="009D5CFF">
        <w:rPr>
          <w:rFonts w:eastAsia="Calibri" w:cs="Open Sans"/>
        </w:rPr>
        <w:t>Further, t</w:t>
      </w:r>
      <w:r w:rsidR="009D5CFF" w:rsidRPr="003F4688">
        <w:rPr>
          <w:rFonts w:eastAsia="Calibri" w:cs="Open Sans"/>
        </w:rPr>
        <w:t xml:space="preserve">he AEC has confirmed that </w:t>
      </w:r>
      <w:r w:rsidR="009D5CFF">
        <w:rPr>
          <w:rFonts w:eastAsia="Calibri" w:cs="Open Sans"/>
        </w:rPr>
        <w:t>n</w:t>
      </w:r>
      <w:r w:rsidR="009D5CFF" w:rsidRPr="003F4688">
        <w:rPr>
          <w:rFonts w:eastAsia="Calibri" w:cs="Open Sans"/>
        </w:rPr>
        <w:t>ot only is the incidence of multiple voting very small, it has also never been larger than the margin in any seat for a federal election.  That is, it has never affected the outcome of an election.</w:t>
      </w:r>
      <w:r w:rsidR="009D5CFF" w:rsidRPr="00387B10">
        <w:rPr>
          <w:rFonts w:eastAsia="Calibri"/>
          <w:vertAlign w:val="superscript"/>
        </w:rPr>
        <w:endnoteReference w:id="12"/>
      </w:r>
    </w:p>
    <w:p w14:paraId="484DCB7F" w14:textId="77777777" w:rsidR="002A2D55" w:rsidRPr="002A2D55" w:rsidRDefault="002A2D55" w:rsidP="00242088">
      <w:pPr>
        <w:pStyle w:val="ListParagraph"/>
        <w:ind w:left="360"/>
        <w:rPr>
          <w:rFonts w:eastAsia="Calibri" w:cs="Open Sans"/>
        </w:rPr>
      </w:pPr>
    </w:p>
    <w:p w14:paraId="0AE6EBA8" w14:textId="265733DE" w:rsidR="00EA79B8" w:rsidRPr="002A2D55" w:rsidRDefault="00EA79B8" w:rsidP="00242088">
      <w:pPr>
        <w:pStyle w:val="ListParagraph"/>
        <w:numPr>
          <w:ilvl w:val="0"/>
          <w:numId w:val="38"/>
        </w:numPr>
        <w:ind w:left="360"/>
        <w:rPr>
          <w:rFonts w:eastAsia="Calibri" w:cs="Open Sans"/>
        </w:rPr>
      </w:pPr>
      <w:r w:rsidRPr="002A2D55">
        <w:rPr>
          <w:rFonts w:eastAsia="Calibri" w:cs="Open Sans"/>
        </w:rPr>
        <w:t xml:space="preserve">In order to address </w:t>
      </w:r>
      <w:r w:rsidR="00A81F79">
        <w:rPr>
          <w:rFonts w:eastAsia="Calibri" w:cs="Open Sans"/>
        </w:rPr>
        <w:t>the</w:t>
      </w:r>
      <w:r w:rsidR="00810547">
        <w:rPr>
          <w:rFonts w:eastAsia="Calibri" w:cs="Open Sans"/>
        </w:rPr>
        <w:t xml:space="preserve"> </w:t>
      </w:r>
      <w:r w:rsidRPr="002A2D55">
        <w:rPr>
          <w:rFonts w:eastAsia="Calibri" w:cs="Open Sans"/>
        </w:rPr>
        <w:t>concern</w:t>
      </w:r>
      <w:r w:rsidR="00C048FD">
        <w:rPr>
          <w:rFonts w:eastAsia="Calibri" w:cs="Open Sans"/>
        </w:rPr>
        <w:t xml:space="preserve"> of multiple voting</w:t>
      </w:r>
      <w:r w:rsidRPr="002A2D55">
        <w:rPr>
          <w:rFonts w:eastAsia="Calibri" w:cs="Open Sans"/>
        </w:rPr>
        <w:t xml:space="preserve">, the AEC recommended that </w:t>
      </w:r>
      <w:r w:rsidR="00C048FD">
        <w:rPr>
          <w:rFonts w:eastAsia="Calibri" w:cs="Open Sans"/>
        </w:rPr>
        <w:t>those</w:t>
      </w:r>
      <w:r w:rsidRPr="002A2D55">
        <w:rPr>
          <w:rFonts w:eastAsia="Calibri" w:cs="Open Sans"/>
        </w:rPr>
        <w:t xml:space="preserve"> who have been identified as intentionally voting multiple times in a previous election be required to vote only by declaration vote in subsequent elections.  While these people would be identified by the AEC, their identity would not be made public.  Under </w:t>
      </w:r>
      <w:r w:rsidR="00810547">
        <w:rPr>
          <w:rFonts w:eastAsia="Calibri" w:cs="Open Sans"/>
        </w:rPr>
        <w:t>this</w:t>
      </w:r>
      <w:r w:rsidRPr="002A2D55">
        <w:rPr>
          <w:rFonts w:eastAsia="Calibri" w:cs="Open Sans"/>
        </w:rPr>
        <w:t xml:space="preserve"> </w:t>
      </w:r>
      <w:r w:rsidR="00C048FD">
        <w:rPr>
          <w:rFonts w:eastAsia="Calibri" w:cs="Open Sans"/>
        </w:rPr>
        <w:t>proposal</w:t>
      </w:r>
      <w:r w:rsidRPr="002A2D55">
        <w:rPr>
          <w:rFonts w:eastAsia="Calibri" w:cs="Open Sans"/>
        </w:rPr>
        <w:t>, the AEC would count only the first declaration vote cast by a multiple voter and disregard all subsequent declaration votes received or detected.</w:t>
      </w:r>
      <w:r w:rsidRPr="00387B10">
        <w:rPr>
          <w:rFonts w:eastAsia="Calibri"/>
          <w:vertAlign w:val="superscript"/>
        </w:rPr>
        <w:endnoteReference w:id="13"/>
      </w:r>
      <w:r w:rsidRPr="002A2D55">
        <w:rPr>
          <w:rFonts w:eastAsia="Calibri" w:cs="Open Sans"/>
        </w:rPr>
        <w:t xml:space="preserve">  This is the same process that the AEC currently uses with other multiple declaration or postal votes received, which it says are generally unintentional.  A similar process </w:t>
      </w:r>
      <w:r w:rsidR="00C048FD">
        <w:rPr>
          <w:rFonts w:eastAsia="Calibri" w:cs="Open Sans"/>
        </w:rPr>
        <w:t>operates</w:t>
      </w:r>
      <w:r w:rsidRPr="002A2D55">
        <w:rPr>
          <w:rFonts w:eastAsia="Calibri" w:cs="Open Sans"/>
        </w:rPr>
        <w:t xml:space="preserve"> in New South Wales which provides for the declaration of a person as a ‘special elector’.</w:t>
      </w:r>
      <w:r w:rsidRPr="00387B10">
        <w:rPr>
          <w:rFonts w:eastAsia="Calibri"/>
          <w:vertAlign w:val="superscript"/>
        </w:rPr>
        <w:endnoteReference w:id="14"/>
      </w:r>
    </w:p>
    <w:p w14:paraId="5D6F87C5" w14:textId="77777777" w:rsidR="003F4688" w:rsidRPr="003F4688" w:rsidRDefault="003F4688" w:rsidP="00242088">
      <w:pPr>
        <w:pStyle w:val="ListParagraph"/>
        <w:spacing w:after="0"/>
        <w:ind w:left="0"/>
        <w:rPr>
          <w:rFonts w:eastAsia="Calibri" w:cs="Open Sans"/>
        </w:rPr>
      </w:pPr>
    </w:p>
    <w:p w14:paraId="767E1677" w14:textId="3696C844" w:rsidR="00242088" w:rsidRPr="00242088" w:rsidRDefault="009D5CFF" w:rsidP="00242088">
      <w:pPr>
        <w:pStyle w:val="ListParagraph"/>
        <w:numPr>
          <w:ilvl w:val="0"/>
          <w:numId w:val="38"/>
        </w:numPr>
        <w:spacing w:after="0"/>
        <w:ind w:left="360"/>
        <w:rPr>
          <w:rFonts w:eastAsia="Calibri" w:cs="Open Sans"/>
        </w:rPr>
      </w:pPr>
      <w:r>
        <w:rPr>
          <w:rFonts w:eastAsia="Calibri" w:cs="Open Sans"/>
        </w:rPr>
        <w:t xml:space="preserve">Without further information on the </w:t>
      </w:r>
      <w:r w:rsidRPr="003F4688">
        <w:rPr>
          <w:rFonts w:eastAsia="Calibri" w:cs="Open Sans"/>
        </w:rPr>
        <w:t>prevalence of voter fraud</w:t>
      </w:r>
      <w:r w:rsidR="00096573">
        <w:rPr>
          <w:rFonts w:eastAsia="Calibri" w:cs="Open Sans"/>
        </w:rPr>
        <w:t>,</w:t>
      </w:r>
      <w:r w:rsidRPr="003F4688">
        <w:rPr>
          <w:rFonts w:eastAsia="Calibri" w:cs="Open Sans"/>
        </w:rPr>
        <w:t xml:space="preserve"> </w:t>
      </w:r>
      <w:r>
        <w:rPr>
          <w:rFonts w:eastAsia="Calibri" w:cs="Open Sans"/>
        </w:rPr>
        <w:t xml:space="preserve">and noting </w:t>
      </w:r>
      <w:r w:rsidR="00EA79B8" w:rsidRPr="003F4688">
        <w:rPr>
          <w:rFonts w:eastAsia="Calibri" w:cs="Open Sans"/>
        </w:rPr>
        <w:t>the detailed evidence provided by the AEC to the JSCEM</w:t>
      </w:r>
      <w:r w:rsidR="00096573">
        <w:rPr>
          <w:rFonts w:eastAsia="Calibri" w:cs="Open Sans"/>
        </w:rPr>
        <w:t>,</w:t>
      </w:r>
      <w:r>
        <w:rPr>
          <w:rFonts w:eastAsia="Calibri" w:cs="Open Sans"/>
        </w:rPr>
        <w:t xml:space="preserve"> the Commission</w:t>
      </w:r>
      <w:r w:rsidR="00096573">
        <w:rPr>
          <w:rFonts w:eastAsia="Calibri" w:cs="Open Sans"/>
        </w:rPr>
        <w:t xml:space="preserve"> considers t</w:t>
      </w:r>
      <w:r w:rsidRPr="003F4688">
        <w:rPr>
          <w:rFonts w:eastAsia="Calibri" w:cs="Open Sans"/>
        </w:rPr>
        <w:t xml:space="preserve">he proposed requirement of voter identification </w:t>
      </w:r>
      <w:r>
        <w:rPr>
          <w:rFonts w:eastAsia="Calibri" w:cs="Open Sans"/>
        </w:rPr>
        <w:t xml:space="preserve">is </w:t>
      </w:r>
      <w:r w:rsidR="00096573">
        <w:rPr>
          <w:rFonts w:eastAsia="Calibri" w:cs="Open Sans"/>
        </w:rPr>
        <w:t>an un</w:t>
      </w:r>
      <w:r w:rsidRPr="003F4688">
        <w:rPr>
          <w:rFonts w:eastAsia="Calibri" w:cs="Open Sans"/>
        </w:rPr>
        <w:t>warranted limitation to the exercise of the right to vote.</w:t>
      </w:r>
      <w:r w:rsidR="00EA79B8" w:rsidRPr="003F4688">
        <w:rPr>
          <w:rFonts w:eastAsia="Calibri" w:cs="Open Sans"/>
        </w:rPr>
        <w:t xml:space="preserve"> </w:t>
      </w:r>
      <w:r>
        <w:rPr>
          <w:rFonts w:eastAsia="Calibri" w:cs="Open Sans"/>
        </w:rPr>
        <w:t xml:space="preserve">Further, </w:t>
      </w:r>
      <w:r w:rsidR="00EA79B8" w:rsidRPr="003F4688">
        <w:rPr>
          <w:rFonts w:eastAsia="Calibri" w:cs="Open Sans"/>
        </w:rPr>
        <w:t>there are a number of effective safeguards already in place to ensure free and fair elections</w:t>
      </w:r>
      <w:r w:rsidR="003F4688" w:rsidRPr="003F4688">
        <w:rPr>
          <w:rFonts w:eastAsia="Calibri" w:cs="Open Sans"/>
        </w:rPr>
        <w:t xml:space="preserve">.  </w:t>
      </w:r>
      <w:r w:rsidR="002A2D55">
        <w:rPr>
          <w:rFonts w:eastAsia="Calibri" w:cs="Open Sans"/>
        </w:rPr>
        <w:t>T</w:t>
      </w:r>
      <w:r w:rsidR="00EA79B8" w:rsidRPr="003F4688">
        <w:rPr>
          <w:rFonts w:eastAsia="Calibri" w:cs="Open Sans"/>
        </w:rPr>
        <w:t xml:space="preserve">here are </w:t>
      </w:r>
      <w:r w:rsidR="002A2D55">
        <w:rPr>
          <w:rFonts w:eastAsia="Calibri" w:cs="Open Sans"/>
        </w:rPr>
        <w:t xml:space="preserve">also </w:t>
      </w:r>
      <w:r w:rsidR="00EA79B8" w:rsidRPr="003F4688">
        <w:rPr>
          <w:rFonts w:eastAsia="Calibri" w:cs="Open Sans"/>
        </w:rPr>
        <w:t>other less restrictive alternatives which could be considered to address the relatively small issue of multiple voting that do not require mandatory voter identification for all electors</w:t>
      </w:r>
      <w:r>
        <w:rPr>
          <w:rFonts w:eastAsia="Calibri" w:cs="Open Sans"/>
        </w:rPr>
        <w:t>.</w:t>
      </w:r>
    </w:p>
    <w:p w14:paraId="30382810" w14:textId="77777777" w:rsidR="00EA79B8" w:rsidRPr="00242088" w:rsidRDefault="00EA79B8" w:rsidP="00242088">
      <w:pPr>
        <w:keepNext/>
        <w:rPr>
          <w:rFonts w:eastAsia="Calibri" w:cs="Open Sans"/>
          <w:b/>
          <w:bCs/>
          <w:i/>
          <w:iCs/>
        </w:rPr>
      </w:pPr>
      <w:r w:rsidRPr="00242088">
        <w:rPr>
          <w:rFonts w:eastAsia="Calibri" w:cs="Open Sans"/>
          <w:b/>
          <w:bCs/>
          <w:i/>
          <w:iCs/>
        </w:rPr>
        <w:lastRenderedPageBreak/>
        <w:t>Assessment of proportionality and potential adverse impacts</w:t>
      </w:r>
    </w:p>
    <w:p w14:paraId="4A280847" w14:textId="665C76F4" w:rsidR="00D61E73" w:rsidRDefault="00EA79B8" w:rsidP="00242088">
      <w:pPr>
        <w:pStyle w:val="ListParagraph"/>
        <w:numPr>
          <w:ilvl w:val="0"/>
          <w:numId w:val="38"/>
        </w:numPr>
        <w:spacing w:after="0"/>
        <w:ind w:left="360"/>
        <w:rPr>
          <w:rFonts w:eastAsia="Calibri" w:cs="Open Sans"/>
        </w:rPr>
      </w:pPr>
      <w:r w:rsidRPr="003F4688">
        <w:rPr>
          <w:rFonts w:eastAsia="Calibri" w:cs="Open Sans"/>
        </w:rPr>
        <w:t xml:space="preserve">On potential adverse impacts, the Commission is concerned the Bill will create a barrier for people who lack identification documents from exercising their right to vote, leading to further disenfranchisement.  This is particularly acute for marginalised and disadvantaged groups including Aboriginal and Torres Strait Islander peoples, people experiencing homelessness, people in remote regions, older people and people with a disability.  These groups often do not have access to identification due to a range of factors including insecure housing, inadequate access to technology </w:t>
      </w:r>
      <w:r w:rsidR="00D61E73">
        <w:rPr>
          <w:rFonts w:eastAsia="Calibri" w:cs="Open Sans"/>
        </w:rPr>
        <w:t xml:space="preserve">remoteness </w:t>
      </w:r>
      <w:r w:rsidRPr="003F4688">
        <w:rPr>
          <w:rFonts w:eastAsia="Calibri" w:cs="Open Sans"/>
        </w:rPr>
        <w:t xml:space="preserve">and mobility issues. </w:t>
      </w:r>
      <w:r w:rsidR="00C048FD">
        <w:rPr>
          <w:rFonts w:eastAsia="Calibri" w:cs="Open Sans"/>
        </w:rPr>
        <w:t xml:space="preserve"> </w:t>
      </w:r>
      <w:r w:rsidR="00D61E73" w:rsidRPr="00C048FD">
        <w:rPr>
          <w:rFonts w:eastAsia="Calibri" w:cs="Open Sans"/>
        </w:rPr>
        <w:t xml:space="preserve">There </w:t>
      </w:r>
      <w:r w:rsidR="00BC61EB">
        <w:rPr>
          <w:rFonts w:eastAsia="Calibri" w:cs="Open Sans"/>
        </w:rPr>
        <w:t>may also  be</w:t>
      </w:r>
      <w:r w:rsidR="00D61E73" w:rsidRPr="00C048FD">
        <w:rPr>
          <w:rFonts w:eastAsia="Calibri" w:cs="Open Sans"/>
        </w:rPr>
        <w:t xml:space="preserve"> </w:t>
      </w:r>
      <w:r w:rsidR="00781AF2">
        <w:rPr>
          <w:rFonts w:eastAsia="Calibri" w:cs="Open Sans"/>
        </w:rPr>
        <w:t xml:space="preserve">existing </w:t>
      </w:r>
      <w:r w:rsidR="00D61E73">
        <w:t xml:space="preserve">intersectional discrimination </w:t>
      </w:r>
      <w:r w:rsidR="00781AF2">
        <w:t xml:space="preserve">within these communities </w:t>
      </w:r>
      <w:r w:rsidR="00D61E73">
        <w:t xml:space="preserve">(race, disability, gender, age) which </w:t>
      </w:r>
      <w:r w:rsidR="00781AF2">
        <w:t xml:space="preserve">may undermine their </w:t>
      </w:r>
      <w:r w:rsidR="00D61E73">
        <w:t>capacity to obtain and present identification when voting</w:t>
      </w:r>
      <w:r w:rsidR="006E6430">
        <w:t xml:space="preserve">.  </w:t>
      </w:r>
      <w:r w:rsidR="00BC61EB">
        <w:t>I</w:t>
      </w:r>
      <w:r w:rsidR="00242088">
        <w:t xml:space="preserve">f identification </w:t>
      </w:r>
      <w:r w:rsidR="00242088" w:rsidRPr="00242088">
        <w:t>requirement</w:t>
      </w:r>
      <w:r w:rsidR="00242088">
        <w:t>s</w:t>
      </w:r>
      <w:r w:rsidR="00242088" w:rsidRPr="00242088">
        <w:t xml:space="preserve"> were introduced, we</w:t>
      </w:r>
      <w:r w:rsidR="00BC61EB">
        <w:t xml:space="preserve"> also</w:t>
      </w:r>
      <w:r w:rsidR="00242088" w:rsidRPr="00242088">
        <w:t xml:space="preserve"> anticipate that there would be challenges in ensuring that information about the requirement was provided</w:t>
      </w:r>
      <w:r w:rsidR="00BC61EB">
        <w:t xml:space="preserve"> </w:t>
      </w:r>
      <w:r w:rsidR="00242088" w:rsidRPr="00242088">
        <w:t>in a format and range of Indigenous languages to</w:t>
      </w:r>
      <w:r w:rsidR="00BC61EB">
        <w:t xml:space="preserve"> Indigenous Peoples to</w:t>
      </w:r>
      <w:r w:rsidR="00242088" w:rsidRPr="00242088">
        <w:t xml:space="preserve"> ensure that it could be adequately understood</w:t>
      </w:r>
      <w:r w:rsidR="00242088">
        <w:t xml:space="preserve">, in </w:t>
      </w:r>
      <w:r w:rsidR="00BC61EB">
        <w:t>accordance with</w:t>
      </w:r>
      <w:r w:rsidR="00242088">
        <w:t xml:space="preserve"> the free, prior and informed consent principle (FPIC)</w:t>
      </w:r>
      <w:r w:rsidR="00242088" w:rsidRPr="00242088">
        <w:t>.</w:t>
      </w:r>
      <w:r w:rsidR="00D61E73">
        <w:t xml:space="preserve"> </w:t>
      </w:r>
    </w:p>
    <w:p w14:paraId="2F9FFD5E" w14:textId="77777777" w:rsidR="00D61E73" w:rsidRDefault="00D61E73" w:rsidP="00242088">
      <w:pPr>
        <w:pStyle w:val="ListParagraph"/>
        <w:spacing w:after="0"/>
        <w:ind w:left="0"/>
        <w:rPr>
          <w:rFonts w:eastAsia="Calibri" w:cs="Open Sans"/>
        </w:rPr>
      </w:pPr>
    </w:p>
    <w:p w14:paraId="6A8E1742" w14:textId="77178181" w:rsidR="005B75E2" w:rsidRPr="005B75E2" w:rsidRDefault="00EA79B8" w:rsidP="005B75E2">
      <w:pPr>
        <w:pStyle w:val="ListParagraph"/>
        <w:numPr>
          <w:ilvl w:val="0"/>
          <w:numId w:val="38"/>
        </w:numPr>
        <w:spacing w:after="0"/>
        <w:ind w:left="360"/>
        <w:rPr>
          <w:rFonts w:eastAsia="Calibri" w:cs="Open Sans"/>
        </w:rPr>
      </w:pPr>
      <w:r w:rsidRPr="003F4688">
        <w:rPr>
          <w:rFonts w:eastAsia="Calibri" w:cs="Open Sans"/>
        </w:rPr>
        <w:t xml:space="preserve">The potential disproportionate impact to Aboriginal and Torres Strait Islander peoples was </w:t>
      </w:r>
      <w:r w:rsidR="009D5CEB">
        <w:rPr>
          <w:rFonts w:eastAsia="Calibri" w:cs="Open Sans"/>
        </w:rPr>
        <w:t xml:space="preserve">also </w:t>
      </w:r>
      <w:r w:rsidRPr="003F4688">
        <w:rPr>
          <w:rFonts w:eastAsia="Calibri" w:cs="Open Sans"/>
        </w:rPr>
        <w:t>raised by the Commission in 2014 in response to the proposed introduction of a similar provision in Queensland</w:t>
      </w:r>
      <w:r w:rsidR="009D5CEB">
        <w:rPr>
          <w:rFonts w:eastAsia="Calibri" w:cs="Open Sans"/>
        </w:rPr>
        <w:t>.</w:t>
      </w:r>
      <w:r w:rsidR="00BC61EB" w:rsidRPr="00BC61EB">
        <w:rPr>
          <w:rFonts w:eastAsia="Calibri"/>
          <w:vertAlign w:val="superscript"/>
        </w:rPr>
        <w:t xml:space="preserve"> </w:t>
      </w:r>
      <w:r w:rsidR="00BC61EB" w:rsidRPr="00387B10">
        <w:rPr>
          <w:rFonts w:eastAsia="Calibri"/>
          <w:vertAlign w:val="superscript"/>
        </w:rPr>
        <w:endnoteReference w:id="15"/>
      </w:r>
      <w:r w:rsidR="009D5CEB">
        <w:rPr>
          <w:rFonts w:eastAsia="Calibri" w:cs="Open Sans"/>
        </w:rPr>
        <w:t xml:space="preserve">   </w:t>
      </w:r>
      <w:r w:rsidRPr="006E6430">
        <w:rPr>
          <w:rFonts w:eastAsia="Calibri" w:cs="Open Sans"/>
        </w:rPr>
        <w:t>The proposed Queensland legislation (which was passed and later repealed)</w:t>
      </w:r>
      <w:r w:rsidRPr="00387B10">
        <w:rPr>
          <w:rFonts w:eastAsia="Calibri"/>
          <w:vertAlign w:val="superscript"/>
        </w:rPr>
        <w:endnoteReference w:id="16"/>
      </w:r>
      <w:r w:rsidRPr="006E6430">
        <w:rPr>
          <w:rFonts w:eastAsia="Calibri" w:cs="Open Sans"/>
        </w:rPr>
        <w:t xml:space="preserve"> provided for people without identification to make a ‘declaration vote’.  However, Mr Mick Gooda, the former Aboriginal and Torres Strait Islander Social Justice Commissioner said that he was still concerned about this alternative requirement, stating:</w:t>
      </w:r>
    </w:p>
    <w:p w14:paraId="312E8191" w14:textId="77777777" w:rsidR="005B75E2" w:rsidRDefault="005B75E2" w:rsidP="00242088">
      <w:pPr>
        <w:pStyle w:val="ListParagraph"/>
        <w:spacing w:after="0"/>
        <w:ind w:left="1080"/>
        <w:rPr>
          <w:rFonts w:eastAsia="Calibri" w:cs="Open Sans"/>
          <w:sz w:val="22"/>
          <w:szCs w:val="22"/>
        </w:rPr>
      </w:pPr>
    </w:p>
    <w:p w14:paraId="7CAFF39C" w14:textId="464A731A" w:rsidR="00EA79B8" w:rsidRPr="00242088" w:rsidRDefault="00EA79B8" w:rsidP="00242088">
      <w:pPr>
        <w:pStyle w:val="ListParagraph"/>
        <w:spacing w:after="0"/>
        <w:ind w:left="1080"/>
        <w:rPr>
          <w:rFonts w:eastAsia="Calibri" w:cs="Open Sans"/>
          <w:sz w:val="22"/>
          <w:szCs w:val="22"/>
        </w:rPr>
      </w:pPr>
      <w:r w:rsidRPr="00242088">
        <w:rPr>
          <w:rFonts w:eastAsia="Calibri" w:cs="Open Sans"/>
          <w:sz w:val="22"/>
          <w:szCs w:val="22"/>
        </w:rPr>
        <w:t>Aboriginal and Torres Strait Islander people attempting to vote may feel intimidated by the requirements to fill in extra paperwork and being treated differently to other voters, a realistic possibility given the figures about the lack of identification in our community I mention above. The declaration process may also have the effect of making people without identification feel further marginalised and may make them reluctant to complete the process. I worry that intending voters may not continue to complete their ballot if required to go through the declaration vote procedure.</w:t>
      </w:r>
    </w:p>
    <w:p w14:paraId="6CA28749" w14:textId="77777777" w:rsidR="00242088" w:rsidRDefault="00242088" w:rsidP="00242088">
      <w:pPr>
        <w:pStyle w:val="ListParagraph"/>
        <w:spacing w:after="0"/>
        <w:ind w:left="360"/>
        <w:rPr>
          <w:rFonts w:eastAsia="Calibri" w:cs="Open Sans"/>
        </w:rPr>
      </w:pPr>
    </w:p>
    <w:p w14:paraId="73F35392" w14:textId="2B3B567F" w:rsidR="00EA79B8" w:rsidRDefault="00CA0C07" w:rsidP="00242088">
      <w:pPr>
        <w:pStyle w:val="ListParagraph"/>
        <w:numPr>
          <w:ilvl w:val="0"/>
          <w:numId w:val="38"/>
        </w:numPr>
        <w:spacing w:after="0"/>
        <w:ind w:left="360"/>
        <w:rPr>
          <w:rFonts w:eastAsia="Calibri" w:cs="Open Sans"/>
        </w:rPr>
      </w:pPr>
      <w:r>
        <w:rPr>
          <w:rFonts w:eastAsia="Calibri" w:cs="Open Sans"/>
        </w:rPr>
        <w:t xml:space="preserve">Further, </w:t>
      </w:r>
      <w:r w:rsidRPr="003F4688">
        <w:rPr>
          <w:rFonts w:eastAsia="Calibri" w:cs="Open Sans"/>
        </w:rPr>
        <w:t>Aboriginal and Torres Strait Islander peoples often do not possess a birth certificate and face difficulties obtaining subsequent formal identification.</w:t>
      </w:r>
      <w:r w:rsidRPr="00387B10">
        <w:rPr>
          <w:rFonts w:eastAsia="Calibri"/>
          <w:vertAlign w:val="superscript"/>
        </w:rPr>
        <w:endnoteReference w:id="17"/>
      </w:r>
      <w:r>
        <w:rPr>
          <w:rFonts w:eastAsia="Calibri" w:cs="Open Sans"/>
        </w:rPr>
        <w:t xml:space="preserve"> </w:t>
      </w:r>
      <w:r w:rsidR="00EA79B8" w:rsidRPr="003F4688">
        <w:rPr>
          <w:rFonts w:eastAsia="Calibri" w:cs="Open Sans"/>
        </w:rPr>
        <w:t xml:space="preserve">For these reasons, care should be taken when examining the </w:t>
      </w:r>
      <w:r w:rsidR="00EA79B8" w:rsidRPr="003F4688">
        <w:rPr>
          <w:rFonts w:eastAsia="Calibri" w:cs="Open Sans"/>
        </w:rPr>
        <w:lastRenderedPageBreak/>
        <w:t>reported levels of declaration votes in Queensland</w:t>
      </w:r>
      <w:r w:rsidR="00EA79B8" w:rsidRPr="00387B10">
        <w:rPr>
          <w:rFonts w:eastAsia="Calibri"/>
          <w:vertAlign w:val="superscript"/>
        </w:rPr>
        <w:endnoteReference w:id="18"/>
      </w:r>
      <w:r w:rsidR="00EA79B8" w:rsidRPr="003F4688">
        <w:rPr>
          <w:rFonts w:eastAsia="Calibri" w:cs="Open Sans"/>
        </w:rPr>
        <w:t xml:space="preserve"> because they may underestimate the impact of the laws there on the participation of Aboriginal and Torres Strait Islander people. </w:t>
      </w:r>
    </w:p>
    <w:p w14:paraId="277A7D8F" w14:textId="77777777" w:rsidR="003F4688" w:rsidRPr="003F4688" w:rsidRDefault="003F4688" w:rsidP="00242088">
      <w:pPr>
        <w:pStyle w:val="ListParagraph"/>
        <w:spacing w:after="0"/>
        <w:ind w:left="0"/>
        <w:rPr>
          <w:rFonts w:eastAsia="Calibri" w:cs="Open Sans"/>
        </w:rPr>
      </w:pPr>
    </w:p>
    <w:p w14:paraId="0345F402" w14:textId="602D5856" w:rsidR="00242088" w:rsidRPr="00242088" w:rsidRDefault="00EA79B8" w:rsidP="00242088">
      <w:pPr>
        <w:pStyle w:val="ListParagraph"/>
        <w:numPr>
          <w:ilvl w:val="0"/>
          <w:numId w:val="38"/>
        </w:numPr>
        <w:spacing w:after="0"/>
        <w:ind w:left="360"/>
        <w:rPr>
          <w:rFonts w:eastAsia="Calibri" w:cs="Open Sans"/>
        </w:rPr>
      </w:pPr>
      <w:r w:rsidRPr="003F4688">
        <w:rPr>
          <w:rFonts w:eastAsia="Calibri" w:cs="Open Sans"/>
        </w:rPr>
        <w:t xml:space="preserve">The </w:t>
      </w:r>
      <w:r w:rsidR="008172CF" w:rsidRPr="003F4688">
        <w:rPr>
          <w:rFonts w:eastAsia="Calibri" w:cs="Open Sans"/>
        </w:rPr>
        <w:t>AEC</w:t>
      </w:r>
      <w:r w:rsidR="009D5CFF">
        <w:rPr>
          <w:rFonts w:eastAsia="Calibri" w:cs="Open Sans"/>
        </w:rPr>
        <w:t xml:space="preserve"> has</w:t>
      </w:r>
      <w:r w:rsidRPr="003F4688">
        <w:rPr>
          <w:rFonts w:eastAsia="Calibri" w:cs="Open Sans"/>
        </w:rPr>
        <w:t xml:space="preserve"> </w:t>
      </w:r>
      <w:r w:rsidR="00C048FD">
        <w:rPr>
          <w:rFonts w:eastAsia="Calibri" w:cs="Open Sans"/>
        </w:rPr>
        <w:t xml:space="preserve">also </w:t>
      </w:r>
      <w:r w:rsidRPr="003F4688">
        <w:rPr>
          <w:rFonts w:eastAsia="Calibri" w:cs="Open Sans"/>
        </w:rPr>
        <w:t>publishe</w:t>
      </w:r>
      <w:r w:rsidR="00C048FD">
        <w:rPr>
          <w:rFonts w:eastAsia="Calibri" w:cs="Open Sans"/>
        </w:rPr>
        <w:t>d</w:t>
      </w:r>
      <w:r w:rsidRPr="003F4688">
        <w:rPr>
          <w:rFonts w:eastAsia="Calibri" w:cs="Open Sans"/>
        </w:rPr>
        <w:t xml:space="preserve"> estimated Indigenous enrolment rates.  In 2020, it estimated that only 78% of eligible Indigenous voters were enrolled to vote.</w:t>
      </w:r>
      <w:r w:rsidRPr="00387B10">
        <w:rPr>
          <w:rFonts w:eastAsia="Calibri"/>
          <w:vertAlign w:val="superscript"/>
        </w:rPr>
        <w:endnoteReference w:id="19"/>
      </w:r>
      <w:r w:rsidRPr="003F4688">
        <w:rPr>
          <w:rFonts w:eastAsia="Calibri" w:cs="Open Sans"/>
        </w:rPr>
        <w:t xml:space="preserve">  This was a small increase on the rates of 76.4% in 2018 and 76.6% in 2019.  The low rates of Indigenous enrolment are of particular concern to the overall objective of ensuring all persons entitled to vote are able to exercise that right.  Given the numbers involved, this is a much more significant issue than the very low rates of </w:t>
      </w:r>
      <w:r w:rsidR="00376915" w:rsidRPr="003F4688">
        <w:rPr>
          <w:rFonts w:eastAsia="Calibri" w:cs="Open Sans"/>
        </w:rPr>
        <w:t>multiple voting</w:t>
      </w:r>
      <w:r w:rsidRPr="003F4688">
        <w:rPr>
          <w:rFonts w:eastAsia="Calibri" w:cs="Open Sans"/>
        </w:rPr>
        <w:t>.  It is vital to avoid steps that would impede the progress made to increase rates of Indigenous participation in our elections.</w:t>
      </w:r>
    </w:p>
    <w:p w14:paraId="3F3A0B0D" w14:textId="7250F16C" w:rsidR="00EA79B8" w:rsidRPr="00242088" w:rsidRDefault="00EA79B8" w:rsidP="00242088">
      <w:pPr>
        <w:keepNext/>
        <w:spacing w:after="0"/>
        <w:rPr>
          <w:rFonts w:eastAsia="Calibri" w:cs="Open Sans"/>
          <w:b/>
          <w:bCs/>
          <w:i/>
          <w:iCs/>
        </w:rPr>
      </w:pPr>
      <w:r w:rsidRPr="00242088">
        <w:rPr>
          <w:rFonts w:eastAsia="Calibri" w:cs="Open Sans"/>
          <w:b/>
          <w:bCs/>
          <w:i/>
          <w:iCs/>
        </w:rPr>
        <w:t xml:space="preserve">Risk of further disenfranchisement </w:t>
      </w:r>
    </w:p>
    <w:p w14:paraId="4F1C0FCB" w14:textId="5A3C95D2" w:rsidR="003F4688" w:rsidRDefault="00EA79B8" w:rsidP="00242088">
      <w:pPr>
        <w:pStyle w:val="ListParagraph"/>
        <w:numPr>
          <w:ilvl w:val="0"/>
          <w:numId w:val="38"/>
        </w:numPr>
        <w:spacing w:after="0"/>
        <w:ind w:left="360"/>
        <w:rPr>
          <w:rFonts w:eastAsia="Calibri" w:cs="Open Sans"/>
        </w:rPr>
      </w:pPr>
      <w:r w:rsidRPr="003F4688">
        <w:rPr>
          <w:rFonts w:eastAsia="Calibri" w:cs="Open Sans"/>
        </w:rPr>
        <w:t xml:space="preserve">The Bill provides for </w:t>
      </w:r>
      <w:r w:rsidR="00327046" w:rsidRPr="003F4688">
        <w:rPr>
          <w:rFonts w:eastAsia="Calibri" w:cs="Open Sans"/>
        </w:rPr>
        <w:t xml:space="preserve">a </w:t>
      </w:r>
      <w:r w:rsidRPr="003F4688">
        <w:rPr>
          <w:rFonts w:eastAsia="Calibri" w:cs="Open Sans"/>
        </w:rPr>
        <w:t>wide range of acceptable forms of identification</w:t>
      </w:r>
      <w:r w:rsidR="006F6671" w:rsidRPr="003F4688">
        <w:rPr>
          <w:rFonts w:eastAsia="Calibri" w:cs="Open Sans"/>
        </w:rPr>
        <w:t xml:space="preserve"> in the definition of ‘proof of identity document’</w:t>
      </w:r>
      <w:r w:rsidRPr="003F4688">
        <w:rPr>
          <w:rFonts w:eastAsia="Calibri" w:cs="Open Sans"/>
        </w:rPr>
        <w:t xml:space="preserve">.  However it is unclear how this will be implemented in practice.  For </w:t>
      </w:r>
      <w:r w:rsidR="00495D1C" w:rsidRPr="003F4688">
        <w:rPr>
          <w:rFonts w:eastAsia="Calibri" w:cs="Open Sans"/>
        </w:rPr>
        <w:t>example,</w:t>
      </w:r>
      <w:r w:rsidRPr="003F4688">
        <w:rPr>
          <w:rFonts w:eastAsia="Calibri" w:cs="Open Sans"/>
        </w:rPr>
        <w:t xml:space="preserve"> </w:t>
      </w:r>
      <w:r w:rsidR="003A6148" w:rsidRPr="003F4688">
        <w:rPr>
          <w:rFonts w:eastAsia="Calibri" w:cs="Open Sans"/>
        </w:rPr>
        <w:t xml:space="preserve">it is unclear </w:t>
      </w:r>
      <w:r w:rsidRPr="003F4688">
        <w:rPr>
          <w:rFonts w:eastAsia="Calibri" w:cs="Open Sans"/>
        </w:rPr>
        <w:t xml:space="preserve">whether electronic documents will be accepted </w:t>
      </w:r>
      <w:r w:rsidR="00EF76CD" w:rsidRPr="003F4688">
        <w:rPr>
          <w:rFonts w:eastAsia="Calibri" w:cs="Open Sans"/>
        </w:rPr>
        <w:t xml:space="preserve">or </w:t>
      </w:r>
      <w:r w:rsidRPr="003F4688">
        <w:rPr>
          <w:rFonts w:eastAsia="Calibri" w:cs="Open Sans"/>
        </w:rPr>
        <w:t xml:space="preserve">if voting officers will need to determine if a document is genuine (and whether they will have the resources to undertake this assessment).  For community identity documents, </w:t>
      </w:r>
      <w:r w:rsidR="00282E95" w:rsidRPr="003F4688">
        <w:rPr>
          <w:rFonts w:eastAsia="Calibri" w:cs="Open Sans"/>
        </w:rPr>
        <w:t>the Bill</w:t>
      </w:r>
      <w:r w:rsidRPr="003F4688">
        <w:rPr>
          <w:rFonts w:eastAsia="Calibri" w:cs="Open Sans"/>
        </w:rPr>
        <w:t xml:space="preserve"> also assumes a person is receiving a health or welfare service.  Without further clarity on how voting officers will make decisions and how community identity documents will be made available, the Commission is concerned of the increased risk of voter exclusion</w:t>
      </w:r>
      <w:r w:rsidR="003F4688">
        <w:rPr>
          <w:rFonts w:eastAsia="Calibri" w:cs="Open Sans"/>
        </w:rPr>
        <w:t xml:space="preserve">. </w:t>
      </w:r>
    </w:p>
    <w:p w14:paraId="58F72A50" w14:textId="3110297C" w:rsidR="003F4688" w:rsidRPr="00242088" w:rsidRDefault="003F4688" w:rsidP="00242088">
      <w:pPr>
        <w:spacing w:after="0"/>
        <w:rPr>
          <w:rFonts w:eastAsia="Calibri" w:cs="Open Sans"/>
        </w:rPr>
      </w:pPr>
      <w:r w:rsidRPr="00242088">
        <w:rPr>
          <w:rFonts w:eastAsia="Calibri" w:cs="Open Sans"/>
          <w:b/>
          <w:bCs/>
          <w:i/>
          <w:iCs/>
        </w:rPr>
        <w:t>Recommendations</w:t>
      </w:r>
    </w:p>
    <w:p w14:paraId="450F27A5" w14:textId="79D5010B" w:rsidR="00EA79B8" w:rsidRPr="003F4688" w:rsidRDefault="00EA79B8" w:rsidP="00242088">
      <w:pPr>
        <w:pStyle w:val="ListParagraph"/>
        <w:numPr>
          <w:ilvl w:val="0"/>
          <w:numId w:val="38"/>
        </w:numPr>
        <w:spacing w:after="0"/>
        <w:ind w:left="360"/>
        <w:rPr>
          <w:rFonts w:eastAsia="Calibri" w:cs="Open Sans"/>
        </w:rPr>
      </w:pPr>
      <w:r w:rsidRPr="003F4688">
        <w:rPr>
          <w:rFonts w:eastAsia="Calibri" w:cs="Open Sans"/>
        </w:rPr>
        <w:t xml:space="preserve">The requirement for voter identification does not appear to be necessary or proportionate to the aim of addressing voter fraud and likely constitutes an unreasonable limitation on a person’s right to vote.  It may also create an obstacle to voter participation, particularly for vulnerable groups, and unduly impinge on their exercise of the right to vote.  </w:t>
      </w:r>
    </w:p>
    <w:p w14:paraId="0B29094B" w14:textId="275A8BC3" w:rsidR="00EA79B8" w:rsidRDefault="00EA79B8" w:rsidP="00242088">
      <w:pPr>
        <w:spacing w:after="0"/>
        <w:ind w:left="360"/>
        <w:rPr>
          <w:rFonts w:eastAsia="Calibri" w:cs="Open Sans"/>
        </w:rPr>
      </w:pPr>
      <w:r w:rsidRPr="00387B10">
        <w:rPr>
          <w:rFonts w:eastAsia="Calibri" w:cs="Open Sans"/>
          <w:b/>
          <w:bCs/>
        </w:rPr>
        <w:t xml:space="preserve">Recommendation 1: </w:t>
      </w:r>
      <w:r w:rsidRPr="00387B10">
        <w:rPr>
          <w:rFonts w:eastAsia="Calibri" w:cs="Open Sans"/>
        </w:rPr>
        <w:t>The Commission recommends that Schedule 2 of the Bill not be passed.</w:t>
      </w:r>
    </w:p>
    <w:p w14:paraId="53A4481F" w14:textId="10390921" w:rsidR="006379AB" w:rsidRDefault="00C302B3" w:rsidP="00242088">
      <w:pPr>
        <w:spacing w:after="0"/>
        <w:ind w:left="360"/>
        <w:rPr>
          <w:rFonts w:eastAsia="Calibri" w:cs="Open Sans"/>
        </w:rPr>
      </w:pPr>
      <w:r w:rsidRPr="00FC0055">
        <w:rPr>
          <w:rFonts w:eastAsia="Calibri" w:cs="Open Sans"/>
          <w:b/>
          <w:bCs/>
        </w:rPr>
        <w:t>Recommendation 2:</w:t>
      </w:r>
      <w:r>
        <w:rPr>
          <w:rFonts w:eastAsia="Calibri" w:cs="Open Sans"/>
        </w:rPr>
        <w:t xml:space="preserve"> The Commission</w:t>
      </w:r>
      <w:r w:rsidR="008E79F1">
        <w:rPr>
          <w:rFonts w:eastAsia="Calibri" w:cs="Open Sans"/>
        </w:rPr>
        <w:t xml:space="preserve"> recommends that </w:t>
      </w:r>
      <w:r w:rsidR="00FC0055">
        <w:rPr>
          <w:rFonts w:eastAsia="Calibri" w:cs="Open Sans"/>
        </w:rPr>
        <w:t xml:space="preserve">the </w:t>
      </w:r>
      <w:r w:rsidR="009247DD">
        <w:rPr>
          <w:rFonts w:eastAsia="Calibri" w:cs="Open Sans"/>
        </w:rPr>
        <w:t xml:space="preserve">Joint Standing Committee on Electoral Matters </w:t>
      </w:r>
      <w:r w:rsidR="00FC0055">
        <w:rPr>
          <w:rFonts w:eastAsia="Calibri" w:cs="Open Sans"/>
        </w:rPr>
        <w:t>give further consideration to</w:t>
      </w:r>
      <w:r w:rsidR="006379AB">
        <w:rPr>
          <w:rFonts w:eastAsia="Calibri" w:cs="Open Sans"/>
        </w:rPr>
        <w:t>:</w:t>
      </w:r>
    </w:p>
    <w:p w14:paraId="35DA4817" w14:textId="5B56912D" w:rsidR="00370291" w:rsidRPr="00391285" w:rsidRDefault="006379AB" w:rsidP="006379AB">
      <w:pPr>
        <w:pStyle w:val="ListParagraph"/>
        <w:numPr>
          <w:ilvl w:val="0"/>
          <w:numId w:val="33"/>
        </w:numPr>
        <w:spacing w:after="0"/>
        <w:rPr>
          <w:rFonts w:eastAsia="Calibri" w:cs="Open Sans"/>
          <w:b/>
          <w:bCs/>
        </w:rPr>
      </w:pPr>
      <w:r w:rsidRPr="006379AB">
        <w:rPr>
          <w:rFonts w:eastAsia="Calibri" w:cs="Open Sans"/>
        </w:rPr>
        <w:lastRenderedPageBreak/>
        <w:t xml:space="preserve">the </w:t>
      </w:r>
      <w:r w:rsidR="00E43499" w:rsidRPr="00370291">
        <w:rPr>
          <w:rFonts w:eastAsia="Calibri" w:cs="Open Sans"/>
        </w:rPr>
        <w:t>A</w:t>
      </w:r>
      <w:r w:rsidR="00AD3BED">
        <w:rPr>
          <w:rFonts w:eastAsia="Calibri" w:cs="Open Sans"/>
        </w:rPr>
        <w:t xml:space="preserve">ustralian </w:t>
      </w:r>
      <w:r w:rsidR="00E43499" w:rsidRPr="00370291">
        <w:rPr>
          <w:rFonts w:eastAsia="Calibri" w:cs="Open Sans"/>
        </w:rPr>
        <w:t>E</w:t>
      </w:r>
      <w:r w:rsidR="00AD3BED">
        <w:rPr>
          <w:rFonts w:eastAsia="Calibri" w:cs="Open Sans"/>
        </w:rPr>
        <w:t xml:space="preserve">lectoral </w:t>
      </w:r>
      <w:r w:rsidR="00E43499" w:rsidRPr="00370291">
        <w:rPr>
          <w:rFonts w:eastAsia="Calibri" w:cs="Open Sans"/>
        </w:rPr>
        <w:t>C</w:t>
      </w:r>
      <w:r w:rsidR="00AD3BED">
        <w:rPr>
          <w:rFonts w:eastAsia="Calibri" w:cs="Open Sans"/>
        </w:rPr>
        <w:t>ommission</w:t>
      </w:r>
      <w:r w:rsidR="00E43499" w:rsidRPr="00370291">
        <w:rPr>
          <w:rFonts w:eastAsia="Calibri" w:cs="Open Sans"/>
        </w:rPr>
        <w:t xml:space="preserve">’s </w:t>
      </w:r>
      <w:r w:rsidR="00AD3BED">
        <w:rPr>
          <w:rFonts w:eastAsia="Calibri" w:cs="Open Sans"/>
        </w:rPr>
        <w:t xml:space="preserve">proposal of </w:t>
      </w:r>
      <w:r w:rsidR="00E43499" w:rsidRPr="00370291">
        <w:rPr>
          <w:rFonts w:eastAsia="Calibri" w:cs="Open Sans"/>
        </w:rPr>
        <w:t xml:space="preserve">restricting voters who have previously cast multiple votes to only cast a declaration vote </w:t>
      </w:r>
      <w:r w:rsidR="00EE4A63">
        <w:rPr>
          <w:rFonts w:eastAsia="Calibri" w:cs="Open Sans"/>
        </w:rPr>
        <w:t>in future elections</w:t>
      </w:r>
      <w:r w:rsidR="00C048FD">
        <w:rPr>
          <w:rFonts w:eastAsia="Calibri" w:cs="Open Sans"/>
        </w:rPr>
        <w:t>, to address voter fraud concerns in a proportionate and targeted way</w:t>
      </w:r>
      <w:r w:rsidR="003F4688">
        <w:rPr>
          <w:rFonts w:eastAsia="Calibri" w:cs="Open Sans"/>
        </w:rPr>
        <w:t>;</w:t>
      </w:r>
    </w:p>
    <w:p w14:paraId="35E13FFB" w14:textId="77777777" w:rsidR="00391285" w:rsidRPr="00391285" w:rsidRDefault="00391285" w:rsidP="00391285">
      <w:pPr>
        <w:pStyle w:val="ListParagraph"/>
        <w:spacing w:after="0"/>
        <w:ind w:left="360"/>
        <w:rPr>
          <w:rFonts w:eastAsia="Calibri" w:cs="Open Sans"/>
          <w:b/>
          <w:bCs/>
        </w:rPr>
      </w:pPr>
    </w:p>
    <w:p w14:paraId="0A5928AB" w14:textId="5EEC8FC9" w:rsidR="00C302B3" w:rsidRPr="006379AB" w:rsidRDefault="00E43499" w:rsidP="00391285">
      <w:pPr>
        <w:pStyle w:val="ListParagraph"/>
        <w:numPr>
          <w:ilvl w:val="0"/>
          <w:numId w:val="33"/>
        </w:numPr>
        <w:spacing w:after="0"/>
        <w:rPr>
          <w:rFonts w:eastAsia="Calibri" w:cs="Open Sans"/>
          <w:b/>
          <w:bCs/>
        </w:rPr>
      </w:pPr>
      <w:r w:rsidRPr="00370291">
        <w:rPr>
          <w:rFonts w:eastAsia="Calibri" w:cs="Open Sans"/>
        </w:rPr>
        <w:t xml:space="preserve">the </w:t>
      </w:r>
      <w:r w:rsidR="006E5B0C">
        <w:rPr>
          <w:rFonts w:eastAsia="Calibri" w:cs="Open Sans"/>
        </w:rPr>
        <w:t xml:space="preserve">experience of </w:t>
      </w:r>
      <w:r w:rsidR="00EE4A63">
        <w:rPr>
          <w:rFonts w:eastAsia="Calibri" w:cs="Open Sans"/>
        </w:rPr>
        <w:t xml:space="preserve">the </w:t>
      </w:r>
      <w:r w:rsidRPr="00370291">
        <w:rPr>
          <w:rFonts w:eastAsia="Calibri" w:cs="Open Sans"/>
        </w:rPr>
        <w:t>N</w:t>
      </w:r>
      <w:r w:rsidR="00EE4A63">
        <w:rPr>
          <w:rFonts w:eastAsia="Calibri" w:cs="Open Sans"/>
        </w:rPr>
        <w:t xml:space="preserve">ew </w:t>
      </w:r>
      <w:r w:rsidRPr="00370291">
        <w:rPr>
          <w:rFonts w:eastAsia="Calibri" w:cs="Open Sans"/>
        </w:rPr>
        <w:t>S</w:t>
      </w:r>
      <w:r w:rsidR="00EE4A63">
        <w:rPr>
          <w:rFonts w:eastAsia="Calibri" w:cs="Open Sans"/>
        </w:rPr>
        <w:t xml:space="preserve">outh </w:t>
      </w:r>
      <w:r w:rsidRPr="00370291">
        <w:rPr>
          <w:rFonts w:eastAsia="Calibri" w:cs="Open Sans"/>
        </w:rPr>
        <w:t>W</w:t>
      </w:r>
      <w:r w:rsidR="00EE4A63">
        <w:rPr>
          <w:rFonts w:eastAsia="Calibri" w:cs="Open Sans"/>
        </w:rPr>
        <w:t>ales</w:t>
      </w:r>
      <w:r w:rsidRPr="00370291">
        <w:rPr>
          <w:rFonts w:eastAsia="Calibri" w:cs="Open Sans"/>
        </w:rPr>
        <w:t xml:space="preserve"> </w:t>
      </w:r>
      <w:r w:rsidR="00370291">
        <w:rPr>
          <w:rFonts w:eastAsia="Calibri" w:cs="Open Sans"/>
        </w:rPr>
        <w:t>‘</w:t>
      </w:r>
      <w:r w:rsidRPr="00370291">
        <w:rPr>
          <w:rFonts w:eastAsia="Calibri" w:cs="Open Sans"/>
        </w:rPr>
        <w:t>special elector</w:t>
      </w:r>
      <w:r w:rsidR="00370291">
        <w:rPr>
          <w:rFonts w:eastAsia="Calibri" w:cs="Open Sans"/>
        </w:rPr>
        <w:t>’</w:t>
      </w:r>
      <w:r w:rsidRPr="00370291">
        <w:rPr>
          <w:rFonts w:eastAsia="Calibri" w:cs="Open Sans"/>
        </w:rPr>
        <w:t xml:space="preserve"> process including whether it </w:t>
      </w:r>
      <w:r w:rsidR="0077230E">
        <w:rPr>
          <w:rFonts w:eastAsia="Calibri" w:cs="Open Sans"/>
        </w:rPr>
        <w:t xml:space="preserve">has been successful in </w:t>
      </w:r>
      <w:r w:rsidR="00E31E5B">
        <w:rPr>
          <w:rFonts w:eastAsia="Calibri" w:cs="Open Sans"/>
        </w:rPr>
        <w:t xml:space="preserve">reducing the number of </w:t>
      </w:r>
      <w:r w:rsidR="00391285">
        <w:rPr>
          <w:rFonts w:eastAsia="Calibri" w:cs="Open Sans"/>
        </w:rPr>
        <w:t xml:space="preserve">multiple votes </w:t>
      </w:r>
      <w:r w:rsidRPr="00370291">
        <w:rPr>
          <w:rFonts w:eastAsia="Calibri" w:cs="Open Sans"/>
        </w:rPr>
        <w:t>and whether it would be appropriate for use at the Commonwealth level.</w:t>
      </w:r>
    </w:p>
    <w:p w14:paraId="44BF9E3E" w14:textId="52274E78" w:rsidR="00EA79B8" w:rsidRPr="00387B10" w:rsidRDefault="00EA79B8" w:rsidP="00C508A4">
      <w:pPr>
        <w:spacing w:after="0"/>
        <w:ind w:left="357"/>
        <w:rPr>
          <w:rFonts w:eastAsia="Calibri" w:cs="Open Sans"/>
        </w:rPr>
      </w:pPr>
      <w:r w:rsidRPr="00387B10">
        <w:rPr>
          <w:rFonts w:eastAsia="Calibri" w:cs="Open Sans"/>
          <w:b/>
          <w:bCs/>
        </w:rPr>
        <w:t xml:space="preserve">Recommendation </w:t>
      </w:r>
      <w:r w:rsidR="0065414E">
        <w:rPr>
          <w:rFonts w:eastAsia="Calibri" w:cs="Open Sans"/>
          <w:b/>
          <w:bCs/>
        </w:rPr>
        <w:t>3</w:t>
      </w:r>
      <w:r w:rsidRPr="00387B10">
        <w:rPr>
          <w:rFonts w:eastAsia="Calibri" w:cs="Open Sans"/>
        </w:rPr>
        <w:t xml:space="preserve">: If Recommendation 1 is not accepted the Commission recommends </w:t>
      </w:r>
      <w:r w:rsidR="00D0379E">
        <w:rPr>
          <w:rFonts w:eastAsia="Calibri" w:cs="Open Sans"/>
        </w:rPr>
        <w:t xml:space="preserve">that the Bill be amended </w:t>
      </w:r>
      <w:r w:rsidR="00CB234C">
        <w:rPr>
          <w:rFonts w:eastAsia="Calibri" w:cs="Open Sans"/>
        </w:rPr>
        <w:t>to</w:t>
      </w:r>
      <w:r w:rsidRPr="00387B10">
        <w:rPr>
          <w:rFonts w:eastAsia="Calibri" w:cs="Open Sans"/>
        </w:rPr>
        <w:t>:</w:t>
      </w:r>
    </w:p>
    <w:p w14:paraId="062693A8" w14:textId="437BBF11" w:rsidR="00EA79B8" w:rsidRPr="00387B10" w:rsidRDefault="00576250" w:rsidP="00C508A4">
      <w:pPr>
        <w:pStyle w:val="ListParagraph"/>
        <w:numPr>
          <w:ilvl w:val="0"/>
          <w:numId w:val="33"/>
        </w:numPr>
        <w:spacing w:after="0"/>
        <w:rPr>
          <w:rFonts w:eastAsia="Calibri" w:cs="Open Sans"/>
        </w:rPr>
      </w:pPr>
      <w:r>
        <w:rPr>
          <w:rFonts w:eastAsia="Calibri" w:cs="Open Sans"/>
        </w:rPr>
        <w:t xml:space="preserve">ensure </w:t>
      </w:r>
      <w:r w:rsidR="00EA79B8" w:rsidRPr="00387B10">
        <w:rPr>
          <w:rFonts w:eastAsia="Calibri" w:cs="Open Sans"/>
        </w:rPr>
        <w:t>adequate procedures and safeguards on how voting officials will deem an identification document as acceptable (including electronic documents)</w:t>
      </w:r>
      <w:r w:rsidR="003F4688">
        <w:rPr>
          <w:rFonts w:eastAsia="Calibri" w:cs="Open Sans"/>
        </w:rPr>
        <w:t>;</w:t>
      </w:r>
      <w:r w:rsidR="00EA79B8" w:rsidRPr="00387B10">
        <w:rPr>
          <w:rFonts w:eastAsia="Calibri" w:cs="Open Sans"/>
        </w:rPr>
        <w:t xml:space="preserve"> </w:t>
      </w:r>
    </w:p>
    <w:p w14:paraId="0E77D48F" w14:textId="7D5DCBB5" w:rsidR="00A86EA6" w:rsidRDefault="00EA79B8" w:rsidP="00C508A4">
      <w:pPr>
        <w:pStyle w:val="ListParagraph"/>
        <w:numPr>
          <w:ilvl w:val="0"/>
          <w:numId w:val="33"/>
        </w:numPr>
        <w:spacing w:after="0"/>
        <w:rPr>
          <w:rFonts w:eastAsia="Calibri" w:cs="Open Sans"/>
        </w:rPr>
      </w:pPr>
      <w:r w:rsidRPr="00387B10">
        <w:rPr>
          <w:rFonts w:eastAsia="Calibri" w:cs="Open Sans"/>
        </w:rPr>
        <w:t>expand the classes of persons that can vouch for the identify of a person in addition to a health or welfare service employee, for example another eligible voter</w:t>
      </w:r>
      <w:r w:rsidR="003F4688">
        <w:rPr>
          <w:rFonts w:eastAsia="Calibri" w:cs="Open Sans"/>
        </w:rPr>
        <w:t>;</w:t>
      </w:r>
    </w:p>
    <w:p w14:paraId="530E51B5" w14:textId="3E293EB1" w:rsidR="00DD6A63" w:rsidRPr="005E4216" w:rsidRDefault="00A86EA6" w:rsidP="00C508A4">
      <w:pPr>
        <w:pStyle w:val="ListParagraph"/>
        <w:numPr>
          <w:ilvl w:val="0"/>
          <w:numId w:val="33"/>
        </w:numPr>
        <w:spacing w:after="0"/>
        <w:rPr>
          <w:rFonts w:eastAsia="Calibri" w:cs="Open Sans"/>
        </w:rPr>
      </w:pPr>
      <w:r>
        <w:rPr>
          <w:rFonts w:eastAsia="Calibri" w:cs="Open Sans"/>
        </w:rPr>
        <w:t xml:space="preserve">ensure that </w:t>
      </w:r>
      <w:r w:rsidR="00881457">
        <w:rPr>
          <w:rFonts w:eastAsia="Calibri" w:cs="Open Sans"/>
        </w:rPr>
        <w:t>sufficient</w:t>
      </w:r>
      <w:r w:rsidR="008C12C0">
        <w:rPr>
          <w:rFonts w:eastAsia="Calibri" w:cs="Open Sans"/>
        </w:rPr>
        <w:t>, culturally appropriate,</w:t>
      </w:r>
      <w:r w:rsidR="00881457">
        <w:rPr>
          <w:rFonts w:eastAsia="Calibri" w:cs="Open Sans"/>
        </w:rPr>
        <w:t xml:space="preserve"> assistance is provided to a person to complete a </w:t>
      </w:r>
      <w:r w:rsidR="005029F3">
        <w:rPr>
          <w:rFonts w:eastAsia="Calibri" w:cs="Open Sans"/>
        </w:rPr>
        <w:t xml:space="preserve">provisional vote if there are concerns about </w:t>
      </w:r>
      <w:r w:rsidR="008C12C0">
        <w:rPr>
          <w:rFonts w:eastAsia="Calibri" w:cs="Open Sans"/>
        </w:rPr>
        <w:t>the person’s identity</w:t>
      </w:r>
      <w:r w:rsidR="00EA79B8" w:rsidRPr="00387B10">
        <w:rPr>
          <w:rFonts w:eastAsia="Calibri" w:cs="Open Sans"/>
        </w:rPr>
        <w:t xml:space="preserve"> </w:t>
      </w:r>
      <w:r w:rsidR="004C11E5" w:rsidRPr="005E4216">
        <w:rPr>
          <w:rFonts w:eastAsia="Calibri" w:cs="Open Sans"/>
        </w:rPr>
        <w:t>so</w:t>
      </w:r>
      <w:r w:rsidR="00DD6A63" w:rsidRPr="005E4216">
        <w:rPr>
          <w:rFonts w:eastAsia="Calibri" w:cs="Open Sans"/>
        </w:rPr>
        <w:t xml:space="preserve"> </w:t>
      </w:r>
      <w:r w:rsidR="0065414E" w:rsidRPr="005E4216">
        <w:rPr>
          <w:rFonts w:eastAsia="Calibri" w:cs="Open Sans"/>
        </w:rPr>
        <w:t xml:space="preserve">that </w:t>
      </w:r>
      <w:r w:rsidR="00DD6A63" w:rsidRPr="005E4216">
        <w:rPr>
          <w:rFonts w:eastAsia="Calibri" w:cs="Open Sans"/>
        </w:rPr>
        <w:t>any limitations to the right to vote are reasonable and minimal</w:t>
      </w:r>
      <w:r w:rsidR="0065414E" w:rsidRPr="005E4216">
        <w:rPr>
          <w:rFonts w:eastAsia="Calibri" w:cs="Open Sans"/>
        </w:rPr>
        <w:t>.</w:t>
      </w:r>
    </w:p>
    <w:p w14:paraId="10A47090" w14:textId="77777777" w:rsidR="00EA79B8" w:rsidRPr="00960EFB" w:rsidRDefault="00EA79B8" w:rsidP="005E4216">
      <w:pPr>
        <w:spacing w:before="0" w:after="0"/>
        <w:ind w:left="795"/>
        <w:contextualSpacing/>
        <w:rPr>
          <w:rFonts w:eastAsia="Calibri" w:cs="Open Sans"/>
        </w:rPr>
      </w:pPr>
    </w:p>
    <w:p w14:paraId="0F7F0162" w14:textId="77777777" w:rsidR="00EA79B8" w:rsidRDefault="00EA79B8" w:rsidP="00EA79B8">
      <w:pPr>
        <w:pStyle w:val="NoSpacing"/>
      </w:pPr>
      <w:r>
        <w:t>Yours sincerely</w:t>
      </w:r>
    </w:p>
    <w:p w14:paraId="1664C181" w14:textId="0797FFFF" w:rsidR="00EA79B8" w:rsidRDefault="00602ACB" w:rsidP="00EA79B8">
      <w:pPr>
        <w:pStyle w:val="NoSpacing"/>
        <w:spacing w:before="240" w:after="240"/>
      </w:pPr>
      <w:r>
        <w:rPr>
          <w:noProof/>
        </w:rPr>
        <w:t>[Signed]</w:t>
      </w:r>
    </w:p>
    <w:p w14:paraId="6CCF5F0D" w14:textId="77777777" w:rsidR="000438F2" w:rsidRPr="005C2BA2" w:rsidRDefault="000438F2" w:rsidP="000438F2">
      <w:pPr>
        <w:pStyle w:val="NoSpacing"/>
      </w:pPr>
      <w:r>
        <w:t>Emeritus Professor Rosalind Croucher AM</w:t>
      </w:r>
    </w:p>
    <w:p w14:paraId="6A7E63F1" w14:textId="77777777" w:rsidR="000438F2" w:rsidRPr="00E94297" w:rsidRDefault="000438F2" w:rsidP="000438F2">
      <w:pPr>
        <w:pStyle w:val="NoSpacing"/>
        <w:rPr>
          <w:b/>
        </w:rPr>
      </w:pPr>
      <w:r w:rsidRPr="00E94297">
        <w:rPr>
          <w:b/>
        </w:rPr>
        <w:t>President</w:t>
      </w:r>
    </w:p>
    <w:p w14:paraId="0DCCF5E3" w14:textId="77777777" w:rsidR="000438F2" w:rsidRPr="009709E5" w:rsidRDefault="000438F2" w:rsidP="000438F2">
      <w:pPr>
        <w:pStyle w:val="NoSpacing"/>
      </w:pPr>
    </w:p>
    <w:p w14:paraId="0B01B712" w14:textId="77777777" w:rsidR="000438F2" w:rsidRPr="00E94297" w:rsidRDefault="000438F2" w:rsidP="000438F2">
      <w:pPr>
        <w:pStyle w:val="NoSpacing"/>
        <w:rPr>
          <w:sz w:val="22"/>
          <w:szCs w:val="22"/>
        </w:rPr>
      </w:pPr>
      <w:r w:rsidRPr="00E94297">
        <w:rPr>
          <w:sz w:val="22"/>
          <w:szCs w:val="22"/>
        </w:rPr>
        <w:t>T: +61 2 9284 9614</w:t>
      </w:r>
    </w:p>
    <w:p w14:paraId="5BD8EA74" w14:textId="77777777" w:rsidR="000438F2" w:rsidRPr="00E94297" w:rsidRDefault="000438F2" w:rsidP="000438F2">
      <w:pPr>
        <w:pStyle w:val="NoSpacing"/>
        <w:rPr>
          <w:sz w:val="22"/>
          <w:szCs w:val="22"/>
        </w:rPr>
      </w:pPr>
      <w:r w:rsidRPr="00E94297">
        <w:rPr>
          <w:sz w:val="22"/>
          <w:szCs w:val="22"/>
        </w:rPr>
        <w:t xml:space="preserve">F: </w:t>
      </w:r>
      <w:r w:rsidRPr="00E94297">
        <w:rPr>
          <w:sz w:val="22"/>
          <w:szCs w:val="22"/>
        </w:rPr>
        <w:fldChar w:fldCharType="begin"/>
      </w:r>
      <w:r w:rsidRPr="00E94297">
        <w:rPr>
          <w:sz w:val="22"/>
          <w:szCs w:val="22"/>
        </w:rPr>
        <w:instrText xml:space="preserve"> MACROBUTTON </w:instrText>
      </w:r>
      <w:r w:rsidRPr="00E94297">
        <w:rPr>
          <w:sz w:val="22"/>
          <w:szCs w:val="22"/>
        </w:rPr>
        <w:fldChar w:fldCharType="end"/>
      </w:r>
      <w:r w:rsidRPr="00E94297">
        <w:rPr>
          <w:sz w:val="22"/>
          <w:szCs w:val="22"/>
        </w:rPr>
        <w:t>+61 2 9284 9</w:t>
      </w:r>
      <w:r w:rsidR="00273CFC">
        <w:rPr>
          <w:sz w:val="22"/>
          <w:szCs w:val="22"/>
        </w:rPr>
        <w:t>611</w:t>
      </w:r>
    </w:p>
    <w:p w14:paraId="2BA757D5" w14:textId="77777777" w:rsidR="000438F2" w:rsidRPr="00E94297" w:rsidRDefault="000438F2" w:rsidP="000438F2">
      <w:pPr>
        <w:pStyle w:val="NoSpacing"/>
        <w:rPr>
          <w:rStyle w:val="Hyperlink"/>
          <w:sz w:val="22"/>
          <w:szCs w:val="22"/>
        </w:rPr>
      </w:pPr>
      <w:r w:rsidRPr="00E94297">
        <w:rPr>
          <w:sz w:val="22"/>
          <w:szCs w:val="22"/>
        </w:rPr>
        <w:t xml:space="preserve">E: </w:t>
      </w:r>
      <w:hyperlink r:id="rId14" w:history="1">
        <w:r w:rsidRPr="00E94297">
          <w:rPr>
            <w:rStyle w:val="Hyperlink"/>
            <w:sz w:val="22"/>
            <w:szCs w:val="22"/>
          </w:rPr>
          <w:t>president.ahrc@humanrights.gov.au</w:t>
        </w:r>
      </w:hyperlink>
    </w:p>
    <w:p w14:paraId="4DE14B3D" w14:textId="77777777" w:rsidR="001C146A" w:rsidRDefault="001C146A" w:rsidP="00611730">
      <w:pPr>
        <w:pStyle w:val="NoSpacing"/>
      </w:pPr>
    </w:p>
    <w:p w14:paraId="67E1FB0B" w14:textId="77777777" w:rsidR="004D2BA8" w:rsidRPr="002D5180" w:rsidRDefault="004D2BA8" w:rsidP="00BE00F5">
      <w:pPr>
        <w:tabs>
          <w:tab w:val="left" w:pos="450"/>
        </w:tabs>
        <w:spacing w:before="0" w:after="0"/>
      </w:pPr>
    </w:p>
    <w:sectPr w:rsidR="004D2BA8" w:rsidRPr="002D5180" w:rsidSect="00785A8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66"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119F" w14:textId="77777777" w:rsidR="0066281D" w:rsidRDefault="0066281D" w:rsidP="00F14C6D">
      <w:r>
        <w:separator/>
      </w:r>
    </w:p>
  </w:endnote>
  <w:endnote w:type="continuationSeparator" w:id="0">
    <w:p w14:paraId="79BAF686" w14:textId="77777777" w:rsidR="0066281D" w:rsidRDefault="0066281D" w:rsidP="00F14C6D">
      <w:r>
        <w:continuationSeparator/>
      </w:r>
    </w:p>
  </w:endnote>
  <w:endnote w:type="continuationNotice" w:id="1">
    <w:p w14:paraId="01977C41" w14:textId="77777777" w:rsidR="0066281D" w:rsidRDefault="0066281D">
      <w:pPr>
        <w:spacing w:before="0" w:after="0"/>
      </w:pPr>
    </w:p>
  </w:endnote>
  <w:endnote w:id="2">
    <w:p w14:paraId="274070FE" w14:textId="36713D84" w:rsidR="007D0236" w:rsidRDefault="007D0236" w:rsidP="007D0236">
      <w:pPr>
        <w:pStyle w:val="EndnoteText"/>
        <w:spacing w:before="0" w:after="0"/>
        <w:ind w:left="284" w:hanging="284"/>
      </w:pPr>
      <w:r>
        <w:rPr>
          <w:rStyle w:val="EndnoteReference"/>
        </w:rPr>
        <w:endnoteRef/>
      </w:r>
      <w:r>
        <w:t xml:space="preserve"> </w:t>
      </w:r>
      <w:r>
        <w:tab/>
      </w:r>
      <w:r w:rsidRPr="00CA7463">
        <w:rPr>
          <w:rFonts w:cs="Open Sans"/>
          <w:sz w:val="18"/>
          <w:szCs w:val="18"/>
        </w:rPr>
        <w:t xml:space="preserve">Statement of Compatibility of Human Rights contained in the </w:t>
      </w:r>
      <w:r w:rsidRPr="00CA7463">
        <w:rPr>
          <w:rFonts w:cs="Open Sans"/>
          <w:sz w:val="18"/>
          <w:szCs w:val="18"/>
          <w:lang w:val="en-US"/>
        </w:rPr>
        <w:t>Explanatory Memorandum,</w:t>
      </w:r>
      <w:r w:rsidRPr="00CA7463">
        <w:rPr>
          <w:rFonts w:cs="Open Sans"/>
          <w:sz w:val="18"/>
          <w:szCs w:val="18"/>
        </w:rPr>
        <w:t xml:space="preserve"> Commonwealth Electoral Amendment (Integrity of Elections) Bill 2021</w:t>
      </w:r>
      <w:r w:rsidR="00D55FE0">
        <w:rPr>
          <w:rFonts w:cs="Open Sans"/>
          <w:sz w:val="18"/>
          <w:szCs w:val="18"/>
        </w:rPr>
        <w:t xml:space="preserve">, at </w:t>
      </w:r>
      <w:hyperlink r:id="rId1" w:history="1">
        <w:r w:rsidR="00D55FE0" w:rsidRPr="000D3507">
          <w:rPr>
            <w:rStyle w:val="Hyperlink"/>
            <w:rFonts w:cs="Open Sans"/>
            <w:sz w:val="18"/>
            <w:szCs w:val="18"/>
          </w:rPr>
          <w:t>https://www.aph.gov.au/Parliamentary_Business/Bills_LEGislation/Bills_Search_Results/Result?bId=s1319</w:t>
        </w:r>
      </w:hyperlink>
    </w:p>
  </w:endnote>
  <w:endnote w:id="3">
    <w:p w14:paraId="66ED9703" w14:textId="2261CB33"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sz w:val="18"/>
          <w:szCs w:val="18"/>
          <w:lang w:val="en-US"/>
        </w:rPr>
        <w:t xml:space="preserve">Joint Standing Committee on Electoral Matters, </w:t>
      </w:r>
      <w:r w:rsidRPr="00CA7463">
        <w:rPr>
          <w:rFonts w:cs="Open Sans"/>
          <w:i/>
          <w:iCs/>
          <w:sz w:val="18"/>
          <w:szCs w:val="18"/>
          <w:lang w:val="en-US"/>
        </w:rPr>
        <w:t>Report on the conduct of the 2019 federal election and matters related thereto</w:t>
      </w:r>
      <w:r w:rsidRPr="00CA7463">
        <w:rPr>
          <w:rFonts w:cs="Open Sans"/>
          <w:sz w:val="18"/>
          <w:szCs w:val="18"/>
          <w:lang w:val="en-US"/>
        </w:rPr>
        <w:t>, December 2020</w:t>
      </w:r>
      <w:r w:rsidR="00D55FE0">
        <w:rPr>
          <w:rFonts w:cs="Open Sans"/>
          <w:sz w:val="18"/>
          <w:szCs w:val="18"/>
          <w:lang w:val="en-US"/>
        </w:rPr>
        <w:t xml:space="preserve">, at </w:t>
      </w:r>
      <w:hyperlink r:id="rId2" w:history="1">
        <w:r w:rsidR="00D55FE0" w:rsidRPr="000D3507">
          <w:rPr>
            <w:rStyle w:val="Hyperlink"/>
            <w:rFonts w:cs="Open Sans"/>
            <w:sz w:val="18"/>
            <w:szCs w:val="18"/>
            <w:lang w:val="en-US"/>
          </w:rPr>
          <w:t>https://www.aph.gov.au/Parliamentary_Business/Committees/Joint/Electoral_Matters/2019Federalelection/Report</w:t>
        </w:r>
      </w:hyperlink>
      <w:r w:rsidRPr="00CA7463">
        <w:rPr>
          <w:rFonts w:cs="Open Sans"/>
          <w:sz w:val="18"/>
          <w:szCs w:val="18"/>
          <w:lang w:val="en-US"/>
        </w:rPr>
        <w:t>.</w:t>
      </w:r>
    </w:p>
  </w:endnote>
  <w:endnote w:id="4">
    <w:p w14:paraId="6F2B26BF" w14:textId="2DD937FE" w:rsidR="003F4688" w:rsidRDefault="003F4688" w:rsidP="003F4688">
      <w:pPr>
        <w:pStyle w:val="EndnoteText"/>
        <w:spacing w:before="0" w:after="0"/>
        <w:ind w:left="284" w:hanging="284"/>
      </w:pPr>
      <w:r>
        <w:rPr>
          <w:rStyle w:val="EndnoteReference"/>
        </w:rPr>
        <w:endnoteRef/>
      </w:r>
      <w:r>
        <w:t xml:space="preserve"> </w:t>
      </w:r>
      <w:r>
        <w:tab/>
      </w:r>
      <w:r w:rsidRPr="00CA7463">
        <w:rPr>
          <w:rFonts w:cs="Open Sans"/>
          <w:sz w:val="18"/>
          <w:szCs w:val="18"/>
          <w:lang w:val="en-US"/>
        </w:rPr>
        <w:t xml:space="preserve">Explanatory Memorandum, </w:t>
      </w:r>
      <w:r w:rsidRPr="00CA7463">
        <w:rPr>
          <w:rFonts w:cs="Open Sans"/>
          <w:sz w:val="18"/>
          <w:szCs w:val="18"/>
        </w:rPr>
        <w:t>Commonwealth Electoral Amendment (Integrity of Elections) Bill 2021</w:t>
      </w:r>
      <w:r w:rsidR="00D55FE0">
        <w:rPr>
          <w:rFonts w:cs="Open Sans"/>
          <w:sz w:val="18"/>
          <w:szCs w:val="18"/>
        </w:rPr>
        <w:t xml:space="preserve">, at </w:t>
      </w:r>
      <w:hyperlink r:id="rId3" w:history="1">
        <w:r w:rsidR="00D55FE0" w:rsidRPr="000D3507">
          <w:rPr>
            <w:rStyle w:val="Hyperlink"/>
            <w:rFonts w:cs="Open Sans"/>
            <w:sz w:val="18"/>
            <w:szCs w:val="18"/>
          </w:rPr>
          <w:t>https://www.aph.gov.au/Parliamentary_Business/Bills_LEGislation/Bills_Search_Results/Result?bId=s1319</w:t>
        </w:r>
      </w:hyperlink>
    </w:p>
  </w:endnote>
  <w:endnote w:id="5">
    <w:p w14:paraId="4AC6A1F6" w14:textId="77FD59A5"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i/>
          <w:iCs/>
          <w:sz w:val="18"/>
          <w:szCs w:val="18"/>
        </w:rPr>
        <w:t>Commonwealth Electoral Act 1918</w:t>
      </w:r>
      <w:r w:rsidRPr="00CA7463">
        <w:rPr>
          <w:rFonts w:cs="Open Sans"/>
          <w:sz w:val="18"/>
          <w:szCs w:val="18"/>
        </w:rPr>
        <w:t xml:space="preserve"> (Cth)</w:t>
      </w:r>
      <w:r>
        <w:rPr>
          <w:rFonts w:cs="Open Sans"/>
          <w:sz w:val="18"/>
          <w:szCs w:val="18"/>
        </w:rPr>
        <w:t>, s 235.</w:t>
      </w:r>
    </w:p>
  </w:endnote>
  <w:endnote w:id="6">
    <w:p w14:paraId="55597B5C" w14:textId="35AA36BA"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sz w:val="18"/>
          <w:szCs w:val="18"/>
        </w:rPr>
        <w:t>United Nations Human Rights Committee, General Comment No 25: The right to participate in public affairs, voting rights and the right of equal access to public service, UN Doc CCPR/C/21/Rev.1/Add.7, (1996) paras 1, 10, 11.</w:t>
      </w:r>
    </w:p>
  </w:endnote>
  <w:endnote w:id="7">
    <w:p w14:paraId="64DE50C3" w14:textId="5E025E60"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i/>
          <w:iCs/>
          <w:sz w:val="18"/>
          <w:szCs w:val="18"/>
        </w:rPr>
        <w:t>Commonwealth Electoral Act 1918</w:t>
      </w:r>
      <w:r w:rsidRPr="00CA7463">
        <w:rPr>
          <w:rFonts w:cs="Open Sans"/>
          <w:sz w:val="18"/>
          <w:szCs w:val="18"/>
        </w:rPr>
        <w:t xml:space="preserve"> (Cth), s 339(1A).</w:t>
      </w:r>
    </w:p>
  </w:endnote>
  <w:endnote w:id="8">
    <w:p w14:paraId="3FCD2899" w14:textId="1BEB7CCB"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sz w:val="18"/>
          <w:szCs w:val="18"/>
        </w:rPr>
        <w:t xml:space="preserve">Australian Electoral Commission, Supplementary submission 120.7 to the Joint Standing Committee on Electoral Matters inquiry into the conduct of the 2019 federal election, </w:t>
      </w:r>
      <w:r>
        <w:rPr>
          <w:rFonts w:cs="Open Sans"/>
          <w:sz w:val="18"/>
          <w:szCs w:val="18"/>
        </w:rPr>
        <w:t xml:space="preserve">13 </w:t>
      </w:r>
      <w:r w:rsidRPr="00CA7463">
        <w:rPr>
          <w:rFonts w:cs="Open Sans"/>
          <w:sz w:val="18"/>
          <w:szCs w:val="18"/>
        </w:rPr>
        <w:t xml:space="preserve">October 2020, pp 20 and 26–27, at </w:t>
      </w:r>
      <w:hyperlink r:id="rId4" w:history="1">
        <w:r w:rsidRPr="00CA7463">
          <w:rPr>
            <w:rStyle w:val="Hyperlink"/>
            <w:rFonts w:cs="Open Sans"/>
            <w:sz w:val="18"/>
            <w:szCs w:val="18"/>
          </w:rPr>
          <w:t>https://www.aph.gov.au/DocumentStore.ashx?id=259b6277-9c48-4e38-9890-4f7c56a32c9c&amp;subId=670941</w:t>
        </w:r>
      </w:hyperlink>
      <w:r w:rsidRPr="00CA7463">
        <w:rPr>
          <w:rFonts w:cs="Open Sans"/>
          <w:sz w:val="18"/>
          <w:szCs w:val="18"/>
        </w:rPr>
        <w:t>.</w:t>
      </w:r>
    </w:p>
  </w:endnote>
  <w:endnote w:id="9">
    <w:p w14:paraId="3C9B54AB" w14:textId="670DA5AC"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sz w:val="18"/>
          <w:szCs w:val="18"/>
        </w:rPr>
        <w:t xml:space="preserve">Statement of Compatibility of Human Rights contained in the </w:t>
      </w:r>
      <w:r w:rsidRPr="00CA7463">
        <w:rPr>
          <w:rFonts w:cs="Open Sans"/>
          <w:sz w:val="18"/>
          <w:szCs w:val="18"/>
          <w:lang w:val="en-US"/>
        </w:rPr>
        <w:t xml:space="preserve">Explanatory Memorandum, </w:t>
      </w:r>
      <w:r w:rsidRPr="00CA7463">
        <w:rPr>
          <w:rFonts w:cs="Open Sans"/>
          <w:sz w:val="18"/>
          <w:szCs w:val="18"/>
        </w:rPr>
        <w:t>Commonwealth Electoral Amendment (Integrity of Elections) Bill 2021</w:t>
      </w:r>
      <w:r w:rsidR="00D55FE0">
        <w:rPr>
          <w:rFonts w:cs="Open Sans"/>
          <w:sz w:val="18"/>
          <w:szCs w:val="18"/>
        </w:rPr>
        <w:t xml:space="preserve"> at </w:t>
      </w:r>
      <w:hyperlink r:id="rId5" w:history="1">
        <w:r w:rsidR="00D55FE0" w:rsidRPr="000D3507">
          <w:rPr>
            <w:rStyle w:val="Hyperlink"/>
            <w:rFonts w:cs="Open Sans"/>
            <w:sz w:val="18"/>
            <w:szCs w:val="18"/>
          </w:rPr>
          <w:t>https://www.aph.gov.au/Parliamentary_Business/Bills_LEGislation/Bills_Search_Results/Result?bId=s1319</w:t>
        </w:r>
      </w:hyperlink>
    </w:p>
  </w:endnote>
  <w:endnote w:id="10">
    <w:p w14:paraId="2E0BEADB" w14:textId="4ABA1D3F" w:rsidR="00EA79B8" w:rsidRDefault="00EA79B8" w:rsidP="00FF326A">
      <w:pPr>
        <w:pStyle w:val="EndnoteText"/>
        <w:spacing w:before="0" w:after="0"/>
        <w:ind w:left="284" w:hanging="284"/>
      </w:pPr>
      <w:r>
        <w:rPr>
          <w:rStyle w:val="EndnoteReference"/>
        </w:rPr>
        <w:endnoteRef/>
      </w:r>
      <w:r>
        <w:t xml:space="preserve"> </w:t>
      </w:r>
      <w:r w:rsidR="004B6998">
        <w:tab/>
      </w:r>
      <w:r w:rsidRPr="00CA7463">
        <w:rPr>
          <w:rFonts w:cs="Open Sans"/>
          <w:sz w:val="18"/>
          <w:szCs w:val="18"/>
        </w:rPr>
        <w:t>Tom Rogers,</w:t>
      </w:r>
      <w:r w:rsidRPr="00CA7463">
        <w:rPr>
          <w:rFonts w:cs="Open Sans"/>
          <w:sz w:val="18"/>
          <w:szCs w:val="18"/>
          <w:lang w:val="en-US"/>
        </w:rPr>
        <w:t xml:space="preserve"> Electoral Commissioner, Australian Electoral Commission, Evidence to Joint</w:t>
      </w:r>
      <w:r w:rsidRPr="00CA7463">
        <w:rPr>
          <w:rFonts w:cs="Open Sans"/>
          <w:sz w:val="18"/>
          <w:szCs w:val="18"/>
        </w:rPr>
        <w:t xml:space="preserve"> Standing Committee on Electoral Matters Inquiry into the conduct of the 2019 federal election (6 December 2020), </w:t>
      </w:r>
      <w:r>
        <w:rPr>
          <w:rFonts w:cs="Open Sans"/>
          <w:sz w:val="18"/>
          <w:szCs w:val="18"/>
        </w:rPr>
        <w:t xml:space="preserve">at </w:t>
      </w:r>
      <w:hyperlink r:id="rId6" w:history="1">
        <w:r w:rsidRPr="009E039E">
          <w:rPr>
            <w:rStyle w:val="Hyperlink"/>
            <w:rFonts w:cs="Open Sans"/>
            <w:sz w:val="18"/>
            <w:szCs w:val="18"/>
          </w:rPr>
          <w:t>https://parlinfo.aph.gov.au/parlInfo/search/display/display.w3p;query=Id%3A%22committees%2Fcommjnt%2Fed40663b-3554-4dc7-9817-80a3ad9b0848%2F0000%22</w:t>
        </w:r>
      </w:hyperlink>
      <w:r w:rsidRPr="00CA7463">
        <w:rPr>
          <w:rFonts w:cs="Open Sans"/>
          <w:sz w:val="18"/>
          <w:szCs w:val="18"/>
        </w:rPr>
        <w:t xml:space="preserve"> Transcript.</w:t>
      </w:r>
    </w:p>
  </w:endnote>
  <w:endnote w:id="11">
    <w:p w14:paraId="1A3D9905" w14:textId="2AC71B83"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sz w:val="18"/>
          <w:szCs w:val="18"/>
        </w:rPr>
        <w:t>Tom Rogers,</w:t>
      </w:r>
      <w:r w:rsidRPr="00CA7463">
        <w:rPr>
          <w:rFonts w:cs="Open Sans"/>
          <w:sz w:val="18"/>
          <w:szCs w:val="18"/>
          <w:lang w:val="en-US"/>
        </w:rPr>
        <w:t xml:space="preserve"> Electoral Commissioner, Australian Electoral Commission, Evidence to Joint</w:t>
      </w:r>
      <w:r w:rsidRPr="00CA7463">
        <w:rPr>
          <w:rFonts w:cs="Open Sans"/>
          <w:sz w:val="18"/>
          <w:szCs w:val="18"/>
        </w:rPr>
        <w:t xml:space="preserve"> Standing Committee on Electoral Matters Inquiry into the conduct of the 2019 federal election (6 December 2020), </w:t>
      </w:r>
      <w:r>
        <w:rPr>
          <w:rFonts w:cs="Open Sans"/>
          <w:sz w:val="18"/>
          <w:szCs w:val="18"/>
        </w:rPr>
        <w:t xml:space="preserve">at </w:t>
      </w:r>
      <w:hyperlink r:id="rId7" w:history="1">
        <w:r w:rsidRPr="009E039E">
          <w:rPr>
            <w:rStyle w:val="Hyperlink"/>
            <w:rFonts w:cs="Open Sans"/>
            <w:sz w:val="18"/>
            <w:szCs w:val="18"/>
          </w:rPr>
          <w:t>https://parlinfo.aph.gov.au/parlInfo/search/display/display.w3p;query=Id%3A%22committees%2Fcommjnt%2Fed40663b-3554-4dc7-9817-80a3ad9b0848%2F0000%22</w:t>
        </w:r>
      </w:hyperlink>
      <w:r w:rsidRPr="00CA7463">
        <w:rPr>
          <w:rFonts w:cs="Open Sans"/>
          <w:sz w:val="18"/>
          <w:szCs w:val="18"/>
        </w:rPr>
        <w:t xml:space="preserve"> Transcript</w:t>
      </w:r>
      <w:r>
        <w:rPr>
          <w:rFonts w:cs="Open Sans"/>
          <w:sz w:val="18"/>
          <w:szCs w:val="18"/>
        </w:rPr>
        <w:t>.</w:t>
      </w:r>
    </w:p>
  </w:endnote>
  <w:endnote w:id="12">
    <w:p w14:paraId="5DBC99B1" w14:textId="77777777" w:rsidR="009D5CFF" w:rsidRDefault="009D5CFF" w:rsidP="009D5CFF">
      <w:pPr>
        <w:pStyle w:val="FootnoteText"/>
        <w:ind w:left="284" w:hanging="284"/>
      </w:pPr>
      <w:r>
        <w:rPr>
          <w:rStyle w:val="EndnoteReference"/>
        </w:rPr>
        <w:endnoteRef/>
      </w:r>
      <w:r>
        <w:t xml:space="preserve"> </w:t>
      </w:r>
      <w:r>
        <w:tab/>
      </w:r>
      <w:r w:rsidRPr="00CA7463">
        <w:rPr>
          <w:rFonts w:cs="Open Sans"/>
          <w:sz w:val="18"/>
          <w:szCs w:val="18"/>
        </w:rPr>
        <w:t>Tom Rogers,</w:t>
      </w:r>
      <w:r w:rsidRPr="00CA7463">
        <w:rPr>
          <w:rFonts w:cs="Open Sans"/>
          <w:sz w:val="18"/>
          <w:szCs w:val="18"/>
          <w:lang w:val="en-US"/>
        </w:rPr>
        <w:t xml:space="preserve"> Electoral Commissioner, Australian Electoral Commission, Evidence to Joint</w:t>
      </w:r>
      <w:r w:rsidRPr="00CA7463">
        <w:rPr>
          <w:rFonts w:cs="Open Sans"/>
          <w:sz w:val="18"/>
          <w:szCs w:val="18"/>
        </w:rPr>
        <w:t xml:space="preserve"> Standing Committee on Electoral Matters Inquiry into the conduct of the 2019 federal election (6 December 2020), </w:t>
      </w:r>
      <w:r>
        <w:rPr>
          <w:rFonts w:cs="Open Sans"/>
          <w:sz w:val="18"/>
          <w:szCs w:val="18"/>
        </w:rPr>
        <w:t xml:space="preserve">at </w:t>
      </w:r>
      <w:hyperlink r:id="rId8" w:history="1">
        <w:r w:rsidRPr="009E039E">
          <w:rPr>
            <w:rStyle w:val="Hyperlink"/>
            <w:rFonts w:cs="Open Sans"/>
            <w:sz w:val="18"/>
            <w:szCs w:val="18"/>
          </w:rPr>
          <w:t>https://parlinfo.aph.gov.au/parlInfo/search/display/display.w3p;query=Id%3A%22committees%2Fcommjnt%2Fed40663b-3554-4dc7-9817-80a3ad9b0848%2F0000%22</w:t>
        </w:r>
      </w:hyperlink>
      <w:r w:rsidRPr="00CA7463">
        <w:rPr>
          <w:rFonts w:cs="Open Sans"/>
          <w:sz w:val="18"/>
          <w:szCs w:val="18"/>
        </w:rPr>
        <w:t xml:space="preserve"> Transcript.</w:t>
      </w:r>
    </w:p>
  </w:endnote>
  <w:endnote w:id="13">
    <w:p w14:paraId="482416E7" w14:textId="7D3C4B82" w:rsidR="00EA79B8" w:rsidRDefault="00EA79B8" w:rsidP="00FF326A">
      <w:pPr>
        <w:pStyle w:val="FootnoteText"/>
        <w:ind w:left="284" w:hanging="284"/>
      </w:pPr>
      <w:r>
        <w:rPr>
          <w:rStyle w:val="EndnoteReference"/>
        </w:rPr>
        <w:endnoteRef/>
      </w:r>
      <w:r w:rsidR="00FF326A">
        <w:rPr>
          <w:rFonts w:cs="Open Sans"/>
          <w:sz w:val="18"/>
          <w:szCs w:val="18"/>
        </w:rPr>
        <w:t xml:space="preserve"> </w:t>
      </w:r>
      <w:r w:rsidR="00FF326A">
        <w:rPr>
          <w:rFonts w:cs="Open Sans"/>
          <w:sz w:val="18"/>
          <w:szCs w:val="18"/>
        </w:rPr>
        <w:tab/>
      </w:r>
      <w:r w:rsidRPr="00CA7463">
        <w:rPr>
          <w:rFonts w:cs="Open Sans"/>
          <w:sz w:val="18"/>
          <w:szCs w:val="18"/>
        </w:rPr>
        <w:t xml:space="preserve">Australian Electoral Commission, Supplementary submission 120.7 to the Joint Standing Committee on Electoral Matters inquiry into the conduct of the 2019 federal election, </w:t>
      </w:r>
      <w:r>
        <w:rPr>
          <w:rFonts w:cs="Open Sans"/>
          <w:sz w:val="18"/>
          <w:szCs w:val="18"/>
        </w:rPr>
        <w:t xml:space="preserve">13 </w:t>
      </w:r>
      <w:r w:rsidRPr="00CA7463">
        <w:rPr>
          <w:rFonts w:cs="Open Sans"/>
          <w:sz w:val="18"/>
          <w:szCs w:val="18"/>
        </w:rPr>
        <w:t xml:space="preserve">October 2020, p 20, at </w:t>
      </w:r>
      <w:hyperlink r:id="rId9" w:history="1">
        <w:r w:rsidRPr="00CA7463">
          <w:rPr>
            <w:rStyle w:val="Hyperlink"/>
            <w:rFonts w:cs="Open Sans"/>
            <w:sz w:val="18"/>
            <w:szCs w:val="18"/>
          </w:rPr>
          <w:t>https://www.aph.gov.au/DocumentStore.ashx?id=259b6277-9c48-4e38-9890-4f7c56a32c9c&amp;subId=670941</w:t>
        </w:r>
      </w:hyperlink>
      <w:r w:rsidRPr="00CA7463">
        <w:rPr>
          <w:rFonts w:cs="Open Sans"/>
          <w:sz w:val="18"/>
          <w:szCs w:val="18"/>
        </w:rPr>
        <w:t xml:space="preserve">. </w:t>
      </w:r>
    </w:p>
  </w:endnote>
  <w:endnote w:id="14">
    <w:p w14:paraId="2B8F7DB3" w14:textId="0D29AFDE"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i/>
          <w:iCs/>
          <w:sz w:val="18"/>
          <w:szCs w:val="18"/>
          <w:lang w:val="en-US"/>
        </w:rPr>
        <w:t>Electoral Act 2017</w:t>
      </w:r>
      <w:r w:rsidRPr="00CA7463">
        <w:rPr>
          <w:rFonts w:cs="Open Sans"/>
          <w:sz w:val="18"/>
          <w:szCs w:val="18"/>
          <w:lang w:val="en-US"/>
        </w:rPr>
        <w:t xml:space="preserve"> (NSW), Sch 6.</w:t>
      </w:r>
    </w:p>
  </w:endnote>
  <w:endnote w:id="15">
    <w:p w14:paraId="525A8E72" w14:textId="77777777" w:rsidR="00BC61EB" w:rsidRDefault="00BC61EB" w:rsidP="00BC61EB">
      <w:pPr>
        <w:pStyle w:val="EndnoteText"/>
        <w:spacing w:before="0" w:after="0"/>
        <w:ind w:left="284" w:hanging="284"/>
      </w:pPr>
      <w:r>
        <w:rPr>
          <w:rStyle w:val="EndnoteReference"/>
        </w:rPr>
        <w:endnoteRef/>
      </w:r>
      <w:r>
        <w:t xml:space="preserve"> </w:t>
      </w:r>
      <w:r>
        <w:tab/>
      </w:r>
      <w:r w:rsidRPr="00CA7463">
        <w:rPr>
          <w:rFonts w:cs="Open Sans"/>
          <w:sz w:val="18"/>
          <w:szCs w:val="18"/>
        </w:rPr>
        <w:t>Australian Human Rights Commission, Submission No 134 to Legal Affairs and Community Safety Committee Inquiry into the Electoral Reform Amendment Bill 2013 (17 January 2014)</w:t>
      </w:r>
      <w:r>
        <w:rPr>
          <w:rFonts w:cs="Open Sans"/>
          <w:sz w:val="18"/>
          <w:szCs w:val="18"/>
        </w:rPr>
        <w:t xml:space="preserve">, at </w:t>
      </w:r>
      <w:hyperlink r:id="rId10" w:history="1">
        <w:r w:rsidRPr="009E039E">
          <w:rPr>
            <w:rStyle w:val="Hyperlink"/>
            <w:rFonts w:cs="Open Sans"/>
            <w:sz w:val="18"/>
            <w:szCs w:val="18"/>
          </w:rPr>
          <w:t>https://documents.parliament.qld.gov.au/committees/LACSC/2013/ElectoralReform2013/submissions/134.pdf</w:t>
        </w:r>
      </w:hyperlink>
      <w:r w:rsidRPr="00CA7463">
        <w:rPr>
          <w:rStyle w:val="Hyperlink"/>
          <w:rFonts w:cs="Open Sans"/>
          <w:sz w:val="18"/>
          <w:szCs w:val="18"/>
        </w:rPr>
        <w:t>.</w:t>
      </w:r>
    </w:p>
  </w:endnote>
  <w:endnote w:id="16">
    <w:p w14:paraId="48794DE2" w14:textId="0DD276F1" w:rsidR="00EA79B8" w:rsidRDefault="00EA79B8" w:rsidP="00FF326A">
      <w:pPr>
        <w:pStyle w:val="FootnoteText"/>
        <w:ind w:left="284" w:hanging="284"/>
      </w:pPr>
      <w:r>
        <w:rPr>
          <w:rStyle w:val="EndnoteReference"/>
        </w:rPr>
        <w:endnoteRef/>
      </w:r>
      <w:r>
        <w:t xml:space="preserve"> </w:t>
      </w:r>
      <w:r w:rsidR="00FF326A">
        <w:tab/>
      </w:r>
      <w:r w:rsidRPr="00CA7463">
        <w:rPr>
          <w:rFonts w:cs="Open Sans"/>
          <w:i/>
          <w:iCs/>
          <w:sz w:val="18"/>
          <w:szCs w:val="18"/>
        </w:rPr>
        <w:t>Electoral Reform Amendment Act 2014</w:t>
      </w:r>
      <w:r w:rsidRPr="00CA7463">
        <w:rPr>
          <w:rFonts w:cs="Open Sans"/>
          <w:sz w:val="18"/>
          <w:szCs w:val="18"/>
        </w:rPr>
        <w:t xml:space="preserve"> (Qld).</w:t>
      </w:r>
    </w:p>
  </w:endnote>
  <w:endnote w:id="17">
    <w:p w14:paraId="0F5E1CED" w14:textId="77777777" w:rsidR="00CA0C07" w:rsidRDefault="00CA0C07" w:rsidP="00CA0C07">
      <w:pPr>
        <w:pStyle w:val="EndnoteText"/>
        <w:spacing w:before="0" w:after="0"/>
        <w:ind w:left="284" w:hanging="284"/>
      </w:pPr>
      <w:r>
        <w:rPr>
          <w:rStyle w:val="EndnoteReference"/>
        </w:rPr>
        <w:endnoteRef/>
      </w:r>
      <w:r>
        <w:t xml:space="preserve"> </w:t>
      </w:r>
      <w:r>
        <w:tab/>
      </w:r>
      <w:r w:rsidRPr="00CA7463">
        <w:rPr>
          <w:rFonts w:cs="Open Sans"/>
          <w:sz w:val="18"/>
          <w:szCs w:val="18"/>
        </w:rPr>
        <w:t>Australian Human Rights Commission, Submission No 134 to Legal Affairs and Community Safety Committee Inquiry into the Electoral Reform Amendment Bill 2013 (17 January 2014)</w:t>
      </w:r>
      <w:r>
        <w:rPr>
          <w:rFonts w:cs="Open Sans"/>
          <w:sz w:val="18"/>
          <w:szCs w:val="18"/>
        </w:rPr>
        <w:t xml:space="preserve">, at </w:t>
      </w:r>
      <w:hyperlink r:id="rId11" w:history="1">
        <w:r w:rsidRPr="009E039E">
          <w:rPr>
            <w:rStyle w:val="Hyperlink"/>
            <w:rFonts w:cs="Open Sans"/>
            <w:sz w:val="18"/>
            <w:szCs w:val="18"/>
          </w:rPr>
          <w:t>https://documents.parliament.qld.gov.au/committees/LACSC/2013/ElectoralReform2013/submissions/134.pdf</w:t>
        </w:r>
      </w:hyperlink>
      <w:r w:rsidRPr="00CA7463">
        <w:rPr>
          <w:rStyle w:val="Hyperlink"/>
          <w:rFonts w:cs="Open Sans"/>
          <w:sz w:val="18"/>
          <w:szCs w:val="18"/>
        </w:rPr>
        <w:t>.</w:t>
      </w:r>
    </w:p>
  </w:endnote>
  <w:endnote w:id="18">
    <w:p w14:paraId="70ADAD31" w14:textId="77B88937" w:rsidR="00EA79B8" w:rsidRDefault="00EA79B8" w:rsidP="00FF326A">
      <w:pPr>
        <w:pStyle w:val="EndnoteText"/>
        <w:spacing w:before="0" w:after="0"/>
        <w:ind w:left="284" w:hanging="284"/>
      </w:pPr>
      <w:r>
        <w:rPr>
          <w:rStyle w:val="EndnoteReference"/>
        </w:rPr>
        <w:endnoteRef/>
      </w:r>
      <w:r>
        <w:t xml:space="preserve"> </w:t>
      </w:r>
      <w:r w:rsidR="00FF326A">
        <w:tab/>
      </w:r>
      <w:r w:rsidR="00D55FE0" w:rsidRPr="00CA7463">
        <w:rPr>
          <w:rFonts w:cs="Open Sans"/>
          <w:sz w:val="18"/>
          <w:szCs w:val="18"/>
          <w:lang w:val="en-US"/>
        </w:rPr>
        <w:t xml:space="preserve">Joint Standing Committee on Electoral Matters, </w:t>
      </w:r>
      <w:r w:rsidR="00D55FE0" w:rsidRPr="00CA7463">
        <w:rPr>
          <w:rFonts w:cs="Open Sans"/>
          <w:i/>
          <w:iCs/>
          <w:sz w:val="18"/>
          <w:szCs w:val="18"/>
          <w:lang w:val="en-US"/>
        </w:rPr>
        <w:t>Report on the conduct of the 2019 federal election and matters related thereto</w:t>
      </w:r>
      <w:r w:rsidR="00D55FE0" w:rsidRPr="00CA7463">
        <w:rPr>
          <w:rFonts w:cs="Open Sans"/>
          <w:sz w:val="18"/>
          <w:szCs w:val="18"/>
          <w:lang w:val="en-US"/>
        </w:rPr>
        <w:t>, December 2020</w:t>
      </w:r>
      <w:r w:rsidR="00D55FE0">
        <w:rPr>
          <w:rFonts w:cs="Open Sans"/>
          <w:sz w:val="18"/>
          <w:szCs w:val="18"/>
          <w:lang w:val="en-US"/>
        </w:rPr>
        <w:t xml:space="preserve">, at </w:t>
      </w:r>
      <w:hyperlink r:id="rId12" w:history="1">
        <w:r w:rsidR="00D55FE0" w:rsidRPr="000D3507">
          <w:rPr>
            <w:rStyle w:val="Hyperlink"/>
            <w:rFonts w:cs="Open Sans"/>
            <w:sz w:val="18"/>
            <w:szCs w:val="18"/>
            <w:lang w:val="en-US"/>
          </w:rPr>
          <w:t>https://www.aph.gov.au/Parliamentary_Business/Committees/Joint/Electoral_Matters/2019Federalelection/Report</w:t>
        </w:r>
      </w:hyperlink>
      <w:r w:rsidR="00D55FE0">
        <w:rPr>
          <w:rFonts w:cs="Open Sans"/>
          <w:sz w:val="18"/>
          <w:szCs w:val="18"/>
          <w:lang w:val="en-US"/>
        </w:rPr>
        <w:t xml:space="preserve">, </w:t>
      </w:r>
      <w:r w:rsidR="00D55FE0" w:rsidRPr="00CA7463">
        <w:rPr>
          <w:rFonts w:cs="Open Sans"/>
          <w:sz w:val="18"/>
          <w:szCs w:val="18"/>
          <w:lang w:val="en-US"/>
        </w:rPr>
        <w:t>[7.43]</w:t>
      </w:r>
      <w:r w:rsidR="00D55FE0">
        <w:rPr>
          <w:rFonts w:cs="Open Sans"/>
          <w:sz w:val="18"/>
          <w:szCs w:val="18"/>
          <w:lang w:val="en-US"/>
        </w:rPr>
        <w:t>.</w:t>
      </w:r>
    </w:p>
  </w:endnote>
  <w:endnote w:id="19">
    <w:p w14:paraId="51DA25B0" w14:textId="039C09A5" w:rsidR="00EA79B8" w:rsidRDefault="00EA79B8" w:rsidP="00FF326A">
      <w:pPr>
        <w:pStyle w:val="EndnoteText"/>
        <w:spacing w:before="0" w:after="0"/>
        <w:ind w:left="284" w:hanging="284"/>
      </w:pPr>
      <w:r>
        <w:rPr>
          <w:rStyle w:val="EndnoteReference"/>
        </w:rPr>
        <w:endnoteRef/>
      </w:r>
      <w:r>
        <w:t xml:space="preserve"> </w:t>
      </w:r>
      <w:r w:rsidR="00FF326A">
        <w:tab/>
      </w:r>
      <w:r w:rsidRPr="00CA7463">
        <w:rPr>
          <w:rFonts w:cs="Open Sans"/>
          <w:sz w:val="18"/>
          <w:szCs w:val="18"/>
        </w:rPr>
        <w:t>Australian Electoral Commission, Supplementary submission 120.</w:t>
      </w:r>
      <w:r w:rsidRPr="00405DBD">
        <w:rPr>
          <w:rFonts w:cs="Open Sans"/>
          <w:sz w:val="18"/>
          <w:szCs w:val="18"/>
        </w:rPr>
        <w:t>7</w:t>
      </w:r>
      <w:r w:rsidRPr="00CA7463">
        <w:rPr>
          <w:rFonts w:cs="Open Sans"/>
          <w:sz w:val="18"/>
          <w:szCs w:val="18"/>
        </w:rPr>
        <w:t xml:space="preserve"> to the Joint Standing Committee on Electoral Matters inquiry into the conduct of the 2019 federal election, 13 October 2020, at </w:t>
      </w:r>
      <w:hyperlink r:id="rId13" w:history="1">
        <w:r w:rsidRPr="00CA7463">
          <w:rPr>
            <w:rStyle w:val="Hyperlink"/>
            <w:rFonts w:cs="Open Sans"/>
            <w:sz w:val="18"/>
            <w:szCs w:val="18"/>
          </w:rPr>
          <w:t>https://www.aph.gov.au/DocumentStore.ashx?id=c5b2e061-4336-4435-b21d-d018b23d0a3e&amp;subId=670941</w:t>
        </w:r>
      </w:hyperlink>
      <w:r w:rsidRPr="00CA7463">
        <w:rPr>
          <w:rFonts w:cs="Open Sans"/>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2588"/>
      <w:docPartObj>
        <w:docPartGallery w:val="Page Numbers (Bottom of Page)"/>
        <w:docPartUnique/>
      </w:docPartObj>
    </w:sdtPr>
    <w:sdtEndPr>
      <w:rPr>
        <w:noProof/>
      </w:rPr>
    </w:sdtEndPr>
    <w:sdtContent>
      <w:p w14:paraId="0742D2E3"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0F461"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5123"/>
      <w:docPartObj>
        <w:docPartGallery w:val="Page Numbers (Bottom of Page)"/>
        <w:docPartUnique/>
      </w:docPartObj>
    </w:sdtPr>
    <w:sdtEndPr>
      <w:rPr>
        <w:noProof/>
      </w:rPr>
    </w:sdtEndPr>
    <w:sdtContent>
      <w:p w14:paraId="13B421E4" w14:textId="77777777" w:rsidR="00785A81" w:rsidRDefault="00785A81">
        <w:pPr>
          <w:pStyle w:val="Footer"/>
          <w:jc w:val="right"/>
        </w:pPr>
        <w:r>
          <w:fldChar w:fldCharType="begin"/>
        </w:r>
        <w:r>
          <w:instrText xml:space="preserve"> PAGE   \* MERGEFORMAT </w:instrText>
        </w:r>
        <w:r>
          <w:fldChar w:fldCharType="separate"/>
        </w:r>
        <w:r w:rsidR="003E6D9A">
          <w:rPr>
            <w:noProof/>
          </w:rPr>
          <w:t>2</w:t>
        </w:r>
        <w:r>
          <w:rPr>
            <w:noProof/>
          </w:rPr>
          <w:fldChar w:fldCharType="end"/>
        </w:r>
      </w:p>
    </w:sdtContent>
  </w:sdt>
  <w:p w14:paraId="0084D89C" w14:textId="77777777" w:rsidR="00A4438B" w:rsidRPr="00A133C4" w:rsidRDefault="00A4438B" w:rsidP="00A13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jc w:val="center"/>
      <w:tblBorders>
        <w:top w:val="single" w:sz="4" w:space="0" w:color="646464"/>
        <w:insideH w:val="single" w:sz="4" w:space="0" w:color="646464"/>
      </w:tblBorders>
      <w:tblLook w:val="00A0" w:firstRow="1" w:lastRow="0" w:firstColumn="1" w:lastColumn="0" w:noHBand="0" w:noVBand="0"/>
    </w:tblPr>
    <w:tblGrid>
      <w:gridCol w:w="2410"/>
      <w:gridCol w:w="2392"/>
      <w:gridCol w:w="2372"/>
      <w:gridCol w:w="1313"/>
    </w:tblGrid>
    <w:tr w:rsidR="002B348E" w14:paraId="5527258C" w14:textId="77777777" w:rsidTr="002B348E">
      <w:trPr>
        <w:jc w:val="center"/>
      </w:trPr>
      <w:tc>
        <w:tcPr>
          <w:tcW w:w="2410" w:type="dxa"/>
          <w:tcBorders>
            <w:top w:val="single" w:sz="4" w:space="0" w:color="646464"/>
            <w:left w:val="nil"/>
            <w:bottom w:val="nil"/>
            <w:right w:val="nil"/>
          </w:tcBorders>
        </w:tcPr>
        <w:p w14:paraId="248D2D05" w14:textId="77777777" w:rsidR="002B348E" w:rsidRDefault="002B348E" w:rsidP="002B348E">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5704D941"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Australian Human Rights</w:t>
          </w:r>
        </w:p>
        <w:p w14:paraId="700F748B"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Commission</w:t>
          </w:r>
        </w:p>
        <w:p w14:paraId="1BF6E1D9"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ABN 47 996 232 602</w:t>
          </w:r>
        </w:p>
      </w:tc>
      <w:tc>
        <w:tcPr>
          <w:tcW w:w="2392" w:type="dxa"/>
          <w:tcBorders>
            <w:top w:val="single" w:sz="4" w:space="0" w:color="646464"/>
            <w:left w:val="nil"/>
            <w:bottom w:val="nil"/>
            <w:right w:val="nil"/>
          </w:tcBorders>
        </w:tcPr>
        <w:p w14:paraId="6943044B"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4B088F81"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GPO Box 5218</w:t>
          </w:r>
        </w:p>
        <w:p w14:paraId="22763509"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Sydney NSW 2001</w:t>
          </w:r>
        </w:p>
        <w:p w14:paraId="2BDD66B3"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www.humanrights.gov.au</w:t>
          </w:r>
        </w:p>
      </w:tc>
      <w:tc>
        <w:tcPr>
          <w:tcW w:w="2372" w:type="dxa"/>
          <w:tcBorders>
            <w:top w:val="single" w:sz="4" w:space="0" w:color="646464"/>
            <w:left w:val="nil"/>
            <w:bottom w:val="nil"/>
            <w:right w:val="nil"/>
          </w:tcBorders>
        </w:tcPr>
        <w:p w14:paraId="67B99EFE"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5715586E" w14:textId="77777777" w:rsidR="002B348E" w:rsidRDefault="002B348E" w:rsidP="002B348E">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General enquiries</w:t>
          </w:r>
        </w:p>
        <w:p w14:paraId="68EE4BDA" w14:textId="77777777" w:rsidR="002B348E" w:rsidRDefault="002B348E" w:rsidP="002B348E">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18E0C682" w14:textId="77777777" w:rsidR="002B348E" w:rsidRDefault="002B348E" w:rsidP="002B348E">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TTY</w:t>
          </w:r>
        </w:p>
      </w:tc>
      <w:tc>
        <w:tcPr>
          <w:tcW w:w="1313" w:type="dxa"/>
          <w:tcBorders>
            <w:top w:val="single" w:sz="4" w:space="0" w:color="646464"/>
            <w:left w:val="nil"/>
            <w:bottom w:val="nil"/>
            <w:right w:val="nil"/>
          </w:tcBorders>
        </w:tcPr>
        <w:p w14:paraId="022C3AAD"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75D3C354"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1300 369 711</w:t>
          </w:r>
        </w:p>
        <w:p w14:paraId="57F96E78"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1300 656 419</w:t>
          </w:r>
        </w:p>
        <w:p w14:paraId="170FD33A" w14:textId="77777777" w:rsidR="002B348E" w:rsidRDefault="002B348E" w:rsidP="002B348E">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Pr>
              <w:rFonts w:cs="HelveticaNeue-Light"/>
              <w:color w:val="646464"/>
              <w:sz w:val="16"/>
              <w:szCs w:val="16"/>
              <w:lang w:val="en-US" w:bidi="en-US"/>
            </w:rPr>
            <w:t>1800 620 241</w:t>
          </w:r>
        </w:p>
      </w:tc>
    </w:tr>
  </w:tbl>
  <w:p w14:paraId="59D83EA7" w14:textId="77777777" w:rsidR="00311E44" w:rsidRPr="003F2F20" w:rsidRDefault="00311E44" w:rsidP="003F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BFF3" w14:textId="77777777" w:rsidR="0066281D" w:rsidRDefault="0066281D" w:rsidP="00F14C6D">
      <w:r>
        <w:separator/>
      </w:r>
    </w:p>
  </w:footnote>
  <w:footnote w:type="continuationSeparator" w:id="0">
    <w:p w14:paraId="5AFB8660" w14:textId="77777777" w:rsidR="0066281D" w:rsidRDefault="0066281D" w:rsidP="00F14C6D">
      <w:r>
        <w:continuationSeparator/>
      </w:r>
    </w:p>
  </w:footnote>
  <w:footnote w:type="continuationNotice" w:id="1">
    <w:p w14:paraId="1D813C13" w14:textId="77777777" w:rsidR="0066281D" w:rsidRDefault="006628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780A" w14:textId="77777777" w:rsidR="00CF6C2C" w:rsidRPr="00CF6C2C" w:rsidRDefault="00CF6C2C">
    <w:pPr>
      <w:pStyle w:val="Header"/>
      <w:rPr>
        <w:sz w:val="16"/>
      </w:rPr>
    </w:pPr>
  </w:p>
  <w:p w14:paraId="5CB007B9" w14:textId="77777777" w:rsidR="00867612" w:rsidRDefault="00860C16">
    <w:pPr>
      <w:pStyle w:val="Header"/>
    </w:pPr>
    <w:r>
      <w:t>Australian Human Rights Commission</w:t>
    </w:r>
  </w:p>
  <w:p w14:paraId="68253A38" w14:textId="77777777" w:rsidR="00093A6D" w:rsidRPr="001334CB" w:rsidRDefault="00CE2800" w:rsidP="001334CB">
    <w:pPr>
      <w:pStyle w:val="Header"/>
      <w:rPr>
        <w:rStyle w:val="HeaderTitle"/>
      </w:rPr>
    </w:pPr>
    <w:r>
      <w:rPr>
        <w:rStyle w:val="HeaderTitle"/>
      </w:rPr>
      <w:t>Chief Executive</w:t>
    </w:r>
  </w:p>
  <w:p w14:paraId="77375367" w14:textId="77777777" w:rsidR="00093A6D" w:rsidRDefault="00CE2800" w:rsidP="001334CB">
    <w:pPr>
      <w:pStyle w:val="Header"/>
      <w:rPr>
        <w:rStyle w:val="HeaderTitle"/>
      </w:rPr>
    </w:pPr>
    <w:r>
      <w:rPr>
        <w:rStyle w:val="HeaderTitle"/>
      </w:rPr>
      <w:t>Padma Raman PSM</w:t>
    </w:r>
  </w:p>
  <w:p w14:paraId="20878730"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DD1C" w14:textId="77777777" w:rsidR="00785A81" w:rsidRPr="00BD0306" w:rsidRDefault="00785A81" w:rsidP="00C71D32">
    <w:pPr>
      <w:pStyle w:val="Header"/>
      <w:rPr>
        <w:sz w:val="16"/>
      </w:rPr>
    </w:pPr>
  </w:p>
  <w:p w14:paraId="466A44D4" w14:textId="77777777" w:rsidR="00A4438B" w:rsidRDefault="00D5682C" w:rsidP="00C71D32">
    <w:pPr>
      <w:pStyle w:val="Header"/>
    </w:pPr>
    <w:r>
      <w:t>Australian Human Rights Commission</w:t>
    </w:r>
  </w:p>
  <w:p w14:paraId="75DF41B1" w14:textId="77777777" w:rsidR="000438F2" w:rsidRPr="001334CB" w:rsidRDefault="000438F2" w:rsidP="000438F2">
    <w:pPr>
      <w:pStyle w:val="Header"/>
      <w:rPr>
        <w:rStyle w:val="HeaderTitle"/>
      </w:rPr>
    </w:pPr>
    <w:r>
      <w:rPr>
        <w:rStyle w:val="HeaderTitle"/>
      </w:rPr>
      <w:t>President</w:t>
    </w:r>
  </w:p>
  <w:p w14:paraId="10E82AD9" w14:textId="77777777" w:rsidR="000438F2" w:rsidRPr="001334CB" w:rsidRDefault="000438F2" w:rsidP="000438F2">
    <w:pPr>
      <w:pStyle w:val="Header"/>
      <w:rPr>
        <w:rStyle w:val="HeaderTitle"/>
      </w:rPr>
    </w:pPr>
    <w:r w:rsidRPr="0008469E">
      <w:rPr>
        <w:rStyle w:val="HeaderTitle"/>
      </w:rPr>
      <w:t>Emeritus Professor Rosalind Croucher AM</w:t>
    </w:r>
  </w:p>
  <w:p w14:paraId="35C090F0" w14:textId="77777777" w:rsidR="00093A6D" w:rsidRPr="001334CB" w:rsidRDefault="00093A6D" w:rsidP="000371DE">
    <w:pPr>
      <w:pStyle w:val="Header"/>
      <w:rPr>
        <w:rStyle w:val="HeaderTit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3666"/>
      <w:gridCol w:w="5404"/>
    </w:tblGrid>
    <w:tr w:rsidR="003F2F20" w:rsidRPr="00F67D3F" w14:paraId="305FD925" w14:textId="77777777" w:rsidTr="006851C0">
      <w:trPr>
        <w:trHeight w:val="20"/>
      </w:trPr>
      <w:tc>
        <w:tcPr>
          <w:tcW w:w="1951" w:type="pct"/>
        </w:tcPr>
        <w:p w14:paraId="77586F0D" w14:textId="77777777" w:rsidR="003F2F20" w:rsidRPr="008D1634" w:rsidRDefault="003F2F20" w:rsidP="003F2F20">
          <w:pPr>
            <w:pStyle w:val="Header"/>
            <w:tabs>
              <w:tab w:val="clear" w:pos="4513"/>
              <w:tab w:val="clear" w:pos="9026"/>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2E5DFD0A" wp14:editId="66C12626">
                <wp:extent cx="2181860" cy="746125"/>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746125"/>
                        </a:xfrm>
                        <a:prstGeom prst="rect">
                          <a:avLst/>
                        </a:prstGeom>
                      </pic:spPr>
                    </pic:pic>
                  </a:graphicData>
                </a:graphic>
              </wp:inline>
            </w:drawing>
          </w:r>
        </w:p>
      </w:tc>
      <w:tc>
        <w:tcPr>
          <w:tcW w:w="3049" w:type="pct"/>
          <w:vAlign w:val="bottom"/>
        </w:tcPr>
        <w:p w14:paraId="16A93853" w14:textId="77777777" w:rsidR="000438F2" w:rsidRPr="004D31F9" w:rsidRDefault="000438F2" w:rsidP="000438F2">
          <w:pPr>
            <w:pStyle w:val="HeaderLogoType"/>
          </w:pPr>
          <w:r w:rsidRPr="004D31F9">
            <w:rPr>
              <w:noProof/>
              <w:lang w:val="en-AU" w:eastAsia="en-AU" w:bidi="ar-SA"/>
            </w:rPr>
            <mc:AlternateContent>
              <mc:Choice Requires="wps">
                <w:drawing>
                  <wp:anchor distT="0" distB="0" distL="114300" distR="114300" simplePos="0" relativeHeight="251658240" behindDoc="0" locked="0" layoutInCell="1" allowOverlap="1" wp14:anchorId="1AE15E84" wp14:editId="52F3B835">
                    <wp:simplePos x="0" y="0"/>
                    <wp:positionH relativeFrom="column">
                      <wp:posOffset>143510</wp:posOffset>
                    </wp:positionH>
                    <wp:positionV relativeFrom="paragraph">
                      <wp:posOffset>203835</wp:posOffset>
                    </wp:positionV>
                    <wp:extent cx="3140710" cy="0"/>
                    <wp:effectExtent l="0" t="0" r="2159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CEF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25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" strokecolor="#5f5f5f"/>
                </w:pict>
              </mc:Fallback>
            </mc:AlternateContent>
          </w:r>
          <w:r>
            <w:t>President</w:t>
          </w:r>
        </w:p>
        <w:p w14:paraId="74E28045" w14:textId="77777777" w:rsidR="003F2F20" w:rsidRPr="003C12AD" w:rsidRDefault="000438F2" w:rsidP="000438F2">
          <w:pPr>
            <w:pStyle w:val="HeaderLogoType"/>
            <w:spacing w:after="120"/>
          </w:pPr>
          <w:r>
            <w:t>Emeritus Professor Rosalind Croucher AM</w:t>
          </w:r>
        </w:p>
      </w:tc>
    </w:tr>
  </w:tbl>
  <w:p w14:paraId="681A2081" w14:textId="77777777" w:rsidR="003F2F20" w:rsidRPr="00E15E66" w:rsidRDefault="003F2F20" w:rsidP="003F2F2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40D13F2"/>
    <w:multiLevelType w:val="hybridMultilevel"/>
    <w:tmpl w:val="C6D202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E47FBF"/>
    <w:multiLevelType w:val="hybridMultilevel"/>
    <w:tmpl w:val="1E3654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157593"/>
    <w:multiLevelType w:val="hybridMultilevel"/>
    <w:tmpl w:val="8F82E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3477E"/>
    <w:multiLevelType w:val="hybridMultilevel"/>
    <w:tmpl w:val="FD0A0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875867"/>
    <w:multiLevelType w:val="hybridMultilevel"/>
    <w:tmpl w:val="42681AD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C096D5E"/>
    <w:multiLevelType w:val="hybridMultilevel"/>
    <w:tmpl w:val="EA1E17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B51039"/>
    <w:multiLevelType w:val="hybridMultilevel"/>
    <w:tmpl w:val="384E813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46392E4A"/>
    <w:multiLevelType w:val="hybridMultilevel"/>
    <w:tmpl w:val="F96C71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AE272F"/>
    <w:multiLevelType w:val="hybridMultilevel"/>
    <w:tmpl w:val="FEFC92D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19"/>
  </w:num>
  <w:num w:numId="2">
    <w:abstractNumId w:val="26"/>
  </w:num>
  <w:num w:numId="3">
    <w:abstractNumId w:val="29"/>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7"/>
  </w:num>
  <w:num w:numId="18">
    <w:abstractNumId w:val="23"/>
  </w:num>
  <w:num w:numId="19">
    <w:abstractNumId w:val="16"/>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2"/>
  </w:num>
  <w:num w:numId="23">
    <w:abstractNumId w:val="33"/>
  </w:num>
  <w:num w:numId="24">
    <w:abstractNumId w:val="34"/>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24"/>
  </w:num>
  <w:num w:numId="32">
    <w:abstractNumId w:val="35"/>
  </w:num>
  <w:num w:numId="33">
    <w:abstractNumId w:val="20"/>
  </w:num>
  <w:num w:numId="34">
    <w:abstractNumId w:val="17"/>
  </w:num>
  <w:num w:numId="35">
    <w:abstractNumId w:val="13"/>
  </w:num>
  <w:num w:numId="36">
    <w:abstractNumId w:val="25"/>
  </w:num>
  <w:num w:numId="37">
    <w:abstractNumId w:val="15"/>
  </w:num>
  <w:num w:numId="38">
    <w:abstractNumId w:val="1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4097">
      <o:colormru v:ext="edit" colors="#5f5f5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B8"/>
    <w:rsid w:val="000002B8"/>
    <w:rsid w:val="00000871"/>
    <w:rsid w:val="000155B1"/>
    <w:rsid w:val="00016045"/>
    <w:rsid w:val="00016AFE"/>
    <w:rsid w:val="00022E0E"/>
    <w:rsid w:val="00031A24"/>
    <w:rsid w:val="000371DE"/>
    <w:rsid w:val="00040B26"/>
    <w:rsid w:val="00041650"/>
    <w:rsid w:val="000438F2"/>
    <w:rsid w:val="00044091"/>
    <w:rsid w:val="0004519C"/>
    <w:rsid w:val="00051940"/>
    <w:rsid w:val="00053B5C"/>
    <w:rsid w:val="00056130"/>
    <w:rsid w:val="000575D7"/>
    <w:rsid w:val="000579B1"/>
    <w:rsid w:val="000642C5"/>
    <w:rsid w:val="0006516D"/>
    <w:rsid w:val="00066163"/>
    <w:rsid w:val="00074B3E"/>
    <w:rsid w:val="00075A4D"/>
    <w:rsid w:val="00076850"/>
    <w:rsid w:val="00087F07"/>
    <w:rsid w:val="00093A6D"/>
    <w:rsid w:val="00096573"/>
    <w:rsid w:val="000B0A5D"/>
    <w:rsid w:val="000B38AF"/>
    <w:rsid w:val="000B53EE"/>
    <w:rsid w:val="000C0CD9"/>
    <w:rsid w:val="000E1A26"/>
    <w:rsid w:val="000E38FA"/>
    <w:rsid w:val="00123209"/>
    <w:rsid w:val="001239A8"/>
    <w:rsid w:val="001248D3"/>
    <w:rsid w:val="001334CB"/>
    <w:rsid w:val="001373D3"/>
    <w:rsid w:val="0015402D"/>
    <w:rsid w:val="00162A8D"/>
    <w:rsid w:val="001662B6"/>
    <w:rsid w:val="00176220"/>
    <w:rsid w:val="00181378"/>
    <w:rsid w:val="00183209"/>
    <w:rsid w:val="00190357"/>
    <w:rsid w:val="001A6241"/>
    <w:rsid w:val="001B0353"/>
    <w:rsid w:val="001B25B3"/>
    <w:rsid w:val="001C06C2"/>
    <w:rsid w:val="001C146A"/>
    <w:rsid w:val="001C7AA6"/>
    <w:rsid w:val="001D5314"/>
    <w:rsid w:val="001E195B"/>
    <w:rsid w:val="001E1C43"/>
    <w:rsid w:val="001E3693"/>
    <w:rsid w:val="001E5FAF"/>
    <w:rsid w:val="001F110E"/>
    <w:rsid w:val="001F2A08"/>
    <w:rsid w:val="001F2BBB"/>
    <w:rsid w:val="001F7039"/>
    <w:rsid w:val="00201544"/>
    <w:rsid w:val="00201EFE"/>
    <w:rsid w:val="0020636D"/>
    <w:rsid w:val="00211A47"/>
    <w:rsid w:val="00214DBF"/>
    <w:rsid w:val="00215015"/>
    <w:rsid w:val="0023257D"/>
    <w:rsid w:val="00242088"/>
    <w:rsid w:val="0024557E"/>
    <w:rsid w:val="00250AEA"/>
    <w:rsid w:val="00261065"/>
    <w:rsid w:val="00273CFC"/>
    <w:rsid w:val="00276BD6"/>
    <w:rsid w:val="002822E9"/>
    <w:rsid w:val="00282E95"/>
    <w:rsid w:val="002932DC"/>
    <w:rsid w:val="002A2D55"/>
    <w:rsid w:val="002B348E"/>
    <w:rsid w:val="002C68B1"/>
    <w:rsid w:val="002D0C4F"/>
    <w:rsid w:val="002D5180"/>
    <w:rsid w:val="002D54E2"/>
    <w:rsid w:val="002E1678"/>
    <w:rsid w:val="00310ED4"/>
    <w:rsid w:val="00311E44"/>
    <w:rsid w:val="0031488A"/>
    <w:rsid w:val="0031492A"/>
    <w:rsid w:val="00316C1A"/>
    <w:rsid w:val="00322D35"/>
    <w:rsid w:val="00324EE9"/>
    <w:rsid w:val="00325FD6"/>
    <w:rsid w:val="00327046"/>
    <w:rsid w:val="00331013"/>
    <w:rsid w:val="003341CA"/>
    <w:rsid w:val="00340B0E"/>
    <w:rsid w:val="003551F0"/>
    <w:rsid w:val="003672A8"/>
    <w:rsid w:val="00370291"/>
    <w:rsid w:val="00372DD5"/>
    <w:rsid w:val="003731B3"/>
    <w:rsid w:val="00376915"/>
    <w:rsid w:val="00386CC7"/>
    <w:rsid w:val="00391285"/>
    <w:rsid w:val="003A6148"/>
    <w:rsid w:val="003A6426"/>
    <w:rsid w:val="003C12AD"/>
    <w:rsid w:val="003C3D19"/>
    <w:rsid w:val="003C5EEB"/>
    <w:rsid w:val="003E4367"/>
    <w:rsid w:val="003E6D9A"/>
    <w:rsid w:val="003E7C58"/>
    <w:rsid w:val="003F2F20"/>
    <w:rsid w:val="003F3F90"/>
    <w:rsid w:val="003F4688"/>
    <w:rsid w:val="00404872"/>
    <w:rsid w:val="004053A8"/>
    <w:rsid w:val="0042737F"/>
    <w:rsid w:val="00435C6A"/>
    <w:rsid w:val="00436164"/>
    <w:rsid w:val="00436828"/>
    <w:rsid w:val="0044690C"/>
    <w:rsid w:val="004510B9"/>
    <w:rsid w:val="0046491B"/>
    <w:rsid w:val="0047319A"/>
    <w:rsid w:val="00474063"/>
    <w:rsid w:val="00484F87"/>
    <w:rsid w:val="004940B8"/>
    <w:rsid w:val="00495D1C"/>
    <w:rsid w:val="004A0E9C"/>
    <w:rsid w:val="004A3719"/>
    <w:rsid w:val="004A37F5"/>
    <w:rsid w:val="004B3DFD"/>
    <w:rsid w:val="004B3F64"/>
    <w:rsid w:val="004B6998"/>
    <w:rsid w:val="004C11E5"/>
    <w:rsid w:val="004D2BA8"/>
    <w:rsid w:val="004D31F9"/>
    <w:rsid w:val="004D6BC5"/>
    <w:rsid w:val="004E4F81"/>
    <w:rsid w:val="004F22DA"/>
    <w:rsid w:val="00500537"/>
    <w:rsid w:val="005029F3"/>
    <w:rsid w:val="00513540"/>
    <w:rsid w:val="005260C4"/>
    <w:rsid w:val="00570C49"/>
    <w:rsid w:val="0057219A"/>
    <w:rsid w:val="0057396F"/>
    <w:rsid w:val="005747B5"/>
    <w:rsid w:val="00576250"/>
    <w:rsid w:val="00590431"/>
    <w:rsid w:val="005B50D7"/>
    <w:rsid w:val="005B75E2"/>
    <w:rsid w:val="005D1F34"/>
    <w:rsid w:val="005D4F13"/>
    <w:rsid w:val="005D6C9A"/>
    <w:rsid w:val="005E4216"/>
    <w:rsid w:val="005E7D9D"/>
    <w:rsid w:val="005F36BE"/>
    <w:rsid w:val="005F7015"/>
    <w:rsid w:val="00602ACB"/>
    <w:rsid w:val="00605B9E"/>
    <w:rsid w:val="00611730"/>
    <w:rsid w:val="0061324D"/>
    <w:rsid w:val="00625082"/>
    <w:rsid w:val="006379AB"/>
    <w:rsid w:val="00641A0D"/>
    <w:rsid w:val="006459C9"/>
    <w:rsid w:val="0065414E"/>
    <w:rsid w:val="006546CD"/>
    <w:rsid w:val="00660465"/>
    <w:rsid w:val="0066281D"/>
    <w:rsid w:val="00683698"/>
    <w:rsid w:val="006851C0"/>
    <w:rsid w:val="00690436"/>
    <w:rsid w:val="006A6BB3"/>
    <w:rsid w:val="006B2544"/>
    <w:rsid w:val="006C6741"/>
    <w:rsid w:val="006D2A45"/>
    <w:rsid w:val="006D5EE5"/>
    <w:rsid w:val="006E2FE7"/>
    <w:rsid w:val="006E5B0C"/>
    <w:rsid w:val="006E6430"/>
    <w:rsid w:val="006F1E65"/>
    <w:rsid w:val="006F6671"/>
    <w:rsid w:val="00705B4F"/>
    <w:rsid w:val="00710819"/>
    <w:rsid w:val="00727DE5"/>
    <w:rsid w:val="00734865"/>
    <w:rsid w:val="00740E26"/>
    <w:rsid w:val="00753062"/>
    <w:rsid w:val="007606CC"/>
    <w:rsid w:val="00770DCB"/>
    <w:rsid w:val="0077230E"/>
    <w:rsid w:val="00775485"/>
    <w:rsid w:val="00781AF2"/>
    <w:rsid w:val="00783C66"/>
    <w:rsid w:val="00785A81"/>
    <w:rsid w:val="007902CE"/>
    <w:rsid w:val="00792DFA"/>
    <w:rsid w:val="00793680"/>
    <w:rsid w:val="007A1080"/>
    <w:rsid w:val="007A4AF6"/>
    <w:rsid w:val="007B06E8"/>
    <w:rsid w:val="007B201B"/>
    <w:rsid w:val="007C0202"/>
    <w:rsid w:val="007C38FF"/>
    <w:rsid w:val="007D0236"/>
    <w:rsid w:val="007D54C0"/>
    <w:rsid w:val="007E7892"/>
    <w:rsid w:val="007F188F"/>
    <w:rsid w:val="007F4811"/>
    <w:rsid w:val="007F70AB"/>
    <w:rsid w:val="00802B0B"/>
    <w:rsid w:val="0080441D"/>
    <w:rsid w:val="00805377"/>
    <w:rsid w:val="00810547"/>
    <w:rsid w:val="00815463"/>
    <w:rsid w:val="008172CF"/>
    <w:rsid w:val="00823785"/>
    <w:rsid w:val="00827E97"/>
    <w:rsid w:val="008511E3"/>
    <w:rsid w:val="00855EB4"/>
    <w:rsid w:val="00860C16"/>
    <w:rsid w:val="008614DB"/>
    <w:rsid w:val="008670BA"/>
    <w:rsid w:val="00867612"/>
    <w:rsid w:val="00870D4C"/>
    <w:rsid w:val="008724DE"/>
    <w:rsid w:val="00881457"/>
    <w:rsid w:val="00884412"/>
    <w:rsid w:val="0089214A"/>
    <w:rsid w:val="008A66C0"/>
    <w:rsid w:val="008A6862"/>
    <w:rsid w:val="008B0CEE"/>
    <w:rsid w:val="008B2A59"/>
    <w:rsid w:val="008B3662"/>
    <w:rsid w:val="008B4C13"/>
    <w:rsid w:val="008C12C0"/>
    <w:rsid w:val="008C15B1"/>
    <w:rsid w:val="008C1B1B"/>
    <w:rsid w:val="008D1309"/>
    <w:rsid w:val="008D2093"/>
    <w:rsid w:val="008D6140"/>
    <w:rsid w:val="008E050C"/>
    <w:rsid w:val="008E3D60"/>
    <w:rsid w:val="008E675D"/>
    <w:rsid w:val="008E79F1"/>
    <w:rsid w:val="008F3936"/>
    <w:rsid w:val="0090165F"/>
    <w:rsid w:val="00907E82"/>
    <w:rsid w:val="00911686"/>
    <w:rsid w:val="009247DD"/>
    <w:rsid w:val="00944BDA"/>
    <w:rsid w:val="00953633"/>
    <w:rsid w:val="00966C2F"/>
    <w:rsid w:val="00967D93"/>
    <w:rsid w:val="009709E5"/>
    <w:rsid w:val="00974980"/>
    <w:rsid w:val="009812E7"/>
    <w:rsid w:val="00982CEC"/>
    <w:rsid w:val="009864F9"/>
    <w:rsid w:val="009872DF"/>
    <w:rsid w:val="009B03DA"/>
    <w:rsid w:val="009B58B1"/>
    <w:rsid w:val="009C28EE"/>
    <w:rsid w:val="009D5CEB"/>
    <w:rsid w:val="009D5CFF"/>
    <w:rsid w:val="009E1FF7"/>
    <w:rsid w:val="009E2AF1"/>
    <w:rsid w:val="009E3C8A"/>
    <w:rsid w:val="009E4E80"/>
    <w:rsid w:val="009F541F"/>
    <w:rsid w:val="00A0406E"/>
    <w:rsid w:val="00A133C4"/>
    <w:rsid w:val="00A13563"/>
    <w:rsid w:val="00A207B8"/>
    <w:rsid w:val="00A312FF"/>
    <w:rsid w:val="00A32F15"/>
    <w:rsid w:val="00A41355"/>
    <w:rsid w:val="00A43B92"/>
    <w:rsid w:val="00A4438B"/>
    <w:rsid w:val="00A50038"/>
    <w:rsid w:val="00A5443C"/>
    <w:rsid w:val="00A6179E"/>
    <w:rsid w:val="00A81F79"/>
    <w:rsid w:val="00A84699"/>
    <w:rsid w:val="00A86EA6"/>
    <w:rsid w:val="00A9225B"/>
    <w:rsid w:val="00A9425A"/>
    <w:rsid w:val="00A964AA"/>
    <w:rsid w:val="00AB5C45"/>
    <w:rsid w:val="00AD3BED"/>
    <w:rsid w:val="00AD6C64"/>
    <w:rsid w:val="00AE47CC"/>
    <w:rsid w:val="00B03573"/>
    <w:rsid w:val="00B0666A"/>
    <w:rsid w:val="00B10447"/>
    <w:rsid w:val="00B15F40"/>
    <w:rsid w:val="00B237AF"/>
    <w:rsid w:val="00B277E0"/>
    <w:rsid w:val="00B53A65"/>
    <w:rsid w:val="00B94624"/>
    <w:rsid w:val="00BA262D"/>
    <w:rsid w:val="00BB5E32"/>
    <w:rsid w:val="00BC61EB"/>
    <w:rsid w:val="00BD0306"/>
    <w:rsid w:val="00BD2787"/>
    <w:rsid w:val="00BD400C"/>
    <w:rsid w:val="00BD7F6A"/>
    <w:rsid w:val="00BE00F5"/>
    <w:rsid w:val="00BE134F"/>
    <w:rsid w:val="00BE7648"/>
    <w:rsid w:val="00BF1C1B"/>
    <w:rsid w:val="00C048FD"/>
    <w:rsid w:val="00C1300E"/>
    <w:rsid w:val="00C22712"/>
    <w:rsid w:val="00C25BDA"/>
    <w:rsid w:val="00C302B3"/>
    <w:rsid w:val="00C43076"/>
    <w:rsid w:val="00C43F2E"/>
    <w:rsid w:val="00C50685"/>
    <w:rsid w:val="00C508A4"/>
    <w:rsid w:val="00C52035"/>
    <w:rsid w:val="00C612A4"/>
    <w:rsid w:val="00C71D32"/>
    <w:rsid w:val="00C82B14"/>
    <w:rsid w:val="00C877EA"/>
    <w:rsid w:val="00C87F1C"/>
    <w:rsid w:val="00CA0C07"/>
    <w:rsid w:val="00CA0D78"/>
    <w:rsid w:val="00CA46BA"/>
    <w:rsid w:val="00CA774D"/>
    <w:rsid w:val="00CB234C"/>
    <w:rsid w:val="00CB23FC"/>
    <w:rsid w:val="00CB57E4"/>
    <w:rsid w:val="00CD1446"/>
    <w:rsid w:val="00CD324F"/>
    <w:rsid w:val="00CD6F5A"/>
    <w:rsid w:val="00CE2800"/>
    <w:rsid w:val="00CF3642"/>
    <w:rsid w:val="00CF6C2C"/>
    <w:rsid w:val="00D0379E"/>
    <w:rsid w:val="00D04AE0"/>
    <w:rsid w:val="00D04F2E"/>
    <w:rsid w:val="00D1390E"/>
    <w:rsid w:val="00D17C8D"/>
    <w:rsid w:val="00D41C6C"/>
    <w:rsid w:val="00D4218D"/>
    <w:rsid w:val="00D52509"/>
    <w:rsid w:val="00D55FE0"/>
    <w:rsid w:val="00D5682C"/>
    <w:rsid w:val="00D61E73"/>
    <w:rsid w:val="00D65207"/>
    <w:rsid w:val="00D65C76"/>
    <w:rsid w:val="00DA2F73"/>
    <w:rsid w:val="00DA4ABF"/>
    <w:rsid w:val="00DC125B"/>
    <w:rsid w:val="00DC2F7B"/>
    <w:rsid w:val="00DC462F"/>
    <w:rsid w:val="00DD1EB5"/>
    <w:rsid w:val="00DD37F1"/>
    <w:rsid w:val="00DD4F07"/>
    <w:rsid w:val="00DD60AB"/>
    <w:rsid w:val="00DD6A63"/>
    <w:rsid w:val="00DE047A"/>
    <w:rsid w:val="00E0101D"/>
    <w:rsid w:val="00E05AE7"/>
    <w:rsid w:val="00E14A38"/>
    <w:rsid w:val="00E15E66"/>
    <w:rsid w:val="00E24FA3"/>
    <w:rsid w:val="00E31E5B"/>
    <w:rsid w:val="00E36B41"/>
    <w:rsid w:val="00E43499"/>
    <w:rsid w:val="00E45954"/>
    <w:rsid w:val="00E55164"/>
    <w:rsid w:val="00E55424"/>
    <w:rsid w:val="00E57F61"/>
    <w:rsid w:val="00E93ACA"/>
    <w:rsid w:val="00EA79B8"/>
    <w:rsid w:val="00EA7DEA"/>
    <w:rsid w:val="00EE34C4"/>
    <w:rsid w:val="00EE4A63"/>
    <w:rsid w:val="00EE50BC"/>
    <w:rsid w:val="00EE7B19"/>
    <w:rsid w:val="00EF1261"/>
    <w:rsid w:val="00EF76CD"/>
    <w:rsid w:val="00F02FC6"/>
    <w:rsid w:val="00F14C6D"/>
    <w:rsid w:val="00F44A37"/>
    <w:rsid w:val="00F55164"/>
    <w:rsid w:val="00F56BBB"/>
    <w:rsid w:val="00F67D3F"/>
    <w:rsid w:val="00FA2437"/>
    <w:rsid w:val="00FA24E8"/>
    <w:rsid w:val="00FA6159"/>
    <w:rsid w:val="00FB625D"/>
    <w:rsid w:val="00FC0055"/>
    <w:rsid w:val="00FC3F0C"/>
    <w:rsid w:val="00FD2498"/>
    <w:rsid w:val="00FE68D9"/>
    <w:rsid w:val="00FF32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f5f5f"/>
    </o:shapedefaults>
    <o:shapelayout v:ext="edit">
      <o:idmap v:ext="edit" data="1"/>
    </o:shapelayout>
  </w:shapeDefaults>
  <w:decimalSymbol w:val="."/>
  <w:listSeparator w:val=","/>
  <w14:docId w14:val="5FFC4100"/>
  <w15:docId w15:val="{401CB505-53A3-45C0-9D34-97BBAEB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link w:val="FootnoteTextChar"/>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qFormat/>
    <w:locked/>
    <w:rsid w:val="00611730"/>
    <w:rPr>
      <w:rFonts w:ascii="Open Sans" w:hAnsi="Open Sans"/>
      <w:sz w:val="24"/>
      <w:szCs w:val="24"/>
    </w:rPr>
  </w:style>
  <w:style w:type="character" w:customStyle="1" w:styleId="FootnoteTextChar">
    <w:name w:val="Footnote Text Char"/>
    <w:basedOn w:val="DefaultParagraphFont"/>
    <w:link w:val="FootnoteText"/>
    <w:semiHidden/>
    <w:rsid w:val="00EA79B8"/>
    <w:rPr>
      <w:rFonts w:ascii="Open Sans" w:hAnsi="Open Sans"/>
    </w:rPr>
  </w:style>
  <w:style w:type="character" w:styleId="UnresolvedMention">
    <w:name w:val="Unresolved Mention"/>
    <w:basedOn w:val="DefaultParagraphFont"/>
    <w:uiPriority w:val="99"/>
    <w:semiHidden/>
    <w:unhideWhenUsed/>
    <w:rsid w:val="004B6998"/>
    <w:rPr>
      <w:color w:val="605E5C"/>
      <w:shd w:val="clear" w:color="auto" w:fill="E1DFDD"/>
    </w:rPr>
  </w:style>
  <w:style w:type="paragraph" w:styleId="ListParagraph">
    <w:name w:val="List Paragraph"/>
    <w:basedOn w:val="Normal"/>
    <w:uiPriority w:val="34"/>
    <w:locked/>
    <w:rsid w:val="0064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90">
      <w:bodyDiv w:val="1"/>
      <w:marLeft w:val="0"/>
      <w:marRight w:val="0"/>
      <w:marTop w:val="0"/>
      <w:marBottom w:val="0"/>
      <w:divBdr>
        <w:top w:val="none" w:sz="0" w:space="0" w:color="auto"/>
        <w:left w:val="none" w:sz="0" w:space="0" w:color="auto"/>
        <w:bottom w:val="none" w:sz="0" w:space="0" w:color="auto"/>
        <w:right w:val="none" w:sz="0" w:space="0" w:color="auto"/>
      </w:divBdr>
    </w:div>
    <w:div w:id="208803430">
      <w:bodyDiv w:val="1"/>
      <w:marLeft w:val="0"/>
      <w:marRight w:val="0"/>
      <w:marTop w:val="0"/>
      <w:marBottom w:val="0"/>
      <w:divBdr>
        <w:top w:val="none" w:sz="0" w:space="0" w:color="auto"/>
        <w:left w:val="none" w:sz="0" w:space="0" w:color="auto"/>
        <w:bottom w:val="none" w:sz="0" w:space="0" w:color="auto"/>
        <w:right w:val="none" w:sz="0" w:space="0" w:color="auto"/>
      </w:divBdr>
    </w:div>
    <w:div w:id="273830762">
      <w:bodyDiv w:val="1"/>
      <w:marLeft w:val="0"/>
      <w:marRight w:val="0"/>
      <w:marTop w:val="0"/>
      <w:marBottom w:val="0"/>
      <w:divBdr>
        <w:top w:val="none" w:sz="0" w:space="0" w:color="auto"/>
        <w:left w:val="none" w:sz="0" w:space="0" w:color="auto"/>
        <w:bottom w:val="none" w:sz="0" w:space="0" w:color="auto"/>
        <w:right w:val="none" w:sz="0" w:space="0" w:color="auto"/>
      </w:divBdr>
    </w:div>
    <w:div w:id="278606880">
      <w:bodyDiv w:val="1"/>
      <w:marLeft w:val="0"/>
      <w:marRight w:val="0"/>
      <w:marTop w:val="0"/>
      <w:marBottom w:val="0"/>
      <w:divBdr>
        <w:top w:val="none" w:sz="0" w:space="0" w:color="auto"/>
        <w:left w:val="none" w:sz="0" w:space="0" w:color="auto"/>
        <w:bottom w:val="none" w:sz="0" w:space="0" w:color="auto"/>
        <w:right w:val="none" w:sz="0" w:space="0" w:color="auto"/>
      </w:divBdr>
    </w:div>
    <w:div w:id="338123740">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04132479">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407069150">
      <w:bodyDiv w:val="1"/>
      <w:marLeft w:val="0"/>
      <w:marRight w:val="0"/>
      <w:marTop w:val="0"/>
      <w:marBottom w:val="0"/>
      <w:divBdr>
        <w:top w:val="none" w:sz="0" w:space="0" w:color="auto"/>
        <w:left w:val="none" w:sz="0" w:space="0" w:color="auto"/>
        <w:bottom w:val="none" w:sz="0" w:space="0" w:color="auto"/>
        <w:right w:val="none" w:sz="0" w:space="0" w:color="auto"/>
      </w:divBdr>
    </w:div>
    <w:div w:id="1531409744">
      <w:bodyDiv w:val="1"/>
      <w:marLeft w:val="0"/>
      <w:marRight w:val="0"/>
      <w:marTop w:val="0"/>
      <w:marBottom w:val="0"/>
      <w:divBdr>
        <w:top w:val="none" w:sz="0" w:space="0" w:color="auto"/>
        <w:left w:val="none" w:sz="0" w:space="0" w:color="auto"/>
        <w:bottom w:val="none" w:sz="0" w:space="0" w:color="auto"/>
        <w:right w:val="none" w:sz="0" w:space="0" w:color="auto"/>
      </w:divBdr>
    </w:div>
    <w:div w:id="1543831643">
      <w:bodyDiv w:val="1"/>
      <w:marLeft w:val="0"/>
      <w:marRight w:val="0"/>
      <w:marTop w:val="0"/>
      <w:marBottom w:val="0"/>
      <w:divBdr>
        <w:top w:val="none" w:sz="0" w:space="0" w:color="auto"/>
        <w:left w:val="none" w:sz="0" w:space="0" w:color="auto"/>
        <w:bottom w:val="none" w:sz="0" w:space="0" w:color="auto"/>
        <w:right w:val="none" w:sz="0" w:space="0" w:color="auto"/>
      </w:divBdr>
    </w:div>
    <w:div w:id="1717122481">
      <w:bodyDiv w:val="1"/>
      <w:marLeft w:val="0"/>
      <w:marRight w:val="0"/>
      <w:marTop w:val="0"/>
      <w:marBottom w:val="0"/>
      <w:divBdr>
        <w:top w:val="none" w:sz="0" w:space="0" w:color="auto"/>
        <w:left w:val="none" w:sz="0" w:space="0" w:color="auto"/>
        <w:bottom w:val="none" w:sz="0" w:space="0" w:color="auto"/>
        <w:right w:val="none" w:sz="0" w:space="0" w:color="auto"/>
      </w:divBdr>
    </w:div>
    <w:div w:id="1863931593">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ph.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esident.ahrc@humanrights.gov.a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arlinfo.aph.gov.au/parlInfo/search/display/display.w3p;query=Id%3A%22committees%2Fcommjnt%2Fed40663b-3554-4dc7-9817-80a3ad9b0848%2F0000%22" TargetMode="External"/><Relationship Id="rId13" Type="http://schemas.openxmlformats.org/officeDocument/2006/relationships/hyperlink" Target="https://www.aph.gov.au/DocumentStore.ashx?id=c5b2e061-4336-4435-b21d-d018b23d0a3e&amp;subId=670941" TargetMode="External"/><Relationship Id="rId3" Type="http://schemas.openxmlformats.org/officeDocument/2006/relationships/hyperlink" Target="https://www.aph.gov.au/Parliamentary_Business/Bills_LEGislation/Bills_Search_Results/Result?bId=s1319" TargetMode="External"/><Relationship Id="rId7" Type="http://schemas.openxmlformats.org/officeDocument/2006/relationships/hyperlink" Target="https://parlinfo.aph.gov.au/parlInfo/search/display/display.w3p;query=Id%3A%22committees%2Fcommjnt%2Fed40663b-3554-4dc7-9817-80a3ad9b0848%2F0000%22" TargetMode="External"/><Relationship Id="rId12" Type="http://schemas.openxmlformats.org/officeDocument/2006/relationships/hyperlink" Target="https://www.aph.gov.au/Parliamentary_Business/Committees/Joint/Electoral_Matters/2019Federalelection/Report" TargetMode="External"/><Relationship Id="rId2" Type="http://schemas.openxmlformats.org/officeDocument/2006/relationships/hyperlink" Target="https://www.aph.gov.au/Parliamentary_Business/Committees/Joint/Electoral_Matters/2019Federalelection/Report" TargetMode="External"/><Relationship Id="rId1" Type="http://schemas.openxmlformats.org/officeDocument/2006/relationships/hyperlink" Target="https://www.aph.gov.au/Parliamentary_Business/Bills_LEGislation/Bills_Search_Results/Result?bId=s1319" TargetMode="External"/><Relationship Id="rId6" Type="http://schemas.openxmlformats.org/officeDocument/2006/relationships/hyperlink" Target="https://parlinfo.aph.gov.au/parlInfo/search/display/display.w3p;query=Id%3A%22committees%2Fcommjnt%2Fed40663b-3554-4dc7-9817-80a3ad9b0848%2F0000%22" TargetMode="External"/><Relationship Id="rId11" Type="http://schemas.openxmlformats.org/officeDocument/2006/relationships/hyperlink" Target="https://documents.parliament.qld.gov.au/committees/LACSC/2013/ElectoralReform2013/submissions/134.pdf" TargetMode="External"/><Relationship Id="rId5" Type="http://schemas.openxmlformats.org/officeDocument/2006/relationships/hyperlink" Target="https://www.aph.gov.au/Parliamentary_Business/Bills_LEGislation/Bills_Search_Results/Result?bId=s1319" TargetMode="External"/><Relationship Id="rId10" Type="http://schemas.openxmlformats.org/officeDocument/2006/relationships/hyperlink" Target="https://documents.parliament.qld.gov.au/committees/LACSC/2013/ElectoralReform2013/submissions/134.pdf" TargetMode="External"/><Relationship Id="rId4" Type="http://schemas.openxmlformats.org/officeDocument/2006/relationships/hyperlink" Target="https://www.aph.gov.au/DocumentStore.ashx?id=259b6277-9c48-4e38-9890-4f7c56a32c9c&amp;subId=670941" TargetMode="External"/><Relationship Id="rId9" Type="http://schemas.openxmlformats.org/officeDocument/2006/relationships/hyperlink" Target="https://www.aph.gov.au/DocumentStore.ashx?id=259b6277-9c48-4e38-9890-4f7c56a32c9c&amp;subId=67094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Executive%20Letterhead/Rosalind%20Croucher%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D291D3F3F7A10428D109B5825C6C5D8" ma:contentTypeVersion="33" ma:contentTypeDescription="Create a new document." ma:contentTypeScope="" ma:versionID="4ed72b92297a8ac80081703cede832ce">
  <xsd:schema xmlns:xsd="http://www.w3.org/2001/XMLSchema" xmlns:xs="http://www.w3.org/2001/XMLSchema" xmlns:p="http://schemas.microsoft.com/office/2006/metadata/properties" xmlns:ns3="6500fe01-343b-4fb9-a1b0-68ac19d62e01" xmlns:ns4="000f0434-9d83-4bf3-b8fd-618132021d80" xmlns:ns5="ec4ccfa4-b9a9-48d8-a001-a8303675da73" targetNamespace="http://schemas.microsoft.com/office/2006/metadata/properties" ma:root="true" ma:fieldsID="080d502890e4c3aa1f4e6069b9f96e7d" ns3:_="" ns4:_="" ns5:_="">
    <xsd:import namespace="6500fe01-343b-4fb9-a1b0-68ac19d62e01"/>
    <xsd:import namespace="000f0434-9d83-4bf3-b8fd-618132021d80"/>
    <xsd:import namespace="ec4ccfa4-b9a9-48d8-a001-a8303675da73"/>
    <xsd:element name="properties">
      <xsd:complexType>
        <xsd:sequence>
          <xsd:element name="documentManagement">
            <xsd:complexType>
              <xsd:all>
                <xsd:element ref="ns3:TaxKeywordTaxHTField" minOccurs="0"/>
                <xsd:element ref="ns3:TaxCatchAll" minOccurs="0"/>
                <xsd:element ref="ns3:TaxCatchAllLabel" minOccurs="0"/>
                <xsd:element ref="ns3:Divider"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58ec635-019a-45cf-9a38-df2d7b6c0b8c}" ma:internalName="TaxCatchAll" ma:showField="CatchAllData" ma:web="ec4ccfa4-b9a9-48d8-a001-a8303675da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8ec635-019a-45cf-9a38-df2d7b6c0b8c}" ma:internalName="TaxCatchAllLabel" ma:readOnly="true" ma:showField="CatchAllDataLabel" ma:web="ec4ccfa4-b9a9-48d8-a001-a8303675da73">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f0434-9d83-4bf3-b8fd-618132021d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4ccfa4-b9a9-48d8-a001-a8303675da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TaxKeywordTaxHTField xmlns="6500fe01-343b-4fb9-a1b0-68ac19d62e01">
      <Terms xmlns="http://schemas.microsoft.com/office/infopath/2007/PartnerControls"/>
    </TaxKeywordTaxHTField>
    <Divider xmlns="6500fe01-343b-4fb9-a1b0-68ac19d62e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73FC1117-61B8-4C0A-A91B-33AE11D0E1F4}">
  <ds:schemaRefs>
    <ds:schemaRef ds:uri="http://schemas.microsoft.com/office/2006/metadata/customXsn"/>
  </ds:schemaRefs>
</ds:datastoreItem>
</file>

<file path=customXml/itemProps2.xml><?xml version="1.0" encoding="utf-8"?>
<ds:datastoreItem xmlns:ds="http://schemas.openxmlformats.org/officeDocument/2006/customXml" ds:itemID="{7CAAFB09-15F2-4FB0-9BE2-07A55B07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000f0434-9d83-4bf3-b8fd-618132021d80"/>
    <ds:schemaRef ds:uri="ec4ccfa4-b9a9-48d8-a001-a8303675d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EB0F3-2282-4330-904E-28B25F33C00A}">
  <ds:schemaRefs>
    <ds:schemaRef ds:uri="http://schemas.microsoft.com/office/2006/metadata/properties"/>
    <ds:schemaRef ds:uri="http://schemas.microsoft.com/office/infopath/2007/PartnerControls"/>
    <ds:schemaRef ds:uri="6500fe01-343b-4fb9-a1b0-68ac19d62e01"/>
  </ds:schemaRefs>
</ds:datastoreItem>
</file>

<file path=customXml/itemProps4.xml><?xml version="1.0" encoding="utf-8"?>
<ds:datastoreItem xmlns:ds="http://schemas.openxmlformats.org/officeDocument/2006/customXml" ds:itemID="{242CA6C9-FE34-4BE0-8B81-CEBF2FCCA451}">
  <ds:schemaRefs>
    <ds:schemaRef ds:uri="http://schemas.openxmlformats.org/officeDocument/2006/bibliography"/>
  </ds:schemaRefs>
</ds:datastoreItem>
</file>

<file path=customXml/itemProps5.xml><?xml version="1.0" encoding="utf-8"?>
<ds:datastoreItem xmlns:ds="http://schemas.openxmlformats.org/officeDocument/2006/customXml" ds:itemID="{AC4931DC-8649-42FD-8F2F-7A222FB5815B}">
  <ds:schemaRefs>
    <ds:schemaRef ds:uri="http://schemas.microsoft.com/sharepoint/v3/contenttype/forms"/>
  </ds:schemaRefs>
</ds:datastoreItem>
</file>

<file path=customXml/itemProps6.xml><?xml version="1.0" encoding="utf-8"?>
<ds:datastoreItem xmlns:ds="http://schemas.openxmlformats.org/officeDocument/2006/customXml" ds:itemID="{5C7ADF1A-D654-4E49-9D10-8FD1576F37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Rosalind%20Croucher%20-%20Letterhead.dotx</Template>
  <TotalTime>14</TotalTime>
  <Pages>8</Pages>
  <Words>1915</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12463</CharactersWithSpaces>
  <SharedDoc>false</SharedDoc>
  <HLinks>
    <vt:vector size="60" baseType="variant">
      <vt:variant>
        <vt:i4>3342349</vt:i4>
      </vt:variant>
      <vt:variant>
        <vt:i4>8</vt:i4>
      </vt:variant>
      <vt:variant>
        <vt:i4>0</vt:i4>
      </vt:variant>
      <vt:variant>
        <vt:i4>5</vt:i4>
      </vt:variant>
      <vt:variant>
        <vt:lpwstr>mailto:president.ahrc@humanrights.gov.au</vt:lpwstr>
      </vt:variant>
      <vt:variant>
        <vt:lpwstr/>
      </vt:variant>
      <vt:variant>
        <vt:i4>65582</vt:i4>
      </vt:variant>
      <vt:variant>
        <vt:i4>3</vt:i4>
      </vt:variant>
      <vt:variant>
        <vt:i4>0</vt:i4>
      </vt:variant>
      <vt:variant>
        <vt:i4>5</vt:i4>
      </vt:variant>
      <vt:variant>
        <vt:lpwstr>mailto:fpa.sen@aph.gov.au</vt:lpwstr>
      </vt:variant>
      <vt:variant>
        <vt:lpwstr/>
      </vt:variant>
      <vt:variant>
        <vt:i4>6946816</vt:i4>
      </vt:variant>
      <vt:variant>
        <vt:i4>0</vt:i4>
      </vt:variant>
      <vt:variant>
        <vt:i4>0</vt:i4>
      </vt:variant>
      <vt:variant>
        <vt:i4>5</vt:i4>
      </vt:variant>
      <vt:variant>
        <vt:lpwstr>mailto:seniorclerk.committees.sen@aph.gov.au</vt:lpwstr>
      </vt:variant>
      <vt:variant>
        <vt:lpwstr/>
      </vt:variant>
      <vt:variant>
        <vt:i4>3407908</vt:i4>
      </vt:variant>
      <vt:variant>
        <vt:i4>18</vt:i4>
      </vt:variant>
      <vt:variant>
        <vt:i4>0</vt:i4>
      </vt:variant>
      <vt:variant>
        <vt:i4>5</vt:i4>
      </vt:variant>
      <vt:variant>
        <vt:lpwstr>https://www.aph.gov.au/DocumentStore.ashx?id=c5b2e061-4336-4435-b21d-d018b23d0a3e&amp;subId=670941</vt:lpwstr>
      </vt:variant>
      <vt:variant>
        <vt:lpwstr/>
      </vt:variant>
      <vt:variant>
        <vt:i4>5373964</vt:i4>
      </vt:variant>
      <vt:variant>
        <vt:i4>15</vt:i4>
      </vt:variant>
      <vt:variant>
        <vt:i4>0</vt:i4>
      </vt:variant>
      <vt:variant>
        <vt:i4>5</vt:i4>
      </vt:variant>
      <vt:variant>
        <vt:lpwstr>https://documents.parliament.qld.gov.au/committees/LACSC/2013/ElectoralReform2013/submissions/134.pdf</vt:lpwstr>
      </vt:variant>
      <vt:variant>
        <vt:lpwstr/>
      </vt:variant>
      <vt:variant>
        <vt:i4>6488180</vt:i4>
      </vt:variant>
      <vt:variant>
        <vt:i4>12</vt:i4>
      </vt:variant>
      <vt:variant>
        <vt:i4>0</vt:i4>
      </vt:variant>
      <vt:variant>
        <vt:i4>5</vt:i4>
      </vt:variant>
      <vt:variant>
        <vt:lpwstr>https://parlinfo.aph.gov.au/parlInfo/search/display/display.w3p;query=Id%3A%22committees%2Fcommjnt%2Fed40663b-3554-4dc7-9817-80a3ad9b0848%2F0000%22</vt:lpwstr>
      </vt:variant>
      <vt:variant>
        <vt:lpwstr/>
      </vt:variant>
      <vt:variant>
        <vt:i4>3604527</vt:i4>
      </vt:variant>
      <vt:variant>
        <vt:i4>9</vt:i4>
      </vt:variant>
      <vt:variant>
        <vt:i4>0</vt:i4>
      </vt:variant>
      <vt:variant>
        <vt:i4>5</vt:i4>
      </vt:variant>
      <vt:variant>
        <vt:lpwstr>https://www.aph.gov.au/DocumentStore.ashx?id=259b6277-9c48-4e38-9890-4f7c56a32c9c&amp;subId=670941</vt:lpwstr>
      </vt:variant>
      <vt:variant>
        <vt:lpwstr/>
      </vt:variant>
      <vt:variant>
        <vt:i4>6488180</vt:i4>
      </vt:variant>
      <vt:variant>
        <vt:i4>6</vt:i4>
      </vt:variant>
      <vt:variant>
        <vt:i4>0</vt:i4>
      </vt:variant>
      <vt:variant>
        <vt:i4>5</vt:i4>
      </vt:variant>
      <vt:variant>
        <vt:lpwstr>https://parlinfo.aph.gov.au/parlInfo/search/display/display.w3p;query=Id%3A%22committees%2Fcommjnt%2Fed40663b-3554-4dc7-9817-80a3ad9b0848%2F0000%22</vt:lpwstr>
      </vt:variant>
      <vt:variant>
        <vt:lpwstr/>
      </vt:variant>
      <vt:variant>
        <vt:i4>6488180</vt:i4>
      </vt:variant>
      <vt:variant>
        <vt:i4>3</vt:i4>
      </vt:variant>
      <vt:variant>
        <vt:i4>0</vt:i4>
      </vt:variant>
      <vt:variant>
        <vt:i4>5</vt:i4>
      </vt:variant>
      <vt:variant>
        <vt:lpwstr>https://parlinfo.aph.gov.au/parlInfo/search/display/display.w3p;query=Id%3A%22committees%2Fcommjnt%2Fed40663b-3554-4dc7-9817-80a3ad9b0848%2F0000%22</vt:lpwstr>
      </vt:variant>
      <vt:variant>
        <vt:lpwstr/>
      </vt:variant>
      <vt:variant>
        <vt:i4>3604527</vt:i4>
      </vt:variant>
      <vt:variant>
        <vt:i4>0</vt:i4>
      </vt:variant>
      <vt:variant>
        <vt:i4>0</vt:i4>
      </vt:variant>
      <vt:variant>
        <vt:i4>5</vt:i4>
      </vt:variant>
      <vt:variant>
        <vt:lpwstr>https://www.aph.gov.au/DocumentStore.ashx?id=259b6277-9c48-4e38-9890-4f7c56a32c9c&amp;subId=670941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AHRC User</dc:creator>
  <cp:lastModifiedBy>Sara Evison-Rose</cp:lastModifiedBy>
  <cp:revision>6</cp:revision>
  <cp:lastPrinted>2021-09-20T05:40:00Z</cp:lastPrinted>
  <dcterms:created xsi:type="dcterms:W3CDTF">2021-09-20T05:29:00Z</dcterms:created>
  <dcterms:modified xsi:type="dcterms:W3CDTF">2021-09-23T06:44:00Z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0x0101003D291D3F3F7A10428D109B5825C6C5D8</vt:lpwstr>
  </property>
  <property fmtid="{D5CDD505-2E9C-101B-9397-08002B2CF9AE}" pid="3" name="_dlc_DocIdItemGuid">
    <vt:lpwstr>87c98fa1-7339-482c-8819-28d5229ebd13</vt:lpwstr>
  </property>
  <property fmtid="{D5CDD505-2E9C-101B-9397-08002B2CF9AE}" pid="4" name="TaxKeyword">
    <vt:lpwstr/>
  </property>
  <property fmtid="{D5CDD505-2E9C-101B-9397-08002B2CF9AE}" pid="5" name="Document Type">
    <vt:lpwstr/>
  </property>
</Properties>
</file>